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628" w:rsidRDefault="00207628" w:rsidP="00E961D8">
      <w:pPr>
        <w:pStyle w:val="Zhlav"/>
        <w:rPr>
          <w:rFonts w:ascii="Tahoma" w:hAnsi="Tahoma" w:cs="Tahoma"/>
          <w:b/>
        </w:rPr>
      </w:pPr>
    </w:p>
    <w:p w:rsidR="00E961D8" w:rsidRPr="00FC4482" w:rsidRDefault="00E961D8" w:rsidP="00E961D8">
      <w:pPr>
        <w:pStyle w:val="Zhlav"/>
        <w:rPr>
          <w:rFonts w:ascii="Tahoma" w:hAnsi="Tahoma" w:cs="Tahoma"/>
          <w:b/>
        </w:rPr>
      </w:pPr>
      <w:r w:rsidRPr="00FC4482">
        <w:rPr>
          <w:rFonts w:ascii="Tahoma" w:hAnsi="Tahoma" w:cs="Tahoma"/>
          <w:b/>
        </w:rPr>
        <w:t xml:space="preserve">Příloha č.: </w:t>
      </w:r>
      <w:r w:rsidR="00D0718A">
        <w:rPr>
          <w:rFonts w:ascii="Tahoma" w:hAnsi="Tahoma" w:cs="Tahoma"/>
          <w:b/>
        </w:rPr>
        <w:t>1</w:t>
      </w:r>
      <w:r w:rsidR="00CA602D">
        <w:rPr>
          <w:rFonts w:ascii="Tahoma" w:hAnsi="Tahoma" w:cs="Tahoma"/>
          <w:b/>
        </w:rPr>
        <w:t>0</w:t>
      </w:r>
      <w:r w:rsidRPr="00FC4482">
        <w:rPr>
          <w:rFonts w:ascii="Tahoma" w:hAnsi="Tahoma" w:cs="Tahoma"/>
          <w:b/>
        </w:rPr>
        <w:t xml:space="preserve"> k materiálu č.: 6/</w:t>
      </w:r>
      <w:r w:rsidR="00926AC1">
        <w:rPr>
          <w:rFonts w:ascii="Tahoma" w:hAnsi="Tahoma" w:cs="Tahoma"/>
          <w:b/>
        </w:rPr>
        <w:t>1</w:t>
      </w:r>
      <w:bookmarkStart w:id="0" w:name="_GoBack"/>
      <w:bookmarkEnd w:id="0"/>
    </w:p>
    <w:p w:rsidR="00E961D8" w:rsidRPr="00FC4482" w:rsidRDefault="00E961D8" w:rsidP="00E961D8">
      <w:pPr>
        <w:pStyle w:val="Zhlav"/>
        <w:rPr>
          <w:rFonts w:ascii="Tahoma" w:hAnsi="Tahoma" w:cs="Tahoma"/>
        </w:rPr>
      </w:pPr>
      <w:r w:rsidRPr="00FC4482">
        <w:rPr>
          <w:rFonts w:ascii="Tahoma" w:hAnsi="Tahoma" w:cs="Tahoma"/>
        </w:rPr>
        <w:t>Počet stran přílohy:</w:t>
      </w:r>
      <w:r>
        <w:rPr>
          <w:rFonts w:ascii="Tahoma" w:hAnsi="Tahoma" w:cs="Tahoma"/>
        </w:rPr>
        <w:t xml:space="preserve"> </w:t>
      </w:r>
      <w:r w:rsidR="00207628">
        <w:rPr>
          <w:rFonts w:ascii="Tahoma" w:hAnsi="Tahoma" w:cs="Tahoma"/>
        </w:rPr>
        <w:t>8</w:t>
      </w:r>
    </w:p>
    <w:p w:rsidR="00E961D8" w:rsidRDefault="00E961D8">
      <w:pPr>
        <w:pStyle w:val="Nzev"/>
        <w:spacing w:after="0"/>
        <w:rPr>
          <w:rFonts w:ascii="Tahoma" w:hAnsi="Tahoma" w:cs="Tahoma"/>
          <w:sz w:val="20"/>
        </w:rPr>
      </w:pPr>
    </w:p>
    <w:p w:rsidR="00207628" w:rsidRPr="00207628" w:rsidRDefault="00207628" w:rsidP="00207628"/>
    <w:p w:rsidR="00D0718A" w:rsidRDefault="00D0718A" w:rsidP="00D0718A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 U V A</w:t>
      </w:r>
    </w:p>
    <w:p w:rsidR="00D0718A" w:rsidRDefault="00D0718A" w:rsidP="00D071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 poskytnutí dotace z rozpočtu Moravskoslezského kraje</w:t>
      </w:r>
    </w:p>
    <w:p w:rsidR="00D0718A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D0718A" w:rsidRDefault="00D0718A" w:rsidP="00D0718A">
      <w:pPr>
        <w:pStyle w:val="Nadpis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</w:t>
      </w:r>
    </w:p>
    <w:p w:rsidR="00D0718A" w:rsidRDefault="00D0718A" w:rsidP="00D0718A">
      <w:pPr>
        <w:pStyle w:val="Nadpis1"/>
        <w:numPr>
          <w:ilvl w:val="0"/>
          <w:numId w:val="13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Moravskoslezský kraj</w:t>
      </w:r>
    </w:p>
    <w:p w:rsidR="00D0718A" w:rsidRDefault="00D0718A" w:rsidP="00D0718A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 sídlem:</w:t>
      </w:r>
      <w:r>
        <w:rPr>
          <w:rFonts w:ascii="Tahoma" w:hAnsi="Tahoma" w:cs="Tahoma"/>
          <w:sz w:val="20"/>
          <w:szCs w:val="20"/>
        </w:rPr>
        <w:tab/>
        <w:t>28. října 117, 702 18 Ostrava</w:t>
      </w:r>
    </w:p>
    <w:p w:rsidR="00D0718A" w:rsidRDefault="00D0718A" w:rsidP="00D0718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</w:p>
    <w:p w:rsidR="00D0718A" w:rsidRDefault="00D0718A" w:rsidP="00D0718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  <w:t>70890692</w:t>
      </w:r>
    </w:p>
    <w:p w:rsidR="00D0718A" w:rsidRDefault="00D0718A" w:rsidP="00D0718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  <w:t>CZ70890692</w:t>
      </w:r>
    </w:p>
    <w:p w:rsidR="00D0718A" w:rsidRDefault="00D0718A" w:rsidP="00D0718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bankovní spojení:</w:t>
      </w:r>
      <w:r>
        <w:rPr>
          <w:rFonts w:ascii="Tahoma" w:hAnsi="Tahoma" w:cs="Tahoma"/>
          <w:sz w:val="20"/>
          <w:szCs w:val="20"/>
        </w:rPr>
        <w:tab/>
        <w:t>Česká spořitelna, a.s.</w:t>
      </w:r>
    </w:p>
    <w:p w:rsidR="00D0718A" w:rsidRDefault="00D0718A" w:rsidP="00D0718A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č. ú.:</w:t>
      </w:r>
      <w:r>
        <w:rPr>
          <w:rFonts w:ascii="Tahoma" w:hAnsi="Tahoma" w:cs="Tahoma"/>
          <w:sz w:val="20"/>
          <w:szCs w:val="20"/>
        </w:rPr>
        <w:tab/>
        <w:t>1650676349/0800</w:t>
      </w:r>
    </w:p>
    <w:p w:rsidR="00D0718A" w:rsidRDefault="00D0718A" w:rsidP="00D0718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„poskytovatel“)</w:t>
      </w:r>
    </w:p>
    <w:p w:rsidR="00D0718A" w:rsidRDefault="00D0718A" w:rsidP="00D0718A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D0718A" w:rsidRPr="000D4549" w:rsidRDefault="00D0718A" w:rsidP="00D0718A">
      <w:pPr>
        <w:pStyle w:val="Nadpis1"/>
        <w:numPr>
          <w:ilvl w:val="0"/>
          <w:numId w:val="13"/>
        </w:numPr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HAZARD – country dance club</w:t>
      </w:r>
      <w:r w:rsidRPr="000D4549">
        <w:rPr>
          <w:rFonts w:ascii="Tahoma" w:hAnsi="Tahoma" w:cs="Tahoma"/>
          <w:sz w:val="20"/>
          <w:szCs w:val="20"/>
        </w:rPr>
        <w:t xml:space="preserve"> </w:t>
      </w:r>
    </w:p>
    <w:p w:rsidR="00D0718A" w:rsidRDefault="00D0718A" w:rsidP="00D0718A">
      <w:pPr>
        <w:tabs>
          <w:tab w:val="left" w:pos="2552"/>
        </w:tabs>
        <w:spacing w:before="6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  <w:t>Hlavní tř. 591, 708 00 Ostrava-Poruba</w:t>
      </w:r>
    </w:p>
    <w:p w:rsidR="00D0718A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  <w:t>Ing. Evou Faruzelovou, uměleckou a org. vedoucí</w:t>
      </w:r>
    </w:p>
    <w:p w:rsidR="00D0718A" w:rsidRPr="00BF497C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ab/>
        <w:t>Veronikou Tešlovou, vedoucí staršího souboru</w:t>
      </w:r>
    </w:p>
    <w:p w:rsidR="00D0718A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  <w:t>68917074</w:t>
      </w:r>
    </w:p>
    <w:p w:rsidR="00D0718A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  <w:t>CZ68917074</w:t>
      </w:r>
    </w:p>
    <w:p w:rsidR="00D0718A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r>
        <w:rPr>
          <w:rFonts w:ascii="Tahoma" w:hAnsi="Tahoma" w:cs="Tahoma"/>
          <w:sz w:val="20"/>
        </w:rPr>
        <w:tab/>
        <w:t>ČSOB, a.s.</w:t>
      </w:r>
    </w:p>
    <w:p w:rsidR="00D0718A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č. ú.:</w:t>
      </w:r>
      <w:r>
        <w:rPr>
          <w:rFonts w:ascii="Tahoma" w:hAnsi="Tahoma" w:cs="Tahoma"/>
          <w:sz w:val="20"/>
        </w:rPr>
        <w:tab/>
        <w:t>155600473/0300</w:t>
      </w:r>
    </w:p>
    <w:p w:rsidR="00D0718A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D0718A" w:rsidRDefault="00D0718A" w:rsidP="00D071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USTANOVENÍ</w:t>
      </w:r>
    </w:p>
    <w:p w:rsidR="00D0718A" w:rsidRDefault="00D0718A" w:rsidP="00D0718A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Dotace je ve smyslu zákona č. 320/2001 Sb., o finanční kontrole ve veřejné správě a o změně některých zákonů (zákon o finanční kontrole), ve znění pozdějších předpisů (dále jen „zákon o finanční kontrole“), veřejnou finanční podporou a vztahují se na ni ustanovení tohoto zákona.</w:t>
      </w:r>
    </w:p>
    <w:p w:rsidR="00D0718A" w:rsidRDefault="00D0718A" w:rsidP="00D0718A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 pro právní vztah založený touto smlouvou jsou stejně jako ustanovení této smlouvy právně závazná ustanovení obsažená ve vyhlášeném dotačním programu </w:t>
      </w:r>
      <w:r w:rsidRPr="000B2E74">
        <w:rPr>
          <w:rFonts w:ascii="Tahoma" w:hAnsi="Tahoma" w:cs="Tahoma"/>
          <w:b w:val="0"/>
          <w:bCs w:val="0"/>
          <w:sz w:val="20"/>
          <w:szCs w:val="20"/>
        </w:rPr>
        <w:t>Podpora aktivit v oblastech využití volného času dětí a mládeže a celoživotního vzdělávání osob se zdravotním postižením pro rok 2015 (dále jen „Dotační program“), o jehož vyhlášení rozhodla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rada kraje svým usnesením č. 55/4257 ze dne 4. 11. 2014.</w:t>
      </w:r>
    </w:p>
    <w:p w:rsidR="00D0718A" w:rsidRDefault="00D0718A" w:rsidP="00D0718A">
      <w:pPr>
        <w:pStyle w:val="Zkladntext"/>
        <w:numPr>
          <w:ilvl w:val="0"/>
          <w:numId w:val="8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Neoprávněné použití dotace nebo zadržení prostředků poskytnutých z rozpočtu poskytovatele je porušením rozpočtové kázně podle § 22 zákona č. 250/2000 Sb., o rozpočtových pravidlech územních rozpočtů, ve znění pozdějších předpisů (dále jen „zákon č. 250/2000 Sb.“). V případě porušení rozpočtové kázně bude postupováno dle zákona č. 250/2000 Sb.</w:t>
      </w:r>
    </w:p>
    <w:p w:rsidR="00D0718A" w:rsidRPr="00251657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III.</w:t>
      </w:r>
    </w:p>
    <w:p w:rsidR="00D0718A" w:rsidRDefault="00D0718A" w:rsidP="00D0718A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PŘEDMĚT SMLOUVY</w:t>
      </w:r>
    </w:p>
    <w:p w:rsidR="00D0718A" w:rsidRDefault="00D0718A" w:rsidP="00D0718A">
      <w:pPr>
        <w:pStyle w:val="Zkladntext"/>
        <w:numPr>
          <w:ilvl w:val="0"/>
          <w:numId w:val="3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 užít v souladu s jejím účelovým určením a za podmínek stanovených touto smlouvou.</w:t>
      </w:r>
    </w:p>
    <w:p w:rsidR="00D0718A" w:rsidRPr="00251657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lastRenderedPageBreak/>
        <w:t>IV.</w:t>
      </w:r>
    </w:p>
    <w:p w:rsidR="00D0718A" w:rsidRDefault="00D0718A" w:rsidP="00D0718A">
      <w:pPr>
        <w:pStyle w:val="Zkladntex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ÚČELOVÉ URČENÍ A VÝŠE DOTACE</w:t>
      </w:r>
    </w:p>
    <w:p w:rsidR="00D0718A" w:rsidRDefault="00D0718A" w:rsidP="00D0718A">
      <w:pPr>
        <w:pStyle w:val="Zkladntex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smlouvy poskytne příjemci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neinvestiční</w:t>
      </w: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dotaci v maximální výši </w:t>
      </w:r>
      <w:r>
        <w:rPr>
          <w:rFonts w:ascii="Tahoma" w:hAnsi="Tahoma" w:cs="Tahoma"/>
          <w:sz w:val="20"/>
          <w:szCs w:val="20"/>
        </w:rPr>
        <w:t>9,52</w:t>
      </w:r>
      <w:r w:rsidRPr="000D4549">
        <w:rPr>
          <w:rFonts w:ascii="Tahoma" w:hAnsi="Tahoma" w:cs="Tahoma"/>
          <w:bCs w:val="0"/>
          <w:sz w:val="20"/>
          <w:szCs w:val="20"/>
        </w:rPr>
        <w:t xml:space="preserve">%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celkových skutečně vynaložených uznatelných nákladů na realizaci projektu </w:t>
      </w:r>
      <w:r w:rsidRPr="000D4549">
        <w:rPr>
          <w:rFonts w:ascii="Tahoma" w:hAnsi="Tahoma" w:cs="Tahoma"/>
          <w:bCs w:val="0"/>
          <w:sz w:val="20"/>
          <w:szCs w:val="20"/>
        </w:rPr>
        <w:t>„</w:t>
      </w:r>
      <w:r w:rsidRPr="000E4D12">
        <w:rPr>
          <w:rFonts w:ascii="Tahoma" w:hAnsi="Tahoma" w:cs="Tahoma"/>
          <w:sz w:val="18"/>
          <w:szCs w:val="18"/>
        </w:rPr>
        <w:t>Podpora klubové činnosti v roce 2015</w:t>
      </w:r>
      <w:r w:rsidRPr="000D4549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maximálně však ve výši </w:t>
      </w:r>
      <w:r>
        <w:rPr>
          <w:rFonts w:ascii="Tahoma" w:hAnsi="Tahoma" w:cs="Tahoma"/>
          <w:bCs w:val="0"/>
          <w:sz w:val="20"/>
          <w:szCs w:val="20"/>
        </w:rPr>
        <w:t>Kč 100 000,--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(slovy jednostotisíckorun českých), účelově určenou k úhradě uznatelných nákladů projektu vymezených v čl. VI této smlouvy.</w:t>
      </w:r>
    </w:p>
    <w:p w:rsidR="00D0718A" w:rsidRDefault="00D0718A" w:rsidP="00D0718A">
      <w:pPr>
        <w:pStyle w:val="Zkladntext"/>
        <w:numPr>
          <w:ilvl w:val="0"/>
          <w:numId w:val="10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uznatelných nákladů uvedených a doložených v rámci závěrečného vyúčtování.</w:t>
      </w:r>
    </w:p>
    <w:p w:rsidR="00D0718A" w:rsidRDefault="00D0718A" w:rsidP="00D0718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 celkové předpokládané uznatelné náklady, procentní podíl dotace na těchto nákladech se nemění, tzn. příjemce obdrží 9,52% celkových skutečných uznatelných nákladů a konečná výše dotace se úměrně sníží.</w:t>
      </w:r>
    </w:p>
    <w:p w:rsidR="00D0718A" w:rsidRDefault="00D0718A" w:rsidP="00D0718A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Pokud celkové skutečné uznatelné náklady projektu překročí celkové předpokládané uznatelné náklady, konečná výše dotace se nezvyšuje a příjemce obdrží Kč 100 000,--.</w:t>
      </w:r>
    </w:p>
    <w:p w:rsidR="00D0718A" w:rsidRPr="00251657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251657">
        <w:rPr>
          <w:rFonts w:ascii="Tahoma" w:hAnsi="Tahoma" w:cs="Tahoma"/>
          <w:b/>
          <w:bCs/>
          <w:sz w:val="20"/>
          <w:szCs w:val="20"/>
        </w:rPr>
        <w:t>V.</w:t>
      </w:r>
    </w:p>
    <w:p w:rsidR="00D0718A" w:rsidRDefault="00D0718A" w:rsidP="00D0718A">
      <w:pPr>
        <w:pStyle w:val="Zkladntext"/>
        <w:ind w:left="36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ZÁVAZKY SMLUVNÍCH STRAN</w:t>
      </w:r>
    </w:p>
    <w:p w:rsidR="00D0718A" w:rsidRPr="000D4549" w:rsidRDefault="00D0718A" w:rsidP="00D0718A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D4549">
        <w:rPr>
          <w:rFonts w:ascii="Tahoma" w:hAnsi="Tahoma" w:cs="Tahoma"/>
          <w:b w:val="0"/>
          <w:bCs w:val="0"/>
          <w:sz w:val="20"/>
          <w:szCs w:val="20"/>
        </w:rPr>
        <w:t>Poskytovatel se zavazuje poskytnout příjemci dotaci na projekt převodem na účet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3219AE">
        <w:rPr>
          <w:rFonts w:ascii="Tahoma" w:hAnsi="Tahoma" w:cs="Tahoma"/>
          <w:b w:val="0"/>
          <w:sz w:val="20"/>
          <w:szCs w:val="20"/>
        </w:rPr>
        <w:t>příjemce uvedený v čl. I této smlouvy</w:t>
      </w:r>
      <w:r>
        <w:rPr>
          <w:rFonts w:ascii="Tahoma" w:hAnsi="Tahoma" w:cs="Tahoma"/>
          <w:b w:val="0"/>
          <w:sz w:val="20"/>
          <w:szCs w:val="20"/>
        </w:rPr>
        <w:t>,</w:t>
      </w:r>
      <w:r w:rsidRPr="000D45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0D4549">
        <w:rPr>
          <w:rFonts w:ascii="Tahoma" w:hAnsi="Tahoma" w:cs="Tahoma"/>
          <w:b w:val="0"/>
          <w:bCs w:val="0"/>
          <w:iCs/>
          <w:sz w:val="20"/>
          <w:szCs w:val="20"/>
        </w:rPr>
        <w:t xml:space="preserve">jednorázovou úhradou ve výši Kč </w:t>
      </w:r>
      <w:r>
        <w:rPr>
          <w:rFonts w:ascii="Tahoma" w:hAnsi="Tahoma" w:cs="Tahoma"/>
          <w:b w:val="0"/>
          <w:bCs w:val="0"/>
          <w:iCs/>
          <w:sz w:val="20"/>
          <w:szCs w:val="20"/>
        </w:rPr>
        <w:t>100 000</w:t>
      </w:r>
      <w:r w:rsidRPr="000D4549">
        <w:rPr>
          <w:rFonts w:ascii="Tahoma" w:hAnsi="Tahoma" w:cs="Tahoma"/>
          <w:b w:val="0"/>
          <w:bCs w:val="0"/>
          <w:iCs/>
          <w:sz w:val="20"/>
          <w:szCs w:val="20"/>
        </w:rPr>
        <w:t xml:space="preserve">,-- (slovy </w:t>
      </w:r>
      <w:r>
        <w:rPr>
          <w:rFonts w:ascii="Tahoma" w:hAnsi="Tahoma" w:cs="Tahoma"/>
          <w:b w:val="0"/>
          <w:bCs w:val="0"/>
          <w:sz w:val="20"/>
          <w:szCs w:val="20"/>
        </w:rPr>
        <w:t>jednostotisíckorun</w:t>
      </w:r>
      <w:r w:rsidRPr="000D4549">
        <w:rPr>
          <w:rFonts w:ascii="Tahoma" w:hAnsi="Tahoma" w:cs="Tahoma"/>
          <w:b w:val="0"/>
          <w:bCs w:val="0"/>
          <w:iCs/>
          <w:sz w:val="20"/>
          <w:szCs w:val="20"/>
        </w:rPr>
        <w:t xml:space="preserve"> českých) ve lhůtě do 15 dnů ode dne nabytí účinnosti této smlouvy. </w:t>
      </w:r>
    </w:p>
    <w:p w:rsidR="00D0718A" w:rsidRPr="000D4549" w:rsidRDefault="00D0718A" w:rsidP="00D0718A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0D4549">
        <w:rPr>
          <w:rFonts w:ascii="Tahoma" w:hAnsi="Tahoma" w:cs="Tahoma"/>
          <w:b w:val="0"/>
          <w:bCs w:val="0"/>
          <w:sz w:val="20"/>
          <w:szCs w:val="20"/>
        </w:rPr>
        <w:t>Příjemce se zavazuje: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řídit se při použití a vyúčtování poskytnuté dotace touto smlouvou, podmínkami uvedenými v Dotačním programu a právními předpisy,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zrealizovat projekt vlastním jménem, na vlastní účet a na vlastní odpovědnost a naplnit účelové určení dle čl. IV této smlouvy,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použít poskytnutou dotaci v souladu s jejím účelovým určením dle čl. IV této smlouvy a pouze k úhradě uznatelných nákladů vymezených v čl. VI této smlouvy</w:t>
      </w:r>
      <w:r>
        <w:rPr>
          <w:rFonts w:ascii="Tahoma" w:hAnsi="Tahoma" w:cs="Tahoma"/>
          <w:bCs/>
          <w:sz w:val="20"/>
          <w:szCs w:val="20"/>
        </w:rPr>
        <w:t>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ukončit realizaci projektu nejpozději </w:t>
      </w:r>
      <w:r>
        <w:rPr>
          <w:rFonts w:ascii="Tahoma" w:hAnsi="Tahoma" w:cs="Tahoma"/>
          <w:b/>
          <w:sz w:val="20"/>
          <w:szCs w:val="20"/>
        </w:rPr>
        <w:t>do 31. 12. 2015</w:t>
      </w:r>
      <w:r>
        <w:rPr>
          <w:rFonts w:ascii="Tahoma" w:hAnsi="Tahoma" w:cs="Tahoma"/>
          <w:sz w:val="20"/>
          <w:szCs w:val="20"/>
        </w:rPr>
        <w:t>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nepřekročit stanovený 9,52</w:t>
      </w:r>
      <w:r>
        <w:rPr>
          <w:rFonts w:ascii="Tahoma" w:hAnsi="Tahoma" w:cs="Tahoma"/>
          <w:b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podíl poskytovatele na skutečně vynaložených uznatelných nákladech projektu,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vést oddělenou účetní evidenci celého realizovaného projektu, a to v členění na náklady financované z prostředků dotace a náklady financované z jiných zdrojů. Tato evidence musí být podložena účetními doklady ve smyslu zákona č. 563/1991 Sb., o účetnictví, ve znění pozdějších předpisů. Čestné prohlášení příjemce o vynaložení finančních prostředků v rámci uznatelných nákladů realizovaného projektu není považováno za účetní doklad,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označit originály všech účetních dokladů</w:t>
      </w:r>
      <w:r>
        <w:rPr>
          <w:rFonts w:ascii="Tahoma" w:hAnsi="Tahoma" w:cs="Tahoma"/>
          <w:sz w:val="20"/>
          <w:szCs w:val="20"/>
        </w:rPr>
        <w:t xml:space="preserve"> vztahujících se k projektu </w:t>
      </w:r>
      <w:r>
        <w:rPr>
          <w:rFonts w:ascii="Tahoma" w:hAnsi="Tahoma" w:cs="Tahoma"/>
          <w:b/>
          <w:sz w:val="20"/>
          <w:szCs w:val="20"/>
        </w:rPr>
        <w:t>názvem projektu</w:t>
      </w:r>
      <w:r>
        <w:rPr>
          <w:rFonts w:ascii="Tahoma" w:hAnsi="Tahoma" w:cs="Tahoma"/>
          <w:sz w:val="20"/>
          <w:szCs w:val="20"/>
        </w:rPr>
        <w:t xml:space="preserve">, nebo jiným označením, které projekt jasně identifikuje, u dokladů, k jejichž úhradě byla použita dotace, pak navíc uvést formulaci </w:t>
      </w:r>
      <w:r>
        <w:rPr>
          <w:rFonts w:ascii="Tahoma" w:hAnsi="Tahoma" w:cs="Tahoma"/>
          <w:b/>
          <w:sz w:val="20"/>
          <w:szCs w:val="20"/>
        </w:rPr>
        <w:t xml:space="preserve">„Financováno z rozpočtu MSK“, číslo smlouvy a výši použité dotace </w:t>
      </w:r>
      <w:r>
        <w:rPr>
          <w:rFonts w:ascii="Tahoma" w:hAnsi="Tahoma" w:cs="Tahoma"/>
          <w:sz w:val="20"/>
          <w:szCs w:val="20"/>
        </w:rPr>
        <w:t>v Kč,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 požádání umožnit poskytovateli nahlédnutí do všech účetních dokladů týkajících se projektu,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dodržet nákladový rozpočet, který tvoří přílohu č. 1 této smlouvy a je její nedílnou součástí. Od tohoto nákladového rozpočtu je možno se odchýlit jen následujícím způsobem:</w:t>
      </w:r>
    </w:p>
    <w:p w:rsidR="00D0718A" w:rsidRDefault="00D0718A" w:rsidP="00D0718A">
      <w:pPr>
        <w:pStyle w:val="Seznamsodrkami1"/>
        <w:tabs>
          <w:tab w:val="clear" w:pos="360"/>
          <w:tab w:val="clear" w:pos="1080"/>
          <w:tab w:val="left" w:pos="1072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 omezení provádět vzájemné finanční úpravy jednotlivých nákladových položek v rámci jednoho druhu uznatelného nákladu za předpokladu, že bude dodržena stanovená výše příslušného druhu uznatelného nákladu, stanovený procentuální podíl finanční spoluúčasti na celkových uznatelných nákladech projektu a změny nebudou mít vliv na stanovené účelové určení,</w:t>
      </w:r>
    </w:p>
    <w:p w:rsidR="00D0718A" w:rsidRDefault="00D0718A" w:rsidP="00D0718A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vzájemnými finančními úpravami jednotlivých nákladových druhů navýšit jednotlivý druh uznatelných nákladů (uvedený v nákladovém rozpočtu projektu) maximálně o 20 % z částky dotace přiznané na tento nákladový druh za předpokladu, že bude dodržena celková výše poskytnuté dotace. Stanovený procentuální podíl spoluúčasti dotace </w:t>
      </w:r>
      <w:r>
        <w:rPr>
          <w:rFonts w:ascii="Tahoma" w:hAnsi="Tahoma" w:cs="Tahoma"/>
          <w:sz w:val="20"/>
          <w:szCs w:val="20"/>
        </w:rPr>
        <w:lastRenderedPageBreak/>
        <w:t>na celkových uznatelných nákladech projektu a provedené změny nebudou mít vliv na účelové určení; na snižování uznatelných nákladů v jednotlivých nákladových druzích se omezení nevztahuje,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předložit poskytovateli na předepsaných formulářích závěrečné vyúčtování celého realizovaného projektu včetně:</w:t>
      </w:r>
    </w:p>
    <w:p w:rsidR="00D0718A" w:rsidRDefault="00D0718A" w:rsidP="00D0718A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:rsidR="00D0718A" w:rsidRDefault="00D0718A" w:rsidP="00D0718A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 k uznatelným nákladům projektu včetně uvedení obsahu jednotlivých účetních dokladů,</w:t>
      </w:r>
    </w:p>
    <w:p w:rsidR="00D0718A" w:rsidRDefault="00D0718A" w:rsidP="00D0718A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kopií účetních dokladů týkajících se dotace včetně dokladů o jejich úhradě (v případě nesrovnalostí může být příjemce vyzván k předložení kopií účetních dokladů týkajících se ostatních uznatelných nákladů projektu),</w:t>
      </w:r>
    </w:p>
    <w:p w:rsidR="00D0718A" w:rsidRDefault="00D0718A" w:rsidP="00D0718A">
      <w:pPr>
        <w:pStyle w:val="Seznamsodrkami1"/>
        <w:tabs>
          <w:tab w:val="clear" w:pos="360"/>
        </w:tabs>
        <w:spacing w:before="60"/>
        <w:ind w:left="107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jednat za příjemce o úplnosti, správnosti a pravdivosti závěrečného vyúčtování,</w:t>
      </w:r>
    </w:p>
    <w:p w:rsidR="00D0718A" w:rsidRDefault="00D0718A" w:rsidP="00D0718A">
      <w:pPr>
        <w:spacing w:before="6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to nejpozději </w:t>
      </w:r>
      <w:r>
        <w:rPr>
          <w:rFonts w:ascii="Tahoma" w:hAnsi="Tahoma" w:cs="Tahoma"/>
          <w:b/>
          <w:sz w:val="20"/>
          <w:szCs w:val="20"/>
        </w:rPr>
        <w:t>do 20. 1. 2016 včetně</w:t>
      </w:r>
      <w:r>
        <w:rPr>
          <w:rFonts w:ascii="Tahoma" w:hAnsi="Tahoma" w:cs="Tahoma"/>
          <w:sz w:val="20"/>
          <w:szCs w:val="20"/>
        </w:rPr>
        <w:t>. Závěrečné vyúčtování se považuje za předložené poskytovateli dnem jeho předání k přepravě provozovateli poštovních služeb nebo podáním na podatelně krajského úřadu.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vrátit nevyčerpané finanční prostředky poskytnuté dotace, jsou-li vyšší než Kč 10,--, zpět na účet poskytovatele, a to do 27. 1. 2015. Rozhodným okamžikem vrácení nevyčerpaných finančních prostředků dotace zpět na účet poskytovatele je den jejich odepsání z účtu příjemce,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realizaci projektu nezahájí nebo ji přeruší z důvodů, že projekt nebude dále uskutečňovat, do 7 kalendářních dnů ohlásit tuto skutečnost administrátorovi písemně nebo ústně do písemného protokolu a následně vrátit dotaci zpět na účet poskytovatele v plně poskytnuté výši do 7 kalendářních dnů ode dne ohlášení, nejpozději však do 7 kalendářních dnů ode dne, kdy byl toto ohlášení povinen učinit. Rozhodným okamžikem vrácení finančních prostředků dotace zpět na účet poskytovatele je den jejich odepsání z účtu příjemce,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v souladu s právními předpisy uschovat originály všech účetních dokladů vztahujících se k projektu,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umožnit poskytovateli v souladu se zákonem o 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 místě bude dle pokynu poskytovatele provedena v </w:t>
      </w:r>
      <w:r>
        <w:rPr>
          <w:rFonts w:ascii="Tahoma" w:hAnsi="Tahoma" w:cs="Tahoma"/>
          <w:iCs/>
          <w:sz w:val="20"/>
          <w:szCs w:val="20"/>
        </w:rPr>
        <w:t>sídle</w:t>
      </w:r>
      <w:r>
        <w:rPr>
          <w:rFonts w:ascii="Tahoma" w:hAnsi="Tahoma" w:cs="Tahoma"/>
          <w:sz w:val="20"/>
          <w:szCs w:val="20"/>
        </w:rPr>
        <w:t xml:space="preserve"> příjemce, v místě realizace projektu nebo v sídle poskytovatele,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při peněžních operacích dle písm. k) a l) tohoto odstavce smlouvy převádět peněžní prostředky na účet poskytovatele uvedený v čl. I této smlouvy a při těchto peněžních operacích vždy uvádět </w:t>
      </w:r>
      <w:r>
        <w:rPr>
          <w:rFonts w:ascii="Tahoma" w:hAnsi="Tahoma" w:cs="Tahoma"/>
          <w:b/>
          <w:sz w:val="20"/>
          <w:szCs w:val="20"/>
        </w:rPr>
        <w:t xml:space="preserve">variabilní symbol </w:t>
      </w:r>
      <w:r>
        <w:rPr>
          <w:rFonts w:ascii="Tahoma" w:hAnsi="Tahoma" w:cs="Tahoma"/>
          <w:b/>
          <w:sz w:val="20"/>
        </w:rPr>
        <w:t>1533207676</w:t>
      </w:r>
      <w:r>
        <w:rPr>
          <w:rFonts w:ascii="Tahoma" w:hAnsi="Tahoma" w:cs="Tahoma"/>
          <w:sz w:val="20"/>
          <w:szCs w:val="20"/>
        </w:rPr>
        <w:t>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nepřevést realizaci projektu ani poskytnutou dotaci na jiný právní subjekt,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 dobu 3 let od ukončení realizace projektu nezcizit drobný dlouhodobý nehmotný a hmotný majetek pořízený z prostředků získaných z dotace poskytnuté na základě této smlouvy,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neprodleně, nejpozději však do 7 kalendářních dnů, informovat poskytovatele o všech změnách souvisejících s čerpáním poskytnuté dotace, realizací projektu či identifikačními údaji příjemce. V případě změny účtu je příjemce povinen rovněž doložit vlastnictví k účtu, a to kopií příslušné smlouvy nebo potvrzením peněžního ústavu. Z důvodu změn identifikačních údajů smluvních stran či změny účtu není nutné uzavírat ke smlouvě dodatek,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dodržovat podmínky povinné publicity stanovené v čl. VII této smlouvy.</w:t>
      </w:r>
    </w:p>
    <w:p w:rsidR="00D0718A" w:rsidRDefault="00D0718A" w:rsidP="00D0718A">
      <w:pPr>
        <w:pStyle w:val="Zkladntext"/>
        <w:numPr>
          <w:ilvl w:val="0"/>
          <w:numId w:val="4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Za splnění podmínek stanovených v tomto odstavci je porušení povinností uvedených v odst. 2 písm. j), r) a s) považováno za porušení méně závažné povinnosti ve smyslu ust. § 22 odst. 5 zákona č. 250/2000 Sb. Odvod za tato porušení se stanoví následujícím procentním rozmezím:</w:t>
      </w:r>
    </w:p>
    <w:p w:rsidR="00D0718A" w:rsidRDefault="00D0718A" w:rsidP="00D0718A">
      <w:pPr>
        <w:keepNext/>
        <w:numPr>
          <w:ilvl w:val="1"/>
          <w:numId w:val="4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Předložení vyúčtování podle odst. 2 písm. j) po stanovené lhůtě:</w:t>
      </w:r>
    </w:p>
    <w:p w:rsidR="00D0718A" w:rsidRDefault="00D0718A" w:rsidP="00D0718A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 7 kalendářních dnů</w:t>
      </w:r>
      <w:r>
        <w:rPr>
          <w:rFonts w:ascii="Tahoma" w:hAnsi="Tahoma" w:cs="Tahoma"/>
          <w:bCs/>
          <w:sz w:val="20"/>
          <w:szCs w:val="20"/>
        </w:rPr>
        <w:tab/>
        <w:t>5 %poskytnuté dotace</w:t>
      </w:r>
    </w:p>
    <w:p w:rsidR="00D0718A" w:rsidRDefault="00D0718A" w:rsidP="00D0718A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8 do 30 kalendářních dnů</w:t>
      </w:r>
      <w:r>
        <w:rPr>
          <w:rFonts w:ascii="Tahoma" w:hAnsi="Tahoma" w:cs="Tahoma"/>
          <w:bCs/>
          <w:sz w:val="20"/>
          <w:szCs w:val="20"/>
        </w:rPr>
        <w:tab/>
        <w:t>10 % poskytnuté dotace</w:t>
      </w:r>
    </w:p>
    <w:p w:rsidR="00D0718A" w:rsidRDefault="00D0718A" w:rsidP="00D0718A">
      <w:pPr>
        <w:tabs>
          <w:tab w:val="left" w:pos="6237"/>
        </w:tabs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 31 do 50 kalendářních dnů</w:t>
      </w:r>
      <w:r>
        <w:rPr>
          <w:rFonts w:ascii="Tahoma" w:hAnsi="Tahoma" w:cs="Tahoma"/>
          <w:bCs/>
          <w:sz w:val="20"/>
          <w:szCs w:val="20"/>
        </w:rPr>
        <w:tab/>
        <w:t>20 % poskytnuté dotace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  <w:tab w:val="left" w:pos="6237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povinnosti stanovené v odst. 2 písm. r)</w:t>
      </w:r>
      <w:r>
        <w:rPr>
          <w:rFonts w:ascii="Tahoma" w:hAnsi="Tahoma" w:cs="Tahoma"/>
          <w:bCs/>
          <w:sz w:val="20"/>
          <w:szCs w:val="20"/>
        </w:rPr>
        <w:tab/>
        <w:t>2 % poskytnuté dotace</w:t>
      </w:r>
    </w:p>
    <w:p w:rsidR="00D0718A" w:rsidRDefault="00D0718A" w:rsidP="00D0718A">
      <w:pPr>
        <w:numPr>
          <w:ilvl w:val="1"/>
          <w:numId w:val="4"/>
        </w:numPr>
        <w:tabs>
          <w:tab w:val="clear" w:pos="1440"/>
          <w:tab w:val="left" w:pos="720"/>
          <w:tab w:val="left" w:pos="6237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Porušení každé povinnosti stanovené v odst. 2 písm. s)</w:t>
      </w:r>
      <w:r>
        <w:rPr>
          <w:rFonts w:ascii="Tahoma" w:hAnsi="Tahoma" w:cs="Tahoma"/>
          <w:bCs/>
          <w:sz w:val="20"/>
          <w:szCs w:val="20"/>
        </w:rPr>
        <w:tab/>
        <w:t>5 % poskytnuté dotace</w:t>
      </w:r>
    </w:p>
    <w:p w:rsidR="00D0718A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0718A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</w:t>
      </w:r>
    </w:p>
    <w:p w:rsidR="00D0718A" w:rsidRDefault="00D0718A" w:rsidP="00D071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UZNATELNÝ NÁKLAD</w:t>
      </w:r>
    </w:p>
    <w:p w:rsidR="00D0718A" w:rsidRDefault="00D0718A" w:rsidP="00D0718A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„Uznatelným nákladem“ je náklad, který splňuje všechny níže uvedené podmínky:</w:t>
      </w:r>
    </w:p>
    <w:p w:rsidR="00D0718A" w:rsidRDefault="00D0718A" w:rsidP="00D0718A">
      <w:pPr>
        <w:numPr>
          <w:ilvl w:val="1"/>
          <w:numId w:val="6"/>
        </w:numPr>
        <w:tabs>
          <w:tab w:val="clear" w:pos="144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  <w:szCs w:val="20"/>
        </w:rPr>
        <w:t>od 1. 1. 2015 do 31. 12. 2015</w:t>
      </w:r>
      <w:r>
        <w:rPr>
          <w:rFonts w:ascii="Tahoma" w:hAnsi="Tahoma" w:cs="Tahoma"/>
          <w:sz w:val="20"/>
          <w:szCs w:val="20"/>
        </w:rPr>
        <w:t>, u nákladů na energie a osobních nákladů se uplatní výjimka dle čl. VII. odst. 2 písm. d) a h) podmínek Dotačního programu,</w:t>
      </w:r>
    </w:p>
    <w:p w:rsidR="00D0718A" w:rsidRDefault="00D0718A" w:rsidP="00D0718A">
      <w:pPr>
        <w:numPr>
          <w:ilvl w:val="1"/>
          <w:numId w:val="6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byl vynaložen v souladu s účelovým určením dle čl. IV této smlouvy, ostatními podmínkami této smlouvy a podmínkami Dotačního programu,</w:t>
      </w:r>
    </w:p>
    <w:p w:rsidR="00D0718A" w:rsidRPr="00884CB2" w:rsidRDefault="00D0718A" w:rsidP="00D0718A">
      <w:pPr>
        <w:numPr>
          <w:ilvl w:val="1"/>
          <w:numId w:val="6"/>
        </w:numPr>
        <w:tabs>
          <w:tab w:val="clear" w:pos="1440"/>
          <w:tab w:val="left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84CB2">
        <w:rPr>
          <w:rFonts w:ascii="Tahoma" w:hAnsi="Tahoma" w:cs="Tahoma"/>
          <w:sz w:val="20"/>
          <w:szCs w:val="20"/>
        </w:rPr>
        <w:t>vyhovuje zásadám účelnosti, efektivnosti a hospodárnosti dle zákona o finanční kontrole a</w:t>
      </w:r>
      <w:r>
        <w:rPr>
          <w:rFonts w:ascii="Tahoma" w:hAnsi="Tahoma" w:cs="Tahoma"/>
          <w:sz w:val="20"/>
          <w:szCs w:val="20"/>
        </w:rPr>
        <w:t> </w:t>
      </w:r>
      <w:r w:rsidRPr="00884CB2">
        <w:rPr>
          <w:rFonts w:ascii="Tahoma" w:hAnsi="Tahoma" w:cs="Tahoma"/>
          <w:sz w:val="20"/>
          <w:szCs w:val="20"/>
        </w:rPr>
        <w:t>je uveden v nákladovém rozpočtu projektu, který je přílohou č. 1 této smlouvy.</w:t>
      </w:r>
    </w:p>
    <w:p w:rsidR="00D0718A" w:rsidRDefault="00D0718A" w:rsidP="00D0718A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Daň z přidané hodnoty vztahující se k uznatelným nákladům je uznatelným nákladem, pokud příjemce není plátcem této daně nebo pokud mu nevzniká nárok na odpočet této daně.</w:t>
      </w:r>
    </w:p>
    <w:p w:rsidR="00D0718A" w:rsidRDefault="00D0718A" w:rsidP="00D0718A">
      <w:pPr>
        <w:numPr>
          <w:ilvl w:val="0"/>
          <w:numId w:val="6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ostatní náklady vynaložené příjemcem jsou považovány za náklady neuznatelné.</w:t>
      </w:r>
    </w:p>
    <w:p w:rsidR="00D0718A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VII.</w:t>
      </w:r>
    </w:p>
    <w:p w:rsidR="00D0718A" w:rsidRDefault="00D0718A" w:rsidP="00D071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POVINNÁ PUBLICITA</w:t>
      </w:r>
    </w:p>
    <w:p w:rsidR="00D0718A" w:rsidRDefault="00D0718A" w:rsidP="00D0718A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souhlasí se zveřejněním svého jména, adresy, firmy, sídla dotačního titulu a výše poskytnuté dotace. Poskytovatel uděluje příjemci souhlas s užíváním loga Moravskoslezského kraje pro účely a v rozsahu této smlouvy. Podmínky užití loga jsou uvedeny v Manuálu jednotného vizuálního stylu Moravskoslezského kraje, který je dostupný na:</w:t>
      </w:r>
    </w:p>
    <w:p w:rsidR="00D0718A" w:rsidRPr="00F41ABD" w:rsidRDefault="00926AC1" w:rsidP="00D0718A">
      <w:pPr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hyperlink r:id="rId9" w:history="1">
        <w:r w:rsidR="00D0718A" w:rsidRPr="00F41ABD">
          <w:rPr>
            <w:rStyle w:val="Hypertextovodkaz"/>
            <w:rFonts w:ascii="Tahoma" w:hAnsi="Tahoma" w:cs="Tahoma"/>
            <w:sz w:val="20"/>
            <w:szCs w:val="20"/>
          </w:rPr>
          <w:t>http://verejna-sprava.kr-moravskoslezsky.cz/assets/samosprava/graficky_manual.pdf</w:t>
        </w:r>
      </w:hyperlink>
    </w:p>
    <w:p w:rsidR="00D0718A" w:rsidRDefault="00D0718A" w:rsidP="00D0718A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se zavazuje k tomu, že v průběhu realizace projektu, bude prokazatelným a vhodným způsobem prezentovat Moravskoslezský kraj, a to v tomto rozsahu:</w:t>
      </w:r>
    </w:p>
    <w:p w:rsidR="00D0718A" w:rsidRDefault="00D0718A" w:rsidP="00D0718A">
      <w:pPr>
        <w:numPr>
          <w:ilvl w:val="0"/>
          <w:numId w:val="5"/>
        </w:numPr>
        <w:tabs>
          <w:tab w:val="clear" w:pos="723"/>
          <w:tab w:val="num" w:pos="714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webových stránkách umístit logo Moravskoslezského kraje buď v sekci partneři, nebo přímo u podporované akce,</w:t>
      </w:r>
    </w:p>
    <w:p w:rsidR="00D0718A" w:rsidRDefault="00D0718A" w:rsidP="00D0718A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informovat veřejnost o poskytnutí dotace Moravskoslezským krajem na svých webových stránkách,</w:t>
      </w:r>
    </w:p>
    <w:p w:rsidR="00D0718A" w:rsidRDefault="00D0718A" w:rsidP="00D0718A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 všech pozvánkách, plakátech, poutačích, katalozích a podobných nosičích reklamy použít logo Moravskoslezského kraje,</w:t>
      </w:r>
    </w:p>
    <w:p w:rsidR="00D0718A" w:rsidRDefault="00D0718A" w:rsidP="00D0718A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instalovat v prostorách realizace projektu logo Moravskoslezského kraje,</w:t>
      </w:r>
    </w:p>
    <w:p w:rsidR="00D0718A" w:rsidRDefault="00D0718A" w:rsidP="00D0718A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viditelně uvádět na všech písemnostech, které souvisejí s realizací projektu a při všech formách jeho propagace viditelně logo Moravskoslezského kraje a skutečnost, že jde o aktivitu nebo službu, která byla podpořena poskytovatelem,</w:t>
      </w:r>
    </w:p>
    <w:p w:rsidR="00D0718A" w:rsidRPr="008D7DDD" w:rsidRDefault="00D0718A" w:rsidP="00D0718A">
      <w:pPr>
        <w:numPr>
          <w:ilvl w:val="0"/>
          <w:numId w:val="5"/>
        </w:numPr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8D7DDD">
        <w:rPr>
          <w:rFonts w:ascii="Tahoma" w:hAnsi="Tahoma" w:cs="Tahoma"/>
          <w:iCs/>
          <w:sz w:val="20"/>
          <w:szCs w:val="20"/>
        </w:rPr>
        <w:t>zajistit fotodokumentaci podpořeného projektu.</w:t>
      </w:r>
    </w:p>
    <w:p w:rsidR="00D0718A" w:rsidRDefault="00D0718A" w:rsidP="00D0718A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 dotace je povinen doložit způsob prezentace Moravskoslezského kraje (např. fotodokumentací, případně na CD nebo DVD nosiči) a to jako povinnou součást závěrečného vyúčtování celého realizovaného projektu.</w:t>
      </w:r>
    </w:p>
    <w:p w:rsidR="00D0718A" w:rsidRDefault="00D0718A" w:rsidP="00D0718A">
      <w:pPr>
        <w:numPr>
          <w:ilvl w:val="0"/>
          <w:numId w:val="7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Veškeré náklady, které příjemce vynaloží na splnění povinností stanovených v tomto článku smlouvy, hradí příjemce.</w:t>
      </w:r>
    </w:p>
    <w:p w:rsidR="007700AE" w:rsidRDefault="007700AE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700AE" w:rsidRDefault="007700AE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0718A" w:rsidRDefault="00D0718A" w:rsidP="00D0718A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VIII.</w:t>
      </w:r>
    </w:p>
    <w:p w:rsidR="00D0718A" w:rsidRDefault="00D0718A" w:rsidP="00D0718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D0718A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Poskytovatel si vyhrazuje právo odstoupit od této smlouvy v případě, že příjemce poruší rozpočtovou kázeň a poskytovatel má podle této smlouvy ještě povinnost poskytnout příjemci další finanční plnění.</w:t>
      </w:r>
    </w:p>
    <w:p w:rsidR="00D0718A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případě, že poskytovatel odstoupí od smlouvy, je příjemce povinen přijatou dotaci vrátit zpět na účet poskytovatele, a to v plně poskytnuté výši.</w:t>
      </w:r>
    </w:p>
    <w:p w:rsidR="00D0718A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 dodatky této smlouvy označeny.</w:t>
      </w:r>
    </w:p>
    <w:p w:rsidR="00D0718A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Tato smlouva se vyhotovuje ve čtyřech stejnopisech s platností originálu, z nichž tři obdrží poskytovatel a jeden příjemce.</w:t>
      </w:r>
    </w:p>
    <w:p w:rsidR="00D0718A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Nedílnou součástí této smlouvy je nákladový rozpočet projektu, který tvoří přílohu č. 1 této smlouvy.</w:t>
      </w:r>
    </w:p>
    <w:p w:rsidR="00D0718A" w:rsidRPr="00366928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66928">
        <w:rPr>
          <w:rFonts w:ascii="Tahoma" w:hAnsi="Tahoma" w:cs="Tahoma"/>
          <w:sz w:val="20"/>
          <w:szCs w:val="20"/>
        </w:rPr>
        <w:t>Tato smlouva nabývá platnosti a účinnosti dnem, kdy vyjádření souhlasu s obsahem návrhu dojde druhé smluvní straně. Smluvní strany shodně prohlašují, že si smlouvu před jejím podpisem přečetly a že byla uzavřena po vzájemném projednání podle jejich pravé a svobodné vůle, určitě, vážně a srozumitelně, nikoliv v tísni za nápadně nevýhodných podmínek, a že se dohodly o celém jejím obsahu, což stvrzují svými podpisy.</w:t>
      </w:r>
    </w:p>
    <w:p w:rsidR="00D0718A" w:rsidRDefault="00D0718A" w:rsidP="00D0718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D7DDD">
        <w:rPr>
          <w:rFonts w:ascii="Tahoma" w:hAnsi="Tahoma" w:cs="Tahoma"/>
          <w:sz w:val="20"/>
          <w:szCs w:val="20"/>
        </w:rPr>
        <w:t>Doložka platnosti právního jednání dle § 23 zákona č. 129/2000 Sb., o krajích (krajské zřízení),</w:t>
      </w:r>
      <w:r>
        <w:rPr>
          <w:rFonts w:ascii="Tahoma" w:hAnsi="Tahoma" w:cs="Tahoma"/>
          <w:sz w:val="20"/>
          <w:szCs w:val="20"/>
        </w:rPr>
        <w:t xml:space="preserve"> ve znění pozdějších předpisů:</w:t>
      </w:r>
    </w:p>
    <w:p w:rsidR="00D0718A" w:rsidRDefault="00D0718A" w:rsidP="00D0718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 poskytnutí dotace a uzavření této smlouvy rozhodlo zastupitelstvo kraje svým usnesením č. 13/1121 </w:t>
      </w:r>
      <w:r>
        <w:rPr>
          <w:rFonts w:ascii="Tahoma" w:hAnsi="Tahoma" w:cs="Tahoma"/>
          <w:iCs/>
          <w:sz w:val="20"/>
          <w:szCs w:val="20"/>
        </w:rPr>
        <w:t>ze </w:t>
      </w:r>
      <w:r>
        <w:rPr>
          <w:rFonts w:ascii="Tahoma" w:hAnsi="Tahoma" w:cs="Tahoma"/>
          <w:sz w:val="20"/>
          <w:szCs w:val="20"/>
        </w:rPr>
        <w:t>dne 5. 3. 2015.</w:t>
      </w:r>
    </w:p>
    <w:p w:rsidR="00D0718A" w:rsidRDefault="00D0718A" w:rsidP="00D0718A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D0718A" w:rsidRDefault="00D0718A" w:rsidP="00D0718A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D0718A" w:rsidRDefault="00D0718A" w:rsidP="00D0718A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Ostravě dne …………………</w:t>
      </w:r>
      <w:r>
        <w:rPr>
          <w:rFonts w:ascii="Tahoma" w:hAnsi="Tahoma" w:cs="Tahoma"/>
          <w:sz w:val="20"/>
          <w:szCs w:val="20"/>
        </w:rPr>
        <w:tab/>
        <w:t>V …………………… dne …………………</w:t>
      </w:r>
    </w:p>
    <w:p w:rsidR="00D0718A" w:rsidRDefault="00D0718A" w:rsidP="00D0718A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D0718A" w:rsidRDefault="00D0718A" w:rsidP="00D0718A">
      <w:pPr>
        <w:tabs>
          <w:tab w:val="left" w:pos="5954"/>
        </w:tabs>
        <w:spacing w:before="480"/>
        <w:jc w:val="both"/>
        <w:rPr>
          <w:rFonts w:ascii="Tahoma" w:hAnsi="Tahoma" w:cs="Tahoma"/>
          <w:sz w:val="20"/>
          <w:szCs w:val="20"/>
        </w:rPr>
      </w:pPr>
    </w:p>
    <w:p w:rsidR="00D0718A" w:rsidRDefault="00D0718A" w:rsidP="00D0718A">
      <w:pPr>
        <w:tabs>
          <w:tab w:val="left" w:pos="5954"/>
        </w:tabs>
        <w:spacing w:before="9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                                               ____________________________</w:t>
      </w:r>
    </w:p>
    <w:p w:rsidR="00D0718A" w:rsidRDefault="00D0718A" w:rsidP="00D0718A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za poskytovatele                                                                    za příjemce</w:t>
      </w:r>
    </w:p>
    <w:p w:rsidR="00D0718A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                    Ing. Ev</w:t>
      </w:r>
      <w:r w:rsidR="007700AE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Faruzelová, umělecká a org. vedoucí</w:t>
      </w:r>
    </w:p>
    <w:p w:rsidR="00D0718A" w:rsidRPr="00BF497C" w:rsidRDefault="00D0718A" w:rsidP="00D0718A">
      <w:pPr>
        <w:tabs>
          <w:tab w:val="left" w:pos="2552"/>
        </w:tabs>
        <w:ind w:left="360"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sz w:val="20"/>
        </w:rPr>
        <w:tab/>
        <w:t xml:space="preserve">                                    Veronik</w:t>
      </w:r>
      <w:r w:rsidR="007700AE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 xml:space="preserve"> Tešlová, hospodář a vedoucí staršího                                                                                                   souboru</w:t>
      </w:r>
    </w:p>
    <w:p w:rsidR="00D0718A" w:rsidRDefault="00D0718A" w:rsidP="00D0718A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  <w:szCs w:val="20"/>
        </w:rPr>
      </w:pPr>
    </w:p>
    <w:p w:rsidR="00207628" w:rsidRDefault="00207628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  <w:sectPr w:rsidR="00207628" w:rsidSect="00207628">
          <w:footerReference w:type="default" r:id="rId10"/>
          <w:pgSz w:w="11906" w:h="16838"/>
          <w:pgMar w:top="1259" w:right="1418" w:bottom="1418" w:left="1418" w:header="720" w:footer="720" w:gutter="0"/>
          <w:cols w:space="708"/>
          <w:docGrid w:linePitch="360"/>
        </w:sect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5984"/>
        <w:gridCol w:w="2396"/>
        <w:gridCol w:w="2456"/>
        <w:gridCol w:w="1856"/>
      </w:tblGrid>
      <w:tr w:rsidR="00C20620" w:rsidRPr="00C20620" w:rsidTr="00C20620">
        <w:trPr>
          <w:trHeight w:val="375"/>
        </w:trPr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Příloha č. 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</w:tr>
      <w:tr w:rsidR="00C20620" w:rsidRPr="00C20620" w:rsidTr="00C20620">
        <w:trPr>
          <w:trHeight w:val="420"/>
        </w:trPr>
        <w:tc>
          <w:tcPr>
            <w:tcW w:w="1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  <w:r w:rsidRPr="00C20620">
              <w:rPr>
                <w:rFonts w:ascii="Tahoma" w:hAnsi="Tahoma" w:cs="Tahoma"/>
                <w:sz w:val="32"/>
                <w:szCs w:val="32"/>
                <w:lang w:eastAsia="cs-CZ"/>
              </w:rPr>
              <w:t>Nákladový rozpočet projektu - Uznatelné neinvestiční náklady/výdaje</w:t>
            </w:r>
          </w:p>
        </w:tc>
      </w:tr>
      <w:tr w:rsidR="00C20620" w:rsidRPr="00C20620" w:rsidTr="00C20620">
        <w:trPr>
          <w:trHeight w:val="18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cs-CZ"/>
              </w:rPr>
            </w:pPr>
          </w:p>
        </w:tc>
      </w:tr>
      <w:tr w:rsidR="00C20620" w:rsidRPr="00C20620" w:rsidTr="00C20620">
        <w:trPr>
          <w:trHeight w:val="270"/>
        </w:trPr>
        <w:tc>
          <w:tcPr>
            <w:tcW w:w="116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i/>
                <w:iCs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525"/>
        </w:trPr>
        <w:tc>
          <w:tcPr>
            <w:tcW w:w="679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Druh nákladu / výdaje</w:t>
            </w:r>
          </w:p>
        </w:tc>
        <w:tc>
          <w:tcPr>
            <w:tcW w:w="485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Celkové plánované uznatelné náklady/výdaje projektu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</w:tr>
      <w:tr w:rsidR="00C20620" w:rsidRPr="00C20620" w:rsidTr="00C20620">
        <w:trPr>
          <w:trHeight w:val="1260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Plánované uznatelné náklady/výdaje    (zaokrouhlené na celé stokoruny)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Požadovaná výše dotace      (zaokrouhlené na celé stokoruny)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Přiznaná výše dotace</w:t>
            </w:r>
          </w:p>
        </w:tc>
      </w:tr>
      <w:tr w:rsidR="00C20620" w:rsidRPr="00C20620" w:rsidTr="00C20620">
        <w:trPr>
          <w:trHeight w:val="270"/>
        </w:trPr>
        <w:tc>
          <w:tcPr>
            <w:tcW w:w="679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18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</w:tr>
      <w:tr w:rsidR="00C20620" w:rsidRPr="00C20620" w:rsidTr="00C20620">
        <w:trPr>
          <w:trHeight w:val="330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lang w:eastAsia="cs-CZ"/>
              </w:rPr>
            </w:pPr>
            <w:r w:rsidRPr="00C20620">
              <w:rPr>
                <w:rFonts w:ascii="Tahoma" w:hAnsi="Tahoma" w:cs="Tahoma"/>
                <w:lang w:eastAsia="cs-CZ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45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c</w:t>
            </w:r>
          </w:p>
        </w:tc>
      </w:tr>
      <w:tr w:rsidR="00C20620" w:rsidRPr="00C20620" w:rsidTr="00C20620">
        <w:trPr>
          <w:trHeight w:val="379"/>
        </w:trPr>
        <w:tc>
          <w:tcPr>
            <w:tcW w:w="67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1.   Spotřebované nákupy celkem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145 000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40 000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40 000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1.1   Spotřeba materiálu </w:t>
            </w:r>
          </w:p>
        </w:tc>
        <w:tc>
          <w:tcPr>
            <w:tcW w:w="239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145 000</w:t>
            </w:r>
          </w:p>
        </w:tc>
        <w:tc>
          <w:tcPr>
            <w:tcW w:w="245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1.1.1 kostýmy a doplňky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1.1.2 reprezentativní oděv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1.1.3 potraviny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65 000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1.2   Drobný dlouhodobý 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1.2.1</w:t>
            </w:r>
          </w:p>
        </w:tc>
        <w:tc>
          <w:tcPr>
            <w:tcW w:w="2396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1.2.2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1.3   Drobný dlouhodobý nehmotný majetek 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1.3.1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1.3.2</w:t>
            </w:r>
          </w:p>
        </w:tc>
        <w:tc>
          <w:tcPr>
            <w:tcW w:w="23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1.4   Spotřeba energie</w:t>
            </w:r>
          </w:p>
        </w:tc>
        <w:tc>
          <w:tcPr>
            <w:tcW w:w="23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4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5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1.4.1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</w:tbl>
    <w:p w:rsidR="0052702C" w:rsidRDefault="0052702C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C20620" w:rsidRDefault="00C20620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C20620" w:rsidRDefault="00C20620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5758"/>
        <w:gridCol w:w="2490"/>
        <w:gridCol w:w="2397"/>
        <w:gridCol w:w="1998"/>
      </w:tblGrid>
      <w:tr w:rsidR="00C20620" w:rsidRPr="00C20620" w:rsidTr="00C20620">
        <w:trPr>
          <w:trHeight w:val="390"/>
        </w:trPr>
        <w:tc>
          <w:tcPr>
            <w:tcW w:w="13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  <w:r w:rsidRPr="00C20620">
              <w:rPr>
                <w:rFonts w:ascii="Tahoma" w:hAnsi="Tahoma" w:cs="Tahoma"/>
                <w:sz w:val="32"/>
                <w:szCs w:val="32"/>
                <w:lang w:eastAsia="cs-CZ"/>
              </w:rPr>
              <w:t>Nákladový rozpočet projektu - Uznatelné neinvestiční náklady/výdaje</w:t>
            </w:r>
          </w:p>
        </w:tc>
      </w:tr>
      <w:tr w:rsidR="00C20620" w:rsidRPr="00C20620" w:rsidTr="00C20620">
        <w:trPr>
          <w:trHeight w:val="315"/>
        </w:trPr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525"/>
        </w:trPr>
        <w:tc>
          <w:tcPr>
            <w:tcW w:w="65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Druh nákladu / výdaje</w:t>
            </w:r>
          </w:p>
        </w:tc>
        <w:tc>
          <w:tcPr>
            <w:tcW w:w="48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Celkové plánované uznatelné náklady/výdaje projektu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</w:tr>
      <w:tr w:rsidR="00C20620" w:rsidRPr="00C20620" w:rsidTr="00C20620">
        <w:trPr>
          <w:trHeight w:val="1260"/>
        </w:trPr>
        <w:tc>
          <w:tcPr>
            <w:tcW w:w="6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Plánované uznatelné náklady/výdaje  (zaokrouhlené na celé stokoruny)  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Požadovaná výše dotace      (zaokrouhlené na celé stokoruny)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Přiznaná výše dotace</w:t>
            </w:r>
          </w:p>
        </w:tc>
      </w:tr>
      <w:tr w:rsidR="00C20620" w:rsidRPr="00C20620" w:rsidTr="00C20620">
        <w:trPr>
          <w:trHeight w:val="270"/>
        </w:trPr>
        <w:tc>
          <w:tcPr>
            <w:tcW w:w="65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000000"/>
            </w:tcBorders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</w:tr>
      <w:tr w:rsidR="00C20620" w:rsidRPr="00C20620" w:rsidTr="00C20620">
        <w:trPr>
          <w:trHeight w:val="330"/>
        </w:trPr>
        <w:tc>
          <w:tcPr>
            <w:tcW w:w="6591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lang w:eastAsia="cs-CZ"/>
              </w:rPr>
            </w:pPr>
            <w:r w:rsidRPr="00C20620">
              <w:rPr>
                <w:rFonts w:ascii="Tahoma" w:hAnsi="Tahoma" w:cs="Tahoma"/>
                <w:lang w:eastAsia="cs-CZ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9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c</w:t>
            </w:r>
          </w:p>
        </w:tc>
      </w:tr>
      <w:tr w:rsidR="00C20620" w:rsidRPr="00C20620" w:rsidTr="00C20620">
        <w:trPr>
          <w:trHeight w:val="379"/>
        </w:trPr>
        <w:tc>
          <w:tcPr>
            <w:tcW w:w="659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2.   Služby celkem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755 000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40 000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40 000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7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2.1   Oprava a udržování (položkově rozepsat) </w:t>
            </w: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9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2.1.1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2.1.2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2.2   Cestovné</w:t>
            </w:r>
          </w:p>
        </w:tc>
        <w:tc>
          <w:tcPr>
            <w:tcW w:w="2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9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808080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2.2.1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2.2.2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57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2.3   Jiné výše neuvedené služby</w:t>
            </w:r>
          </w:p>
        </w:tc>
        <w:tc>
          <w:tcPr>
            <w:tcW w:w="24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755 000</w:t>
            </w:r>
          </w:p>
        </w:tc>
        <w:tc>
          <w:tcPr>
            <w:tcW w:w="239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  <w:tc>
          <w:tcPr>
            <w:tcW w:w="199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40 000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2.3.1 ubytování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2.3.2 stravování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80 000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2.3.3 nájem prostor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20 000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2.3.4 propagace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2.3.5 doprava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400 000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30 000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2.3.6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2.3.7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</w:tbl>
    <w:p w:rsidR="00C20620" w:rsidRDefault="00C20620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C20620" w:rsidRDefault="00C20620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C20620" w:rsidRDefault="00C20620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p w:rsidR="00C20620" w:rsidRDefault="00C20620" w:rsidP="002F6583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tbl>
      <w:tblPr>
        <w:tblW w:w="13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4848"/>
        <w:gridCol w:w="2777"/>
        <w:gridCol w:w="2653"/>
        <w:gridCol w:w="2246"/>
      </w:tblGrid>
      <w:tr w:rsidR="00C20620" w:rsidRPr="00C20620" w:rsidTr="00C20620">
        <w:trPr>
          <w:trHeight w:val="390"/>
        </w:trPr>
        <w:tc>
          <w:tcPr>
            <w:tcW w:w="13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32"/>
                <w:szCs w:val="32"/>
                <w:lang w:eastAsia="cs-CZ"/>
              </w:rPr>
            </w:pPr>
            <w:r w:rsidRPr="00C20620">
              <w:rPr>
                <w:rFonts w:ascii="Tahoma" w:hAnsi="Tahoma" w:cs="Tahoma"/>
                <w:sz w:val="32"/>
                <w:szCs w:val="32"/>
                <w:lang w:eastAsia="cs-CZ"/>
              </w:rPr>
              <w:t>Nákladový rozpočet projektu - Uznatelné neinvestiční náklady/výdaje</w:t>
            </w:r>
          </w:p>
        </w:tc>
      </w:tr>
      <w:tr w:rsidR="00C20620" w:rsidRPr="00C20620" w:rsidTr="00C20620">
        <w:trPr>
          <w:trHeight w:val="315"/>
        </w:trPr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525"/>
        </w:trPr>
        <w:tc>
          <w:tcPr>
            <w:tcW w:w="5781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  <w:t>Druh nákladu / výdaje</w:t>
            </w:r>
          </w:p>
        </w:tc>
        <w:tc>
          <w:tcPr>
            <w:tcW w:w="543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Celkové plánované náklady/výdaje projektu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Vyjádření poskytovatele</w:t>
            </w:r>
          </w:p>
        </w:tc>
      </w:tr>
      <w:tr w:rsidR="00C20620" w:rsidRPr="00C20620" w:rsidTr="00C20620">
        <w:trPr>
          <w:trHeight w:val="1035"/>
        </w:trPr>
        <w:tc>
          <w:tcPr>
            <w:tcW w:w="578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 xml:space="preserve">Plánované uznatelné náklady/výdaje  (zaokrouhlené na celé stokoruny)  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Požadovaná výše dotace      (zaokrouhlené na celé stokoruny)</w:t>
            </w:r>
          </w:p>
        </w:tc>
        <w:tc>
          <w:tcPr>
            <w:tcW w:w="22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Přiznaná výše dotace</w:t>
            </w:r>
          </w:p>
        </w:tc>
      </w:tr>
      <w:tr w:rsidR="00C20620" w:rsidRPr="00C20620" w:rsidTr="00C20620">
        <w:trPr>
          <w:trHeight w:val="345"/>
        </w:trPr>
        <w:tc>
          <w:tcPr>
            <w:tcW w:w="5781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  <w:tc>
          <w:tcPr>
            <w:tcW w:w="224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cs-CZ"/>
              </w:rPr>
            </w:pPr>
            <w:r w:rsidRPr="00C20620">
              <w:rPr>
                <w:rFonts w:ascii="Tahoma" w:hAnsi="Tahoma" w:cs="Tahoma"/>
                <w:sz w:val="16"/>
                <w:szCs w:val="16"/>
                <w:lang w:eastAsia="cs-CZ"/>
              </w:rPr>
              <w:t xml:space="preserve"> (v Kč)</w:t>
            </w:r>
          </w:p>
        </w:tc>
      </w:tr>
      <w:tr w:rsidR="00C20620" w:rsidRPr="00C20620" w:rsidTr="00C20620">
        <w:trPr>
          <w:trHeight w:val="330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lang w:eastAsia="cs-CZ"/>
              </w:rPr>
            </w:pPr>
            <w:r w:rsidRPr="00C20620">
              <w:rPr>
                <w:rFonts w:ascii="Tahoma" w:hAnsi="Tahoma" w:cs="Tahoma"/>
                <w:lang w:eastAsia="cs-CZ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26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224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c</w:t>
            </w:r>
          </w:p>
        </w:tc>
      </w:tr>
      <w:tr w:rsidR="00C20620" w:rsidRPr="00C20620" w:rsidTr="00C20620">
        <w:trPr>
          <w:trHeight w:val="379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3.   Osobní náklady celkem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0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0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Druh</w:t>
            </w:r>
          </w:p>
        </w:tc>
        <w:tc>
          <w:tcPr>
            <w:tcW w:w="4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1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3.1   Osobní náklady</w:t>
            </w:r>
          </w:p>
        </w:tc>
        <w:tc>
          <w:tcPr>
            <w:tcW w:w="2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2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3.1.1   Dohody o provedení práce (včetně zákonných odvodů)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i/>
                <w:i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i/>
                <w:iCs/>
                <w:lang w:eastAsia="cs-CZ"/>
              </w:rPr>
              <w:t>4.   Jiné výše nespecifikované náklady</w:t>
            </w:r>
          </w:p>
        </w:tc>
        <w:tc>
          <w:tcPr>
            <w:tcW w:w="2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150 000</w:t>
            </w:r>
          </w:p>
        </w:tc>
        <w:tc>
          <w:tcPr>
            <w:tcW w:w="26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20 000</w:t>
            </w:r>
          </w:p>
        </w:tc>
        <w:tc>
          <w:tcPr>
            <w:tcW w:w="22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20 000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4.1.1 účastnický poplatek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150000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20000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00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4.1.7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cs-CZ"/>
              </w:rPr>
            </w:pPr>
            <w:r w:rsidRPr="00C20620">
              <w:rPr>
                <w:rFonts w:ascii="Tahoma" w:hAnsi="Tahoma" w:cs="Tahoma"/>
                <w:sz w:val="20"/>
                <w:szCs w:val="20"/>
                <w:lang w:eastAsia="cs-CZ"/>
              </w:rPr>
              <w:t> </w:t>
            </w:r>
          </w:p>
        </w:tc>
      </w:tr>
      <w:tr w:rsidR="00C20620" w:rsidRPr="00C20620" w:rsidTr="00C20620">
        <w:trPr>
          <w:trHeight w:val="379"/>
        </w:trPr>
        <w:tc>
          <w:tcPr>
            <w:tcW w:w="5781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ind w:firstLineChars="100" w:firstLine="241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NEINVESTIČNÍ NÁKLADY / VÝDAJE CELKEM:</w:t>
            </w:r>
          </w:p>
        </w:tc>
        <w:tc>
          <w:tcPr>
            <w:tcW w:w="27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1 050 000</w:t>
            </w:r>
          </w:p>
        </w:tc>
        <w:tc>
          <w:tcPr>
            <w:tcW w:w="26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100 000</w:t>
            </w:r>
          </w:p>
        </w:tc>
        <w:tc>
          <w:tcPr>
            <w:tcW w:w="22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right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100 000</w:t>
            </w:r>
          </w:p>
        </w:tc>
      </w:tr>
      <w:tr w:rsidR="00C20620" w:rsidRPr="00C20620" w:rsidTr="00C20620">
        <w:trPr>
          <w:trHeight w:val="735"/>
        </w:trPr>
        <w:tc>
          <w:tcPr>
            <w:tcW w:w="8558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C20620" w:rsidRPr="00C20620" w:rsidRDefault="00C20620" w:rsidP="00C20620">
            <w:pPr>
              <w:suppressAutoHyphens w:val="0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Podíl požadované dotace na plánovaných uznatelných nákladech/výdajích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9,52%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C20620" w:rsidRPr="00C20620" w:rsidRDefault="00C20620" w:rsidP="00C20620">
            <w:pPr>
              <w:suppressAutoHyphens w:val="0"/>
              <w:jc w:val="center"/>
              <w:rPr>
                <w:rFonts w:ascii="Tahoma" w:hAnsi="Tahoma" w:cs="Tahoma"/>
                <w:b/>
                <w:bCs/>
                <w:lang w:eastAsia="cs-CZ"/>
              </w:rPr>
            </w:pPr>
            <w:r w:rsidRPr="00C20620">
              <w:rPr>
                <w:rFonts w:ascii="Tahoma" w:hAnsi="Tahoma" w:cs="Tahoma"/>
                <w:b/>
                <w:bCs/>
                <w:lang w:eastAsia="cs-CZ"/>
              </w:rPr>
              <w:t>9,52%</w:t>
            </w:r>
          </w:p>
        </w:tc>
      </w:tr>
    </w:tbl>
    <w:p w:rsidR="00C20620" w:rsidRDefault="00C20620" w:rsidP="00C20620">
      <w:pPr>
        <w:tabs>
          <w:tab w:val="left" w:pos="567"/>
          <w:tab w:val="left" w:pos="6804"/>
        </w:tabs>
        <w:jc w:val="both"/>
        <w:rPr>
          <w:rFonts w:ascii="Tahoma" w:hAnsi="Tahoma" w:cs="Tahoma"/>
          <w:sz w:val="20"/>
        </w:rPr>
      </w:pPr>
    </w:p>
    <w:sectPr w:rsidR="00C20620" w:rsidSect="00207628">
      <w:pgSz w:w="16838" w:h="11906" w:orient="landscape"/>
      <w:pgMar w:top="284" w:right="1259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36" w:rsidRDefault="00EE347E">
      <w:r>
        <w:separator/>
      </w:r>
    </w:p>
  </w:endnote>
  <w:endnote w:type="continuationSeparator" w:id="0">
    <w:p w:rsidR="00321936" w:rsidRDefault="00EE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36" w:rsidRDefault="00926AC1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4pt;height:12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321936" w:rsidRPr="00EE347E" w:rsidRDefault="00EE347E">
                <w:pPr>
                  <w:pStyle w:val="Zpat"/>
                  <w:rPr>
                    <w:rFonts w:ascii="Tahoma" w:hAnsi="Tahoma" w:cs="Tahoma"/>
                  </w:rPr>
                </w:pP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begin"/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instrText xml:space="preserve"> PAGE </w:instrText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separate"/>
                </w:r>
                <w:r w:rsidR="00926AC1">
                  <w:rPr>
                    <w:rStyle w:val="slostrnky"/>
                    <w:rFonts w:ascii="Tahoma" w:hAnsi="Tahoma" w:cs="Tahoma"/>
                    <w:noProof/>
                    <w:sz w:val="20"/>
                    <w:szCs w:val="20"/>
                  </w:rPr>
                  <w:t>1</w:t>
                </w:r>
                <w:r w:rsidRPr="00EE347E">
                  <w:rPr>
                    <w:rStyle w:val="slostrnky"/>
                    <w:rFonts w:ascii="Tahoma" w:hAnsi="Tahoma" w:cs="Tahoma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36" w:rsidRDefault="00EE347E">
      <w:r>
        <w:separator/>
      </w:r>
    </w:p>
  </w:footnote>
  <w:footnote w:type="continuationSeparator" w:id="0">
    <w:p w:rsidR="00321936" w:rsidRDefault="00EE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F24A9E6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67B2719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2AAD6EDE"/>
    <w:multiLevelType w:val="hybridMultilevel"/>
    <w:tmpl w:val="0E1CB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26D04"/>
    <w:multiLevelType w:val="hybridMultilevel"/>
    <w:tmpl w:val="4C3C02DC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31567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753544D1"/>
    <w:multiLevelType w:val="hybridMultilevel"/>
    <w:tmpl w:val="76807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10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2"/>
  </w:num>
  <w:num w:numId="22">
    <w:abstractNumId w:val="14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64D"/>
    <w:rsid w:val="00006931"/>
    <w:rsid w:val="00067BC4"/>
    <w:rsid w:val="00071209"/>
    <w:rsid w:val="000B2E74"/>
    <w:rsid w:val="000D4549"/>
    <w:rsid w:val="00123BA1"/>
    <w:rsid w:val="001414C7"/>
    <w:rsid w:val="001D464D"/>
    <w:rsid w:val="001F0AFC"/>
    <w:rsid w:val="00207628"/>
    <w:rsid w:val="002367B1"/>
    <w:rsid w:val="00250F17"/>
    <w:rsid w:val="00251657"/>
    <w:rsid w:val="002C6BEF"/>
    <w:rsid w:val="002F6583"/>
    <w:rsid w:val="00313B56"/>
    <w:rsid w:val="00317519"/>
    <w:rsid w:val="00321936"/>
    <w:rsid w:val="003219AE"/>
    <w:rsid w:val="00366928"/>
    <w:rsid w:val="0038286D"/>
    <w:rsid w:val="003E1E72"/>
    <w:rsid w:val="003E4B98"/>
    <w:rsid w:val="00416507"/>
    <w:rsid w:val="00425513"/>
    <w:rsid w:val="0044641C"/>
    <w:rsid w:val="004474CA"/>
    <w:rsid w:val="00492529"/>
    <w:rsid w:val="0052702C"/>
    <w:rsid w:val="005551F1"/>
    <w:rsid w:val="0058017C"/>
    <w:rsid w:val="005F1A79"/>
    <w:rsid w:val="00661C0D"/>
    <w:rsid w:val="00690F2F"/>
    <w:rsid w:val="00693D39"/>
    <w:rsid w:val="006B2030"/>
    <w:rsid w:val="006B4677"/>
    <w:rsid w:val="006E039A"/>
    <w:rsid w:val="007215D5"/>
    <w:rsid w:val="007700AE"/>
    <w:rsid w:val="00805EA9"/>
    <w:rsid w:val="00810565"/>
    <w:rsid w:val="0081511B"/>
    <w:rsid w:val="0085690D"/>
    <w:rsid w:val="00884CB2"/>
    <w:rsid w:val="008B69AE"/>
    <w:rsid w:val="008D340B"/>
    <w:rsid w:val="008D7DDD"/>
    <w:rsid w:val="008E3271"/>
    <w:rsid w:val="00907137"/>
    <w:rsid w:val="0091246D"/>
    <w:rsid w:val="0092238B"/>
    <w:rsid w:val="00926AC1"/>
    <w:rsid w:val="009338D0"/>
    <w:rsid w:val="009928BE"/>
    <w:rsid w:val="00995983"/>
    <w:rsid w:val="009E6F3C"/>
    <w:rsid w:val="00A93D7D"/>
    <w:rsid w:val="00AB0F34"/>
    <w:rsid w:val="00AD4067"/>
    <w:rsid w:val="00AF6F6A"/>
    <w:rsid w:val="00B7577D"/>
    <w:rsid w:val="00BE5970"/>
    <w:rsid w:val="00BF76E7"/>
    <w:rsid w:val="00C164D1"/>
    <w:rsid w:val="00C20620"/>
    <w:rsid w:val="00C52E29"/>
    <w:rsid w:val="00CA602D"/>
    <w:rsid w:val="00D0718A"/>
    <w:rsid w:val="00E73875"/>
    <w:rsid w:val="00E76B8E"/>
    <w:rsid w:val="00E8584F"/>
    <w:rsid w:val="00E961D8"/>
    <w:rsid w:val="00EE347E"/>
    <w:rsid w:val="00F41ABD"/>
    <w:rsid w:val="00F50100"/>
    <w:rsid w:val="00F93C7C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b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Tahoma" w:hAnsi="Tahoma"/>
      <w:b w:val="0"/>
      <w:i w:val="0"/>
      <w:sz w:val="20"/>
      <w:szCs w:val="24"/>
    </w:rPr>
  </w:style>
  <w:style w:type="character" w:customStyle="1" w:styleId="WW8Num9z0">
    <w:name w:val="WW8Num9z0"/>
    <w:rPr>
      <w:b w:val="0"/>
    </w:rPr>
  </w:style>
  <w:style w:type="character" w:customStyle="1" w:styleId="WW8Num12z1">
    <w:name w:val="WW8Num12z1"/>
    <w:rPr>
      <w:rFonts w:ascii="Tahoma" w:hAnsi="Tahoma"/>
      <w:b w:val="0"/>
      <w:i w:val="0"/>
      <w:sz w:val="20"/>
      <w:szCs w:val="24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Odkaznakoment1">
    <w:name w:val="Odkaz na komentář1"/>
    <w:basedOn w:val="Standardnpsmoodstavce1"/>
    <w:rPr>
      <w:sz w:val="16"/>
      <w:szCs w:val="16"/>
    </w:rPr>
  </w:style>
  <w:style w:type="character" w:customStyle="1" w:styleId="HeaderChar">
    <w:name w:val="Header Char"/>
    <w:basedOn w:val="Standardnpsmoodstavce1"/>
    <w:rPr>
      <w:sz w:val="24"/>
      <w:szCs w:val="24"/>
      <w:lang w:val="cs-CZ" w:eastAsia="ar-SA" w:bidi="ar-SA"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Seznamsodrkami1">
    <w:name w:val="Seznam s odrážkami1"/>
    <w:basedOn w:val="Normln"/>
    <w:pPr>
      <w:numPr>
        <w:numId w:val="9"/>
      </w:numPr>
      <w:tabs>
        <w:tab w:val="left" w:pos="1080"/>
      </w:tabs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link w:val="Zhlav"/>
    <w:rsid w:val="008B69AE"/>
    <w:rPr>
      <w:sz w:val="24"/>
      <w:szCs w:val="24"/>
      <w:lang w:eastAsia="ar-SA"/>
    </w:rPr>
  </w:style>
  <w:style w:type="character" w:customStyle="1" w:styleId="Nadpis1Char">
    <w:name w:val="Nadpis 1 Char"/>
    <w:link w:val="Nadpis1"/>
    <w:rsid w:val="00250F17"/>
    <w:rPr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verejna-sprava.kr-moravskoslezsky.cz/assets/samosprava/graficky_manual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186C-8A30-4FA8-A76D-CBB7375D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2437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KUMSK</Company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harmanova</dc:creator>
  <cp:lastModifiedBy>Schenk Ondřej</cp:lastModifiedBy>
  <cp:revision>60</cp:revision>
  <cp:lastPrinted>2010-02-24T12:48:00Z</cp:lastPrinted>
  <dcterms:created xsi:type="dcterms:W3CDTF">2014-10-13T10:19:00Z</dcterms:created>
  <dcterms:modified xsi:type="dcterms:W3CDTF">2015-09-11T09:40:00Z</dcterms:modified>
</cp:coreProperties>
</file>