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060440">
        <w:rPr>
          <w:rFonts w:ascii="Tahoma" w:hAnsi="Tahoma" w:cs="Tahoma"/>
        </w:rPr>
        <w:t>8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6E1A3D" w:rsidP="008257A7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F90947">
        <w:rPr>
          <w:rFonts w:ascii="Tahoma" w:hAnsi="Tahoma" w:cs="Tahoma"/>
        </w:rPr>
        <w:t xml:space="preserve">Pro </w:t>
      </w:r>
      <w:r w:rsidR="00590C86">
        <w:rPr>
          <w:rFonts w:ascii="Tahoma" w:hAnsi="Tahoma" w:cs="Tahoma"/>
        </w:rPr>
        <w:t>17.</w:t>
      </w:r>
      <w:r w:rsidRPr="00F90947">
        <w:rPr>
          <w:rFonts w:ascii="Tahoma" w:hAnsi="Tahoma" w:cs="Tahoma"/>
        </w:rPr>
        <w:t xml:space="preserve"> zasedání ZASTUPITELSTVA KRAJE, konané dne </w:t>
      </w:r>
      <w:r w:rsidR="00C531D3">
        <w:rPr>
          <w:rFonts w:ascii="Tahoma" w:hAnsi="Tahoma" w:cs="Tahoma"/>
        </w:rPr>
        <w:t>17. 12</w:t>
      </w:r>
      <w:r w:rsidR="009F121E">
        <w:rPr>
          <w:rFonts w:ascii="Tahoma" w:hAnsi="Tahoma" w:cs="Tahoma"/>
        </w:rPr>
        <w:t>. 2015</w:t>
      </w:r>
    </w:p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E38B7" w:rsidRPr="008257A7">
        <w:tc>
          <w:tcPr>
            <w:tcW w:w="779" w:type="dxa"/>
          </w:tcPr>
          <w:p w:rsidR="00BE38B7" w:rsidRPr="00ED7EB6" w:rsidRDefault="00BE38B7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E38B7" w:rsidRPr="00677306" w:rsidRDefault="009F121E" w:rsidP="007C026A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Informace o souhrnných rozpočtových úpravách v rámci projektů financovaných z e</w:t>
            </w:r>
            <w:r>
              <w:rPr>
                <w:rFonts w:ascii="Tahoma" w:hAnsi="Tahoma" w:cs="Tahoma"/>
              </w:rPr>
              <w:t xml:space="preserve">vropských finančních zdrojů – </w:t>
            </w:r>
            <w:r w:rsidRPr="00D106D7">
              <w:rPr>
                <w:rFonts w:ascii="Tahoma" w:hAnsi="Tahoma" w:cs="Tahoma"/>
              </w:rPr>
              <w:t>I</w:t>
            </w:r>
            <w:r w:rsidR="00C531D3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 čtvrtletí 2015</w:t>
            </w:r>
          </w:p>
        </w:tc>
      </w:tr>
    </w:tbl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57A7" w:rsidRPr="0042552D">
        <w:tc>
          <w:tcPr>
            <w:tcW w:w="1690" w:type="dxa"/>
          </w:tcPr>
          <w:p w:rsidR="008257A7" w:rsidRPr="0042552D" w:rsidRDefault="008257A7" w:rsidP="008257A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57A7" w:rsidRPr="008257A7" w:rsidRDefault="006E1A3D" w:rsidP="006E1A3D">
            <w:pPr>
              <w:pStyle w:val="Nadpis6"/>
              <w:rPr>
                <w:rFonts w:ascii="Tahoma" w:hAnsi="Tahoma" w:cs="Tahoma"/>
                <w:sz w:val="24"/>
              </w:rPr>
            </w:pPr>
            <w:hyperlink r:id="rId8" w:history="1">
              <w:r w:rsidR="008257A7" w:rsidRPr="006E1A3D">
                <w:rPr>
                  <w:rStyle w:val="Hypertextovodkaz"/>
                  <w:rFonts w:ascii="Tahoma" w:hAnsi="Tahoma" w:cs="Tahoma"/>
                  <w:sz w:val="24"/>
                </w:rPr>
                <w:t>Příloha č. 1</w:t>
              </w:r>
            </w:hyperlink>
            <w:r>
              <w:rPr>
                <w:rFonts w:ascii="Tahoma" w:hAnsi="Tahoma" w:cs="Tahoma"/>
                <w:sz w:val="24"/>
              </w:rPr>
              <w:t xml:space="preserve">  </w:t>
            </w:r>
            <w:r w:rsidR="008257A7" w:rsidRPr="00E5421D">
              <w:rPr>
                <w:rFonts w:ascii="Tahoma" w:hAnsi="Tahoma" w:cs="Tahoma"/>
                <w:sz w:val="24"/>
              </w:rPr>
              <w:t xml:space="preserve"> </w:t>
            </w:r>
            <w:r w:rsidR="008257A7" w:rsidRPr="008257A7">
              <w:rPr>
                <w:rFonts w:ascii="Tahoma" w:hAnsi="Tahoma" w:cs="Tahoma"/>
                <w:sz w:val="24"/>
              </w:rPr>
              <w:t>Podklad pro rozpočtové opatření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353D3B">
        <w:rPr>
          <w:rFonts w:cs="Tahoma"/>
          <w:sz w:val="24"/>
          <w:szCs w:val="24"/>
        </w:rPr>
        <w:t>Martin Sikora</w:t>
      </w: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ab/>
        <w:t>náměst</w:t>
      </w:r>
      <w:r w:rsidR="00262833">
        <w:rPr>
          <w:rFonts w:cs="Tahoma"/>
          <w:sz w:val="24"/>
          <w:szCs w:val="24"/>
        </w:rPr>
        <w:t>e</w:t>
      </w:r>
      <w:r w:rsidRPr="00D578BD">
        <w:rPr>
          <w:rFonts w:cs="Tahoma"/>
          <w:sz w:val="24"/>
          <w:szCs w:val="24"/>
        </w:rPr>
        <w:t>k hejtmana kraje</w:t>
      </w: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  <w:u w:val="single"/>
        </w:rPr>
        <w:t>Zpracoval</w:t>
      </w:r>
      <w:r w:rsidR="002F6735">
        <w:rPr>
          <w:rFonts w:cs="Tahoma"/>
          <w:sz w:val="24"/>
          <w:szCs w:val="24"/>
          <w:u w:val="single"/>
        </w:rPr>
        <w:t>y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  <w:t xml:space="preserve">Ing. </w:t>
      </w:r>
      <w:r w:rsidR="006F0BFA">
        <w:rPr>
          <w:rFonts w:cs="Tahoma"/>
          <w:sz w:val="24"/>
          <w:szCs w:val="24"/>
        </w:rPr>
        <w:t>Ivona Kotulová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odbor evropských projektů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C531D3" w:rsidRDefault="00014CBE" w:rsidP="00C531D3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</w:t>
      </w:r>
      <w:r w:rsidR="00C531D3">
        <w:rPr>
          <w:rFonts w:cs="Tahoma"/>
          <w:sz w:val="24"/>
          <w:szCs w:val="24"/>
        </w:rPr>
        <w:t xml:space="preserve">Ing. Hana Kraussová </w:t>
      </w:r>
    </w:p>
    <w:p w:rsidR="00C531D3" w:rsidRDefault="00C531D3" w:rsidP="00C531D3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pověřena zastupováním funkce vedoucí odboru evropských projektů</w:t>
      </w:r>
    </w:p>
    <w:p w:rsidR="00014CBE" w:rsidRPr="00D578BD" w:rsidRDefault="00014CBE" w:rsidP="00C531D3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 xml:space="preserve">Projednáno </w:t>
      </w:r>
      <w:r w:rsidRPr="00D578BD">
        <w:rPr>
          <w:rFonts w:cs="Tahoma"/>
          <w:sz w:val="24"/>
          <w:szCs w:val="24"/>
          <w:u w:val="single"/>
        </w:rPr>
        <w:t>:</w:t>
      </w:r>
      <w:r w:rsidR="006E1A3D" w:rsidRPr="006E1A3D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>v radě</w:t>
      </w:r>
      <w:proofErr w:type="gramEnd"/>
      <w:r>
        <w:rPr>
          <w:rFonts w:cs="Tahoma"/>
          <w:sz w:val="24"/>
          <w:szCs w:val="24"/>
        </w:rPr>
        <w:t xml:space="preserve"> kraje dne </w:t>
      </w:r>
      <w:r w:rsidR="00C531D3">
        <w:rPr>
          <w:rFonts w:cs="Tahoma"/>
          <w:sz w:val="24"/>
          <w:szCs w:val="24"/>
        </w:rPr>
        <w:t>6</w:t>
      </w:r>
      <w:r w:rsidR="009F121E">
        <w:rPr>
          <w:rFonts w:cs="Tahoma"/>
          <w:sz w:val="24"/>
          <w:szCs w:val="24"/>
        </w:rPr>
        <w:t xml:space="preserve">. </w:t>
      </w:r>
      <w:r w:rsidR="00C531D3">
        <w:rPr>
          <w:rFonts w:cs="Tahoma"/>
          <w:sz w:val="24"/>
          <w:szCs w:val="24"/>
        </w:rPr>
        <w:t>10</w:t>
      </w:r>
      <w:r w:rsidR="009F121E">
        <w:rPr>
          <w:rFonts w:cs="Tahoma"/>
          <w:sz w:val="24"/>
          <w:szCs w:val="24"/>
        </w:rPr>
        <w:t>. 2015</w:t>
      </w:r>
      <w:r w:rsidR="00353D3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– viz usnesení </w:t>
      </w: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color w:val="FF0000"/>
          <w:sz w:val="24"/>
          <w:szCs w:val="24"/>
        </w:rPr>
      </w:pPr>
    </w:p>
    <w:p w:rsidR="00014CBE" w:rsidRPr="00D578BD" w:rsidRDefault="00014CBE" w:rsidP="00014CBE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</w:t>
      </w:r>
      <w:r w:rsidR="00FB118E">
        <w:rPr>
          <w:rFonts w:cs="Tahoma"/>
          <w:sz w:val="24"/>
          <w:szCs w:val="24"/>
        </w:rPr>
        <w:t xml:space="preserve">dne </w:t>
      </w:r>
      <w:r w:rsidR="00C531D3">
        <w:rPr>
          <w:rFonts w:cs="Tahoma"/>
          <w:sz w:val="24"/>
          <w:szCs w:val="24"/>
        </w:rPr>
        <w:t>30</w:t>
      </w:r>
      <w:r w:rsidR="00441B63">
        <w:rPr>
          <w:rFonts w:cs="Tahoma"/>
          <w:sz w:val="24"/>
          <w:szCs w:val="24"/>
        </w:rPr>
        <w:t xml:space="preserve">. </w:t>
      </w:r>
      <w:r w:rsidR="00C531D3">
        <w:rPr>
          <w:rFonts w:cs="Tahoma"/>
          <w:sz w:val="24"/>
          <w:szCs w:val="24"/>
        </w:rPr>
        <w:t>11</w:t>
      </w:r>
      <w:r w:rsidR="00441B63">
        <w:rPr>
          <w:rFonts w:cs="Tahoma"/>
          <w:sz w:val="24"/>
          <w:szCs w:val="24"/>
        </w:rPr>
        <w:t>. 2015</w:t>
      </w:r>
    </w:p>
    <w:p w:rsidR="00014CBE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E38B7" w:rsidRDefault="00BE38B7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920EC" w:rsidRDefault="005920EC" w:rsidP="00852BD4">
      <w:pPr>
        <w:spacing w:line="280" w:lineRule="exact"/>
        <w:rPr>
          <w:rFonts w:ascii="Tahoma" w:hAnsi="Tahoma" w:cs="Tahoma"/>
          <w:u w:val="single"/>
        </w:rPr>
      </w:pPr>
    </w:p>
    <w:p w:rsidR="003C63DA" w:rsidRPr="00C71732" w:rsidRDefault="003C63DA" w:rsidP="003C63DA">
      <w:pPr>
        <w:pStyle w:val="Nadpis8"/>
        <w:rPr>
          <w:rFonts w:ascii="Tahoma" w:hAnsi="Tahoma" w:cs="Tahoma"/>
          <w:i w:val="0"/>
          <w:u w:val="single"/>
        </w:rPr>
      </w:pPr>
      <w:r w:rsidRPr="00C71732">
        <w:rPr>
          <w:rFonts w:ascii="Tahoma" w:hAnsi="Tahoma" w:cs="Tahoma"/>
          <w:i w:val="0"/>
          <w:u w:val="single"/>
        </w:rPr>
        <w:t>Návrh usnesení:</w:t>
      </w:r>
    </w:p>
    <w:p w:rsidR="003C63DA" w:rsidRPr="0042552D" w:rsidRDefault="003C63DA" w:rsidP="003C63DA">
      <w:pPr>
        <w:rPr>
          <w:rFonts w:ascii="Tahoma" w:hAnsi="Tahoma" w:cs="Tahoma"/>
          <w:snapToGrid w:val="0"/>
        </w:rPr>
      </w:pPr>
    </w:p>
    <w:p w:rsidR="003C63DA" w:rsidRPr="0042552D" w:rsidRDefault="003C63DA" w:rsidP="003C63DA">
      <w:pPr>
        <w:pStyle w:val="Nadpis7"/>
        <w:rPr>
          <w:rFonts w:ascii="Tahoma" w:hAnsi="Tahoma" w:cs="Tahoma"/>
          <w:snapToGrid w:val="0"/>
        </w:rPr>
      </w:pPr>
      <w:r w:rsidRPr="0042552D">
        <w:rPr>
          <w:rFonts w:ascii="Tahoma" w:hAnsi="Tahoma" w:cs="Tahoma"/>
          <w:snapToGrid w:val="0"/>
        </w:rPr>
        <w:t>Zastupitelstvo kraje</w:t>
      </w:r>
    </w:p>
    <w:p w:rsidR="003C63DA" w:rsidRPr="0042552D" w:rsidRDefault="003C63DA" w:rsidP="003C63DA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3C63DA" w:rsidRPr="0042552D" w:rsidRDefault="003C63DA" w:rsidP="003C63DA">
      <w:pPr>
        <w:rPr>
          <w:rFonts w:ascii="Tahoma" w:hAnsi="Tahoma" w:cs="Tahoma"/>
        </w:rPr>
      </w:pPr>
      <w:r w:rsidRPr="0042552D">
        <w:rPr>
          <w:rFonts w:ascii="Tahoma" w:hAnsi="Tahoma" w:cs="Tahoma"/>
        </w:rPr>
        <w:t xml:space="preserve">k usnesení rady kraje 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  <w:t xml:space="preserve">č. </w:t>
      </w:r>
      <w:r w:rsidR="00590C86">
        <w:rPr>
          <w:rFonts w:ascii="Tahoma" w:hAnsi="Tahoma" w:cs="Tahoma"/>
        </w:rPr>
        <w:t>79/6425</w:t>
      </w:r>
      <w:r w:rsidR="007C026A">
        <w:tab/>
      </w:r>
      <w:r w:rsidRPr="004255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7C026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</w:t>
      </w:r>
      <w:r w:rsidRPr="0042552D">
        <w:rPr>
          <w:rFonts w:ascii="Tahoma" w:hAnsi="Tahoma" w:cs="Tahoma"/>
        </w:rPr>
        <w:t xml:space="preserve">ze dne </w:t>
      </w:r>
      <w:r w:rsidR="00C531D3">
        <w:rPr>
          <w:rFonts w:ascii="Tahoma" w:hAnsi="Tahoma" w:cs="Tahoma"/>
        </w:rPr>
        <w:t>6</w:t>
      </w:r>
      <w:r w:rsidR="009F121E">
        <w:rPr>
          <w:rFonts w:ascii="Tahoma" w:hAnsi="Tahoma" w:cs="Tahoma"/>
        </w:rPr>
        <w:t xml:space="preserve">. </w:t>
      </w:r>
      <w:r w:rsidR="00C531D3">
        <w:rPr>
          <w:rFonts w:ascii="Tahoma" w:hAnsi="Tahoma" w:cs="Tahoma"/>
        </w:rPr>
        <w:t>10</w:t>
      </w:r>
      <w:r w:rsidR="009F121E">
        <w:rPr>
          <w:rFonts w:ascii="Tahoma" w:hAnsi="Tahoma" w:cs="Tahoma"/>
        </w:rPr>
        <w:t>. 2015</w:t>
      </w:r>
    </w:p>
    <w:p w:rsidR="003C63DA" w:rsidRDefault="003C63DA" w:rsidP="003C63D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C63DA" w:rsidRDefault="00C71732" w:rsidP="003C63DA">
      <w:pPr>
        <w:pStyle w:val="Zkladntext3"/>
        <w:jc w:val="both"/>
        <w:rPr>
          <w:sz w:val="24"/>
          <w:szCs w:val="24"/>
        </w:rPr>
      </w:pPr>
      <w:r w:rsidRPr="00C71732">
        <w:rPr>
          <w:sz w:val="24"/>
          <w:szCs w:val="24"/>
        </w:rPr>
        <w:t>(č. usnesení)</w:t>
      </w:r>
    </w:p>
    <w:p w:rsidR="00C71732" w:rsidRPr="00C71732" w:rsidRDefault="00C71732" w:rsidP="003C63DA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../…</w:t>
            </w:r>
            <w:proofErr w:type="gramEnd"/>
          </w:p>
        </w:tc>
      </w:tr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b e r e   n a   v ě d o m í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informaci o souhrnných rozpočtových změnách u projektů financovaných z evropských finančních zdrojů</w:t>
            </w:r>
            <w:r w:rsidR="00FB0B28">
              <w:rPr>
                <w:rFonts w:ascii="Tahoma" w:hAnsi="Tahoma" w:cs="Tahoma"/>
              </w:rPr>
              <w:t xml:space="preserve"> dle předloženého materiálu</w:t>
            </w:r>
          </w:p>
          <w:p w:rsidR="003C63DA" w:rsidRPr="0042552D" w:rsidRDefault="003C63DA" w:rsidP="003C63D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944651" w:rsidRPr="00D106D7" w:rsidRDefault="00944651" w:rsidP="0094465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D106D7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Odbor evropských projektů je pověřen zabezpečováním přípravy a realizace projektů Moravskoslezského kraje, které mohou být financovány ze strukturálních fondů, případně jiných evropských finančních zdrojů (dále jen „evropské zdroje“). Na rok 2015 byly rozpočtovány finanční prostředky na přípravu a realizaci projektů spolufinancovaných z  evropských zdrojů v celkovém objemu 4.182.766.000 Kč. V návaznosti na předpokládaný harmonogram realizovaných projektů byly naplánovány i příjmy z  evropských zdrojů a státního rozpočtu do rozpočtu Moravskoslezského kraje v celkové výši 3.198.506.000 Kč. </w:t>
      </w: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květnu 2015 byl rozpočet upraven v návaznosti na změny u projektů vzniklé </w:t>
      </w:r>
      <w:r>
        <w:rPr>
          <w:rFonts w:ascii="Tahoma" w:hAnsi="Tahoma" w:cs="Tahoma"/>
        </w:rPr>
        <w:br/>
        <w:t xml:space="preserve">v I. čtvrtletí 2015 (usnesení rady kraje č. 67/5464 ze dne 7. 5. 2015). Vzhledem </w:t>
      </w:r>
      <w:r>
        <w:rPr>
          <w:rFonts w:ascii="Tahoma" w:hAnsi="Tahoma" w:cs="Tahoma"/>
        </w:rPr>
        <w:br/>
        <w:t>k dalším změnám vzniklým u jednotlivých projektů ve II. a III. čtvrtletí 2015 přistoupil odbor evropských projektů k návrhu rozpočtových úprav. Z důvodu navrhovaných změn došlo k navýšení původně plánovaných výdajů projektů a k nenaplnění plánovaných příjmů do rozpočtu Moravskoslezského kraje v roce 2015. Aby na konci roku 2015 nedošlo k výraznému propadu plnění příjmů a byly zajištěny prostředky na</w:t>
      </w:r>
      <w:r w:rsidR="006C01F6">
        <w:rPr>
          <w:rFonts w:ascii="Tahoma" w:hAnsi="Tahoma" w:cs="Tahoma"/>
        </w:rPr>
        <w:t xml:space="preserve"> krytí výdajů rozpočtu, navrhnul</w:t>
      </w:r>
      <w:r>
        <w:rPr>
          <w:rFonts w:ascii="Tahoma" w:hAnsi="Tahoma" w:cs="Tahoma"/>
        </w:rPr>
        <w:t xml:space="preserve"> odbor evropských proje</w:t>
      </w:r>
      <w:r w:rsidR="006C01F6">
        <w:rPr>
          <w:rFonts w:ascii="Tahoma" w:hAnsi="Tahoma" w:cs="Tahoma"/>
        </w:rPr>
        <w:t>ktů rozpočtové opatření, kterým se snížily</w:t>
      </w:r>
      <w:r>
        <w:rPr>
          <w:rFonts w:ascii="Tahoma" w:hAnsi="Tahoma" w:cs="Tahoma"/>
        </w:rPr>
        <w:t xml:space="preserve"> celkové příjmy rozpočtu Moravskoslezského kraje o příjmy reálně nedosažitelné v roce 2015 ve výši 163.</w:t>
      </w:r>
      <w:r w:rsidR="006C01F6">
        <w:rPr>
          <w:rFonts w:ascii="Tahoma" w:hAnsi="Tahoma" w:cs="Tahoma"/>
        </w:rPr>
        <w:t xml:space="preserve">361.750 </w:t>
      </w:r>
      <w:proofErr w:type="gramStart"/>
      <w:r w:rsidR="006C01F6">
        <w:rPr>
          <w:rFonts w:ascii="Tahoma" w:hAnsi="Tahoma" w:cs="Tahoma"/>
        </w:rPr>
        <w:t>Kč a zároveň</w:t>
      </w:r>
      <w:proofErr w:type="gramEnd"/>
      <w:r w:rsidR="006C01F6">
        <w:rPr>
          <w:rFonts w:ascii="Tahoma" w:hAnsi="Tahoma" w:cs="Tahoma"/>
        </w:rPr>
        <w:t xml:space="preserve"> se zvýšila</w:t>
      </w:r>
      <w:r>
        <w:rPr>
          <w:rFonts w:ascii="Tahoma" w:hAnsi="Tahoma" w:cs="Tahoma"/>
        </w:rPr>
        <w:t xml:space="preserve"> výdajová stránka rozpočtu o 95.638.520 Kč. Rozdíl změ</w:t>
      </w:r>
      <w:r w:rsidR="006C01F6">
        <w:rPr>
          <w:rFonts w:ascii="Tahoma" w:hAnsi="Tahoma" w:cs="Tahoma"/>
        </w:rPr>
        <w:t>ny rozpočtu příjmů a výdajů byl</w:t>
      </w:r>
      <w:r>
        <w:rPr>
          <w:rFonts w:ascii="Tahoma" w:hAnsi="Tahoma" w:cs="Tahoma"/>
        </w:rPr>
        <w:t xml:space="preserve"> vyrovnán změnou rozpočtu financování ve výši 259.000.270 Kč (rozdíl půjčených a vrácených finančních prostředků).</w:t>
      </w: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Rozpočtové úpravy na akcích </w:t>
      </w:r>
      <w:r w:rsidR="006C01F6">
        <w:rPr>
          <w:rFonts w:ascii="Tahoma" w:hAnsi="Tahoma" w:cs="Tahoma"/>
        </w:rPr>
        <w:t>byly provedeny</w:t>
      </w:r>
      <w:r>
        <w:rPr>
          <w:rFonts w:ascii="Tahoma" w:hAnsi="Tahoma" w:cs="Tahoma"/>
        </w:rPr>
        <w:t xml:space="preserve"> z následujících důvodů: 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rozpočtu výdajů i příjmů z důvodu </w:t>
      </w:r>
      <w:proofErr w:type="spellStart"/>
      <w:r>
        <w:rPr>
          <w:rFonts w:ascii="Tahoma" w:hAnsi="Tahoma" w:cs="Tahoma"/>
        </w:rPr>
        <w:t>vysoutěžení</w:t>
      </w:r>
      <w:proofErr w:type="spellEnd"/>
      <w:r>
        <w:rPr>
          <w:rFonts w:ascii="Tahoma" w:hAnsi="Tahoma" w:cs="Tahoma"/>
        </w:rPr>
        <w:t xml:space="preserve"> nižší ceny realizace staveb a dodávek,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změny příjmů, jejichž důvodem jsou jakékoli změny v průběhu realizace projektu s  navazujícím vlivem na harmonogram plateb,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změny způsobilosti výdajů s navazujícím vlivem na rozpočet příjmů,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zvýšení výdajů z důvodu zajištění finančních prostředků na předfinancování podílu EU,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ukončení realizací některých akcí - snížení výdajů a navazujících příjmů z důvodu nevyčerpání celkového rozpočtovaného finančního objemu,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zdrojů financování – předpokládané modifikované platby, </w:t>
      </w:r>
      <w:r>
        <w:rPr>
          <w:rFonts w:ascii="Tahoma" w:hAnsi="Tahoma" w:cs="Tahoma"/>
        </w:rPr>
        <w:br/>
        <w:t>předfinancování výdajů (podílu EU) prostřednictvím úvěru České spořitelny, a.s. (dále jen „ČS“), případně vlastních zdrojů a zdrojů na financování vlastního podílu z úvěru EIB,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zvýšení výdajů z důvodu zapojení neplánovaných příjmů,</w:t>
      </w:r>
    </w:p>
    <w:p w:rsidR="00C531D3" w:rsidRDefault="00C531D3" w:rsidP="00C531D3">
      <w:pPr>
        <w:numPr>
          <w:ilvl w:val="0"/>
          <w:numId w:val="41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změna výdajů z  důvodu změny potřebnosti vlastních zdrojů </w:t>
      </w:r>
      <w:r>
        <w:rPr>
          <w:rFonts w:ascii="Tahoma" w:hAnsi="Tahoma" w:cs="Tahoma"/>
        </w:rPr>
        <w:br/>
        <w:t xml:space="preserve">na předfinancování výdajů, které mají být kryty z evropských prostředků, </w:t>
      </w:r>
      <w:r>
        <w:rPr>
          <w:rFonts w:ascii="Tahoma" w:hAnsi="Tahoma" w:cs="Tahoma"/>
        </w:rPr>
        <w:br/>
        <w:t>na základě aktuálního cash-</w:t>
      </w:r>
      <w:proofErr w:type="spellStart"/>
      <w:r>
        <w:rPr>
          <w:rFonts w:ascii="Tahoma" w:hAnsi="Tahoma" w:cs="Tahoma"/>
        </w:rPr>
        <w:t>flow</w:t>
      </w:r>
      <w:proofErr w:type="spellEnd"/>
      <w:r>
        <w:rPr>
          <w:rFonts w:ascii="Tahoma" w:hAnsi="Tahoma" w:cs="Tahoma"/>
        </w:rPr>
        <w:t xml:space="preserve"> projektů.</w:t>
      </w: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</w:p>
    <w:p w:rsidR="00C531D3" w:rsidRDefault="00C531D3" w:rsidP="00C531D3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Moravskoslezský kraj na pokrytí výdajů u těchto akcí plánoval:</w:t>
      </w:r>
    </w:p>
    <w:p w:rsidR="00C531D3" w:rsidRDefault="00C531D3" w:rsidP="00C531D3">
      <w:pPr>
        <w:numPr>
          <w:ilvl w:val="0"/>
          <w:numId w:val="42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částečně čerpání úvěru od ČS (na podíl EU). Z plánovaných příjmů projektů se předpokládalo částečné splácení tohoto úvěru,</w:t>
      </w:r>
    </w:p>
    <w:p w:rsidR="00C531D3" w:rsidRDefault="00C531D3" w:rsidP="00C531D3">
      <w:pPr>
        <w:numPr>
          <w:ilvl w:val="0"/>
          <w:numId w:val="42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částečně financování prostřednictvím modifikované platby (na podíl EU),</w:t>
      </w:r>
    </w:p>
    <w:p w:rsidR="00C531D3" w:rsidRDefault="00C531D3" w:rsidP="00C531D3">
      <w:pPr>
        <w:numPr>
          <w:ilvl w:val="0"/>
          <w:numId w:val="42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částečně čerpání úvěru EIB a ČS (na vlastní podíl MSK a neuznatelné výdaje). </w:t>
      </w:r>
    </w:p>
    <w:p w:rsidR="00C531D3" w:rsidRDefault="006C01F6" w:rsidP="00C531D3">
      <w:pPr>
        <w:spacing w:before="240"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výše uvedených důvodů byly</w:t>
      </w:r>
      <w:r w:rsidR="00C531D3">
        <w:rPr>
          <w:rFonts w:ascii="Tahoma" w:hAnsi="Tahoma" w:cs="Tahoma"/>
        </w:rPr>
        <w:t xml:space="preserve"> s ohledem na rozpočtové změny adekvátně upraveny položky financování. Předpoklad financování rozpočtu kraje na rok 2015 z  úvěru EIB se celkově nemění </w:t>
      </w:r>
      <w:r>
        <w:rPr>
          <w:rFonts w:ascii="Tahoma" w:hAnsi="Tahoma" w:cs="Tahoma"/>
        </w:rPr>
        <w:t>a z úvěru ČS se zvýšil</w:t>
      </w:r>
      <w:r w:rsidR="00C531D3">
        <w:rPr>
          <w:rFonts w:ascii="Tahoma" w:hAnsi="Tahoma" w:cs="Tahoma"/>
        </w:rPr>
        <w:t xml:space="preserve"> o 264.243.620 Kč. K navýšení potřeby úvěrových zdrojů došlo především z důvodu zapojení výdajů na předfinancování podílu EU u projektu Nákup dopravních automobilů pro JPO a také z důvodu poklesu využití modifikovaných (ex ante) plateb. Jelikož nasmlouvaná výše úvěrového rámce u Č</w:t>
      </w:r>
      <w:r>
        <w:rPr>
          <w:rFonts w:ascii="Tahoma" w:hAnsi="Tahoma" w:cs="Tahoma"/>
        </w:rPr>
        <w:t>S činí 1.200.000.000 Kč, došlo</w:t>
      </w:r>
      <w:r w:rsidR="00C531D3">
        <w:rPr>
          <w:rFonts w:ascii="Tahoma" w:hAnsi="Tahoma" w:cs="Tahoma"/>
        </w:rPr>
        <w:t xml:space="preserve"> navrženou rozpočtovou úpravou k překročení nasmlouvaného limitu úvěru z </w:t>
      </w:r>
      <w:proofErr w:type="gramStart"/>
      <w:r w:rsidR="00C531D3">
        <w:rPr>
          <w:rFonts w:ascii="Tahoma" w:hAnsi="Tahoma" w:cs="Tahoma"/>
        </w:rPr>
        <w:t>ČS.</w:t>
      </w:r>
      <w:proofErr w:type="gramEnd"/>
      <w:r w:rsidR="00C531D3">
        <w:rPr>
          <w:rFonts w:ascii="Tahoma" w:hAnsi="Tahoma" w:cs="Tahoma"/>
        </w:rPr>
        <w:t xml:space="preserve"> Finanční krytí zvýšen</w:t>
      </w:r>
      <w:r>
        <w:rPr>
          <w:rFonts w:ascii="Tahoma" w:hAnsi="Tahoma" w:cs="Tahoma"/>
        </w:rPr>
        <w:t>é potřeby úvěrových zdrojů  bylo</w:t>
      </w:r>
      <w:r w:rsidR="00C531D3">
        <w:rPr>
          <w:rFonts w:ascii="Tahoma" w:hAnsi="Tahoma" w:cs="Tahoma"/>
        </w:rPr>
        <w:t xml:space="preserve"> zajištěno z nově </w:t>
      </w:r>
      <w:proofErr w:type="spellStart"/>
      <w:r w:rsidR="00C531D3">
        <w:rPr>
          <w:rFonts w:ascii="Tahoma" w:hAnsi="Tahoma" w:cs="Tahoma"/>
        </w:rPr>
        <w:t>zasmluvněného</w:t>
      </w:r>
      <w:proofErr w:type="spellEnd"/>
      <w:r w:rsidR="00C531D3">
        <w:rPr>
          <w:rFonts w:ascii="Tahoma" w:hAnsi="Tahoma" w:cs="Tahoma"/>
        </w:rPr>
        <w:t xml:space="preserve"> </w:t>
      </w:r>
      <w:r w:rsidR="00C531D3">
        <w:rPr>
          <w:rFonts w:ascii="Tahoma" w:hAnsi="Tahoma" w:cs="Tahoma"/>
          <w:szCs w:val="20"/>
        </w:rPr>
        <w:t xml:space="preserve">úvěrového rámce na předfinancování a spolufinancování projektů spolufinancovaných z evropských finančních zdrojů v letech 2015 – 2020 u ČSOB. Limit </w:t>
      </w:r>
      <w:r w:rsidR="00C531D3">
        <w:rPr>
          <w:rFonts w:ascii="Tahoma" w:hAnsi="Tahoma" w:cs="Tahoma"/>
        </w:rPr>
        <w:t>činí 1.200.000.000 Kč.</w:t>
      </w:r>
    </w:p>
    <w:p w:rsidR="00C531D3" w:rsidRDefault="00C531D3" w:rsidP="00C531D3">
      <w:pPr>
        <w:spacing w:before="240"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Finanční prostředky u jednotlivých projektů, které měly být použity na úhradu vlastního podílu kraje, budou:</w:t>
      </w:r>
    </w:p>
    <w:p w:rsidR="00C531D3" w:rsidRDefault="00C531D3" w:rsidP="00C531D3">
      <w:pPr>
        <w:numPr>
          <w:ilvl w:val="0"/>
          <w:numId w:val="43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využity k předfinancování akcí, a to u těch projektů, kde nelze v okamžiku úhrady výdajů použít modifikovanou platbu nebo čerpat úvěrové prostředky. Takto použité finanční prostředky budou příjmem rozpočtu (v % výši dotace) v dalších letech a nebudou určeny na úhradu splátky úvěru,</w:t>
      </w:r>
    </w:p>
    <w:p w:rsidR="00C531D3" w:rsidRDefault="00C531D3" w:rsidP="00C531D3">
      <w:pPr>
        <w:numPr>
          <w:ilvl w:val="0"/>
          <w:numId w:val="43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využity k financování víceprací, které se stávají výdaji neuznatelnými, </w:t>
      </w:r>
    </w:p>
    <w:p w:rsidR="00C531D3" w:rsidRDefault="00C531D3" w:rsidP="00C531D3">
      <w:pPr>
        <w:numPr>
          <w:ilvl w:val="0"/>
          <w:numId w:val="43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využity k financování neočekávaných výdajů v rámci realizace projektů</w:t>
      </w:r>
      <w:r>
        <w:rPr>
          <w:rFonts w:ascii="Tahoma" w:hAnsi="Tahoma" w:cs="Tahoma"/>
        </w:rPr>
        <w:br/>
        <w:t>na dočerpání alokace ROP Moravskoslezsko a dalších projektů realizovaných v rámci Operačního programu životní prostředí (projekty energetických úspor) a Integrovaného operačního programu,</w:t>
      </w:r>
    </w:p>
    <w:p w:rsidR="00C531D3" w:rsidRPr="00C531D3" w:rsidRDefault="00C531D3" w:rsidP="00C531D3">
      <w:pPr>
        <w:numPr>
          <w:ilvl w:val="0"/>
          <w:numId w:val="43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případně navrženy k převodu do roku 2016. </w:t>
      </w:r>
    </w:p>
    <w:p w:rsidR="00C531D3" w:rsidRPr="00C531D3" w:rsidRDefault="00C531D3" w:rsidP="00C531D3">
      <w:pPr>
        <w:pStyle w:val="Zkladntext3"/>
        <w:spacing w:after="120" w:line="280" w:lineRule="exact"/>
        <w:jc w:val="both"/>
        <w:rPr>
          <w:rFonts w:cs="Tahoma"/>
          <w:sz w:val="24"/>
          <w:szCs w:val="24"/>
        </w:rPr>
      </w:pPr>
      <w:r w:rsidRPr="00C531D3">
        <w:rPr>
          <w:rFonts w:cs="Tahoma"/>
          <w:sz w:val="24"/>
          <w:szCs w:val="24"/>
        </w:rPr>
        <w:t xml:space="preserve">Přehled projektů, u kterých </w:t>
      </w:r>
      <w:r w:rsidR="006C01F6">
        <w:rPr>
          <w:rFonts w:cs="Tahoma"/>
          <w:sz w:val="24"/>
          <w:szCs w:val="24"/>
        </w:rPr>
        <w:t>byly provedeny</w:t>
      </w:r>
      <w:r w:rsidRPr="00C531D3">
        <w:rPr>
          <w:rFonts w:cs="Tahoma"/>
          <w:sz w:val="24"/>
          <w:szCs w:val="24"/>
        </w:rPr>
        <w:t xml:space="preserve"> rozpočtové přesuny, je v </w:t>
      </w:r>
      <w:hyperlink r:id="rId9" w:history="1">
        <w:r w:rsidRPr="006E1A3D">
          <w:rPr>
            <w:rStyle w:val="Hypertextovodkaz"/>
            <w:sz w:val="24"/>
            <w:szCs w:val="24"/>
          </w:rPr>
          <w:t>příloze č. 1</w:t>
        </w:r>
      </w:hyperlink>
      <w:bookmarkStart w:id="0" w:name="_GoBack"/>
      <w:bookmarkEnd w:id="0"/>
      <w:r w:rsidRPr="00C531D3">
        <w:rPr>
          <w:rFonts w:cs="Tahoma"/>
          <w:sz w:val="24"/>
          <w:szCs w:val="24"/>
        </w:rPr>
        <w:t xml:space="preserve"> předloženého materiálu.</w:t>
      </w:r>
    </w:p>
    <w:p w:rsidR="008C014C" w:rsidRPr="00BE38B7" w:rsidRDefault="008C014C" w:rsidP="00C531D3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BE38B7">
        <w:rPr>
          <w:rFonts w:cs="Tahoma"/>
          <w:sz w:val="24"/>
          <w:szCs w:val="24"/>
        </w:rPr>
        <w:t xml:space="preserve">Rada kraje předkládá zastupitelstvu kraje informaci o těchto rozpočtových úpravách. </w:t>
      </w: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1C4EF0" w:rsidRDefault="001C4EF0" w:rsidP="00F6699E">
      <w:pPr>
        <w:spacing w:line="280" w:lineRule="exact"/>
        <w:rPr>
          <w:rFonts w:ascii="Tahoma" w:hAnsi="Tahoma" w:cs="Tahoma"/>
          <w:u w:val="single"/>
        </w:rPr>
      </w:pPr>
    </w:p>
    <w:p w:rsidR="00F6699E" w:rsidRDefault="00F6699E" w:rsidP="00F6699E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Výpis z </w:t>
      </w:r>
      <w:r w:rsidRPr="00F90947">
        <w:rPr>
          <w:rFonts w:ascii="Tahoma" w:hAnsi="Tahoma" w:cs="Tahoma"/>
          <w:u w:val="single"/>
        </w:rPr>
        <w:t xml:space="preserve">usnesení </w:t>
      </w:r>
      <w:r w:rsidR="00590C86">
        <w:rPr>
          <w:rFonts w:ascii="Tahoma" w:hAnsi="Tahoma" w:cs="Tahoma"/>
          <w:u w:val="single"/>
        </w:rPr>
        <w:t>74</w:t>
      </w:r>
      <w:r w:rsidR="00E534D0" w:rsidRPr="00F90947">
        <w:rPr>
          <w:rFonts w:ascii="Tahoma" w:hAnsi="Tahoma" w:cs="Tahoma"/>
          <w:u w:val="single"/>
        </w:rPr>
        <w:t xml:space="preserve">. </w:t>
      </w:r>
      <w:r w:rsidRPr="00F90947">
        <w:rPr>
          <w:rFonts w:ascii="Tahoma" w:hAnsi="Tahoma" w:cs="Tahoma"/>
          <w:u w:val="single"/>
        </w:rPr>
        <w:t>schůze</w:t>
      </w:r>
      <w:r>
        <w:rPr>
          <w:rFonts w:ascii="Tahoma" w:hAnsi="Tahoma" w:cs="Tahoma"/>
          <w:u w:val="single"/>
        </w:rPr>
        <w:t xml:space="preserve"> rady kraje konané dne </w:t>
      </w:r>
      <w:r w:rsidR="001C4EF0">
        <w:rPr>
          <w:rFonts w:ascii="Tahoma" w:hAnsi="Tahoma" w:cs="Tahoma"/>
          <w:u w:val="single"/>
        </w:rPr>
        <w:t>6. 10</w:t>
      </w:r>
      <w:r w:rsidR="007C2FA3">
        <w:rPr>
          <w:rFonts w:ascii="Tahoma" w:hAnsi="Tahoma" w:cs="Tahoma"/>
          <w:u w:val="single"/>
        </w:rPr>
        <w:t>. 2015</w:t>
      </w:r>
      <w:r w:rsidR="00797CD5">
        <w:rPr>
          <w:rFonts w:ascii="Tahoma" w:hAnsi="Tahoma" w:cs="Tahoma"/>
          <w:u w:val="single"/>
        </w:rPr>
        <w:t>:</w:t>
      </w:r>
    </w:p>
    <w:p w:rsidR="00C71732" w:rsidRDefault="00C71732" w:rsidP="00F6699E">
      <w:pPr>
        <w:spacing w:line="280" w:lineRule="exact"/>
        <w:rPr>
          <w:rFonts w:ascii="Tahoma" w:hAnsi="Tahoma" w:cs="Tahoma"/>
          <w:u w:val="single"/>
        </w:rPr>
      </w:pPr>
    </w:p>
    <w:p w:rsidR="003C63DA" w:rsidRDefault="003C63DA" w:rsidP="003C63D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C63DA" w:rsidRDefault="003C63DA" w:rsidP="003C63DA">
      <w:pPr>
        <w:ind w:right="-288"/>
        <w:rPr>
          <w:rFonts w:ascii="Tahoma" w:hAnsi="Tahoma" w:cs="Tahoma"/>
        </w:rPr>
      </w:pPr>
    </w:p>
    <w:p w:rsidR="007C2FA3" w:rsidRPr="0078362C" w:rsidRDefault="003C63DA" w:rsidP="007C2F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C2FA3" w:rsidRPr="0078362C">
        <w:rPr>
          <w:rFonts w:ascii="Tahoma" w:hAnsi="Tahoma" w:cs="Tahoma"/>
        </w:rPr>
        <w:t>(č. usnesení)</w: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378"/>
        <w:gridCol w:w="4582"/>
        <w:gridCol w:w="360"/>
        <w:gridCol w:w="2521"/>
      </w:tblGrid>
      <w:tr w:rsidR="002D52E5" w:rsidTr="002D52E5">
        <w:tc>
          <w:tcPr>
            <w:tcW w:w="593" w:type="dxa"/>
          </w:tcPr>
          <w:p w:rsidR="002D52E5" w:rsidRDefault="002D52E5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  <w:hideMark/>
          </w:tcPr>
          <w:p w:rsidR="002D52E5" w:rsidRDefault="00590C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79/6425</w:t>
            </w:r>
          </w:p>
        </w:tc>
      </w:tr>
      <w:tr w:rsidR="002D52E5" w:rsidTr="002D52E5">
        <w:tc>
          <w:tcPr>
            <w:tcW w:w="593" w:type="dxa"/>
            <w:hideMark/>
          </w:tcPr>
          <w:p w:rsidR="002D52E5" w:rsidRDefault="002D52E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837" w:type="dxa"/>
            <w:gridSpan w:val="4"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c h v a l u j e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rozpočtové</w:t>
            </w:r>
            <w:proofErr w:type="gramEnd"/>
            <w:r>
              <w:rPr>
                <w:rFonts w:ascii="Tahoma" w:hAnsi="Tahoma" w:cs="Tahoma"/>
              </w:rPr>
              <w:t xml:space="preserve"> opatření, kterým </w:t>
            </w:r>
            <w:proofErr w:type="gramStart"/>
            <w:r>
              <w:rPr>
                <w:rFonts w:ascii="Tahoma" w:hAnsi="Tahoma" w:cs="Tahoma"/>
              </w:rPr>
              <w:t>se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n i ž u j í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4116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přijaté transfery ze státního rozpočtu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0,84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4152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Neinvestiční přijaté transfery od mezinárodních institucí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5,01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  <w:hideMark/>
          </w:tcPr>
          <w:p w:rsidR="002D52E5" w:rsidRDefault="002D52E5">
            <w:pPr>
              <w:spacing w:line="280" w:lineRule="exact"/>
              <w:ind w:lef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5,85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 n i ž u j í 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 přijaté transfery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4213 -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 přijaté transfery ze státních fondů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104,98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4216 -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investiční přijaté transfery ze státního rozpočtu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1.146,25 tis. Kč</w:t>
            </w:r>
          </w:p>
        </w:tc>
      </w:tr>
      <w:tr w:rsidR="002D52E5" w:rsidTr="002D52E5">
        <w:trPr>
          <w:cantSplit/>
          <w:trHeight w:val="360"/>
        </w:trPr>
        <w:tc>
          <w:tcPr>
            <w:tcW w:w="593" w:type="dxa"/>
            <w:vAlign w:val="bottom"/>
          </w:tcPr>
          <w:p w:rsidR="002D52E5" w:rsidRDefault="002D52E5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4223 -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 přijaté transfery od regionálních rad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162.687,97 tis. Kč</w:t>
            </w:r>
          </w:p>
        </w:tc>
      </w:tr>
      <w:tr w:rsidR="002D52E5" w:rsidTr="002D52E5">
        <w:trPr>
          <w:cantSplit/>
          <w:trHeight w:val="360"/>
        </w:trPr>
        <w:tc>
          <w:tcPr>
            <w:tcW w:w="593" w:type="dxa"/>
            <w:vAlign w:val="bottom"/>
          </w:tcPr>
          <w:p w:rsidR="002D52E5" w:rsidRDefault="002D52E5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4232 -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Investiční přijaté transfery od mezinárodních institucí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17,70 tis. Kč </w:t>
            </w:r>
          </w:p>
        </w:tc>
      </w:tr>
      <w:tr w:rsidR="002D52E5" w:rsidTr="002D52E5">
        <w:trPr>
          <w:cantSplit/>
          <w:trHeight w:val="360"/>
        </w:trPr>
        <w:tc>
          <w:tcPr>
            <w:tcW w:w="593" w:type="dxa"/>
            <w:vAlign w:val="bottom"/>
          </w:tcPr>
          <w:p w:rsidR="002D52E5" w:rsidRDefault="002D52E5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  <w:hideMark/>
          </w:tcPr>
          <w:p w:rsidR="002D52E5" w:rsidRDefault="002D52E5">
            <w:pPr>
              <w:spacing w:line="280" w:lineRule="exact"/>
              <w:ind w:lef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163.956,90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 n i ž u j í 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37,85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5163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Služby peněžních ústavů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5166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Konzultační, poradenské a právní služby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0,56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5169</w:t>
            </w:r>
            <w:proofErr w:type="gramEnd"/>
            <w:r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268,13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Opravy a udržování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2.631,97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2251 -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Letiště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2.478,85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397,37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5169</w:t>
            </w:r>
            <w:proofErr w:type="gramEnd"/>
            <w:r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62,08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930,00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37,92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3146 -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Dětské domovy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861,52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3322 -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Zachování a obnova kulturních památek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Opravy a udržování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482,00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32,75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17,51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11,84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6172 -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60,67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193,50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20,51 tis. Kč</w:t>
            </w:r>
          </w:p>
        </w:tc>
      </w:tr>
      <w:tr w:rsidR="002D52E5" w:rsidTr="002D52E5">
        <w:trPr>
          <w:cantSplit/>
          <w:trHeight w:val="400"/>
        </w:trPr>
        <w:tc>
          <w:tcPr>
            <w:tcW w:w="593" w:type="dxa"/>
            <w:vAlign w:val="center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center"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8.537,03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rPr>
                <w:rFonts w:ascii="Tahoma" w:hAnsi="Tahoma" w:cs="Tahoma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 n i ž u j í 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kapitálové výdaje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40.823,70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na § 2251 -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Letiště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3.386,37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3114 -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Speciální základní školy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44,81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na § 3121 -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Gymnázia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7.231,62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378,02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6.973,82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3146 -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Dětské domovy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57,21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240,54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6125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Výpočetní technika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45,27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6111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118,82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7.889,40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6125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Výpočetní technika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420,42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3533 -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Zdravotnická záchranná služba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6111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2.620,00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2.793,00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4319 -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výdaje související se sociálním poradenstvím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344,64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Domovy pro osoby se zdravotním postižením a domovy se zvláštním režimem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2.729,61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683,64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5511 -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Požární ochrana – profesionální část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jc w:val="right"/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6123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Dopravní prostředky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457,02 tis. Kč</w:t>
            </w:r>
          </w:p>
        </w:tc>
      </w:tr>
      <w:tr w:rsidR="002D52E5" w:rsidTr="002D52E5">
        <w:trPr>
          <w:cantSplit/>
          <w:trHeight w:val="359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6172 -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  <w:trHeight w:val="279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6111</w:t>
            </w:r>
            <w:proofErr w:type="gramEnd"/>
            <w:r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1.250,83 tis. Kč</w:t>
            </w:r>
          </w:p>
        </w:tc>
      </w:tr>
      <w:tr w:rsidR="002D52E5" w:rsidTr="002D52E5">
        <w:trPr>
          <w:cantSplit/>
          <w:trHeight w:val="282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6125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Výpočetní technika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294,14 tis. Kč</w:t>
            </w:r>
          </w:p>
        </w:tc>
      </w:tr>
      <w:tr w:rsidR="002D52E5" w:rsidTr="002D52E5">
        <w:trPr>
          <w:cantSplit/>
          <w:trHeight w:val="287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81.782,88 tis. Kč</w:t>
            </w:r>
          </w:p>
        </w:tc>
      </w:tr>
      <w:tr w:rsidR="002D52E5" w:rsidTr="002D52E5">
        <w:trPr>
          <w:cantSplit/>
          <w:trHeight w:val="1444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60"/>
              </w:rPr>
              <w:t>zvyšuje</w:t>
            </w:r>
          </w:p>
          <w:p w:rsidR="002D52E5" w:rsidRDefault="002D52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dlouhodobé financování</w:t>
            </w:r>
          </w:p>
        </w:tc>
      </w:tr>
      <w:tr w:rsidR="002D52E5" w:rsidTr="002D52E5">
        <w:trPr>
          <w:cantSplit/>
          <w:trHeight w:val="215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8123 -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Dlouhodobé přijaté půjčené prostředky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264.243,62 tis. Kč</w:t>
            </w:r>
          </w:p>
        </w:tc>
      </w:tr>
      <w:tr w:rsidR="002D52E5" w:rsidTr="002D52E5">
        <w:trPr>
          <w:cantSplit/>
          <w:trHeight w:val="528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60"/>
              </w:rPr>
              <w:t>zvyšují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</w:t>
            </w:r>
          </w:p>
        </w:tc>
      </w:tr>
      <w:tr w:rsidR="002D52E5" w:rsidTr="002D52E5">
        <w:trPr>
          <w:cantSplit/>
          <w:trHeight w:val="528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4123 -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 od regionálních rad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601,00 tis. Kč</w:t>
            </w:r>
          </w:p>
        </w:tc>
      </w:tr>
      <w:tr w:rsidR="002D52E5" w:rsidTr="002D52E5">
        <w:trPr>
          <w:cantSplit/>
          <w:trHeight w:val="528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60"/>
              </w:rPr>
              <w:t>zvyšuje</w:t>
            </w:r>
          </w:p>
          <w:p w:rsidR="002D52E5" w:rsidRDefault="002D52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dlouhodobé financování</w:t>
            </w:r>
          </w:p>
        </w:tc>
      </w:tr>
      <w:tr w:rsidR="002D52E5" w:rsidTr="002D52E5">
        <w:trPr>
          <w:cantSplit/>
          <w:trHeight w:val="528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8124 -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Uhrazené splátky dlouhodobých přijatých půjčených prostředků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5.243,35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60"/>
              </w:rPr>
              <w:t>zvyšují</w:t>
            </w:r>
          </w:p>
          <w:p w:rsidR="002D52E5" w:rsidRDefault="002D52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na § 3639 -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Komunální služby a územní rozvoj jinde nezařazené</w:t>
            </w:r>
          </w:p>
        </w:tc>
        <w:tc>
          <w:tcPr>
            <w:tcW w:w="360" w:type="dxa"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nákupy jinde nezařazené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21.635,81 tis. Kč</w:t>
            </w:r>
          </w:p>
        </w:tc>
      </w:tr>
      <w:tr w:rsidR="002D52E5" w:rsidTr="002D52E5">
        <w:trPr>
          <w:cantSplit/>
          <w:trHeight w:val="1554"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D52E5" w:rsidRDefault="002D52E5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60"/>
              </w:rPr>
              <w:t>zvyšují</w:t>
            </w:r>
          </w:p>
          <w:p w:rsidR="002D52E5" w:rsidRDefault="002D52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kapitálové výdaje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5512 -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Požární ochrana – dobrovolná část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6123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Dopravní prostředky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163.839,62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5521 -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Operační a informační střediska integrovaného záchranného systému</w:t>
            </w:r>
          </w:p>
        </w:tc>
        <w:tc>
          <w:tcPr>
            <w:tcW w:w="360" w:type="dxa"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hideMark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hideMark/>
          </w:tcPr>
          <w:p w:rsidR="002D52E5" w:rsidRDefault="002D52E5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483,00 tis. Kč</w:t>
            </w:r>
          </w:p>
        </w:tc>
      </w:tr>
      <w:tr w:rsidR="002D52E5" w:rsidTr="002D52E5">
        <w:trPr>
          <w:cantSplit/>
        </w:trPr>
        <w:tc>
          <w:tcPr>
            <w:tcW w:w="593" w:type="dxa"/>
          </w:tcPr>
          <w:p w:rsidR="002D52E5" w:rsidRDefault="002D52E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hideMark/>
          </w:tcPr>
          <w:p w:rsidR="002D52E5" w:rsidRDefault="002D52E5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hideMark/>
          </w:tcPr>
          <w:p w:rsidR="002D52E5" w:rsidRDefault="002D52E5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164.322,62 tis. Kč</w:t>
            </w:r>
          </w:p>
        </w:tc>
      </w:tr>
    </w:tbl>
    <w:p w:rsidR="002D52E5" w:rsidRDefault="002D52E5" w:rsidP="002D52E5">
      <w:pPr>
        <w:pStyle w:val="Zkladntext3"/>
        <w:spacing w:line="280" w:lineRule="exact"/>
        <w:rPr>
          <w:rFonts w:cs="Tahoma"/>
        </w:rPr>
      </w:pPr>
    </w:p>
    <w:p w:rsidR="002D52E5" w:rsidRDefault="002D52E5" w:rsidP="002D52E5">
      <w:pPr>
        <w:pStyle w:val="Zkladntext3"/>
        <w:spacing w:line="280" w:lineRule="exact"/>
        <w:rPr>
          <w:rFonts w:cs="Tahoma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24"/>
      </w:tblGrid>
      <w:tr w:rsidR="002D52E5" w:rsidTr="002D52E5">
        <w:tc>
          <w:tcPr>
            <w:tcW w:w="496" w:type="dxa"/>
          </w:tcPr>
          <w:p w:rsidR="002D52E5" w:rsidRDefault="002D52E5">
            <w:pPr>
              <w:pStyle w:val="Zpat"/>
              <w:tabs>
                <w:tab w:val="left" w:pos="708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930" w:type="dxa"/>
            <w:hideMark/>
          </w:tcPr>
          <w:p w:rsidR="002D52E5" w:rsidRDefault="00590C8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79/6425</w:t>
            </w:r>
          </w:p>
        </w:tc>
      </w:tr>
      <w:tr w:rsidR="002D52E5" w:rsidTr="002D52E5">
        <w:tc>
          <w:tcPr>
            <w:tcW w:w="496" w:type="dxa"/>
            <w:hideMark/>
          </w:tcPr>
          <w:p w:rsidR="002D52E5" w:rsidRDefault="002D52E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930" w:type="dxa"/>
          </w:tcPr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2D52E5" w:rsidRDefault="002D52E5">
            <w:pPr>
              <w:jc w:val="both"/>
              <w:rPr>
                <w:rFonts w:ascii="Tahoma" w:hAnsi="Tahoma" w:cs="Tahoma"/>
              </w:rPr>
            </w:pPr>
          </w:p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2D52E5" w:rsidRDefault="002D52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informaci o souhrnných rozpočtových změnách u projektů financovaných z evropských finančních zdrojů zastupitelstvu kraje</w:t>
            </w:r>
          </w:p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  Martin Sikora</w:t>
            </w:r>
          </w:p>
          <w:p w:rsidR="002D52E5" w:rsidRDefault="002D52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17. 12. 2015</w:t>
            </w:r>
          </w:p>
        </w:tc>
      </w:tr>
    </w:tbl>
    <w:p w:rsidR="008043B8" w:rsidRPr="00ED7EB6" w:rsidRDefault="008043B8" w:rsidP="007C2FA3"/>
    <w:sectPr w:rsidR="008043B8" w:rsidRPr="00ED7EB6" w:rsidSect="00E63980">
      <w:footerReference w:type="default" r:id="rId10"/>
      <w:pgSz w:w="11906" w:h="16838" w:code="9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EE" w:rsidRDefault="005D0DEE">
      <w:r>
        <w:separator/>
      </w:r>
    </w:p>
  </w:endnote>
  <w:endnote w:type="continuationSeparator" w:id="0">
    <w:p w:rsidR="005D0DEE" w:rsidRDefault="005D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3" w:rsidRPr="00ED7EB6" w:rsidRDefault="00F27A63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4A656F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EE" w:rsidRDefault="005D0DEE">
      <w:r>
        <w:separator/>
      </w:r>
    </w:p>
  </w:footnote>
  <w:footnote w:type="continuationSeparator" w:id="0">
    <w:p w:rsidR="005D0DEE" w:rsidRDefault="005D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33C3"/>
    <w:multiLevelType w:val="hybridMultilevel"/>
    <w:tmpl w:val="0074B2DE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734E6A"/>
    <w:multiLevelType w:val="hybridMultilevel"/>
    <w:tmpl w:val="7FF44F84"/>
    <w:lvl w:ilvl="0" w:tplc="75525F0A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42051"/>
    <w:multiLevelType w:val="hybridMultilevel"/>
    <w:tmpl w:val="CD8AB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2FC"/>
    <w:multiLevelType w:val="hybridMultilevel"/>
    <w:tmpl w:val="88548536"/>
    <w:lvl w:ilvl="0" w:tplc="85046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21643F"/>
    <w:multiLevelType w:val="hybridMultilevel"/>
    <w:tmpl w:val="FBF8FCF8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12"/>
  </w:num>
  <w:num w:numId="17">
    <w:abstractNumId w:val="29"/>
  </w:num>
  <w:num w:numId="18">
    <w:abstractNumId w:val="15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51D"/>
    <w:rsid w:val="00001625"/>
    <w:rsid w:val="00007CBA"/>
    <w:rsid w:val="00014CBE"/>
    <w:rsid w:val="00033D65"/>
    <w:rsid w:val="00042B3F"/>
    <w:rsid w:val="000558D4"/>
    <w:rsid w:val="00057B7B"/>
    <w:rsid w:val="00060440"/>
    <w:rsid w:val="00061920"/>
    <w:rsid w:val="00065BF4"/>
    <w:rsid w:val="00066F0B"/>
    <w:rsid w:val="0008444B"/>
    <w:rsid w:val="000906BA"/>
    <w:rsid w:val="00092B78"/>
    <w:rsid w:val="00096A59"/>
    <w:rsid w:val="000A1422"/>
    <w:rsid w:val="000A4471"/>
    <w:rsid w:val="000A76DE"/>
    <w:rsid w:val="000E3D1E"/>
    <w:rsid w:val="000E5304"/>
    <w:rsid w:val="00102422"/>
    <w:rsid w:val="0012689F"/>
    <w:rsid w:val="001364D9"/>
    <w:rsid w:val="00143A5B"/>
    <w:rsid w:val="00143B8C"/>
    <w:rsid w:val="001502F9"/>
    <w:rsid w:val="00167E04"/>
    <w:rsid w:val="0018663A"/>
    <w:rsid w:val="00186B4A"/>
    <w:rsid w:val="001C4EF0"/>
    <w:rsid w:val="001D3DA0"/>
    <w:rsid w:val="001D7350"/>
    <w:rsid w:val="001E2ACF"/>
    <w:rsid w:val="001F0FF2"/>
    <w:rsid w:val="001F3E00"/>
    <w:rsid w:val="001F513B"/>
    <w:rsid w:val="001F7563"/>
    <w:rsid w:val="002126C1"/>
    <w:rsid w:val="00220D59"/>
    <w:rsid w:val="00240826"/>
    <w:rsid w:val="0024497A"/>
    <w:rsid w:val="00262833"/>
    <w:rsid w:val="00265B85"/>
    <w:rsid w:val="00281991"/>
    <w:rsid w:val="00296306"/>
    <w:rsid w:val="00297BB0"/>
    <w:rsid w:val="002B6732"/>
    <w:rsid w:val="002D52E5"/>
    <w:rsid w:val="002F6735"/>
    <w:rsid w:val="00307A50"/>
    <w:rsid w:val="003316E8"/>
    <w:rsid w:val="00340912"/>
    <w:rsid w:val="00353D3B"/>
    <w:rsid w:val="00362B78"/>
    <w:rsid w:val="00366A31"/>
    <w:rsid w:val="0037575A"/>
    <w:rsid w:val="00382E7F"/>
    <w:rsid w:val="0039583C"/>
    <w:rsid w:val="003A4531"/>
    <w:rsid w:val="003B0A93"/>
    <w:rsid w:val="003B72CE"/>
    <w:rsid w:val="003C63DA"/>
    <w:rsid w:val="003C72B6"/>
    <w:rsid w:val="003D1910"/>
    <w:rsid w:val="003F2063"/>
    <w:rsid w:val="004049E7"/>
    <w:rsid w:val="00412DEC"/>
    <w:rsid w:val="00413636"/>
    <w:rsid w:val="00421E73"/>
    <w:rsid w:val="00430191"/>
    <w:rsid w:val="00441B63"/>
    <w:rsid w:val="0044633B"/>
    <w:rsid w:val="00452C78"/>
    <w:rsid w:val="00455E3E"/>
    <w:rsid w:val="004579CE"/>
    <w:rsid w:val="00470F88"/>
    <w:rsid w:val="00471F51"/>
    <w:rsid w:val="0049631C"/>
    <w:rsid w:val="004A4679"/>
    <w:rsid w:val="004A656F"/>
    <w:rsid w:val="004C05C0"/>
    <w:rsid w:val="004D7A48"/>
    <w:rsid w:val="004F0DB3"/>
    <w:rsid w:val="00503BCF"/>
    <w:rsid w:val="0050731B"/>
    <w:rsid w:val="00514CE0"/>
    <w:rsid w:val="00517023"/>
    <w:rsid w:val="00523E7E"/>
    <w:rsid w:val="00545C38"/>
    <w:rsid w:val="00561AED"/>
    <w:rsid w:val="00563DE0"/>
    <w:rsid w:val="005653B3"/>
    <w:rsid w:val="00590C86"/>
    <w:rsid w:val="005920EC"/>
    <w:rsid w:val="005B13A5"/>
    <w:rsid w:val="005B215B"/>
    <w:rsid w:val="005C2470"/>
    <w:rsid w:val="005C7B4C"/>
    <w:rsid w:val="005D0DEE"/>
    <w:rsid w:val="005E100C"/>
    <w:rsid w:val="005E756D"/>
    <w:rsid w:val="006237C5"/>
    <w:rsid w:val="00625DE4"/>
    <w:rsid w:val="00647988"/>
    <w:rsid w:val="006506F4"/>
    <w:rsid w:val="006519B5"/>
    <w:rsid w:val="006620B2"/>
    <w:rsid w:val="00686005"/>
    <w:rsid w:val="00692952"/>
    <w:rsid w:val="006A53A3"/>
    <w:rsid w:val="006B0DBF"/>
    <w:rsid w:val="006C01F6"/>
    <w:rsid w:val="006C03F9"/>
    <w:rsid w:val="006D5441"/>
    <w:rsid w:val="006D62F7"/>
    <w:rsid w:val="006D736B"/>
    <w:rsid w:val="006E1A3D"/>
    <w:rsid w:val="006F0BFA"/>
    <w:rsid w:val="006F30B5"/>
    <w:rsid w:val="0070007A"/>
    <w:rsid w:val="007105C7"/>
    <w:rsid w:val="00711590"/>
    <w:rsid w:val="007143B2"/>
    <w:rsid w:val="007144A6"/>
    <w:rsid w:val="00735292"/>
    <w:rsid w:val="00756CAA"/>
    <w:rsid w:val="00761BB2"/>
    <w:rsid w:val="00762D09"/>
    <w:rsid w:val="00775A57"/>
    <w:rsid w:val="0078058A"/>
    <w:rsid w:val="00782247"/>
    <w:rsid w:val="00783BB6"/>
    <w:rsid w:val="007842C5"/>
    <w:rsid w:val="00797CD5"/>
    <w:rsid w:val="007B1B9D"/>
    <w:rsid w:val="007B2302"/>
    <w:rsid w:val="007C026A"/>
    <w:rsid w:val="007C03A7"/>
    <w:rsid w:val="007C07A2"/>
    <w:rsid w:val="007C2FA3"/>
    <w:rsid w:val="007C4999"/>
    <w:rsid w:val="007C592D"/>
    <w:rsid w:val="007E525F"/>
    <w:rsid w:val="007E6410"/>
    <w:rsid w:val="007F00A6"/>
    <w:rsid w:val="007F1E89"/>
    <w:rsid w:val="008043B8"/>
    <w:rsid w:val="00805A9F"/>
    <w:rsid w:val="00821589"/>
    <w:rsid w:val="00824DB3"/>
    <w:rsid w:val="00824FCA"/>
    <w:rsid w:val="008257A7"/>
    <w:rsid w:val="00826132"/>
    <w:rsid w:val="00826972"/>
    <w:rsid w:val="00827475"/>
    <w:rsid w:val="00827C83"/>
    <w:rsid w:val="0083088E"/>
    <w:rsid w:val="00841A94"/>
    <w:rsid w:val="00844245"/>
    <w:rsid w:val="00845075"/>
    <w:rsid w:val="008455BB"/>
    <w:rsid w:val="008474B9"/>
    <w:rsid w:val="00852BD4"/>
    <w:rsid w:val="00857160"/>
    <w:rsid w:val="0086032F"/>
    <w:rsid w:val="00860D87"/>
    <w:rsid w:val="00883784"/>
    <w:rsid w:val="008A05AE"/>
    <w:rsid w:val="008A2E34"/>
    <w:rsid w:val="008C014C"/>
    <w:rsid w:val="008C2714"/>
    <w:rsid w:val="008C3B42"/>
    <w:rsid w:val="008C4857"/>
    <w:rsid w:val="008C5150"/>
    <w:rsid w:val="008C6192"/>
    <w:rsid w:val="008E5308"/>
    <w:rsid w:val="00903A58"/>
    <w:rsid w:val="00907B25"/>
    <w:rsid w:val="00910DE7"/>
    <w:rsid w:val="00914610"/>
    <w:rsid w:val="00944651"/>
    <w:rsid w:val="00955C92"/>
    <w:rsid w:val="00985D08"/>
    <w:rsid w:val="009945D8"/>
    <w:rsid w:val="00997FA8"/>
    <w:rsid w:val="009B0013"/>
    <w:rsid w:val="009B1046"/>
    <w:rsid w:val="009C2B3D"/>
    <w:rsid w:val="009C328D"/>
    <w:rsid w:val="009D2FEE"/>
    <w:rsid w:val="009E0099"/>
    <w:rsid w:val="009E1DE1"/>
    <w:rsid w:val="009E28E7"/>
    <w:rsid w:val="009F121E"/>
    <w:rsid w:val="009F3430"/>
    <w:rsid w:val="009F490F"/>
    <w:rsid w:val="00A0101F"/>
    <w:rsid w:val="00A15085"/>
    <w:rsid w:val="00A15680"/>
    <w:rsid w:val="00A15BCA"/>
    <w:rsid w:val="00A403D1"/>
    <w:rsid w:val="00A42796"/>
    <w:rsid w:val="00A52E8A"/>
    <w:rsid w:val="00A6015C"/>
    <w:rsid w:val="00A700F4"/>
    <w:rsid w:val="00A8054C"/>
    <w:rsid w:val="00A87A85"/>
    <w:rsid w:val="00A92BC8"/>
    <w:rsid w:val="00AD6B8C"/>
    <w:rsid w:val="00AE52C9"/>
    <w:rsid w:val="00B136E8"/>
    <w:rsid w:val="00B330AC"/>
    <w:rsid w:val="00B52C67"/>
    <w:rsid w:val="00B53C04"/>
    <w:rsid w:val="00B60304"/>
    <w:rsid w:val="00B62929"/>
    <w:rsid w:val="00B73E73"/>
    <w:rsid w:val="00B82696"/>
    <w:rsid w:val="00B9386B"/>
    <w:rsid w:val="00B948B8"/>
    <w:rsid w:val="00BA4C13"/>
    <w:rsid w:val="00BD3807"/>
    <w:rsid w:val="00BD7FF4"/>
    <w:rsid w:val="00BE0AD1"/>
    <w:rsid w:val="00BE1881"/>
    <w:rsid w:val="00BE38B7"/>
    <w:rsid w:val="00BF04B6"/>
    <w:rsid w:val="00BF3DDA"/>
    <w:rsid w:val="00C04154"/>
    <w:rsid w:val="00C0776B"/>
    <w:rsid w:val="00C237DE"/>
    <w:rsid w:val="00C23956"/>
    <w:rsid w:val="00C354E6"/>
    <w:rsid w:val="00C531D3"/>
    <w:rsid w:val="00C60C59"/>
    <w:rsid w:val="00C635B4"/>
    <w:rsid w:val="00C67763"/>
    <w:rsid w:val="00C67A07"/>
    <w:rsid w:val="00C70C34"/>
    <w:rsid w:val="00C71732"/>
    <w:rsid w:val="00C76CB4"/>
    <w:rsid w:val="00C84E50"/>
    <w:rsid w:val="00C9347D"/>
    <w:rsid w:val="00C95ACB"/>
    <w:rsid w:val="00CD3755"/>
    <w:rsid w:val="00CE4950"/>
    <w:rsid w:val="00CF231C"/>
    <w:rsid w:val="00D12FCF"/>
    <w:rsid w:val="00D36067"/>
    <w:rsid w:val="00D47B4F"/>
    <w:rsid w:val="00D53CEE"/>
    <w:rsid w:val="00D7068E"/>
    <w:rsid w:val="00D7191E"/>
    <w:rsid w:val="00D75159"/>
    <w:rsid w:val="00D83D80"/>
    <w:rsid w:val="00D92A61"/>
    <w:rsid w:val="00D93524"/>
    <w:rsid w:val="00DD7D65"/>
    <w:rsid w:val="00E0018C"/>
    <w:rsid w:val="00E03408"/>
    <w:rsid w:val="00E25065"/>
    <w:rsid w:val="00E439F0"/>
    <w:rsid w:val="00E45E71"/>
    <w:rsid w:val="00E534D0"/>
    <w:rsid w:val="00E5421D"/>
    <w:rsid w:val="00E627C0"/>
    <w:rsid w:val="00E63980"/>
    <w:rsid w:val="00E96A9F"/>
    <w:rsid w:val="00E97481"/>
    <w:rsid w:val="00EB2B02"/>
    <w:rsid w:val="00ED11EA"/>
    <w:rsid w:val="00ED7EB6"/>
    <w:rsid w:val="00EE468B"/>
    <w:rsid w:val="00F0007D"/>
    <w:rsid w:val="00F25AD7"/>
    <w:rsid w:val="00F2792C"/>
    <w:rsid w:val="00F27A63"/>
    <w:rsid w:val="00F413C5"/>
    <w:rsid w:val="00F47C22"/>
    <w:rsid w:val="00F51A7E"/>
    <w:rsid w:val="00F6699E"/>
    <w:rsid w:val="00F77666"/>
    <w:rsid w:val="00F871B2"/>
    <w:rsid w:val="00F90947"/>
    <w:rsid w:val="00F94913"/>
    <w:rsid w:val="00FA08A6"/>
    <w:rsid w:val="00FA4203"/>
    <w:rsid w:val="00FA599B"/>
    <w:rsid w:val="00FB0B28"/>
    <w:rsid w:val="00FB118E"/>
    <w:rsid w:val="00FC7C0E"/>
    <w:rsid w:val="00FD3179"/>
    <w:rsid w:val="00FD7621"/>
    <w:rsid w:val="00FE429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1217_10_001_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1217_10_001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1621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11168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131022_10_010_01.xls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Kortan Rostislav</cp:lastModifiedBy>
  <cp:revision>12</cp:revision>
  <cp:lastPrinted>2012-08-21T13:08:00Z</cp:lastPrinted>
  <dcterms:created xsi:type="dcterms:W3CDTF">2015-11-30T10:42:00Z</dcterms:created>
  <dcterms:modified xsi:type="dcterms:W3CDTF">2015-12-01T12:16:00Z</dcterms:modified>
</cp:coreProperties>
</file>