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8C" w:rsidRPr="008F790B" w:rsidRDefault="005F5D8C" w:rsidP="005F5D8C">
      <w:pPr>
        <w:jc w:val="both"/>
        <w:rPr>
          <w:rFonts w:ascii="Arial" w:hAnsi="Arial" w:cs="Arial"/>
          <w:b/>
          <w:sz w:val="20"/>
          <w:szCs w:val="20"/>
        </w:rPr>
      </w:pPr>
      <w:r w:rsidRPr="008F790B">
        <w:rPr>
          <w:rFonts w:ascii="Arial" w:hAnsi="Arial" w:cs="Arial"/>
          <w:b/>
          <w:sz w:val="20"/>
          <w:szCs w:val="20"/>
        </w:rPr>
        <w:t xml:space="preserve">Zpráva o činnosti </w:t>
      </w:r>
      <w:r w:rsidRPr="00825995">
        <w:rPr>
          <w:rFonts w:ascii="Arial" w:hAnsi="Arial" w:cs="Arial"/>
          <w:b/>
          <w:sz w:val="20"/>
          <w:szCs w:val="20"/>
        </w:rPr>
        <w:t xml:space="preserve">výboru zahraničního zastupitelstva kraje </w:t>
      </w:r>
      <w:r w:rsidRPr="008F790B">
        <w:rPr>
          <w:rFonts w:ascii="Arial" w:hAnsi="Arial" w:cs="Arial"/>
          <w:b/>
          <w:sz w:val="20"/>
          <w:szCs w:val="20"/>
        </w:rPr>
        <w:t xml:space="preserve">za </w:t>
      </w:r>
      <w:r>
        <w:rPr>
          <w:rFonts w:ascii="Arial" w:hAnsi="Arial" w:cs="Arial"/>
          <w:b/>
          <w:sz w:val="20"/>
          <w:szCs w:val="20"/>
        </w:rPr>
        <w:t>období prosinec 2014 až listopad 2015</w:t>
      </w:r>
    </w:p>
    <w:p w:rsidR="005F5D8C" w:rsidRPr="008F790B" w:rsidRDefault="005F5D8C" w:rsidP="005F5D8C">
      <w:pPr>
        <w:jc w:val="both"/>
        <w:rPr>
          <w:rFonts w:ascii="Arial" w:hAnsi="Arial" w:cs="Arial"/>
          <w:sz w:val="20"/>
          <w:szCs w:val="20"/>
        </w:rPr>
      </w:pPr>
    </w:p>
    <w:p w:rsidR="005F5D8C" w:rsidRPr="008F790B" w:rsidRDefault="005F5D8C" w:rsidP="005F5D8C">
      <w:pPr>
        <w:jc w:val="both"/>
        <w:rPr>
          <w:rFonts w:ascii="Arial" w:hAnsi="Arial" w:cs="Arial"/>
          <w:sz w:val="20"/>
          <w:szCs w:val="20"/>
        </w:rPr>
      </w:pPr>
      <w:r>
        <w:rPr>
          <w:rFonts w:ascii="Arial" w:hAnsi="Arial" w:cs="Arial"/>
          <w:sz w:val="20"/>
          <w:szCs w:val="20"/>
        </w:rPr>
        <w:t>Třetí rok svého funkčního období z</w:t>
      </w:r>
      <w:r w:rsidRPr="008F790B">
        <w:rPr>
          <w:rFonts w:ascii="Arial" w:hAnsi="Arial" w:cs="Arial"/>
          <w:sz w:val="20"/>
          <w:szCs w:val="20"/>
        </w:rPr>
        <w:t xml:space="preserve">ahraniční výbor Moravskoslezského kraje (dále MSK) </w:t>
      </w:r>
      <w:proofErr w:type="gramStart"/>
      <w:r>
        <w:rPr>
          <w:rFonts w:ascii="Arial" w:hAnsi="Arial" w:cs="Arial"/>
          <w:sz w:val="20"/>
          <w:szCs w:val="20"/>
        </w:rPr>
        <w:t>pokračoval   v plnění</w:t>
      </w:r>
      <w:proofErr w:type="gramEnd"/>
      <w:r>
        <w:rPr>
          <w:rFonts w:ascii="Arial" w:hAnsi="Arial" w:cs="Arial"/>
          <w:sz w:val="20"/>
          <w:szCs w:val="20"/>
        </w:rPr>
        <w:t xml:space="preserve"> započatých úkolů a aktivně se věnoval povinnostem vyplývajícím z jeho statutu, jakožto iniciativního a kontrolního orgánu zastupitelstva. Ve stručnosti by se dala činnost zahraničního výboru (dále ZV) charakterizovat v prvním pololetí jako snaha o zviditelnění hodně diskutovaného, ale málo známého Transatlantického obchodního a investičního partnerství mezi EU a USA (dále TTIP). Druhý půlrok byl také zaměřen na lepší pochopení a seznámení se s evropskými institucemi a byl zakončen výjezdním zasedáním ZV v Bruselu.</w:t>
      </w:r>
    </w:p>
    <w:p w:rsidR="005F5D8C" w:rsidRDefault="005F5D8C" w:rsidP="005F5D8C">
      <w:pPr>
        <w:jc w:val="both"/>
        <w:rPr>
          <w:rFonts w:ascii="Arial" w:hAnsi="Arial" w:cs="Arial"/>
          <w:sz w:val="20"/>
          <w:szCs w:val="20"/>
        </w:rPr>
      </w:pPr>
      <w:r>
        <w:rPr>
          <w:rFonts w:ascii="Arial" w:hAnsi="Arial" w:cs="Arial"/>
          <w:sz w:val="20"/>
          <w:szCs w:val="20"/>
        </w:rPr>
        <w:t>Na únorovém</w:t>
      </w:r>
      <w:r w:rsidRPr="008F790B">
        <w:rPr>
          <w:rFonts w:ascii="Arial" w:hAnsi="Arial" w:cs="Arial"/>
          <w:sz w:val="20"/>
          <w:szCs w:val="20"/>
        </w:rPr>
        <w:t xml:space="preserve"> zasedání </w:t>
      </w:r>
      <w:r>
        <w:rPr>
          <w:rFonts w:ascii="Arial" w:hAnsi="Arial" w:cs="Arial"/>
          <w:sz w:val="20"/>
          <w:szCs w:val="20"/>
        </w:rPr>
        <w:t>ZV</w:t>
      </w:r>
      <w:r w:rsidRPr="008F790B">
        <w:rPr>
          <w:rFonts w:ascii="Arial" w:hAnsi="Arial" w:cs="Arial"/>
          <w:sz w:val="20"/>
          <w:szCs w:val="20"/>
        </w:rPr>
        <w:t xml:space="preserve"> </w:t>
      </w:r>
      <w:r>
        <w:rPr>
          <w:rFonts w:ascii="Arial" w:hAnsi="Arial" w:cs="Arial"/>
          <w:sz w:val="20"/>
          <w:szCs w:val="20"/>
        </w:rPr>
        <w:t xml:space="preserve">byl po předchozí rezignaci člena ZV Ing. Adama Rykaly přivítán nový člen ZV pan Miroslav Polak. Na tomto jednání se ZV dále zabýval plánem práce na celý rok 2015. Projednávána byla možnost přizvání ředitelky Evropského seskupení pro územní spolupráci Tritia (ESÚS Tritia) a také Ing. Jany Novotné </w:t>
      </w:r>
      <w:proofErr w:type="spellStart"/>
      <w:r>
        <w:rPr>
          <w:rFonts w:ascii="Arial" w:hAnsi="Arial" w:cs="Arial"/>
          <w:sz w:val="20"/>
          <w:szCs w:val="20"/>
        </w:rPr>
        <w:t>Galuszkové</w:t>
      </w:r>
      <w:proofErr w:type="spellEnd"/>
      <w:r>
        <w:rPr>
          <w:rFonts w:ascii="Arial" w:hAnsi="Arial" w:cs="Arial"/>
          <w:sz w:val="20"/>
          <w:szCs w:val="20"/>
        </w:rPr>
        <w:t xml:space="preserve"> tajemnice sekretariátu Euroregionu pro územní spolupráci. Členové ZV by tak měli možnost lépe pochopit význam přeshraniční spolupráce. Kontrolní aktivita ZV se ukázala při projednávání aktivit MSK k jeho partnerským regionům, kdy členy ZV zajímal přínos těchto aktivit s ohledem na celkové náklady. Závěr bude možné udělat po obdržení příslušných podkladů včetně finančního vyčíslení. Členové ZV byli seznámeni, jakým způsobem byl využit finanční dar ve výši 50.000,- Kč, poskytnutý ukrajinské obci Koločava na základě podepsané dohody mezi MSK a fondem </w:t>
      </w:r>
      <w:proofErr w:type="spellStart"/>
      <w:r>
        <w:rPr>
          <w:rFonts w:ascii="Arial" w:hAnsi="Arial" w:cs="Arial"/>
          <w:sz w:val="20"/>
          <w:szCs w:val="20"/>
        </w:rPr>
        <w:t>ViZa</w:t>
      </w:r>
      <w:proofErr w:type="spellEnd"/>
      <w:r>
        <w:rPr>
          <w:rFonts w:ascii="Arial" w:hAnsi="Arial" w:cs="Arial"/>
          <w:sz w:val="20"/>
          <w:szCs w:val="20"/>
        </w:rPr>
        <w:t xml:space="preserve">. Právě zahraniční výbor počátkem roku 2014 inicioval svým usnesením prostřednictvím zastupitelstva MSK tuto aktivitu, díky které mohlo být přispěno na výstavbu vedení pouličního osvětlení u okresní nemocnice a mateřské školy v obci Koločava. ZV také bedlivě sledoval vývoj spolupráce mezi MSK a čínskými partnerskými provinciemi, která se velmi úspěšně rozvíjí. Koncem dubna proběhly Dny České republiky v Šanghaji. Delegaci MSK vedl hejtman Miroslav Novák. Iniciativní aktivita ZV se projevila z podnětu vedoucího odboru kanceláře hejtmana PaedDr. Vlastislava Kuchaře, který ZV požádal, zda by zvážil na svém dalším jednání přijetí usnesení týkající se připravované Transatlantické obchodní dohody mezi EU a USA. </w:t>
      </w:r>
    </w:p>
    <w:p w:rsidR="005F5D8C" w:rsidRPr="001D327D" w:rsidRDefault="005F5D8C" w:rsidP="005F5D8C">
      <w:pPr>
        <w:jc w:val="both"/>
        <w:rPr>
          <w:rFonts w:ascii="Arial" w:hAnsi="Arial" w:cs="Arial"/>
          <w:sz w:val="20"/>
          <w:szCs w:val="20"/>
        </w:rPr>
      </w:pPr>
      <w:r>
        <w:rPr>
          <w:rFonts w:ascii="Arial" w:hAnsi="Arial" w:cs="Arial"/>
          <w:sz w:val="20"/>
          <w:szCs w:val="20"/>
        </w:rPr>
        <w:t xml:space="preserve">Dubnové zasedání ZV bylo velmi bohaté na jednotlivé body programu. Přizvána byla Ing. Marta </w:t>
      </w:r>
      <w:proofErr w:type="spellStart"/>
      <w:r>
        <w:rPr>
          <w:rFonts w:ascii="Arial" w:hAnsi="Arial" w:cs="Arial"/>
          <w:sz w:val="20"/>
          <w:szCs w:val="20"/>
        </w:rPr>
        <w:t>Sláviková</w:t>
      </w:r>
      <w:proofErr w:type="spellEnd"/>
      <w:r>
        <w:rPr>
          <w:rFonts w:ascii="Arial" w:hAnsi="Arial" w:cs="Arial"/>
          <w:sz w:val="20"/>
          <w:szCs w:val="20"/>
        </w:rPr>
        <w:t>, ředitelka ESÚS Tritia, která členům ZV popsala fungování a činnost uskupení, jehož zakladateli jsou Slezské vojvodství, Opolské vojvodství, Žilinský samosprávný kraj a Moravskoslezský kraj. Vyzdvihnuta byla aktivita přeshraniční spolupráce v oblastech dopravy a infrastruktury, hospodářské spolupráce, cestovního ruchu a energetiky a životního prostředí. Zmíněny byly i konkrétní ukončené i právě realizované projekty. Členové ZV byli na základě podnětu svého únorového jednání seznámeni s nákladovým vyčíslením mezinárodní spolupráce MSK s partnerskými regiony za období 2002 - 2014. Bylo vidět, že s regiony, kde spolupráce není velmi aktivní, jsou náklady nižší oproti regionům, kde se spolupráce daří. Zřetelné rovněž bylo, ve kterých letech se ta která spolupráce dařila více než v jiných obdobích. Nelze se ovšem dívat na jednotlivá čísla za dané regiony a jejich srovnávání optikou klíčových metrik, protože výsledek, který se ze spolupráce očekává, nemusí být pouze finanční a obchodní, ale také kulturní a mezinárodně společenský. Právě k oživení spolupráce s jedním z partnerských regionů MSK – Severním Porýním – Vestfálskem došlo během dubnového jednání zástupců Porůří (nejprůmyslovější část SP-V) a MSK. Při jednání byla řešena výměna zkušeností s restrukturalizací těžkého průmyslu, renovace a využití brownfields, ochrany životního prostředí a podpory vzdělávání. Naopak spolupráce s Doněckou oblastí se z důvodu složité vnitropolitické situace na Ukrajině v současné době nerozvíjí. ZV také projednával a následně podpořil návrh Memoranda o spolupráci mezi čínskou provincií Hebei a MSK. Vůle k podpisu memoranda vzešla ze setkání čínské delegace s vedením MSK při její  březnové návštěvě našeho kraje. Memorandum bylo následně podepsáno v </w:t>
      </w:r>
      <w:proofErr w:type="spellStart"/>
      <w:r>
        <w:rPr>
          <w:rFonts w:ascii="Arial" w:hAnsi="Arial" w:cs="Arial"/>
          <w:sz w:val="20"/>
          <w:szCs w:val="20"/>
        </w:rPr>
        <w:t>Langfangu</w:t>
      </w:r>
      <w:proofErr w:type="spellEnd"/>
      <w:r>
        <w:rPr>
          <w:rFonts w:ascii="Arial" w:hAnsi="Arial" w:cs="Arial"/>
          <w:sz w:val="20"/>
          <w:szCs w:val="20"/>
        </w:rPr>
        <w:t xml:space="preserve"> během pracovního jednání Asociace guvernérů provincií Čínské lidové republiky a představitelů regionů střední a východní </w:t>
      </w:r>
      <w:r>
        <w:rPr>
          <w:rFonts w:ascii="Arial" w:hAnsi="Arial" w:cs="Arial"/>
          <w:sz w:val="20"/>
          <w:szCs w:val="20"/>
        </w:rPr>
        <w:lastRenderedPageBreak/>
        <w:t xml:space="preserve">Evropy. S podporou MSK se také intenzivně rozvíjí spolupráce univerzit z regionu (VŠB-TUO, Ostravská univerzita) s čínskými univerzitami. Velmi dobře se rovněž daří spolupráce s partnerským francouzským regionem Lotrinsko. V rámci vzdělávacího programu „Rok v Lotrinsku“ nabízí MSK svým středoškolákům možnost studovat rok na střední škole ve Francii. Výběrového řízení pro školní rok 2015-2016 se zúčastnilo 15 studentů. 11 bylo doporučeno ke studiu v Lotrinsku a 4 nejúspěšnější z nich zahájili školní rok 2015-2016 ve Francii. Problémem jsou však finance, a proto zahraniční výbor doporučil radě kraje, aby nadále poskytovala těmto studentům příspěvek ve výši 50. tis. Kč i při zvýšeném počtu přijatých studentů. Na základě tohoto požadavku je navrženo navýšit rozpočet na rok 2016. K důležitým bodům dubnového jednání nepochybně patřilo projednávání stanoviska k připravované dohodě TTIP, která byla zmiňována na únorovém zasedání. ZV podpořil návrh Mgr. Gabriely Kalužové na uspořádání veřejného informačního semináře na dané téma, kde by byl dán prostor řečníkům z různých názorových stran, včetně zástupců politických stran, kteří se touto problematikou zabývají. Členové </w:t>
      </w:r>
      <w:r w:rsidRPr="001D327D">
        <w:rPr>
          <w:rFonts w:ascii="Arial" w:hAnsi="Arial" w:cs="Arial"/>
          <w:sz w:val="20"/>
          <w:szCs w:val="20"/>
        </w:rPr>
        <w:t>ZV doporučili mezinárodnímu oddělení odboru kanceláře hejtmana uspořádání veřejného semináře na téma Transatlantické obchodní dohody mezi EU a USA.</w:t>
      </w:r>
    </w:p>
    <w:p w:rsidR="005F5D8C" w:rsidRPr="001D327D" w:rsidRDefault="005F5D8C" w:rsidP="005F5D8C">
      <w:pPr>
        <w:jc w:val="both"/>
        <w:rPr>
          <w:rFonts w:ascii="Arial" w:hAnsi="Arial" w:cs="Arial"/>
          <w:sz w:val="20"/>
          <w:szCs w:val="20"/>
        </w:rPr>
      </w:pPr>
      <w:r w:rsidRPr="001D327D">
        <w:rPr>
          <w:rFonts w:ascii="Arial" w:hAnsi="Arial" w:cs="Arial"/>
          <w:sz w:val="20"/>
          <w:szCs w:val="20"/>
        </w:rPr>
        <w:t>1. - 17. května 2015 se v České republice uskutečnilo MS v ledním hokeji.</w:t>
      </w:r>
      <w:r>
        <w:rPr>
          <w:rFonts w:ascii="Arial" w:hAnsi="Arial" w:cs="Arial"/>
          <w:sz w:val="20"/>
          <w:szCs w:val="20"/>
        </w:rPr>
        <w:t xml:space="preserve"> Městy</w:t>
      </w:r>
      <w:r w:rsidRPr="001D327D">
        <w:rPr>
          <w:rFonts w:ascii="Arial" w:hAnsi="Arial" w:cs="Arial"/>
          <w:sz w:val="20"/>
          <w:szCs w:val="20"/>
        </w:rPr>
        <w:t xml:space="preserve">, kde se jednotlivá utkání hrála, byla kromě Prahy také tradičně Ostrava. Moravskoslezský kraj podepsal spolu se statutárním městem Ostrava a Českým svazem ledního hokeje </w:t>
      </w:r>
      <w:r>
        <w:rPr>
          <w:rFonts w:ascii="Arial" w:hAnsi="Arial" w:cs="Arial"/>
          <w:sz w:val="20"/>
          <w:szCs w:val="20"/>
        </w:rPr>
        <w:t>M</w:t>
      </w:r>
      <w:r w:rsidRPr="001D327D">
        <w:rPr>
          <w:rFonts w:ascii="Arial" w:hAnsi="Arial" w:cs="Arial"/>
          <w:sz w:val="20"/>
          <w:szCs w:val="20"/>
        </w:rPr>
        <w:t xml:space="preserve">emorandum o vzájemné spolupráci při spolupořádání této významné sportovní </w:t>
      </w:r>
      <w:r>
        <w:rPr>
          <w:rFonts w:ascii="Arial" w:hAnsi="Arial" w:cs="Arial"/>
          <w:sz w:val="20"/>
          <w:szCs w:val="20"/>
        </w:rPr>
        <w:t>události</w:t>
      </w:r>
      <w:r w:rsidRPr="001D327D">
        <w:rPr>
          <w:rFonts w:ascii="Arial" w:hAnsi="Arial" w:cs="Arial"/>
          <w:sz w:val="20"/>
          <w:szCs w:val="20"/>
        </w:rPr>
        <w:t xml:space="preserve">. O precizním zvládnutí této mezinárodní akce se členové ZV měli možnost přesvědčit, když během neformálního společného setkání </w:t>
      </w:r>
      <w:r>
        <w:rPr>
          <w:rFonts w:ascii="Arial" w:hAnsi="Arial" w:cs="Arial"/>
          <w:sz w:val="20"/>
          <w:szCs w:val="20"/>
        </w:rPr>
        <w:t xml:space="preserve">shlédli utkání ostravské B skupiny </w:t>
      </w:r>
      <w:r w:rsidRPr="001D327D">
        <w:rPr>
          <w:rFonts w:ascii="Arial" w:hAnsi="Arial" w:cs="Arial"/>
          <w:sz w:val="20"/>
          <w:szCs w:val="20"/>
        </w:rPr>
        <w:t>USA – Slovensko. Moravskoslezský kraj také pozval na vybraná utkání zástupce partnerských regionů a uspořádal tzv. Ruský, Běloruský, Polský, Slovenský a Korejský den, kde byla diskutována společná témata.</w:t>
      </w:r>
    </w:p>
    <w:p w:rsidR="005F5D8C" w:rsidRPr="001D327D" w:rsidRDefault="005F5D8C" w:rsidP="005F5D8C">
      <w:pPr>
        <w:jc w:val="both"/>
        <w:rPr>
          <w:rFonts w:ascii="Arial" w:hAnsi="Arial" w:cs="Arial"/>
          <w:sz w:val="20"/>
          <w:szCs w:val="20"/>
        </w:rPr>
      </w:pPr>
      <w:r w:rsidRPr="001D327D">
        <w:rPr>
          <w:rFonts w:ascii="Arial" w:hAnsi="Arial" w:cs="Arial"/>
          <w:sz w:val="20"/>
          <w:szCs w:val="20"/>
        </w:rPr>
        <w:t>17. června 2015 uspořádal MSK na základě iniciativní aktivity ZV konferenci k Transatlantickému obchodnímu a investičnímu partnerství mezi EU a US (TTIP)</w:t>
      </w:r>
      <w:r>
        <w:rPr>
          <w:rFonts w:ascii="Arial" w:hAnsi="Arial" w:cs="Arial"/>
          <w:sz w:val="20"/>
          <w:szCs w:val="20"/>
        </w:rPr>
        <w:t>.</w:t>
      </w:r>
      <w:r w:rsidRPr="001D327D">
        <w:rPr>
          <w:rFonts w:ascii="Arial" w:hAnsi="Arial" w:cs="Arial"/>
          <w:sz w:val="20"/>
          <w:szCs w:val="20"/>
        </w:rPr>
        <w:t xml:space="preserve"> </w:t>
      </w:r>
      <w:r>
        <w:rPr>
          <w:rFonts w:ascii="Arial" w:hAnsi="Arial" w:cs="Arial"/>
          <w:sz w:val="20"/>
          <w:szCs w:val="20"/>
        </w:rPr>
        <w:t>Konference</w:t>
      </w:r>
      <w:r w:rsidRPr="001D327D">
        <w:rPr>
          <w:rFonts w:ascii="Arial" w:hAnsi="Arial" w:cs="Arial"/>
          <w:sz w:val="20"/>
          <w:szCs w:val="20"/>
        </w:rPr>
        <w:t xml:space="preserve"> byl</w:t>
      </w:r>
      <w:r>
        <w:rPr>
          <w:rFonts w:ascii="Arial" w:hAnsi="Arial" w:cs="Arial"/>
          <w:sz w:val="20"/>
          <w:szCs w:val="20"/>
        </w:rPr>
        <w:t>a</w:t>
      </w:r>
      <w:r w:rsidRPr="001D327D">
        <w:rPr>
          <w:rFonts w:ascii="Arial" w:hAnsi="Arial" w:cs="Arial"/>
          <w:sz w:val="20"/>
          <w:szCs w:val="20"/>
        </w:rPr>
        <w:t xml:space="preserve"> učen</w:t>
      </w:r>
      <w:r>
        <w:rPr>
          <w:rFonts w:ascii="Arial" w:hAnsi="Arial" w:cs="Arial"/>
          <w:sz w:val="20"/>
          <w:szCs w:val="20"/>
        </w:rPr>
        <w:t>a</w:t>
      </w:r>
      <w:r w:rsidRPr="001D327D">
        <w:rPr>
          <w:rFonts w:ascii="Arial" w:hAnsi="Arial" w:cs="Arial"/>
          <w:sz w:val="20"/>
          <w:szCs w:val="20"/>
        </w:rPr>
        <w:t xml:space="preserve"> jak zástupcům firem, institucí, neziskových organizací, politických stran</w:t>
      </w:r>
      <w:r>
        <w:rPr>
          <w:rFonts w:ascii="Arial" w:hAnsi="Arial" w:cs="Arial"/>
          <w:sz w:val="20"/>
          <w:szCs w:val="20"/>
        </w:rPr>
        <w:t>,</w:t>
      </w:r>
      <w:r w:rsidRPr="001D327D">
        <w:rPr>
          <w:rFonts w:ascii="Arial" w:hAnsi="Arial" w:cs="Arial"/>
          <w:sz w:val="20"/>
          <w:szCs w:val="20"/>
        </w:rPr>
        <w:t xml:space="preserve"> tak i široké veřejnosti</w:t>
      </w:r>
      <w:r>
        <w:rPr>
          <w:rFonts w:ascii="Arial" w:hAnsi="Arial" w:cs="Arial"/>
          <w:sz w:val="20"/>
          <w:szCs w:val="20"/>
        </w:rPr>
        <w:t xml:space="preserve"> a jejím předmětem </w:t>
      </w:r>
      <w:r w:rsidRPr="001D327D">
        <w:rPr>
          <w:rFonts w:ascii="Arial" w:hAnsi="Arial" w:cs="Arial"/>
          <w:sz w:val="20"/>
          <w:szCs w:val="20"/>
        </w:rPr>
        <w:t>byly především očekávané dopady připravované dohody na českou i evropskou ekonomiku a ochrana zdraví, životního prostředí, spotřebitelů a národní i evropské suverenity obecně. Na konferenci vystoupil zástupc</w:t>
      </w:r>
      <w:r>
        <w:rPr>
          <w:rFonts w:ascii="Arial" w:hAnsi="Arial" w:cs="Arial"/>
          <w:sz w:val="20"/>
          <w:szCs w:val="20"/>
        </w:rPr>
        <w:t>i</w:t>
      </w:r>
      <w:r w:rsidRPr="001D327D">
        <w:rPr>
          <w:rFonts w:ascii="Arial" w:hAnsi="Arial" w:cs="Arial"/>
          <w:sz w:val="20"/>
          <w:szCs w:val="20"/>
        </w:rPr>
        <w:t xml:space="preserve"> Kabinetu </w:t>
      </w:r>
      <w:proofErr w:type="spellStart"/>
      <w:r w:rsidRPr="001D327D">
        <w:rPr>
          <w:rFonts w:ascii="Arial" w:hAnsi="Arial" w:cs="Arial"/>
          <w:sz w:val="20"/>
          <w:szCs w:val="20"/>
        </w:rPr>
        <w:t>eurokomisařky</w:t>
      </w:r>
      <w:proofErr w:type="spellEnd"/>
      <w:r w:rsidRPr="001D327D">
        <w:rPr>
          <w:rFonts w:ascii="Arial" w:hAnsi="Arial" w:cs="Arial"/>
          <w:sz w:val="20"/>
          <w:szCs w:val="20"/>
        </w:rPr>
        <w:t xml:space="preserve"> pro obchod C. </w:t>
      </w:r>
      <w:proofErr w:type="spellStart"/>
      <w:r w:rsidRPr="001D327D">
        <w:rPr>
          <w:rFonts w:ascii="Arial" w:hAnsi="Arial" w:cs="Arial"/>
          <w:sz w:val="20"/>
          <w:szCs w:val="20"/>
        </w:rPr>
        <w:t>Malmströmové</w:t>
      </w:r>
      <w:proofErr w:type="spellEnd"/>
      <w:r w:rsidRPr="001D327D">
        <w:rPr>
          <w:rFonts w:ascii="Arial" w:hAnsi="Arial" w:cs="Arial"/>
          <w:sz w:val="20"/>
          <w:szCs w:val="20"/>
        </w:rPr>
        <w:t>, Ministerstva průmyslu a</w:t>
      </w:r>
      <w:r>
        <w:rPr>
          <w:rFonts w:ascii="Arial" w:hAnsi="Arial" w:cs="Arial"/>
          <w:sz w:val="20"/>
          <w:szCs w:val="20"/>
        </w:rPr>
        <w:t> </w:t>
      </w:r>
      <w:r w:rsidRPr="001D327D">
        <w:rPr>
          <w:rFonts w:ascii="Arial" w:hAnsi="Arial" w:cs="Arial"/>
          <w:sz w:val="20"/>
          <w:szCs w:val="20"/>
        </w:rPr>
        <w:t>obchodu, Vysoké školy báňské, Hnutí Duha</w:t>
      </w:r>
      <w:r>
        <w:rPr>
          <w:rFonts w:ascii="Arial" w:hAnsi="Arial" w:cs="Arial"/>
          <w:sz w:val="20"/>
          <w:szCs w:val="20"/>
        </w:rPr>
        <w:t>, dále</w:t>
      </w:r>
      <w:r w:rsidRPr="001D327D">
        <w:rPr>
          <w:rFonts w:ascii="Arial" w:hAnsi="Arial" w:cs="Arial"/>
          <w:sz w:val="20"/>
          <w:szCs w:val="20"/>
        </w:rPr>
        <w:t xml:space="preserve"> europoslanci Pavel Svoboda a Dita </w:t>
      </w:r>
      <w:proofErr w:type="spellStart"/>
      <w:r w:rsidRPr="001D327D">
        <w:rPr>
          <w:rFonts w:ascii="Arial" w:hAnsi="Arial" w:cs="Arial"/>
          <w:sz w:val="20"/>
          <w:szCs w:val="20"/>
        </w:rPr>
        <w:t>Charanzová</w:t>
      </w:r>
      <w:proofErr w:type="spellEnd"/>
      <w:r w:rsidRPr="001D327D">
        <w:rPr>
          <w:rFonts w:ascii="Arial" w:hAnsi="Arial" w:cs="Arial"/>
          <w:sz w:val="20"/>
          <w:szCs w:val="20"/>
        </w:rPr>
        <w:t xml:space="preserve">  a</w:t>
      </w:r>
      <w:r>
        <w:rPr>
          <w:rFonts w:ascii="Arial" w:hAnsi="Arial" w:cs="Arial"/>
          <w:sz w:val="20"/>
          <w:szCs w:val="20"/>
        </w:rPr>
        <w:t> </w:t>
      </w:r>
      <w:r w:rsidRPr="001D327D">
        <w:rPr>
          <w:rFonts w:ascii="Arial" w:hAnsi="Arial" w:cs="Arial"/>
          <w:sz w:val="20"/>
          <w:szCs w:val="20"/>
        </w:rPr>
        <w:t xml:space="preserve">zástupce europoslankyně Kateřiny Konečné Jan </w:t>
      </w:r>
      <w:proofErr w:type="spellStart"/>
      <w:r w:rsidRPr="001D327D">
        <w:rPr>
          <w:rFonts w:ascii="Arial" w:hAnsi="Arial" w:cs="Arial"/>
          <w:sz w:val="20"/>
          <w:szCs w:val="20"/>
        </w:rPr>
        <w:t>Májiček</w:t>
      </w:r>
      <w:proofErr w:type="spellEnd"/>
      <w:r w:rsidRPr="001D327D">
        <w:rPr>
          <w:rFonts w:ascii="Arial" w:hAnsi="Arial" w:cs="Arial"/>
          <w:sz w:val="20"/>
          <w:szCs w:val="20"/>
        </w:rPr>
        <w:t xml:space="preserve">. Konferenci uzavřela téměř dvouhodinová diskuze. Mezi nejčastěji zmiňovaná a diskutovaná témata bezpochyby patří </w:t>
      </w:r>
      <w:r>
        <w:rPr>
          <w:rFonts w:ascii="Arial" w:hAnsi="Arial" w:cs="Arial"/>
          <w:sz w:val="20"/>
          <w:szCs w:val="20"/>
        </w:rPr>
        <w:t>dodržování</w:t>
      </w:r>
      <w:r w:rsidRPr="00EF211B">
        <w:rPr>
          <w:rFonts w:ascii="Arial" w:hAnsi="Arial" w:cs="Arial"/>
          <w:sz w:val="20"/>
          <w:szCs w:val="20"/>
        </w:rPr>
        <w:t xml:space="preserve"> evropsk</w:t>
      </w:r>
      <w:r>
        <w:rPr>
          <w:rFonts w:ascii="Arial" w:hAnsi="Arial" w:cs="Arial"/>
          <w:sz w:val="20"/>
          <w:szCs w:val="20"/>
        </w:rPr>
        <w:t>é</w:t>
      </w:r>
      <w:r w:rsidRPr="00EF211B">
        <w:rPr>
          <w:rFonts w:ascii="Arial" w:hAnsi="Arial" w:cs="Arial"/>
          <w:sz w:val="20"/>
          <w:szCs w:val="20"/>
        </w:rPr>
        <w:t xml:space="preserve"> směrnice REACH (Regulační rámec pro nakládání s chemickými látkami</w:t>
      </w:r>
      <w:r w:rsidRPr="00EF211B">
        <w:rPr>
          <w:rFonts w:ascii="Arial" w:hAnsi="Arial" w:cs="Arial"/>
          <w:color w:val="333333"/>
          <w:sz w:val="20"/>
          <w:szCs w:val="20"/>
        </w:rPr>
        <w:t>)</w:t>
      </w:r>
      <w:r>
        <w:rPr>
          <w:rFonts w:ascii="Arial" w:hAnsi="Arial" w:cs="Arial"/>
          <w:color w:val="333333"/>
          <w:sz w:val="20"/>
          <w:szCs w:val="20"/>
        </w:rPr>
        <w:t>,</w:t>
      </w:r>
      <w:r w:rsidRPr="00EF211B">
        <w:rPr>
          <w:rFonts w:ascii="Arial" w:hAnsi="Arial" w:cs="Arial"/>
          <w:color w:val="333333"/>
          <w:sz w:val="20"/>
          <w:szCs w:val="20"/>
        </w:rPr>
        <w:t xml:space="preserve"> </w:t>
      </w:r>
      <w:r w:rsidRPr="00EF211B">
        <w:rPr>
          <w:rFonts w:ascii="Arial" w:hAnsi="Arial" w:cs="Arial"/>
          <w:sz w:val="20"/>
          <w:szCs w:val="20"/>
        </w:rPr>
        <w:t>geneticky modifikovan</w:t>
      </w:r>
      <w:r>
        <w:rPr>
          <w:rFonts w:ascii="Arial" w:hAnsi="Arial" w:cs="Arial"/>
          <w:sz w:val="20"/>
          <w:szCs w:val="20"/>
        </w:rPr>
        <w:t>é</w:t>
      </w:r>
      <w:r w:rsidRPr="00EF211B">
        <w:rPr>
          <w:rFonts w:ascii="Arial" w:hAnsi="Arial" w:cs="Arial"/>
          <w:sz w:val="20"/>
          <w:szCs w:val="20"/>
        </w:rPr>
        <w:t xml:space="preserve"> potravin</w:t>
      </w:r>
      <w:r>
        <w:rPr>
          <w:rFonts w:ascii="Arial" w:hAnsi="Arial" w:cs="Arial"/>
          <w:sz w:val="20"/>
          <w:szCs w:val="20"/>
        </w:rPr>
        <w:t>y</w:t>
      </w:r>
      <w:r w:rsidRPr="00EF211B">
        <w:rPr>
          <w:rFonts w:ascii="Arial" w:hAnsi="Arial" w:cs="Arial"/>
          <w:sz w:val="20"/>
          <w:szCs w:val="20"/>
        </w:rPr>
        <w:t xml:space="preserve"> </w:t>
      </w:r>
      <w:r>
        <w:rPr>
          <w:rFonts w:ascii="Arial" w:hAnsi="Arial" w:cs="Arial"/>
          <w:sz w:val="20"/>
          <w:szCs w:val="20"/>
        </w:rPr>
        <w:t>(</w:t>
      </w:r>
      <w:r w:rsidRPr="00EF211B">
        <w:rPr>
          <w:rFonts w:ascii="Arial" w:hAnsi="Arial" w:cs="Arial"/>
          <w:sz w:val="20"/>
          <w:szCs w:val="20"/>
        </w:rPr>
        <w:t>GMO</w:t>
      </w:r>
      <w:r>
        <w:rPr>
          <w:rFonts w:ascii="Arial" w:hAnsi="Arial" w:cs="Arial"/>
          <w:sz w:val="20"/>
          <w:szCs w:val="20"/>
        </w:rPr>
        <w:t>), nebo</w:t>
      </w:r>
      <w:r w:rsidRPr="00EF211B">
        <w:rPr>
          <w:rFonts w:ascii="Arial" w:hAnsi="Arial" w:cs="Arial"/>
          <w:sz w:val="20"/>
          <w:szCs w:val="20"/>
        </w:rPr>
        <w:t xml:space="preserve"> problemati</w:t>
      </w:r>
      <w:r>
        <w:rPr>
          <w:rFonts w:ascii="Arial" w:hAnsi="Arial" w:cs="Arial"/>
          <w:sz w:val="20"/>
          <w:szCs w:val="20"/>
        </w:rPr>
        <w:t>ka</w:t>
      </w:r>
      <w:r w:rsidRPr="00EF211B">
        <w:rPr>
          <w:rFonts w:ascii="Arial" w:hAnsi="Arial" w:cs="Arial"/>
          <w:sz w:val="20"/>
          <w:szCs w:val="20"/>
        </w:rPr>
        <w:t xml:space="preserve"> řešení sporů mezi investorem a státem prostřednictvím mezinárodních arbitráží tzv. mechanismu ISDS (investor-</w:t>
      </w:r>
      <w:proofErr w:type="spellStart"/>
      <w:r w:rsidRPr="00EF211B">
        <w:rPr>
          <w:rFonts w:ascii="Arial" w:hAnsi="Arial" w:cs="Arial"/>
          <w:sz w:val="20"/>
          <w:szCs w:val="20"/>
        </w:rPr>
        <w:t>state</w:t>
      </w:r>
      <w:proofErr w:type="spellEnd"/>
      <w:r w:rsidRPr="00EF211B">
        <w:rPr>
          <w:rFonts w:ascii="Arial" w:hAnsi="Arial" w:cs="Arial"/>
          <w:sz w:val="20"/>
          <w:szCs w:val="20"/>
        </w:rPr>
        <w:t xml:space="preserve"> </w:t>
      </w:r>
      <w:proofErr w:type="spellStart"/>
      <w:r w:rsidRPr="00EF211B">
        <w:rPr>
          <w:rFonts w:ascii="Arial" w:hAnsi="Arial" w:cs="Arial"/>
          <w:sz w:val="20"/>
          <w:szCs w:val="20"/>
        </w:rPr>
        <w:t>dispute</w:t>
      </w:r>
      <w:proofErr w:type="spellEnd"/>
      <w:r w:rsidRPr="00EF211B">
        <w:rPr>
          <w:rFonts w:ascii="Arial" w:hAnsi="Arial" w:cs="Arial"/>
          <w:sz w:val="20"/>
          <w:szCs w:val="20"/>
        </w:rPr>
        <w:t xml:space="preserve"> settlement). I když </w:t>
      </w:r>
      <w:proofErr w:type="gramStart"/>
      <w:r w:rsidRPr="00EF211B">
        <w:rPr>
          <w:rFonts w:ascii="Arial" w:hAnsi="Arial" w:cs="Arial"/>
          <w:sz w:val="20"/>
          <w:szCs w:val="20"/>
        </w:rPr>
        <w:t>primárně</w:t>
      </w:r>
      <w:r>
        <w:rPr>
          <w:rFonts w:ascii="Arial" w:hAnsi="Arial" w:cs="Arial"/>
          <w:sz w:val="20"/>
          <w:szCs w:val="20"/>
        </w:rPr>
        <w:t xml:space="preserve">   </w:t>
      </w:r>
      <w:r w:rsidRPr="00EF211B">
        <w:rPr>
          <w:rFonts w:ascii="Arial" w:hAnsi="Arial" w:cs="Arial"/>
          <w:sz w:val="20"/>
          <w:szCs w:val="20"/>
        </w:rPr>
        <w:t xml:space="preserve"> je</w:t>
      </w:r>
      <w:proofErr w:type="gramEnd"/>
      <w:r w:rsidRPr="00EF211B">
        <w:rPr>
          <w:rFonts w:ascii="Arial" w:hAnsi="Arial" w:cs="Arial"/>
          <w:sz w:val="20"/>
          <w:szCs w:val="20"/>
        </w:rPr>
        <w:t xml:space="preserve"> dohoda TTIP zaměřena na odstranění netarifních překážek obchodu, celních omezení, různých certifikací a homologací,</w:t>
      </w:r>
      <w:r>
        <w:rPr>
          <w:rFonts w:ascii="Arial" w:hAnsi="Arial" w:cs="Arial"/>
          <w:sz w:val="20"/>
          <w:szCs w:val="20"/>
        </w:rPr>
        <w:t xml:space="preserve"> důležitým předmětem zájmu je právě netarifní oblast, vč. výše uvedených bodů, a transparentnost přípravy celé dohody a možného vlivu lobbistických skupin na její přípravu.</w:t>
      </w:r>
      <w:r w:rsidRPr="00EF211B">
        <w:rPr>
          <w:rFonts w:ascii="Arial" w:hAnsi="Arial" w:cs="Arial"/>
          <w:sz w:val="20"/>
          <w:szCs w:val="20"/>
        </w:rPr>
        <w:t xml:space="preserve"> </w:t>
      </w:r>
      <w:r>
        <w:rPr>
          <w:rFonts w:ascii="Arial" w:hAnsi="Arial" w:cs="Arial"/>
          <w:sz w:val="20"/>
          <w:szCs w:val="20"/>
        </w:rPr>
        <w:t>V ČR je dohoda TTIP spíše na okraji veřejného zájmu (na rozdíl od Německa, Francie a dalších zemí EU), čemuž n</w:t>
      </w:r>
      <w:r w:rsidRPr="00EF211B">
        <w:rPr>
          <w:rFonts w:ascii="Arial" w:hAnsi="Arial" w:cs="Arial"/>
          <w:sz w:val="20"/>
          <w:szCs w:val="20"/>
        </w:rPr>
        <w:t xml:space="preserve">epřispívá </w:t>
      </w:r>
      <w:r>
        <w:rPr>
          <w:rFonts w:ascii="Arial" w:hAnsi="Arial" w:cs="Arial"/>
          <w:sz w:val="20"/>
          <w:szCs w:val="20"/>
        </w:rPr>
        <w:t>relativně</w:t>
      </w:r>
      <w:r w:rsidRPr="00EF211B">
        <w:rPr>
          <w:rFonts w:ascii="Arial" w:hAnsi="Arial" w:cs="Arial"/>
          <w:sz w:val="20"/>
          <w:szCs w:val="20"/>
        </w:rPr>
        <w:t xml:space="preserve"> nízká informovanost </w:t>
      </w:r>
      <w:r>
        <w:rPr>
          <w:rFonts w:ascii="Arial" w:hAnsi="Arial" w:cs="Arial"/>
          <w:sz w:val="20"/>
          <w:szCs w:val="20"/>
        </w:rPr>
        <w:t xml:space="preserve">ze strany </w:t>
      </w:r>
      <w:r w:rsidRPr="00EF211B">
        <w:rPr>
          <w:rFonts w:ascii="Arial" w:hAnsi="Arial" w:cs="Arial"/>
          <w:sz w:val="20"/>
          <w:szCs w:val="20"/>
        </w:rPr>
        <w:t xml:space="preserve">médií, </w:t>
      </w:r>
      <w:r>
        <w:rPr>
          <w:rFonts w:ascii="Arial" w:hAnsi="Arial" w:cs="Arial"/>
          <w:sz w:val="20"/>
          <w:szCs w:val="20"/>
        </w:rPr>
        <w:t>nepochybně ovlivněná celkovým počtem akreditovaných novinářů v evropských institucích (</w:t>
      </w:r>
      <w:r w:rsidRPr="00EF211B">
        <w:rPr>
          <w:rFonts w:ascii="Arial" w:hAnsi="Arial" w:cs="Arial"/>
          <w:sz w:val="20"/>
          <w:szCs w:val="20"/>
        </w:rPr>
        <w:t>pouze 3 novináři</w:t>
      </w:r>
      <w:r>
        <w:rPr>
          <w:rFonts w:ascii="Arial" w:hAnsi="Arial" w:cs="Arial"/>
          <w:sz w:val="20"/>
          <w:szCs w:val="20"/>
        </w:rPr>
        <w:t xml:space="preserve"> za celou ČR, </w:t>
      </w:r>
      <w:r w:rsidRPr="00EF211B">
        <w:rPr>
          <w:rFonts w:ascii="Arial" w:hAnsi="Arial" w:cs="Arial"/>
          <w:sz w:val="20"/>
          <w:szCs w:val="20"/>
        </w:rPr>
        <w:t xml:space="preserve">na rozdíl </w:t>
      </w:r>
      <w:r>
        <w:rPr>
          <w:rFonts w:ascii="Arial" w:hAnsi="Arial" w:cs="Arial"/>
          <w:sz w:val="20"/>
          <w:szCs w:val="20"/>
        </w:rPr>
        <w:t xml:space="preserve">např. </w:t>
      </w:r>
      <w:r w:rsidRPr="00EF211B">
        <w:rPr>
          <w:rFonts w:ascii="Arial" w:hAnsi="Arial" w:cs="Arial"/>
          <w:sz w:val="20"/>
          <w:szCs w:val="20"/>
        </w:rPr>
        <w:t xml:space="preserve">od </w:t>
      </w:r>
      <w:r>
        <w:rPr>
          <w:rFonts w:ascii="Arial" w:hAnsi="Arial" w:cs="Arial"/>
          <w:sz w:val="20"/>
          <w:szCs w:val="20"/>
        </w:rPr>
        <w:t xml:space="preserve">160 </w:t>
      </w:r>
      <w:r w:rsidRPr="00EF211B">
        <w:rPr>
          <w:rFonts w:ascii="Arial" w:hAnsi="Arial" w:cs="Arial"/>
          <w:sz w:val="20"/>
          <w:szCs w:val="20"/>
        </w:rPr>
        <w:t>německých</w:t>
      </w:r>
      <w:r>
        <w:rPr>
          <w:rFonts w:ascii="Arial" w:hAnsi="Arial" w:cs="Arial"/>
          <w:sz w:val="20"/>
          <w:szCs w:val="20"/>
        </w:rPr>
        <w:t>)</w:t>
      </w:r>
      <w:r w:rsidRPr="00EF211B">
        <w:rPr>
          <w:rFonts w:ascii="Arial" w:hAnsi="Arial" w:cs="Arial"/>
          <w:sz w:val="20"/>
          <w:szCs w:val="20"/>
        </w:rPr>
        <w:t>.</w:t>
      </w:r>
      <w:r w:rsidRPr="001D327D">
        <w:rPr>
          <w:rFonts w:ascii="Arial" w:hAnsi="Arial" w:cs="Arial"/>
          <w:sz w:val="20"/>
          <w:szCs w:val="20"/>
        </w:rPr>
        <w:t xml:space="preserve"> Přednášející i účastníci poděkovali zástupcům krajského úřadu za možnost se podobné diskuze zúčastnit a ocenili pozornost, kterou kraj tomuto tématu věnuje.</w:t>
      </w:r>
    </w:p>
    <w:p w:rsidR="005F5D8C" w:rsidRPr="001D327D" w:rsidRDefault="005F5D8C" w:rsidP="005F5D8C">
      <w:pPr>
        <w:jc w:val="both"/>
        <w:rPr>
          <w:rFonts w:ascii="Arial" w:hAnsi="Arial" w:cs="Arial"/>
          <w:sz w:val="20"/>
          <w:szCs w:val="20"/>
        </w:rPr>
      </w:pPr>
      <w:r w:rsidRPr="001D327D">
        <w:rPr>
          <w:rFonts w:ascii="Arial" w:hAnsi="Arial" w:cs="Arial"/>
          <w:sz w:val="20"/>
          <w:szCs w:val="20"/>
        </w:rPr>
        <w:t>Červnový ZV se především věnoval vyhodnocení konference k TTIP, jehož vysoká odbornost a</w:t>
      </w:r>
      <w:r>
        <w:rPr>
          <w:rFonts w:ascii="Arial" w:hAnsi="Arial" w:cs="Arial"/>
          <w:sz w:val="20"/>
          <w:szCs w:val="20"/>
        </w:rPr>
        <w:t> </w:t>
      </w:r>
      <w:r w:rsidRPr="001D327D">
        <w:rPr>
          <w:rFonts w:ascii="Arial" w:hAnsi="Arial" w:cs="Arial"/>
          <w:sz w:val="20"/>
          <w:szCs w:val="20"/>
        </w:rPr>
        <w:t xml:space="preserve">zvládnutá organizace byla členy ZV oceňována, neboť konferencí na dané téma se v ČR mnoho nekoná. Konference se zúčastnilo na padesát účastníků a ZV ve svém usnesení doporučil zvážit uspořádání obdobné akce po zveřejnění dalších částí dohody. Z dalších bodů jednání nesmíme zapomenout na událost, kdy v posledních dubnových dnech proběhly v Ostravě oslavy 70. výročí osvobození, kterých se zúčastnili také zahraniční partneři v čele s náměstkem gubernátora </w:t>
      </w:r>
      <w:proofErr w:type="spellStart"/>
      <w:r w:rsidRPr="001D327D">
        <w:rPr>
          <w:rFonts w:ascii="Arial" w:hAnsi="Arial" w:cs="Arial"/>
          <w:sz w:val="20"/>
          <w:szCs w:val="20"/>
        </w:rPr>
        <w:t>Vologodské</w:t>
      </w:r>
      <w:proofErr w:type="spellEnd"/>
      <w:r w:rsidRPr="001D327D">
        <w:rPr>
          <w:rFonts w:ascii="Arial" w:hAnsi="Arial" w:cs="Arial"/>
          <w:sz w:val="20"/>
          <w:szCs w:val="20"/>
        </w:rPr>
        <w:t xml:space="preserve"> oblasti. Náměstek hejtmana Ing. Ivan Strachoň poté recipročně navštívil 6. - 9. května </w:t>
      </w:r>
      <w:r w:rsidRPr="001D327D">
        <w:rPr>
          <w:rFonts w:ascii="Arial" w:hAnsi="Arial" w:cs="Arial"/>
          <w:sz w:val="20"/>
          <w:szCs w:val="20"/>
        </w:rPr>
        <w:lastRenderedPageBreak/>
        <w:t xml:space="preserve">2015 oslavy osvobození ve </w:t>
      </w:r>
      <w:proofErr w:type="spellStart"/>
      <w:r w:rsidRPr="001D327D">
        <w:rPr>
          <w:rFonts w:ascii="Arial" w:hAnsi="Arial" w:cs="Arial"/>
          <w:sz w:val="20"/>
          <w:szCs w:val="20"/>
        </w:rPr>
        <w:t>Vologdě</w:t>
      </w:r>
      <w:proofErr w:type="spellEnd"/>
      <w:r w:rsidRPr="001D327D">
        <w:rPr>
          <w:rFonts w:ascii="Arial" w:hAnsi="Arial" w:cs="Arial"/>
          <w:sz w:val="20"/>
          <w:szCs w:val="20"/>
        </w:rPr>
        <w:t xml:space="preserve"> (RF). V květnu Moravskoslezský kraj organizoval zdravotní </w:t>
      </w:r>
      <w:proofErr w:type="spellStart"/>
      <w:r w:rsidRPr="001D327D">
        <w:rPr>
          <w:rFonts w:ascii="Arial" w:hAnsi="Arial" w:cs="Arial"/>
          <w:sz w:val="20"/>
          <w:szCs w:val="20"/>
        </w:rPr>
        <w:t>fam</w:t>
      </w:r>
      <w:proofErr w:type="spellEnd"/>
      <w:r w:rsidRPr="001D327D">
        <w:rPr>
          <w:rFonts w:ascii="Arial" w:hAnsi="Arial" w:cs="Arial"/>
          <w:sz w:val="20"/>
          <w:szCs w:val="20"/>
        </w:rPr>
        <w:t xml:space="preserve"> </w:t>
      </w:r>
      <w:proofErr w:type="spellStart"/>
      <w:r w:rsidRPr="001D327D">
        <w:rPr>
          <w:rFonts w:ascii="Arial" w:hAnsi="Arial" w:cs="Arial"/>
          <w:sz w:val="20"/>
          <w:szCs w:val="20"/>
        </w:rPr>
        <w:t>trip</w:t>
      </w:r>
      <w:proofErr w:type="spellEnd"/>
      <w:r w:rsidRPr="001D327D">
        <w:rPr>
          <w:rFonts w:ascii="Arial" w:hAnsi="Arial" w:cs="Arial"/>
          <w:sz w:val="20"/>
          <w:szCs w:val="20"/>
        </w:rPr>
        <w:t xml:space="preserve"> pro ruské lékaře z partnerské </w:t>
      </w:r>
      <w:proofErr w:type="spellStart"/>
      <w:r w:rsidRPr="001D327D">
        <w:rPr>
          <w:rFonts w:ascii="Arial" w:hAnsi="Arial" w:cs="Arial"/>
          <w:sz w:val="20"/>
          <w:szCs w:val="20"/>
        </w:rPr>
        <w:t>Vologodské</w:t>
      </w:r>
      <w:proofErr w:type="spellEnd"/>
      <w:r w:rsidRPr="001D327D">
        <w:rPr>
          <w:rFonts w:ascii="Arial" w:hAnsi="Arial" w:cs="Arial"/>
          <w:sz w:val="20"/>
          <w:szCs w:val="20"/>
        </w:rPr>
        <w:t xml:space="preserve"> oblasti. Účastníky této propagační návštěvy byli vedoucí členové </w:t>
      </w:r>
      <w:proofErr w:type="spellStart"/>
      <w:r>
        <w:rPr>
          <w:rFonts w:ascii="Arial" w:hAnsi="Arial" w:cs="Arial"/>
          <w:sz w:val="20"/>
          <w:szCs w:val="20"/>
        </w:rPr>
        <w:t>vologodských</w:t>
      </w:r>
      <w:proofErr w:type="spellEnd"/>
      <w:r>
        <w:rPr>
          <w:rFonts w:ascii="Arial" w:hAnsi="Arial" w:cs="Arial"/>
          <w:sz w:val="20"/>
          <w:szCs w:val="20"/>
        </w:rPr>
        <w:t xml:space="preserve"> nemocnic</w:t>
      </w:r>
      <w:r w:rsidRPr="001D327D">
        <w:rPr>
          <w:rFonts w:ascii="Arial" w:hAnsi="Arial" w:cs="Arial"/>
          <w:sz w:val="20"/>
          <w:szCs w:val="20"/>
        </w:rPr>
        <w:t xml:space="preserve">, které doprovázel vedoucí odboru zdravotnictví </w:t>
      </w:r>
      <w:proofErr w:type="spellStart"/>
      <w:r w:rsidRPr="001D327D">
        <w:rPr>
          <w:rFonts w:ascii="Arial" w:hAnsi="Arial" w:cs="Arial"/>
          <w:sz w:val="20"/>
          <w:szCs w:val="20"/>
        </w:rPr>
        <w:t>Vologodské</w:t>
      </w:r>
      <w:proofErr w:type="spellEnd"/>
      <w:r w:rsidRPr="001D327D">
        <w:rPr>
          <w:rFonts w:ascii="Arial" w:hAnsi="Arial" w:cs="Arial"/>
          <w:sz w:val="20"/>
          <w:szCs w:val="20"/>
        </w:rPr>
        <w:t xml:space="preserve"> oblasti. Cílem bylo představit ruským lékařům kvalitní péči v regionálních zdravotnických zařízeních a lázních</w:t>
      </w:r>
      <w:r>
        <w:rPr>
          <w:rFonts w:ascii="Arial" w:hAnsi="Arial" w:cs="Arial"/>
          <w:sz w:val="20"/>
          <w:szCs w:val="20"/>
        </w:rPr>
        <w:t xml:space="preserve"> v MSK</w:t>
      </w:r>
      <w:r w:rsidRPr="001D327D">
        <w:rPr>
          <w:rFonts w:ascii="Arial" w:hAnsi="Arial" w:cs="Arial"/>
          <w:sz w:val="20"/>
          <w:szCs w:val="20"/>
        </w:rPr>
        <w:t xml:space="preserve"> a pokračovat tak v diskuzi o využití zdravotnických a lázeňských služeb ruskými pacienty i samoplátci, což by přispělo ke zvýšení návštěvnosti Moravskoslezského kraje nejen ruskými pacienty, ale následně i turisty</w:t>
      </w:r>
      <w:r>
        <w:rPr>
          <w:rFonts w:ascii="Arial" w:hAnsi="Arial" w:cs="Arial"/>
          <w:sz w:val="20"/>
          <w:szCs w:val="20"/>
        </w:rPr>
        <w:t>. ZV rovněž vzal na vědomí uskutečnění výjezdního zasedání zahraničního výboru do Bruselu, které by se uskutečnilo v podzimním termínu 2015.</w:t>
      </w:r>
    </w:p>
    <w:p w:rsidR="005F5D8C" w:rsidRPr="00197659" w:rsidRDefault="005F5D8C" w:rsidP="005F5D8C">
      <w:pPr>
        <w:jc w:val="both"/>
        <w:rPr>
          <w:rFonts w:ascii="Arial" w:hAnsi="Arial" w:cs="Arial"/>
          <w:sz w:val="20"/>
          <w:szCs w:val="20"/>
        </w:rPr>
      </w:pPr>
      <w:r>
        <w:rPr>
          <w:rFonts w:ascii="Arial" w:hAnsi="Arial" w:cs="Arial"/>
          <w:sz w:val="20"/>
          <w:szCs w:val="20"/>
        </w:rPr>
        <w:t xml:space="preserve">Úvod zářijového ZV byl zaměřen na prezentaci Euroregionu Silesia, který představila jeho tajemnice Ing. Jana Novotná Galuszková. Představila Euroregion Silesia jako zájmové sdružení právnických osob, jehož rozsah pokrývá části území Slezského a Opolského vojvodství a Moravskoslezského kraje. Euroregion patří k jednomu z 6 euroregionům česko-polského příhraničí a je jedním z 13 euroregionů v ČR. V rámci Evropy je pak obdobných euroregionů více než 200. Stejně jako u sdružení ESÚS Tritia je činnost Euroregionu Silesia zaměřena na česko-polskou přeshraniční spolupráci, kdy cílem je potlačení vlivu existence státní hranice a zajištění rovnoměrného rozvoje příhraničního území a umožnění plynulé integrace tohoto území v rámci Evropské unie. Stěžejním bodem jednání bylo naplánování výjezdního zasedání ZV do Bruselu. Vybrán byl termín a stanoven program, který zahrnoval návštěvu Evropského parlamentu, setkání s europoslanci za ČR, diskuse se zástupci sdružení </w:t>
      </w:r>
      <w:r w:rsidRPr="00197659">
        <w:rPr>
          <w:rFonts w:ascii="Arial" w:hAnsi="Arial" w:cs="Arial"/>
          <w:sz w:val="20"/>
          <w:szCs w:val="20"/>
        </w:rPr>
        <w:t xml:space="preserve">Access EU a </w:t>
      </w:r>
      <w:r>
        <w:rPr>
          <w:rFonts w:ascii="Arial" w:hAnsi="Arial" w:cs="Arial"/>
          <w:sz w:val="20"/>
          <w:szCs w:val="20"/>
        </w:rPr>
        <w:t xml:space="preserve">instituce </w:t>
      </w:r>
      <w:r w:rsidRPr="00197659">
        <w:rPr>
          <w:rFonts w:ascii="Arial" w:hAnsi="Arial" w:cs="Arial"/>
          <w:sz w:val="20"/>
          <w:szCs w:val="20"/>
        </w:rPr>
        <w:t>DG Regio, návštěva Stálého zastoupení při EU a prohlídka vybraných belgických měst. Členové ZV svým usnesení doporučili výjezdní zasedání uspořádat.</w:t>
      </w:r>
    </w:p>
    <w:p w:rsidR="005F5D8C" w:rsidRPr="00197659" w:rsidRDefault="005F5D8C" w:rsidP="005F5D8C">
      <w:pPr>
        <w:jc w:val="both"/>
        <w:rPr>
          <w:rFonts w:ascii="Arial" w:hAnsi="Arial" w:cs="Arial"/>
          <w:sz w:val="20"/>
          <w:szCs w:val="20"/>
        </w:rPr>
      </w:pPr>
      <w:r w:rsidRPr="00197659">
        <w:rPr>
          <w:rFonts w:ascii="Arial" w:hAnsi="Arial" w:cs="Arial"/>
          <w:sz w:val="20"/>
          <w:szCs w:val="20"/>
        </w:rPr>
        <w:t>Výjezdní zasedání ZV do Bruselu, města evropských institucí</w:t>
      </w:r>
      <w:r>
        <w:rPr>
          <w:rFonts w:ascii="Arial" w:hAnsi="Arial" w:cs="Arial"/>
          <w:sz w:val="20"/>
          <w:szCs w:val="20"/>
        </w:rPr>
        <w:t>,</w:t>
      </w:r>
      <w:r w:rsidRPr="00197659">
        <w:rPr>
          <w:rFonts w:ascii="Arial" w:hAnsi="Arial" w:cs="Arial"/>
          <w:sz w:val="20"/>
          <w:szCs w:val="20"/>
        </w:rPr>
        <w:t xml:space="preserve"> se uskutečnilo v </w:t>
      </w:r>
      <w:proofErr w:type="gramStart"/>
      <w:r w:rsidRPr="00197659">
        <w:rPr>
          <w:rFonts w:ascii="Arial" w:hAnsi="Arial" w:cs="Arial"/>
          <w:sz w:val="20"/>
          <w:szCs w:val="20"/>
        </w:rPr>
        <w:t xml:space="preserve">termínu </w:t>
      </w:r>
      <w:r>
        <w:rPr>
          <w:rFonts w:ascii="Arial" w:hAnsi="Arial" w:cs="Arial"/>
          <w:sz w:val="20"/>
          <w:szCs w:val="20"/>
        </w:rPr>
        <w:t xml:space="preserve">                     </w:t>
      </w:r>
      <w:r w:rsidRPr="00197659">
        <w:rPr>
          <w:rFonts w:ascii="Arial" w:hAnsi="Arial" w:cs="Arial"/>
          <w:sz w:val="20"/>
          <w:szCs w:val="20"/>
        </w:rPr>
        <w:t>11</w:t>
      </w:r>
      <w:proofErr w:type="gramEnd"/>
      <w:r w:rsidRPr="00197659">
        <w:rPr>
          <w:rFonts w:ascii="Arial" w:hAnsi="Arial" w:cs="Arial"/>
          <w:sz w:val="20"/>
          <w:szCs w:val="20"/>
        </w:rPr>
        <w:t xml:space="preserve">. – 14. </w:t>
      </w:r>
      <w:r>
        <w:rPr>
          <w:rFonts w:ascii="Arial" w:hAnsi="Arial" w:cs="Arial"/>
          <w:sz w:val="20"/>
          <w:szCs w:val="20"/>
        </w:rPr>
        <w:t>l</w:t>
      </w:r>
      <w:r w:rsidRPr="00197659">
        <w:rPr>
          <w:rFonts w:ascii="Arial" w:hAnsi="Arial" w:cs="Arial"/>
          <w:sz w:val="20"/>
          <w:szCs w:val="20"/>
        </w:rPr>
        <w:t>istopadu 2015. Dopoledne prvního pracovního dne se členové ZV setkali s</w:t>
      </w:r>
      <w:r>
        <w:rPr>
          <w:rFonts w:ascii="Arial" w:hAnsi="Arial" w:cs="Arial"/>
          <w:sz w:val="20"/>
          <w:szCs w:val="20"/>
        </w:rPr>
        <w:t xml:space="preserve"> europoslanci</w:t>
      </w:r>
      <w:r w:rsidRPr="00197659">
        <w:rPr>
          <w:rFonts w:ascii="Arial" w:hAnsi="Arial" w:cs="Arial"/>
          <w:sz w:val="20"/>
          <w:szCs w:val="20"/>
        </w:rPr>
        <w:t xml:space="preserve"> Evženem Tošenovským, </w:t>
      </w:r>
      <w:r>
        <w:rPr>
          <w:rFonts w:ascii="Arial" w:hAnsi="Arial" w:cs="Arial"/>
          <w:sz w:val="20"/>
          <w:szCs w:val="20"/>
        </w:rPr>
        <w:t>který</w:t>
      </w:r>
      <w:r w:rsidRPr="00197659">
        <w:rPr>
          <w:rFonts w:ascii="Arial" w:hAnsi="Arial" w:cs="Arial"/>
          <w:sz w:val="20"/>
          <w:szCs w:val="20"/>
        </w:rPr>
        <w:t xml:space="preserve"> se věnoval významu a statutu evropských institucí</w:t>
      </w:r>
      <w:r>
        <w:rPr>
          <w:rFonts w:ascii="Arial" w:hAnsi="Arial" w:cs="Arial"/>
          <w:sz w:val="20"/>
          <w:szCs w:val="20"/>
        </w:rPr>
        <w:t>,</w:t>
      </w:r>
      <w:r w:rsidRPr="00197659">
        <w:rPr>
          <w:rFonts w:ascii="Arial" w:hAnsi="Arial" w:cs="Arial"/>
          <w:sz w:val="20"/>
          <w:szCs w:val="20"/>
        </w:rPr>
        <w:t xml:space="preserve"> a odpoledne s Jiřím </w:t>
      </w:r>
      <w:proofErr w:type="spellStart"/>
      <w:r w:rsidRPr="00197659">
        <w:rPr>
          <w:rFonts w:ascii="Arial" w:hAnsi="Arial" w:cs="Arial"/>
          <w:sz w:val="20"/>
          <w:szCs w:val="20"/>
        </w:rPr>
        <w:t>Maštálkou</w:t>
      </w:r>
      <w:proofErr w:type="spellEnd"/>
      <w:r w:rsidRPr="00197659">
        <w:rPr>
          <w:rFonts w:ascii="Arial" w:hAnsi="Arial" w:cs="Arial"/>
          <w:sz w:val="20"/>
          <w:szCs w:val="20"/>
        </w:rPr>
        <w:t xml:space="preserve">, se kterým měli možnost neformálněji pohovořit </w:t>
      </w:r>
      <w:r>
        <w:rPr>
          <w:rFonts w:ascii="Arial" w:hAnsi="Arial" w:cs="Arial"/>
          <w:sz w:val="20"/>
          <w:szCs w:val="20"/>
        </w:rPr>
        <w:t>na</w:t>
      </w:r>
      <w:r w:rsidRPr="00197659">
        <w:rPr>
          <w:rFonts w:ascii="Arial" w:hAnsi="Arial" w:cs="Arial"/>
          <w:sz w:val="20"/>
          <w:szCs w:val="20"/>
        </w:rPr>
        <w:t xml:space="preserve"> pracovní</w:t>
      </w:r>
      <w:r>
        <w:rPr>
          <w:rFonts w:ascii="Arial" w:hAnsi="Arial" w:cs="Arial"/>
          <w:sz w:val="20"/>
          <w:szCs w:val="20"/>
        </w:rPr>
        <w:t xml:space="preserve"> schůzce</w:t>
      </w:r>
      <w:r w:rsidRPr="00197659">
        <w:rPr>
          <w:rFonts w:ascii="Arial" w:hAnsi="Arial" w:cs="Arial"/>
          <w:sz w:val="20"/>
          <w:szCs w:val="20"/>
        </w:rPr>
        <w:t>. Následně byli přítomni plenárnímu zasedání Evropského parlamentu a mohli v praxi vidět, jak taková jednání probíhají. Bylo to velmi poučné.</w:t>
      </w:r>
      <w:r>
        <w:rPr>
          <w:rFonts w:ascii="Arial" w:hAnsi="Arial" w:cs="Arial"/>
          <w:sz w:val="20"/>
          <w:szCs w:val="20"/>
        </w:rPr>
        <w:t xml:space="preserve"> </w:t>
      </w:r>
      <w:r w:rsidRPr="00197659">
        <w:rPr>
          <w:rFonts w:ascii="Arial" w:hAnsi="Arial" w:cs="Arial"/>
          <w:sz w:val="20"/>
          <w:szCs w:val="20"/>
        </w:rPr>
        <w:t xml:space="preserve">Další den byla na programu prezentace paní Miriam </w:t>
      </w:r>
      <w:proofErr w:type="spellStart"/>
      <w:r w:rsidRPr="00197659">
        <w:rPr>
          <w:rFonts w:ascii="Arial" w:hAnsi="Arial" w:cs="Arial"/>
          <w:sz w:val="20"/>
          <w:szCs w:val="20"/>
        </w:rPr>
        <w:t>Burajové</w:t>
      </w:r>
      <w:proofErr w:type="spellEnd"/>
      <w:r w:rsidRPr="00197659">
        <w:rPr>
          <w:rFonts w:ascii="Arial" w:hAnsi="Arial" w:cs="Arial"/>
          <w:sz w:val="20"/>
          <w:szCs w:val="20"/>
        </w:rPr>
        <w:t xml:space="preserve">, zástupkyně Generálního ředitelství pro regionální a městskou politiku. Její informace byla věnována pohledu Evropské komise na přeshraniční spolupráci České republiky se sousedními zeměmi s detailnějším zaměřením na Slovensko a Polsko a také na hodnocení </w:t>
      </w:r>
      <w:r>
        <w:rPr>
          <w:rFonts w:ascii="Arial" w:hAnsi="Arial" w:cs="Arial"/>
          <w:sz w:val="20"/>
          <w:szCs w:val="20"/>
        </w:rPr>
        <w:t>uplynulého</w:t>
      </w:r>
      <w:r w:rsidRPr="00197659">
        <w:rPr>
          <w:rFonts w:ascii="Arial" w:hAnsi="Arial" w:cs="Arial"/>
          <w:sz w:val="20"/>
          <w:szCs w:val="20"/>
        </w:rPr>
        <w:t xml:space="preserve"> programovacího období</w:t>
      </w:r>
      <w:r>
        <w:rPr>
          <w:rFonts w:ascii="Arial" w:hAnsi="Arial" w:cs="Arial"/>
          <w:sz w:val="20"/>
          <w:szCs w:val="20"/>
        </w:rPr>
        <w:t xml:space="preserve"> 2007 – 2013</w:t>
      </w:r>
      <w:r w:rsidRPr="00197659">
        <w:rPr>
          <w:rFonts w:ascii="Arial" w:hAnsi="Arial" w:cs="Arial"/>
          <w:sz w:val="20"/>
          <w:szCs w:val="20"/>
        </w:rPr>
        <w:t xml:space="preserve"> a výhled na období nové 2014 </w:t>
      </w:r>
      <w:r>
        <w:rPr>
          <w:rFonts w:ascii="Arial" w:hAnsi="Arial" w:cs="Arial"/>
          <w:sz w:val="20"/>
          <w:szCs w:val="20"/>
        </w:rPr>
        <w:t>–</w:t>
      </w:r>
      <w:r w:rsidRPr="00197659">
        <w:rPr>
          <w:rFonts w:ascii="Arial" w:hAnsi="Arial" w:cs="Arial"/>
          <w:sz w:val="20"/>
          <w:szCs w:val="20"/>
        </w:rPr>
        <w:t xml:space="preserve"> 2020.</w:t>
      </w:r>
      <w:r>
        <w:rPr>
          <w:rFonts w:ascii="Arial" w:hAnsi="Arial" w:cs="Arial"/>
          <w:sz w:val="20"/>
          <w:szCs w:val="20"/>
        </w:rPr>
        <w:t xml:space="preserve"> </w:t>
      </w:r>
      <w:r w:rsidRPr="00197659">
        <w:rPr>
          <w:rFonts w:ascii="Arial" w:hAnsi="Arial" w:cs="Arial"/>
          <w:sz w:val="20"/>
          <w:szCs w:val="20"/>
        </w:rPr>
        <w:t>Pro většinu členů ZV bylo velmi zajímavé setkání s představiteli registrovaného lobbistického sdružení Access EU</w:t>
      </w:r>
      <w:r>
        <w:rPr>
          <w:rFonts w:ascii="Arial" w:hAnsi="Arial" w:cs="Arial"/>
          <w:sz w:val="20"/>
          <w:szCs w:val="20"/>
        </w:rPr>
        <w:t>,</w:t>
      </w:r>
      <w:r w:rsidRPr="00197659">
        <w:rPr>
          <w:rFonts w:ascii="Arial" w:hAnsi="Arial" w:cs="Arial"/>
          <w:sz w:val="20"/>
          <w:szCs w:val="20"/>
        </w:rPr>
        <w:t xml:space="preserve"> a to s ředit</w:t>
      </w:r>
      <w:r>
        <w:rPr>
          <w:rFonts w:ascii="Arial" w:hAnsi="Arial" w:cs="Arial"/>
          <w:sz w:val="20"/>
          <w:szCs w:val="20"/>
        </w:rPr>
        <w:t>elkou Petrou Ringrose a také jeho prez</w:t>
      </w:r>
      <w:r w:rsidRPr="00197659">
        <w:rPr>
          <w:rFonts w:ascii="Arial" w:hAnsi="Arial" w:cs="Arial"/>
          <w:sz w:val="20"/>
          <w:szCs w:val="20"/>
        </w:rPr>
        <w:t xml:space="preserve">identem Danielem </w:t>
      </w:r>
      <w:proofErr w:type="spellStart"/>
      <w:r w:rsidRPr="00197659">
        <w:rPr>
          <w:rFonts w:ascii="Arial" w:hAnsi="Arial" w:cs="Arial"/>
          <w:sz w:val="20"/>
          <w:szCs w:val="20"/>
        </w:rPr>
        <w:t>Guéguenem</w:t>
      </w:r>
      <w:proofErr w:type="spellEnd"/>
      <w:r w:rsidRPr="00197659">
        <w:rPr>
          <w:rFonts w:ascii="Arial" w:hAnsi="Arial" w:cs="Arial"/>
          <w:sz w:val="20"/>
          <w:szCs w:val="20"/>
        </w:rPr>
        <w:t>, autorem několika knih zabývajících se politikou EU a</w:t>
      </w:r>
      <w:r>
        <w:rPr>
          <w:rFonts w:ascii="Arial" w:hAnsi="Arial" w:cs="Arial"/>
          <w:sz w:val="20"/>
          <w:szCs w:val="20"/>
        </w:rPr>
        <w:t> </w:t>
      </w:r>
      <w:r w:rsidRPr="00197659">
        <w:rPr>
          <w:rFonts w:ascii="Arial" w:hAnsi="Arial" w:cs="Arial"/>
          <w:sz w:val="20"/>
          <w:szCs w:val="20"/>
        </w:rPr>
        <w:t xml:space="preserve">především lobbingem. A jak uvedl Daniel </w:t>
      </w:r>
      <w:proofErr w:type="spellStart"/>
      <w:r w:rsidRPr="00197659">
        <w:rPr>
          <w:rFonts w:ascii="Arial" w:hAnsi="Arial" w:cs="Arial"/>
          <w:sz w:val="20"/>
          <w:szCs w:val="20"/>
        </w:rPr>
        <w:t>Guéguen</w:t>
      </w:r>
      <w:proofErr w:type="spellEnd"/>
      <w:r w:rsidRPr="00197659">
        <w:rPr>
          <w:rFonts w:ascii="Arial" w:hAnsi="Arial" w:cs="Arial"/>
          <w:sz w:val="20"/>
          <w:szCs w:val="20"/>
        </w:rPr>
        <w:t>: „Dříve transparentnější systém prosazování zájmů se dnes vlivem byrokratizace stal daleko komplikovanější“. Jinými slovy řečeno, není nejdůležitější znát nejvyšší představitele organizací a skupin, ale mít všeobecný přehled o jejich struktuře a vědět, kdy a na koho se obrátit. Tomu se právě věnuje sdružení Access EU, které zastupuje zájmy právnických osob, národních nebo regionálních organizací, institucí a asociací veřejného a soukromého sektoru, a jehož přidruženým členem se v roce 2012 stal také Moravskoslezský kraj. Může takto efektivně prosazovat své zájmy v evropských institucích a mít aktuální informace o nových trendech a vývoji evropské politiky.</w:t>
      </w:r>
      <w:r>
        <w:rPr>
          <w:rFonts w:ascii="Arial" w:hAnsi="Arial" w:cs="Arial"/>
          <w:sz w:val="20"/>
          <w:szCs w:val="20"/>
        </w:rPr>
        <w:t xml:space="preserve"> </w:t>
      </w:r>
      <w:r w:rsidRPr="00197659">
        <w:rPr>
          <w:rFonts w:ascii="Arial" w:hAnsi="Arial" w:cs="Arial"/>
          <w:sz w:val="20"/>
          <w:szCs w:val="20"/>
        </w:rPr>
        <w:t xml:space="preserve">Na setkání ve Stálém zastoupení České republiky při Evropské unii členy delegace seznámila koordinátorka zástupce vedoucího Stálého zastoupení paní Alice </w:t>
      </w:r>
      <w:proofErr w:type="spellStart"/>
      <w:r w:rsidRPr="00197659">
        <w:rPr>
          <w:rFonts w:ascii="Arial" w:hAnsi="Arial" w:cs="Arial"/>
          <w:sz w:val="20"/>
          <w:szCs w:val="20"/>
        </w:rPr>
        <w:t>Krutilová</w:t>
      </w:r>
      <w:proofErr w:type="spellEnd"/>
      <w:r w:rsidRPr="00197659">
        <w:rPr>
          <w:rFonts w:ascii="Arial" w:hAnsi="Arial" w:cs="Arial"/>
          <w:sz w:val="20"/>
          <w:szCs w:val="20"/>
        </w:rPr>
        <w:t xml:space="preserve"> s rolí Zastoupení v Bruselu, které je spojovacím článkem mezi českou administrativou a unijními orgány. Poslední den výjezdního zasedání byl zaměřen na seznámení se pamětihodnostmi belgických měst a to, s největším přístavním a lázeňským městem Ostende, ležícím </w:t>
      </w:r>
      <w:r>
        <w:rPr>
          <w:rFonts w:ascii="Arial" w:hAnsi="Arial" w:cs="Arial"/>
          <w:sz w:val="20"/>
          <w:szCs w:val="20"/>
        </w:rPr>
        <w:t>u belgického</w:t>
      </w:r>
      <w:r w:rsidRPr="00197659">
        <w:rPr>
          <w:rFonts w:ascii="Arial" w:hAnsi="Arial" w:cs="Arial"/>
          <w:sz w:val="20"/>
          <w:szCs w:val="20"/>
        </w:rPr>
        <w:t xml:space="preserve"> pobřeží mezi Francií a Nizozemskem</w:t>
      </w:r>
      <w:r>
        <w:rPr>
          <w:rFonts w:ascii="Arial" w:hAnsi="Arial" w:cs="Arial"/>
          <w:sz w:val="20"/>
          <w:szCs w:val="20"/>
        </w:rPr>
        <w:t>,</w:t>
      </w:r>
      <w:r w:rsidRPr="00197659">
        <w:rPr>
          <w:rFonts w:ascii="Arial" w:hAnsi="Arial" w:cs="Arial"/>
          <w:sz w:val="20"/>
          <w:szCs w:val="20"/>
        </w:rPr>
        <w:t xml:space="preserve"> a také městem Bruggy, které je často označováno jako „Benátky severu“ a jehož historické centrum je zapsáno do Seznamu světového dědictví UNESCO. I přes neveselý závěr, který byl negativně ovlivněn teroristickými útoky v Paříži,</w:t>
      </w:r>
      <w:r>
        <w:rPr>
          <w:rFonts w:ascii="Arial" w:hAnsi="Arial" w:cs="Arial"/>
          <w:sz w:val="20"/>
          <w:szCs w:val="20"/>
        </w:rPr>
        <w:t xml:space="preserve"> souvisejícími s migrační krizí, jež rezonovala v rámci diskusí a jednání během celé návštěvy Bruselu,</w:t>
      </w:r>
      <w:r w:rsidRPr="00197659">
        <w:rPr>
          <w:rFonts w:ascii="Arial" w:hAnsi="Arial" w:cs="Arial"/>
          <w:sz w:val="20"/>
          <w:szCs w:val="20"/>
        </w:rPr>
        <w:t xml:space="preserve"> lze výjezdní zasedání ZV MSK považovat za zvládnuté a úspěšné.</w:t>
      </w:r>
    </w:p>
    <w:p w:rsidR="005F5D8C" w:rsidRPr="008F790B" w:rsidRDefault="005F5D8C" w:rsidP="005F5D8C">
      <w:pPr>
        <w:jc w:val="both"/>
        <w:rPr>
          <w:rFonts w:ascii="Arial" w:hAnsi="Arial" w:cs="Arial"/>
          <w:sz w:val="20"/>
          <w:szCs w:val="20"/>
        </w:rPr>
      </w:pPr>
      <w:r w:rsidRPr="008F790B">
        <w:rPr>
          <w:rFonts w:ascii="Arial" w:hAnsi="Arial" w:cs="Arial"/>
          <w:sz w:val="20"/>
          <w:szCs w:val="20"/>
        </w:rPr>
        <w:lastRenderedPageBreak/>
        <w:t xml:space="preserve">Na prosincovém zasedání </w:t>
      </w:r>
      <w:r>
        <w:rPr>
          <w:rFonts w:ascii="Arial" w:hAnsi="Arial" w:cs="Arial"/>
          <w:sz w:val="20"/>
          <w:szCs w:val="20"/>
        </w:rPr>
        <w:t>byl</w:t>
      </w:r>
      <w:r w:rsidRPr="008F790B">
        <w:rPr>
          <w:rFonts w:ascii="Arial" w:hAnsi="Arial" w:cs="Arial"/>
          <w:sz w:val="20"/>
          <w:szCs w:val="20"/>
        </w:rPr>
        <w:t xml:space="preserve"> ZV informován o mezinárodních aktivitách MSK za období </w:t>
      </w:r>
      <w:r>
        <w:rPr>
          <w:rFonts w:ascii="Arial" w:hAnsi="Arial" w:cs="Arial"/>
          <w:sz w:val="20"/>
          <w:szCs w:val="20"/>
        </w:rPr>
        <w:t xml:space="preserve">                </w:t>
      </w:r>
      <w:r w:rsidRPr="008F790B">
        <w:rPr>
          <w:rFonts w:ascii="Arial" w:hAnsi="Arial" w:cs="Arial"/>
          <w:sz w:val="20"/>
          <w:szCs w:val="20"/>
        </w:rPr>
        <w:t>září -  listopad 201</w:t>
      </w:r>
      <w:r>
        <w:rPr>
          <w:rFonts w:ascii="Arial" w:hAnsi="Arial" w:cs="Arial"/>
          <w:sz w:val="20"/>
          <w:szCs w:val="20"/>
        </w:rPr>
        <w:t>5</w:t>
      </w:r>
      <w:r w:rsidRPr="0058165C">
        <w:rPr>
          <w:rFonts w:ascii="Arial" w:hAnsi="Arial" w:cs="Arial"/>
          <w:sz w:val="20"/>
          <w:szCs w:val="20"/>
        </w:rPr>
        <w:t xml:space="preserve">.  </w:t>
      </w:r>
    </w:p>
    <w:p w:rsidR="005F5D8C" w:rsidRPr="008F790B" w:rsidRDefault="005F5D8C" w:rsidP="005F5D8C">
      <w:pPr>
        <w:jc w:val="both"/>
        <w:rPr>
          <w:rFonts w:ascii="Arial" w:hAnsi="Arial" w:cs="Arial"/>
          <w:sz w:val="20"/>
          <w:szCs w:val="20"/>
        </w:rPr>
      </w:pPr>
      <w:r w:rsidRPr="008F790B">
        <w:rPr>
          <w:rFonts w:ascii="Arial" w:hAnsi="Arial" w:cs="Arial"/>
          <w:sz w:val="20"/>
          <w:szCs w:val="20"/>
        </w:rPr>
        <w:t xml:space="preserve">Zahraniční výbor MSK po celé uplynulé období </w:t>
      </w:r>
      <w:r>
        <w:rPr>
          <w:rFonts w:ascii="Arial" w:hAnsi="Arial" w:cs="Arial"/>
          <w:sz w:val="20"/>
          <w:szCs w:val="20"/>
        </w:rPr>
        <w:t xml:space="preserve">plnil svou funkci iniciačního a kontrolního orgánu zastupitelstva MSK a při plnění svých úkolu a povinnosti vyplývajících z jeho statutu bude pokračovat i v roce </w:t>
      </w:r>
      <w:r w:rsidRPr="008F790B">
        <w:rPr>
          <w:rFonts w:ascii="Arial" w:hAnsi="Arial" w:cs="Arial"/>
          <w:sz w:val="20"/>
          <w:szCs w:val="20"/>
        </w:rPr>
        <w:t>201</w:t>
      </w:r>
      <w:r>
        <w:rPr>
          <w:rFonts w:ascii="Arial" w:hAnsi="Arial" w:cs="Arial"/>
          <w:sz w:val="20"/>
          <w:szCs w:val="20"/>
        </w:rPr>
        <w:t>6</w:t>
      </w:r>
      <w:r w:rsidRPr="008F790B">
        <w:rPr>
          <w:rFonts w:ascii="Arial" w:hAnsi="Arial" w:cs="Arial"/>
          <w:sz w:val="20"/>
          <w:szCs w:val="20"/>
        </w:rPr>
        <w:t>.</w:t>
      </w:r>
    </w:p>
    <w:p w:rsidR="005F5D8C" w:rsidRPr="008F790B" w:rsidRDefault="005F5D8C" w:rsidP="005F5D8C">
      <w:pPr>
        <w:jc w:val="both"/>
        <w:rPr>
          <w:rFonts w:ascii="Arial" w:hAnsi="Arial" w:cs="Arial"/>
          <w:sz w:val="20"/>
          <w:szCs w:val="20"/>
        </w:rPr>
      </w:pPr>
    </w:p>
    <w:tbl>
      <w:tblPr>
        <w:tblpPr w:leftFromText="141" w:rightFromText="141" w:vertAnchor="text" w:horzAnchor="margin" w:tblpY="977"/>
        <w:tblW w:w="9040" w:type="dxa"/>
        <w:tblCellMar>
          <w:left w:w="70" w:type="dxa"/>
          <w:right w:w="70" w:type="dxa"/>
        </w:tblCellMar>
        <w:tblLook w:val="04A0" w:firstRow="1" w:lastRow="0" w:firstColumn="1" w:lastColumn="0" w:noHBand="0" w:noVBand="1"/>
      </w:tblPr>
      <w:tblGrid>
        <w:gridCol w:w="342"/>
        <w:gridCol w:w="1876"/>
        <w:gridCol w:w="1103"/>
        <w:gridCol w:w="1161"/>
        <w:gridCol w:w="1145"/>
        <w:gridCol w:w="1051"/>
        <w:gridCol w:w="1151"/>
        <w:gridCol w:w="1211"/>
      </w:tblGrid>
      <w:tr w:rsidR="005F5D8C" w:rsidRPr="002A40C9" w:rsidTr="008546B3">
        <w:trPr>
          <w:trHeight w:val="540"/>
        </w:trPr>
        <w:tc>
          <w:tcPr>
            <w:tcW w:w="34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center"/>
              <w:rPr>
                <w:rFonts w:ascii="Arial" w:eastAsia="Times New Roman" w:hAnsi="Arial" w:cs="Arial"/>
                <w:b/>
                <w:bCs/>
                <w:sz w:val="18"/>
                <w:szCs w:val="18"/>
                <w:lang w:eastAsia="cs-CZ"/>
              </w:rPr>
            </w:pPr>
            <w:r w:rsidRPr="0082742D">
              <w:rPr>
                <w:rFonts w:ascii="Arial" w:eastAsia="Times New Roman" w:hAnsi="Arial" w:cs="Arial"/>
                <w:b/>
                <w:bCs/>
                <w:sz w:val="18"/>
                <w:szCs w:val="18"/>
                <w:lang w:eastAsia="cs-CZ"/>
              </w:rPr>
              <w:t> </w:t>
            </w:r>
          </w:p>
        </w:tc>
        <w:tc>
          <w:tcPr>
            <w:tcW w:w="1876" w:type="dxa"/>
            <w:tcBorders>
              <w:top w:val="single" w:sz="8" w:space="0" w:color="auto"/>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center"/>
              <w:rPr>
                <w:rFonts w:ascii="Arial" w:eastAsia="Times New Roman" w:hAnsi="Arial" w:cs="Arial"/>
                <w:b/>
                <w:bCs/>
                <w:sz w:val="18"/>
                <w:szCs w:val="18"/>
                <w:lang w:eastAsia="cs-CZ"/>
              </w:rPr>
            </w:pPr>
            <w:r w:rsidRPr="0082742D">
              <w:rPr>
                <w:rFonts w:ascii="Arial" w:eastAsia="Times New Roman" w:hAnsi="Arial" w:cs="Arial"/>
                <w:b/>
                <w:bCs/>
                <w:sz w:val="18"/>
                <w:szCs w:val="18"/>
                <w:lang w:eastAsia="cs-CZ"/>
              </w:rPr>
              <w:t>Jméno</w:t>
            </w:r>
          </w:p>
        </w:tc>
        <w:tc>
          <w:tcPr>
            <w:tcW w:w="1103" w:type="dxa"/>
            <w:tcBorders>
              <w:top w:val="single" w:sz="8" w:space="0" w:color="auto"/>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jc w:val="center"/>
              <w:rPr>
                <w:rFonts w:ascii="Arial" w:eastAsia="Times New Roman" w:hAnsi="Arial" w:cs="Arial"/>
                <w:b/>
                <w:bCs/>
                <w:sz w:val="18"/>
                <w:szCs w:val="18"/>
                <w:lang w:eastAsia="cs-CZ"/>
              </w:rPr>
            </w:pPr>
            <w:r w:rsidRPr="0082742D">
              <w:rPr>
                <w:rFonts w:ascii="Arial" w:eastAsia="Times New Roman" w:hAnsi="Arial" w:cs="Arial"/>
                <w:b/>
                <w:bCs/>
                <w:sz w:val="18"/>
                <w:szCs w:val="18"/>
                <w:lang w:eastAsia="cs-CZ"/>
              </w:rPr>
              <w:t>1. 12. 2014</w:t>
            </w:r>
          </w:p>
        </w:tc>
        <w:tc>
          <w:tcPr>
            <w:tcW w:w="1161" w:type="dxa"/>
            <w:tcBorders>
              <w:top w:val="single" w:sz="8" w:space="0" w:color="auto"/>
              <w:left w:val="nil"/>
              <w:bottom w:val="single" w:sz="8" w:space="0" w:color="auto"/>
              <w:right w:val="single" w:sz="8" w:space="0" w:color="auto"/>
            </w:tcBorders>
            <w:shd w:val="clear" w:color="000000" w:fill="FFFFFF"/>
            <w:vAlign w:val="center"/>
            <w:hideMark/>
          </w:tcPr>
          <w:p w:rsidR="005F5D8C" w:rsidRPr="0082742D" w:rsidRDefault="005F5D8C" w:rsidP="008546B3">
            <w:pPr>
              <w:spacing w:after="0" w:line="240" w:lineRule="auto"/>
              <w:jc w:val="center"/>
              <w:rPr>
                <w:rFonts w:ascii="Arial" w:eastAsia="Times New Roman" w:hAnsi="Arial" w:cs="Arial"/>
                <w:b/>
                <w:bCs/>
                <w:sz w:val="18"/>
                <w:szCs w:val="18"/>
                <w:lang w:eastAsia="cs-CZ"/>
              </w:rPr>
            </w:pPr>
            <w:r w:rsidRPr="0082742D">
              <w:rPr>
                <w:rFonts w:ascii="Arial" w:eastAsia="Times New Roman" w:hAnsi="Arial" w:cs="Arial"/>
                <w:b/>
                <w:bCs/>
                <w:sz w:val="18"/>
                <w:szCs w:val="18"/>
                <w:lang w:eastAsia="cs-CZ"/>
              </w:rPr>
              <w:t>9. 2. 2015</w:t>
            </w:r>
          </w:p>
        </w:tc>
        <w:tc>
          <w:tcPr>
            <w:tcW w:w="1145" w:type="dxa"/>
            <w:tcBorders>
              <w:top w:val="single" w:sz="8" w:space="0" w:color="auto"/>
              <w:left w:val="nil"/>
              <w:bottom w:val="single" w:sz="8" w:space="0" w:color="auto"/>
              <w:right w:val="single" w:sz="8" w:space="0" w:color="auto"/>
            </w:tcBorders>
            <w:shd w:val="clear" w:color="000000" w:fill="FFFFFF"/>
            <w:vAlign w:val="center"/>
            <w:hideMark/>
          </w:tcPr>
          <w:p w:rsidR="005F5D8C" w:rsidRPr="0082742D" w:rsidRDefault="005F5D8C" w:rsidP="008546B3">
            <w:pPr>
              <w:spacing w:after="0" w:line="240" w:lineRule="auto"/>
              <w:jc w:val="center"/>
              <w:rPr>
                <w:rFonts w:ascii="Arial" w:eastAsia="Times New Roman" w:hAnsi="Arial" w:cs="Arial"/>
                <w:b/>
                <w:bCs/>
                <w:sz w:val="18"/>
                <w:szCs w:val="18"/>
                <w:lang w:eastAsia="cs-CZ"/>
              </w:rPr>
            </w:pPr>
            <w:r w:rsidRPr="0082742D">
              <w:rPr>
                <w:rFonts w:ascii="Arial" w:eastAsia="Times New Roman" w:hAnsi="Arial" w:cs="Arial"/>
                <w:b/>
                <w:bCs/>
                <w:sz w:val="18"/>
                <w:szCs w:val="18"/>
                <w:lang w:eastAsia="cs-CZ"/>
              </w:rPr>
              <w:t>13. 4. 2015</w:t>
            </w:r>
          </w:p>
        </w:tc>
        <w:tc>
          <w:tcPr>
            <w:tcW w:w="1051" w:type="dxa"/>
            <w:tcBorders>
              <w:top w:val="single" w:sz="8" w:space="0" w:color="auto"/>
              <w:left w:val="nil"/>
              <w:bottom w:val="single" w:sz="8" w:space="0" w:color="auto"/>
              <w:right w:val="single" w:sz="8" w:space="0" w:color="auto"/>
            </w:tcBorders>
            <w:shd w:val="clear" w:color="000000" w:fill="FFFFFF"/>
            <w:vAlign w:val="center"/>
            <w:hideMark/>
          </w:tcPr>
          <w:p w:rsidR="005F5D8C" w:rsidRPr="0082742D" w:rsidRDefault="005F5D8C" w:rsidP="008546B3">
            <w:pPr>
              <w:spacing w:after="0" w:line="240" w:lineRule="auto"/>
              <w:jc w:val="center"/>
              <w:rPr>
                <w:rFonts w:ascii="Arial" w:eastAsia="Times New Roman" w:hAnsi="Arial" w:cs="Arial"/>
                <w:b/>
                <w:bCs/>
                <w:sz w:val="18"/>
                <w:szCs w:val="18"/>
                <w:lang w:eastAsia="cs-CZ"/>
              </w:rPr>
            </w:pPr>
            <w:r w:rsidRPr="0082742D">
              <w:rPr>
                <w:rFonts w:ascii="Arial" w:eastAsia="Times New Roman" w:hAnsi="Arial" w:cs="Arial"/>
                <w:b/>
                <w:bCs/>
                <w:sz w:val="18"/>
                <w:szCs w:val="18"/>
                <w:lang w:eastAsia="cs-CZ"/>
              </w:rPr>
              <w:t>22. 6. 2015</w:t>
            </w:r>
          </w:p>
        </w:tc>
        <w:tc>
          <w:tcPr>
            <w:tcW w:w="1151" w:type="dxa"/>
            <w:tcBorders>
              <w:top w:val="single" w:sz="8" w:space="0" w:color="auto"/>
              <w:left w:val="nil"/>
              <w:bottom w:val="single" w:sz="8" w:space="0" w:color="auto"/>
              <w:right w:val="single" w:sz="8" w:space="0" w:color="auto"/>
            </w:tcBorders>
            <w:shd w:val="clear" w:color="000000" w:fill="FFFFFF"/>
            <w:vAlign w:val="center"/>
            <w:hideMark/>
          </w:tcPr>
          <w:p w:rsidR="005F5D8C" w:rsidRPr="0082742D" w:rsidRDefault="005F5D8C" w:rsidP="008546B3">
            <w:pPr>
              <w:spacing w:after="0" w:line="240" w:lineRule="auto"/>
              <w:jc w:val="center"/>
              <w:rPr>
                <w:rFonts w:ascii="Arial" w:eastAsia="Times New Roman" w:hAnsi="Arial" w:cs="Arial"/>
                <w:b/>
                <w:bCs/>
                <w:sz w:val="18"/>
                <w:szCs w:val="18"/>
                <w:lang w:eastAsia="cs-CZ"/>
              </w:rPr>
            </w:pPr>
            <w:r w:rsidRPr="0082742D">
              <w:rPr>
                <w:rFonts w:ascii="Arial" w:eastAsia="Times New Roman" w:hAnsi="Arial" w:cs="Arial"/>
                <w:b/>
                <w:bCs/>
                <w:sz w:val="18"/>
                <w:szCs w:val="18"/>
                <w:lang w:eastAsia="cs-CZ"/>
              </w:rPr>
              <w:t>14. 9. 2015</w:t>
            </w:r>
          </w:p>
        </w:tc>
        <w:tc>
          <w:tcPr>
            <w:tcW w:w="1211" w:type="dxa"/>
            <w:tcBorders>
              <w:top w:val="single" w:sz="8" w:space="0" w:color="auto"/>
              <w:left w:val="nil"/>
              <w:bottom w:val="single" w:sz="8" w:space="0" w:color="auto"/>
              <w:right w:val="single" w:sz="8" w:space="0" w:color="auto"/>
            </w:tcBorders>
            <w:shd w:val="clear" w:color="000000" w:fill="FFFFFF"/>
            <w:vAlign w:val="center"/>
            <w:hideMark/>
          </w:tcPr>
          <w:p w:rsidR="005F5D8C" w:rsidRPr="0082742D" w:rsidRDefault="005F5D8C" w:rsidP="008546B3">
            <w:pPr>
              <w:spacing w:after="0" w:line="240" w:lineRule="auto"/>
              <w:jc w:val="center"/>
              <w:rPr>
                <w:rFonts w:ascii="Arial" w:eastAsia="Times New Roman" w:hAnsi="Arial" w:cs="Arial"/>
                <w:b/>
                <w:bCs/>
                <w:sz w:val="18"/>
                <w:szCs w:val="18"/>
                <w:lang w:eastAsia="cs-CZ"/>
              </w:rPr>
            </w:pPr>
            <w:r w:rsidRPr="0082742D">
              <w:rPr>
                <w:rFonts w:ascii="Arial" w:eastAsia="Times New Roman" w:hAnsi="Arial" w:cs="Arial"/>
                <w:b/>
                <w:bCs/>
                <w:sz w:val="18"/>
                <w:szCs w:val="18"/>
                <w:lang w:eastAsia="cs-CZ"/>
              </w:rPr>
              <w:t>11. -14. 11.2015</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1</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Ing. Petr Havránek</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2</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Tomáš Hanzel</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45"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137BFD">
              <w:rPr>
                <w:rFonts w:ascii="Arial" w:eastAsia="Times New Roman" w:hAnsi="Arial" w:cs="Arial"/>
                <w:sz w:val="18"/>
                <w:szCs w:val="18"/>
                <w:lang w:eastAsia="cs-CZ"/>
              </w:rPr>
              <w:t>nepřítomen</w:t>
            </w:r>
          </w:p>
        </w:tc>
        <w:tc>
          <w:tcPr>
            <w:tcW w:w="105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137BFD">
              <w:rPr>
                <w:rFonts w:ascii="Arial" w:eastAsia="Times New Roman" w:hAnsi="Arial" w:cs="Arial"/>
                <w:sz w:val="18"/>
                <w:szCs w:val="18"/>
                <w:lang w:eastAsia="cs-CZ"/>
              </w:rPr>
              <w:t>nepřítomen</w:t>
            </w:r>
          </w:p>
        </w:tc>
        <w:tc>
          <w:tcPr>
            <w:tcW w:w="115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137BFD">
              <w:rPr>
                <w:rFonts w:ascii="Arial" w:eastAsia="Times New Roman" w:hAnsi="Arial" w:cs="Arial"/>
                <w:sz w:val="18"/>
                <w:szCs w:val="18"/>
                <w:lang w:eastAsia="cs-CZ"/>
              </w:rPr>
              <w:t>nepřítomen</w:t>
            </w:r>
          </w:p>
        </w:tc>
        <w:tc>
          <w:tcPr>
            <w:tcW w:w="121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137BFD">
              <w:rPr>
                <w:rFonts w:ascii="Arial" w:eastAsia="Times New Roman" w:hAnsi="Arial" w:cs="Arial"/>
                <w:sz w:val="18"/>
                <w:szCs w:val="18"/>
                <w:lang w:eastAsia="cs-CZ"/>
              </w:rPr>
              <w:t>nepřítomen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3</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Bc. Jan Mayer</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6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007AF5">
              <w:rPr>
                <w:rFonts w:ascii="Arial" w:eastAsia="Times New Roman" w:hAnsi="Arial" w:cs="Arial"/>
                <w:sz w:val="18"/>
                <w:szCs w:val="18"/>
                <w:lang w:eastAsia="cs-CZ"/>
              </w:rPr>
              <w:t>nepřítomen</w:t>
            </w:r>
          </w:p>
        </w:tc>
        <w:tc>
          <w:tcPr>
            <w:tcW w:w="1145"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007AF5">
              <w:rPr>
                <w:rFonts w:ascii="Arial" w:eastAsia="Times New Roman" w:hAnsi="Arial" w:cs="Arial"/>
                <w:sz w:val="18"/>
                <w:szCs w:val="18"/>
                <w:lang w:eastAsia="cs-CZ"/>
              </w:rPr>
              <w:t>nepřítomen</w:t>
            </w:r>
          </w:p>
        </w:tc>
        <w:tc>
          <w:tcPr>
            <w:tcW w:w="105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007AF5">
              <w:rPr>
                <w:rFonts w:ascii="Arial" w:eastAsia="Times New Roman" w:hAnsi="Arial" w:cs="Arial"/>
                <w:sz w:val="18"/>
                <w:szCs w:val="18"/>
                <w:lang w:eastAsia="cs-CZ"/>
              </w:rPr>
              <w:t>nepřítomen</w:t>
            </w:r>
          </w:p>
        </w:tc>
        <w:tc>
          <w:tcPr>
            <w:tcW w:w="115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007AF5">
              <w:rPr>
                <w:rFonts w:ascii="Arial" w:eastAsia="Times New Roman" w:hAnsi="Arial" w:cs="Arial"/>
                <w:sz w:val="18"/>
                <w:szCs w:val="18"/>
                <w:lang w:eastAsia="cs-CZ"/>
              </w:rPr>
              <w:t>nepřítomen</w:t>
            </w:r>
          </w:p>
        </w:tc>
        <w:tc>
          <w:tcPr>
            <w:tcW w:w="121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007AF5">
              <w:rPr>
                <w:rFonts w:ascii="Arial" w:eastAsia="Times New Roman" w:hAnsi="Arial" w:cs="Arial"/>
                <w:sz w:val="18"/>
                <w:szCs w:val="18"/>
                <w:lang w:eastAsia="cs-CZ"/>
              </w:rPr>
              <w:t>nepřítomen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4</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Mgr. Radim Miklas</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5</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Jiří Navrátil</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6</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Ing. Renáta Rykalová</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nepřítomna</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přítomna</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přítomna</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přítomna</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Pr>
                <w:rFonts w:ascii="Arial" w:eastAsia="Times New Roman" w:hAnsi="Arial" w:cs="Arial"/>
                <w:sz w:val="18"/>
                <w:szCs w:val="18"/>
                <w:lang w:eastAsia="cs-CZ"/>
              </w:rPr>
              <w:t>nepřítomna</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Pr>
                <w:rFonts w:ascii="Arial" w:eastAsia="Times New Roman" w:hAnsi="Arial" w:cs="Arial"/>
                <w:sz w:val="18"/>
                <w:szCs w:val="18"/>
                <w:lang w:eastAsia="cs-CZ"/>
              </w:rPr>
              <w:t>nepřítomna</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 </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Ing. Adam Rykala</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 </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 </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 </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 </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 </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7</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Miroslav Polak</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 </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5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B703B3">
              <w:rPr>
                <w:rFonts w:ascii="Arial" w:eastAsia="Times New Roman" w:hAnsi="Arial" w:cs="Arial"/>
                <w:sz w:val="18"/>
                <w:szCs w:val="18"/>
                <w:lang w:eastAsia="cs-CZ"/>
              </w:rPr>
              <w:t>nepřítomen</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8</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Mgr. Ivan Žárský</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hideMark/>
          </w:tcPr>
          <w:p w:rsidR="005F5D8C" w:rsidRPr="004E1256" w:rsidRDefault="005F5D8C" w:rsidP="008546B3">
            <w:pPr>
              <w:spacing w:after="0" w:line="240" w:lineRule="auto"/>
              <w:rPr>
                <w:rFonts w:ascii="Arial" w:eastAsia="Times New Roman" w:hAnsi="Arial" w:cs="Arial"/>
                <w:sz w:val="18"/>
                <w:szCs w:val="18"/>
                <w:lang w:eastAsia="cs-CZ"/>
              </w:rPr>
            </w:pPr>
            <w:r w:rsidRPr="00DB3C1F">
              <w:rPr>
                <w:rFonts w:ascii="Arial" w:eastAsia="Times New Roman" w:hAnsi="Arial" w:cs="Arial"/>
                <w:sz w:val="18"/>
                <w:szCs w:val="18"/>
                <w:lang w:eastAsia="cs-CZ"/>
              </w:rPr>
              <w:t>nepřítomen</w:t>
            </w:r>
          </w:p>
        </w:tc>
        <w:tc>
          <w:tcPr>
            <w:tcW w:w="1151" w:type="dxa"/>
            <w:tcBorders>
              <w:top w:val="nil"/>
              <w:left w:val="nil"/>
              <w:bottom w:val="single" w:sz="8" w:space="0" w:color="auto"/>
              <w:right w:val="single" w:sz="8" w:space="0" w:color="auto"/>
            </w:tcBorders>
            <w:shd w:val="clear" w:color="000000" w:fill="FFFFFF"/>
            <w:noWrap/>
            <w:hideMark/>
          </w:tcPr>
          <w:p w:rsidR="005F5D8C" w:rsidRPr="004E1256" w:rsidRDefault="005F5D8C" w:rsidP="008546B3">
            <w:pPr>
              <w:spacing w:after="0" w:line="240" w:lineRule="auto"/>
              <w:rPr>
                <w:rFonts w:ascii="Arial" w:eastAsia="Times New Roman" w:hAnsi="Arial" w:cs="Arial"/>
                <w:sz w:val="18"/>
                <w:szCs w:val="18"/>
                <w:lang w:eastAsia="cs-CZ"/>
              </w:rPr>
            </w:pPr>
            <w:r w:rsidRPr="00DB3C1F">
              <w:rPr>
                <w:rFonts w:ascii="Arial" w:eastAsia="Times New Roman" w:hAnsi="Arial" w:cs="Arial"/>
                <w:sz w:val="18"/>
                <w:szCs w:val="18"/>
                <w:lang w:eastAsia="cs-CZ"/>
              </w:rPr>
              <w:t>nepřítomen</w:t>
            </w:r>
          </w:p>
        </w:tc>
        <w:tc>
          <w:tcPr>
            <w:tcW w:w="1211" w:type="dxa"/>
            <w:tcBorders>
              <w:top w:val="nil"/>
              <w:left w:val="nil"/>
              <w:bottom w:val="single" w:sz="8" w:space="0" w:color="auto"/>
              <w:right w:val="single" w:sz="8" w:space="0" w:color="auto"/>
            </w:tcBorders>
            <w:shd w:val="clear" w:color="000000" w:fill="FFFFFF"/>
            <w:noWrap/>
            <w:hideMark/>
          </w:tcPr>
          <w:p w:rsidR="005F5D8C" w:rsidRPr="004E1256" w:rsidRDefault="005F5D8C" w:rsidP="008546B3">
            <w:pPr>
              <w:spacing w:after="0" w:line="240" w:lineRule="auto"/>
              <w:rPr>
                <w:rFonts w:ascii="Arial" w:eastAsia="Times New Roman" w:hAnsi="Arial" w:cs="Arial"/>
                <w:sz w:val="18"/>
                <w:szCs w:val="18"/>
                <w:lang w:eastAsia="cs-CZ"/>
              </w:rPr>
            </w:pPr>
            <w:r w:rsidRPr="00DB3C1F">
              <w:rPr>
                <w:rFonts w:ascii="Arial" w:eastAsia="Times New Roman" w:hAnsi="Arial" w:cs="Arial"/>
                <w:sz w:val="18"/>
                <w:szCs w:val="18"/>
                <w:lang w:eastAsia="cs-CZ"/>
              </w:rPr>
              <w:t>nepřítomen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9</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Ing. Libor Gavlas</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10</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RSDr. Ivana Kalousková</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w:t>
            </w:r>
            <w:r>
              <w:rPr>
                <w:rFonts w:ascii="Arial" w:eastAsia="Times New Roman" w:hAnsi="Arial" w:cs="Arial"/>
                <w:sz w:val="18"/>
                <w:szCs w:val="18"/>
                <w:lang w:eastAsia="cs-CZ"/>
              </w:rPr>
              <w:t>na</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Pr>
                <w:rFonts w:ascii="Arial" w:eastAsia="Times New Roman" w:hAnsi="Arial" w:cs="Arial"/>
                <w:sz w:val="18"/>
                <w:szCs w:val="18"/>
                <w:lang w:eastAsia="cs-CZ"/>
              </w:rPr>
              <w:t>nepřítomna</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Pr>
                <w:rFonts w:ascii="Arial" w:eastAsia="Times New Roman" w:hAnsi="Arial" w:cs="Arial"/>
                <w:sz w:val="18"/>
                <w:szCs w:val="18"/>
                <w:lang w:eastAsia="cs-CZ"/>
              </w:rPr>
              <w:t>nepřítomna</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w:t>
            </w:r>
            <w:r>
              <w:rPr>
                <w:rFonts w:ascii="Arial" w:eastAsia="Times New Roman" w:hAnsi="Arial" w:cs="Arial"/>
                <w:sz w:val="18"/>
                <w:szCs w:val="18"/>
                <w:lang w:eastAsia="cs-CZ"/>
              </w:rPr>
              <w:t>na</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Pr>
                <w:rFonts w:ascii="Arial" w:eastAsia="Times New Roman" w:hAnsi="Arial" w:cs="Arial"/>
                <w:sz w:val="18"/>
                <w:szCs w:val="18"/>
                <w:lang w:eastAsia="cs-CZ"/>
              </w:rPr>
              <w:t>přítomna</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w:t>
            </w:r>
            <w:r>
              <w:rPr>
                <w:rFonts w:ascii="Arial" w:eastAsia="Times New Roman" w:hAnsi="Arial" w:cs="Arial"/>
                <w:sz w:val="18"/>
                <w:szCs w:val="18"/>
                <w:lang w:eastAsia="cs-CZ"/>
              </w:rPr>
              <w:t>na</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11</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Mgr. Radek Kaňa</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12</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Ryszard Konderla</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13</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Pavel Osadník</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neomluven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neomluven</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omluven</w:t>
            </w:r>
          </w:p>
        </w:tc>
        <w:tc>
          <w:tcPr>
            <w:tcW w:w="115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5F13FB">
              <w:rPr>
                <w:rFonts w:ascii="Arial" w:eastAsia="Times New Roman" w:hAnsi="Arial" w:cs="Arial"/>
                <w:sz w:val="18"/>
                <w:szCs w:val="18"/>
                <w:lang w:eastAsia="cs-CZ"/>
              </w:rPr>
              <w:t>nepřítomen</w:t>
            </w:r>
          </w:p>
        </w:tc>
        <w:tc>
          <w:tcPr>
            <w:tcW w:w="121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5F13FB">
              <w:rPr>
                <w:rFonts w:ascii="Arial" w:eastAsia="Times New Roman" w:hAnsi="Arial" w:cs="Arial"/>
                <w:sz w:val="18"/>
                <w:szCs w:val="18"/>
                <w:lang w:eastAsia="cs-CZ"/>
              </w:rPr>
              <w:t>nepřítomen</w:t>
            </w:r>
          </w:p>
        </w:tc>
      </w:tr>
      <w:tr w:rsidR="005F5D8C" w:rsidRPr="002A40C9" w:rsidTr="008546B3">
        <w:trPr>
          <w:trHeight w:val="276"/>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14</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Marcel Sikora</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nepřítomen</w:t>
            </w:r>
          </w:p>
        </w:tc>
        <w:tc>
          <w:tcPr>
            <w:tcW w:w="11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21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r>
      <w:tr w:rsidR="005F5D8C" w:rsidRPr="002A40C9" w:rsidTr="008546B3">
        <w:trPr>
          <w:trHeight w:val="311"/>
        </w:trPr>
        <w:tc>
          <w:tcPr>
            <w:tcW w:w="342" w:type="dxa"/>
            <w:tcBorders>
              <w:top w:val="nil"/>
              <w:left w:val="single" w:sz="8" w:space="0" w:color="auto"/>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jc w:val="right"/>
              <w:rPr>
                <w:rFonts w:ascii="Arial" w:eastAsia="Times New Roman" w:hAnsi="Arial" w:cs="Arial"/>
                <w:sz w:val="18"/>
                <w:szCs w:val="18"/>
                <w:lang w:eastAsia="cs-CZ"/>
              </w:rPr>
            </w:pPr>
            <w:r w:rsidRPr="0082742D">
              <w:rPr>
                <w:rFonts w:ascii="Arial" w:eastAsia="Times New Roman" w:hAnsi="Arial" w:cs="Arial"/>
                <w:sz w:val="18"/>
                <w:szCs w:val="18"/>
                <w:lang w:eastAsia="cs-CZ"/>
              </w:rPr>
              <w:t>15</w:t>
            </w:r>
          </w:p>
        </w:tc>
        <w:tc>
          <w:tcPr>
            <w:tcW w:w="1876" w:type="dxa"/>
            <w:tcBorders>
              <w:top w:val="nil"/>
              <w:left w:val="nil"/>
              <w:bottom w:val="single" w:sz="8" w:space="0" w:color="auto"/>
              <w:right w:val="single" w:sz="12"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Mgr. Jan Skipala</w:t>
            </w:r>
          </w:p>
        </w:tc>
        <w:tc>
          <w:tcPr>
            <w:tcW w:w="1103"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6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omluven</w:t>
            </w:r>
          </w:p>
        </w:tc>
        <w:tc>
          <w:tcPr>
            <w:tcW w:w="1145"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051" w:type="dxa"/>
            <w:tcBorders>
              <w:top w:val="nil"/>
              <w:left w:val="nil"/>
              <w:bottom w:val="single" w:sz="8" w:space="0" w:color="auto"/>
              <w:right w:val="single" w:sz="8" w:space="0" w:color="auto"/>
            </w:tcBorders>
            <w:shd w:val="clear" w:color="000000" w:fill="FFFFFF"/>
            <w:noWrap/>
            <w:vAlign w:val="center"/>
            <w:hideMark/>
          </w:tcPr>
          <w:p w:rsidR="005F5D8C" w:rsidRPr="0082742D" w:rsidRDefault="005F5D8C" w:rsidP="008546B3">
            <w:pPr>
              <w:spacing w:after="0" w:line="240" w:lineRule="auto"/>
              <w:rPr>
                <w:rFonts w:ascii="Arial" w:eastAsia="Times New Roman" w:hAnsi="Arial" w:cs="Arial"/>
                <w:sz w:val="18"/>
                <w:szCs w:val="18"/>
                <w:lang w:eastAsia="cs-CZ"/>
              </w:rPr>
            </w:pPr>
            <w:r w:rsidRPr="0082742D">
              <w:rPr>
                <w:rFonts w:ascii="Arial" w:eastAsia="Times New Roman" w:hAnsi="Arial" w:cs="Arial"/>
                <w:sz w:val="18"/>
                <w:szCs w:val="18"/>
                <w:lang w:eastAsia="cs-CZ"/>
              </w:rPr>
              <w:t>přítomen</w:t>
            </w:r>
          </w:p>
        </w:tc>
        <w:tc>
          <w:tcPr>
            <w:tcW w:w="115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A23A9A">
              <w:rPr>
                <w:rFonts w:ascii="Arial" w:eastAsia="Times New Roman" w:hAnsi="Arial" w:cs="Arial"/>
                <w:sz w:val="18"/>
                <w:szCs w:val="18"/>
                <w:lang w:eastAsia="cs-CZ"/>
              </w:rPr>
              <w:t>nepřítomen</w:t>
            </w:r>
          </w:p>
        </w:tc>
        <w:tc>
          <w:tcPr>
            <w:tcW w:w="1211" w:type="dxa"/>
            <w:tcBorders>
              <w:top w:val="nil"/>
              <w:left w:val="nil"/>
              <w:bottom w:val="single" w:sz="8" w:space="0" w:color="auto"/>
              <w:right w:val="single" w:sz="8" w:space="0" w:color="auto"/>
            </w:tcBorders>
            <w:shd w:val="clear" w:color="000000" w:fill="FFFFFF"/>
            <w:noWrap/>
            <w:hideMark/>
          </w:tcPr>
          <w:p w:rsidR="005F5D8C" w:rsidRPr="00847DA7" w:rsidRDefault="005F5D8C" w:rsidP="008546B3">
            <w:pPr>
              <w:spacing w:after="0" w:line="240" w:lineRule="auto"/>
              <w:rPr>
                <w:rFonts w:ascii="Arial" w:eastAsia="Times New Roman" w:hAnsi="Arial" w:cs="Arial"/>
                <w:sz w:val="18"/>
                <w:szCs w:val="18"/>
                <w:lang w:eastAsia="cs-CZ"/>
              </w:rPr>
            </w:pPr>
            <w:r w:rsidRPr="00A23A9A">
              <w:rPr>
                <w:rFonts w:ascii="Arial" w:eastAsia="Times New Roman" w:hAnsi="Arial" w:cs="Arial"/>
                <w:sz w:val="18"/>
                <w:szCs w:val="18"/>
                <w:lang w:eastAsia="cs-CZ"/>
              </w:rPr>
              <w:t>nepřítomen</w:t>
            </w:r>
          </w:p>
        </w:tc>
      </w:tr>
    </w:tbl>
    <w:p w:rsidR="005F5D8C" w:rsidRDefault="005F5D8C" w:rsidP="005F5D8C">
      <w:pPr>
        <w:jc w:val="both"/>
        <w:rPr>
          <w:rFonts w:ascii="Arial" w:hAnsi="Arial" w:cs="Arial"/>
          <w:b/>
          <w:sz w:val="20"/>
          <w:szCs w:val="20"/>
        </w:rPr>
      </w:pPr>
      <w:r w:rsidRPr="008F790B">
        <w:rPr>
          <w:rFonts w:ascii="Arial" w:hAnsi="Arial" w:cs="Arial"/>
          <w:b/>
          <w:sz w:val="20"/>
          <w:szCs w:val="20"/>
        </w:rPr>
        <w:t xml:space="preserve">Účast členů na jednáních výboru zahraničního Zastupitelstva Moravskoslezského </w:t>
      </w:r>
      <w:proofErr w:type="gramStart"/>
      <w:r w:rsidRPr="008F790B">
        <w:rPr>
          <w:rFonts w:ascii="Arial" w:hAnsi="Arial" w:cs="Arial"/>
          <w:b/>
          <w:sz w:val="20"/>
          <w:szCs w:val="20"/>
        </w:rPr>
        <w:t xml:space="preserve">kraje </w:t>
      </w:r>
      <w:r>
        <w:rPr>
          <w:rFonts w:ascii="Arial" w:hAnsi="Arial" w:cs="Arial"/>
          <w:b/>
          <w:sz w:val="20"/>
          <w:szCs w:val="20"/>
        </w:rPr>
        <w:t xml:space="preserve">          </w:t>
      </w:r>
      <w:r w:rsidRPr="008F790B">
        <w:rPr>
          <w:rFonts w:ascii="Arial" w:hAnsi="Arial" w:cs="Arial"/>
          <w:b/>
          <w:sz w:val="20"/>
          <w:szCs w:val="20"/>
        </w:rPr>
        <w:t>za</w:t>
      </w:r>
      <w:proofErr w:type="gramEnd"/>
      <w:r w:rsidRPr="008F790B">
        <w:rPr>
          <w:rFonts w:ascii="Arial" w:hAnsi="Arial" w:cs="Arial"/>
          <w:b/>
          <w:sz w:val="20"/>
          <w:szCs w:val="20"/>
        </w:rPr>
        <w:t xml:space="preserve"> období prosinec 201</w:t>
      </w:r>
      <w:r>
        <w:rPr>
          <w:rFonts w:ascii="Arial" w:hAnsi="Arial" w:cs="Arial"/>
          <w:b/>
          <w:sz w:val="20"/>
          <w:szCs w:val="20"/>
        </w:rPr>
        <w:t>4</w:t>
      </w:r>
      <w:r w:rsidRPr="008F790B">
        <w:rPr>
          <w:rFonts w:ascii="Arial" w:hAnsi="Arial" w:cs="Arial"/>
          <w:b/>
          <w:sz w:val="20"/>
          <w:szCs w:val="20"/>
        </w:rPr>
        <w:t xml:space="preserve"> až listopad 201</w:t>
      </w:r>
      <w:r>
        <w:rPr>
          <w:rFonts w:ascii="Arial" w:hAnsi="Arial" w:cs="Arial"/>
          <w:b/>
          <w:sz w:val="20"/>
          <w:szCs w:val="20"/>
        </w:rPr>
        <w:t>5</w:t>
      </w:r>
    </w:p>
    <w:p w:rsidR="005F5D8C" w:rsidRPr="008F790B" w:rsidRDefault="005F5D8C" w:rsidP="005F5D8C">
      <w:pPr>
        <w:jc w:val="both"/>
        <w:rPr>
          <w:rFonts w:ascii="Arial" w:hAnsi="Arial" w:cs="Arial"/>
          <w:b/>
          <w:sz w:val="20"/>
          <w:szCs w:val="20"/>
        </w:rPr>
      </w:pPr>
    </w:p>
    <w:p w:rsidR="005F5D8C" w:rsidRDefault="005F5D8C" w:rsidP="005F5D8C">
      <w:pPr>
        <w:jc w:val="both"/>
        <w:rPr>
          <w:rFonts w:ascii="Arial" w:hAnsi="Arial" w:cs="Arial"/>
          <w:b/>
          <w:sz w:val="20"/>
          <w:szCs w:val="20"/>
        </w:rPr>
      </w:pPr>
    </w:p>
    <w:p w:rsidR="005F5D8C" w:rsidRPr="008F790B" w:rsidRDefault="005F5D8C" w:rsidP="005F5D8C">
      <w:pPr>
        <w:jc w:val="both"/>
        <w:rPr>
          <w:rFonts w:ascii="Arial" w:hAnsi="Arial" w:cs="Arial"/>
          <w:sz w:val="20"/>
          <w:szCs w:val="20"/>
        </w:rPr>
      </w:pPr>
    </w:p>
    <w:p w:rsidR="005F5D8C" w:rsidRPr="008F790B" w:rsidRDefault="005F5D8C" w:rsidP="005F5D8C">
      <w:pPr>
        <w:jc w:val="both"/>
        <w:rPr>
          <w:rFonts w:ascii="Arial" w:hAnsi="Arial" w:cs="Arial"/>
          <w:sz w:val="20"/>
          <w:szCs w:val="20"/>
        </w:rPr>
      </w:pPr>
    </w:p>
    <w:p w:rsidR="005F5D8C" w:rsidRPr="008F790B" w:rsidRDefault="005F5D8C" w:rsidP="005F5D8C">
      <w:pPr>
        <w:jc w:val="both"/>
        <w:rPr>
          <w:rFonts w:ascii="Arial" w:hAnsi="Arial" w:cs="Arial"/>
          <w:sz w:val="20"/>
          <w:szCs w:val="20"/>
        </w:rPr>
      </w:pPr>
    </w:p>
    <w:p w:rsidR="005F5D8C" w:rsidRPr="008F790B" w:rsidRDefault="005F5D8C" w:rsidP="005F5D8C">
      <w:pPr>
        <w:jc w:val="both"/>
        <w:rPr>
          <w:rFonts w:ascii="Arial" w:hAnsi="Arial" w:cs="Arial"/>
          <w:sz w:val="20"/>
          <w:szCs w:val="20"/>
        </w:rPr>
      </w:pPr>
    </w:p>
    <w:p w:rsidR="00795459" w:rsidRDefault="00795459"/>
    <w:sectPr w:rsidR="00795459" w:rsidSect="00B616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95" w:rsidRDefault="007F2E95">
      <w:pPr>
        <w:spacing w:after="0" w:line="240" w:lineRule="auto"/>
      </w:pPr>
      <w:r>
        <w:separator/>
      </w:r>
    </w:p>
  </w:endnote>
  <w:endnote w:type="continuationSeparator" w:id="0">
    <w:p w:rsidR="007F2E95" w:rsidRDefault="007F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51" w:rsidRDefault="0065675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65997"/>
      <w:docPartObj>
        <w:docPartGallery w:val="Page Numbers (Bottom of Page)"/>
        <w:docPartUnique/>
      </w:docPartObj>
    </w:sdtPr>
    <w:sdtContent>
      <w:p w:rsidR="00656751" w:rsidRDefault="00656751">
        <w:pPr>
          <w:pStyle w:val="Zpat"/>
          <w:jc w:val="center"/>
        </w:pPr>
        <w:r>
          <w:fldChar w:fldCharType="begin"/>
        </w:r>
        <w:r>
          <w:instrText>PAGE   \* MERGEFORMAT</w:instrText>
        </w:r>
        <w:r>
          <w:fldChar w:fldCharType="separate"/>
        </w:r>
        <w:r w:rsidR="007B73EB">
          <w:rPr>
            <w:noProof/>
          </w:rPr>
          <w:t>1</w:t>
        </w:r>
        <w:r>
          <w:fldChar w:fldCharType="end"/>
        </w:r>
      </w:p>
    </w:sdtContent>
  </w:sdt>
  <w:p w:rsidR="00656751" w:rsidRDefault="00656751">
    <w:pPr>
      <w:pStyle w:val="Zpa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51" w:rsidRDefault="006567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95" w:rsidRDefault="007F2E95">
      <w:pPr>
        <w:spacing w:after="0" w:line="240" w:lineRule="auto"/>
      </w:pPr>
      <w:r>
        <w:separator/>
      </w:r>
    </w:p>
  </w:footnote>
  <w:footnote w:type="continuationSeparator" w:id="0">
    <w:p w:rsidR="007F2E95" w:rsidRDefault="007F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51" w:rsidRDefault="006567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58" w:rsidRDefault="005F5D8C" w:rsidP="00CB3658">
    <w:pPr>
      <w:pStyle w:val="Zhlav"/>
      <w:jc w:val="right"/>
    </w:pPr>
    <w:r>
      <w:t>Příloha č. 1 k materiálu 12/8</w:t>
    </w:r>
  </w:p>
  <w:p w:rsidR="00CB3658" w:rsidRDefault="005F5D8C" w:rsidP="00CB3658">
    <w:pPr>
      <w:pStyle w:val="Zhlav"/>
      <w:jc w:val="right"/>
    </w:pPr>
    <w:r>
      <w:t>Počet stran: 4</w:t>
    </w:r>
  </w:p>
  <w:p w:rsidR="00CB3658" w:rsidRDefault="007F2E95" w:rsidP="00CB3658">
    <w:pPr>
      <w:pStyle w:val="Zhlav"/>
      <w:jc w:val="right"/>
    </w:pPr>
  </w:p>
  <w:p w:rsidR="00CB3658" w:rsidRDefault="007F2E9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51" w:rsidRDefault="0065675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8C"/>
    <w:rsid w:val="00133168"/>
    <w:rsid w:val="00585980"/>
    <w:rsid w:val="005F5D8C"/>
    <w:rsid w:val="00656751"/>
    <w:rsid w:val="00795459"/>
    <w:rsid w:val="007B73EB"/>
    <w:rsid w:val="007F2E95"/>
    <w:rsid w:val="00D43F2F"/>
    <w:rsid w:val="00E8283B"/>
    <w:rsid w:val="00F60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D8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5D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5D8C"/>
    <w:rPr>
      <w:rFonts w:ascii="Calibri" w:eastAsia="Calibri" w:hAnsi="Calibri" w:cs="Times New Roman"/>
    </w:rPr>
  </w:style>
  <w:style w:type="paragraph" w:styleId="Zpat">
    <w:name w:val="footer"/>
    <w:basedOn w:val="Normln"/>
    <w:link w:val="ZpatChar"/>
    <w:uiPriority w:val="99"/>
    <w:unhideWhenUsed/>
    <w:rsid w:val="00656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6567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5D8C"/>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5D8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5D8C"/>
    <w:rPr>
      <w:rFonts w:ascii="Calibri" w:eastAsia="Calibri" w:hAnsi="Calibri" w:cs="Times New Roman"/>
    </w:rPr>
  </w:style>
  <w:style w:type="paragraph" w:styleId="Zpat">
    <w:name w:val="footer"/>
    <w:basedOn w:val="Normln"/>
    <w:link w:val="ZpatChar"/>
    <w:uiPriority w:val="99"/>
    <w:unhideWhenUsed/>
    <w:rsid w:val="00656751"/>
    <w:pPr>
      <w:tabs>
        <w:tab w:val="center" w:pos="4536"/>
        <w:tab w:val="right" w:pos="9072"/>
      </w:tabs>
      <w:spacing w:after="0" w:line="240" w:lineRule="auto"/>
    </w:pPr>
  </w:style>
  <w:style w:type="character" w:customStyle="1" w:styleId="ZpatChar">
    <w:name w:val="Zápatí Char"/>
    <w:basedOn w:val="Standardnpsmoodstavce"/>
    <w:link w:val="Zpat"/>
    <w:uiPriority w:val="99"/>
    <w:rsid w:val="006567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2220</Words>
  <Characters>13103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Kalužová Gabriela</dc:creator>
  <cp:lastModifiedBy>Novotná Hana</cp:lastModifiedBy>
  <cp:revision>4</cp:revision>
  <dcterms:created xsi:type="dcterms:W3CDTF">2015-12-08T09:47:00Z</dcterms:created>
  <dcterms:modified xsi:type="dcterms:W3CDTF">2015-12-08T11:02:00Z</dcterms:modified>
</cp:coreProperties>
</file>