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70" w:rsidRPr="00A26DCC" w:rsidRDefault="008E4F70" w:rsidP="008E4F70">
      <w:pPr>
        <w:pStyle w:val="Zhlav"/>
        <w:rPr>
          <w:rFonts w:ascii="Tahoma" w:hAnsi="Tahoma" w:cs="Tahoma"/>
          <w:b/>
          <w:bCs/>
        </w:rPr>
      </w:pPr>
      <w:bookmarkStart w:id="0" w:name="_GoBack"/>
      <w:bookmarkEnd w:id="0"/>
      <w:r w:rsidRPr="00A26DCC">
        <w:rPr>
          <w:rFonts w:ascii="Tahoma" w:hAnsi="Tahoma" w:cs="Tahoma"/>
          <w:b/>
          <w:bCs/>
        </w:rPr>
        <w:t xml:space="preserve">Příloha č.: </w:t>
      </w:r>
      <w:r>
        <w:rPr>
          <w:rFonts w:ascii="Tahoma" w:hAnsi="Tahoma" w:cs="Tahoma"/>
          <w:b/>
          <w:bCs/>
        </w:rPr>
        <w:t>1</w:t>
      </w:r>
      <w:r w:rsidRPr="00A26DCC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k materiálu č</w:t>
      </w:r>
      <w:r w:rsidRPr="00A92642">
        <w:rPr>
          <w:rFonts w:ascii="Tahoma" w:hAnsi="Tahoma" w:cs="Tahoma"/>
          <w:b/>
          <w:bCs/>
        </w:rPr>
        <w:t xml:space="preserve">. </w:t>
      </w:r>
      <w:r w:rsidR="00E408BB">
        <w:rPr>
          <w:rFonts w:ascii="Tahoma" w:hAnsi="Tahoma" w:cs="Tahoma"/>
          <w:b/>
          <w:bCs/>
        </w:rPr>
        <w:t>4</w:t>
      </w:r>
      <w:r w:rsidR="00C1094A">
        <w:rPr>
          <w:rFonts w:ascii="Tahoma" w:hAnsi="Tahoma" w:cs="Tahoma"/>
          <w:b/>
          <w:bCs/>
        </w:rPr>
        <w:t>/1</w:t>
      </w:r>
    </w:p>
    <w:p w:rsidR="008E4F70" w:rsidRPr="008F1628" w:rsidRDefault="008E4F70" w:rsidP="008E4F70">
      <w:pPr>
        <w:pStyle w:val="Zhlav"/>
        <w:rPr>
          <w:rFonts w:ascii="Tahoma" w:hAnsi="Tahoma" w:cs="Tahoma"/>
        </w:rPr>
      </w:pPr>
      <w:r w:rsidRPr="008F1628">
        <w:rPr>
          <w:rFonts w:ascii="Tahoma" w:hAnsi="Tahoma" w:cs="Tahoma"/>
        </w:rPr>
        <w:t>Počet stran přílohy</w:t>
      </w:r>
      <w:r w:rsidRPr="00480C34">
        <w:rPr>
          <w:rFonts w:ascii="Tahoma" w:hAnsi="Tahoma" w:cs="Tahoma"/>
        </w:rPr>
        <w:t xml:space="preserve">: </w:t>
      </w:r>
      <w:r w:rsidR="00C715EB" w:rsidRPr="00A3169B">
        <w:rPr>
          <w:rFonts w:ascii="Tahoma" w:hAnsi="Tahoma" w:cs="Tahoma"/>
        </w:rPr>
        <w:t>8</w:t>
      </w:r>
    </w:p>
    <w:p w:rsidR="008E4F70" w:rsidRDefault="008E4F70" w:rsidP="008E4F70">
      <w:pPr>
        <w:jc w:val="center"/>
        <w:rPr>
          <w:rFonts w:ascii="Tahoma" w:hAnsi="Tahoma" w:cs="Tahoma"/>
          <w:b/>
          <w:bCs/>
        </w:rPr>
      </w:pPr>
    </w:p>
    <w:p w:rsidR="007813F8" w:rsidRDefault="008E4F70" w:rsidP="001716DB">
      <w:pPr>
        <w:jc w:val="center"/>
        <w:rPr>
          <w:rFonts w:ascii="Tahoma" w:hAnsi="Tahoma" w:cs="Tahoma"/>
          <w:b/>
          <w:bCs/>
        </w:rPr>
      </w:pPr>
      <w:r w:rsidRPr="00C11645">
        <w:rPr>
          <w:rFonts w:ascii="Tahoma" w:hAnsi="Tahoma" w:cs="Tahoma"/>
          <w:b/>
          <w:bCs/>
        </w:rPr>
        <w:t>Bilance rozpočtu kraje na rok 201</w:t>
      </w:r>
      <w:r w:rsidR="00C11645" w:rsidRPr="00C11645">
        <w:rPr>
          <w:rFonts w:ascii="Tahoma" w:hAnsi="Tahoma" w:cs="Tahoma"/>
          <w:b/>
          <w:bCs/>
        </w:rPr>
        <w:t>6</w:t>
      </w:r>
    </w:p>
    <w:p w:rsidR="007813F8" w:rsidRDefault="007813F8" w:rsidP="00DE6EB6">
      <w:pPr>
        <w:ind w:left="-993" w:right="-428"/>
        <w:jc w:val="center"/>
        <w:rPr>
          <w:rFonts w:ascii="Tahoma" w:hAnsi="Tahoma" w:cs="Tahoma"/>
          <w:b/>
          <w:bCs/>
        </w:rPr>
      </w:pPr>
      <w:r w:rsidRPr="007813F8">
        <w:rPr>
          <w:noProof/>
          <w:lang w:eastAsia="cs-CZ"/>
        </w:rPr>
        <w:drawing>
          <wp:inline distT="0" distB="0" distL="0" distR="0" wp14:anchorId="29A0B92D" wp14:editId="15ECC1E1">
            <wp:extent cx="6972300" cy="443929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038" cy="4465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072" w:rsidRPr="00C11645" w:rsidRDefault="00227A51" w:rsidP="00844DC8">
      <w:pPr>
        <w:pStyle w:val="Bezmezer"/>
        <w:rPr>
          <w:i/>
        </w:rPr>
      </w:pPr>
      <w:r>
        <w:rPr>
          <w:i/>
        </w:rPr>
        <w:t>N</w:t>
      </w:r>
      <w:r w:rsidR="008C2072" w:rsidRPr="00C11645">
        <w:rPr>
          <w:i/>
        </w:rPr>
        <w:t>ávrh rozpočtu na rok 201</w:t>
      </w:r>
      <w:r w:rsidR="00C11645" w:rsidRPr="00C11645">
        <w:rPr>
          <w:i/>
        </w:rPr>
        <w:t>6</w:t>
      </w:r>
      <w:r w:rsidR="008C2072" w:rsidRPr="00C11645">
        <w:rPr>
          <w:i/>
        </w:rPr>
        <w:t xml:space="preserve"> je porovnáván ke schválenému rozpočtu 201</w:t>
      </w:r>
      <w:r w:rsidR="00C64F58">
        <w:rPr>
          <w:i/>
        </w:rPr>
        <w:t>5</w:t>
      </w:r>
      <w:r w:rsidR="006153D3" w:rsidRPr="00C11645">
        <w:rPr>
          <w:i/>
        </w:rPr>
        <w:t>.</w:t>
      </w:r>
      <w:r w:rsidR="008C2072" w:rsidRPr="00C11645">
        <w:rPr>
          <w:i/>
        </w:rPr>
        <w:t xml:space="preserve"> Pro </w:t>
      </w:r>
      <w:r w:rsidR="006153D3" w:rsidRPr="00C11645">
        <w:rPr>
          <w:i/>
        </w:rPr>
        <w:t xml:space="preserve">úplnější </w:t>
      </w:r>
      <w:r w:rsidR="008C2072" w:rsidRPr="00C11645">
        <w:rPr>
          <w:i/>
        </w:rPr>
        <w:t xml:space="preserve">srovnání je bilance doplněna o </w:t>
      </w:r>
      <w:r w:rsidR="00413A94" w:rsidRPr="00C11645">
        <w:rPr>
          <w:i/>
        </w:rPr>
        <w:t>očekávanou skutečnost</w:t>
      </w:r>
      <w:r w:rsidR="008C2072" w:rsidRPr="00C11645">
        <w:rPr>
          <w:i/>
        </w:rPr>
        <w:t xml:space="preserve"> roku 201</w:t>
      </w:r>
      <w:r w:rsidR="00C64F58">
        <w:rPr>
          <w:i/>
        </w:rPr>
        <w:t>5</w:t>
      </w:r>
      <w:r w:rsidR="006153D3" w:rsidRPr="00C11645">
        <w:rPr>
          <w:i/>
        </w:rPr>
        <w:t xml:space="preserve"> (dle údajů k 30. 9. 201</w:t>
      </w:r>
      <w:r w:rsidR="00C64F58">
        <w:rPr>
          <w:i/>
        </w:rPr>
        <w:t>5</w:t>
      </w:r>
      <w:r w:rsidR="006153D3" w:rsidRPr="00C11645">
        <w:rPr>
          <w:i/>
        </w:rPr>
        <w:t xml:space="preserve">) a </w:t>
      </w:r>
      <w:r w:rsidR="00C64F58">
        <w:rPr>
          <w:i/>
        </w:rPr>
        <w:t xml:space="preserve">rozpočtového </w:t>
      </w:r>
      <w:r w:rsidR="006153D3" w:rsidRPr="00C11645">
        <w:rPr>
          <w:i/>
        </w:rPr>
        <w:t>výhledu pro rok 201</w:t>
      </w:r>
      <w:r w:rsidR="00C64F58">
        <w:rPr>
          <w:i/>
        </w:rPr>
        <w:t>6.</w:t>
      </w:r>
      <w:r w:rsidR="006153D3" w:rsidRPr="00C11645">
        <w:rPr>
          <w:i/>
        </w:rPr>
        <w:t xml:space="preserve"> </w:t>
      </w:r>
    </w:p>
    <w:p w:rsidR="008C2072" w:rsidRDefault="008C2072" w:rsidP="008C2072">
      <w:pPr>
        <w:pStyle w:val="Bezmezer"/>
      </w:pPr>
    </w:p>
    <w:p w:rsidR="0022268A" w:rsidRPr="00454209" w:rsidRDefault="006153D3" w:rsidP="00454209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Navrhované</w:t>
      </w:r>
      <w:r w:rsidR="0022268A" w:rsidRPr="00454209">
        <w:rPr>
          <w:rFonts w:ascii="Tahoma" w:hAnsi="Tahoma" w:cs="Tahoma"/>
          <w:b/>
          <w:sz w:val="24"/>
          <w:szCs w:val="24"/>
        </w:rPr>
        <w:t xml:space="preserve"> PŘÍJMY</w:t>
      </w:r>
      <w:r w:rsidR="00454209" w:rsidRPr="00454209">
        <w:rPr>
          <w:rFonts w:ascii="Tahoma" w:hAnsi="Tahoma" w:cs="Tahoma"/>
          <w:b/>
          <w:sz w:val="24"/>
          <w:szCs w:val="24"/>
        </w:rPr>
        <w:t xml:space="preserve"> na rok 201</w:t>
      </w:r>
      <w:r w:rsidR="00C11645">
        <w:rPr>
          <w:rFonts w:ascii="Tahoma" w:hAnsi="Tahoma" w:cs="Tahoma"/>
          <w:b/>
          <w:sz w:val="24"/>
          <w:szCs w:val="24"/>
        </w:rPr>
        <w:t>6</w:t>
      </w:r>
      <w:r w:rsidR="008E4F70">
        <w:rPr>
          <w:rFonts w:ascii="Tahoma" w:hAnsi="Tahoma" w:cs="Tahoma"/>
          <w:b/>
          <w:sz w:val="24"/>
          <w:szCs w:val="24"/>
        </w:rPr>
        <w:t xml:space="preserve"> </w:t>
      </w:r>
      <w:r w:rsidR="008E4F70">
        <w:rPr>
          <w:rFonts w:ascii="Tahoma" w:hAnsi="Tahoma" w:cs="Tahoma"/>
          <w:b/>
          <w:bCs/>
        </w:rPr>
        <w:t xml:space="preserve">– v celkové výši </w:t>
      </w:r>
      <w:r w:rsidR="00557799" w:rsidRPr="00B75E7A">
        <w:rPr>
          <w:rFonts w:ascii="Tahoma" w:hAnsi="Tahoma" w:cs="Tahoma"/>
          <w:b/>
          <w:bCs/>
        </w:rPr>
        <w:t>8.</w:t>
      </w:r>
      <w:r w:rsidR="00C11645">
        <w:rPr>
          <w:rFonts w:ascii="Tahoma" w:hAnsi="Tahoma" w:cs="Tahoma"/>
          <w:b/>
          <w:bCs/>
        </w:rPr>
        <w:t>0</w:t>
      </w:r>
      <w:r w:rsidR="00C64F58">
        <w:rPr>
          <w:rFonts w:ascii="Tahoma" w:hAnsi="Tahoma" w:cs="Tahoma"/>
          <w:b/>
          <w:bCs/>
        </w:rPr>
        <w:t>53</w:t>
      </w:r>
      <w:r w:rsidR="00557799">
        <w:rPr>
          <w:rFonts w:ascii="Tahoma" w:hAnsi="Tahoma" w:cs="Tahoma"/>
          <w:b/>
          <w:bCs/>
        </w:rPr>
        <w:t>.</w:t>
      </w:r>
      <w:r w:rsidR="00C64F58">
        <w:rPr>
          <w:rFonts w:ascii="Tahoma" w:hAnsi="Tahoma" w:cs="Tahoma"/>
          <w:b/>
          <w:bCs/>
        </w:rPr>
        <w:t>332</w:t>
      </w:r>
      <w:r w:rsidR="00557799" w:rsidRPr="00B75E7A">
        <w:rPr>
          <w:rFonts w:ascii="Tahoma" w:hAnsi="Tahoma" w:cs="Tahoma"/>
          <w:b/>
          <w:bCs/>
        </w:rPr>
        <w:t> </w:t>
      </w:r>
      <w:r w:rsidR="008E4F70">
        <w:rPr>
          <w:rFonts w:ascii="Tahoma" w:hAnsi="Tahoma" w:cs="Tahoma"/>
          <w:b/>
          <w:bCs/>
        </w:rPr>
        <w:t>tis. Kč</w:t>
      </w:r>
    </w:p>
    <w:p w:rsidR="0022268A" w:rsidRPr="004179A2" w:rsidRDefault="0022268A" w:rsidP="00454209">
      <w:pPr>
        <w:pStyle w:val="Bezmezer"/>
        <w:rPr>
          <w:rFonts w:cs="Tahoma"/>
          <w:szCs w:val="24"/>
          <w:u w:val="single"/>
        </w:rPr>
      </w:pPr>
      <w:r w:rsidRPr="004179A2">
        <w:rPr>
          <w:rFonts w:cs="Tahoma"/>
          <w:szCs w:val="24"/>
          <w:u w:val="single"/>
        </w:rPr>
        <w:t>Daňové příjmy</w:t>
      </w:r>
    </w:p>
    <w:p w:rsidR="00E6284B" w:rsidRPr="004179A2" w:rsidRDefault="00D033C5" w:rsidP="00351B73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4179A2">
        <w:rPr>
          <w:rFonts w:ascii="Tahoma" w:hAnsi="Tahoma" w:cs="Tahoma"/>
          <w:b/>
          <w:sz w:val="24"/>
          <w:szCs w:val="24"/>
        </w:rPr>
        <w:t>příjmy ze sdílených daní</w:t>
      </w:r>
      <w:r w:rsidRPr="004179A2">
        <w:rPr>
          <w:rFonts w:ascii="Tahoma" w:hAnsi="Tahoma" w:cs="Tahoma"/>
          <w:sz w:val="24"/>
          <w:szCs w:val="24"/>
        </w:rPr>
        <w:t xml:space="preserve"> jsou navrženy ve výši </w:t>
      </w:r>
      <w:r w:rsidR="00E6284B" w:rsidRPr="004179A2">
        <w:rPr>
          <w:rFonts w:ascii="Tahoma" w:hAnsi="Tahoma" w:cs="Tahoma"/>
          <w:sz w:val="24"/>
          <w:szCs w:val="24"/>
        </w:rPr>
        <w:t>5.300</w:t>
      </w:r>
      <w:r w:rsidRPr="004179A2">
        <w:rPr>
          <w:rFonts w:ascii="Tahoma" w:hAnsi="Tahoma" w:cs="Tahoma"/>
          <w:sz w:val="24"/>
          <w:szCs w:val="24"/>
        </w:rPr>
        <w:t xml:space="preserve"> mil. Kč.</w:t>
      </w:r>
      <w:r w:rsidRPr="004179A2">
        <w:rPr>
          <w:rFonts w:cs="Tahoma"/>
          <w:sz w:val="24"/>
          <w:szCs w:val="24"/>
        </w:rPr>
        <w:t xml:space="preserve"> </w:t>
      </w:r>
      <w:r w:rsidR="00E6284B" w:rsidRPr="004179A2">
        <w:rPr>
          <w:rFonts w:ascii="Tahoma" w:hAnsi="Tahoma" w:cs="Tahoma"/>
          <w:sz w:val="24"/>
          <w:szCs w:val="24"/>
        </w:rPr>
        <w:t xml:space="preserve">Oproti schválenému rozpočtu na rok 2015 jsou tyto příjmy navýšeny o 11,6 %, což představuje 550 mil. Kč. V tomto návrhu je počítáno s navrácením podílů, kterými se kraje podílejí na celostátním výběru daní, a to u DPH a u daně z příjmů fyzických osob ze závislé činnosti na úroveň platnou do konce roku 2011, tj. 8,92 % (zvýšení o 330 mil. Kč u DPH a o 35 mil. Kč u </w:t>
      </w:r>
      <w:r w:rsidR="00E6284B" w:rsidRPr="00A3169B">
        <w:rPr>
          <w:rFonts w:ascii="Tahoma" w:hAnsi="Tahoma" w:cs="Tahoma"/>
          <w:sz w:val="24"/>
          <w:szCs w:val="24"/>
        </w:rPr>
        <w:t>D</w:t>
      </w:r>
      <w:r w:rsidR="00DE6EB6" w:rsidRPr="00A3169B">
        <w:rPr>
          <w:rFonts w:ascii="Tahoma" w:hAnsi="Tahoma" w:cs="Tahoma"/>
          <w:sz w:val="24"/>
          <w:szCs w:val="24"/>
        </w:rPr>
        <w:t>P</w:t>
      </w:r>
      <w:r w:rsidR="00E6284B" w:rsidRPr="00A3169B">
        <w:rPr>
          <w:rFonts w:ascii="Tahoma" w:hAnsi="Tahoma" w:cs="Tahoma"/>
          <w:sz w:val="24"/>
          <w:szCs w:val="24"/>
        </w:rPr>
        <w:t>FO).</w:t>
      </w:r>
      <w:r w:rsidR="00E6284B" w:rsidRPr="004179A2">
        <w:rPr>
          <w:rFonts w:ascii="Tahoma" w:hAnsi="Tahoma" w:cs="Tahoma"/>
          <w:sz w:val="24"/>
          <w:szCs w:val="24"/>
        </w:rPr>
        <w:t xml:space="preserve"> </w:t>
      </w:r>
      <w:r w:rsidR="00154E22" w:rsidRPr="004179A2">
        <w:rPr>
          <w:rFonts w:ascii="Tahoma" w:hAnsi="Tahoma" w:cs="Tahoma"/>
          <w:sz w:val="24"/>
          <w:szCs w:val="24"/>
        </w:rPr>
        <w:t xml:space="preserve">Novela zákona č. 243/2000 Sb., o rozpočtovém určení daní, kterou má dojít k této </w:t>
      </w:r>
      <w:r w:rsidR="00142933" w:rsidRPr="004179A2">
        <w:rPr>
          <w:rFonts w:ascii="Tahoma" w:hAnsi="Tahoma" w:cs="Tahoma"/>
          <w:sz w:val="24"/>
          <w:szCs w:val="24"/>
        </w:rPr>
        <w:t>úpravě</w:t>
      </w:r>
      <w:r w:rsidR="001B1137" w:rsidRPr="004179A2">
        <w:rPr>
          <w:rFonts w:ascii="Tahoma" w:hAnsi="Tahoma" w:cs="Tahoma"/>
          <w:sz w:val="24"/>
          <w:szCs w:val="24"/>
        </w:rPr>
        <w:t xml:space="preserve"> s účinností</w:t>
      </w:r>
      <w:r w:rsidR="00154E22" w:rsidRPr="004179A2">
        <w:rPr>
          <w:rFonts w:ascii="Tahoma" w:hAnsi="Tahoma" w:cs="Tahoma"/>
          <w:sz w:val="24"/>
          <w:szCs w:val="24"/>
        </w:rPr>
        <w:t xml:space="preserve"> od 1.</w:t>
      </w:r>
      <w:r w:rsidR="00DE6EB6">
        <w:rPr>
          <w:rFonts w:ascii="Tahoma" w:hAnsi="Tahoma" w:cs="Tahoma"/>
          <w:sz w:val="24"/>
          <w:szCs w:val="24"/>
        </w:rPr>
        <w:t> </w:t>
      </w:r>
      <w:r w:rsidR="00154E22" w:rsidRPr="004179A2">
        <w:rPr>
          <w:rFonts w:ascii="Tahoma" w:hAnsi="Tahoma" w:cs="Tahoma"/>
          <w:sz w:val="24"/>
          <w:szCs w:val="24"/>
        </w:rPr>
        <w:t>1.</w:t>
      </w:r>
      <w:r w:rsidR="00DE6EB6">
        <w:rPr>
          <w:rFonts w:ascii="Tahoma" w:hAnsi="Tahoma" w:cs="Tahoma"/>
          <w:sz w:val="24"/>
          <w:szCs w:val="24"/>
        </w:rPr>
        <w:t> </w:t>
      </w:r>
      <w:r w:rsidR="00154E22" w:rsidRPr="004179A2">
        <w:rPr>
          <w:rFonts w:ascii="Tahoma" w:hAnsi="Tahoma" w:cs="Tahoma"/>
          <w:sz w:val="24"/>
          <w:szCs w:val="24"/>
        </w:rPr>
        <w:t>2016, b</w:t>
      </w:r>
      <w:r w:rsidR="004F34EB" w:rsidRPr="004179A2">
        <w:rPr>
          <w:rFonts w:ascii="Tahoma" w:hAnsi="Tahoma" w:cs="Tahoma"/>
          <w:sz w:val="24"/>
          <w:szCs w:val="24"/>
        </w:rPr>
        <w:t>yla dne 23.</w:t>
      </w:r>
      <w:r w:rsidR="00DE6EB6">
        <w:rPr>
          <w:rFonts w:ascii="Tahoma" w:hAnsi="Tahoma" w:cs="Tahoma"/>
          <w:sz w:val="24"/>
          <w:szCs w:val="24"/>
        </w:rPr>
        <w:t> </w:t>
      </w:r>
      <w:r w:rsidR="004F34EB" w:rsidRPr="004179A2">
        <w:rPr>
          <w:rFonts w:ascii="Tahoma" w:hAnsi="Tahoma" w:cs="Tahoma"/>
          <w:sz w:val="24"/>
          <w:szCs w:val="24"/>
        </w:rPr>
        <w:t>10.</w:t>
      </w:r>
      <w:r w:rsidR="00DE6EB6">
        <w:rPr>
          <w:rFonts w:ascii="Tahoma" w:hAnsi="Tahoma" w:cs="Tahoma"/>
          <w:sz w:val="24"/>
          <w:szCs w:val="24"/>
        </w:rPr>
        <w:t> </w:t>
      </w:r>
      <w:r w:rsidR="004F34EB" w:rsidRPr="004179A2">
        <w:rPr>
          <w:rFonts w:ascii="Tahoma" w:hAnsi="Tahoma" w:cs="Tahoma"/>
          <w:sz w:val="24"/>
          <w:szCs w:val="24"/>
        </w:rPr>
        <w:t xml:space="preserve">2015 schválena </w:t>
      </w:r>
      <w:r w:rsidR="00FF442E" w:rsidRPr="004179A2">
        <w:rPr>
          <w:rFonts w:ascii="Tahoma" w:hAnsi="Tahoma" w:cs="Tahoma"/>
          <w:sz w:val="24"/>
          <w:szCs w:val="24"/>
        </w:rPr>
        <w:t>Poslaneckou sněmovn</w:t>
      </w:r>
      <w:r w:rsidR="004F34EB" w:rsidRPr="004179A2">
        <w:rPr>
          <w:rFonts w:ascii="Tahoma" w:hAnsi="Tahoma" w:cs="Tahoma"/>
          <w:sz w:val="24"/>
          <w:szCs w:val="24"/>
        </w:rPr>
        <w:t xml:space="preserve">ou </w:t>
      </w:r>
      <w:r w:rsidR="00154E22" w:rsidRPr="004179A2">
        <w:rPr>
          <w:rFonts w:ascii="Tahoma" w:hAnsi="Tahoma" w:cs="Tahoma"/>
          <w:sz w:val="24"/>
          <w:szCs w:val="24"/>
        </w:rPr>
        <w:t xml:space="preserve">PČR, </w:t>
      </w:r>
      <w:r w:rsidR="007E3CC1" w:rsidRPr="004179A2">
        <w:rPr>
          <w:rFonts w:ascii="Tahoma" w:hAnsi="Tahoma" w:cs="Tahoma"/>
          <w:sz w:val="24"/>
          <w:szCs w:val="24"/>
        </w:rPr>
        <w:t>následovat bude projednání v Senátu PČR a</w:t>
      </w:r>
      <w:r w:rsidR="00DE6EB6">
        <w:rPr>
          <w:rFonts w:ascii="Tahoma" w:hAnsi="Tahoma" w:cs="Tahoma"/>
          <w:sz w:val="24"/>
          <w:szCs w:val="24"/>
        </w:rPr>
        <w:t> </w:t>
      </w:r>
      <w:r w:rsidR="007E3CC1" w:rsidRPr="004179A2">
        <w:rPr>
          <w:rFonts w:ascii="Tahoma" w:hAnsi="Tahoma" w:cs="Tahoma"/>
          <w:sz w:val="24"/>
          <w:szCs w:val="24"/>
        </w:rPr>
        <w:t>podpis prezidenta republiky.</w:t>
      </w:r>
      <w:r w:rsidR="00E6284B" w:rsidRPr="004179A2">
        <w:rPr>
          <w:rFonts w:ascii="Tahoma" w:hAnsi="Tahoma" w:cs="Tahoma"/>
          <w:sz w:val="24"/>
          <w:szCs w:val="24"/>
        </w:rPr>
        <w:t xml:space="preserve"> Zbývající navýšení inkasa bude generováno </w:t>
      </w:r>
      <w:r w:rsidR="007E3CC1" w:rsidRPr="004179A2">
        <w:rPr>
          <w:rFonts w:ascii="Tahoma" w:hAnsi="Tahoma" w:cs="Tahoma"/>
          <w:sz w:val="24"/>
          <w:szCs w:val="24"/>
        </w:rPr>
        <w:lastRenderedPageBreak/>
        <w:t>růstem ekonomiky, který se pro rok 2016 očekává ve výši 2,7</w:t>
      </w:r>
      <w:r w:rsidR="00E6284B" w:rsidRPr="004179A2">
        <w:rPr>
          <w:rFonts w:ascii="Tahoma" w:hAnsi="Tahoma" w:cs="Tahoma"/>
          <w:sz w:val="24"/>
          <w:szCs w:val="24"/>
        </w:rPr>
        <w:t xml:space="preserve"> </w:t>
      </w:r>
      <w:r w:rsidR="00E6284B" w:rsidRPr="00A3169B">
        <w:rPr>
          <w:rFonts w:ascii="Tahoma" w:hAnsi="Tahoma" w:cs="Tahoma"/>
          <w:sz w:val="24"/>
          <w:szCs w:val="24"/>
        </w:rPr>
        <w:t>%</w:t>
      </w:r>
      <w:r w:rsidR="00DE6EB6" w:rsidRPr="00A3169B">
        <w:rPr>
          <w:rFonts w:ascii="Tahoma" w:hAnsi="Tahoma" w:cs="Tahoma"/>
          <w:sz w:val="24"/>
          <w:szCs w:val="24"/>
        </w:rPr>
        <w:t>,</w:t>
      </w:r>
      <w:r w:rsidR="00A042B3" w:rsidRPr="00A3169B">
        <w:rPr>
          <w:rFonts w:ascii="Tahoma" w:hAnsi="Tahoma" w:cs="Tahoma"/>
          <w:sz w:val="24"/>
          <w:szCs w:val="24"/>
        </w:rPr>
        <w:t xml:space="preserve"> a</w:t>
      </w:r>
      <w:r w:rsidR="00A042B3" w:rsidRPr="004179A2">
        <w:rPr>
          <w:rFonts w:ascii="Tahoma" w:hAnsi="Tahoma" w:cs="Tahoma"/>
          <w:sz w:val="24"/>
          <w:szCs w:val="24"/>
        </w:rPr>
        <w:t xml:space="preserve"> dále předpokládaným zavedením elektronické evidence tržeb</w:t>
      </w:r>
      <w:r w:rsidR="00E6284B" w:rsidRPr="004179A2">
        <w:rPr>
          <w:rFonts w:ascii="Tahoma" w:hAnsi="Tahoma" w:cs="Tahoma"/>
          <w:sz w:val="24"/>
          <w:szCs w:val="24"/>
        </w:rPr>
        <w:t>.</w:t>
      </w:r>
    </w:p>
    <w:p w:rsidR="00D033C5" w:rsidRPr="004179A2" w:rsidRDefault="00D033C5" w:rsidP="007C1E61">
      <w:pPr>
        <w:pStyle w:val="Bezmezer"/>
        <w:numPr>
          <w:ilvl w:val="0"/>
          <w:numId w:val="1"/>
        </w:numPr>
        <w:ind w:left="284" w:hanging="284"/>
        <w:rPr>
          <w:rFonts w:cs="Tahoma"/>
          <w:szCs w:val="24"/>
        </w:rPr>
      </w:pPr>
      <w:r w:rsidRPr="004179A2">
        <w:rPr>
          <w:rFonts w:cs="Tahoma"/>
          <w:szCs w:val="24"/>
        </w:rPr>
        <w:t xml:space="preserve">mezi daňové příjmy jsou dále zařazeny </w:t>
      </w:r>
      <w:r w:rsidRPr="004179A2">
        <w:rPr>
          <w:rFonts w:cs="Tahoma"/>
          <w:b/>
          <w:szCs w:val="24"/>
        </w:rPr>
        <w:t>daň z příjmů právnických osob za kraj</w:t>
      </w:r>
      <w:r w:rsidRPr="004179A2">
        <w:rPr>
          <w:rFonts w:cs="Tahoma"/>
          <w:szCs w:val="24"/>
        </w:rPr>
        <w:t xml:space="preserve"> ve výši 2</w:t>
      </w:r>
      <w:r w:rsidR="004F34EB" w:rsidRPr="004179A2">
        <w:rPr>
          <w:rFonts w:cs="Tahoma"/>
          <w:szCs w:val="24"/>
        </w:rPr>
        <w:t>9,5</w:t>
      </w:r>
      <w:r w:rsidRPr="004179A2">
        <w:rPr>
          <w:rFonts w:cs="Tahoma"/>
          <w:szCs w:val="24"/>
        </w:rPr>
        <w:t xml:space="preserve"> mil. Kč a </w:t>
      </w:r>
      <w:r w:rsidRPr="004179A2">
        <w:rPr>
          <w:rFonts w:cs="Tahoma"/>
          <w:b/>
          <w:szCs w:val="24"/>
        </w:rPr>
        <w:t>správní poplatky</w:t>
      </w:r>
      <w:r w:rsidRPr="004179A2">
        <w:rPr>
          <w:rFonts w:cs="Tahoma"/>
          <w:szCs w:val="24"/>
        </w:rPr>
        <w:t xml:space="preserve"> ve výši 1,</w:t>
      </w:r>
      <w:r w:rsidR="004F34EB" w:rsidRPr="004179A2">
        <w:rPr>
          <w:rFonts w:cs="Tahoma"/>
          <w:szCs w:val="24"/>
        </w:rPr>
        <w:t>4</w:t>
      </w:r>
      <w:r w:rsidRPr="004179A2">
        <w:rPr>
          <w:rFonts w:cs="Tahoma"/>
          <w:szCs w:val="24"/>
        </w:rPr>
        <w:t>5 mil. Kč</w:t>
      </w:r>
      <w:r w:rsidR="005632C4" w:rsidRPr="004179A2">
        <w:rPr>
          <w:rFonts w:cs="Tahoma"/>
          <w:szCs w:val="24"/>
        </w:rPr>
        <w:t xml:space="preserve"> (meziroční snížení o</w:t>
      </w:r>
      <w:r w:rsidR="00506B3C" w:rsidRPr="004179A2">
        <w:rPr>
          <w:rFonts w:cs="Tahoma"/>
          <w:szCs w:val="24"/>
        </w:rPr>
        <w:t> </w:t>
      </w:r>
      <w:r w:rsidR="004F34EB" w:rsidRPr="004179A2">
        <w:rPr>
          <w:rFonts w:cs="Tahoma"/>
          <w:szCs w:val="24"/>
        </w:rPr>
        <w:t>200</w:t>
      </w:r>
      <w:r w:rsidR="005632C4" w:rsidRPr="004179A2">
        <w:rPr>
          <w:rFonts w:cs="Tahoma"/>
          <w:szCs w:val="24"/>
        </w:rPr>
        <w:t xml:space="preserve"> tis. Kč)</w:t>
      </w:r>
      <w:r w:rsidRPr="004179A2">
        <w:rPr>
          <w:rFonts w:cs="Tahoma"/>
          <w:szCs w:val="24"/>
        </w:rPr>
        <w:t>.</w:t>
      </w:r>
    </w:p>
    <w:p w:rsidR="0022268A" w:rsidRPr="00FE5DF6" w:rsidRDefault="0022268A" w:rsidP="00454209">
      <w:pPr>
        <w:pStyle w:val="Bezmezer"/>
        <w:rPr>
          <w:rFonts w:cs="Tahoma"/>
          <w:szCs w:val="24"/>
        </w:rPr>
      </w:pPr>
    </w:p>
    <w:p w:rsidR="0022268A" w:rsidRPr="004179A2" w:rsidRDefault="0022268A" w:rsidP="00454209">
      <w:pPr>
        <w:pStyle w:val="Bezmezer"/>
        <w:rPr>
          <w:rFonts w:cs="Tahoma"/>
          <w:szCs w:val="24"/>
          <w:u w:val="single"/>
        </w:rPr>
      </w:pPr>
      <w:r w:rsidRPr="004179A2">
        <w:rPr>
          <w:rFonts w:cs="Tahoma"/>
          <w:szCs w:val="24"/>
          <w:u w:val="single"/>
        </w:rPr>
        <w:t>Nedaňové příjmy</w:t>
      </w:r>
    </w:p>
    <w:p w:rsidR="004301E3" w:rsidRPr="004179A2" w:rsidRDefault="0022268A" w:rsidP="00F32BEB">
      <w:pPr>
        <w:pStyle w:val="Bezmezer"/>
        <w:rPr>
          <w:rFonts w:cs="Tahoma"/>
          <w:szCs w:val="24"/>
        </w:rPr>
      </w:pPr>
      <w:r w:rsidRPr="004179A2">
        <w:rPr>
          <w:rFonts w:cs="Tahoma"/>
          <w:szCs w:val="24"/>
        </w:rPr>
        <w:t>V</w:t>
      </w:r>
      <w:r w:rsidR="004301E3" w:rsidRPr="004179A2">
        <w:rPr>
          <w:rFonts w:cs="Tahoma"/>
          <w:szCs w:val="24"/>
        </w:rPr>
        <w:t> roce 201</w:t>
      </w:r>
      <w:r w:rsidR="006900C8" w:rsidRPr="004179A2">
        <w:rPr>
          <w:rFonts w:cs="Tahoma"/>
          <w:szCs w:val="24"/>
        </w:rPr>
        <w:t>6</w:t>
      </w:r>
      <w:r w:rsidR="004301E3" w:rsidRPr="004179A2">
        <w:rPr>
          <w:rFonts w:cs="Tahoma"/>
          <w:szCs w:val="24"/>
        </w:rPr>
        <w:t xml:space="preserve"> je očekáváno snížení </w:t>
      </w:r>
      <w:r w:rsidRPr="004179A2">
        <w:rPr>
          <w:rFonts w:cs="Tahoma"/>
          <w:szCs w:val="24"/>
        </w:rPr>
        <w:t xml:space="preserve">nedaňových příjmů </w:t>
      </w:r>
      <w:r w:rsidR="004301E3" w:rsidRPr="004179A2">
        <w:rPr>
          <w:rFonts w:cs="Tahoma"/>
          <w:szCs w:val="24"/>
        </w:rPr>
        <w:t>oproti roku 201</w:t>
      </w:r>
      <w:r w:rsidR="006900C8" w:rsidRPr="004179A2">
        <w:rPr>
          <w:rFonts w:cs="Tahoma"/>
          <w:szCs w:val="24"/>
        </w:rPr>
        <w:t>5</w:t>
      </w:r>
      <w:r w:rsidR="004301E3" w:rsidRPr="004179A2">
        <w:rPr>
          <w:rFonts w:cs="Tahoma"/>
          <w:szCs w:val="24"/>
        </w:rPr>
        <w:t xml:space="preserve"> (meziroční pokles</w:t>
      </w:r>
      <w:r w:rsidR="009369EF" w:rsidRPr="004179A2">
        <w:rPr>
          <w:rFonts w:cs="Tahoma"/>
          <w:szCs w:val="24"/>
        </w:rPr>
        <w:t xml:space="preserve"> o </w:t>
      </w:r>
      <w:r w:rsidR="00557799" w:rsidRPr="004179A2">
        <w:rPr>
          <w:rFonts w:cs="Tahoma"/>
          <w:szCs w:val="24"/>
        </w:rPr>
        <w:t>1</w:t>
      </w:r>
      <w:r w:rsidR="006900C8" w:rsidRPr="004179A2">
        <w:rPr>
          <w:rFonts w:cs="Tahoma"/>
          <w:szCs w:val="24"/>
        </w:rPr>
        <w:t>4</w:t>
      </w:r>
      <w:r w:rsidR="009369EF" w:rsidRPr="004179A2">
        <w:rPr>
          <w:rFonts w:cs="Tahoma"/>
          <w:szCs w:val="24"/>
        </w:rPr>
        <w:t xml:space="preserve"> %</w:t>
      </w:r>
      <w:r w:rsidR="00454209" w:rsidRPr="004179A2">
        <w:rPr>
          <w:rFonts w:cs="Tahoma"/>
          <w:szCs w:val="24"/>
        </w:rPr>
        <w:t>)</w:t>
      </w:r>
      <w:r w:rsidR="004301E3" w:rsidRPr="004179A2">
        <w:rPr>
          <w:rFonts w:cs="Tahoma"/>
          <w:szCs w:val="24"/>
        </w:rPr>
        <w:t xml:space="preserve">. </w:t>
      </w:r>
      <w:r w:rsidRPr="004179A2">
        <w:rPr>
          <w:rFonts w:cs="Tahoma"/>
          <w:szCs w:val="24"/>
        </w:rPr>
        <w:t xml:space="preserve"> </w:t>
      </w:r>
    </w:p>
    <w:p w:rsidR="001B1137" w:rsidRPr="004179A2" w:rsidRDefault="00413A94" w:rsidP="001B1137">
      <w:pPr>
        <w:numPr>
          <w:ilvl w:val="0"/>
          <w:numId w:val="8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4179A2">
        <w:rPr>
          <w:rFonts w:ascii="Tahoma" w:hAnsi="Tahoma" w:cs="Tahoma"/>
          <w:b/>
          <w:sz w:val="24"/>
          <w:szCs w:val="24"/>
        </w:rPr>
        <w:t>P</w:t>
      </w:r>
      <w:r w:rsidR="00D033C5" w:rsidRPr="004179A2">
        <w:rPr>
          <w:rFonts w:ascii="Tahoma" w:hAnsi="Tahoma" w:cs="Tahoma"/>
          <w:b/>
          <w:sz w:val="24"/>
          <w:szCs w:val="24"/>
        </w:rPr>
        <w:t xml:space="preserve">říjmy z úroků na bankovních účtech </w:t>
      </w:r>
      <w:r w:rsidR="00D033C5" w:rsidRPr="004179A2">
        <w:rPr>
          <w:rFonts w:ascii="Tahoma" w:hAnsi="Tahoma" w:cs="Tahoma"/>
          <w:sz w:val="24"/>
          <w:szCs w:val="24"/>
        </w:rPr>
        <w:t>jsou navrženy ve výši 1</w:t>
      </w:r>
      <w:r w:rsidR="001B1137" w:rsidRPr="004179A2">
        <w:rPr>
          <w:rFonts w:ascii="Tahoma" w:hAnsi="Tahoma" w:cs="Tahoma"/>
          <w:sz w:val="24"/>
          <w:szCs w:val="24"/>
        </w:rPr>
        <w:t>0</w:t>
      </w:r>
      <w:r w:rsidR="00D033C5" w:rsidRPr="004179A2">
        <w:rPr>
          <w:rFonts w:ascii="Tahoma" w:hAnsi="Tahoma" w:cs="Tahoma"/>
          <w:sz w:val="24"/>
          <w:szCs w:val="24"/>
        </w:rPr>
        <w:t xml:space="preserve"> mil. Kč, což znamená snížení o </w:t>
      </w:r>
      <w:r w:rsidR="001B1137" w:rsidRPr="004179A2">
        <w:rPr>
          <w:rFonts w:ascii="Tahoma" w:hAnsi="Tahoma" w:cs="Tahoma"/>
          <w:sz w:val="24"/>
          <w:szCs w:val="24"/>
        </w:rPr>
        <w:t>17</w:t>
      </w:r>
      <w:r w:rsidR="00D033C5" w:rsidRPr="004179A2">
        <w:rPr>
          <w:rFonts w:ascii="Tahoma" w:hAnsi="Tahoma" w:cs="Tahoma"/>
          <w:sz w:val="24"/>
          <w:szCs w:val="24"/>
        </w:rPr>
        <w:t> % oproti schválenému rozpočtu na rok 201</w:t>
      </w:r>
      <w:r w:rsidR="001B1137" w:rsidRPr="004179A2">
        <w:rPr>
          <w:rFonts w:ascii="Tahoma" w:hAnsi="Tahoma" w:cs="Tahoma"/>
          <w:sz w:val="24"/>
          <w:szCs w:val="24"/>
        </w:rPr>
        <w:t>5</w:t>
      </w:r>
      <w:r w:rsidR="00D033C5" w:rsidRPr="004179A2">
        <w:rPr>
          <w:rFonts w:ascii="Tahoma" w:hAnsi="Tahoma" w:cs="Tahoma"/>
          <w:sz w:val="24"/>
          <w:szCs w:val="24"/>
        </w:rPr>
        <w:t>. Důvodem tohoto snížení j</w:t>
      </w:r>
      <w:r w:rsidR="001B1137" w:rsidRPr="004179A2">
        <w:rPr>
          <w:rFonts w:ascii="Tahoma" w:hAnsi="Tahoma" w:cs="Tahoma"/>
          <w:sz w:val="24"/>
          <w:szCs w:val="24"/>
        </w:rPr>
        <w:t xml:space="preserve">sou </w:t>
      </w:r>
      <w:r w:rsidR="00D033C5" w:rsidRPr="004179A2">
        <w:rPr>
          <w:rFonts w:ascii="Tahoma" w:hAnsi="Tahoma" w:cs="Tahoma"/>
          <w:sz w:val="24"/>
          <w:szCs w:val="24"/>
        </w:rPr>
        <w:t>přetrvávající historicky nejnižší úrokové sazby</w:t>
      </w:r>
      <w:r w:rsidR="001B1137" w:rsidRPr="004179A2">
        <w:rPr>
          <w:rFonts w:ascii="Tahoma" w:hAnsi="Tahoma" w:cs="Tahoma"/>
          <w:sz w:val="24"/>
          <w:szCs w:val="24"/>
        </w:rPr>
        <w:t>, které by dle Č</w:t>
      </w:r>
      <w:r w:rsidR="0073657F" w:rsidRPr="004179A2">
        <w:rPr>
          <w:rFonts w:ascii="Tahoma" w:hAnsi="Tahoma" w:cs="Tahoma"/>
          <w:sz w:val="24"/>
          <w:szCs w:val="24"/>
        </w:rPr>
        <w:t>NB měly přetrvat minimálně do konce</w:t>
      </w:r>
      <w:r w:rsidR="001B1137" w:rsidRPr="004179A2">
        <w:rPr>
          <w:rFonts w:ascii="Tahoma" w:hAnsi="Tahoma" w:cs="Tahoma"/>
          <w:sz w:val="24"/>
          <w:szCs w:val="24"/>
        </w:rPr>
        <w:t xml:space="preserve"> roku 2016.</w:t>
      </w:r>
      <w:r w:rsidR="00D033C5" w:rsidRPr="004179A2">
        <w:rPr>
          <w:rFonts w:ascii="Tahoma" w:hAnsi="Tahoma" w:cs="Tahoma"/>
          <w:sz w:val="24"/>
          <w:szCs w:val="24"/>
        </w:rPr>
        <w:t xml:space="preserve"> </w:t>
      </w:r>
    </w:p>
    <w:p w:rsidR="00FE3108" w:rsidRPr="00A3169B" w:rsidRDefault="00413A94" w:rsidP="00FE3108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4179A2">
        <w:rPr>
          <w:rFonts w:ascii="Tahoma" w:hAnsi="Tahoma" w:cs="Tahoma"/>
          <w:b/>
          <w:sz w:val="24"/>
          <w:szCs w:val="24"/>
        </w:rPr>
        <w:t>O</w:t>
      </w:r>
      <w:r w:rsidR="004301E3" w:rsidRPr="004179A2">
        <w:rPr>
          <w:rFonts w:ascii="Tahoma" w:hAnsi="Tahoma" w:cs="Tahoma"/>
          <w:b/>
          <w:sz w:val="24"/>
          <w:szCs w:val="24"/>
        </w:rPr>
        <w:t xml:space="preserve">dvody </w:t>
      </w:r>
      <w:r w:rsidR="0065796E" w:rsidRPr="004179A2">
        <w:rPr>
          <w:rFonts w:ascii="Tahoma" w:hAnsi="Tahoma" w:cs="Tahoma"/>
          <w:b/>
          <w:sz w:val="24"/>
          <w:szCs w:val="24"/>
        </w:rPr>
        <w:t>z investičních fondů</w:t>
      </w:r>
      <w:r w:rsidR="0065796E" w:rsidRPr="004179A2">
        <w:rPr>
          <w:rFonts w:ascii="Tahoma" w:hAnsi="Tahoma" w:cs="Tahoma"/>
          <w:sz w:val="24"/>
          <w:szCs w:val="24"/>
        </w:rPr>
        <w:t xml:space="preserve"> zřízených příspěvkových organizací</w:t>
      </w:r>
      <w:r w:rsidR="00F32BEB" w:rsidRPr="004179A2">
        <w:rPr>
          <w:rFonts w:ascii="Tahoma" w:hAnsi="Tahoma" w:cs="Tahoma"/>
          <w:sz w:val="24"/>
          <w:szCs w:val="24"/>
        </w:rPr>
        <w:t xml:space="preserve"> jsou plánovány v celkové výši </w:t>
      </w:r>
      <w:r w:rsidR="006900C8" w:rsidRPr="004179A2">
        <w:rPr>
          <w:rFonts w:ascii="Tahoma" w:hAnsi="Tahoma" w:cs="Tahoma"/>
          <w:sz w:val="24"/>
          <w:szCs w:val="24"/>
        </w:rPr>
        <w:t>6</w:t>
      </w:r>
      <w:r w:rsidR="00F32BEB" w:rsidRPr="004179A2">
        <w:rPr>
          <w:rFonts w:ascii="Tahoma" w:hAnsi="Tahoma" w:cs="Tahoma"/>
          <w:sz w:val="24"/>
          <w:szCs w:val="24"/>
        </w:rPr>
        <w:t xml:space="preserve"> mil. Kč</w:t>
      </w:r>
      <w:r w:rsidR="00A71B98" w:rsidRPr="004179A2">
        <w:rPr>
          <w:rFonts w:ascii="Tahoma" w:hAnsi="Tahoma" w:cs="Tahoma"/>
          <w:sz w:val="24"/>
          <w:szCs w:val="24"/>
        </w:rPr>
        <w:t xml:space="preserve">, </w:t>
      </w:r>
      <w:r w:rsidR="00F32BEB" w:rsidRPr="004179A2">
        <w:rPr>
          <w:rFonts w:ascii="Tahoma" w:hAnsi="Tahoma" w:cs="Tahoma"/>
          <w:sz w:val="24"/>
          <w:szCs w:val="24"/>
        </w:rPr>
        <w:t xml:space="preserve">v odvětví sociálních věcí </w:t>
      </w:r>
      <w:r w:rsidR="00D72DA2" w:rsidRPr="004179A2">
        <w:rPr>
          <w:rFonts w:ascii="Tahoma" w:hAnsi="Tahoma" w:cs="Tahoma"/>
          <w:sz w:val="24"/>
          <w:szCs w:val="24"/>
        </w:rPr>
        <w:t xml:space="preserve">se </w:t>
      </w:r>
      <w:r w:rsidR="00F32BEB" w:rsidRPr="004179A2">
        <w:rPr>
          <w:rFonts w:ascii="Tahoma" w:hAnsi="Tahoma" w:cs="Tahoma"/>
          <w:sz w:val="24"/>
          <w:szCs w:val="24"/>
        </w:rPr>
        <w:t>jedná o</w:t>
      </w:r>
      <w:r w:rsidR="00506B3C" w:rsidRPr="004179A2">
        <w:rPr>
          <w:rFonts w:ascii="Tahoma" w:hAnsi="Tahoma" w:cs="Tahoma"/>
          <w:sz w:val="24"/>
          <w:szCs w:val="24"/>
        </w:rPr>
        <w:t> </w:t>
      </w:r>
      <w:r w:rsidR="00F32BEB" w:rsidRPr="004179A2">
        <w:rPr>
          <w:rFonts w:ascii="Tahoma" w:hAnsi="Tahoma" w:cs="Tahoma"/>
          <w:sz w:val="24"/>
          <w:szCs w:val="24"/>
        </w:rPr>
        <w:t>2</w:t>
      </w:r>
      <w:r w:rsidR="006900C8" w:rsidRPr="004179A2">
        <w:rPr>
          <w:rFonts w:ascii="Tahoma" w:hAnsi="Tahoma" w:cs="Tahoma"/>
          <w:sz w:val="24"/>
          <w:szCs w:val="24"/>
        </w:rPr>
        <w:t>,2</w:t>
      </w:r>
      <w:r w:rsidR="00506B3C" w:rsidRPr="004179A2">
        <w:rPr>
          <w:rFonts w:ascii="Tahoma" w:hAnsi="Tahoma" w:cs="Tahoma"/>
          <w:sz w:val="24"/>
          <w:szCs w:val="24"/>
        </w:rPr>
        <w:t> </w:t>
      </w:r>
      <w:r w:rsidR="00F32BEB" w:rsidRPr="004179A2">
        <w:rPr>
          <w:rFonts w:ascii="Tahoma" w:hAnsi="Tahoma" w:cs="Tahoma"/>
          <w:sz w:val="24"/>
          <w:szCs w:val="24"/>
        </w:rPr>
        <w:t>mil.</w:t>
      </w:r>
      <w:r w:rsidR="00506B3C" w:rsidRPr="004179A2">
        <w:rPr>
          <w:rFonts w:ascii="Tahoma" w:hAnsi="Tahoma" w:cs="Tahoma"/>
          <w:sz w:val="24"/>
          <w:szCs w:val="24"/>
        </w:rPr>
        <w:t> </w:t>
      </w:r>
      <w:r w:rsidR="00F32BEB" w:rsidRPr="004179A2">
        <w:rPr>
          <w:rFonts w:ascii="Tahoma" w:hAnsi="Tahoma" w:cs="Tahoma"/>
          <w:sz w:val="24"/>
          <w:szCs w:val="24"/>
        </w:rPr>
        <w:t>Kč</w:t>
      </w:r>
      <w:r w:rsidR="00D72DA2" w:rsidRPr="004179A2">
        <w:rPr>
          <w:rFonts w:ascii="Tahoma" w:hAnsi="Tahoma" w:cs="Tahoma"/>
          <w:sz w:val="24"/>
          <w:szCs w:val="24"/>
        </w:rPr>
        <w:t>,</w:t>
      </w:r>
      <w:r w:rsidR="00F32BEB" w:rsidRPr="004179A2">
        <w:rPr>
          <w:rFonts w:ascii="Tahoma" w:hAnsi="Tahoma" w:cs="Tahoma"/>
          <w:sz w:val="24"/>
          <w:szCs w:val="24"/>
        </w:rPr>
        <w:t xml:space="preserve"> </w:t>
      </w:r>
      <w:r w:rsidR="00D72DA2" w:rsidRPr="004179A2">
        <w:rPr>
          <w:rFonts w:ascii="Tahoma" w:hAnsi="Tahoma" w:cs="Tahoma"/>
          <w:sz w:val="24"/>
          <w:szCs w:val="24"/>
        </w:rPr>
        <w:t>které budou použity na reprodukci majetku kraje svěřen</w:t>
      </w:r>
      <w:r w:rsidR="00891FD5" w:rsidRPr="004179A2">
        <w:rPr>
          <w:rFonts w:ascii="Tahoma" w:hAnsi="Tahoma" w:cs="Tahoma"/>
          <w:sz w:val="24"/>
          <w:szCs w:val="24"/>
        </w:rPr>
        <w:t>ého</w:t>
      </w:r>
      <w:r w:rsidR="00D72DA2" w:rsidRPr="004179A2">
        <w:rPr>
          <w:rFonts w:ascii="Tahoma" w:hAnsi="Tahoma" w:cs="Tahoma"/>
          <w:sz w:val="24"/>
          <w:szCs w:val="24"/>
        </w:rPr>
        <w:t xml:space="preserve"> organizacím v tomto odvětví, v odvětví </w:t>
      </w:r>
      <w:r w:rsidR="006900C8" w:rsidRPr="004179A2">
        <w:rPr>
          <w:rFonts w:ascii="Tahoma" w:hAnsi="Tahoma" w:cs="Tahoma"/>
          <w:sz w:val="24"/>
          <w:szCs w:val="24"/>
        </w:rPr>
        <w:t xml:space="preserve">školství </w:t>
      </w:r>
      <w:r w:rsidR="002151D4" w:rsidRPr="004179A2">
        <w:rPr>
          <w:rFonts w:ascii="Tahoma" w:hAnsi="Tahoma" w:cs="Tahoma"/>
          <w:sz w:val="24"/>
          <w:szCs w:val="24"/>
        </w:rPr>
        <w:t>činí odvod do rozpočtu kraje téměř 4 mil. Kč. O</w:t>
      </w:r>
      <w:r w:rsidR="006900C8" w:rsidRPr="004179A2">
        <w:rPr>
          <w:rFonts w:ascii="Tahoma" w:hAnsi="Tahoma" w:cs="Tahoma"/>
          <w:sz w:val="24"/>
          <w:szCs w:val="24"/>
        </w:rPr>
        <w:t xml:space="preserve">proti minulému roku se nenařizuje odvod v odvětví </w:t>
      </w:r>
      <w:r w:rsidR="00D72DA2" w:rsidRPr="004179A2">
        <w:rPr>
          <w:rFonts w:ascii="Tahoma" w:hAnsi="Tahoma" w:cs="Tahoma"/>
          <w:sz w:val="24"/>
          <w:szCs w:val="24"/>
        </w:rPr>
        <w:t>zdravotnictví</w:t>
      </w:r>
      <w:r w:rsidR="00943BCD" w:rsidRPr="004179A2">
        <w:rPr>
          <w:rFonts w:ascii="Tahoma" w:hAnsi="Tahoma" w:cs="Tahoma"/>
          <w:sz w:val="24"/>
          <w:szCs w:val="24"/>
        </w:rPr>
        <w:t xml:space="preserve"> v rámci projektu EPC</w:t>
      </w:r>
      <w:r w:rsidR="00D72DA2" w:rsidRPr="004179A2">
        <w:rPr>
          <w:rFonts w:ascii="Tahoma" w:hAnsi="Tahoma" w:cs="Tahoma"/>
          <w:sz w:val="24"/>
          <w:szCs w:val="24"/>
        </w:rPr>
        <w:t xml:space="preserve"> </w:t>
      </w:r>
      <w:r w:rsidR="006900C8" w:rsidRPr="004179A2">
        <w:rPr>
          <w:rFonts w:ascii="Tahoma" w:hAnsi="Tahoma" w:cs="Tahoma"/>
          <w:sz w:val="24"/>
          <w:szCs w:val="24"/>
        </w:rPr>
        <w:t xml:space="preserve">na pokrytí </w:t>
      </w:r>
      <w:r w:rsidR="00D72DA2" w:rsidRPr="004179A2">
        <w:rPr>
          <w:rFonts w:ascii="Tahoma" w:hAnsi="Tahoma" w:cs="Tahoma"/>
          <w:sz w:val="24"/>
          <w:szCs w:val="24"/>
        </w:rPr>
        <w:t>ročních výdajů kraje spojených s realizací investičních opatření u</w:t>
      </w:r>
      <w:r w:rsidR="001D0D13">
        <w:rPr>
          <w:rFonts w:ascii="Tahoma" w:hAnsi="Tahoma" w:cs="Tahoma"/>
          <w:sz w:val="24"/>
          <w:szCs w:val="24"/>
        </w:rPr>
        <w:t> </w:t>
      </w:r>
      <w:r w:rsidR="00D72DA2" w:rsidRPr="004179A2">
        <w:rPr>
          <w:rFonts w:ascii="Tahoma" w:hAnsi="Tahoma" w:cs="Tahoma"/>
          <w:sz w:val="24"/>
          <w:szCs w:val="24"/>
        </w:rPr>
        <w:t>2</w:t>
      </w:r>
      <w:r w:rsidR="001D0D13">
        <w:rPr>
          <w:rFonts w:ascii="Tahoma" w:hAnsi="Tahoma" w:cs="Tahoma"/>
          <w:sz w:val="24"/>
          <w:szCs w:val="24"/>
        </w:rPr>
        <w:t> </w:t>
      </w:r>
      <w:r w:rsidR="00D72DA2" w:rsidRPr="004179A2">
        <w:rPr>
          <w:rFonts w:ascii="Tahoma" w:hAnsi="Tahoma" w:cs="Tahoma"/>
          <w:sz w:val="24"/>
          <w:szCs w:val="24"/>
        </w:rPr>
        <w:t>příspěvkových organizací, které povedou k dosažení zvýšení energetické účinnos</w:t>
      </w:r>
      <w:r w:rsidR="00A52DFF" w:rsidRPr="004179A2">
        <w:rPr>
          <w:rFonts w:ascii="Tahoma" w:hAnsi="Tahoma" w:cs="Tahoma"/>
          <w:sz w:val="24"/>
          <w:szCs w:val="24"/>
        </w:rPr>
        <w:t xml:space="preserve">ti a </w:t>
      </w:r>
      <w:r w:rsidR="00A52DFF" w:rsidRPr="00FE3108">
        <w:rPr>
          <w:rFonts w:ascii="Tahoma" w:hAnsi="Tahoma" w:cs="Tahoma"/>
          <w:sz w:val="24"/>
          <w:szCs w:val="24"/>
        </w:rPr>
        <w:t xml:space="preserve">snížení provozních nákladů. </w:t>
      </w:r>
      <w:r w:rsidR="00943BCD" w:rsidRPr="00FE3108">
        <w:rPr>
          <w:rFonts w:ascii="Tahoma" w:hAnsi="Tahoma" w:cs="Tahoma"/>
          <w:sz w:val="24"/>
          <w:szCs w:val="24"/>
        </w:rPr>
        <w:t>O</w:t>
      </w:r>
      <w:r w:rsidR="00A52DFF" w:rsidRPr="00FE3108">
        <w:rPr>
          <w:rFonts w:ascii="Tahoma" w:hAnsi="Tahoma" w:cs="Tahoma"/>
          <w:sz w:val="24"/>
          <w:szCs w:val="24"/>
        </w:rPr>
        <w:t>čekávan</w:t>
      </w:r>
      <w:r w:rsidR="00943BCD" w:rsidRPr="00FE3108">
        <w:rPr>
          <w:rFonts w:ascii="Tahoma" w:hAnsi="Tahoma" w:cs="Tahoma"/>
          <w:sz w:val="24"/>
          <w:szCs w:val="24"/>
        </w:rPr>
        <w:t>ou</w:t>
      </w:r>
      <w:r w:rsidR="00A52DFF" w:rsidRPr="00FE3108">
        <w:rPr>
          <w:rFonts w:ascii="Tahoma" w:hAnsi="Tahoma" w:cs="Tahoma"/>
          <w:sz w:val="24"/>
          <w:szCs w:val="24"/>
        </w:rPr>
        <w:t xml:space="preserve"> ú</w:t>
      </w:r>
      <w:r w:rsidR="00726BA4" w:rsidRPr="00FE3108">
        <w:rPr>
          <w:rFonts w:ascii="Tahoma" w:hAnsi="Tahoma" w:cs="Tahoma"/>
          <w:sz w:val="24"/>
          <w:szCs w:val="24"/>
        </w:rPr>
        <w:t>s</w:t>
      </w:r>
      <w:r w:rsidR="00A52DFF" w:rsidRPr="00FE3108">
        <w:rPr>
          <w:rFonts w:ascii="Tahoma" w:hAnsi="Tahoma" w:cs="Tahoma"/>
          <w:sz w:val="24"/>
          <w:szCs w:val="24"/>
        </w:rPr>
        <w:t>por</w:t>
      </w:r>
      <w:r w:rsidR="00943BCD" w:rsidRPr="00FE3108">
        <w:rPr>
          <w:rFonts w:ascii="Tahoma" w:hAnsi="Tahoma" w:cs="Tahoma"/>
          <w:sz w:val="24"/>
          <w:szCs w:val="24"/>
        </w:rPr>
        <w:t>u lze předpokládat</w:t>
      </w:r>
      <w:r w:rsidR="00552E80" w:rsidRPr="00FE3108">
        <w:rPr>
          <w:rFonts w:ascii="Tahoma" w:hAnsi="Tahoma" w:cs="Tahoma"/>
          <w:sz w:val="24"/>
          <w:szCs w:val="24"/>
        </w:rPr>
        <w:t xml:space="preserve"> cca </w:t>
      </w:r>
      <w:r w:rsidR="00820437" w:rsidRPr="00FE3108">
        <w:rPr>
          <w:rFonts w:ascii="Tahoma" w:hAnsi="Tahoma" w:cs="Tahoma"/>
          <w:sz w:val="24"/>
          <w:szCs w:val="24"/>
        </w:rPr>
        <w:t>6</w:t>
      </w:r>
      <w:r w:rsidR="001D0D13">
        <w:rPr>
          <w:rFonts w:ascii="Tahoma" w:hAnsi="Tahoma" w:cs="Tahoma"/>
          <w:sz w:val="24"/>
          <w:szCs w:val="24"/>
        </w:rPr>
        <w:t> </w:t>
      </w:r>
      <w:r w:rsidR="00820437" w:rsidRPr="00FE3108">
        <w:rPr>
          <w:rFonts w:ascii="Tahoma" w:hAnsi="Tahoma" w:cs="Tahoma"/>
          <w:sz w:val="24"/>
          <w:szCs w:val="24"/>
        </w:rPr>
        <w:t>mil. Kč</w:t>
      </w:r>
      <w:r w:rsidR="00552E80" w:rsidRPr="00FE3108">
        <w:rPr>
          <w:rFonts w:ascii="Tahoma" w:hAnsi="Tahoma" w:cs="Tahoma"/>
          <w:sz w:val="24"/>
          <w:szCs w:val="24"/>
        </w:rPr>
        <w:t>. Odvod bude nařízen až v roce 2017 na základ</w:t>
      </w:r>
      <w:r w:rsidR="00726BA4" w:rsidRPr="00FE3108">
        <w:rPr>
          <w:rFonts w:ascii="Tahoma" w:hAnsi="Tahoma" w:cs="Tahoma"/>
          <w:sz w:val="24"/>
          <w:szCs w:val="24"/>
        </w:rPr>
        <w:t xml:space="preserve">ě skutečně </w:t>
      </w:r>
      <w:r w:rsidR="00726BA4" w:rsidRPr="00A3169B">
        <w:rPr>
          <w:rFonts w:ascii="Tahoma" w:hAnsi="Tahoma" w:cs="Tahoma"/>
          <w:sz w:val="24"/>
          <w:szCs w:val="24"/>
        </w:rPr>
        <w:t>prokázaných úspor.</w:t>
      </w:r>
    </w:p>
    <w:p w:rsidR="0056346C" w:rsidRPr="00FE3108" w:rsidRDefault="00413A94" w:rsidP="00FE3108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A3169B">
        <w:rPr>
          <w:rFonts w:ascii="Tahoma" w:hAnsi="Tahoma" w:cs="Tahoma"/>
          <w:sz w:val="24"/>
          <w:szCs w:val="24"/>
        </w:rPr>
        <w:t>M</w:t>
      </w:r>
      <w:r w:rsidR="0056346C" w:rsidRPr="00A3169B">
        <w:rPr>
          <w:rFonts w:ascii="Tahoma" w:hAnsi="Tahoma" w:cs="Tahoma"/>
          <w:sz w:val="24"/>
          <w:szCs w:val="24"/>
        </w:rPr>
        <w:t xml:space="preserve">ezi </w:t>
      </w:r>
      <w:r w:rsidR="0056346C" w:rsidRPr="00A3169B">
        <w:rPr>
          <w:rFonts w:ascii="Tahoma" w:hAnsi="Tahoma" w:cs="Tahoma"/>
          <w:b/>
          <w:sz w:val="24"/>
          <w:szCs w:val="24"/>
        </w:rPr>
        <w:t>přijaté návratné finanční výpomoci</w:t>
      </w:r>
      <w:r w:rsidR="0056346C" w:rsidRPr="00A3169B">
        <w:rPr>
          <w:rFonts w:ascii="Tahoma" w:hAnsi="Tahoma" w:cs="Tahoma"/>
          <w:sz w:val="24"/>
          <w:szCs w:val="24"/>
        </w:rPr>
        <w:t xml:space="preserve"> v celkové výši 73 mil. Kč se v roce 201</w:t>
      </w:r>
      <w:r w:rsidR="00552E80" w:rsidRPr="00A3169B">
        <w:rPr>
          <w:rFonts w:ascii="Tahoma" w:hAnsi="Tahoma" w:cs="Tahoma"/>
          <w:sz w:val="24"/>
          <w:szCs w:val="24"/>
        </w:rPr>
        <w:t>6</w:t>
      </w:r>
      <w:r w:rsidR="0056346C" w:rsidRPr="00A3169B">
        <w:rPr>
          <w:rFonts w:ascii="Tahoma" w:hAnsi="Tahoma" w:cs="Tahoma"/>
          <w:sz w:val="24"/>
          <w:szCs w:val="24"/>
        </w:rPr>
        <w:t xml:space="preserve"> řadí vratky výpomocí ve výši 70 mil. Kč, které budou poskytnuty příspěvkovým organizacím v odvětví sociálních věcí na počátku roku 201</w:t>
      </w:r>
      <w:r w:rsidR="00DE6EB6" w:rsidRPr="00A3169B">
        <w:rPr>
          <w:rFonts w:ascii="Tahoma" w:hAnsi="Tahoma" w:cs="Tahoma"/>
          <w:sz w:val="24"/>
          <w:szCs w:val="24"/>
        </w:rPr>
        <w:t>6</w:t>
      </w:r>
      <w:r w:rsidR="0056346C" w:rsidRPr="00A3169B">
        <w:rPr>
          <w:rFonts w:ascii="Tahoma" w:hAnsi="Tahoma" w:cs="Tahoma"/>
          <w:sz w:val="24"/>
          <w:szCs w:val="24"/>
        </w:rPr>
        <w:t xml:space="preserve"> </w:t>
      </w:r>
      <w:r w:rsidRPr="00A3169B">
        <w:rPr>
          <w:rFonts w:ascii="Tahoma" w:hAnsi="Tahoma" w:cs="Tahoma"/>
          <w:sz w:val="24"/>
          <w:szCs w:val="24"/>
        </w:rPr>
        <w:t>(</w:t>
      </w:r>
      <w:r w:rsidR="0056346C" w:rsidRPr="00A3169B">
        <w:rPr>
          <w:rFonts w:ascii="Tahoma" w:hAnsi="Tahoma" w:cs="Tahoma"/>
          <w:sz w:val="24"/>
          <w:szCs w:val="24"/>
        </w:rPr>
        <w:t>za účelem zabezpečení běžného chodu</w:t>
      </w:r>
      <w:r w:rsidRPr="00A3169B">
        <w:rPr>
          <w:rFonts w:ascii="Tahoma" w:hAnsi="Tahoma" w:cs="Tahoma"/>
          <w:sz w:val="24"/>
          <w:szCs w:val="24"/>
        </w:rPr>
        <w:t>)</w:t>
      </w:r>
      <w:r w:rsidR="0056346C" w:rsidRPr="00A3169B">
        <w:rPr>
          <w:rFonts w:ascii="Tahoma" w:hAnsi="Tahoma" w:cs="Tahoma"/>
          <w:sz w:val="24"/>
          <w:szCs w:val="24"/>
        </w:rPr>
        <w:t xml:space="preserve"> v případě opožděných transferů ze státního rozpočtu</w:t>
      </w:r>
      <w:r w:rsidRPr="00A3169B">
        <w:rPr>
          <w:rFonts w:ascii="Tahoma" w:hAnsi="Tahoma" w:cs="Tahoma"/>
          <w:sz w:val="24"/>
          <w:szCs w:val="24"/>
        </w:rPr>
        <w:t xml:space="preserve"> k překlenutí tohoto období</w:t>
      </w:r>
      <w:r w:rsidR="0056346C" w:rsidRPr="00A3169B">
        <w:rPr>
          <w:rFonts w:ascii="Tahoma" w:hAnsi="Tahoma" w:cs="Tahoma"/>
          <w:sz w:val="24"/>
          <w:szCs w:val="24"/>
        </w:rPr>
        <w:t>. Dále se jedná o </w:t>
      </w:r>
      <w:r w:rsidR="00FE3108" w:rsidRPr="00A3169B">
        <w:rPr>
          <w:rFonts w:ascii="Tahoma" w:hAnsi="Tahoma" w:cs="Tahoma"/>
          <w:sz w:val="24"/>
          <w:szCs w:val="24"/>
        </w:rPr>
        <w:t>vratku návratné fin</w:t>
      </w:r>
      <w:r w:rsidR="00DE6EB6" w:rsidRPr="00A3169B">
        <w:rPr>
          <w:rFonts w:ascii="Tahoma" w:hAnsi="Tahoma" w:cs="Tahoma"/>
          <w:sz w:val="24"/>
          <w:szCs w:val="24"/>
        </w:rPr>
        <w:t>anční</w:t>
      </w:r>
      <w:r w:rsidR="00FE3108" w:rsidRPr="00A3169B">
        <w:rPr>
          <w:rFonts w:ascii="Tahoma" w:hAnsi="Tahoma" w:cs="Tahoma"/>
          <w:sz w:val="24"/>
          <w:szCs w:val="24"/>
        </w:rPr>
        <w:t xml:space="preserve"> výpomoci od společnosti </w:t>
      </w:r>
      <w:proofErr w:type="spellStart"/>
      <w:r w:rsidR="00FE3108" w:rsidRPr="00A3169B">
        <w:rPr>
          <w:rFonts w:ascii="Tahoma" w:hAnsi="Tahoma" w:cs="Tahoma"/>
          <w:sz w:val="24"/>
          <w:szCs w:val="24"/>
        </w:rPr>
        <w:t>Moravian-Silesian</w:t>
      </w:r>
      <w:proofErr w:type="spellEnd"/>
      <w:r w:rsidR="00FE3108" w:rsidRPr="00A316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E3108" w:rsidRPr="00A3169B">
        <w:rPr>
          <w:rFonts w:ascii="Tahoma" w:hAnsi="Tahoma" w:cs="Tahoma"/>
          <w:sz w:val="24"/>
          <w:szCs w:val="24"/>
        </w:rPr>
        <w:t>Tourism</w:t>
      </w:r>
      <w:proofErr w:type="spellEnd"/>
      <w:r w:rsidR="00DE6EB6" w:rsidRPr="00A3169B">
        <w:rPr>
          <w:rFonts w:ascii="Tahoma" w:hAnsi="Tahoma" w:cs="Tahoma"/>
          <w:sz w:val="24"/>
          <w:szCs w:val="24"/>
        </w:rPr>
        <w:t>,</w:t>
      </w:r>
      <w:r w:rsidR="00FE3108" w:rsidRPr="00A3169B">
        <w:rPr>
          <w:rFonts w:ascii="Tahoma" w:hAnsi="Tahoma" w:cs="Tahoma"/>
          <w:sz w:val="24"/>
          <w:szCs w:val="24"/>
        </w:rPr>
        <w:t xml:space="preserve"> s.r.o</w:t>
      </w:r>
      <w:r w:rsidR="001D0D13">
        <w:rPr>
          <w:rFonts w:ascii="Tahoma" w:hAnsi="Tahoma" w:cs="Tahoma"/>
          <w:sz w:val="24"/>
          <w:szCs w:val="24"/>
        </w:rPr>
        <w:t>.</w:t>
      </w:r>
      <w:r w:rsidR="00DE6EB6" w:rsidRPr="00A3169B">
        <w:rPr>
          <w:rFonts w:ascii="Tahoma" w:hAnsi="Tahoma" w:cs="Tahoma"/>
          <w:sz w:val="24"/>
          <w:szCs w:val="24"/>
        </w:rPr>
        <w:t>,</w:t>
      </w:r>
      <w:r w:rsidR="00FE3108" w:rsidRPr="00A3169B">
        <w:rPr>
          <w:rFonts w:ascii="Tahoma" w:hAnsi="Tahoma" w:cs="Tahoma"/>
          <w:sz w:val="24"/>
          <w:szCs w:val="24"/>
        </w:rPr>
        <w:t xml:space="preserve"> ve výši </w:t>
      </w:r>
      <w:r w:rsidR="0056346C" w:rsidRPr="00A3169B">
        <w:rPr>
          <w:rFonts w:ascii="Tahoma" w:hAnsi="Tahoma" w:cs="Tahoma"/>
          <w:sz w:val="24"/>
          <w:szCs w:val="24"/>
        </w:rPr>
        <w:t>3</w:t>
      </w:r>
      <w:r w:rsidR="001D0D13">
        <w:rPr>
          <w:rFonts w:ascii="Tahoma" w:hAnsi="Tahoma" w:cs="Tahoma"/>
          <w:sz w:val="24"/>
          <w:szCs w:val="24"/>
        </w:rPr>
        <w:t> </w:t>
      </w:r>
      <w:r w:rsidR="0056346C" w:rsidRPr="00A3169B">
        <w:rPr>
          <w:rFonts w:ascii="Tahoma" w:hAnsi="Tahoma" w:cs="Tahoma"/>
          <w:sz w:val="24"/>
          <w:szCs w:val="24"/>
        </w:rPr>
        <w:t>mil.</w:t>
      </w:r>
      <w:r w:rsidR="001D0D13">
        <w:rPr>
          <w:rFonts w:ascii="Tahoma" w:hAnsi="Tahoma" w:cs="Tahoma"/>
          <w:sz w:val="24"/>
          <w:szCs w:val="24"/>
        </w:rPr>
        <w:t> </w:t>
      </w:r>
      <w:r w:rsidR="0056346C" w:rsidRPr="00A3169B">
        <w:rPr>
          <w:rFonts w:ascii="Tahoma" w:hAnsi="Tahoma" w:cs="Tahoma"/>
          <w:sz w:val="24"/>
          <w:szCs w:val="24"/>
        </w:rPr>
        <w:t>Kč, které kraj v letošním roce půjčil k</w:t>
      </w:r>
      <w:r w:rsidR="00552E80" w:rsidRPr="00A3169B">
        <w:rPr>
          <w:rFonts w:ascii="Tahoma" w:hAnsi="Tahoma" w:cs="Tahoma"/>
          <w:sz w:val="24"/>
          <w:szCs w:val="24"/>
        </w:rPr>
        <w:t xml:space="preserve"> předfinancování </w:t>
      </w:r>
      <w:r w:rsidR="0056346C" w:rsidRPr="00A3169B">
        <w:rPr>
          <w:rFonts w:ascii="Tahoma" w:hAnsi="Tahoma" w:cs="Tahoma"/>
          <w:sz w:val="24"/>
          <w:szCs w:val="24"/>
        </w:rPr>
        <w:t>projekt</w:t>
      </w:r>
      <w:r w:rsidR="00552E80" w:rsidRPr="00A3169B">
        <w:rPr>
          <w:rFonts w:ascii="Tahoma" w:hAnsi="Tahoma" w:cs="Tahoma"/>
          <w:sz w:val="24"/>
          <w:szCs w:val="24"/>
        </w:rPr>
        <w:t>u</w:t>
      </w:r>
      <w:r w:rsidR="0056346C" w:rsidRPr="00A3169B">
        <w:rPr>
          <w:rFonts w:ascii="Tahoma" w:hAnsi="Tahoma" w:cs="Tahoma"/>
          <w:sz w:val="24"/>
          <w:szCs w:val="24"/>
        </w:rPr>
        <w:t xml:space="preserve"> spolufinancovan</w:t>
      </w:r>
      <w:r w:rsidR="00552E80" w:rsidRPr="00A3169B">
        <w:rPr>
          <w:rFonts w:ascii="Tahoma" w:hAnsi="Tahoma" w:cs="Tahoma"/>
          <w:sz w:val="24"/>
          <w:szCs w:val="24"/>
        </w:rPr>
        <w:t xml:space="preserve">ého z ROP NUTS II </w:t>
      </w:r>
      <w:proofErr w:type="spellStart"/>
      <w:r w:rsidR="00552E80" w:rsidRPr="00A3169B">
        <w:rPr>
          <w:rFonts w:ascii="Tahoma" w:hAnsi="Tahoma" w:cs="Tahoma"/>
          <w:sz w:val="24"/>
          <w:szCs w:val="24"/>
        </w:rPr>
        <w:t>Moravskoslezsko</w:t>
      </w:r>
      <w:proofErr w:type="spellEnd"/>
      <w:r w:rsidR="00552E80" w:rsidRPr="00A3169B">
        <w:rPr>
          <w:rFonts w:ascii="Tahoma" w:hAnsi="Tahoma" w:cs="Tahoma"/>
          <w:sz w:val="24"/>
          <w:szCs w:val="24"/>
        </w:rPr>
        <w:t xml:space="preserve"> a </w:t>
      </w:r>
      <w:r w:rsidR="00FE3108" w:rsidRPr="00A3169B">
        <w:rPr>
          <w:rFonts w:ascii="Tahoma" w:hAnsi="Tahoma" w:cs="Tahoma"/>
          <w:sz w:val="24"/>
          <w:szCs w:val="24"/>
        </w:rPr>
        <w:t xml:space="preserve">vratku ve výši 0,5 mil. Kč od </w:t>
      </w:r>
      <w:r w:rsidR="00552E80" w:rsidRPr="00A3169B">
        <w:rPr>
          <w:rFonts w:ascii="Tahoma" w:hAnsi="Tahoma" w:cs="Tahoma"/>
          <w:sz w:val="24"/>
          <w:szCs w:val="24"/>
        </w:rPr>
        <w:t>společnosti Krajská energetická agentura</w:t>
      </w:r>
      <w:r w:rsidR="00FE3108" w:rsidRPr="00A3169B">
        <w:rPr>
          <w:rFonts w:ascii="Tahoma" w:hAnsi="Tahoma" w:cs="Tahoma"/>
          <w:sz w:val="24"/>
          <w:szCs w:val="24"/>
        </w:rPr>
        <w:t>,</w:t>
      </w:r>
      <w:r w:rsidR="00DE6EB6" w:rsidRPr="00A3169B">
        <w:rPr>
          <w:rFonts w:ascii="Tahoma" w:hAnsi="Tahoma" w:cs="Tahoma"/>
          <w:sz w:val="24"/>
          <w:szCs w:val="24"/>
        </w:rPr>
        <w:t xml:space="preserve"> o.p.s.,</w:t>
      </w:r>
      <w:r w:rsidR="00FE3108" w:rsidRPr="00A3169B">
        <w:rPr>
          <w:rFonts w:ascii="Tahoma" w:hAnsi="Tahoma" w:cs="Tahoma"/>
          <w:sz w:val="24"/>
          <w:szCs w:val="24"/>
        </w:rPr>
        <w:t xml:space="preserve"> která byla určena</w:t>
      </w:r>
      <w:r w:rsidR="00FE3108">
        <w:rPr>
          <w:rFonts w:ascii="Tahoma" w:hAnsi="Tahoma" w:cs="Tahoma"/>
          <w:sz w:val="24"/>
          <w:szCs w:val="24"/>
        </w:rPr>
        <w:t xml:space="preserve"> </w:t>
      </w:r>
      <w:r w:rsidR="00552E80" w:rsidRPr="00FE3108">
        <w:rPr>
          <w:rFonts w:ascii="Tahoma" w:hAnsi="Tahoma" w:cs="Tahoma"/>
          <w:sz w:val="24"/>
          <w:szCs w:val="24"/>
        </w:rPr>
        <w:t>k</w:t>
      </w:r>
      <w:r w:rsidR="00FE3108" w:rsidRPr="00FE3108">
        <w:rPr>
          <w:rFonts w:ascii="Tahoma" w:hAnsi="Tahoma" w:cs="Tahoma"/>
          <w:sz w:val="24"/>
          <w:szCs w:val="24"/>
        </w:rPr>
        <w:t> </w:t>
      </w:r>
      <w:r w:rsidR="00552E80" w:rsidRPr="00FE3108">
        <w:rPr>
          <w:rFonts w:ascii="Tahoma" w:hAnsi="Tahoma" w:cs="Tahoma"/>
          <w:sz w:val="24"/>
          <w:szCs w:val="24"/>
        </w:rPr>
        <w:t>zajištění</w:t>
      </w:r>
      <w:r w:rsidR="00FE3108" w:rsidRPr="00FE3108">
        <w:rPr>
          <w:rFonts w:ascii="Tahoma" w:hAnsi="Tahoma" w:cs="Tahoma"/>
          <w:sz w:val="24"/>
          <w:szCs w:val="24"/>
        </w:rPr>
        <w:t xml:space="preserve"> provozu a činnosti společnosti v roce 2015.</w:t>
      </w:r>
      <w:r w:rsidR="00FE3108" w:rsidRPr="00FE3108">
        <w:rPr>
          <w:rFonts w:ascii="Tahoma" w:eastAsia="Times New Roman" w:hAnsi="Tahoma" w:cs="Tahoma"/>
          <w:sz w:val="24"/>
          <w:szCs w:val="24"/>
          <w:lang w:eastAsia="cs-CZ"/>
        </w:rPr>
        <w:t xml:space="preserve">   </w:t>
      </w:r>
    </w:p>
    <w:p w:rsidR="0056346C" w:rsidRPr="000D313B" w:rsidRDefault="004301E3" w:rsidP="007C1E61">
      <w:pPr>
        <w:pStyle w:val="Odstavecseseznamem2"/>
        <w:numPr>
          <w:ilvl w:val="0"/>
          <w:numId w:val="8"/>
        </w:numPr>
        <w:tabs>
          <w:tab w:val="clear" w:pos="1440"/>
          <w:tab w:val="num" w:pos="284"/>
        </w:tabs>
        <w:ind w:left="284" w:hanging="284"/>
        <w:jc w:val="both"/>
        <w:rPr>
          <w:rFonts w:ascii="Tahoma" w:hAnsi="Tahoma" w:cs="Tahoma"/>
        </w:rPr>
      </w:pPr>
      <w:r w:rsidRPr="0056346C">
        <w:rPr>
          <w:rFonts w:ascii="Tahoma" w:eastAsiaTheme="minorHAnsi" w:hAnsi="Tahoma" w:cs="Tahoma"/>
          <w:lang w:eastAsia="en-US"/>
        </w:rPr>
        <w:t>Pravidelným nedaňovým příjmem zůstávají</w:t>
      </w:r>
      <w:r w:rsidRPr="008A4A3E">
        <w:rPr>
          <w:rFonts w:cs="Tahoma"/>
        </w:rPr>
        <w:t xml:space="preserve"> </w:t>
      </w:r>
      <w:r w:rsidRPr="0056346C">
        <w:rPr>
          <w:rFonts w:ascii="Tahoma" w:eastAsiaTheme="minorHAnsi" w:hAnsi="Tahoma" w:cs="Tahoma"/>
          <w:lang w:eastAsia="en-US"/>
        </w:rPr>
        <w:t xml:space="preserve">příjmy </w:t>
      </w:r>
      <w:r w:rsidRPr="00413A94">
        <w:rPr>
          <w:rFonts w:ascii="Tahoma" w:eastAsiaTheme="minorHAnsi" w:hAnsi="Tahoma" w:cs="Tahoma"/>
          <w:b/>
          <w:lang w:eastAsia="en-US"/>
        </w:rPr>
        <w:t>z pronájmu majetku</w:t>
      </w:r>
      <w:r w:rsidRPr="0056346C">
        <w:rPr>
          <w:rFonts w:ascii="Tahoma" w:eastAsiaTheme="minorHAnsi" w:hAnsi="Tahoma" w:cs="Tahoma"/>
          <w:lang w:eastAsia="en-US"/>
        </w:rPr>
        <w:t xml:space="preserve"> kraje</w:t>
      </w:r>
      <w:r w:rsidR="0056346C">
        <w:rPr>
          <w:rFonts w:ascii="Tahoma" w:eastAsiaTheme="minorHAnsi" w:hAnsi="Tahoma" w:cs="Tahoma"/>
          <w:lang w:eastAsia="en-US"/>
        </w:rPr>
        <w:t>.</w:t>
      </w:r>
      <w:r w:rsidR="0056346C" w:rsidRPr="0056346C">
        <w:rPr>
          <w:rFonts w:ascii="Tahoma" w:eastAsiaTheme="minorHAnsi" w:hAnsi="Tahoma" w:cs="Tahoma"/>
          <w:lang w:eastAsia="en-US"/>
        </w:rPr>
        <w:t xml:space="preserve"> </w:t>
      </w:r>
      <w:r w:rsidR="0056346C">
        <w:rPr>
          <w:rFonts w:ascii="Tahoma" w:eastAsiaTheme="minorHAnsi" w:hAnsi="Tahoma" w:cs="Tahoma"/>
          <w:lang w:eastAsia="en-US"/>
        </w:rPr>
        <w:t>V roce 201</w:t>
      </w:r>
      <w:r w:rsidR="00CA79DF">
        <w:rPr>
          <w:rFonts w:ascii="Tahoma" w:eastAsiaTheme="minorHAnsi" w:hAnsi="Tahoma" w:cs="Tahoma"/>
          <w:lang w:eastAsia="en-US"/>
        </w:rPr>
        <w:t>6</w:t>
      </w:r>
      <w:r w:rsidR="0056346C">
        <w:rPr>
          <w:rFonts w:ascii="Tahoma" w:eastAsiaTheme="minorHAnsi" w:hAnsi="Tahoma" w:cs="Tahoma"/>
          <w:lang w:eastAsia="en-US"/>
        </w:rPr>
        <w:t xml:space="preserve"> </w:t>
      </w:r>
      <w:r w:rsidR="00413A94">
        <w:rPr>
          <w:rFonts w:ascii="Tahoma" w:eastAsiaTheme="minorHAnsi" w:hAnsi="Tahoma" w:cs="Tahoma"/>
          <w:lang w:eastAsia="en-US"/>
        </w:rPr>
        <w:t xml:space="preserve">zaplatí </w:t>
      </w:r>
      <w:r w:rsidR="0056346C" w:rsidRPr="0056346C">
        <w:rPr>
          <w:rFonts w:ascii="Tahoma" w:eastAsiaTheme="minorHAnsi" w:hAnsi="Tahoma" w:cs="Tahoma"/>
          <w:lang w:eastAsia="en-US"/>
        </w:rPr>
        <w:t xml:space="preserve">Letiště Ostrava a. s. </w:t>
      </w:r>
      <w:r w:rsidR="00413A94">
        <w:rPr>
          <w:rFonts w:ascii="Tahoma" w:eastAsiaTheme="minorHAnsi" w:hAnsi="Tahoma" w:cs="Tahoma"/>
          <w:lang w:eastAsia="en-US"/>
        </w:rPr>
        <w:t xml:space="preserve">nájem </w:t>
      </w:r>
      <w:r w:rsidR="0056346C" w:rsidRPr="0056346C">
        <w:rPr>
          <w:rFonts w:ascii="Tahoma" w:eastAsiaTheme="minorHAnsi" w:hAnsi="Tahoma" w:cs="Tahoma"/>
          <w:lang w:eastAsia="en-US"/>
        </w:rPr>
        <w:t xml:space="preserve">ve výši </w:t>
      </w:r>
      <w:r w:rsidR="0056346C">
        <w:rPr>
          <w:rFonts w:ascii="Tahoma" w:eastAsiaTheme="minorHAnsi" w:hAnsi="Tahoma" w:cs="Tahoma"/>
          <w:lang w:eastAsia="en-US"/>
        </w:rPr>
        <w:t>8,9</w:t>
      </w:r>
      <w:r w:rsidR="0056346C" w:rsidRPr="0056346C">
        <w:rPr>
          <w:rFonts w:ascii="Tahoma" w:eastAsiaTheme="minorHAnsi" w:hAnsi="Tahoma" w:cs="Tahoma"/>
          <w:lang w:eastAsia="en-US"/>
        </w:rPr>
        <w:t> mil. Kč.</w:t>
      </w:r>
      <w:r w:rsidR="0056346C" w:rsidRPr="00401599">
        <w:rPr>
          <w:rFonts w:ascii="Tahoma" w:hAnsi="Tahoma" w:cs="Tahoma"/>
        </w:rPr>
        <w:t xml:space="preserve"> Dále </w:t>
      </w:r>
      <w:r w:rsidR="0056346C">
        <w:rPr>
          <w:rFonts w:ascii="Tahoma" w:hAnsi="Tahoma" w:cs="Tahoma"/>
        </w:rPr>
        <w:t xml:space="preserve">je počítáno s </w:t>
      </w:r>
      <w:r w:rsidR="0056346C" w:rsidRPr="00401599">
        <w:rPr>
          <w:rFonts w:ascii="Tahoma" w:hAnsi="Tahoma" w:cs="Tahoma"/>
        </w:rPr>
        <w:t xml:space="preserve">příjmy z pronájmu </w:t>
      </w:r>
      <w:r w:rsidR="0056346C">
        <w:rPr>
          <w:rFonts w:ascii="Tahoma" w:hAnsi="Tahoma" w:cs="Tahoma"/>
        </w:rPr>
        <w:t>n</w:t>
      </w:r>
      <w:r w:rsidR="0056346C" w:rsidRPr="00401599">
        <w:rPr>
          <w:rFonts w:ascii="Tahoma" w:hAnsi="Tahoma" w:cs="Tahoma"/>
        </w:rPr>
        <w:t>emocnice s poliklinikou v Novém Jičíně ve </w:t>
      </w:r>
      <w:r w:rsidR="0056346C" w:rsidRPr="001848A5">
        <w:rPr>
          <w:rFonts w:ascii="Tahoma" w:hAnsi="Tahoma" w:cs="Tahoma"/>
        </w:rPr>
        <w:t xml:space="preserve">výši </w:t>
      </w:r>
      <w:r w:rsidR="00CA79DF">
        <w:rPr>
          <w:rFonts w:ascii="Tahoma" w:hAnsi="Tahoma" w:cs="Tahoma"/>
        </w:rPr>
        <w:t>8,2</w:t>
      </w:r>
      <w:r w:rsidR="00506B3C">
        <w:rPr>
          <w:rFonts w:ascii="Tahoma" w:hAnsi="Tahoma" w:cs="Tahoma"/>
        </w:rPr>
        <w:t> </w:t>
      </w:r>
      <w:r w:rsidR="0056346C" w:rsidRPr="00401599">
        <w:rPr>
          <w:rFonts w:ascii="Tahoma" w:hAnsi="Tahoma" w:cs="Tahoma"/>
        </w:rPr>
        <w:t xml:space="preserve">mil. Kč, což odpovídá zůstatku tzv. reinvestiční části </w:t>
      </w:r>
      <w:r w:rsidR="0056346C" w:rsidRPr="00351B73">
        <w:rPr>
          <w:rFonts w:ascii="Tahoma" w:hAnsi="Tahoma" w:cs="Tahoma"/>
        </w:rPr>
        <w:t>nájemného. Zbývající reinvestiční část nájemného a tzv. vypořádací část nájemného ve výši 2</w:t>
      </w:r>
      <w:r w:rsidR="004B1442" w:rsidRPr="00351B73">
        <w:rPr>
          <w:rFonts w:ascii="Tahoma" w:hAnsi="Tahoma" w:cs="Tahoma"/>
        </w:rPr>
        <w:t>3,3</w:t>
      </w:r>
      <w:r w:rsidR="0056346C" w:rsidRPr="00351B73">
        <w:rPr>
          <w:rFonts w:ascii="Tahoma" w:hAnsi="Tahoma" w:cs="Tahoma"/>
        </w:rPr>
        <w:t xml:space="preserve"> mil. Kč není zařazena do rozpočtu kraje, neboť bude předmětem zápočtu, a to </w:t>
      </w:r>
      <w:r w:rsidR="00413A94" w:rsidRPr="00351B73">
        <w:rPr>
          <w:rFonts w:ascii="Tahoma" w:hAnsi="Tahoma" w:cs="Tahoma"/>
        </w:rPr>
        <w:t xml:space="preserve">na základě uzavřené dohody </w:t>
      </w:r>
      <w:r w:rsidR="0056346C" w:rsidRPr="00351B73">
        <w:rPr>
          <w:rFonts w:ascii="Tahoma" w:hAnsi="Tahoma" w:cs="Tahoma"/>
        </w:rPr>
        <w:t>na roční splátky investice do budovy Staré interny a pohledávky ze salda pohledávek a závazků související s pronájmem nemocnice</w:t>
      </w:r>
      <w:r w:rsidR="0056346C" w:rsidRPr="00BD205D">
        <w:rPr>
          <w:rFonts w:ascii="Tahoma" w:hAnsi="Tahoma" w:cs="Tahoma"/>
        </w:rPr>
        <w:t>.</w:t>
      </w:r>
      <w:r w:rsidR="000D313B" w:rsidRPr="00BD205D">
        <w:rPr>
          <w:rFonts w:ascii="Tahoma" w:hAnsi="Tahoma" w:cs="Tahoma"/>
        </w:rPr>
        <w:t xml:space="preserve"> </w:t>
      </w:r>
      <w:r w:rsidR="0056346C" w:rsidRPr="000D313B">
        <w:rPr>
          <w:rFonts w:ascii="Tahoma" w:hAnsi="Tahoma" w:cs="Tahoma"/>
        </w:rPr>
        <w:t>Dalšími plánovanými příjmy z pronájmu jsou příjmy za pronájem prostor na krajském úřadu a z pronájmu pozemků</w:t>
      </w:r>
      <w:r w:rsidR="000D313B">
        <w:rPr>
          <w:rFonts w:ascii="Tahoma" w:hAnsi="Tahoma" w:cs="Tahoma"/>
        </w:rPr>
        <w:t>.</w:t>
      </w:r>
      <w:r w:rsidR="0056346C" w:rsidRPr="000D313B">
        <w:rPr>
          <w:rFonts w:ascii="Tahoma" w:hAnsi="Tahoma" w:cs="Tahoma"/>
        </w:rPr>
        <w:t xml:space="preserve"> </w:t>
      </w:r>
    </w:p>
    <w:p w:rsidR="0056346C" w:rsidRDefault="0056346C" w:rsidP="008A4A3E">
      <w:pPr>
        <w:pStyle w:val="Bezmezer"/>
        <w:rPr>
          <w:rFonts w:cs="Tahoma"/>
          <w:szCs w:val="24"/>
          <w:u w:val="single"/>
        </w:rPr>
      </w:pPr>
    </w:p>
    <w:p w:rsidR="0022268A" w:rsidRPr="008A4A3E" w:rsidRDefault="0022268A" w:rsidP="008A4A3E">
      <w:pPr>
        <w:pStyle w:val="Bezmezer"/>
        <w:rPr>
          <w:rFonts w:cs="Tahoma"/>
          <w:szCs w:val="24"/>
        </w:rPr>
      </w:pPr>
      <w:r w:rsidRPr="008A4A3E">
        <w:rPr>
          <w:rFonts w:cs="Tahoma"/>
          <w:szCs w:val="24"/>
          <w:u w:val="single"/>
        </w:rPr>
        <w:t xml:space="preserve">Kapitálové příjmy </w:t>
      </w:r>
    </w:p>
    <w:p w:rsidR="00712468" w:rsidRPr="008A4A3E" w:rsidRDefault="00413A94" w:rsidP="008A4A3E">
      <w:pPr>
        <w:pStyle w:val="Bezmezer"/>
        <w:rPr>
          <w:rFonts w:cs="Tahoma"/>
          <w:szCs w:val="24"/>
        </w:rPr>
      </w:pPr>
      <w:r>
        <w:rPr>
          <w:rFonts w:cs="Tahoma"/>
          <w:szCs w:val="24"/>
        </w:rPr>
        <w:t xml:space="preserve">Navrženy </w:t>
      </w:r>
      <w:r w:rsidR="00712468" w:rsidRPr="008A4A3E">
        <w:rPr>
          <w:rFonts w:cs="Tahoma"/>
          <w:szCs w:val="24"/>
        </w:rPr>
        <w:t xml:space="preserve">ve výši </w:t>
      </w:r>
      <w:r w:rsidR="00341764">
        <w:rPr>
          <w:rFonts w:cs="Tahoma"/>
          <w:szCs w:val="24"/>
        </w:rPr>
        <w:t>41</w:t>
      </w:r>
      <w:r w:rsidR="00E02075" w:rsidRPr="008A4A3E">
        <w:rPr>
          <w:rFonts w:cs="Tahoma"/>
          <w:szCs w:val="24"/>
        </w:rPr>
        <w:t xml:space="preserve"> mil. Kč</w:t>
      </w:r>
      <w:r w:rsidR="00712468" w:rsidRPr="008A4A3E">
        <w:rPr>
          <w:rFonts w:cs="Tahoma"/>
          <w:szCs w:val="24"/>
        </w:rPr>
        <w:t>,</w:t>
      </w:r>
      <w:r w:rsidR="00E02075" w:rsidRPr="008A4A3E">
        <w:rPr>
          <w:rFonts w:cs="Tahoma"/>
          <w:szCs w:val="24"/>
        </w:rPr>
        <w:t xml:space="preserve"> což představuje významný pokles oproti schválenému rozpočtu 201</w:t>
      </w:r>
      <w:r w:rsidR="00341764">
        <w:rPr>
          <w:rFonts w:cs="Tahoma"/>
          <w:szCs w:val="24"/>
        </w:rPr>
        <w:t>5</w:t>
      </w:r>
      <w:r w:rsidR="00E02075" w:rsidRPr="008A4A3E">
        <w:rPr>
          <w:rFonts w:cs="Tahoma"/>
          <w:szCs w:val="24"/>
        </w:rPr>
        <w:t xml:space="preserve"> </w:t>
      </w:r>
      <w:r w:rsidR="008A4A3E" w:rsidRPr="008A4A3E">
        <w:rPr>
          <w:rFonts w:cs="Tahoma"/>
          <w:szCs w:val="24"/>
        </w:rPr>
        <w:t xml:space="preserve">(meziroční pokles </w:t>
      </w:r>
      <w:r w:rsidR="008A4A3E" w:rsidRPr="00A3169B">
        <w:rPr>
          <w:rFonts w:cs="Tahoma"/>
          <w:szCs w:val="24"/>
        </w:rPr>
        <w:t xml:space="preserve">o </w:t>
      </w:r>
      <w:r w:rsidR="000C1954" w:rsidRPr="00A3169B">
        <w:rPr>
          <w:rFonts w:cs="Tahoma"/>
          <w:szCs w:val="24"/>
        </w:rPr>
        <w:t>27</w:t>
      </w:r>
      <w:r w:rsidR="006F1BF1" w:rsidRPr="00A3169B">
        <w:rPr>
          <w:rFonts w:cs="Tahoma"/>
          <w:szCs w:val="24"/>
        </w:rPr>
        <w:t xml:space="preserve"> </w:t>
      </w:r>
      <w:r w:rsidR="008A4A3E" w:rsidRPr="00A3169B">
        <w:rPr>
          <w:rFonts w:cs="Tahoma"/>
          <w:szCs w:val="24"/>
        </w:rPr>
        <w:t>%)</w:t>
      </w:r>
      <w:r w:rsidR="00E02075" w:rsidRPr="00A3169B">
        <w:rPr>
          <w:rFonts w:cs="Tahoma"/>
          <w:szCs w:val="24"/>
        </w:rPr>
        <w:t>.</w:t>
      </w:r>
      <w:r w:rsidR="00E02075" w:rsidRPr="008A4A3E">
        <w:rPr>
          <w:rFonts w:cs="Tahoma"/>
          <w:szCs w:val="24"/>
        </w:rPr>
        <w:t xml:space="preserve">  </w:t>
      </w:r>
      <w:r w:rsidR="00E20176">
        <w:rPr>
          <w:rFonts w:cs="Tahoma"/>
          <w:szCs w:val="24"/>
        </w:rPr>
        <w:t>Jedná se zejména o</w:t>
      </w:r>
      <w:r w:rsidR="00E20176" w:rsidRPr="00A90BF2">
        <w:rPr>
          <w:rFonts w:cs="Tahoma"/>
        </w:rPr>
        <w:t xml:space="preserve"> příjmy z prodeje nepotřebných pozemků a ostatních nemovitostí</w:t>
      </w:r>
      <w:r w:rsidR="00E20176" w:rsidRPr="00A90BF2">
        <w:rPr>
          <w:rFonts w:cs="Tahoma"/>
          <w:color w:val="548DD4"/>
        </w:rPr>
        <w:t xml:space="preserve"> </w:t>
      </w:r>
      <w:r w:rsidR="00E20176" w:rsidRPr="00A90BF2">
        <w:rPr>
          <w:rFonts w:cs="Tahoma"/>
        </w:rPr>
        <w:t>v</w:t>
      </w:r>
      <w:r>
        <w:rPr>
          <w:rFonts w:cs="Tahoma"/>
        </w:rPr>
        <w:t xml:space="preserve"> hodnotě </w:t>
      </w:r>
      <w:r w:rsidR="00341764">
        <w:rPr>
          <w:rFonts w:cs="Tahoma"/>
        </w:rPr>
        <w:t>25</w:t>
      </w:r>
      <w:r w:rsidR="00E20176" w:rsidRPr="00A90BF2">
        <w:rPr>
          <w:rFonts w:cs="Tahoma"/>
        </w:rPr>
        <w:t xml:space="preserve"> mil. Kč. </w:t>
      </w:r>
      <w:r w:rsidR="008A4A3E" w:rsidRPr="009B76CA">
        <w:rPr>
          <w:rFonts w:cs="Tahoma"/>
          <w:szCs w:val="24"/>
        </w:rPr>
        <w:t xml:space="preserve">S ohledem na </w:t>
      </w:r>
      <w:r w:rsidR="008A4A3E" w:rsidRPr="009B76CA">
        <w:rPr>
          <w:rFonts w:cs="Tahoma"/>
          <w:szCs w:val="24"/>
        </w:rPr>
        <w:lastRenderedPageBreak/>
        <w:t>nové informace nejsou plánov</w:t>
      </w:r>
      <w:r w:rsidR="009369EF" w:rsidRPr="009B76CA">
        <w:rPr>
          <w:rFonts w:cs="Tahoma"/>
          <w:szCs w:val="24"/>
        </w:rPr>
        <w:t>á</w:t>
      </w:r>
      <w:r w:rsidR="008A4A3E" w:rsidRPr="009B76CA">
        <w:rPr>
          <w:rFonts w:cs="Tahoma"/>
          <w:szCs w:val="24"/>
        </w:rPr>
        <w:t xml:space="preserve">ny </w:t>
      </w:r>
      <w:r w:rsidR="00712468" w:rsidRPr="009B76CA">
        <w:rPr>
          <w:rFonts w:cs="Tahoma"/>
          <w:szCs w:val="24"/>
        </w:rPr>
        <w:t>p</w:t>
      </w:r>
      <w:r w:rsidR="0022268A" w:rsidRPr="009B76CA">
        <w:rPr>
          <w:rFonts w:cs="Tahoma"/>
          <w:szCs w:val="24"/>
        </w:rPr>
        <w:t xml:space="preserve">říjmy </w:t>
      </w:r>
      <w:r w:rsidR="00341764" w:rsidRPr="009B76CA">
        <w:rPr>
          <w:rFonts w:cs="Tahoma"/>
          <w:szCs w:val="24"/>
        </w:rPr>
        <w:t xml:space="preserve">z prodeje pozemků určených pro výstavbu Krajského integrovaného centra využívání odpadů v Moravskoslezském kraji </w:t>
      </w:r>
      <w:r w:rsidR="00341764" w:rsidRPr="00A3169B">
        <w:rPr>
          <w:rFonts w:cs="Tahoma"/>
          <w:szCs w:val="24"/>
        </w:rPr>
        <w:t xml:space="preserve">v celkové výši 100 mil. Kč ani </w:t>
      </w:r>
      <w:r w:rsidR="00712468" w:rsidRPr="00A3169B">
        <w:rPr>
          <w:rFonts w:cs="Tahoma"/>
          <w:szCs w:val="24"/>
        </w:rPr>
        <w:t>z</w:t>
      </w:r>
      <w:r w:rsidR="0022268A" w:rsidRPr="00A3169B">
        <w:rPr>
          <w:rFonts w:cs="Tahoma"/>
          <w:szCs w:val="24"/>
        </w:rPr>
        <w:t xml:space="preserve"> prodeje pozemků v Průmyslové zóně Nošovice </w:t>
      </w:r>
      <w:r w:rsidR="00341764" w:rsidRPr="00A3169B">
        <w:rPr>
          <w:rFonts w:cs="Tahoma"/>
          <w:szCs w:val="24"/>
        </w:rPr>
        <w:t>a</w:t>
      </w:r>
      <w:r w:rsidR="000C1954" w:rsidRPr="00A3169B">
        <w:rPr>
          <w:rFonts w:cs="Tahoma"/>
          <w:szCs w:val="24"/>
        </w:rPr>
        <w:t xml:space="preserve"> v rámci Multimodálního logistického centra </w:t>
      </w:r>
      <w:r w:rsidR="00341764" w:rsidRPr="00A3169B">
        <w:rPr>
          <w:rFonts w:cs="Tahoma"/>
          <w:szCs w:val="24"/>
        </w:rPr>
        <w:t>Mošnov.</w:t>
      </w:r>
      <w:r w:rsidR="0022268A" w:rsidRPr="00A3169B">
        <w:rPr>
          <w:rFonts w:cs="Tahoma"/>
          <w:szCs w:val="24"/>
        </w:rPr>
        <w:t xml:space="preserve"> </w:t>
      </w:r>
      <w:r w:rsidR="00B94E32" w:rsidRPr="00A3169B">
        <w:rPr>
          <w:rFonts w:cs="Tahoma"/>
          <w:szCs w:val="24"/>
        </w:rPr>
        <w:t xml:space="preserve">Z celkového příspěvku od společnosti Hyundai Motor </w:t>
      </w:r>
      <w:proofErr w:type="spellStart"/>
      <w:r w:rsidR="00B94E32" w:rsidRPr="00A3169B">
        <w:rPr>
          <w:rFonts w:cs="Tahoma"/>
          <w:szCs w:val="24"/>
        </w:rPr>
        <w:t>Manufacturing</w:t>
      </w:r>
      <w:proofErr w:type="spellEnd"/>
      <w:r w:rsidR="00B94E32" w:rsidRPr="00A3169B">
        <w:rPr>
          <w:rFonts w:cs="Tahoma"/>
          <w:szCs w:val="24"/>
        </w:rPr>
        <w:t xml:space="preserve"> Czech s. r. o. ve</w:t>
      </w:r>
      <w:r w:rsidR="00911BD2" w:rsidRPr="00A3169B">
        <w:rPr>
          <w:rFonts w:cs="Tahoma"/>
          <w:szCs w:val="24"/>
        </w:rPr>
        <w:t> </w:t>
      </w:r>
      <w:r w:rsidR="00B94E32" w:rsidRPr="00A3169B">
        <w:rPr>
          <w:rFonts w:cs="Tahoma"/>
          <w:szCs w:val="24"/>
        </w:rPr>
        <w:t>výši 19 mil. Kč, který je určen pro zajištění provozu Integrovaného výjezdového centra v Nošovicích, je v kapitálových příjmech plánováno necelých 16</w:t>
      </w:r>
      <w:r w:rsidR="009B76CA" w:rsidRPr="00A3169B">
        <w:rPr>
          <w:rFonts w:cs="Tahoma"/>
          <w:szCs w:val="24"/>
        </w:rPr>
        <w:t> </w:t>
      </w:r>
      <w:r w:rsidR="00B94E32" w:rsidRPr="00A3169B">
        <w:rPr>
          <w:rFonts w:cs="Tahoma"/>
          <w:szCs w:val="24"/>
        </w:rPr>
        <w:t>mil. Kč na</w:t>
      </w:r>
      <w:r w:rsidR="00911BD2" w:rsidRPr="00A3169B">
        <w:rPr>
          <w:rFonts w:cs="Tahoma"/>
          <w:szCs w:val="24"/>
        </w:rPr>
        <w:t> </w:t>
      </w:r>
      <w:r w:rsidR="00B94E32" w:rsidRPr="00A3169B">
        <w:rPr>
          <w:rFonts w:cs="Tahoma"/>
          <w:szCs w:val="24"/>
        </w:rPr>
        <w:t>reprodukc</w:t>
      </w:r>
      <w:r w:rsidR="00911BD2" w:rsidRPr="00A3169B">
        <w:rPr>
          <w:rFonts w:cs="Tahoma"/>
          <w:szCs w:val="24"/>
        </w:rPr>
        <w:t>i</w:t>
      </w:r>
      <w:r w:rsidR="00911BD2">
        <w:rPr>
          <w:rFonts w:cs="Tahoma"/>
          <w:szCs w:val="24"/>
        </w:rPr>
        <w:t xml:space="preserve"> </w:t>
      </w:r>
      <w:r w:rsidR="00B94E32" w:rsidRPr="008A4A3E">
        <w:rPr>
          <w:rFonts w:cs="Tahoma"/>
          <w:szCs w:val="24"/>
        </w:rPr>
        <w:t>majetku</w:t>
      </w:r>
      <w:r w:rsidR="00B94E32">
        <w:rPr>
          <w:rFonts w:cs="Tahoma"/>
          <w:szCs w:val="24"/>
        </w:rPr>
        <w:t xml:space="preserve"> (zbývající část</w:t>
      </w:r>
      <w:r w:rsidR="00341764">
        <w:rPr>
          <w:rFonts w:cs="Tahoma"/>
          <w:szCs w:val="24"/>
        </w:rPr>
        <w:t xml:space="preserve"> ve výši 3 mil. Kč</w:t>
      </w:r>
      <w:r w:rsidR="00B94E32">
        <w:rPr>
          <w:rFonts w:cs="Tahoma"/>
          <w:szCs w:val="24"/>
        </w:rPr>
        <w:t xml:space="preserve"> je </w:t>
      </w:r>
      <w:r w:rsidR="0074297B">
        <w:rPr>
          <w:rFonts w:cs="Tahoma"/>
          <w:szCs w:val="24"/>
        </w:rPr>
        <w:t>za</w:t>
      </w:r>
      <w:r w:rsidR="00B94E32">
        <w:rPr>
          <w:rFonts w:cs="Tahoma"/>
          <w:szCs w:val="24"/>
        </w:rPr>
        <w:t>řazena v nedaňových příjmech).</w:t>
      </w:r>
    </w:p>
    <w:p w:rsidR="0022268A" w:rsidRPr="008A4A3E" w:rsidRDefault="0022268A" w:rsidP="008A4A3E">
      <w:pPr>
        <w:pStyle w:val="Bezmezer"/>
        <w:rPr>
          <w:rFonts w:cs="Tahoma"/>
          <w:szCs w:val="24"/>
        </w:rPr>
      </w:pPr>
    </w:p>
    <w:p w:rsidR="0022268A" w:rsidRPr="001D697F" w:rsidRDefault="0022268A" w:rsidP="001D697F">
      <w:pPr>
        <w:pStyle w:val="Bezmezer"/>
        <w:rPr>
          <w:u w:val="single"/>
        </w:rPr>
      </w:pPr>
      <w:r w:rsidRPr="001D697F">
        <w:rPr>
          <w:u w:val="single"/>
        </w:rPr>
        <w:t>Přijaté dotace</w:t>
      </w:r>
    </w:p>
    <w:p w:rsidR="009B754A" w:rsidRPr="00A3169B" w:rsidRDefault="001D697F" w:rsidP="001D697F">
      <w:pPr>
        <w:pStyle w:val="Bezmezer"/>
      </w:pPr>
      <w:r w:rsidRPr="00351B73">
        <w:t>Jsou z</w:t>
      </w:r>
      <w:r w:rsidR="00712468" w:rsidRPr="00351B73">
        <w:t>ařazeny dotace</w:t>
      </w:r>
      <w:r w:rsidRPr="00351B73">
        <w:t xml:space="preserve"> v celkové výši </w:t>
      </w:r>
      <w:r w:rsidR="00341764" w:rsidRPr="00351B73">
        <w:t>2.</w:t>
      </w:r>
      <w:r w:rsidR="00AC792E" w:rsidRPr="00351B73">
        <w:t>541</w:t>
      </w:r>
      <w:r w:rsidR="009369EF" w:rsidRPr="00351B73">
        <w:t xml:space="preserve"> mil.</w:t>
      </w:r>
      <w:r w:rsidRPr="00351B73">
        <w:t xml:space="preserve"> Kč</w:t>
      </w:r>
      <w:r w:rsidR="001D0D13">
        <w:t>,</w:t>
      </w:r>
      <w:r w:rsidRPr="00351B73">
        <w:t xml:space="preserve"> </w:t>
      </w:r>
      <w:r w:rsidRPr="00A3169B">
        <w:t>a to:</w:t>
      </w:r>
    </w:p>
    <w:p w:rsidR="00712468" w:rsidRPr="00A3169B" w:rsidRDefault="005D065E" w:rsidP="007C1E61">
      <w:pPr>
        <w:pStyle w:val="Bezmezer"/>
        <w:numPr>
          <w:ilvl w:val="0"/>
          <w:numId w:val="2"/>
        </w:numPr>
        <w:ind w:left="284" w:hanging="284"/>
      </w:pPr>
      <w:r w:rsidRPr="00A3169B">
        <w:t>dotac</w:t>
      </w:r>
      <w:r w:rsidR="009369EF" w:rsidRPr="00A3169B">
        <w:t>e</w:t>
      </w:r>
      <w:r w:rsidRPr="00A3169B">
        <w:t xml:space="preserve"> </w:t>
      </w:r>
      <w:r w:rsidR="004050EE" w:rsidRPr="00A3169B">
        <w:rPr>
          <w:rFonts w:cs="Tahoma"/>
          <w:b/>
          <w:bCs/>
        </w:rPr>
        <w:t>z evropských finančních zdrojů</w:t>
      </w:r>
      <w:r w:rsidR="004050EE" w:rsidRPr="00A3169B">
        <w:rPr>
          <w:rFonts w:cs="Tahoma"/>
        </w:rPr>
        <w:t xml:space="preserve"> </w:t>
      </w:r>
      <w:r w:rsidR="009369EF" w:rsidRPr="00A3169B">
        <w:t>související s</w:t>
      </w:r>
      <w:r w:rsidRPr="00A3169B">
        <w:t xml:space="preserve"> akce</w:t>
      </w:r>
      <w:r w:rsidR="009369EF" w:rsidRPr="00A3169B">
        <w:t>mi</w:t>
      </w:r>
      <w:r w:rsidRPr="00A3169B">
        <w:t xml:space="preserve"> realizovan</w:t>
      </w:r>
      <w:r w:rsidR="009369EF" w:rsidRPr="00A3169B">
        <w:t>ými</w:t>
      </w:r>
      <w:r w:rsidRPr="00A3169B">
        <w:t xml:space="preserve"> v rámci programového období 2007</w:t>
      </w:r>
      <w:r w:rsidR="001D0D13">
        <w:t> </w:t>
      </w:r>
      <w:r w:rsidR="0010076F">
        <w:t>–</w:t>
      </w:r>
      <w:r w:rsidR="001D0D13">
        <w:t> </w:t>
      </w:r>
      <w:r w:rsidRPr="00A3169B">
        <w:t>2013</w:t>
      </w:r>
      <w:r w:rsidR="0010076F">
        <w:t xml:space="preserve"> </w:t>
      </w:r>
      <w:r w:rsidR="00284C3F" w:rsidRPr="00A3169B">
        <w:t xml:space="preserve">ve výši </w:t>
      </w:r>
      <w:r w:rsidR="000C1954" w:rsidRPr="00A3169B">
        <w:t>1.611</w:t>
      </w:r>
      <w:r w:rsidR="00284C3F" w:rsidRPr="00A3169B">
        <w:t xml:space="preserve"> mil. Kč</w:t>
      </w:r>
      <w:r w:rsidR="009B754A" w:rsidRPr="00A3169B">
        <w:t>,</w:t>
      </w:r>
      <w:r w:rsidR="004050EE" w:rsidRPr="00A3169B">
        <w:rPr>
          <w:rFonts w:cs="Tahoma"/>
        </w:rPr>
        <w:t xml:space="preserve"> avšak z této částky je pouze </w:t>
      </w:r>
      <w:r w:rsidR="000C1954" w:rsidRPr="00A3169B">
        <w:rPr>
          <w:rFonts w:cs="Tahoma"/>
        </w:rPr>
        <w:t>263</w:t>
      </w:r>
      <w:r w:rsidR="004050EE" w:rsidRPr="00A3169B">
        <w:rPr>
          <w:rFonts w:cs="Tahoma"/>
        </w:rPr>
        <w:t> mil. Kč využitelných</w:t>
      </w:r>
      <w:r w:rsidR="00075CAE" w:rsidRPr="00A3169B">
        <w:rPr>
          <w:rFonts w:cs="Tahoma"/>
        </w:rPr>
        <w:t xml:space="preserve">, jedná se o </w:t>
      </w:r>
      <w:r w:rsidR="004050EE" w:rsidRPr="00A3169B">
        <w:rPr>
          <w:rFonts w:cs="Tahoma"/>
        </w:rPr>
        <w:t>příjmy, které kraj předfinancoval</w:t>
      </w:r>
      <w:r w:rsidR="00075CAE" w:rsidRPr="00A3169B">
        <w:rPr>
          <w:rFonts w:cs="Tahoma"/>
        </w:rPr>
        <w:t xml:space="preserve"> v předešlých letech</w:t>
      </w:r>
      <w:r w:rsidR="004050EE" w:rsidRPr="00A3169B">
        <w:rPr>
          <w:rFonts w:cs="Tahoma"/>
        </w:rPr>
        <w:t>, zbývající příjmy z dotací budou použity na splátku úvěru od Československé obchodní banky, a.s. a České spořitelny, a.s.</w:t>
      </w:r>
      <w:r w:rsidR="00075CAE" w:rsidRPr="00A3169B">
        <w:rPr>
          <w:rFonts w:cs="Tahoma"/>
        </w:rPr>
        <w:t>,</w:t>
      </w:r>
    </w:p>
    <w:p w:rsidR="00075CAE" w:rsidRPr="00F61CF1" w:rsidRDefault="00BF0EBF" w:rsidP="00075CAE">
      <w:pPr>
        <w:pStyle w:val="Bezmezer"/>
        <w:numPr>
          <w:ilvl w:val="0"/>
          <w:numId w:val="2"/>
        </w:numPr>
        <w:ind w:left="284" w:hanging="284"/>
      </w:pPr>
      <w:r w:rsidRPr="00A3169B">
        <w:t xml:space="preserve">dotace </w:t>
      </w:r>
      <w:r w:rsidRPr="00A3169B">
        <w:rPr>
          <w:rFonts w:cs="Tahoma"/>
          <w:b/>
          <w:bCs/>
        </w:rPr>
        <w:t>z evropských finančních zdrojů</w:t>
      </w:r>
      <w:r w:rsidRPr="00A3169B">
        <w:rPr>
          <w:rFonts w:cs="Tahoma"/>
        </w:rPr>
        <w:t xml:space="preserve"> </w:t>
      </w:r>
      <w:r w:rsidRPr="00A3169B">
        <w:t>související s akcemi realizovanými v rámci programového období 2014</w:t>
      </w:r>
      <w:r w:rsidR="001D0D13">
        <w:t> </w:t>
      </w:r>
      <w:r w:rsidR="0010076F">
        <w:t>–</w:t>
      </w:r>
      <w:r w:rsidR="001D0D13">
        <w:t> </w:t>
      </w:r>
      <w:r w:rsidRPr="00A3169B">
        <w:t>2020</w:t>
      </w:r>
      <w:r w:rsidR="0010076F">
        <w:t xml:space="preserve"> </w:t>
      </w:r>
      <w:r w:rsidRPr="00A3169B">
        <w:t xml:space="preserve">ve výši </w:t>
      </w:r>
      <w:r w:rsidR="000C1954" w:rsidRPr="00A3169B">
        <w:t>566</w:t>
      </w:r>
      <w:r w:rsidR="00075CAE" w:rsidRPr="00A3169B">
        <w:t xml:space="preserve"> </w:t>
      </w:r>
      <w:r w:rsidRPr="00A3169B">
        <w:t>mil. Kč</w:t>
      </w:r>
      <w:r w:rsidR="00075CAE" w:rsidRPr="00A3169B">
        <w:t xml:space="preserve">, z toho </w:t>
      </w:r>
      <w:r w:rsidR="00DE27D6">
        <w:t>do výdajů rozpočtu</w:t>
      </w:r>
      <w:r w:rsidR="00075CAE" w:rsidRPr="00A3169B">
        <w:t xml:space="preserve"> jsou</w:t>
      </w:r>
      <w:r w:rsidR="00794761">
        <w:t xml:space="preserve"> </w:t>
      </w:r>
      <w:r w:rsidR="00DE27D6">
        <w:t>zapojeny</w:t>
      </w:r>
      <w:r w:rsidR="00075CAE" w:rsidRPr="00A3169B">
        <w:t xml:space="preserve"> prostředky ve výši </w:t>
      </w:r>
      <w:r w:rsidR="000C1954" w:rsidRPr="00A3169B">
        <w:t>4</w:t>
      </w:r>
      <w:r w:rsidR="00194BF3" w:rsidRPr="00A3169B">
        <w:t>97</w:t>
      </w:r>
      <w:r w:rsidR="00075CAE" w:rsidRPr="00A3169B">
        <w:t xml:space="preserve"> mil. Kč (z toho částka ve výši 469</w:t>
      </w:r>
      <w:r w:rsidR="00794761">
        <w:t> </w:t>
      </w:r>
      <w:r w:rsidR="00075CAE" w:rsidRPr="00A3169B">
        <w:t>mil.</w:t>
      </w:r>
      <w:r w:rsidR="00794761">
        <w:t> </w:t>
      </w:r>
      <w:r w:rsidR="00075CAE" w:rsidRPr="00A3169B">
        <w:t>Kč je očekávána od Státního fondu životního prostředí zálohově ke krytí výdajů dotačního programu Kotlíkové dotace v Moravskoslezském kraji a částka 10</w:t>
      </w:r>
      <w:r w:rsidR="00794761">
        <w:t> </w:t>
      </w:r>
      <w:r w:rsidR="00075CAE" w:rsidRPr="00A3169B">
        <w:t>mil.</w:t>
      </w:r>
      <w:r w:rsidR="00794761">
        <w:t> </w:t>
      </w:r>
      <w:r w:rsidR="00075CAE" w:rsidRPr="00A3169B">
        <w:t>Kč je očekávána ke krytí podílu obcí, s nimiž bude uzavřena dohoda o</w:t>
      </w:r>
      <w:r w:rsidR="00794761">
        <w:t> </w:t>
      </w:r>
      <w:r w:rsidR="00075CAE" w:rsidRPr="00A3169B">
        <w:t>spolupráci</w:t>
      </w:r>
      <w:r w:rsidR="00822B2F" w:rsidRPr="00A3169B">
        <w:t xml:space="preserve"> na výše uvedeném dotačním programu</w:t>
      </w:r>
      <w:r w:rsidR="00075CAE" w:rsidRPr="00A3169B">
        <w:t xml:space="preserve">) a prostředky ve výši </w:t>
      </w:r>
      <w:r w:rsidR="000C1954" w:rsidRPr="00A3169B">
        <w:t>69</w:t>
      </w:r>
      <w:r w:rsidR="00794761">
        <w:t> </w:t>
      </w:r>
      <w:r w:rsidR="00075CAE" w:rsidRPr="00A3169B">
        <w:t>mil.</w:t>
      </w:r>
      <w:r w:rsidR="00794761">
        <w:t> </w:t>
      </w:r>
      <w:r w:rsidR="00075CAE" w:rsidRPr="00A3169B">
        <w:t xml:space="preserve">Kč </w:t>
      </w:r>
      <w:r w:rsidR="00794761">
        <w:t>jsou</w:t>
      </w:r>
      <w:r w:rsidR="00075CAE" w:rsidRPr="00A3169B">
        <w:t xml:space="preserve"> </w:t>
      </w:r>
      <w:r w:rsidR="00794761">
        <w:t xml:space="preserve">určeny na </w:t>
      </w:r>
      <w:r w:rsidR="00075CAE" w:rsidRPr="00A3169B">
        <w:rPr>
          <w:rFonts w:cs="Tahoma"/>
        </w:rPr>
        <w:t xml:space="preserve">splátku úvěru </w:t>
      </w:r>
      <w:r w:rsidR="00075CAE" w:rsidRPr="00F61CF1">
        <w:rPr>
          <w:rFonts w:cs="Tahoma"/>
        </w:rPr>
        <w:t>Česk</w:t>
      </w:r>
      <w:r w:rsidR="00794761" w:rsidRPr="00F61CF1">
        <w:rPr>
          <w:rFonts w:cs="Tahoma"/>
        </w:rPr>
        <w:t>oslovenské obchodní banky</w:t>
      </w:r>
      <w:r w:rsidR="00075CAE" w:rsidRPr="00F61CF1">
        <w:rPr>
          <w:rFonts w:cs="Tahoma"/>
        </w:rPr>
        <w:t xml:space="preserve">, a.s. </w:t>
      </w:r>
    </w:p>
    <w:p w:rsidR="00712468" w:rsidRPr="00F61CF1" w:rsidRDefault="001D0D13" w:rsidP="007C1E61">
      <w:pPr>
        <w:pStyle w:val="Bezmezer"/>
        <w:numPr>
          <w:ilvl w:val="0"/>
          <w:numId w:val="2"/>
        </w:numPr>
        <w:ind w:left="284" w:hanging="284"/>
      </w:pPr>
      <w:r w:rsidRPr="00F61CF1">
        <w:t>d</w:t>
      </w:r>
      <w:r w:rsidR="00712468" w:rsidRPr="00F61CF1">
        <w:t>otace</w:t>
      </w:r>
      <w:r w:rsidR="00284C3F" w:rsidRPr="00F61CF1">
        <w:t xml:space="preserve"> </w:t>
      </w:r>
      <w:r w:rsidR="00712468" w:rsidRPr="00F61CF1">
        <w:t>z</w:t>
      </w:r>
      <w:r w:rsidR="00CC35BB" w:rsidRPr="00F61CF1">
        <w:t> </w:t>
      </w:r>
      <w:r w:rsidR="00712468" w:rsidRPr="00F61CF1">
        <w:t>M</w:t>
      </w:r>
      <w:r w:rsidR="00CC35BB" w:rsidRPr="00F61CF1">
        <w:t xml:space="preserve">inisterstva financí </w:t>
      </w:r>
      <w:r w:rsidR="00712468" w:rsidRPr="00F61CF1">
        <w:t>na výkon přenesené působnosti ve výši 11</w:t>
      </w:r>
      <w:r w:rsidR="00BF0EBF" w:rsidRPr="00F61CF1">
        <w:t>6,8</w:t>
      </w:r>
      <w:r w:rsidR="008828BD" w:rsidRPr="00F61CF1">
        <w:t> </w:t>
      </w:r>
      <w:r w:rsidR="00712468" w:rsidRPr="00F61CF1">
        <w:t>mil.</w:t>
      </w:r>
      <w:r w:rsidR="008828BD" w:rsidRPr="00F61CF1">
        <w:t> </w:t>
      </w:r>
      <w:r w:rsidR="00712468" w:rsidRPr="00F61CF1">
        <w:t>Kč</w:t>
      </w:r>
      <w:r w:rsidR="0022268A" w:rsidRPr="00F61CF1">
        <w:t> </w:t>
      </w:r>
      <w:r w:rsidR="00712468" w:rsidRPr="00F61CF1">
        <w:t>(tzv. souhrnný fin</w:t>
      </w:r>
      <w:r w:rsidRPr="00F61CF1">
        <w:t>anční</w:t>
      </w:r>
      <w:r w:rsidR="00712468" w:rsidRPr="00F61CF1">
        <w:t xml:space="preserve"> vztah),</w:t>
      </w:r>
    </w:p>
    <w:p w:rsidR="00712468" w:rsidRPr="00F61CF1" w:rsidRDefault="00712468" w:rsidP="007C1E61">
      <w:pPr>
        <w:pStyle w:val="Odstavecseseznamem2"/>
        <w:numPr>
          <w:ilvl w:val="0"/>
          <w:numId w:val="2"/>
        </w:numPr>
        <w:ind w:left="284" w:hanging="284"/>
        <w:jc w:val="both"/>
        <w:rPr>
          <w:rFonts w:cs="Tahoma"/>
        </w:rPr>
      </w:pPr>
      <w:r w:rsidRPr="00F61CF1">
        <w:rPr>
          <w:rFonts w:ascii="Tahoma" w:eastAsiaTheme="minorHAnsi" w:hAnsi="Tahoma" w:cs="Tahoma"/>
          <w:szCs w:val="22"/>
          <w:lang w:eastAsia="en-US"/>
        </w:rPr>
        <w:t>dotace z</w:t>
      </w:r>
      <w:r w:rsidR="00CC35BB" w:rsidRPr="00F61CF1">
        <w:rPr>
          <w:rFonts w:ascii="Tahoma" w:eastAsiaTheme="minorHAnsi" w:hAnsi="Tahoma" w:cs="Tahoma"/>
          <w:szCs w:val="22"/>
          <w:lang w:eastAsia="en-US"/>
        </w:rPr>
        <w:t> </w:t>
      </w:r>
      <w:r w:rsidRPr="00F61CF1">
        <w:rPr>
          <w:rFonts w:ascii="Tahoma" w:eastAsiaTheme="minorHAnsi" w:hAnsi="Tahoma" w:cs="Tahoma"/>
          <w:szCs w:val="22"/>
          <w:lang w:eastAsia="en-US"/>
        </w:rPr>
        <w:t>M</w:t>
      </w:r>
      <w:r w:rsidR="00CC35BB" w:rsidRPr="00F61CF1">
        <w:rPr>
          <w:rFonts w:ascii="Tahoma" w:eastAsiaTheme="minorHAnsi" w:hAnsi="Tahoma" w:cs="Tahoma"/>
          <w:szCs w:val="22"/>
          <w:lang w:eastAsia="en-US"/>
        </w:rPr>
        <w:t>inisterstva dopravy</w:t>
      </w:r>
      <w:r w:rsidRPr="00F61CF1">
        <w:rPr>
          <w:rFonts w:ascii="Tahoma" w:eastAsiaTheme="minorHAnsi" w:hAnsi="Tahoma" w:cs="Tahoma"/>
          <w:szCs w:val="22"/>
          <w:lang w:eastAsia="en-US"/>
        </w:rPr>
        <w:t xml:space="preserve"> na dofinancování dopravní obslužnosti veřejnou železniční osobní dopravou </w:t>
      </w:r>
      <w:r w:rsidR="004050EE" w:rsidRPr="00F61CF1">
        <w:rPr>
          <w:rFonts w:ascii="Tahoma" w:eastAsiaTheme="minorHAnsi" w:hAnsi="Tahoma" w:cs="Tahoma"/>
          <w:szCs w:val="22"/>
          <w:lang w:eastAsia="en-US"/>
        </w:rPr>
        <w:t xml:space="preserve">ve výši </w:t>
      </w:r>
      <w:r w:rsidRPr="00F61CF1">
        <w:rPr>
          <w:rFonts w:ascii="Tahoma" w:eastAsiaTheme="minorHAnsi" w:hAnsi="Tahoma" w:cs="Tahoma"/>
          <w:szCs w:val="22"/>
          <w:lang w:eastAsia="en-US"/>
        </w:rPr>
        <w:t>20</w:t>
      </w:r>
      <w:r w:rsidR="009E09C9" w:rsidRPr="00F61CF1">
        <w:rPr>
          <w:rFonts w:ascii="Tahoma" w:eastAsiaTheme="minorHAnsi" w:hAnsi="Tahoma" w:cs="Tahoma"/>
          <w:szCs w:val="22"/>
          <w:lang w:eastAsia="en-US"/>
        </w:rPr>
        <w:t>8</w:t>
      </w:r>
      <w:r w:rsidR="00BF0EBF" w:rsidRPr="00F61CF1">
        <w:rPr>
          <w:rFonts w:ascii="Tahoma" w:eastAsiaTheme="minorHAnsi" w:hAnsi="Tahoma" w:cs="Tahoma"/>
          <w:szCs w:val="22"/>
          <w:lang w:eastAsia="en-US"/>
        </w:rPr>
        <w:t>,8</w:t>
      </w:r>
      <w:r w:rsidRPr="00F61CF1">
        <w:rPr>
          <w:rFonts w:ascii="Tahoma" w:eastAsiaTheme="minorHAnsi" w:hAnsi="Tahoma" w:cs="Tahoma"/>
          <w:szCs w:val="22"/>
          <w:lang w:eastAsia="en-US"/>
        </w:rPr>
        <w:t xml:space="preserve"> mil. Kč</w:t>
      </w:r>
      <w:r w:rsidR="009B754A" w:rsidRPr="00F61CF1">
        <w:rPr>
          <w:rFonts w:ascii="Tahoma" w:eastAsiaTheme="minorHAnsi" w:hAnsi="Tahoma" w:cs="Tahoma"/>
          <w:szCs w:val="22"/>
          <w:lang w:eastAsia="en-US"/>
        </w:rPr>
        <w:t>,</w:t>
      </w:r>
      <w:r w:rsidR="004050EE" w:rsidRPr="00F61CF1">
        <w:rPr>
          <w:rFonts w:ascii="Tahoma" w:eastAsiaTheme="minorHAnsi" w:hAnsi="Tahoma" w:cs="Tahoma"/>
          <w:szCs w:val="22"/>
          <w:lang w:eastAsia="en-US"/>
        </w:rPr>
        <w:t xml:space="preserve"> což vyplývá z memoranda, které podepsali zástupci krajů s vládou Jana Fischera v roce 2009, pro rok 201</w:t>
      </w:r>
      <w:r w:rsidR="00BF0EBF" w:rsidRPr="00F61CF1">
        <w:rPr>
          <w:rFonts w:ascii="Tahoma" w:eastAsiaTheme="minorHAnsi" w:hAnsi="Tahoma" w:cs="Tahoma"/>
          <w:szCs w:val="22"/>
          <w:lang w:eastAsia="en-US"/>
        </w:rPr>
        <w:t>6</w:t>
      </w:r>
      <w:r w:rsidR="004050EE" w:rsidRPr="00F61CF1">
        <w:rPr>
          <w:rFonts w:ascii="Tahoma" w:eastAsiaTheme="minorHAnsi" w:hAnsi="Tahoma" w:cs="Tahoma"/>
          <w:szCs w:val="22"/>
          <w:lang w:eastAsia="en-US"/>
        </w:rPr>
        <w:t xml:space="preserve"> je </w:t>
      </w:r>
      <w:r w:rsidR="00BD205D" w:rsidRPr="00F61CF1">
        <w:rPr>
          <w:rFonts w:ascii="Tahoma" w:eastAsiaTheme="minorHAnsi" w:hAnsi="Tahoma" w:cs="Tahoma"/>
          <w:szCs w:val="22"/>
          <w:lang w:eastAsia="en-US"/>
        </w:rPr>
        <w:t>výše dotace zařazena včetně inflačního navýšení 1,39 %</w:t>
      </w:r>
      <w:r w:rsidR="004050EE" w:rsidRPr="00F61CF1">
        <w:rPr>
          <w:rFonts w:ascii="Tahoma" w:eastAsiaTheme="minorHAnsi" w:hAnsi="Tahoma" w:cs="Tahoma"/>
          <w:szCs w:val="22"/>
          <w:lang w:eastAsia="en-US"/>
        </w:rPr>
        <w:t>,</w:t>
      </w:r>
    </w:p>
    <w:p w:rsidR="00BF0EBF" w:rsidRPr="00F61CF1" w:rsidRDefault="009B754A" w:rsidP="00BF0EBF">
      <w:pPr>
        <w:pStyle w:val="Bezmezer"/>
        <w:numPr>
          <w:ilvl w:val="0"/>
          <w:numId w:val="2"/>
        </w:numPr>
        <w:ind w:left="284" w:hanging="284"/>
      </w:pPr>
      <w:r w:rsidRPr="00F61CF1">
        <w:t>v</w:t>
      </w:r>
      <w:r w:rsidR="00712468" w:rsidRPr="00F61CF1">
        <w:t> rámci zajištění udržitelnosti projektu „Optimalizace sítě služeb sociální prevence v Moravskoslezském kraji“ bude v roce 2016 kraj inkasovat p</w:t>
      </w:r>
      <w:r w:rsidR="00CE2E9B" w:rsidRPr="00F61CF1">
        <w:t xml:space="preserve">rostředky </w:t>
      </w:r>
      <w:r w:rsidR="00712468" w:rsidRPr="00F61CF1">
        <w:t>ve výši max. 4</w:t>
      </w:r>
      <w:r w:rsidR="007B784C" w:rsidRPr="00F61CF1">
        <w:t>1</w:t>
      </w:r>
      <w:r w:rsidR="00712468" w:rsidRPr="00F61CF1">
        <w:t xml:space="preserve"> mil. Kč jako podíl od obcí, které jsou zřizovateli zařízení zařazených do projektu</w:t>
      </w:r>
      <w:r w:rsidR="00C26910" w:rsidRPr="00F61CF1">
        <w:t>,</w:t>
      </w:r>
    </w:p>
    <w:p w:rsidR="00712468" w:rsidRPr="00F61CF1" w:rsidRDefault="00BF0EBF" w:rsidP="006F61B0">
      <w:pPr>
        <w:pStyle w:val="Bezmezer"/>
        <w:numPr>
          <w:ilvl w:val="0"/>
          <w:numId w:val="2"/>
        </w:numPr>
        <w:autoSpaceDE w:val="0"/>
        <w:autoSpaceDN w:val="0"/>
        <w:adjustRightInd w:val="0"/>
        <w:ind w:left="284" w:hanging="284"/>
      </w:pPr>
      <w:r w:rsidRPr="00F61CF1">
        <w:rPr>
          <w:rFonts w:cs="Tahoma"/>
          <w:szCs w:val="24"/>
        </w:rPr>
        <w:t>nově od roku 2016 je plánován příspěvek obcí na dopravní obslužnost linkovou ve výši 3,9 mil. Kč na základě uzavřených smluv</w:t>
      </w:r>
      <w:r w:rsidR="000861B8" w:rsidRPr="00F61CF1">
        <w:rPr>
          <w:rFonts w:cs="Tahoma"/>
          <w:szCs w:val="24"/>
        </w:rPr>
        <w:t xml:space="preserve"> </w:t>
      </w:r>
      <w:r w:rsidR="000861B8" w:rsidRPr="00F61CF1">
        <w:t xml:space="preserve">o poskytnutí finančního příspěvku za účelem zajištění dopravní obslužnosti na území Moravskoslezského kraje veřejnou linkovou dopravou – oblast </w:t>
      </w:r>
      <w:proofErr w:type="spellStart"/>
      <w:r w:rsidR="000861B8" w:rsidRPr="00F61CF1">
        <w:t>Třinecko</w:t>
      </w:r>
      <w:proofErr w:type="spellEnd"/>
      <w:r w:rsidR="000861B8" w:rsidRPr="00F61CF1">
        <w:t>/</w:t>
      </w:r>
      <w:proofErr w:type="spellStart"/>
      <w:r w:rsidR="000861B8" w:rsidRPr="00F61CF1">
        <w:t>Jablunkovsko</w:t>
      </w:r>
      <w:proofErr w:type="spellEnd"/>
      <w:r w:rsidR="000861B8" w:rsidRPr="00F61CF1">
        <w:t>.</w:t>
      </w:r>
    </w:p>
    <w:p w:rsidR="00712468" w:rsidRPr="00F61CF1" w:rsidRDefault="00712468" w:rsidP="009B754A">
      <w:pPr>
        <w:pStyle w:val="Bezmezer"/>
      </w:pPr>
      <w:r w:rsidRPr="00F61CF1">
        <w:t>Ostatní plánované dotace budou zařazeny do rozpočtu kraje až po obdržení rozhodnutí od příslušného ministerstva</w:t>
      </w:r>
      <w:r w:rsidR="001D0D13" w:rsidRPr="00F61CF1">
        <w:t xml:space="preserve"> – </w:t>
      </w:r>
      <w:r w:rsidR="009B754A" w:rsidRPr="00F61CF1">
        <w:t>zejména</w:t>
      </w:r>
      <w:r w:rsidR="009B754A" w:rsidRPr="00F61CF1">
        <w:rPr>
          <w:color w:val="FF0000"/>
        </w:rPr>
        <w:t xml:space="preserve"> </w:t>
      </w:r>
      <w:r w:rsidR="00CC35BB" w:rsidRPr="00F61CF1">
        <w:t>Ministerstva školství, mládeže a</w:t>
      </w:r>
      <w:r w:rsidR="008828BD" w:rsidRPr="00F61CF1">
        <w:t> </w:t>
      </w:r>
      <w:r w:rsidR="001D0D13" w:rsidRPr="00F61CF1">
        <w:t>tělovýchovy</w:t>
      </w:r>
      <w:r w:rsidR="00CC35BB" w:rsidRPr="00F61CF1">
        <w:t>, Ministerstva</w:t>
      </w:r>
      <w:r w:rsidRPr="00F61CF1">
        <w:t xml:space="preserve"> </w:t>
      </w:r>
      <w:r w:rsidR="00CC35BB" w:rsidRPr="00F61CF1">
        <w:t>práce a soc</w:t>
      </w:r>
      <w:r w:rsidR="001D0D13" w:rsidRPr="00F61CF1">
        <w:t>iálních</w:t>
      </w:r>
      <w:r w:rsidR="00CC35BB" w:rsidRPr="00F61CF1">
        <w:t xml:space="preserve"> věcí</w:t>
      </w:r>
      <w:r w:rsidRPr="00F61CF1">
        <w:t xml:space="preserve">, </w:t>
      </w:r>
      <w:r w:rsidR="00CC35BB" w:rsidRPr="00F61CF1">
        <w:t>Ministerstva průmyslu a obchodu</w:t>
      </w:r>
      <w:r w:rsidR="0064256C" w:rsidRPr="00F61CF1">
        <w:t xml:space="preserve"> (</w:t>
      </w:r>
      <w:r w:rsidR="005D065E" w:rsidRPr="00F61CF1">
        <w:t>na projekt průmyslové zóny „Nad Barborou“</w:t>
      </w:r>
      <w:r w:rsidRPr="00F61CF1">
        <w:t>)</w:t>
      </w:r>
      <w:r w:rsidR="00284C3F" w:rsidRPr="00F61CF1">
        <w:t>.</w:t>
      </w:r>
    </w:p>
    <w:p w:rsidR="006F61B0" w:rsidRPr="00F61CF1" w:rsidRDefault="006F61B0">
      <w:pPr>
        <w:rPr>
          <w:rFonts w:ascii="Tahoma" w:hAnsi="Tahoma"/>
          <w:sz w:val="24"/>
        </w:rPr>
      </w:pPr>
      <w:r w:rsidRPr="00F61CF1">
        <w:br w:type="page"/>
      </w:r>
    </w:p>
    <w:p w:rsidR="008E4F70" w:rsidRPr="00F61CF1" w:rsidRDefault="00CE5BCB" w:rsidP="008E4F70">
      <w:pPr>
        <w:jc w:val="both"/>
        <w:rPr>
          <w:rFonts w:ascii="Tahoma" w:hAnsi="Tahoma" w:cs="Tahoma"/>
          <w:b/>
          <w:bCs/>
        </w:rPr>
      </w:pPr>
      <w:r w:rsidRPr="00F61CF1">
        <w:rPr>
          <w:rFonts w:ascii="Tahoma" w:hAnsi="Tahoma" w:cs="Tahoma"/>
          <w:b/>
          <w:sz w:val="24"/>
          <w:szCs w:val="24"/>
        </w:rPr>
        <w:lastRenderedPageBreak/>
        <w:t>Navrhované</w:t>
      </w:r>
      <w:r w:rsidR="0022268A" w:rsidRPr="00F61CF1">
        <w:rPr>
          <w:rFonts w:ascii="Tahoma" w:hAnsi="Tahoma" w:cs="Tahoma"/>
          <w:b/>
          <w:sz w:val="24"/>
          <w:szCs w:val="24"/>
        </w:rPr>
        <w:t xml:space="preserve"> VÝDAJE</w:t>
      </w:r>
      <w:r w:rsidR="008E4F70" w:rsidRPr="00F61CF1">
        <w:rPr>
          <w:rFonts w:ascii="Tahoma" w:hAnsi="Tahoma" w:cs="Tahoma"/>
          <w:b/>
          <w:sz w:val="24"/>
          <w:szCs w:val="24"/>
        </w:rPr>
        <w:t xml:space="preserve"> </w:t>
      </w:r>
      <w:r w:rsidR="008E4F70" w:rsidRPr="00F61CF1">
        <w:rPr>
          <w:rFonts w:ascii="Tahoma" w:hAnsi="Tahoma" w:cs="Tahoma"/>
          <w:b/>
          <w:bCs/>
        </w:rPr>
        <w:t xml:space="preserve">– v celkové výši </w:t>
      </w:r>
      <w:r w:rsidR="006F61B0" w:rsidRPr="00F61CF1">
        <w:rPr>
          <w:rFonts w:ascii="Tahoma" w:hAnsi="Tahoma" w:cs="Tahoma"/>
          <w:b/>
          <w:bCs/>
        </w:rPr>
        <w:t>6</w:t>
      </w:r>
      <w:r w:rsidR="008E4F70" w:rsidRPr="00F61CF1">
        <w:rPr>
          <w:rFonts w:ascii="Tahoma" w:hAnsi="Tahoma" w:cs="Tahoma"/>
          <w:b/>
          <w:bCs/>
        </w:rPr>
        <w:t>.</w:t>
      </w:r>
      <w:r w:rsidR="006F61B0" w:rsidRPr="00F61CF1">
        <w:rPr>
          <w:rFonts w:ascii="Tahoma" w:hAnsi="Tahoma" w:cs="Tahoma"/>
          <w:b/>
          <w:bCs/>
        </w:rPr>
        <w:t>812</w:t>
      </w:r>
      <w:r w:rsidR="002C21DA" w:rsidRPr="00F61CF1">
        <w:rPr>
          <w:rFonts w:ascii="Tahoma" w:hAnsi="Tahoma" w:cs="Tahoma"/>
          <w:b/>
          <w:bCs/>
        </w:rPr>
        <w:t>.</w:t>
      </w:r>
      <w:r w:rsidR="00E17E81" w:rsidRPr="00F61CF1">
        <w:rPr>
          <w:rFonts w:ascii="Tahoma" w:hAnsi="Tahoma" w:cs="Tahoma"/>
          <w:b/>
          <w:bCs/>
        </w:rPr>
        <w:t>986</w:t>
      </w:r>
      <w:r w:rsidR="008E4F70" w:rsidRPr="00F61CF1">
        <w:rPr>
          <w:rFonts w:ascii="Tahoma" w:hAnsi="Tahoma" w:cs="Tahoma"/>
          <w:b/>
          <w:bCs/>
        </w:rPr>
        <w:t> tis. Kč</w:t>
      </w:r>
    </w:p>
    <w:p w:rsidR="008E4F70" w:rsidRPr="00F61CF1" w:rsidRDefault="008E4F70" w:rsidP="008E4F70">
      <w:pPr>
        <w:jc w:val="both"/>
        <w:rPr>
          <w:rFonts w:ascii="Tahoma" w:hAnsi="Tahoma" w:cs="Tahoma"/>
        </w:rPr>
      </w:pPr>
      <w:r w:rsidRPr="00F61CF1">
        <w:rPr>
          <w:rFonts w:ascii="Tahoma" w:hAnsi="Tahoma" w:cs="Tahoma"/>
          <w:b/>
          <w:bCs/>
        </w:rPr>
        <w:t xml:space="preserve"> </w:t>
      </w:r>
      <w:r w:rsidRPr="00F61CF1">
        <w:rPr>
          <w:rFonts w:ascii="Tahoma" w:hAnsi="Tahoma" w:cs="Tahoma"/>
        </w:rPr>
        <w:t xml:space="preserve">(více </w:t>
      </w:r>
      <w:r w:rsidRPr="00774FCD">
        <w:rPr>
          <w:rFonts w:ascii="Tahoma" w:hAnsi="Tahoma" w:cs="Tahoma"/>
        </w:rPr>
        <w:t xml:space="preserve">viz </w:t>
      </w:r>
      <w:hyperlink r:id="rId10" w:history="1">
        <w:r w:rsidRPr="00774FCD">
          <w:rPr>
            <w:rStyle w:val="Hypertextovodkaz"/>
            <w:rFonts w:ascii="Tahoma" w:hAnsi="Tahoma" w:cs="Tahoma"/>
          </w:rPr>
          <w:t xml:space="preserve">příloha </w:t>
        </w:r>
        <w:proofErr w:type="gramStart"/>
        <w:r w:rsidRPr="00774FCD">
          <w:rPr>
            <w:rStyle w:val="Hypertextovodkaz"/>
            <w:rFonts w:ascii="Tahoma" w:hAnsi="Tahoma" w:cs="Tahoma"/>
          </w:rPr>
          <w:t>č.</w:t>
        </w:r>
        <w:r w:rsidR="006F61B0" w:rsidRPr="00774FCD">
          <w:rPr>
            <w:rStyle w:val="Hypertextovodkaz"/>
            <w:rFonts w:ascii="Tahoma" w:hAnsi="Tahoma" w:cs="Tahoma"/>
          </w:rPr>
          <w:t xml:space="preserve"> </w:t>
        </w:r>
        <w:r w:rsidRPr="00774FCD">
          <w:rPr>
            <w:rStyle w:val="Hypertextovodkaz"/>
            <w:rFonts w:ascii="Tahoma" w:hAnsi="Tahoma" w:cs="Tahoma"/>
          </w:rPr>
          <w:t>2</w:t>
        </w:r>
      </w:hyperlink>
      <w:r w:rsidR="006F61B0" w:rsidRPr="00F61CF1">
        <w:rPr>
          <w:rFonts w:ascii="Tahoma" w:hAnsi="Tahoma" w:cs="Tahoma"/>
        </w:rPr>
        <w:t xml:space="preserve"> </w:t>
      </w:r>
      <w:r w:rsidRPr="00F61CF1">
        <w:rPr>
          <w:rFonts w:ascii="Tahoma" w:hAnsi="Tahoma" w:cs="Tahoma"/>
        </w:rPr>
        <w:t>materiálu</w:t>
      </w:r>
      <w:proofErr w:type="gramEnd"/>
      <w:r w:rsidR="00190B0E" w:rsidRPr="00F61CF1">
        <w:rPr>
          <w:rFonts w:ascii="Tahoma" w:hAnsi="Tahoma" w:cs="Tahoma"/>
        </w:rPr>
        <w:t xml:space="preserve"> </w:t>
      </w:r>
      <w:r w:rsidR="00C1094A" w:rsidRPr="00F61CF1">
        <w:rPr>
          <w:rFonts w:ascii="Tahoma" w:hAnsi="Tahoma" w:cs="Tahoma"/>
        </w:rPr>
        <w:t>4/1</w:t>
      </w:r>
      <w:r w:rsidRPr="00F61CF1">
        <w:rPr>
          <w:rFonts w:ascii="Tahoma" w:hAnsi="Tahoma" w:cs="Tahoma"/>
        </w:rPr>
        <w:t>)</w:t>
      </w:r>
    </w:p>
    <w:p w:rsidR="000377ED" w:rsidRPr="00F61CF1" w:rsidRDefault="00351B73" w:rsidP="000377ED">
      <w:pPr>
        <w:pStyle w:val="Bezmezer"/>
        <w:rPr>
          <w:sz w:val="20"/>
          <w:szCs w:val="20"/>
        </w:rPr>
      </w:pPr>
      <w:r w:rsidRPr="00F61CF1">
        <w:t>Do n</w:t>
      </w:r>
      <w:r w:rsidR="006C2932" w:rsidRPr="00F61CF1">
        <w:t>ávrh</w:t>
      </w:r>
      <w:r w:rsidRPr="00F61CF1">
        <w:t>u</w:t>
      </w:r>
      <w:r w:rsidR="006C2932" w:rsidRPr="00F61CF1">
        <w:t xml:space="preserve"> rozpočtu na rok 201</w:t>
      </w:r>
      <w:r w:rsidR="00BF0EBF" w:rsidRPr="00F61CF1">
        <w:t>6</w:t>
      </w:r>
      <w:r w:rsidR="006C2932" w:rsidRPr="00F61CF1">
        <w:t xml:space="preserve"> </w:t>
      </w:r>
      <w:r w:rsidRPr="00F61CF1">
        <w:t xml:space="preserve">byly zařazeny všechny </w:t>
      </w:r>
      <w:r w:rsidR="000377ED" w:rsidRPr="00F61CF1">
        <w:t>mandatorní výdaje, jejichž financování je dáno povinnost</w:t>
      </w:r>
      <w:r w:rsidR="00442CCB" w:rsidRPr="00F61CF1">
        <w:t>í</w:t>
      </w:r>
      <w:r w:rsidR="000377ED" w:rsidRPr="00F61CF1">
        <w:t xml:space="preserve"> stanoven</w:t>
      </w:r>
      <w:r w:rsidR="00442CCB" w:rsidRPr="00F61CF1">
        <w:t>ou</w:t>
      </w:r>
      <w:r w:rsidR="000377ED" w:rsidRPr="00F61CF1">
        <w:t xml:space="preserve"> kraji zákonem, příp. jinými právními předpisy, uzavřenou smlouvou, usnesením orgánu kraje o závazku, vyhlášenou veřejnou zakázkou, udržitelnosti projektu</w:t>
      </w:r>
      <w:r w:rsidR="00442CCB" w:rsidRPr="00F61CF1">
        <w:t xml:space="preserve">, </w:t>
      </w:r>
      <w:r w:rsidR="00442CCB" w:rsidRPr="00F61CF1">
        <w:rPr>
          <w:rFonts w:cs="Tahoma"/>
        </w:rPr>
        <w:t xml:space="preserve">příp. byly na kraj převedeny v souvislosti se změnou rozpočtového určení daní. </w:t>
      </w:r>
    </w:p>
    <w:p w:rsidR="000377ED" w:rsidRPr="00F61CF1" w:rsidRDefault="000377ED" w:rsidP="001D697F">
      <w:pPr>
        <w:pStyle w:val="Bezmezer"/>
        <w:rPr>
          <w:u w:val="single"/>
        </w:rPr>
      </w:pPr>
    </w:p>
    <w:p w:rsidR="0022268A" w:rsidRPr="00F61CF1" w:rsidRDefault="0022268A" w:rsidP="001D697F">
      <w:pPr>
        <w:pStyle w:val="Bezmezer"/>
        <w:rPr>
          <w:u w:val="single"/>
        </w:rPr>
      </w:pPr>
      <w:r w:rsidRPr="00F61CF1">
        <w:rPr>
          <w:u w:val="single"/>
        </w:rPr>
        <w:t xml:space="preserve">Činnost zastupitelstva kraje a krajského úřadu </w:t>
      </w:r>
    </w:p>
    <w:p w:rsidR="001D5308" w:rsidRPr="00F61CF1" w:rsidRDefault="001D5308" w:rsidP="001D5308">
      <w:pPr>
        <w:pStyle w:val="Bezmezer"/>
      </w:pPr>
      <w:r w:rsidRPr="00F61CF1">
        <w:t>Běžné výdaje na činnost zastupitelstva kraje a krajského úřadu jsou plánovány ve výši 4</w:t>
      </w:r>
      <w:r w:rsidR="00C26910" w:rsidRPr="00F61CF1">
        <w:t>8</w:t>
      </w:r>
      <w:r w:rsidR="00E17E81" w:rsidRPr="00F61CF1">
        <w:t>8</w:t>
      </w:r>
      <w:r w:rsidRPr="00F61CF1">
        <w:t xml:space="preserve"> mil. Kč (5 % meziroční růst).</w:t>
      </w:r>
    </w:p>
    <w:p w:rsidR="001D5308" w:rsidRPr="00351B73" w:rsidRDefault="001D5308" w:rsidP="001D5308">
      <w:pPr>
        <w:spacing w:after="0"/>
        <w:rPr>
          <w:rFonts w:ascii="Tahoma" w:hAnsi="Tahoma"/>
          <w:sz w:val="24"/>
        </w:rPr>
      </w:pPr>
      <w:r w:rsidRPr="00F61CF1">
        <w:rPr>
          <w:rFonts w:ascii="Tahoma" w:hAnsi="Tahoma"/>
          <w:sz w:val="24"/>
        </w:rPr>
        <w:t>Výdaje na činnost</w:t>
      </w:r>
      <w:r w:rsidRPr="00351B73">
        <w:rPr>
          <w:rFonts w:ascii="Tahoma" w:hAnsi="Tahoma"/>
          <w:sz w:val="24"/>
        </w:rPr>
        <w:t xml:space="preserve"> zastupitelstvo kraje jsou ovlivněny zejména:</w:t>
      </w:r>
    </w:p>
    <w:p w:rsidR="001D5308" w:rsidRPr="00351B73" w:rsidRDefault="001D5308" w:rsidP="001D5308">
      <w:pPr>
        <w:pStyle w:val="Bezmezer"/>
        <w:numPr>
          <w:ilvl w:val="0"/>
          <w:numId w:val="3"/>
        </w:numPr>
        <w:ind w:left="284" w:hanging="284"/>
      </w:pPr>
      <w:r w:rsidRPr="00351B73">
        <w:rPr>
          <w:rFonts w:cs="Tahoma"/>
          <w:szCs w:val="24"/>
        </w:rPr>
        <w:t>výdaji na konání voleb do krajského zastupitelstva na podzim roku 2016</w:t>
      </w:r>
      <w:r w:rsidR="00351B73" w:rsidRPr="00351B73">
        <w:rPr>
          <w:rFonts w:cs="Tahoma"/>
          <w:szCs w:val="24"/>
        </w:rPr>
        <w:t>,</w:t>
      </w:r>
    </w:p>
    <w:p w:rsidR="001D5308" w:rsidRPr="00351B73" w:rsidRDefault="001D5308" w:rsidP="001D5308">
      <w:pPr>
        <w:pStyle w:val="Bezmezer"/>
        <w:numPr>
          <w:ilvl w:val="0"/>
          <w:numId w:val="3"/>
        </w:numPr>
        <w:ind w:left="284" w:hanging="284"/>
      </w:pPr>
      <w:r w:rsidRPr="00351B73">
        <w:rPr>
          <w:rFonts w:cs="Tahoma"/>
          <w:szCs w:val="24"/>
        </w:rPr>
        <w:t>vyplacenými odměnami v souvislosti s ukončením mandátu zastupitelů kraje v rámci skončení funkčního období 2012</w:t>
      </w:r>
      <w:r w:rsidR="001D0D13">
        <w:rPr>
          <w:rFonts w:cs="Tahoma"/>
          <w:szCs w:val="24"/>
        </w:rPr>
        <w:t> </w:t>
      </w:r>
      <w:r w:rsidR="001D0D13">
        <w:rPr>
          <w:rFonts w:cs="Tahoma"/>
          <w:szCs w:val="24"/>
        </w:rPr>
        <w:noBreakHyphen/>
        <w:t> </w:t>
      </w:r>
      <w:r w:rsidRPr="00351B73">
        <w:rPr>
          <w:rFonts w:cs="Tahoma"/>
          <w:szCs w:val="24"/>
        </w:rPr>
        <w:t>2016</w:t>
      </w:r>
      <w:r w:rsidR="00351B73" w:rsidRPr="00351B73">
        <w:rPr>
          <w:rFonts w:cs="Tahoma"/>
          <w:szCs w:val="24"/>
        </w:rPr>
        <w:t>,</w:t>
      </w:r>
    </w:p>
    <w:p w:rsidR="007025A1" w:rsidRPr="00F61CF1" w:rsidRDefault="001D5308" w:rsidP="007025A1">
      <w:pPr>
        <w:pStyle w:val="Bezmezer"/>
        <w:numPr>
          <w:ilvl w:val="0"/>
          <w:numId w:val="3"/>
        </w:numPr>
        <w:spacing w:after="20"/>
        <w:ind w:left="284" w:hanging="284"/>
      </w:pPr>
      <w:r w:rsidRPr="00A3169B">
        <w:t xml:space="preserve">obměnou výpočetní techniky v souvislosti se zahájením činnosti nově zvolených </w:t>
      </w:r>
      <w:r w:rsidRPr="00F61CF1">
        <w:t>zastupitelů kraje po krajských volbách na podzim roku 2016</w:t>
      </w:r>
      <w:r w:rsidR="007E505E" w:rsidRPr="00F61CF1">
        <w:t>,</w:t>
      </w:r>
    </w:p>
    <w:p w:rsidR="007E505E" w:rsidRPr="00F61CF1" w:rsidRDefault="007025A1" w:rsidP="00F8388C">
      <w:pPr>
        <w:pStyle w:val="Bezmezer"/>
        <w:numPr>
          <w:ilvl w:val="0"/>
          <w:numId w:val="3"/>
        </w:numPr>
        <w:spacing w:after="20"/>
        <w:ind w:left="284" w:hanging="284"/>
      </w:pPr>
      <w:r w:rsidRPr="00F61CF1">
        <w:t>zvýšením odměn členů zastupitelstva kraje na základě „Návrhu nařízení vlády, kterým se mění nařízení vlády č. 37/2003 Sb., o odměnách za výkon funkce členům zastupitelstev, ve znění pozdějších předpisů“ od 1. 1. 2016 o 3 procentní body.</w:t>
      </w:r>
    </w:p>
    <w:p w:rsidR="001D5308" w:rsidRPr="00A3169B" w:rsidRDefault="001D5308" w:rsidP="001D5308">
      <w:pPr>
        <w:spacing w:after="0"/>
        <w:rPr>
          <w:rFonts w:ascii="Tahoma" w:hAnsi="Tahoma" w:cs="Tahoma"/>
          <w:sz w:val="24"/>
          <w:szCs w:val="24"/>
        </w:rPr>
      </w:pPr>
      <w:r w:rsidRPr="00A3169B">
        <w:rPr>
          <w:rFonts w:ascii="Tahoma" w:hAnsi="Tahoma" w:cs="Tahoma"/>
          <w:sz w:val="24"/>
          <w:szCs w:val="24"/>
        </w:rPr>
        <w:t xml:space="preserve">Výdaje na činnost krajského úřadu jsou ovlivněny zejména: </w:t>
      </w:r>
    </w:p>
    <w:p w:rsidR="001D5308" w:rsidRPr="00A3169B" w:rsidRDefault="001D5308" w:rsidP="001D5308">
      <w:pPr>
        <w:pStyle w:val="Bezmezer"/>
        <w:numPr>
          <w:ilvl w:val="0"/>
          <w:numId w:val="3"/>
        </w:numPr>
        <w:ind w:left="284" w:hanging="284"/>
      </w:pPr>
      <w:r w:rsidRPr="00A3169B">
        <w:t>změnou uznatelnosti mzdových výdajů u projektů spolufinancovaných v rámci programového období 2014</w:t>
      </w:r>
      <w:r w:rsidR="001D0D13">
        <w:t> </w:t>
      </w:r>
      <w:r w:rsidR="001D0D13">
        <w:noBreakHyphen/>
        <w:t> </w:t>
      </w:r>
      <w:r w:rsidRPr="00A3169B">
        <w:t>2020 oproti předchozím</w:t>
      </w:r>
      <w:r w:rsidR="00351B73" w:rsidRPr="00A3169B">
        <w:t>u</w:t>
      </w:r>
      <w:r w:rsidRPr="00A3169B">
        <w:t xml:space="preserve"> programovému období,</w:t>
      </w:r>
    </w:p>
    <w:p w:rsidR="001D5308" w:rsidRPr="00A3169B" w:rsidRDefault="001D5308" w:rsidP="001C7008">
      <w:pPr>
        <w:pStyle w:val="Bezmezer"/>
        <w:numPr>
          <w:ilvl w:val="0"/>
          <w:numId w:val="3"/>
        </w:numPr>
        <w:ind w:left="284" w:hanging="284"/>
      </w:pPr>
      <w:r w:rsidRPr="00A3169B">
        <w:t>snížení</w:t>
      </w:r>
      <w:r w:rsidR="006F61B0" w:rsidRPr="00A3169B">
        <w:t>m</w:t>
      </w:r>
      <w:r w:rsidRPr="00A3169B">
        <w:t xml:space="preserve"> počtu zaměstnanců krajského úřadu v roce 2016 o 2</w:t>
      </w:r>
      <w:r w:rsidR="00D91DE9">
        <w:t>3</w:t>
      </w:r>
      <w:r w:rsidRPr="00A3169B">
        <w:t xml:space="preserve"> zaměstnanců oproti roku 2015 na 66</w:t>
      </w:r>
      <w:r w:rsidR="00D91DE9">
        <w:t>2</w:t>
      </w:r>
      <w:r w:rsidRPr="00A3169B">
        <w:t xml:space="preserve"> zaměstnanc</w:t>
      </w:r>
      <w:r w:rsidR="00D91DE9">
        <w:t>ů</w:t>
      </w:r>
      <w:r w:rsidR="00351B73" w:rsidRPr="00A3169B">
        <w:t>,</w:t>
      </w:r>
    </w:p>
    <w:p w:rsidR="001D5308" w:rsidRPr="006662BF" w:rsidRDefault="001D5308" w:rsidP="001D5308">
      <w:pPr>
        <w:pStyle w:val="Bezmezer"/>
        <w:numPr>
          <w:ilvl w:val="0"/>
          <w:numId w:val="3"/>
        </w:numPr>
        <w:ind w:left="284" w:hanging="284"/>
      </w:pPr>
      <w:r w:rsidRPr="00A3169B">
        <w:t>nařízením vlády</w:t>
      </w:r>
      <w:r w:rsidRPr="00351B73">
        <w:t xml:space="preserve"> č.  278/2015, </w:t>
      </w:r>
      <w:r w:rsidRPr="006662BF">
        <w:t>kterým se mění nařízení vlády č. 564/2006 Sb., o</w:t>
      </w:r>
      <w:r>
        <w:t> </w:t>
      </w:r>
      <w:r w:rsidRPr="006662BF">
        <w:t>platových poměrech zaměstnanců ve veřejných službách a správě, ve znění pozdějších předpisů</w:t>
      </w:r>
      <w:r>
        <w:t>, kterým</w:t>
      </w:r>
      <w:r w:rsidRPr="006662BF">
        <w:t xml:space="preserve"> dochází k zvýšení platů zaměstnancům o </w:t>
      </w:r>
      <w:r>
        <w:t>3</w:t>
      </w:r>
      <w:r w:rsidRPr="006662BF">
        <w:t xml:space="preserve"> %,</w:t>
      </w:r>
    </w:p>
    <w:p w:rsidR="001D5308" w:rsidRPr="00442CCB" w:rsidRDefault="001D5308" w:rsidP="001D5308">
      <w:pPr>
        <w:pStyle w:val="Bezmezer"/>
        <w:numPr>
          <w:ilvl w:val="0"/>
          <w:numId w:val="3"/>
        </w:numPr>
        <w:ind w:left="284" w:hanging="284"/>
        <w:rPr>
          <w:u w:val="single"/>
        </w:rPr>
      </w:pPr>
      <w:r w:rsidRPr="006662BF">
        <w:t>zajištěním udržitelnosti projektu „E-</w:t>
      </w:r>
      <w:proofErr w:type="spellStart"/>
      <w:r w:rsidRPr="006662BF">
        <w:t>Government</w:t>
      </w:r>
      <w:proofErr w:type="spellEnd"/>
      <w:r w:rsidRPr="006662BF">
        <w:t xml:space="preserve"> Moravskoslezského kraje“ (souvisí se zajištěním technické podpory a servisní údržby výpočetní techniky a softwarového </w:t>
      </w:r>
      <w:r w:rsidRPr="00442CCB">
        <w:t>vybavení),</w:t>
      </w:r>
    </w:p>
    <w:p w:rsidR="001D5308" w:rsidRPr="00E353E2" w:rsidRDefault="001D5308" w:rsidP="001D5308">
      <w:pPr>
        <w:pStyle w:val="Bezmezer"/>
        <w:numPr>
          <w:ilvl w:val="0"/>
          <w:numId w:val="3"/>
        </w:numPr>
        <w:ind w:left="284" w:hanging="284"/>
        <w:rPr>
          <w:u w:val="single"/>
        </w:rPr>
      </w:pPr>
      <w:r>
        <w:t xml:space="preserve">úspornými opatřeními, díky nimž jsou </w:t>
      </w:r>
      <w:r w:rsidRPr="006662BF">
        <w:t>snížen</w:t>
      </w:r>
      <w:r>
        <w:t>y</w:t>
      </w:r>
      <w:r w:rsidRPr="006662BF">
        <w:t xml:space="preserve"> </w:t>
      </w:r>
      <w:r>
        <w:t xml:space="preserve">vybrané </w:t>
      </w:r>
      <w:r w:rsidRPr="006662BF">
        <w:t>provozní výdaj</w:t>
      </w:r>
      <w:r>
        <w:t xml:space="preserve">e – </w:t>
      </w:r>
      <w:r w:rsidRPr="006662BF">
        <w:t>např. nákupy materiálu, tepla, pohonných hmot.</w:t>
      </w:r>
    </w:p>
    <w:p w:rsidR="001D5308" w:rsidRPr="00351B73" w:rsidRDefault="001D5308" w:rsidP="001D5308">
      <w:pPr>
        <w:pStyle w:val="Bezmezer"/>
        <w:numPr>
          <w:ilvl w:val="0"/>
          <w:numId w:val="3"/>
        </w:numPr>
        <w:ind w:left="284" w:hanging="284"/>
      </w:pPr>
      <w:r w:rsidRPr="00351B73">
        <w:t>technickými opatřeními směřujícími ke zvýšené bezpečnosti zaměstnanců i návštěvníků krajského úřadu</w:t>
      </w:r>
      <w:r w:rsidR="00351B73">
        <w:t>.</w:t>
      </w:r>
    </w:p>
    <w:p w:rsidR="006662BF" w:rsidRPr="006662BF" w:rsidRDefault="006662BF" w:rsidP="006662BF">
      <w:pPr>
        <w:pStyle w:val="Bezmezer"/>
        <w:ind w:left="720"/>
        <w:rPr>
          <w:u w:val="single"/>
        </w:rPr>
      </w:pPr>
    </w:p>
    <w:p w:rsidR="00894131" w:rsidRPr="00F24018" w:rsidRDefault="0022268A" w:rsidP="00F24018">
      <w:pPr>
        <w:pStyle w:val="Bezmezer"/>
        <w:rPr>
          <w:u w:val="single"/>
        </w:rPr>
      </w:pPr>
      <w:r w:rsidRPr="00F24018">
        <w:rPr>
          <w:u w:val="single"/>
        </w:rPr>
        <w:t>Finance a správa majetku</w:t>
      </w:r>
    </w:p>
    <w:p w:rsidR="00F24018" w:rsidRDefault="00F24018" w:rsidP="00F24018">
      <w:pPr>
        <w:pStyle w:val="Bezmezer"/>
      </w:pPr>
      <w:r>
        <w:t>Zde jsou řazeny výdaje, které souvisí se správou majetku</w:t>
      </w:r>
      <w:r w:rsidR="009369EF">
        <w:t xml:space="preserve"> (</w:t>
      </w:r>
      <w:r>
        <w:t>zejména finančního</w:t>
      </w:r>
      <w:r w:rsidR="009369EF">
        <w:t>)</w:t>
      </w:r>
      <w:r>
        <w:t xml:space="preserve"> a</w:t>
      </w:r>
      <w:r w:rsidR="008828BD">
        <w:t> </w:t>
      </w:r>
      <w:r>
        <w:t>dále výdaje, které nelze přesně zařadit do konkrétního odvětví.</w:t>
      </w:r>
      <w:r w:rsidR="0064256C">
        <w:t xml:space="preserve"> Jedná se zejména o:</w:t>
      </w:r>
    </w:p>
    <w:p w:rsidR="00F24018" w:rsidRPr="00A3169B" w:rsidRDefault="00894131" w:rsidP="007C1E61">
      <w:pPr>
        <w:pStyle w:val="Bezmezer"/>
        <w:numPr>
          <w:ilvl w:val="0"/>
          <w:numId w:val="4"/>
        </w:numPr>
        <w:ind w:left="284" w:hanging="284"/>
        <w:rPr>
          <w:b/>
        </w:rPr>
      </w:pPr>
      <w:r w:rsidRPr="004F1FBA">
        <w:rPr>
          <w:b/>
        </w:rPr>
        <w:t>nespecifikovan</w:t>
      </w:r>
      <w:r w:rsidR="0064256C" w:rsidRPr="004F1FBA">
        <w:rPr>
          <w:b/>
        </w:rPr>
        <w:t>ou</w:t>
      </w:r>
      <w:r w:rsidRPr="004F1FBA">
        <w:rPr>
          <w:b/>
        </w:rPr>
        <w:t xml:space="preserve"> </w:t>
      </w:r>
      <w:r w:rsidRPr="00A3169B">
        <w:rPr>
          <w:b/>
        </w:rPr>
        <w:t>rezerv</w:t>
      </w:r>
      <w:r w:rsidR="0064256C" w:rsidRPr="00A3169B">
        <w:rPr>
          <w:b/>
        </w:rPr>
        <w:t>u</w:t>
      </w:r>
      <w:r w:rsidRPr="00A3169B">
        <w:rPr>
          <w:b/>
        </w:rPr>
        <w:t xml:space="preserve"> </w:t>
      </w:r>
      <w:r w:rsidR="00D10640" w:rsidRPr="00A3169B">
        <w:t>na mimořádné akce a akce s nedořešeným financováním</w:t>
      </w:r>
      <w:r w:rsidR="00D10640" w:rsidRPr="00A3169B">
        <w:rPr>
          <w:b/>
        </w:rPr>
        <w:t xml:space="preserve"> </w:t>
      </w:r>
      <w:r w:rsidR="0064256C" w:rsidRPr="00A3169B">
        <w:rPr>
          <w:b/>
        </w:rPr>
        <w:t xml:space="preserve">ve výši </w:t>
      </w:r>
      <w:r w:rsidR="006F61B0" w:rsidRPr="00A3169B">
        <w:rPr>
          <w:b/>
        </w:rPr>
        <w:t>10</w:t>
      </w:r>
      <w:r w:rsidR="0064256C" w:rsidRPr="00A3169B">
        <w:rPr>
          <w:b/>
        </w:rPr>
        <w:t>0 mil. Kč</w:t>
      </w:r>
      <w:r w:rsidR="00B329E8" w:rsidRPr="00A3169B">
        <w:rPr>
          <w:b/>
        </w:rPr>
        <w:t xml:space="preserve"> </w:t>
      </w:r>
      <w:r w:rsidR="00003D5C" w:rsidRPr="00A3169B">
        <w:t>(oproti rozpočtu 2015</w:t>
      </w:r>
      <w:r w:rsidR="00003D5C" w:rsidRPr="00A3169B">
        <w:rPr>
          <w:b/>
        </w:rPr>
        <w:t xml:space="preserve"> </w:t>
      </w:r>
      <w:r w:rsidR="00003D5C" w:rsidRPr="00A3169B">
        <w:t>navýšen</w:t>
      </w:r>
      <w:r w:rsidR="00897B15" w:rsidRPr="00A3169B">
        <w:t>í</w:t>
      </w:r>
      <w:r w:rsidR="00003D5C" w:rsidRPr="00A3169B">
        <w:t xml:space="preserve"> o 50 mil. Kč – </w:t>
      </w:r>
      <w:r w:rsidR="00351B73" w:rsidRPr="00A3169B">
        <w:rPr>
          <w:rFonts w:cs="Tahoma"/>
        </w:rPr>
        <w:t>určen</w:t>
      </w:r>
      <w:r w:rsidR="001D0D13">
        <w:rPr>
          <w:rFonts w:cs="Tahoma"/>
        </w:rPr>
        <w:t>o</w:t>
      </w:r>
      <w:r w:rsidR="00351B73" w:rsidRPr="00A3169B">
        <w:rPr>
          <w:rFonts w:cs="Tahoma"/>
        </w:rPr>
        <w:t xml:space="preserve"> na krytí rizik v souvislosti s ukončením programového období 2007</w:t>
      </w:r>
      <w:r w:rsidR="001D0D13">
        <w:rPr>
          <w:rFonts w:cs="Tahoma"/>
        </w:rPr>
        <w:t> </w:t>
      </w:r>
      <w:r w:rsidR="001D0D13">
        <w:rPr>
          <w:rFonts w:cs="Tahoma"/>
        </w:rPr>
        <w:noBreakHyphen/>
        <w:t> </w:t>
      </w:r>
      <w:r w:rsidR="00351B73" w:rsidRPr="00A3169B">
        <w:rPr>
          <w:rFonts w:cs="Tahoma"/>
        </w:rPr>
        <w:t>2013</w:t>
      </w:r>
      <w:r w:rsidR="00003D5C" w:rsidRPr="00A3169B">
        <w:rPr>
          <w:rFonts w:cs="Tahoma"/>
        </w:rPr>
        <w:t>),</w:t>
      </w:r>
      <w:r w:rsidR="00351B73" w:rsidRPr="00A3169B">
        <w:rPr>
          <w:b/>
        </w:rPr>
        <w:t xml:space="preserve"> </w:t>
      </w:r>
    </w:p>
    <w:p w:rsidR="00D82A88" w:rsidRPr="005176B4" w:rsidRDefault="00D82A88" w:rsidP="007C1E61">
      <w:pPr>
        <w:pStyle w:val="Odstavecseseznamem2"/>
        <w:numPr>
          <w:ilvl w:val="0"/>
          <w:numId w:val="4"/>
        </w:numPr>
        <w:ind w:left="284" w:hanging="284"/>
        <w:jc w:val="both"/>
        <w:rPr>
          <w:rFonts w:ascii="Tahoma" w:hAnsi="Tahoma" w:cs="Tahoma"/>
        </w:rPr>
      </w:pPr>
      <w:r w:rsidRPr="00A3169B">
        <w:rPr>
          <w:rFonts w:ascii="Tahoma" w:hAnsi="Tahoma" w:cs="Tahoma"/>
          <w:b/>
          <w:bCs/>
        </w:rPr>
        <w:lastRenderedPageBreak/>
        <w:t>úrok</w:t>
      </w:r>
      <w:r w:rsidR="00442CCB" w:rsidRPr="00A3169B">
        <w:rPr>
          <w:rFonts w:ascii="Tahoma" w:hAnsi="Tahoma" w:cs="Tahoma"/>
          <w:b/>
          <w:bCs/>
        </w:rPr>
        <w:t>y</w:t>
      </w:r>
      <w:r w:rsidRPr="00A3169B">
        <w:rPr>
          <w:rFonts w:ascii="Tahoma" w:hAnsi="Tahoma" w:cs="Tahoma"/>
          <w:b/>
          <w:bCs/>
        </w:rPr>
        <w:t xml:space="preserve"> z úvěrů</w:t>
      </w:r>
      <w:r w:rsidRPr="00A3169B">
        <w:rPr>
          <w:rFonts w:ascii="Tahoma" w:hAnsi="Tahoma" w:cs="Tahoma"/>
        </w:rPr>
        <w:t xml:space="preserve"> Evropské investiční</w:t>
      </w:r>
      <w:r w:rsidRPr="005176B4">
        <w:rPr>
          <w:rFonts w:ascii="Tahoma" w:hAnsi="Tahoma" w:cs="Tahoma"/>
        </w:rPr>
        <w:t xml:space="preserve"> banky, Československé obchodní banky a.s. a</w:t>
      </w:r>
      <w:r w:rsidR="00B12C52">
        <w:rPr>
          <w:rFonts w:ascii="Tahoma" w:hAnsi="Tahoma" w:cs="Tahoma"/>
        </w:rPr>
        <w:t> </w:t>
      </w:r>
      <w:r w:rsidRPr="005176B4">
        <w:rPr>
          <w:rFonts w:ascii="Tahoma" w:hAnsi="Tahoma" w:cs="Tahoma"/>
        </w:rPr>
        <w:t>České spořitelny a.s. v celkové výši 55 mil. Kč a poplatk</w:t>
      </w:r>
      <w:r w:rsidR="00442CCB">
        <w:rPr>
          <w:rFonts w:ascii="Tahoma" w:hAnsi="Tahoma" w:cs="Tahoma"/>
        </w:rPr>
        <w:t>y</w:t>
      </w:r>
      <w:r w:rsidRPr="005176B4">
        <w:rPr>
          <w:rFonts w:ascii="Tahoma" w:hAnsi="Tahoma" w:cs="Tahoma"/>
        </w:rPr>
        <w:t xml:space="preserve"> z bankovních účtů ve</w:t>
      </w:r>
      <w:r w:rsidR="00B12C52">
        <w:rPr>
          <w:rFonts w:ascii="Tahoma" w:hAnsi="Tahoma" w:cs="Tahoma"/>
        </w:rPr>
        <w:t> </w:t>
      </w:r>
      <w:r w:rsidRPr="005176B4">
        <w:rPr>
          <w:rFonts w:ascii="Tahoma" w:hAnsi="Tahoma" w:cs="Tahoma"/>
        </w:rPr>
        <w:t>výši 0,</w:t>
      </w:r>
      <w:r w:rsidR="00B329E8">
        <w:rPr>
          <w:rFonts w:ascii="Tahoma" w:hAnsi="Tahoma" w:cs="Tahoma"/>
        </w:rPr>
        <w:t>5</w:t>
      </w:r>
      <w:r w:rsidRPr="005176B4">
        <w:rPr>
          <w:rFonts w:ascii="Tahoma" w:hAnsi="Tahoma" w:cs="Tahoma"/>
        </w:rPr>
        <w:t xml:space="preserve"> mil. Kč,  </w:t>
      </w:r>
    </w:p>
    <w:p w:rsidR="00F24018" w:rsidRDefault="0022268A" w:rsidP="007C1E61">
      <w:pPr>
        <w:pStyle w:val="Bezmezer"/>
        <w:numPr>
          <w:ilvl w:val="0"/>
          <w:numId w:val="4"/>
        </w:numPr>
        <w:ind w:left="284" w:hanging="284"/>
      </w:pPr>
      <w:r w:rsidRPr="00454209">
        <w:t xml:space="preserve">platby daní, pojistného </w:t>
      </w:r>
      <w:r w:rsidR="00442CCB">
        <w:t xml:space="preserve">v souladu s </w:t>
      </w:r>
      <w:r w:rsidRPr="00454209">
        <w:t>uzavřen</w:t>
      </w:r>
      <w:r w:rsidR="00442CCB">
        <w:t>ou</w:t>
      </w:r>
      <w:r w:rsidRPr="00454209">
        <w:t xml:space="preserve"> smlouv</w:t>
      </w:r>
      <w:r w:rsidR="00442CCB">
        <w:t>ou</w:t>
      </w:r>
      <w:r w:rsidRPr="00454209">
        <w:t xml:space="preserve"> na pojištění nemovitého, movitého majetku, vozidel a odpovědnosti kraje a jeho organizací, </w:t>
      </w:r>
    </w:p>
    <w:p w:rsidR="00F24018" w:rsidRDefault="0022268A" w:rsidP="007C1E61">
      <w:pPr>
        <w:pStyle w:val="Bezmezer"/>
        <w:numPr>
          <w:ilvl w:val="0"/>
          <w:numId w:val="4"/>
        </w:numPr>
        <w:ind w:left="284" w:hanging="284"/>
      </w:pPr>
      <w:r w:rsidRPr="00454209">
        <w:t>výdaj</w:t>
      </w:r>
      <w:r w:rsidR="0064256C">
        <w:t>e</w:t>
      </w:r>
      <w:r w:rsidRPr="00454209">
        <w:t xml:space="preserve"> související s</w:t>
      </w:r>
      <w:r w:rsidR="0064256C">
        <w:t>e sdílenými službami (ce</w:t>
      </w:r>
      <w:r w:rsidRPr="00454209">
        <w:t>ntralizovan</w:t>
      </w:r>
      <w:r w:rsidR="0064256C">
        <w:t>é</w:t>
      </w:r>
      <w:r w:rsidRPr="00454209">
        <w:t xml:space="preserve"> nákupy</w:t>
      </w:r>
      <w:r w:rsidR="0064256C">
        <w:t>)</w:t>
      </w:r>
      <w:r w:rsidRPr="00454209">
        <w:t xml:space="preserve">, </w:t>
      </w:r>
    </w:p>
    <w:p w:rsidR="00F24018" w:rsidRPr="0064256C" w:rsidRDefault="0022268A" w:rsidP="007C1E61">
      <w:pPr>
        <w:pStyle w:val="Bezmezer"/>
        <w:numPr>
          <w:ilvl w:val="0"/>
          <w:numId w:val="4"/>
        </w:numPr>
        <w:ind w:left="284" w:hanging="284"/>
        <w:rPr>
          <w:rFonts w:cs="Tahoma"/>
          <w:szCs w:val="24"/>
        </w:rPr>
      </w:pPr>
      <w:r w:rsidRPr="00454209">
        <w:t>výdaj</w:t>
      </w:r>
      <w:r w:rsidR="0064256C">
        <w:t>e</w:t>
      </w:r>
      <w:r w:rsidRPr="00454209">
        <w:t xml:space="preserve"> související s užíváním nebytových prostor </w:t>
      </w:r>
      <w:r w:rsidR="0064256C">
        <w:t>krajského úřadu cizími subjekty,</w:t>
      </w:r>
      <w:r w:rsidRPr="00454209">
        <w:t xml:space="preserve"> </w:t>
      </w:r>
    </w:p>
    <w:p w:rsidR="0064256C" w:rsidRPr="00F24018" w:rsidRDefault="0064256C" w:rsidP="007C1E61">
      <w:pPr>
        <w:pStyle w:val="Bezmezer"/>
        <w:numPr>
          <w:ilvl w:val="0"/>
          <w:numId w:val="4"/>
        </w:numPr>
        <w:ind w:left="284" w:hanging="284"/>
        <w:rPr>
          <w:rFonts w:cs="Tahoma"/>
          <w:szCs w:val="24"/>
        </w:rPr>
      </w:pPr>
      <w:r>
        <w:t xml:space="preserve">dotaci Regionální radě </w:t>
      </w:r>
      <w:r w:rsidR="00276AD1">
        <w:t>r</w:t>
      </w:r>
      <w:r w:rsidR="006662BF">
        <w:t xml:space="preserve">egionu soudržnosti NUTS II </w:t>
      </w:r>
      <w:proofErr w:type="spellStart"/>
      <w:r>
        <w:t>Moravskoslezsko</w:t>
      </w:r>
      <w:proofErr w:type="spellEnd"/>
      <w:r w:rsidR="009369EF">
        <w:t xml:space="preserve"> ve výši </w:t>
      </w:r>
      <w:r w:rsidR="003875A9">
        <w:t>1</w:t>
      </w:r>
      <w:r w:rsidR="009369EF">
        <w:t>,</w:t>
      </w:r>
      <w:r w:rsidR="00DF0902">
        <w:t>5</w:t>
      </w:r>
      <w:r w:rsidR="00B12C52">
        <w:t> </w:t>
      </w:r>
      <w:r w:rsidR="009369EF">
        <w:t>mil. Kč</w:t>
      </w:r>
      <w:r>
        <w:t>,</w:t>
      </w:r>
    </w:p>
    <w:p w:rsidR="0022268A" w:rsidRDefault="00CF574B" w:rsidP="00B12C52">
      <w:pPr>
        <w:pStyle w:val="Bezmezer"/>
        <w:numPr>
          <w:ilvl w:val="0"/>
          <w:numId w:val="4"/>
        </w:numPr>
        <w:ind w:left="284" w:hanging="284"/>
        <w:rPr>
          <w:rFonts w:cs="Tahoma"/>
          <w:szCs w:val="24"/>
        </w:rPr>
      </w:pPr>
      <w:r w:rsidRPr="00CF574B">
        <w:rPr>
          <w:rFonts w:cs="Tahoma"/>
          <w:szCs w:val="24"/>
        </w:rPr>
        <w:t>rezervu pro řešení dopadů v restrukturalizaci postižených regi</w:t>
      </w:r>
      <w:r w:rsidR="001D0D13">
        <w:rPr>
          <w:rFonts w:cs="Tahoma"/>
          <w:szCs w:val="24"/>
        </w:rPr>
        <w:t>o</w:t>
      </w:r>
      <w:r w:rsidRPr="00CF574B">
        <w:rPr>
          <w:rFonts w:cs="Tahoma"/>
          <w:szCs w:val="24"/>
        </w:rPr>
        <w:t xml:space="preserve">nech, včetně řešení dopadů  vyplývajících ze zvýšených ekonomických nákladů při poskytování zdravotních, školských a sociálních služeb v těchto regionech </w:t>
      </w:r>
      <w:r w:rsidR="004F1FBA" w:rsidRPr="00CF574B">
        <w:rPr>
          <w:rFonts w:cs="Tahoma"/>
          <w:szCs w:val="24"/>
        </w:rPr>
        <w:t>ve výši 30 mil. Kč</w:t>
      </w:r>
      <w:r w:rsidR="00894131" w:rsidRPr="00CF574B">
        <w:rPr>
          <w:rFonts w:cs="Tahoma"/>
          <w:szCs w:val="24"/>
        </w:rPr>
        <w:t>.</w:t>
      </w:r>
    </w:p>
    <w:p w:rsidR="00B12C52" w:rsidRPr="00CF574B" w:rsidRDefault="00B12C52" w:rsidP="00B12C52">
      <w:pPr>
        <w:pStyle w:val="Bezmezer"/>
        <w:rPr>
          <w:rFonts w:cs="Tahoma"/>
          <w:szCs w:val="24"/>
        </w:rPr>
      </w:pPr>
    </w:p>
    <w:p w:rsidR="0022268A" w:rsidRPr="00A3169B" w:rsidRDefault="0022268A" w:rsidP="009400A2">
      <w:pPr>
        <w:pStyle w:val="Bezmezer"/>
        <w:rPr>
          <w:u w:val="single"/>
        </w:rPr>
      </w:pPr>
      <w:r w:rsidRPr="00A3169B">
        <w:rPr>
          <w:u w:val="single"/>
        </w:rPr>
        <w:t xml:space="preserve">Samosprávné a jiné činnosti zajišťované prostřednictvím krajského úřadu </w:t>
      </w:r>
    </w:p>
    <w:p w:rsidR="00D82A88" w:rsidRPr="00A3169B" w:rsidRDefault="00D82A88" w:rsidP="00D82A88">
      <w:pPr>
        <w:pStyle w:val="Odstavecseseznamem2"/>
        <w:ind w:left="0"/>
        <w:jc w:val="both"/>
        <w:rPr>
          <w:rFonts w:ascii="Tahoma" w:hAnsi="Tahoma" w:cs="Tahoma"/>
        </w:rPr>
      </w:pPr>
      <w:r w:rsidRPr="00A3169B">
        <w:rPr>
          <w:rFonts w:ascii="Tahoma" w:hAnsi="Tahoma" w:cs="Tahoma"/>
        </w:rPr>
        <w:t>Z celkového objemu 1.</w:t>
      </w:r>
      <w:r w:rsidR="003875A9" w:rsidRPr="00A3169B">
        <w:rPr>
          <w:rFonts w:ascii="Tahoma" w:hAnsi="Tahoma" w:cs="Tahoma"/>
        </w:rPr>
        <w:t>98</w:t>
      </w:r>
      <w:r w:rsidR="00003D5C" w:rsidRPr="00A3169B">
        <w:rPr>
          <w:rFonts w:ascii="Tahoma" w:hAnsi="Tahoma" w:cs="Tahoma"/>
        </w:rPr>
        <w:t>7</w:t>
      </w:r>
      <w:r w:rsidRPr="00A3169B">
        <w:rPr>
          <w:rFonts w:ascii="Tahoma" w:hAnsi="Tahoma" w:cs="Tahoma"/>
        </w:rPr>
        <w:t xml:space="preserve"> mil. Kč je </w:t>
      </w:r>
      <w:r w:rsidR="00DF66C3" w:rsidRPr="00A3169B">
        <w:rPr>
          <w:rFonts w:ascii="Tahoma" w:hAnsi="Tahoma" w:cs="Tahoma"/>
        </w:rPr>
        <w:t>86</w:t>
      </w:r>
      <w:r w:rsidRPr="00A3169B">
        <w:rPr>
          <w:rFonts w:ascii="Tahoma" w:hAnsi="Tahoma" w:cs="Tahoma"/>
        </w:rPr>
        <w:t xml:space="preserve"> % tvořeno tzv. závazkovými (mandatorními) výdaji ve výši 1.</w:t>
      </w:r>
      <w:r w:rsidR="00055843" w:rsidRPr="00A3169B">
        <w:rPr>
          <w:rFonts w:ascii="Tahoma" w:hAnsi="Tahoma" w:cs="Tahoma"/>
        </w:rPr>
        <w:t>7</w:t>
      </w:r>
      <w:r w:rsidR="0057491D" w:rsidRPr="00A3169B">
        <w:rPr>
          <w:rFonts w:ascii="Tahoma" w:hAnsi="Tahoma" w:cs="Tahoma"/>
        </w:rPr>
        <w:t>05</w:t>
      </w:r>
      <w:r w:rsidRPr="00A3169B">
        <w:rPr>
          <w:rFonts w:ascii="Tahoma" w:hAnsi="Tahoma" w:cs="Tahoma"/>
        </w:rPr>
        <w:t xml:space="preserve"> mil. Kč. </w:t>
      </w:r>
    </w:p>
    <w:p w:rsidR="003875A9" w:rsidRDefault="00055843" w:rsidP="003875A9">
      <w:pPr>
        <w:pStyle w:val="Bezmezer"/>
      </w:pPr>
      <w:r w:rsidRPr="00A3169B">
        <w:t>O</w:t>
      </w:r>
      <w:r w:rsidR="009400A2" w:rsidRPr="00A3169B">
        <w:t>proti roku 201</w:t>
      </w:r>
      <w:r w:rsidR="003875A9" w:rsidRPr="00A3169B">
        <w:t>5</w:t>
      </w:r>
      <w:r w:rsidR="009400A2" w:rsidRPr="00A3169B">
        <w:t xml:space="preserve"> dochází k navýšení</w:t>
      </w:r>
      <w:r w:rsidR="009400A2" w:rsidRPr="008828BD">
        <w:t xml:space="preserve"> </w:t>
      </w:r>
      <w:r w:rsidR="003875A9">
        <w:t xml:space="preserve">mandatorních výdajů </w:t>
      </w:r>
      <w:r w:rsidR="0057491D">
        <w:t>v souvislosti</w:t>
      </w:r>
      <w:r w:rsidR="00CA473D" w:rsidRPr="00CA473D">
        <w:t xml:space="preserve"> </w:t>
      </w:r>
      <w:r w:rsidR="005176B4">
        <w:t xml:space="preserve">s </w:t>
      </w:r>
      <w:r w:rsidR="00561A3C" w:rsidRPr="00CA473D">
        <w:t>udržitelnost</w:t>
      </w:r>
      <w:r w:rsidR="00CA473D" w:rsidRPr="00CA473D">
        <w:t>í</w:t>
      </w:r>
      <w:r w:rsidR="00561A3C" w:rsidRPr="00CA473D">
        <w:t xml:space="preserve"> projektů spolufinancovaných z evropských finančních zdrojů </w:t>
      </w:r>
      <w:r w:rsidR="003875A9">
        <w:t xml:space="preserve">realizovaných v rámci </w:t>
      </w:r>
      <w:r w:rsidR="003875A9" w:rsidRPr="006662BF">
        <w:t>programového období 20</w:t>
      </w:r>
      <w:r w:rsidR="003875A9">
        <w:t>07</w:t>
      </w:r>
      <w:r w:rsidR="00276AD1">
        <w:t> </w:t>
      </w:r>
      <w:r w:rsidR="00276AD1">
        <w:noBreakHyphen/>
        <w:t> </w:t>
      </w:r>
      <w:r w:rsidR="003875A9">
        <w:t>2013.</w:t>
      </w:r>
      <w:r w:rsidR="0098550F">
        <w:t xml:space="preserve"> V</w:t>
      </w:r>
      <w:r w:rsidR="0098550F" w:rsidRPr="003B0533">
        <w:rPr>
          <w:rFonts w:cs="Tahoma"/>
          <w:szCs w:val="24"/>
        </w:rPr>
        <w:t>ýdaje na dopravní obslužnost drážní ve výši 894</w:t>
      </w:r>
      <w:r w:rsidR="00276AD1">
        <w:rPr>
          <w:rFonts w:cs="Tahoma"/>
          <w:szCs w:val="24"/>
        </w:rPr>
        <w:t> </w:t>
      </w:r>
      <w:r w:rsidR="0098550F" w:rsidRPr="003B0533">
        <w:rPr>
          <w:rFonts w:cs="Tahoma"/>
          <w:szCs w:val="24"/>
        </w:rPr>
        <w:t>mil. Kč (oproti schválenému rozpočtu na rok 2015 sníženo o 7,8 mil. Kč) a výdaje na dopravní obslužnost linkovou ve výši 590 mil. Kč (oproti schválenému rozpočtu na rok 2015 sníženo o 5 mil. Kč)</w:t>
      </w:r>
      <w:r w:rsidR="0098550F">
        <w:rPr>
          <w:rFonts w:cs="Tahoma"/>
          <w:szCs w:val="24"/>
        </w:rPr>
        <w:t>.</w:t>
      </w:r>
    </w:p>
    <w:p w:rsidR="0097597F" w:rsidRPr="00A3169B" w:rsidRDefault="0097597F" w:rsidP="00906408">
      <w:pPr>
        <w:pStyle w:val="Bezmezer"/>
        <w:rPr>
          <w:b/>
        </w:rPr>
      </w:pPr>
    </w:p>
    <w:p w:rsidR="00665BB6" w:rsidRPr="00A3169B" w:rsidRDefault="0022268A" w:rsidP="00D10640">
      <w:pPr>
        <w:pStyle w:val="Bezmezer"/>
        <w:rPr>
          <w:u w:val="single"/>
        </w:rPr>
      </w:pPr>
      <w:r w:rsidRPr="00A3169B">
        <w:rPr>
          <w:u w:val="single"/>
        </w:rPr>
        <w:t>Výdaje na dotační programy</w:t>
      </w:r>
    </w:p>
    <w:p w:rsidR="0097597F" w:rsidRPr="00A3169B" w:rsidRDefault="001E3265" w:rsidP="002A6E68">
      <w:pPr>
        <w:numPr>
          <w:ilvl w:val="0"/>
          <w:numId w:val="10"/>
        </w:numPr>
        <w:spacing w:after="0" w:line="240" w:lineRule="auto"/>
        <w:ind w:left="284" w:hanging="284"/>
        <w:jc w:val="both"/>
      </w:pPr>
      <w:r w:rsidRPr="00A3169B">
        <w:rPr>
          <w:rFonts w:ascii="Tahoma" w:hAnsi="Tahoma"/>
          <w:b/>
          <w:sz w:val="24"/>
        </w:rPr>
        <w:t>výdaje na dotační programy</w:t>
      </w:r>
      <w:r w:rsidRPr="00A3169B">
        <w:rPr>
          <w:rFonts w:ascii="Tahoma" w:hAnsi="Tahoma"/>
          <w:sz w:val="24"/>
        </w:rPr>
        <w:t xml:space="preserve"> jsou zařazeny ve výši 2</w:t>
      </w:r>
      <w:r w:rsidR="003875A9" w:rsidRPr="00A3169B">
        <w:rPr>
          <w:rFonts w:ascii="Tahoma" w:hAnsi="Tahoma"/>
          <w:sz w:val="24"/>
        </w:rPr>
        <w:t>7</w:t>
      </w:r>
      <w:r w:rsidR="00003D5C" w:rsidRPr="00A3169B">
        <w:rPr>
          <w:rFonts w:ascii="Tahoma" w:hAnsi="Tahoma"/>
          <w:sz w:val="24"/>
        </w:rPr>
        <w:t>3</w:t>
      </w:r>
      <w:r w:rsidR="003875A9" w:rsidRPr="00A3169B">
        <w:rPr>
          <w:rFonts w:ascii="Tahoma" w:hAnsi="Tahoma"/>
          <w:sz w:val="24"/>
        </w:rPr>
        <w:t>,6</w:t>
      </w:r>
      <w:r w:rsidRPr="00A3169B">
        <w:rPr>
          <w:rFonts w:ascii="Tahoma" w:hAnsi="Tahoma"/>
          <w:sz w:val="24"/>
        </w:rPr>
        <w:t> mil.</w:t>
      </w:r>
      <w:r w:rsidR="00003D5C" w:rsidRPr="00A3169B">
        <w:rPr>
          <w:rFonts w:ascii="Tahoma" w:hAnsi="Tahoma"/>
          <w:sz w:val="24"/>
        </w:rPr>
        <w:t> </w:t>
      </w:r>
      <w:r w:rsidRPr="00A3169B">
        <w:rPr>
          <w:rFonts w:ascii="Tahoma" w:hAnsi="Tahoma"/>
          <w:sz w:val="24"/>
        </w:rPr>
        <w:t>Kč, což představuje nárůst oproti schválenému rozpočtu na rok 201</w:t>
      </w:r>
      <w:r w:rsidR="003875A9" w:rsidRPr="00A3169B">
        <w:rPr>
          <w:rFonts w:ascii="Tahoma" w:hAnsi="Tahoma"/>
          <w:sz w:val="24"/>
        </w:rPr>
        <w:t>5</w:t>
      </w:r>
      <w:r w:rsidRPr="00A3169B">
        <w:rPr>
          <w:rFonts w:ascii="Tahoma" w:hAnsi="Tahoma"/>
          <w:sz w:val="24"/>
        </w:rPr>
        <w:t xml:space="preserve"> o </w:t>
      </w:r>
      <w:r w:rsidR="00003D5C" w:rsidRPr="00A3169B">
        <w:rPr>
          <w:rFonts w:ascii="Tahoma" w:hAnsi="Tahoma"/>
          <w:sz w:val="24"/>
        </w:rPr>
        <w:t>19</w:t>
      </w:r>
      <w:r w:rsidRPr="00A3169B">
        <w:rPr>
          <w:rFonts w:ascii="Tahoma" w:hAnsi="Tahoma"/>
          <w:sz w:val="24"/>
        </w:rPr>
        <w:t xml:space="preserve"> %, </w:t>
      </w:r>
      <w:r w:rsidR="005506AB" w:rsidRPr="00A3169B">
        <w:rPr>
          <w:rFonts w:ascii="Tahoma" w:hAnsi="Tahoma"/>
          <w:sz w:val="24"/>
        </w:rPr>
        <w:t>v</w:t>
      </w:r>
      <w:r w:rsidR="00E45EA1" w:rsidRPr="00A3169B">
        <w:rPr>
          <w:rFonts w:ascii="Tahoma" w:hAnsi="Tahoma"/>
          <w:sz w:val="24"/>
        </w:rPr>
        <w:t>íce vi</w:t>
      </w:r>
      <w:r w:rsidR="0097597F" w:rsidRPr="00A3169B">
        <w:rPr>
          <w:rFonts w:ascii="Tahoma" w:hAnsi="Tahoma"/>
          <w:sz w:val="24"/>
        </w:rPr>
        <w:t>z</w:t>
      </w:r>
      <w:r w:rsidRPr="00A3169B">
        <w:rPr>
          <w:rFonts w:ascii="Tahoma" w:hAnsi="Tahoma"/>
          <w:sz w:val="24"/>
        </w:rPr>
        <w:t xml:space="preserve"> </w:t>
      </w:r>
      <w:hyperlink r:id="rId11" w:history="1">
        <w:r w:rsidRPr="00774FCD">
          <w:rPr>
            <w:rStyle w:val="Hypertextovodkaz"/>
            <w:rFonts w:ascii="Tahoma" w:hAnsi="Tahoma" w:cs="Tahoma"/>
            <w:sz w:val="24"/>
            <w:szCs w:val="24"/>
          </w:rPr>
          <w:t>příloha</w:t>
        </w:r>
        <w:r w:rsidR="00003D5C" w:rsidRPr="00774FCD">
          <w:rPr>
            <w:rStyle w:val="Hypertextovodkaz"/>
            <w:rFonts w:ascii="Tahoma" w:hAnsi="Tahoma" w:cs="Tahoma"/>
            <w:sz w:val="24"/>
            <w:szCs w:val="24"/>
          </w:rPr>
          <w:t xml:space="preserve"> </w:t>
        </w:r>
        <w:r w:rsidRPr="00774FCD">
          <w:rPr>
            <w:rStyle w:val="Hypertextovodkaz"/>
            <w:rFonts w:ascii="Tahoma" w:hAnsi="Tahoma" w:cs="Tahoma"/>
            <w:sz w:val="24"/>
            <w:szCs w:val="24"/>
          </w:rPr>
          <w:t xml:space="preserve">č. </w:t>
        </w:r>
        <w:r w:rsidR="00A92642" w:rsidRPr="00774FCD">
          <w:rPr>
            <w:rStyle w:val="Hypertextovodkaz"/>
            <w:rFonts w:ascii="Tahoma" w:hAnsi="Tahoma" w:cs="Tahoma"/>
            <w:sz w:val="24"/>
            <w:szCs w:val="24"/>
          </w:rPr>
          <w:t>8</w:t>
        </w:r>
      </w:hyperlink>
      <w:r w:rsidR="009730F7" w:rsidRPr="00774FCD">
        <w:rPr>
          <w:rFonts w:ascii="Tahoma" w:hAnsi="Tahoma" w:cs="Tahoma"/>
          <w:sz w:val="24"/>
          <w:szCs w:val="24"/>
        </w:rPr>
        <w:t xml:space="preserve"> </w:t>
      </w:r>
      <w:r w:rsidR="00A92642" w:rsidRPr="00774FCD">
        <w:rPr>
          <w:rFonts w:ascii="Tahoma" w:hAnsi="Tahoma" w:cs="Tahoma"/>
          <w:sz w:val="24"/>
          <w:szCs w:val="24"/>
        </w:rPr>
        <w:t>v</w:t>
      </w:r>
      <w:r w:rsidRPr="00A3169B">
        <w:rPr>
          <w:rFonts w:ascii="Tahoma" w:hAnsi="Tahoma"/>
          <w:sz w:val="24"/>
        </w:rPr>
        <w:t xml:space="preserve"> tabul</w:t>
      </w:r>
      <w:r w:rsidR="00A92642">
        <w:rPr>
          <w:rFonts w:ascii="Tahoma" w:hAnsi="Tahoma"/>
          <w:sz w:val="24"/>
        </w:rPr>
        <w:t>ce</w:t>
      </w:r>
      <w:r w:rsidRPr="00A3169B">
        <w:rPr>
          <w:rFonts w:ascii="Tahoma" w:hAnsi="Tahoma"/>
          <w:sz w:val="24"/>
        </w:rPr>
        <w:t xml:space="preserve"> </w:t>
      </w:r>
      <w:r w:rsidR="002A6E68" w:rsidRPr="00A3169B">
        <w:rPr>
          <w:rFonts w:ascii="Tahoma" w:hAnsi="Tahoma"/>
          <w:sz w:val="24"/>
        </w:rPr>
        <w:t>Přehled dotačních programů navržených k financování z</w:t>
      </w:r>
      <w:r w:rsidR="00003D5C" w:rsidRPr="00A3169B">
        <w:rPr>
          <w:rFonts w:ascii="Tahoma" w:hAnsi="Tahoma"/>
          <w:sz w:val="24"/>
        </w:rPr>
        <w:t> </w:t>
      </w:r>
      <w:r w:rsidR="002A6E68" w:rsidRPr="00A3169B">
        <w:rPr>
          <w:rFonts w:ascii="Tahoma" w:hAnsi="Tahoma"/>
          <w:sz w:val="24"/>
        </w:rPr>
        <w:t>rozpočtu na rok 201</w:t>
      </w:r>
      <w:r w:rsidR="003875A9" w:rsidRPr="00A3169B">
        <w:rPr>
          <w:rFonts w:ascii="Tahoma" w:hAnsi="Tahoma"/>
          <w:sz w:val="24"/>
        </w:rPr>
        <w:t>6</w:t>
      </w:r>
      <w:r w:rsidR="002A6E68" w:rsidRPr="00A3169B">
        <w:rPr>
          <w:rFonts w:ascii="Tahoma" w:hAnsi="Tahoma"/>
          <w:sz w:val="24"/>
        </w:rPr>
        <w:t>.</w:t>
      </w:r>
    </w:p>
    <w:p w:rsidR="002A6E68" w:rsidRPr="008634BF" w:rsidRDefault="002A6E68" w:rsidP="002A6E68">
      <w:pPr>
        <w:spacing w:after="0" w:line="240" w:lineRule="auto"/>
        <w:ind w:left="720"/>
        <w:jc w:val="both"/>
        <w:rPr>
          <w:sz w:val="24"/>
          <w:szCs w:val="24"/>
        </w:rPr>
      </w:pPr>
    </w:p>
    <w:p w:rsidR="0022268A" w:rsidRPr="00653A4F" w:rsidRDefault="0022268A" w:rsidP="00D10640">
      <w:pPr>
        <w:pStyle w:val="Bezmezer"/>
        <w:rPr>
          <w:u w:val="single"/>
        </w:rPr>
      </w:pPr>
      <w:r w:rsidRPr="00653A4F">
        <w:rPr>
          <w:u w:val="single"/>
        </w:rPr>
        <w:t>Příspěvky na provoz příspěvkovým organizacím kraje</w:t>
      </w:r>
    </w:p>
    <w:p w:rsidR="000756F3" w:rsidRDefault="00D10640" w:rsidP="000756F3">
      <w:pPr>
        <w:pStyle w:val="Bezmezer"/>
      </w:pPr>
      <w:r w:rsidRPr="00653A4F">
        <w:t xml:space="preserve">V návrhu je </w:t>
      </w:r>
      <w:r w:rsidR="003875A9">
        <w:t xml:space="preserve">zvýšení </w:t>
      </w:r>
      <w:r w:rsidR="00142DB7" w:rsidRPr="00653A4F">
        <w:t xml:space="preserve">příspěvku na provoz </w:t>
      </w:r>
      <w:r w:rsidR="003875A9">
        <w:t xml:space="preserve">ve všech odvětvích oproti </w:t>
      </w:r>
      <w:r w:rsidRPr="00653A4F">
        <w:t>schválen</w:t>
      </w:r>
      <w:r w:rsidR="003875A9">
        <w:t xml:space="preserve">ému </w:t>
      </w:r>
      <w:r w:rsidRPr="00653A4F">
        <w:t>rozpočtu na rok 201</w:t>
      </w:r>
      <w:r w:rsidR="003875A9">
        <w:t>5, v průměru se jedná o zvýšení 6 %</w:t>
      </w:r>
      <w:r w:rsidR="000756F3">
        <w:t>.</w:t>
      </w:r>
      <w:r w:rsidRPr="00653A4F">
        <w:t xml:space="preserve"> </w:t>
      </w:r>
      <w:r w:rsidR="000756F3">
        <w:t>V rámci navýšení bylo organizacím zejména zohledněno:</w:t>
      </w:r>
    </w:p>
    <w:p w:rsidR="00706DFB" w:rsidRPr="00653A4F" w:rsidRDefault="00706DFB" w:rsidP="00B12C52">
      <w:pPr>
        <w:pStyle w:val="Bezmezer"/>
        <w:numPr>
          <w:ilvl w:val="0"/>
          <w:numId w:val="6"/>
        </w:numPr>
        <w:ind w:left="284" w:hanging="284"/>
      </w:pPr>
      <w:r w:rsidRPr="00653A4F">
        <w:t>nařízení vlády</w:t>
      </w:r>
      <w:r w:rsidR="002A6E68" w:rsidRPr="00653A4F">
        <w:t xml:space="preserve"> č. 225/2014</w:t>
      </w:r>
      <w:r w:rsidR="00276AD1">
        <w:t> Sb.</w:t>
      </w:r>
      <w:r w:rsidRPr="00653A4F">
        <w:t>, kterým se mění nařízení vlády č. 564/2006 Sb., o</w:t>
      </w:r>
      <w:r w:rsidR="008828BD" w:rsidRPr="00653A4F">
        <w:t> </w:t>
      </w:r>
      <w:r w:rsidRPr="00653A4F">
        <w:t xml:space="preserve">platových poměrech zaměstnanců ve veřejných službách a správě, ve znění pozdějších předpisů a dochází k zvýšení </w:t>
      </w:r>
      <w:r w:rsidR="002A6E68" w:rsidRPr="00653A4F">
        <w:t xml:space="preserve">tarifních </w:t>
      </w:r>
      <w:r w:rsidRPr="00653A4F">
        <w:t>platů zaměstnancům o 3 %,</w:t>
      </w:r>
    </w:p>
    <w:p w:rsidR="00DD29BB" w:rsidRPr="00653A4F" w:rsidRDefault="00706DFB" w:rsidP="007C1E61">
      <w:pPr>
        <w:pStyle w:val="Bezmezer"/>
        <w:numPr>
          <w:ilvl w:val="0"/>
          <w:numId w:val="6"/>
        </w:numPr>
        <w:ind w:left="284" w:hanging="284"/>
      </w:pPr>
      <w:r w:rsidRPr="00653A4F">
        <w:t>zajištění udržitelnosti projektů</w:t>
      </w:r>
      <w:r w:rsidR="000756F3">
        <w:t xml:space="preserve"> realizovaných z </w:t>
      </w:r>
      <w:r w:rsidR="000756F3" w:rsidRPr="006662BF">
        <w:t>programového období 20</w:t>
      </w:r>
      <w:r w:rsidR="000756F3">
        <w:t>07</w:t>
      </w:r>
      <w:r w:rsidR="00276AD1">
        <w:t> </w:t>
      </w:r>
      <w:r w:rsidR="00276AD1">
        <w:noBreakHyphen/>
        <w:t> </w:t>
      </w:r>
      <w:r w:rsidR="000756F3">
        <w:t>2013</w:t>
      </w:r>
      <w:r w:rsidR="001F76C8">
        <w:t>.</w:t>
      </w:r>
    </w:p>
    <w:p w:rsidR="0022268A" w:rsidRPr="00A3169B" w:rsidRDefault="0022268A" w:rsidP="00906408">
      <w:pPr>
        <w:pStyle w:val="Bezmezer"/>
      </w:pPr>
      <w:r w:rsidRPr="00653A4F">
        <w:t xml:space="preserve">Obdobně jako v posledních letech je zařazena </w:t>
      </w:r>
      <w:r w:rsidRPr="00653A4F">
        <w:rPr>
          <w:u w:val="single"/>
        </w:rPr>
        <w:t>návratná finanční výpomoc</w:t>
      </w:r>
      <w:r w:rsidRPr="00653A4F">
        <w:t xml:space="preserve"> pro příspěvkové organizace v </w:t>
      </w:r>
      <w:r w:rsidRPr="00A3169B">
        <w:t>odvětví soc</w:t>
      </w:r>
      <w:r w:rsidR="00276AD1">
        <w:t>iálních</w:t>
      </w:r>
      <w:r w:rsidRPr="00A3169B">
        <w:t xml:space="preserve"> věcí </w:t>
      </w:r>
      <w:r w:rsidR="00F20F58" w:rsidRPr="00A3169B">
        <w:t xml:space="preserve">ve výši 70 mil. Kč </w:t>
      </w:r>
      <w:r w:rsidRPr="00A3169B">
        <w:t>pro případ, že by došlo ke zpoždění plateb ze strany Ministerstva práce a sociálních věcí kraji.</w:t>
      </w:r>
    </w:p>
    <w:p w:rsidR="0022268A" w:rsidRPr="00A3169B" w:rsidRDefault="0022268A" w:rsidP="00906408">
      <w:pPr>
        <w:pStyle w:val="Bezmezer"/>
        <w:rPr>
          <w:color w:val="FF0000"/>
        </w:rPr>
      </w:pPr>
    </w:p>
    <w:p w:rsidR="0022268A" w:rsidRPr="00A3169B" w:rsidRDefault="0022268A" w:rsidP="001214DC">
      <w:pPr>
        <w:pStyle w:val="Bezmezer"/>
        <w:rPr>
          <w:u w:val="single"/>
        </w:rPr>
      </w:pPr>
      <w:r w:rsidRPr="00A3169B">
        <w:rPr>
          <w:u w:val="single"/>
        </w:rPr>
        <w:t>Reprodukce majetku kraje</w:t>
      </w:r>
      <w:r w:rsidR="001F76C8" w:rsidRPr="00A3169B">
        <w:rPr>
          <w:u w:val="single"/>
        </w:rPr>
        <w:t xml:space="preserve"> (vyjma akcí spolufin</w:t>
      </w:r>
      <w:r w:rsidR="00003D5C" w:rsidRPr="00A3169B">
        <w:rPr>
          <w:u w:val="single"/>
        </w:rPr>
        <w:t>ancovaných</w:t>
      </w:r>
      <w:r w:rsidR="001F76C8" w:rsidRPr="00A3169B">
        <w:rPr>
          <w:u w:val="single"/>
        </w:rPr>
        <w:t xml:space="preserve"> z EU)</w:t>
      </w:r>
      <w:r w:rsidRPr="00A3169B">
        <w:rPr>
          <w:u w:val="single"/>
        </w:rPr>
        <w:t xml:space="preserve"> </w:t>
      </w:r>
    </w:p>
    <w:p w:rsidR="00230EAF" w:rsidRDefault="001214DC" w:rsidP="001214DC">
      <w:pPr>
        <w:pStyle w:val="Bezmezer"/>
        <w:rPr>
          <w:rFonts w:cs="Tahoma"/>
          <w:szCs w:val="24"/>
        </w:rPr>
      </w:pPr>
      <w:r w:rsidRPr="00A3169B">
        <w:t>V </w:t>
      </w:r>
      <w:r w:rsidRPr="00A3169B">
        <w:rPr>
          <w:rFonts w:cs="Tahoma"/>
        </w:rPr>
        <w:t xml:space="preserve">návrhu </w:t>
      </w:r>
      <w:r w:rsidR="002A6E68" w:rsidRPr="00A3169B">
        <w:rPr>
          <w:rFonts w:cs="Tahoma"/>
        </w:rPr>
        <w:t xml:space="preserve">jsou </w:t>
      </w:r>
      <w:r w:rsidRPr="00A3169B">
        <w:t>zařa</w:t>
      </w:r>
      <w:r w:rsidR="002A6E68" w:rsidRPr="00A3169B">
        <w:t xml:space="preserve">zeny </w:t>
      </w:r>
      <w:r w:rsidRPr="00A3169B">
        <w:t>akce</w:t>
      </w:r>
      <w:r w:rsidR="0057629C" w:rsidRPr="00A3169B">
        <w:t xml:space="preserve"> ve výši </w:t>
      </w:r>
      <w:r w:rsidR="0098550F" w:rsidRPr="00A3169B">
        <w:t>4</w:t>
      </w:r>
      <w:r w:rsidR="00003D5C" w:rsidRPr="00A3169B">
        <w:t>41</w:t>
      </w:r>
      <w:r w:rsidR="0098550F" w:rsidRPr="00A3169B">
        <w:t xml:space="preserve"> </w:t>
      </w:r>
      <w:r w:rsidR="0057629C" w:rsidRPr="00A3169B">
        <w:t>mil. Kč</w:t>
      </w:r>
      <w:r w:rsidR="00EE651F" w:rsidRPr="00A3169B">
        <w:t xml:space="preserve">. </w:t>
      </w:r>
      <w:r w:rsidR="0098550F" w:rsidRPr="00A3169B">
        <w:t>Oproti minulým letům, kdy byla reprodukce majetku kraje financována z projektů spolufin</w:t>
      </w:r>
      <w:r w:rsidR="00003D5C" w:rsidRPr="00A3169B">
        <w:t>ancovaných</w:t>
      </w:r>
      <w:r w:rsidR="0098550F" w:rsidRPr="00A3169B">
        <w:t xml:space="preserve"> z</w:t>
      </w:r>
      <w:r w:rsidR="00003D5C" w:rsidRPr="00A3169B">
        <w:t> </w:t>
      </w:r>
      <w:r w:rsidR="0098550F" w:rsidRPr="00A3169B">
        <w:t>programového období 2007</w:t>
      </w:r>
      <w:r w:rsidR="00276AD1">
        <w:t> </w:t>
      </w:r>
      <w:r w:rsidR="00276AD1">
        <w:noBreakHyphen/>
        <w:t> </w:t>
      </w:r>
      <w:r w:rsidR="0098550F" w:rsidRPr="00A3169B">
        <w:t>2013, dochází</w:t>
      </w:r>
      <w:r w:rsidR="00276AD1">
        <w:t xml:space="preserve"> k</w:t>
      </w:r>
      <w:r w:rsidR="0098550F" w:rsidRPr="00A3169B">
        <w:t xml:space="preserve"> jejímu k výraznému posílení. </w:t>
      </w:r>
      <w:r w:rsidR="00EE651F" w:rsidRPr="00A3169B">
        <w:t>J</w:t>
      </w:r>
      <w:r w:rsidR="00EE651F" w:rsidRPr="00A3169B">
        <w:rPr>
          <w:rFonts w:cs="Tahoma"/>
        </w:rPr>
        <w:t>e počítáno s dofinancováním závazků již sc</w:t>
      </w:r>
      <w:r w:rsidR="001F76C8" w:rsidRPr="00A3169B">
        <w:rPr>
          <w:rFonts w:cs="Tahoma"/>
        </w:rPr>
        <w:t>hválených zastupitelstvem</w:t>
      </w:r>
      <w:r w:rsidR="001F76C8">
        <w:rPr>
          <w:rFonts w:cs="Tahoma"/>
        </w:rPr>
        <w:t xml:space="preserve"> kraje. </w:t>
      </w:r>
      <w:r w:rsidR="0022268A" w:rsidRPr="00653A4F">
        <w:t xml:space="preserve">V případech vzniku havárií na majetku kraje bude </w:t>
      </w:r>
      <w:r w:rsidR="00683DD1" w:rsidRPr="00653A4F">
        <w:t>m</w:t>
      </w:r>
      <w:r w:rsidR="0022268A" w:rsidRPr="00653A4F">
        <w:t xml:space="preserve">ožné využít Zajišťovací fond </w:t>
      </w:r>
      <w:r w:rsidR="0022268A" w:rsidRPr="00A770C9">
        <w:t>kraje</w:t>
      </w:r>
      <w:r w:rsidR="00DF66C3" w:rsidRPr="00A770C9">
        <w:t xml:space="preserve"> (k 3</w:t>
      </w:r>
      <w:r w:rsidR="00E17E81" w:rsidRPr="00A770C9">
        <w:t>0</w:t>
      </w:r>
      <w:r w:rsidR="00DF66C3" w:rsidRPr="00A770C9">
        <w:t>.</w:t>
      </w:r>
      <w:r w:rsidR="00003D5C" w:rsidRPr="00A770C9">
        <w:t> </w:t>
      </w:r>
      <w:r w:rsidR="00DF66C3" w:rsidRPr="00A770C9">
        <w:t>1</w:t>
      </w:r>
      <w:r w:rsidR="00E17E81" w:rsidRPr="00A770C9">
        <w:t>1</w:t>
      </w:r>
      <w:r w:rsidR="00DF66C3" w:rsidRPr="00A770C9">
        <w:t>.</w:t>
      </w:r>
      <w:r w:rsidR="00003D5C" w:rsidRPr="00A770C9">
        <w:t> </w:t>
      </w:r>
      <w:r w:rsidR="00DF66C3" w:rsidRPr="00A770C9">
        <w:t>2015 je zůstatek fondu 101,</w:t>
      </w:r>
      <w:r w:rsidR="00E17E81" w:rsidRPr="00A770C9">
        <w:t>4</w:t>
      </w:r>
      <w:r w:rsidR="00DF66C3" w:rsidRPr="00A770C9">
        <w:t xml:space="preserve"> mil. Kč).</w:t>
      </w:r>
      <w:r w:rsidR="008B6B44" w:rsidRPr="00A770C9">
        <w:t xml:space="preserve"> </w:t>
      </w:r>
      <w:r w:rsidR="002A6E68" w:rsidRPr="00A770C9">
        <w:rPr>
          <w:rFonts w:cs="Tahoma"/>
          <w:szCs w:val="24"/>
        </w:rPr>
        <w:t>Přehled</w:t>
      </w:r>
      <w:r w:rsidR="002A6E68" w:rsidRPr="00653A4F">
        <w:rPr>
          <w:rFonts w:cs="Tahoma"/>
          <w:szCs w:val="24"/>
        </w:rPr>
        <w:t xml:space="preserve"> akcí reprodukce </w:t>
      </w:r>
      <w:r w:rsidR="002A6E68" w:rsidRPr="00653A4F">
        <w:rPr>
          <w:rFonts w:cs="Tahoma"/>
          <w:szCs w:val="24"/>
        </w:rPr>
        <w:lastRenderedPageBreak/>
        <w:t>majetku kraje včetně závazků kraje vyvolaných pro rok 201</w:t>
      </w:r>
      <w:r w:rsidR="0098550F">
        <w:rPr>
          <w:rFonts w:cs="Tahoma"/>
          <w:szCs w:val="24"/>
        </w:rPr>
        <w:t>7</w:t>
      </w:r>
      <w:r w:rsidR="002A6E68" w:rsidRPr="00653A4F">
        <w:rPr>
          <w:rFonts w:cs="Tahoma"/>
          <w:szCs w:val="24"/>
        </w:rPr>
        <w:t xml:space="preserve"> a další léta </w:t>
      </w:r>
      <w:r w:rsidR="00230EAF" w:rsidRPr="00653A4F">
        <w:rPr>
          <w:rFonts w:cs="Tahoma"/>
          <w:szCs w:val="24"/>
        </w:rPr>
        <w:t>(vyjma akcí spolufinancovaných z EU)</w:t>
      </w:r>
      <w:r w:rsidR="0057629C" w:rsidRPr="00653A4F">
        <w:rPr>
          <w:rFonts w:cs="Tahoma"/>
          <w:szCs w:val="24"/>
        </w:rPr>
        <w:t xml:space="preserve"> je uveden</w:t>
      </w:r>
      <w:r w:rsidR="00EE651F" w:rsidRPr="00653A4F">
        <w:rPr>
          <w:rFonts w:cs="Tahoma"/>
          <w:szCs w:val="24"/>
        </w:rPr>
        <w:t xml:space="preserve"> </w:t>
      </w:r>
      <w:r w:rsidR="00EE651F" w:rsidRPr="00190B0E">
        <w:rPr>
          <w:rFonts w:cs="Tahoma"/>
          <w:szCs w:val="24"/>
        </w:rPr>
        <w:t xml:space="preserve">v </w:t>
      </w:r>
      <w:hyperlink r:id="rId12" w:history="1">
        <w:r w:rsidR="00EE651F" w:rsidRPr="00774FCD">
          <w:rPr>
            <w:rStyle w:val="Hypertextovodkaz"/>
            <w:rFonts w:cs="Tahoma"/>
            <w:szCs w:val="24"/>
          </w:rPr>
          <w:t xml:space="preserve">příloze č. </w:t>
        </w:r>
        <w:r w:rsidR="00A92642" w:rsidRPr="00774FCD">
          <w:rPr>
            <w:rStyle w:val="Hypertextovodkaz"/>
            <w:rFonts w:cs="Tahoma"/>
            <w:szCs w:val="24"/>
          </w:rPr>
          <w:t>4</w:t>
        </w:r>
      </w:hyperlink>
      <w:r w:rsidR="009730F7" w:rsidRPr="00774FCD">
        <w:rPr>
          <w:rFonts w:cs="Tahoma"/>
          <w:szCs w:val="24"/>
        </w:rPr>
        <w:t>.</w:t>
      </w:r>
    </w:p>
    <w:p w:rsidR="00C26910" w:rsidRDefault="00C26910" w:rsidP="0078736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B6B44" w:rsidRPr="001F76C8" w:rsidRDefault="00862419" w:rsidP="001214DC">
      <w:pPr>
        <w:pStyle w:val="Bezmezer"/>
        <w:rPr>
          <w:u w:val="single"/>
        </w:rPr>
      </w:pPr>
      <w:r w:rsidRPr="001F76C8">
        <w:rPr>
          <w:u w:val="single"/>
        </w:rPr>
        <w:t>Průmyslová zóna Nad Barborou</w:t>
      </w:r>
    </w:p>
    <w:p w:rsidR="00E30B72" w:rsidRPr="001F76C8" w:rsidRDefault="00E30B72" w:rsidP="00E30B72">
      <w:pPr>
        <w:pStyle w:val="Bezmezer"/>
        <w:rPr>
          <w:rFonts w:cs="Tahoma"/>
          <w:szCs w:val="24"/>
        </w:rPr>
      </w:pPr>
      <w:r w:rsidRPr="001F76C8">
        <w:rPr>
          <w:rFonts w:cs="Tahoma"/>
          <w:szCs w:val="24"/>
        </w:rPr>
        <w:t>Výdaje související s vybudování nové průmyslové zóny v Moravskoslezském kraji v lokalitě Nad Barborou jsou plánovány v celkovém předpokládaném objemu 1.254 mil. Kč</w:t>
      </w:r>
      <w:r w:rsidR="00587A9C">
        <w:rPr>
          <w:rFonts w:cs="Tahoma"/>
          <w:szCs w:val="24"/>
        </w:rPr>
        <w:t>,</w:t>
      </w:r>
      <w:r w:rsidRPr="001F76C8">
        <w:rPr>
          <w:rFonts w:cs="Tahoma"/>
          <w:szCs w:val="24"/>
        </w:rPr>
        <w:t xml:space="preserve"> </w:t>
      </w:r>
      <w:r w:rsidR="00587A9C">
        <w:rPr>
          <w:rFonts w:cs="Tahoma"/>
          <w:szCs w:val="24"/>
        </w:rPr>
        <w:t>t</w:t>
      </w:r>
      <w:r w:rsidRPr="001F76C8">
        <w:rPr>
          <w:rFonts w:cs="Tahoma"/>
          <w:szCs w:val="24"/>
        </w:rPr>
        <w:t>ermín realizace akce</w:t>
      </w:r>
      <w:r w:rsidR="00587A9C">
        <w:rPr>
          <w:rFonts w:cs="Tahoma"/>
          <w:szCs w:val="24"/>
        </w:rPr>
        <w:t xml:space="preserve"> </w:t>
      </w:r>
      <w:r w:rsidRPr="001F76C8">
        <w:rPr>
          <w:rFonts w:cs="Tahoma"/>
          <w:szCs w:val="24"/>
        </w:rPr>
        <w:t xml:space="preserve">do 31. 12. 2018. </w:t>
      </w:r>
    </w:p>
    <w:p w:rsidR="00E30B72" w:rsidRPr="001F76C8" w:rsidRDefault="00E30B72" w:rsidP="00E30B72">
      <w:pPr>
        <w:pStyle w:val="Bezmezer"/>
        <w:rPr>
          <w:rFonts w:cs="Tahoma"/>
          <w:szCs w:val="24"/>
        </w:rPr>
      </w:pPr>
    </w:p>
    <w:p w:rsidR="00E30B72" w:rsidRPr="00A3169B" w:rsidRDefault="00E30B72" w:rsidP="00E30B72">
      <w:pPr>
        <w:pStyle w:val="Bezmezer"/>
        <w:rPr>
          <w:rFonts w:cs="Tahoma"/>
          <w:szCs w:val="24"/>
        </w:rPr>
      </w:pPr>
      <w:r w:rsidRPr="00A3169B">
        <w:rPr>
          <w:rFonts w:cs="Tahoma"/>
          <w:szCs w:val="24"/>
        </w:rPr>
        <w:t xml:space="preserve">Tab. Předpokládané čerpání výdajů v letech: </w:t>
      </w:r>
    </w:p>
    <w:tbl>
      <w:tblPr>
        <w:tblW w:w="6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1F76C8" w:rsidRPr="00A3169B" w:rsidTr="00153A9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72" w:rsidRPr="00A3169B" w:rsidRDefault="00E30B72" w:rsidP="00E05127">
            <w:pPr>
              <w:pStyle w:val="Bezmezer"/>
              <w:jc w:val="left"/>
              <w:rPr>
                <w:rFonts w:eastAsia="Times New Roman" w:cs="Tahoma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72" w:rsidRPr="00A3169B" w:rsidRDefault="00E30B72" w:rsidP="00153A9B">
            <w:pPr>
              <w:pStyle w:val="Bezmezer"/>
              <w:jc w:val="center"/>
              <w:rPr>
                <w:rFonts w:eastAsia="Times New Roman" w:cs="Tahoma"/>
                <w:szCs w:val="24"/>
                <w:lang w:eastAsia="cs-CZ"/>
              </w:rPr>
            </w:pPr>
            <w:r w:rsidRPr="00A3169B">
              <w:rPr>
                <w:rFonts w:eastAsia="Times New Roman" w:cs="Tahoma"/>
                <w:szCs w:val="24"/>
                <w:lang w:eastAsia="cs-CZ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72" w:rsidRPr="00A3169B" w:rsidRDefault="00E30B72" w:rsidP="00153A9B">
            <w:pPr>
              <w:pStyle w:val="Bezmezer"/>
              <w:jc w:val="center"/>
              <w:rPr>
                <w:rFonts w:eastAsia="Times New Roman" w:cs="Tahoma"/>
                <w:szCs w:val="24"/>
                <w:lang w:eastAsia="cs-CZ"/>
              </w:rPr>
            </w:pPr>
            <w:r w:rsidRPr="00A3169B">
              <w:rPr>
                <w:rFonts w:eastAsia="Times New Roman" w:cs="Tahoma"/>
                <w:szCs w:val="24"/>
                <w:lang w:eastAsia="cs-CZ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72" w:rsidRPr="00A3169B" w:rsidRDefault="00E30B72" w:rsidP="00153A9B">
            <w:pPr>
              <w:pStyle w:val="Bezmezer"/>
              <w:jc w:val="center"/>
              <w:rPr>
                <w:rFonts w:eastAsia="Times New Roman" w:cs="Tahoma"/>
                <w:szCs w:val="24"/>
                <w:lang w:eastAsia="cs-CZ"/>
              </w:rPr>
            </w:pPr>
            <w:r w:rsidRPr="00A3169B">
              <w:rPr>
                <w:rFonts w:eastAsia="Times New Roman" w:cs="Tahoma"/>
                <w:szCs w:val="24"/>
                <w:lang w:eastAsia="cs-CZ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72" w:rsidRPr="00A3169B" w:rsidRDefault="00E30B72" w:rsidP="00153A9B">
            <w:pPr>
              <w:pStyle w:val="Bezmezer"/>
              <w:jc w:val="center"/>
              <w:rPr>
                <w:rFonts w:eastAsia="Times New Roman" w:cs="Tahoma"/>
                <w:szCs w:val="24"/>
                <w:lang w:eastAsia="cs-CZ"/>
              </w:rPr>
            </w:pPr>
            <w:r w:rsidRPr="00A3169B">
              <w:rPr>
                <w:rFonts w:eastAsia="Times New Roman" w:cs="Tahoma"/>
                <w:szCs w:val="24"/>
                <w:lang w:eastAsia="cs-CZ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72" w:rsidRPr="00A3169B" w:rsidRDefault="00E30B72" w:rsidP="00153A9B">
            <w:pPr>
              <w:pStyle w:val="Bezmezer"/>
              <w:jc w:val="center"/>
              <w:rPr>
                <w:rFonts w:eastAsia="Times New Roman" w:cs="Tahoma"/>
                <w:szCs w:val="24"/>
                <w:lang w:eastAsia="cs-CZ"/>
              </w:rPr>
            </w:pPr>
            <w:r w:rsidRPr="00A3169B">
              <w:rPr>
                <w:rFonts w:eastAsia="Times New Roman" w:cs="Tahoma"/>
                <w:szCs w:val="24"/>
                <w:lang w:eastAsia="cs-CZ"/>
              </w:rPr>
              <w:t>2018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72" w:rsidRPr="00A3169B" w:rsidRDefault="00E30B72" w:rsidP="00153A9B">
            <w:pPr>
              <w:pStyle w:val="Bezmezer"/>
              <w:jc w:val="center"/>
              <w:rPr>
                <w:rFonts w:eastAsia="Times New Roman" w:cs="Tahoma"/>
                <w:szCs w:val="24"/>
                <w:lang w:eastAsia="cs-CZ"/>
              </w:rPr>
            </w:pPr>
            <w:r w:rsidRPr="00A3169B">
              <w:rPr>
                <w:rFonts w:eastAsia="Times New Roman" w:cs="Tahoma"/>
                <w:szCs w:val="24"/>
                <w:lang w:eastAsia="cs-CZ"/>
              </w:rPr>
              <w:t>celkem</w:t>
            </w:r>
          </w:p>
        </w:tc>
      </w:tr>
      <w:tr w:rsidR="001F76C8" w:rsidRPr="00A3169B" w:rsidTr="00153A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2" w:rsidRPr="00A3169B" w:rsidRDefault="00E30B72" w:rsidP="00153A9B">
            <w:pPr>
              <w:pStyle w:val="Bezmezer"/>
              <w:rPr>
                <w:rFonts w:eastAsia="Times New Roman" w:cs="Tahoma"/>
                <w:szCs w:val="24"/>
                <w:lang w:eastAsia="cs-CZ"/>
              </w:rPr>
            </w:pPr>
            <w:r w:rsidRPr="00A3169B">
              <w:rPr>
                <w:rFonts w:eastAsia="Times New Roman" w:cs="Tahoma"/>
                <w:szCs w:val="24"/>
                <w:lang w:eastAsia="cs-CZ"/>
              </w:rPr>
              <w:t>kraj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2" w:rsidRPr="00A3169B" w:rsidRDefault="00E30B72" w:rsidP="00153A9B">
            <w:pPr>
              <w:pStyle w:val="Bezmezer"/>
              <w:jc w:val="right"/>
              <w:rPr>
                <w:rFonts w:eastAsia="Times New Roman" w:cs="Tahoma"/>
                <w:szCs w:val="24"/>
                <w:lang w:eastAsia="cs-CZ"/>
              </w:rPr>
            </w:pPr>
            <w:r w:rsidRPr="00A3169B">
              <w:rPr>
                <w:rFonts w:eastAsia="Times New Roman" w:cs="Tahoma"/>
                <w:szCs w:val="24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2" w:rsidRPr="00A3169B" w:rsidRDefault="00E30B72" w:rsidP="00153A9B">
            <w:pPr>
              <w:pStyle w:val="Bezmezer"/>
              <w:jc w:val="right"/>
              <w:rPr>
                <w:rFonts w:eastAsia="Times New Roman" w:cs="Tahoma"/>
                <w:szCs w:val="24"/>
                <w:lang w:eastAsia="cs-CZ"/>
              </w:rPr>
            </w:pPr>
            <w:r w:rsidRPr="00A3169B">
              <w:rPr>
                <w:rFonts w:eastAsia="Times New Roman" w:cs="Tahoma"/>
                <w:szCs w:val="24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0B72" w:rsidRPr="00A3169B" w:rsidRDefault="004A1607" w:rsidP="004A1607">
            <w:pPr>
              <w:pStyle w:val="Bezmezer"/>
              <w:jc w:val="right"/>
              <w:rPr>
                <w:rFonts w:eastAsia="Times New Roman" w:cs="Tahoma"/>
                <w:szCs w:val="24"/>
                <w:lang w:eastAsia="cs-CZ"/>
              </w:rPr>
            </w:pPr>
            <w:r>
              <w:rPr>
                <w:rFonts w:eastAsia="Times New Roman" w:cs="Tahoma"/>
                <w:szCs w:val="24"/>
                <w:lang w:eastAsia="cs-CZ"/>
              </w:rPr>
              <w:t>258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2" w:rsidRPr="00A3169B" w:rsidRDefault="004A1607" w:rsidP="004A1607">
            <w:pPr>
              <w:pStyle w:val="Bezmezer"/>
              <w:jc w:val="right"/>
              <w:rPr>
                <w:rFonts w:eastAsia="Times New Roman" w:cs="Tahoma"/>
                <w:szCs w:val="24"/>
                <w:lang w:eastAsia="cs-CZ"/>
              </w:rPr>
            </w:pPr>
            <w:r>
              <w:rPr>
                <w:rFonts w:eastAsia="Times New Roman" w:cs="Tahoma"/>
                <w:szCs w:val="24"/>
                <w:lang w:eastAsia="cs-CZ"/>
              </w:rPr>
              <w:t>289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0B72" w:rsidRPr="00A3169B" w:rsidRDefault="004A1607" w:rsidP="00153A9B">
            <w:pPr>
              <w:pStyle w:val="Bezmezer"/>
              <w:jc w:val="right"/>
              <w:rPr>
                <w:rFonts w:eastAsia="Times New Roman" w:cs="Tahoma"/>
                <w:szCs w:val="24"/>
                <w:lang w:eastAsia="cs-CZ"/>
              </w:rPr>
            </w:pPr>
            <w:r>
              <w:rPr>
                <w:rFonts w:eastAsia="Times New Roman" w:cs="Tahoma"/>
                <w:szCs w:val="24"/>
                <w:lang w:eastAsia="cs-CZ"/>
              </w:rPr>
              <w:t>3</w:t>
            </w:r>
            <w:r w:rsidR="00E30B72" w:rsidRPr="00A3169B">
              <w:rPr>
                <w:rFonts w:eastAsia="Times New Roman" w:cs="Tahoma"/>
                <w:szCs w:val="24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2" w:rsidRPr="00A3169B" w:rsidRDefault="00E30B72" w:rsidP="00153A9B">
            <w:pPr>
              <w:pStyle w:val="Bezmezer"/>
              <w:jc w:val="right"/>
              <w:rPr>
                <w:rFonts w:eastAsia="Times New Roman" w:cs="Tahoma"/>
                <w:szCs w:val="24"/>
                <w:lang w:eastAsia="cs-CZ"/>
              </w:rPr>
            </w:pPr>
            <w:r w:rsidRPr="00A3169B">
              <w:rPr>
                <w:rFonts w:eastAsia="Times New Roman" w:cs="Tahoma"/>
                <w:szCs w:val="24"/>
                <w:lang w:eastAsia="cs-CZ"/>
              </w:rPr>
              <w:t>621</w:t>
            </w:r>
          </w:p>
        </w:tc>
      </w:tr>
      <w:tr w:rsidR="00E30B72" w:rsidRPr="00A3169B" w:rsidTr="00153A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2" w:rsidRPr="00A3169B" w:rsidRDefault="00E30B72" w:rsidP="00153A9B">
            <w:pPr>
              <w:pStyle w:val="Bezmezer"/>
              <w:rPr>
                <w:rFonts w:eastAsia="Times New Roman" w:cs="Tahoma"/>
                <w:szCs w:val="24"/>
                <w:lang w:eastAsia="cs-CZ"/>
              </w:rPr>
            </w:pPr>
            <w:r w:rsidRPr="00A3169B">
              <w:rPr>
                <w:rFonts w:eastAsia="Times New Roman" w:cs="Tahoma"/>
                <w:szCs w:val="24"/>
                <w:lang w:eastAsia="cs-CZ"/>
              </w:rPr>
              <w:t>stát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2" w:rsidRPr="00A3169B" w:rsidRDefault="00E30B72" w:rsidP="00153A9B">
            <w:pPr>
              <w:pStyle w:val="Bezmezer"/>
              <w:jc w:val="right"/>
              <w:rPr>
                <w:rFonts w:eastAsia="Times New Roman" w:cs="Tahoma"/>
                <w:szCs w:val="24"/>
                <w:lang w:eastAsia="cs-CZ"/>
              </w:rPr>
            </w:pPr>
            <w:r w:rsidRPr="00A3169B">
              <w:rPr>
                <w:rFonts w:eastAsia="Times New Roman" w:cs="Tahoma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2" w:rsidRPr="00A3169B" w:rsidRDefault="00E30B72" w:rsidP="00153A9B">
            <w:pPr>
              <w:pStyle w:val="Bezmezer"/>
              <w:jc w:val="right"/>
              <w:rPr>
                <w:rFonts w:eastAsia="Times New Roman" w:cs="Tahoma"/>
                <w:szCs w:val="24"/>
                <w:lang w:eastAsia="cs-CZ"/>
              </w:rPr>
            </w:pPr>
            <w:r w:rsidRPr="00A3169B">
              <w:rPr>
                <w:rFonts w:eastAsia="Times New Roman" w:cs="Tahoma"/>
                <w:szCs w:val="24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0B72" w:rsidRPr="00A3169B" w:rsidRDefault="00E30B72" w:rsidP="00153A9B">
            <w:pPr>
              <w:pStyle w:val="Bezmezer"/>
              <w:jc w:val="right"/>
              <w:rPr>
                <w:rFonts w:eastAsia="Times New Roman" w:cs="Tahoma"/>
                <w:szCs w:val="24"/>
                <w:lang w:eastAsia="cs-CZ"/>
              </w:rPr>
            </w:pPr>
            <w:r w:rsidRPr="00A3169B">
              <w:rPr>
                <w:rFonts w:eastAsia="Times New Roman" w:cs="Tahoma"/>
                <w:szCs w:val="24"/>
                <w:lang w:eastAsia="cs-CZ"/>
              </w:rPr>
              <w:t>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2" w:rsidRPr="00A3169B" w:rsidRDefault="00E30B72" w:rsidP="00153A9B">
            <w:pPr>
              <w:pStyle w:val="Bezmezer"/>
              <w:jc w:val="right"/>
              <w:rPr>
                <w:rFonts w:eastAsia="Times New Roman" w:cs="Tahoma"/>
                <w:szCs w:val="24"/>
                <w:lang w:eastAsia="cs-CZ"/>
              </w:rPr>
            </w:pPr>
            <w:r w:rsidRPr="00A3169B">
              <w:rPr>
                <w:rFonts w:eastAsia="Times New Roman" w:cs="Tahoma"/>
                <w:szCs w:val="24"/>
                <w:lang w:eastAsia="cs-CZ"/>
              </w:rPr>
              <w:t>465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0B72" w:rsidRPr="00A3169B" w:rsidRDefault="00E30B72" w:rsidP="00153A9B">
            <w:pPr>
              <w:pStyle w:val="Bezmezer"/>
              <w:jc w:val="right"/>
              <w:rPr>
                <w:rFonts w:eastAsia="Times New Roman" w:cs="Tahoma"/>
                <w:szCs w:val="24"/>
                <w:lang w:eastAsia="cs-CZ"/>
              </w:rPr>
            </w:pPr>
            <w:r w:rsidRPr="00A3169B">
              <w:rPr>
                <w:rFonts w:eastAsia="Times New Roman" w:cs="Tahoma"/>
                <w:szCs w:val="24"/>
                <w:lang w:eastAsia="cs-CZ"/>
              </w:rPr>
              <w:t>141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2" w:rsidRPr="00A3169B" w:rsidRDefault="00E30B72" w:rsidP="00153A9B">
            <w:pPr>
              <w:pStyle w:val="Bezmezer"/>
              <w:jc w:val="right"/>
              <w:rPr>
                <w:rFonts w:eastAsia="Times New Roman" w:cs="Tahoma"/>
                <w:szCs w:val="24"/>
                <w:lang w:eastAsia="cs-CZ"/>
              </w:rPr>
            </w:pPr>
            <w:r w:rsidRPr="00A3169B">
              <w:rPr>
                <w:rFonts w:eastAsia="Times New Roman" w:cs="Tahoma"/>
                <w:szCs w:val="24"/>
                <w:lang w:eastAsia="cs-CZ"/>
              </w:rPr>
              <w:t>633</w:t>
            </w:r>
          </w:p>
        </w:tc>
      </w:tr>
    </w:tbl>
    <w:p w:rsidR="00E30B72" w:rsidRPr="00A3169B" w:rsidRDefault="00E30B72" w:rsidP="00E30B72">
      <w:pPr>
        <w:pStyle w:val="Bezmezer"/>
        <w:rPr>
          <w:rFonts w:cs="Tahoma"/>
          <w:szCs w:val="24"/>
        </w:rPr>
      </w:pPr>
    </w:p>
    <w:p w:rsidR="006E34AA" w:rsidRPr="001F76C8" w:rsidRDefault="00E30B72" w:rsidP="006E34AA">
      <w:pPr>
        <w:pStyle w:val="Bezmezer"/>
        <w:rPr>
          <w:rFonts w:cs="Tahoma"/>
          <w:szCs w:val="24"/>
        </w:rPr>
      </w:pPr>
      <w:r w:rsidRPr="00A3169B">
        <w:rPr>
          <w:rFonts w:cs="Tahoma"/>
          <w:szCs w:val="24"/>
        </w:rPr>
        <w:t>Pro rok 2016 je navrženo 20 mil. Kč</w:t>
      </w:r>
      <w:r w:rsidR="006E34AA" w:rsidRPr="00A3169B">
        <w:rPr>
          <w:rFonts w:cs="Tahoma"/>
          <w:szCs w:val="24"/>
        </w:rPr>
        <w:t>. Nevyčerpané finanční</w:t>
      </w:r>
      <w:r w:rsidR="006E34AA" w:rsidRPr="001F76C8">
        <w:rPr>
          <w:rFonts w:cs="Tahoma"/>
          <w:szCs w:val="24"/>
        </w:rPr>
        <w:t xml:space="preserve"> prostředky roku 2015 budou účelově převedeny do rozpočtu 2016.</w:t>
      </w:r>
    </w:p>
    <w:p w:rsidR="005B53B9" w:rsidRPr="001C5D2D" w:rsidRDefault="005B53B9" w:rsidP="005B53B9">
      <w:pPr>
        <w:pStyle w:val="Bezmezer"/>
        <w:rPr>
          <w:rFonts w:cs="Tahoma"/>
          <w:color w:val="E36C0A" w:themeColor="accent6" w:themeShade="BF"/>
          <w:szCs w:val="24"/>
          <w:u w:val="single"/>
        </w:rPr>
      </w:pPr>
    </w:p>
    <w:p w:rsidR="0022268A" w:rsidRPr="00402FB1" w:rsidRDefault="0022268A" w:rsidP="005B53B9">
      <w:pPr>
        <w:pStyle w:val="Bezmezer"/>
        <w:rPr>
          <w:u w:val="single"/>
        </w:rPr>
      </w:pPr>
      <w:r w:rsidRPr="00402FB1">
        <w:rPr>
          <w:u w:val="single"/>
        </w:rPr>
        <w:t>Akce spolufinancované z evropských finančních zdrojů</w:t>
      </w:r>
    </w:p>
    <w:p w:rsidR="00E30B72" w:rsidRDefault="00CE755F" w:rsidP="00E30B72">
      <w:pPr>
        <w:pStyle w:val="Bezmezer"/>
        <w:rPr>
          <w:b/>
        </w:rPr>
      </w:pPr>
      <w:r>
        <w:rPr>
          <w:b/>
        </w:rPr>
        <w:t>P</w:t>
      </w:r>
      <w:r w:rsidR="003830CF" w:rsidRPr="00402FB1">
        <w:rPr>
          <w:b/>
        </w:rPr>
        <w:t>rogramové období 2007</w:t>
      </w:r>
      <w:r w:rsidR="00587A9C">
        <w:rPr>
          <w:b/>
        </w:rPr>
        <w:t> – </w:t>
      </w:r>
      <w:r w:rsidR="003830CF" w:rsidRPr="00402FB1">
        <w:rPr>
          <w:b/>
        </w:rPr>
        <w:t>2013</w:t>
      </w:r>
    </w:p>
    <w:p w:rsidR="00F90BCB" w:rsidRPr="00DF66C3" w:rsidRDefault="00E30B72" w:rsidP="00E30B72">
      <w:pPr>
        <w:pStyle w:val="Bezmezer"/>
        <w:numPr>
          <w:ilvl w:val="0"/>
          <w:numId w:val="6"/>
        </w:numPr>
        <w:rPr>
          <w:b/>
        </w:rPr>
      </w:pPr>
      <w:r w:rsidRPr="00DF66C3">
        <w:t xml:space="preserve">nejsou </w:t>
      </w:r>
      <w:r w:rsidR="001779CD">
        <w:t xml:space="preserve">již </w:t>
      </w:r>
      <w:r w:rsidRPr="00DF66C3">
        <w:t xml:space="preserve">plánovány výdaje, </w:t>
      </w:r>
    </w:p>
    <w:p w:rsidR="00F90BCB" w:rsidRPr="00A3169B" w:rsidRDefault="00F20D32" w:rsidP="00F66028">
      <w:pPr>
        <w:pStyle w:val="Bezmezer"/>
        <w:numPr>
          <w:ilvl w:val="0"/>
          <w:numId w:val="6"/>
        </w:numPr>
        <w:rPr>
          <w:rFonts w:cs="Tahoma"/>
          <w:b/>
          <w:szCs w:val="24"/>
        </w:rPr>
      </w:pPr>
      <w:r w:rsidRPr="00DF66C3">
        <w:t xml:space="preserve">výdaje na </w:t>
      </w:r>
      <w:r w:rsidR="00E30B72" w:rsidRPr="00DF66C3">
        <w:t>akce</w:t>
      </w:r>
      <w:r w:rsidR="00F90BCB" w:rsidRPr="00DF66C3">
        <w:t>,</w:t>
      </w:r>
      <w:r w:rsidR="00E30B72" w:rsidRPr="00DF66C3">
        <w:t xml:space="preserve"> </w:t>
      </w:r>
      <w:r w:rsidRPr="00DF66C3">
        <w:t xml:space="preserve">u nichž se </w:t>
      </w:r>
      <w:r w:rsidR="00F90BCB" w:rsidRPr="00DF66C3">
        <w:t>realizace</w:t>
      </w:r>
      <w:r w:rsidR="00587A9C">
        <w:t>,</w:t>
      </w:r>
      <w:r w:rsidR="00F90BCB" w:rsidRPr="00DF66C3">
        <w:t xml:space="preserve"> </w:t>
      </w:r>
      <w:r w:rsidRPr="00DF66C3">
        <w:t xml:space="preserve">příp. finanční vypořádání očekává na přelomu roku 2015 a </w:t>
      </w:r>
      <w:r w:rsidRPr="00A3169B">
        <w:t xml:space="preserve">2016, </w:t>
      </w:r>
      <w:r w:rsidR="00F90BCB" w:rsidRPr="00A3169B">
        <w:t>budou</w:t>
      </w:r>
      <w:r w:rsidRPr="00A3169B">
        <w:t xml:space="preserve"> do rozpočtu 2016 zapojeny pouze v případě potřeby</w:t>
      </w:r>
      <w:r w:rsidR="00F90BCB" w:rsidRPr="00A3169B">
        <w:t xml:space="preserve"> účelovými převody a </w:t>
      </w:r>
      <w:r w:rsidRPr="00A3169B">
        <w:t xml:space="preserve">dále </w:t>
      </w:r>
      <w:r w:rsidR="00127EE6" w:rsidRPr="00A3169B">
        <w:t xml:space="preserve">u </w:t>
      </w:r>
      <w:r w:rsidR="001F76C8" w:rsidRPr="00A3169B">
        <w:t xml:space="preserve">části </w:t>
      </w:r>
      <w:r w:rsidR="00127EE6" w:rsidRPr="00A3169B">
        <w:t>výdajů</w:t>
      </w:r>
      <w:r w:rsidR="00F90BCB" w:rsidRPr="00A3169B">
        <w:rPr>
          <w:rFonts w:cs="Tahoma"/>
          <w:szCs w:val="24"/>
        </w:rPr>
        <w:t>, které měl proplatit řídící orgán</w:t>
      </w:r>
      <w:r w:rsidR="00127EE6" w:rsidRPr="00A3169B">
        <w:rPr>
          <w:rFonts w:cs="Tahoma"/>
          <w:szCs w:val="24"/>
        </w:rPr>
        <w:t>, bude</w:t>
      </w:r>
      <w:r w:rsidR="00F90BCB" w:rsidRPr="00A3169B">
        <w:rPr>
          <w:rFonts w:cs="Tahoma"/>
          <w:szCs w:val="24"/>
        </w:rPr>
        <w:t xml:space="preserve"> použita</w:t>
      </w:r>
      <w:r w:rsidR="00E30B72" w:rsidRPr="00A3169B">
        <w:rPr>
          <w:rFonts w:cs="Tahoma"/>
          <w:szCs w:val="24"/>
        </w:rPr>
        <w:t xml:space="preserve"> rezerva na </w:t>
      </w:r>
      <w:r w:rsidR="001779CD" w:rsidRPr="00A3169B">
        <w:rPr>
          <w:rFonts w:cs="Tahoma"/>
          <w:szCs w:val="24"/>
        </w:rPr>
        <w:t>mimořádné akce a akce s nedořešeným financováním</w:t>
      </w:r>
      <w:r w:rsidR="00127EE6" w:rsidRPr="00A3169B">
        <w:rPr>
          <w:rFonts w:cs="Tahoma"/>
          <w:szCs w:val="24"/>
        </w:rPr>
        <w:t>, kter</w:t>
      </w:r>
      <w:r w:rsidR="00587A9C">
        <w:rPr>
          <w:rFonts w:cs="Tahoma"/>
          <w:szCs w:val="24"/>
        </w:rPr>
        <w:t>ou</w:t>
      </w:r>
      <w:r w:rsidR="00127EE6" w:rsidRPr="00A3169B">
        <w:rPr>
          <w:rFonts w:cs="Tahoma"/>
          <w:szCs w:val="24"/>
        </w:rPr>
        <w:t xml:space="preserve"> je plánován</w:t>
      </w:r>
      <w:r w:rsidR="00587A9C">
        <w:rPr>
          <w:rFonts w:cs="Tahoma"/>
          <w:szCs w:val="24"/>
        </w:rPr>
        <w:t>o</w:t>
      </w:r>
      <w:r w:rsidR="00127EE6" w:rsidRPr="00A3169B">
        <w:rPr>
          <w:rFonts w:cs="Tahoma"/>
          <w:szCs w:val="24"/>
        </w:rPr>
        <w:t xml:space="preserve"> </w:t>
      </w:r>
      <w:r w:rsidR="00A3169B" w:rsidRPr="00A3169B">
        <w:rPr>
          <w:rFonts w:cs="Tahoma"/>
          <w:szCs w:val="24"/>
        </w:rPr>
        <w:t>pro rok 2016 navýšit o 50 mil. Kč na celkovou v</w:t>
      </w:r>
      <w:r w:rsidR="00E30B72" w:rsidRPr="00A3169B">
        <w:rPr>
          <w:rFonts w:cs="Tahoma"/>
          <w:szCs w:val="24"/>
        </w:rPr>
        <w:t xml:space="preserve">ýši </w:t>
      </w:r>
      <w:r w:rsidR="001779CD" w:rsidRPr="00A3169B">
        <w:rPr>
          <w:rFonts w:cs="Tahoma"/>
          <w:szCs w:val="24"/>
        </w:rPr>
        <w:t>10</w:t>
      </w:r>
      <w:r w:rsidR="00E30B72" w:rsidRPr="00A3169B">
        <w:rPr>
          <w:rFonts w:cs="Tahoma"/>
          <w:szCs w:val="24"/>
        </w:rPr>
        <w:t>0 mil. Kč</w:t>
      </w:r>
      <w:r w:rsidR="00A3169B">
        <w:rPr>
          <w:rFonts w:cs="Tahoma"/>
          <w:szCs w:val="24"/>
        </w:rPr>
        <w:t>,</w:t>
      </w:r>
    </w:p>
    <w:p w:rsidR="00F90BCB" w:rsidRPr="00A3169B" w:rsidRDefault="00F90BCB" w:rsidP="00F66028">
      <w:pPr>
        <w:pStyle w:val="Bezmezer"/>
        <w:numPr>
          <w:ilvl w:val="0"/>
          <w:numId w:val="6"/>
        </w:numPr>
        <w:rPr>
          <w:rFonts w:cs="Tahoma"/>
          <w:b/>
          <w:szCs w:val="24"/>
        </w:rPr>
      </w:pPr>
      <w:r w:rsidRPr="00A3169B">
        <w:rPr>
          <w:rFonts w:cs="Tahoma"/>
          <w:szCs w:val="24"/>
        </w:rPr>
        <w:t xml:space="preserve">k datu zpracování této přílohy </w:t>
      </w:r>
      <w:r w:rsidRPr="00C26910">
        <w:rPr>
          <w:rFonts w:cs="Tahoma"/>
          <w:szCs w:val="24"/>
        </w:rPr>
        <w:t xml:space="preserve">má cca </w:t>
      </w:r>
      <w:r w:rsidR="00127EE6" w:rsidRPr="00C26910">
        <w:rPr>
          <w:rFonts w:cs="Tahoma"/>
          <w:szCs w:val="24"/>
        </w:rPr>
        <w:t>20</w:t>
      </w:r>
      <w:r w:rsidRPr="00C26910">
        <w:rPr>
          <w:rFonts w:cs="Tahoma"/>
          <w:szCs w:val="24"/>
        </w:rPr>
        <w:t xml:space="preserve"> projektů</w:t>
      </w:r>
      <w:r w:rsidRPr="00A3169B">
        <w:rPr>
          <w:rFonts w:cs="Tahoma"/>
          <w:szCs w:val="24"/>
        </w:rPr>
        <w:t xml:space="preserve"> plánováno ukončení realizace v závěru roku 2015</w:t>
      </w:r>
      <w:r w:rsidR="0062675C" w:rsidRPr="00A3169B">
        <w:rPr>
          <w:rFonts w:cs="Tahoma"/>
          <w:szCs w:val="24"/>
        </w:rPr>
        <w:t>.</w:t>
      </w:r>
    </w:p>
    <w:p w:rsidR="0062675C" w:rsidRPr="0062675C" w:rsidRDefault="0062675C" w:rsidP="0062675C">
      <w:pPr>
        <w:pStyle w:val="Bezmezer"/>
        <w:ind w:left="720"/>
        <w:rPr>
          <w:rFonts w:cs="Tahoma"/>
          <w:b/>
          <w:szCs w:val="24"/>
        </w:rPr>
      </w:pPr>
    </w:p>
    <w:p w:rsidR="00D56E1E" w:rsidRPr="00C715EB" w:rsidRDefault="00CE755F" w:rsidP="00D56E1E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C715EB">
        <w:rPr>
          <w:rFonts w:ascii="Tahoma" w:hAnsi="Tahoma" w:cs="Tahoma"/>
          <w:b/>
          <w:sz w:val="24"/>
          <w:szCs w:val="24"/>
        </w:rPr>
        <w:t>P</w:t>
      </w:r>
      <w:r w:rsidR="00587A9C">
        <w:rPr>
          <w:rFonts w:ascii="Tahoma" w:hAnsi="Tahoma" w:cs="Tahoma"/>
          <w:b/>
          <w:sz w:val="24"/>
          <w:szCs w:val="24"/>
        </w:rPr>
        <w:t>rogramové období 2014 – </w:t>
      </w:r>
      <w:r w:rsidR="003830CF" w:rsidRPr="00C715EB">
        <w:rPr>
          <w:rFonts w:ascii="Tahoma" w:hAnsi="Tahoma" w:cs="Tahoma"/>
          <w:b/>
          <w:sz w:val="24"/>
          <w:szCs w:val="24"/>
        </w:rPr>
        <w:t>2020</w:t>
      </w:r>
    </w:p>
    <w:p w:rsidR="00E30B72" w:rsidRPr="00C715EB" w:rsidRDefault="00587A9C" w:rsidP="00E30B72">
      <w:pPr>
        <w:pStyle w:val="Bezmezer"/>
        <w:numPr>
          <w:ilvl w:val="0"/>
          <w:numId w:val="7"/>
        </w:numPr>
        <w:rPr>
          <w:rFonts w:cs="Tahoma"/>
          <w:szCs w:val="24"/>
        </w:rPr>
      </w:pPr>
      <w:r>
        <w:rPr>
          <w:rFonts w:cs="Tahoma"/>
          <w:szCs w:val="24"/>
        </w:rPr>
        <w:t>v</w:t>
      </w:r>
      <w:r w:rsidR="00E30B72" w:rsidRPr="000D42F6">
        <w:rPr>
          <w:rFonts w:cs="Tahoma"/>
          <w:szCs w:val="24"/>
        </w:rPr>
        <w:t xml:space="preserve"> roce 2016 se plánuje zahájení přípravy a realizace cca </w:t>
      </w:r>
      <w:r w:rsidR="0062675C" w:rsidRPr="000D42F6">
        <w:rPr>
          <w:rFonts w:cs="Tahoma"/>
          <w:szCs w:val="24"/>
        </w:rPr>
        <w:t>87</w:t>
      </w:r>
      <w:r w:rsidR="00E30B72" w:rsidRPr="000D42F6">
        <w:rPr>
          <w:rFonts w:cs="Tahoma"/>
          <w:szCs w:val="24"/>
        </w:rPr>
        <w:t xml:space="preserve"> projektů ve výši </w:t>
      </w:r>
      <w:r w:rsidR="0062675C" w:rsidRPr="000D42F6">
        <w:rPr>
          <w:rFonts w:cs="Tahoma"/>
          <w:szCs w:val="24"/>
        </w:rPr>
        <w:t>1.056</w:t>
      </w:r>
      <w:r w:rsidR="00E30B72" w:rsidRPr="000D42F6">
        <w:rPr>
          <w:rFonts w:cs="Tahoma"/>
          <w:szCs w:val="24"/>
        </w:rPr>
        <w:t> mil. Kč. Podíl kraje je plánov</w:t>
      </w:r>
      <w:r>
        <w:rPr>
          <w:rFonts w:cs="Tahoma"/>
          <w:szCs w:val="24"/>
        </w:rPr>
        <w:t>án ve výši</w:t>
      </w:r>
      <w:r w:rsidR="00E30B72" w:rsidRPr="000D42F6">
        <w:rPr>
          <w:rFonts w:cs="Tahoma"/>
          <w:szCs w:val="24"/>
        </w:rPr>
        <w:t xml:space="preserve"> 10</w:t>
      </w:r>
      <w:r>
        <w:rPr>
          <w:rFonts w:cs="Tahoma"/>
          <w:szCs w:val="24"/>
        </w:rPr>
        <w:t> </w:t>
      </w:r>
      <w:r>
        <w:rPr>
          <w:rFonts w:cs="Tahoma"/>
          <w:szCs w:val="24"/>
        </w:rPr>
        <w:noBreakHyphen/>
        <w:t> </w:t>
      </w:r>
      <w:r w:rsidR="00E30B72" w:rsidRPr="000D42F6">
        <w:rPr>
          <w:rFonts w:cs="Tahoma"/>
          <w:szCs w:val="24"/>
        </w:rPr>
        <w:t>15 %. Jedná se o projekty, u</w:t>
      </w:r>
      <w:r w:rsidR="001779CD" w:rsidRPr="000D42F6">
        <w:rPr>
          <w:rFonts w:cs="Tahoma"/>
          <w:szCs w:val="24"/>
        </w:rPr>
        <w:t> </w:t>
      </w:r>
      <w:r w:rsidR="00E30B72" w:rsidRPr="000D42F6">
        <w:rPr>
          <w:rFonts w:cs="Tahoma"/>
          <w:szCs w:val="24"/>
        </w:rPr>
        <w:t>kterých bude do konce roku 2015 zastupitelstvem kraje rozhodnuto o</w:t>
      </w:r>
      <w:r w:rsidR="001779CD" w:rsidRPr="000D42F6">
        <w:rPr>
          <w:rFonts w:cs="Tahoma"/>
          <w:szCs w:val="24"/>
        </w:rPr>
        <w:t> </w:t>
      </w:r>
      <w:r w:rsidR="00E30B72" w:rsidRPr="000D42F6">
        <w:rPr>
          <w:rFonts w:cs="Tahoma"/>
          <w:szCs w:val="24"/>
        </w:rPr>
        <w:t xml:space="preserve">zahájení přípravy, příp. realizace. </w:t>
      </w:r>
      <w:r w:rsidR="0062675C" w:rsidRPr="000D42F6">
        <w:rPr>
          <w:rFonts w:cs="Tahoma"/>
          <w:szCs w:val="24"/>
        </w:rPr>
        <w:t xml:space="preserve">Dále je do návrhu rozpočtu výdajů na rok 2016 zahrnuta částka ve výši </w:t>
      </w:r>
      <w:r w:rsidR="000D42F6" w:rsidRPr="000D42F6">
        <w:rPr>
          <w:rFonts w:cs="Tahoma"/>
          <w:szCs w:val="24"/>
        </w:rPr>
        <w:t>30 mil. Kč</w:t>
      </w:r>
      <w:r w:rsidR="0062675C" w:rsidRPr="00C715EB">
        <w:rPr>
          <w:rFonts w:cs="Tahoma"/>
          <w:szCs w:val="24"/>
        </w:rPr>
        <w:t xml:space="preserve"> </w:t>
      </w:r>
      <w:r w:rsidR="000D42F6">
        <w:rPr>
          <w:rFonts w:cs="Tahoma"/>
          <w:szCs w:val="24"/>
        </w:rPr>
        <w:t xml:space="preserve">jako podíl kraje </w:t>
      </w:r>
      <w:r w:rsidR="0062675C" w:rsidRPr="00C715EB">
        <w:rPr>
          <w:rFonts w:cs="Tahoma"/>
          <w:szCs w:val="24"/>
        </w:rPr>
        <w:t>na tzv. kotlíkov</w:t>
      </w:r>
      <w:r w:rsidR="000D42F6">
        <w:rPr>
          <w:rFonts w:cs="Tahoma"/>
          <w:szCs w:val="24"/>
        </w:rPr>
        <w:t>ých</w:t>
      </w:r>
      <w:r w:rsidR="0062675C" w:rsidRPr="00C715EB">
        <w:rPr>
          <w:rFonts w:cs="Tahoma"/>
          <w:szCs w:val="24"/>
        </w:rPr>
        <w:t xml:space="preserve"> dotac</w:t>
      </w:r>
      <w:r w:rsidR="000D42F6">
        <w:rPr>
          <w:rFonts w:cs="Tahoma"/>
          <w:szCs w:val="24"/>
        </w:rPr>
        <w:t>ích</w:t>
      </w:r>
      <w:r w:rsidR="0062675C" w:rsidRPr="00C715EB">
        <w:rPr>
          <w:rFonts w:cs="Tahoma"/>
          <w:szCs w:val="24"/>
        </w:rPr>
        <w:t>, kter</w:t>
      </w:r>
      <w:r w:rsidR="000D42F6">
        <w:rPr>
          <w:rFonts w:cs="Tahoma"/>
          <w:szCs w:val="24"/>
        </w:rPr>
        <w:t>ý</w:t>
      </w:r>
      <w:r w:rsidR="0062675C" w:rsidRPr="00C715EB">
        <w:rPr>
          <w:rFonts w:cs="Tahoma"/>
          <w:szCs w:val="24"/>
        </w:rPr>
        <w:t xml:space="preserve"> bude skutečně vyplácen jen za předpokladu, že zastupitelstvo kraje na svém prosincovém zasedání schválí, že nad rámec poskytnuté dotace z EU bude Moravskoslezský kraj přispívat na každou výměnu zdroje tepla dalších 5 %,</w:t>
      </w:r>
    </w:p>
    <w:p w:rsidR="00E30B72" w:rsidRPr="000D42F6" w:rsidRDefault="000D42F6" w:rsidP="00CE2C24">
      <w:pPr>
        <w:pStyle w:val="Bezmezer"/>
        <w:numPr>
          <w:ilvl w:val="0"/>
          <w:numId w:val="7"/>
        </w:numPr>
        <w:rPr>
          <w:rFonts w:cs="Tahoma"/>
          <w:szCs w:val="24"/>
        </w:rPr>
      </w:pPr>
      <w:r>
        <w:rPr>
          <w:rFonts w:cs="Tahoma"/>
          <w:szCs w:val="24"/>
        </w:rPr>
        <w:t>n</w:t>
      </w:r>
      <w:r w:rsidR="00E30B72" w:rsidRPr="00C715EB">
        <w:rPr>
          <w:rFonts w:cs="Tahoma"/>
          <w:szCs w:val="24"/>
        </w:rPr>
        <w:t xml:space="preserve">a přípravu, příp. realizaci </w:t>
      </w:r>
      <w:r w:rsidR="00E30B72" w:rsidRPr="000D42F6">
        <w:rPr>
          <w:rFonts w:cs="Tahoma"/>
          <w:szCs w:val="24"/>
        </w:rPr>
        <w:t>dalších projektových námětů je navrhováno vyčlenit finanční prostředky ve výši 50 mil. Kč a pro Správu silnic MSK</w:t>
      </w:r>
      <w:r w:rsidR="0062675C" w:rsidRPr="000D42F6">
        <w:rPr>
          <w:rFonts w:cs="Tahoma"/>
          <w:szCs w:val="24"/>
        </w:rPr>
        <w:t xml:space="preserve"> na </w:t>
      </w:r>
      <w:r w:rsidR="00CE2C24" w:rsidRPr="000D42F6">
        <w:rPr>
          <w:rFonts w:cs="Tahoma"/>
          <w:szCs w:val="24"/>
        </w:rPr>
        <w:t>přípravu staveb a vypořádání pozemků</w:t>
      </w:r>
      <w:r w:rsidR="00E30B72" w:rsidRPr="000D42F6">
        <w:rPr>
          <w:rFonts w:cs="Tahoma"/>
          <w:szCs w:val="24"/>
        </w:rPr>
        <w:t xml:space="preserve"> </w:t>
      </w:r>
      <w:r w:rsidR="00CE2C24" w:rsidRPr="000D42F6">
        <w:rPr>
          <w:rFonts w:cs="Tahoma"/>
          <w:szCs w:val="24"/>
        </w:rPr>
        <w:t>částk</w:t>
      </w:r>
      <w:r w:rsidR="00587A9C">
        <w:rPr>
          <w:rFonts w:cs="Tahoma"/>
          <w:szCs w:val="24"/>
        </w:rPr>
        <w:t>u</w:t>
      </w:r>
      <w:r w:rsidR="00CE2C24" w:rsidRPr="000D42F6">
        <w:rPr>
          <w:rFonts w:cs="Tahoma"/>
          <w:szCs w:val="24"/>
        </w:rPr>
        <w:t xml:space="preserve"> </w:t>
      </w:r>
      <w:r w:rsidR="00E30B72" w:rsidRPr="000D42F6">
        <w:rPr>
          <w:rFonts w:cs="Tahoma"/>
          <w:szCs w:val="24"/>
        </w:rPr>
        <w:t xml:space="preserve">ve výši 30 mil. Kč. </w:t>
      </w:r>
    </w:p>
    <w:p w:rsidR="008634BF" w:rsidRDefault="008634BF">
      <w:pPr>
        <w:rPr>
          <w:rFonts w:ascii="Tahoma" w:hAnsi="Tahoma"/>
          <w:sz w:val="24"/>
        </w:rPr>
      </w:pPr>
      <w:r>
        <w:br w:type="page"/>
      </w:r>
    </w:p>
    <w:p w:rsidR="005B5003" w:rsidRPr="00C715EB" w:rsidRDefault="005B5003" w:rsidP="005B5003">
      <w:pPr>
        <w:jc w:val="both"/>
        <w:rPr>
          <w:rFonts w:ascii="Tahoma" w:hAnsi="Tahoma" w:cs="Tahoma"/>
          <w:b/>
          <w:sz w:val="24"/>
          <w:szCs w:val="24"/>
        </w:rPr>
      </w:pPr>
      <w:r w:rsidRPr="00C715EB">
        <w:rPr>
          <w:rFonts w:ascii="Tahoma" w:hAnsi="Tahoma" w:cs="Tahoma"/>
          <w:b/>
          <w:sz w:val="24"/>
          <w:szCs w:val="24"/>
        </w:rPr>
        <w:lastRenderedPageBreak/>
        <w:t>Zajištění FINANCOVÁNÍ</w:t>
      </w:r>
    </w:p>
    <w:p w:rsidR="00140827" w:rsidRPr="00C715EB" w:rsidRDefault="00140827" w:rsidP="005208ED">
      <w:pPr>
        <w:tabs>
          <w:tab w:val="num" w:pos="720"/>
        </w:tabs>
        <w:spacing w:after="0"/>
        <w:jc w:val="both"/>
        <w:rPr>
          <w:rFonts w:ascii="Tahoma" w:hAnsi="Tahoma" w:cs="Tahoma"/>
          <w:sz w:val="24"/>
          <w:szCs w:val="24"/>
          <w:u w:val="single"/>
        </w:rPr>
      </w:pPr>
      <w:r w:rsidRPr="00C715EB">
        <w:rPr>
          <w:rFonts w:ascii="Tahoma" w:hAnsi="Tahoma" w:cs="Tahoma"/>
          <w:sz w:val="24"/>
          <w:szCs w:val="24"/>
          <w:u w:val="single"/>
        </w:rPr>
        <w:t>Čerpání úvěr</w:t>
      </w:r>
      <w:r w:rsidR="005150C3" w:rsidRPr="00C715EB">
        <w:rPr>
          <w:rFonts w:ascii="Tahoma" w:hAnsi="Tahoma" w:cs="Tahoma"/>
          <w:sz w:val="24"/>
          <w:szCs w:val="24"/>
          <w:u w:val="single"/>
        </w:rPr>
        <w:t>u</w:t>
      </w:r>
      <w:r w:rsidR="00E62E65" w:rsidRPr="00C715EB">
        <w:rPr>
          <w:rFonts w:ascii="Tahoma" w:hAnsi="Tahoma" w:cs="Tahoma"/>
          <w:sz w:val="24"/>
          <w:szCs w:val="24"/>
          <w:u w:val="single"/>
        </w:rPr>
        <w:t xml:space="preserve"> </w:t>
      </w:r>
      <w:r w:rsidR="00E62E65" w:rsidRPr="00C715EB">
        <w:rPr>
          <w:rFonts w:ascii="Tahoma" w:hAnsi="Tahoma" w:cs="Tahoma"/>
          <w:sz w:val="24"/>
          <w:szCs w:val="24"/>
        </w:rPr>
        <w:t>– v</w:t>
      </w:r>
      <w:r w:rsidR="005150C3" w:rsidRPr="00C715EB">
        <w:rPr>
          <w:rFonts w:ascii="Tahoma" w:hAnsi="Tahoma" w:cs="Tahoma"/>
          <w:sz w:val="24"/>
          <w:szCs w:val="24"/>
        </w:rPr>
        <w:t>e</w:t>
      </w:r>
      <w:r w:rsidR="00E62E65" w:rsidRPr="00C715EB">
        <w:rPr>
          <w:rFonts w:ascii="Tahoma" w:hAnsi="Tahoma" w:cs="Tahoma"/>
          <w:sz w:val="24"/>
          <w:szCs w:val="24"/>
        </w:rPr>
        <w:t xml:space="preserve"> výši</w:t>
      </w:r>
      <w:r w:rsidR="00B52D49" w:rsidRPr="00C715EB">
        <w:rPr>
          <w:rFonts w:ascii="Tahoma" w:hAnsi="Tahoma" w:cs="Tahoma"/>
          <w:sz w:val="24"/>
          <w:szCs w:val="24"/>
        </w:rPr>
        <w:t xml:space="preserve"> </w:t>
      </w:r>
      <w:r w:rsidR="00EE20FD" w:rsidRPr="00C715EB">
        <w:rPr>
          <w:rFonts w:ascii="Tahoma" w:hAnsi="Tahoma" w:cs="Tahoma"/>
          <w:sz w:val="24"/>
          <w:szCs w:val="24"/>
        </w:rPr>
        <w:t>419</w:t>
      </w:r>
      <w:r w:rsidR="00E62E65" w:rsidRPr="00C715EB">
        <w:rPr>
          <w:rFonts w:ascii="Tahoma" w:hAnsi="Tahoma" w:cs="Tahoma"/>
          <w:sz w:val="24"/>
          <w:szCs w:val="24"/>
        </w:rPr>
        <w:t xml:space="preserve"> </w:t>
      </w:r>
      <w:r w:rsidR="00EE20FD" w:rsidRPr="00C715EB">
        <w:rPr>
          <w:rFonts w:ascii="Tahoma" w:hAnsi="Tahoma" w:cs="Tahoma"/>
          <w:sz w:val="24"/>
          <w:szCs w:val="24"/>
        </w:rPr>
        <w:t>mil</w:t>
      </w:r>
      <w:r w:rsidR="00E62E65" w:rsidRPr="00C715EB">
        <w:rPr>
          <w:rFonts w:ascii="Tahoma" w:hAnsi="Tahoma" w:cs="Tahoma"/>
          <w:sz w:val="24"/>
          <w:szCs w:val="24"/>
        </w:rPr>
        <w:t>. Kč</w:t>
      </w:r>
    </w:p>
    <w:p w:rsidR="00140827" w:rsidRPr="00C715EB" w:rsidRDefault="005208ED" w:rsidP="004F34EB">
      <w:pPr>
        <w:pStyle w:val="Bezmezer"/>
        <w:ind w:left="284"/>
      </w:pPr>
      <w:r w:rsidRPr="00C715EB">
        <w:t>Z</w:t>
      </w:r>
      <w:r w:rsidR="002C182C" w:rsidRPr="00C715EB">
        <w:t xml:space="preserve"> nového</w:t>
      </w:r>
      <w:r w:rsidR="00E62E65" w:rsidRPr="00C715EB">
        <w:t> </w:t>
      </w:r>
      <w:r w:rsidR="00140827" w:rsidRPr="00C715EB">
        <w:t>úv</w:t>
      </w:r>
      <w:r w:rsidR="00140827" w:rsidRPr="00C715EB">
        <w:rPr>
          <w:rFonts w:hint="eastAsia"/>
        </w:rPr>
        <w:t>ě</w:t>
      </w:r>
      <w:r w:rsidR="00140827" w:rsidRPr="00C715EB">
        <w:t xml:space="preserve">rového rámce </w:t>
      </w:r>
      <w:r w:rsidR="00140827" w:rsidRPr="00C715EB">
        <w:rPr>
          <w:b/>
        </w:rPr>
        <w:t xml:space="preserve">od </w:t>
      </w:r>
      <w:r w:rsidR="00140827" w:rsidRPr="00C715EB">
        <w:rPr>
          <w:rFonts w:hint="eastAsia"/>
          <w:b/>
        </w:rPr>
        <w:t>Č</w:t>
      </w:r>
      <w:r w:rsidR="00140827" w:rsidRPr="00C715EB">
        <w:rPr>
          <w:b/>
        </w:rPr>
        <w:t>esk</w:t>
      </w:r>
      <w:r w:rsidR="002C182C" w:rsidRPr="00C715EB">
        <w:rPr>
          <w:b/>
        </w:rPr>
        <w:t>oslovenské obchodní banky</w:t>
      </w:r>
      <w:r w:rsidR="00140827" w:rsidRPr="00C715EB">
        <w:rPr>
          <w:b/>
        </w:rPr>
        <w:t>, a.s.</w:t>
      </w:r>
      <w:r w:rsidR="00140827" w:rsidRPr="00C715EB">
        <w:t xml:space="preserve"> </w:t>
      </w:r>
      <w:r w:rsidR="00140827" w:rsidRPr="00C715EB">
        <w:rPr>
          <w:b/>
        </w:rPr>
        <w:t xml:space="preserve">(dále jen </w:t>
      </w:r>
      <w:r w:rsidR="00140827" w:rsidRPr="00C715EB">
        <w:rPr>
          <w:rFonts w:hint="eastAsia"/>
          <w:b/>
        </w:rPr>
        <w:t>Č</w:t>
      </w:r>
      <w:r w:rsidR="00140827" w:rsidRPr="00C715EB">
        <w:rPr>
          <w:b/>
        </w:rPr>
        <w:t>S</w:t>
      </w:r>
      <w:r w:rsidR="002C182C" w:rsidRPr="00C715EB">
        <w:rPr>
          <w:b/>
        </w:rPr>
        <w:t>OB</w:t>
      </w:r>
      <w:r w:rsidR="00140827" w:rsidRPr="00C715EB">
        <w:rPr>
          <w:b/>
        </w:rPr>
        <w:t>)</w:t>
      </w:r>
      <w:r w:rsidR="00140827" w:rsidRPr="00C715EB">
        <w:t xml:space="preserve"> </w:t>
      </w:r>
      <w:r w:rsidR="00944917" w:rsidRPr="00C715EB">
        <w:t xml:space="preserve">je </w:t>
      </w:r>
      <w:r w:rsidR="00140827" w:rsidRPr="00C715EB">
        <w:t>na p</w:t>
      </w:r>
      <w:r w:rsidR="00140827" w:rsidRPr="00C715EB">
        <w:rPr>
          <w:rFonts w:hint="eastAsia"/>
        </w:rPr>
        <w:t>ř</w:t>
      </w:r>
      <w:r w:rsidR="00140827" w:rsidRPr="00C715EB">
        <w:t>edfinancování podílu EU u projekt</w:t>
      </w:r>
      <w:r w:rsidR="00140827" w:rsidRPr="00C715EB">
        <w:rPr>
          <w:rFonts w:hint="eastAsia"/>
        </w:rPr>
        <w:t>ů</w:t>
      </w:r>
      <w:r w:rsidR="00140827" w:rsidRPr="00C715EB">
        <w:t xml:space="preserve"> spolufinancovaných z evropských zdroj</w:t>
      </w:r>
      <w:r w:rsidR="00140827" w:rsidRPr="00C715EB">
        <w:rPr>
          <w:rFonts w:hint="eastAsia"/>
        </w:rPr>
        <w:t>ů</w:t>
      </w:r>
      <w:r w:rsidR="00A27102" w:rsidRPr="00C715EB">
        <w:t xml:space="preserve"> v rámci nového programového období </w:t>
      </w:r>
      <w:r w:rsidR="00140827" w:rsidRPr="00C715EB">
        <w:t xml:space="preserve">navržena </w:t>
      </w:r>
      <w:r w:rsidR="00140827" w:rsidRPr="00C715EB">
        <w:rPr>
          <w:rFonts w:hint="eastAsia"/>
        </w:rPr>
        <w:t>čá</w:t>
      </w:r>
      <w:r w:rsidR="00140827" w:rsidRPr="00C715EB">
        <w:t xml:space="preserve">stka </w:t>
      </w:r>
      <w:r w:rsidR="00140827" w:rsidRPr="00C715EB">
        <w:rPr>
          <w:rFonts w:hint="eastAsia"/>
        </w:rPr>
        <w:t>č</w:t>
      </w:r>
      <w:r w:rsidR="00140827" w:rsidRPr="00C715EB">
        <w:t>erpání úv</w:t>
      </w:r>
      <w:r w:rsidR="00140827" w:rsidRPr="00C715EB">
        <w:rPr>
          <w:rFonts w:hint="eastAsia"/>
        </w:rPr>
        <w:t>ě</w:t>
      </w:r>
      <w:r w:rsidR="00140827" w:rsidRPr="00C715EB">
        <w:t xml:space="preserve">ru </w:t>
      </w:r>
      <w:r w:rsidR="00B05ECE" w:rsidRPr="00C715EB">
        <w:t>ve výši </w:t>
      </w:r>
      <w:r w:rsidR="00EE20FD" w:rsidRPr="00C715EB">
        <w:t>419</w:t>
      </w:r>
      <w:r w:rsidR="00140827" w:rsidRPr="00C715EB">
        <w:t xml:space="preserve"> mil. K</w:t>
      </w:r>
      <w:r w:rsidR="00140827" w:rsidRPr="00C715EB">
        <w:rPr>
          <w:rFonts w:hint="eastAsia"/>
        </w:rPr>
        <w:t>č</w:t>
      </w:r>
      <w:r w:rsidR="00140827" w:rsidRPr="00C715EB">
        <w:t xml:space="preserve"> (úv</w:t>
      </w:r>
      <w:r w:rsidR="00140827" w:rsidRPr="00C715EB">
        <w:rPr>
          <w:rFonts w:hint="eastAsia"/>
        </w:rPr>
        <w:t>ě</w:t>
      </w:r>
      <w:r w:rsidR="00140827" w:rsidRPr="00C715EB">
        <w:t xml:space="preserve">r je možné </w:t>
      </w:r>
      <w:r w:rsidR="00E72402" w:rsidRPr="00C715EB">
        <w:t xml:space="preserve">průběžně </w:t>
      </w:r>
      <w:r w:rsidR="00140827" w:rsidRPr="00C715EB">
        <w:rPr>
          <w:rFonts w:hint="eastAsia"/>
        </w:rPr>
        <w:t>č</w:t>
      </w:r>
      <w:r w:rsidR="00140827" w:rsidRPr="00C715EB">
        <w:t>erpat a spl</w:t>
      </w:r>
      <w:r w:rsidRPr="00C715EB">
        <w:t>ácet</w:t>
      </w:r>
      <w:r w:rsidR="00140827" w:rsidRPr="00C715EB">
        <w:t xml:space="preserve"> do konce roku 20</w:t>
      </w:r>
      <w:r w:rsidR="002C182C" w:rsidRPr="00C715EB">
        <w:t>20</w:t>
      </w:r>
      <w:r w:rsidR="00E62E65" w:rsidRPr="00C715EB">
        <w:t>)</w:t>
      </w:r>
      <w:r w:rsidR="00140827" w:rsidRPr="00C715EB">
        <w:t>.</w:t>
      </w:r>
    </w:p>
    <w:p w:rsidR="00557799" w:rsidRPr="00C715EB" w:rsidRDefault="00557799" w:rsidP="00557799">
      <w:pPr>
        <w:pStyle w:val="Bezmezer"/>
        <w:ind w:left="284"/>
      </w:pPr>
    </w:p>
    <w:p w:rsidR="00140827" w:rsidRPr="00C715EB" w:rsidRDefault="00140827" w:rsidP="005208ED">
      <w:pPr>
        <w:tabs>
          <w:tab w:val="num" w:pos="720"/>
        </w:tabs>
        <w:spacing w:after="0"/>
        <w:jc w:val="both"/>
        <w:rPr>
          <w:rFonts w:ascii="Tahoma" w:hAnsi="Tahoma" w:cs="Tahoma"/>
          <w:sz w:val="24"/>
          <w:szCs w:val="24"/>
          <w:u w:val="single"/>
        </w:rPr>
      </w:pPr>
      <w:r w:rsidRPr="00C715EB">
        <w:rPr>
          <w:rFonts w:ascii="Tahoma" w:hAnsi="Tahoma" w:cs="Tahoma"/>
          <w:sz w:val="24"/>
          <w:szCs w:val="24"/>
          <w:u w:val="single"/>
        </w:rPr>
        <w:t>Splátky úvěrů</w:t>
      </w:r>
      <w:r w:rsidR="00E62E65" w:rsidRPr="00A92642">
        <w:rPr>
          <w:rFonts w:ascii="Tahoma" w:hAnsi="Tahoma" w:cs="Tahoma"/>
          <w:sz w:val="24"/>
          <w:szCs w:val="24"/>
        </w:rPr>
        <w:t xml:space="preserve"> - v</w:t>
      </w:r>
      <w:r w:rsidR="00E62E65" w:rsidRPr="00C715EB">
        <w:rPr>
          <w:rFonts w:ascii="Tahoma" w:hAnsi="Tahoma" w:cs="Tahoma"/>
          <w:sz w:val="24"/>
          <w:szCs w:val="24"/>
        </w:rPr>
        <w:t xml:space="preserve"> celkové výši </w:t>
      </w:r>
      <w:r w:rsidR="00B52D49" w:rsidRPr="00C715EB">
        <w:rPr>
          <w:rFonts w:ascii="Tahoma" w:hAnsi="Tahoma" w:cs="Tahoma"/>
          <w:sz w:val="24"/>
          <w:szCs w:val="24"/>
        </w:rPr>
        <w:t>1</w:t>
      </w:r>
      <w:r w:rsidR="00B02D55" w:rsidRPr="00C715EB">
        <w:rPr>
          <w:rFonts w:ascii="Tahoma" w:hAnsi="Tahoma" w:cs="Tahoma"/>
          <w:sz w:val="24"/>
          <w:szCs w:val="24"/>
        </w:rPr>
        <w:t>.706</w:t>
      </w:r>
      <w:r w:rsidR="00E62E65" w:rsidRPr="00C715EB">
        <w:rPr>
          <w:rFonts w:ascii="Tahoma" w:hAnsi="Tahoma" w:cs="Tahoma"/>
          <w:sz w:val="24"/>
          <w:szCs w:val="24"/>
        </w:rPr>
        <w:t xml:space="preserve"> </w:t>
      </w:r>
      <w:r w:rsidR="00EE20FD" w:rsidRPr="00C715EB">
        <w:rPr>
          <w:rFonts w:ascii="Tahoma" w:hAnsi="Tahoma" w:cs="Tahoma"/>
          <w:sz w:val="24"/>
          <w:szCs w:val="24"/>
        </w:rPr>
        <w:t>mil</w:t>
      </w:r>
      <w:r w:rsidR="00E62E65" w:rsidRPr="00C715EB">
        <w:rPr>
          <w:rFonts w:ascii="Tahoma" w:hAnsi="Tahoma" w:cs="Tahoma"/>
          <w:sz w:val="24"/>
          <w:szCs w:val="24"/>
        </w:rPr>
        <w:t>. Kč</w:t>
      </w:r>
    </w:p>
    <w:p w:rsidR="00140827" w:rsidRPr="00C715EB" w:rsidRDefault="008F7E01" w:rsidP="007C1E61">
      <w:pPr>
        <w:pStyle w:val="Bezmezer"/>
        <w:numPr>
          <w:ilvl w:val="0"/>
          <w:numId w:val="7"/>
        </w:numPr>
        <w:ind w:left="284" w:hanging="284"/>
      </w:pPr>
      <w:r w:rsidRPr="00C715EB">
        <w:t>N</w:t>
      </w:r>
      <w:r w:rsidR="00140827" w:rsidRPr="00C715EB">
        <w:t>a úhradu další splátky jistiny úv</w:t>
      </w:r>
      <w:r w:rsidR="00140827" w:rsidRPr="00C715EB">
        <w:rPr>
          <w:rFonts w:hint="eastAsia"/>
        </w:rPr>
        <w:t>ě</w:t>
      </w:r>
      <w:r w:rsidR="00140827" w:rsidRPr="00C715EB">
        <w:t xml:space="preserve">ru </w:t>
      </w:r>
      <w:r w:rsidR="005150C3" w:rsidRPr="00C715EB">
        <w:rPr>
          <w:b/>
        </w:rPr>
        <w:t>od Evro</w:t>
      </w:r>
      <w:r w:rsidR="001F0EEF" w:rsidRPr="00C715EB">
        <w:rPr>
          <w:b/>
        </w:rPr>
        <w:t xml:space="preserve">pské investiční banky (dále jen </w:t>
      </w:r>
      <w:r w:rsidR="005150C3" w:rsidRPr="00C715EB">
        <w:rPr>
          <w:b/>
        </w:rPr>
        <w:t>EIB)</w:t>
      </w:r>
      <w:r w:rsidR="00140827" w:rsidRPr="00C715EB">
        <w:t xml:space="preserve"> z roku 2005 je za</w:t>
      </w:r>
      <w:r w:rsidR="00140827" w:rsidRPr="00C715EB">
        <w:rPr>
          <w:rFonts w:hint="eastAsia"/>
        </w:rPr>
        <w:t>ř</w:t>
      </w:r>
      <w:r w:rsidR="00140827" w:rsidRPr="00C715EB">
        <w:t xml:space="preserve">azena </w:t>
      </w:r>
      <w:r w:rsidR="00140827" w:rsidRPr="00C715EB">
        <w:rPr>
          <w:rFonts w:hint="eastAsia"/>
        </w:rPr>
        <w:t>čá</w:t>
      </w:r>
      <w:r w:rsidR="00140827" w:rsidRPr="00C715EB">
        <w:t xml:space="preserve">stka ve výši </w:t>
      </w:r>
      <w:smartTag w:uri="urn:schemas-microsoft-com:office:smarttags" w:element="metricconverter">
        <w:smartTagPr>
          <w:attr w:name="ProductID" w:val="71 mil"/>
        </w:smartTagPr>
        <w:r w:rsidR="00140827" w:rsidRPr="00C715EB">
          <w:t>110 mil</w:t>
        </w:r>
      </w:smartTag>
      <w:r w:rsidR="00140827" w:rsidRPr="00C715EB">
        <w:t>. K</w:t>
      </w:r>
      <w:r w:rsidR="00140827" w:rsidRPr="00C715EB">
        <w:rPr>
          <w:rFonts w:hint="eastAsia"/>
        </w:rPr>
        <w:t>č</w:t>
      </w:r>
      <w:r w:rsidR="00140827" w:rsidRPr="00C715EB">
        <w:t xml:space="preserve">; splácení probíhá od roku 2009, </w:t>
      </w:r>
      <w:r w:rsidR="00C52DC4" w:rsidRPr="00C715EB">
        <w:t>sp</w:t>
      </w:r>
      <w:r w:rsidR="00140827" w:rsidRPr="00C715EB">
        <w:t>lacení celé výše jistiny úv</w:t>
      </w:r>
      <w:r w:rsidR="00140827" w:rsidRPr="00C715EB">
        <w:rPr>
          <w:rFonts w:hint="eastAsia"/>
        </w:rPr>
        <w:t>ě</w:t>
      </w:r>
      <w:r w:rsidR="00140827" w:rsidRPr="00C715EB">
        <w:t>ru ve výši 1.100 mil. K</w:t>
      </w:r>
      <w:r w:rsidR="00140827" w:rsidRPr="00C715EB">
        <w:rPr>
          <w:rFonts w:hint="eastAsia"/>
        </w:rPr>
        <w:t>č</w:t>
      </w:r>
      <w:r w:rsidR="00140827" w:rsidRPr="00C715EB">
        <w:t xml:space="preserve"> se p</w:t>
      </w:r>
      <w:r w:rsidR="00140827" w:rsidRPr="00C715EB">
        <w:rPr>
          <w:rFonts w:hint="eastAsia"/>
        </w:rPr>
        <w:t>ř</w:t>
      </w:r>
      <w:r w:rsidR="00140827" w:rsidRPr="00C715EB">
        <w:t>edpokládá v roce 2018,</w:t>
      </w:r>
    </w:p>
    <w:p w:rsidR="00C52DC4" w:rsidRPr="00C715EB" w:rsidRDefault="005150C3" w:rsidP="007C1E61">
      <w:pPr>
        <w:pStyle w:val="Bezmezer"/>
        <w:numPr>
          <w:ilvl w:val="0"/>
          <w:numId w:val="7"/>
        </w:numPr>
        <w:ind w:left="284" w:hanging="284"/>
      </w:pPr>
      <w:r w:rsidRPr="00C715EB">
        <w:t>n</w:t>
      </w:r>
      <w:r w:rsidR="00C52DC4" w:rsidRPr="00C715EB">
        <w:t xml:space="preserve">a 1. splátku jistiny úvěru EIB z roku 2010 ve výši 95 mil. Kč, který byl čerpán postupně v letech 2011 – 2015 v celkovém objemu 2.000 mil. Kč, splacení celé výše jistiny úvěru se předpokládá v roce 2025, </w:t>
      </w:r>
    </w:p>
    <w:p w:rsidR="00AA60F2" w:rsidRPr="00A770C9" w:rsidRDefault="00B52D49" w:rsidP="007C1E61">
      <w:pPr>
        <w:pStyle w:val="Bezmezer"/>
        <w:numPr>
          <w:ilvl w:val="0"/>
          <w:numId w:val="7"/>
        </w:numPr>
        <w:ind w:left="284" w:hanging="284"/>
      </w:pPr>
      <w:r w:rsidRPr="00C715EB">
        <w:t xml:space="preserve">splácení jistiny </w:t>
      </w:r>
      <w:r w:rsidR="00140827" w:rsidRPr="00C715EB">
        <w:t>úv</w:t>
      </w:r>
      <w:r w:rsidR="00140827" w:rsidRPr="00C715EB">
        <w:rPr>
          <w:rFonts w:hint="eastAsia"/>
        </w:rPr>
        <w:t>ě</w:t>
      </w:r>
      <w:r w:rsidR="00140827" w:rsidRPr="00C715EB">
        <w:t xml:space="preserve">rového rámce od </w:t>
      </w:r>
      <w:r w:rsidR="00140827" w:rsidRPr="00C715EB">
        <w:rPr>
          <w:rFonts w:hint="eastAsia"/>
          <w:b/>
        </w:rPr>
        <w:t>Č</w:t>
      </w:r>
      <w:r w:rsidR="00AA60F2" w:rsidRPr="00C715EB">
        <w:rPr>
          <w:b/>
        </w:rPr>
        <w:t>eské spořitelny, a.s.</w:t>
      </w:r>
      <w:r w:rsidR="00140827" w:rsidRPr="00C715EB">
        <w:t xml:space="preserve"> </w:t>
      </w:r>
      <w:r w:rsidR="008F7E01" w:rsidRPr="00C715EB">
        <w:t>je p</w:t>
      </w:r>
      <w:r w:rsidR="008F7E01" w:rsidRPr="00C715EB">
        <w:rPr>
          <w:rFonts w:hint="eastAsia"/>
        </w:rPr>
        <w:t>ř</w:t>
      </w:r>
      <w:r w:rsidR="008F7E01" w:rsidRPr="00C715EB">
        <w:t xml:space="preserve">edpokládáno </w:t>
      </w:r>
      <w:r w:rsidR="00245FF3" w:rsidRPr="00C715EB">
        <w:t xml:space="preserve">ve výši </w:t>
      </w:r>
      <w:r w:rsidR="00B02D55" w:rsidRPr="00C715EB">
        <w:t>667</w:t>
      </w:r>
      <w:r w:rsidR="000422AF" w:rsidRPr="00C715EB">
        <w:t> </w:t>
      </w:r>
      <w:r w:rsidR="00140827" w:rsidRPr="00C715EB">
        <w:t>mil.</w:t>
      </w:r>
      <w:r w:rsidR="000422AF" w:rsidRPr="00C715EB">
        <w:t> </w:t>
      </w:r>
      <w:r w:rsidR="00140827" w:rsidRPr="00C715EB">
        <w:t>K</w:t>
      </w:r>
      <w:r w:rsidR="00140827" w:rsidRPr="00C715EB">
        <w:rPr>
          <w:rFonts w:hint="eastAsia"/>
        </w:rPr>
        <w:t>č</w:t>
      </w:r>
      <w:r w:rsidR="00140827" w:rsidRPr="00C715EB">
        <w:t xml:space="preserve"> v souvislosti s p</w:t>
      </w:r>
      <w:r w:rsidR="00140827" w:rsidRPr="00C715EB">
        <w:rPr>
          <w:rFonts w:hint="eastAsia"/>
        </w:rPr>
        <w:t>ř</w:t>
      </w:r>
      <w:r w:rsidR="00140827" w:rsidRPr="00C715EB">
        <w:t>ijetím dotací u projekt</w:t>
      </w:r>
      <w:r w:rsidR="00140827" w:rsidRPr="00C715EB">
        <w:rPr>
          <w:rFonts w:hint="eastAsia"/>
        </w:rPr>
        <w:t>ů</w:t>
      </w:r>
      <w:r w:rsidR="00140827" w:rsidRPr="00C715EB">
        <w:t xml:space="preserve"> spolufinancovaných z evropských zdroj</w:t>
      </w:r>
      <w:r w:rsidR="00140827" w:rsidRPr="00C715EB">
        <w:rPr>
          <w:rFonts w:hint="eastAsia"/>
        </w:rPr>
        <w:t>ů</w:t>
      </w:r>
      <w:r w:rsidR="008F7E01" w:rsidRPr="00C715EB">
        <w:t xml:space="preserve"> a p</w:t>
      </w:r>
      <w:r w:rsidR="008F7E01" w:rsidRPr="00C715EB">
        <w:rPr>
          <w:rFonts w:hint="eastAsia"/>
        </w:rPr>
        <w:t>ř</w:t>
      </w:r>
      <w:r w:rsidR="008F7E01" w:rsidRPr="00C715EB">
        <w:t>edfinancovaných pomoci tohoto úv</w:t>
      </w:r>
      <w:r w:rsidR="008F7E01" w:rsidRPr="00C715EB">
        <w:rPr>
          <w:rFonts w:hint="eastAsia"/>
        </w:rPr>
        <w:t>ě</w:t>
      </w:r>
      <w:r w:rsidR="008F7E01" w:rsidRPr="00C715EB">
        <w:t>ru</w:t>
      </w:r>
      <w:r w:rsidR="00AA60F2" w:rsidRPr="00C715EB">
        <w:t>, navíc je navrženo splatit část jistiny tohoto úvěru ve vý</w:t>
      </w:r>
      <w:r w:rsidR="00B02D55" w:rsidRPr="00C715EB">
        <w:t>ši 90</w:t>
      </w:r>
      <w:r w:rsidR="00AA60F2" w:rsidRPr="00C715EB">
        <w:t xml:space="preserve"> mil. Kč, kterou kraj čerpal na úhradu vlastního podílu kraje u evropských akcí v letech 2014 a 2015</w:t>
      </w:r>
      <w:r w:rsidR="0010076F">
        <w:t>;</w:t>
      </w:r>
      <w:r w:rsidR="00944917" w:rsidRPr="00C715EB">
        <w:t xml:space="preserve"> s úplným doplacením jistiny je pak počítáno do konce </w:t>
      </w:r>
      <w:r w:rsidR="00944917" w:rsidRPr="00A770C9">
        <w:t>roku 201</w:t>
      </w:r>
      <w:r w:rsidR="004944EC" w:rsidRPr="00A770C9">
        <w:t>7</w:t>
      </w:r>
      <w:r w:rsidR="00944917" w:rsidRPr="00A770C9">
        <w:t>,</w:t>
      </w:r>
    </w:p>
    <w:p w:rsidR="00140827" w:rsidRPr="00A770C9" w:rsidRDefault="00AA60F2" w:rsidP="007C1E61">
      <w:pPr>
        <w:pStyle w:val="Bezmezer"/>
        <w:numPr>
          <w:ilvl w:val="0"/>
          <w:numId w:val="7"/>
        </w:numPr>
        <w:ind w:left="284" w:hanging="284"/>
      </w:pPr>
      <w:r w:rsidRPr="00A770C9">
        <w:t xml:space="preserve">splácení části jistiny nového úvěrového rámce od </w:t>
      </w:r>
      <w:r w:rsidRPr="00A770C9">
        <w:rPr>
          <w:b/>
        </w:rPr>
        <w:t>ČSOB</w:t>
      </w:r>
      <w:r w:rsidRPr="00A770C9">
        <w:t xml:space="preserve"> je předpokládáno v</w:t>
      </w:r>
      <w:r w:rsidR="00671149" w:rsidRPr="00A770C9">
        <w:t> </w:t>
      </w:r>
      <w:r w:rsidRPr="00A770C9">
        <w:t xml:space="preserve">celkové výši </w:t>
      </w:r>
      <w:r w:rsidR="00775CDF" w:rsidRPr="00A770C9">
        <w:t>744</w:t>
      </w:r>
      <w:r w:rsidRPr="00A770C9">
        <w:t> mil. Kč</w:t>
      </w:r>
      <w:r w:rsidR="00DE39F1" w:rsidRPr="00A770C9">
        <w:t>, přičemž</w:t>
      </w:r>
      <w:r w:rsidRPr="00A770C9">
        <w:t xml:space="preserve"> v souvislosti s přijetím dotací u projektů spolufinancovaných z evropských zdrojů realizovaných v</w:t>
      </w:r>
      <w:r w:rsidR="00DE39F1" w:rsidRPr="00A770C9">
        <w:t> </w:t>
      </w:r>
      <w:r w:rsidRPr="00A770C9">
        <w:t>rámci</w:t>
      </w:r>
      <w:r w:rsidR="00DE39F1" w:rsidRPr="00A770C9">
        <w:t xml:space="preserve"> končícího programového období </w:t>
      </w:r>
      <w:r w:rsidR="00775CDF" w:rsidRPr="00A770C9">
        <w:t>675</w:t>
      </w:r>
      <w:r w:rsidR="00DE39F1" w:rsidRPr="00A770C9">
        <w:t xml:space="preserve"> mil. K</w:t>
      </w:r>
      <w:r w:rsidR="00DE39F1" w:rsidRPr="00A770C9">
        <w:rPr>
          <w:rFonts w:hint="eastAsia"/>
        </w:rPr>
        <w:t>č</w:t>
      </w:r>
      <w:r w:rsidR="00DE39F1" w:rsidRPr="00A770C9">
        <w:t xml:space="preserve"> a v souvislosti s projekty realizovanými v rámci nového programového o</w:t>
      </w:r>
      <w:r w:rsidR="00775CDF" w:rsidRPr="00A770C9">
        <w:t>bdobí 69</w:t>
      </w:r>
      <w:r w:rsidR="00DE39F1" w:rsidRPr="00A770C9">
        <w:t xml:space="preserve"> mil. Kč.</w:t>
      </w:r>
    </w:p>
    <w:p w:rsidR="005B5003" w:rsidRPr="00A770C9" w:rsidRDefault="005B5003" w:rsidP="005B5003">
      <w:pPr>
        <w:pStyle w:val="Bezmezer"/>
      </w:pPr>
    </w:p>
    <w:p w:rsidR="005B5003" w:rsidRPr="00A770C9" w:rsidRDefault="005B5003" w:rsidP="005B5003">
      <w:pPr>
        <w:pStyle w:val="Bezmezer"/>
        <w:rPr>
          <w:u w:val="single"/>
        </w:rPr>
      </w:pPr>
      <w:r w:rsidRPr="00A770C9">
        <w:rPr>
          <w:u w:val="single"/>
        </w:rPr>
        <w:t>Ostatní</w:t>
      </w:r>
    </w:p>
    <w:p w:rsidR="00E62E65" w:rsidRPr="00A770C9" w:rsidRDefault="00E62E65" w:rsidP="007C1E61">
      <w:pPr>
        <w:pStyle w:val="Bezmezer"/>
        <w:numPr>
          <w:ilvl w:val="0"/>
          <w:numId w:val="7"/>
        </w:numPr>
        <w:ind w:left="284" w:hanging="284"/>
      </w:pPr>
      <w:r w:rsidRPr="00A770C9">
        <w:rPr>
          <w:b/>
        </w:rPr>
        <w:t>využití volných zdroj</w:t>
      </w:r>
      <w:r w:rsidRPr="00A770C9">
        <w:rPr>
          <w:rFonts w:hint="eastAsia"/>
          <w:b/>
        </w:rPr>
        <w:t>ů</w:t>
      </w:r>
      <w:r w:rsidRPr="00A770C9">
        <w:t xml:space="preserve"> </w:t>
      </w:r>
      <w:r w:rsidR="00ED5C00" w:rsidRPr="00A770C9">
        <w:t>–</w:t>
      </w:r>
      <w:r w:rsidRPr="00A770C9">
        <w:t xml:space="preserve"> </w:t>
      </w:r>
      <w:r w:rsidR="00ED5C00" w:rsidRPr="00A770C9">
        <w:t xml:space="preserve">jedná se o </w:t>
      </w:r>
      <w:r w:rsidRPr="00A770C9">
        <w:t>vygenerovan</w:t>
      </w:r>
      <w:r w:rsidR="00ED5C00" w:rsidRPr="00A770C9">
        <w:t>é</w:t>
      </w:r>
      <w:r w:rsidRPr="00A770C9">
        <w:t xml:space="preserve"> úspor</w:t>
      </w:r>
      <w:r w:rsidR="00ED5C00" w:rsidRPr="00A770C9">
        <w:t>y</w:t>
      </w:r>
      <w:r w:rsidRPr="00A770C9">
        <w:t xml:space="preserve"> rozpo</w:t>
      </w:r>
      <w:r w:rsidRPr="00A770C9">
        <w:rPr>
          <w:rFonts w:hint="eastAsia"/>
        </w:rPr>
        <w:t>č</w:t>
      </w:r>
      <w:r w:rsidRPr="00A770C9">
        <w:t>tu kraje roku 201</w:t>
      </w:r>
      <w:r w:rsidR="00944917" w:rsidRPr="00A770C9">
        <w:t>5</w:t>
      </w:r>
      <w:r w:rsidRPr="00A770C9">
        <w:t xml:space="preserve"> v celkové výši </w:t>
      </w:r>
      <w:r w:rsidR="00B02D55" w:rsidRPr="00A770C9">
        <w:t>36</w:t>
      </w:r>
      <w:r w:rsidRPr="00A770C9">
        <w:t xml:space="preserve"> mil. K</w:t>
      </w:r>
      <w:r w:rsidRPr="00A770C9">
        <w:rPr>
          <w:rFonts w:hint="eastAsia"/>
        </w:rPr>
        <w:t>č</w:t>
      </w:r>
      <w:r w:rsidRPr="00A770C9">
        <w:t>,</w:t>
      </w:r>
    </w:p>
    <w:p w:rsidR="00E62E65" w:rsidRPr="00A770C9" w:rsidRDefault="00775CDF" w:rsidP="007C1E61">
      <w:pPr>
        <w:pStyle w:val="Bezmezer"/>
        <w:numPr>
          <w:ilvl w:val="0"/>
          <w:numId w:val="7"/>
        </w:numPr>
        <w:ind w:left="284" w:hanging="284"/>
      </w:pPr>
      <w:r w:rsidRPr="00A770C9">
        <w:rPr>
          <w:b/>
        </w:rPr>
        <w:t>zapojení zdrojů Fondu životního prostředí</w:t>
      </w:r>
      <w:r w:rsidRPr="00A770C9">
        <w:t xml:space="preserve"> </w:t>
      </w:r>
      <w:r w:rsidR="00E90DF5" w:rsidRPr="00A770C9">
        <w:rPr>
          <w:rFonts w:cs="Tahoma"/>
        </w:rPr>
        <w:t xml:space="preserve">pro financování dotačního programu „Kotlíkové dotace v Moravskoslezském kraji“ </w:t>
      </w:r>
      <w:r w:rsidRPr="00A770C9">
        <w:t>ve výši 10 mil. Kč</w:t>
      </w:r>
      <w:r w:rsidR="00944917" w:rsidRPr="00A770C9">
        <w:t>.</w:t>
      </w:r>
    </w:p>
    <w:p w:rsidR="005506AB" w:rsidRPr="00C715EB" w:rsidRDefault="005506AB" w:rsidP="005B5003">
      <w:pPr>
        <w:jc w:val="both"/>
        <w:rPr>
          <w:rFonts w:ascii="Tahoma" w:hAnsi="Tahoma" w:cs="Tahoma"/>
          <w:b/>
          <w:bCs/>
        </w:rPr>
      </w:pPr>
    </w:p>
    <w:p w:rsidR="005B5003" w:rsidRPr="00C715EB" w:rsidRDefault="005B5003" w:rsidP="005B5003">
      <w:pPr>
        <w:jc w:val="both"/>
        <w:rPr>
          <w:rFonts w:ascii="Tahoma" w:hAnsi="Tahoma" w:cs="Tahoma"/>
          <w:b/>
          <w:bCs/>
        </w:rPr>
      </w:pPr>
      <w:r w:rsidRPr="00C715EB">
        <w:rPr>
          <w:rFonts w:ascii="Tahoma" w:hAnsi="Tahoma" w:cs="Tahoma"/>
          <w:b/>
          <w:bCs/>
        </w:rPr>
        <w:t>ZADLUŽENOST KRAJE</w:t>
      </w:r>
    </w:p>
    <w:p w:rsidR="005B5003" w:rsidRPr="00C715EB" w:rsidRDefault="005B5003" w:rsidP="005B5003">
      <w:pPr>
        <w:pStyle w:val="Mjtext"/>
        <w:rPr>
          <w:sz w:val="24"/>
        </w:rPr>
      </w:pPr>
      <w:r w:rsidRPr="00C715EB">
        <w:rPr>
          <w:sz w:val="24"/>
        </w:rPr>
        <w:t>Na základě výše popsaných předpokladů dosáhnou úvěrové závazky kraje k 31.</w:t>
      </w:r>
      <w:r w:rsidR="008828BD" w:rsidRPr="00C715EB">
        <w:rPr>
          <w:sz w:val="24"/>
        </w:rPr>
        <w:t> </w:t>
      </w:r>
      <w:r w:rsidRPr="00C715EB">
        <w:rPr>
          <w:sz w:val="24"/>
        </w:rPr>
        <w:t>12.</w:t>
      </w:r>
      <w:r w:rsidR="008828BD" w:rsidRPr="00C715EB">
        <w:rPr>
          <w:sz w:val="24"/>
        </w:rPr>
        <w:t> </w:t>
      </w:r>
      <w:r w:rsidRPr="00C715EB">
        <w:rPr>
          <w:sz w:val="24"/>
        </w:rPr>
        <w:t>201</w:t>
      </w:r>
      <w:r w:rsidR="005150C3" w:rsidRPr="00C715EB">
        <w:rPr>
          <w:sz w:val="24"/>
        </w:rPr>
        <w:t>6</w:t>
      </w:r>
      <w:r w:rsidRPr="00C715EB">
        <w:rPr>
          <w:sz w:val="24"/>
        </w:rPr>
        <w:t xml:space="preserve"> celkové </w:t>
      </w:r>
      <w:r w:rsidR="001F0EEF" w:rsidRPr="00C715EB">
        <w:rPr>
          <w:sz w:val="24"/>
        </w:rPr>
        <w:t xml:space="preserve">hodnoty </w:t>
      </w:r>
      <w:r w:rsidR="005A50AF" w:rsidRPr="00C715EB">
        <w:rPr>
          <w:sz w:val="24"/>
        </w:rPr>
        <w:t>2.502</w:t>
      </w:r>
      <w:r w:rsidRPr="00C715EB">
        <w:rPr>
          <w:sz w:val="24"/>
        </w:rPr>
        <w:t xml:space="preserve"> mil. Kč.</w:t>
      </w:r>
    </w:p>
    <w:p w:rsidR="005B5003" w:rsidRDefault="005B5003" w:rsidP="005B5003">
      <w:pPr>
        <w:pStyle w:val="Bezmezer"/>
        <w:rPr>
          <w:rFonts w:cs="Tahoma"/>
          <w:szCs w:val="24"/>
        </w:rPr>
      </w:pPr>
      <w:r w:rsidRPr="00C715EB">
        <w:rPr>
          <w:rFonts w:cs="Tahoma"/>
          <w:szCs w:val="24"/>
        </w:rPr>
        <w:t xml:space="preserve">Tab. Vývoj dluhu kraje v mil. </w:t>
      </w:r>
      <w:r w:rsidRPr="00C715EB">
        <w:rPr>
          <w:rFonts w:cs="Tahoma"/>
          <w:smallCaps/>
          <w:szCs w:val="24"/>
        </w:rPr>
        <w:t>Kč</w:t>
      </w:r>
      <w:r w:rsidRPr="00C715EB">
        <w:rPr>
          <w:rFonts w:cs="Tahoma"/>
          <w:szCs w:val="24"/>
        </w:rPr>
        <w:t xml:space="preserve"> </w:t>
      </w:r>
    </w:p>
    <w:tbl>
      <w:tblPr>
        <w:tblW w:w="705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1193"/>
        <w:gridCol w:w="1193"/>
        <w:gridCol w:w="1193"/>
        <w:gridCol w:w="1194"/>
      </w:tblGrid>
      <w:tr w:rsidR="00A3169B" w:rsidRPr="00A3169B" w:rsidTr="00A3169B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9B" w:rsidRPr="00A3169B" w:rsidRDefault="00A3169B" w:rsidP="00A655EF">
            <w:pPr>
              <w:pStyle w:val="Bezmezer"/>
              <w:jc w:val="center"/>
              <w:rPr>
                <w:rFonts w:eastAsia="Times New Roman" w:cs="Tahoma"/>
                <w:szCs w:val="24"/>
                <w:lang w:eastAsia="cs-CZ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9B" w:rsidRPr="00A3169B" w:rsidRDefault="00A3169B" w:rsidP="00A3169B">
            <w:pPr>
              <w:pStyle w:val="Bezmezer"/>
              <w:jc w:val="center"/>
              <w:rPr>
                <w:rFonts w:eastAsia="Times New Roman" w:cs="Tahoma"/>
                <w:szCs w:val="24"/>
                <w:lang w:eastAsia="cs-CZ"/>
              </w:rPr>
            </w:pPr>
            <w:r w:rsidRPr="00A3169B">
              <w:rPr>
                <w:rFonts w:eastAsia="Times New Roman" w:cs="Tahoma"/>
                <w:szCs w:val="24"/>
                <w:lang w:eastAsia="cs-CZ"/>
              </w:rPr>
              <w:t>201</w:t>
            </w:r>
            <w:r>
              <w:rPr>
                <w:rFonts w:eastAsia="Times New Roman" w:cs="Tahoma"/>
                <w:szCs w:val="24"/>
                <w:lang w:eastAsia="cs-CZ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9B" w:rsidRPr="00A3169B" w:rsidRDefault="00A3169B" w:rsidP="00A3169B">
            <w:pPr>
              <w:pStyle w:val="Bezmezer"/>
              <w:jc w:val="center"/>
              <w:rPr>
                <w:rFonts w:eastAsia="Times New Roman" w:cs="Tahoma"/>
                <w:szCs w:val="24"/>
                <w:lang w:eastAsia="cs-CZ"/>
              </w:rPr>
            </w:pPr>
            <w:r w:rsidRPr="00A3169B">
              <w:rPr>
                <w:rFonts w:eastAsia="Times New Roman" w:cs="Tahoma"/>
                <w:szCs w:val="24"/>
                <w:lang w:eastAsia="cs-CZ"/>
              </w:rPr>
              <w:t>201</w:t>
            </w:r>
            <w:r>
              <w:rPr>
                <w:rFonts w:eastAsia="Times New Roman" w:cs="Tahoma"/>
                <w:szCs w:val="24"/>
                <w:lang w:eastAsia="cs-CZ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69B" w:rsidRPr="00A3169B" w:rsidRDefault="00A3169B" w:rsidP="00A3169B">
            <w:pPr>
              <w:pStyle w:val="Bezmezer"/>
              <w:jc w:val="center"/>
              <w:rPr>
                <w:rFonts w:eastAsia="Times New Roman" w:cs="Tahoma"/>
                <w:szCs w:val="24"/>
                <w:lang w:eastAsia="cs-CZ"/>
              </w:rPr>
            </w:pPr>
            <w:r w:rsidRPr="00A3169B">
              <w:rPr>
                <w:rFonts w:eastAsia="Times New Roman" w:cs="Tahoma"/>
                <w:szCs w:val="24"/>
                <w:lang w:eastAsia="cs-CZ"/>
              </w:rPr>
              <w:t>201</w:t>
            </w:r>
            <w:r>
              <w:rPr>
                <w:rFonts w:eastAsia="Times New Roman" w:cs="Tahoma"/>
                <w:szCs w:val="24"/>
                <w:lang w:eastAsia="cs-CZ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9B" w:rsidRPr="00A3169B" w:rsidRDefault="00A3169B" w:rsidP="00A3169B">
            <w:pPr>
              <w:pStyle w:val="Bezmezer"/>
              <w:jc w:val="center"/>
              <w:rPr>
                <w:rFonts w:eastAsia="Times New Roman" w:cs="Tahoma"/>
                <w:szCs w:val="24"/>
                <w:lang w:eastAsia="cs-CZ"/>
              </w:rPr>
            </w:pPr>
            <w:r w:rsidRPr="00A3169B">
              <w:rPr>
                <w:rFonts w:eastAsia="Times New Roman" w:cs="Tahoma"/>
                <w:szCs w:val="24"/>
                <w:lang w:eastAsia="cs-CZ"/>
              </w:rPr>
              <w:t>201</w:t>
            </w:r>
            <w:r>
              <w:rPr>
                <w:rFonts w:eastAsia="Times New Roman" w:cs="Tahoma"/>
                <w:szCs w:val="24"/>
                <w:lang w:eastAsia="cs-CZ"/>
              </w:rPr>
              <w:t>6</w:t>
            </w:r>
          </w:p>
        </w:tc>
      </w:tr>
      <w:tr w:rsidR="00A3169B" w:rsidRPr="00A3169B" w:rsidTr="00A3169B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9B" w:rsidRPr="00A3169B" w:rsidRDefault="00A3169B" w:rsidP="00A3169B">
            <w:pPr>
              <w:pStyle w:val="Bezmezer"/>
              <w:rPr>
                <w:rFonts w:eastAsia="Times New Roman" w:cs="Tahoma"/>
                <w:szCs w:val="24"/>
                <w:lang w:eastAsia="cs-CZ"/>
              </w:rPr>
            </w:pPr>
            <w:r w:rsidRPr="00C715EB">
              <w:rPr>
                <w:rFonts w:cs="Tahoma"/>
                <w:b/>
                <w:szCs w:val="24"/>
              </w:rPr>
              <w:t>výše dluhu</w:t>
            </w:r>
            <w:r w:rsidRPr="00A3169B">
              <w:rPr>
                <w:rFonts w:eastAsia="Times New Roman" w:cs="Tahoma"/>
                <w:szCs w:val="24"/>
                <w:lang w:eastAsia="cs-CZ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9B" w:rsidRPr="00A3169B" w:rsidRDefault="00A3169B" w:rsidP="00A3169B">
            <w:pPr>
              <w:pStyle w:val="Bezmezer"/>
              <w:jc w:val="right"/>
              <w:rPr>
                <w:rFonts w:eastAsia="Times New Roman" w:cs="Tahoma"/>
                <w:szCs w:val="24"/>
                <w:lang w:eastAsia="cs-CZ"/>
              </w:rPr>
            </w:pPr>
            <w:r w:rsidRPr="00C715EB">
              <w:rPr>
                <w:rFonts w:cs="Tahoma"/>
                <w:b/>
                <w:szCs w:val="24"/>
              </w:rPr>
              <w:t>2.187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9B" w:rsidRPr="00A3169B" w:rsidRDefault="00A3169B" w:rsidP="00A3169B">
            <w:pPr>
              <w:pStyle w:val="Bezmezer"/>
              <w:jc w:val="right"/>
              <w:rPr>
                <w:rFonts w:eastAsia="Times New Roman" w:cs="Tahoma"/>
                <w:szCs w:val="24"/>
                <w:lang w:eastAsia="cs-CZ"/>
              </w:rPr>
            </w:pPr>
            <w:r w:rsidRPr="00C715EB">
              <w:rPr>
                <w:rFonts w:cs="Tahoma"/>
                <w:b/>
                <w:szCs w:val="24"/>
              </w:rPr>
              <w:t>2.656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69B" w:rsidRPr="00A3169B" w:rsidRDefault="00A3169B" w:rsidP="00A3169B">
            <w:pPr>
              <w:pStyle w:val="Bezmezer"/>
              <w:jc w:val="right"/>
              <w:rPr>
                <w:rFonts w:eastAsia="Times New Roman" w:cs="Tahoma"/>
                <w:szCs w:val="24"/>
                <w:lang w:eastAsia="cs-CZ"/>
              </w:rPr>
            </w:pPr>
            <w:r w:rsidRPr="00C715EB">
              <w:rPr>
                <w:rFonts w:cs="Tahoma"/>
                <w:b/>
                <w:szCs w:val="24"/>
              </w:rPr>
              <w:t>3.789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9B" w:rsidRPr="00A3169B" w:rsidRDefault="00A3169B" w:rsidP="00A3169B">
            <w:pPr>
              <w:pStyle w:val="Bezmezer"/>
              <w:jc w:val="right"/>
              <w:rPr>
                <w:rFonts w:eastAsia="Times New Roman" w:cs="Tahoma"/>
                <w:szCs w:val="24"/>
                <w:lang w:eastAsia="cs-CZ"/>
              </w:rPr>
            </w:pPr>
            <w:r w:rsidRPr="00C715EB">
              <w:rPr>
                <w:rFonts w:cs="Tahoma"/>
                <w:b/>
                <w:szCs w:val="24"/>
              </w:rPr>
              <w:t>2.502</w:t>
            </w:r>
          </w:p>
        </w:tc>
      </w:tr>
    </w:tbl>
    <w:p w:rsidR="00A3169B" w:rsidRPr="00C715EB" w:rsidRDefault="00A3169B" w:rsidP="005B5003">
      <w:pPr>
        <w:pStyle w:val="Bezmezer"/>
        <w:rPr>
          <w:rFonts w:cs="Tahoma"/>
          <w:szCs w:val="24"/>
        </w:rPr>
      </w:pPr>
    </w:p>
    <w:p w:rsidR="005B5003" w:rsidRPr="00C715EB" w:rsidRDefault="005B5003" w:rsidP="005506AB">
      <w:pPr>
        <w:pStyle w:val="Mjtext"/>
        <w:spacing w:before="0" w:after="0"/>
        <w:rPr>
          <w:b/>
          <w:sz w:val="24"/>
        </w:rPr>
      </w:pPr>
      <w:r w:rsidRPr="00C715EB">
        <w:rPr>
          <w:b/>
          <w:sz w:val="24"/>
        </w:rPr>
        <w:t xml:space="preserve">Pro </w:t>
      </w:r>
      <w:r w:rsidR="00ED5C00" w:rsidRPr="00C715EB">
        <w:rPr>
          <w:b/>
          <w:sz w:val="24"/>
        </w:rPr>
        <w:t xml:space="preserve">potřeby </w:t>
      </w:r>
      <w:r w:rsidRPr="00C715EB">
        <w:rPr>
          <w:b/>
          <w:sz w:val="24"/>
        </w:rPr>
        <w:t>sestavení rozpočtu kraje na rok 201</w:t>
      </w:r>
      <w:r w:rsidR="005150C3" w:rsidRPr="00C715EB">
        <w:rPr>
          <w:b/>
          <w:sz w:val="24"/>
        </w:rPr>
        <w:t>6</w:t>
      </w:r>
      <w:r w:rsidRPr="00C715EB">
        <w:rPr>
          <w:b/>
          <w:sz w:val="24"/>
        </w:rPr>
        <w:t xml:space="preserve"> se nepočítá s přijetím dalšího nového úvěru.  </w:t>
      </w:r>
    </w:p>
    <w:p w:rsidR="005506AB" w:rsidRPr="00C715EB" w:rsidRDefault="005506AB" w:rsidP="005506AB">
      <w:pPr>
        <w:pStyle w:val="Mjtext"/>
        <w:spacing w:before="0" w:after="0"/>
        <w:rPr>
          <w:sz w:val="22"/>
        </w:rPr>
      </w:pPr>
    </w:p>
    <w:p w:rsidR="005B5003" w:rsidRPr="00C715EB" w:rsidRDefault="00DE7808" w:rsidP="005B5003">
      <w:pPr>
        <w:jc w:val="both"/>
        <w:rPr>
          <w:rFonts w:ascii="Tahoma" w:hAnsi="Tahoma" w:cs="Tahoma"/>
          <w:bCs/>
          <w:sz w:val="24"/>
          <w:szCs w:val="24"/>
          <w:u w:val="single"/>
        </w:rPr>
      </w:pPr>
      <w:r>
        <w:rPr>
          <w:rFonts w:ascii="Tahoma" w:hAnsi="Tahoma" w:cs="Tahoma"/>
          <w:bCs/>
          <w:sz w:val="24"/>
          <w:szCs w:val="24"/>
          <w:u w:val="single"/>
        </w:rPr>
        <w:lastRenderedPageBreak/>
        <w:t>U</w:t>
      </w:r>
      <w:r w:rsidR="005B5003" w:rsidRPr="00C715EB">
        <w:rPr>
          <w:rFonts w:ascii="Tahoma" w:hAnsi="Tahoma" w:cs="Tahoma"/>
          <w:bCs/>
          <w:sz w:val="24"/>
          <w:szCs w:val="24"/>
          <w:u w:val="single"/>
        </w:rPr>
        <w:t>kazatele zadluženosti kraje</w:t>
      </w:r>
    </w:p>
    <w:p w:rsidR="005B5003" w:rsidRPr="00C715EB" w:rsidRDefault="005B5003" w:rsidP="005B5003">
      <w:pPr>
        <w:pStyle w:val="Mjtext"/>
        <w:rPr>
          <w:sz w:val="24"/>
        </w:rPr>
      </w:pPr>
      <w:r w:rsidRPr="00C715EB">
        <w:rPr>
          <w:sz w:val="24"/>
        </w:rPr>
        <w:t xml:space="preserve">Krajem jsou pravidelně sledovány a vyhodnocovány ukazatele zadluženosti podle dvou metodik renomovaných mezinárodních </w:t>
      </w:r>
      <w:r w:rsidR="001D1516" w:rsidRPr="00C715EB">
        <w:rPr>
          <w:sz w:val="24"/>
        </w:rPr>
        <w:t xml:space="preserve">finančních </w:t>
      </w:r>
      <w:r w:rsidRPr="00C715EB">
        <w:rPr>
          <w:sz w:val="24"/>
        </w:rPr>
        <w:t>společností.</w:t>
      </w:r>
    </w:p>
    <w:p w:rsidR="005B5003" w:rsidRPr="00C715EB" w:rsidRDefault="005B5003" w:rsidP="005B5003">
      <w:pPr>
        <w:pStyle w:val="Mjtext"/>
        <w:rPr>
          <w:sz w:val="24"/>
        </w:rPr>
      </w:pPr>
      <w:r w:rsidRPr="00C715EB">
        <w:rPr>
          <w:sz w:val="24"/>
        </w:rPr>
        <w:t xml:space="preserve">Ukazatel zadluženosti dle společnosti </w:t>
      </w:r>
      <w:proofErr w:type="spellStart"/>
      <w:r w:rsidRPr="00C715EB">
        <w:rPr>
          <w:sz w:val="24"/>
        </w:rPr>
        <w:t>Moody´s</w:t>
      </w:r>
      <w:proofErr w:type="spellEnd"/>
      <w:r w:rsidRPr="00C715EB">
        <w:rPr>
          <w:sz w:val="24"/>
        </w:rPr>
        <w:t xml:space="preserve"> </w:t>
      </w:r>
      <w:proofErr w:type="spellStart"/>
      <w:r w:rsidRPr="00C715EB">
        <w:rPr>
          <w:sz w:val="24"/>
        </w:rPr>
        <w:t>Investors</w:t>
      </w:r>
      <w:proofErr w:type="spellEnd"/>
      <w:r w:rsidRPr="00C715EB">
        <w:rPr>
          <w:sz w:val="24"/>
        </w:rPr>
        <w:t xml:space="preserve"> </w:t>
      </w:r>
      <w:proofErr w:type="spellStart"/>
      <w:r w:rsidRPr="00C715EB">
        <w:rPr>
          <w:sz w:val="24"/>
        </w:rPr>
        <w:t>Service</w:t>
      </w:r>
      <w:proofErr w:type="spellEnd"/>
      <w:r w:rsidRPr="00C715EB">
        <w:rPr>
          <w:sz w:val="24"/>
        </w:rPr>
        <w:t>, který je využíván při přehodnocování mezinárodního ratingu kraje, dosáh</w:t>
      </w:r>
      <w:r w:rsidR="000B7E36" w:rsidRPr="00C715EB">
        <w:rPr>
          <w:sz w:val="24"/>
        </w:rPr>
        <w:t>ne ke konci roku 2015 hodnoty cca 2</w:t>
      </w:r>
      <w:r w:rsidR="00A92642">
        <w:rPr>
          <w:sz w:val="24"/>
        </w:rPr>
        <w:t>2</w:t>
      </w:r>
      <w:r w:rsidR="000B7E36" w:rsidRPr="00C715EB">
        <w:rPr>
          <w:sz w:val="24"/>
        </w:rPr>
        <w:t xml:space="preserve"> %, což je vyvoláno dokončováním významných projektů realizovaných v rámci končícího programového období.</w:t>
      </w:r>
      <w:r w:rsidR="004F34EB" w:rsidRPr="00C715EB">
        <w:rPr>
          <w:sz w:val="24"/>
        </w:rPr>
        <w:t xml:space="preserve"> </w:t>
      </w:r>
      <w:r w:rsidR="009860CB" w:rsidRPr="00C715EB">
        <w:rPr>
          <w:sz w:val="24"/>
        </w:rPr>
        <w:t>Ukazatel j</w:t>
      </w:r>
      <w:r w:rsidRPr="00C715EB">
        <w:rPr>
          <w:sz w:val="24"/>
        </w:rPr>
        <w:t>e vyjádřen jako podíl dluhu (tj. hodnota všech ve skutečnosti krajem načerpaných a nesplacených úvěrů) k provozním příjmům kraje (tj. příjmům daňovým, nedaňovým a</w:t>
      </w:r>
      <w:r w:rsidR="00DD31F2">
        <w:rPr>
          <w:sz w:val="24"/>
        </w:rPr>
        <w:t> </w:t>
      </w:r>
      <w:r w:rsidRPr="00C715EB">
        <w:rPr>
          <w:sz w:val="24"/>
        </w:rPr>
        <w:t>neinvestičním dotacím). Pro udržení ratingu kraje na současné úrovni A2 je zástupci této společnosti doporučováno dlouhodobě nepřekr</w:t>
      </w:r>
      <w:r w:rsidR="003857DD" w:rsidRPr="00C715EB">
        <w:rPr>
          <w:sz w:val="24"/>
        </w:rPr>
        <w:t xml:space="preserve">ačovat </w:t>
      </w:r>
      <w:r w:rsidRPr="00C715EB">
        <w:rPr>
          <w:sz w:val="24"/>
        </w:rPr>
        <w:t xml:space="preserve">hodnotu 20 %. </w:t>
      </w:r>
      <w:r w:rsidR="000B7E36" w:rsidRPr="00C715EB">
        <w:rPr>
          <w:sz w:val="24"/>
        </w:rPr>
        <w:t xml:space="preserve">V roce 2016 by již mělo dojít k výraznému snížení </w:t>
      </w:r>
      <w:r w:rsidR="004F34EB" w:rsidRPr="00C715EB">
        <w:rPr>
          <w:sz w:val="24"/>
        </w:rPr>
        <w:t xml:space="preserve">hodnoty tohoto ukazatele, a to těsně pod 15 %. </w:t>
      </w:r>
    </w:p>
    <w:p w:rsidR="009860CB" w:rsidRPr="00C715EB" w:rsidRDefault="009860CB" w:rsidP="005B5003">
      <w:pPr>
        <w:pStyle w:val="Bezmezer"/>
        <w:rPr>
          <w:rFonts w:cs="Tahoma"/>
          <w:szCs w:val="24"/>
        </w:rPr>
      </w:pPr>
    </w:p>
    <w:p w:rsidR="005B5003" w:rsidRDefault="005B5003" w:rsidP="005B5003">
      <w:pPr>
        <w:pStyle w:val="Bezmezer"/>
        <w:rPr>
          <w:rFonts w:cs="Tahoma"/>
          <w:szCs w:val="24"/>
        </w:rPr>
      </w:pPr>
      <w:r w:rsidRPr="00C715EB">
        <w:rPr>
          <w:rFonts w:cs="Tahoma"/>
          <w:szCs w:val="24"/>
        </w:rPr>
        <w:t xml:space="preserve">Tab. Výše zadlužení dle metodiky společnosti </w:t>
      </w:r>
      <w:proofErr w:type="spellStart"/>
      <w:r w:rsidRPr="00C715EB">
        <w:rPr>
          <w:rFonts w:cs="Tahoma"/>
          <w:szCs w:val="24"/>
        </w:rPr>
        <w:t>Moody´s</w:t>
      </w:r>
      <w:proofErr w:type="spellEnd"/>
      <w:r w:rsidRPr="00C715EB">
        <w:rPr>
          <w:rFonts w:cs="Tahoma"/>
          <w:szCs w:val="24"/>
        </w:rPr>
        <w:t xml:space="preserve"> </w:t>
      </w:r>
      <w:proofErr w:type="spellStart"/>
      <w:r w:rsidRPr="00C715EB">
        <w:rPr>
          <w:rFonts w:cs="Tahoma"/>
          <w:szCs w:val="24"/>
        </w:rPr>
        <w:t>Investors</w:t>
      </w:r>
      <w:proofErr w:type="spellEnd"/>
      <w:r w:rsidRPr="00C715EB">
        <w:rPr>
          <w:rFonts w:cs="Tahoma"/>
          <w:szCs w:val="24"/>
        </w:rPr>
        <w:t xml:space="preserve"> </w:t>
      </w:r>
      <w:proofErr w:type="spellStart"/>
      <w:r w:rsidRPr="00C715EB">
        <w:rPr>
          <w:rFonts w:cs="Tahoma"/>
          <w:szCs w:val="24"/>
        </w:rPr>
        <w:t>Service</w:t>
      </w:r>
      <w:proofErr w:type="spellEnd"/>
    </w:p>
    <w:tbl>
      <w:tblPr>
        <w:tblW w:w="667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205"/>
        <w:gridCol w:w="1205"/>
        <w:gridCol w:w="1205"/>
        <w:gridCol w:w="1205"/>
      </w:tblGrid>
      <w:tr w:rsidR="00C901A2" w:rsidRPr="00A3169B" w:rsidTr="00C901A2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A2" w:rsidRPr="00A3169B" w:rsidRDefault="00C901A2" w:rsidP="00A655EF">
            <w:pPr>
              <w:pStyle w:val="Bezmezer"/>
              <w:jc w:val="center"/>
              <w:rPr>
                <w:rFonts w:eastAsia="Times New Roman" w:cs="Tahoma"/>
                <w:szCs w:val="24"/>
                <w:lang w:eastAsia="cs-CZ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A2" w:rsidRPr="00A3169B" w:rsidRDefault="00C901A2" w:rsidP="00E05127">
            <w:pPr>
              <w:pStyle w:val="Bezmezer"/>
              <w:jc w:val="center"/>
              <w:rPr>
                <w:rFonts w:eastAsia="Times New Roman" w:cs="Tahoma"/>
                <w:szCs w:val="24"/>
                <w:lang w:eastAsia="cs-CZ"/>
              </w:rPr>
            </w:pPr>
            <w:r w:rsidRPr="00A3169B">
              <w:rPr>
                <w:rFonts w:eastAsia="Times New Roman" w:cs="Tahoma"/>
                <w:szCs w:val="24"/>
                <w:lang w:eastAsia="cs-CZ"/>
              </w:rPr>
              <w:t>201</w:t>
            </w:r>
            <w:r>
              <w:rPr>
                <w:rFonts w:eastAsia="Times New Roman" w:cs="Tahoma"/>
                <w:szCs w:val="24"/>
                <w:lang w:eastAsia="cs-CZ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A2" w:rsidRPr="00A3169B" w:rsidRDefault="00C901A2" w:rsidP="00E05127">
            <w:pPr>
              <w:pStyle w:val="Bezmezer"/>
              <w:jc w:val="center"/>
              <w:rPr>
                <w:rFonts w:eastAsia="Times New Roman" w:cs="Tahoma"/>
                <w:szCs w:val="24"/>
                <w:lang w:eastAsia="cs-CZ"/>
              </w:rPr>
            </w:pPr>
            <w:r w:rsidRPr="00A3169B">
              <w:rPr>
                <w:rFonts w:eastAsia="Times New Roman" w:cs="Tahoma"/>
                <w:szCs w:val="24"/>
                <w:lang w:eastAsia="cs-CZ"/>
              </w:rPr>
              <w:t>201</w:t>
            </w:r>
            <w:r>
              <w:rPr>
                <w:rFonts w:eastAsia="Times New Roman" w:cs="Tahoma"/>
                <w:szCs w:val="24"/>
                <w:lang w:eastAsia="cs-CZ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1A2" w:rsidRPr="00A3169B" w:rsidRDefault="00C901A2" w:rsidP="00E05127">
            <w:pPr>
              <w:pStyle w:val="Bezmezer"/>
              <w:jc w:val="center"/>
              <w:rPr>
                <w:rFonts w:eastAsia="Times New Roman" w:cs="Tahoma"/>
                <w:szCs w:val="24"/>
                <w:lang w:eastAsia="cs-CZ"/>
              </w:rPr>
            </w:pPr>
            <w:r w:rsidRPr="00A3169B">
              <w:rPr>
                <w:rFonts w:eastAsia="Times New Roman" w:cs="Tahoma"/>
                <w:szCs w:val="24"/>
                <w:lang w:eastAsia="cs-CZ"/>
              </w:rPr>
              <w:t>201</w:t>
            </w:r>
            <w:r>
              <w:rPr>
                <w:rFonts w:eastAsia="Times New Roman" w:cs="Tahoma"/>
                <w:szCs w:val="24"/>
                <w:lang w:eastAsia="cs-CZ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A2" w:rsidRPr="00A3169B" w:rsidRDefault="00C901A2" w:rsidP="00E05127">
            <w:pPr>
              <w:pStyle w:val="Bezmezer"/>
              <w:jc w:val="center"/>
              <w:rPr>
                <w:rFonts w:eastAsia="Times New Roman" w:cs="Tahoma"/>
                <w:szCs w:val="24"/>
                <w:lang w:eastAsia="cs-CZ"/>
              </w:rPr>
            </w:pPr>
            <w:r w:rsidRPr="00A3169B">
              <w:rPr>
                <w:rFonts w:eastAsia="Times New Roman" w:cs="Tahoma"/>
                <w:szCs w:val="24"/>
                <w:lang w:eastAsia="cs-CZ"/>
              </w:rPr>
              <w:t>201</w:t>
            </w:r>
            <w:r>
              <w:rPr>
                <w:rFonts w:eastAsia="Times New Roman" w:cs="Tahoma"/>
                <w:szCs w:val="24"/>
                <w:lang w:eastAsia="cs-CZ"/>
              </w:rPr>
              <w:t>6</w:t>
            </w:r>
          </w:p>
        </w:tc>
      </w:tr>
      <w:tr w:rsidR="00C901A2" w:rsidRPr="00A3169B" w:rsidTr="00C901A2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A2" w:rsidRPr="00A3169B" w:rsidRDefault="00C901A2" w:rsidP="00A655EF">
            <w:pPr>
              <w:pStyle w:val="Bezmezer"/>
              <w:rPr>
                <w:rFonts w:eastAsia="Times New Roman" w:cs="Tahoma"/>
                <w:szCs w:val="24"/>
                <w:lang w:eastAsia="cs-CZ"/>
              </w:rPr>
            </w:pPr>
            <w:r w:rsidRPr="00C715EB">
              <w:rPr>
                <w:rFonts w:cs="Tahoma"/>
                <w:b/>
                <w:szCs w:val="24"/>
              </w:rPr>
              <w:t>zadluženost</w:t>
            </w:r>
            <w:r w:rsidRPr="00A3169B">
              <w:rPr>
                <w:rFonts w:eastAsia="Times New Roman" w:cs="Tahoma"/>
                <w:szCs w:val="24"/>
                <w:lang w:eastAsia="cs-CZ"/>
              </w:rPr>
              <w:t xml:space="preserve">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A2" w:rsidRPr="00A3169B" w:rsidRDefault="00C901A2" w:rsidP="00E05127">
            <w:pPr>
              <w:pStyle w:val="Bezmezer"/>
              <w:jc w:val="center"/>
              <w:rPr>
                <w:rFonts w:eastAsia="Times New Roman" w:cs="Tahoma"/>
                <w:szCs w:val="24"/>
                <w:lang w:eastAsia="cs-CZ"/>
              </w:rPr>
            </w:pPr>
            <w:r w:rsidRPr="00C715EB">
              <w:rPr>
                <w:rFonts w:cs="Tahoma"/>
                <w:b/>
                <w:szCs w:val="24"/>
              </w:rPr>
              <w:t>14</w:t>
            </w:r>
            <w:r>
              <w:rPr>
                <w:rFonts w:cs="Tahoma"/>
                <w:b/>
                <w:szCs w:val="24"/>
              </w:rPr>
              <w:t>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A2" w:rsidRPr="00A3169B" w:rsidRDefault="00C901A2" w:rsidP="00E05127">
            <w:pPr>
              <w:pStyle w:val="Bezmezer"/>
              <w:jc w:val="center"/>
              <w:rPr>
                <w:rFonts w:eastAsia="Times New Roman" w:cs="Tahoma"/>
                <w:szCs w:val="24"/>
                <w:lang w:eastAsia="cs-CZ"/>
              </w:rPr>
            </w:pPr>
            <w:r w:rsidRPr="00C715EB">
              <w:rPr>
                <w:rFonts w:cs="Tahoma"/>
                <w:b/>
                <w:szCs w:val="24"/>
              </w:rPr>
              <w:t>17%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01A2" w:rsidRPr="00A3169B" w:rsidRDefault="00C901A2" w:rsidP="00A92642">
            <w:pPr>
              <w:pStyle w:val="Bezmezer"/>
              <w:jc w:val="center"/>
              <w:rPr>
                <w:rFonts w:eastAsia="Times New Roman" w:cs="Tahoma"/>
                <w:szCs w:val="24"/>
                <w:lang w:eastAsia="cs-CZ"/>
              </w:rPr>
            </w:pPr>
            <w:r w:rsidRPr="00C715EB">
              <w:rPr>
                <w:rFonts w:cs="Tahoma"/>
                <w:b/>
                <w:szCs w:val="24"/>
              </w:rPr>
              <w:t>2</w:t>
            </w:r>
            <w:r w:rsidR="00A92642">
              <w:rPr>
                <w:rFonts w:cs="Tahoma"/>
                <w:b/>
                <w:szCs w:val="24"/>
              </w:rPr>
              <w:t>2</w:t>
            </w:r>
            <w:r w:rsidRPr="00C715EB">
              <w:rPr>
                <w:rFonts w:cs="Tahoma"/>
                <w:b/>
                <w:szCs w:val="24"/>
              </w:rPr>
              <w:t>%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1A2" w:rsidRPr="00A3169B" w:rsidRDefault="00C901A2" w:rsidP="00E05127">
            <w:pPr>
              <w:pStyle w:val="Bezmezer"/>
              <w:jc w:val="center"/>
              <w:rPr>
                <w:rFonts w:eastAsia="Times New Roman" w:cs="Tahoma"/>
                <w:szCs w:val="24"/>
                <w:lang w:eastAsia="cs-CZ"/>
              </w:rPr>
            </w:pPr>
            <w:r w:rsidRPr="00C715EB">
              <w:rPr>
                <w:rFonts w:cs="Tahoma"/>
                <w:b/>
                <w:szCs w:val="24"/>
              </w:rPr>
              <w:t>15%</w:t>
            </w:r>
          </w:p>
        </w:tc>
      </w:tr>
    </w:tbl>
    <w:p w:rsidR="005B5003" w:rsidRPr="00C715EB" w:rsidRDefault="005B5003" w:rsidP="005B5003">
      <w:pPr>
        <w:jc w:val="both"/>
        <w:rPr>
          <w:rFonts w:ascii="Tahoma" w:hAnsi="Tahoma" w:cs="Tahoma"/>
        </w:rPr>
      </w:pPr>
    </w:p>
    <w:p w:rsidR="005B5003" w:rsidRPr="00C715EB" w:rsidRDefault="005B5003" w:rsidP="005B5003">
      <w:pPr>
        <w:pStyle w:val="Mjtext"/>
        <w:rPr>
          <w:sz w:val="24"/>
        </w:rPr>
      </w:pPr>
      <w:r w:rsidRPr="00C715EB">
        <w:rPr>
          <w:sz w:val="24"/>
        </w:rPr>
        <w:t>K plnění dalšího ukazatele je kraj zavázán Smlouvou o financování projektu Česká republika – Infrastruktura v Moravskoslezském kraji, o jejímž uzavření s EIB rozhodlo zastupitelstvo kraje usnesením č. 5/209/1 ze dne 23. 6. 2005</w:t>
      </w:r>
      <w:r w:rsidR="003857DD" w:rsidRPr="00C715EB">
        <w:rPr>
          <w:sz w:val="24"/>
        </w:rPr>
        <w:t>.</w:t>
      </w:r>
      <w:r w:rsidRPr="00C715EB">
        <w:rPr>
          <w:sz w:val="24"/>
        </w:rPr>
        <w:t xml:space="preserve"> </w:t>
      </w:r>
      <w:r w:rsidR="003857DD" w:rsidRPr="00C715EB">
        <w:rPr>
          <w:sz w:val="24"/>
        </w:rPr>
        <w:t xml:space="preserve">Současně </w:t>
      </w:r>
      <w:r w:rsidRPr="00C715EB">
        <w:rPr>
          <w:sz w:val="24"/>
        </w:rPr>
        <w:t>usnesením č. 6/415 ze dne 19. 9. 2013 konstatovalo, že považuje omezení výše zadluženosti kraje stanovené na základě finančních ukazatelů definovaných v</w:t>
      </w:r>
      <w:r w:rsidR="003857DD" w:rsidRPr="00C715EB">
        <w:rPr>
          <w:sz w:val="24"/>
        </w:rPr>
        <w:t> této s</w:t>
      </w:r>
      <w:r w:rsidRPr="00C715EB">
        <w:rPr>
          <w:sz w:val="24"/>
        </w:rPr>
        <w:t>mlouvě za dostačující. Ukazatel je vyjádřen jako podíl celkového zadlužení k provozním příjmům. Hraniční hodnotou je v tomto případě 50 %. Do hodnoty celkového zadlužení se zde započítávají veškeré finanční závazky, tedy nejen závazky úvěrové, ale i poskytnuté záruky a dále ostatní dlouhodobé závazky. Do hodnoty provozních příjmů se pak započítávají příjmy daňové, nedaňové a</w:t>
      </w:r>
      <w:r w:rsidR="001F0EEF" w:rsidRPr="00C715EB">
        <w:rPr>
          <w:sz w:val="24"/>
        </w:rPr>
        <w:t> provozní dotace. K 31. 12. 2015</w:t>
      </w:r>
      <w:r w:rsidRPr="00C715EB">
        <w:rPr>
          <w:sz w:val="24"/>
        </w:rPr>
        <w:t xml:space="preserve"> dosá</w:t>
      </w:r>
      <w:r w:rsidR="001F0EEF" w:rsidRPr="00C715EB">
        <w:rPr>
          <w:sz w:val="24"/>
        </w:rPr>
        <w:t>hne</w:t>
      </w:r>
      <w:r w:rsidRPr="00C715EB">
        <w:rPr>
          <w:sz w:val="24"/>
        </w:rPr>
        <w:t xml:space="preserve"> tento ukazatel hodnoty</w:t>
      </w:r>
      <w:r w:rsidR="001F0EEF" w:rsidRPr="00C715EB">
        <w:rPr>
          <w:sz w:val="24"/>
        </w:rPr>
        <w:t xml:space="preserve"> cca</w:t>
      </w:r>
      <w:r w:rsidRPr="00C715EB">
        <w:rPr>
          <w:sz w:val="24"/>
        </w:rPr>
        <w:t xml:space="preserve"> </w:t>
      </w:r>
      <w:r w:rsidR="000812BB" w:rsidRPr="00C715EB">
        <w:rPr>
          <w:sz w:val="24"/>
        </w:rPr>
        <w:t>25</w:t>
      </w:r>
      <w:r w:rsidRPr="00C715EB">
        <w:rPr>
          <w:sz w:val="24"/>
        </w:rPr>
        <w:t> %.</w:t>
      </w:r>
    </w:p>
    <w:p w:rsidR="005B5003" w:rsidRPr="00C715EB" w:rsidRDefault="001F0EEF" w:rsidP="005B5003">
      <w:pPr>
        <w:pStyle w:val="Mjtext"/>
        <w:rPr>
          <w:sz w:val="24"/>
        </w:rPr>
      </w:pPr>
      <w:r w:rsidRPr="00C715EB">
        <w:rPr>
          <w:sz w:val="24"/>
        </w:rPr>
        <w:t>Očekáváme, že v roce 2016</w:t>
      </w:r>
      <w:r w:rsidR="000812BB" w:rsidRPr="00C715EB">
        <w:rPr>
          <w:sz w:val="24"/>
        </w:rPr>
        <w:t xml:space="preserve"> hodnota tohoto ukazatele klesne pod 18</w:t>
      </w:r>
      <w:r w:rsidR="005B5003" w:rsidRPr="00C715EB">
        <w:rPr>
          <w:sz w:val="24"/>
        </w:rPr>
        <w:t xml:space="preserve"> %. </w:t>
      </w:r>
    </w:p>
    <w:p w:rsidR="007A2347" w:rsidRPr="00C715EB" w:rsidRDefault="007A2347" w:rsidP="000B7E36">
      <w:pPr>
        <w:pStyle w:val="Bezmezer"/>
        <w:rPr>
          <w:i/>
        </w:rPr>
      </w:pPr>
    </w:p>
    <w:sectPr w:rsidR="007A2347" w:rsidRPr="00C715EB" w:rsidSect="008C2072">
      <w:footerReference w:type="default" r:id="rId13"/>
      <w:footerReference w:type="first" r:id="rId1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FB9" w:rsidRDefault="00440FB9" w:rsidP="00CE65D9">
      <w:pPr>
        <w:spacing w:after="0" w:line="240" w:lineRule="auto"/>
      </w:pPr>
      <w:r>
        <w:separator/>
      </w:r>
    </w:p>
  </w:endnote>
  <w:endnote w:type="continuationSeparator" w:id="0">
    <w:p w:rsidR="00440FB9" w:rsidRDefault="00440FB9" w:rsidP="00CE6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8827575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B12C52" w:rsidRPr="009730F7" w:rsidRDefault="00B12C52">
        <w:pPr>
          <w:pStyle w:val="Zpat"/>
          <w:jc w:val="center"/>
          <w:rPr>
            <w:rFonts w:ascii="Tahoma" w:hAnsi="Tahoma" w:cs="Tahoma"/>
            <w:sz w:val="20"/>
            <w:szCs w:val="20"/>
          </w:rPr>
        </w:pPr>
        <w:r w:rsidRPr="009730F7">
          <w:rPr>
            <w:rFonts w:ascii="Tahoma" w:hAnsi="Tahoma" w:cs="Tahoma"/>
            <w:sz w:val="20"/>
            <w:szCs w:val="20"/>
          </w:rPr>
          <w:fldChar w:fldCharType="begin"/>
        </w:r>
        <w:r w:rsidRPr="009730F7">
          <w:rPr>
            <w:rFonts w:ascii="Tahoma" w:hAnsi="Tahoma" w:cs="Tahoma"/>
            <w:sz w:val="20"/>
            <w:szCs w:val="20"/>
          </w:rPr>
          <w:instrText xml:space="preserve"> PAGE   \* MERGEFORMAT </w:instrText>
        </w:r>
        <w:r w:rsidRPr="009730F7">
          <w:rPr>
            <w:rFonts w:ascii="Tahoma" w:hAnsi="Tahoma" w:cs="Tahoma"/>
            <w:sz w:val="20"/>
            <w:szCs w:val="20"/>
          </w:rPr>
          <w:fldChar w:fldCharType="separate"/>
        </w:r>
        <w:r w:rsidR="00665923">
          <w:rPr>
            <w:rFonts w:ascii="Tahoma" w:hAnsi="Tahoma" w:cs="Tahoma"/>
            <w:noProof/>
            <w:sz w:val="20"/>
            <w:szCs w:val="20"/>
          </w:rPr>
          <w:t>2</w:t>
        </w:r>
        <w:r w:rsidRPr="009730F7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B12C52" w:rsidRDefault="00B12C5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4026432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9730F7" w:rsidRPr="009730F7" w:rsidRDefault="009730F7">
        <w:pPr>
          <w:pStyle w:val="Zpat"/>
          <w:jc w:val="center"/>
          <w:rPr>
            <w:rFonts w:ascii="Tahoma" w:hAnsi="Tahoma" w:cs="Tahoma"/>
            <w:sz w:val="20"/>
            <w:szCs w:val="20"/>
          </w:rPr>
        </w:pPr>
        <w:r w:rsidRPr="009730F7">
          <w:rPr>
            <w:rFonts w:ascii="Tahoma" w:hAnsi="Tahoma" w:cs="Tahoma"/>
            <w:sz w:val="20"/>
            <w:szCs w:val="20"/>
          </w:rPr>
          <w:fldChar w:fldCharType="begin"/>
        </w:r>
        <w:r w:rsidRPr="009730F7">
          <w:rPr>
            <w:rFonts w:ascii="Tahoma" w:hAnsi="Tahoma" w:cs="Tahoma"/>
            <w:sz w:val="20"/>
            <w:szCs w:val="20"/>
          </w:rPr>
          <w:instrText>PAGE   \* MERGEFORMAT</w:instrText>
        </w:r>
        <w:r w:rsidRPr="009730F7">
          <w:rPr>
            <w:rFonts w:ascii="Tahoma" w:hAnsi="Tahoma" w:cs="Tahoma"/>
            <w:sz w:val="20"/>
            <w:szCs w:val="20"/>
          </w:rPr>
          <w:fldChar w:fldCharType="separate"/>
        </w:r>
        <w:r w:rsidR="00665923">
          <w:rPr>
            <w:rFonts w:ascii="Tahoma" w:hAnsi="Tahoma" w:cs="Tahoma"/>
            <w:noProof/>
            <w:sz w:val="20"/>
            <w:szCs w:val="20"/>
          </w:rPr>
          <w:t>1</w:t>
        </w:r>
        <w:r w:rsidRPr="009730F7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9730F7" w:rsidRDefault="009730F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FB9" w:rsidRDefault="00440FB9" w:rsidP="00CE65D9">
      <w:pPr>
        <w:spacing w:after="0" w:line="240" w:lineRule="auto"/>
      </w:pPr>
      <w:r>
        <w:separator/>
      </w:r>
    </w:p>
  </w:footnote>
  <w:footnote w:type="continuationSeparator" w:id="0">
    <w:p w:rsidR="00440FB9" w:rsidRDefault="00440FB9" w:rsidP="00CE6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F33"/>
    <w:multiLevelType w:val="hybridMultilevel"/>
    <w:tmpl w:val="3378FAA8"/>
    <w:lvl w:ilvl="0" w:tplc="49DCDC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44CC3"/>
    <w:multiLevelType w:val="hybridMultilevel"/>
    <w:tmpl w:val="589E3790"/>
    <w:lvl w:ilvl="0" w:tplc="49DCDC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10A5B"/>
    <w:multiLevelType w:val="hybridMultilevel"/>
    <w:tmpl w:val="46D86468"/>
    <w:lvl w:ilvl="0" w:tplc="5B006CF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F12A59"/>
    <w:multiLevelType w:val="hybridMultilevel"/>
    <w:tmpl w:val="C0DC4712"/>
    <w:lvl w:ilvl="0" w:tplc="49DCDC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E2AAF"/>
    <w:multiLevelType w:val="hybridMultilevel"/>
    <w:tmpl w:val="5CD0E9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6682E"/>
    <w:multiLevelType w:val="hybridMultilevel"/>
    <w:tmpl w:val="E218416C"/>
    <w:lvl w:ilvl="0" w:tplc="49DCDC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F31207"/>
    <w:multiLevelType w:val="hybridMultilevel"/>
    <w:tmpl w:val="92E86038"/>
    <w:lvl w:ilvl="0" w:tplc="49DCDC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2B56EC"/>
    <w:multiLevelType w:val="hybridMultilevel"/>
    <w:tmpl w:val="B072743A"/>
    <w:lvl w:ilvl="0" w:tplc="49DCDC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160A2"/>
    <w:multiLevelType w:val="hybridMultilevel"/>
    <w:tmpl w:val="CAB628D0"/>
    <w:lvl w:ilvl="0" w:tplc="49DCDC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990C8A"/>
    <w:multiLevelType w:val="hybridMultilevel"/>
    <w:tmpl w:val="69623726"/>
    <w:lvl w:ilvl="0" w:tplc="49DCDC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9150F5"/>
    <w:multiLevelType w:val="hybridMultilevel"/>
    <w:tmpl w:val="118C8170"/>
    <w:lvl w:ilvl="0" w:tplc="49DCDC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10"/>
  </w:num>
  <w:num w:numId="8">
    <w:abstractNumId w:val="2"/>
  </w:num>
  <w:num w:numId="9">
    <w:abstractNumId w:val="3"/>
  </w:num>
  <w:num w:numId="10">
    <w:abstractNumId w:val="9"/>
  </w:num>
  <w:num w:numId="1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C1"/>
    <w:rsid w:val="00003D5C"/>
    <w:rsid w:val="000377ED"/>
    <w:rsid w:val="000422AF"/>
    <w:rsid w:val="00042B88"/>
    <w:rsid w:val="00055501"/>
    <w:rsid w:val="00055843"/>
    <w:rsid w:val="00064712"/>
    <w:rsid w:val="00064D5F"/>
    <w:rsid w:val="00073D60"/>
    <w:rsid w:val="000756F3"/>
    <w:rsid w:val="00075CAE"/>
    <w:rsid w:val="000812BB"/>
    <w:rsid w:val="000861B8"/>
    <w:rsid w:val="00087394"/>
    <w:rsid w:val="000879FF"/>
    <w:rsid w:val="00087E96"/>
    <w:rsid w:val="00091792"/>
    <w:rsid w:val="000955B4"/>
    <w:rsid w:val="000A0A5A"/>
    <w:rsid w:val="000A4C1E"/>
    <w:rsid w:val="000B0D3F"/>
    <w:rsid w:val="000B2CF0"/>
    <w:rsid w:val="000B614C"/>
    <w:rsid w:val="000B7E36"/>
    <w:rsid w:val="000C1954"/>
    <w:rsid w:val="000D2272"/>
    <w:rsid w:val="000D313B"/>
    <w:rsid w:val="000D42F6"/>
    <w:rsid w:val="000E2F32"/>
    <w:rsid w:val="000E697F"/>
    <w:rsid w:val="0010076F"/>
    <w:rsid w:val="001143D1"/>
    <w:rsid w:val="001214DC"/>
    <w:rsid w:val="001241AD"/>
    <w:rsid w:val="00127EE6"/>
    <w:rsid w:val="00140827"/>
    <w:rsid w:val="00142933"/>
    <w:rsid w:val="00142DB7"/>
    <w:rsid w:val="001446B5"/>
    <w:rsid w:val="00146E45"/>
    <w:rsid w:val="0015366A"/>
    <w:rsid w:val="00154E22"/>
    <w:rsid w:val="001647E6"/>
    <w:rsid w:val="001716DB"/>
    <w:rsid w:val="001779CD"/>
    <w:rsid w:val="001848A5"/>
    <w:rsid w:val="00190B0E"/>
    <w:rsid w:val="00194BF3"/>
    <w:rsid w:val="0019529E"/>
    <w:rsid w:val="001B1137"/>
    <w:rsid w:val="001C5D2D"/>
    <w:rsid w:val="001D0D13"/>
    <w:rsid w:val="001D1516"/>
    <w:rsid w:val="001D5308"/>
    <w:rsid w:val="001D697F"/>
    <w:rsid w:val="001E3255"/>
    <w:rsid w:val="001E3265"/>
    <w:rsid w:val="001F0EEF"/>
    <w:rsid w:val="001F76C8"/>
    <w:rsid w:val="002107AB"/>
    <w:rsid w:val="002151D4"/>
    <w:rsid w:val="00220C1B"/>
    <w:rsid w:val="00221269"/>
    <w:rsid w:val="002222ED"/>
    <w:rsid w:val="0022268A"/>
    <w:rsid w:val="00223C02"/>
    <w:rsid w:val="00227A51"/>
    <w:rsid w:val="00230EAF"/>
    <w:rsid w:val="002453E6"/>
    <w:rsid w:val="00245FF3"/>
    <w:rsid w:val="0025785B"/>
    <w:rsid w:val="0026244C"/>
    <w:rsid w:val="00276AD1"/>
    <w:rsid w:val="00284C3F"/>
    <w:rsid w:val="00293560"/>
    <w:rsid w:val="00295A11"/>
    <w:rsid w:val="002A3B55"/>
    <w:rsid w:val="002A6E68"/>
    <w:rsid w:val="002A7E90"/>
    <w:rsid w:val="002C182C"/>
    <w:rsid w:val="002C21DA"/>
    <w:rsid w:val="002F28A0"/>
    <w:rsid w:val="002F28A2"/>
    <w:rsid w:val="003038DC"/>
    <w:rsid w:val="003331C9"/>
    <w:rsid w:val="00335915"/>
    <w:rsid w:val="00336E6D"/>
    <w:rsid w:val="00341764"/>
    <w:rsid w:val="00343197"/>
    <w:rsid w:val="00351B73"/>
    <w:rsid w:val="003620E6"/>
    <w:rsid w:val="00374036"/>
    <w:rsid w:val="0038083E"/>
    <w:rsid w:val="003830CF"/>
    <w:rsid w:val="003857DD"/>
    <w:rsid w:val="003875A9"/>
    <w:rsid w:val="00391E2F"/>
    <w:rsid w:val="003A778F"/>
    <w:rsid w:val="003B06B4"/>
    <w:rsid w:val="003B3C93"/>
    <w:rsid w:val="003C65E1"/>
    <w:rsid w:val="003D41C3"/>
    <w:rsid w:val="003E356D"/>
    <w:rsid w:val="003E5B60"/>
    <w:rsid w:val="003F116F"/>
    <w:rsid w:val="00402FB1"/>
    <w:rsid w:val="004050EE"/>
    <w:rsid w:val="0041376F"/>
    <w:rsid w:val="00413A94"/>
    <w:rsid w:val="004179A2"/>
    <w:rsid w:val="004301E3"/>
    <w:rsid w:val="00440FB9"/>
    <w:rsid w:val="00440FF6"/>
    <w:rsid w:val="00441A62"/>
    <w:rsid w:val="00442CCB"/>
    <w:rsid w:val="00445463"/>
    <w:rsid w:val="00454209"/>
    <w:rsid w:val="0048294D"/>
    <w:rsid w:val="00483034"/>
    <w:rsid w:val="00493CD7"/>
    <w:rsid w:val="004944EC"/>
    <w:rsid w:val="004A1607"/>
    <w:rsid w:val="004B0446"/>
    <w:rsid w:val="004B0B49"/>
    <w:rsid w:val="004B1442"/>
    <w:rsid w:val="004C73EF"/>
    <w:rsid w:val="004D18F4"/>
    <w:rsid w:val="004F1FBA"/>
    <w:rsid w:val="004F34EB"/>
    <w:rsid w:val="00500757"/>
    <w:rsid w:val="00506B3C"/>
    <w:rsid w:val="00506DFD"/>
    <w:rsid w:val="005150C3"/>
    <w:rsid w:val="005176B4"/>
    <w:rsid w:val="005208ED"/>
    <w:rsid w:val="00521245"/>
    <w:rsid w:val="00544FEF"/>
    <w:rsid w:val="005506AB"/>
    <w:rsid w:val="00552E80"/>
    <w:rsid w:val="00557799"/>
    <w:rsid w:val="00561A3C"/>
    <w:rsid w:val="005632C4"/>
    <w:rsid w:val="0056346C"/>
    <w:rsid w:val="0057491D"/>
    <w:rsid w:val="0057629C"/>
    <w:rsid w:val="00587A9C"/>
    <w:rsid w:val="005920B7"/>
    <w:rsid w:val="005A39CF"/>
    <w:rsid w:val="005A50AF"/>
    <w:rsid w:val="005B4F8C"/>
    <w:rsid w:val="005B4FE1"/>
    <w:rsid w:val="005B5003"/>
    <w:rsid w:val="005B53B9"/>
    <w:rsid w:val="005C58D3"/>
    <w:rsid w:val="005D065E"/>
    <w:rsid w:val="005D4859"/>
    <w:rsid w:val="005E2501"/>
    <w:rsid w:val="005E29C1"/>
    <w:rsid w:val="005F1D09"/>
    <w:rsid w:val="006014A4"/>
    <w:rsid w:val="00601588"/>
    <w:rsid w:val="00607E16"/>
    <w:rsid w:val="006128C3"/>
    <w:rsid w:val="00612CA6"/>
    <w:rsid w:val="006153D3"/>
    <w:rsid w:val="0062675C"/>
    <w:rsid w:val="0064256C"/>
    <w:rsid w:val="006426E8"/>
    <w:rsid w:val="00651247"/>
    <w:rsid w:val="00651AC8"/>
    <w:rsid w:val="00653A4F"/>
    <w:rsid w:val="00656120"/>
    <w:rsid w:val="0065796E"/>
    <w:rsid w:val="006610E1"/>
    <w:rsid w:val="00665923"/>
    <w:rsid w:val="00665BB6"/>
    <w:rsid w:val="006662BF"/>
    <w:rsid w:val="00671149"/>
    <w:rsid w:val="006760A2"/>
    <w:rsid w:val="00676FFE"/>
    <w:rsid w:val="00677FA8"/>
    <w:rsid w:val="0068352C"/>
    <w:rsid w:val="00683DD1"/>
    <w:rsid w:val="006900C8"/>
    <w:rsid w:val="006A0EDF"/>
    <w:rsid w:val="006B1215"/>
    <w:rsid w:val="006B1A46"/>
    <w:rsid w:val="006B4891"/>
    <w:rsid w:val="006B67BE"/>
    <w:rsid w:val="006C2932"/>
    <w:rsid w:val="006E1162"/>
    <w:rsid w:val="006E34AA"/>
    <w:rsid w:val="006F1BF1"/>
    <w:rsid w:val="006F2F45"/>
    <w:rsid w:val="006F61B0"/>
    <w:rsid w:val="006F7118"/>
    <w:rsid w:val="007025A1"/>
    <w:rsid w:val="007055D5"/>
    <w:rsid w:val="00706DFB"/>
    <w:rsid w:val="007105C2"/>
    <w:rsid w:val="00711A93"/>
    <w:rsid w:val="00712468"/>
    <w:rsid w:val="00712F60"/>
    <w:rsid w:val="00714B40"/>
    <w:rsid w:val="00724501"/>
    <w:rsid w:val="007262E5"/>
    <w:rsid w:val="00726BA4"/>
    <w:rsid w:val="0073353A"/>
    <w:rsid w:val="0073657F"/>
    <w:rsid w:val="0074297B"/>
    <w:rsid w:val="00742A1E"/>
    <w:rsid w:val="00774FCD"/>
    <w:rsid w:val="00775CDF"/>
    <w:rsid w:val="007813F8"/>
    <w:rsid w:val="00785C48"/>
    <w:rsid w:val="0078736D"/>
    <w:rsid w:val="00794761"/>
    <w:rsid w:val="007A2347"/>
    <w:rsid w:val="007A50BF"/>
    <w:rsid w:val="007B784C"/>
    <w:rsid w:val="007C0731"/>
    <w:rsid w:val="007C1E61"/>
    <w:rsid w:val="007C5F65"/>
    <w:rsid w:val="007D5A0A"/>
    <w:rsid w:val="007E1920"/>
    <w:rsid w:val="007E3CC1"/>
    <w:rsid w:val="007E505E"/>
    <w:rsid w:val="00814FFA"/>
    <w:rsid w:val="00820437"/>
    <w:rsid w:val="00822B2F"/>
    <w:rsid w:val="00834D12"/>
    <w:rsid w:val="00840DE9"/>
    <w:rsid w:val="00844DC8"/>
    <w:rsid w:val="00846CC4"/>
    <w:rsid w:val="00855F89"/>
    <w:rsid w:val="00861383"/>
    <w:rsid w:val="00862419"/>
    <w:rsid w:val="008634BF"/>
    <w:rsid w:val="00864D9B"/>
    <w:rsid w:val="00867D73"/>
    <w:rsid w:val="008817F4"/>
    <w:rsid w:val="008828BD"/>
    <w:rsid w:val="00891FD5"/>
    <w:rsid w:val="00894131"/>
    <w:rsid w:val="00897B15"/>
    <w:rsid w:val="008A4A3E"/>
    <w:rsid w:val="008A5920"/>
    <w:rsid w:val="008A5996"/>
    <w:rsid w:val="008B6B44"/>
    <w:rsid w:val="008C14A0"/>
    <w:rsid w:val="008C2072"/>
    <w:rsid w:val="008C25AA"/>
    <w:rsid w:val="008C3ACC"/>
    <w:rsid w:val="008C74CC"/>
    <w:rsid w:val="008E04D9"/>
    <w:rsid w:val="008E4F70"/>
    <w:rsid w:val="008E6425"/>
    <w:rsid w:val="008F0FB8"/>
    <w:rsid w:val="008F7E01"/>
    <w:rsid w:val="008F7E11"/>
    <w:rsid w:val="0090237A"/>
    <w:rsid w:val="0090354E"/>
    <w:rsid w:val="00906408"/>
    <w:rsid w:val="00911BD2"/>
    <w:rsid w:val="00922FDD"/>
    <w:rsid w:val="00925B89"/>
    <w:rsid w:val="009369EF"/>
    <w:rsid w:val="009400A2"/>
    <w:rsid w:val="00942D18"/>
    <w:rsid w:val="0094393E"/>
    <w:rsid w:val="00943BCD"/>
    <w:rsid w:val="00944917"/>
    <w:rsid w:val="00956253"/>
    <w:rsid w:val="00972295"/>
    <w:rsid w:val="009730F7"/>
    <w:rsid w:val="00973820"/>
    <w:rsid w:val="0097597F"/>
    <w:rsid w:val="0098550F"/>
    <w:rsid w:val="009860CB"/>
    <w:rsid w:val="009B754A"/>
    <w:rsid w:val="009B76CA"/>
    <w:rsid w:val="009D2433"/>
    <w:rsid w:val="009D508C"/>
    <w:rsid w:val="009D6B23"/>
    <w:rsid w:val="009E09C9"/>
    <w:rsid w:val="009E54C0"/>
    <w:rsid w:val="009E7B53"/>
    <w:rsid w:val="00A03E71"/>
    <w:rsid w:val="00A042B3"/>
    <w:rsid w:val="00A06305"/>
    <w:rsid w:val="00A07540"/>
    <w:rsid w:val="00A1229C"/>
    <w:rsid w:val="00A163E0"/>
    <w:rsid w:val="00A25A6A"/>
    <w:rsid w:val="00A27102"/>
    <w:rsid w:val="00A30F29"/>
    <w:rsid w:val="00A3169B"/>
    <w:rsid w:val="00A408FE"/>
    <w:rsid w:val="00A42389"/>
    <w:rsid w:val="00A52DFF"/>
    <w:rsid w:val="00A625FB"/>
    <w:rsid w:val="00A6458A"/>
    <w:rsid w:val="00A71B98"/>
    <w:rsid w:val="00A76BA8"/>
    <w:rsid w:val="00A770C9"/>
    <w:rsid w:val="00A87D88"/>
    <w:rsid w:val="00A92642"/>
    <w:rsid w:val="00AA12DF"/>
    <w:rsid w:val="00AA60F2"/>
    <w:rsid w:val="00AC4128"/>
    <w:rsid w:val="00AC792E"/>
    <w:rsid w:val="00AF3B50"/>
    <w:rsid w:val="00B02D55"/>
    <w:rsid w:val="00B05ECE"/>
    <w:rsid w:val="00B11FA6"/>
    <w:rsid w:val="00B12C52"/>
    <w:rsid w:val="00B253B2"/>
    <w:rsid w:val="00B329E8"/>
    <w:rsid w:val="00B42C29"/>
    <w:rsid w:val="00B52D49"/>
    <w:rsid w:val="00B66CA8"/>
    <w:rsid w:val="00B706BD"/>
    <w:rsid w:val="00B72545"/>
    <w:rsid w:val="00B80BA6"/>
    <w:rsid w:val="00B816C1"/>
    <w:rsid w:val="00B837F5"/>
    <w:rsid w:val="00B85E1E"/>
    <w:rsid w:val="00B87EF3"/>
    <w:rsid w:val="00B94E32"/>
    <w:rsid w:val="00BB3B08"/>
    <w:rsid w:val="00BD070D"/>
    <w:rsid w:val="00BD205D"/>
    <w:rsid w:val="00BD61CE"/>
    <w:rsid w:val="00BD7878"/>
    <w:rsid w:val="00BF0EBF"/>
    <w:rsid w:val="00C0769B"/>
    <w:rsid w:val="00C1094A"/>
    <w:rsid w:val="00C11645"/>
    <w:rsid w:val="00C127E9"/>
    <w:rsid w:val="00C13CFC"/>
    <w:rsid w:val="00C220B7"/>
    <w:rsid w:val="00C2465D"/>
    <w:rsid w:val="00C25B0F"/>
    <w:rsid w:val="00C26910"/>
    <w:rsid w:val="00C338CD"/>
    <w:rsid w:val="00C40A3C"/>
    <w:rsid w:val="00C475F5"/>
    <w:rsid w:val="00C514A2"/>
    <w:rsid w:val="00C52DC4"/>
    <w:rsid w:val="00C64F58"/>
    <w:rsid w:val="00C655A2"/>
    <w:rsid w:val="00C66279"/>
    <w:rsid w:val="00C715EB"/>
    <w:rsid w:val="00C77AD0"/>
    <w:rsid w:val="00C77CA7"/>
    <w:rsid w:val="00C86DE0"/>
    <w:rsid w:val="00C901A2"/>
    <w:rsid w:val="00CA03BA"/>
    <w:rsid w:val="00CA473D"/>
    <w:rsid w:val="00CA480E"/>
    <w:rsid w:val="00CA79DF"/>
    <w:rsid w:val="00CB182D"/>
    <w:rsid w:val="00CB4FF1"/>
    <w:rsid w:val="00CB6DC4"/>
    <w:rsid w:val="00CC12B7"/>
    <w:rsid w:val="00CC35BB"/>
    <w:rsid w:val="00CE2C24"/>
    <w:rsid w:val="00CE2E9B"/>
    <w:rsid w:val="00CE5BCB"/>
    <w:rsid w:val="00CE65D9"/>
    <w:rsid w:val="00CE755F"/>
    <w:rsid w:val="00CF574B"/>
    <w:rsid w:val="00D033C5"/>
    <w:rsid w:val="00D10640"/>
    <w:rsid w:val="00D145CD"/>
    <w:rsid w:val="00D21C41"/>
    <w:rsid w:val="00D220FF"/>
    <w:rsid w:val="00D2421E"/>
    <w:rsid w:val="00D32DE1"/>
    <w:rsid w:val="00D334AB"/>
    <w:rsid w:val="00D35CA3"/>
    <w:rsid w:val="00D36DC1"/>
    <w:rsid w:val="00D56E1E"/>
    <w:rsid w:val="00D60729"/>
    <w:rsid w:val="00D63C52"/>
    <w:rsid w:val="00D72DA2"/>
    <w:rsid w:val="00D82A88"/>
    <w:rsid w:val="00D903EC"/>
    <w:rsid w:val="00D91DE9"/>
    <w:rsid w:val="00DA19B8"/>
    <w:rsid w:val="00DB5545"/>
    <w:rsid w:val="00DB574B"/>
    <w:rsid w:val="00DC360C"/>
    <w:rsid w:val="00DD29BB"/>
    <w:rsid w:val="00DD31F2"/>
    <w:rsid w:val="00DE27D6"/>
    <w:rsid w:val="00DE342C"/>
    <w:rsid w:val="00DE39F1"/>
    <w:rsid w:val="00DE6EB6"/>
    <w:rsid w:val="00DE7808"/>
    <w:rsid w:val="00DF0902"/>
    <w:rsid w:val="00DF386A"/>
    <w:rsid w:val="00DF66C3"/>
    <w:rsid w:val="00DF6FAF"/>
    <w:rsid w:val="00E02075"/>
    <w:rsid w:val="00E05127"/>
    <w:rsid w:val="00E158AA"/>
    <w:rsid w:val="00E17E81"/>
    <w:rsid w:val="00E20176"/>
    <w:rsid w:val="00E240D9"/>
    <w:rsid w:val="00E30B72"/>
    <w:rsid w:val="00E408BB"/>
    <w:rsid w:val="00E40C7B"/>
    <w:rsid w:val="00E45EA1"/>
    <w:rsid w:val="00E51E27"/>
    <w:rsid w:val="00E529B0"/>
    <w:rsid w:val="00E53F97"/>
    <w:rsid w:val="00E56BAC"/>
    <w:rsid w:val="00E613AC"/>
    <w:rsid w:val="00E6284B"/>
    <w:rsid w:val="00E62E65"/>
    <w:rsid w:val="00E63FC3"/>
    <w:rsid w:val="00E72402"/>
    <w:rsid w:val="00E90DF5"/>
    <w:rsid w:val="00E95304"/>
    <w:rsid w:val="00E958B0"/>
    <w:rsid w:val="00EA64E0"/>
    <w:rsid w:val="00EA6529"/>
    <w:rsid w:val="00EB3FAB"/>
    <w:rsid w:val="00EB72E7"/>
    <w:rsid w:val="00EC5F71"/>
    <w:rsid w:val="00ED0D1D"/>
    <w:rsid w:val="00ED5C00"/>
    <w:rsid w:val="00EE20FD"/>
    <w:rsid w:val="00EE651F"/>
    <w:rsid w:val="00EF0CD6"/>
    <w:rsid w:val="00EF187E"/>
    <w:rsid w:val="00F01BBE"/>
    <w:rsid w:val="00F03C87"/>
    <w:rsid w:val="00F10080"/>
    <w:rsid w:val="00F20D32"/>
    <w:rsid w:val="00F20F58"/>
    <w:rsid w:val="00F21351"/>
    <w:rsid w:val="00F24018"/>
    <w:rsid w:val="00F27DB5"/>
    <w:rsid w:val="00F31D3D"/>
    <w:rsid w:val="00F32BEB"/>
    <w:rsid w:val="00F3351E"/>
    <w:rsid w:val="00F434E2"/>
    <w:rsid w:val="00F61CF1"/>
    <w:rsid w:val="00F842E3"/>
    <w:rsid w:val="00F86016"/>
    <w:rsid w:val="00F90BCB"/>
    <w:rsid w:val="00FA2309"/>
    <w:rsid w:val="00FB4300"/>
    <w:rsid w:val="00FC374A"/>
    <w:rsid w:val="00FD2043"/>
    <w:rsid w:val="00FE3108"/>
    <w:rsid w:val="00FE5DF6"/>
    <w:rsid w:val="00FF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711A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 w:val="40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711A93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2268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2268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9B754A"/>
    <w:pPr>
      <w:spacing w:after="0" w:line="240" w:lineRule="auto"/>
      <w:jc w:val="both"/>
    </w:pPr>
    <w:rPr>
      <w:rFonts w:ascii="Tahoma" w:hAnsi="Tahoma"/>
      <w:sz w:val="24"/>
    </w:rPr>
  </w:style>
  <w:style w:type="paragraph" w:styleId="Odstavecseseznamem">
    <w:name w:val="List Paragraph"/>
    <w:basedOn w:val="Normln"/>
    <w:uiPriority w:val="34"/>
    <w:qFormat/>
    <w:rsid w:val="00561A3C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CE6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E65D9"/>
  </w:style>
  <w:style w:type="paragraph" w:styleId="Zpat">
    <w:name w:val="footer"/>
    <w:basedOn w:val="Normln"/>
    <w:link w:val="ZpatChar"/>
    <w:uiPriority w:val="99"/>
    <w:unhideWhenUsed/>
    <w:rsid w:val="00CE6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65D9"/>
  </w:style>
  <w:style w:type="paragraph" w:styleId="Textbubliny">
    <w:name w:val="Balloon Text"/>
    <w:basedOn w:val="Normln"/>
    <w:link w:val="TextbublinyChar"/>
    <w:uiPriority w:val="99"/>
    <w:semiHidden/>
    <w:unhideWhenUsed/>
    <w:rsid w:val="00724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450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unhideWhenUsed/>
    <w:rsid w:val="00711A9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11A93"/>
    <w:rPr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711A93"/>
    <w:rPr>
      <w:rFonts w:ascii="Times New Roman" w:eastAsia="Times New Roman" w:hAnsi="Times New Roman" w:cs="Times New Roman"/>
      <w:b/>
      <w:bCs/>
      <w:caps/>
      <w:sz w:val="40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711A93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customStyle="1" w:styleId="Mjtext">
    <w:name w:val="Můj text"/>
    <w:basedOn w:val="Normln"/>
    <w:link w:val="MjtextChar"/>
    <w:rsid w:val="00F27DB5"/>
    <w:pPr>
      <w:spacing w:before="120" w:after="240" w:line="240" w:lineRule="auto"/>
      <w:jc w:val="both"/>
    </w:pPr>
    <w:rPr>
      <w:rFonts w:ascii="Tahoma" w:eastAsia="Times New Roman" w:hAnsi="Tahoma" w:cs="Tahoma"/>
      <w:sz w:val="20"/>
      <w:szCs w:val="24"/>
      <w:lang w:eastAsia="cs-CZ"/>
    </w:rPr>
  </w:style>
  <w:style w:type="character" w:customStyle="1" w:styleId="MjtextChar">
    <w:name w:val="Můj text Char"/>
    <w:basedOn w:val="Standardnpsmoodstavce"/>
    <w:link w:val="Mjtext"/>
    <w:rsid w:val="00F27DB5"/>
    <w:rPr>
      <w:rFonts w:ascii="Tahoma" w:eastAsia="Times New Roman" w:hAnsi="Tahoma" w:cs="Tahoma"/>
      <w:sz w:val="2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B3B08"/>
    <w:rPr>
      <w:color w:val="0000FF" w:themeColor="hyperlink"/>
      <w:u w:val="single"/>
    </w:rPr>
  </w:style>
  <w:style w:type="paragraph" w:customStyle="1" w:styleId="Odstavecseseznamem1">
    <w:name w:val="Odstavec se seznamem1"/>
    <w:basedOn w:val="Normln"/>
    <w:rsid w:val="001408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2">
    <w:name w:val="Odstavec se seznamem2"/>
    <w:basedOn w:val="Normln"/>
    <w:rsid w:val="005634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CE5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E5BCB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190B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711A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 w:val="40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711A93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2268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2268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9B754A"/>
    <w:pPr>
      <w:spacing w:after="0" w:line="240" w:lineRule="auto"/>
      <w:jc w:val="both"/>
    </w:pPr>
    <w:rPr>
      <w:rFonts w:ascii="Tahoma" w:hAnsi="Tahoma"/>
      <w:sz w:val="24"/>
    </w:rPr>
  </w:style>
  <w:style w:type="paragraph" w:styleId="Odstavecseseznamem">
    <w:name w:val="List Paragraph"/>
    <w:basedOn w:val="Normln"/>
    <w:uiPriority w:val="34"/>
    <w:qFormat/>
    <w:rsid w:val="00561A3C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CE6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E65D9"/>
  </w:style>
  <w:style w:type="paragraph" w:styleId="Zpat">
    <w:name w:val="footer"/>
    <w:basedOn w:val="Normln"/>
    <w:link w:val="ZpatChar"/>
    <w:uiPriority w:val="99"/>
    <w:unhideWhenUsed/>
    <w:rsid w:val="00CE6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65D9"/>
  </w:style>
  <w:style w:type="paragraph" w:styleId="Textbubliny">
    <w:name w:val="Balloon Text"/>
    <w:basedOn w:val="Normln"/>
    <w:link w:val="TextbublinyChar"/>
    <w:uiPriority w:val="99"/>
    <w:semiHidden/>
    <w:unhideWhenUsed/>
    <w:rsid w:val="00724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4501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unhideWhenUsed/>
    <w:rsid w:val="00711A9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11A93"/>
    <w:rPr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711A93"/>
    <w:rPr>
      <w:rFonts w:ascii="Times New Roman" w:eastAsia="Times New Roman" w:hAnsi="Times New Roman" w:cs="Times New Roman"/>
      <w:b/>
      <w:bCs/>
      <w:caps/>
      <w:sz w:val="40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711A93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customStyle="1" w:styleId="Mjtext">
    <w:name w:val="Můj text"/>
    <w:basedOn w:val="Normln"/>
    <w:link w:val="MjtextChar"/>
    <w:rsid w:val="00F27DB5"/>
    <w:pPr>
      <w:spacing w:before="120" w:after="240" w:line="240" w:lineRule="auto"/>
      <w:jc w:val="both"/>
    </w:pPr>
    <w:rPr>
      <w:rFonts w:ascii="Tahoma" w:eastAsia="Times New Roman" w:hAnsi="Tahoma" w:cs="Tahoma"/>
      <w:sz w:val="20"/>
      <w:szCs w:val="24"/>
      <w:lang w:eastAsia="cs-CZ"/>
    </w:rPr>
  </w:style>
  <w:style w:type="character" w:customStyle="1" w:styleId="MjtextChar">
    <w:name w:val="Můj text Char"/>
    <w:basedOn w:val="Standardnpsmoodstavce"/>
    <w:link w:val="Mjtext"/>
    <w:rsid w:val="00F27DB5"/>
    <w:rPr>
      <w:rFonts w:ascii="Tahoma" w:eastAsia="Times New Roman" w:hAnsi="Tahoma" w:cs="Tahoma"/>
      <w:sz w:val="2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B3B08"/>
    <w:rPr>
      <w:color w:val="0000FF" w:themeColor="hyperlink"/>
      <w:u w:val="single"/>
    </w:rPr>
  </w:style>
  <w:style w:type="paragraph" w:customStyle="1" w:styleId="Odstavecseseznamem1">
    <w:name w:val="Odstavec se seznamem1"/>
    <w:basedOn w:val="Normln"/>
    <w:rsid w:val="001408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2">
    <w:name w:val="Odstavec se seznamem2"/>
    <w:basedOn w:val="Normln"/>
    <w:rsid w:val="005634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CE5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E5BCB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190B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6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79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Z151217_04_001_04.xls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Z151217_04_001_08.xls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Z151217_04_001_02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6D796-12AC-435B-A25E-773470991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2765</Words>
  <Characters>16319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valova2304</dc:creator>
  <cp:lastModifiedBy>Metelka Tomáš</cp:lastModifiedBy>
  <cp:revision>9</cp:revision>
  <cp:lastPrinted>2015-11-04T06:49:00Z</cp:lastPrinted>
  <dcterms:created xsi:type="dcterms:W3CDTF">2015-12-02T11:12:00Z</dcterms:created>
  <dcterms:modified xsi:type="dcterms:W3CDTF">2015-12-02T11:54:00Z</dcterms:modified>
</cp:coreProperties>
</file>