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D2" w:rsidRDefault="00B57AD2" w:rsidP="00B57AD2">
      <w:pPr>
        <w:pStyle w:val="Nadpis1"/>
      </w:pPr>
      <w:bookmarkStart w:id="0" w:name="_GoBack"/>
      <w:r>
        <w:t>Prokazování finanční způsobilosti prostřednictvím pojistné smlouvy</w:t>
      </w:r>
    </w:p>
    <w:bookmarkEnd w:id="0"/>
    <w:p w:rsidR="00B57AD2" w:rsidRDefault="00B57AD2" w:rsidP="00B57AD2">
      <w:r>
        <w:t xml:space="preserve">Podle čl. 7 nařízení č. 1071/2009 je k prokázání finanční způsobilosti výslovně připuštěno i pojištění bez bližšího vymezení, přičemž jako jediný zmíněný akceptovatelný typ pojistné smlouvy je uvedeno pojištění odpovědnosti za škodu při výkonu povolání. </w:t>
      </w:r>
    </w:p>
    <w:p w:rsidR="00D2279B" w:rsidRDefault="00B57AD2" w:rsidP="00B57AD2">
      <w:r>
        <w:t>Vzhledem k obecnému vymezení pojištění nelze výslovně stanovit rozsah rizik, které by měla pojistná smlouva pokrývat, lze považovat za dostačující jakékoliv pojištění odpovědnosti podnikatele v silniční dopravě, pokud kryje rizika způsobené jeho podnikatelskou činností 3. osobám. Vzhledem k široké nabídce pojistných produktů ze strany pojišťoven jen příkladem uvádíme ty druhy pojištění, jež jsou z hlediska prokazování finanční způsobilosti možné (pojištění finanční způsobilosti pojištění za ručení), pojištění odpovědnosti podnikatele v silniční dopravě za škodu, úrazové pojištění přepravovaných osob u osobní dopravy atd.). Délka sjednané pojistné smlouvy vyplývá obdobně jako záruka z čl. 7 odst. 1 nařízení č. 1071/2009, když má osvědčovat schopnost dostát svým finančním závazkům v průběhu ročního účetního období.</w:t>
      </w:r>
    </w:p>
    <w:sectPr w:rsidR="00D2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D2"/>
    <w:rsid w:val="00B57AD2"/>
    <w:rsid w:val="00D2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8DDE-004A-4BF5-8835-63FA0DD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7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7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1</cp:revision>
  <dcterms:created xsi:type="dcterms:W3CDTF">2016-12-14T13:50:00Z</dcterms:created>
  <dcterms:modified xsi:type="dcterms:W3CDTF">2016-12-14T13:51:00Z</dcterms:modified>
</cp:coreProperties>
</file>