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ECA0E" w14:textId="1C4602E1" w:rsidR="004A2DDB" w:rsidRDefault="005D2F87" w:rsidP="0051293B">
      <w:pPr>
        <w:pStyle w:val="Podtitul"/>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0EFFA55C" w:rsidR="00467E01" w:rsidRPr="00124BCF" w:rsidRDefault="00124BCF" w:rsidP="00A5613D">
      <w:pPr>
        <w:numPr>
          <w:ilvl w:val="0"/>
          <w:numId w:val="32"/>
        </w:numPr>
        <w:spacing w:before="240"/>
        <w:ind w:left="357" w:hanging="357"/>
        <w:jc w:val="both"/>
        <w:rPr>
          <w:rFonts w:ascii="Tahoma" w:hAnsi="Tahoma" w:cs="Tahoma"/>
          <w:b/>
          <w:sz w:val="22"/>
          <w:szCs w:val="22"/>
        </w:rPr>
      </w:pPr>
      <w:r w:rsidRPr="00124BCF">
        <w:rPr>
          <w:rFonts w:ascii="Tahoma" w:hAnsi="Tahoma" w:cs="Tahoma"/>
          <w:b/>
          <w:bCs/>
          <w:sz w:val="22"/>
          <w:szCs w:val="22"/>
        </w:rPr>
        <w:t xml:space="preserve">Střední škola technických oborů Havířov Šumbark, </w:t>
      </w:r>
      <w:proofErr w:type="spellStart"/>
      <w:proofErr w:type="gramStart"/>
      <w:r w:rsidRPr="00124BCF">
        <w:rPr>
          <w:rFonts w:ascii="Tahoma" w:hAnsi="Tahoma" w:cs="Tahoma"/>
          <w:b/>
          <w:bCs/>
          <w:sz w:val="22"/>
          <w:szCs w:val="22"/>
        </w:rPr>
        <w:t>p.o</w:t>
      </w:r>
      <w:proofErr w:type="spellEnd"/>
      <w:r w:rsidRPr="00124BCF">
        <w:rPr>
          <w:rFonts w:ascii="Tahoma" w:hAnsi="Tahoma" w:cs="Tahoma"/>
          <w:b/>
          <w:bCs/>
          <w:sz w:val="22"/>
          <w:szCs w:val="22"/>
        </w:rPr>
        <w:t>.</w:t>
      </w:r>
      <w:proofErr w:type="gramEnd"/>
    </w:p>
    <w:p w14:paraId="2B7943F1" w14:textId="672AA62E" w:rsidR="004A2DDB" w:rsidRPr="00124BCF" w:rsidRDefault="00A045E6" w:rsidP="00A60B84">
      <w:pPr>
        <w:numPr>
          <w:ilvl w:val="12"/>
          <w:numId w:val="0"/>
        </w:numPr>
        <w:tabs>
          <w:tab w:val="left" w:pos="2835"/>
        </w:tabs>
        <w:ind w:left="357"/>
        <w:jc w:val="both"/>
        <w:rPr>
          <w:rFonts w:ascii="Tahoma" w:hAnsi="Tahoma" w:cs="Tahoma"/>
          <w:sz w:val="22"/>
          <w:szCs w:val="22"/>
        </w:rPr>
      </w:pPr>
      <w:r w:rsidRPr="00124BCF">
        <w:rPr>
          <w:rFonts w:ascii="Tahoma" w:hAnsi="Tahoma" w:cs="Tahoma"/>
          <w:sz w:val="22"/>
          <w:szCs w:val="22"/>
        </w:rPr>
        <w:t>se sídlem:</w:t>
      </w:r>
      <w:r w:rsidR="00124BCF">
        <w:rPr>
          <w:rFonts w:ascii="Tahoma" w:hAnsi="Tahoma" w:cs="Tahoma"/>
          <w:sz w:val="22"/>
          <w:szCs w:val="22"/>
        </w:rPr>
        <w:tab/>
      </w:r>
      <w:r w:rsidR="00DC2173">
        <w:t>Lidická 600/1a, 736 01 Havířov Šumbark</w:t>
      </w:r>
      <w:r w:rsidR="004A2DDB" w:rsidRPr="00124BCF">
        <w:rPr>
          <w:rFonts w:ascii="Tahoma" w:hAnsi="Tahoma" w:cs="Tahoma"/>
          <w:sz w:val="22"/>
          <w:szCs w:val="22"/>
        </w:rPr>
        <w:tab/>
      </w:r>
    </w:p>
    <w:p w14:paraId="6630385C" w14:textId="53765670" w:rsidR="004A2DDB" w:rsidRPr="00124BCF" w:rsidRDefault="00443DFF" w:rsidP="00A60B84">
      <w:pPr>
        <w:numPr>
          <w:ilvl w:val="12"/>
          <w:numId w:val="0"/>
        </w:numPr>
        <w:tabs>
          <w:tab w:val="left" w:pos="2835"/>
        </w:tabs>
        <w:ind w:left="357"/>
        <w:jc w:val="both"/>
        <w:rPr>
          <w:rFonts w:ascii="Tahoma" w:hAnsi="Tahoma" w:cs="Tahoma"/>
          <w:iCs/>
          <w:sz w:val="22"/>
          <w:szCs w:val="22"/>
        </w:rPr>
      </w:pPr>
      <w:r w:rsidRPr="00124BCF">
        <w:rPr>
          <w:rFonts w:ascii="Tahoma" w:hAnsi="Tahoma" w:cs="Tahoma"/>
          <w:sz w:val="22"/>
          <w:szCs w:val="22"/>
        </w:rPr>
        <w:t>z</w:t>
      </w:r>
      <w:r w:rsidR="004A2DDB" w:rsidRPr="00124BCF">
        <w:rPr>
          <w:rFonts w:ascii="Tahoma" w:hAnsi="Tahoma" w:cs="Tahoma"/>
          <w:sz w:val="22"/>
          <w:szCs w:val="22"/>
        </w:rPr>
        <w:t>astoupen</w:t>
      </w:r>
      <w:r w:rsidR="00467E01" w:rsidRPr="00124BCF">
        <w:rPr>
          <w:rFonts w:ascii="Tahoma" w:hAnsi="Tahoma" w:cs="Tahoma"/>
          <w:sz w:val="22"/>
          <w:szCs w:val="22"/>
        </w:rPr>
        <w:t>a</w:t>
      </w:r>
      <w:r w:rsidR="004A2DDB" w:rsidRPr="00124BCF">
        <w:rPr>
          <w:rFonts w:ascii="Tahoma" w:hAnsi="Tahoma" w:cs="Tahoma"/>
          <w:sz w:val="22"/>
          <w:szCs w:val="22"/>
        </w:rPr>
        <w:t>:</w:t>
      </w:r>
      <w:r w:rsidR="004A2DDB" w:rsidRPr="00124BCF">
        <w:rPr>
          <w:rFonts w:ascii="Tahoma" w:hAnsi="Tahoma" w:cs="Tahoma"/>
          <w:sz w:val="22"/>
          <w:szCs w:val="22"/>
        </w:rPr>
        <w:tab/>
      </w:r>
      <w:r w:rsidR="00DC2173">
        <w:t>M</w:t>
      </w:r>
      <w:bookmarkStart w:id="0" w:name="_GoBack"/>
      <w:bookmarkEnd w:id="0"/>
      <w:r w:rsidR="00DC2173">
        <w:t>gr. Jaroslav Knopp, MBA, ředitel</w:t>
      </w:r>
    </w:p>
    <w:p w14:paraId="62EF0A05" w14:textId="6A73FC7E" w:rsidR="004A2DDB" w:rsidRPr="00124BCF" w:rsidRDefault="004A2DDB" w:rsidP="00A60B84">
      <w:pPr>
        <w:numPr>
          <w:ilvl w:val="12"/>
          <w:numId w:val="0"/>
        </w:numPr>
        <w:tabs>
          <w:tab w:val="left" w:pos="2835"/>
        </w:tabs>
        <w:ind w:left="357"/>
        <w:jc w:val="both"/>
        <w:rPr>
          <w:rFonts w:ascii="Tahoma" w:hAnsi="Tahoma" w:cs="Tahoma"/>
          <w:sz w:val="22"/>
          <w:szCs w:val="22"/>
        </w:rPr>
      </w:pPr>
      <w:r w:rsidRPr="00124BCF">
        <w:rPr>
          <w:rFonts w:ascii="Tahoma" w:hAnsi="Tahoma" w:cs="Tahoma"/>
          <w:sz w:val="22"/>
          <w:szCs w:val="22"/>
        </w:rPr>
        <w:t>IČ</w:t>
      </w:r>
      <w:r w:rsidR="00511906" w:rsidRPr="00124BCF">
        <w:rPr>
          <w:rFonts w:ascii="Tahoma" w:hAnsi="Tahoma" w:cs="Tahoma"/>
          <w:sz w:val="22"/>
          <w:szCs w:val="22"/>
        </w:rPr>
        <w:t>O</w:t>
      </w:r>
      <w:r w:rsidRPr="00124BCF">
        <w:rPr>
          <w:rFonts w:ascii="Tahoma" w:hAnsi="Tahoma" w:cs="Tahoma"/>
          <w:sz w:val="22"/>
          <w:szCs w:val="22"/>
        </w:rPr>
        <w:t>:</w:t>
      </w:r>
      <w:r w:rsidRPr="00124BCF">
        <w:rPr>
          <w:rFonts w:ascii="Tahoma" w:hAnsi="Tahoma" w:cs="Tahoma"/>
          <w:sz w:val="22"/>
          <w:szCs w:val="22"/>
        </w:rPr>
        <w:tab/>
      </w:r>
      <w:r w:rsidR="00DC2173">
        <w:t>683 212 61</w:t>
      </w:r>
    </w:p>
    <w:p w14:paraId="0760518A" w14:textId="37C92E1A" w:rsidR="00467E01" w:rsidRPr="00124BCF" w:rsidRDefault="004A2DDB" w:rsidP="00A60B84">
      <w:pPr>
        <w:numPr>
          <w:ilvl w:val="12"/>
          <w:numId w:val="0"/>
        </w:numPr>
        <w:tabs>
          <w:tab w:val="left" w:pos="2835"/>
        </w:tabs>
        <w:ind w:left="357"/>
        <w:jc w:val="both"/>
        <w:rPr>
          <w:rFonts w:ascii="Tahoma" w:hAnsi="Tahoma" w:cs="Tahoma"/>
          <w:sz w:val="22"/>
          <w:szCs w:val="22"/>
        </w:rPr>
      </w:pPr>
      <w:r w:rsidRPr="00124BCF">
        <w:rPr>
          <w:rFonts w:ascii="Tahoma" w:hAnsi="Tahoma" w:cs="Tahoma"/>
          <w:sz w:val="22"/>
          <w:szCs w:val="22"/>
        </w:rPr>
        <w:t>DIČ:</w:t>
      </w:r>
      <w:r w:rsidR="00D63794" w:rsidRPr="00124BCF">
        <w:rPr>
          <w:rFonts w:ascii="Tahoma" w:hAnsi="Tahoma" w:cs="Tahoma"/>
          <w:sz w:val="22"/>
          <w:szCs w:val="22"/>
        </w:rPr>
        <w:tab/>
      </w:r>
      <w:r w:rsidR="00DC2173">
        <w:t>CZ 683 212 61</w:t>
      </w:r>
    </w:p>
    <w:p w14:paraId="1524C7F1" w14:textId="1FFF9428" w:rsidR="00467E01" w:rsidRPr="00124BCF" w:rsidRDefault="00443DFF" w:rsidP="00A60B84">
      <w:pPr>
        <w:numPr>
          <w:ilvl w:val="12"/>
          <w:numId w:val="0"/>
        </w:numPr>
        <w:tabs>
          <w:tab w:val="left" w:pos="2835"/>
        </w:tabs>
        <w:ind w:left="357"/>
        <w:jc w:val="both"/>
        <w:rPr>
          <w:rFonts w:ascii="Tahoma" w:hAnsi="Tahoma" w:cs="Tahoma"/>
          <w:sz w:val="22"/>
          <w:szCs w:val="22"/>
        </w:rPr>
      </w:pPr>
      <w:r w:rsidRPr="00124BCF">
        <w:rPr>
          <w:rFonts w:ascii="Tahoma" w:hAnsi="Tahoma" w:cs="Tahoma"/>
          <w:sz w:val="22"/>
          <w:szCs w:val="22"/>
        </w:rPr>
        <w:t>bankovní spojení:</w:t>
      </w:r>
      <w:r w:rsidR="004A2DDB" w:rsidRPr="00124BCF">
        <w:rPr>
          <w:rFonts w:ascii="Tahoma" w:hAnsi="Tahoma" w:cs="Tahoma"/>
          <w:sz w:val="22"/>
          <w:szCs w:val="22"/>
        </w:rPr>
        <w:tab/>
      </w:r>
      <w:r w:rsidR="00DC2173">
        <w:t>Komerční banka a.s.</w:t>
      </w:r>
    </w:p>
    <w:p w14:paraId="3F1733DB" w14:textId="33FDF355" w:rsidR="004A2DDB" w:rsidRPr="00124BCF" w:rsidRDefault="00443DFF" w:rsidP="00A60B84">
      <w:pPr>
        <w:numPr>
          <w:ilvl w:val="12"/>
          <w:numId w:val="0"/>
        </w:numPr>
        <w:tabs>
          <w:tab w:val="left" w:pos="2835"/>
        </w:tabs>
        <w:ind w:left="357"/>
        <w:jc w:val="both"/>
        <w:rPr>
          <w:rFonts w:ascii="Tahoma" w:hAnsi="Tahoma" w:cs="Tahoma"/>
          <w:sz w:val="22"/>
          <w:szCs w:val="22"/>
        </w:rPr>
      </w:pPr>
      <w:r w:rsidRPr="00124BCF">
        <w:rPr>
          <w:rFonts w:ascii="Tahoma" w:hAnsi="Tahoma" w:cs="Tahoma"/>
          <w:sz w:val="22"/>
          <w:szCs w:val="22"/>
        </w:rPr>
        <w:t>č</w:t>
      </w:r>
      <w:r w:rsidR="004A2DDB" w:rsidRPr="00124BCF">
        <w:rPr>
          <w:rFonts w:ascii="Tahoma" w:hAnsi="Tahoma" w:cs="Tahoma"/>
          <w:sz w:val="22"/>
          <w:szCs w:val="22"/>
        </w:rPr>
        <w:t>íslo účtu:</w:t>
      </w:r>
      <w:r w:rsidR="004A2DDB" w:rsidRPr="00124BCF">
        <w:rPr>
          <w:rFonts w:ascii="Tahoma" w:hAnsi="Tahoma" w:cs="Tahoma"/>
          <w:sz w:val="22"/>
          <w:szCs w:val="22"/>
        </w:rPr>
        <w:tab/>
      </w:r>
      <w:r w:rsidR="00DC2173">
        <w:t>27-2864370227/0100</w:t>
      </w:r>
    </w:p>
    <w:p w14:paraId="782D2116" w14:textId="77777777"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p>
    <w:p w14:paraId="5A159DF0" w14:textId="72BDDEB5" w:rsidR="00DC2173" w:rsidRDefault="00DC2173" w:rsidP="00A60B84">
      <w:pPr>
        <w:spacing w:before="120"/>
        <w:ind w:left="357"/>
        <w:jc w:val="both"/>
        <w:rPr>
          <w:rFonts w:ascii="Tahoma" w:hAnsi="Tahoma" w:cs="Tahoma"/>
          <w:iCs/>
          <w:sz w:val="22"/>
          <w:szCs w:val="22"/>
        </w:rPr>
      </w:pPr>
      <w:r>
        <w:rPr>
          <w:rFonts w:ascii="Tahoma" w:hAnsi="Tahoma" w:cs="Tahoma"/>
          <w:sz w:val="22"/>
          <w:szCs w:val="22"/>
        </w:rPr>
        <w:t>Mgr. Jaroslav Knopp, MBA, tel.: +420 596 802 101</w:t>
      </w:r>
    </w:p>
    <w:p w14:paraId="2616E04B" w14:textId="306CD434" w:rsidR="004A2DDB" w:rsidRDefault="00DC2173" w:rsidP="00A60B84">
      <w:pPr>
        <w:spacing w:before="120"/>
        <w:ind w:left="357"/>
        <w:jc w:val="both"/>
        <w:rPr>
          <w:rFonts w:ascii="Tahoma" w:hAnsi="Tahoma" w:cs="Tahoma"/>
          <w:iCs/>
          <w:sz w:val="22"/>
          <w:szCs w:val="22"/>
        </w:rPr>
      </w:pPr>
      <w:r w:rsidRPr="00467E01">
        <w:rPr>
          <w:rFonts w:ascii="Tahoma" w:hAnsi="Tahoma" w:cs="Tahoma"/>
          <w:iCs/>
          <w:sz w:val="22"/>
          <w:szCs w:val="22"/>
        </w:rPr>
        <w:t xml:space="preserve"> </w:t>
      </w:r>
      <w:r w:rsidR="004A2DDB" w:rsidRPr="00467E01">
        <w:rPr>
          <w:rFonts w:ascii="Tahoma" w:hAnsi="Tahoma" w:cs="Tahoma"/>
          <w:iCs/>
          <w:sz w:val="22"/>
          <w:szCs w:val="22"/>
        </w:rPr>
        <w:t>(</w:t>
      </w:r>
      <w:r w:rsidR="004A2DDB" w:rsidRPr="00A60B84">
        <w:rPr>
          <w:rFonts w:ascii="Tahoma" w:hAnsi="Tahoma" w:cs="Tahoma"/>
          <w:sz w:val="22"/>
          <w:szCs w:val="22"/>
        </w:rPr>
        <w:t>dále</w:t>
      </w:r>
      <w:r w:rsidR="004A2DDB" w:rsidRPr="00467E01">
        <w:rPr>
          <w:rFonts w:ascii="Tahoma" w:hAnsi="Tahoma" w:cs="Tahoma"/>
          <w:iCs/>
          <w:sz w:val="22"/>
          <w:szCs w:val="22"/>
        </w:rPr>
        <w:t xml:space="preserve"> jen „</w:t>
      </w:r>
      <w:r w:rsidR="004A2DDB" w:rsidRPr="00467E01">
        <w:rPr>
          <w:rFonts w:ascii="Tahoma" w:hAnsi="Tahoma" w:cs="Tahoma"/>
          <w:b/>
          <w:iCs/>
          <w:sz w:val="22"/>
          <w:szCs w:val="22"/>
        </w:rPr>
        <w:t>objednatel</w:t>
      </w:r>
      <w:r w:rsidR="004A2DDB" w:rsidRPr="00467E01">
        <w:rPr>
          <w:rFonts w:ascii="Tahoma" w:hAnsi="Tahoma" w:cs="Tahoma"/>
          <w:iCs/>
          <w:sz w:val="22"/>
          <w:szCs w:val="22"/>
        </w:rPr>
        <w:t>“)</w:t>
      </w:r>
    </w:p>
    <w:p w14:paraId="7915B758" w14:textId="77777777" w:rsidR="00DC2173" w:rsidRDefault="00DC2173" w:rsidP="00DC2173">
      <w:pPr>
        <w:spacing w:before="240"/>
        <w:ind w:left="357"/>
        <w:jc w:val="both"/>
        <w:rPr>
          <w:rFonts w:ascii="Tahoma" w:hAnsi="Tahoma" w:cs="Tahoma"/>
          <w:b/>
          <w:sz w:val="22"/>
          <w:szCs w:val="22"/>
        </w:rPr>
      </w:pPr>
    </w:p>
    <w:p w14:paraId="56A768B3" w14:textId="77777777" w:rsidR="004A2DDB" w:rsidRPr="00A60B84" w:rsidRDefault="004A2DDB" w:rsidP="00A5613D">
      <w:pPr>
        <w:numPr>
          <w:ilvl w:val="0"/>
          <w:numId w:val="32"/>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lastRenderedPageBreak/>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3D968529" w14:textId="277692AE" w:rsidR="00ED66F3" w:rsidRPr="00A045E6" w:rsidRDefault="00ED66F3"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0C4A79B2"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ED66F3">
        <w:rPr>
          <w:rFonts w:ascii="Tahoma" w:hAnsi="Tahoma" w:cs="Tahoma"/>
          <w:sz w:val="22"/>
          <w:szCs w:val="22"/>
        </w:rPr>
        <w:t>„</w:t>
      </w:r>
      <w:r w:rsidR="001A6824" w:rsidRPr="001A6824">
        <w:rPr>
          <w:rFonts w:ascii="Tahoma" w:hAnsi="Tahoma" w:cs="Tahoma"/>
          <w:b/>
          <w:iCs/>
          <w:color w:val="222222"/>
          <w:sz w:val="22"/>
          <w:shd w:val="clear" w:color="auto" w:fill="FFFFFF"/>
        </w:rPr>
        <w:t>TPA-Inovační centrum pro transformaci vzdělávání</w:t>
      </w:r>
      <w:r w:rsidR="001A6824" w:rsidRPr="001A6824">
        <w:rPr>
          <w:rFonts w:ascii="Tahoma" w:hAnsi="Tahoma" w:cs="Tahoma"/>
          <w:b/>
          <w:sz w:val="22"/>
        </w:rPr>
        <w:t xml:space="preserve"> - Rekonstrukce učeben CLS - STAVBA</w:t>
      </w:r>
      <w:r w:rsidRPr="00ED66F3">
        <w:rPr>
          <w:rFonts w:ascii="Tahoma" w:hAnsi="Tahoma" w:cs="Tahoma"/>
          <w:sz w:val="22"/>
          <w:szCs w:val="22"/>
        </w:rPr>
        <w:t>“</w:t>
      </w:r>
      <w:r w:rsidRPr="00A045E6">
        <w:rPr>
          <w:rFonts w:ascii="Tahoma" w:hAnsi="Tahoma" w:cs="Tahoma"/>
          <w:sz w:val="22"/>
          <w:szCs w:val="22"/>
        </w:rPr>
        <w:t xml:space="preserve"> (dále jen „stavba“) v rozsahu </w:t>
      </w:r>
      <w:proofErr w:type="gramStart"/>
      <w:r w:rsidRPr="00A045E6">
        <w:rPr>
          <w:rFonts w:ascii="Tahoma" w:hAnsi="Tahoma" w:cs="Tahoma"/>
          <w:sz w:val="22"/>
          <w:szCs w:val="22"/>
        </w:rPr>
        <w:t>dle</w:t>
      </w:r>
      <w:proofErr w:type="gramEnd"/>
      <w:r w:rsidRPr="00A045E6">
        <w:rPr>
          <w:rFonts w:ascii="Tahoma" w:hAnsi="Tahoma" w:cs="Tahoma"/>
          <w:sz w:val="22"/>
          <w:szCs w:val="22"/>
        </w:rPr>
        <w:t>:</w:t>
      </w:r>
    </w:p>
    <w:p w14:paraId="7B29329F" w14:textId="2C7A689F" w:rsidR="004A2DDB" w:rsidRPr="00ED66F3" w:rsidRDefault="004A2DDB" w:rsidP="00A5613D">
      <w:pPr>
        <w:numPr>
          <w:ilvl w:val="0"/>
          <w:numId w:val="25"/>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zpracované </w:t>
      </w:r>
      <w:r w:rsidRPr="00ED66F3">
        <w:rPr>
          <w:rFonts w:ascii="Tahoma" w:hAnsi="Tahoma" w:cs="Tahoma"/>
          <w:sz w:val="22"/>
          <w:szCs w:val="22"/>
        </w:rPr>
        <w:t>v</w:t>
      </w:r>
      <w:r w:rsidR="00ED66F3">
        <w:rPr>
          <w:rFonts w:ascii="Tahoma" w:hAnsi="Tahoma" w:cs="Tahoma"/>
          <w:sz w:val="22"/>
          <w:szCs w:val="22"/>
        </w:rPr>
        <w:t> 1/2023</w:t>
      </w:r>
      <w:r w:rsidRPr="00ED66F3">
        <w:rPr>
          <w:rFonts w:ascii="Tahoma" w:hAnsi="Tahoma" w:cs="Tahoma"/>
          <w:color w:val="FF0000"/>
          <w:sz w:val="22"/>
          <w:szCs w:val="22"/>
        </w:rPr>
        <w:t xml:space="preserve"> </w:t>
      </w:r>
      <w:r w:rsidRPr="00ED66F3">
        <w:rPr>
          <w:rFonts w:ascii="Tahoma" w:hAnsi="Tahoma" w:cs="Tahoma"/>
          <w:sz w:val="22"/>
          <w:szCs w:val="22"/>
        </w:rPr>
        <w:t xml:space="preserve">společností </w:t>
      </w:r>
      <w:r w:rsidR="00ED66F3">
        <w:rPr>
          <w:rFonts w:ascii="Tahoma" w:hAnsi="Tahoma" w:cs="Tahoma"/>
          <w:sz w:val="22"/>
          <w:szCs w:val="22"/>
        </w:rPr>
        <w:t>KARASKO CZ, s.r.o., U Hrůbků 251/119, Ostrava - Nová Ves, IČO: 278 54 141</w:t>
      </w:r>
      <w:r w:rsidR="00C6092E" w:rsidRPr="00ED66F3">
        <w:rPr>
          <w:rFonts w:ascii="Tahoma" w:hAnsi="Tahoma" w:cs="Tahoma"/>
          <w:i/>
          <w:iCs/>
          <w:sz w:val="22"/>
          <w:szCs w:val="22"/>
        </w:rPr>
        <w:t>,</w:t>
      </w:r>
    </w:p>
    <w:p w14:paraId="7687F9B1" w14:textId="77777777" w:rsidR="00C6092E" w:rsidRPr="00C6092E"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A5613D">
      <w:pPr>
        <w:numPr>
          <w:ilvl w:val="0"/>
          <w:numId w:val="25"/>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4C532341" w:rsidR="004A2DDB" w:rsidRPr="00AA3365" w:rsidRDefault="004A2DDB" w:rsidP="71AD3445">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71AD3445">
        <w:rPr>
          <w:rFonts w:ascii="Tahoma" w:hAnsi="Tahoma" w:cs="Tahoma"/>
          <w:sz w:val="22"/>
          <w:szCs w:val="22"/>
        </w:rPr>
        <w:t>zpracování dokumentace skutečného provedení stavby ve třech vyhotoveních. Dokumentace skutečného provedení stavby budou objednateli dodány také 2x v elektronické podobě, a to na</w:t>
      </w:r>
      <w:r w:rsidR="00281B1F" w:rsidRPr="71AD3445">
        <w:rPr>
          <w:rFonts w:ascii="Tahoma" w:hAnsi="Tahoma" w:cs="Tahoma"/>
          <w:sz w:val="22"/>
          <w:szCs w:val="22"/>
        </w:rPr>
        <w:t> </w:t>
      </w:r>
      <w:r w:rsidRPr="71AD3445">
        <w:rPr>
          <w:rFonts w:ascii="Tahoma" w:hAnsi="Tahoma" w:cs="Tahoma"/>
          <w:sz w:val="22"/>
          <w:szCs w:val="22"/>
        </w:rPr>
        <w:t>CD ROM ve formátu pro texty *.doc (*.rtf), pro tabulky *.xls, pro skenované dokumenty *.pdf, pro výkresovou dokumentaci *.dwg a zároveň *.pdf. Případné vícetisky budou účtovány zvlášť,</w:t>
      </w:r>
    </w:p>
    <w:p w14:paraId="38F31746" w14:textId="53D9FF84"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vybudování a zajištění zařízení staveniště a jeho provoz v souladu s </w:t>
      </w:r>
      <w:r w:rsidR="00B937D0" w:rsidRPr="71AD3445">
        <w:rPr>
          <w:rFonts w:ascii="Tahoma" w:hAnsi="Tahoma" w:cs="Tahoma"/>
          <w:sz w:val="22"/>
          <w:szCs w:val="22"/>
        </w:rPr>
        <w:t>potřebami zhotovitele, dokumentací předanou objedn</w:t>
      </w:r>
      <w:r w:rsidR="00281B1F" w:rsidRPr="71AD3445">
        <w:rPr>
          <w:rFonts w:ascii="Tahoma" w:hAnsi="Tahoma" w:cs="Tahoma"/>
          <w:sz w:val="22"/>
          <w:szCs w:val="22"/>
        </w:rPr>
        <w:t>atelem, požadavky objednatele a </w:t>
      </w:r>
      <w:r w:rsidR="00B937D0" w:rsidRPr="71AD3445">
        <w:rPr>
          <w:rFonts w:ascii="Tahoma" w:hAnsi="Tahoma" w:cs="Tahoma"/>
          <w:sz w:val="22"/>
          <w:szCs w:val="22"/>
        </w:rPr>
        <w:t>s</w:t>
      </w:r>
      <w:r w:rsidR="00281B1F" w:rsidRPr="71AD3445">
        <w:rPr>
          <w:rFonts w:ascii="Tahoma" w:hAnsi="Tahoma" w:cs="Tahoma"/>
          <w:sz w:val="22"/>
          <w:szCs w:val="22"/>
        </w:rPr>
        <w:t> </w:t>
      </w:r>
      <w:r w:rsidRPr="71AD3445">
        <w:rPr>
          <w:rFonts w:ascii="Tahoma" w:hAnsi="Tahoma" w:cs="Tahoma"/>
          <w:sz w:val="22"/>
          <w:szCs w:val="22"/>
        </w:rPr>
        <w:t>platnými právními předpisy, včetně případného zajištění ohlášení dle</w:t>
      </w:r>
      <w:r w:rsidR="00281B1F" w:rsidRPr="71AD3445">
        <w:rPr>
          <w:rFonts w:ascii="Tahoma" w:hAnsi="Tahoma" w:cs="Tahoma"/>
          <w:sz w:val="22"/>
          <w:szCs w:val="22"/>
        </w:rPr>
        <w:t> </w:t>
      </w:r>
      <w:r w:rsidRPr="71AD3445">
        <w:rPr>
          <w:rFonts w:ascii="Tahoma" w:hAnsi="Tahoma" w:cs="Tahoma"/>
          <w:sz w:val="22"/>
          <w:szCs w:val="22"/>
        </w:rPr>
        <w:t>zákona č.</w:t>
      </w:r>
      <w:r w:rsidR="00281B1F" w:rsidRPr="71AD3445">
        <w:rPr>
          <w:rFonts w:ascii="Tahoma" w:hAnsi="Tahoma" w:cs="Tahoma"/>
          <w:sz w:val="22"/>
          <w:szCs w:val="22"/>
        </w:rPr>
        <w:t> </w:t>
      </w:r>
      <w:r w:rsidRPr="71AD3445">
        <w:rPr>
          <w:rFonts w:ascii="Tahoma" w:hAnsi="Tahoma" w:cs="Tahoma"/>
          <w:sz w:val="22"/>
          <w:szCs w:val="22"/>
        </w:rPr>
        <w:t>183/2006</w:t>
      </w:r>
      <w:r w:rsidR="00281B1F" w:rsidRPr="71AD3445">
        <w:rPr>
          <w:rFonts w:ascii="Tahoma" w:hAnsi="Tahoma" w:cs="Tahoma"/>
          <w:sz w:val="22"/>
          <w:szCs w:val="22"/>
        </w:rPr>
        <w:t> </w:t>
      </w:r>
      <w:r w:rsidRPr="71AD3445">
        <w:rPr>
          <w:rFonts w:ascii="Tahoma" w:hAnsi="Tahoma" w:cs="Tahoma"/>
          <w:sz w:val="22"/>
          <w:szCs w:val="22"/>
        </w:rPr>
        <w:t>Sb., o územním plánování a</w:t>
      </w:r>
      <w:r w:rsidR="00281B1F" w:rsidRPr="71AD3445">
        <w:rPr>
          <w:rFonts w:ascii="Tahoma" w:hAnsi="Tahoma" w:cs="Tahoma"/>
          <w:sz w:val="22"/>
          <w:szCs w:val="22"/>
        </w:rPr>
        <w:t> </w:t>
      </w:r>
      <w:r w:rsidRPr="71AD3445">
        <w:rPr>
          <w:rFonts w:ascii="Tahoma" w:hAnsi="Tahoma" w:cs="Tahoma"/>
          <w:sz w:val="22"/>
          <w:szCs w:val="22"/>
        </w:rPr>
        <w:t>stavebním řádu</w:t>
      </w:r>
      <w:r w:rsidR="00281B1F" w:rsidRPr="71AD3445">
        <w:rPr>
          <w:rFonts w:ascii="Tahoma" w:hAnsi="Tahoma" w:cs="Tahoma"/>
          <w:sz w:val="22"/>
          <w:szCs w:val="22"/>
        </w:rPr>
        <w:t xml:space="preserve"> (stavební zákon), ve </w:t>
      </w:r>
      <w:r w:rsidRPr="71AD3445">
        <w:rPr>
          <w:rFonts w:ascii="Tahoma" w:hAnsi="Tahoma" w:cs="Tahoma"/>
          <w:sz w:val="22"/>
          <w:szCs w:val="22"/>
        </w:rPr>
        <w:t>znění pozdějších předpisů (dále jen „stavební zákon“),</w:t>
      </w:r>
    </w:p>
    <w:p w14:paraId="1B0CBA2B" w14:textId="6F2E44A6" w:rsidR="0048145D" w:rsidRPr="00AA3365"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 xml:space="preserve">předání odpadu k odstranění na řízenou skládku nebo jiný způsob jeho odstranění nebo využití v souladu se zákonem č. </w:t>
      </w:r>
      <w:r w:rsidR="00CB3595" w:rsidRPr="71AD3445">
        <w:rPr>
          <w:rFonts w:ascii="Tahoma" w:hAnsi="Tahoma" w:cs="Tahoma"/>
          <w:sz w:val="22"/>
          <w:szCs w:val="22"/>
        </w:rPr>
        <w:t>541/2020</w:t>
      </w:r>
      <w:r w:rsidRPr="71AD3445">
        <w:rPr>
          <w:rFonts w:ascii="Tahoma" w:hAnsi="Tahoma" w:cs="Tahoma"/>
          <w:sz w:val="22"/>
          <w:szCs w:val="22"/>
        </w:rPr>
        <w:t xml:space="preserve"> Sb., o odpadech, ve znění pozdějších předpisů (dále jen „zákon o odpadech“); o</w:t>
      </w:r>
      <w:r w:rsidR="00281B1F" w:rsidRPr="71AD3445">
        <w:rPr>
          <w:rFonts w:ascii="Tahoma" w:hAnsi="Tahoma" w:cs="Tahoma"/>
          <w:sz w:val="22"/>
          <w:szCs w:val="22"/>
        </w:rPr>
        <w:t> </w:t>
      </w:r>
      <w:r w:rsidRPr="71AD3445">
        <w:rPr>
          <w:rFonts w:ascii="Tahoma" w:hAnsi="Tahoma" w:cs="Tahoma"/>
          <w:sz w:val="22"/>
          <w:szCs w:val="22"/>
        </w:rPr>
        <w:t>způsobu nakládání s odpadem bude předložen písemný doklad vystavený příslušnou oprávněnou osobou podle zákona o odpadech,</w:t>
      </w:r>
    </w:p>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71AD3445">
        <w:rPr>
          <w:rFonts w:ascii="Tahoma" w:hAnsi="Tahoma" w:cs="Tahoma"/>
          <w:sz w:val="22"/>
          <w:szCs w:val="22"/>
        </w:rPr>
        <w:t> stavebního zákona,</w:t>
      </w:r>
      <w:r w:rsidR="00C46182" w:rsidRPr="71AD3445">
        <w:rPr>
          <w:rFonts w:ascii="Tahoma" w:hAnsi="Tahoma" w:cs="Tahoma"/>
          <w:sz w:val="22"/>
          <w:szCs w:val="22"/>
        </w:rPr>
        <w:t xml:space="preserve"> </w:t>
      </w:r>
      <w:r w:rsidR="00C46182" w:rsidRPr="007E3096">
        <w:rPr>
          <w:rFonts w:ascii="Tahoma" w:hAnsi="Tahoma" w:cs="Tahoma"/>
          <w:sz w:val="22"/>
          <w:szCs w:val="22"/>
          <w:u w:val="single"/>
        </w:rPr>
        <w:t xml:space="preserve">bude-li </w:t>
      </w:r>
      <w:r w:rsidR="00EE2A73" w:rsidRPr="007E3096">
        <w:rPr>
          <w:rFonts w:ascii="Tahoma" w:hAnsi="Tahoma" w:cs="Tahoma"/>
          <w:sz w:val="22"/>
          <w:szCs w:val="22"/>
          <w:u w:val="single"/>
        </w:rPr>
        <w:t xml:space="preserve">k provedení díla </w:t>
      </w:r>
      <w:r w:rsidR="00C46182" w:rsidRPr="007E3096">
        <w:rPr>
          <w:rFonts w:ascii="Tahoma" w:hAnsi="Tahoma" w:cs="Tahoma"/>
          <w:sz w:val="22"/>
          <w:szCs w:val="22"/>
          <w:u w:val="single"/>
        </w:rPr>
        <w:t>potřebné</w:t>
      </w:r>
      <w:r w:rsidR="00D2255A" w:rsidRPr="71AD3445">
        <w:rPr>
          <w:rFonts w:ascii="Tahoma" w:hAnsi="Tahoma" w:cs="Tahoma"/>
          <w:sz w:val="22"/>
          <w:szCs w:val="22"/>
        </w:rPr>
        <w:t>,</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lastRenderedPageBreak/>
        <w:t>zřízení deponie materiálů</w:t>
      </w:r>
      <w:r w:rsidR="009269EF" w:rsidRPr="71AD3445">
        <w:rPr>
          <w:rFonts w:ascii="Tahoma" w:hAnsi="Tahoma" w:cs="Tahoma"/>
          <w:sz w:val="22"/>
          <w:szCs w:val="22"/>
        </w:rPr>
        <w:t xml:space="preserve"> na vymezených plochách</w:t>
      </w:r>
      <w:r w:rsidRPr="71AD3445">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provedení předepsaných zkoušek dle platných právních předpisů a</w:t>
      </w:r>
      <w:r w:rsidR="00281B1F" w:rsidRPr="71AD3445">
        <w:rPr>
          <w:rFonts w:ascii="Tahoma" w:hAnsi="Tahoma" w:cs="Tahoma"/>
          <w:sz w:val="22"/>
          <w:szCs w:val="22"/>
        </w:rPr>
        <w:t> </w:t>
      </w:r>
      <w:r w:rsidRPr="71AD3445">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udržování stavbou dotčených zpevněných ploch, veřejných komunikací a</w:t>
      </w:r>
      <w:r w:rsidR="00281B1F" w:rsidRPr="71AD3445">
        <w:rPr>
          <w:rFonts w:ascii="Tahoma" w:hAnsi="Tahoma" w:cs="Tahoma"/>
          <w:sz w:val="22"/>
          <w:szCs w:val="22"/>
        </w:rPr>
        <w:t> </w:t>
      </w:r>
      <w:r w:rsidRPr="71AD3445">
        <w:rPr>
          <w:rFonts w:ascii="Tahoma" w:hAnsi="Tahoma" w:cs="Tahoma"/>
          <w:sz w:val="22"/>
          <w:szCs w:val="22"/>
        </w:rPr>
        <w:t>výjezdů ze staveniště v čistotě a jejich uvedení do původního stavu</w:t>
      </w:r>
      <w:r w:rsidR="00281B1F" w:rsidRPr="71AD3445">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zajištění zpracování všech případných dalších dokumentací potřebných pro provedení díla</w:t>
      </w:r>
      <w:r w:rsidR="009269EF" w:rsidRPr="71AD3445">
        <w:rPr>
          <w:rFonts w:ascii="Tahoma" w:hAnsi="Tahoma" w:cs="Tahoma"/>
          <w:sz w:val="22"/>
          <w:szCs w:val="22"/>
        </w:rPr>
        <w:t xml:space="preserve"> (jako je např. výrobní a realizační dodavatelská dokumentace),</w:t>
      </w:r>
    </w:p>
    <w:p w14:paraId="247F3E2A" w14:textId="77777777"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pořizování fotodokumentace o průběhu zhotovení stavby a její předání objednateli při předání</w:t>
      </w:r>
      <w:r w:rsidRPr="71AD3445">
        <w:rPr>
          <w:rFonts w:ascii="Tahoma" w:hAnsi="Tahoma" w:cs="Tahoma"/>
          <w:i/>
          <w:iCs/>
          <w:sz w:val="22"/>
          <w:szCs w:val="22"/>
        </w:rPr>
        <w:t xml:space="preserve"> </w:t>
      </w:r>
      <w:r w:rsidRPr="71AD3445">
        <w:rPr>
          <w:rFonts w:ascii="Tahoma" w:hAnsi="Tahoma" w:cs="Tahoma"/>
          <w:sz w:val="22"/>
          <w:szCs w:val="22"/>
        </w:rPr>
        <w:t>a převzetí plnění předmětu smlouvy v digitální podobě na CD,</w:t>
      </w:r>
    </w:p>
    <w:p w14:paraId="40808FC0" w14:textId="3A81584F"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hlášení archeologických</w:t>
      </w:r>
      <w:r w:rsidR="00281B1F" w:rsidRPr="71AD3445">
        <w:rPr>
          <w:rFonts w:ascii="Tahoma" w:hAnsi="Tahoma" w:cs="Tahoma"/>
          <w:sz w:val="22"/>
          <w:szCs w:val="22"/>
        </w:rPr>
        <w:t xml:space="preserve"> nálezů v souladu se zákonem č. </w:t>
      </w:r>
      <w:r w:rsidRPr="71AD3445">
        <w:rPr>
          <w:rFonts w:ascii="Tahoma" w:hAnsi="Tahoma" w:cs="Tahoma"/>
          <w:sz w:val="22"/>
          <w:szCs w:val="22"/>
        </w:rPr>
        <w:t>20/1987</w:t>
      </w:r>
      <w:r w:rsidR="00281B1F" w:rsidRPr="71AD3445">
        <w:rPr>
          <w:rFonts w:ascii="Tahoma" w:hAnsi="Tahoma" w:cs="Tahoma"/>
          <w:sz w:val="22"/>
          <w:szCs w:val="22"/>
        </w:rPr>
        <w:t> </w:t>
      </w:r>
      <w:r w:rsidRPr="71AD3445">
        <w:rPr>
          <w:rFonts w:ascii="Tahoma" w:hAnsi="Tahoma" w:cs="Tahoma"/>
          <w:sz w:val="22"/>
          <w:szCs w:val="22"/>
        </w:rPr>
        <w:t>Sb., o</w:t>
      </w:r>
      <w:r w:rsidR="00281B1F" w:rsidRPr="71AD3445">
        <w:rPr>
          <w:rFonts w:ascii="Tahoma" w:hAnsi="Tahoma" w:cs="Tahoma"/>
          <w:sz w:val="22"/>
          <w:szCs w:val="22"/>
        </w:rPr>
        <w:t> </w:t>
      </w:r>
      <w:r w:rsidRPr="71AD3445">
        <w:rPr>
          <w:rFonts w:ascii="Tahoma" w:hAnsi="Tahoma" w:cs="Tahoma"/>
          <w:sz w:val="22"/>
          <w:szCs w:val="22"/>
        </w:rPr>
        <w:t>státní pa</w:t>
      </w:r>
      <w:r w:rsidR="00281B1F" w:rsidRPr="71AD3445">
        <w:rPr>
          <w:rFonts w:ascii="Tahoma" w:hAnsi="Tahoma" w:cs="Tahoma"/>
          <w:sz w:val="22"/>
          <w:szCs w:val="22"/>
        </w:rPr>
        <w:t>mátkové péči, ve </w:t>
      </w:r>
      <w:r w:rsidRPr="71AD3445">
        <w:rPr>
          <w:rFonts w:ascii="Tahoma" w:hAnsi="Tahoma" w:cs="Tahoma"/>
          <w:sz w:val="22"/>
          <w:szCs w:val="22"/>
        </w:rPr>
        <w:t>znění pozdějších předpisů</w:t>
      </w:r>
      <w:r w:rsidR="007E3096">
        <w:rPr>
          <w:rFonts w:ascii="Tahoma" w:hAnsi="Tahoma" w:cs="Tahoma"/>
          <w:sz w:val="22"/>
          <w:szCs w:val="22"/>
        </w:rPr>
        <w:t>, vyskytnou-li se</w:t>
      </w:r>
      <w:r w:rsidR="004A2DDB" w:rsidRPr="71AD3445">
        <w:rPr>
          <w:rFonts w:ascii="Tahoma" w:hAnsi="Tahoma" w:cs="Tahoma"/>
          <w:sz w:val="22"/>
          <w:szCs w:val="22"/>
        </w:rPr>
        <w:t>.</w:t>
      </w:r>
    </w:p>
    <w:p w14:paraId="636E5E69" w14:textId="77777777" w:rsidR="009269EF" w:rsidRPr="007E3096" w:rsidRDefault="009269EF" w:rsidP="009269EF">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E3096">
        <w:rPr>
          <w:rFonts w:ascii="Tahoma" w:hAnsi="Tahoma" w:cs="Tahoma"/>
          <w:sz w:val="22"/>
          <w:szCs w:val="22"/>
        </w:rPr>
        <w:t>zajištění veškerých prací a dodávek souvisejících</w:t>
      </w:r>
      <w:r w:rsidR="003B16EA" w:rsidRPr="007E3096">
        <w:rPr>
          <w:rFonts w:ascii="Tahoma" w:hAnsi="Tahoma" w:cs="Tahoma"/>
          <w:sz w:val="22"/>
          <w:szCs w:val="22"/>
        </w:rPr>
        <w:t xml:space="preserve"> s bezpečnostními opatřeními na </w:t>
      </w:r>
      <w:r w:rsidRPr="007E3096">
        <w:rPr>
          <w:rFonts w:ascii="Tahoma" w:hAnsi="Tahoma" w:cs="Tahoma"/>
          <w:sz w:val="22"/>
          <w:szCs w:val="22"/>
        </w:rPr>
        <w:t>ochranu lidí a majetku (zejména chodců a vozidel v místech dotčených stavbou),</w:t>
      </w:r>
    </w:p>
    <w:p w14:paraId="1C28C115" w14:textId="77777777" w:rsidR="009269EF" w:rsidRPr="007E3096" w:rsidRDefault="009269EF" w:rsidP="009269EF">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E3096">
        <w:rPr>
          <w:rFonts w:ascii="Tahoma" w:hAnsi="Tahoma" w:cs="Tahoma"/>
          <w:sz w:val="22"/>
          <w:szCs w:val="22"/>
        </w:rPr>
        <w:t>vybavení stavby podle požární zprávy,</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0E1A2F5"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10CA62C9"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6D28">
        <w:rPr>
          <w:rFonts w:ascii="Tahoma" w:hAnsi="Tahoma" w:cs="Tahoma"/>
          <w:sz w:val="22"/>
          <w:szCs w:val="22"/>
        </w:rPr>
        <w:t>,</w:t>
      </w:r>
    </w:p>
    <w:p w14:paraId="08231A7F" w14:textId="11576605" w:rsidR="00DE6D28" w:rsidRPr="007E3096" w:rsidRDefault="00DE6D28" w:rsidP="00A5613D">
      <w:pPr>
        <w:pStyle w:val="paragraph"/>
        <w:numPr>
          <w:ilvl w:val="0"/>
          <w:numId w:val="26"/>
        </w:numPr>
        <w:tabs>
          <w:tab w:val="clear" w:pos="1362"/>
          <w:tab w:val="num" w:pos="714"/>
        </w:tabs>
        <w:spacing w:before="0" w:beforeAutospacing="0" w:after="0" w:afterAutospacing="0"/>
        <w:ind w:left="709" w:hanging="357"/>
        <w:jc w:val="both"/>
        <w:textAlignment w:val="baseline"/>
        <w:rPr>
          <w:rFonts w:ascii="Tahoma" w:hAnsi="Tahoma" w:cs="Tahoma"/>
          <w:sz w:val="22"/>
          <w:szCs w:val="22"/>
        </w:rPr>
      </w:pPr>
      <w:r w:rsidRPr="007E3096">
        <w:rPr>
          <w:rStyle w:val="normaltextrun"/>
          <w:rFonts w:ascii="Tahoma" w:hAnsi="Tahoma" w:cs="Tahoma"/>
          <w:sz w:val="22"/>
          <w:szCs w:val="22"/>
        </w:rPr>
        <w:t>koordinovat prováděné práce s </w:t>
      </w:r>
      <w:r w:rsidR="007E3096" w:rsidRPr="007E3096">
        <w:rPr>
          <w:rStyle w:val="normaltextrun"/>
          <w:rFonts w:ascii="Tahoma" w:hAnsi="Tahoma" w:cs="Tahoma"/>
          <w:sz w:val="22"/>
          <w:szCs w:val="22"/>
        </w:rPr>
        <w:t>firmami, provádějící jiné zakázky v okolí staveniště.</w:t>
      </w:r>
      <w:r w:rsidRPr="007E3096">
        <w:rPr>
          <w:rStyle w:val="eop"/>
          <w:rFonts w:ascii="Tahoma" w:hAnsi="Tahoma" w:cs="Tahoma"/>
          <w:sz w:val="22"/>
          <w:szCs w:val="22"/>
        </w:rPr>
        <w:t> </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77777777" w:rsidR="00EF3B8F" w:rsidRDefault="004A2DDB" w:rsidP="00A5613D">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1B20961A"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7E3096" w:rsidRPr="007E3096">
        <w:rPr>
          <w:rFonts w:ascii="Tahoma" w:hAnsi="Tahoma" w:cs="Tahoma"/>
          <w:b/>
          <w:sz w:val="22"/>
          <w:szCs w:val="22"/>
        </w:rPr>
        <w:t>60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AA18F9E" w:rsidR="00EF3B8F"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lastRenderedPageBreak/>
        <w:t xml:space="preserve">Místem plnění je </w:t>
      </w:r>
      <w:r w:rsidR="007E3096">
        <w:rPr>
          <w:rFonts w:ascii="Tahoma" w:hAnsi="Tahoma" w:cs="Tahoma"/>
          <w:bCs/>
          <w:sz w:val="22"/>
          <w:szCs w:val="22"/>
        </w:rPr>
        <w:t>Lidická 600/1a, Havířov Šumbark.</w:t>
      </w:r>
    </w:p>
    <w:p w14:paraId="3EA2664D" w14:textId="7E40F607" w:rsidR="00DE6ED4" w:rsidRDefault="00107340" w:rsidP="00A5613D">
      <w:pPr>
        <w:pStyle w:val="Smlouva-slo0"/>
        <w:widowControl/>
        <w:numPr>
          <w:ilvl w:val="0"/>
          <w:numId w:val="19"/>
        </w:numPr>
        <w:spacing w:line="240" w:lineRule="auto"/>
        <w:rPr>
          <w:rFonts w:ascii="Tahoma" w:hAnsi="Tahoma" w:cs="Tahoma"/>
          <w:sz w:val="22"/>
          <w:szCs w:val="22"/>
        </w:rPr>
      </w:pPr>
      <w:r w:rsidRPr="00EF3B8F">
        <w:rPr>
          <w:rFonts w:ascii="Tahoma" w:hAnsi="Tahoma" w:cs="Tahoma"/>
          <w:sz w:val="22"/>
          <w:szCs w:val="22"/>
        </w:rPr>
        <w:t>V </w:t>
      </w:r>
      <w:r>
        <w:rPr>
          <w:rFonts w:ascii="Tahoma" w:hAnsi="Tahoma" w:cs="Tahoma"/>
          <w:bCs/>
          <w:sz w:val="22"/>
          <w:szCs w:val="22"/>
        </w:rPr>
        <w:t>souladu</w:t>
      </w:r>
      <w:r>
        <w:rPr>
          <w:rFonts w:ascii="Tahoma" w:hAnsi="Tahoma" w:cs="Tahoma"/>
          <w:sz w:val="22"/>
          <w:szCs w:val="22"/>
        </w:rPr>
        <w:t xml:space="preserve"> s § 100 odst. 1 ZZVZ si objednatel vyhrazuje právo </w:t>
      </w:r>
      <w:r w:rsidR="00D23940">
        <w:rPr>
          <w:rFonts w:ascii="Tahoma" w:hAnsi="Tahoma" w:cs="Tahoma"/>
          <w:sz w:val="22"/>
          <w:szCs w:val="22"/>
        </w:rPr>
        <w:t xml:space="preserve">po dobu trvání překážky </w:t>
      </w:r>
      <w:r>
        <w:rPr>
          <w:rFonts w:ascii="Tahoma" w:hAnsi="Tahoma" w:cs="Tahoma"/>
          <w:sz w:val="22"/>
          <w:szCs w:val="22"/>
        </w:rPr>
        <w:t>přerušit plnění předmětu této smlouvy a zastavit běh doby plnění dle odst. 1 tohoto článku smlouvy, a to v</w:t>
      </w:r>
      <w:r w:rsidR="00DE6ED4">
        <w:rPr>
          <w:rFonts w:ascii="Tahoma" w:hAnsi="Tahoma" w:cs="Tahoma"/>
          <w:sz w:val="22"/>
          <w:szCs w:val="22"/>
        </w:rPr>
        <w:t> </w:t>
      </w:r>
      <w:r w:rsidR="007E3096" w:rsidRPr="007E3096">
        <w:rPr>
          <w:rFonts w:ascii="Tahoma" w:hAnsi="Tahoma" w:cs="Tahoma"/>
          <w:sz w:val="22"/>
          <w:szCs w:val="22"/>
        </w:rPr>
        <w:t>tomto</w:t>
      </w:r>
      <w:r w:rsidRPr="007E3096">
        <w:rPr>
          <w:rFonts w:ascii="Tahoma" w:hAnsi="Tahoma" w:cs="Tahoma"/>
          <w:sz w:val="22"/>
          <w:szCs w:val="22"/>
        </w:rPr>
        <w:t xml:space="preserve"> </w:t>
      </w:r>
      <w:r w:rsidR="00F45279" w:rsidRPr="007E3096">
        <w:rPr>
          <w:rFonts w:ascii="Tahoma" w:hAnsi="Tahoma" w:cs="Tahoma"/>
          <w:sz w:val="22"/>
          <w:szCs w:val="22"/>
        </w:rPr>
        <w:t>případě</w:t>
      </w:r>
      <w:r w:rsidR="00DE6ED4">
        <w:rPr>
          <w:rFonts w:ascii="Tahoma" w:hAnsi="Tahoma" w:cs="Tahoma"/>
          <w:sz w:val="22"/>
          <w:szCs w:val="22"/>
        </w:rPr>
        <w:t>:</w:t>
      </w:r>
    </w:p>
    <w:p w14:paraId="07BDDD70" w14:textId="6A6C7369"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257A1569"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t>V</w:t>
      </w:r>
      <w:r w:rsidR="00D23940">
        <w:rPr>
          <w:rFonts w:ascii="Tahoma" w:hAnsi="Tahoma" w:cs="Tahoma"/>
          <w:sz w:val="22"/>
          <w:szCs w:val="22"/>
        </w:rPr>
        <w:t> </w:t>
      </w:r>
      <w:r w:rsidRPr="007E3096">
        <w:rPr>
          <w:rFonts w:ascii="Tahoma" w:hAnsi="Tahoma" w:cs="Tahoma"/>
          <w:sz w:val="22"/>
          <w:szCs w:val="22"/>
        </w:rPr>
        <w:t>tomto případě</w:t>
      </w:r>
      <w:r w:rsidR="00EB57B9" w:rsidRPr="007E3096">
        <w:rPr>
          <w:rFonts w:ascii="Tahoma" w:hAnsi="Tahoma" w:cs="Tahoma"/>
          <w:sz w:val="22"/>
          <w:szCs w:val="22"/>
        </w:rPr>
        <w:t xml:space="preserve">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29B046ED" w:rsidR="00107340" w:rsidRPr="00EB57B9" w:rsidRDefault="00107340" w:rsidP="00A5613D">
      <w:pPr>
        <w:pStyle w:val="Smlouva-slo0"/>
        <w:widowControl/>
        <w:numPr>
          <w:ilvl w:val="0"/>
          <w:numId w:val="19"/>
        </w:numPr>
        <w:spacing w:line="240" w:lineRule="auto"/>
        <w:rPr>
          <w:rFonts w:ascii="Tahoma" w:hAnsi="Tahoma" w:cs="Tahoma"/>
          <w:sz w:val="22"/>
          <w:szCs w:val="22"/>
        </w:rPr>
      </w:pPr>
      <w:r>
        <w:rPr>
          <w:rStyle w:val="normaltextrun"/>
          <w:rFonts w:ascii="Tahoma" w:hAnsi="Tahoma" w:cs="Tahoma"/>
          <w:color w:val="000000"/>
          <w:sz w:val="22"/>
          <w:szCs w:val="22"/>
          <w:shd w:val="clear" w:color="auto" w:fill="FFFFFF"/>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1654F126" w14:textId="78232BA7" w:rsidR="00010AB2" w:rsidRPr="00BB2137" w:rsidRDefault="004A2DDB" w:rsidP="000A4E91">
      <w:pPr>
        <w:spacing w:before="120" w:after="240"/>
        <w:ind w:left="357"/>
        <w:jc w:val="both"/>
        <w:rPr>
          <w:rFonts w:ascii="Tahoma" w:hAnsi="Tahoma" w:cs="Tahoma"/>
          <w:sz w:val="22"/>
          <w:szCs w:val="22"/>
        </w:rPr>
      </w:pPr>
      <w:r w:rsidRPr="00973CC3">
        <w:rPr>
          <w:rFonts w:ascii="Tahoma" w:hAnsi="Tahoma" w:cs="Tahoma"/>
          <w:sz w:val="22"/>
          <w:szCs w:val="22"/>
        </w:rPr>
        <w:t>Cena za provedené dílo je stanovena dohodou smluvních stran a činí</w:t>
      </w:r>
      <w:r w:rsidR="00973CC3" w:rsidRPr="00973CC3">
        <w:rPr>
          <w:rFonts w:ascii="Tahoma" w:hAnsi="Tahoma" w:cs="Tahoma"/>
          <w:sz w:val="22"/>
          <w:szCs w:val="22"/>
        </w:rPr>
        <w:t xml:space="preserve"> </w:t>
      </w:r>
      <w:r w:rsidR="00973CC3" w:rsidRPr="00973CC3">
        <w:rPr>
          <w:rFonts w:ascii="Tahoma" w:hAnsi="Tahoma" w:cs="Tahoma"/>
          <w:b/>
          <w:bCs/>
          <w:sz w:val="22"/>
          <w:szCs w:val="22"/>
        </w:rPr>
        <w:t xml:space="preserve">………… Kč </w:t>
      </w:r>
      <w:r w:rsidR="00973CC3" w:rsidRPr="00EF244F">
        <w:rPr>
          <w:rFonts w:ascii="Tahoma" w:hAnsi="Tahoma" w:cs="Tahoma"/>
          <w:sz w:val="22"/>
          <w:szCs w:val="22"/>
        </w:rPr>
        <w:t>bez DPH.</w:t>
      </w:r>
      <w:r w:rsidR="00973CC3">
        <w:rPr>
          <w:rFonts w:ascii="Tahoma" w:hAnsi="Tahoma" w:cs="Tahoma"/>
          <w:b/>
          <w:bCs/>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02A98246"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Souhrnný rozpočet je nedílnou přílohou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w:t>
      </w:r>
      <w:r w:rsidRPr="008C63A0">
        <w:rPr>
          <w:rFonts w:ascii="Tahoma" w:hAnsi="Tahoma" w:cs="Tahoma"/>
          <w:sz w:val="22"/>
          <w:szCs w:val="22"/>
        </w:rPr>
        <w:lastRenderedPageBreak/>
        <w:t>součtem nákladů jednotlivých položek víceprací, přičemž pro stanovení jejich jednotkové ceny se použije níže uvedený způsob naceňování:</w:t>
      </w:r>
    </w:p>
    <w:p w14:paraId="696A9B84" w14:textId="02DEF142"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6A38D479"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v její aktuální cenové úrovni.</w:t>
      </w:r>
    </w:p>
    <w:p w14:paraId="39DD0027" w14:textId="213C0D83"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F71FC70" w14:textId="77777777"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 dle § 222 odst. 7 ZZVZ</w:t>
      </w:r>
    </w:p>
    <w:p w14:paraId="5A737E0F" w14:textId="10A6E66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 nahrazovaným položkám kvalitativně stejné nebo vyšší. Zhotovitel se zavazuje vyhotovit o každé jednotlivé záměně přehled obsahující nové položky soupisu prací s vymezením položek v původním soupisu, které jsou takto nahrazovány, spolu s podrobným a srozumitelným odůvodněním srovnatelnosti materiálu nebo prací stejné nebo vyšší kvality</w:t>
      </w:r>
      <w:r>
        <w:rPr>
          <w:rFonts w:ascii="Tahoma" w:hAnsi="Tahoma" w:cs="Tahoma"/>
          <w:snapToGrid w:val="0"/>
          <w:sz w:val="22"/>
          <w:szCs w:val="22"/>
        </w:rPr>
        <w:t>,</w:t>
      </w:r>
    </w:p>
    <w:p w14:paraId="3309C148" w14:textId="4A5CCD3D"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dle § 222 odst. 7 ZZVZ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3514716E" w14:textId="77777777" w:rsidR="004269E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r w:rsidR="004320D5">
        <w:rPr>
          <w:rFonts w:ascii="Tahoma" w:hAnsi="Tahoma" w:cs="Tahoma"/>
          <w:sz w:val="22"/>
          <w:szCs w:val="22"/>
        </w:rPr>
        <w:t xml:space="preserve"> </w:t>
      </w:r>
    </w:p>
    <w:p w14:paraId="58ADBB08" w14:textId="6C505CF4" w:rsidR="004A2DDB" w:rsidRDefault="004320D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Pr>
          <w:rStyle w:val="normaltextrun"/>
          <w:rFonts w:ascii="Tahoma" w:hAnsi="Tahoma" w:cs="Tahoma"/>
          <w:b/>
          <w:bCs/>
          <w:color w:val="000000"/>
          <w:sz w:val="22"/>
          <w:szCs w:val="22"/>
          <w:shd w:val="clear" w:color="auto" w:fill="FFFFFF"/>
        </w:rPr>
        <w:t xml:space="preserve">Na plnění dle této smlouvy se vztahuje režim přenesení </w:t>
      </w:r>
      <w:r>
        <w:rPr>
          <w:rStyle w:val="findhit"/>
          <w:rFonts w:ascii="Tahoma" w:hAnsi="Tahoma" w:cs="Tahoma"/>
          <w:b/>
          <w:bCs/>
          <w:color w:val="000000"/>
          <w:sz w:val="22"/>
          <w:szCs w:val="22"/>
          <w:shd w:val="clear" w:color="auto" w:fill="FFFFFF"/>
        </w:rPr>
        <w:t>daň</w:t>
      </w:r>
      <w:r>
        <w:rPr>
          <w:rStyle w:val="normaltextrun"/>
          <w:rFonts w:ascii="Tahoma" w:hAnsi="Tahoma" w:cs="Tahoma"/>
          <w:b/>
          <w:bCs/>
          <w:color w:val="000000"/>
          <w:sz w:val="22"/>
          <w:szCs w:val="22"/>
          <w:shd w:val="clear" w:color="auto" w:fill="FFFFFF"/>
        </w:rPr>
        <w:t xml:space="preserve">ové povinnosti </w:t>
      </w:r>
      <w:r>
        <w:rPr>
          <w:rStyle w:val="normaltextrun"/>
          <w:rFonts w:ascii="Tahoma" w:hAnsi="Tahoma" w:cs="Tahoma"/>
          <w:color w:val="000000"/>
          <w:sz w:val="22"/>
          <w:szCs w:val="22"/>
          <w:shd w:val="clear" w:color="auto" w:fill="FFFFFF"/>
        </w:rPr>
        <w:t xml:space="preserve">dle zákona č. 235/2004 Sb., o dani z přidané hodnoty, ve znění pozdějších předpisů (dále </w:t>
      </w:r>
      <w:r>
        <w:rPr>
          <w:rStyle w:val="normaltextrun"/>
          <w:rFonts w:ascii="Tahoma" w:hAnsi="Tahoma" w:cs="Tahoma"/>
          <w:color w:val="000000"/>
          <w:sz w:val="22"/>
          <w:szCs w:val="22"/>
          <w:shd w:val="clear" w:color="auto" w:fill="FFFFFF"/>
        </w:rPr>
        <w:lastRenderedPageBreak/>
        <w:t>jen „zákon o DPH“), a zhotovitelem proto budou za předmětné plnění vystaveny faktury bez uvedení daně z přidané hodnoty.</w:t>
      </w:r>
    </w:p>
    <w:p w14:paraId="1BED0676" w14:textId="77777777"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73D5579" w:rsidR="004A2DDB" w:rsidRPr="00967EBD" w:rsidRDefault="00967EBD"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w:t>
      </w:r>
      <w:r w:rsidR="001A6824" w:rsidRPr="001A6824">
        <w:rPr>
          <w:b/>
          <w:iCs/>
          <w:color w:val="222222"/>
          <w:sz w:val="20"/>
          <w:shd w:val="clear" w:color="auto" w:fill="FFFFFF"/>
        </w:rPr>
        <w:t xml:space="preserve"> </w:t>
      </w:r>
      <w:r w:rsidR="001A6824" w:rsidRPr="001A6824">
        <w:rPr>
          <w:rFonts w:ascii="Tahoma" w:hAnsi="Tahoma" w:cs="Tahoma"/>
          <w:iCs/>
          <w:color w:val="222222"/>
          <w:sz w:val="22"/>
          <w:shd w:val="clear" w:color="auto" w:fill="FFFFFF"/>
        </w:rPr>
        <w:t>TPA-Inovační centrum pro transformaci vzdělávání</w:t>
      </w:r>
      <w:r w:rsidR="001A6824" w:rsidRPr="001A6824">
        <w:rPr>
          <w:rFonts w:ascii="Tahoma" w:hAnsi="Tahoma" w:cs="Tahoma"/>
          <w:sz w:val="22"/>
        </w:rPr>
        <w:t xml:space="preserve"> - Rekonstrukce učeben CLS - STAVBA</w:t>
      </w:r>
      <w:r w:rsidRPr="004269EB">
        <w:rPr>
          <w:rFonts w:ascii="Tahoma" w:hAnsi="Tahoma" w:cs="Tahoma"/>
          <w:sz w:val="22"/>
          <w:szCs w:val="22"/>
        </w:rPr>
        <w:t>“,</w:t>
      </w:r>
    </w:p>
    <w:p w14:paraId="50892B53" w14:textId="77777777"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1D8C1B6A"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konečné faktury bude rekapitulace vystavených faktur a rekapitulace veškerých provedených prací, která bude zpracována v souladu s odsouhlaseným soupisem prací.</w:t>
      </w:r>
    </w:p>
    <w:p w14:paraId="2A525D14" w14:textId="7E1B66DD" w:rsidR="007B67B4" w:rsidRPr="0088498F" w:rsidRDefault="007B67B4"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282404" w:rsidRPr="00282404">
        <w:rPr>
          <w:rFonts w:ascii="Tahoma" w:hAnsi="Tahoma" w:cs="Tahoma"/>
          <w:sz w:val="22"/>
          <w:szCs w:val="22"/>
        </w:rPr>
        <w:t>období od druhého dne kalendářního měsíce do prvého dne kalendářního měsíce bezprostředně následujícího</w:t>
      </w:r>
      <w:r w:rsidRPr="0088498F">
        <w:rPr>
          <w:rFonts w:ascii="Tahoma" w:hAnsi="Tahoma" w:cs="Tahoma"/>
          <w:sz w:val="22"/>
          <w:szCs w:val="22"/>
        </w:rPr>
        <w:t xml:space="preserve">. Dílčí plnění odsouhlasené </w:t>
      </w:r>
      <w:r w:rsidR="00C741E1">
        <w:rPr>
          <w:rFonts w:ascii="Tahoma" w:hAnsi="Tahoma" w:cs="Tahoma"/>
          <w:sz w:val="22"/>
          <w:szCs w:val="22"/>
        </w:rPr>
        <w:t xml:space="preserve">za objednatele </w:t>
      </w:r>
      <w:r w:rsidRPr="0088498F">
        <w:rPr>
          <w:rFonts w:ascii="Tahoma" w:hAnsi="Tahoma" w:cs="Tahoma"/>
          <w:sz w:val="22"/>
          <w:szCs w:val="22"/>
        </w:rPr>
        <w:t xml:space="preserve">podpisem </w:t>
      </w:r>
      <w:r w:rsidR="00C741E1">
        <w:rPr>
          <w:rFonts w:ascii="Tahoma" w:hAnsi="Tahoma" w:cs="Tahoma"/>
          <w:sz w:val="22"/>
          <w:szCs w:val="22"/>
        </w:rPr>
        <w:t>osoby vykonávající technický dozor stavebníka</w:t>
      </w:r>
      <w:r w:rsidRPr="0088498F">
        <w:rPr>
          <w:rFonts w:ascii="Tahoma" w:hAnsi="Tahoma" w:cs="Tahoma"/>
          <w:sz w:val="22"/>
          <w:szCs w:val="22"/>
        </w:rPr>
        <w:t xml:space="preserve"> v soupisu skutečně provedených prací a zjišťovacím protokolu, včetně dohody o ocenění, se považuje za samostatné zdanitelné plnění uskutečněné </w:t>
      </w:r>
      <w:r w:rsidR="00282404" w:rsidRPr="00282404">
        <w:rPr>
          <w:rFonts w:ascii="Tahoma" w:hAnsi="Tahoma" w:cs="Tahoma"/>
          <w:sz w:val="22"/>
          <w:szCs w:val="22"/>
        </w:rPr>
        <w:t>první den kalendářního měsíce bezprostředně následujícího, tj. poslední den výše sjednaného období</w:t>
      </w:r>
      <w:r w:rsidRPr="0088498F">
        <w:rPr>
          <w:rFonts w:ascii="Tahoma" w:hAnsi="Tahoma" w:cs="Tahoma"/>
          <w:sz w:val="22"/>
          <w:szCs w:val="22"/>
        </w:rPr>
        <w:t xml:space="preserve">. </w:t>
      </w:r>
      <w:r w:rsidR="00F223E0" w:rsidRPr="0088498F">
        <w:rPr>
          <w:rFonts w:ascii="Tahoma" w:hAnsi="Tahoma" w:cs="Tahoma"/>
          <w:sz w:val="22"/>
          <w:szCs w:val="22"/>
        </w:rPr>
        <w:t xml:space="preserve">V případě předání a převzetí ukončených stavebních objektů či jiných prací již v průběhu výše uvedeného období se v souladu </w:t>
      </w:r>
      <w:r w:rsidR="00F223E0" w:rsidRPr="00FC3A58">
        <w:rPr>
          <w:rFonts w:ascii="Tahoma" w:hAnsi="Tahoma" w:cs="Tahoma"/>
          <w:sz w:val="22"/>
          <w:szCs w:val="22"/>
        </w:rPr>
        <w:t>s § 21 odst. 7 a § 21 odst. 4 písm. a) zákona</w:t>
      </w:r>
      <w:r w:rsidR="00F223E0" w:rsidRPr="0088498F">
        <w:rPr>
          <w:rFonts w:ascii="Tahoma" w:hAnsi="Tahoma" w:cs="Tahoma"/>
          <w:sz w:val="22"/>
          <w:szCs w:val="22"/>
        </w:rPr>
        <w:t xml:space="preserve"> o DPH za den uskutečnění zdanitelného plnění považuje den potvrzení převzetí prací zástupcem objednatele na zjišťovacím protokolu.</w:t>
      </w:r>
      <w:r w:rsidR="00F223E0">
        <w:rPr>
          <w:rFonts w:ascii="Tahoma" w:hAnsi="Tahoma" w:cs="Tahoma"/>
          <w:sz w:val="22"/>
          <w:szCs w:val="22"/>
        </w:rPr>
        <w:t xml:space="preserve"> </w:t>
      </w:r>
      <w:r w:rsidRPr="0088498F">
        <w:rPr>
          <w:rFonts w:ascii="Tahoma" w:hAnsi="Tahoma" w:cs="Tahoma"/>
          <w:sz w:val="22"/>
          <w:szCs w:val="22"/>
        </w:rPr>
        <w:t>Zhotovitel</w:t>
      </w:r>
      <w:r w:rsidR="001A11C4">
        <w:rPr>
          <w:rFonts w:ascii="Tahoma" w:hAnsi="Tahoma" w:cs="Tahoma"/>
          <w:sz w:val="22"/>
          <w:szCs w:val="22"/>
        </w:rPr>
        <w:t xml:space="preserve"> (plátce DPH)</w:t>
      </w:r>
      <w:r w:rsidRPr="0088498F">
        <w:rPr>
          <w:rFonts w:ascii="Tahoma" w:hAnsi="Tahoma" w:cs="Tahoma"/>
          <w:sz w:val="22"/>
          <w:szCs w:val="22"/>
        </w:rPr>
        <w:t xml:space="preserve"> vystaví na zdanitelné plnění fakturu, jejíž nedílnou součástí bude soupis provedených prací a zjišťovací protokol - obojí podepsané zhotovitelem a odsouhlasené osobou vykonávající technický dozor stavebníka.</w:t>
      </w:r>
    </w:p>
    <w:p w14:paraId="358AE0EC" w14:textId="77777777" w:rsidR="00D019D5" w:rsidRPr="00B635CF" w:rsidRDefault="008D2CB6"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4151A91E" w:rsidR="005A7EA5" w:rsidRPr="00F223E0" w:rsidRDefault="004A2DDB" w:rsidP="00F223E0">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r w:rsidR="00F223E0">
        <w:rPr>
          <w:rFonts w:ascii="Tahoma" w:hAnsi="Tahoma" w:cs="Tahoma"/>
          <w:sz w:val="22"/>
          <w:szCs w:val="22"/>
        </w:rPr>
        <w:t xml:space="preserve"> </w:t>
      </w:r>
      <w:r w:rsidR="00F223E0" w:rsidRPr="00FC3A58">
        <w:rPr>
          <w:rFonts w:ascii="Tahoma" w:hAnsi="Tahoma" w:cs="Tahoma"/>
          <w:sz w:val="22"/>
          <w:szCs w:val="22"/>
        </w:rPr>
        <w:t>Zhotovitel</w:t>
      </w:r>
      <w:r w:rsidR="00F223E0" w:rsidRPr="000A73E5">
        <w:rPr>
          <w:rFonts w:ascii="Tahoma" w:hAnsi="Tahoma" w:cs="Tahoma"/>
          <w:sz w:val="22"/>
          <w:szCs w:val="22"/>
        </w:rPr>
        <w:t xml:space="preserve"> je povinen doručit fakturu objednateli nejpozději </w:t>
      </w:r>
      <w:r w:rsidR="00F223E0" w:rsidRPr="0088498F">
        <w:rPr>
          <w:rFonts w:ascii="Tahoma" w:hAnsi="Tahoma" w:cs="Tahoma"/>
          <w:sz w:val="22"/>
          <w:szCs w:val="22"/>
        </w:rPr>
        <w:t>16. den následující po dni uskutečnění zdanitelného plnění. Nesplní</w:t>
      </w:r>
      <w:r w:rsidR="00F223E0" w:rsidRPr="0088498F">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54409F53" w14:textId="77777777"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34F6FB05"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r w:rsidR="007A3479">
        <w:rPr>
          <w:rFonts w:ascii="Tahoma" w:hAnsi="Tahoma" w:cs="Tahoma"/>
          <w:sz w:val="22"/>
          <w:szCs w:val="22"/>
        </w:rPr>
        <w:t>.</w:t>
      </w:r>
    </w:p>
    <w:p w14:paraId="6F85F829" w14:textId="2993BB48"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lastRenderedPageBreak/>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3E3B82">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A7CB493" w14:textId="096F77F9" w:rsidR="004C4741"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71AD3445">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71AD3445">
        <w:rPr>
          <w:rFonts w:ascii="Tahoma" w:hAnsi="Tahoma" w:cs="Tahoma"/>
          <w:sz w:val="22"/>
          <w:szCs w:val="22"/>
        </w:rPr>
        <w:t>touto</w:t>
      </w:r>
      <w:r w:rsidR="00AE05FA" w:rsidRPr="71AD3445">
        <w:rPr>
          <w:rFonts w:ascii="Tahoma" w:hAnsi="Tahoma" w:cs="Tahoma"/>
          <w:color w:val="FF0000"/>
          <w:sz w:val="22"/>
          <w:szCs w:val="22"/>
        </w:rPr>
        <w:t xml:space="preserve"> </w:t>
      </w:r>
      <w:r w:rsidRPr="71AD3445">
        <w:rPr>
          <w:rFonts w:ascii="Tahoma" w:hAnsi="Tahoma" w:cs="Tahoma"/>
          <w:sz w:val="22"/>
          <w:szCs w:val="22"/>
        </w:rPr>
        <w:t>smlouvou nebo pokyny objednatele.</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1B3571E4"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1C78FBC4"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2F73FD">
        <w:rPr>
          <w:rFonts w:ascii="Tahoma" w:hAnsi="Tahoma" w:cs="Tahoma"/>
          <w:sz w:val="22"/>
          <w:szCs w:val="22"/>
        </w:rPr>
        <w:t xml:space="preserve">7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4269EB">
        <w:rPr>
          <w:rFonts w:ascii="Tahoma" w:hAnsi="Tahoma" w:cs="Tahoma"/>
          <w:sz w:val="22"/>
          <w:szCs w:val="22"/>
        </w:rPr>
        <w:t xml:space="preserve"> a potřeby objednatele z hlediska vyučování</w:t>
      </w:r>
      <w:r w:rsidR="002413EF">
        <w:rPr>
          <w:rFonts w:ascii="Tahoma" w:hAnsi="Tahoma" w:cs="Tahoma"/>
          <w:sz w:val="22"/>
          <w:szCs w:val="22"/>
        </w:rPr>
        <w:t>,</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r w:rsidR="002F73FD">
        <w:rPr>
          <w:rFonts w:ascii="Tahoma" w:hAnsi="Tahoma" w:cs="Tahoma"/>
          <w:sz w:val="22"/>
          <w:szCs w:val="22"/>
        </w:rPr>
        <w:t xml:space="preserve"> Nejpozději však do </w:t>
      </w:r>
      <w:proofErr w:type="gramStart"/>
      <w:r w:rsidR="002F73FD">
        <w:rPr>
          <w:rFonts w:ascii="Tahoma" w:hAnsi="Tahoma" w:cs="Tahoma"/>
          <w:sz w:val="22"/>
          <w:szCs w:val="22"/>
        </w:rPr>
        <w:t>16.6.2023</w:t>
      </w:r>
      <w:proofErr w:type="gramEnd"/>
      <w:r w:rsidR="002F73FD">
        <w:rPr>
          <w:rFonts w:ascii="Tahoma" w:hAnsi="Tahoma" w:cs="Tahoma"/>
          <w:sz w:val="22"/>
          <w:szCs w:val="22"/>
        </w:rPr>
        <w:t xml:space="preserve">. </w:t>
      </w:r>
    </w:p>
    <w:p w14:paraId="3DD5ECD9" w14:textId="53129C65"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0FACAA10" w:rsidR="004A2DDB" w:rsidRPr="00E11701" w:rsidRDefault="0051293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 xml:space="preserve">u médií. </w:t>
      </w:r>
      <w:r w:rsidR="0051293B">
        <w:rPr>
          <w:rFonts w:ascii="Tahoma" w:hAnsi="Tahoma" w:cs="Tahoma"/>
          <w:sz w:val="22"/>
          <w:szCs w:val="22"/>
        </w:rPr>
        <w:lastRenderedPageBreak/>
        <w:t>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5B43E7B2"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892C03">
        <w:rPr>
          <w:rFonts w:ascii="Tahoma" w:hAnsi="Tahoma" w:cs="Tahoma"/>
          <w:sz w:val="22"/>
          <w:szCs w:val="22"/>
        </w:rPr>
        <w:t>7</w:t>
      </w:r>
      <w:r w:rsidRPr="008551FC">
        <w:rPr>
          <w:rFonts w:ascii="Tahoma" w:hAnsi="Tahoma" w:cs="Tahoma"/>
          <w:color w:val="FF00FF"/>
          <w:sz w:val="22"/>
          <w:szCs w:val="22"/>
        </w:rPr>
        <w:t xml:space="preserve"> </w:t>
      </w:r>
      <w:r w:rsidRPr="00892C03">
        <w:rPr>
          <w:rFonts w:ascii="Tahoma" w:hAnsi="Tahoma" w:cs="Tahoma"/>
          <w:sz w:val="22"/>
          <w:szCs w:val="22"/>
        </w:rPr>
        <w:t>dnů</w:t>
      </w:r>
      <w:r w:rsidRPr="008551FC">
        <w:rPr>
          <w:rFonts w:ascii="Tahoma" w:hAnsi="Tahoma" w:cs="Tahoma"/>
          <w:color w:val="FF00FF"/>
          <w:sz w:val="22"/>
          <w:szCs w:val="22"/>
        </w:rPr>
        <w:t xml:space="preserve"> </w:t>
      </w:r>
      <w:r w:rsidRPr="004F5D2D">
        <w:rPr>
          <w:rFonts w:ascii="Tahoma" w:hAnsi="Tahoma" w:cs="Tahoma"/>
          <w:sz w:val="22"/>
          <w:szCs w:val="22"/>
        </w:rPr>
        <w:t>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58CEA7F1" w:rsidR="004A2DDB" w:rsidRPr="004F5D2D" w:rsidRDefault="00E43E40"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Pr="004F5D2D">
        <w:rPr>
          <w:rFonts w:ascii="Tahoma" w:hAnsi="Tahoma" w:cs="Tahoma"/>
          <w:sz w:val="22"/>
          <w:szCs w:val="22"/>
        </w:rPr>
        <w:t xml:space="preserve"> není zhotovitel oprávněn započít s osazováním příslušných výrobků do stavby</w:t>
      </w:r>
      <w:r w:rsidR="004A2DDB" w:rsidRPr="004F5D2D">
        <w:rPr>
          <w:rFonts w:ascii="Tahoma" w:hAnsi="Tahoma" w:cs="Tahoma"/>
          <w:sz w:val="22"/>
          <w:szCs w:val="22"/>
        </w:rPr>
        <w:t>.</w:t>
      </w:r>
    </w:p>
    <w:p w14:paraId="2264E0A8" w14:textId="55A552BC"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2F73FD">
        <w:rPr>
          <w:rFonts w:ascii="Tahoma" w:hAnsi="Tahoma" w:cs="Tahoma"/>
          <w:sz w:val="22"/>
          <w:szCs w:val="22"/>
        </w:rPr>
        <w:t>:</w:t>
      </w:r>
      <w:r w:rsidR="002F73FD" w:rsidRPr="002F73FD">
        <w:rPr>
          <w:rFonts w:ascii="Tahoma" w:hAnsi="Tahoma" w:cs="Tahoma"/>
          <w:sz w:val="22"/>
          <w:szCs w:val="22"/>
        </w:rPr>
        <w:t xml:space="preserve"> </w:t>
      </w:r>
      <w:proofErr w:type="spellStart"/>
      <w:r w:rsidR="002F73FD">
        <w:rPr>
          <w:rFonts w:ascii="Tahoma" w:hAnsi="Tahoma" w:cs="Tahoma"/>
          <w:sz w:val="22"/>
          <w:szCs w:val="22"/>
        </w:rPr>
        <w:t>zemanekl@ssto-havirov</w:t>
      </w:r>
      <w:proofErr w:type="spellEnd"/>
      <w:r w:rsidR="002F73FD">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454A32BB"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w:t>
      </w:r>
      <w:r w:rsidRPr="008551FC">
        <w:rPr>
          <w:rFonts w:ascii="Tahoma" w:hAnsi="Tahoma" w:cs="Tahoma"/>
          <w:sz w:val="22"/>
          <w:szCs w:val="22"/>
        </w:rPr>
        <w:t>poddodavatelem.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715E2F51"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2913A2ED"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1DDE15C3"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D57FA18" w:rsidR="001A3315" w:rsidRPr="00EF6117" w:rsidRDefault="001A3315"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8551FC">
        <w:rPr>
          <w:rFonts w:ascii="Tahoma" w:hAnsi="Tahoma" w:cs="Tahoma"/>
          <w:sz w:val="22"/>
          <w:szCs w:val="22"/>
        </w:rPr>
        <w:t xml:space="preserve">projektanta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2805FB90"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 xml:space="preserve">pořizovány </w:t>
      </w:r>
      <w:r w:rsidRPr="004F5D2D">
        <w:rPr>
          <w:rFonts w:ascii="Tahoma" w:hAnsi="Tahoma" w:cs="Tahoma"/>
          <w:sz w:val="22"/>
          <w:szCs w:val="22"/>
        </w:rPr>
        <w:lastRenderedPageBreak/>
        <w:t>zápisy</w:t>
      </w:r>
      <w:r w:rsidR="0087725D" w:rsidRPr="004F5D2D">
        <w:rPr>
          <w:rFonts w:ascii="Tahoma" w:hAnsi="Tahoma" w:cs="Tahoma"/>
          <w:sz w:val="22"/>
          <w:szCs w:val="22"/>
        </w:rPr>
        <w:t>, které budou zhotoviteli zasílány v elektronické podobě.</w:t>
      </w:r>
    </w:p>
    <w:p w14:paraId="13BB660E" w14:textId="6BF5AE2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3C686669"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 xml:space="preserve">stavebním deníku. </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31D39735" w:rsidR="009A7419" w:rsidRPr="009A7419" w:rsidRDefault="009A7419" w:rsidP="009A7419">
      <w:pPr>
        <w:widowControl w:val="0"/>
        <w:numPr>
          <w:ilvl w:val="0"/>
          <w:numId w:val="11"/>
        </w:numPr>
        <w:tabs>
          <w:tab w:val="clear" w:pos="360"/>
        </w:tabs>
        <w:spacing w:before="120"/>
        <w:jc w:val="both"/>
        <w:rPr>
          <w:rFonts w:ascii="Tahoma" w:hAnsi="Tahoma" w:cs="Tahoma"/>
          <w:sz w:val="22"/>
          <w:szCs w:val="22"/>
        </w:rPr>
      </w:pPr>
      <w:r w:rsidRPr="00B25CB0">
        <w:rPr>
          <w:rFonts w:ascii="Tahoma" w:hAnsi="Tahoma" w:cs="Tahoma"/>
          <w:sz w:val="22"/>
          <w:szCs w:val="22"/>
        </w:rPr>
        <w:t xml:space="preserve">Přejímací řízení bude objednatelem zahájeno do </w:t>
      </w:r>
      <w:r w:rsidRPr="00F321B1">
        <w:rPr>
          <w:rFonts w:ascii="Tahoma" w:hAnsi="Tahoma" w:cs="Tahoma"/>
          <w:sz w:val="22"/>
          <w:szCs w:val="22"/>
        </w:rPr>
        <w:t xml:space="preserve">5 pracovních dnů </w:t>
      </w:r>
      <w:r w:rsidRPr="00B25CB0">
        <w:rPr>
          <w:rFonts w:ascii="Tahoma" w:hAnsi="Tahoma" w:cs="Tahoma"/>
          <w:sz w:val="22"/>
          <w:szCs w:val="22"/>
        </w:rPr>
        <w:t>po obdržení písemné výzvy zhotovitele</w:t>
      </w:r>
      <w:r>
        <w:rPr>
          <w:rFonts w:ascii="Tahoma" w:hAnsi="Tahoma" w:cs="Tahoma"/>
          <w:sz w:val="22"/>
          <w:szCs w:val="22"/>
        </w:rPr>
        <w:t xml:space="preserve"> k převzetí dokončeného díla</w:t>
      </w:r>
      <w:r w:rsidRPr="00B25CB0">
        <w:rPr>
          <w:rFonts w:ascii="Tahoma" w:hAnsi="Tahoma" w:cs="Tahoma"/>
          <w:sz w:val="22"/>
          <w:szCs w:val="22"/>
        </w:rPr>
        <w:t xml:space="preserve">. </w:t>
      </w:r>
      <w:r w:rsidRPr="00830DA0">
        <w:rPr>
          <w:rFonts w:ascii="Tahoma" w:hAnsi="Tahoma" w:cs="Tahoma"/>
          <w:sz w:val="22"/>
          <w:szCs w:val="22"/>
        </w:rPr>
        <w:t xml:space="preserve">Písemná výzva bude zaslána zhotovitelem také osobě vykonávající technický dozor stavebníka a autorskému dozoru projektanta. </w:t>
      </w:r>
    </w:p>
    <w:p w14:paraId="096EA5FC" w14:textId="7FC15D77"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F321B1" w:rsidRPr="00F321B1">
        <w:rPr>
          <w:rFonts w:ascii="Tahoma" w:hAnsi="Tahoma" w:cs="Tahoma"/>
          <w:sz w:val="22"/>
          <w:szCs w:val="22"/>
        </w:rPr>
        <w:t>5</w:t>
      </w:r>
      <w:r w:rsidR="009B2259" w:rsidRPr="00F321B1">
        <w:rPr>
          <w:rFonts w:ascii="Tahoma" w:hAnsi="Tahoma" w:cs="Tahoma"/>
          <w:sz w:val="22"/>
          <w:szCs w:val="22"/>
        </w:rPr>
        <w:t xml:space="preserve"> </w:t>
      </w:r>
      <w:r w:rsidR="00CF5F93" w:rsidRPr="00F321B1">
        <w:rPr>
          <w:rFonts w:ascii="Tahoma" w:hAnsi="Tahoma" w:cs="Tahoma"/>
          <w:sz w:val="22"/>
          <w:szCs w:val="22"/>
        </w:rPr>
        <w:t xml:space="preserve">pracovních </w:t>
      </w:r>
      <w:r w:rsidR="009B2259" w:rsidRPr="00F321B1">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4B26357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13DD7A96"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32B47EFF"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382BA721"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shodě</w:t>
      </w:r>
      <w:r w:rsidR="003E6642">
        <w:rPr>
          <w:rFonts w:ascii="Tahoma" w:hAnsi="Tahoma" w:cs="Tahoma"/>
          <w:sz w:val="22"/>
          <w:szCs w:val="22"/>
        </w:rPr>
        <w:t>,</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28F91F2" w14:textId="463568C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00AB2674">
        <w:rPr>
          <w:rFonts w:ascii="Tahoma" w:hAnsi="Tahoma" w:cs="Tahoma"/>
          <w:sz w:val="22"/>
          <w:szCs w:val="22"/>
        </w:rPr>
        <w:t>Smluvní strany tímto vylučují aplikaci ust.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 xml:space="preserve">které nese </w:t>
      </w:r>
      <w:r w:rsidRPr="004F5D2D">
        <w:rPr>
          <w:rFonts w:ascii="Tahoma" w:hAnsi="Tahoma" w:cs="Tahoma"/>
          <w:sz w:val="22"/>
          <w:szCs w:val="22"/>
        </w:rPr>
        <w:lastRenderedPageBreak/>
        <w:t>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459397D"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892C03">
        <w:rPr>
          <w:rFonts w:ascii="Tahoma" w:hAnsi="Tahoma" w:cs="Tahoma"/>
          <w:sz w:val="22"/>
          <w:szCs w:val="22"/>
        </w:rPr>
        <w:t xml:space="preserve">. </w:t>
      </w:r>
      <w:r w:rsidR="00892C03">
        <w:rPr>
          <w:rFonts w:ascii="Tahoma" w:hAnsi="Tahoma" w:cs="Tahoma"/>
          <w:sz w:val="22"/>
          <w:szCs w:val="22"/>
        </w:rPr>
        <w:t>10</w:t>
      </w:r>
      <w:r w:rsidR="00892C03" w:rsidRPr="00892C03">
        <w:rPr>
          <w:rFonts w:ascii="Tahoma" w:hAnsi="Tahoma" w:cs="Tahoma"/>
          <w:sz w:val="22"/>
          <w:szCs w:val="22"/>
        </w:rPr>
        <w:t xml:space="preserve"> </w:t>
      </w:r>
      <w:r w:rsidR="00F23DF3" w:rsidRPr="00892C03">
        <w:rPr>
          <w:rFonts w:ascii="Tahoma" w:hAnsi="Tahoma" w:cs="Tahoma"/>
          <w:sz w:val="22"/>
          <w:szCs w:val="22"/>
        </w:rPr>
        <w:t>mil</w:t>
      </w:r>
      <w:r w:rsidR="00CF0249" w:rsidRPr="00892C03">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0440D913"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 xml:space="preserve">požadovaná </w:t>
      </w:r>
      <w:r w:rsidRPr="004F5D2D">
        <w:rPr>
          <w:rFonts w:ascii="Tahoma" w:hAnsi="Tahoma" w:cs="Tahoma"/>
          <w:sz w:val="22"/>
          <w:szCs w:val="22"/>
        </w:rPr>
        <w:lastRenderedPageBreak/>
        <w:t>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1F1848C6" w:rsidR="004A2DDB" w:rsidRDefault="00D7662D"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B467F4">
        <w:rPr>
          <w:rFonts w:ascii="Tahoma" w:hAnsi="Tahoma" w:cs="Tahoma"/>
          <w:sz w:val="22"/>
          <w:szCs w:val="22"/>
        </w:rPr>
        <w:t>0,</w:t>
      </w:r>
      <w:r w:rsidR="00B467F4" w:rsidRPr="00B467F4">
        <w:rPr>
          <w:rFonts w:ascii="Tahoma" w:hAnsi="Tahoma" w:cs="Tahoma"/>
          <w:sz w:val="22"/>
          <w:szCs w:val="22"/>
        </w:rPr>
        <w:t>1</w:t>
      </w:r>
      <w:r w:rsidR="001B4AF4" w:rsidRPr="00B467F4">
        <w:rPr>
          <w:rFonts w:ascii="Tahoma" w:hAnsi="Tahoma" w:cs="Tahoma"/>
          <w:sz w:val="22"/>
          <w:szCs w:val="22"/>
        </w:rPr>
        <w:t> </w:t>
      </w:r>
      <w:r w:rsidR="004A2DDB" w:rsidRPr="00B467F4">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7B797533" w:rsidR="002A0D8F" w:rsidRPr="00571479" w:rsidRDefault="00890ADC" w:rsidP="00A5613D">
      <w:pPr>
        <w:numPr>
          <w:ilvl w:val="0"/>
          <w:numId w:val="16"/>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B467F4">
        <w:rPr>
          <w:rFonts w:ascii="Tahoma" w:hAnsi="Tahoma" w:cs="Tahoma"/>
          <w:sz w:val="22"/>
          <w:szCs w:val="22"/>
        </w:rPr>
        <w:t>0,0</w:t>
      </w:r>
      <w:r w:rsidR="00B467F4" w:rsidRPr="00B467F4">
        <w:rPr>
          <w:rFonts w:ascii="Tahoma" w:hAnsi="Tahoma" w:cs="Tahoma"/>
          <w:sz w:val="22"/>
          <w:szCs w:val="22"/>
        </w:rPr>
        <w:t>2</w:t>
      </w:r>
      <w:r w:rsidR="003C5DE1" w:rsidRPr="00B467F4">
        <w:rPr>
          <w:rFonts w:ascii="Tahoma" w:hAnsi="Tahoma" w:cs="Tahoma"/>
          <w:sz w:val="22"/>
          <w:szCs w:val="22"/>
        </w:rPr>
        <w:t> </w:t>
      </w:r>
      <w:r w:rsidRPr="00B467F4">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A5613D">
      <w:pPr>
        <w:numPr>
          <w:ilvl w:val="0"/>
          <w:numId w:val="16"/>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B467F4">
        <w:rPr>
          <w:rFonts w:ascii="Tahoma" w:hAnsi="Tahoma" w:cs="Tahoma"/>
          <w:sz w:val="22"/>
          <w:szCs w:val="22"/>
        </w:rPr>
        <w:t>0,05</w:t>
      </w:r>
      <w:r w:rsidR="003C5DE1" w:rsidRPr="00B467F4">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0DFF4502" w:rsidR="004A2DDB" w:rsidRPr="00F17172" w:rsidRDefault="004A2DDB" w:rsidP="00A5613D">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B467F4">
        <w:rPr>
          <w:rFonts w:ascii="Tahoma" w:hAnsi="Tahoma" w:cs="Tahoma"/>
          <w:sz w:val="22"/>
          <w:szCs w:val="22"/>
        </w:rPr>
        <w:t>0,01</w:t>
      </w:r>
      <w:r w:rsidR="001B4AF4" w:rsidRPr="00B467F4">
        <w:rPr>
          <w:rFonts w:ascii="Tahoma" w:hAnsi="Tahoma" w:cs="Tahoma"/>
          <w:sz w:val="22"/>
          <w:szCs w:val="22"/>
        </w:rPr>
        <w:t> </w:t>
      </w:r>
      <w:r w:rsidR="00837912" w:rsidRPr="00B467F4">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B467F4">
        <w:rPr>
          <w:rFonts w:ascii="Tahoma" w:hAnsi="Tahoma" w:cs="Tahoma"/>
          <w:sz w:val="22"/>
          <w:szCs w:val="22"/>
        </w:rPr>
        <w:t>3.000</w:t>
      </w:r>
      <w:r w:rsidR="00837912" w:rsidRPr="00B467F4">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A5613D">
      <w:pPr>
        <w:numPr>
          <w:ilvl w:val="0"/>
          <w:numId w:val="16"/>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B467F4">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B467F4">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A5613D">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B467F4">
        <w:rPr>
          <w:rFonts w:ascii="Tahoma" w:hAnsi="Tahoma" w:cs="Tahoma"/>
          <w:sz w:val="22"/>
          <w:szCs w:val="22"/>
        </w:rPr>
        <w:t>5</w:t>
      </w:r>
      <w:r w:rsidRPr="00B467F4">
        <w:rPr>
          <w:rFonts w:ascii="Tahoma" w:hAnsi="Tahoma" w:cs="Tahoma"/>
          <w:sz w:val="22"/>
          <w:szCs w:val="22"/>
        </w:rPr>
        <w:t>.000</w:t>
      </w:r>
      <w:r w:rsidR="00837912" w:rsidRPr="00B467F4">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71718C66" w:rsidR="00B36AFE" w:rsidRPr="00E9143C" w:rsidRDefault="00B36AFE" w:rsidP="00A5613D">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Pr="00530478">
        <w:rPr>
          <w:rFonts w:ascii="Tahoma" w:hAnsi="Tahoma" w:cs="Tahoma"/>
          <w:sz w:val="22"/>
          <w:szCs w:val="22"/>
        </w:rPr>
        <w:t>.</w:t>
      </w:r>
      <w:r w:rsidR="00837912" w:rsidRPr="00530478">
        <w:rPr>
          <w:rFonts w:ascii="Tahoma" w:hAnsi="Tahoma" w:cs="Tahoma"/>
          <w:sz w:val="22"/>
          <w:szCs w:val="22"/>
        </w:rPr>
        <w:t> </w:t>
      </w:r>
      <w:r w:rsidR="00530478" w:rsidRPr="00530478">
        <w:rPr>
          <w:rFonts w:ascii="Tahoma" w:hAnsi="Tahoma" w:cs="Tahoma"/>
          <w:sz w:val="22"/>
          <w:szCs w:val="22"/>
        </w:rPr>
        <w:t>8</w:t>
      </w:r>
      <w:r w:rsidR="0089480E">
        <w:rPr>
          <w:rFonts w:ascii="Tahoma" w:hAnsi="Tahoma" w:cs="Tahoma"/>
          <w:sz w:val="22"/>
          <w:szCs w:val="22"/>
        </w:rPr>
        <w:t xml:space="preserve"> nebo</w:t>
      </w:r>
      <w:r w:rsidR="00CC35F4" w:rsidRPr="00530478">
        <w:rPr>
          <w:rFonts w:ascii="Tahoma" w:hAnsi="Tahoma" w:cs="Tahoma"/>
          <w:sz w:val="22"/>
          <w:szCs w:val="22"/>
        </w:rPr>
        <w:t xml:space="preserve"> </w:t>
      </w:r>
      <w:r w:rsidR="00530478">
        <w:rPr>
          <w:rFonts w:ascii="Tahoma" w:hAnsi="Tahoma" w:cs="Tahoma"/>
          <w:sz w:val="22"/>
          <w:szCs w:val="22"/>
        </w:rPr>
        <w:t>9</w:t>
      </w:r>
      <w:r w:rsidR="00A857EE" w:rsidRPr="00530478">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7450B5">
        <w:rPr>
          <w:rFonts w:ascii="Tahoma" w:hAnsi="Tahoma" w:cs="Tahoma"/>
          <w:sz w:val="22"/>
          <w:szCs w:val="22"/>
        </w:rPr>
        <w:t>10</w:t>
      </w:r>
      <w:r w:rsidRPr="007450B5">
        <w:rPr>
          <w:rFonts w:ascii="Tahoma" w:hAnsi="Tahoma" w:cs="Tahoma"/>
          <w:sz w:val="22"/>
          <w:szCs w:val="22"/>
        </w:rPr>
        <w:t>.000</w:t>
      </w:r>
      <w:r w:rsidR="00837912" w:rsidRPr="007450B5">
        <w:rPr>
          <w:rFonts w:ascii="Tahoma" w:hAnsi="Tahoma" w:cs="Tahoma"/>
          <w:sz w:val="22"/>
          <w:szCs w:val="22"/>
        </w:rPr>
        <w:t> </w:t>
      </w:r>
      <w:r w:rsidRPr="007450B5">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115F1740" w:rsidR="004A2DDB" w:rsidRPr="00E9143C" w:rsidRDefault="004A2DDB" w:rsidP="00A5613D">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w:t>
      </w:r>
      <w:r w:rsidR="00530478">
        <w:rPr>
          <w:rFonts w:ascii="Tahoma" w:hAnsi="Tahoma" w:cs="Tahoma"/>
          <w:sz w:val="22"/>
          <w:szCs w:val="22"/>
        </w:rPr>
        <w:t xml:space="preserve"> 11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743244" w:rsidRPr="00530478">
        <w:rPr>
          <w:rFonts w:ascii="Tahoma" w:hAnsi="Tahoma" w:cs="Tahoma"/>
          <w:sz w:val="22"/>
          <w:szCs w:val="22"/>
        </w:rPr>
        <w:t>5</w:t>
      </w:r>
      <w:r w:rsidRPr="00530478">
        <w:rPr>
          <w:rFonts w:ascii="Tahoma" w:hAnsi="Tahoma" w:cs="Tahoma"/>
          <w:sz w:val="22"/>
          <w:szCs w:val="22"/>
        </w:rPr>
        <w:t>.000</w:t>
      </w:r>
      <w:r w:rsidR="00837912" w:rsidRPr="00530478">
        <w:rPr>
          <w:rFonts w:ascii="Tahoma" w:hAnsi="Tahoma" w:cs="Tahoma"/>
          <w:sz w:val="22"/>
          <w:szCs w:val="22"/>
        </w:rPr>
        <w:t> </w:t>
      </w:r>
      <w:r w:rsidRPr="00530478">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7A1B9326" w:rsidR="00E0756F" w:rsidRPr="00F755E9" w:rsidRDefault="00E0756F" w:rsidP="00A5613D">
      <w:pPr>
        <w:numPr>
          <w:ilvl w:val="0"/>
          <w:numId w:val="16"/>
        </w:numPr>
        <w:tabs>
          <w:tab w:val="clear" w:pos="360"/>
        </w:tabs>
        <w:spacing w:before="120"/>
        <w:jc w:val="both"/>
        <w:rPr>
          <w:rFonts w:ascii="Tahoma" w:hAnsi="Tahoma" w:cs="Tahoma"/>
          <w:sz w:val="22"/>
          <w:szCs w:val="22"/>
        </w:rPr>
      </w:pPr>
      <w:r w:rsidRPr="71AD3445">
        <w:rPr>
          <w:rFonts w:ascii="Tahoma" w:hAnsi="Tahoma" w:cs="Tahoma"/>
          <w:sz w:val="22"/>
          <w:szCs w:val="22"/>
        </w:rPr>
        <w:t>V případě, že se zhotovitel opakovaně (za</w:t>
      </w:r>
      <w:r w:rsidR="00837912" w:rsidRPr="71AD3445">
        <w:rPr>
          <w:rFonts w:ascii="Tahoma" w:hAnsi="Tahoma" w:cs="Tahoma"/>
          <w:sz w:val="22"/>
          <w:szCs w:val="22"/>
        </w:rPr>
        <w:t> </w:t>
      </w:r>
      <w:r w:rsidRPr="71AD3445">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71AD3445">
        <w:rPr>
          <w:rFonts w:ascii="Tahoma" w:hAnsi="Tahoma" w:cs="Tahoma"/>
          <w:sz w:val="22"/>
          <w:szCs w:val="22"/>
        </w:rPr>
        <w:t> </w:t>
      </w:r>
      <w:r w:rsidRPr="71AD3445">
        <w:rPr>
          <w:rFonts w:ascii="Tahoma" w:hAnsi="Tahoma" w:cs="Tahoma"/>
          <w:sz w:val="22"/>
          <w:szCs w:val="22"/>
        </w:rPr>
        <w:t xml:space="preserve">stavebním deníku), nebo objednateli </w:t>
      </w:r>
      <w:r w:rsidRPr="71AD3445">
        <w:rPr>
          <w:rFonts w:ascii="Tahoma" w:hAnsi="Tahoma" w:cs="Tahoma"/>
          <w:sz w:val="22"/>
          <w:szCs w:val="22"/>
        </w:rPr>
        <w:lastRenderedPageBreak/>
        <w:t>neposkytne požadovanou dokumentaci a</w:t>
      </w:r>
      <w:r w:rsidR="000431D2" w:rsidRPr="71AD3445">
        <w:rPr>
          <w:rFonts w:ascii="Tahoma" w:hAnsi="Tahoma" w:cs="Tahoma"/>
          <w:sz w:val="22"/>
          <w:szCs w:val="22"/>
        </w:rPr>
        <w:t> </w:t>
      </w:r>
      <w:r w:rsidRPr="71AD3445">
        <w:rPr>
          <w:rFonts w:ascii="Tahoma" w:hAnsi="Tahoma" w:cs="Tahoma"/>
          <w:sz w:val="22"/>
          <w:szCs w:val="22"/>
        </w:rPr>
        <w:t xml:space="preserve">informace, </w:t>
      </w:r>
      <w:r w:rsidR="004D6269" w:rsidRPr="71AD3445">
        <w:rPr>
          <w:rFonts w:ascii="Tahoma" w:hAnsi="Tahoma" w:cs="Tahoma"/>
          <w:sz w:val="22"/>
          <w:szCs w:val="22"/>
        </w:rPr>
        <w:t>je povinen zaplatit objednateli</w:t>
      </w:r>
      <w:r w:rsidRPr="71AD3445">
        <w:rPr>
          <w:rFonts w:ascii="Tahoma" w:hAnsi="Tahoma" w:cs="Tahoma"/>
          <w:sz w:val="22"/>
          <w:szCs w:val="22"/>
        </w:rPr>
        <w:t xml:space="preserve"> smluvní pokut</w:t>
      </w:r>
      <w:r w:rsidR="004D6269" w:rsidRPr="71AD3445">
        <w:rPr>
          <w:rFonts w:ascii="Tahoma" w:hAnsi="Tahoma" w:cs="Tahoma"/>
          <w:sz w:val="22"/>
          <w:szCs w:val="22"/>
        </w:rPr>
        <w:t>u</w:t>
      </w:r>
      <w:r w:rsidRPr="71AD3445">
        <w:rPr>
          <w:rFonts w:ascii="Tahoma" w:hAnsi="Tahoma" w:cs="Tahoma"/>
          <w:sz w:val="22"/>
          <w:szCs w:val="22"/>
        </w:rPr>
        <w:t xml:space="preserve"> ve</w:t>
      </w:r>
      <w:r w:rsidR="000431D2" w:rsidRPr="71AD3445">
        <w:rPr>
          <w:rFonts w:ascii="Tahoma" w:hAnsi="Tahoma" w:cs="Tahoma"/>
          <w:sz w:val="22"/>
          <w:szCs w:val="22"/>
        </w:rPr>
        <w:t> </w:t>
      </w:r>
      <w:r w:rsidRPr="71AD3445">
        <w:rPr>
          <w:rFonts w:ascii="Tahoma" w:hAnsi="Tahoma" w:cs="Tahoma"/>
          <w:sz w:val="22"/>
          <w:szCs w:val="22"/>
        </w:rPr>
        <w:t xml:space="preserve">výši </w:t>
      </w:r>
      <w:r w:rsidR="006002AF" w:rsidRPr="00530478">
        <w:rPr>
          <w:rFonts w:ascii="Tahoma" w:hAnsi="Tahoma" w:cs="Tahoma"/>
          <w:sz w:val="22"/>
          <w:szCs w:val="22"/>
        </w:rPr>
        <w:t>2.000</w:t>
      </w:r>
      <w:r w:rsidR="000431D2" w:rsidRPr="00530478">
        <w:rPr>
          <w:rFonts w:ascii="Tahoma" w:hAnsi="Tahoma" w:cs="Tahoma"/>
          <w:sz w:val="22"/>
          <w:szCs w:val="22"/>
        </w:rPr>
        <w:t> </w:t>
      </w:r>
      <w:r w:rsidRPr="00530478">
        <w:rPr>
          <w:rFonts w:ascii="Tahoma" w:hAnsi="Tahoma" w:cs="Tahoma"/>
          <w:sz w:val="22"/>
          <w:szCs w:val="22"/>
        </w:rPr>
        <w:t xml:space="preserve">Kč </w:t>
      </w:r>
      <w:r w:rsidRPr="71AD3445">
        <w:rPr>
          <w:rFonts w:ascii="Tahoma" w:hAnsi="Tahoma" w:cs="Tahoma"/>
          <w:sz w:val="22"/>
          <w:szCs w:val="22"/>
        </w:rPr>
        <w:t>za</w:t>
      </w:r>
      <w:r w:rsidR="000431D2" w:rsidRPr="71AD3445">
        <w:rPr>
          <w:rFonts w:ascii="Tahoma" w:hAnsi="Tahoma" w:cs="Tahoma"/>
          <w:sz w:val="22"/>
          <w:szCs w:val="22"/>
        </w:rPr>
        <w:t> </w:t>
      </w:r>
      <w:r w:rsidRPr="71AD3445">
        <w:rPr>
          <w:rFonts w:ascii="Tahoma" w:hAnsi="Tahoma" w:cs="Tahoma"/>
          <w:sz w:val="22"/>
          <w:szCs w:val="22"/>
        </w:rPr>
        <w:t>každý zjištěný případ</w:t>
      </w:r>
      <w:r w:rsidR="00CA3F12" w:rsidRPr="71AD3445">
        <w:rPr>
          <w:rFonts w:ascii="Tahoma" w:hAnsi="Tahoma" w:cs="Tahoma"/>
          <w:sz w:val="22"/>
          <w:szCs w:val="22"/>
        </w:rPr>
        <w:t>.</w:t>
      </w:r>
    </w:p>
    <w:p w14:paraId="40DF2117"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71AD3445">
        <w:rPr>
          <w:rFonts w:ascii="Tahoma" w:hAnsi="Tahoma" w:cs="Tahoma"/>
          <w:sz w:val="22"/>
          <w:szCs w:val="22"/>
        </w:rPr>
        <w:t>V případě, že závazek provést dílo zanikne před</w:t>
      </w:r>
      <w:r w:rsidR="000431D2" w:rsidRPr="71AD3445">
        <w:rPr>
          <w:rFonts w:ascii="Tahoma" w:hAnsi="Tahoma" w:cs="Tahoma"/>
          <w:sz w:val="22"/>
          <w:szCs w:val="22"/>
        </w:rPr>
        <w:t> </w:t>
      </w:r>
      <w:r w:rsidRPr="71AD3445">
        <w:rPr>
          <w:rFonts w:ascii="Tahoma" w:hAnsi="Tahoma" w:cs="Tahoma"/>
          <w:sz w:val="22"/>
          <w:szCs w:val="22"/>
        </w:rPr>
        <w:t xml:space="preserve">řádným ukončením díla, nezaniká nárok </w:t>
      </w:r>
      <w:r w:rsidR="001A4FDD" w:rsidRPr="71AD3445">
        <w:rPr>
          <w:rFonts w:ascii="Tahoma" w:hAnsi="Tahoma" w:cs="Tahoma"/>
          <w:sz w:val="22"/>
          <w:szCs w:val="22"/>
        </w:rPr>
        <w:t>n</w:t>
      </w:r>
      <w:r w:rsidRPr="71AD3445">
        <w:rPr>
          <w:rFonts w:ascii="Tahoma" w:hAnsi="Tahoma" w:cs="Tahoma"/>
          <w:sz w:val="22"/>
          <w:szCs w:val="22"/>
        </w:rPr>
        <w:t>a</w:t>
      </w:r>
      <w:r w:rsidR="000431D2" w:rsidRPr="71AD3445">
        <w:rPr>
          <w:rFonts w:ascii="Tahoma" w:hAnsi="Tahoma" w:cs="Tahoma"/>
          <w:sz w:val="22"/>
          <w:szCs w:val="22"/>
        </w:rPr>
        <w:t> </w:t>
      </w:r>
      <w:r w:rsidRPr="71AD3445">
        <w:rPr>
          <w:rFonts w:ascii="Tahoma" w:hAnsi="Tahoma" w:cs="Tahoma"/>
          <w:sz w:val="22"/>
          <w:szCs w:val="22"/>
        </w:rPr>
        <w:t>smluvní pokutu, pokud vznikl dřívějším porušením povinnosti.</w:t>
      </w:r>
      <w:r w:rsidR="007137C3" w:rsidRPr="71AD3445">
        <w:rPr>
          <w:rFonts w:ascii="Tahoma" w:hAnsi="Tahoma" w:cs="Tahoma"/>
          <w:sz w:val="22"/>
          <w:szCs w:val="22"/>
        </w:rPr>
        <w:t xml:space="preserve"> </w:t>
      </w:r>
      <w:r w:rsidRPr="71AD3445">
        <w:rPr>
          <w:rFonts w:ascii="Tahoma" w:hAnsi="Tahoma" w:cs="Tahoma"/>
          <w:sz w:val="22"/>
          <w:szCs w:val="22"/>
        </w:rPr>
        <w:t>Zánik závazku pozdním splněním neznamená zánik nároku na</w:t>
      </w:r>
      <w:r w:rsidR="000431D2" w:rsidRPr="71AD3445">
        <w:rPr>
          <w:rFonts w:ascii="Tahoma" w:hAnsi="Tahoma" w:cs="Tahoma"/>
          <w:sz w:val="22"/>
          <w:szCs w:val="22"/>
        </w:rPr>
        <w:t> </w:t>
      </w:r>
      <w:r w:rsidRPr="71AD3445">
        <w:rPr>
          <w:rFonts w:ascii="Tahoma" w:hAnsi="Tahoma" w:cs="Tahoma"/>
          <w:sz w:val="22"/>
          <w:szCs w:val="22"/>
        </w:rPr>
        <w:t>smluvní pokutu za prodlení s plněním.</w:t>
      </w:r>
    </w:p>
    <w:p w14:paraId="4B0544A0"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71AD3445">
        <w:rPr>
          <w:rFonts w:ascii="Tahoma" w:hAnsi="Tahoma" w:cs="Tahoma"/>
          <w:sz w:val="22"/>
          <w:szCs w:val="22"/>
        </w:rPr>
        <w:t>Sjednané smluvní pokuty zaplatí povinná strana nezávisle na</w:t>
      </w:r>
      <w:r w:rsidR="000431D2" w:rsidRPr="71AD3445">
        <w:rPr>
          <w:rFonts w:ascii="Tahoma" w:hAnsi="Tahoma" w:cs="Tahoma"/>
          <w:sz w:val="22"/>
          <w:szCs w:val="22"/>
        </w:rPr>
        <w:t> </w:t>
      </w:r>
      <w:r w:rsidRPr="71AD3445">
        <w:rPr>
          <w:rFonts w:ascii="Tahoma" w:hAnsi="Tahoma" w:cs="Tahoma"/>
          <w:sz w:val="22"/>
          <w:szCs w:val="22"/>
        </w:rPr>
        <w:t>zavinění a</w:t>
      </w:r>
      <w:r w:rsidR="000431D2" w:rsidRPr="71AD3445">
        <w:rPr>
          <w:rFonts w:ascii="Tahoma" w:hAnsi="Tahoma" w:cs="Tahoma"/>
          <w:sz w:val="22"/>
          <w:szCs w:val="22"/>
        </w:rPr>
        <w:t> </w:t>
      </w:r>
      <w:r w:rsidRPr="71AD3445">
        <w:rPr>
          <w:rFonts w:ascii="Tahoma" w:hAnsi="Tahoma" w:cs="Tahoma"/>
          <w:sz w:val="22"/>
          <w:szCs w:val="22"/>
        </w:rPr>
        <w:t>na</w:t>
      </w:r>
      <w:r w:rsidR="000431D2" w:rsidRPr="71AD3445">
        <w:rPr>
          <w:rFonts w:ascii="Tahoma" w:hAnsi="Tahoma" w:cs="Tahoma"/>
          <w:sz w:val="22"/>
          <w:szCs w:val="22"/>
        </w:rPr>
        <w:t> </w:t>
      </w:r>
      <w:r w:rsidRPr="71AD3445">
        <w:rPr>
          <w:rFonts w:ascii="Tahoma" w:hAnsi="Tahoma" w:cs="Tahoma"/>
          <w:sz w:val="22"/>
          <w:szCs w:val="22"/>
        </w:rPr>
        <w:t>tom, zda a v jaké v</w:t>
      </w:r>
      <w:r w:rsidR="000431D2" w:rsidRPr="71AD3445">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71AD3445">
        <w:rPr>
          <w:rFonts w:ascii="Tahoma" w:hAnsi="Tahoma" w:cs="Tahoma"/>
          <w:sz w:val="22"/>
          <w:szCs w:val="22"/>
        </w:rPr>
        <w:t>Smluvní pokuty se nezapočítávají na</w:t>
      </w:r>
      <w:r w:rsidR="000431D2" w:rsidRPr="71AD3445">
        <w:rPr>
          <w:rFonts w:ascii="Tahoma" w:hAnsi="Tahoma" w:cs="Tahoma"/>
          <w:sz w:val="22"/>
          <w:szCs w:val="22"/>
        </w:rPr>
        <w:t> </w:t>
      </w:r>
      <w:r w:rsidRPr="71AD3445">
        <w:rPr>
          <w:rFonts w:ascii="Tahoma" w:hAnsi="Tahoma" w:cs="Tahoma"/>
          <w:sz w:val="22"/>
          <w:szCs w:val="22"/>
        </w:rPr>
        <w:t>náhradu případně vzniklé škody. Náhradu škody lze vymáhat samostatně vedle smluvní pokuty v plné výši.</w:t>
      </w:r>
    </w:p>
    <w:p w14:paraId="3FE00927" w14:textId="77777777" w:rsidR="00AB366C" w:rsidRPr="00140025" w:rsidRDefault="00AB366C" w:rsidP="00AB366C">
      <w:pPr>
        <w:keepNext/>
        <w:spacing w:before="360"/>
        <w:jc w:val="center"/>
        <w:rPr>
          <w:rFonts w:ascii="Tahoma" w:eastAsia="Tahoma" w:hAnsi="Tahoma" w:cs="Tahoma"/>
          <w:b/>
          <w:bCs/>
        </w:rPr>
      </w:pPr>
      <w:r>
        <w:rPr>
          <w:rFonts w:ascii="Tahoma" w:hAnsi="Tahoma" w:cs="Tahoma"/>
          <w:b/>
          <w:sz w:val="22"/>
          <w:szCs w:val="22"/>
        </w:rPr>
        <w:t>XV.</w:t>
      </w:r>
      <w:r>
        <w:rPr>
          <w:rFonts w:ascii="Tahoma" w:hAnsi="Tahoma" w:cs="Tahoma"/>
          <w:b/>
          <w:sz w:val="22"/>
          <w:szCs w:val="22"/>
        </w:rPr>
        <w:br/>
      </w:r>
      <w:r w:rsidRPr="00140025">
        <w:rPr>
          <w:rFonts w:ascii="Tahoma" w:hAnsi="Tahoma" w:cs="Tahoma"/>
          <w:b/>
          <w:bCs/>
          <w:sz w:val="22"/>
          <w:szCs w:val="22"/>
        </w:rPr>
        <w:t>Sankce vůči Rusku a Bělorusku</w:t>
      </w:r>
    </w:p>
    <w:p w14:paraId="10CBFF07" w14:textId="77777777" w:rsidR="00AB366C" w:rsidRDefault="00AB366C" w:rsidP="00AB366C">
      <w:pPr>
        <w:numPr>
          <w:ilvl w:val="0"/>
          <w:numId w:val="36"/>
        </w:numPr>
        <w:tabs>
          <w:tab w:val="clear" w:pos="360"/>
        </w:tabs>
        <w:spacing w:before="120" w:line="259" w:lineRule="auto"/>
        <w:ind w:left="357" w:hanging="357"/>
        <w:jc w:val="both"/>
        <w:rPr>
          <w:rFonts w:ascii="Tahoma" w:eastAsia="Tahoma" w:hAnsi="Tahoma" w:cs="Tahoma"/>
          <w:sz w:val="22"/>
          <w:szCs w:val="22"/>
        </w:rPr>
      </w:pPr>
      <w:r w:rsidRPr="00140025">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w:t>
      </w:r>
      <w:r>
        <w:rPr>
          <w:rFonts w:ascii="Tahoma" w:hAnsi="Tahoma" w:cs="Tahoma"/>
          <w:sz w:val="22"/>
          <w:szCs w:val="22"/>
        </w:rPr>
        <w:t> </w:t>
      </w:r>
      <w:r w:rsidRPr="00140025">
        <w:rPr>
          <w:rFonts w:ascii="Tahoma" w:hAnsi="Tahoma" w:cs="Tahoma"/>
          <w:sz w:val="22"/>
          <w:szCs w:val="22"/>
        </w:rPr>
        <w:t>budoucnu nahrazeno jinou legislativou obdobného významu, uvedená povinnost se uplatní obdobně.</w:t>
      </w:r>
    </w:p>
    <w:p w14:paraId="7D036B8F" w14:textId="5AC4516D" w:rsidR="00AB366C" w:rsidRDefault="00AB366C" w:rsidP="00AB366C">
      <w:pPr>
        <w:numPr>
          <w:ilvl w:val="0"/>
          <w:numId w:val="36"/>
        </w:numPr>
        <w:tabs>
          <w:tab w:val="clear" w:pos="360"/>
        </w:tabs>
        <w:spacing w:before="120" w:line="259" w:lineRule="auto"/>
        <w:ind w:left="357" w:hanging="357"/>
        <w:jc w:val="both"/>
        <w:rPr>
          <w:rFonts w:ascii="Tahoma" w:eastAsia="Tahoma" w:hAnsi="Tahoma" w:cs="Tahoma"/>
          <w:sz w:val="22"/>
          <w:szCs w:val="22"/>
        </w:rPr>
      </w:pPr>
      <w:r w:rsidRPr="00140025">
        <w:rPr>
          <w:rFonts w:ascii="Tahoma" w:hAnsi="Tahoma" w:cs="Tahoma"/>
          <w:sz w:val="22"/>
          <w:szCs w:val="22"/>
        </w:rPr>
        <w:t xml:space="preserve">Zhotovitel je povinen objednatele bezodkladně informovat o jakýchkoliv skutečnostech, které mohou mít vliv na odpovědnost zhotovitele dle odst. </w:t>
      </w:r>
      <w:r w:rsidRPr="71AD3445">
        <w:rPr>
          <w:rFonts w:ascii="Tahoma" w:hAnsi="Tahoma" w:cs="Tahoma"/>
          <w:sz w:val="22"/>
          <w:szCs w:val="22"/>
        </w:rPr>
        <w:t>1</w:t>
      </w:r>
      <w:r w:rsidRPr="00140025">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71AD3445">
        <w:rPr>
          <w:rFonts w:ascii="Tahoma" w:hAnsi="Tahoma" w:cs="Tahoma"/>
          <w:sz w:val="22"/>
          <w:szCs w:val="22"/>
        </w:rPr>
        <w:t>1</w:t>
      </w:r>
      <w:r w:rsidRPr="00140025">
        <w:rPr>
          <w:rFonts w:ascii="Tahoma" w:hAnsi="Tahoma" w:cs="Tahoma"/>
          <w:sz w:val="22"/>
          <w:szCs w:val="22"/>
        </w:rPr>
        <w:t xml:space="preserve"> tohoto článku smlouvy.</w:t>
      </w:r>
    </w:p>
    <w:p w14:paraId="074239C0" w14:textId="38749FBC" w:rsidR="00AB366C" w:rsidRDefault="00AB366C" w:rsidP="00AB366C">
      <w:pPr>
        <w:numPr>
          <w:ilvl w:val="0"/>
          <w:numId w:val="36"/>
        </w:numPr>
        <w:tabs>
          <w:tab w:val="clear" w:pos="360"/>
        </w:tabs>
        <w:spacing w:before="120" w:line="259" w:lineRule="auto"/>
        <w:ind w:left="357" w:hanging="357"/>
        <w:jc w:val="both"/>
        <w:rPr>
          <w:rFonts w:ascii="Tahoma" w:eastAsia="Tahoma" w:hAnsi="Tahoma" w:cs="Tahoma"/>
          <w:sz w:val="22"/>
          <w:szCs w:val="22"/>
        </w:rPr>
      </w:pPr>
      <w:r w:rsidRPr="00140025">
        <w:rPr>
          <w:rFonts w:ascii="Tahoma" w:hAnsi="Tahoma" w:cs="Tahoma"/>
          <w:sz w:val="22"/>
          <w:szCs w:val="22"/>
        </w:rPr>
        <w:t xml:space="preserve">Dojde-li k porušení pravidel dle odst. </w:t>
      </w:r>
      <w:r w:rsidRPr="71AD3445">
        <w:rPr>
          <w:rFonts w:ascii="Tahoma" w:hAnsi="Tahoma" w:cs="Tahoma"/>
          <w:sz w:val="22"/>
          <w:szCs w:val="22"/>
        </w:rPr>
        <w:t>1</w:t>
      </w:r>
      <w:r w:rsidRPr="00140025">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140025">
        <w:rPr>
          <w:rFonts w:ascii="Tahoma" w:hAnsi="Tahoma" w:cs="Tahoma"/>
          <w:sz w:val="22"/>
          <w:szCs w:val="22"/>
        </w:rPr>
        <w:t>plněním dle této smlouvy.</w:t>
      </w:r>
    </w:p>
    <w:p w14:paraId="07C82E85" w14:textId="0671ADAD" w:rsidR="00AB366C" w:rsidRPr="00AB366C" w:rsidRDefault="00AB366C" w:rsidP="00AB366C">
      <w:pPr>
        <w:numPr>
          <w:ilvl w:val="0"/>
          <w:numId w:val="36"/>
        </w:numPr>
        <w:tabs>
          <w:tab w:val="clear" w:pos="360"/>
        </w:tabs>
        <w:spacing w:before="120"/>
        <w:jc w:val="both"/>
        <w:rPr>
          <w:rFonts w:ascii="Tahoma" w:eastAsia="Tahoma" w:hAnsi="Tahoma" w:cs="Tahoma"/>
          <w:sz w:val="22"/>
          <w:szCs w:val="22"/>
        </w:rPr>
      </w:pPr>
      <w:r w:rsidRPr="71AD3445">
        <w:rPr>
          <w:rFonts w:ascii="Tahoma" w:eastAsia="Tahoma" w:hAnsi="Tahoma" w:cs="Tahoma"/>
          <w:sz w:val="22"/>
          <w:szCs w:val="22"/>
        </w:rPr>
        <w:t>Dojde-li k porušení pravidel dle odst. 1 t</w:t>
      </w:r>
      <w:r>
        <w:rPr>
          <w:rFonts w:ascii="Tahoma" w:eastAsia="Tahoma" w:hAnsi="Tahoma" w:cs="Tahoma"/>
          <w:sz w:val="22"/>
          <w:szCs w:val="22"/>
        </w:rPr>
        <w:t>oho</w:t>
      </w:r>
      <w:r w:rsidRPr="71AD3445">
        <w:rPr>
          <w:rFonts w:ascii="Tahoma" w:eastAsia="Tahoma" w:hAnsi="Tahoma" w:cs="Tahoma"/>
          <w:sz w:val="22"/>
          <w:szCs w:val="22"/>
        </w:rPr>
        <w:t>to</w:t>
      </w:r>
      <w:r>
        <w:rPr>
          <w:rFonts w:ascii="Tahoma" w:eastAsia="Tahoma" w:hAnsi="Tahoma" w:cs="Tahoma"/>
          <w:sz w:val="22"/>
          <w:szCs w:val="22"/>
        </w:rPr>
        <w:t xml:space="preserve"> článku</w:t>
      </w:r>
      <w:r w:rsidRPr="71AD3445">
        <w:rPr>
          <w:rFonts w:ascii="Tahoma" w:eastAsia="Tahoma" w:hAnsi="Tahoma" w:cs="Tahoma"/>
          <w:sz w:val="22"/>
          <w:szCs w:val="22"/>
        </w:rPr>
        <w:t xml:space="preserve"> smlouvy, je zhotovitel povinen zaplatit objednateli smluvní pokutu ve výši </w:t>
      </w:r>
      <w:r w:rsidRPr="00530478">
        <w:rPr>
          <w:rFonts w:ascii="Tahoma" w:eastAsia="Tahoma" w:hAnsi="Tahoma" w:cs="Tahoma"/>
          <w:sz w:val="22"/>
          <w:szCs w:val="22"/>
        </w:rPr>
        <w:t xml:space="preserve">250.000 </w:t>
      </w:r>
      <w:r w:rsidRPr="71AD3445">
        <w:rPr>
          <w:rFonts w:ascii="Tahoma" w:eastAsia="Tahoma" w:hAnsi="Tahoma" w:cs="Tahoma"/>
          <w:sz w:val="22"/>
          <w:szCs w:val="22"/>
        </w:rPr>
        <w:t>Kč, a to za každý jednotlivý případ porušení.</w:t>
      </w:r>
    </w:p>
    <w:p w14:paraId="738BB3CC" w14:textId="5220804A"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B366C">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0EE90022"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pokynů objednatele, právních předpisů nebo technických norem týkajících </w:t>
      </w:r>
      <w:r w:rsidRPr="000431D2">
        <w:rPr>
          <w:rFonts w:ascii="Tahoma" w:hAnsi="Tahoma" w:cs="Tahoma"/>
          <w:sz w:val="22"/>
          <w:szCs w:val="22"/>
        </w:rPr>
        <w:lastRenderedPageBreak/>
        <w:t>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20FB388C"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 xml:space="preserve">X </w:t>
      </w:r>
      <w:r w:rsidRPr="00530478">
        <w:rPr>
          <w:rFonts w:ascii="Tahoma" w:hAnsi="Tahoma" w:cs="Tahoma"/>
          <w:sz w:val="22"/>
          <w:szCs w:val="22"/>
        </w:rPr>
        <w:t>odst.</w:t>
      </w:r>
      <w:r w:rsidR="00530478">
        <w:rPr>
          <w:rFonts w:ascii="Tahoma" w:hAnsi="Tahoma" w:cs="Tahoma"/>
          <w:sz w:val="22"/>
          <w:szCs w:val="22"/>
        </w:rPr>
        <w:t xml:space="preserve"> 9 </w:t>
      </w:r>
      <w:r w:rsidRPr="000431D2">
        <w:rPr>
          <w:rFonts w:ascii="Tahoma" w:hAnsi="Tahoma" w:cs="Tahoma"/>
          <w:sz w:val="22"/>
          <w:szCs w:val="22"/>
        </w:rPr>
        <w:t>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3E68ACC"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B366C">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A5613D">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084312FF" w:rsidR="004A2DDB" w:rsidRPr="00AB082E" w:rsidRDefault="00EA771A"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ve </w:t>
      </w:r>
      <w:r w:rsidR="00124BCF">
        <w:rPr>
          <w:rFonts w:ascii="Tahoma" w:hAnsi="Tahoma" w:cs="Tahoma"/>
          <w:sz w:val="22"/>
          <w:szCs w:val="22"/>
        </w:rPr>
        <w:t>třech</w:t>
      </w:r>
      <w:r w:rsidR="00AD3D0C" w:rsidRPr="00AA3365">
        <w:rPr>
          <w:rFonts w:ascii="Tahoma" w:hAnsi="Tahoma" w:cs="Tahoma"/>
          <w:sz w:val="22"/>
          <w:szCs w:val="22"/>
        </w:rPr>
        <w:t xml:space="preserve"> </w:t>
      </w:r>
      <w:r w:rsidR="004A2DDB" w:rsidRPr="00AA3365">
        <w:rPr>
          <w:rFonts w:ascii="Tahoma" w:hAnsi="Tahoma" w:cs="Tahoma"/>
          <w:sz w:val="22"/>
          <w:szCs w:val="22"/>
        </w:rPr>
        <w:t xml:space="preserve">stejnopisech s platností originálu, přičemž </w:t>
      </w:r>
      <w:r w:rsidR="00124BCF">
        <w:rPr>
          <w:rFonts w:ascii="Tahoma" w:hAnsi="Tahoma" w:cs="Tahoma"/>
          <w:sz w:val="22"/>
          <w:szCs w:val="22"/>
        </w:rPr>
        <w:t xml:space="preserve">objednatel obdrží dvě vyhotovení a zhotovitel </w:t>
      </w:r>
      <w:r w:rsidR="00AB082E" w:rsidRPr="00124BCF">
        <w:rPr>
          <w:rFonts w:ascii="Tahoma" w:hAnsi="Tahoma" w:cs="Tahoma"/>
          <w:sz w:val="22"/>
          <w:szCs w:val="22"/>
        </w:rPr>
        <w:t>obdrží</w:t>
      </w:r>
      <w:r w:rsidR="004A2DDB" w:rsidRPr="00124BCF">
        <w:rPr>
          <w:rFonts w:ascii="Tahoma" w:hAnsi="Tahoma" w:cs="Tahoma"/>
          <w:sz w:val="22"/>
          <w:szCs w:val="22"/>
        </w:rPr>
        <w:t xml:space="preserve"> jedno vyhotovení.</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14:paraId="0757159A"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14:paraId="32E465F3" w14:textId="77777777" w:rsidR="00116983" w:rsidRDefault="00837CE4" w:rsidP="00A5613D">
      <w:pPr>
        <w:pStyle w:val="Smlouva-slo0"/>
        <w:numPr>
          <w:ilvl w:val="0"/>
          <w:numId w:val="17"/>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7F27ED2C" w14:textId="21A17349" w:rsidR="00821E2C" w:rsidRPr="004F5D2D" w:rsidRDefault="00821E2C" w:rsidP="00A5613D">
      <w:pPr>
        <w:pStyle w:val="Smlouva-slo0"/>
        <w:numPr>
          <w:ilvl w:val="0"/>
          <w:numId w:val="17"/>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w:t>
      </w:r>
      <w:r w:rsidRPr="001F4656">
        <w:rPr>
          <w:rFonts w:ascii="Tahoma" w:hAnsi="Tahoma" w:cs="Tahoma"/>
          <w:sz w:val="22"/>
          <w:szCs w:val="22"/>
        </w:rPr>
        <w:lastRenderedPageBreak/>
        <w:t xml:space="preserve">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objednatele </w:t>
      </w:r>
      <w:r w:rsidR="00892C03">
        <w:rPr>
          <w:rFonts w:ascii="Tahoma" w:hAnsi="Tahoma" w:cs="Tahoma"/>
          <w:sz w:val="22"/>
          <w:szCs w:val="22"/>
        </w:rPr>
        <w:t>https://ssto-havirov.cz/.</w:t>
      </w:r>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441A8AE2" w:rsidR="00F1477D" w:rsidRDefault="00F1477D" w:rsidP="00EA771A">
      <w:pPr>
        <w:pStyle w:val="Smlouva-slo0"/>
        <w:tabs>
          <w:tab w:val="left" w:pos="1701"/>
        </w:tabs>
        <w:spacing w:before="0" w:after="600" w:line="240" w:lineRule="auto"/>
        <w:ind w:left="1701" w:hanging="1344"/>
        <w:rPr>
          <w:rFonts w:ascii="Tahoma" w:hAnsi="Tahoma" w:cs="Tahoma"/>
          <w:snapToGrid/>
          <w:sz w:val="22"/>
          <w:szCs w:val="22"/>
        </w:rPr>
      </w:pPr>
    </w:p>
    <w:p w14:paraId="4A8916F6" w14:textId="77777777" w:rsidR="0089480E" w:rsidRDefault="0089480E" w:rsidP="00EA771A">
      <w:pPr>
        <w:pStyle w:val="Smlouva-slo0"/>
        <w:tabs>
          <w:tab w:val="left" w:pos="1701"/>
        </w:tabs>
        <w:spacing w:before="0" w:after="600" w:line="240" w:lineRule="auto"/>
        <w:ind w:left="1701" w:hanging="1344"/>
        <w:rPr>
          <w:rFonts w:ascii="Tahoma" w:hAnsi="Tahoma" w:cs="Tahoma"/>
          <w:snapToGrid/>
          <w:sz w:val="22"/>
          <w:szCs w:val="22"/>
        </w:rPr>
      </w:pPr>
    </w:p>
    <w:p w14:paraId="0842ABD8" w14:textId="77777777" w:rsidR="0089480E" w:rsidRPr="008551FC" w:rsidRDefault="0089480E" w:rsidP="00EA771A">
      <w:pPr>
        <w:pStyle w:val="Smlouva-slo0"/>
        <w:tabs>
          <w:tab w:val="left" w:pos="1701"/>
        </w:tabs>
        <w:spacing w:before="0" w:after="600" w:line="240" w:lineRule="auto"/>
        <w:ind w:left="1701" w:hanging="1344"/>
        <w:rPr>
          <w:rFonts w:ascii="Tahoma" w:hAnsi="Tahoma" w:cs="Tahoma"/>
          <w:snapToGrid/>
          <w:sz w:val="22"/>
          <w:szCs w:val="22"/>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4A2DDB" w:rsidRPr="004F5D2D" w14:paraId="05D27F7F" w14:textId="77777777">
        <w:tc>
          <w:tcPr>
            <w:tcW w:w="3544" w:type="dxa"/>
          </w:tcPr>
          <w:p w14:paraId="47B9513A" w14:textId="396D09E8"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5D4EF72B" w14:textId="77777777" w:rsidR="00AB082E" w:rsidRDefault="00892C03" w:rsidP="0051293B">
            <w:pPr>
              <w:ind w:left="716" w:hanging="716"/>
              <w:rPr>
                <w:rFonts w:ascii="Tahoma" w:hAnsi="Tahoma" w:cs="Tahoma"/>
                <w:sz w:val="22"/>
                <w:szCs w:val="22"/>
              </w:rPr>
            </w:pPr>
            <w:r>
              <w:rPr>
                <w:rFonts w:ascii="Tahoma" w:hAnsi="Tahoma" w:cs="Tahoma"/>
                <w:sz w:val="22"/>
                <w:szCs w:val="22"/>
              </w:rPr>
              <w:t>Mgr. Jaroslav Knopp, MBA</w:t>
            </w:r>
          </w:p>
          <w:p w14:paraId="42BEAFD2" w14:textId="2721E898" w:rsidR="00892C03" w:rsidRPr="004F5D2D" w:rsidRDefault="00892C03" w:rsidP="0051293B">
            <w:pPr>
              <w:ind w:left="716" w:hanging="716"/>
              <w:rPr>
                <w:rFonts w:ascii="Tahoma" w:hAnsi="Tahoma" w:cs="Tahoma"/>
                <w:sz w:val="22"/>
                <w:szCs w:val="22"/>
              </w:rPr>
            </w:pPr>
            <w:r>
              <w:rPr>
                <w:rFonts w:ascii="Tahoma" w:hAnsi="Tahoma" w:cs="Tahoma"/>
                <w:sz w:val="22"/>
                <w:szCs w:val="22"/>
              </w:rPr>
              <w:t>ředitel školy</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494EE2EF" w:rsidR="000A4FF3" w:rsidRPr="009A2EDA"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6E1318F0" w14:textId="1A151FDD" w:rsidR="00594679" w:rsidRPr="007943D8" w:rsidRDefault="00594679" w:rsidP="009A2EDA">
      <w:pPr>
        <w:pStyle w:val="Smlouva-slo0"/>
        <w:spacing w:before="720" w:line="240" w:lineRule="auto"/>
        <w:rPr>
          <w:rFonts w:ascii="Tahoma" w:hAnsi="Tahoma" w:cs="Tahoma"/>
          <w:snapToGrid/>
          <w:sz w:val="22"/>
          <w:szCs w:val="22"/>
        </w:rPr>
      </w:pPr>
    </w:p>
    <w:sectPr w:rsidR="00594679" w:rsidRPr="007943D8" w:rsidSect="007E27BE">
      <w:headerReference w:type="default" r:id="rId12"/>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6CC45" w14:textId="77777777" w:rsidR="005C4600" w:rsidRDefault="005C4600">
      <w:r>
        <w:separator/>
      </w:r>
    </w:p>
  </w:endnote>
  <w:endnote w:type="continuationSeparator" w:id="0">
    <w:p w14:paraId="437AF0A9" w14:textId="77777777" w:rsidR="005C4600" w:rsidRDefault="005C4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3AC0A" w14:textId="05FC088D" w:rsidR="00837912" w:rsidRPr="005D2F87" w:rsidRDefault="00CB3595" w:rsidP="00DC2173">
    <w:pPr>
      <w:pStyle w:val="Zpat"/>
      <w:pBdr>
        <w:top w:val="single" w:sz="4" w:space="0"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DcyIgAfAwAAOAYAAA4AAAAA&#10;AAAAAAAAAAAALgIAAGRycy9lMm9Eb2MueG1sUEsBAi0AFAAGAAgAAAAhAHx2COHfAAAACwEAAA8A&#10;AAAAAAAAAAAAAAAAeQUAAGRycy9kb3ducmV2LnhtbFBLBQYAAAAABAAEAPMAAACFBg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DC2173">
      <w:rPr>
        <w:rFonts w:ascii="Tahoma" w:hAnsi="Tahoma" w:cs="Tahoma"/>
        <w:sz w:val="18"/>
        <w:szCs w:val="18"/>
      </w:rPr>
      <w:t>„</w:t>
    </w:r>
    <w:r w:rsidR="001A6824" w:rsidRPr="001A6824">
      <w:rPr>
        <w:rFonts w:ascii="Tahoma" w:hAnsi="Tahoma" w:cs="Tahoma"/>
        <w:b/>
        <w:iCs/>
        <w:color w:val="222222"/>
        <w:sz w:val="18"/>
        <w:shd w:val="clear" w:color="auto" w:fill="FFFFFF"/>
      </w:rPr>
      <w:t>TPA-Inovační centrum pro transformaci vzdělávání</w:t>
    </w:r>
    <w:r w:rsidR="001A6824" w:rsidRPr="001A6824">
      <w:rPr>
        <w:rFonts w:ascii="Tahoma" w:hAnsi="Tahoma" w:cs="Tahoma"/>
        <w:b/>
        <w:sz w:val="18"/>
      </w:rPr>
      <w:t xml:space="preserve"> - Rekonstrukce učeben CLS - STAVBA</w:t>
    </w:r>
    <w:r w:rsidR="001A6824">
      <w:rPr>
        <w:rFonts w:ascii="Tahoma" w:hAnsi="Tahoma" w:cs="Tahoma"/>
        <w:b/>
        <w:sz w:val="18"/>
      </w:rPr>
      <w:t>“</w:t>
    </w:r>
    <w:r w:rsidR="00DC2173">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64017B">
      <w:rPr>
        <w:rStyle w:val="slostrnky"/>
        <w:rFonts w:ascii="Tahoma" w:hAnsi="Tahoma" w:cs="Tahoma"/>
        <w:noProof/>
        <w:sz w:val="18"/>
        <w:szCs w:val="18"/>
      </w:rPr>
      <w:t>2</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B57FE" w14:textId="77777777" w:rsidR="00DC2173"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DC2173">
      <w:rPr>
        <w:rFonts w:ascii="Tahoma" w:hAnsi="Tahoma" w:cs="Tahoma"/>
        <w:sz w:val="18"/>
        <w:szCs w:val="18"/>
      </w:rPr>
      <w:t>„Rekonstrukce učeben CLS (MTA-07_SŠTO_Havířov) - STAVBA</w:t>
    </w:r>
  </w:p>
  <w:p w14:paraId="153A72D2" w14:textId="77777777" w:rsidR="00DC2173" w:rsidRPr="00CB3595" w:rsidRDefault="00DC2173" w:rsidP="00DC2173">
    <w:pPr>
      <w:rPr>
        <w:rFonts w:ascii="Calibri" w:hAnsi="Calibri" w:cs="Calibri"/>
        <w:color w:val="000000"/>
        <w:sz w:val="18"/>
      </w:rPr>
    </w:pPr>
    <w:r w:rsidRPr="00CB3595">
      <w:rPr>
        <w:rFonts w:ascii="Calibri" w:hAnsi="Calibri" w:cs="Calibri"/>
        <w:color w:val="000000"/>
        <w:sz w:val="18"/>
      </w:rPr>
      <w:t>Klasifikace informací: Neveřejné</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DFE5F" w14:textId="77777777" w:rsidR="005C4600" w:rsidRDefault="005C4600">
      <w:r>
        <w:separator/>
      </w:r>
    </w:p>
  </w:footnote>
  <w:footnote w:type="continuationSeparator" w:id="0">
    <w:p w14:paraId="124D3FF3" w14:textId="77777777" w:rsidR="005C4600" w:rsidRDefault="005C4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455A7" w14:textId="1E32F6E2" w:rsidR="00491261" w:rsidRPr="0064017B" w:rsidRDefault="0064017B" w:rsidP="0064017B">
    <w:pPr>
      <w:pStyle w:val="Zhlav"/>
    </w:pPr>
    <w:r>
      <w:rPr>
        <w:rFonts w:ascii="Tahoma" w:hAnsi="Tahoma" w:cs="Tahoma"/>
        <w:noProof/>
        <w:sz w:val="16"/>
      </w:rPr>
      <w:drawing>
        <wp:inline distT="0" distB="0" distL="0" distR="0" wp14:anchorId="08C4FC87" wp14:editId="57025C38">
          <wp:extent cx="5759450" cy="508459"/>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08459"/>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8E9FA" w14:textId="6D51A616" w:rsidR="00491261" w:rsidRDefault="0064017B">
    <w:pPr>
      <w:pStyle w:val="Zhlav"/>
    </w:pPr>
    <w:r>
      <w:rPr>
        <w:noProof/>
      </w:rPr>
      <w:drawing>
        <wp:inline distT="0" distB="0" distL="0" distR="0" wp14:anchorId="7C7B2B71" wp14:editId="6416E28A">
          <wp:extent cx="5759450" cy="512326"/>
          <wp:effectExtent l="0" t="0" r="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232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2">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0724397"/>
    <w:multiLevelType w:val="hybridMultilevel"/>
    <w:tmpl w:val="886C100E"/>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9">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2">
    <w:nsid w:val="4FD90991"/>
    <w:multiLevelType w:val="hybridMultilevel"/>
    <w:tmpl w:val="45286652"/>
    <w:lvl w:ilvl="0" w:tplc="E4564B9C">
      <w:start w:val="1"/>
      <w:numFmt w:val="decimal"/>
      <w:lvlText w:val="%1."/>
      <w:lvlJc w:val="left"/>
      <w:pPr>
        <w:ind w:left="720" w:hanging="360"/>
      </w:pPr>
    </w:lvl>
    <w:lvl w:ilvl="1" w:tplc="041E55F0">
      <w:start w:val="1"/>
      <w:numFmt w:val="lowerLetter"/>
      <w:lvlText w:val="%2."/>
      <w:lvlJc w:val="left"/>
      <w:pPr>
        <w:ind w:left="1440" w:hanging="360"/>
      </w:pPr>
    </w:lvl>
    <w:lvl w:ilvl="2" w:tplc="5AD4DA74">
      <w:start w:val="1"/>
      <w:numFmt w:val="lowerRoman"/>
      <w:lvlText w:val="%3."/>
      <w:lvlJc w:val="right"/>
      <w:pPr>
        <w:ind w:left="2160" w:hanging="180"/>
      </w:pPr>
    </w:lvl>
    <w:lvl w:ilvl="3" w:tplc="0BF86D44">
      <w:start w:val="1"/>
      <w:numFmt w:val="decimal"/>
      <w:lvlText w:val="%4."/>
      <w:lvlJc w:val="left"/>
      <w:pPr>
        <w:ind w:left="2880" w:hanging="360"/>
      </w:pPr>
    </w:lvl>
    <w:lvl w:ilvl="4" w:tplc="55FAC04E">
      <w:start w:val="1"/>
      <w:numFmt w:val="lowerLetter"/>
      <w:lvlText w:val="%5."/>
      <w:lvlJc w:val="left"/>
      <w:pPr>
        <w:ind w:left="3600" w:hanging="360"/>
      </w:pPr>
    </w:lvl>
    <w:lvl w:ilvl="5" w:tplc="E9A4DAA2">
      <w:start w:val="1"/>
      <w:numFmt w:val="lowerRoman"/>
      <w:lvlText w:val="%6."/>
      <w:lvlJc w:val="right"/>
      <w:pPr>
        <w:ind w:left="4320" w:hanging="180"/>
      </w:pPr>
    </w:lvl>
    <w:lvl w:ilvl="6" w:tplc="FF526FC0">
      <w:start w:val="1"/>
      <w:numFmt w:val="decimal"/>
      <w:lvlText w:val="%7."/>
      <w:lvlJc w:val="left"/>
      <w:pPr>
        <w:ind w:left="5040" w:hanging="360"/>
      </w:pPr>
    </w:lvl>
    <w:lvl w:ilvl="7" w:tplc="A0F45400">
      <w:start w:val="1"/>
      <w:numFmt w:val="lowerLetter"/>
      <w:lvlText w:val="%8."/>
      <w:lvlJc w:val="left"/>
      <w:pPr>
        <w:ind w:left="5760" w:hanging="360"/>
      </w:pPr>
    </w:lvl>
    <w:lvl w:ilvl="8" w:tplc="13E0E22A">
      <w:start w:val="1"/>
      <w:numFmt w:val="lowerRoman"/>
      <w:lvlText w:val="%9."/>
      <w:lvlJc w:val="right"/>
      <w:pPr>
        <w:ind w:left="6480" w:hanging="180"/>
      </w:pPr>
    </w:lvl>
  </w:abstractNum>
  <w:abstractNum w:abstractNumId="23">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5">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8">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5">
    <w:nsid w:val="7F1466C1"/>
    <w:multiLevelType w:val="hybridMultilevel"/>
    <w:tmpl w:val="689E1356"/>
    <w:lvl w:ilvl="0" w:tplc="46A45A68">
      <w:start w:val="1"/>
      <w:numFmt w:val="decimal"/>
      <w:lvlText w:val="%1."/>
      <w:lvlJc w:val="left"/>
      <w:pPr>
        <w:ind w:left="720" w:hanging="360"/>
      </w:pPr>
    </w:lvl>
    <w:lvl w:ilvl="1" w:tplc="D068AEE6">
      <w:start w:val="1"/>
      <w:numFmt w:val="lowerLetter"/>
      <w:lvlText w:val="%2."/>
      <w:lvlJc w:val="left"/>
      <w:pPr>
        <w:ind w:left="1440" w:hanging="360"/>
      </w:pPr>
    </w:lvl>
    <w:lvl w:ilvl="2" w:tplc="5B16C108">
      <w:start w:val="1"/>
      <w:numFmt w:val="lowerRoman"/>
      <w:lvlText w:val="%3."/>
      <w:lvlJc w:val="right"/>
      <w:pPr>
        <w:ind w:left="2160" w:hanging="180"/>
      </w:pPr>
    </w:lvl>
    <w:lvl w:ilvl="3" w:tplc="F89E57BC">
      <w:start w:val="1"/>
      <w:numFmt w:val="decimal"/>
      <w:lvlText w:val="%4."/>
      <w:lvlJc w:val="left"/>
      <w:pPr>
        <w:ind w:left="2880" w:hanging="360"/>
      </w:pPr>
    </w:lvl>
    <w:lvl w:ilvl="4" w:tplc="586EFDAA">
      <w:start w:val="1"/>
      <w:numFmt w:val="lowerLetter"/>
      <w:lvlText w:val="%5."/>
      <w:lvlJc w:val="left"/>
      <w:pPr>
        <w:ind w:left="3600" w:hanging="360"/>
      </w:pPr>
    </w:lvl>
    <w:lvl w:ilvl="5" w:tplc="2D488162">
      <w:start w:val="1"/>
      <w:numFmt w:val="lowerRoman"/>
      <w:lvlText w:val="%6."/>
      <w:lvlJc w:val="right"/>
      <w:pPr>
        <w:ind w:left="4320" w:hanging="180"/>
      </w:pPr>
    </w:lvl>
    <w:lvl w:ilvl="6" w:tplc="35E2A682">
      <w:start w:val="1"/>
      <w:numFmt w:val="decimal"/>
      <w:lvlText w:val="%7."/>
      <w:lvlJc w:val="left"/>
      <w:pPr>
        <w:ind w:left="5040" w:hanging="360"/>
      </w:pPr>
    </w:lvl>
    <w:lvl w:ilvl="7" w:tplc="3D762398">
      <w:start w:val="1"/>
      <w:numFmt w:val="lowerLetter"/>
      <w:lvlText w:val="%8."/>
      <w:lvlJc w:val="left"/>
      <w:pPr>
        <w:ind w:left="5760" w:hanging="360"/>
      </w:pPr>
    </w:lvl>
    <w:lvl w:ilvl="8" w:tplc="D3D0835A">
      <w:start w:val="1"/>
      <w:numFmt w:val="lowerRoman"/>
      <w:lvlText w:val="%9."/>
      <w:lvlJc w:val="right"/>
      <w:pPr>
        <w:ind w:left="6480" w:hanging="180"/>
      </w:pPr>
    </w:lvl>
  </w:abstractNum>
  <w:num w:numId="1">
    <w:abstractNumId w:val="22"/>
  </w:num>
  <w:num w:numId="2">
    <w:abstractNumId w:val="35"/>
  </w:num>
  <w:num w:numId="3">
    <w:abstractNumId w:val="28"/>
  </w:num>
  <w:num w:numId="4">
    <w:abstractNumId w:val="0"/>
  </w:num>
  <w:num w:numId="5">
    <w:abstractNumId w:val="1"/>
  </w:num>
  <w:num w:numId="6">
    <w:abstractNumId w:val="20"/>
  </w:num>
  <w:num w:numId="7">
    <w:abstractNumId w:val="29"/>
  </w:num>
  <w:num w:numId="8">
    <w:abstractNumId w:val="23"/>
  </w:num>
  <w:num w:numId="9">
    <w:abstractNumId w:val="12"/>
  </w:num>
  <w:num w:numId="10">
    <w:abstractNumId w:val="30"/>
  </w:num>
  <w:num w:numId="11">
    <w:abstractNumId w:val="3"/>
  </w:num>
  <w:num w:numId="12">
    <w:abstractNumId w:val="19"/>
  </w:num>
  <w:num w:numId="13">
    <w:abstractNumId w:val="5"/>
  </w:num>
  <w:num w:numId="14">
    <w:abstractNumId w:val="24"/>
  </w:num>
  <w:num w:numId="15">
    <w:abstractNumId w:val="4"/>
  </w:num>
  <w:num w:numId="16">
    <w:abstractNumId w:val="9"/>
  </w:num>
  <w:num w:numId="17">
    <w:abstractNumId w:val="6"/>
  </w:num>
  <w:num w:numId="18">
    <w:abstractNumId w:val="33"/>
  </w:num>
  <w:num w:numId="19">
    <w:abstractNumId w:val="7"/>
  </w:num>
  <w:num w:numId="20">
    <w:abstractNumId w:val="15"/>
  </w:num>
  <w:num w:numId="21">
    <w:abstractNumId w:val="21"/>
  </w:num>
  <w:num w:numId="22">
    <w:abstractNumId w:val="26"/>
  </w:num>
  <w:num w:numId="23">
    <w:abstractNumId w:val="27"/>
  </w:num>
  <w:num w:numId="24">
    <w:abstractNumId w:val="34"/>
  </w:num>
  <w:num w:numId="25">
    <w:abstractNumId w:val="13"/>
  </w:num>
  <w:num w:numId="26">
    <w:abstractNumId w:val="10"/>
  </w:num>
  <w:num w:numId="27">
    <w:abstractNumId w:val="2"/>
  </w:num>
  <w:num w:numId="28">
    <w:abstractNumId w:val="32"/>
  </w:num>
  <w:num w:numId="29">
    <w:abstractNumId w:val="14"/>
  </w:num>
  <w:num w:numId="30">
    <w:abstractNumId w:val="17"/>
  </w:num>
  <w:num w:numId="31">
    <w:abstractNumId w:val="18"/>
  </w:num>
  <w:num w:numId="32">
    <w:abstractNumId w:val="31"/>
  </w:num>
  <w:num w:numId="33">
    <w:abstractNumId w:val="25"/>
  </w:num>
  <w:num w:numId="34">
    <w:abstractNumId w:val="8"/>
  </w:num>
  <w:num w:numId="35">
    <w:abstractNumId w:val="11"/>
  </w:num>
  <w:num w:numId="36">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340"/>
    <w:rsid w:val="00107903"/>
    <w:rsid w:val="0011417D"/>
    <w:rsid w:val="00114E58"/>
    <w:rsid w:val="00115AFF"/>
    <w:rsid w:val="00116983"/>
    <w:rsid w:val="00120248"/>
    <w:rsid w:val="00122DCA"/>
    <w:rsid w:val="00124BCF"/>
    <w:rsid w:val="00127E4B"/>
    <w:rsid w:val="00131E26"/>
    <w:rsid w:val="00134EC6"/>
    <w:rsid w:val="00136EB0"/>
    <w:rsid w:val="00137D78"/>
    <w:rsid w:val="00140025"/>
    <w:rsid w:val="001418FF"/>
    <w:rsid w:val="0014251D"/>
    <w:rsid w:val="001434CE"/>
    <w:rsid w:val="00143CF6"/>
    <w:rsid w:val="0014480F"/>
    <w:rsid w:val="00145C8D"/>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A12"/>
    <w:rsid w:val="001A08BA"/>
    <w:rsid w:val="001A11C4"/>
    <w:rsid w:val="001A3073"/>
    <w:rsid w:val="001A3315"/>
    <w:rsid w:val="001A4FDD"/>
    <w:rsid w:val="001A5BD9"/>
    <w:rsid w:val="001A6824"/>
    <w:rsid w:val="001A712C"/>
    <w:rsid w:val="001B2233"/>
    <w:rsid w:val="001B4AF4"/>
    <w:rsid w:val="001B4DA6"/>
    <w:rsid w:val="001C0A98"/>
    <w:rsid w:val="001C2E0E"/>
    <w:rsid w:val="001C3B7A"/>
    <w:rsid w:val="001D1140"/>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234DB"/>
    <w:rsid w:val="0022383F"/>
    <w:rsid w:val="002331B5"/>
    <w:rsid w:val="00233D37"/>
    <w:rsid w:val="00236924"/>
    <w:rsid w:val="00240839"/>
    <w:rsid w:val="00240C4B"/>
    <w:rsid w:val="002413EF"/>
    <w:rsid w:val="002414A4"/>
    <w:rsid w:val="00245D06"/>
    <w:rsid w:val="002463E7"/>
    <w:rsid w:val="00260A61"/>
    <w:rsid w:val="002634F7"/>
    <w:rsid w:val="0026475A"/>
    <w:rsid w:val="002649B7"/>
    <w:rsid w:val="00265207"/>
    <w:rsid w:val="002661FF"/>
    <w:rsid w:val="0026655F"/>
    <w:rsid w:val="002671E2"/>
    <w:rsid w:val="00271BF9"/>
    <w:rsid w:val="0027207F"/>
    <w:rsid w:val="00276895"/>
    <w:rsid w:val="002777A8"/>
    <w:rsid w:val="00280509"/>
    <w:rsid w:val="00281923"/>
    <w:rsid w:val="00281B1F"/>
    <w:rsid w:val="00282404"/>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32D0"/>
    <w:rsid w:val="002F73FD"/>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0D51"/>
    <w:rsid w:val="003E3B82"/>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69EB"/>
    <w:rsid w:val="00427643"/>
    <w:rsid w:val="00430904"/>
    <w:rsid w:val="00432023"/>
    <w:rsid w:val="004320D5"/>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000"/>
    <w:rsid w:val="00463244"/>
    <w:rsid w:val="0046525D"/>
    <w:rsid w:val="00467C95"/>
    <w:rsid w:val="00467E01"/>
    <w:rsid w:val="00472F7B"/>
    <w:rsid w:val="00473D4D"/>
    <w:rsid w:val="004757ED"/>
    <w:rsid w:val="0048145D"/>
    <w:rsid w:val="00481640"/>
    <w:rsid w:val="00481FDC"/>
    <w:rsid w:val="00491261"/>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4A97"/>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0478"/>
    <w:rsid w:val="00534ECD"/>
    <w:rsid w:val="00535787"/>
    <w:rsid w:val="00540EA7"/>
    <w:rsid w:val="00540F95"/>
    <w:rsid w:val="00542ACC"/>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479A"/>
    <w:rsid w:val="005C0558"/>
    <w:rsid w:val="005C1AF0"/>
    <w:rsid w:val="005C365A"/>
    <w:rsid w:val="005C4600"/>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4B05"/>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017B"/>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C605A"/>
    <w:rsid w:val="006D07B7"/>
    <w:rsid w:val="006D33E4"/>
    <w:rsid w:val="006D3936"/>
    <w:rsid w:val="006D4915"/>
    <w:rsid w:val="006D4C8F"/>
    <w:rsid w:val="006D5699"/>
    <w:rsid w:val="006D75E5"/>
    <w:rsid w:val="006D7C75"/>
    <w:rsid w:val="006E4CB6"/>
    <w:rsid w:val="006E55DB"/>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450B5"/>
    <w:rsid w:val="0075022B"/>
    <w:rsid w:val="00756E5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3D8"/>
    <w:rsid w:val="007948E4"/>
    <w:rsid w:val="0079558C"/>
    <w:rsid w:val="007956D2"/>
    <w:rsid w:val="007975E2"/>
    <w:rsid w:val="007A0BD7"/>
    <w:rsid w:val="007A1994"/>
    <w:rsid w:val="007A1B53"/>
    <w:rsid w:val="007A2A01"/>
    <w:rsid w:val="007A3479"/>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3096"/>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10E"/>
    <w:rsid w:val="008502C9"/>
    <w:rsid w:val="00852D39"/>
    <w:rsid w:val="00854805"/>
    <w:rsid w:val="0085515F"/>
    <w:rsid w:val="008551FC"/>
    <w:rsid w:val="0085538A"/>
    <w:rsid w:val="00855B54"/>
    <w:rsid w:val="0085626E"/>
    <w:rsid w:val="008563D6"/>
    <w:rsid w:val="00856E9E"/>
    <w:rsid w:val="00863A59"/>
    <w:rsid w:val="00865A47"/>
    <w:rsid w:val="00866A02"/>
    <w:rsid w:val="008673FB"/>
    <w:rsid w:val="00871804"/>
    <w:rsid w:val="008732C2"/>
    <w:rsid w:val="0087350E"/>
    <w:rsid w:val="00873C08"/>
    <w:rsid w:val="00875E12"/>
    <w:rsid w:val="008765E9"/>
    <w:rsid w:val="008766D9"/>
    <w:rsid w:val="0087725D"/>
    <w:rsid w:val="008777FF"/>
    <w:rsid w:val="008832E3"/>
    <w:rsid w:val="0088797C"/>
    <w:rsid w:val="00890ADC"/>
    <w:rsid w:val="00892C03"/>
    <w:rsid w:val="0089480E"/>
    <w:rsid w:val="00895D73"/>
    <w:rsid w:val="008A01DE"/>
    <w:rsid w:val="008A3183"/>
    <w:rsid w:val="008A3649"/>
    <w:rsid w:val="008A41E2"/>
    <w:rsid w:val="008A4359"/>
    <w:rsid w:val="008B491E"/>
    <w:rsid w:val="008B6091"/>
    <w:rsid w:val="008C467B"/>
    <w:rsid w:val="008C4F2C"/>
    <w:rsid w:val="008C63A0"/>
    <w:rsid w:val="008D1BA4"/>
    <w:rsid w:val="008D2CB6"/>
    <w:rsid w:val="008D3184"/>
    <w:rsid w:val="008D32D8"/>
    <w:rsid w:val="008D3A97"/>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2525"/>
    <w:rsid w:val="00964B50"/>
    <w:rsid w:val="00967529"/>
    <w:rsid w:val="00967EBD"/>
    <w:rsid w:val="00972026"/>
    <w:rsid w:val="00972A37"/>
    <w:rsid w:val="00973718"/>
    <w:rsid w:val="00973CC3"/>
    <w:rsid w:val="00975CA5"/>
    <w:rsid w:val="00983FAB"/>
    <w:rsid w:val="00987045"/>
    <w:rsid w:val="00990546"/>
    <w:rsid w:val="00990E08"/>
    <w:rsid w:val="00991035"/>
    <w:rsid w:val="009963DC"/>
    <w:rsid w:val="009A046B"/>
    <w:rsid w:val="009A2EDA"/>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C7DDD"/>
    <w:rsid w:val="009D0705"/>
    <w:rsid w:val="009D3077"/>
    <w:rsid w:val="009D314E"/>
    <w:rsid w:val="009D3394"/>
    <w:rsid w:val="009E3626"/>
    <w:rsid w:val="009E450C"/>
    <w:rsid w:val="009F05FA"/>
    <w:rsid w:val="009F221C"/>
    <w:rsid w:val="009F4CDB"/>
    <w:rsid w:val="009F6B66"/>
    <w:rsid w:val="00A00511"/>
    <w:rsid w:val="00A01753"/>
    <w:rsid w:val="00A0178E"/>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5613D"/>
    <w:rsid w:val="00A60B84"/>
    <w:rsid w:val="00A61FDC"/>
    <w:rsid w:val="00A65280"/>
    <w:rsid w:val="00A673E7"/>
    <w:rsid w:val="00A7195E"/>
    <w:rsid w:val="00A71A5A"/>
    <w:rsid w:val="00A720D9"/>
    <w:rsid w:val="00A75CBF"/>
    <w:rsid w:val="00A82596"/>
    <w:rsid w:val="00A83B7C"/>
    <w:rsid w:val="00A84148"/>
    <w:rsid w:val="00A857EE"/>
    <w:rsid w:val="00A85CE4"/>
    <w:rsid w:val="00A85E96"/>
    <w:rsid w:val="00A931A4"/>
    <w:rsid w:val="00A978EF"/>
    <w:rsid w:val="00AA1584"/>
    <w:rsid w:val="00AA1588"/>
    <w:rsid w:val="00AA1BD6"/>
    <w:rsid w:val="00AA3365"/>
    <w:rsid w:val="00AB004E"/>
    <w:rsid w:val="00AB082E"/>
    <w:rsid w:val="00AB2464"/>
    <w:rsid w:val="00AB2E01"/>
    <w:rsid w:val="00AB3600"/>
    <w:rsid w:val="00AB366C"/>
    <w:rsid w:val="00AB53F2"/>
    <w:rsid w:val="00AB5C30"/>
    <w:rsid w:val="00AB6DCB"/>
    <w:rsid w:val="00AC091D"/>
    <w:rsid w:val="00AC19D1"/>
    <w:rsid w:val="00AC780E"/>
    <w:rsid w:val="00AD0557"/>
    <w:rsid w:val="00AD33EB"/>
    <w:rsid w:val="00AD37BE"/>
    <w:rsid w:val="00AD3D0C"/>
    <w:rsid w:val="00AD49CF"/>
    <w:rsid w:val="00AE03F2"/>
    <w:rsid w:val="00AE05FA"/>
    <w:rsid w:val="00AE17DC"/>
    <w:rsid w:val="00AE21F2"/>
    <w:rsid w:val="00AE3396"/>
    <w:rsid w:val="00AF1E9B"/>
    <w:rsid w:val="00AF2875"/>
    <w:rsid w:val="00AF2CE9"/>
    <w:rsid w:val="00AF4372"/>
    <w:rsid w:val="00AF5D95"/>
    <w:rsid w:val="00AF70C4"/>
    <w:rsid w:val="00B01628"/>
    <w:rsid w:val="00B02222"/>
    <w:rsid w:val="00B0334C"/>
    <w:rsid w:val="00B0545C"/>
    <w:rsid w:val="00B05F43"/>
    <w:rsid w:val="00B143FD"/>
    <w:rsid w:val="00B16822"/>
    <w:rsid w:val="00B179CB"/>
    <w:rsid w:val="00B21BCB"/>
    <w:rsid w:val="00B22DC7"/>
    <w:rsid w:val="00B2588A"/>
    <w:rsid w:val="00B30124"/>
    <w:rsid w:val="00B31857"/>
    <w:rsid w:val="00B31C97"/>
    <w:rsid w:val="00B36AFE"/>
    <w:rsid w:val="00B42220"/>
    <w:rsid w:val="00B4285F"/>
    <w:rsid w:val="00B43048"/>
    <w:rsid w:val="00B44E79"/>
    <w:rsid w:val="00B467F4"/>
    <w:rsid w:val="00B51DBD"/>
    <w:rsid w:val="00B53A7B"/>
    <w:rsid w:val="00B53CC5"/>
    <w:rsid w:val="00B549CD"/>
    <w:rsid w:val="00B60561"/>
    <w:rsid w:val="00B60C8E"/>
    <w:rsid w:val="00B62148"/>
    <w:rsid w:val="00B62791"/>
    <w:rsid w:val="00B635CF"/>
    <w:rsid w:val="00B63DE5"/>
    <w:rsid w:val="00B64AFE"/>
    <w:rsid w:val="00B672C7"/>
    <w:rsid w:val="00B701CE"/>
    <w:rsid w:val="00B70DEA"/>
    <w:rsid w:val="00B73A80"/>
    <w:rsid w:val="00B73FA3"/>
    <w:rsid w:val="00B757BF"/>
    <w:rsid w:val="00B75E4C"/>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2FEC"/>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50203"/>
    <w:rsid w:val="00C51E66"/>
    <w:rsid w:val="00C5674D"/>
    <w:rsid w:val="00C6092E"/>
    <w:rsid w:val="00C609F8"/>
    <w:rsid w:val="00C6257A"/>
    <w:rsid w:val="00C62ED3"/>
    <w:rsid w:val="00C6324C"/>
    <w:rsid w:val="00C67D4F"/>
    <w:rsid w:val="00C72BA6"/>
    <w:rsid w:val="00C741E1"/>
    <w:rsid w:val="00C7616A"/>
    <w:rsid w:val="00C8023B"/>
    <w:rsid w:val="00C8178A"/>
    <w:rsid w:val="00C82AD9"/>
    <w:rsid w:val="00C834BD"/>
    <w:rsid w:val="00C83A85"/>
    <w:rsid w:val="00C85F58"/>
    <w:rsid w:val="00C86E44"/>
    <w:rsid w:val="00C91A9F"/>
    <w:rsid w:val="00C927A0"/>
    <w:rsid w:val="00CA36E9"/>
    <w:rsid w:val="00CA379A"/>
    <w:rsid w:val="00CA3F12"/>
    <w:rsid w:val="00CA5190"/>
    <w:rsid w:val="00CB09D9"/>
    <w:rsid w:val="00CB10D4"/>
    <w:rsid w:val="00CB3595"/>
    <w:rsid w:val="00CB4EDA"/>
    <w:rsid w:val="00CB6134"/>
    <w:rsid w:val="00CC1043"/>
    <w:rsid w:val="00CC1493"/>
    <w:rsid w:val="00CC2C81"/>
    <w:rsid w:val="00CC3365"/>
    <w:rsid w:val="00CC35F4"/>
    <w:rsid w:val="00CC3B4E"/>
    <w:rsid w:val="00CC73AC"/>
    <w:rsid w:val="00CD4CA4"/>
    <w:rsid w:val="00CD57A5"/>
    <w:rsid w:val="00CD6F5E"/>
    <w:rsid w:val="00CE080C"/>
    <w:rsid w:val="00CE0B3C"/>
    <w:rsid w:val="00CE2EC5"/>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3A97"/>
    <w:rsid w:val="00D0490A"/>
    <w:rsid w:val="00D053AA"/>
    <w:rsid w:val="00D064E9"/>
    <w:rsid w:val="00D06DE7"/>
    <w:rsid w:val="00D06F3F"/>
    <w:rsid w:val="00D11268"/>
    <w:rsid w:val="00D16674"/>
    <w:rsid w:val="00D16837"/>
    <w:rsid w:val="00D2255A"/>
    <w:rsid w:val="00D23940"/>
    <w:rsid w:val="00D2420F"/>
    <w:rsid w:val="00D24AB4"/>
    <w:rsid w:val="00D24C13"/>
    <w:rsid w:val="00D327A7"/>
    <w:rsid w:val="00D32C65"/>
    <w:rsid w:val="00D33FD8"/>
    <w:rsid w:val="00D3418D"/>
    <w:rsid w:val="00D342D9"/>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2173"/>
    <w:rsid w:val="00DC3FCB"/>
    <w:rsid w:val="00DC48CF"/>
    <w:rsid w:val="00DC71D4"/>
    <w:rsid w:val="00DD0102"/>
    <w:rsid w:val="00DD2F51"/>
    <w:rsid w:val="00DD3629"/>
    <w:rsid w:val="00DD4045"/>
    <w:rsid w:val="00DD5E6E"/>
    <w:rsid w:val="00DE5F16"/>
    <w:rsid w:val="00DE6D28"/>
    <w:rsid w:val="00DE6ED4"/>
    <w:rsid w:val="00DF5680"/>
    <w:rsid w:val="00DF6BBD"/>
    <w:rsid w:val="00E00922"/>
    <w:rsid w:val="00E036E3"/>
    <w:rsid w:val="00E0756F"/>
    <w:rsid w:val="00E1093F"/>
    <w:rsid w:val="00E10DF2"/>
    <w:rsid w:val="00E11701"/>
    <w:rsid w:val="00E144C2"/>
    <w:rsid w:val="00E16447"/>
    <w:rsid w:val="00E17FCE"/>
    <w:rsid w:val="00E20081"/>
    <w:rsid w:val="00E232B2"/>
    <w:rsid w:val="00E25403"/>
    <w:rsid w:val="00E26844"/>
    <w:rsid w:val="00E31EE0"/>
    <w:rsid w:val="00E34B85"/>
    <w:rsid w:val="00E365BA"/>
    <w:rsid w:val="00E40316"/>
    <w:rsid w:val="00E425FF"/>
    <w:rsid w:val="00E43E40"/>
    <w:rsid w:val="00E46A76"/>
    <w:rsid w:val="00E46F7B"/>
    <w:rsid w:val="00E519E5"/>
    <w:rsid w:val="00E54328"/>
    <w:rsid w:val="00E57B39"/>
    <w:rsid w:val="00E61C84"/>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3D8D"/>
    <w:rsid w:val="00EB50A3"/>
    <w:rsid w:val="00EB57B9"/>
    <w:rsid w:val="00EB73AB"/>
    <w:rsid w:val="00EB7C07"/>
    <w:rsid w:val="00EC312F"/>
    <w:rsid w:val="00EC4A03"/>
    <w:rsid w:val="00EC5E7B"/>
    <w:rsid w:val="00EC77B2"/>
    <w:rsid w:val="00ED0793"/>
    <w:rsid w:val="00ED438C"/>
    <w:rsid w:val="00ED66F3"/>
    <w:rsid w:val="00ED71B0"/>
    <w:rsid w:val="00EE03ED"/>
    <w:rsid w:val="00EE2A73"/>
    <w:rsid w:val="00EE3A16"/>
    <w:rsid w:val="00EE41D1"/>
    <w:rsid w:val="00EE4223"/>
    <w:rsid w:val="00EE7C58"/>
    <w:rsid w:val="00EF1C34"/>
    <w:rsid w:val="00EF244F"/>
    <w:rsid w:val="00EF3B0D"/>
    <w:rsid w:val="00EF3B8F"/>
    <w:rsid w:val="00EF460C"/>
    <w:rsid w:val="00EF57D7"/>
    <w:rsid w:val="00EF6117"/>
    <w:rsid w:val="00EF6127"/>
    <w:rsid w:val="00EF7110"/>
    <w:rsid w:val="00EF7E2C"/>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23E0"/>
    <w:rsid w:val="00F23DF3"/>
    <w:rsid w:val="00F27E9B"/>
    <w:rsid w:val="00F32081"/>
    <w:rsid w:val="00F321B1"/>
    <w:rsid w:val="00F323CB"/>
    <w:rsid w:val="00F32A16"/>
    <w:rsid w:val="00F33F3B"/>
    <w:rsid w:val="00F34D81"/>
    <w:rsid w:val="00F361E3"/>
    <w:rsid w:val="00F41874"/>
    <w:rsid w:val="00F4369D"/>
    <w:rsid w:val="00F44B09"/>
    <w:rsid w:val="00F45279"/>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4B7C"/>
    <w:rsid w:val="00F850C3"/>
    <w:rsid w:val="00F8518B"/>
    <w:rsid w:val="00F85B08"/>
    <w:rsid w:val="00F86171"/>
    <w:rsid w:val="00F86A61"/>
    <w:rsid w:val="00F879B8"/>
    <w:rsid w:val="00FA4C2A"/>
    <w:rsid w:val="00FB4241"/>
    <w:rsid w:val="00FB603B"/>
    <w:rsid w:val="00FB6CE7"/>
    <w:rsid w:val="00FC067F"/>
    <w:rsid w:val="00FC55A4"/>
    <w:rsid w:val="00FC587C"/>
    <w:rsid w:val="00FC596E"/>
    <w:rsid w:val="00FD0687"/>
    <w:rsid w:val="00FD2FCE"/>
    <w:rsid w:val="00FD5501"/>
    <w:rsid w:val="00FE16F2"/>
    <w:rsid w:val="00FE3477"/>
    <w:rsid w:val="00FF2322"/>
    <w:rsid w:val="00FF5A81"/>
    <w:rsid w:val="00FF5E10"/>
    <w:rsid w:val="00FF7588"/>
    <w:rsid w:val="1BDF5152"/>
    <w:rsid w:val="25134308"/>
    <w:rsid w:val="4F72C23D"/>
    <w:rsid w:val="510E929E"/>
    <w:rsid w:val="679BE572"/>
    <w:rsid w:val="71AD3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59AB8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v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character" w:customStyle="1" w:styleId="findhit">
    <w:name w:val="findhit"/>
    <w:basedOn w:val="Standardnpsmoodstavce"/>
    <w:rsid w:val="004320D5"/>
  </w:style>
  <w:style w:type="paragraph" w:styleId="Odstavecseseznamem">
    <w:name w:val="List Paragraph"/>
    <w:basedOn w:val="Normln"/>
    <w:uiPriority w:val="34"/>
    <w:qFormat/>
    <w:pPr>
      <w:ind w:left="720"/>
      <w:contextualSpacing/>
    </w:pPr>
  </w:style>
  <w:style w:type="paragraph" w:customStyle="1" w:styleId="CharCharCharCharCharChar">
    <w:name w:val=" Char Char Char Char Char Char"/>
    <w:basedOn w:val="Normln"/>
    <w:rsid w:val="0064017B"/>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v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character" w:customStyle="1" w:styleId="findhit">
    <w:name w:val="findhit"/>
    <w:basedOn w:val="Standardnpsmoodstavce"/>
    <w:rsid w:val="004320D5"/>
  </w:style>
  <w:style w:type="paragraph" w:styleId="Odstavecseseznamem">
    <w:name w:val="List Paragraph"/>
    <w:basedOn w:val="Normln"/>
    <w:uiPriority w:val="34"/>
    <w:qFormat/>
    <w:pPr>
      <w:ind w:left="720"/>
      <w:contextualSpacing/>
    </w:pPr>
  </w:style>
  <w:style w:type="paragraph" w:customStyle="1" w:styleId="CharCharCharCharCharChar">
    <w:name w:val=" Char Char Char Char Char Char"/>
    <w:basedOn w:val="Normln"/>
    <w:rsid w:val="0064017B"/>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684237782">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1AAE0B-A25A-4AD3-BD69-1D43E74E8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7357C10C-48E2-4DF1-8360-ED4F3A48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17</Pages>
  <Words>7030</Words>
  <Characters>41505</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zemanekl</cp:lastModifiedBy>
  <cp:revision>36</cp:revision>
  <cp:lastPrinted>2019-06-12T07:09:00Z</cp:lastPrinted>
  <dcterms:created xsi:type="dcterms:W3CDTF">2022-02-04T11:07:00Z</dcterms:created>
  <dcterms:modified xsi:type="dcterms:W3CDTF">2023-03-14T10:41:00Z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2022-02-04T11:53:02Z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