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A7064" w14:textId="77777777" w:rsidR="00B74453" w:rsidRDefault="00000000">
      <w:pPr>
        <w:pStyle w:val="Podnadpis"/>
        <w:spacing w:after="120"/>
        <w:rPr>
          <w:rFonts w:ascii="Tahoma" w:hAnsi="Tahoma" w:cs="Tahoma"/>
          <w:caps/>
        </w:rPr>
      </w:pPr>
      <w:r>
        <w:rPr>
          <w:rFonts w:ascii="Tahoma" w:hAnsi="Tahoma" w:cs="Tahoma"/>
          <w:caps/>
        </w:rPr>
        <w:t>Smlouva o dílo</w:t>
      </w:r>
    </w:p>
    <w:p w14:paraId="08C69994" w14:textId="77777777" w:rsidR="00B74453" w:rsidRDefault="00000000">
      <w:pPr>
        <w:keepNext/>
        <w:spacing w:before="360"/>
        <w:jc w:val="center"/>
        <w:rPr>
          <w:rFonts w:ascii="Tahoma" w:hAnsi="Tahoma" w:cs="Tahoma"/>
          <w:b/>
          <w:sz w:val="22"/>
          <w:szCs w:val="22"/>
        </w:rPr>
      </w:pPr>
      <w:r>
        <w:rPr>
          <w:rFonts w:ascii="Tahoma" w:hAnsi="Tahoma" w:cs="Tahoma"/>
          <w:b/>
          <w:sz w:val="22"/>
          <w:szCs w:val="22"/>
        </w:rPr>
        <w:t>I.</w:t>
      </w:r>
      <w:r>
        <w:rPr>
          <w:rFonts w:ascii="Tahoma" w:hAnsi="Tahoma" w:cs="Tahoma"/>
          <w:b/>
          <w:sz w:val="22"/>
          <w:szCs w:val="22"/>
        </w:rPr>
        <w:br/>
        <w:t>Smluvní strany</w:t>
      </w:r>
    </w:p>
    <w:p w14:paraId="45FE6FF3" w14:textId="77777777" w:rsidR="00B74453" w:rsidRDefault="00000000">
      <w:pPr>
        <w:pStyle w:val="Zkladntext"/>
        <w:widowControl w:val="0"/>
        <w:numPr>
          <w:ilvl w:val="0"/>
          <w:numId w:val="37"/>
        </w:numPr>
        <w:tabs>
          <w:tab w:val="clear" w:pos="540"/>
          <w:tab w:val="clear" w:pos="720"/>
          <w:tab w:val="left" w:pos="708"/>
        </w:tabs>
        <w:spacing w:before="240"/>
        <w:ind w:left="357" w:hanging="357"/>
        <w:rPr>
          <w:rFonts w:ascii="Tahoma" w:hAnsi="Tahoma" w:cs="Tahoma"/>
          <w:b/>
          <w:bCs/>
        </w:rPr>
      </w:pPr>
      <w:r>
        <w:rPr>
          <w:rFonts w:ascii="Tahoma" w:hAnsi="Tahoma" w:cs="Tahoma"/>
          <w:b/>
          <w:bCs/>
        </w:rPr>
        <w:t>Gymnázium a Střední průmyslová škola elektrotechniky a informatiky, Frenštát pod Radhoštěm, příspěvková organizace</w:t>
      </w:r>
    </w:p>
    <w:p w14:paraId="4D19850F"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se sídlem:</w:t>
      </w:r>
      <w:r>
        <w:rPr>
          <w:rFonts w:ascii="Tahoma" w:hAnsi="Tahoma" w:cs="Tahoma"/>
          <w:sz w:val="22"/>
          <w:szCs w:val="22"/>
        </w:rPr>
        <w:tab/>
        <w:t>Křižíkova 1258, 744 01 Frenštát pod Radhoštěm</w:t>
      </w:r>
    </w:p>
    <w:p w14:paraId="67126ABC" w14:textId="77777777" w:rsidR="00B74453" w:rsidRDefault="00000000">
      <w:pPr>
        <w:tabs>
          <w:tab w:val="left" w:pos="3119"/>
        </w:tabs>
        <w:ind w:left="357"/>
        <w:jc w:val="both"/>
        <w:rPr>
          <w:rFonts w:ascii="Tahoma" w:hAnsi="Tahoma" w:cs="Tahoma"/>
          <w:iCs/>
          <w:sz w:val="22"/>
          <w:szCs w:val="22"/>
        </w:rPr>
      </w:pPr>
      <w:r>
        <w:rPr>
          <w:rFonts w:ascii="Tahoma" w:hAnsi="Tahoma" w:cs="Tahoma"/>
          <w:sz w:val="22"/>
          <w:szCs w:val="22"/>
        </w:rPr>
        <w:t>zastoupen:</w:t>
      </w:r>
      <w:r>
        <w:rPr>
          <w:rFonts w:ascii="Tahoma" w:hAnsi="Tahoma" w:cs="Tahoma"/>
          <w:sz w:val="22"/>
          <w:szCs w:val="22"/>
        </w:rPr>
        <w:tab/>
        <w:t>Mgr. Richardem Štěpánem</w:t>
      </w:r>
    </w:p>
    <w:p w14:paraId="4895A9C7"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IČO:</w:t>
      </w:r>
      <w:r>
        <w:rPr>
          <w:rFonts w:ascii="Tahoma" w:hAnsi="Tahoma" w:cs="Tahoma"/>
          <w:sz w:val="22"/>
          <w:szCs w:val="22"/>
        </w:rPr>
        <w:tab/>
        <w:t>00601659</w:t>
      </w:r>
    </w:p>
    <w:p w14:paraId="309F1E52"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DIČ:</w:t>
      </w:r>
      <w:r>
        <w:rPr>
          <w:rFonts w:ascii="Tahoma" w:hAnsi="Tahoma" w:cs="Tahoma"/>
          <w:sz w:val="22"/>
          <w:szCs w:val="22"/>
        </w:rPr>
        <w:tab/>
        <w:t>CZ00601659</w:t>
      </w:r>
    </w:p>
    <w:p w14:paraId="635B0043" w14:textId="77777777" w:rsidR="00B74453" w:rsidRDefault="00000000">
      <w:pPr>
        <w:tabs>
          <w:tab w:val="left" w:pos="3119"/>
        </w:tabs>
        <w:ind w:left="357"/>
        <w:jc w:val="both"/>
        <w:rPr>
          <w:rFonts w:ascii="Tahoma" w:hAnsi="Tahoma" w:cs="Tahoma"/>
          <w:sz w:val="22"/>
          <w:szCs w:val="22"/>
        </w:rPr>
      </w:pPr>
      <w:r>
        <w:rPr>
          <w:rFonts w:ascii="Tahoma" w:hAnsi="Tahoma" w:cs="Tahoma"/>
          <w:sz w:val="22"/>
          <w:szCs w:val="22"/>
        </w:rPr>
        <w:t>bankovní spojení:</w:t>
      </w:r>
      <w:r>
        <w:rPr>
          <w:rFonts w:ascii="Tahoma" w:hAnsi="Tahoma" w:cs="Tahoma"/>
          <w:sz w:val="22"/>
          <w:szCs w:val="22"/>
        </w:rPr>
        <w:tab/>
        <w:t xml:space="preserve">UniCredit Bank </w:t>
      </w:r>
    </w:p>
    <w:p w14:paraId="3525E754" w14:textId="77777777" w:rsidR="00B74453" w:rsidRDefault="00000000">
      <w:pPr>
        <w:tabs>
          <w:tab w:val="left" w:pos="3119"/>
        </w:tabs>
        <w:ind w:left="357"/>
        <w:jc w:val="both"/>
        <w:rPr>
          <w:rFonts w:ascii="Tahoma" w:hAnsi="Tahoma" w:cs="Tahoma"/>
          <w:color w:val="FF0000"/>
          <w:sz w:val="22"/>
          <w:szCs w:val="22"/>
        </w:rPr>
      </w:pPr>
      <w:r>
        <w:rPr>
          <w:rFonts w:ascii="Tahoma" w:hAnsi="Tahoma" w:cs="Tahoma"/>
          <w:sz w:val="22"/>
          <w:szCs w:val="22"/>
        </w:rPr>
        <w:t xml:space="preserve">číslo účtu: </w:t>
      </w:r>
      <w:r>
        <w:rPr>
          <w:rFonts w:ascii="Tahoma" w:hAnsi="Tahoma" w:cs="Tahoma"/>
          <w:sz w:val="22"/>
          <w:szCs w:val="22"/>
        </w:rPr>
        <w:tab/>
        <w:t>141001410/2700</w:t>
      </w:r>
    </w:p>
    <w:p w14:paraId="0A2844F4" w14:textId="77777777" w:rsidR="00B74453" w:rsidRDefault="00B74453">
      <w:pPr>
        <w:rPr>
          <w:rFonts w:ascii="Tahoma" w:hAnsi="Tahoma" w:cs="Tahoma"/>
          <w:sz w:val="22"/>
          <w:szCs w:val="22"/>
        </w:rPr>
      </w:pPr>
    </w:p>
    <w:p w14:paraId="45EA0A66" w14:textId="77777777" w:rsidR="00B74453" w:rsidRDefault="00000000">
      <w:pPr>
        <w:spacing w:before="120"/>
        <w:ind w:left="357"/>
        <w:jc w:val="both"/>
        <w:rPr>
          <w:rFonts w:ascii="Tahoma" w:hAnsi="Tahoma" w:cs="Tahoma"/>
          <w:sz w:val="22"/>
          <w:szCs w:val="22"/>
        </w:rPr>
      </w:pPr>
      <w:r>
        <w:rPr>
          <w:rFonts w:ascii="Tahoma" w:hAnsi="Tahoma" w:cs="Tahoma"/>
          <w:sz w:val="22"/>
          <w:szCs w:val="22"/>
        </w:rPr>
        <w:t>Osoba oprávněná jednat ve věcech realizace stavby:</w:t>
      </w:r>
    </w:p>
    <w:p w14:paraId="3E9DC904" w14:textId="77777777" w:rsidR="00B74453" w:rsidRDefault="00000000">
      <w:pPr>
        <w:pStyle w:val="dajeOSmluvnStran"/>
        <w:spacing w:before="60"/>
        <w:jc w:val="both"/>
        <w:rPr>
          <w:rFonts w:ascii="Tahoma" w:hAnsi="Tahoma" w:cs="Tahoma"/>
          <w:sz w:val="22"/>
          <w:szCs w:val="22"/>
        </w:rPr>
      </w:pPr>
      <w:r>
        <w:rPr>
          <w:rFonts w:ascii="Tahoma" w:hAnsi="Tahoma" w:cs="Tahoma"/>
          <w:sz w:val="22"/>
          <w:szCs w:val="22"/>
        </w:rPr>
        <w:t>Mgr. Richard Štěpán, tel.: 604 711 746</w:t>
      </w:r>
    </w:p>
    <w:p w14:paraId="46356FC0" w14:textId="77777777" w:rsidR="00B74453" w:rsidRDefault="00000000">
      <w:pPr>
        <w:pStyle w:val="dajeOSmluvnStran"/>
        <w:spacing w:before="60"/>
        <w:jc w:val="both"/>
        <w:rPr>
          <w:rFonts w:ascii="Tahoma" w:hAnsi="Tahoma" w:cs="Tahoma"/>
          <w:sz w:val="22"/>
          <w:szCs w:val="22"/>
        </w:rPr>
      </w:pPr>
      <w:r>
        <w:rPr>
          <w:rFonts w:ascii="Tahoma" w:hAnsi="Tahoma" w:cs="Tahoma"/>
          <w:sz w:val="22"/>
          <w:szCs w:val="22"/>
        </w:rPr>
        <w:t>Ing. Iva Šumšalová, tel.: 603 310 727</w:t>
      </w:r>
    </w:p>
    <w:p w14:paraId="0B0CF5AA" w14:textId="77777777" w:rsidR="00B74453" w:rsidRDefault="00B74453">
      <w:pPr>
        <w:pStyle w:val="dajeOSmluvnStran"/>
        <w:spacing w:before="60"/>
        <w:jc w:val="both"/>
        <w:rPr>
          <w:rFonts w:ascii="Tahoma" w:hAnsi="Tahoma" w:cs="Tahoma"/>
          <w:sz w:val="22"/>
          <w:szCs w:val="22"/>
        </w:rPr>
      </w:pPr>
    </w:p>
    <w:p w14:paraId="0B39373A" w14:textId="77777777" w:rsidR="00B74453" w:rsidRDefault="00000000">
      <w:pPr>
        <w:spacing w:before="120"/>
        <w:ind w:left="357"/>
        <w:jc w:val="both"/>
        <w:rPr>
          <w:rFonts w:ascii="Tahoma" w:hAnsi="Tahoma" w:cs="Tahoma"/>
          <w:iCs/>
          <w:sz w:val="22"/>
          <w:szCs w:val="22"/>
        </w:rPr>
      </w:pPr>
      <w:r>
        <w:rPr>
          <w:rFonts w:ascii="Tahoma" w:hAnsi="Tahoma" w:cs="Tahoma"/>
          <w:iCs/>
          <w:sz w:val="22"/>
          <w:szCs w:val="22"/>
        </w:rPr>
        <w:t>(</w:t>
      </w:r>
      <w:r>
        <w:rPr>
          <w:rFonts w:ascii="Tahoma" w:hAnsi="Tahoma" w:cs="Tahoma"/>
          <w:sz w:val="22"/>
          <w:szCs w:val="22"/>
        </w:rPr>
        <w:t>dále</w:t>
      </w:r>
      <w:r>
        <w:rPr>
          <w:rFonts w:ascii="Tahoma" w:hAnsi="Tahoma" w:cs="Tahoma"/>
          <w:iCs/>
          <w:sz w:val="22"/>
          <w:szCs w:val="22"/>
        </w:rPr>
        <w:t xml:space="preserve"> jen „</w:t>
      </w:r>
      <w:r>
        <w:rPr>
          <w:rFonts w:ascii="Tahoma" w:hAnsi="Tahoma" w:cs="Tahoma"/>
          <w:b/>
          <w:iCs/>
          <w:sz w:val="22"/>
          <w:szCs w:val="22"/>
        </w:rPr>
        <w:t>objednatel</w:t>
      </w:r>
      <w:r>
        <w:rPr>
          <w:rFonts w:ascii="Tahoma" w:hAnsi="Tahoma" w:cs="Tahoma"/>
          <w:iCs/>
          <w:sz w:val="22"/>
          <w:szCs w:val="22"/>
        </w:rPr>
        <w:t>“)</w:t>
      </w:r>
    </w:p>
    <w:p w14:paraId="2D0875F3" w14:textId="77777777" w:rsidR="00B74453" w:rsidRDefault="00000000">
      <w:pPr>
        <w:numPr>
          <w:ilvl w:val="0"/>
          <w:numId w:val="28"/>
        </w:numPr>
        <w:spacing w:before="240"/>
        <w:ind w:left="357" w:hanging="357"/>
        <w:jc w:val="both"/>
        <w:rPr>
          <w:rFonts w:ascii="Tahoma" w:hAnsi="Tahoma" w:cs="Tahoma"/>
          <w:b/>
          <w:sz w:val="22"/>
          <w:szCs w:val="22"/>
        </w:rPr>
      </w:pPr>
      <w:r>
        <w:rPr>
          <w:rFonts w:ascii="Tahoma" w:hAnsi="Tahoma" w:cs="Tahoma"/>
          <w:b/>
          <w:sz w:val="22"/>
          <w:szCs w:val="22"/>
        </w:rPr>
        <w:t>Obchodní</w:t>
      </w:r>
      <w:r>
        <w:rPr>
          <w:rFonts w:ascii="Tahoma" w:hAnsi="Tahoma" w:cs="Tahoma"/>
          <w:sz w:val="22"/>
          <w:szCs w:val="22"/>
        </w:rPr>
        <w:t xml:space="preserve"> </w:t>
      </w:r>
      <w:r>
        <w:rPr>
          <w:rFonts w:ascii="Tahoma" w:hAnsi="Tahoma" w:cs="Tahoma"/>
          <w:b/>
          <w:bCs/>
          <w:sz w:val="22"/>
          <w:szCs w:val="22"/>
        </w:rPr>
        <w:t>firma</w:t>
      </w:r>
    </w:p>
    <w:p w14:paraId="38A1C8DD"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se sídlem:</w:t>
      </w:r>
      <w:r>
        <w:rPr>
          <w:rFonts w:ascii="Tahoma" w:hAnsi="Tahoma" w:cs="Tahoma"/>
          <w:sz w:val="22"/>
          <w:szCs w:val="22"/>
        </w:rPr>
        <w:tab/>
      </w:r>
    </w:p>
    <w:p w14:paraId="31A39B1B"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zastoupena:</w:t>
      </w:r>
      <w:r>
        <w:rPr>
          <w:rFonts w:ascii="Tahoma" w:hAnsi="Tahoma" w:cs="Tahoma"/>
          <w:sz w:val="22"/>
          <w:szCs w:val="22"/>
        </w:rPr>
        <w:tab/>
      </w:r>
    </w:p>
    <w:p w14:paraId="6C8225F6"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IČO:</w:t>
      </w:r>
      <w:r>
        <w:rPr>
          <w:rFonts w:ascii="Tahoma" w:hAnsi="Tahoma" w:cs="Tahoma"/>
          <w:sz w:val="22"/>
          <w:szCs w:val="22"/>
        </w:rPr>
        <w:tab/>
      </w:r>
    </w:p>
    <w:p w14:paraId="57F72F53"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DIČ:</w:t>
      </w:r>
      <w:r>
        <w:rPr>
          <w:rFonts w:ascii="Tahoma" w:hAnsi="Tahoma" w:cs="Tahoma"/>
          <w:sz w:val="22"/>
          <w:szCs w:val="22"/>
        </w:rPr>
        <w:tab/>
      </w:r>
    </w:p>
    <w:p w14:paraId="40DF5ECA"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bankovní spojení:</w:t>
      </w:r>
      <w:r>
        <w:rPr>
          <w:rFonts w:ascii="Tahoma" w:hAnsi="Tahoma" w:cs="Tahoma"/>
          <w:sz w:val="22"/>
          <w:szCs w:val="22"/>
        </w:rPr>
        <w:tab/>
      </w:r>
    </w:p>
    <w:p w14:paraId="54444AD7" w14:textId="77777777" w:rsidR="00B74453" w:rsidRDefault="00000000">
      <w:pPr>
        <w:tabs>
          <w:tab w:val="left" w:pos="2835"/>
        </w:tabs>
        <w:ind w:left="357"/>
        <w:jc w:val="both"/>
        <w:rPr>
          <w:rFonts w:ascii="Tahoma" w:hAnsi="Tahoma" w:cs="Tahoma"/>
          <w:sz w:val="22"/>
          <w:szCs w:val="22"/>
        </w:rPr>
      </w:pPr>
      <w:r>
        <w:rPr>
          <w:rFonts w:ascii="Tahoma" w:hAnsi="Tahoma" w:cs="Tahoma"/>
          <w:sz w:val="22"/>
          <w:szCs w:val="22"/>
        </w:rPr>
        <w:t>číslo účtu:</w:t>
      </w:r>
      <w:r>
        <w:rPr>
          <w:rFonts w:ascii="Tahoma" w:hAnsi="Tahoma" w:cs="Tahoma"/>
          <w:sz w:val="22"/>
          <w:szCs w:val="22"/>
        </w:rPr>
        <w:tab/>
      </w:r>
    </w:p>
    <w:p w14:paraId="5AF803AE" w14:textId="77777777" w:rsidR="00B74453" w:rsidRDefault="00000000">
      <w:pPr>
        <w:spacing w:before="120"/>
        <w:ind w:left="357"/>
        <w:jc w:val="both"/>
        <w:rPr>
          <w:rFonts w:ascii="Tahoma" w:hAnsi="Tahoma" w:cs="Tahoma"/>
          <w:sz w:val="22"/>
          <w:szCs w:val="22"/>
        </w:rPr>
      </w:pPr>
      <w:r>
        <w:rPr>
          <w:rFonts w:ascii="Tahoma" w:hAnsi="Tahoma" w:cs="Tahoma"/>
          <w:sz w:val="22"/>
          <w:szCs w:val="22"/>
        </w:rPr>
        <w:t>Zapsána v obchodním rejstříku vedeném ……………… soudem v ……………, sp. zn. …</w:t>
      </w:r>
    </w:p>
    <w:p w14:paraId="77B2016D" w14:textId="77777777" w:rsidR="00B74453" w:rsidRDefault="00000000">
      <w:pPr>
        <w:spacing w:before="120"/>
        <w:ind w:left="357"/>
        <w:jc w:val="both"/>
        <w:rPr>
          <w:rFonts w:ascii="Tahoma" w:hAnsi="Tahoma" w:cs="Tahoma"/>
          <w:sz w:val="22"/>
          <w:szCs w:val="22"/>
        </w:rPr>
      </w:pPr>
      <w:r>
        <w:rPr>
          <w:rFonts w:ascii="Tahoma" w:hAnsi="Tahoma" w:cs="Tahoma"/>
          <w:sz w:val="22"/>
          <w:szCs w:val="22"/>
        </w:rPr>
        <w:t>Osoba oprávněná jednat ve věcech technických a realizace stavby:</w:t>
      </w:r>
    </w:p>
    <w:p w14:paraId="02ED9CED" w14:textId="77777777" w:rsidR="00B74453" w:rsidRDefault="00000000">
      <w:pPr>
        <w:pStyle w:val="dajeOSmluvnStran"/>
        <w:spacing w:before="60"/>
        <w:jc w:val="both"/>
        <w:rPr>
          <w:rFonts w:ascii="Tahoma" w:hAnsi="Tahoma" w:cs="Tahoma"/>
          <w:sz w:val="22"/>
          <w:szCs w:val="22"/>
        </w:rPr>
      </w:pPr>
      <w:r>
        <w:rPr>
          <w:rFonts w:ascii="Tahoma" w:hAnsi="Tahoma" w:cs="Tahoma"/>
          <w:sz w:val="22"/>
          <w:szCs w:val="22"/>
        </w:rPr>
        <w:t>……………………………………………, tel.: ………………</w:t>
      </w:r>
    </w:p>
    <w:p w14:paraId="70A9D9FB" w14:textId="77777777" w:rsidR="00B74453" w:rsidRDefault="00000000">
      <w:pPr>
        <w:spacing w:before="120"/>
        <w:ind w:left="357"/>
        <w:jc w:val="both"/>
        <w:rPr>
          <w:rFonts w:ascii="Tahoma" w:hAnsi="Tahoma" w:cs="Tahoma"/>
          <w:iCs/>
          <w:sz w:val="22"/>
          <w:szCs w:val="22"/>
        </w:rPr>
      </w:pPr>
      <w:r>
        <w:rPr>
          <w:rFonts w:ascii="Tahoma" w:hAnsi="Tahoma" w:cs="Tahoma"/>
          <w:iCs/>
          <w:sz w:val="22"/>
          <w:szCs w:val="22"/>
        </w:rPr>
        <w:t>(</w:t>
      </w:r>
      <w:r>
        <w:rPr>
          <w:rFonts w:ascii="Tahoma" w:hAnsi="Tahoma" w:cs="Tahoma"/>
          <w:sz w:val="22"/>
          <w:szCs w:val="22"/>
        </w:rPr>
        <w:t>dále</w:t>
      </w:r>
      <w:r>
        <w:rPr>
          <w:rFonts w:ascii="Tahoma" w:hAnsi="Tahoma" w:cs="Tahoma"/>
          <w:iCs/>
          <w:sz w:val="22"/>
          <w:szCs w:val="22"/>
        </w:rPr>
        <w:t xml:space="preserve"> jen „</w:t>
      </w:r>
      <w:r>
        <w:rPr>
          <w:rFonts w:ascii="Tahoma" w:hAnsi="Tahoma" w:cs="Tahoma"/>
          <w:b/>
          <w:iCs/>
          <w:sz w:val="22"/>
          <w:szCs w:val="22"/>
        </w:rPr>
        <w:t>zhotovitel</w:t>
      </w:r>
      <w:r>
        <w:rPr>
          <w:rFonts w:ascii="Tahoma" w:hAnsi="Tahoma" w:cs="Tahoma"/>
          <w:iCs/>
          <w:sz w:val="22"/>
          <w:szCs w:val="22"/>
        </w:rPr>
        <w:t>“)</w:t>
      </w:r>
    </w:p>
    <w:p w14:paraId="3F1C60A1" w14:textId="77777777" w:rsidR="00B74453" w:rsidRDefault="00000000">
      <w:pPr>
        <w:keepNext/>
        <w:spacing w:before="360"/>
        <w:jc w:val="center"/>
        <w:rPr>
          <w:rFonts w:ascii="Tahoma" w:hAnsi="Tahoma" w:cs="Tahoma"/>
          <w:b/>
          <w:sz w:val="22"/>
          <w:szCs w:val="22"/>
        </w:rPr>
      </w:pPr>
      <w:r>
        <w:rPr>
          <w:rFonts w:ascii="Tahoma" w:hAnsi="Tahoma" w:cs="Tahoma"/>
          <w:b/>
          <w:sz w:val="22"/>
          <w:szCs w:val="22"/>
        </w:rPr>
        <w:t>II.</w:t>
      </w:r>
      <w:r>
        <w:rPr>
          <w:rFonts w:ascii="Tahoma" w:hAnsi="Tahoma" w:cs="Tahoma"/>
          <w:b/>
          <w:sz w:val="22"/>
          <w:szCs w:val="22"/>
        </w:rPr>
        <w:br/>
        <w:t>Základní ustanovení</w:t>
      </w:r>
    </w:p>
    <w:p w14:paraId="3EB3E75D"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caps/>
          <w:sz w:val="22"/>
          <w:szCs w:val="22"/>
        </w:rPr>
      </w:pPr>
      <w:r>
        <w:rPr>
          <w:rFonts w:ascii="Tahoma" w:hAnsi="Tahoma" w:cs="Tahoma"/>
          <w:sz w:val="22"/>
          <w:szCs w:val="22"/>
        </w:rPr>
        <w:t>Tato smlouva je uzavřena dle § 2586 a násl. zákona č. 89/2012 Sb., občanský zákoník, ve znění pozdějších předpisů (dále jen „občanský zákoník“); práva a povinnosti stran touto smlouvou neupravená se řídí příslušnými ustanoveními občanského zákoníku.</w:t>
      </w:r>
    </w:p>
    <w:p w14:paraId="16BFC3B0"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údaje uvedené v čl. I této smlouvy jsou v souladu se skutečností v době uzavření smlouvy. Smluvní strany se zavazují, že změny dotčených údajů oznámí bez prodlení písemně druhé smluvní straně. V případě změny účtu zhotovitele je zhotovitel povinen rovněž doložit vlastnictví k novému účtu, a to kopií příslušné smlouvy nebo potvrzením peněžního ústavu. Při změně identifikačních údajů smluvních stran včetně změny účtu není nutné uzavírat ke smlouvě dodatek.</w:t>
      </w:r>
    </w:p>
    <w:p w14:paraId="55C2F5CD"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osoby podepisující tuto smlouvu jsou k tomuto jednání oprávněny.</w:t>
      </w:r>
    </w:p>
    <w:p w14:paraId="335CA286"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lastRenderedPageBreak/>
        <w:t>Zhotovitel prohlašuje, že je odborně způsobilý k zajištění předmětu plnění podle této smlouvy.</w:t>
      </w:r>
    </w:p>
    <w:p w14:paraId="03D3BB7C"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Zhotovitel potvrzuje, že se detailně seznámil s rozsahem a povahou díla, že jsou mu známy veškeré technické, kvalitativní a jiné podmínky nezbytné k realizaci díla            a že disponuje takovými kapacitami a odbornými znalostmi, které jsou nezbytné pro realizaci díla za dohodnutou smluvní cenu, způsobem a v termínech touto smlouvou stanovených.</w:t>
      </w:r>
    </w:p>
    <w:p w14:paraId="6CCC3E7D"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Smluvní strany prohlašují, že předmět plnění podle této smlouvy není plněním nemožným a že smlouvu uzavírají po pečlivém zvážení všech možných důsledků.</w:t>
      </w:r>
    </w:p>
    <w:p w14:paraId="72863552" w14:textId="77777777" w:rsidR="00B74453" w:rsidRDefault="00000000">
      <w:pPr>
        <w:pStyle w:val="OdstavecSmlouvy"/>
        <w:keepLines w:val="0"/>
        <w:numPr>
          <w:ilvl w:val="0"/>
          <w:numId w:val="21"/>
        </w:numPr>
        <w:tabs>
          <w:tab w:val="clear" w:pos="426"/>
          <w:tab w:val="clear" w:pos="1701"/>
        </w:tabs>
        <w:spacing w:before="120" w:after="0"/>
        <w:ind w:left="357" w:hanging="357"/>
        <w:rPr>
          <w:rFonts w:ascii="Tahoma" w:hAnsi="Tahoma" w:cs="Tahoma"/>
          <w:color w:val="000000" w:themeColor="text1"/>
          <w:sz w:val="22"/>
          <w:szCs w:val="22"/>
        </w:rPr>
      </w:pPr>
      <w:r>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21B88AFE" w14:textId="77777777" w:rsidR="00B74453" w:rsidRDefault="00000000">
      <w:pPr>
        <w:keepNext/>
        <w:spacing w:before="360"/>
        <w:jc w:val="center"/>
        <w:rPr>
          <w:rFonts w:ascii="Tahoma" w:hAnsi="Tahoma" w:cs="Tahoma"/>
          <w:b/>
          <w:sz w:val="22"/>
          <w:szCs w:val="22"/>
        </w:rPr>
      </w:pPr>
      <w:r>
        <w:rPr>
          <w:rFonts w:ascii="Tahoma" w:hAnsi="Tahoma" w:cs="Tahoma"/>
          <w:b/>
          <w:sz w:val="22"/>
          <w:szCs w:val="22"/>
        </w:rPr>
        <w:t>III.</w:t>
      </w:r>
      <w:r>
        <w:rPr>
          <w:rFonts w:ascii="Tahoma" w:hAnsi="Tahoma" w:cs="Tahoma"/>
          <w:b/>
          <w:sz w:val="22"/>
          <w:szCs w:val="22"/>
        </w:rPr>
        <w:br/>
        <w:t>Předmět smlouvy</w:t>
      </w:r>
    </w:p>
    <w:p w14:paraId="3FB90405"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 xml:space="preserve">Zhotovitel se zavazuje provést pro objednatele na svůj náklad a nebezpečí stavbu </w:t>
      </w:r>
      <w:r>
        <w:rPr>
          <w:rFonts w:ascii="Tahoma" w:hAnsi="Tahoma" w:cs="Tahoma"/>
          <w:b/>
          <w:bCs/>
          <w:sz w:val="22"/>
          <w:szCs w:val="22"/>
        </w:rPr>
        <w:t>„elektrostaticky homogenní PVC podlahová krytina do odborné učebny elektro (1 NP, učebna 6)  Školská čtvrť 1259, Frenštát pod Radhoštěm</w:t>
      </w:r>
      <w:r>
        <w:rPr>
          <w:b/>
          <w:bCs/>
        </w:rPr>
        <w:t>“</w:t>
      </w:r>
      <w:r>
        <w:rPr>
          <w:rFonts w:ascii="Tahoma" w:hAnsi="Tahoma" w:cs="Tahoma"/>
          <w:sz w:val="22"/>
          <w:szCs w:val="22"/>
        </w:rPr>
        <w:t xml:space="preserve"> (dále jen „stavba“) v rozsahu dle:</w:t>
      </w:r>
    </w:p>
    <w:p w14:paraId="37DC142D" w14:textId="77777777" w:rsidR="00B74453" w:rsidRDefault="00000000">
      <w:pPr>
        <w:numPr>
          <w:ilvl w:val="0"/>
          <w:numId w:val="22"/>
        </w:numPr>
        <w:tabs>
          <w:tab w:val="left" w:pos="714"/>
        </w:tabs>
        <w:spacing w:before="60"/>
        <w:ind w:left="714" w:hanging="357"/>
        <w:jc w:val="both"/>
        <w:rPr>
          <w:rFonts w:ascii="Tahoma" w:hAnsi="Tahoma" w:cs="Tahoma"/>
          <w:sz w:val="22"/>
          <w:szCs w:val="22"/>
        </w:rPr>
      </w:pPr>
      <w:r>
        <w:rPr>
          <w:rFonts w:ascii="Tahoma" w:hAnsi="Tahoma" w:cs="Tahoma"/>
          <w:sz w:val="22"/>
          <w:szCs w:val="22"/>
        </w:rPr>
        <w:t>oceněného rozpočet a specifikace této VZMR</w:t>
      </w:r>
      <w:r>
        <w:rPr>
          <w:b/>
          <w:bCs/>
        </w:rPr>
        <w:t xml:space="preserve"> </w:t>
      </w:r>
      <w:r>
        <w:rPr>
          <w:rFonts w:ascii="Tahoma" w:hAnsi="Tahoma" w:cs="Tahoma"/>
          <w:sz w:val="22"/>
          <w:szCs w:val="22"/>
        </w:rPr>
        <w:t>na stavební práce, který je součástí nabídky zhotovitele podané v rámci veřejné zakázky na výběr zhotovitele díla dle této smlouvy (dále jen „soupis prací“),</w:t>
      </w:r>
    </w:p>
    <w:p w14:paraId="10FECC74" w14:textId="77777777" w:rsidR="00B74453" w:rsidRDefault="00000000">
      <w:pPr>
        <w:numPr>
          <w:ilvl w:val="0"/>
          <w:numId w:val="22"/>
        </w:numPr>
        <w:tabs>
          <w:tab w:val="left" w:pos="720"/>
        </w:tabs>
        <w:spacing w:before="60"/>
        <w:ind w:left="714" w:hanging="357"/>
        <w:jc w:val="both"/>
        <w:rPr>
          <w:rFonts w:ascii="Tahoma" w:hAnsi="Tahoma" w:cs="Tahoma"/>
          <w:sz w:val="22"/>
          <w:szCs w:val="22"/>
        </w:rPr>
      </w:pPr>
      <w:r>
        <w:rPr>
          <w:rFonts w:ascii="Tahoma" w:hAnsi="Tahoma" w:cs="Tahoma"/>
          <w:sz w:val="22"/>
          <w:szCs w:val="22"/>
        </w:rPr>
        <w:t>předpisů upravujících provádění stavebních děl a ustanovení této smlouvy</w:t>
      </w:r>
    </w:p>
    <w:p w14:paraId="19F64A45" w14:textId="77777777" w:rsidR="00B74453" w:rsidRDefault="00000000">
      <w:pPr>
        <w:spacing w:before="120"/>
        <w:ind w:left="357"/>
        <w:jc w:val="both"/>
        <w:rPr>
          <w:rFonts w:ascii="Tahoma" w:hAnsi="Tahoma" w:cs="Tahoma"/>
          <w:sz w:val="22"/>
          <w:szCs w:val="22"/>
        </w:rPr>
      </w:pPr>
      <w:r>
        <w:rPr>
          <w:rFonts w:ascii="Tahoma" w:hAnsi="Tahoma" w:cs="Tahoma"/>
          <w:sz w:val="22"/>
          <w:szCs w:val="22"/>
        </w:rPr>
        <w:t>(dále jen „dílo“).</w:t>
      </w:r>
    </w:p>
    <w:p w14:paraId="188C0186"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Součástí díla je také:</w:t>
      </w:r>
    </w:p>
    <w:p w14:paraId="4E233DF5" w14:textId="77777777" w:rsidR="00B74453" w:rsidRDefault="00000000">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předání odpadu k odstranění na řízenou skládku nebo jiný způsob jeho odstranění nebo využití v souladu se zákonem č. 541/2020 Sb., o odpadech, ve znění pozdějších předpisů (dále jen „zákon o odpadech“); o způsobu nakládání s odpadem bude předložen písemný doklad vystavený příslušnou oprávněnou osobou podle zákona o odpadech,</w:t>
      </w:r>
    </w:p>
    <w:p w14:paraId="390CB666" w14:textId="77777777" w:rsidR="00B74453" w:rsidRDefault="00000000">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sz w:val="22"/>
          <w:szCs w:val="22"/>
        </w:rPr>
      </w:pPr>
      <w:r>
        <w:rPr>
          <w:rFonts w:ascii="Tahoma" w:hAnsi="Tahoma" w:cs="Tahoma"/>
          <w:sz w:val="22"/>
          <w:szCs w:val="22"/>
        </w:rPr>
        <w:t>udržování stavbou dotčených zpevněných ploch, veřejných komunikací a výjezdů ze staveniště v čistotě a jejich uvedení do původního stavu,</w:t>
      </w:r>
    </w:p>
    <w:p w14:paraId="37BE2B17" w14:textId="77777777" w:rsidR="00B74453" w:rsidRDefault="00000000">
      <w:pPr>
        <w:pStyle w:val="Zkladntext"/>
        <w:numPr>
          <w:ilvl w:val="0"/>
          <w:numId w:val="2"/>
        </w:numPr>
        <w:tabs>
          <w:tab w:val="clear" w:pos="540"/>
          <w:tab w:val="clear" w:pos="1260"/>
          <w:tab w:val="clear" w:pos="1980"/>
          <w:tab w:val="clear" w:pos="3960"/>
          <w:tab w:val="left" w:pos="709"/>
        </w:tabs>
        <w:spacing w:before="60"/>
        <w:ind w:left="714" w:hanging="357"/>
        <w:rPr>
          <w:rFonts w:ascii="Tahoma" w:hAnsi="Tahoma" w:cs="Tahoma"/>
          <w:b/>
          <w:bCs/>
          <w:sz w:val="22"/>
          <w:szCs w:val="22"/>
        </w:rPr>
      </w:pPr>
      <w:r>
        <w:rPr>
          <w:rFonts w:ascii="Tahoma" w:hAnsi="Tahoma" w:cs="Tahoma"/>
          <w:b/>
          <w:bCs/>
          <w:sz w:val="22"/>
          <w:szCs w:val="22"/>
        </w:rPr>
        <w:t>zajištění ochrany proti šíření prašnosti a nadměrného hluku,</w:t>
      </w:r>
    </w:p>
    <w:p w14:paraId="1587E880"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Zhotovitel je povinen při provádění díla zejména:</w:t>
      </w:r>
    </w:p>
    <w:p w14:paraId="19EF337F" w14:textId="77777777" w:rsidR="00B74453" w:rsidRDefault="00000000">
      <w:pPr>
        <w:pStyle w:val="Zkladntext"/>
        <w:numPr>
          <w:ilvl w:val="0"/>
          <w:numId w:val="23"/>
        </w:numPr>
        <w:tabs>
          <w:tab w:val="clear" w:pos="540"/>
          <w:tab w:val="clear" w:pos="1260"/>
          <w:tab w:val="clear" w:pos="1980"/>
          <w:tab w:val="clear" w:pos="3960"/>
          <w:tab w:val="left" w:pos="714"/>
        </w:tabs>
        <w:spacing w:before="60"/>
        <w:ind w:left="714" w:hanging="357"/>
        <w:rPr>
          <w:rFonts w:ascii="Tahoma" w:hAnsi="Tahoma" w:cs="Tahoma"/>
          <w:sz w:val="22"/>
          <w:szCs w:val="22"/>
        </w:rPr>
      </w:pPr>
      <w:r>
        <w:rPr>
          <w:rFonts w:ascii="Tahoma" w:hAnsi="Tahoma" w:cs="Tahoma"/>
          <w:sz w:val="22"/>
          <w:szCs w:val="22"/>
        </w:rPr>
        <w:t>zohlednit vyjádření dotčených orgánů a organizací související s realizací stavby.</w:t>
      </w:r>
    </w:p>
    <w:p w14:paraId="08973D12"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Zhotovitel se zavazuje provést dílo v souladu s technickými a právními předpisy platnými v České republice v době provádění díla. Pro provedení díla jsou závazné všechny platné normy ČSN.</w:t>
      </w:r>
    </w:p>
    <w:p w14:paraId="2D0E9C47"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Zhotovitel se zavazuje průběžně provádět veškeré potřebné zkoušky, měření a atesty k prokázání kvalitativních parametrů předmětu díla.</w:t>
      </w:r>
    </w:p>
    <w:p w14:paraId="248E273C"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t>Objednatel se zavazuje dokončené dílo bez vad a nedodělků bránících jeho řádnému užívání převzít a zaplatit za ně zhotoviteli za dohodnutých podmínek cenu dle čl. V této smlouvy.</w:t>
      </w:r>
    </w:p>
    <w:p w14:paraId="7C8401A9" w14:textId="77777777" w:rsidR="00B74453" w:rsidRDefault="00000000">
      <w:pPr>
        <w:numPr>
          <w:ilvl w:val="0"/>
          <w:numId w:val="16"/>
        </w:numPr>
        <w:spacing w:before="120"/>
        <w:jc w:val="both"/>
        <w:rPr>
          <w:rFonts w:ascii="Tahoma" w:hAnsi="Tahoma" w:cs="Tahoma"/>
          <w:sz w:val="22"/>
          <w:szCs w:val="22"/>
        </w:rPr>
      </w:pPr>
      <w:r>
        <w:rPr>
          <w:rFonts w:ascii="Tahoma" w:hAnsi="Tahoma" w:cs="Tahoma"/>
          <w:sz w:val="22"/>
          <w:szCs w:val="22"/>
        </w:rPr>
        <w:lastRenderedPageBreak/>
        <w:t>Případné vícepráce či méněpráce budou smluvními stranami sjednány písemnými dodatky smlouvy, a to při dodržení podmínek stanovených příslušnými ustanoveními zákona č. 134/2016 Sb., o zadávání veřejných zakázek, ve znění pozdějších předpisů (dále jen „ZZVZ“). Vícepráce budou realizovány až po uzavření příslušného dodatku ke smlouvě.</w:t>
      </w:r>
    </w:p>
    <w:p w14:paraId="6F409A91" w14:textId="77777777" w:rsidR="00B74453" w:rsidRDefault="00000000">
      <w:pPr>
        <w:keepNext/>
        <w:spacing w:before="360"/>
        <w:jc w:val="center"/>
        <w:rPr>
          <w:rFonts w:ascii="Tahoma" w:hAnsi="Tahoma" w:cs="Tahoma"/>
          <w:b/>
          <w:sz w:val="22"/>
          <w:szCs w:val="22"/>
        </w:rPr>
      </w:pPr>
      <w:r>
        <w:rPr>
          <w:rFonts w:ascii="Tahoma" w:hAnsi="Tahoma" w:cs="Tahoma"/>
          <w:b/>
          <w:sz w:val="22"/>
          <w:szCs w:val="22"/>
        </w:rPr>
        <w:t>IV.</w:t>
      </w:r>
      <w:r>
        <w:rPr>
          <w:rFonts w:ascii="Tahoma" w:hAnsi="Tahoma" w:cs="Tahoma"/>
          <w:b/>
          <w:sz w:val="22"/>
          <w:szCs w:val="22"/>
        </w:rPr>
        <w:br/>
        <w:t>Doba a místo plnění</w:t>
      </w:r>
    </w:p>
    <w:p w14:paraId="1C76955A" w14:textId="77777777" w:rsidR="00B74453" w:rsidRDefault="00000000">
      <w:pPr>
        <w:widowControl w:val="0"/>
        <w:numPr>
          <w:ilvl w:val="0"/>
          <w:numId w:val="17"/>
        </w:numPr>
        <w:spacing w:before="120"/>
        <w:ind w:left="357" w:hanging="357"/>
        <w:jc w:val="both"/>
        <w:rPr>
          <w:rFonts w:ascii="Tahoma" w:hAnsi="Tahoma" w:cs="Tahoma"/>
          <w:iCs/>
          <w:sz w:val="22"/>
          <w:szCs w:val="22"/>
        </w:rPr>
      </w:pPr>
      <w:r>
        <w:rPr>
          <w:rFonts w:ascii="Tahoma" w:hAnsi="Tahoma" w:cs="Tahoma"/>
          <w:bCs/>
          <w:sz w:val="22"/>
          <w:szCs w:val="22"/>
        </w:rPr>
        <w:t>Zhotov</w:t>
      </w:r>
      <w:r>
        <w:rPr>
          <w:rFonts w:ascii="Tahoma" w:hAnsi="Tahoma" w:cs="Tahoma"/>
          <w:sz w:val="22"/>
          <w:szCs w:val="22"/>
        </w:rPr>
        <w:t>itel</w:t>
      </w:r>
      <w:r>
        <w:rPr>
          <w:rFonts w:ascii="Tahoma" w:hAnsi="Tahoma" w:cs="Tahoma"/>
          <w:b/>
          <w:sz w:val="22"/>
          <w:szCs w:val="22"/>
        </w:rPr>
        <w:t xml:space="preserve"> </w:t>
      </w:r>
      <w:r>
        <w:rPr>
          <w:rFonts w:ascii="Tahoma" w:hAnsi="Tahoma" w:cs="Tahoma"/>
          <w:sz w:val="22"/>
          <w:szCs w:val="22"/>
        </w:rPr>
        <w:t xml:space="preserve">se zavazuje provést dílo </w:t>
      </w:r>
      <w:r>
        <w:rPr>
          <w:rFonts w:ascii="Tahoma" w:hAnsi="Tahoma" w:cs="Tahoma"/>
          <w:b/>
          <w:bCs/>
          <w:sz w:val="22"/>
          <w:szCs w:val="22"/>
        </w:rPr>
        <w:t>do 28.12.2023</w:t>
      </w:r>
      <w:r>
        <w:rPr>
          <w:rFonts w:ascii="Tahoma" w:hAnsi="Tahoma" w:cs="Tahoma"/>
          <w:sz w:val="22"/>
          <w:szCs w:val="22"/>
        </w:rPr>
        <w:t>. Nejpozději poslední den doby plnění dokončené dílo předat objednateli. Dílo je provedeno, je</w:t>
      </w:r>
      <w:r>
        <w:rPr>
          <w:rFonts w:ascii="Tahoma" w:hAnsi="Tahoma" w:cs="Tahoma"/>
          <w:sz w:val="22"/>
          <w:szCs w:val="22"/>
        </w:rPr>
        <w:noBreakHyphen/>
        <w:t>li dokončeno (tj. objednateli      je předvedena způsobilost díla sloužit svému účelu) a předáno objednateli.</w:t>
      </w:r>
    </w:p>
    <w:p w14:paraId="0C4C6E19" w14:textId="77777777" w:rsidR="00B74453" w:rsidRDefault="00000000">
      <w:pPr>
        <w:numPr>
          <w:ilvl w:val="0"/>
          <w:numId w:val="17"/>
        </w:numPr>
        <w:spacing w:before="120"/>
        <w:jc w:val="both"/>
        <w:rPr>
          <w:rFonts w:ascii="Tahoma" w:hAnsi="Tahoma" w:cs="Tahoma"/>
          <w:sz w:val="22"/>
          <w:szCs w:val="22"/>
        </w:rPr>
      </w:pPr>
      <w:r>
        <w:rPr>
          <w:rFonts w:ascii="Tahoma" w:hAnsi="Tahoma" w:cs="Tahoma"/>
          <w:sz w:val="22"/>
          <w:szCs w:val="22"/>
        </w:rPr>
        <w:t xml:space="preserve">Místem plnění je budova C školy, Školská čtvrť 1259, 744 01 Frenštát pod Radhoštěm </w:t>
      </w:r>
    </w:p>
    <w:p w14:paraId="6B2864BC" w14:textId="77777777" w:rsidR="00B74453" w:rsidRDefault="00000000">
      <w:pPr>
        <w:keepNext/>
        <w:spacing w:before="360"/>
        <w:jc w:val="center"/>
        <w:rPr>
          <w:rFonts w:ascii="Tahoma" w:hAnsi="Tahoma" w:cs="Tahoma"/>
          <w:b/>
          <w:sz w:val="22"/>
          <w:szCs w:val="22"/>
        </w:rPr>
      </w:pPr>
      <w:r>
        <w:rPr>
          <w:rFonts w:ascii="Tahoma" w:hAnsi="Tahoma" w:cs="Tahoma"/>
          <w:b/>
          <w:sz w:val="22"/>
          <w:szCs w:val="22"/>
        </w:rPr>
        <w:t>V.</w:t>
      </w:r>
      <w:r>
        <w:rPr>
          <w:rFonts w:ascii="Tahoma" w:hAnsi="Tahoma" w:cs="Tahoma"/>
          <w:b/>
          <w:sz w:val="22"/>
          <w:szCs w:val="22"/>
        </w:rPr>
        <w:br/>
        <w:t>Cena za dílo</w:t>
      </w:r>
    </w:p>
    <w:p w14:paraId="07AD6E38" w14:textId="77777777" w:rsidR="00B74453" w:rsidRDefault="00000000">
      <w:pPr>
        <w:pStyle w:val="Zkladntext"/>
        <w:widowControl w:val="0"/>
        <w:numPr>
          <w:ilvl w:val="0"/>
          <w:numId w:val="38"/>
        </w:numPr>
        <w:tabs>
          <w:tab w:val="clear" w:pos="540"/>
          <w:tab w:val="clear" w:pos="1260"/>
          <w:tab w:val="clear" w:pos="1980"/>
          <w:tab w:val="clear" w:pos="39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120"/>
        <w:ind w:left="357" w:hanging="357"/>
        <w:rPr>
          <w:rFonts w:ascii="Tahoma" w:hAnsi="Tahoma" w:cs="Tahoma"/>
          <w:sz w:val="22"/>
          <w:szCs w:val="22"/>
        </w:rPr>
      </w:pPr>
      <w:r>
        <w:rPr>
          <w:rFonts w:ascii="Tahoma" w:hAnsi="Tahoma" w:cs="Tahoma"/>
          <w:sz w:val="22"/>
          <w:szCs w:val="22"/>
        </w:rPr>
        <w:t>VARIANTA A - pro plátce DPH:</w:t>
      </w:r>
    </w:p>
    <w:p w14:paraId="236A1FCE" w14:textId="77777777" w:rsidR="00B74453" w:rsidRDefault="00000000">
      <w:pPr>
        <w:ind w:left="357"/>
        <w:jc w:val="both"/>
        <w:rPr>
          <w:rFonts w:ascii="Tahoma" w:hAnsi="Tahoma" w:cs="Tahoma"/>
          <w:sz w:val="22"/>
          <w:szCs w:val="22"/>
        </w:rPr>
      </w:pPr>
      <w:r>
        <w:rPr>
          <w:rFonts w:ascii="Tahoma" w:hAnsi="Tahoma" w:cs="Tahoma"/>
          <w:sz w:val="22"/>
          <w:szCs w:val="22"/>
        </w:rPr>
        <w:t>Cena za dílo činí bez DPH ………,</w:t>
      </w:r>
      <w:r>
        <w:rPr>
          <w:rFonts w:ascii="Tahoma" w:hAnsi="Tahoma" w:cs="Tahoma"/>
          <w:sz w:val="22"/>
          <w:szCs w:val="22"/>
        </w:rPr>
        <w:noBreakHyphen/>
        <w:t> Kč (slovy: ………………… korun českých), DPH ve výši …… % je ………,</w:t>
      </w:r>
      <w:r>
        <w:rPr>
          <w:rFonts w:ascii="Tahoma" w:hAnsi="Tahoma" w:cs="Tahoma"/>
          <w:sz w:val="22"/>
          <w:szCs w:val="22"/>
        </w:rPr>
        <w:noBreakHyphen/>
        <w:t> Kč a </w:t>
      </w:r>
      <w:r>
        <w:rPr>
          <w:rFonts w:ascii="Tahoma" w:hAnsi="Tahoma" w:cs="Tahoma"/>
          <w:b/>
          <w:bCs/>
          <w:sz w:val="22"/>
          <w:szCs w:val="22"/>
        </w:rPr>
        <w:t>cena včetně DPH činí …………,</w:t>
      </w:r>
      <w:r>
        <w:rPr>
          <w:rFonts w:ascii="Tahoma" w:hAnsi="Tahoma" w:cs="Tahoma"/>
          <w:b/>
          <w:bCs/>
          <w:sz w:val="22"/>
          <w:szCs w:val="22"/>
        </w:rPr>
        <w:noBreakHyphen/>
        <w:t> Kč</w:t>
      </w:r>
      <w:r>
        <w:rPr>
          <w:rFonts w:ascii="Tahoma" w:hAnsi="Tahoma" w:cs="Tahoma"/>
          <w:sz w:val="22"/>
          <w:szCs w:val="22"/>
        </w:rPr>
        <w:t xml:space="preserve"> (slovy: ………………………… korun českých).</w:t>
      </w:r>
    </w:p>
    <w:p w14:paraId="3952E3EC" w14:textId="77777777" w:rsidR="00B74453" w:rsidRDefault="00000000">
      <w:pPr>
        <w:tabs>
          <w:tab w:val="left" w:pos="426"/>
        </w:tabs>
        <w:spacing w:before="120"/>
        <w:ind w:left="357"/>
        <w:jc w:val="both"/>
        <w:rPr>
          <w:rFonts w:ascii="Tahoma" w:hAnsi="Tahoma" w:cs="Tahoma"/>
          <w:sz w:val="22"/>
          <w:szCs w:val="22"/>
        </w:rPr>
      </w:pPr>
      <w:r>
        <w:rPr>
          <w:rFonts w:ascii="Tahoma" w:hAnsi="Tahoma" w:cs="Tahoma"/>
          <w:sz w:val="22"/>
          <w:szCs w:val="22"/>
        </w:rPr>
        <w:t>Soupis prací je nedílnou přílohou č. 1 této smlouvy.</w:t>
      </w:r>
    </w:p>
    <w:p w14:paraId="3BFEB684" w14:textId="77777777" w:rsidR="00B74453" w:rsidRDefault="00000000">
      <w:pPr>
        <w:spacing w:before="240"/>
        <w:jc w:val="both"/>
        <w:rPr>
          <w:rFonts w:ascii="Tahoma" w:hAnsi="Tahoma" w:cs="Tahoma"/>
          <w:sz w:val="22"/>
          <w:szCs w:val="22"/>
        </w:rPr>
      </w:pPr>
      <w:r>
        <w:rPr>
          <w:rFonts w:ascii="Tahoma" w:hAnsi="Tahoma" w:cs="Tahoma"/>
          <w:sz w:val="22"/>
          <w:szCs w:val="22"/>
        </w:rPr>
        <w:t xml:space="preserve">      VARIANTA B - pro neplátce DPH:</w:t>
      </w:r>
    </w:p>
    <w:p w14:paraId="35ACC15E" w14:textId="77777777" w:rsidR="00B74453" w:rsidRDefault="00000000">
      <w:pPr>
        <w:ind w:left="357"/>
        <w:jc w:val="both"/>
        <w:rPr>
          <w:rFonts w:ascii="Tahoma" w:hAnsi="Tahoma" w:cs="Tahoma"/>
          <w:sz w:val="22"/>
          <w:szCs w:val="22"/>
        </w:rPr>
      </w:pPr>
      <w:r>
        <w:rPr>
          <w:rFonts w:ascii="Tahoma" w:hAnsi="Tahoma" w:cs="Tahoma"/>
          <w:sz w:val="22"/>
          <w:szCs w:val="22"/>
        </w:rPr>
        <w:t>Cena za dílo činí ………,</w:t>
      </w:r>
      <w:r>
        <w:rPr>
          <w:rFonts w:ascii="Tahoma" w:hAnsi="Tahoma" w:cs="Tahoma"/>
          <w:sz w:val="22"/>
          <w:szCs w:val="22"/>
        </w:rPr>
        <w:noBreakHyphen/>
        <w:t> Kč (slovy: ……………………… korun českých).</w:t>
      </w:r>
    </w:p>
    <w:p w14:paraId="3F82FDB4" w14:textId="77777777" w:rsidR="00B74453" w:rsidRDefault="00000000">
      <w:pPr>
        <w:ind w:left="357"/>
        <w:jc w:val="both"/>
        <w:rPr>
          <w:rFonts w:ascii="Tahoma" w:hAnsi="Tahoma" w:cs="Tahoma"/>
          <w:bCs/>
          <w:spacing w:val="-6"/>
          <w:sz w:val="22"/>
          <w:szCs w:val="22"/>
        </w:rPr>
      </w:pPr>
      <w:r>
        <w:rPr>
          <w:rFonts w:ascii="Tahoma" w:hAnsi="Tahoma" w:cs="Tahoma"/>
          <w:sz w:val="22"/>
          <w:szCs w:val="22"/>
        </w:rPr>
        <w:t xml:space="preserve"> </w:t>
      </w:r>
      <w:r>
        <w:rPr>
          <w:rFonts w:ascii="Tahoma" w:hAnsi="Tahoma" w:cs="Tahoma"/>
          <w:bCs/>
          <w:spacing w:val="-6"/>
          <w:sz w:val="22"/>
          <w:szCs w:val="22"/>
        </w:rPr>
        <w:t xml:space="preserve">Prodávající </w:t>
      </w:r>
      <w:r>
        <w:rPr>
          <w:rFonts w:ascii="Tahoma" w:hAnsi="Tahoma" w:cs="Tahoma"/>
          <w:sz w:val="22"/>
          <w:szCs w:val="22"/>
        </w:rPr>
        <w:t>prohlašuje</w:t>
      </w:r>
      <w:r>
        <w:rPr>
          <w:rFonts w:ascii="Tahoma" w:hAnsi="Tahoma" w:cs="Tahoma"/>
          <w:bCs/>
          <w:spacing w:val="-6"/>
          <w:sz w:val="22"/>
          <w:szCs w:val="22"/>
        </w:rPr>
        <w:t>, že není plátcem DPH.</w:t>
      </w:r>
    </w:p>
    <w:p w14:paraId="1F4BB1F7" w14:textId="77777777" w:rsidR="00B74453" w:rsidRDefault="00000000">
      <w:pPr>
        <w:tabs>
          <w:tab w:val="left" w:pos="426"/>
        </w:tabs>
        <w:spacing w:before="120"/>
        <w:ind w:left="357"/>
        <w:jc w:val="both"/>
        <w:rPr>
          <w:rFonts w:ascii="Tahoma" w:hAnsi="Tahoma" w:cs="Tahoma"/>
          <w:sz w:val="22"/>
          <w:szCs w:val="22"/>
        </w:rPr>
      </w:pPr>
      <w:r>
        <w:rPr>
          <w:rFonts w:ascii="Tahoma" w:hAnsi="Tahoma" w:cs="Tahoma"/>
          <w:sz w:val="22"/>
          <w:szCs w:val="22"/>
        </w:rPr>
        <w:t>Soupis prací je nedílnou přílohou č. 1 této smlouvy.</w:t>
      </w:r>
    </w:p>
    <w:p w14:paraId="35F726D3" w14:textId="77777777" w:rsidR="00B74453" w:rsidRDefault="00B74453">
      <w:pPr>
        <w:tabs>
          <w:tab w:val="left" w:pos="426"/>
        </w:tabs>
        <w:spacing w:before="120"/>
        <w:ind w:left="357"/>
        <w:jc w:val="both"/>
        <w:rPr>
          <w:rFonts w:ascii="Tahoma" w:hAnsi="Tahoma" w:cs="Tahoma"/>
          <w:sz w:val="22"/>
          <w:szCs w:val="22"/>
        </w:rPr>
      </w:pPr>
    </w:p>
    <w:p w14:paraId="65993B2D" w14:textId="77777777" w:rsidR="00B74453" w:rsidRDefault="00000000">
      <w:pPr>
        <w:pStyle w:val="Odstavecseseznamem"/>
        <w:numPr>
          <w:ilvl w:val="0"/>
          <w:numId w:val="39"/>
        </w:numPr>
        <w:spacing w:before="120"/>
        <w:jc w:val="both"/>
        <w:rPr>
          <w:rFonts w:ascii="Tahoma" w:hAnsi="Tahoma" w:cs="Tahoma"/>
          <w:sz w:val="22"/>
          <w:szCs w:val="22"/>
        </w:rPr>
      </w:pPr>
      <w:r>
        <w:rPr>
          <w:rFonts w:ascii="Tahoma" w:hAnsi="Tahoma" w:cs="Tahoma"/>
          <w:sz w:val="22"/>
          <w:szCs w:val="22"/>
        </w:rPr>
        <w:t>Součástí sjednané ceny jsou veškeré práce a dodávky, poplatky, náklady zhotovitele nutné pro vybudování, provoz a demontáž zařízení staveniště vč. případných poplatků a nájmů za dočasné zábory sousedních pozemků a jiné náklady nezbytné pro řádné a úplné provedení díla.</w:t>
      </w:r>
    </w:p>
    <w:p w14:paraId="428014F9" w14:textId="77777777" w:rsidR="00B74453" w:rsidRDefault="00000000">
      <w:pPr>
        <w:pStyle w:val="Odstavecseseznamem"/>
        <w:tabs>
          <w:tab w:val="left" w:pos="345"/>
        </w:tabs>
        <w:spacing w:before="120"/>
        <w:ind w:left="567" w:hanging="567"/>
        <w:jc w:val="both"/>
        <w:rPr>
          <w:rFonts w:ascii="Tahoma" w:hAnsi="Tahoma" w:cs="Tahoma"/>
          <w:sz w:val="22"/>
          <w:szCs w:val="22"/>
        </w:rPr>
      </w:pPr>
      <w:r>
        <w:rPr>
          <w:rFonts w:ascii="Tahoma" w:hAnsi="Tahoma" w:cs="Tahoma"/>
          <w:sz w:val="22"/>
          <w:szCs w:val="22"/>
        </w:rPr>
        <w:t xml:space="preserve">3   Cena za dílo bez DPH uvedená v odst. 1 tohoto článku je cenou nejvýše přípustnou      </w:t>
      </w:r>
    </w:p>
    <w:p w14:paraId="46B17650" w14:textId="77777777" w:rsidR="00B74453" w:rsidRDefault="00000000">
      <w:pPr>
        <w:pStyle w:val="Odstavecseseznamem"/>
        <w:tabs>
          <w:tab w:val="left" w:pos="345"/>
        </w:tabs>
        <w:spacing w:before="120"/>
        <w:ind w:left="567" w:hanging="567"/>
        <w:jc w:val="both"/>
        <w:rPr>
          <w:rFonts w:ascii="Tahoma" w:hAnsi="Tahoma" w:cs="Tahoma"/>
          <w:sz w:val="22"/>
          <w:szCs w:val="22"/>
        </w:rPr>
      </w:pPr>
      <w:r>
        <w:rPr>
          <w:rFonts w:ascii="Tahoma" w:hAnsi="Tahoma" w:cs="Tahoma"/>
          <w:sz w:val="22"/>
          <w:szCs w:val="22"/>
        </w:rPr>
        <w:t xml:space="preserve">     a lze ji změnit pouze v případě:</w:t>
      </w:r>
    </w:p>
    <w:p w14:paraId="2114BD72" w14:textId="77777777" w:rsidR="00B74453" w:rsidRDefault="00000000">
      <w:pPr>
        <w:spacing w:before="120"/>
        <w:ind w:left="510"/>
        <w:jc w:val="both"/>
        <w:rPr>
          <w:rFonts w:ascii="Tahoma" w:hAnsi="Tahoma" w:cs="Tahoma"/>
          <w:b/>
          <w:sz w:val="22"/>
          <w:szCs w:val="22"/>
        </w:rPr>
      </w:pPr>
      <w:r>
        <w:rPr>
          <w:rFonts w:ascii="Tahoma" w:hAnsi="Tahoma" w:cs="Tahoma"/>
          <w:b/>
          <w:sz w:val="22"/>
          <w:szCs w:val="22"/>
        </w:rPr>
        <w:t>MÉNĚPRACÍ</w:t>
      </w:r>
    </w:p>
    <w:p w14:paraId="33B484D9" w14:textId="77777777" w:rsidR="00B74453" w:rsidRDefault="00000000">
      <w:pPr>
        <w:numPr>
          <w:ilvl w:val="0"/>
          <w:numId w:val="29"/>
        </w:numPr>
        <w:spacing w:before="120"/>
        <w:jc w:val="both"/>
        <w:rPr>
          <w:rFonts w:ascii="Tahoma" w:hAnsi="Tahoma" w:cs="Tahoma"/>
          <w:sz w:val="22"/>
          <w:szCs w:val="22"/>
        </w:rPr>
      </w:pPr>
      <w:r>
        <w:rPr>
          <w:rFonts w:ascii="Tahoma" w:hAnsi="Tahoma" w:cs="Tahoma"/>
          <w:sz w:val="22"/>
          <w:szCs w:val="22"/>
        </w:rPr>
        <w:t>nebude</w:t>
      </w:r>
      <w:r>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2F5948C8" w14:textId="77777777" w:rsidR="00B74453" w:rsidRDefault="00000000">
      <w:pPr>
        <w:spacing w:before="120"/>
        <w:ind w:left="510"/>
        <w:jc w:val="both"/>
        <w:rPr>
          <w:rFonts w:ascii="Tahoma" w:hAnsi="Tahoma" w:cs="Tahoma"/>
          <w:b/>
          <w:sz w:val="22"/>
          <w:szCs w:val="22"/>
        </w:rPr>
      </w:pPr>
      <w:r>
        <w:rPr>
          <w:rFonts w:ascii="Tahoma" w:hAnsi="Tahoma" w:cs="Tahoma"/>
          <w:b/>
          <w:sz w:val="22"/>
          <w:szCs w:val="22"/>
        </w:rPr>
        <w:t>VÍCEPRACÍ</w:t>
      </w:r>
    </w:p>
    <w:p w14:paraId="0F49F33B" w14:textId="77777777" w:rsidR="00B74453" w:rsidRDefault="00000000">
      <w:pPr>
        <w:numPr>
          <w:ilvl w:val="0"/>
          <w:numId w:val="29"/>
        </w:numPr>
        <w:spacing w:before="120"/>
        <w:jc w:val="both"/>
        <w:rPr>
          <w:rFonts w:ascii="Tahoma" w:hAnsi="Tahoma" w:cs="Tahoma"/>
          <w:sz w:val="22"/>
          <w:szCs w:val="22"/>
        </w:rPr>
      </w:pPr>
      <w:r>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2304D85B" w14:textId="77777777" w:rsidR="00B74453" w:rsidRDefault="00000000">
      <w:pPr>
        <w:numPr>
          <w:ilvl w:val="0"/>
          <w:numId w:val="30"/>
        </w:numPr>
        <w:spacing w:before="120"/>
        <w:jc w:val="both"/>
        <w:rPr>
          <w:rFonts w:ascii="Tahoma" w:hAnsi="Tahoma" w:cs="Tahoma"/>
          <w:sz w:val="22"/>
          <w:szCs w:val="22"/>
        </w:rPr>
      </w:pPr>
      <w:r>
        <w:rPr>
          <w:rFonts w:ascii="Tahoma" w:hAnsi="Tahoma" w:cs="Tahoma"/>
          <w:sz w:val="22"/>
          <w:szCs w:val="22"/>
          <w:u w:val="single"/>
        </w:rPr>
        <w:t>pro položky vyskytující se v soupise prací, tzv. existující položky (např. v rámci víceprací se nárokuje větší množství výměry)</w:t>
      </w:r>
      <w:r>
        <w:rPr>
          <w:rFonts w:ascii="Tahoma" w:hAnsi="Tahoma" w:cs="Tahoma"/>
          <w:sz w:val="22"/>
          <w:szCs w:val="22"/>
        </w:rPr>
        <w:t xml:space="preserve"> se jednotková cena položek bude účtovat podle odpovídající jednotkové ceny uvedené v soupisu prací. Pokud ovšem </w:t>
      </w:r>
      <w:r>
        <w:rPr>
          <w:rFonts w:ascii="Tahoma" w:hAnsi="Tahoma" w:cs="Tahoma"/>
          <w:sz w:val="22"/>
          <w:szCs w:val="22"/>
        </w:rPr>
        <w:lastRenderedPageBreak/>
        <w:t>byla jednotková cena existující položky v soupisu prací stanovena odkazem a kódem podle konkrétní cenové soustavy (standardizovaného ceníku), bude zhotovitelem provedeno a doloženo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0BECDE33" w14:textId="77777777" w:rsidR="00B74453" w:rsidRDefault="00000000">
      <w:pPr>
        <w:numPr>
          <w:ilvl w:val="0"/>
          <w:numId w:val="30"/>
        </w:numPr>
        <w:spacing w:before="120"/>
        <w:jc w:val="both"/>
        <w:rPr>
          <w:rFonts w:ascii="Tahoma" w:hAnsi="Tahoma" w:cs="Tahoma"/>
          <w:sz w:val="22"/>
          <w:szCs w:val="22"/>
        </w:rPr>
      </w:pPr>
      <w:r>
        <w:rPr>
          <w:rFonts w:ascii="Tahoma" w:hAnsi="Tahoma" w:cs="Tahoma"/>
          <w:sz w:val="22"/>
          <w:szCs w:val="22"/>
          <w:u w:val="single"/>
        </w:rPr>
        <w:t>pro položky tzv. nové, které se nevyskytují v soupise prací,</w:t>
      </w:r>
      <w:r>
        <w:rPr>
          <w:rFonts w:ascii="Tahoma" w:hAnsi="Tahoma" w:cs="Tahoma"/>
          <w:sz w:val="22"/>
          <w:szCs w:val="22"/>
        </w:rPr>
        <w:t xml:space="preserve"> se jednotková cena položek bude účtovat podle cenové soustavy v její aktuální cenové úrovni.</w:t>
      </w:r>
    </w:p>
    <w:p w14:paraId="1914F46A" w14:textId="77777777" w:rsidR="00B74453" w:rsidRDefault="00000000">
      <w:pPr>
        <w:numPr>
          <w:ilvl w:val="0"/>
          <w:numId w:val="30"/>
        </w:numPr>
        <w:spacing w:before="120"/>
        <w:jc w:val="both"/>
        <w:rPr>
          <w:rFonts w:ascii="Tahoma" w:hAnsi="Tahoma" w:cs="Tahoma"/>
          <w:sz w:val="22"/>
          <w:szCs w:val="22"/>
        </w:rPr>
      </w:pPr>
      <w:r>
        <w:rPr>
          <w:rFonts w:ascii="Tahoma" w:hAnsi="Tahoma" w:cs="Tahoma"/>
          <w:sz w:val="22"/>
          <w:szCs w:val="22"/>
        </w:rPr>
        <w:t>Pouze ve výjimečných případech, kdy nelze pro stanovení jednotkové ceny nové položky víceprací použít žádný z výše uvedených postupů,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53F14E97" w14:textId="77777777" w:rsidR="00B74453" w:rsidRDefault="00000000">
      <w:pPr>
        <w:numPr>
          <w:ilvl w:val="0"/>
          <w:numId w:val="17"/>
        </w:numPr>
        <w:spacing w:before="120"/>
        <w:ind w:left="357" w:hanging="357"/>
        <w:jc w:val="both"/>
        <w:rPr>
          <w:rFonts w:ascii="Tahoma" w:hAnsi="Tahoma" w:cs="Tahoma"/>
          <w:sz w:val="22"/>
          <w:szCs w:val="22"/>
        </w:rPr>
      </w:pPr>
      <w:r>
        <w:rPr>
          <w:rFonts w:ascii="Tahoma" w:hAnsi="Tahoma" w:cs="Tahoma"/>
          <w:sz w:val="22"/>
          <w:szCs w:val="22"/>
        </w:rPr>
        <w:t>Rozsah případných méněprací nebo víceprací a cena za jejich realizaci budou vždy předem sjednány dodatkem k této smlouvě.</w:t>
      </w:r>
    </w:p>
    <w:p w14:paraId="6B60C6A7" w14:textId="77777777" w:rsidR="00B74453" w:rsidRDefault="00000000">
      <w:pPr>
        <w:numPr>
          <w:ilvl w:val="0"/>
          <w:numId w:val="17"/>
        </w:numPr>
        <w:spacing w:before="120"/>
        <w:ind w:left="357" w:hanging="357"/>
        <w:jc w:val="both"/>
        <w:rPr>
          <w:rFonts w:ascii="Tahoma" w:hAnsi="Tahoma" w:cs="Tahoma"/>
          <w:sz w:val="22"/>
          <w:szCs w:val="22"/>
        </w:rPr>
      </w:pPr>
      <w:r>
        <w:rPr>
          <w:rFonts w:ascii="Tahoma" w:hAnsi="Tahoma" w:cs="Tahoma"/>
          <w:sz w:val="22"/>
          <w:szCs w:val="22"/>
        </w:rPr>
        <w:t>Zhotovitel je povinen zpracovat veškeré změnové listy a dále oceněné soupisy méněprací a víceprací dle odst.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p>
    <w:p w14:paraId="7AB1DFAA" w14:textId="77777777" w:rsidR="00B74453" w:rsidRDefault="00000000">
      <w:pPr>
        <w:keepNext/>
        <w:spacing w:before="360"/>
        <w:jc w:val="center"/>
        <w:rPr>
          <w:rFonts w:ascii="Tahoma" w:hAnsi="Tahoma" w:cs="Tahoma"/>
          <w:b/>
          <w:sz w:val="22"/>
          <w:szCs w:val="22"/>
        </w:rPr>
      </w:pPr>
      <w:r>
        <w:rPr>
          <w:rFonts w:ascii="Tahoma" w:hAnsi="Tahoma" w:cs="Tahoma"/>
          <w:b/>
          <w:sz w:val="22"/>
          <w:szCs w:val="22"/>
        </w:rPr>
        <w:t>VI.</w:t>
      </w:r>
      <w:r>
        <w:rPr>
          <w:rFonts w:ascii="Tahoma" w:hAnsi="Tahoma" w:cs="Tahoma"/>
          <w:b/>
          <w:sz w:val="22"/>
          <w:szCs w:val="22"/>
        </w:rPr>
        <w:br/>
        <w:t>Platební podmínky</w:t>
      </w:r>
    </w:p>
    <w:p w14:paraId="14DE6549"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Zálohy na platby nejsou sjednány.</w:t>
      </w:r>
    </w:p>
    <w:p w14:paraId="32E063FB" w14:textId="77777777" w:rsidR="00B74453" w:rsidRDefault="00000000">
      <w:pPr>
        <w:widowControl w:val="0"/>
        <w:numPr>
          <w:ilvl w:val="1"/>
          <w:numId w:val="3"/>
        </w:numPr>
        <w:snapToGrid w:val="0"/>
        <w:spacing w:before="120"/>
        <w:jc w:val="both"/>
        <w:rPr>
          <w:rFonts w:ascii="Tahoma" w:hAnsi="Tahoma" w:cs="Tahoma"/>
          <w:sz w:val="22"/>
          <w:szCs w:val="22"/>
        </w:rPr>
      </w:pPr>
      <w:r>
        <w:rPr>
          <w:rFonts w:ascii="Tahoma" w:hAnsi="Tahoma" w:cs="Tahoma"/>
          <w:b/>
          <w:sz w:val="22"/>
          <w:szCs w:val="22"/>
        </w:rPr>
        <w:t>Na plnění dle této smlouvy se vztahuje režim přenesení daňové povinnosti</w:t>
      </w:r>
      <w:r>
        <w:rPr>
          <w:rFonts w:ascii="Tahoma" w:hAnsi="Tahoma" w:cs="Tahoma"/>
          <w:sz w:val="22"/>
          <w:szCs w:val="22"/>
        </w:rPr>
        <w:t xml:space="preserve">     dle zákona č. 235/2004 Sb., o dani z přidané hodnoty, ve znění pozdějších předpisů (dále jen „zákon o DPH“), a zhotovitelem proto budou za předmětné plnění vystaveny faktury bez uvedení daně z přidané hodnoty.</w:t>
      </w:r>
    </w:p>
    <w:p w14:paraId="65687271"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Podkladem pro úhradu ceny za dílo budou faktury, které budou mít náležitosti daňového dokladu a náležitosti stanovené dalšími obecně závaznými právními předpisy (dále jen „faktura“). Kromě náležitostí stanovených platnými právními předpisy pro daňový doklad bude zhotovitel povinen ve faktuře uvést i tyto údaje:</w:t>
      </w:r>
    </w:p>
    <w:p w14:paraId="72FB4638" w14:textId="77777777" w:rsidR="00B74453" w:rsidRDefault="00000000">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Pr>
          <w:rFonts w:ascii="Tahoma" w:hAnsi="Tahoma" w:cs="Tahoma"/>
          <w:sz w:val="22"/>
          <w:szCs w:val="22"/>
        </w:rPr>
        <w:t>číslo smlouvy objednatele, IČO objednatele, předmět smlouvy, tj. text „zhotovení díla - „</w:t>
      </w:r>
      <w:r>
        <w:rPr>
          <w:rFonts w:ascii="Tahoma" w:hAnsi="Tahoma" w:cs="Tahoma"/>
          <w:b/>
          <w:bCs/>
          <w:sz w:val="22"/>
          <w:szCs w:val="22"/>
        </w:rPr>
        <w:t>elektrostaticky homogenní PVC podlahová krytina do odborné učebny elektro (1 NP, učebna 6) v Školská čtvrť 1259, Frenštát   “</w:t>
      </w:r>
    </w:p>
    <w:p w14:paraId="2CC1C523"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označení banky a číslo zveřejněného účtu, na který musí být zaplaceno,</w:t>
      </w:r>
    </w:p>
    <w:p w14:paraId="20B48DAF"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lhůtu splatnosti faktury,</w:t>
      </w:r>
    </w:p>
    <w:p w14:paraId="49AC2E5E"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označení osoby, která fakturu vyhotovila, včetně jejího podpisu a kontaktního telefonu,</w:t>
      </w:r>
    </w:p>
    <w:p w14:paraId="6D7BA409" w14:textId="77777777" w:rsidR="00B74453" w:rsidRDefault="00000000">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Pr>
          <w:rFonts w:ascii="Tahoma" w:hAnsi="Tahoma" w:cs="Tahoma"/>
          <w:sz w:val="22"/>
          <w:szCs w:val="22"/>
        </w:rPr>
        <w:t>přílohou konečné faktury bude protokol o předání a převzetí díla dle této smlouvy, obsahující prohlášení objednatele, že dílo přejímá.</w:t>
      </w:r>
    </w:p>
    <w:p w14:paraId="3B50EFF2"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 xml:space="preserve">V souladu s ustanovením zákona o DPH sjednávají smluvní strany dílčí plnění v rozsahu skutečně provedeného plnění za období od druhého dne kalendářního měsíce do prvého dne kalendářního měsíce bezprostředně následujícího. Dílčí plnění odsouhlasené podpisem oprávněného zástupce objednatele v soupisu skutečně provedených prací a zjišťovacím protokolu, včetně dohody o ocenění, se považuje za samostatné zdanitelné plnění uskutečněné první den kalendářního měsíce bezprostředně následujícího, tj. poslední den výše sjednaného období. V případě předání a převzetí ukončených stavebních objektů či </w:t>
      </w:r>
      <w:r>
        <w:rPr>
          <w:rFonts w:ascii="Tahoma" w:hAnsi="Tahoma" w:cs="Tahoma"/>
          <w:sz w:val="22"/>
          <w:szCs w:val="22"/>
        </w:rPr>
        <w:lastRenderedPageBreak/>
        <w:t>jiných prací již v průběhu výše uvedeného období se v souladu s § 21 odst. 7 a § 21 odst. 4 písm. a) zákona o DPH za den uskutečnění zdanitelného plnění považuje den potvrzení převzetí prací zástupcem objednatele na zjišťovacím protokolu. Zhotovitel vystaví na zdanitelné plnění fakturu, jejíž nedílnou součástí bude soupis provedených prací a zjišťovací protokol - obojí podepsané zhotovitelem a odsouhlasené osobou vykonávající technický dozor objednatele (stavebníka).</w:t>
      </w:r>
    </w:p>
    <w:p w14:paraId="2B11E85D"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Konečná faktura bude vystavena po předání a převzetí dokončeného díla. Součástí konečné faktury bude rekapitulace vystavených faktur a rekapitulace veškerých provedených prací, která bude zpracována v souladu s odsouhlaseným soupisem prací.</w:t>
      </w:r>
    </w:p>
    <w:p w14:paraId="690BFC44"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V případě dodatečných prací fakturovaných na základě dodatků uzavřených k této smlouvě (vícepráce) bude soupis těchto prací tvořit samostatnou přílohu faktury.</w:t>
      </w:r>
    </w:p>
    <w:p w14:paraId="0BD9BDA9"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Lhůta splatnosti jednotlivých faktur je dohodou stanovena na 30 kalendářních dnů ode dne jejich doručení objednateli.</w:t>
      </w:r>
    </w:p>
    <w:p w14:paraId="3B4DA0A9"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Doručení faktury se provede osobně na sekretariátě příspěvkové organizace oproti podpisu potvrzující převzetí, doručenkou prostřednictvím provozovatele poštovních služeb nebo prostřednictvím datové schránky.</w:t>
      </w:r>
    </w:p>
    <w:p w14:paraId="2C1949F0"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Zhotovitel je povinen doručit fakturu objednateli nejpozději 16. den následující po dni uskutečnění zdanitelného plnění. Nesplní</w:t>
      </w:r>
      <w:r>
        <w:rPr>
          <w:rFonts w:ascii="Tahoma" w:hAnsi="Tahoma" w:cs="Tahoma"/>
          <w:sz w:val="22"/>
          <w:szCs w:val="22"/>
        </w:rPr>
        <w:noBreakHyphen/>
        <w:t>li zhotovitel tuto povinnost a objednateli v důsledku toho vznikne škoda (např. uhrazením sankcí uložených příslušným správcem daně v důsledku pozdní úhrady DPH objednatelem), bude zhotovitel povinen objednateli tuto škodu v plném rozsahu uhradit.</w:t>
      </w:r>
    </w:p>
    <w:p w14:paraId="61364E28"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Objednatel je oprávněn vadnou fakturu před uplynutím lhůty splatnosti vrátit druhé smluvní straně bez zaplacení k provedení opravy v těchto případech:</w:t>
      </w:r>
    </w:p>
    <w:p w14:paraId="7B6149CA" w14:textId="77777777" w:rsidR="00B74453" w:rsidRDefault="00000000">
      <w:pPr>
        <w:widowControl w:val="0"/>
        <w:numPr>
          <w:ilvl w:val="0"/>
          <w:numId w:val="18"/>
        </w:numPr>
        <w:tabs>
          <w:tab w:val="clear" w:pos="720"/>
          <w:tab w:val="left" w:pos="714"/>
        </w:tabs>
        <w:snapToGrid w:val="0"/>
        <w:spacing w:before="60"/>
        <w:ind w:left="714" w:hanging="357"/>
        <w:jc w:val="both"/>
        <w:rPr>
          <w:rFonts w:ascii="Tahoma" w:hAnsi="Tahoma" w:cs="Tahoma"/>
          <w:sz w:val="22"/>
          <w:szCs w:val="22"/>
        </w:rPr>
      </w:pPr>
      <w:r>
        <w:rPr>
          <w:rFonts w:ascii="Tahoma" w:hAnsi="Tahoma" w:cs="Tahoma"/>
          <w:sz w:val="22"/>
          <w:szCs w:val="22"/>
        </w:rPr>
        <w:t>nebude</w:t>
      </w:r>
      <w:r>
        <w:rPr>
          <w:rFonts w:ascii="Tahoma" w:hAnsi="Tahoma" w:cs="Tahoma"/>
          <w:sz w:val="22"/>
          <w:szCs w:val="22"/>
        </w:rPr>
        <w:noBreakHyphen/>
        <w:t>li faktura obsahovat některou povinnou nebo dohodnutou náležitost nebo bude</w:t>
      </w:r>
      <w:r>
        <w:rPr>
          <w:rFonts w:ascii="Tahoma" w:hAnsi="Tahoma" w:cs="Tahoma"/>
          <w:sz w:val="22"/>
          <w:szCs w:val="22"/>
        </w:rPr>
        <w:noBreakHyphen/>
        <w:t>li chybně vyúčtována cena za dílo,</w:t>
      </w:r>
    </w:p>
    <w:p w14:paraId="5E58D4D9" w14:textId="77777777" w:rsidR="00B74453" w:rsidRDefault="00000000">
      <w:pPr>
        <w:widowControl w:val="0"/>
        <w:numPr>
          <w:ilvl w:val="0"/>
          <w:numId w:val="18"/>
        </w:numPr>
        <w:tabs>
          <w:tab w:val="clear" w:pos="720"/>
          <w:tab w:val="left" w:pos="714"/>
        </w:tabs>
        <w:snapToGrid w:val="0"/>
        <w:spacing w:before="60"/>
        <w:ind w:left="714" w:hanging="357"/>
        <w:jc w:val="both"/>
        <w:rPr>
          <w:rFonts w:ascii="Tahoma" w:hAnsi="Tahoma" w:cs="Tahoma"/>
          <w:sz w:val="22"/>
          <w:szCs w:val="22"/>
        </w:rPr>
      </w:pPr>
      <w:r>
        <w:rPr>
          <w:rFonts w:ascii="Tahoma" w:hAnsi="Tahoma" w:cs="Tahoma"/>
          <w:sz w:val="22"/>
          <w:szCs w:val="22"/>
        </w:rPr>
        <w:t>budou</w:t>
      </w:r>
      <w:r>
        <w:rPr>
          <w:rFonts w:ascii="Tahoma" w:hAnsi="Tahoma" w:cs="Tahoma"/>
          <w:sz w:val="22"/>
          <w:szCs w:val="22"/>
        </w:rPr>
        <w:noBreakHyphen/>
        <w:t>li vyúčtovány práce, které nebyly provedeny či nebyly potvrzeny oprávněným zástupcem objednatele,</w:t>
      </w:r>
    </w:p>
    <w:p w14:paraId="10EA7C73" w14:textId="77777777" w:rsidR="00B74453" w:rsidRDefault="00000000">
      <w:pPr>
        <w:pStyle w:val="Smlouva-slo0"/>
        <w:spacing w:line="240" w:lineRule="auto"/>
        <w:ind w:left="357"/>
        <w:rPr>
          <w:rFonts w:ascii="Tahoma" w:hAnsi="Tahoma" w:cs="Tahoma"/>
          <w:sz w:val="22"/>
          <w:szCs w:val="22"/>
        </w:rPr>
      </w:pPr>
      <w:r>
        <w:rPr>
          <w:rFonts w:ascii="Tahoma" w:hAnsi="Tahoma" w:cs="Tahoma"/>
          <w:sz w:val="22"/>
          <w:szCs w:val="22"/>
        </w:rPr>
        <w:t>Ve vrácené faktuře objednatel vyznačí důvod vrácení. Zhotovitel provede opravu faktury a znovu ji doručí objednateli. Vrátí</w:t>
      </w:r>
      <w:r>
        <w:rPr>
          <w:rFonts w:ascii="Tahoma" w:hAnsi="Tahoma" w:cs="Tahoma"/>
          <w:sz w:val="22"/>
          <w:szCs w:val="22"/>
        </w:rPr>
        <w:noBreakHyphen/>
        <w:t>li objednatel vadnou fakturu zhotoviteli, přestává běžet původní lhůta splatnosti. Nová lhůta splatnosti běží opět ode dne doručení opravené faktury objednateli. Zhotovitel je povinen doručit objednateli opravenou fakturu do 3 dnů po obdržení objednatelem vrácené vadné faktury.</w:t>
      </w:r>
    </w:p>
    <w:p w14:paraId="0EB505AC"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Povinnost zaplatit cenu za dílo je splněna dnem odepsání příslušné částky z účtu objednatele.</w:t>
      </w:r>
    </w:p>
    <w:p w14:paraId="51A74C4F" w14:textId="77777777" w:rsidR="00B74453" w:rsidRDefault="00000000">
      <w:pPr>
        <w:widowControl w:val="0"/>
        <w:numPr>
          <w:ilvl w:val="1"/>
          <w:numId w:val="3"/>
        </w:numPr>
        <w:snapToGrid w:val="0"/>
        <w:spacing w:before="120"/>
        <w:ind w:left="357" w:hanging="357"/>
        <w:jc w:val="both"/>
        <w:rPr>
          <w:rFonts w:ascii="Tahoma" w:hAnsi="Tahoma" w:cs="Tahoma"/>
          <w:sz w:val="22"/>
          <w:szCs w:val="22"/>
        </w:rPr>
      </w:pPr>
      <w:r>
        <w:rPr>
          <w:rFonts w:ascii="Tahoma" w:hAnsi="Tahoma" w:cs="Tahoma"/>
          <w:sz w:val="22"/>
          <w:szCs w:val="22"/>
        </w:rPr>
        <w:t>Objednatel je oprávněn pozastavit financování v případě, že zhotovitel bezdůvodně přeruší práce nebo práce bude provádět v rozporu s projektovou dokumentací, touto</w:t>
      </w:r>
      <w:r>
        <w:rPr>
          <w:rFonts w:ascii="Tahoma" w:hAnsi="Tahoma" w:cs="Tahoma"/>
          <w:color w:val="FF0000"/>
          <w:sz w:val="22"/>
          <w:szCs w:val="22"/>
        </w:rPr>
        <w:t xml:space="preserve"> </w:t>
      </w:r>
      <w:r>
        <w:rPr>
          <w:rFonts w:ascii="Tahoma" w:hAnsi="Tahoma" w:cs="Tahoma"/>
          <w:sz w:val="22"/>
          <w:szCs w:val="22"/>
        </w:rPr>
        <w:t>smlouvou nebo pokyny objednatele.</w:t>
      </w:r>
    </w:p>
    <w:p w14:paraId="1A274EB7" w14:textId="77777777" w:rsidR="00B74453" w:rsidRDefault="00000000">
      <w:pPr>
        <w:keepNext/>
        <w:spacing w:before="360"/>
        <w:jc w:val="center"/>
        <w:rPr>
          <w:rFonts w:ascii="Tahoma" w:hAnsi="Tahoma" w:cs="Tahoma"/>
          <w:b/>
          <w:sz w:val="22"/>
          <w:szCs w:val="22"/>
        </w:rPr>
      </w:pPr>
      <w:r>
        <w:rPr>
          <w:rFonts w:ascii="Tahoma" w:hAnsi="Tahoma" w:cs="Tahoma"/>
          <w:b/>
          <w:sz w:val="22"/>
          <w:szCs w:val="22"/>
        </w:rPr>
        <w:t>VII.</w:t>
      </w:r>
      <w:r>
        <w:rPr>
          <w:rFonts w:ascii="Tahoma" w:hAnsi="Tahoma" w:cs="Tahoma"/>
          <w:b/>
          <w:sz w:val="22"/>
          <w:szCs w:val="22"/>
        </w:rPr>
        <w:br/>
        <w:t>Jakost díla</w:t>
      </w:r>
    </w:p>
    <w:p w14:paraId="7103780D" w14:textId="77777777" w:rsidR="00B74453" w:rsidRDefault="00000000">
      <w:pPr>
        <w:pStyle w:val="Smlouva-slo0"/>
        <w:numPr>
          <w:ilvl w:val="0"/>
          <w:numId w:val="5"/>
        </w:numPr>
        <w:spacing w:line="240" w:lineRule="auto"/>
        <w:rPr>
          <w:rFonts w:ascii="Tahoma" w:hAnsi="Tahoma" w:cs="Tahoma"/>
          <w:sz w:val="22"/>
          <w:szCs w:val="22"/>
        </w:rPr>
      </w:pPr>
      <w:r>
        <w:rPr>
          <w:rFonts w:ascii="Tahoma" w:hAnsi="Tahoma" w:cs="Tahoma"/>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 zadání veřejné zakázky a této smlouvě. K tomu se zhotovitel zavazuje používat pouze materiály a konstrukce vyhovující požadavkům kladeným na jejich jakost a mající prohlášení o shodě dle zákona č. 22/1997 Sb., o technických požadavcích </w:t>
      </w:r>
      <w:r>
        <w:rPr>
          <w:rFonts w:ascii="Tahoma" w:hAnsi="Tahoma" w:cs="Tahoma"/>
          <w:sz w:val="22"/>
          <w:szCs w:val="22"/>
        </w:rPr>
        <w:lastRenderedPageBreak/>
        <w:t>na výrobky a o změně a doplnění některých zákonů, ve znění pozdějších předpisů a jeho prováděcích předpisů.</w:t>
      </w:r>
    </w:p>
    <w:p w14:paraId="2D21860E" w14:textId="77777777" w:rsidR="00B74453" w:rsidRDefault="00000000">
      <w:pPr>
        <w:pStyle w:val="Smlouva-slo0"/>
        <w:numPr>
          <w:ilvl w:val="0"/>
          <w:numId w:val="5"/>
        </w:numPr>
        <w:spacing w:line="240" w:lineRule="auto"/>
        <w:rPr>
          <w:rFonts w:ascii="Tahoma" w:hAnsi="Tahoma" w:cs="Tahoma"/>
          <w:bCs/>
          <w:sz w:val="22"/>
          <w:szCs w:val="22"/>
        </w:rPr>
      </w:pPr>
      <w:r>
        <w:rPr>
          <w:rFonts w:ascii="Tahoma" w:hAnsi="Tahoma" w:cs="Tahoma"/>
          <w:bCs/>
          <w:sz w:val="22"/>
          <w:szCs w:val="22"/>
        </w:rPr>
        <w:t>Smluvní strany se dohodly, že bude</w:t>
      </w:r>
      <w:r>
        <w:rPr>
          <w:rFonts w:ascii="Tahoma" w:hAnsi="Tahoma" w:cs="Tahoma"/>
          <w:bCs/>
          <w:sz w:val="22"/>
          <w:szCs w:val="22"/>
        </w:rPr>
        <w:noBreakHyphen/>
        <w:t>li v rámci díla dodáváno zboží (spotřebiče, nábytek apod.), toto bude dodáno v I. jakosti.</w:t>
      </w:r>
    </w:p>
    <w:p w14:paraId="7A20A053" w14:textId="77777777" w:rsidR="00B74453" w:rsidRDefault="00000000">
      <w:pPr>
        <w:pStyle w:val="Smlouva-slo0"/>
        <w:numPr>
          <w:ilvl w:val="0"/>
          <w:numId w:val="5"/>
        </w:numPr>
        <w:spacing w:line="240" w:lineRule="auto"/>
        <w:rPr>
          <w:rFonts w:ascii="Tahoma" w:hAnsi="Tahoma" w:cs="Tahoma"/>
          <w:bCs/>
          <w:sz w:val="22"/>
          <w:szCs w:val="22"/>
        </w:rPr>
      </w:pPr>
      <w:r>
        <w:rPr>
          <w:rFonts w:ascii="Tahoma" w:hAnsi="Tahoma" w:cs="Tahoma"/>
          <w:bCs/>
          <w:sz w:val="22"/>
          <w:szCs w:val="22"/>
        </w:rPr>
        <w:t>Jakost dodávaných materiálů a konstrukcí bude dokladována předepsaným způsobem při kontrolních prohlídkách a při předání a převzetí díla.</w:t>
      </w:r>
    </w:p>
    <w:p w14:paraId="50B376CE" w14:textId="77777777" w:rsidR="00B74453" w:rsidRDefault="00000000">
      <w:pPr>
        <w:keepNext/>
        <w:spacing w:before="360"/>
        <w:jc w:val="center"/>
        <w:rPr>
          <w:rFonts w:ascii="Tahoma" w:hAnsi="Tahoma" w:cs="Tahoma"/>
          <w:b/>
          <w:sz w:val="22"/>
          <w:szCs w:val="22"/>
        </w:rPr>
      </w:pPr>
      <w:r>
        <w:rPr>
          <w:rFonts w:ascii="Tahoma" w:hAnsi="Tahoma" w:cs="Tahoma"/>
          <w:b/>
          <w:sz w:val="22"/>
          <w:szCs w:val="22"/>
        </w:rPr>
        <w:t>VIII.</w:t>
      </w:r>
      <w:r>
        <w:rPr>
          <w:rFonts w:ascii="Tahoma" w:hAnsi="Tahoma" w:cs="Tahoma"/>
          <w:b/>
          <w:sz w:val="22"/>
          <w:szCs w:val="22"/>
        </w:rPr>
        <w:br/>
        <w:t>Staveniště</w:t>
      </w:r>
    </w:p>
    <w:p w14:paraId="0FE190FC"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Objednatel předá a zhotovitel převezme staveniště nejpozději dne 13.12.2023, nedohodnou</w:t>
      </w:r>
      <w:r>
        <w:rPr>
          <w:rFonts w:ascii="Tahoma" w:hAnsi="Tahoma" w:cs="Tahoma"/>
          <w:sz w:val="22"/>
          <w:szCs w:val="22"/>
        </w:rPr>
        <w:noBreakHyphen/>
        <w:t>li se smluvní strany, zejména s ohledem na nevhodné klimatické podmínky, písemně jinak. Dohoda o změně termínu předání staveniště bude učiněna formou zápisu ve stavebním deníku nebo zápisu ze společného jednání smluvních stran v rámci přípravy realizace stavby,</w:t>
      </w:r>
      <w:r>
        <w:rPr>
          <w:rFonts w:ascii="Tahoma" w:hAnsi="Tahoma" w:cs="Tahoma"/>
          <w:color w:val="FF0000"/>
        </w:rPr>
        <w:t xml:space="preserve"> </w:t>
      </w:r>
      <w:r>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5B83C659"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 xml:space="preserve">O předání a převzetí staveniště vyhotoví smluvní strany zápis. </w:t>
      </w:r>
    </w:p>
    <w:p w14:paraId="695D2403"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Obvod staveniště je vymezen dotčenými prostory školy. Pokud bude zhotovitel potřebovat pro realizaci díla prostor větší, zajistí si jej na vlastní náklady a vlastním jménem. Určení základních vytyčovacích prvků bude provedeno při předání staveniště objednatelem.</w:t>
      </w:r>
    </w:p>
    <w:p w14:paraId="353B8592"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je povinen zajistit hlídání staveniště. Náklady na ostrahu jsou již zahrnuty v ceně za dílo.</w:t>
      </w:r>
    </w:p>
    <w:p w14:paraId="477FFCE4"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se zavazuje zcela vyklidit a vyčistit staveniště do 1 dne od provedení díla. Při nedodržení tohoto termínu se zhotovitel zavazuje uhradit objednateli veškeré náklady a škody, které mu tím vznikly.</w:t>
      </w:r>
    </w:p>
    <w:p w14:paraId="1415A247"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odpovídá za bezpečnost a ochranu zdraví všech osob v prostoru staveniště, za bezpečný přístup na stavbu, za dodržování bezpečnostních, hygienických a požárních předpisů, včetně prostoru zařízení staveniště, a za bezpečnost provozu v prostoru staveniště.</w:t>
      </w:r>
    </w:p>
    <w:p w14:paraId="1CFF4367" w14:textId="77777777" w:rsidR="00B74453" w:rsidRDefault="00000000">
      <w:pPr>
        <w:pStyle w:val="Smlouva-slo0"/>
        <w:widowControl/>
        <w:numPr>
          <w:ilvl w:val="3"/>
          <w:numId w:val="4"/>
        </w:numPr>
        <w:spacing w:line="240" w:lineRule="auto"/>
        <w:rPr>
          <w:rFonts w:ascii="Tahoma" w:hAnsi="Tahoma" w:cs="Tahoma"/>
          <w:sz w:val="22"/>
          <w:szCs w:val="22"/>
        </w:rPr>
      </w:pPr>
      <w:r>
        <w:rPr>
          <w:rFonts w:ascii="Tahoma" w:hAnsi="Tahoma" w:cs="Tahoma"/>
          <w:sz w:val="22"/>
          <w:szCs w:val="22"/>
        </w:rPr>
        <w:t>Zhotovitel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07C99672" w14:textId="77777777" w:rsidR="00B74453" w:rsidRDefault="00000000">
      <w:pPr>
        <w:keepNext/>
        <w:spacing w:before="360"/>
        <w:jc w:val="center"/>
        <w:rPr>
          <w:rFonts w:ascii="Tahoma" w:hAnsi="Tahoma" w:cs="Tahoma"/>
          <w:b/>
          <w:sz w:val="22"/>
          <w:szCs w:val="22"/>
        </w:rPr>
      </w:pPr>
      <w:r>
        <w:rPr>
          <w:rFonts w:ascii="Tahoma" w:hAnsi="Tahoma" w:cs="Tahoma"/>
          <w:b/>
          <w:sz w:val="22"/>
          <w:szCs w:val="22"/>
        </w:rPr>
        <w:t>IX.</w:t>
      </w:r>
      <w:r>
        <w:rPr>
          <w:rFonts w:ascii="Tahoma" w:hAnsi="Tahoma" w:cs="Tahoma"/>
          <w:b/>
          <w:sz w:val="22"/>
          <w:szCs w:val="22"/>
        </w:rPr>
        <w:br/>
        <w:t>Provádění díla, práva a povinnosti smluvních stran</w:t>
      </w:r>
    </w:p>
    <w:p w14:paraId="5B9D4697"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je povinen:</w:t>
      </w:r>
    </w:p>
    <w:p w14:paraId="3BA9EB05"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v odpovídající jakosti za použití postupů, které odpovídají právním předpisům ČR; dílo musí odpovídat příslušným právním předpisům, normám nebo jiné dokumentaci vztahující se k provedení díla a umožňovat užívání, k němuž bylo určeno a zhotoveno,</w:t>
      </w:r>
    </w:p>
    <w:p w14:paraId="00A9E255"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provádění díla ujednání této smlouvy, řídit se podklady a pokyny objednatele a poskytnout mu požadovanou dokumentaci a informace,</w:t>
      </w:r>
    </w:p>
    <w:p w14:paraId="105C7D3F"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účastnit se na základě pozvánky objednatele všech jednání týkajících se předmětného díla,</w:t>
      </w:r>
    </w:p>
    <w:p w14:paraId="473D8D5D"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lastRenderedPageBreak/>
        <w:t>dbát při provádění díla na ochranu životního prostředí a dodržovat platné technické, bezpečnostní, zdravotní, hygienické a jiné předpisy, včetně předpisů týkajících          se ochrany životního prostředí,</w:t>
      </w:r>
    </w:p>
    <w:p w14:paraId="1F6505F6" w14:textId="77777777" w:rsidR="00B74453" w:rsidRDefault="00000000">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doložit platné atesty či certifikáty, případně další dokumenty prokazující splnění požadovaných technických a kvalitativních parametrů používaných výrobků a materiálů, a to nejpozději před jejich osazováním do stavby. Bez doložení těchto atestů není zhotovitel oprávněn započít s osazováním příslušných výrobků do stavby.</w:t>
      </w:r>
    </w:p>
    <w:p w14:paraId="01A27002"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je povinen informovat objednatele a zároveň osobu vykonávající technický dozor stavebníka o skutečnostech majících vliv na plnění této smlouvy, a to neprodleně, nejpozději následující pracovní den poté, kdy příslušná skutečnost nastane nebo zhotovitel zjistí, že by nastat mohla. Informace dle předchozí věty budou objednateli zaslány elektronickou poštou na adresu: iva.sumsalova@frengp.cz. Zhotovitel je povinen informovat objednatele a osobu vykonávající technický dozor stavebníka zejména:</w:t>
      </w:r>
    </w:p>
    <w:p w14:paraId="4FAFB4B3" w14:textId="77777777" w:rsidR="00B74453" w:rsidRDefault="00000000">
      <w:pPr>
        <w:pStyle w:val="Smlouva-slo0"/>
        <w:numPr>
          <w:ilvl w:val="0"/>
          <w:numId w:val="24"/>
        </w:numPr>
        <w:tabs>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t>li při provádění díla skryté překážky bránící řádnému provedení díla. Zhotovitel je povinen navrhnout objednateli další postup,</w:t>
      </w:r>
    </w:p>
    <w:p w14:paraId="22B404CE" w14:textId="77777777" w:rsidR="00B74453" w:rsidRDefault="00000000">
      <w:pPr>
        <w:pStyle w:val="Smlouva-slo0"/>
        <w:numPr>
          <w:ilvl w:val="0"/>
          <w:numId w:val="24"/>
        </w:numPr>
        <w:tabs>
          <w:tab w:val="left" w:pos="720"/>
        </w:tabs>
        <w:spacing w:before="60" w:line="240" w:lineRule="auto"/>
        <w:ind w:left="714" w:hanging="357"/>
        <w:rPr>
          <w:rFonts w:ascii="Tahoma" w:hAnsi="Tahoma" w:cs="Tahoma"/>
          <w:sz w:val="22"/>
          <w:szCs w:val="22"/>
        </w:rPr>
      </w:pPr>
      <w:r>
        <w:rPr>
          <w:rFonts w:ascii="Tahoma" w:hAnsi="Tahoma" w:cs="Tahoma"/>
          <w:sz w:val="22"/>
          <w:szCs w:val="22"/>
        </w:rPr>
        <w:t>o případné nevhodnosti realizace vyžadovaných prací,</w:t>
      </w:r>
    </w:p>
    <w:p w14:paraId="6F29269A"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zajistí stavbu tak, aby nedošlo k ohrožování, nadměrnému nebo zbytečnému obtěžování okolí stavby, k omezování práv a právem chráněných zájmů vlastníků sousedních nemovitostí, ke znečištění komunikací apod.</w:t>
      </w:r>
    </w:p>
    <w:p w14:paraId="18BAE4FF"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nese odpovědnost původce odpadů, zavazuje se nezpůsobovat únik ropných, toxických či jiných škodlivých látek na stavbě.</w:t>
      </w:r>
    </w:p>
    <w:p w14:paraId="54EFD8A3"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je povinen provedené stavební práce, zařizovací předměty a výrobky zabezpečit před poškozením a krádežemi až do předání díla k užívání objednateli,        a to na vlastní náklady.</w:t>
      </w:r>
    </w:p>
    <w:p w14:paraId="1056C26E" w14:textId="77777777" w:rsidR="00B74453" w:rsidRDefault="00000000">
      <w:pPr>
        <w:pStyle w:val="Smlouva-slo0"/>
        <w:numPr>
          <w:ilvl w:val="0"/>
          <w:numId w:val="7"/>
        </w:numPr>
        <w:spacing w:line="240" w:lineRule="auto"/>
        <w:ind w:left="357" w:hanging="357"/>
        <w:rPr>
          <w:rStyle w:val="normaltextrun"/>
          <w:rFonts w:ascii="Tahoma" w:hAnsi="Tahoma" w:cs="Tahoma"/>
          <w:sz w:val="22"/>
          <w:szCs w:val="22"/>
        </w:rPr>
      </w:pPr>
      <w:r>
        <w:rPr>
          <w:rFonts w:ascii="Tahoma" w:hAnsi="Tahoma" w:cs="Tahoma"/>
          <w:sz w:val="22"/>
          <w:szCs w:val="22"/>
        </w:rPr>
        <w:t>Zhotovitel je povinen informovat objednatele o poddodavatelích, kteří se budou podílet na realizaci díla, a to před zahájením plnění části díla tímto poddodavatelem. Povinnost identifikovat poddodavatele se považuje za splněnou, jsou-li tyto údaje uvedeny ve stavebním deníku.</w:t>
      </w:r>
    </w:p>
    <w:p w14:paraId="6B6DA7F0"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se zavazuje realizovat dílo prostřednictvím osob, kterými byla v rámci zadávacího řízení na výběr zhotovitele stavby prokazována kvalifikace</w:t>
      </w:r>
      <w:r>
        <w:rPr>
          <w:rFonts w:ascii="Tahoma" w:eastAsia="Calibri" w:hAnsi="Tahoma" w:cs="Tahoma"/>
          <w:sz w:val="22"/>
          <w:szCs w:val="22"/>
          <w:lang w:eastAsia="en-US"/>
        </w:rPr>
        <w:t xml:space="preserve"> </w:t>
      </w:r>
      <w:r>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68D081F2"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odpovídá za zajištění odborného vedení stavby a odborného provádění prací oprávněnými osobami, za dodržení obecných technických požadavků na výstavbu a jiných technických předpisů, za vypracování další prováděcí dokumentace (technologický postup, plán kontrolní a zkušební činnosti apod.).</w:t>
      </w:r>
    </w:p>
    <w:p w14:paraId="22160026"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se zavazuje realizovat práce vyžadující zvláštní způsobilost nebo povolení podle příslušných předpisů osobami, které tuto podmínku splňují.</w:t>
      </w:r>
    </w:p>
    <w:p w14:paraId="41108679"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je srozuměn s tím, že uhradí jakoukoliv opravu nebo výměnu plynoucí ze zhotovitelem zaviněného poškození inženýrské sítě. Zhotovitel si je rovněž vědom toho, že nese veškerá rizika a náhrady škod z toho plynoucí.</w:t>
      </w:r>
    </w:p>
    <w:p w14:paraId="3203B38A"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lastRenderedPageBreak/>
        <w:t>V případě, že zhotovitel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w:t>
      </w:r>
    </w:p>
    <w:p w14:paraId="530B77F8"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Bourací práce (hluk, prach) budou realizovány pouze po předchozím oznámení objednateli.</w:t>
      </w:r>
    </w:p>
    <w:p w14:paraId="7A063FD4"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je povinen umožnit výkon technického dozoru stavebníka, autorského dozoru projektanta</w:t>
      </w:r>
      <w:r>
        <w:rPr>
          <w:rFonts w:ascii="Tahoma" w:hAnsi="Tahoma" w:cs="Tahoma"/>
          <w:color w:val="FF00FF"/>
          <w:sz w:val="22"/>
          <w:szCs w:val="22"/>
        </w:rPr>
        <w:t xml:space="preserve"> </w:t>
      </w:r>
      <w:r>
        <w:rPr>
          <w:rFonts w:ascii="Tahoma" w:hAnsi="Tahoma" w:cs="Tahoma"/>
          <w:sz w:val="22"/>
          <w:szCs w:val="22"/>
        </w:rPr>
        <w:t>a umožnit osobám, které je vykonávají, vstup na stavbu a staveniště.</w:t>
      </w:r>
    </w:p>
    <w:p w14:paraId="5CCBA6F1" w14:textId="77777777" w:rsidR="00B74453" w:rsidRDefault="00000000">
      <w:pPr>
        <w:pStyle w:val="Smlouva-slo0"/>
        <w:numPr>
          <w:ilvl w:val="0"/>
          <w:numId w:val="7"/>
        </w:numPr>
        <w:spacing w:line="240" w:lineRule="auto"/>
        <w:rPr>
          <w:rFonts w:ascii="Tahoma" w:hAnsi="Tahoma" w:cs="Tahoma"/>
          <w:sz w:val="22"/>
          <w:szCs w:val="22"/>
        </w:rPr>
      </w:pPr>
      <w:r>
        <w:rPr>
          <w:rFonts w:ascii="Tahoma" w:hAnsi="Tahoma" w:cs="Tahoma"/>
          <w:sz w:val="22"/>
          <w:szCs w:val="22"/>
        </w:rPr>
        <w:t>Zhotovitel ani osoba s ním propojená nesmí za objednatele vykonávat inženýrsko</w:t>
      </w:r>
      <w:r>
        <w:rPr>
          <w:rFonts w:ascii="Tahoma" w:hAnsi="Tahoma" w:cs="Tahoma"/>
          <w:sz w:val="22"/>
          <w:szCs w:val="22"/>
        </w:rPr>
        <w:noBreakHyphen/>
        <w:t>investorskou činnost na stavbě (technický dozor stavebníka).</w:t>
      </w:r>
    </w:p>
    <w:p w14:paraId="0BD0605E" w14:textId="77777777" w:rsidR="00B74453" w:rsidRDefault="00000000">
      <w:pPr>
        <w:pStyle w:val="Smlouva-slo0"/>
        <w:spacing w:line="240" w:lineRule="auto"/>
        <w:ind w:left="357" w:hanging="357"/>
        <w:rPr>
          <w:rFonts w:ascii="Tahoma" w:hAnsi="Tahoma" w:cs="Tahoma"/>
          <w:bCs/>
          <w:caps/>
          <w:sz w:val="22"/>
          <w:szCs w:val="22"/>
        </w:rPr>
      </w:pPr>
      <w:r>
        <w:rPr>
          <w:rFonts w:ascii="Tahoma" w:hAnsi="Tahoma" w:cs="Tahoma"/>
          <w:bCs/>
          <w:caps/>
          <w:sz w:val="22"/>
          <w:szCs w:val="22"/>
        </w:rPr>
        <w:t>Kontrola prováděných prací, organizace kontrolních dnů</w:t>
      </w:r>
    </w:p>
    <w:p w14:paraId="540DB071"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Kontrola prováděných prací bude realizována:</w:t>
      </w:r>
    </w:p>
    <w:p w14:paraId="2C36C508" w14:textId="77777777" w:rsidR="00B74453" w:rsidRDefault="00000000">
      <w:pPr>
        <w:pStyle w:val="Smlouva-slo0"/>
        <w:numPr>
          <w:ilvl w:val="0"/>
          <w:numId w:val="25"/>
        </w:numPr>
        <w:tabs>
          <w:tab w:val="left" w:pos="720"/>
        </w:tabs>
        <w:spacing w:line="240" w:lineRule="auto"/>
        <w:ind w:left="714" w:hanging="357"/>
        <w:rPr>
          <w:rFonts w:ascii="Tahoma" w:hAnsi="Tahoma" w:cs="Tahoma"/>
          <w:sz w:val="22"/>
          <w:szCs w:val="22"/>
        </w:rPr>
      </w:pPr>
      <w:r>
        <w:rPr>
          <w:rFonts w:ascii="Tahoma" w:hAnsi="Tahoma" w:cs="Tahoma"/>
          <w:sz w:val="22"/>
          <w:szCs w:val="22"/>
        </w:rPr>
        <w:t>osobou vykonávající technický dozor stavebníka,</w:t>
      </w:r>
    </w:p>
    <w:p w14:paraId="4C317F8C" w14:textId="77777777" w:rsidR="00B74453" w:rsidRDefault="00000000">
      <w:pPr>
        <w:pStyle w:val="Smlouva-slo0"/>
        <w:numPr>
          <w:ilvl w:val="0"/>
          <w:numId w:val="25"/>
        </w:numPr>
        <w:tabs>
          <w:tab w:val="left" w:pos="720"/>
        </w:tabs>
        <w:spacing w:line="240" w:lineRule="auto"/>
        <w:ind w:left="714" w:hanging="357"/>
        <w:rPr>
          <w:rFonts w:ascii="Tahoma" w:hAnsi="Tahoma" w:cs="Tahoma"/>
          <w:sz w:val="22"/>
          <w:szCs w:val="22"/>
        </w:rPr>
      </w:pPr>
      <w:r>
        <w:rPr>
          <w:rFonts w:ascii="Tahoma" w:hAnsi="Tahoma" w:cs="Tahoma"/>
          <w:sz w:val="22"/>
          <w:szCs w:val="22"/>
        </w:rPr>
        <w:t>osobou vykonávající činnost autorského dozoru projektanta,</w:t>
      </w:r>
    </w:p>
    <w:p w14:paraId="21F70E2E" w14:textId="77777777" w:rsidR="00B74453" w:rsidRDefault="00000000">
      <w:pPr>
        <w:pStyle w:val="Smlouva-slo0"/>
        <w:numPr>
          <w:ilvl w:val="0"/>
          <w:numId w:val="25"/>
        </w:numPr>
        <w:tabs>
          <w:tab w:val="left" w:pos="720"/>
        </w:tabs>
        <w:spacing w:line="240" w:lineRule="auto"/>
        <w:ind w:left="714" w:hanging="357"/>
        <w:rPr>
          <w:rFonts w:ascii="Tahoma" w:hAnsi="Tahoma" w:cs="Tahoma"/>
          <w:sz w:val="22"/>
          <w:szCs w:val="22"/>
        </w:rPr>
      </w:pPr>
      <w:r>
        <w:rPr>
          <w:rFonts w:ascii="Tahoma" w:hAnsi="Tahoma" w:cs="Tahoma"/>
          <w:sz w:val="22"/>
          <w:szCs w:val="22"/>
        </w:rPr>
        <w:t>orgány státní správy oprávněnými ke kontrole na základě zvláštních předpisů,</w:t>
      </w:r>
    </w:p>
    <w:p w14:paraId="1DE7B8E7" w14:textId="77777777" w:rsidR="00B74453" w:rsidRDefault="00000000">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5DAD469D" w14:textId="77777777" w:rsidR="00B74453" w:rsidRDefault="00000000">
      <w:pPr>
        <w:pStyle w:val="Smlouva-slo0"/>
        <w:spacing w:line="240" w:lineRule="auto"/>
        <w:ind w:firstLine="357"/>
        <w:rPr>
          <w:rFonts w:ascii="Tahoma" w:hAnsi="Tahoma" w:cs="Tahoma"/>
          <w:sz w:val="22"/>
          <w:szCs w:val="22"/>
        </w:rPr>
      </w:pPr>
      <w:r>
        <w:rPr>
          <w:rFonts w:ascii="Tahoma" w:hAnsi="Tahoma" w:cs="Tahoma"/>
          <w:sz w:val="22"/>
          <w:szCs w:val="22"/>
        </w:rPr>
        <w:t>Zhotovitel je povinen umožnit uvedeným osobám provedení kontroly realizovaných prací.</w:t>
      </w:r>
    </w:p>
    <w:p w14:paraId="5B7AE6ED" w14:textId="77777777" w:rsidR="00B74453" w:rsidRDefault="00000000">
      <w:pPr>
        <w:widowControl w:val="0"/>
        <w:numPr>
          <w:ilvl w:val="0"/>
          <w:numId w:val="7"/>
        </w:numPr>
        <w:spacing w:before="60"/>
        <w:jc w:val="both"/>
        <w:rPr>
          <w:rFonts w:ascii="Tahoma" w:hAnsi="Tahoma" w:cs="Tahoma"/>
          <w:sz w:val="22"/>
          <w:szCs w:val="22"/>
        </w:rPr>
      </w:pPr>
      <w:r>
        <w:rPr>
          <w:rFonts w:ascii="Tahoma" w:hAnsi="Tahoma" w:cs="Tahoma"/>
          <w:sz w:val="22"/>
          <w:szCs w:val="22"/>
        </w:rPr>
        <w:t>Osoba vykonávající technický dozor stavebníka je kromě kontroly provádění díla oprávněna i ke kontrole dokumentace k realizaci stavby vypracované zhotovitelem, kontrole stavebního deníku, kontrole rozpočtů a faktur, kontrole hospodaření s odpady a k dalším úkonům vyplývajícím z příslušné smlouvy na zajištění výkonu inženýrské a investorské činnosti při realizaci stavby.</w:t>
      </w:r>
    </w:p>
    <w:p w14:paraId="14F9EF89"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vyzve osobu vykonávající technický dozor stavebníka prokazatelnou formou nejméně 3 pracovní dny předem k prověření kvality prací, jež budou dalším postupem při zhotovování díla zakryty.</w:t>
      </w:r>
    </w:p>
    <w:p w14:paraId="536721A7" w14:textId="77777777" w:rsidR="00B74453" w:rsidRDefault="00000000">
      <w:pPr>
        <w:pStyle w:val="Smlouva-slo0"/>
        <w:spacing w:before="60" w:line="240" w:lineRule="auto"/>
        <w:ind w:left="357"/>
        <w:rPr>
          <w:rFonts w:ascii="Tahoma" w:hAnsi="Tahoma" w:cs="Tahoma"/>
          <w:sz w:val="22"/>
          <w:szCs w:val="22"/>
        </w:rPr>
      </w:pPr>
      <w:r>
        <w:rPr>
          <w:rFonts w:ascii="Tahoma" w:hAnsi="Tahoma" w:cs="Tahoma"/>
          <w:sz w:val="22"/>
          <w:szCs w:val="22"/>
        </w:rPr>
        <w:t>V případě, že se na tuto výzvu osoba vykonávající technický dozor stavebníka bez vážných důvodů nedostaví, může zhotovitel pokračovat v provádění díla po předchozím písemném upozornění objednatele a předmětné práce zakrýt. Bude</w:t>
      </w:r>
      <w:r>
        <w:rPr>
          <w:rFonts w:ascii="Tahoma" w:hAnsi="Tahoma" w:cs="Tahoma"/>
          <w:sz w:val="22"/>
          <w:szCs w:val="22"/>
        </w:rPr>
        <w:noBreakHyphen/>
        <w:t>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3682D710" w14:textId="77777777" w:rsidR="00B74453" w:rsidRDefault="00000000">
      <w:pPr>
        <w:pStyle w:val="Smlouva-slo0"/>
        <w:spacing w:before="60" w:line="240" w:lineRule="auto"/>
        <w:ind w:left="357"/>
        <w:rPr>
          <w:rFonts w:ascii="Tahoma" w:hAnsi="Tahoma" w:cs="Tahoma"/>
          <w:sz w:val="22"/>
          <w:szCs w:val="22"/>
        </w:rPr>
      </w:pPr>
      <w:r>
        <w:rPr>
          <w:rFonts w:ascii="Tahoma" w:hAnsi="Tahoma" w:cs="Tahoma"/>
          <w:sz w:val="22"/>
          <w:szCs w:val="22"/>
        </w:rPr>
        <w:t>Pokud zhotovitel osobu vykonávající technický dozor stavebníka prokazatelnou formou k převzetí prací před jejich zakrytím nevyzve, případně osoba vykonávající technický dozor stavebníka práce nepřevezme a nedá písemný souhlas k jejich zakrytí zápisem do stavebního deníku, je zhotovitel povinen na výzvu objednatele případné již zakryté práce odkrýt. V tomto případě nese veškeré náklady spojené s odkrytím, opravou chybného stavu a následným zakrytím zhotovitel.</w:t>
      </w:r>
    </w:p>
    <w:p w14:paraId="54816105" w14:textId="77777777" w:rsidR="00B74453" w:rsidRDefault="00000000">
      <w:pPr>
        <w:pStyle w:val="Smlouva-slo0"/>
        <w:numPr>
          <w:ilvl w:val="0"/>
          <w:numId w:val="7"/>
        </w:numPr>
        <w:spacing w:line="240" w:lineRule="auto"/>
        <w:ind w:left="357" w:hanging="357"/>
        <w:rPr>
          <w:rFonts w:ascii="Tahoma" w:hAnsi="Tahoma" w:cs="Tahoma"/>
          <w:sz w:val="22"/>
          <w:szCs w:val="22"/>
        </w:rPr>
      </w:pPr>
      <w:r>
        <w:rPr>
          <w:rFonts w:ascii="Tahoma" w:hAnsi="Tahoma" w:cs="Tahoma"/>
          <w:sz w:val="22"/>
          <w:szCs w:val="22"/>
        </w:rPr>
        <w:t>Zhotovitel písemně vyzve kromě osoby vykonávající technický dozor stavebníka i správce podzemních vedení a inženýrských sítí dotčených stavbou k jejich kontrole a převzetí a zjištěnou skutečnost nechá potvrdit zápisem ve stavebním deníku. Zhotovitel před jejich zakrytím zajistí na své náklady geodetická zaměření, která nejpozději před dokončením díla nebo jeho části předá objednateli.</w:t>
      </w:r>
    </w:p>
    <w:p w14:paraId="490AB102" w14:textId="77777777" w:rsidR="0057306E" w:rsidRDefault="0057306E">
      <w:pPr>
        <w:keepNext/>
        <w:spacing w:before="360"/>
        <w:jc w:val="center"/>
        <w:rPr>
          <w:rFonts w:ascii="Tahoma" w:hAnsi="Tahoma" w:cs="Tahoma"/>
          <w:b/>
          <w:sz w:val="22"/>
          <w:szCs w:val="22"/>
        </w:rPr>
      </w:pPr>
    </w:p>
    <w:p w14:paraId="2D301B68" w14:textId="383F60CA" w:rsidR="00B74453" w:rsidRDefault="0057306E">
      <w:pPr>
        <w:keepNext/>
        <w:spacing w:before="360"/>
        <w:jc w:val="center"/>
        <w:rPr>
          <w:rFonts w:ascii="Tahoma" w:hAnsi="Tahoma" w:cs="Tahoma"/>
          <w:b/>
          <w:sz w:val="22"/>
          <w:szCs w:val="22"/>
        </w:rPr>
      </w:pPr>
      <w:r>
        <w:rPr>
          <w:rFonts w:ascii="Tahoma" w:hAnsi="Tahoma" w:cs="Tahoma"/>
          <w:b/>
          <w:sz w:val="22"/>
          <w:szCs w:val="22"/>
        </w:rPr>
        <w:t>X</w:t>
      </w:r>
      <w:r w:rsidR="00000000">
        <w:rPr>
          <w:rFonts w:ascii="Tahoma" w:hAnsi="Tahoma" w:cs="Tahoma"/>
          <w:b/>
          <w:sz w:val="22"/>
          <w:szCs w:val="22"/>
        </w:rPr>
        <w:t>.</w:t>
      </w:r>
      <w:r w:rsidR="00000000">
        <w:rPr>
          <w:rFonts w:ascii="Tahoma" w:hAnsi="Tahoma" w:cs="Tahoma"/>
          <w:b/>
          <w:sz w:val="22"/>
          <w:szCs w:val="22"/>
        </w:rPr>
        <w:br/>
        <w:t>Předání díla</w:t>
      </w:r>
    </w:p>
    <w:p w14:paraId="299834F5"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Objednatel se zavazuje dokončené dílo převzít okamžitě od doručení výzvy zhotovitele v případě, že dílo bude předáno bez vad a nedodělků bránících jeho řádnému užívání. Doba od zahájení přejímacího řízení do převzetí díla (případně nepřevzetí z důvodu vad nebo nedodělků bránících jeho řádnému užívání) se nepočítá do doby plnění dle čl. IV odst. 1 této smlouvy.</w:t>
      </w:r>
    </w:p>
    <w:p w14:paraId="4F345C1E"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O předání a převzetí díla bude sepsán protokol mezi objednatelem a zhotovitelem. Protokol připraví a sepíše osoba vykonávající technický dozor stavebníka.</w:t>
      </w:r>
    </w:p>
    <w:p w14:paraId="26BEBED2" w14:textId="77777777" w:rsidR="00B74453" w:rsidRDefault="00000000">
      <w:pPr>
        <w:widowControl w:val="0"/>
        <w:spacing w:before="120"/>
        <w:ind w:left="357"/>
        <w:jc w:val="both"/>
        <w:rPr>
          <w:rFonts w:ascii="Tahoma" w:hAnsi="Tahoma" w:cs="Tahoma"/>
          <w:sz w:val="22"/>
          <w:szCs w:val="22"/>
        </w:rPr>
      </w:pPr>
      <w:r>
        <w:rPr>
          <w:rFonts w:ascii="Tahoma" w:hAnsi="Tahoma" w:cs="Tahoma"/>
          <w:sz w:val="22"/>
          <w:szCs w:val="22"/>
        </w:rPr>
        <w:t>Protokol bude obsahovat:</w:t>
      </w:r>
    </w:p>
    <w:p w14:paraId="7EAB428C"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předmětu díla,</w:t>
      </w:r>
    </w:p>
    <w:p w14:paraId="0B24E0E9"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označení objednatele a zhotovitele díla,</w:t>
      </w:r>
    </w:p>
    <w:p w14:paraId="20D4FB6D"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číslo a datum uzavření smlouvy o dílo včetně čísel a dat uzavření jejích dodatků,</w:t>
      </w:r>
    </w:p>
    <w:p w14:paraId="25BE4197"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termín vyklizení staveniště,</w:t>
      </w:r>
    </w:p>
    <w:p w14:paraId="0EE71227"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ukončení záruky za jakost na dílo,</w:t>
      </w:r>
    </w:p>
    <w:p w14:paraId="51B022E8"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zahájení po dokončení díla,</w:t>
      </w:r>
    </w:p>
    <w:p w14:paraId="6D37F5B8"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termín zahájení a dokončení prací na zhotovovaném díle,</w:t>
      </w:r>
    </w:p>
    <w:p w14:paraId="16DA9313"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seznam převzaté dokumentace,</w:t>
      </w:r>
    </w:p>
    <w:p w14:paraId="5A4903DC"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prohlášení objednatele, že dílo přejímá (nepřejímá),</w:t>
      </w:r>
    </w:p>
    <w:p w14:paraId="3E260575"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a místo sepsání protokolu,</w:t>
      </w:r>
    </w:p>
    <w:p w14:paraId="53AC40FB"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v případě, je</w:t>
      </w:r>
      <w:r>
        <w:rPr>
          <w:rFonts w:ascii="Tahoma" w:hAnsi="Tahoma" w:cs="Tahoma"/>
          <w:sz w:val="22"/>
          <w:szCs w:val="22"/>
        </w:rPr>
        <w:noBreakHyphen/>
        <w:t>li dílo přebíráno s vadami a nedodělky, uvedení, že je dílo přebíráno s výhradami a seznam vad a nedodělků, s nimiž bylo dílo převzato, včetně uvedení lhůty k odstranění těchto vad,</w:t>
      </w:r>
    </w:p>
    <w:p w14:paraId="1245B11B" w14:textId="77777777" w:rsidR="00B74453" w:rsidRDefault="00000000">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jména a podpisy zástupců objednatele, zhotovitele a osoby vykonávající technický dozor stavebníka.</w:t>
      </w:r>
    </w:p>
    <w:p w14:paraId="16A81D12" w14:textId="77777777" w:rsidR="00B74453" w:rsidRDefault="00000000">
      <w:pPr>
        <w:widowControl w:val="0"/>
        <w:numPr>
          <w:ilvl w:val="0"/>
          <w:numId w:val="9"/>
        </w:numPr>
        <w:spacing w:before="120"/>
        <w:ind w:left="426" w:hanging="426"/>
        <w:jc w:val="both"/>
        <w:rPr>
          <w:rFonts w:ascii="Tahoma" w:hAnsi="Tahoma" w:cs="Tahoma"/>
          <w:sz w:val="22"/>
          <w:szCs w:val="22"/>
        </w:rPr>
      </w:pPr>
      <w:r>
        <w:rPr>
          <w:rFonts w:ascii="Tahoma" w:hAnsi="Tahoma" w:cs="Tahoma"/>
          <w:sz w:val="22"/>
          <w:szCs w:val="22"/>
        </w:rPr>
        <w:t>Zhotovitel je povinen provést předepsané zkoušky dle platných právních předpisů a technických norem. Úspěšné provedení těchto zkoušek je podmínkou převzetí díla.</w:t>
      </w:r>
    </w:p>
    <w:p w14:paraId="4A700139"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Doklady o řádném provedení díla dle technických norem a předpisů, o provedených zkouškách, atestech a další dokumentaci podle této smlouvy včetně prohlášení o shodě a dokladů nutných k získání kolaudačního souhlasu/kolaudačního rozhodnutí, pokud bude potřebné, zhotovitel předá objednateli při předání díla. Pokud zhotovitel objednateli doklady dle předchozí věty nepředá, objednatel dílo nepřevezme. Předáním díla objednateli není zhotovitel zbaven povinnosti doklady na výzvu objednatele doplnit.</w:t>
      </w:r>
    </w:p>
    <w:p w14:paraId="45EBBEB3" w14:textId="77777777" w:rsidR="00B74453" w:rsidRDefault="00000000">
      <w:pPr>
        <w:widowControl w:val="0"/>
        <w:numPr>
          <w:ilvl w:val="0"/>
          <w:numId w:val="9"/>
        </w:numPr>
        <w:spacing w:before="120"/>
        <w:ind w:left="357" w:hanging="357"/>
        <w:jc w:val="both"/>
        <w:rPr>
          <w:rFonts w:ascii="Tahoma" w:hAnsi="Tahoma" w:cs="Tahoma"/>
          <w:sz w:val="22"/>
          <w:szCs w:val="22"/>
        </w:rPr>
      </w:pPr>
      <w:r>
        <w:rPr>
          <w:rFonts w:ascii="Tahoma" w:hAnsi="Tahoma" w:cs="Tahoma"/>
          <w:sz w:val="22"/>
          <w:szCs w:val="22"/>
        </w:rPr>
        <w:t>Zhotovitel se zavazuje zúčastnit se na výzvu objednatele závěrečné kontrolní prohlídky stavby nebo místního šetření v rámci kolaudačního řízení podle stavebního zákona, pokud bude probíhat.</w:t>
      </w:r>
    </w:p>
    <w:p w14:paraId="7FFFAE71" w14:textId="77777777" w:rsidR="00B74453" w:rsidRDefault="00000000">
      <w:pPr>
        <w:widowControl w:val="0"/>
        <w:numPr>
          <w:ilvl w:val="0"/>
          <w:numId w:val="9"/>
        </w:numPr>
        <w:spacing w:before="120"/>
        <w:ind w:left="357" w:hanging="357"/>
        <w:jc w:val="both"/>
        <w:rPr>
          <w:rFonts w:ascii="Tahoma" w:hAnsi="Tahoma" w:cs="Tahoma"/>
          <w:sz w:val="22"/>
          <w:szCs w:val="22"/>
          <w:u w:val="single"/>
        </w:rPr>
      </w:pPr>
      <w:r>
        <w:rPr>
          <w:rFonts w:ascii="Tahoma" w:hAnsi="Tahoma" w:cs="Tahoma"/>
          <w:sz w:val="22"/>
          <w:szCs w:val="22"/>
        </w:rPr>
        <w:t>Pokud objednatel převezme dílo s vadami a nedodělky nebránícími řádnému užívání díla, budou tyto vady a nedodělky odstraněny ve lhůtě stanovené v protokolu o předání a převzetí díla. O odstranění těchto vad a nedodělků bude smluvními stranami sepsán zápis, který vyhotoví osoba vykonávající technický dozor stavebníka. Zápis bude obsahovat jména a podpisy oprávněných zástupců smluvních stran a osoby vykonávající technický dozor stavebníka.</w:t>
      </w:r>
    </w:p>
    <w:p w14:paraId="0ED427F4" w14:textId="7270F9C0" w:rsidR="00B74453" w:rsidRDefault="00000000">
      <w:pPr>
        <w:keepNext/>
        <w:spacing w:before="360"/>
        <w:jc w:val="center"/>
        <w:rPr>
          <w:rFonts w:ascii="Tahoma" w:hAnsi="Tahoma" w:cs="Tahoma"/>
          <w:b/>
          <w:sz w:val="22"/>
          <w:szCs w:val="22"/>
        </w:rPr>
      </w:pPr>
      <w:r>
        <w:rPr>
          <w:rFonts w:ascii="Tahoma" w:hAnsi="Tahoma" w:cs="Tahoma"/>
          <w:b/>
          <w:sz w:val="22"/>
          <w:szCs w:val="22"/>
        </w:rPr>
        <w:lastRenderedPageBreak/>
        <w:t>XI.</w:t>
      </w:r>
      <w:r>
        <w:rPr>
          <w:rFonts w:ascii="Tahoma" w:hAnsi="Tahoma" w:cs="Tahoma"/>
          <w:b/>
          <w:sz w:val="22"/>
          <w:szCs w:val="22"/>
        </w:rPr>
        <w:br/>
        <w:t>Práva z vadného plnění, záruka za jakost</w:t>
      </w:r>
    </w:p>
    <w:p w14:paraId="7C0D7BB3"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Dílo má vadu, jestliže neodpovídá požadavkům uvedeným v této smlouvě.</w:t>
      </w:r>
    </w:p>
    <w:p w14:paraId="2C4F8DD8"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Objednatel má právo z vadného plnění z vad, které má dílo při převzetí objednatelem, byť se vada projeví až později. Objednatel má právo z vadného plnění také z vad vzniklých po převzetí díla objednatelem, pokud je zhotovitel způsobil porušením své povinnosti. Projeví</w:t>
      </w:r>
      <w:r>
        <w:rPr>
          <w:rFonts w:ascii="Tahoma" w:hAnsi="Tahoma" w:cs="Tahoma"/>
          <w:sz w:val="22"/>
          <w:szCs w:val="22"/>
        </w:rPr>
        <w:noBreakHyphen/>
        <w:t>li se vada v průběhu 6 měsíců od převzetí díla objednatelem, má se zato, že dílo bylo vadné již při převzetí, neprokáže-li zhotovitel opak.</w:t>
      </w:r>
    </w:p>
    <w:p w14:paraId="03016F37"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Zhotovitel poskytuje objednateli na provedené dílo záruku za jakost (dále jen „záruka“) ve smyslu § 2619 a § 2113 a násl. občanského zákoníku, a to v délce:</w:t>
      </w:r>
    </w:p>
    <w:p w14:paraId="691438FD" w14:textId="77777777" w:rsidR="00B74453" w:rsidRDefault="00000000">
      <w:pPr>
        <w:numPr>
          <w:ilvl w:val="0"/>
          <w:numId w:val="27"/>
        </w:numPr>
        <w:tabs>
          <w:tab w:val="left" w:pos="714"/>
        </w:tabs>
        <w:spacing w:before="120"/>
        <w:ind w:left="714" w:hanging="357"/>
        <w:jc w:val="both"/>
        <w:rPr>
          <w:rFonts w:ascii="Tahoma" w:hAnsi="Tahoma" w:cs="Tahoma"/>
          <w:sz w:val="22"/>
          <w:szCs w:val="22"/>
        </w:rPr>
      </w:pPr>
      <w:r>
        <w:rPr>
          <w:rFonts w:ascii="Tahoma" w:hAnsi="Tahoma" w:cs="Tahoma"/>
          <w:sz w:val="22"/>
          <w:szCs w:val="22"/>
        </w:rPr>
        <w:t xml:space="preserve">60 měsíců na provedené práce a dodávky, pokud nejsou uvedeny v písm. b) tohoto odstavce, </w:t>
      </w:r>
    </w:p>
    <w:p w14:paraId="47DB41F7" w14:textId="77777777" w:rsidR="00B74453" w:rsidRDefault="00000000">
      <w:pPr>
        <w:numPr>
          <w:ilvl w:val="0"/>
          <w:numId w:val="27"/>
        </w:numPr>
        <w:tabs>
          <w:tab w:val="left" w:pos="714"/>
        </w:tabs>
        <w:spacing w:before="120"/>
        <w:ind w:left="714" w:hanging="357"/>
        <w:jc w:val="both"/>
        <w:rPr>
          <w:rFonts w:ascii="Tahoma" w:hAnsi="Tahoma" w:cs="Tahoma"/>
          <w:sz w:val="22"/>
          <w:szCs w:val="22"/>
        </w:rPr>
      </w:pPr>
      <w:r>
        <w:rPr>
          <w:rFonts w:ascii="Tahoma" w:hAnsi="Tahoma" w:cs="Tahoma"/>
          <w:sz w:val="22"/>
          <w:szCs w:val="22"/>
        </w:rPr>
        <w:t>na dodávku předmětné podlahové krytiny v délce shodné se zárukou poskytovanou výrobcem, nejméně však 24 měsíců,</w:t>
      </w:r>
    </w:p>
    <w:p w14:paraId="417E7B78" w14:textId="77777777" w:rsidR="00B74453" w:rsidRDefault="00000000">
      <w:pPr>
        <w:tabs>
          <w:tab w:val="left" w:pos="-1418"/>
        </w:tabs>
        <w:spacing w:before="120"/>
        <w:ind w:left="357"/>
        <w:jc w:val="both"/>
        <w:rPr>
          <w:rFonts w:ascii="Tahoma" w:hAnsi="Tahoma" w:cs="Tahoma"/>
          <w:sz w:val="22"/>
          <w:szCs w:val="22"/>
        </w:rPr>
      </w:pPr>
      <w:r>
        <w:rPr>
          <w:rFonts w:ascii="Tahoma" w:hAnsi="Tahoma" w:cs="Tahoma"/>
          <w:sz w:val="22"/>
          <w:szCs w:val="22"/>
        </w:rPr>
        <w:t>(dále též „záruční doba“).</w:t>
      </w:r>
    </w:p>
    <w:p w14:paraId="2C538329" w14:textId="77777777" w:rsidR="00B74453" w:rsidRDefault="00000000">
      <w:pPr>
        <w:spacing w:before="120"/>
        <w:ind w:left="357"/>
        <w:jc w:val="both"/>
        <w:rPr>
          <w:rFonts w:ascii="Tahoma" w:hAnsi="Tahoma" w:cs="Tahoma"/>
          <w:sz w:val="22"/>
          <w:szCs w:val="22"/>
        </w:rPr>
      </w:pPr>
      <w:r>
        <w:rPr>
          <w:rFonts w:ascii="Tahoma" w:hAnsi="Tahoma" w:cs="Tahoma"/>
          <w:sz w:val="22"/>
          <w:szCs w:val="22"/>
        </w:rPr>
        <w:t>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dále v tomto článku smlouvy.</w:t>
      </w:r>
    </w:p>
    <w:p w14:paraId="1ADB8A32"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Vady a nedodělky díla z vadného plnění a dále také vady, které se projeví během záruční doby, budou zhotovitelem odstraněny bezplatně, a to včetně všech potřebných náhradních dílů a dalšího materiálu.</w:t>
      </w:r>
    </w:p>
    <w:p w14:paraId="735172E2"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Veškeré vady díla bude objednatel povinen uplatnit u zhotovitele bez zbytečného odkladu poté, kdy vadu zjistil, a to formou písemného oznámení (za písemné oznámení se považuje i oznámení e</w:t>
      </w:r>
      <w:r>
        <w:rPr>
          <w:rFonts w:ascii="Tahoma" w:hAnsi="Tahoma" w:cs="Tahoma"/>
          <w:sz w:val="22"/>
          <w:szCs w:val="22"/>
        </w:rPr>
        <w:noBreakHyphen/>
        <w:t>mailem), obsahujícího specifikaci zjištěné vady. Objednatel bude vady díla oznamovat na:</w:t>
      </w:r>
    </w:p>
    <w:p w14:paraId="16B13653" w14:textId="77777777" w:rsidR="00B74453" w:rsidRDefault="00000000">
      <w:pPr>
        <w:pStyle w:val="Smlouva-slo0"/>
        <w:numPr>
          <w:ilvl w:val="1"/>
          <w:numId w:val="11"/>
        </w:numPr>
        <w:tabs>
          <w:tab w:val="left" w:pos="720"/>
          <w:tab w:val="left" w:pos="3119"/>
        </w:tabs>
        <w:spacing w:before="60" w:line="240" w:lineRule="auto"/>
        <w:ind w:left="714" w:hanging="357"/>
        <w:jc w:val="left"/>
        <w:rPr>
          <w:rFonts w:ascii="Tahoma" w:hAnsi="Tahoma" w:cs="Tahoma"/>
          <w:color w:val="FF0000"/>
          <w:sz w:val="22"/>
          <w:szCs w:val="22"/>
        </w:rPr>
      </w:pPr>
      <w:r>
        <w:rPr>
          <w:rFonts w:ascii="Tahoma" w:hAnsi="Tahoma" w:cs="Tahoma"/>
          <w:color w:val="FF0000"/>
          <w:sz w:val="22"/>
          <w:szCs w:val="22"/>
        </w:rPr>
        <w:t>e</w:t>
      </w:r>
      <w:r>
        <w:rPr>
          <w:rFonts w:ascii="Tahoma" w:hAnsi="Tahoma" w:cs="Tahoma"/>
          <w:color w:val="FF0000"/>
          <w:sz w:val="22"/>
          <w:szCs w:val="22"/>
        </w:rPr>
        <w:noBreakHyphen/>
      </w:r>
      <w:r>
        <w:rPr>
          <w:rFonts w:ascii="Tahoma" w:hAnsi="Tahoma" w:cs="Tahoma"/>
          <w:bCs/>
          <w:color w:val="FF0000"/>
          <w:sz w:val="22"/>
          <w:szCs w:val="22"/>
        </w:rPr>
        <w:t>mail</w:t>
      </w:r>
      <w:r>
        <w:rPr>
          <w:rFonts w:ascii="Tahoma" w:hAnsi="Tahoma" w:cs="Tahoma"/>
          <w:color w:val="FF0000"/>
          <w:sz w:val="22"/>
          <w:szCs w:val="22"/>
        </w:rPr>
        <w:t>:</w:t>
      </w:r>
      <w:r>
        <w:rPr>
          <w:rFonts w:ascii="Tahoma" w:hAnsi="Tahoma" w:cs="Tahoma"/>
          <w:color w:val="FF0000"/>
          <w:sz w:val="22"/>
          <w:szCs w:val="22"/>
        </w:rPr>
        <w:tab/>
      </w:r>
      <w:r>
        <w:rPr>
          <w:rFonts w:ascii="Tahoma" w:hAnsi="Tahoma" w:cs="Tahoma"/>
          <w:bCs/>
          <w:color w:val="FF0000"/>
          <w:sz w:val="22"/>
          <w:szCs w:val="22"/>
        </w:rPr>
        <w:t>…………………………, nebo</w:t>
      </w:r>
    </w:p>
    <w:p w14:paraId="277DC91F" w14:textId="77777777" w:rsidR="00B74453" w:rsidRDefault="00000000">
      <w:pPr>
        <w:pStyle w:val="Smlouva-slo0"/>
        <w:numPr>
          <w:ilvl w:val="1"/>
          <w:numId w:val="11"/>
        </w:numPr>
        <w:tabs>
          <w:tab w:val="left" w:pos="720"/>
          <w:tab w:val="left" w:pos="3119"/>
        </w:tabs>
        <w:spacing w:before="60" w:line="240" w:lineRule="auto"/>
        <w:ind w:left="714" w:hanging="357"/>
        <w:jc w:val="left"/>
        <w:rPr>
          <w:rFonts w:ascii="Tahoma" w:hAnsi="Tahoma" w:cs="Tahoma"/>
          <w:color w:val="FF0000"/>
          <w:sz w:val="22"/>
          <w:szCs w:val="22"/>
        </w:rPr>
      </w:pPr>
      <w:r>
        <w:rPr>
          <w:rFonts w:ascii="Tahoma" w:hAnsi="Tahoma" w:cs="Tahoma"/>
          <w:bCs/>
          <w:color w:val="FF0000"/>
          <w:sz w:val="22"/>
          <w:szCs w:val="22"/>
        </w:rPr>
        <w:t>adresu</w:t>
      </w:r>
      <w:r>
        <w:rPr>
          <w:rFonts w:ascii="Tahoma" w:hAnsi="Tahoma" w:cs="Tahoma"/>
          <w:color w:val="FF0000"/>
          <w:sz w:val="22"/>
          <w:szCs w:val="22"/>
        </w:rPr>
        <w:t>:</w:t>
      </w:r>
      <w:r>
        <w:rPr>
          <w:rFonts w:ascii="Tahoma" w:hAnsi="Tahoma" w:cs="Tahoma"/>
          <w:color w:val="FF0000"/>
          <w:sz w:val="22"/>
          <w:szCs w:val="22"/>
        </w:rPr>
        <w:tab/>
      </w:r>
      <w:r>
        <w:rPr>
          <w:rFonts w:ascii="Tahoma" w:hAnsi="Tahoma" w:cs="Tahoma"/>
          <w:bCs/>
          <w:color w:val="FF0000"/>
          <w:sz w:val="22"/>
          <w:szCs w:val="22"/>
        </w:rPr>
        <w:t>…………………………, nebo</w:t>
      </w:r>
    </w:p>
    <w:p w14:paraId="1F99823B" w14:textId="77777777" w:rsidR="00B74453" w:rsidRDefault="00000000">
      <w:pPr>
        <w:pStyle w:val="Smlouva-slo0"/>
        <w:numPr>
          <w:ilvl w:val="1"/>
          <w:numId w:val="11"/>
        </w:numPr>
        <w:tabs>
          <w:tab w:val="left" w:pos="720"/>
          <w:tab w:val="left" w:pos="3119"/>
        </w:tabs>
        <w:spacing w:before="60" w:line="240" w:lineRule="auto"/>
        <w:ind w:left="714" w:hanging="357"/>
        <w:jc w:val="left"/>
        <w:rPr>
          <w:rFonts w:ascii="Tahoma" w:hAnsi="Tahoma" w:cs="Tahoma"/>
          <w:color w:val="FF0000"/>
          <w:sz w:val="22"/>
          <w:szCs w:val="22"/>
        </w:rPr>
      </w:pPr>
      <w:r>
        <w:rPr>
          <w:rFonts w:ascii="Tahoma" w:hAnsi="Tahoma" w:cs="Tahoma"/>
          <w:color w:val="FF0000"/>
          <w:sz w:val="22"/>
          <w:szCs w:val="22"/>
        </w:rPr>
        <w:t>do datové schránky:</w:t>
      </w:r>
      <w:r>
        <w:rPr>
          <w:color w:val="FF0000"/>
        </w:rPr>
        <w:tab/>
      </w:r>
      <w:r>
        <w:rPr>
          <w:rFonts w:ascii="Tahoma" w:hAnsi="Tahoma" w:cs="Tahoma"/>
          <w:color w:val="FF0000"/>
          <w:sz w:val="22"/>
          <w:szCs w:val="22"/>
        </w:rPr>
        <w:t xml:space="preserve">………………………… </w:t>
      </w:r>
    </w:p>
    <w:p w14:paraId="5F25CE59" w14:textId="77777777" w:rsidR="00B74453" w:rsidRDefault="00000000">
      <w:pPr>
        <w:numPr>
          <w:ilvl w:val="0"/>
          <w:numId w:val="11"/>
        </w:numPr>
        <w:spacing w:before="120"/>
        <w:jc w:val="both"/>
        <w:rPr>
          <w:rFonts w:ascii="Tahoma" w:hAnsi="Tahoma" w:cs="Tahoma"/>
          <w:iCs/>
          <w:sz w:val="22"/>
          <w:szCs w:val="22"/>
        </w:rPr>
      </w:pPr>
      <w:r>
        <w:rPr>
          <w:rFonts w:ascii="Tahoma" w:hAnsi="Tahoma" w:cs="Tahoma"/>
          <w:sz w:val="22"/>
          <w:szCs w:val="22"/>
        </w:rPr>
        <w:t>Objednatel má právo na odstranění vady opravou; je</w:t>
      </w:r>
      <w:r>
        <w:rPr>
          <w:rFonts w:ascii="Tahoma" w:hAnsi="Tahoma" w:cs="Tahoma"/>
          <w:sz w:val="22"/>
          <w:szCs w:val="22"/>
        </w:rPr>
        <w:noBreakHyphen/>
        <w:t>li vadné plnění podstatným porušením smlouvy, má také právo od smlouvy odstoupit. Právo volby plnění má objednatel.</w:t>
      </w:r>
    </w:p>
    <w:p w14:paraId="486A2005" w14:textId="77777777" w:rsidR="00B74453" w:rsidRDefault="00000000">
      <w:pPr>
        <w:numPr>
          <w:ilvl w:val="0"/>
          <w:numId w:val="11"/>
        </w:numPr>
        <w:spacing w:before="120"/>
        <w:ind w:left="357" w:hanging="357"/>
        <w:jc w:val="both"/>
        <w:rPr>
          <w:rFonts w:ascii="Tahoma" w:hAnsi="Tahoma" w:cs="Tahoma"/>
          <w:sz w:val="22"/>
          <w:szCs w:val="22"/>
        </w:rPr>
      </w:pPr>
      <w:r>
        <w:rPr>
          <w:rFonts w:ascii="Tahoma" w:hAnsi="Tahoma" w:cs="Tahoma"/>
          <w:sz w:val="22"/>
          <w:szCs w:val="22"/>
        </w:rPr>
        <w:t>Zhotovitel započne s odstraněním vady nejpozději do 5 pracovních dnů od doručení oznámení o vadě, pokud se smluvní strany nedohodnou písemně jinak. V případě havárie započne s odstraněním vady neodkladně, nejpozději do 12 hodin od doručení oznámení o vadě. Nezapočne</w:t>
      </w:r>
      <w:r>
        <w:rPr>
          <w:rFonts w:ascii="Tahoma" w:hAnsi="Tahoma" w:cs="Tahoma"/>
          <w:sz w:val="22"/>
          <w:szCs w:val="22"/>
        </w:rPr>
        <w:noBreakHyphen/>
        <w:t>li zhotovitel s odstraněním vady ve stanovené lhůtě, je objednatel oprávněn zajistit odstranění vady na náklady zhotovitele u jiné odborné osoby. Vada bude odstraněna nejpozději do 5 pracovních dnů ode dne doručení oznámení o vadě, v případě havárie nejpozději do 24</w:t>
      </w:r>
      <w:r>
        <w:rPr>
          <w:rFonts w:ascii="Tahoma" w:hAnsi="Tahoma" w:cs="Tahoma"/>
          <w:b/>
          <w:bCs/>
          <w:sz w:val="22"/>
          <w:szCs w:val="22"/>
        </w:rPr>
        <w:t xml:space="preserve"> </w:t>
      </w:r>
      <w:r>
        <w:rPr>
          <w:rFonts w:ascii="Tahoma" w:hAnsi="Tahoma" w:cs="Tahoma"/>
          <w:sz w:val="22"/>
          <w:szCs w:val="22"/>
        </w:rPr>
        <w:t>hodin od doručení oznámení o vadě, pokud se smluvní strany nedohodnou písemně jinak. K dohodám dle tohoto odstavce je oprávněna pouze osoba oprávněná jednat ve věcech realizace stavby dle čl. I odst. 1 této smlouvy, příp. jiný oprávněný zástupce objednatele.</w:t>
      </w:r>
    </w:p>
    <w:p w14:paraId="2A5B4B0A" w14:textId="77777777" w:rsidR="00B74453" w:rsidRDefault="00000000">
      <w:pPr>
        <w:numPr>
          <w:ilvl w:val="0"/>
          <w:numId w:val="11"/>
        </w:numPr>
        <w:spacing w:before="120"/>
        <w:ind w:left="357" w:hanging="357"/>
        <w:jc w:val="both"/>
        <w:rPr>
          <w:rFonts w:ascii="Tahoma" w:hAnsi="Tahoma" w:cs="Tahoma"/>
          <w:b/>
          <w:sz w:val="22"/>
          <w:szCs w:val="22"/>
        </w:rPr>
      </w:pPr>
      <w:r>
        <w:rPr>
          <w:rFonts w:ascii="Tahoma" w:hAnsi="Tahoma" w:cs="Tahoma"/>
          <w:sz w:val="22"/>
          <w:szCs w:val="22"/>
        </w:rPr>
        <w:t>Provedenou opravu vady zhotovitel objednateli předá písemně. Na provedenou opravu poskytne zhotovitel záruku za jakost v délce shodné s délkou sjednané záruky na dílo dle této smlouvy.</w:t>
      </w:r>
    </w:p>
    <w:p w14:paraId="0B5A95B4" w14:textId="732A28D1" w:rsidR="00B74453" w:rsidRDefault="00000000">
      <w:pPr>
        <w:keepNext/>
        <w:spacing w:before="360"/>
        <w:jc w:val="center"/>
        <w:rPr>
          <w:rFonts w:ascii="Tahoma" w:hAnsi="Tahoma" w:cs="Tahoma"/>
          <w:b/>
          <w:sz w:val="22"/>
          <w:szCs w:val="22"/>
        </w:rPr>
      </w:pPr>
      <w:r>
        <w:rPr>
          <w:rFonts w:ascii="Tahoma" w:hAnsi="Tahoma" w:cs="Tahoma"/>
          <w:b/>
          <w:sz w:val="22"/>
          <w:szCs w:val="22"/>
        </w:rPr>
        <w:lastRenderedPageBreak/>
        <w:t>XII.</w:t>
      </w:r>
      <w:r>
        <w:rPr>
          <w:rFonts w:ascii="Tahoma" w:hAnsi="Tahoma" w:cs="Tahoma"/>
          <w:b/>
          <w:sz w:val="22"/>
          <w:szCs w:val="22"/>
        </w:rPr>
        <w:br/>
        <w:t>Vlastnické právo, nebezpečí škody</w:t>
      </w:r>
    </w:p>
    <w:p w14:paraId="2D2DD06A" w14:textId="77777777" w:rsidR="00B74453" w:rsidRDefault="00000000">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zhotovované věci, která je předmětem díla, je od počátku objednatel. Nebezpečí škody na zhotovované věci, i na věci, která je předmětem údržby, opravy nebo úpravy, která je předmětem díla, nese zhotovitel. Nebezpečí škody přechází na objednatele dnem převzetí díla objednatelem.</w:t>
      </w:r>
    </w:p>
    <w:p w14:paraId="51A14AEC"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je povinen učinit veškerá opatření potřebná k odvrácení škody nebo k jejímu zmírnění.</w:t>
      </w:r>
    </w:p>
    <w:p w14:paraId="33C42676"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je povinen nahradit objednateli v plné výši škodu, která vznikla při realizaci a užívání díla v souvislosti nebo jako důsledek porušení povinností a závazků zhotovitele dle této smlouvy.</w:t>
      </w:r>
    </w:p>
    <w:p w14:paraId="070457D5"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Zhotovitel se zavazuje, že po celou dobu realizace díla až do okamžiku převzetí díla objednatelem a odstranění případných vad a nedodělků, s nimiž bylo dílo převzato, bude mít na vlastní náklady sjednáno pojištění odpovědnosti za škodu způsobenou třetím osobám vyplývající z dodávaného předmětu plnění s limitem min. 2 mil. Kč. Pojištění musí obsahovat krytí škod způsobené na majetku a zdraví třetích osob.</w:t>
      </w:r>
    </w:p>
    <w:p w14:paraId="4CAA4D7C" w14:textId="77777777" w:rsidR="00B74453" w:rsidRDefault="00000000">
      <w:pPr>
        <w:pStyle w:val="Smlouva-slo0"/>
        <w:numPr>
          <w:ilvl w:val="0"/>
          <w:numId w:val="12"/>
        </w:numPr>
        <w:spacing w:line="240" w:lineRule="auto"/>
        <w:ind w:left="357" w:hanging="357"/>
        <w:rPr>
          <w:rFonts w:ascii="Tahoma" w:hAnsi="Tahoma" w:cs="Tahoma"/>
          <w:sz w:val="22"/>
          <w:szCs w:val="22"/>
        </w:rPr>
      </w:pPr>
      <w:r>
        <w:rPr>
          <w:rFonts w:ascii="Tahoma" w:hAnsi="Tahoma" w:cs="Tahoma"/>
          <w:sz w:val="22"/>
          <w:szCs w:val="22"/>
        </w:rPr>
        <w:t xml:space="preserve">Zhotovitel je povinen předat objednateli při podpisu této smlouvy </w:t>
      </w:r>
      <w:r>
        <w:rPr>
          <w:rFonts w:ascii="Tahoma" w:hAnsi="Tahoma" w:cs="Tahoma"/>
          <w:color w:val="000000"/>
          <w:sz w:val="22"/>
          <w:szCs w:val="22"/>
          <w:shd w:val="clear" w:color="auto" w:fill="FFFFFF"/>
        </w:rPr>
        <w:t>a dále na vyžádání objednatelem kdykoliv v průběhu provádění díla </w:t>
      </w:r>
      <w:r>
        <w:rPr>
          <w:rFonts w:ascii="Tahoma" w:hAnsi="Tahoma" w:cs="Tahoma"/>
          <w:sz w:val="22"/>
          <w:szCs w:val="22"/>
        </w:rPr>
        <w:t>kopie pojistných smluv na požadovaná pojištění dle této smlouvy, včetně všech dodatků a dále certifikáty příslušných pojišťoven prokazující existenci pojištění po celou dobu provádění díla (dobu trvání pojištění, jeho rozsah, pojištěná rizika, pojistné částky, roční limity a sublimity plnění a výši spoluúčasti). Certifikát dle předchozí věty nesmí být starší jednoho měsíce.</w:t>
      </w:r>
    </w:p>
    <w:p w14:paraId="3C6B7659" w14:textId="41095ED7" w:rsidR="00B74453" w:rsidRDefault="00000000">
      <w:pPr>
        <w:keepNext/>
        <w:spacing w:before="360"/>
        <w:jc w:val="center"/>
        <w:rPr>
          <w:rFonts w:ascii="Tahoma" w:hAnsi="Tahoma" w:cs="Tahoma"/>
          <w:b/>
          <w:bCs/>
          <w:sz w:val="22"/>
          <w:szCs w:val="22"/>
        </w:rPr>
      </w:pPr>
      <w:r>
        <w:rPr>
          <w:rFonts w:ascii="Tahoma" w:hAnsi="Tahoma" w:cs="Tahoma"/>
          <w:b/>
          <w:bCs/>
          <w:sz w:val="22"/>
          <w:szCs w:val="22"/>
        </w:rPr>
        <w:t>XI</w:t>
      </w:r>
      <w:r w:rsidR="0057306E">
        <w:rPr>
          <w:rFonts w:ascii="Tahoma" w:hAnsi="Tahoma" w:cs="Tahoma"/>
          <w:b/>
          <w:bCs/>
          <w:sz w:val="22"/>
          <w:szCs w:val="22"/>
        </w:rPr>
        <w:t>II</w:t>
      </w:r>
      <w:r>
        <w:rPr>
          <w:rFonts w:ascii="Tahoma" w:hAnsi="Tahoma" w:cs="Tahoma"/>
          <w:b/>
          <w:bCs/>
          <w:sz w:val="22"/>
          <w:szCs w:val="22"/>
        </w:rPr>
        <w:t>.</w:t>
      </w:r>
      <w:r>
        <w:br/>
      </w:r>
      <w:r>
        <w:rPr>
          <w:rFonts w:ascii="Tahoma" w:hAnsi="Tahoma" w:cs="Tahoma"/>
          <w:b/>
          <w:bCs/>
          <w:sz w:val="22"/>
          <w:szCs w:val="22"/>
        </w:rPr>
        <w:t>Sankční ujednání</w:t>
      </w:r>
    </w:p>
    <w:p w14:paraId="01A8082E"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bude zhotovitel v prodlení s provedením díla v době plnění dle čl. IV odst. 1 této smlouvy, je povinen zaplatit objednateli smluvní pokutu ve výši 0,25 % z ceny za dílo bez DPH za každý i započatý den prodlení.</w:t>
      </w:r>
    </w:p>
    <w:p w14:paraId="264E8A01"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zhotovitel neodstraní všechny drobné vady a nedodělky, s nimiž bylo dílo převzato, ve lhůtě dle čl. XI odst. 6 této smlouvy, je povinen zaplatit objednateli smluvní pokutu ve výši 0,01 % z ceny za dílo bez DPH za každý i započatý den prodlení.</w:t>
      </w:r>
    </w:p>
    <w:p w14:paraId="2E11122C"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Pro případ prodlení se zaplacením ceny za dílo sjednávají smluvní strany úrok z prodlení ve výši stanovené občanskoprávními předpisy.</w:t>
      </w:r>
    </w:p>
    <w:p w14:paraId="5FF2DDBD"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prodlení s vyklizením a vyčištěním staveniště ve lhůtě dle čl. VIII odst. 6 této smlouvy je zhotovitel povinen zaplatit objednateli smluvní pokutu ve výši 0,05 % z ceny za dílo bez DPH za každý i započatý den prodlení.</w:t>
      </w:r>
    </w:p>
    <w:p w14:paraId="03318341"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porušení povinnosti zhotovitele plnit</w:t>
      </w:r>
      <w:r>
        <w:rPr>
          <w:rFonts w:ascii="Tahoma" w:hAnsi="Tahoma" w:cs="Tahoma"/>
          <w:color w:val="002FFF"/>
          <w:sz w:val="22"/>
          <w:szCs w:val="22"/>
        </w:rPr>
        <w:t xml:space="preserve"> </w:t>
      </w:r>
      <w:r>
        <w:rPr>
          <w:rFonts w:ascii="Tahoma" w:hAnsi="Tahoma" w:cs="Tahoma"/>
          <w:sz w:val="22"/>
          <w:szCs w:val="22"/>
        </w:rPr>
        <w:t>požadavky dotčených orgánů a organizací související s realizací stavby, je zhotovitel povinen zaplatit objednateli smluvní pokutu ve výši 0,01 % z ceny za dílo bez DPH za každý zjištěný případ.</w:t>
      </w:r>
    </w:p>
    <w:p w14:paraId="1D84F97B"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porušení předpisů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kteroukoliv z osob vyskytujících se na staveništi je zhotovitel povinen zaplatit objednateli smluvní pokutu ve výši 3.000 Kč za každý zjištěný případ.</w:t>
      </w:r>
    </w:p>
    <w:p w14:paraId="1163A540"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lastRenderedPageBreak/>
        <w:t>V případě prodlení zhotovitele s odstraněním vady ve lhůtě dle čl. XII odst. 7 této smlouvy je zhotovitel povinen zaplatit objednateli smluvní pokutu ve výši 0,05 % z ceny za dílo bez DPH za každý i započatý den prodlení.</w:t>
      </w:r>
    </w:p>
    <w:p w14:paraId="36C75042"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bude zjištěno, že stavební deník, případně projektová dokumentace a doklady potřebné k provádění stavby dle stavebního zákona, nejsou přístupné kdykoliv v průběhu práce na staveništi, je zhotovitel povinen zaplatit objednateli smluvní pokutu ve výši 0,05 % z ceny za dílo bez DPH za každý zjištěný případ.</w:t>
      </w:r>
    </w:p>
    <w:p w14:paraId="175EBCCF"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zhotovitel poruší kteroukoliv povinnost stanovenou v čl. XIII odst. 4 nebo 5 této smlouvy, je zhotovitel povinen zaplatit objednateli smluvní pokutu ve výši 5.000 Kč za každý zjištěný případ a každý den prodlení.</w:t>
      </w:r>
    </w:p>
    <w:p w14:paraId="287E19F5"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zhotovitel poruší jakoukoliv svou povinnost stanovenou v čl. IX odst. 9 nebo 10 nebo 27 této smlouvy, je povinen zaplatit objednateli smluvní pokutu ve výši 5.000 Kč za každý zjištěný případ.</w:t>
      </w:r>
    </w:p>
    <w:p w14:paraId="08B68DCB"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zhotovitel poruší svou povinnost stanovenou v čl. IX odst. 12 této smlouvy, je povinen zaplatit objednateli smluvní pokutu ve výši 2.000 Kč za každý zjištěný případ.</w:t>
      </w:r>
    </w:p>
    <w:p w14:paraId="5E6A6AA7"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se zhotovitel opakovaně (za opakovaně se přitom považuje nejméně dvakrát) nebude řídit podklady nebo prokazatelně uloženými pokyny objednatele (tj. zejména pokyny zadanými písemně, např. ve stavebním deníku), nebo objednateli neposkytne požadovanou dokumentaci a informace, je povinen zaplatit objednateli smluvní pokutu ve výši 2.000 Kč za každý zjištěný případ.</w:t>
      </w:r>
    </w:p>
    <w:p w14:paraId="338A7491"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61A6A7BB"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Sjednané smluvní pokuty zaplatí povinná strana nezávisle na zavinění a na tom, zda a v jaké výši vznikne druhé straně škoda.</w:t>
      </w:r>
    </w:p>
    <w:p w14:paraId="517D8E98" w14:textId="77777777" w:rsidR="00B74453" w:rsidRDefault="00000000">
      <w:pPr>
        <w:numPr>
          <w:ilvl w:val="0"/>
          <w:numId w:val="14"/>
        </w:numPr>
        <w:spacing w:before="120"/>
        <w:jc w:val="both"/>
        <w:rPr>
          <w:rFonts w:ascii="Tahoma" w:hAnsi="Tahoma" w:cs="Tahoma"/>
          <w:sz w:val="22"/>
          <w:szCs w:val="22"/>
        </w:rPr>
      </w:pPr>
      <w:r>
        <w:rPr>
          <w:rFonts w:ascii="Tahoma" w:hAnsi="Tahoma" w:cs="Tahoma"/>
          <w:sz w:val="22"/>
          <w:szCs w:val="22"/>
        </w:rPr>
        <w:t>Smluvní pokuty se nezapočítávají na náhradu případně vzniklé škody. Náhradu škody lze vymáhat samostatně vedle smluvní pokuty v plné výši.</w:t>
      </w:r>
    </w:p>
    <w:p w14:paraId="58D43901" w14:textId="1F8844FC" w:rsidR="00B74453" w:rsidRDefault="00000000">
      <w:pPr>
        <w:keepNext/>
        <w:spacing w:before="360"/>
        <w:jc w:val="center"/>
        <w:rPr>
          <w:rFonts w:ascii="Tahoma" w:eastAsia="Tahoma" w:hAnsi="Tahoma" w:cs="Tahoma"/>
          <w:b/>
          <w:bCs/>
          <w:sz w:val="22"/>
          <w:szCs w:val="22"/>
        </w:rPr>
      </w:pPr>
      <w:r>
        <w:rPr>
          <w:rFonts w:ascii="Tahoma" w:hAnsi="Tahoma" w:cs="Tahoma"/>
          <w:b/>
          <w:sz w:val="22"/>
          <w:szCs w:val="22"/>
        </w:rPr>
        <w:t>X</w:t>
      </w:r>
      <w:r w:rsidR="0057306E">
        <w:rPr>
          <w:rFonts w:ascii="Tahoma" w:hAnsi="Tahoma" w:cs="Tahoma"/>
          <w:b/>
          <w:sz w:val="22"/>
          <w:szCs w:val="22"/>
        </w:rPr>
        <w:t>I</w:t>
      </w:r>
      <w:r>
        <w:rPr>
          <w:rFonts w:ascii="Tahoma" w:hAnsi="Tahoma" w:cs="Tahoma"/>
          <w:b/>
          <w:sz w:val="22"/>
          <w:szCs w:val="22"/>
        </w:rPr>
        <w:t>V</w:t>
      </w:r>
      <w:r>
        <w:rPr>
          <w:rFonts w:ascii="Tahoma" w:hAnsi="Tahoma" w:cs="Tahoma"/>
          <w:b/>
          <w:bCs/>
          <w:sz w:val="22"/>
          <w:szCs w:val="22"/>
        </w:rPr>
        <w:t>.</w:t>
      </w:r>
      <w:r>
        <w:rPr>
          <w:rFonts w:ascii="Tahoma" w:hAnsi="Tahoma" w:cs="Tahoma"/>
          <w:b/>
          <w:bCs/>
          <w:sz w:val="22"/>
          <w:szCs w:val="22"/>
        </w:rPr>
        <w:br/>
        <w:t>Sankce vůči Rusku a Bělorusku</w:t>
      </w:r>
    </w:p>
    <w:p w14:paraId="609BC8C2"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p>
    <w:p w14:paraId="53719BCF"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informací dle odst. 1 tohoto článku smlouvy.</w:t>
      </w:r>
    </w:p>
    <w:p w14:paraId="48732C2A"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hAnsi="Tahoma" w:cs="Tahoma"/>
          <w:sz w:val="22"/>
          <w:szCs w:val="22"/>
        </w:rPr>
        <w:t xml:space="preserve">Dojde-li k porušení pravidel dle odst. 1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w:t>
      </w:r>
      <w:r>
        <w:rPr>
          <w:rFonts w:ascii="Tahoma" w:hAnsi="Tahoma" w:cs="Tahoma"/>
          <w:sz w:val="22"/>
          <w:szCs w:val="22"/>
        </w:rPr>
        <w:lastRenderedPageBreak/>
        <w:t>s plněním dle této smlouvy.</w:t>
      </w:r>
    </w:p>
    <w:p w14:paraId="05722A8B" w14:textId="77777777" w:rsidR="00B74453" w:rsidRDefault="00000000">
      <w:pPr>
        <w:pStyle w:val="Smlouva-slo0"/>
        <w:numPr>
          <w:ilvl w:val="0"/>
          <w:numId w:val="31"/>
        </w:numPr>
        <w:spacing w:line="240" w:lineRule="auto"/>
        <w:rPr>
          <w:rFonts w:ascii="Tahoma" w:eastAsia="Tahoma" w:hAnsi="Tahoma" w:cs="Tahoma"/>
          <w:sz w:val="22"/>
          <w:szCs w:val="22"/>
        </w:rPr>
      </w:pPr>
      <w:r>
        <w:rPr>
          <w:rFonts w:ascii="Tahoma" w:eastAsia="Tahoma" w:hAnsi="Tahoma" w:cs="Tahoma"/>
          <w:sz w:val="22"/>
          <w:szCs w:val="22"/>
        </w:rPr>
        <w:t xml:space="preserve">Dojde-li k porušení pravidel dle odst. 1 tohoto článku smlouvy, je zhotovitel povinen zaplatit </w:t>
      </w:r>
      <w:r>
        <w:rPr>
          <w:rFonts w:ascii="Tahoma" w:hAnsi="Tahoma" w:cs="Tahoma"/>
          <w:sz w:val="22"/>
          <w:szCs w:val="22"/>
        </w:rPr>
        <w:t>objednateli</w:t>
      </w:r>
      <w:r>
        <w:rPr>
          <w:rFonts w:ascii="Tahoma" w:eastAsia="Tahoma" w:hAnsi="Tahoma" w:cs="Tahoma"/>
          <w:sz w:val="22"/>
          <w:szCs w:val="22"/>
        </w:rPr>
        <w:t xml:space="preserve"> smluvní pokutu ve výši 50.000 Kč, a to za každý jednotlivý případ porušení.</w:t>
      </w:r>
    </w:p>
    <w:p w14:paraId="07D6BD76" w14:textId="49CB3A15" w:rsidR="00B74453" w:rsidRDefault="00000000">
      <w:pPr>
        <w:keepNext/>
        <w:spacing w:before="360"/>
        <w:jc w:val="center"/>
        <w:rPr>
          <w:rFonts w:ascii="Tahoma" w:hAnsi="Tahoma" w:cs="Tahoma"/>
          <w:b/>
          <w:sz w:val="22"/>
          <w:szCs w:val="22"/>
        </w:rPr>
      </w:pPr>
      <w:r>
        <w:rPr>
          <w:rFonts w:ascii="Tahoma" w:hAnsi="Tahoma" w:cs="Tahoma"/>
          <w:b/>
          <w:sz w:val="22"/>
          <w:szCs w:val="22"/>
        </w:rPr>
        <w:t>XV.</w:t>
      </w:r>
      <w:r>
        <w:rPr>
          <w:rFonts w:ascii="Tahoma" w:hAnsi="Tahoma" w:cs="Tahoma"/>
          <w:b/>
          <w:sz w:val="22"/>
          <w:szCs w:val="22"/>
        </w:rPr>
        <w:br/>
        <w:t>Zánik smlouvy</w:t>
      </w:r>
    </w:p>
    <w:p w14:paraId="542F1CBA"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Smluvní strany mohou ukončit smluvní vztah písemnou dohodou.</w:t>
      </w:r>
    </w:p>
    <w:p w14:paraId="2E6DE2A3"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Smluvní strany jsou oprávněny odstoupit od smlouvy v případě jejího podstatného porušení druhou smluvní stranou, přičemž podstatným porušením smlouvy se rozumí zejména:</w:t>
      </w:r>
    </w:p>
    <w:p w14:paraId="489C639A"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neprovedení díla v době plnění dle čl. IV odst. 1 této smlouvy,</w:t>
      </w:r>
    </w:p>
    <w:p w14:paraId="32A5E35D"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nepředání kopie pojistné smlouvy na požadované pojištění dle čl. XIII odst. 5 této smlouvy,</w:t>
      </w:r>
    </w:p>
    <w:p w14:paraId="21102727"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nepřevzetí staveniště zhotovitelem na výzvu objednatele (s výjimkou případů, kdy převzetí brání důvody na straně objednatele),</w:t>
      </w:r>
    </w:p>
    <w:p w14:paraId="03BAB7C6"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pokynů objednatele, právních předpisů nebo technických norem týkajících se provádění díla,</w:t>
      </w:r>
    </w:p>
    <w:p w14:paraId="2D28C7AD"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záruce za jakost,</w:t>
      </w:r>
    </w:p>
    <w:p w14:paraId="1080F9CA"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dílo objednatelem po druhé výzvě zhotovitele k uhrazení dlužné částky, přičemž druhá výzva nesmí následovat dříve než 30 dnů po doručení první výzvy,</w:t>
      </w:r>
    </w:p>
    <w:p w14:paraId="3EFB67DD" w14:textId="77777777" w:rsidR="00B74453" w:rsidRDefault="00000000">
      <w:pPr>
        <w:pStyle w:val="Smlouva-slo0"/>
        <w:numPr>
          <w:ilvl w:val="0"/>
          <w:numId w:val="19"/>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jakéhokoliv smluvního ujednání dle čl. IX odst. 10 této smlouvy.</w:t>
      </w:r>
    </w:p>
    <w:p w14:paraId="4DCC6CF0"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Objednatel je dále oprávněn od této smlouvy odstoupit v těchto případech:</w:t>
      </w:r>
    </w:p>
    <w:p w14:paraId="367C235B" w14:textId="77777777" w:rsidR="00B74453" w:rsidRDefault="00000000">
      <w:pPr>
        <w:numPr>
          <w:ilvl w:val="0"/>
          <w:numId w:val="26"/>
        </w:numPr>
        <w:tabs>
          <w:tab w:val="left" w:pos="714"/>
        </w:tabs>
        <w:spacing w:before="60"/>
        <w:ind w:left="714" w:hanging="357"/>
        <w:jc w:val="both"/>
        <w:rPr>
          <w:rFonts w:ascii="Tahoma" w:hAnsi="Tahoma" w:cs="Tahoma"/>
          <w:color w:val="000000"/>
          <w:sz w:val="22"/>
          <w:szCs w:val="22"/>
        </w:rPr>
      </w:pPr>
      <w:r>
        <w:rPr>
          <w:rFonts w:ascii="Tahoma" w:hAnsi="Tahoma" w:cs="Tahoma"/>
          <w:color w:val="000000"/>
          <w:sz w:val="22"/>
          <w:szCs w:val="22"/>
        </w:rPr>
        <w:t>dojde</w:t>
      </w:r>
      <w:r>
        <w:rPr>
          <w:rFonts w:ascii="Tahoma" w:hAnsi="Tahoma" w:cs="Tahoma"/>
          <w:color w:val="000000"/>
          <w:sz w:val="22"/>
          <w:szCs w:val="22"/>
        </w:rPr>
        <w:noBreakHyphen/>
        <w:t>li k neoprávněnému zastavení prací z rozhodnutí zhotovitele nebo zhotovitel postupuje při provádění díla způsobem, který zjevně neodpovídá dohodnutému rozsahu díla a sjednanému termínu předání díla, či jeho části objednateli;</w:t>
      </w:r>
    </w:p>
    <w:p w14:paraId="536530AD" w14:textId="77777777" w:rsidR="00B74453" w:rsidRDefault="00000000">
      <w:pPr>
        <w:numPr>
          <w:ilvl w:val="0"/>
          <w:numId w:val="26"/>
        </w:numPr>
        <w:tabs>
          <w:tab w:val="left"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t>li příslušným soudem rozhodnuto o tom, že zhotovitel je v úpadku ve smyslu zákona č. 182/2006 Sb., o úpadku a způsobech jeho řešení (insolvenční zákon), ve znění pozdějších předpisů (a to bez ohledu na právní moc tohoto rozhodnutí);</w:t>
      </w:r>
    </w:p>
    <w:p w14:paraId="6C0935C9" w14:textId="77777777" w:rsidR="00B74453" w:rsidRDefault="00000000">
      <w:pPr>
        <w:numPr>
          <w:ilvl w:val="0"/>
          <w:numId w:val="26"/>
        </w:numPr>
        <w:tabs>
          <w:tab w:val="left" w:pos="720"/>
        </w:tabs>
        <w:spacing w:before="60"/>
        <w:ind w:left="714" w:hanging="357"/>
        <w:jc w:val="both"/>
        <w:rPr>
          <w:rFonts w:ascii="Tahoma" w:hAnsi="Tahoma" w:cs="Tahoma"/>
          <w:color w:val="000000"/>
          <w:sz w:val="22"/>
          <w:szCs w:val="22"/>
        </w:rPr>
      </w:pPr>
      <w:r>
        <w:rPr>
          <w:rFonts w:ascii="Tahoma" w:hAnsi="Tahoma" w:cs="Tahoma"/>
          <w:color w:val="000000"/>
          <w:sz w:val="22"/>
          <w:szCs w:val="22"/>
        </w:rPr>
        <w:t>podá</w:t>
      </w:r>
      <w:r>
        <w:rPr>
          <w:rFonts w:ascii="Tahoma" w:hAnsi="Tahoma" w:cs="Tahoma"/>
          <w:color w:val="000000"/>
          <w:sz w:val="22"/>
          <w:szCs w:val="22"/>
        </w:rPr>
        <w:noBreakHyphen/>
        <w:t>li zhotovitel sám na sebe insolvenční návrh.</w:t>
      </w:r>
    </w:p>
    <w:p w14:paraId="38615129" w14:textId="77777777" w:rsidR="00B74453" w:rsidRDefault="00000000">
      <w:pPr>
        <w:pStyle w:val="Smlouva-slo0"/>
        <w:numPr>
          <w:ilvl w:val="0"/>
          <w:numId w:val="13"/>
        </w:numPr>
        <w:spacing w:line="240" w:lineRule="auto"/>
        <w:ind w:left="357" w:hanging="357"/>
        <w:rPr>
          <w:rFonts w:ascii="Tahoma" w:hAnsi="Tahoma" w:cs="Tahoma"/>
          <w:color w:val="000000"/>
          <w:sz w:val="22"/>
          <w:szCs w:val="22"/>
        </w:rPr>
      </w:pPr>
      <w:r>
        <w:rPr>
          <w:rFonts w:ascii="Tahoma" w:hAnsi="Tahoma" w:cs="Tahoma"/>
          <w:sz w:val="22"/>
          <w:szCs w:val="22"/>
        </w:rPr>
        <w:t>Odstoupením</w:t>
      </w:r>
      <w:r>
        <w:rPr>
          <w:rFonts w:ascii="Tahoma" w:hAnsi="Tahoma" w:cs="Tahoma"/>
          <w:color w:val="000000"/>
          <w:sz w:val="22"/>
          <w:szCs w:val="22"/>
        </w:rPr>
        <w:t xml:space="preserve"> od smlouvy není dotčeno právo oprávněné smluvní strany na zaplacení smluvní pokuty ani na náhradu škody vzniklé porušením smlouvy. Odstoupením od smlouvy není dotčena smluvní záruka na vady, která se uplatní v rozsahu stanoveném touto smlouvou na dosud provedenou část díla. Odstoupením od smlouvy není dotčena odpovědnost za vady, které existují na doposud zhotovené části díla ke dni odstoupení.</w:t>
      </w:r>
    </w:p>
    <w:p w14:paraId="08737687" w14:textId="77777777" w:rsidR="00B74453" w:rsidRDefault="00000000">
      <w:pPr>
        <w:pStyle w:val="Smlouva-slo0"/>
        <w:numPr>
          <w:ilvl w:val="0"/>
          <w:numId w:val="13"/>
        </w:numPr>
        <w:spacing w:line="240" w:lineRule="auto"/>
        <w:ind w:left="357" w:hanging="357"/>
        <w:rPr>
          <w:rFonts w:ascii="Tahoma" w:hAnsi="Tahoma" w:cs="Tahoma"/>
          <w:sz w:val="22"/>
          <w:szCs w:val="22"/>
        </w:rPr>
      </w:pPr>
      <w:r>
        <w:rPr>
          <w:rFonts w:ascii="Tahoma" w:hAnsi="Tahoma" w:cs="Tahoma"/>
          <w:sz w:val="22"/>
          <w:szCs w:val="22"/>
        </w:rPr>
        <w:t>Pro účely této smlouvy se pod pojmem „bez zbytečného odkladu“ dle § 2002 občanského zákoníku rozumí „nejpozději do 14 dnů“.</w:t>
      </w:r>
    </w:p>
    <w:p w14:paraId="5096CA58" w14:textId="14801CDC" w:rsidR="00B74453" w:rsidRDefault="00000000">
      <w:pPr>
        <w:keepNext/>
        <w:spacing w:before="360"/>
        <w:jc w:val="center"/>
        <w:rPr>
          <w:rFonts w:ascii="Tahoma" w:hAnsi="Tahoma" w:cs="Tahoma"/>
          <w:b/>
          <w:sz w:val="22"/>
          <w:szCs w:val="22"/>
        </w:rPr>
      </w:pPr>
      <w:r>
        <w:rPr>
          <w:rFonts w:ascii="Tahoma" w:hAnsi="Tahoma" w:cs="Tahoma"/>
          <w:b/>
          <w:sz w:val="22"/>
          <w:szCs w:val="22"/>
        </w:rPr>
        <w:t>XVI.</w:t>
      </w:r>
      <w:r>
        <w:rPr>
          <w:rFonts w:ascii="Tahoma" w:hAnsi="Tahoma" w:cs="Tahoma"/>
          <w:b/>
          <w:sz w:val="22"/>
          <w:szCs w:val="22"/>
        </w:rPr>
        <w:br/>
        <w:t>Závěrečná ujednání</w:t>
      </w:r>
    </w:p>
    <w:p w14:paraId="43DD7FBD"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Změnit nebo doplnit tuto smlouvu mohou smluvní strany pouze formou písemných dodatků, které budou vzestupně číslovány, výslovně prohlášeny za dodatky této smlouvy a podepsány oprávněnými zástupci smluvních stran.</w:t>
      </w:r>
    </w:p>
    <w:p w14:paraId="237A5379"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Tato smlouva nabývá platnosti dnem jejího podpisu oběma smluvními stranami a účinnosti dnem, kdy vyjádření souhlasu s obsahem návrhu smlouvy dojde druhé smluvní straně, nestanoví</w:t>
      </w:r>
      <w:r>
        <w:rPr>
          <w:rFonts w:ascii="Tahoma" w:hAnsi="Tahoma" w:cs="Tahoma"/>
          <w:sz w:val="22"/>
          <w:szCs w:val="22"/>
        </w:rPr>
        <w:noBreakHyphen/>
        <w:t xml:space="preserve">li zákon č. 340/2015 Sb., o zvláštních podmínkách účinnosti některých smluv, </w:t>
      </w:r>
      <w:r>
        <w:rPr>
          <w:rFonts w:ascii="Tahoma" w:hAnsi="Tahoma" w:cs="Tahoma"/>
          <w:sz w:val="22"/>
          <w:szCs w:val="22"/>
        </w:rPr>
        <w:lastRenderedPageBreak/>
        <w:t>uveřejňování těchto smluv a o registru smluv (zákon o registru smluv), ve znění pozdějších předpisů (dále jen „zákon o registru smluv“), jinak. V takovém případě nabývá smlouva účinnosti nejdříve dnem jejího uveřejnění v registru smluv.</w:t>
      </w:r>
    </w:p>
    <w:p w14:paraId="26E10C52" w14:textId="77777777" w:rsidR="00B74453" w:rsidRDefault="00000000">
      <w:pPr>
        <w:pStyle w:val="Smlouva-slo0"/>
        <w:numPr>
          <w:ilvl w:val="0"/>
          <w:numId w:val="40"/>
        </w:numPr>
        <w:snapToGrid w:val="0"/>
        <w:spacing w:line="240" w:lineRule="auto"/>
        <w:rPr>
          <w:rFonts w:ascii="Tahoma" w:hAnsi="Tahoma" w:cs="Tahoma"/>
          <w:sz w:val="22"/>
          <w:szCs w:val="22"/>
        </w:rPr>
      </w:pPr>
      <w:r>
        <w:rPr>
          <w:rFonts w:ascii="Tahoma" w:hAnsi="Tahoma" w:cs="Tahoma"/>
          <w:sz w:val="22"/>
          <w:szCs w:val="22"/>
        </w:rPr>
        <w:t>Tato smlouva je vyhotovena ve třech stejnopisech s platností originálu, přičemž objednatel  obdrží dvě a zhotovitel jedno vyhotovení.</w:t>
      </w:r>
    </w:p>
    <w:p w14:paraId="22A26495"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Zhotovitel nemůže bez souhlasu objednatele postoupit svá práva a povinnosti plynoucí z této smlouvy třetí osobě.</w:t>
      </w:r>
    </w:p>
    <w:p w14:paraId="4AF963D9"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5C784CC1"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Smluvní strany se dohodly, že pokud se na tuto smlouvu vztahuje povinnost uveřejnění v registru smluv ve smyslu zákona o registru smluv, provede uveřejnění v souladu se zákonem objednatel.</w:t>
      </w:r>
    </w:p>
    <w:p w14:paraId="0E25688D"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r>
          <w:rPr>
            <w:rStyle w:val="Hypertextovodkaz"/>
            <w:rFonts w:ascii="Tahoma" w:hAnsi="Tahoma" w:cs="Tahoma"/>
            <w:sz w:val="22"/>
            <w:szCs w:val="22"/>
          </w:rPr>
          <w:t>www.frengp.cz</w:t>
        </w:r>
      </w:hyperlink>
      <w:r>
        <w:rPr>
          <w:rFonts w:ascii="Tahoma" w:hAnsi="Tahoma" w:cs="Tahoma"/>
          <w:sz w:val="22"/>
          <w:szCs w:val="22"/>
        </w:rPr>
        <w:t>.</w:t>
      </w:r>
    </w:p>
    <w:p w14:paraId="4C2893EE" w14:textId="77777777" w:rsidR="00B74453" w:rsidRDefault="00000000">
      <w:pPr>
        <w:pStyle w:val="Smlouva-slo0"/>
        <w:numPr>
          <w:ilvl w:val="0"/>
          <w:numId w:val="15"/>
        </w:numPr>
        <w:spacing w:line="240" w:lineRule="auto"/>
        <w:rPr>
          <w:rFonts w:ascii="Tahoma" w:hAnsi="Tahoma" w:cs="Tahoma"/>
          <w:sz w:val="22"/>
          <w:szCs w:val="22"/>
        </w:rPr>
      </w:pPr>
      <w:r>
        <w:rPr>
          <w:rFonts w:ascii="Tahoma" w:hAnsi="Tahoma" w:cs="Tahoma"/>
          <w:sz w:val="22"/>
          <w:szCs w:val="22"/>
        </w:rPr>
        <w:t>Nedílnou součástí smlouvy jsou tyto přílohy:</w:t>
      </w:r>
    </w:p>
    <w:p w14:paraId="4BBFFFD4" w14:textId="77777777" w:rsidR="00B74453" w:rsidRDefault="00000000">
      <w:pPr>
        <w:pStyle w:val="Smlouva-slo0"/>
        <w:tabs>
          <w:tab w:val="left" w:pos="1701"/>
        </w:tabs>
        <w:spacing w:line="240" w:lineRule="auto"/>
        <w:ind w:left="357"/>
        <w:rPr>
          <w:rFonts w:ascii="Tahoma" w:hAnsi="Tahoma" w:cs="Tahoma"/>
          <w:sz w:val="22"/>
          <w:szCs w:val="22"/>
        </w:rPr>
      </w:pPr>
      <w:r>
        <w:rPr>
          <w:rFonts w:ascii="Tahoma" w:hAnsi="Tahoma" w:cs="Tahoma"/>
          <w:sz w:val="22"/>
          <w:szCs w:val="22"/>
        </w:rPr>
        <w:t>Příloha č. 1:</w:t>
      </w:r>
      <w:r>
        <w:rPr>
          <w:rFonts w:ascii="Tahoma" w:hAnsi="Tahoma" w:cs="Tahoma"/>
          <w:sz w:val="22"/>
          <w:szCs w:val="22"/>
        </w:rPr>
        <w:tab/>
        <w:t>Soupis prací</w:t>
      </w:r>
    </w:p>
    <w:p w14:paraId="1FC65736" w14:textId="77777777" w:rsidR="00B74453" w:rsidRDefault="00B74453">
      <w:pPr>
        <w:pStyle w:val="Smlouva-slo0"/>
        <w:tabs>
          <w:tab w:val="left" w:pos="1701"/>
        </w:tabs>
        <w:spacing w:after="120" w:line="240" w:lineRule="auto"/>
        <w:ind w:left="1701" w:hanging="1344"/>
        <w:rPr>
          <w:rFonts w:ascii="Tahoma" w:hAnsi="Tahoma" w:cs="Tahoma"/>
          <w:sz w:val="22"/>
          <w:szCs w:val="22"/>
        </w:rPr>
      </w:pPr>
    </w:p>
    <w:tbl>
      <w:tblPr>
        <w:tblW w:w="9070" w:type="dxa"/>
        <w:jc w:val="center"/>
        <w:tblLayout w:type="fixed"/>
        <w:tblCellMar>
          <w:left w:w="70" w:type="dxa"/>
          <w:right w:w="70" w:type="dxa"/>
        </w:tblCellMar>
        <w:tblLook w:val="0000" w:firstRow="0" w:lastRow="0" w:firstColumn="0" w:lastColumn="0" w:noHBand="0" w:noVBand="0"/>
      </w:tblPr>
      <w:tblGrid>
        <w:gridCol w:w="3540"/>
        <w:gridCol w:w="1316"/>
        <w:gridCol w:w="4214"/>
      </w:tblGrid>
      <w:tr w:rsidR="00B74453" w14:paraId="60A94569" w14:textId="77777777">
        <w:trPr>
          <w:jc w:val="center"/>
        </w:trPr>
        <w:tc>
          <w:tcPr>
            <w:tcW w:w="3540" w:type="dxa"/>
          </w:tcPr>
          <w:p w14:paraId="170C7B60" w14:textId="77777777" w:rsidR="00B74453" w:rsidRDefault="00000000">
            <w:pPr>
              <w:widowControl w:val="0"/>
              <w:jc w:val="both"/>
              <w:rPr>
                <w:rFonts w:ascii="Tahoma" w:hAnsi="Tahoma" w:cs="Tahoma"/>
                <w:sz w:val="22"/>
                <w:szCs w:val="22"/>
              </w:rPr>
            </w:pPr>
            <w:r>
              <w:rPr>
                <w:rFonts w:ascii="Tahoma" w:hAnsi="Tahoma" w:cs="Tahoma"/>
                <w:sz w:val="22"/>
                <w:szCs w:val="22"/>
              </w:rPr>
              <w:t xml:space="preserve">V ……………… dne </w:t>
            </w:r>
          </w:p>
          <w:p w14:paraId="54E5D3A9" w14:textId="77777777" w:rsidR="00B74453" w:rsidRDefault="00000000">
            <w:pPr>
              <w:widowControl w:val="0"/>
              <w:spacing w:before="960"/>
              <w:jc w:val="both"/>
              <w:rPr>
                <w:rFonts w:ascii="Tahoma" w:hAnsi="Tahoma" w:cs="Tahoma"/>
                <w:sz w:val="22"/>
                <w:szCs w:val="22"/>
              </w:rPr>
            </w:pPr>
            <w:r>
              <w:rPr>
                <w:rFonts w:ascii="Tahoma" w:hAnsi="Tahoma" w:cs="Tahoma"/>
                <w:sz w:val="22"/>
                <w:szCs w:val="22"/>
              </w:rPr>
              <w:t>……………………………………</w:t>
            </w:r>
          </w:p>
          <w:p w14:paraId="0FF5E6AB" w14:textId="77777777" w:rsidR="00B74453" w:rsidRDefault="00000000">
            <w:pPr>
              <w:widowControl w:val="0"/>
              <w:ind w:left="495"/>
              <w:rPr>
                <w:rFonts w:ascii="Tahoma" w:hAnsi="Tahoma" w:cs="Tahoma"/>
                <w:sz w:val="22"/>
                <w:szCs w:val="22"/>
              </w:rPr>
            </w:pPr>
            <w:r>
              <w:rPr>
                <w:rFonts w:ascii="Tahoma" w:hAnsi="Tahoma" w:cs="Tahoma"/>
                <w:sz w:val="22"/>
                <w:szCs w:val="22"/>
              </w:rPr>
              <w:t>za objednatele</w:t>
            </w:r>
          </w:p>
          <w:p w14:paraId="679EF3A7" w14:textId="77777777" w:rsidR="00B74453" w:rsidRDefault="00B74453">
            <w:pPr>
              <w:widowControl w:val="0"/>
              <w:spacing w:before="60"/>
              <w:ind w:left="998" w:hanging="992"/>
              <w:jc w:val="both"/>
              <w:rPr>
                <w:rFonts w:ascii="Tahoma" w:eastAsia="Calibri" w:hAnsi="Tahoma" w:cs="Tahoma"/>
                <w:i/>
                <w:iCs/>
                <w:color w:val="FF0000"/>
                <w:sz w:val="22"/>
                <w:szCs w:val="22"/>
                <w:lang w:eastAsia="en-US"/>
              </w:rPr>
            </w:pPr>
          </w:p>
        </w:tc>
        <w:tc>
          <w:tcPr>
            <w:tcW w:w="1316" w:type="dxa"/>
          </w:tcPr>
          <w:p w14:paraId="57F63D16" w14:textId="77777777" w:rsidR="00B74453" w:rsidRDefault="00B74453">
            <w:pPr>
              <w:widowControl w:val="0"/>
              <w:rPr>
                <w:rFonts w:ascii="Tahoma" w:hAnsi="Tahoma" w:cs="Tahoma"/>
                <w:sz w:val="22"/>
                <w:szCs w:val="22"/>
              </w:rPr>
            </w:pPr>
          </w:p>
        </w:tc>
        <w:tc>
          <w:tcPr>
            <w:tcW w:w="4214" w:type="dxa"/>
          </w:tcPr>
          <w:p w14:paraId="1C9252A8" w14:textId="77777777" w:rsidR="00B74453" w:rsidRDefault="00000000">
            <w:pPr>
              <w:widowControl w:val="0"/>
              <w:jc w:val="both"/>
              <w:rPr>
                <w:rFonts w:ascii="Tahoma" w:hAnsi="Tahoma" w:cs="Tahoma"/>
                <w:sz w:val="22"/>
                <w:szCs w:val="22"/>
              </w:rPr>
            </w:pPr>
            <w:r>
              <w:rPr>
                <w:rFonts w:ascii="Tahoma" w:hAnsi="Tahoma" w:cs="Tahoma"/>
                <w:sz w:val="22"/>
                <w:szCs w:val="22"/>
              </w:rPr>
              <w:t xml:space="preserve">V ……………… dne </w:t>
            </w:r>
          </w:p>
          <w:p w14:paraId="3479AC75" w14:textId="77777777" w:rsidR="00B74453" w:rsidRDefault="00000000">
            <w:pPr>
              <w:widowControl w:val="0"/>
              <w:spacing w:before="960"/>
              <w:jc w:val="both"/>
              <w:rPr>
                <w:rFonts w:ascii="Tahoma" w:hAnsi="Tahoma" w:cs="Tahoma"/>
                <w:sz w:val="22"/>
                <w:szCs w:val="22"/>
              </w:rPr>
            </w:pPr>
            <w:r>
              <w:rPr>
                <w:rFonts w:ascii="Tahoma" w:hAnsi="Tahoma" w:cs="Tahoma"/>
                <w:sz w:val="22"/>
                <w:szCs w:val="22"/>
              </w:rPr>
              <w:t>……………………………………</w:t>
            </w:r>
          </w:p>
          <w:p w14:paraId="3AD9CB89" w14:textId="77777777" w:rsidR="00B74453" w:rsidRDefault="00000000">
            <w:pPr>
              <w:widowControl w:val="0"/>
              <w:ind w:left="597"/>
              <w:rPr>
                <w:rFonts w:ascii="Tahoma" w:hAnsi="Tahoma" w:cs="Tahoma"/>
                <w:sz w:val="22"/>
                <w:szCs w:val="22"/>
              </w:rPr>
            </w:pPr>
            <w:r>
              <w:rPr>
                <w:rFonts w:ascii="Tahoma" w:hAnsi="Tahoma" w:cs="Tahoma"/>
                <w:sz w:val="22"/>
                <w:szCs w:val="22"/>
              </w:rPr>
              <w:t>za zhotovitele</w:t>
            </w:r>
          </w:p>
          <w:p w14:paraId="5062281A" w14:textId="77777777" w:rsidR="00B74453" w:rsidRDefault="00000000">
            <w:pPr>
              <w:widowControl w:val="0"/>
              <w:ind w:left="171"/>
              <w:rPr>
                <w:rFonts w:ascii="Tahoma" w:hAnsi="Tahoma" w:cs="Tahoma"/>
                <w:sz w:val="22"/>
                <w:szCs w:val="22"/>
              </w:rPr>
            </w:pPr>
            <w:r>
              <w:rPr>
                <w:rFonts w:ascii="Tahoma" w:hAnsi="Tahoma" w:cs="Tahoma"/>
                <w:i/>
                <w:color w:val="FF0000"/>
                <w:sz w:val="22"/>
                <w:szCs w:val="22"/>
              </w:rPr>
              <w:t>jméno, příjmení, funkce</w:t>
            </w:r>
          </w:p>
        </w:tc>
      </w:tr>
    </w:tbl>
    <w:p w14:paraId="58D8B06C" w14:textId="77777777" w:rsidR="00B74453" w:rsidRDefault="00B74453">
      <w:pPr>
        <w:pStyle w:val="Smlouva-slo0"/>
        <w:spacing w:before="0" w:line="240" w:lineRule="auto"/>
        <w:rPr>
          <w:rFonts w:ascii="Tahoma" w:hAnsi="Tahoma" w:cs="Tahoma"/>
          <w:color w:val="002FFF"/>
        </w:rPr>
      </w:pPr>
    </w:p>
    <w:sectPr w:rsidR="00B74453">
      <w:headerReference w:type="default" r:id="rId12"/>
      <w:footerReference w:type="default" r:id="rId13"/>
      <w:headerReference w:type="first" r:id="rId14"/>
      <w:footerReference w:type="first" r:id="rId15"/>
      <w:pgSz w:w="11906" w:h="16838"/>
      <w:pgMar w:top="1418" w:right="1418" w:bottom="1418" w:left="1418" w:header="567" w:footer="1134"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AE8A0" w14:textId="77777777" w:rsidR="009B6F46" w:rsidRDefault="009B6F46">
      <w:r>
        <w:separator/>
      </w:r>
    </w:p>
  </w:endnote>
  <w:endnote w:type="continuationSeparator" w:id="0">
    <w:p w14:paraId="3C7507F4" w14:textId="77777777" w:rsidR="009B6F46" w:rsidRDefault="009B6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roman"/>
    <w:pitch w:val="variable"/>
  </w:font>
  <w:font w:name="Microsoft YaHei">
    <w:panose1 w:val="020B0503020204020204"/>
    <w:charset w:val="00"/>
    <w:family w:val="roman"/>
    <w:notTrueType/>
    <w:pitch w:val="default"/>
  </w:font>
  <w:font w:name="Lucida Sans">
    <w:panose1 w:val="020B0602030504020204"/>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roman"/>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E28F" w14:textId="77777777" w:rsidR="00B74453" w:rsidRDefault="00000000">
    <w:pPr>
      <w:pStyle w:val="Zpat"/>
      <w:pBdr>
        <w:top w:val="single" w:sz="4" w:space="1" w:color="000000"/>
      </w:pBdr>
      <w:tabs>
        <w:tab w:val="left" w:pos="8820"/>
      </w:tabs>
      <w:rPr>
        <w:rFonts w:ascii="Tahoma" w:hAnsi="Tahoma" w:cs="Tahoma"/>
        <w:sz w:val="18"/>
        <w:szCs w:val="18"/>
      </w:rPr>
    </w:pPr>
    <w:r>
      <w:rPr>
        <w:rStyle w:val="slostrnky"/>
        <w:rFonts w:ascii="Tahoma" w:hAnsi="Tahoma" w:cs="Tahoma"/>
        <w:noProof/>
        <w:sz w:val="18"/>
        <w:szCs w:val="18"/>
      </w:rPr>
      <mc:AlternateContent>
        <mc:Choice Requires="wps">
          <w:drawing>
            <wp:anchor distT="0" distB="3810" distL="0" distR="0" simplePos="0" relativeHeight="26" behindDoc="1" locked="0" layoutInCell="0" allowOverlap="1" wp14:anchorId="4C296A7E" wp14:editId="6BE72E79">
              <wp:simplePos x="0" y="0"/>
              <wp:positionH relativeFrom="page">
                <wp:posOffset>-635</wp:posOffset>
              </wp:positionH>
              <wp:positionV relativeFrom="page">
                <wp:posOffset>10043795</wp:posOffset>
              </wp:positionV>
              <wp:extent cx="7560310" cy="491490"/>
              <wp:effectExtent l="0" t="0" r="0" b="3810"/>
              <wp:wrapNone/>
              <wp:docPr id="1" name="MSIPCM4b6249ceb49b7241024779c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wps:spPr>
                      <a:xfrm>
                        <a:off x="0" y="0"/>
                        <a:ext cx="7560360" cy="491400"/>
                      </a:xfrm>
                      <a:prstGeom prst="rect">
                        <a:avLst/>
                      </a:prstGeom>
                      <a:noFill/>
                      <a:ln w="6350">
                        <a:noFill/>
                      </a:ln>
                    </wps:spPr>
                    <wps:style>
                      <a:lnRef idx="0">
                        <a:scrgbClr r="0" g="0" b="0"/>
                      </a:lnRef>
                      <a:fillRef idx="0">
                        <a:scrgbClr r="0" g="0" b="0"/>
                      </a:fillRef>
                      <a:effectRef idx="0">
                        <a:scrgbClr r="0" g="0" b="0"/>
                      </a:effectRef>
                      <a:fontRef idx="minor"/>
                    </wps:style>
                    <wps:txbx>
                      <w:txbxContent>
                        <w:p w14:paraId="2403CEB6" w14:textId="77777777" w:rsidR="00B74453" w:rsidRDefault="00000000">
                          <w:pPr>
                            <w:pStyle w:val="Obsahrmce"/>
                            <w:spacing w:after="120"/>
                            <w:rPr>
                              <w:b/>
                              <w:sz w:val="26"/>
                              <w:szCs w:val="26"/>
                            </w:rPr>
                          </w:pPr>
                          <w:r>
                            <w:rPr>
                              <w:b/>
                              <w:bCs/>
                              <w:color w:val="000000"/>
                            </w:rPr>
                            <w:t xml:space="preserve">           „Elektrostaticky homogenní PVC podlahová krytina do odborné učebny elektro (1 NP, učebna 6)</w:t>
                          </w:r>
                        </w:p>
                        <w:p w14:paraId="411DD656" w14:textId="77777777" w:rsidR="00B74453" w:rsidRDefault="00000000">
                          <w:pPr>
                            <w:pStyle w:val="Obsahrmce"/>
                            <w:spacing w:after="120"/>
                            <w:rPr>
                              <w:b/>
                              <w:sz w:val="26"/>
                              <w:szCs w:val="26"/>
                            </w:rPr>
                          </w:pPr>
                          <w:r>
                            <w:rPr>
                              <w:b/>
                              <w:bCs/>
                              <w:color w:val="000000"/>
                            </w:rPr>
                            <w:t xml:space="preserve">                                            v budově C, Školská čtvrť 1259, Frenštát pod Radhoštěm</w:t>
                          </w:r>
                        </w:p>
                        <w:p w14:paraId="30B48041" w14:textId="77777777" w:rsidR="00B74453" w:rsidRDefault="00000000">
                          <w:pPr>
                            <w:pStyle w:val="Obsahrmce"/>
                            <w:spacing w:after="120"/>
                            <w:rPr>
                              <w:b/>
                              <w:sz w:val="26"/>
                              <w:szCs w:val="26"/>
                            </w:rPr>
                          </w:pPr>
                          <w:r>
                            <w:rPr>
                              <w:b/>
                              <w:bCs/>
                              <w:color w:val="000000"/>
                            </w:rPr>
                            <w:t xml:space="preserve">                           </w:t>
                          </w:r>
                        </w:p>
                        <w:p w14:paraId="17A8FD61" w14:textId="77777777" w:rsidR="00B74453" w:rsidRDefault="00B74453">
                          <w:pPr>
                            <w:pStyle w:val="Obsahrmce"/>
                            <w:spacing w:after="120"/>
                            <w:rPr>
                              <w:b/>
                              <w:sz w:val="26"/>
                              <w:szCs w:val="26"/>
                            </w:rPr>
                          </w:pPr>
                        </w:p>
                        <w:p w14:paraId="490D3BD1" w14:textId="77777777" w:rsidR="00B74453" w:rsidRDefault="00B74453">
                          <w:pPr>
                            <w:pStyle w:val="Obsahrmce"/>
                            <w:rPr>
                              <w:rFonts w:ascii="Calibri" w:hAnsi="Calibri" w:cs="Calibri"/>
                              <w:color w:val="000000"/>
                              <w:sz w:val="18"/>
                            </w:rPr>
                          </w:pPr>
                        </w:p>
                      </w:txbxContent>
                    </wps:txbx>
                    <wps:bodyPr lIns="254160" tIns="0" bIns="0" anchor="b">
                      <a:prstTxWarp prst="textNoShape">
                        <a:avLst/>
                      </a:prstTxWarp>
                      <a:noAutofit/>
                    </wps:bodyPr>
                  </wps:wsp>
                </a:graphicData>
              </a:graphic>
            </wp:anchor>
          </w:drawing>
        </mc:Choice>
        <mc:Fallback>
          <w:pict>
            <v:rect id="shape_0" ID="MSIPCM4b6249ceb49b7241024779c9" path="m0,0l-2147483645,0l-2147483645,-2147483646l0,-2147483646xe" stroked="f" o:allowincell="f" style="position:absolute;margin-left:-0.05pt;margin-top:790.85pt;width:595.25pt;height:38.65pt;mso-wrap-style:square;v-text-anchor:bottom;mso-position-horizontal-relative:page;mso-position-vertical-relative:page" wp14:anchorId="49DDD640">
              <v:fill o:detectmouseclick="t" on="false"/>
              <v:stroke color="#3465a4" weight="6480" joinstyle="round" endcap="flat"/>
              <v:textbox>
                <w:txbxContent>
                  <w:p>
                    <w:pPr>
                      <w:pStyle w:val="Obsahrmce"/>
                      <w:spacing w:before="0" w:after="120"/>
                      <w:rPr>
                        <w:b/>
                        <w:b/>
                        <w:sz w:val="26"/>
                        <w:szCs w:val="26"/>
                      </w:rPr>
                    </w:pPr>
                    <w:r>
                      <w:rPr>
                        <w:b/>
                        <w:bCs/>
                        <w:color w:val="000000"/>
                      </w:rPr>
                      <w:t xml:space="preserve">           „</w:t>
                    </w:r>
                    <w:r>
                      <w:rPr>
                        <w:b/>
                        <w:bCs/>
                        <w:color w:val="000000"/>
                      </w:rPr>
                      <w:t>Elektrostaticky homogenní PVC podlahová krytina do odborné učebny elektro (1 NP, učebna 6)</w:t>
                    </w:r>
                  </w:p>
                  <w:p>
                    <w:pPr>
                      <w:pStyle w:val="Obsahrmce"/>
                      <w:spacing w:before="0" w:after="120"/>
                      <w:rPr>
                        <w:b/>
                        <w:b/>
                        <w:sz w:val="26"/>
                        <w:szCs w:val="26"/>
                      </w:rPr>
                    </w:pPr>
                    <w:r>
                      <w:rPr>
                        <w:b/>
                        <w:bCs/>
                        <w:color w:val="000000"/>
                      </w:rPr>
                      <w:t xml:space="preserve">                                            </w:t>
                    </w:r>
                    <w:r>
                      <w:rPr>
                        <w:b/>
                        <w:bCs/>
                        <w:color w:val="000000"/>
                      </w:rPr>
                      <w:t>v budově C, Školská čtvrť 1259, Frenštát pod Radhoštěm</w:t>
                    </w:r>
                  </w:p>
                  <w:p>
                    <w:pPr>
                      <w:pStyle w:val="Obsahrmce"/>
                      <w:spacing w:before="0" w:after="120"/>
                      <w:rPr>
                        <w:b/>
                        <w:b/>
                        <w:sz w:val="26"/>
                        <w:szCs w:val="26"/>
                      </w:rPr>
                    </w:pPr>
                    <w:r>
                      <w:rPr>
                        <w:b/>
                        <w:bCs/>
                        <w:color w:val="000000"/>
                      </w:rPr>
                      <w:t xml:space="preserve">                           </w:t>
                    </w:r>
                  </w:p>
                  <w:p>
                    <w:pPr>
                      <w:pStyle w:val="Obsahrmce"/>
                      <w:spacing w:before="0" w:after="120"/>
                      <w:rPr>
                        <w:b/>
                        <w:b/>
                        <w:sz w:val="26"/>
                        <w:szCs w:val="26"/>
                      </w:rPr>
                    </w:pPr>
                    <w:r>
                      <w:rPr>
                        <w:b/>
                        <w:color w:val="000000"/>
                        <w:sz w:val="26"/>
                        <w:szCs w:val="26"/>
                      </w:rPr>
                    </w:r>
                  </w:p>
                  <w:p>
                    <w:pPr>
                      <w:pStyle w:val="Obsahrmce"/>
                      <w:rPr>
                        <w:rFonts w:ascii="Calibri" w:hAnsi="Calibri" w:cs="Calibri"/>
                        <w:color w:val="000000"/>
                        <w:sz w:val="18"/>
                      </w:rPr>
                    </w:pPr>
                    <w:r>
                      <w:rPr>
                        <w:rFonts w:cs="Calibri" w:ascii="Calibri" w:hAnsi="Calibri"/>
                        <w:color w:val="000000"/>
                        <w:sz w:val="18"/>
                      </w:rPr>
                    </w:r>
                  </w:p>
                </w:txbxContent>
              </v:textbox>
              <w10:wrap type="none"/>
            </v:rect>
          </w:pict>
        </mc:Fallback>
      </mc:AlternateContent>
    </w:r>
    <w:r>
      <w:rPr>
        <w:rStyle w:val="slostrnky"/>
        <w:rFonts w:ascii="Tahoma" w:hAnsi="Tahoma" w:cs="Tahoma"/>
        <w:sz w:val="18"/>
        <w:szCs w:val="18"/>
      </w:rPr>
      <w:fldChar w:fldCharType="begin"/>
    </w:r>
    <w:r>
      <w:rPr>
        <w:rStyle w:val="slostrnky"/>
        <w:rFonts w:ascii="Tahoma" w:hAnsi="Tahoma" w:cs="Tahoma"/>
        <w:sz w:val="18"/>
        <w:szCs w:val="18"/>
      </w:rPr>
      <w:instrText xml:space="preserve"> PAGE </w:instrText>
    </w:r>
    <w:r>
      <w:rPr>
        <w:rStyle w:val="slostrnky"/>
        <w:rFonts w:ascii="Tahoma" w:hAnsi="Tahoma" w:cs="Tahoma"/>
        <w:sz w:val="18"/>
        <w:szCs w:val="18"/>
      </w:rPr>
      <w:fldChar w:fldCharType="separate"/>
    </w:r>
    <w:r>
      <w:rPr>
        <w:rStyle w:val="slostrnky"/>
        <w:rFonts w:ascii="Tahoma" w:hAnsi="Tahoma" w:cs="Tahoma"/>
        <w:sz w:val="18"/>
        <w:szCs w:val="18"/>
      </w:rPr>
      <w:t>14</w:t>
    </w:r>
    <w:r>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65033" w14:textId="77777777" w:rsidR="00B74453" w:rsidRDefault="00000000">
    <w:pPr>
      <w:pStyle w:val="Zpat"/>
      <w:pBdr>
        <w:top w:val="single" w:sz="4" w:space="0" w:color="000000"/>
      </w:pBdr>
      <w:rPr>
        <w:rFonts w:ascii="Tahoma" w:hAnsi="Tahoma" w:cs="Tahoma"/>
        <w:sz w:val="18"/>
        <w:szCs w:val="18"/>
      </w:rPr>
    </w:pPr>
    <w:r>
      <w:rPr>
        <w:rFonts w:ascii="Tahoma" w:hAnsi="Tahoma" w:cs="Tahoma"/>
        <w:noProof/>
        <w:sz w:val="18"/>
        <w:szCs w:val="18"/>
      </w:rPr>
      <mc:AlternateContent>
        <mc:Choice Requires="wps">
          <w:drawing>
            <wp:anchor distT="0" distB="7620" distL="0" distR="0" simplePos="0" relativeHeight="28" behindDoc="1" locked="0" layoutInCell="0" allowOverlap="1" wp14:anchorId="1EEEDBD5" wp14:editId="4C74483B">
              <wp:simplePos x="0" y="0"/>
              <wp:positionH relativeFrom="page">
                <wp:posOffset>146050</wp:posOffset>
              </wp:positionH>
              <wp:positionV relativeFrom="page">
                <wp:posOffset>10019665</wp:posOffset>
              </wp:positionV>
              <wp:extent cx="7560310" cy="468630"/>
              <wp:effectExtent l="0" t="0" r="0" b="7620"/>
              <wp:wrapNone/>
              <wp:docPr id="3" name="MSIPCM969742cabff2c43d710561e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wps:spPr>
                      <a:xfrm>
                        <a:off x="0" y="0"/>
                        <a:ext cx="7560360" cy="468720"/>
                      </a:xfrm>
                      <a:prstGeom prst="rect">
                        <a:avLst/>
                      </a:prstGeom>
                      <a:noFill/>
                      <a:ln w="6350">
                        <a:noFill/>
                      </a:ln>
                    </wps:spPr>
                    <wps:style>
                      <a:lnRef idx="0">
                        <a:scrgbClr r="0" g="0" b="0"/>
                      </a:lnRef>
                      <a:fillRef idx="0">
                        <a:scrgbClr r="0" g="0" b="0"/>
                      </a:fillRef>
                      <a:effectRef idx="0">
                        <a:scrgbClr r="0" g="0" b="0"/>
                      </a:effectRef>
                      <a:fontRef idx="minor"/>
                    </wps:style>
                    <wps:txbx>
                      <w:txbxContent>
                        <w:p w14:paraId="2FAC4A4E" w14:textId="77777777" w:rsidR="00B74453" w:rsidRDefault="00000000">
                          <w:pPr>
                            <w:pStyle w:val="Obsahrmce"/>
                            <w:spacing w:after="120"/>
                            <w:jc w:val="center"/>
                            <w:rPr>
                              <w:b/>
                              <w:sz w:val="26"/>
                              <w:szCs w:val="26"/>
                            </w:rPr>
                          </w:pPr>
                          <w:r>
                            <w:rPr>
                              <w:b/>
                              <w:bCs/>
                              <w:color w:val="000000"/>
                            </w:rPr>
                            <w:t>„Elektrostaticky homogenní PVC podlahová krytina do odborné učebny elektro (1 NP, učebna 6)          v budově C, Školská čtvrť 1259, Frenštát pod Radhoštěm“</w:t>
                          </w:r>
                        </w:p>
                        <w:p w14:paraId="7FAB5BFD" w14:textId="77777777" w:rsidR="00B74453" w:rsidRDefault="00B74453">
                          <w:pPr>
                            <w:pStyle w:val="Obsahrmce"/>
                            <w:jc w:val="center"/>
                            <w:rPr>
                              <w:rFonts w:ascii="Calibri" w:hAnsi="Calibri" w:cs="Calibri"/>
                              <w:color w:val="000000"/>
                              <w:sz w:val="18"/>
                            </w:rPr>
                          </w:pPr>
                        </w:p>
                      </w:txbxContent>
                    </wps:txbx>
                    <wps:bodyPr lIns="254160" tIns="0" bIns="0" anchor="b">
                      <a:prstTxWarp prst="textNoShape">
                        <a:avLst/>
                      </a:prstTxWarp>
                      <a:noAutofit/>
                    </wps:bodyPr>
                  </wps:wsp>
                </a:graphicData>
              </a:graphic>
            </wp:anchor>
          </w:drawing>
        </mc:Choice>
        <mc:Fallback>
          <w:pict>
            <v:rect id="shape_0" ID="MSIPCM969742cabff2c43d710561ec" path="m0,0l-2147483645,0l-2147483645,-2147483646l0,-2147483646xe" stroked="f" o:allowincell="f" style="position:absolute;margin-left:11.5pt;margin-top:788.95pt;width:595.25pt;height:36.85pt;mso-wrap-style:square;v-text-anchor:bottom;mso-position-horizontal-relative:page;mso-position-vertical-relative:page" wp14:anchorId="1FF99D23">
              <v:fill o:detectmouseclick="t" on="false"/>
              <v:stroke color="#3465a4" weight="6480" joinstyle="round" endcap="flat"/>
              <v:textbox>
                <w:txbxContent>
                  <w:p>
                    <w:pPr>
                      <w:pStyle w:val="Obsahrmce"/>
                      <w:spacing w:before="0" w:after="120"/>
                      <w:jc w:val="center"/>
                      <w:rPr>
                        <w:b/>
                        <w:b/>
                        <w:sz w:val="26"/>
                        <w:szCs w:val="26"/>
                      </w:rPr>
                    </w:pPr>
                    <w:r>
                      <w:rPr>
                        <w:b/>
                        <w:bCs/>
                        <w:color w:val="000000"/>
                      </w:rPr>
                      <w:t>„</w:t>
                    </w:r>
                    <w:r>
                      <w:rPr>
                        <w:b/>
                        <w:bCs/>
                        <w:color w:val="000000"/>
                      </w:rPr>
                      <w:t>Elektrostaticky homogenní PVC podlahová krytina do odborné učebny elektro (1 NP, učebna 6)          v budově C, Školská čtvrť 1259, Frenštát pod Radhoštěm“</w:t>
                    </w:r>
                  </w:p>
                  <w:p>
                    <w:pPr>
                      <w:pStyle w:val="Obsahrmce"/>
                      <w:jc w:val="center"/>
                      <w:rPr>
                        <w:rFonts w:ascii="Calibri" w:hAnsi="Calibri" w:cs="Calibri"/>
                        <w:color w:val="000000"/>
                        <w:sz w:val="18"/>
                      </w:rPr>
                    </w:pPr>
                    <w:r>
                      <w:rPr>
                        <w:rFonts w:cs="Calibri" w:ascii="Calibri" w:hAnsi="Calibri"/>
                        <w:color w:val="000000"/>
                        <w:sz w:val="18"/>
                      </w:rPr>
                    </w:r>
                  </w:p>
                </w:txbxContent>
              </v:textbox>
              <w10:wrap type="non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374D9" w14:textId="77777777" w:rsidR="009B6F46" w:rsidRDefault="009B6F46">
      <w:r>
        <w:separator/>
      </w:r>
    </w:p>
  </w:footnote>
  <w:footnote w:type="continuationSeparator" w:id="0">
    <w:p w14:paraId="04137B07" w14:textId="77777777" w:rsidR="009B6F46" w:rsidRDefault="009B6F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6CAF9" w14:textId="77777777" w:rsidR="00B74453" w:rsidRDefault="00B74453">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4FBD4" w14:textId="2D80CFA2" w:rsidR="00B74453" w:rsidRDefault="006775FE">
    <w:pPr>
      <w:pStyle w:val="Zhlav"/>
      <w:jc w:val="right"/>
    </w:pPr>
    <w:r>
      <w:t>Příloha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286"/>
    <w:multiLevelType w:val="multilevel"/>
    <w:tmpl w:val="DBBEA744"/>
    <w:lvl w:ilvl="0">
      <w:start w:val="1"/>
      <w:numFmt w:val="lowerLetter"/>
      <w:lvlText w:val="%1)"/>
      <w:lvlJc w:val="left"/>
      <w:pPr>
        <w:tabs>
          <w:tab w:val="num" w:pos="1605"/>
        </w:tabs>
        <w:ind w:left="1605" w:hanging="360"/>
      </w:pPr>
      <w:rPr>
        <w:color w:val="auto"/>
        <w:sz w:val="22"/>
        <w:szCs w:val="22"/>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1" w15:restartNumberingAfterBreak="0">
    <w:nsid w:val="0994271A"/>
    <w:multiLevelType w:val="multilevel"/>
    <w:tmpl w:val="8B92DE0C"/>
    <w:lvl w:ilvl="0">
      <w:start w:val="1"/>
      <w:numFmt w:val="decimal"/>
      <w:lvlText w:val="%1."/>
      <w:lvlJc w:val="left"/>
      <w:pPr>
        <w:tabs>
          <w:tab w:val="num" w:pos="360"/>
        </w:tabs>
        <w:ind w:left="360" w:hanging="360"/>
      </w:pPr>
      <w:rPr>
        <w:rFonts w:ascii="Tahoma" w:hAnsi="Tahoma" w:cs="Tahoma"/>
        <w:b w:val="0"/>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C5415D1"/>
    <w:multiLevelType w:val="multilevel"/>
    <w:tmpl w:val="6246A234"/>
    <w:lvl w:ilvl="0">
      <w:start w:val="3"/>
      <w:numFmt w:val="decimal"/>
      <w:lvlText w:val="%1."/>
      <w:lvlJc w:val="left"/>
      <w:pPr>
        <w:tabs>
          <w:tab w:val="num" w:pos="397"/>
        </w:tabs>
        <w:ind w:left="397" w:hanging="397"/>
      </w:pPr>
      <w:rPr>
        <w:rFonts w:ascii="Times New Roman" w:hAnsi="Times New Roman"/>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463FA6"/>
    <w:multiLevelType w:val="multilevel"/>
    <w:tmpl w:val="0E8A0E92"/>
    <w:lvl w:ilvl="0">
      <w:start w:val="1"/>
      <w:numFmt w:val="decimal"/>
      <w:lvlText w:val="%1."/>
      <w:lvlJc w:val="left"/>
      <w:pPr>
        <w:tabs>
          <w:tab w:val="num" w:pos="360"/>
        </w:tabs>
        <w:ind w:left="340" w:hanging="340"/>
      </w:pPr>
    </w:lvl>
    <w:lvl w:ilvl="1">
      <w:start w:val="1"/>
      <w:numFmt w:val="lowerLetter"/>
      <w:lvlText w:val="%2)"/>
      <w:lvlJc w:val="left"/>
      <w:pPr>
        <w:tabs>
          <w:tab w:val="num" w:pos="737"/>
        </w:tabs>
        <w:ind w:left="737" w:hanging="380"/>
      </w:pPr>
    </w:lvl>
    <w:lvl w:ilvl="2">
      <w:start w:val="1"/>
      <w:numFmt w:val="decimal"/>
      <w:lvlText w:val="%3."/>
      <w:lvlJc w:val="left"/>
      <w:pPr>
        <w:tabs>
          <w:tab w:val="num" w:pos="360"/>
        </w:tabs>
        <w:ind w:left="340" w:hanging="34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503460F"/>
    <w:multiLevelType w:val="multilevel"/>
    <w:tmpl w:val="067AE0A2"/>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57C628A"/>
    <w:multiLevelType w:val="multilevel"/>
    <w:tmpl w:val="189A3746"/>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color w:val="000000"/>
      </w:rPr>
    </w:lvl>
    <w:lvl w:ilvl="3">
      <w:start w:val="1"/>
      <w:numFmt w:val="decimal"/>
      <w:lvlText w:val="%4."/>
      <w:lvlJc w:val="left"/>
      <w:pPr>
        <w:tabs>
          <w:tab w:val="num" w:pos="360"/>
        </w:tabs>
        <w:ind w:left="357" w:hanging="357"/>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5B274D6"/>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ADA63F8"/>
    <w:multiLevelType w:val="multilevel"/>
    <w:tmpl w:val="DD2EB2A6"/>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D906513"/>
    <w:multiLevelType w:val="multilevel"/>
    <w:tmpl w:val="B944DE30"/>
    <w:lvl w:ilvl="0">
      <w:start w:val="1"/>
      <w:numFmt w:val="decimal"/>
      <w:lvlText w:val="%1."/>
      <w:lvlJc w:val="left"/>
      <w:pPr>
        <w:tabs>
          <w:tab w:val="num" w:pos="360"/>
        </w:tabs>
        <w:ind w:left="340" w:hanging="340"/>
      </w:pPr>
      <w:rPr>
        <w:b w:val="0"/>
        <w:i w:val="0"/>
        <w:color w:val="auto"/>
      </w:rPr>
    </w:lvl>
    <w:lvl w:ilvl="1">
      <w:start w:val="1"/>
      <w:numFmt w:val="lowerLetter"/>
      <w:lvlText w:val="%2)"/>
      <w:lvlJc w:val="left"/>
      <w:pPr>
        <w:tabs>
          <w:tab w:val="num" w:pos="737"/>
        </w:tabs>
        <w:ind w:left="737" w:hanging="397"/>
      </w:pPr>
    </w:lvl>
    <w:lvl w:ilvl="2">
      <w:start w:val="1"/>
      <w:numFmt w:val="decimal"/>
      <w:lvlText w:val="%3."/>
      <w:lvlJc w:val="left"/>
      <w:pPr>
        <w:tabs>
          <w:tab w:val="num" w:pos="360"/>
        </w:tabs>
        <w:ind w:left="340" w:hanging="340"/>
      </w:pPr>
      <w:rPr>
        <w:color w:val="auto"/>
      </w:rPr>
    </w:lvl>
    <w:lvl w:ilvl="3">
      <w:start w:val="3"/>
      <w:numFmt w:val="bullet"/>
      <w:lvlText w:val="-"/>
      <w:lvlJc w:val="left"/>
      <w:pPr>
        <w:tabs>
          <w:tab w:val="num" w:pos="2917"/>
        </w:tabs>
        <w:ind w:left="2917" w:hanging="397"/>
      </w:pPr>
      <w:rPr>
        <w:rFonts w:ascii="Times New Roman" w:hAnsi="Times New Roman" w:cs="Times New Roman" w:hint="default"/>
        <w:b w:val="0"/>
        <w:i/>
        <w:color w:val="FF000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0DD7177"/>
    <w:multiLevelType w:val="multilevel"/>
    <w:tmpl w:val="6046B81A"/>
    <w:lvl w:ilvl="0">
      <w:start w:val="1"/>
      <w:numFmt w:val="lowerLetter"/>
      <w:lvlText w:val="%1)"/>
      <w:lvlJc w:val="left"/>
      <w:pPr>
        <w:tabs>
          <w:tab w:val="num" w:pos="851"/>
        </w:tabs>
        <w:ind w:left="851" w:hanging="511"/>
      </w:pPr>
      <w:rPr>
        <w:b w:val="0"/>
        <w:i w:val="0"/>
        <w:sz w:val="22"/>
        <w:szCs w:val="22"/>
      </w:rPr>
    </w:lvl>
    <w:lvl w:ilvl="1">
      <w:start w:val="1"/>
      <w:numFmt w:val="lowerLetter"/>
      <w:lvlText w:val="%2."/>
      <w:lvlJc w:val="left"/>
      <w:pPr>
        <w:tabs>
          <w:tab w:val="num" w:pos="851"/>
        </w:tabs>
        <w:ind w:left="851" w:hanging="511"/>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1916C21"/>
    <w:multiLevelType w:val="multilevel"/>
    <w:tmpl w:val="EBC0D386"/>
    <w:lvl w:ilvl="0">
      <w:start w:val="1"/>
      <w:numFmt w:val="decimal"/>
      <w:lvlText w:val="%1."/>
      <w:lvlJc w:val="left"/>
      <w:pPr>
        <w:tabs>
          <w:tab w:val="num" w:pos="360"/>
        </w:tabs>
        <w:ind w:left="357" w:hanging="357"/>
      </w:pPr>
      <w:rPr>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1EE5271"/>
    <w:multiLevelType w:val="multilevel"/>
    <w:tmpl w:val="DFBEF598"/>
    <w:lvl w:ilvl="0">
      <w:start w:val="1"/>
      <w:numFmt w:val="decimal"/>
      <w:lvlText w:val="%1."/>
      <w:lvlJc w:val="left"/>
      <w:pPr>
        <w:tabs>
          <w:tab w:val="num" w:pos="360"/>
        </w:tabs>
        <w:ind w:left="340" w:hanging="34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28E6752"/>
    <w:multiLevelType w:val="multilevel"/>
    <w:tmpl w:val="0A8AC064"/>
    <w:lvl w:ilvl="0">
      <w:start w:val="1"/>
      <w:numFmt w:val="decimal"/>
      <w:lvlText w:val="%1."/>
      <w:lvlJc w:val="left"/>
      <w:pPr>
        <w:tabs>
          <w:tab w:val="num" w:pos="360"/>
        </w:tabs>
        <w:ind w:left="357" w:hanging="357"/>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2BE08FC"/>
    <w:multiLevelType w:val="multilevel"/>
    <w:tmpl w:val="D3DA09AE"/>
    <w:lvl w:ilvl="0">
      <w:start w:val="1"/>
      <w:numFmt w:val="decimal"/>
      <w:pStyle w:val="slovnvSOD"/>
      <w:lvlText w:val="%1."/>
      <w:lvlJc w:val="left"/>
      <w:pPr>
        <w:tabs>
          <w:tab w:val="num" w:pos="567"/>
        </w:tabs>
        <w:ind w:left="567" w:hanging="567"/>
      </w:pPr>
      <w:rPr>
        <w:rFonts w:ascii="Arial" w:hAnsi="Arial"/>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72B521D"/>
    <w:multiLevelType w:val="multilevel"/>
    <w:tmpl w:val="C7F6D164"/>
    <w:lvl w:ilvl="0">
      <w:numFmt w:val="bullet"/>
      <w:lvlText w:val="-"/>
      <w:lvlJc w:val="left"/>
      <w:pPr>
        <w:tabs>
          <w:tab w:val="num" w:pos="0"/>
        </w:tabs>
        <w:ind w:left="1077" w:hanging="360"/>
      </w:pPr>
      <w:rPr>
        <w:rFonts w:ascii="Tahoma" w:hAnsi="Tahoma" w:cs="Tahoma" w:hint="default"/>
        <w:b w:val="0"/>
        <w:i w:val="0"/>
        <w:sz w:val="22"/>
        <w:szCs w:val="22"/>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5" w15:restartNumberingAfterBreak="0">
    <w:nsid w:val="27C1411F"/>
    <w:multiLevelType w:val="multilevel"/>
    <w:tmpl w:val="0EA88398"/>
    <w:lvl w:ilvl="0">
      <w:start w:val="1"/>
      <w:numFmt w:val="decimal"/>
      <w:lvlText w:val="%1."/>
      <w:lvlJc w:val="left"/>
      <w:pPr>
        <w:tabs>
          <w:tab w:val="num" w:pos="360"/>
        </w:tabs>
        <w:ind w:left="357" w:hanging="357"/>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D0E23C2"/>
    <w:multiLevelType w:val="multilevel"/>
    <w:tmpl w:val="E6E4583C"/>
    <w:lvl w:ilvl="0">
      <w:start w:val="1"/>
      <w:numFmt w:val="lowerLetter"/>
      <w:lvlText w:val="%1)"/>
      <w:lvlJc w:val="left"/>
      <w:pPr>
        <w:tabs>
          <w:tab w:val="num" w:pos="720"/>
        </w:tabs>
        <w:ind w:left="720" w:hanging="380"/>
      </w:pPr>
    </w:lvl>
    <w:lvl w:ilvl="1">
      <w:start w:val="1"/>
      <w:numFmt w:val="lowerLetter"/>
      <w:lvlText w:val="%2."/>
      <w:lvlJc w:val="left"/>
      <w:pPr>
        <w:tabs>
          <w:tab w:val="num" w:pos="1423"/>
        </w:tabs>
        <w:ind w:left="1423" w:hanging="360"/>
      </w:pPr>
    </w:lvl>
    <w:lvl w:ilvl="2">
      <w:start w:val="1"/>
      <w:numFmt w:val="lowerRoman"/>
      <w:lvlText w:val="%3."/>
      <w:lvlJc w:val="right"/>
      <w:pPr>
        <w:tabs>
          <w:tab w:val="num" w:pos="2143"/>
        </w:tabs>
        <w:ind w:left="2143" w:hanging="180"/>
      </w:pPr>
    </w:lvl>
    <w:lvl w:ilvl="3">
      <w:start w:val="1"/>
      <w:numFmt w:val="decimal"/>
      <w:lvlText w:val="%4."/>
      <w:lvlJc w:val="left"/>
      <w:pPr>
        <w:tabs>
          <w:tab w:val="num" w:pos="2863"/>
        </w:tabs>
        <w:ind w:left="2863" w:hanging="360"/>
      </w:pPr>
    </w:lvl>
    <w:lvl w:ilvl="4">
      <w:start w:val="1"/>
      <w:numFmt w:val="lowerLetter"/>
      <w:lvlText w:val="%5."/>
      <w:lvlJc w:val="left"/>
      <w:pPr>
        <w:tabs>
          <w:tab w:val="num" w:pos="3583"/>
        </w:tabs>
        <w:ind w:left="3583" w:hanging="360"/>
      </w:pPr>
    </w:lvl>
    <w:lvl w:ilvl="5">
      <w:start w:val="1"/>
      <w:numFmt w:val="lowerRoman"/>
      <w:lvlText w:val="%6."/>
      <w:lvlJc w:val="right"/>
      <w:pPr>
        <w:tabs>
          <w:tab w:val="num" w:pos="4303"/>
        </w:tabs>
        <w:ind w:left="4303" w:hanging="180"/>
      </w:pPr>
    </w:lvl>
    <w:lvl w:ilvl="6">
      <w:start w:val="1"/>
      <w:numFmt w:val="decimal"/>
      <w:lvlText w:val="%7."/>
      <w:lvlJc w:val="left"/>
      <w:pPr>
        <w:tabs>
          <w:tab w:val="num" w:pos="5023"/>
        </w:tabs>
        <w:ind w:left="5023" w:hanging="360"/>
      </w:pPr>
    </w:lvl>
    <w:lvl w:ilvl="7">
      <w:start w:val="1"/>
      <w:numFmt w:val="lowerLetter"/>
      <w:lvlText w:val="%8."/>
      <w:lvlJc w:val="left"/>
      <w:pPr>
        <w:tabs>
          <w:tab w:val="num" w:pos="5743"/>
        </w:tabs>
        <w:ind w:left="5743" w:hanging="360"/>
      </w:pPr>
    </w:lvl>
    <w:lvl w:ilvl="8">
      <w:start w:val="1"/>
      <w:numFmt w:val="lowerRoman"/>
      <w:lvlText w:val="%9."/>
      <w:lvlJc w:val="right"/>
      <w:pPr>
        <w:tabs>
          <w:tab w:val="num" w:pos="6463"/>
        </w:tabs>
        <w:ind w:left="6463" w:hanging="180"/>
      </w:pPr>
    </w:lvl>
  </w:abstractNum>
  <w:abstractNum w:abstractNumId="17" w15:restartNumberingAfterBreak="0">
    <w:nsid w:val="316C3073"/>
    <w:multiLevelType w:val="multilevel"/>
    <w:tmpl w:val="F190B794"/>
    <w:lvl w:ilvl="0">
      <w:start w:val="1"/>
      <w:numFmt w:val="bullet"/>
      <w:lvlText w:val=""/>
      <w:lvlJc w:val="left"/>
      <w:pPr>
        <w:tabs>
          <w:tab w:val="num" w:pos="360"/>
        </w:tabs>
        <w:ind w:left="360" w:hanging="360"/>
      </w:pPr>
      <w:rPr>
        <w:rFonts w:ascii="Symbol" w:hAnsi="Symbol" w:cs="Symbol" w:hint="default"/>
        <w:b w:val="0"/>
        <w:i w:val="0"/>
        <w:color w:val="auto"/>
      </w:rPr>
    </w:lvl>
    <w:lvl w:ilvl="1">
      <w:start w:val="1"/>
      <w:numFmt w:val="lowerLetter"/>
      <w:lvlText w:val="%2)"/>
      <w:lvlJc w:val="left"/>
      <w:pPr>
        <w:tabs>
          <w:tab w:val="num" w:pos="737"/>
        </w:tabs>
        <w:ind w:left="737" w:hanging="397"/>
      </w:pPr>
    </w:lvl>
    <w:lvl w:ilvl="2">
      <w:start w:val="1"/>
      <w:numFmt w:val="decimal"/>
      <w:lvlText w:val="%3."/>
      <w:lvlJc w:val="left"/>
      <w:pPr>
        <w:tabs>
          <w:tab w:val="num" w:pos="360"/>
        </w:tabs>
        <w:ind w:left="340" w:hanging="340"/>
      </w:pPr>
      <w:rPr>
        <w:color w:val="auto"/>
      </w:rPr>
    </w:lvl>
    <w:lvl w:ilvl="3">
      <w:start w:val="3"/>
      <w:numFmt w:val="bullet"/>
      <w:lvlText w:val="-"/>
      <w:lvlJc w:val="left"/>
      <w:pPr>
        <w:tabs>
          <w:tab w:val="num" w:pos="2917"/>
        </w:tabs>
        <w:ind w:left="2917" w:hanging="397"/>
      </w:pPr>
      <w:rPr>
        <w:rFonts w:ascii="Times New Roman" w:hAnsi="Times New Roman" w:cs="Times New Roman" w:hint="default"/>
        <w:b w:val="0"/>
        <w:i/>
        <w:color w:val="FF000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49D1983"/>
    <w:multiLevelType w:val="multilevel"/>
    <w:tmpl w:val="BC00DCC6"/>
    <w:lvl w:ilvl="0">
      <w:start w:val="1"/>
      <w:numFmt w:val="lowerLetter"/>
      <w:lvlText w:val="%1)"/>
      <w:lvlJc w:val="left"/>
      <w:pPr>
        <w:tabs>
          <w:tab w:val="num" w:pos="397"/>
        </w:tabs>
        <w:ind w:left="397" w:hanging="397"/>
      </w:p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19" w15:restartNumberingAfterBreak="0">
    <w:nsid w:val="35791348"/>
    <w:multiLevelType w:val="multilevel"/>
    <w:tmpl w:val="B1C8FA12"/>
    <w:lvl w:ilvl="0">
      <w:start w:val="1"/>
      <w:numFmt w:val="lowerLetter"/>
      <w:lvlText w:val="%1)"/>
      <w:lvlJc w:val="left"/>
      <w:pPr>
        <w:tabs>
          <w:tab w:val="num" w:pos="1545"/>
        </w:tabs>
        <w:ind w:left="1545" w:hanging="465"/>
      </w:pPr>
      <w:rPr>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3B531272"/>
    <w:multiLevelType w:val="multilevel"/>
    <w:tmpl w:val="9E2C8CEE"/>
    <w:lvl w:ilvl="0">
      <w:start w:val="1"/>
      <w:numFmt w:val="decimal"/>
      <w:pStyle w:val="OdstavecSmlouvy"/>
      <w:lvlText w:val="%1. "/>
      <w:lvlJc w:val="left"/>
      <w:pPr>
        <w:tabs>
          <w:tab w:val="num" w:pos="0"/>
        </w:tabs>
        <w:ind w:left="283" w:hanging="283"/>
      </w:pPr>
      <w:rPr>
        <w:rFonts w:ascii="Times New Roman" w:hAnsi="Times New Roman"/>
        <w:b w:val="0"/>
        <w:i w:val="0"/>
        <w:sz w:val="24"/>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51F087C"/>
    <w:multiLevelType w:val="multilevel"/>
    <w:tmpl w:val="7FC8B0DA"/>
    <w:lvl w:ilvl="0">
      <w:start w:val="1"/>
      <w:numFmt w:val="decimal"/>
      <w:lvlText w:val="%1."/>
      <w:lvlJc w:val="left"/>
      <w:pPr>
        <w:tabs>
          <w:tab w:val="num" w:pos="360"/>
        </w:tabs>
        <w:ind w:left="340" w:hanging="340"/>
      </w:pPr>
      <w:rPr>
        <w:rFonts w:ascii="Tahoma" w:hAnsi="Tahoma" w:cs="Tahoma"/>
        <w:b w:val="0"/>
        <w:i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6C7728E"/>
    <w:multiLevelType w:val="multilevel"/>
    <w:tmpl w:val="2460E616"/>
    <w:lvl w:ilvl="0">
      <w:start w:val="1"/>
      <w:numFmt w:val="bullet"/>
      <w:lvlText w:val=""/>
      <w:lvlJc w:val="left"/>
      <w:pPr>
        <w:tabs>
          <w:tab w:val="num" w:pos="2520"/>
        </w:tabs>
        <w:ind w:left="2520" w:hanging="360"/>
      </w:pPr>
      <w:rPr>
        <w:rFonts w:ascii="Symbol" w:hAnsi="Symbol" w:cs="Symbol" w:hint="default"/>
        <w:color w:val="auto"/>
        <w:sz w:val="20"/>
      </w:rPr>
    </w:lvl>
    <w:lvl w:ilvl="1">
      <w:start w:val="1"/>
      <w:numFmt w:val="bullet"/>
      <w:lvlText w:val="o"/>
      <w:lvlJc w:val="left"/>
      <w:pPr>
        <w:tabs>
          <w:tab w:val="num" w:pos="1740"/>
        </w:tabs>
        <w:ind w:left="1740" w:hanging="360"/>
      </w:pPr>
      <w:rPr>
        <w:rFonts w:ascii="Courier New" w:hAnsi="Courier New" w:cs="Courier New" w:hint="default"/>
      </w:rPr>
    </w:lvl>
    <w:lvl w:ilvl="2">
      <w:start w:val="1"/>
      <w:numFmt w:val="bullet"/>
      <w:lvlText w:val=""/>
      <w:lvlJc w:val="left"/>
      <w:pPr>
        <w:tabs>
          <w:tab w:val="num" w:pos="2460"/>
        </w:tabs>
        <w:ind w:left="2460" w:hanging="360"/>
      </w:pPr>
      <w:rPr>
        <w:rFonts w:ascii="Wingdings" w:hAnsi="Wingdings" w:cs="Wingdings" w:hint="default"/>
      </w:rPr>
    </w:lvl>
    <w:lvl w:ilvl="3">
      <w:start w:val="1"/>
      <w:numFmt w:val="bullet"/>
      <w:lvlText w:val=""/>
      <w:lvlJc w:val="left"/>
      <w:pPr>
        <w:tabs>
          <w:tab w:val="num" w:pos="3180"/>
        </w:tabs>
        <w:ind w:left="3180" w:hanging="360"/>
      </w:pPr>
      <w:rPr>
        <w:rFonts w:ascii="Symbol" w:hAnsi="Symbol" w:cs="Symbol" w:hint="default"/>
      </w:rPr>
    </w:lvl>
    <w:lvl w:ilvl="4">
      <w:start w:val="1"/>
      <w:numFmt w:val="bullet"/>
      <w:lvlText w:val="o"/>
      <w:lvlJc w:val="left"/>
      <w:pPr>
        <w:tabs>
          <w:tab w:val="num" w:pos="3900"/>
        </w:tabs>
        <w:ind w:left="3900" w:hanging="360"/>
      </w:pPr>
      <w:rPr>
        <w:rFonts w:ascii="Courier New" w:hAnsi="Courier New" w:cs="Courier New" w:hint="default"/>
      </w:rPr>
    </w:lvl>
    <w:lvl w:ilvl="5">
      <w:start w:val="1"/>
      <w:numFmt w:val="bullet"/>
      <w:lvlText w:val=""/>
      <w:lvlJc w:val="left"/>
      <w:pPr>
        <w:tabs>
          <w:tab w:val="num" w:pos="4620"/>
        </w:tabs>
        <w:ind w:left="4620" w:hanging="360"/>
      </w:pPr>
      <w:rPr>
        <w:rFonts w:ascii="Wingdings" w:hAnsi="Wingdings" w:cs="Wingdings" w:hint="default"/>
      </w:rPr>
    </w:lvl>
    <w:lvl w:ilvl="6">
      <w:start w:val="1"/>
      <w:numFmt w:val="bullet"/>
      <w:lvlText w:val=""/>
      <w:lvlJc w:val="left"/>
      <w:pPr>
        <w:tabs>
          <w:tab w:val="num" w:pos="5340"/>
        </w:tabs>
        <w:ind w:left="5340" w:hanging="360"/>
      </w:pPr>
      <w:rPr>
        <w:rFonts w:ascii="Symbol" w:hAnsi="Symbol" w:cs="Symbol" w:hint="default"/>
      </w:rPr>
    </w:lvl>
    <w:lvl w:ilvl="7">
      <w:start w:val="1"/>
      <w:numFmt w:val="bullet"/>
      <w:lvlText w:val="o"/>
      <w:lvlJc w:val="left"/>
      <w:pPr>
        <w:tabs>
          <w:tab w:val="num" w:pos="6060"/>
        </w:tabs>
        <w:ind w:left="6060" w:hanging="360"/>
      </w:pPr>
      <w:rPr>
        <w:rFonts w:ascii="Courier New" w:hAnsi="Courier New" w:cs="Courier New" w:hint="default"/>
      </w:rPr>
    </w:lvl>
    <w:lvl w:ilvl="8">
      <w:start w:val="1"/>
      <w:numFmt w:val="bullet"/>
      <w:lvlText w:val=""/>
      <w:lvlJc w:val="left"/>
      <w:pPr>
        <w:tabs>
          <w:tab w:val="num" w:pos="6780"/>
        </w:tabs>
        <w:ind w:left="6780" w:hanging="360"/>
      </w:pPr>
      <w:rPr>
        <w:rFonts w:ascii="Wingdings" w:hAnsi="Wingdings" w:cs="Wingdings" w:hint="default"/>
      </w:rPr>
    </w:lvl>
  </w:abstractNum>
  <w:abstractNum w:abstractNumId="23" w15:restartNumberingAfterBreak="0">
    <w:nsid w:val="481A6071"/>
    <w:multiLevelType w:val="multilevel"/>
    <w:tmpl w:val="1BA6F2E2"/>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FF4E3C"/>
    <w:multiLevelType w:val="multilevel"/>
    <w:tmpl w:val="16866CDC"/>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DF73713"/>
    <w:multiLevelType w:val="multilevel"/>
    <w:tmpl w:val="0D12B328"/>
    <w:lvl w:ilvl="0">
      <w:start w:val="1"/>
      <w:numFmt w:val="decimal"/>
      <w:lvlText w:val="%1."/>
      <w:lvlJc w:val="left"/>
      <w:pPr>
        <w:tabs>
          <w:tab w:val="num" w:pos="360"/>
        </w:tabs>
        <w:ind w:left="360" w:hanging="360"/>
      </w:pPr>
      <w:rPr>
        <w:rFonts w:ascii="Tahoma" w:hAnsi="Tahoma" w:cs="Tahoma"/>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6A23AC5"/>
    <w:multiLevelType w:val="multilevel"/>
    <w:tmpl w:val="AF0E26F2"/>
    <w:lvl w:ilvl="0">
      <w:start w:val="1"/>
      <w:numFmt w:val="lowerLetter"/>
      <w:lvlText w:val="%1)"/>
      <w:lvlJc w:val="left"/>
      <w:pPr>
        <w:tabs>
          <w:tab w:val="num" w:pos="1362"/>
        </w:tabs>
        <w:ind w:left="1362" w:hanging="511"/>
      </w:pPr>
      <w:rPr>
        <w:b w:val="0"/>
        <w:i w:val="0"/>
        <w:sz w:val="22"/>
        <w:szCs w:val="22"/>
      </w:rPr>
    </w:lvl>
    <w:lvl w:ilvl="1">
      <w:start w:val="1"/>
      <w:numFmt w:val="lowerLetter"/>
      <w:lvlText w:val="%2."/>
      <w:lvlJc w:val="left"/>
      <w:pPr>
        <w:tabs>
          <w:tab w:val="num" w:pos="1951"/>
        </w:tabs>
        <w:ind w:left="1951" w:hanging="360"/>
      </w:pPr>
    </w:lvl>
    <w:lvl w:ilvl="2">
      <w:start w:val="1"/>
      <w:numFmt w:val="lowerRoman"/>
      <w:lvlText w:val="%3."/>
      <w:lvlJc w:val="right"/>
      <w:pPr>
        <w:tabs>
          <w:tab w:val="num" w:pos="2671"/>
        </w:tabs>
        <w:ind w:left="2671" w:hanging="180"/>
      </w:pPr>
    </w:lvl>
    <w:lvl w:ilvl="3">
      <w:start w:val="1"/>
      <w:numFmt w:val="decimal"/>
      <w:lvlText w:val="%4."/>
      <w:lvlJc w:val="left"/>
      <w:pPr>
        <w:tabs>
          <w:tab w:val="num" w:pos="3391"/>
        </w:tabs>
        <w:ind w:left="3391" w:hanging="360"/>
      </w:pPr>
    </w:lvl>
    <w:lvl w:ilvl="4">
      <w:start w:val="1"/>
      <w:numFmt w:val="lowerLetter"/>
      <w:lvlText w:val="%5."/>
      <w:lvlJc w:val="left"/>
      <w:pPr>
        <w:tabs>
          <w:tab w:val="num" w:pos="4111"/>
        </w:tabs>
        <w:ind w:left="4111" w:hanging="360"/>
      </w:pPr>
    </w:lvl>
    <w:lvl w:ilvl="5">
      <w:start w:val="1"/>
      <w:numFmt w:val="lowerRoman"/>
      <w:lvlText w:val="%6."/>
      <w:lvlJc w:val="right"/>
      <w:pPr>
        <w:tabs>
          <w:tab w:val="num" w:pos="4831"/>
        </w:tabs>
        <w:ind w:left="4831" w:hanging="180"/>
      </w:pPr>
    </w:lvl>
    <w:lvl w:ilvl="6">
      <w:start w:val="1"/>
      <w:numFmt w:val="decimal"/>
      <w:lvlText w:val="%7."/>
      <w:lvlJc w:val="left"/>
      <w:pPr>
        <w:tabs>
          <w:tab w:val="num" w:pos="5551"/>
        </w:tabs>
        <w:ind w:left="5551" w:hanging="360"/>
      </w:pPr>
    </w:lvl>
    <w:lvl w:ilvl="7">
      <w:start w:val="1"/>
      <w:numFmt w:val="lowerLetter"/>
      <w:lvlText w:val="%8."/>
      <w:lvlJc w:val="left"/>
      <w:pPr>
        <w:tabs>
          <w:tab w:val="num" w:pos="6271"/>
        </w:tabs>
        <w:ind w:left="6271" w:hanging="360"/>
      </w:pPr>
    </w:lvl>
    <w:lvl w:ilvl="8">
      <w:start w:val="1"/>
      <w:numFmt w:val="lowerRoman"/>
      <w:lvlText w:val="%9."/>
      <w:lvlJc w:val="right"/>
      <w:pPr>
        <w:tabs>
          <w:tab w:val="num" w:pos="6991"/>
        </w:tabs>
        <w:ind w:left="6991" w:hanging="180"/>
      </w:pPr>
    </w:lvl>
  </w:abstractNum>
  <w:abstractNum w:abstractNumId="27" w15:restartNumberingAfterBreak="0">
    <w:nsid w:val="5F3D7665"/>
    <w:multiLevelType w:val="multilevel"/>
    <w:tmpl w:val="A1E435FA"/>
    <w:lvl w:ilvl="0">
      <w:start w:val="1"/>
      <w:numFmt w:val="lowerLetter"/>
      <w:lvlText w:val="%1)"/>
      <w:lvlJc w:val="left"/>
      <w:pPr>
        <w:tabs>
          <w:tab w:val="num" w:pos="717"/>
        </w:tabs>
        <w:ind w:left="717" w:hanging="360"/>
      </w:pPr>
    </w:lvl>
    <w:lvl w:ilvl="1">
      <w:start w:val="1"/>
      <w:numFmt w:val="decimal"/>
      <w:lvlText w:val="%2."/>
      <w:lvlJc w:val="left"/>
      <w:pPr>
        <w:tabs>
          <w:tab w:val="num" w:pos="360"/>
        </w:tabs>
        <w:ind w:left="340" w:hanging="34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68455B99"/>
    <w:multiLevelType w:val="multilevel"/>
    <w:tmpl w:val="7958B666"/>
    <w:lvl w:ilvl="0">
      <w:start w:val="1"/>
      <w:numFmt w:val="decimal"/>
      <w:lvlText w:val="%1."/>
      <w:lvlJc w:val="left"/>
      <w:pPr>
        <w:tabs>
          <w:tab w:val="num" w:pos="360"/>
        </w:tabs>
        <w:ind w:left="360" w:hanging="360"/>
      </w:pPr>
      <w:rPr>
        <w:rFonts w:ascii="Tahoma" w:hAnsi="Tahoma" w:cs="Tahoma"/>
        <w:b w:val="0"/>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CB64E45"/>
    <w:multiLevelType w:val="multilevel"/>
    <w:tmpl w:val="FCC4875C"/>
    <w:lvl w:ilvl="0">
      <w:start w:val="1"/>
      <w:numFmt w:val="lowerLetter"/>
      <w:lvlText w:val="%1)"/>
      <w:lvlJc w:val="left"/>
      <w:pPr>
        <w:tabs>
          <w:tab w:val="num" w:pos="0"/>
        </w:tabs>
        <w:ind w:left="1077" w:hanging="360"/>
      </w:pPr>
      <w:rPr>
        <w:b w:val="0"/>
        <w:i w:val="0"/>
        <w:sz w:val="22"/>
        <w:szCs w:val="22"/>
      </w:r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0" w15:restartNumberingAfterBreak="0">
    <w:nsid w:val="71825B83"/>
    <w:multiLevelType w:val="multilevel"/>
    <w:tmpl w:val="DACC839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6171BB1"/>
    <w:multiLevelType w:val="multilevel"/>
    <w:tmpl w:val="3BEADF02"/>
    <w:lvl w:ilvl="0">
      <w:start w:val="1"/>
      <w:numFmt w:val="lowerLetter"/>
      <w:lvlText w:val="%1)"/>
      <w:lvlJc w:val="left"/>
      <w:pPr>
        <w:tabs>
          <w:tab w:val="num" w:pos="737"/>
        </w:tabs>
        <w:ind w:left="73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6451558"/>
    <w:multiLevelType w:val="multilevel"/>
    <w:tmpl w:val="EB88402E"/>
    <w:lvl w:ilvl="0">
      <w:start w:val="1"/>
      <w:numFmt w:val="lowerLetter"/>
      <w:pStyle w:val="slovanPododstavecSmlouvy"/>
      <w:lvlText w:val="%1)"/>
      <w:lvlJc w:val="left"/>
      <w:pPr>
        <w:tabs>
          <w:tab w:val="num" w:pos="717"/>
        </w:tabs>
        <w:ind w:left="714" w:hanging="357"/>
      </w:pPr>
    </w:lvl>
    <w:lvl w:ilvl="1">
      <w:start w:val="1"/>
      <w:numFmt w:val="lowerLetter"/>
      <w:lvlText w:val="%2."/>
      <w:lvlJc w:val="left"/>
      <w:pPr>
        <w:tabs>
          <w:tab w:val="num" w:pos="1797"/>
        </w:tabs>
        <w:ind w:left="1797" w:hanging="360"/>
      </w:pPr>
    </w:lvl>
    <w:lvl w:ilvl="2">
      <w:start w:val="1"/>
      <w:numFmt w:val="lowerRoman"/>
      <w:lvlText w:val="%3."/>
      <w:lvlJc w:val="right"/>
      <w:pPr>
        <w:tabs>
          <w:tab w:val="num" w:pos="2517"/>
        </w:tabs>
        <w:ind w:left="2517" w:hanging="180"/>
      </w:pPr>
    </w:lvl>
    <w:lvl w:ilvl="3">
      <w:start w:val="1"/>
      <w:numFmt w:val="decimal"/>
      <w:lvlText w:val="%4."/>
      <w:lvlJc w:val="left"/>
      <w:pPr>
        <w:tabs>
          <w:tab w:val="num" w:pos="3237"/>
        </w:tabs>
        <w:ind w:left="3237" w:hanging="360"/>
      </w:pPr>
    </w:lvl>
    <w:lvl w:ilvl="4">
      <w:start w:val="1"/>
      <w:numFmt w:val="lowerLetter"/>
      <w:lvlText w:val="%5."/>
      <w:lvlJc w:val="left"/>
      <w:pPr>
        <w:tabs>
          <w:tab w:val="num" w:pos="3957"/>
        </w:tabs>
        <w:ind w:left="3957" w:hanging="360"/>
      </w:pPr>
    </w:lvl>
    <w:lvl w:ilvl="5">
      <w:start w:val="1"/>
      <w:numFmt w:val="lowerRoman"/>
      <w:lvlText w:val="%6."/>
      <w:lvlJc w:val="right"/>
      <w:pPr>
        <w:tabs>
          <w:tab w:val="num" w:pos="4677"/>
        </w:tabs>
        <w:ind w:left="4677" w:hanging="180"/>
      </w:pPr>
    </w:lvl>
    <w:lvl w:ilvl="6">
      <w:start w:val="1"/>
      <w:numFmt w:val="decimal"/>
      <w:lvlText w:val="%7."/>
      <w:lvlJc w:val="left"/>
      <w:pPr>
        <w:tabs>
          <w:tab w:val="num" w:pos="5397"/>
        </w:tabs>
        <w:ind w:left="5397" w:hanging="360"/>
      </w:pPr>
    </w:lvl>
    <w:lvl w:ilvl="7">
      <w:start w:val="1"/>
      <w:numFmt w:val="lowerLetter"/>
      <w:lvlText w:val="%8."/>
      <w:lvlJc w:val="left"/>
      <w:pPr>
        <w:tabs>
          <w:tab w:val="num" w:pos="6117"/>
        </w:tabs>
        <w:ind w:left="6117" w:hanging="360"/>
      </w:pPr>
    </w:lvl>
    <w:lvl w:ilvl="8">
      <w:start w:val="1"/>
      <w:numFmt w:val="lowerRoman"/>
      <w:lvlText w:val="%9."/>
      <w:lvlJc w:val="right"/>
      <w:pPr>
        <w:tabs>
          <w:tab w:val="num" w:pos="6837"/>
        </w:tabs>
        <w:ind w:left="6837" w:hanging="180"/>
      </w:pPr>
    </w:lvl>
  </w:abstractNum>
  <w:abstractNum w:abstractNumId="33" w15:restartNumberingAfterBreak="0">
    <w:nsid w:val="775A17A5"/>
    <w:multiLevelType w:val="multilevel"/>
    <w:tmpl w:val="6F50AF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4" w15:restartNumberingAfterBreak="0">
    <w:nsid w:val="79230EA0"/>
    <w:multiLevelType w:val="multilevel"/>
    <w:tmpl w:val="A920AE0A"/>
    <w:lvl w:ilvl="0">
      <w:start w:val="1"/>
      <w:numFmt w:val="decimal"/>
      <w:lvlText w:val="%1."/>
      <w:lvlJc w:val="left"/>
      <w:pPr>
        <w:tabs>
          <w:tab w:val="num" w:pos="360"/>
        </w:tabs>
        <w:ind w:left="357" w:hanging="357"/>
      </w:pPr>
    </w:lvl>
    <w:lvl w:ilvl="1">
      <w:start w:val="1"/>
      <w:numFmt w:val="bullet"/>
      <w:lvlText w:val=""/>
      <w:lvlJc w:val="left"/>
      <w:pPr>
        <w:tabs>
          <w:tab w:val="num" w:pos="1440"/>
        </w:tabs>
        <w:ind w:left="1440" w:hanging="360"/>
      </w:pPr>
      <w:rPr>
        <w:rFonts w:ascii="Wingdings" w:hAnsi="Wingdings" w:cs="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7BB348BB"/>
    <w:multiLevelType w:val="multilevel"/>
    <w:tmpl w:val="D28A9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826848034">
    <w:abstractNumId w:val="20"/>
  </w:num>
  <w:num w:numId="2" w16cid:durableId="833032295">
    <w:abstractNumId w:val="9"/>
  </w:num>
  <w:num w:numId="3" w16cid:durableId="885947298">
    <w:abstractNumId w:val="27"/>
  </w:num>
  <w:num w:numId="4" w16cid:durableId="310523884">
    <w:abstractNumId w:val="5"/>
  </w:num>
  <w:num w:numId="5" w16cid:durableId="1916932144">
    <w:abstractNumId w:val="4"/>
  </w:num>
  <w:num w:numId="6" w16cid:durableId="1267346893">
    <w:abstractNumId w:val="13"/>
  </w:num>
  <w:num w:numId="7" w16cid:durableId="1311133057">
    <w:abstractNumId w:val="8"/>
  </w:num>
  <w:num w:numId="8" w16cid:durableId="1117871771">
    <w:abstractNumId w:val="3"/>
  </w:num>
  <w:num w:numId="9" w16cid:durableId="1994067914">
    <w:abstractNumId w:val="28"/>
  </w:num>
  <w:num w:numId="10" w16cid:durableId="1429277082">
    <w:abstractNumId w:val="2"/>
  </w:num>
  <w:num w:numId="11" w16cid:durableId="1676765011">
    <w:abstractNumId w:val="25"/>
  </w:num>
  <w:num w:numId="12" w16cid:durableId="663699496">
    <w:abstractNumId w:val="1"/>
  </w:num>
  <w:num w:numId="13" w16cid:durableId="344749604">
    <w:abstractNumId w:val="6"/>
  </w:num>
  <w:num w:numId="14" w16cid:durableId="856769498">
    <w:abstractNumId w:val="10"/>
  </w:num>
  <w:num w:numId="15" w16cid:durableId="706763326">
    <w:abstractNumId w:val="12"/>
  </w:num>
  <w:num w:numId="16" w16cid:durableId="544875162">
    <w:abstractNumId w:val="34"/>
  </w:num>
  <w:num w:numId="17" w16cid:durableId="1207791650">
    <w:abstractNumId w:val="21"/>
  </w:num>
  <w:num w:numId="18" w16cid:durableId="1467039849">
    <w:abstractNumId w:val="16"/>
  </w:num>
  <w:num w:numId="19" w16cid:durableId="727384609">
    <w:abstractNumId w:val="31"/>
  </w:num>
  <w:num w:numId="20" w16cid:durableId="929851225">
    <w:abstractNumId w:val="32"/>
  </w:num>
  <w:num w:numId="21" w16cid:durableId="794104858">
    <w:abstractNumId w:val="7"/>
  </w:num>
  <w:num w:numId="22" w16cid:durableId="605969071">
    <w:abstractNumId w:val="22"/>
  </w:num>
  <w:num w:numId="23" w16cid:durableId="433524516">
    <w:abstractNumId w:val="26"/>
  </w:num>
  <w:num w:numId="24" w16cid:durableId="1422334218">
    <w:abstractNumId w:val="18"/>
  </w:num>
  <w:num w:numId="25" w16cid:durableId="932322925">
    <w:abstractNumId w:val="17"/>
  </w:num>
  <w:num w:numId="26" w16cid:durableId="737292164">
    <w:abstractNumId w:val="19"/>
  </w:num>
  <w:num w:numId="27" w16cid:durableId="109979704">
    <w:abstractNumId w:val="0"/>
  </w:num>
  <w:num w:numId="28" w16cid:durableId="2020306910">
    <w:abstractNumId w:val="30"/>
  </w:num>
  <w:num w:numId="29" w16cid:durableId="1718313693">
    <w:abstractNumId w:val="29"/>
  </w:num>
  <w:num w:numId="30" w16cid:durableId="1260026954">
    <w:abstractNumId w:val="14"/>
  </w:num>
  <w:num w:numId="31" w16cid:durableId="1375469971">
    <w:abstractNumId w:val="11"/>
  </w:num>
  <w:num w:numId="32" w16cid:durableId="689910488">
    <w:abstractNumId w:val="35"/>
  </w:num>
  <w:num w:numId="33" w16cid:durableId="1001003731">
    <w:abstractNumId w:val="23"/>
  </w:num>
  <w:num w:numId="34" w16cid:durableId="1106387811">
    <w:abstractNumId w:val="24"/>
  </w:num>
  <w:num w:numId="35" w16cid:durableId="603732844">
    <w:abstractNumId w:val="15"/>
  </w:num>
  <w:num w:numId="36" w16cid:durableId="1972593150">
    <w:abstractNumId w:val="33"/>
  </w:num>
  <w:num w:numId="37" w16cid:durableId="1556429127">
    <w:abstractNumId w:val="35"/>
    <w:lvlOverride w:ilvl="0">
      <w:startOverride w:val="1"/>
    </w:lvlOverride>
  </w:num>
  <w:num w:numId="38" w16cid:durableId="1488285689">
    <w:abstractNumId w:val="23"/>
    <w:lvlOverride w:ilvl="0">
      <w:startOverride w:val="1"/>
    </w:lvlOverride>
  </w:num>
  <w:num w:numId="39" w16cid:durableId="469639519">
    <w:abstractNumId w:val="23"/>
  </w:num>
  <w:num w:numId="40" w16cid:durableId="1498498694">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453"/>
    <w:rsid w:val="00472DC1"/>
    <w:rsid w:val="00522EA0"/>
    <w:rsid w:val="0057306E"/>
    <w:rsid w:val="006775FE"/>
    <w:rsid w:val="006B038B"/>
    <w:rsid w:val="009B6F46"/>
    <w:rsid w:val="00B7445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7B662"/>
  <w15:docId w15:val="{02411B56-517F-4AC2-A6D5-C2DB05D6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style>
  <w:style w:type="character" w:styleId="Hypertextovodkaz">
    <w:name w:val="Hyperlink"/>
    <w:uiPriority w:val="99"/>
    <w:rPr>
      <w:color w:val="0000FF"/>
      <w:u w:val="single"/>
    </w:rPr>
  </w:style>
  <w:style w:type="character" w:styleId="Sledovanodkaz">
    <w:name w:val="FollowedHyperlink"/>
    <w:rPr>
      <w:color w:val="800080"/>
      <w:u w:val="single"/>
    </w:rPr>
  </w:style>
  <w:style w:type="character" w:styleId="Zdraznn">
    <w:name w:val="Emphasis"/>
    <w:qFormat/>
    <w:rPr>
      <w:i/>
      <w:iCs/>
    </w:rPr>
  </w:style>
  <w:style w:type="character" w:styleId="Siln">
    <w:name w:val="Strong"/>
    <w:qFormat/>
    <w:rsid w:val="00F76BAF"/>
    <w:rPr>
      <w:b/>
      <w:bCs/>
    </w:rPr>
  </w:style>
  <w:style w:type="character" w:customStyle="1" w:styleId="ZkladntextChar">
    <w:name w:val="Základní text Char"/>
    <w:link w:val="Zkladntext"/>
    <w:qFormat/>
    <w:rsid w:val="00655A98"/>
    <w:rPr>
      <w:sz w:val="24"/>
      <w:szCs w:val="24"/>
      <w:lang w:val="cs-CZ" w:eastAsia="cs-CZ" w:bidi="ar-SA"/>
    </w:rPr>
  </w:style>
  <w:style w:type="character" w:styleId="Odkaznakoment">
    <w:name w:val="annotation reference"/>
    <w:uiPriority w:val="99"/>
    <w:semiHidden/>
    <w:unhideWhenUsed/>
    <w:qFormat/>
    <w:rsid w:val="0017385A"/>
    <w:rPr>
      <w:sz w:val="16"/>
      <w:szCs w:val="16"/>
    </w:rPr>
  </w:style>
  <w:style w:type="character" w:customStyle="1" w:styleId="TextkomenteChar">
    <w:name w:val="Text komentáře Char"/>
    <w:basedOn w:val="Standardnpsmoodstavce"/>
    <w:link w:val="Textkomente"/>
    <w:uiPriority w:val="99"/>
    <w:semiHidden/>
    <w:qFormat/>
    <w:rsid w:val="0017385A"/>
  </w:style>
  <w:style w:type="character" w:customStyle="1" w:styleId="PedmtkomenteChar">
    <w:name w:val="Předmět komentáře Char"/>
    <w:link w:val="Pedmtkomente"/>
    <w:uiPriority w:val="99"/>
    <w:semiHidden/>
    <w:qFormat/>
    <w:rsid w:val="0017385A"/>
    <w:rPr>
      <w:b/>
      <w:bCs/>
    </w:rPr>
  </w:style>
  <w:style w:type="character" w:customStyle="1" w:styleId="ZhlavChar">
    <w:name w:val="Záhlaví Char"/>
    <w:link w:val="Zhlav"/>
    <w:qFormat/>
    <w:rsid w:val="004C3A76"/>
    <w:rPr>
      <w:sz w:val="24"/>
      <w:szCs w:val="24"/>
    </w:rPr>
  </w:style>
  <w:style w:type="character" w:customStyle="1" w:styleId="normaltextrun">
    <w:name w:val="normaltextrun"/>
    <w:basedOn w:val="Standardnpsmoodstavce"/>
    <w:qFormat/>
    <w:rsid w:val="000E6B5E"/>
  </w:style>
  <w:style w:type="character" w:customStyle="1" w:styleId="eop">
    <w:name w:val="eop"/>
    <w:basedOn w:val="Standardnpsmoodstavce"/>
    <w:qFormat/>
    <w:rsid w:val="005314B7"/>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pPr>
      <w:tabs>
        <w:tab w:val="left" w:pos="540"/>
        <w:tab w:val="left" w:pos="1260"/>
        <w:tab w:val="left" w:pos="1980"/>
        <w:tab w:val="left" w:pos="3960"/>
      </w:tabs>
      <w:jc w:val="both"/>
    </w:p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rPr>
  </w:style>
  <w:style w:type="paragraph" w:customStyle="1" w:styleId="Rejstk">
    <w:name w:val="Rejstřík"/>
    <w:basedOn w:val="Normln"/>
    <w:qFormat/>
    <w:pPr>
      <w:suppressLineNumbers/>
    </w:pPr>
    <w:rPr>
      <w:rFonts w:cs="Lucida Sans"/>
    </w:rPr>
  </w:style>
  <w:style w:type="paragraph" w:customStyle="1" w:styleId="Import16">
    <w:name w:val="Import 16"/>
    <w:basedOn w:val="Normln"/>
    <w:qFormat/>
    <w:pPr>
      <w:widowControl w:val="0"/>
      <w:tabs>
        <w:tab w:val="left" w:pos="864"/>
      </w:tabs>
      <w:ind w:hanging="144"/>
    </w:pPr>
    <w:rPr>
      <w:rFonts w:ascii="Courier New" w:hAnsi="Courier New" w:cs="Courier New"/>
    </w:rPr>
  </w:style>
  <w:style w:type="paragraph" w:styleId="Zkladntextodsazen2">
    <w:name w:val="Body Text Indent 2"/>
    <w:basedOn w:val="Normln"/>
    <w:qFormat/>
    <w:pPr>
      <w:widowControl w:val="0"/>
      <w:ind w:left="567" w:hanging="567"/>
      <w:jc w:val="both"/>
    </w:pPr>
  </w:style>
  <w:style w:type="paragraph" w:customStyle="1" w:styleId="Import5">
    <w:name w:val="Import 5"/>
    <w:basedOn w:val="Normln"/>
    <w:qFormat/>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cs="Courier New"/>
    </w:rPr>
  </w:style>
  <w:style w:type="paragraph" w:customStyle="1" w:styleId="Import3">
    <w:name w:val="Import 3"/>
    <w:basedOn w:val="Normln"/>
    <w:qFormat/>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cs="Courier New"/>
    </w:rPr>
  </w:style>
  <w:style w:type="paragraph" w:styleId="Zkladntext3">
    <w:name w:val="Body Text 3"/>
    <w:basedOn w:val="Normln"/>
    <w:qFormat/>
    <w:pPr>
      <w:spacing w:line="240" w:lineRule="exact"/>
      <w:jc w:val="both"/>
    </w:pPr>
    <w:rPr>
      <w:szCs w:val="20"/>
    </w:rPr>
  </w:style>
  <w:style w:type="paragraph" w:customStyle="1" w:styleId="Smlouva-eslo">
    <w:name w:val="Smlouva-eíslo"/>
    <w:basedOn w:val="Normln"/>
    <w:qFormat/>
    <w:pPr>
      <w:widowControl w:val="0"/>
      <w:spacing w:before="120" w:line="240" w:lineRule="atLeast"/>
      <w:jc w:val="both"/>
    </w:pPr>
    <w:rPr>
      <w:szCs w:val="20"/>
    </w:rPr>
  </w:style>
  <w:style w:type="paragraph" w:customStyle="1" w:styleId="Smlouva2">
    <w:name w:val="Smlouva2"/>
    <w:basedOn w:val="Normln"/>
    <w:qFormat/>
    <w:pPr>
      <w:widowControl w:val="0"/>
      <w:jc w:val="center"/>
    </w:pPr>
    <w:rPr>
      <w:b/>
      <w:szCs w:val="20"/>
    </w:rPr>
  </w:style>
  <w:style w:type="paragraph" w:customStyle="1" w:styleId="Zhlavazpat">
    <w:name w:val="Záhlaví a zápatí"/>
    <w:basedOn w:val="Normln"/>
    <w:qFormat/>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hlav">
    <w:name w:val="header"/>
    <w:basedOn w:val="Normln"/>
    <w:link w:val="ZhlavChar"/>
    <w:pPr>
      <w:tabs>
        <w:tab w:val="center" w:pos="4536"/>
        <w:tab w:val="right" w:pos="9072"/>
      </w:tabs>
    </w:pPr>
  </w:style>
  <w:style w:type="paragraph" w:styleId="Zkladntextodsazen3">
    <w:name w:val="Body Text Indent 3"/>
    <w:basedOn w:val="Normln"/>
    <w:qFormat/>
    <w:pPr>
      <w:tabs>
        <w:tab w:val="left" w:pos="426"/>
      </w:tabs>
      <w:ind w:left="357"/>
      <w:jc w:val="both"/>
    </w:pPr>
    <w:rPr>
      <w:i/>
      <w:iCs/>
    </w:rPr>
  </w:style>
  <w:style w:type="paragraph" w:styleId="Zkladntext2">
    <w:name w:val="Body Text 2"/>
    <w:basedOn w:val="Normln"/>
    <w:qFormat/>
    <w:pPr>
      <w:tabs>
        <w:tab w:val="left" w:pos="567"/>
        <w:tab w:val="left" w:pos="1701"/>
      </w:tabs>
      <w:spacing w:after="120"/>
    </w:pPr>
    <w:rPr>
      <w:sz w:val="20"/>
    </w:rPr>
  </w:style>
  <w:style w:type="paragraph" w:customStyle="1" w:styleId="Smlouva-slo">
    <w:name w:val="Smlouva-èíslo"/>
    <w:basedOn w:val="Normln"/>
    <w:qFormat/>
    <w:pPr>
      <w:spacing w:before="120" w:line="240" w:lineRule="atLeast"/>
      <w:jc w:val="both"/>
    </w:pPr>
    <w:rPr>
      <w:szCs w:val="20"/>
    </w:rPr>
  </w:style>
  <w:style w:type="paragraph" w:styleId="Nzev">
    <w:name w:val="Title"/>
    <w:basedOn w:val="Normln"/>
    <w:qFormat/>
    <w:pPr>
      <w:widowControl w:val="0"/>
      <w:jc w:val="center"/>
    </w:pPr>
    <w:rPr>
      <w:b/>
      <w:bCs/>
      <w:sz w:val="32"/>
      <w:szCs w:val="20"/>
    </w:rPr>
  </w:style>
  <w:style w:type="paragraph" w:customStyle="1" w:styleId="Smlouva-slo0">
    <w:name w:val="Smlouva-číslo"/>
    <w:basedOn w:val="Normln"/>
    <w:qFormat/>
    <w:pPr>
      <w:widowControl w:val="0"/>
      <w:spacing w:before="120" w:line="240" w:lineRule="atLeast"/>
      <w:jc w:val="both"/>
    </w:pPr>
    <w:rPr>
      <w:szCs w:val="20"/>
    </w:rPr>
  </w:style>
  <w:style w:type="paragraph" w:customStyle="1" w:styleId="slovnvSOD">
    <w:name w:val="číslování v SOD"/>
    <w:basedOn w:val="Zkladntext"/>
    <w:qForma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qFormat/>
    <w:pPr>
      <w:widowControl w:val="0"/>
      <w:spacing w:before="120"/>
      <w:jc w:val="both"/>
    </w:pPr>
    <w:rPr>
      <w:szCs w:val="20"/>
    </w:rPr>
  </w:style>
  <w:style w:type="paragraph" w:customStyle="1" w:styleId="xl24">
    <w:name w:val="xl24"/>
    <w:basedOn w:val="Normln"/>
    <w:qFormat/>
    <w:pPr>
      <w:pBdr>
        <w:top w:val="single" w:sz="8" w:space="0" w:color="000000"/>
        <w:right w:val="single" w:sz="4" w:space="0" w:color="000000"/>
      </w:pBdr>
      <w:spacing w:beforeAutospacing="1" w:afterAutospacing="1"/>
      <w:jc w:val="center"/>
      <w:textAlignment w:val="center"/>
    </w:pPr>
    <w:rPr>
      <w:b/>
      <w:bCs/>
    </w:rPr>
  </w:style>
  <w:style w:type="paragraph" w:customStyle="1" w:styleId="xl25">
    <w:name w:val="xl25"/>
    <w:basedOn w:val="Normln"/>
    <w:qFormat/>
    <w:pPr>
      <w:pBdr>
        <w:top w:val="single" w:sz="8" w:space="0" w:color="000000"/>
        <w:left w:val="single" w:sz="4" w:space="0" w:color="000000"/>
        <w:right w:val="single" w:sz="4" w:space="0" w:color="000000"/>
      </w:pBdr>
      <w:spacing w:beforeAutospacing="1" w:afterAutospacing="1"/>
      <w:jc w:val="center"/>
      <w:textAlignment w:val="center"/>
    </w:pPr>
    <w:rPr>
      <w:b/>
      <w:bCs/>
    </w:rPr>
  </w:style>
  <w:style w:type="paragraph" w:customStyle="1" w:styleId="xl26">
    <w:name w:val="xl26"/>
    <w:basedOn w:val="Normln"/>
    <w:qFormat/>
    <w:pPr>
      <w:pBdr>
        <w:top w:val="single" w:sz="8" w:space="0" w:color="000000"/>
        <w:left w:val="single" w:sz="4" w:space="0" w:color="000000"/>
        <w:right w:val="single" w:sz="8" w:space="0" w:color="000000"/>
      </w:pBdr>
      <w:spacing w:beforeAutospacing="1" w:afterAutospacing="1"/>
      <w:jc w:val="center"/>
      <w:textAlignment w:val="center"/>
    </w:pPr>
    <w:rPr>
      <w:b/>
      <w:bCs/>
    </w:rPr>
  </w:style>
  <w:style w:type="paragraph" w:customStyle="1" w:styleId="xl27">
    <w:name w:val="xl27"/>
    <w:basedOn w:val="Normln"/>
    <w:qFormat/>
    <w:pPr>
      <w:pBdr>
        <w:left w:val="single" w:sz="8" w:space="0" w:color="000000"/>
        <w:bottom w:val="single" w:sz="8" w:space="0" w:color="000000"/>
      </w:pBdr>
      <w:spacing w:beforeAutospacing="1" w:afterAutospacing="1"/>
      <w:jc w:val="center"/>
      <w:textAlignment w:val="center"/>
    </w:pPr>
    <w:rPr>
      <w:b/>
      <w:bCs/>
    </w:rPr>
  </w:style>
  <w:style w:type="paragraph" w:customStyle="1" w:styleId="xl28">
    <w:name w:val="xl28"/>
    <w:basedOn w:val="Normln"/>
    <w:qFormat/>
    <w:pPr>
      <w:pBdr>
        <w:bottom w:val="single" w:sz="8" w:space="0" w:color="000000"/>
        <w:right w:val="single" w:sz="4" w:space="0" w:color="000000"/>
      </w:pBdr>
      <w:spacing w:beforeAutospacing="1" w:afterAutospacing="1"/>
      <w:jc w:val="center"/>
      <w:textAlignment w:val="center"/>
    </w:pPr>
    <w:rPr>
      <w:b/>
      <w:bCs/>
    </w:rPr>
  </w:style>
  <w:style w:type="paragraph" w:customStyle="1" w:styleId="xl29">
    <w:name w:val="xl29"/>
    <w:basedOn w:val="Normln"/>
    <w:qFormat/>
    <w:pPr>
      <w:pBdr>
        <w:left w:val="single" w:sz="4" w:space="0" w:color="000000"/>
        <w:bottom w:val="single" w:sz="8" w:space="0" w:color="000000"/>
        <w:right w:val="single" w:sz="4" w:space="0" w:color="000000"/>
      </w:pBdr>
      <w:spacing w:beforeAutospacing="1" w:afterAutospacing="1"/>
      <w:jc w:val="center"/>
      <w:textAlignment w:val="center"/>
    </w:pPr>
    <w:rPr>
      <w:b/>
      <w:bCs/>
    </w:rPr>
  </w:style>
  <w:style w:type="paragraph" w:customStyle="1" w:styleId="xl30">
    <w:name w:val="xl30"/>
    <w:basedOn w:val="Normln"/>
    <w:qFormat/>
    <w:pPr>
      <w:pBdr>
        <w:left w:val="single" w:sz="4" w:space="0" w:color="000000"/>
        <w:bottom w:val="single" w:sz="8" w:space="0" w:color="000000"/>
        <w:right w:val="single" w:sz="8" w:space="0" w:color="000000"/>
      </w:pBdr>
      <w:spacing w:beforeAutospacing="1" w:afterAutospacing="1"/>
      <w:jc w:val="center"/>
      <w:textAlignment w:val="center"/>
    </w:pPr>
    <w:rPr>
      <w:b/>
      <w:bCs/>
    </w:rPr>
  </w:style>
  <w:style w:type="paragraph" w:customStyle="1" w:styleId="xl31">
    <w:name w:val="xl31"/>
    <w:basedOn w:val="Normln"/>
    <w:qFormat/>
    <w:pPr>
      <w:pBdr>
        <w:top w:val="single" w:sz="8" w:space="0" w:color="000000"/>
        <w:left w:val="single" w:sz="8" w:space="0" w:color="000000"/>
        <w:right w:val="single" w:sz="4" w:space="0" w:color="000000"/>
      </w:pBdr>
      <w:spacing w:beforeAutospacing="1" w:afterAutospacing="1"/>
      <w:jc w:val="center"/>
      <w:textAlignment w:val="center"/>
    </w:pPr>
    <w:rPr>
      <w:sz w:val="22"/>
      <w:szCs w:val="22"/>
    </w:rPr>
  </w:style>
  <w:style w:type="paragraph" w:customStyle="1" w:styleId="xl32">
    <w:name w:val="xl32"/>
    <w:basedOn w:val="Normln"/>
    <w:qFormat/>
    <w:pPr>
      <w:pBdr>
        <w:top w:val="single" w:sz="8" w:space="0" w:color="000000"/>
        <w:left w:val="single" w:sz="4" w:space="0" w:color="000000"/>
        <w:right w:val="single" w:sz="4" w:space="0" w:color="000000"/>
      </w:pBdr>
      <w:spacing w:beforeAutospacing="1" w:afterAutospacing="1"/>
      <w:textAlignment w:val="center"/>
    </w:pPr>
    <w:rPr>
      <w:sz w:val="22"/>
      <w:szCs w:val="22"/>
    </w:rPr>
  </w:style>
  <w:style w:type="paragraph" w:customStyle="1" w:styleId="xl33">
    <w:name w:val="xl33"/>
    <w:basedOn w:val="Normln"/>
    <w:qFormat/>
    <w:pPr>
      <w:pBdr>
        <w:top w:val="single" w:sz="8" w:space="0" w:color="000000"/>
        <w:bottom w:val="single" w:sz="4" w:space="0" w:color="000000"/>
        <w:right w:val="single" w:sz="4" w:space="0" w:color="000000"/>
      </w:pBdr>
      <w:spacing w:beforeAutospacing="1" w:afterAutospacing="1"/>
      <w:jc w:val="center"/>
      <w:textAlignment w:val="center"/>
    </w:pPr>
    <w:rPr>
      <w:sz w:val="22"/>
      <w:szCs w:val="22"/>
    </w:rPr>
  </w:style>
  <w:style w:type="paragraph" w:customStyle="1" w:styleId="xl34">
    <w:name w:val="xl34"/>
    <w:basedOn w:val="Normln"/>
    <w:qFormat/>
    <w:pPr>
      <w:pBdr>
        <w:top w:val="single" w:sz="8" w:space="0" w:color="000000"/>
        <w:bottom w:val="single" w:sz="4" w:space="0" w:color="000000"/>
        <w:right w:val="single" w:sz="4" w:space="0" w:color="000000"/>
      </w:pBdr>
      <w:spacing w:beforeAutospacing="1" w:afterAutospacing="1"/>
      <w:jc w:val="right"/>
      <w:textAlignment w:val="center"/>
    </w:pPr>
    <w:rPr>
      <w:sz w:val="22"/>
      <w:szCs w:val="22"/>
    </w:rPr>
  </w:style>
  <w:style w:type="paragraph" w:customStyle="1" w:styleId="xl35">
    <w:name w:val="xl35"/>
    <w:basedOn w:val="Normln"/>
    <w:qFormat/>
    <w:pPr>
      <w:pBdr>
        <w:top w:val="single" w:sz="8" w:space="0" w:color="000000"/>
        <w:bottom w:val="single" w:sz="4" w:space="0" w:color="000000"/>
        <w:right w:val="single" w:sz="8" w:space="0" w:color="000000"/>
      </w:pBdr>
      <w:spacing w:beforeAutospacing="1" w:afterAutospacing="1"/>
      <w:jc w:val="right"/>
      <w:textAlignment w:val="center"/>
    </w:pPr>
    <w:rPr>
      <w:sz w:val="22"/>
      <w:szCs w:val="22"/>
    </w:rPr>
  </w:style>
  <w:style w:type="paragraph" w:customStyle="1" w:styleId="xl36">
    <w:name w:val="xl36"/>
    <w:basedOn w:val="Normln"/>
    <w:qFormat/>
    <w:pPr>
      <w:pBdr>
        <w:left w:val="single" w:sz="8" w:space="0" w:color="000000"/>
        <w:right w:val="single" w:sz="4" w:space="0" w:color="000000"/>
      </w:pBdr>
      <w:spacing w:beforeAutospacing="1" w:afterAutospacing="1"/>
      <w:jc w:val="center"/>
      <w:textAlignment w:val="center"/>
    </w:pPr>
    <w:rPr>
      <w:sz w:val="22"/>
      <w:szCs w:val="22"/>
    </w:rPr>
  </w:style>
  <w:style w:type="paragraph" w:customStyle="1" w:styleId="xl37">
    <w:name w:val="xl37"/>
    <w:basedOn w:val="Normln"/>
    <w:qFormat/>
    <w:pPr>
      <w:pBdr>
        <w:left w:val="single" w:sz="8" w:space="0" w:color="000000"/>
        <w:bottom w:val="single" w:sz="8" w:space="0" w:color="000000"/>
        <w:right w:val="single" w:sz="4" w:space="0" w:color="000000"/>
      </w:pBdr>
      <w:spacing w:beforeAutospacing="1" w:afterAutospacing="1"/>
      <w:jc w:val="center"/>
      <w:textAlignment w:val="center"/>
    </w:pPr>
    <w:rPr>
      <w:sz w:val="22"/>
      <w:szCs w:val="22"/>
    </w:rPr>
  </w:style>
  <w:style w:type="paragraph" w:customStyle="1" w:styleId="xl38">
    <w:name w:val="xl38"/>
    <w:basedOn w:val="Normln"/>
    <w:qFormat/>
    <w:pPr>
      <w:pBdr>
        <w:left w:val="single" w:sz="4" w:space="0" w:color="000000"/>
        <w:bottom w:val="single" w:sz="8" w:space="0" w:color="000000"/>
      </w:pBdr>
      <w:spacing w:beforeAutospacing="1" w:afterAutospacing="1"/>
      <w:textAlignment w:val="center"/>
    </w:pPr>
    <w:rPr>
      <w:sz w:val="22"/>
      <w:szCs w:val="22"/>
    </w:rPr>
  </w:style>
  <w:style w:type="paragraph" w:customStyle="1" w:styleId="xl39">
    <w:name w:val="xl39"/>
    <w:basedOn w:val="Normln"/>
    <w:qFormat/>
    <w:pPr>
      <w:pBdr>
        <w:right w:val="single" w:sz="4" w:space="0" w:color="000000"/>
      </w:pBdr>
      <w:spacing w:beforeAutospacing="1" w:afterAutospacing="1"/>
      <w:jc w:val="center"/>
      <w:textAlignment w:val="center"/>
    </w:pPr>
    <w:rPr>
      <w:sz w:val="22"/>
      <w:szCs w:val="22"/>
    </w:rPr>
  </w:style>
  <w:style w:type="paragraph" w:customStyle="1" w:styleId="xl40">
    <w:name w:val="xl40"/>
    <w:basedOn w:val="Normln"/>
    <w:qFormat/>
    <w:pPr>
      <w:pBdr>
        <w:right w:val="single" w:sz="4" w:space="0" w:color="000000"/>
      </w:pBdr>
      <w:spacing w:beforeAutospacing="1" w:afterAutospacing="1"/>
      <w:jc w:val="right"/>
      <w:textAlignment w:val="center"/>
    </w:pPr>
    <w:rPr>
      <w:sz w:val="22"/>
      <w:szCs w:val="22"/>
    </w:rPr>
  </w:style>
  <w:style w:type="paragraph" w:customStyle="1" w:styleId="xl41">
    <w:name w:val="xl41"/>
    <w:basedOn w:val="Normln"/>
    <w:qFormat/>
    <w:pPr>
      <w:pBdr>
        <w:right w:val="single" w:sz="8" w:space="0" w:color="000000"/>
      </w:pBdr>
      <w:spacing w:beforeAutospacing="1" w:afterAutospacing="1"/>
      <w:jc w:val="right"/>
      <w:textAlignment w:val="center"/>
    </w:pPr>
    <w:rPr>
      <w:sz w:val="22"/>
      <w:szCs w:val="22"/>
    </w:rPr>
  </w:style>
  <w:style w:type="paragraph" w:customStyle="1" w:styleId="xl42">
    <w:name w:val="xl42"/>
    <w:basedOn w:val="Normln"/>
    <w:qFormat/>
    <w:pPr>
      <w:pBdr>
        <w:top w:val="single" w:sz="8" w:space="0" w:color="000000"/>
        <w:left w:val="single" w:sz="8" w:space="0" w:color="000000"/>
        <w:bottom w:val="single" w:sz="8" w:space="0" w:color="000000"/>
        <w:right w:val="single" w:sz="4" w:space="0" w:color="000000"/>
      </w:pBdr>
      <w:spacing w:beforeAutospacing="1" w:afterAutospacing="1"/>
      <w:jc w:val="center"/>
      <w:textAlignment w:val="center"/>
    </w:pPr>
    <w:rPr>
      <w:sz w:val="22"/>
      <w:szCs w:val="22"/>
    </w:rPr>
  </w:style>
  <w:style w:type="paragraph" w:customStyle="1" w:styleId="xl43">
    <w:name w:val="xl43"/>
    <w:basedOn w:val="Normln"/>
    <w:qFormat/>
    <w:pPr>
      <w:pBdr>
        <w:top w:val="single" w:sz="8" w:space="0" w:color="000000"/>
        <w:bottom w:val="single" w:sz="8" w:space="0" w:color="000000"/>
        <w:right w:val="single" w:sz="4" w:space="0" w:color="000000"/>
      </w:pBdr>
      <w:spacing w:beforeAutospacing="1" w:afterAutospacing="1"/>
      <w:jc w:val="right"/>
      <w:textAlignment w:val="center"/>
    </w:pPr>
    <w:rPr>
      <w:sz w:val="22"/>
      <w:szCs w:val="22"/>
    </w:rPr>
  </w:style>
  <w:style w:type="paragraph" w:customStyle="1" w:styleId="xl44">
    <w:name w:val="xl44"/>
    <w:basedOn w:val="Normln"/>
    <w:qFormat/>
    <w:pPr>
      <w:pBdr>
        <w:top w:val="single" w:sz="8" w:space="0" w:color="000000"/>
        <w:bottom w:val="single" w:sz="8" w:space="0" w:color="000000"/>
        <w:right w:val="single" w:sz="8" w:space="0" w:color="000000"/>
      </w:pBdr>
      <w:spacing w:beforeAutospacing="1" w:afterAutospacing="1"/>
      <w:jc w:val="right"/>
      <w:textAlignment w:val="center"/>
    </w:pPr>
    <w:rPr>
      <w:sz w:val="22"/>
      <w:szCs w:val="22"/>
    </w:rPr>
  </w:style>
  <w:style w:type="paragraph" w:customStyle="1" w:styleId="xl45">
    <w:name w:val="xl45"/>
    <w:basedOn w:val="Normln"/>
    <w:qFormat/>
    <w:pPr>
      <w:pBdr>
        <w:top w:val="single" w:sz="4" w:space="0" w:color="000000"/>
        <w:left w:val="single" w:sz="4" w:space="0" w:color="000000"/>
        <w:bottom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6">
    <w:name w:val="xl46"/>
    <w:basedOn w:val="Normln"/>
    <w:qFormat/>
    <w:pPr>
      <w:pBdr>
        <w:top w:val="single" w:sz="4" w:space="0" w:color="000000"/>
        <w:bottom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7">
    <w:name w:val="xl47"/>
    <w:basedOn w:val="Normln"/>
    <w:qFormat/>
    <w:pPr>
      <w:pBdr>
        <w:top w:val="single" w:sz="4" w:space="0" w:color="000000"/>
        <w:bottom w:val="single" w:sz="4" w:space="0" w:color="000000"/>
        <w:right w:val="single" w:sz="4" w:space="0" w:color="000000"/>
      </w:pBdr>
      <w:shd w:val="clear" w:color="auto" w:fill="C0C0C0"/>
      <w:spacing w:beforeAutospacing="1" w:afterAutospacing="1"/>
      <w:jc w:val="center"/>
      <w:textAlignment w:val="center"/>
    </w:pPr>
    <w:rPr>
      <w:b/>
      <w:bCs/>
      <w:color w:val="000000"/>
      <w:sz w:val="22"/>
      <w:szCs w:val="22"/>
    </w:rPr>
  </w:style>
  <w:style w:type="paragraph" w:customStyle="1" w:styleId="xl48">
    <w:name w:val="xl48"/>
    <w:basedOn w:val="Normln"/>
    <w:qFormat/>
    <w:pPr>
      <w:pBdr>
        <w:bottom w:val="single" w:sz="4" w:space="0" w:color="000000"/>
        <w:right w:val="single" w:sz="4" w:space="0" w:color="000000"/>
      </w:pBdr>
      <w:shd w:val="clear" w:color="auto" w:fill="C0C0C0"/>
      <w:spacing w:beforeAutospacing="1" w:afterAutospacing="1"/>
      <w:jc w:val="center"/>
      <w:textAlignment w:val="center"/>
    </w:pPr>
    <w:rPr>
      <w:sz w:val="22"/>
      <w:szCs w:val="22"/>
    </w:rPr>
  </w:style>
  <w:style w:type="paragraph" w:customStyle="1" w:styleId="xl49">
    <w:name w:val="xl49"/>
    <w:basedOn w:val="Normln"/>
    <w:qFormat/>
    <w:pPr>
      <w:pBdr>
        <w:top w:val="single" w:sz="4" w:space="0" w:color="000000"/>
        <w:bottom w:val="single" w:sz="4" w:space="0" w:color="000000"/>
        <w:right w:val="single" w:sz="4" w:space="0" w:color="000000"/>
      </w:pBdr>
      <w:shd w:val="clear" w:color="auto" w:fill="C0C0C0"/>
      <w:spacing w:beforeAutospacing="1" w:afterAutospacing="1"/>
      <w:jc w:val="center"/>
      <w:textAlignment w:val="center"/>
    </w:pPr>
    <w:rPr>
      <w:rFonts w:eastAsia="Arial Unicode MS"/>
      <w:b/>
      <w:bCs/>
      <w:color w:val="000000"/>
      <w:sz w:val="22"/>
      <w:szCs w:val="22"/>
    </w:rPr>
  </w:style>
  <w:style w:type="paragraph" w:customStyle="1" w:styleId="xl50">
    <w:name w:val="xl50"/>
    <w:basedOn w:val="Normln"/>
    <w:qFormat/>
    <w:pPr>
      <w:pBdr>
        <w:bottom w:val="single" w:sz="4" w:space="0" w:color="000000"/>
        <w:right w:val="single" w:sz="4" w:space="0" w:color="000000"/>
      </w:pBdr>
      <w:shd w:val="clear" w:color="auto" w:fill="C0C0C0"/>
      <w:spacing w:beforeAutospacing="1" w:afterAutospacing="1"/>
      <w:jc w:val="center"/>
      <w:textAlignment w:val="center"/>
    </w:pPr>
    <w:rPr>
      <w:rFonts w:eastAsia="Arial Unicode MS"/>
      <w:sz w:val="22"/>
      <w:szCs w:val="22"/>
    </w:rPr>
  </w:style>
  <w:style w:type="paragraph" w:customStyle="1" w:styleId="NzevSmlouvy">
    <w:name w:val="NázevSmlouvy"/>
    <w:basedOn w:val="Zhlav"/>
    <w:next w:val="Normln"/>
    <w:qFormat/>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qFormat/>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qFormat/>
    <w:pPr>
      <w:numPr>
        <w:numId w:val="20"/>
      </w:numPr>
      <w:tabs>
        <w:tab w:val="clear" w:pos="540"/>
        <w:tab w:val="left" w:pos="284"/>
      </w:tabs>
    </w:pPr>
  </w:style>
  <w:style w:type="paragraph" w:customStyle="1" w:styleId="dajeOSmluvnStran">
    <w:name w:val="ÚdajeOSmluvníStraně"/>
    <w:basedOn w:val="Normln"/>
    <w:qFormat/>
    <w:pPr>
      <w:ind w:left="357"/>
    </w:pPr>
    <w:rPr>
      <w:szCs w:val="20"/>
    </w:rPr>
  </w:style>
  <w:style w:type="paragraph" w:styleId="Textbubliny">
    <w:name w:val="Balloon Text"/>
    <w:basedOn w:val="Normln"/>
    <w:semiHidden/>
    <w:qFormat/>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qFormat/>
    <w:pPr>
      <w:widowControl/>
    </w:pPr>
  </w:style>
  <w:style w:type="paragraph" w:customStyle="1" w:styleId="KUMS-adresa">
    <w:name w:val="KUMS-adresa"/>
    <w:basedOn w:val="Normln"/>
    <w:qFormat/>
    <w:rsid w:val="00F13A88"/>
    <w:pPr>
      <w:spacing w:line="280" w:lineRule="exact"/>
      <w:jc w:val="both"/>
    </w:pPr>
    <w:rPr>
      <w:rFonts w:ascii="Tahoma" w:hAnsi="Tahoma" w:cs="Tahoma"/>
      <w:sz w:val="20"/>
      <w:szCs w:val="20"/>
    </w:rPr>
  </w:style>
  <w:style w:type="paragraph" w:customStyle="1" w:styleId="CharChar1">
    <w:name w:val="Char Char1"/>
    <w:basedOn w:val="Normln"/>
    <w:qFormat/>
    <w:rsid w:val="00B937D0"/>
    <w:pPr>
      <w:spacing w:after="160" w:line="240" w:lineRule="exact"/>
    </w:pPr>
    <w:rPr>
      <w:rFonts w:ascii="Verdana" w:hAnsi="Verdana" w:cs="Verdana"/>
      <w:sz w:val="20"/>
      <w:szCs w:val="20"/>
      <w:lang w:val="en-US" w:eastAsia="en-US"/>
    </w:rPr>
  </w:style>
  <w:style w:type="paragraph" w:customStyle="1" w:styleId="msolistparagraph0">
    <w:name w:val="msolistparagraph"/>
    <w:basedOn w:val="Normln"/>
    <w:qFormat/>
    <w:rsid w:val="00441296"/>
    <w:pPr>
      <w:ind w:left="720"/>
    </w:pPr>
  </w:style>
  <w:style w:type="paragraph" w:customStyle="1" w:styleId="CharCharChar">
    <w:name w:val="Char Char Char"/>
    <w:basedOn w:val="Normln"/>
    <w:qFormat/>
    <w:rsid w:val="00655A98"/>
    <w:pPr>
      <w:spacing w:after="160" w:line="240" w:lineRule="exact"/>
    </w:pPr>
    <w:rPr>
      <w:rFonts w:ascii="Verdana" w:hAnsi="Verdana" w:cs="Verdana"/>
      <w:sz w:val="20"/>
      <w:szCs w:val="20"/>
      <w:lang w:val="en-US" w:eastAsia="en-US"/>
    </w:rPr>
  </w:style>
  <w:style w:type="paragraph" w:customStyle="1" w:styleId="odstavecsmlouvy0">
    <w:name w:val="odstavecsmlouvy"/>
    <w:basedOn w:val="Normln"/>
    <w:qFormat/>
    <w:rsid w:val="004C68E7"/>
    <w:pPr>
      <w:spacing w:beforeAutospacing="1" w:afterAutospacing="1"/>
    </w:pPr>
  </w:style>
  <w:style w:type="paragraph" w:customStyle="1" w:styleId="Default">
    <w:name w:val="Default"/>
    <w:qFormat/>
    <w:rsid w:val="00807E38"/>
    <w:rPr>
      <w:rFonts w:ascii="Tahoma" w:hAnsi="Tahoma" w:cs="Tahoma"/>
      <w:color w:val="000000"/>
      <w:sz w:val="24"/>
      <w:szCs w:val="24"/>
    </w:rPr>
  </w:style>
  <w:style w:type="paragraph" w:styleId="Textkomente">
    <w:name w:val="annotation text"/>
    <w:basedOn w:val="Normln"/>
    <w:link w:val="TextkomenteChar"/>
    <w:uiPriority w:val="99"/>
    <w:semiHidden/>
    <w:unhideWhenUsed/>
    <w:qFormat/>
    <w:rsid w:val="0017385A"/>
    <w:rPr>
      <w:sz w:val="20"/>
      <w:szCs w:val="20"/>
    </w:rPr>
  </w:style>
  <w:style w:type="paragraph" w:styleId="Pedmtkomente">
    <w:name w:val="annotation subject"/>
    <w:basedOn w:val="Textkomente"/>
    <w:next w:val="Textkomente"/>
    <w:link w:val="PedmtkomenteChar"/>
    <w:uiPriority w:val="99"/>
    <w:semiHidden/>
    <w:unhideWhenUsed/>
    <w:qFormat/>
    <w:rsid w:val="0017385A"/>
    <w:rPr>
      <w:b/>
      <w:bCs/>
    </w:rPr>
  </w:style>
  <w:style w:type="paragraph" w:styleId="Odstavecseseznamem">
    <w:name w:val="List Paragraph"/>
    <w:basedOn w:val="Normln"/>
    <w:uiPriority w:val="34"/>
    <w:qFormat/>
    <w:pPr>
      <w:ind w:left="720"/>
      <w:contextualSpacing/>
    </w:pPr>
  </w:style>
  <w:style w:type="paragraph" w:customStyle="1" w:styleId="Obsahrmce">
    <w:name w:val="Obsah rámce"/>
    <w:basedOn w:val="Normln"/>
    <w:qFormat/>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rengp.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2.xml><?xml version="1.0" encoding="utf-8"?>
<ds:datastoreItem xmlns:ds="http://schemas.openxmlformats.org/officeDocument/2006/customXml" ds:itemID="{6CF7B9CB-E016-4D0F-8C43-B03F060322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FBFEE5-9AEB-4624-8452-684BDA770FAF}">
  <ds:schemaRefs>
    <ds:schemaRef ds:uri="http://schemas.openxmlformats.org/officeDocument/2006/bibliography"/>
  </ds:schemaRefs>
</ds:datastoreItem>
</file>

<file path=customXml/itemProps4.xml><?xml version="1.0" encoding="utf-8"?>
<ds:datastoreItem xmlns:ds="http://schemas.openxmlformats.org/officeDocument/2006/customXml" ds:itemID="{DF4D3F80-3FB6-4FCF-A564-F378EE8A6D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5685</Words>
  <Characters>33547</Characters>
  <Application>Microsoft Office Word</Application>
  <DocSecurity>0</DocSecurity>
  <Lines>279</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39154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dc:description/>
  <cp:lastModifiedBy>Iva Šumšalová</cp:lastModifiedBy>
  <cp:revision>5</cp:revision>
  <cp:lastPrinted>2023-11-29T12:25:00Z</cp:lastPrinted>
  <dcterms:created xsi:type="dcterms:W3CDTF">2023-11-29T12:19:00Z</dcterms:created>
  <dcterms:modified xsi:type="dcterms:W3CDTF">2023-11-29T13:46:00Z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ActionId">
    <vt:lpwstr>f88e76f4-dade-49f3-a80c-849bc196d5f5</vt:lpwstr>
  </property>
  <property fmtid="{D5CDD505-2E9C-101B-9397-08002B2CF9AE}" pid="4" name="MSIP_Label_63ff9749-f68b-40ec-aa05-229831920469_ContentBits">
    <vt:lpwstr>2</vt:lpwstr>
  </property>
  <property fmtid="{D5CDD505-2E9C-101B-9397-08002B2CF9AE}" pid="5" name="MSIP_Label_63ff9749-f68b-40ec-aa05-229831920469_Enabled">
    <vt:lpwstr>true</vt:lpwstr>
  </property>
  <property fmtid="{D5CDD505-2E9C-101B-9397-08002B2CF9AE}" pid="6" name="MSIP_Label_63ff9749-f68b-40ec-aa05-229831920469_Method">
    <vt:lpwstr>Standard</vt:lpwstr>
  </property>
  <property fmtid="{D5CDD505-2E9C-101B-9397-08002B2CF9AE}" pid="7" name="MSIP_Label_63ff9749-f68b-40ec-aa05-229831920469_Name">
    <vt:lpwstr>Neveřejná informace</vt:lpwstr>
  </property>
  <property fmtid="{D5CDD505-2E9C-101B-9397-08002B2CF9AE}" pid="8" name="MSIP_Label_63ff9749-f68b-40ec-aa05-229831920469_SetDate">
    <vt:lpwstr>2022-01-31T11:05:04Z</vt:lpwstr>
  </property>
  <property fmtid="{D5CDD505-2E9C-101B-9397-08002B2CF9AE}" pid="9" name="MSIP_Label_63ff9749-f68b-40ec-aa05-229831920469_SiteId">
    <vt:lpwstr>39f24d0b-aa30-4551-8e81-43c77cf1000e</vt:lpwstr>
  </property>
</Properties>
</file>