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ubtitle"/>
        <w:spacing w:before="0" w:after="120"/>
        <w:rPr>
          <w:rFonts w:ascii="Tahoma" w:hAnsi="Tahoma" w:cs="Tahoma"/>
          <w:caps/>
          <w:szCs w:val="28"/>
        </w:rPr>
      </w:pPr>
      <w:r>
        <w:rPr>
          <w:rFonts w:cs="Tahoma" w:ascii="Tahoma" w:hAnsi="Tahoma"/>
          <w:caps/>
          <w:szCs w:val="28"/>
        </w:rPr>
        <w:t>Smlouva o dílo</w:t>
      </w:r>
    </w:p>
    <w:p>
      <w:pPr>
        <w:pStyle w:val="Normal"/>
        <w:keepNext w:val="true"/>
        <w:spacing w:before="360" w:after="0"/>
        <w:jc w:val="center"/>
        <w:rPr>
          <w:rFonts w:ascii="Tahoma" w:hAnsi="Tahoma" w:cs="Tahoma"/>
          <w:b/>
          <w:sz w:val="22"/>
          <w:szCs w:val="22"/>
        </w:rPr>
      </w:pPr>
      <w:r>
        <w:rPr>
          <w:rFonts w:cs="Tahoma" w:ascii="Tahoma" w:hAnsi="Tahoma"/>
          <w:b/>
          <w:sz w:val="22"/>
          <w:szCs w:val="22"/>
        </w:rPr>
        <w:t>I.</w:t>
        <w:br/>
        <w:t>Smluvní strany</w:t>
      </w:r>
    </w:p>
    <w:p>
      <w:pPr>
        <w:pStyle w:val="Normal"/>
        <w:numPr>
          <w:ilvl w:val="0"/>
          <w:numId w:val="30"/>
        </w:numPr>
        <w:spacing w:before="240" w:after="0"/>
        <w:ind w:hanging="357" w:left="357"/>
        <w:jc w:val="both"/>
        <w:rPr>
          <w:highlight w:val="none"/>
          <w:shd w:fill="auto" w:val="clear"/>
        </w:rPr>
      </w:pPr>
      <w:r>
        <w:rPr>
          <w:rFonts w:cs="Tahoma" w:ascii="Tahoma" w:hAnsi="Tahoma"/>
          <w:b/>
          <w:sz w:val="22"/>
          <w:szCs w:val="22"/>
          <w:shd w:fill="auto" w:val="clear"/>
        </w:rPr>
        <w:t>Střední škola technická, Opava, Kolofíkovo nábřeží 51, příspěvková organizace</w:t>
      </w:r>
    </w:p>
    <w:p>
      <w:pPr>
        <w:pStyle w:val="Normal"/>
        <w:numPr>
          <w:ilvl w:val="0"/>
          <w:numId w:val="0"/>
        </w:numPr>
        <w:tabs>
          <w:tab w:val="clear" w:pos="720"/>
          <w:tab w:val="left" w:pos="2835" w:leader="none"/>
        </w:tabs>
        <w:ind w:hanging="0" w:left="357"/>
        <w:jc w:val="both"/>
        <w:rPr>
          <w:highlight w:val="none"/>
          <w:shd w:fill="auto" w:val="clear"/>
        </w:rPr>
      </w:pPr>
      <w:r>
        <w:rPr>
          <w:rFonts w:cs="Tahoma" w:ascii="Tahoma" w:hAnsi="Tahoma"/>
          <w:sz w:val="22"/>
          <w:szCs w:val="22"/>
          <w:shd w:fill="auto" w:val="clear"/>
        </w:rPr>
        <w:t>se sídlem:</w:t>
        <w:tab/>
        <w:t>Kolofíkovo nábřeží 1062/51, Kateřinky, 747 05 Opava</w:t>
        <w:tab/>
      </w:r>
    </w:p>
    <w:p>
      <w:pPr>
        <w:pStyle w:val="Normal"/>
        <w:numPr>
          <w:ilvl w:val="0"/>
          <w:numId w:val="0"/>
        </w:numPr>
        <w:tabs>
          <w:tab w:val="clear" w:pos="720"/>
          <w:tab w:val="left" w:pos="2835" w:leader="none"/>
        </w:tabs>
        <w:ind w:hanging="0" w:left="357"/>
        <w:jc w:val="both"/>
        <w:rPr>
          <w:highlight w:val="none"/>
          <w:shd w:fill="auto" w:val="clear"/>
        </w:rPr>
      </w:pPr>
      <w:r>
        <w:rPr>
          <w:rFonts w:cs="Tahoma" w:ascii="Tahoma" w:hAnsi="Tahoma"/>
          <w:sz w:val="22"/>
          <w:szCs w:val="22"/>
          <w:shd w:fill="auto" w:val="clear"/>
        </w:rPr>
        <w:t>zastoupena:</w:t>
        <w:tab/>
        <w:t>Ing. Josef Vondál, ředitel školy</w:t>
        <w:tab/>
      </w:r>
    </w:p>
    <w:p>
      <w:pPr>
        <w:pStyle w:val="Normal"/>
        <w:numPr>
          <w:ilvl w:val="0"/>
          <w:numId w:val="0"/>
        </w:numPr>
        <w:tabs>
          <w:tab w:val="clear" w:pos="720"/>
          <w:tab w:val="left" w:pos="2835" w:leader="none"/>
        </w:tabs>
        <w:ind w:hanging="0" w:left="357"/>
        <w:jc w:val="both"/>
        <w:rPr>
          <w:highlight w:val="none"/>
          <w:shd w:fill="auto" w:val="clear"/>
        </w:rPr>
      </w:pPr>
      <w:r>
        <w:rPr>
          <w:rFonts w:cs="Tahoma" w:ascii="Tahoma" w:hAnsi="Tahoma"/>
          <w:sz w:val="22"/>
          <w:szCs w:val="22"/>
          <w:shd w:fill="auto" w:val="clear"/>
        </w:rPr>
        <w:t>IČO:</w:t>
        <w:tab/>
        <w:t>00845299</w:t>
        <w:tab/>
      </w:r>
    </w:p>
    <w:p>
      <w:pPr>
        <w:pStyle w:val="Normal"/>
        <w:numPr>
          <w:ilvl w:val="0"/>
          <w:numId w:val="0"/>
        </w:numPr>
        <w:tabs>
          <w:tab w:val="clear" w:pos="720"/>
          <w:tab w:val="left" w:pos="2835" w:leader="none"/>
        </w:tabs>
        <w:ind w:hanging="0" w:left="357"/>
        <w:jc w:val="both"/>
        <w:rPr>
          <w:highlight w:val="none"/>
          <w:shd w:fill="auto" w:val="clear"/>
        </w:rPr>
      </w:pPr>
      <w:r>
        <w:rPr>
          <w:rFonts w:cs="Tahoma" w:ascii="Tahoma" w:hAnsi="Tahoma"/>
          <w:sz w:val="22"/>
          <w:szCs w:val="22"/>
          <w:shd w:fill="auto" w:val="clear"/>
        </w:rPr>
        <w:t>DIČ:</w:t>
        <w:tab/>
        <w:t>CZ00845299</w:t>
      </w:r>
    </w:p>
    <w:p>
      <w:pPr>
        <w:pStyle w:val="Normal"/>
        <w:numPr>
          <w:ilvl w:val="0"/>
          <w:numId w:val="0"/>
        </w:numPr>
        <w:tabs>
          <w:tab w:val="clear" w:pos="720"/>
          <w:tab w:val="left" w:pos="2835" w:leader="none"/>
        </w:tabs>
        <w:ind w:hanging="0" w:left="357"/>
        <w:jc w:val="both"/>
        <w:rPr>
          <w:rFonts w:ascii="Tahoma" w:hAnsi="Tahoma" w:cs="Tahoma"/>
          <w:sz w:val="22"/>
          <w:szCs w:val="22"/>
          <w:highlight w:val="yellow"/>
        </w:rPr>
      </w:pPr>
      <w:r>
        <w:rPr>
          <w:rFonts w:cs="Tahoma" w:ascii="Tahoma" w:hAnsi="Tahoma"/>
          <w:sz w:val="22"/>
          <w:szCs w:val="22"/>
          <w:highlight w:val="yellow"/>
        </w:rPr>
      </w:r>
    </w:p>
    <w:p>
      <w:pPr>
        <w:pStyle w:val="Normal"/>
        <w:spacing w:before="120" w:after="0"/>
        <w:ind w:left="357"/>
        <w:jc w:val="both"/>
        <w:rPr>
          <w:rFonts w:ascii="Tahoma" w:hAnsi="Tahoma" w:cs="Tahoma"/>
          <w:iCs/>
          <w:sz w:val="22"/>
          <w:szCs w:val="22"/>
        </w:rPr>
      </w:pPr>
      <w:r>
        <w:rPr>
          <w:rFonts w:cs="Tahoma" w:ascii="Tahoma" w:hAnsi="Tahoma"/>
          <w:iCs/>
          <w:sz w:val="22"/>
          <w:szCs w:val="22"/>
        </w:rPr>
        <w:t>(</w:t>
      </w:r>
      <w:r>
        <w:rPr>
          <w:rFonts w:cs="Tahoma" w:ascii="Tahoma" w:hAnsi="Tahoma"/>
          <w:sz w:val="22"/>
          <w:szCs w:val="22"/>
        </w:rPr>
        <w:t>dále</w:t>
      </w:r>
      <w:r>
        <w:rPr>
          <w:rFonts w:cs="Tahoma" w:ascii="Tahoma" w:hAnsi="Tahoma"/>
          <w:iCs/>
          <w:sz w:val="22"/>
          <w:szCs w:val="22"/>
        </w:rPr>
        <w:t xml:space="preserve"> jen „</w:t>
      </w:r>
      <w:r>
        <w:rPr>
          <w:rFonts w:cs="Tahoma" w:ascii="Tahoma" w:hAnsi="Tahoma"/>
          <w:b/>
          <w:iCs/>
          <w:sz w:val="22"/>
          <w:szCs w:val="22"/>
        </w:rPr>
        <w:t>objednatel</w:t>
      </w:r>
      <w:r>
        <w:rPr>
          <w:rFonts w:cs="Tahoma" w:ascii="Tahoma" w:hAnsi="Tahoma"/>
          <w:iCs/>
          <w:sz w:val="22"/>
          <w:szCs w:val="22"/>
        </w:rPr>
        <w:t>“)</w:t>
      </w:r>
    </w:p>
    <w:p>
      <w:pPr>
        <w:pStyle w:val="Normal"/>
        <w:spacing w:before="120" w:after="0"/>
        <w:ind w:hanging="919" w:left="1276"/>
        <w:jc w:val="both"/>
        <w:rPr>
          <w:rFonts w:ascii="Tahoma" w:hAnsi="Tahoma" w:cs="Tahoma"/>
          <w:iCs/>
          <w:color w:val="FF0000"/>
          <w:sz w:val="22"/>
          <w:szCs w:val="22"/>
        </w:rPr>
      </w:pPr>
      <w:r>
        <w:rPr>
          <w:rFonts w:cs="Tahoma" w:ascii="Tahoma" w:hAnsi="Tahoma"/>
          <w:iCs/>
          <w:color w:val="FF0000"/>
          <w:sz w:val="22"/>
          <w:szCs w:val="22"/>
        </w:rPr>
      </w:r>
    </w:p>
    <w:p>
      <w:pPr>
        <w:pStyle w:val="Normal"/>
        <w:numPr>
          <w:ilvl w:val="0"/>
          <w:numId w:val="30"/>
        </w:numPr>
        <w:spacing w:before="240" w:after="0"/>
        <w:ind w:hanging="357" w:left="357"/>
        <w:jc w:val="both"/>
        <w:rPr>
          <w:rFonts w:ascii="Tahoma" w:hAnsi="Tahoma" w:cs="Tahoma"/>
          <w:b/>
          <w:sz w:val="22"/>
          <w:szCs w:val="22"/>
        </w:rPr>
      </w:pPr>
      <w:r>
        <w:rPr>
          <w:rFonts w:cs="Tahoma" w:ascii="Tahoma" w:hAnsi="Tahoma"/>
          <w:b/>
          <w:sz w:val="22"/>
          <w:szCs w:val="22"/>
        </w:rPr>
        <w:t>Obchodní</w:t>
      </w:r>
      <w:r>
        <w:rPr>
          <w:rFonts w:cs="Tahoma" w:ascii="Tahoma" w:hAnsi="Tahoma"/>
          <w:sz w:val="22"/>
          <w:szCs w:val="22"/>
        </w:rPr>
        <w:t xml:space="preserve"> </w:t>
      </w:r>
      <w:r>
        <w:rPr>
          <w:rFonts w:cs="Tahoma" w:ascii="Tahoma" w:hAnsi="Tahoma"/>
          <w:b/>
          <w:bCs/>
          <w:sz w:val="22"/>
          <w:szCs w:val="22"/>
        </w:rPr>
        <w:t>firma</w:t>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se sídlem:</w:t>
        <w:tab/>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zastoupena:</w:t>
        <w:tab/>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IČO:</w:t>
        <w:tab/>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DIČ:</w:t>
        <w:tab/>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bankovní spojení:</w:t>
        <w:tab/>
      </w:r>
    </w:p>
    <w:p>
      <w:pPr>
        <w:pStyle w:val="Normal"/>
        <w:numPr>
          <w:ilvl w:val="0"/>
          <w:numId w:val="0"/>
        </w:numPr>
        <w:tabs>
          <w:tab w:val="clear" w:pos="720"/>
          <w:tab w:val="left" w:pos="2835" w:leader="none"/>
        </w:tabs>
        <w:ind w:hanging="0" w:left="357"/>
        <w:jc w:val="both"/>
        <w:rPr>
          <w:rFonts w:ascii="Tahoma" w:hAnsi="Tahoma" w:cs="Tahoma"/>
          <w:sz w:val="22"/>
          <w:szCs w:val="22"/>
        </w:rPr>
      </w:pPr>
      <w:r>
        <w:rPr>
          <w:rFonts w:cs="Tahoma" w:ascii="Tahoma" w:hAnsi="Tahoma"/>
          <w:sz w:val="22"/>
          <w:szCs w:val="22"/>
        </w:rPr>
        <w:t>číslo účtu:</w:t>
        <w:tab/>
      </w:r>
    </w:p>
    <w:p>
      <w:pPr>
        <w:pStyle w:val="Normal"/>
        <w:spacing w:before="120" w:after="0"/>
        <w:ind w:left="357"/>
        <w:jc w:val="both"/>
        <w:rPr>
          <w:rFonts w:ascii="Tahoma" w:hAnsi="Tahoma" w:cs="Tahoma"/>
          <w:sz w:val="22"/>
          <w:szCs w:val="22"/>
        </w:rPr>
      </w:pPr>
      <w:r>
        <w:rPr>
          <w:rFonts w:cs="Tahoma" w:ascii="Tahoma" w:hAnsi="Tahoma"/>
          <w:sz w:val="22"/>
          <w:szCs w:val="22"/>
        </w:rPr>
        <w:t>Zapsána v obchodním rejstříku vedeném ……………… soudem v ……………, sp. zn. …</w:t>
      </w:r>
    </w:p>
    <w:p>
      <w:pPr>
        <w:pStyle w:val="Normal"/>
        <w:spacing w:before="120" w:after="0"/>
        <w:ind w:left="357"/>
        <w:jc w:val="both"/>
        <w:rPr>
          <w:rFonts w:ascii="Tahoma" w:hAnsi="Tahoma" w:cs="Tahoma"/>
          <w:sz w:val="22"/>
          <w:szCs w:val="22"/>
        </w:rPr>
      </w:pPr>
      <w:r>
        <w:rPr>
          <w:rFonts w:cs="Tahoma" w:ascii="Tahoma" w:hAnsi="Tahoma"/>
          <w:sz w:val="22"/>
          <w:szCs w:val="22"/>
        </w:rPr>
        <w:t>Osoba oprávněná jednat ve věcech technických a realizace stavby:</w:t>
      </w:r>
    </w:p>
    <w:p>
      <w:pPr>
        <w:pStyle w:val="dajeOSmluvnStran"/>
        <w:numPr>
          <w:ilvl w:val="0"/>
          <w:numId w:val="0"/>
        </w:numPr>
        <w:spacing w:before="60" w:after="0"/>
        <w:ind w:hanging="0" w:left="357"/>
        <w:jc w:val="both"/>
        <w:rPr>
          <w:rFonts w:ascii="Tahoma" w:hAnsi="Tahoma" w:cs="Tahoma"/>
          <w:sz w:val="22"/>
          <w:szCs w:val="22"/>
        </w:rPr>
      </w:pPr>
      <w:r>
        <w:rPr>
          <w:rFonts w:cs="Tahoma" w:ascii="Tahoma" w:hAnsi="Tahoma"/>
          <w:sz w:val="22"/>
          <w:szCs w:val="22"/>
        </w:rPr>
        <w:t>……………………………………………</w:t>
      </w:r>
      <w:r>
        <w:rPr>
          <w:rFonts w:cs="Tahoma" w:ascii="Tahoma" w:hAnsi="Tahoma"/>
          <w:sz w:val="22"/>
          <w:szCs w:val="22"/>
        </w:rPr>
        <w:t>, tel.: ………………</w:t>
      </w:r>
    </w:p>
    <w:p>
      <w:pPr>
        <w:pStyle w:val="Normal"/>
        <w:spacing w:before="120" w:after="0"/>
        <w:ind w:left="357"/>
        <w:jc w:val="both"/>
        <w:rPr>
          <w:rFonts w:ascii="Tahoma" w:hAnsi="Tahoma" w:cs="Tahoma"/>
          <w:iCs/>
          <w:sz w:val="22"/>
          <w:szCs w:val="22"/>
        </w:rPr>
      </w:pPr>
      <w:r>
        <w:rPr>
          <w:rFonts w:cs="Tahoma" w:ascii="Tahoma" w:hAnsi="Tahoma"/>
          <w:iCs/>
          <w:sz w:val="22"/>
          <w:szCs w:val="22"/>
        </w:rPr>
        <w:t>(</w:t>
      </w:r>
      <w:r>
        <w:rPr>
          <w:rFonts w:cs="Tahoma" w:ascii="Tahoma" w:hAnsi="Tahoma"/>
          <w:sz w:val="22"/>
          <w:szCs w:val="22"/>
        </w:rPr>
        <w:t>dále</w:t>
      </w:r>
      <w:r>
        <w:rPr>
          <w:rFonts w:cs="Tahoma" w:ascii="Tahoma" w:hAnsi="Tahoma"/>
          <w:iCs/>
          <w:sz w:val="22"/>
          <w:szCs w:val="22"/>
        </w:rPr>
        <w:t xml:space="preserve"> jen „</w:t>
      </w:r>
      <w:r>
        <w:rPr>
          <w:rFonts w:cs="Tahoma" w:ascii="Tahoma" w:hAnsi="Tahoma"/>
          <w:b/>
          <w:iCs/>
          <w:sz w:val="22"/>
          <w:szCs w:val="22"/>
        </w:rPr>
        <w:t>zhotovitel</w:t>
      </w:r>
      <w:r>
        <w:rPr>
          <w:rFonts w:cs="Tahoma" w:ascii="Tahoma" w:hAnsi="Tahoma"/>
          <w:iCs/>
          <w:sz w:val="22"/>
          <w:szCs w:val="22"/>
        </w:rPr>
        <w:t>“)</w:t>
      </w:r>
    </w:p>
    <w:p>
      <w:pPr>
        <w:pStyle w:val="Normal"/>
        <w:spacing w:before="120" w:after="0"/>
        <w:ind w:left="426"/>
        <w:jc w:val="both"/>
        <w:rPr>
          <w:rFonts w:ascii="Tahoma" w:hAnsi="Tahoma" w:cs="Tahoma"/>
          <w:i/>
          <w:i/>
          <w:color w:val="FF0000"/>
          <w:sz w:val="22"/>
          <w:szCs w:val="22"/>
        </w:rPr>
      </w:pPr>
      <w:r>
        <w:rPr>
          <w:rFonts w:cs="Tahoma" w:ascii="Tahoma" w:hAnsi="Tahoma"/>
          <w:i/>
          <w:iCs/>
          <w:color w:val="FF0000"/>
          <w:sz w:val="22"/>
          <w:szCs w:val="22"/>
        </w:rPr>
        <w:t>Odst. 2 doplní účastník/zhotovitel - ú</w:t>
      </w:r>
      <w:r>
        <w:rPr>
          <w:rFonts w:cs="Tahoma" w:ascii="Tahoma" w:hAnsi="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pPr>
        <w:pStyle w:val="Normal"/>
        <w:keepNext w:val="true"/>
        <w:spacing w:before="360" w:after="0"/>
        <w:jc w:val="center"/>
        <w:rPr>
          <w:rFonts w:ascii="Tahoma" w:hAnsi="Tahoma" w:cs="Tahoma"/>
          <w:b/>
          <w:sz w:val="22"/>
          <w:szCs w:val="22"/>
        </w:rPr>
      </w:pPr>
      <w:r>
        <w:rPr>
          <w:rFonts w:cs="Tahoma" w:ascii="Tahoma" w:hAnsi="Tahoma"/>
          <w:b/>
          <w:sz w:val="22"/>
          <w:szCs w:val="22"/>
        </w:rPr>
        <w:t>II.</w:t>
        <w:br/>
        <w:t>Základní ustanovení</w:t>
      </w:r>
    </w:p>
    <w:p>
      <w:pPr>
        <w:pStyle w:val="OdstavecSmlouvy"/>
        <w:keepLines w:val="false"/>
        <w:numPr>
          <w:ilvl w:val="0"/>
          <w:numId w:val="22"/>
        </w:numPr>
        <w:tabs>
          <w:tab w:val="clear" w:pos="426"/>
          <w:tab w:val="clear" w:pos="1701"/>
        </w:tabs>
        <w:spacing w:before="120" w:after="0"/>
        <w:ind w:hanging="357" w:left="357"/>
        <w:rPr>
          <w:rFonts w:ascii="Tahoma" w:hAnsi="Tahoma" w:cs="Tahoma"/>
          <w:caps/>
          <w:sz w:val="22"/>
          <w:szCs w:val="22"/>
        </w:rPr>
      </w:pPr>
      <w:r>
        <w:rPr>
          <w:rFonts w:cs="Tahoma" w:ascii="Tahoma" w:hAnsi="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Smluvní strany prohlašují, že osoby podepisující tuto smlouvu jsou k tomuto jednání oprávněny.</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Zhotovitel prohlašuje, že je odborně způsobilý k zajištění předmětu plnění podle této smlouvy.</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pPr>
        <w:pStyle w:val="OdstavecSmlouvy"/>
        <w:keepLines w:val="false"/>
        <w:numPr>
          <w:ilvl w:val="0"/>
          <w:numId w:val="22"/>
        </w:numPr>
        <w:tabs>
          <w:tab w:val="clear" w:pos="426"/>
          <w:tab w:val="clear" w:pos="1701"/>
        </w:tabs>
        <w:spacing w:before="120" w:after="0"/>
        <w:ind w:hanging="357" w:left="357"/>
        <w:rPr>
          <w:rFonts w:ascii="Tahoma" w:hAnsi="Tahoma" w:cs="Tahoma"/>
          <w:sz w:val="22"/>
          <w:szCs w:val="22"/>
        </w:rPr>
      </w:pPr>
      <w:r>
        <w:rPr>
          <w:rFonts w:cs="Tahoma" w:ascii="Tahoma" w:hAnsi="Tahoma"/>
          <w:sz w:val="22"/>
          <w:szCs w:val="22"/>
        </w:rPr>
        <w:t>Smluvní strany prohlašují, že předmět plnění podle této smlouvy není plněním nemožným a že smlouvu uzavírají po pečlivém zvážení všech možných důsledků.</w:t>
      </w:r>
    </w:p>
    <w:p>
      <w:pPr>
        <w:pStyle w:val="OdstavecSmlouvy"/>
        <w:keepLines w:val="false"/>
        <w:numPr>
          <w:ilvl w:val="0"/>
          <w:numId w:val="22"/>
        </w:numPr>
        <w:tabs>
          <w:tab w:val="clear" w:pos="426"/>
          <w:tab w:val="clear" w:pos="1701"/>
          <w:tab w:val="left" w:pos="1560" w:leader="none"/>
        </w:tabs>
        <w:spacing w:before="120" w:after="0"/>
        <w:ind w:hanging="357" w:left="357"/>
        <w:rPr>
          <w:rFonts w:ascii="Tahoma" w:hAnsi="Tahoma" w:cs="Tahoma"/>
          <w:sz w:val="22"/>
          <w:szCs w:val="22"/>
        </w:rPr>
      </w:pPr>
      <w:r>
        <w:rPr>
          <w:rFonts w:cs="Tahoma" w:ascii="Tahoma" w:hAnsi="Tahoma"/>
          <w:sz w:val="22"/>
          <w:szCs w:val="22"/>
        </w:rPr>
        <w:t>Zhoovitel prohlašujte,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pPr>
        <w:pStyle w:val="OdstavecSmlouvy"/>
        <w:numPr>
          <w:ilvl w:val="0"/>
          <w:numId w:val="22"/>
        </w:numPr>
        <w:tabs>
          <w:tab w:val="clear" w:pos="426"/>
          <w:tab w:val="clear" w:pos="1701"/>
          <w:tab w:val="left" w:pos="1560" w:leader="none"/>
        </w:tabs>
        <w:spacing w:before="120" w:after="0"/>
        <w:ind w:hanging="357" w:left="357"/>
        <w:rPr>
          <w:rFonts w:ascii="Tahoma" w:hAnsi="Tahoma"/>
          <w:sz w:val="22"/>
          <w:szCs w:val="22"/>
        </w:rPr>
      </w:pPr>
      <w:r>
        <w:rPr>
          <w:rFonts w:ascii="Tahoma" w:hAnsi="Tahoma"/>
          <w:sz w:val="22"/>
          <w:szCs w:val="22"/>
        </w:rPr>
        <w:t>Zhotovitel bere na vědomí, že předmět smlo</w:t>
      </w:r>
      <w:r>
        <w:rPr>
          <w:rFonts w:ascii="Tahoma" w:hAnsi="Tahoma"/>
          <w:sz w:val="22"/>
          <w:szCs w:val="22"/>
          <w:shd w:fill="auto" w:val="clear"/>
        </w:rPr>
        <w:t>uvy je spolufinancován z Integrovaného regionálního operačního programu. Objednatel upozorňuje na povinnost dodržet pravidla dotačního titulu mj. zásady „významně nepoš</w:t>
      </w:r>
      <w:r>
        <w:rPr>
          <w:rFonts w:ascii="Tahoma" w:hAnsi="Tahoma"/>
          <w:sz w:val="22"/>
          <w:szCs w:val="22"/>
        </w:rPr>
        <w:t>kozovat“ životní prostředí (DNSH) – Zhotovitel nejpozději ke dni předání a převzetí staveniště vypracuje návrh řešení přechodu na oběhové hospodářství v souladu s požadavky „DNSH“ („významně nepoškozovat“ životní prostředí), které se vztahují k dotačnímu projektu, jehož realizace je předmětem této zakázky a při realizaci zakázky bude vybraný dodavatel v souladu s tímto návrhem postupovat a investorovi dokladovat. 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Provozovatelé omezují produkci odpadu v procesech souvisejících s výstavbou a demolicemi v souladu s protokolem EU pro nakládání se stavebním a demoličním odpadem s přihlédnutím k nejlepším dostupným technikám a pomocí selektivní demolice, aby bylo možné odstranit nebezpečné látky a bezpečně s nimi nakládat, a usnadňují opětovné použití a kvalitní recyklaci selektivním odstraněním materiálů s využitím dostupných třídicích systémů pro stavební a demoliční odpad. Projekty budov a stavební metody podporují oběhové hospodářství a s odkazem na normu ISO 20887:2020 nebo jiné normy pro posuzování demontovatelnosti nebo přizpůsobivosti budov zejména prokazují, že jsou navrženy tak, aby byly efektivnější, adaptabilnější, flexibilnější a demontovatelnější, s cílem umožnit opětovné použití a recyklaci. Obdobně platí např. pro výrobu elektřiny s využitím fotovoltaických systémů, kdy se při činnosti hodnotí dostupnost zařízení a součástí s vysokou trvanlivostí a recyklovatelností, které lze snadno demontovat a renovovat, a pokud možno se taková zařízení a součásti používají.</w:t>
      </w:r>
    </w:p>
    <w:p>
      <w:pPr>
        <w:pStyle w:val="Normal"/>
        <w:keepNext w:val="true"/>
        <w:spacing w:before="360" w:after="0"/>
        <w:jc w:val="center"/>
        <w:rPr>
          <w:rFonts w:ascii="Tahoma" w:hAnsi="Tahoma" w:cs="Tahoma"/>
          <w:b/>
          <w:sz w:val="22"/>
          <w:szCs w:val="22"/>
        </w:rPr>
      </w:pPr>
      <w:r>
        <w:rPr>
          <w:rFonts w:cs="Tahoma" w:ascii="Tahoma" w:hAnsi="Tahoma"/>
          <w:b/>
          <w:sz w:val="22"/>
          <w:szCs w:val="22"/>
        </w:rPr>
        <w:t>III.</w:t>
        <w:br/>
        <w:t>Předmět smlouvy</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Zhotovitel se zavazuje provést pro ob</w:t>
      </w:r>
      <w:r>
        <w:rPr>
          <w:rFonts w:cs="Tahoma" w:ascii="Tahoma" w:hAnsi="Tahoma"/>
          <w:sz w:val="22"/>
          <w:szCs w:val="22"/>
          <w:shd w:fill="auto" w:val="clear"/>
        </w:rPr>
        <w:t>jednatele na svůj náklad a nebezpečí stavbu „Modernizace učebny odborného výcviku oboru Stravovací a ubytovací služby – kuchařské práce“ (dále jen „stavba“) v rozsahu dle:</w:t>
      </w:r>
    </w:p>
    <w:p>
      <w:pPr>
        <w:pStyle w:val="Normal"/>
        <w:numPr>
          <w:ilvl w:val="0"/>
          <w:numId w:val="23"/>
        </w:numPr>
        <w:tabs>
          <w:tab w:val="clear" w:pos="720"/>
          <w:tab w:val="left" w:pos="714" w:leader="none"/>
        </w:tabs>
        <w:spacing w:before="60" w:after="0"/>
        <w:ind w:hanging="357" w:left="714"/>
        <w:jc w:val="both"/>
        <w:rPr>
          <w:highlight w:val="none"/>
          <w:shd w:fill="auto" w:val="clear"/>
        </w:rPr>
      </w:pPr>
      <w:r>
        <w:rPr>
          <w:rFonts w:cs="Tahoma" w:ascii="Tahoma" w:hAnsi="Tahoma"/>
          <w:iCs/>
          <w:sz w:val="22"/>
          <w:szCs w:val="22"/>
          <w:shd w:fill="auto" w:val="clear"/>
        </w:rPr>
        <w:t>projektové</w:t>
      </w:r>
      <w:r>
        <w:rPr>
          <w:rFonts w:cs="Tahoma" w:ascii="Tahoma" w:hAnsi="Tahoma"/>
          <w:sz w:val="22"/>
          <w:szCs w:val="22"/>
          <w:shd w:fill="auto" w:val="clear"/>
        </w:rPr>
        <w:t xml:space="preserve"> dokumentace stavby zpracované </w:t>
      </w:r>
      <w:r>
        <w:rPr>
          <w:rFonts w:cs="Tahoma" w:ascii="Tahoma" w:hAnsi="Tahoma"/>
          <w:i w:val="false"/>
          <w:iCs w:val="false"/>
          <w:color w:val="000000"/>
          <w:sz w:val="22"/>
          <w:szCs w:val="22"/>
          <w:shd w:fill="auto" w:val="clear"/>
        </w:rPr>
        <w:t>subjektem Ing. Jana Kristová, Kalamárská 144, 74762 Mokré Lazce, 72997621,</w:t>
      </w:r>
    </w:p>
    <w:p>
      <w:pPr>
        <w:pStyle w:val="Normal"/>
        <w:numPr>
          <w:ilvl w:val="0"/>
          <w:numId w:val="23"/>
        </w:numPr>
        <w:tabs>
          <w:tab w:val="clear" w:pos="720"/>
          <w:tab w:val="left" w:pos="714" w:leader="none"/>
        </w:tabs>
        <w:spacing w:before="60" w:after="0"/>
        <w:ind w:hanging="357" w:left="714"/>
        <w:jc w:val="both"/>
        <w:rPr>
          <w:rFonts w:ascii="Tahoma" w:hAnsi="Tahoma" w:cs="Tahoma"/>
          <w:sz w:val="22"/>
          <w:szCs w:val="22"/>
        </w:rPr>
      </w:pPr>
      <w:r>
        <w:rPr>
          <w:rFonts w:cs="Tahoma" w:ascii="Tahoma" w:hAnsi="Tahoma"/>
          <w:sz w:val="22"/>
          <w:szCs w:val="22"/>
          <w:shd w:fill="auto" w:val="clear"/>
        </w:rPr>
        <w:t>oceněného sou</w:t>
      </w:r>
      <w:r>
        <w:rPr>
          <w:rFonts w:cs="Tahoma" w:ascii="Tahoma" w:hAnsi="Tahoma"/>
          <w:sz w:val="22"/>
          <w:szCs w:val="22"/>
        </w:rPr>
        <w:t>pisu prací, dodávek a služeb, který je součástí nabídky zhotovitele podané v rámci veřejné zakázky na výběr zhotovitele díla dle této smlouvy (dále jen „soupis prací“),</w:t>
      </w:r>
    </w:p>
    <w:p>
      <w:pPr>
        <w:pStyle w:val="Normal"/>
        <w:numPr>
          <w:ilvl w:val="0"/>
          <w:numId w:val="23"/>
        </w:numPr>
        <w:tabs>
          <w:tab w:val="left" w:pos="720" w:leader="none"/>
        </w:tabs>
        <w:spacing w:before="60" w:after="0"/>
        <w:ind w:hanging="357" w:left="714"/>
        <w:jc w:val="both"/>
        <w:rPr>
          <w:rFonts w:ascii="Tahoma" w:hAnsi="Tahoma" w:cs="Tahoma"/>
          <w:sz w:val="22"/>
          <w:szCs w:val="22"/>
        </w:rPr>
      </w:pPr>
      <w:r>
        <w:rPr>
          <w:rFonts w:cs="Tahoma" w:ascii="Tahoma" w:hAnsi="Tahoma"/>
          <w:sz w:val="22"/>
          <w:szCs w:val="22"/>
        </w:rPr>
        <w:t>předpisů upravujících provádění stavebních děl 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a ustanovení této smlouvy</w:t>
      </w:r>
    </w:p>
    <w:p>
      <w:pPr>
        <w:pStyle w:val="Normal"/>
        <w:spacing w:before="120" w:after="0"/>
        <w:ind w:left="357"/>
        <w:jc w:val="both"/>
        <w:rPr>
          <w:rFonts w:ascii="Tahoma" w:hAnsi="Tahoma" w:cs="Tahoma"/>
          <w:sz w:val="22"/>
          <w:szCs w:val="22"/>
        </w:rPr>
      </w:pPr>
      <w:r>
        <w:rPr>
          <w:rFonts w:cs="Tahoma" w:ascii="Tahoma" w:hAnsi="Tahoma"/>
          <w:sz w:val="22"/>
          <w:szCs w:val="22"/>
        </w:rPr>
        <w:t>(dále jen „dílo“).</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Součástí díla je také:</w:t>
      </w:r>
    </w:p>
    <w:p>
      <w:pPr>
        <w:pStyle w:val="BodyText"/>
        <w:numPr>
          <w:ilvl w:val="0"/>
          <w:numId w:val="2"/>
        </w:numPr>
        <w:tabs>
          <w:tab w:val="clear" w:pos="540"/>
          <w:tab w:val="clear" w:pos="1260"/>
          <w:tab w:val="clear" w:pos="1980"/>
          <w:tab w:val="clear" w:pos="3960"/>
          <w:tab w:val="left" w:pos="714" w:leader="none"/>
        </w:tabs>
        <w:spacing w:before="60" w:after="0"/>
        <w:ind w:hanging="357" w:left="714"/>
        <w:rPr>
          <w:rFonts w:ascii="Tahoma" w:hAnsi="Tahoma" w:eastAsia="Tahoma" w:cs="Tahoma"/>
          <w:sz w:val="22"/>
          <w:szCs w:val="22"/>
        </w:rPr>
      </w:pPr>
      <w:r>
        <w:rPr>
          <w:rFonts w:cs="Tahoma" w:ascii="Tahoma" w:hAnsi="Tahoma"/>
          <w:sz w:val="22"/>
          <w:szCs w:val="22"/>
        </w:rPr>
        <w:t>zpracování dokumentace skutečného provedení stavby ve třech vyhotoveních, bude</w:t>
        <w:noBreakHyphen/>
        <w:t>li k provedení díla potřebné. Projektová dokumentace skutečného provedení stavby a geodetické zaměření stavby budou objednateli dodány také 2x v elektronické podobě na přenosném datovém nosiči, jehož typ si smluvní strany dohodnou před předáním díla (např. CD, USB flash disk), a to ve formátu pro texty *.doc/docx (*.rtf), pro tabulky *.xls/xlsx, pro skenované dokumenty *.pdf, pro výkresovou dokumentaci *.dwg a zároveň *.pdf. Případné vícetisky budou účtovány zvlášť,</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zabezpečení souhlasu (rozhodnutí) ke zvláštnímu užívání veřejného prostranství nebo komunikací dle platných předpisů, bude</w:t>
        <w:noBreakHyphen/>
        <w:t>li k provedení díla potřebné, v souladu s požadavky projektové dokumentace. Neprodleně po vydání souhlasu (rozhodnutí), předání úplné kopie souhlasu (rozhodnutí), včetně případných příloh (podmínek) objednateli,</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zpracování dokumentace dočasného dopravního značení včetně projednání s příslušnými správními orgány, bude</w:t>
        <w:noBreakHyphen/>
        <w:t>li k provedení díla potřebné,</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osazení a údržba dopravního značení v průběhu provádění stavebních prací dle dokumentace dopravního značení, včetně uvedení do původního stavu a vrácení jejich správci, bude</w:t>
        <w:noBreakHyphen/>
        <w:t>li k provedení díla potřebné,</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stavebního zákona,</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zajištění vytyčení obvodu staveniště,</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zajištění vytýčení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 bude</w:t>
        <w:noBreakHyphen/>
        <w:t>li k provedení díla potřebné,</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 odpadech,</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zřízení deponie materiálů na vymezených plochách tak, aby nevznikly žádné škody na sousedních pozemcích,</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provedení předepsaných zkoušek dle platných právních předpisů a technických norem, úspěšné provedení těchto zkoušek je podmínkou k převzetí díla,</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udržování stavbou dotčených zpevněných ploch, veřejných komunikací a výjezdů ze staveniště v čistotě a jejich uvedení do původního stavu,</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zajištění ochrany proti šíření prašnosti a nadměrného hluku,</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provedení veškerých geodetických prací a případných doplňujících průzkumů souvisejících s provedením díla,</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zajištění zpracování všech případných dalších dokumentací potřebných pro provedení díla (jako je např. výrobní a realizační dodavatelská dokumentace),</w:t>
      </w:r>
    </w:p>
    <w:p>
      <w:pPr>
        <w:pStyle w:val="BodyText"/>
        <w:numPr>
          <w:ilvl w:val="0"/>
          <w:numId w:val="2"/>
        </w:numPr>
        <w:tabs>
          <w:tab w:val="clear" w:pos="540"/>
          <w:tab w:val="clear" w:pos="1260"/>
          <w:tab w:val="clear" w:pos="1980"/>
          <w:tab w:val="clear" w:pos="3960"/>
          <w:tab w:val="left" w:pos="709" w:leader="none"/>
        </w:tabs>
        <w:spacing w:before="60" w:after="0"/>
        <w:ind w:hanging="357" w:left="714"/>
        <w:rPr>
          <w:rFonts w:ascii="Tahoma" w:hAnsi="Tahoma" w:cs="Tahoma"/>
          <w:sz w:val="22"/>
          <w:szCs w:val="22"/>
        </w:rPr>
      </w:pPr>
      <w:r>
        <w:rPr>
          <w:rFonts w:cs="Tahoma" w:ascii="Tahoma" w:hAnsi="Tahoma"/>
          <w:sz w:val="22"/>
          <w:szCs w:val="22"/>
        </w:rPr>
        <w:t>pořizování fotodokumentace o průběhu zhotovení stavby a její předání objednateli při předání</w:t>
      </w:r>
      <w:r>
        <w:rPr>
          <w:rFonts w:cs="Tahoma" w:ascii="Tahoma" w:hAnsi="Tahoma"/>
          <w:i/>
          <w:iCs/>
          <w:sz w:val="22"/>
          <w:szCs w:val="22"/>
        </w:rPr>
        <w:t xml:space="preserve"> </w:t>
      </w:r>
      <w:r>
        <w:rPr>
          <w:rFonts w:cs="Tahoma" w:ascii="Tahoma" w:hAnsi="Tahoma"/>
          <w:sz w:val="22"/>
          <w:szCs w:val="22"/>
        </w:rPr>
        <w:t>a převzetí plnění předmětu smlouvy v elektronické podobě na dohodnutém nosiči</w:t>
      </w:r>
      <w:r>
        <w:rPr>
          <w:rFonts w:cs="Tahoma" w:ascii="Tahoma" w:hAnsi="Tahoma"/>
          <w:color w:val="FF00FF"/>
          <w:sz w:val="22"/>
          <w:szCs w:val="22"/>
        </w:rPr>
        <w:t>.</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Zhotovitel je povinen při provádění díla zejména:</w:t>
      </w:r>
    </w:p>
    <w:p>
      <w:pPr>
        <w:pStyle w:val="BodyText"/>
        <w:numPr>
          <w:ilvl w:val="0"/>
          <w:numId w:val="24"/>
        </w:numPr>
        <w:tabs>
          <w:tab w:val="clear" w:pos="540"/>
          <w:tab w:val="clear" w:pos="1260"/>
          <w:tab w:val="clear" w:pos="1980"/>
          <w:tab w:val="clear" w:pos="3960"/>
          <w:tab w:val="left" w:pos="714" w:leader="none"/>
        </w:tabs>
        <w:spacing w:before="60" w:after="0"/>
        <w:ind w:hanging="357" w:left="714"/>
        <w:rPr>
          <w:rFonts w:ascii="Tahoma" w:hAnsi="Tahoma" w:cs="Tahoma"/>
          <w:sz w:val="22"/>
          <w:szCs w:val="22"/>
        </w:rPr>
      </w:pPr>
      <w:r>
        <w:rPr>
          <w:rFonts w:cs="Tahoma" w:ascii="Tahoma" w:hAnsi="Tahoma"/>
          <w:sz w:val="22"/>
          <w:szCs w:val="22"/>
        </w:rPr>
        <w:t>plnit podmínky a</w:t>
      </w:r>
      <w:r>
        <w:rPr>
          <w:rFonts w:cs="Tahoma" w:ascii="Tahoma" w:hAnsi="Tahoma"/>
          <w:color w:val="FF00FF"/>
          <w:sz w:val="22"/>
          <w:szCs w:val="22"/>
        </w:rPr>
        <w:t xml:space="preserve"> </w:t>
      </w:r>
      <w:r>
        <w:rPr>
          <w:rFonts w:cs="Tahoma" w:ascii="Tahoma" w:hAnsi="Tahoma"/>
          <w:sz w:val="22"/>
          <w:szCs w:val="22"/>
        </w:rPr>
        <w:t>požadavky dotčených orgánů a organizací související s realizací stavby,</w:t>
      </w:r>
    </w:p>
    <w:p>
      <w:pPr>
        <w:pStyle w:val="BodyText"/>
        <w:numPr>
          <w:ilvl w:val="0"/>
          <w:numId w:val="24"/>
        </w:numPr>
        <w:tabs>
          <w:tab w:val="clear" w:pos="540"/>
          <w:tab w:val="clear" w:pos="1260"/>
          <w:tab w:val="clear" w:pos="1980"/>
          <w:tab w:val="clear" w:pos="3960"/>
          <w:tab w:val="left" w:pos="714" w:leader="none"/>
        </w:tabs>
        <w:spacing w:before="60" w:after="0"/>
        <w:ind w:hanging="357" w:left="714"/>
        <w:rPr>
          <w:rFonts w:ascii="Tahoma" w:hAnsi="Tahoma" w:cs="Tahoma"/>
          <w:sz w:val="22"/>
          <w:szCs w:val="22"/>
        </w:rPr>
      </w:pPr>
      <w:r>
        <w:rPr>
          <w:rFonts w:cs="Tahoma" w:ascii="Tahoma" w:hAnsi="Tahoma"/>
          <w:sz w:val="22"/>
          <w:szCs w:val="22"/>
        </w:rPr>
        <w:t>zohlednit vyjádření dotčených orgánů a organizací související s realizací stavby</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Zhotovitel se zavazuje provést dílo v souladu s technickými a právními předpisy platnými v České republice v době provádění díla. Pro provedení díla jsou závazné všechny platné normy ČSN.</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Zhotovitel se zavazuje průběžně provádět veškeré potřebné zkoušky, měření a atesty k prokázání kvalitativních parametrů předmětu díla.</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Zhotovitel se zavazuje provést veškeré činnosti a úkony související s provedením díla nutné pro vydání kolaudačního souhlasu pro stavbu, zejména vyřizování veškerých povolení, překopů, záborů, souhlasů, oznámení apod.</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Objednatel se zavazuje dokončené dílo bez vad a nedodělků bránících jeho řádnému užívání převzít a zaplatit za ně zhotoviteli za dohodnutých podmínek cenu dle čl. V této smlouvy.</w:t>
      </w:r>
    </w:p>
    <w:p>
      <w:pPr>
        <w:pStyle w:val="Normal"/>
        <w:numPr>
          <w:ilvl w:val="0"/>
          <w:numId w:val="16"/>
        </w:numPr>
        <w:tabs>
          <w:tab w:val="clear" w:pos="720"/>
        </w:tabs>
        <w:spacing w:before="120" w:after="0"/>
        <w:jc w:val="both"/>
        <w:rPr>
          <w:rFonts w:ascii="Tahoma" w:hAnsi="Tahoma" w:cs="Tahoma"/>
          <w:sz w:val="22"/>
          <w:szCs w:val="22"/>
        </w:rPr>
      </w:pPr>
      <w:r>
        <w:rPr>
          <w:rFonts w:cs="Tahoma" w:ascii="Tahoma" w:hAnsi="Tahoma"/>
          <w:sz w:val="22"/>
          <w:szCs w:val="22"/>
        </w:rPr>
        <w:t>Případné vícepráce či méněpráce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pPr>
        <w:pStyle w:val="Normal"/>
        <w:keepNext w:val="true"/>
        <w:spacing w:before="360" w:after="0"/>
        <w:jc w:val="center"/>
        <w:rPr>
          <w:rFonts w:ascii="Tahoma" w:hAnsi="Tahoma" w:cs="Tahoma"/>
          <w:b/>
          <w:sz w:val="22"/>
          <w:szCs w:val="22"/>
        </w:rPr>
      </w:pPr>
      <w:r>
        <w:rPr>
          <w:rFonts w:cs="Tahoma" w:ascii="Tahoma" w:hAnsi="Tahoma"/>
          <w:b/>
          <w:sz w:val="22"/>
          <w:szCs w:val="22"/>
        </w:rPr>
        <w:t>IV.</w:t>
        <w:br/>
        <w:t>Doba a místo plnění</w:t>
      </w:r>
    </w:p>
    <w:p>
      <w:pPr>
        <w:pStyle w:val="Normal"/>
        <w:widowControl w:val="false"/>
        <w:numPr>
          <w:ilvl w:val="0"/>
          <w:numId w:val="17"/>
        </w:numPr>
        <w:tabs>
          <w:tab w:val="clear" w:pos="720"/>
        </w:tabs>
        <w:spacing w:before="120" w:after="0"/>
        <w:ind w:hanging="357" w:left="357"/>
        <w:jc w:val="both"/>
        <w:rPr>
          <w:rFonts w:ascii="Tahoma" w:hAnsi="Tahoma" w:cs="Tahoma"/>
          <w:iCs/>
          <w:sz w:val="22"/>
          <w:szCs w:val="22"/>
        </w:rPr>
      </w:pPr>
      <w:r>
        <w:rPr>
          <w:rFonts w:cs="Tahoma" w:ascii="Tahoma" w:hAnsi="Tahoma"/>
          <w:bCs/>
          <w:sz w:val="22"/>
          <w:szCs w:val="22"/>
        </w:rPr>
        <w:t>Zhotov</w:t>
      </w:r>
      <w:r>
        <w:rPr>
          <w:rFonts w:cs="Tahoma" w:ascii="Tahoma" w:hAnsi="Tahoma"/>
          <w:sz w:val="22"/>
          <w:szCs w:val="22"/>
        </w:rPr>
        <w:t>itel</w:t>
      </w:r>
      <w:r>
        <w:rPr>
          <w:rFonts w:cs="Tahoma" w:ascii="Tahoma" w:hAnsi="Tahoma"/>
          <w:b/>
          <w:sz w:val="22"/>
          <w:szCs w:val="22"/>
        </w:rPr>
        <w:t xml:space="preserve"> </w:t>
      </w:r>
      <w:r>
        <w:rPr>
          <w:rFonts w:cs="Tahoma" w:ascii="Tahoma" w:hAnsi="Tahoma"/>
          <w:sz w:val="22"/>
          <w:szCs w:val="22"/>
        </w:rPr>
        <w:t xml:space="preserve">se zavazuje provést </w:t>
      </w:r>
      <w:r>
        <w:rPr>
          <w:rFonts w:cs="Tahoma" w:ascii="Tahoma" w:hAnsi="Tahoma"/>
          <w:sz w:val="22"/>
          <w:szCs w:val="22"/>
          <w:shd w:fill="auto" w:val="clear"/>
        </w:rPr>
        <w:t>dílo do 80 dnů od předání staveniště zhotoviteli a nejpozději poslední den doby plnění dokončené dílo předat objednateli. Dílo je provedeno, je</w:t>
        <w:noBreakHyphen/>
        <w:t>li dokončeno (tj. objednateli je předvedena způsobilost díla sloužit svému účelu) a předáno objednateli.</w:t>
      </w:r>
    </w:p>
    <w:p>
      <w:pPr>
        <w:pStyle w:val="Normal"/>
        <w:widowControl w:val="false"/>
        <w:numPr>
          <w:ilvl w:val="0"/>
          <w:numId w:val="17"/>
        </w:numPr>
        <w:tabs>
          <w:tab w:val="clear" w:pos="720"/>
        </w:tabs>
        <w:spacing w:before="120" w:after="0"/>
        <w:ind w:hanging="357" w:left="357"/>
        <w:jc w:val="both"/>
        <w:rPr>
          <w:highlight w:val="none"/>
          <w:shd w:fill="auto" w:val="clear"/>
        </w:rPr>
      </w:pPr>
      <w:r>
        <w:rPr>
          <w:rFonts w:cs="Tahoma" w:ascii="Tahoma" w:hAnsi="Tahoma"/>
          <w:bCs/>
          <w:sz w:val="22"/>
          <w:szCs w:val="22"/>
          <w:shd w:fill="auto" w:val="clear"/>
        </w:rPr>
        <w:t xml:space="preserve">Místem plnění je Kolofíkovo nábřeží </w:t>
      </w:r>
      <w:r>
        <w:rPr>
          <w:rFonts w:cs="Tahoma" w:ascii="Tahoma" w:hAnsi="Tahoma"/>
          <w:bCs/>
          <w:sz w:val="22"/>
          <w:szCs w:val="22"/>
          <w:shd w:fill="auto" w:val="clear"/>
        </w:rPr>
        <w:t>1062/51</w:t>
      </w:r>
      <w:r>
        <w:rPr>
          <w:rFonts w:cs="Tahoma" w:ascii="Tahoma" w:hAnsi="Tahoma"/>
          <w:bCs/>
          <w:sz w:val="22"/>
          <w:szCs w:val="22"/>
          <w:shd w:fill="auto" w:val="clear"/>
        </w:rPr>
        <w:t xml:space="preserve">, </w:t>
      </w:r>
      <w:r>
        <w:rPr>
          <w:rFonts w:cs="Tahoma" w:ascii="Tahoma" w:hAnsi="Tahoma"/>
          <w:bCs/>
          <w:sz w:val="22"/>
          <w:szCs w:val="22"/>
          <w:shd w:fill="auto" w:val="clear"/>
        </w:rPr>
        <w:t>Opava</w:t>
      </w:r>
      <w:r>
        <w:rPr>
          <w:rFonts w:cs="Tahoma" w:ascii="Tahoma" w:hAnsi="Tahoma"/>
          <w:bCs/>
          <w:sz w:val="22"/>
          <w:szCs w:val="22"/>
          <w:shd w:fill="auto" w:val="clear"/>
        </w:rPr>
        <w:t>.</w:t>
      </w:r>
      <w:r>
        <w:rPr>
          <w:rFonts w:cs="Tahoma" w:ascii="Tahoma" w:hAnsi="Tahoma"/>
          <w:bCs/>
          <w:sz w:val="22"/>
          <w:szCs w:val="22"/>
          <w:shd w:fill="auto" w:val="clear"/>
        </w:rPr>
        <w:t>.</w:t>
      </w:r>
    </w:p>
    <w:p>
      <w:pPr>
        <w:pStyle w:val="Smlouva-slo1"/>
        <w:widowControl/>
        <w:numPr>
          <w:ilvl w:val="0"/>
          <w:numId w:val="17"/>
        </w:numPr>
        <w:spacing w:lineRule="auto" w:line="240"/>
        <w:rPr>
          <w:rFonts w:ascii="Tahoma" w:hAnsi="Tahoma" w:cs="Tahoma"/>
          <w:sz w:val="22"/>
          <w:szCs w:val="22"/>
        </w:rPr>
      </w:pPr>
      <w:r>
        <w:rPr>
          <w:rFonts w:cs="Tahoma" w:ascii="Tahoma" w:hAnsi="Tahoma"/>
          <w:sz w:val="22"/>
          <w:szCs w:val="22"/>
        </w:rPr>
        <w:t>V případě omezení postupu prací vlivem nepříznivých klimatických podmínek, 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doby plnění dle odst. 1 tohoto článku smlouvy. Doba, na kterou se běh doby plnění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doby plnění sjednané výše uvedeným způsobem není nutno upravit dodatkem ke smlouvě. Přerušením prací z důvodů stavění doby plnění však není dotčena povinnost zhotovitele zajistit hlídání staveniště a zajistit rozpracované dílo proti poškození.</w:t>
      </w:r>
    </w:p>
    <w:p>
      <w:pPr>
        <w:pStyle w:val="Normal"/>
        <w:keepNext w:val="true"/>
        <w:spacing w:before="360" w:after="0"/>
        <w:jc w:val="center"/>
        <w:rPr>
          <w:rFonts w:ascii="Tahoma" w:hAnsi="Tahoma" w:cs="Tahoma"/>
          <w:b/>
          <w:sz w:val="22"/>
          <w:szCs w:val="22"/>
        </w:rPr>
      </w:pPr>
      <w:r>
        <w:rPr>
          <w:rFonts w:cs="Tahoma" w:ascii="Tahoma" w:hAnsi="Tahoma"/>
          <w:b/>
          <w:sz w:val="22"/>
          <w:szCs w:val="22"/>
        </w:rPr>
        <w:t>V.</w:t>
        <w:br/>
        <w:t>Cena za dílo</w:t>
      </w:r>
    </w:p>
    <w:p>
      <w:pPr>
        <w:pStyle w:val="Normal"/>
        <w:numPr>
          <w:ilvl w:val="0"/>
          <w:numId w:val="18"/>
        </w:numPr>
        <w:tabs>
          <w:tab w:val="clear" w:pos="720"/>
        </w:tabs>
        <w:spacing w:before="120" w:after="240"/>
        <w:ind w:hanging="357" w:left="357"/>
        <w:jc w:val="both"/>
        <w:rPr>
          <w:rFonts w:ascii="Tahoma" w:hAnsi="Tahoma" w:cs="Tahoma"/>
          <w:sz w:val="22"/>
          <w:szCs w:val="22"/>
        </w:rPr>
      </w:pPr>
      <w:r>
        <w:rPr>
          <w:rFonts w:cs="Tahoma" w:ascii="Tahoma" w:hAnsi="Tahoma"/>
          <w:sz w:val="22"/>
          <w:szCs w:val="22"/>
        </w:rPr>
        <w:t>Cena za provedené dílo je stanovena dohodou smluvních stran a činí:</w:t>
      </w:r>
    </w:p>
    <w:p>
      <w:pPr>
        <w:pStyle w:val="Normal"/>
        <w:tabs>
          <w:tab w:val="clear" w:pos="720"/>
          <w:tab w:val="left" w:pos="3402" w:leader="none"/>
        </w:tabs>
        <w:spacing w:before="120" w:after="0"/>
        <w:ind w:left="357"/>
        <w:jc w:val="both"/>
        <w:rPr>
          <w:rFonts w:ascii="Tahoma" w:hAnsi="Tahoma" w:cs="Tahoma"/>
          <w:b/>
          <w:sz w:val="22"/>
          <w:szCs w:val="22"/>
        </w:rPr>
      </w:pPr>
      <w:r>
        <w:rPr>
          <w:rFonts w:cs="Tahoma" w:ascii="Tahoma" w:hAnsi="Tahoma"/>
          <w:sz w:val="22"/>
          <w:szCs w:val="22"/>
        </w:rPr>
        <w:t>Cena bez DPH</w:t>
        <w:tab/>
        <w:t>………………</w:t>
      </w:r>
      <w:r>
        <w:rPr>
          <w:rFonts w:cs="Tahoma" w:ascii="Tahoma" w:hAnsi="Tahoma"/>
          <w:b/>
          <w:sz w:val="22"/>
          <w:szCs w:val="22"/>
        </w:rPr>
        <w:t> Kč</w:t>
      </w:r>
    </w:p>
    <w:p>
      <w:pPr>
        <w:pStyle w:val="Normal"/>
        <w:tabs>
          <w:tab w:val="clear" w:pos="720"/>
          <w:tab w:val="left" w:pos="3402" w:leader="none"/>
        </w:tabs>
        <w:spacing w:before="120" w:after="0"/>
        <w:ind w:left="357"/>
        <w:jc w:val="both"/>
        <w:rPr>
          <w:rFonts w:ascii="Tahoma" w:hAnsi="Tahoma" w:cs="Tahoma"/>
          <w:b/>
          <w:sz w:val="22"/>
          <w:szCs w:val="22"/>
        </w:rPr>
      </w:pPr>
      <w:r>
        <w:rPr>
          <w:rFonts w:cs="Tahoma" w:ascii="Tahoma" w:hAnsi="Tahoma"/>
          <w:sz w:val="22"/>
          <w:szCs w:val="22"/>
        </w:rPr>
        <w:t>DPH 21 %</w:t>
        <w:tab/>
        <w:t>………………</w:t>
      </w:r>
      <w:r>
        <w:rPr>
          <w:rFonts w:cs="Tahoma" w:ascii="Tahoma" w:hAnsi="Tahoma"/>
          <w:b/>
          <w:sz w:val="22"/>
          <w:szCs w:val="22"/>
        </w:rPr>
        <w:t> Kč</w:t>
      </w:r>
    </w:p>
    <w:p>
      <w:pPr>
        <w:pStyle w:val="Normal"/>
        <w:spacing w:before="120" w:after="240"/>
        <w:ind w:left="357"/>
        <w:jc w:val="both"/>
        <w:rPr>
          <w:rFonts w:ascii="Tahoma" w:hAnsi="Tahoma" w:cs="Tahoma"/>
          <w:sz w:val="22"/>
          <w:szCs w:val="22"/>
        </w:rPr>
      </w:pPr>
      <w:r>
        <w:rPr>
          <w:rFonts w:cs="Tahoma" w:ascii="Tahoma" w:hAnsi="Tahoma"/>
          <w:sz w:val="22"/>
          <w:szCs w:val="22"/>
        </w:rPr>
        <w:t>Cena včetně DPH</w:t>
        <w:tab/>
        <w:tab/>
        <w:tab/>
      </w:r>
      <w:r>
        <w:rPr>
          <w:rFonts w:cs="Tahoma" w:ascii="Tahoma" w:hAnsi="Tahoma"/>
          <w:b/>
          <w:sz w:val="22"/>
          <w:szCs w:val="22"/>
        </w:rPr>
        <w:t xml:space="preserve">…………… Kč </w:t>
      </w:r>
      <w:r>
        <w:rPr>
          <w:rFonts w:cs="Tahoma" w:ascii="Tahoma" w:hAnsi="Tahoma"/>
          <w:i/>
          <w:iCs/>
          <w:color w:val="FF0000"/>
          <w:sz w:val="22"/>
          <w:szCs w:val="22"/>
        </w:rPr>
        <w:t>(doplní účastník/zhotovitel)</w:t>
      </w:r>
    </w:p>
    <w:p>
      <w:pPr>
        <w:pStyle w:val="Normal"/>
        <w:tabs>
          <w:tab w:val="clear" w:pos="720"/>
          <w:tab w:val="left" w:pos="426" w:leader="none"/>
        </w:tabs>
        <w:spacing w:before="120" w:after="0"/>
        <w:ind w:left="357"/>
        <w:jc w:val="both"/>
        <w:rPr>
          <w:color w:val="000000"/>
        </w:rPr>
      </w:pPr>
      <w:r>
        <w:rPr>
          <w:rFonts w:cs="Tahoma" w:ascii="Tahoma" w:hAnsi="Tahoma"/>
          <w:color w:val="000000"/>
          <w:sz w:val="22"/>
          <w:szCs w:val="22"/>
        </w:rPr>
        <w:t>Souhrnný rozpočet je  přílohou č. 1 této smlouvy.</w:t>
      </w:r>
    </w:p>
    <w:p>
      <w:pPr>
        <w:pStyle w:val="Normal"/>
        <w:numPr>
          <w:ilvl w:val="0"/>
          <w:numId w:val="18"/>
        </w:numPr>
        <w:tabs>
          <w:tab w:val="clear" w:pos="720"/>
        </w:tabs>
        <w:spacing w:before="120" w:after="0"/>
        <w:ind w:hanging="357" w:left="357"/>
        <w:jc w:val="both"/>
        <w:rPr>
          <w:rFonts w:ascii="Tahoma" w:hAnsi="Tahoma" w:cs="Tahoma"/>
          <w:sz w:val="22"/>
          <w:szCs w:val="22"/>
        </w:rPr>
      </w:pPr>
      <w:r>
        <w:rPr>
          <w:rFonts w:cs="Tahoma" w:ascii="Tahoma" w:hAnsi="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pPr>
        <w:pStyle w:val="Normal"/>
        <w:numPr>
          <w:ilvl w:val="0"/>
          <w:numId w:val="18"/>
        </w:numPr>
        <w:tabs>
          <w:tab w:val="clear" w:pos="720"/>
        </w:tabs>
        <w:spacing w:before="120" w:after="0"/>
        <w:ind w:hanging="357" w:left="357"/>
        <w:jc w:val="both"/>
        <w:rPr>
          <w:rFonts w:ascii="Tahoma" w:hAnsi="Tahoma" w:cs="Tahoma"/>
          <w:sz w:val="22"/>
          <w:szCs w:val="22"/>
        </w:rPr>
      </w:pPr>
      <w:r>
        <w:rPr>
          <w:rFonts w:cs="Tahoma" w:ascii="Tahoma" w:hAnsi="Tahoma"/>
          <w:sz w:val="22"/>
          <w:szCs w:val="22"/>
        </w:rPr>
        <w:t>Cena za dílo uvedená v odst. 1 tohoto článku je cenou nejvýše přípustnou a lze ji změnit pouze v případě:</w:t>
      </w:r>
    </w:p>
    <w:p>
      <w:pPr>
        <w:pStyle w:val="Normal"/>
        <w:spacing w:before="120" w:after="0"/>
        <w:ind w:left="510"/>
        <w:jc w:val="both"/>
        <w:rPr>
          <w:rFonts w:ascii="Tahoma" w:hAnsi="Tahoma" w:cs="Tahoma"/>
          <w:b/>
          <w:sz w:val="22"/>
          <w:szCs w:val="22"/>
        </w:rPr>
      </w:pPr>
      <w:r>
        <w:rPr>
          <w:rFonts w:cs="Tahoma" w:ascii="Tahoma" w:hAnsi="Tahoma"/>
          <w:b/>
          <w:sz w:val="22"/>
          <w:szCs w:val="22"/>
        </w:rPr>
        <w:t>MÉNĚPRACÍ</w:t>
      </w:r>
    </w:p>
    <w:p>
      <w:pPr>
        <w:pStyle w:val="Normal"/>
        <w:numPr>
          <w:ilvl w:val="0"/>
          <w:numId w:val="31"/>
        </w:numPr>
        <w:spacing w:before="120" w:after="0"/>
        <w:jc w:val="both"/>
        <w:rPr>
          <w:rFonts w:ascii="Tahoma" w:hAnsi="Tahoma" w:cs="Tahoma"/>
          <w:sz w:val="22"/>
          <w:szCs w:val="22"/>
        </w:rPr>
      </w:pPr>
      <w:r>
        <w:rPr>
          <w:rFonts w:cs="Tahoma" w:ascii="Tahoma" w:hAnsi="Tahoma"/>
          <w:sz w:val="22"/>
          <w:szCs w:val="22"/>
        </w:rPr>
        <w:t>nebude</w:t>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pPr>
        <w:pStyle w:val="Normal"/>
        <w:spacing w:before="120" w:after="0"/>
        <w:ind w:left="510"/>
        <w:jc w:val="both"/>
        <w:rPr>
          <w:rFonts w:ascii="Tahoma" w:hAnsi="Tahoma" w:cs="Tahoma"/>
          <w:b/>
          <w:sz w:val="22"/>
          <w:szCs w:val="22"/>
        </w:rPr>
      </w:pPr>
      <w:r>
        <w:rPr>
          <w:rFonts w:cs="Tahoma" w:ascii="Tahoma" w:hAnsi="Tahoma"/>
          <w:b/>
          <w:sz w:val="22"/>
          <w:szCs w:val="22"/>
        </w:rPr>
        <w:t>VÍCEPRACÍ</w:t>
      </w:r>
    </w:p>
    <w:p>
      <w:pPr>
        <w:pStyle w:val="Normal"/>
        <w:numPr>
          <w:ilvl w:val="0"/>
          <w:numId w:val="31"/>
        </w:numPr>
        <w:spacing w:before="120" w:after="0"/>
        <w:jc w:val="both"/>
        <w:rPr>
          <w:rFonts w:ascii="Tahoma" w:hAnsi="Tahoma" w:cs="Tahoma"/>
          <w:sz w:val="22"/>
          <w:szCs w:val="22"/>
        </w:rPr>
      </w:pPr>
      <w:r>
        <w:rPr>
          <w:rFonts w:cs="Tahoma" w:ascii="Tahoma" w:hAnsi="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pPr>
        <w:pStyle w:val="Normal"/>
        <w:numPr>
          <w:ilvl w:val="0"/>
          <w:numId w:val="32"/>
        </w:numPr>
        <w:spacing w:before="120" w:after="0"/>
        <w:jc w:val="both"/>
        <w:rPr>
          <w:rFonts w:ascii="Tahoma" w:hAnsi="Tahoma" w:cs="Tahoma"/>
          <w:sz w:val="22"/>
          <w:szCs w:val="22"/>
        </w:rPr>
      </w:pPr>
      <w:r>
        <w:rPr>
          <w:rFonts w:cs="Tahoma" w:ascii="Tahoma" w:hAnsi="Tahoma"/>
          <w:sz w:val="22"/>
          <w:szCs w:val="22"/>
          <w:u w:val="single"/>
        </w:rPr>
        <w:t>pro položky vyskytující se v soupise prací, tzv. existující položky (např. v rámci víceprací se nárokuje větší množství výměry)</w:t>
      </w:r>
      <w:r>
        <w:rPr>
          <w:rFonts w:cs="Tahoma" w:ascii="Tahoma" w:hAnsi="Tahoma"/>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zhotovitelem provedeno a doloženo porovnání jednotkové ceny existující položky s ceníkovou cenou podle této cenové soustavy v její aktuální cenové úrovni. Výsledná jednotková cena u takové položky bude potom stanovena použitím nižší jednotkové ceny z tohoto porovnání.</w:t>
      </w:r>
    </w:p>
    <w:p>
      <w:pPr>
        <w:pStyle w:val="Normal"/>
        <w:numPr>
          <w:ilvl w:val="0"/>
          <w:numId w:val="32"/>
        </w:numPr>
        <w:spacing w:before="120" w:after="0"/>
        <w:jc w:val="both"/>
        <w:rPr>
          <w:rFonts w:ascii="Tahoma" w:hAnsi="Tahoma" w:cs="Tahoma"/>
          <w:sz w:val="22"/>
          <w:szCs w:val="22"/>
        </w:rPr>
      </w:pPr>
      <w:r>
        <w:rPr>
          <w:rFonts w:cs="Tahoma" w:ascii="Tahoma" w:hAnsi="Tahoma"/>
          <w:sz w:val="22"/>
          <w:szCs w:val="22"/>
          <w:u w:val="single"/>
        </w:rPr>
        <w:t>pro položky tzv. nové, které se nevyskytují v soupise prací,</w:t>
      </w:r>
      <w:r>
        <w:rPr>
          <w:rFonts w:cs="Tahoma" w:ascii="Tahoma" w:hAnsi="Tahoma"/>
          <w:sz w:val="22"/>
          <w:szCs w:val="22"/>
        </w:rPr>
        <w:t xml:space="preserve"> se jednotková cena položek bude účtovat podle cenové soustavy, v níž byl zpracován příslušný výkaz výměr, v její aktuální cenové úrovni. </w:t>
      </w:r>
    </w:p>
    <w:p>
      <w:pPr>
        <w:pStyle w:val="Normal"/>
        <w:numPr>
          <w:ilvl w:val="0"/>
          <w:numId w:val="32"/>
        </w:numPr>
        <w:spacing w:before="120" w:after="0"/>
        <w:jc w:val="both"/>
        <w:rPr>
          <w:rFonts w:ascii="Tahoma" w:hAnsi="Tahoma" w:cs="Tahoma"/>
          <w:sz w:val="22"/>
          <w:szCs w:val="22"/>
        </w:rPr>
      </w:pPr>
      <w:r>
        <w:rPr>
          <w:rFonts w:cs="Tahoma" w:ascii="Tahoma" w:hAnsi="Tahoma"/>
          <w:sz w:val="22"/>
          <w:szCs w:val="22"/>
        </w:rPr>
        <w:t>Pouze ve výjimečných případech, kdy nelze pro stanovení jednotkové ceny nové položky víceprací použít žádný z výše uvedených postupů,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pPr>
        <w:pStyle w:val="Normal"/>
        <w:spacing w:before="120" w:after="0"/>
        <w:ind w:left="717"/>
        <w:jc w:val="both"/>
        <w:rPr>
          <w:rFonts w:ascii="Tahoma" w:hAnsi="Tahoma" w:cs="Tahoma"/>
          <w:sz w:val="22"/>
          <w:szCs w:val="22"/>
        </w:rPr>
      </w:pPr>
      <w:r>
        <w:rPr>
          <w:rFonts w:cs="Tahoma" w:ascii="Tahoma" w:hAnsi="Tahoma"/>
          <w:b/>
          <w:sz w:val="22"/>
          <w:szCs w:val="22"/>
          <w:u w:val="single"/>
        </w:rPr>
        <w:t>ZMĚNY DPH</w:t>
      </w:r>
    </w:p>
    <w:p>
      <w:pPr>
        <w:pStyle w:val="Normal"/>
        <w:numPr>
          <w:ilvl w:val="0"/>
          <w:numId w:val="31"/>
        </w:numPr>
        <w:spacing w:before="120" w:after="0"/>
        <w:jc w:val="both"/>
        <w:rPr>
          <w:rFonts w:ascii="Tahoma" w:hAnsi="Tahoma" w:cs="Tahoma"/>
          <w:sz w:val="22"/>
          <w:szCs w:val="22"/>
        </w:rPr>
      </w:pPr>
      <w:r>
        <w:rPr>
          <w:rFonts w:cs="Tahoma" w:ascii="Tahoma" w:hAnsi="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pPr>
        <w:pStyle w:val="Normal"/>
        <w:numPr>
          <w:ilvl w:val="0"/>
          <w:numId w:val="18"/>
        </w:numPr>
        <w:tabs>
          <w:tab w:val="clear" w:pos="720"/>
        </w:tabs>
        <w:spacing w:before="120" w:after="0"/>
        <w:ind w:hanging="357" w:left="357"/>
        <w:jc w:val="both"/>
        <w:rPr>
          <w:rFonts w:ascii="Tahoma" w:hAnsi="Tahoma" w:cs="Tahoma"/>
          <w:sz w:val="22"/>
          <w:szCs w:val="22"/>
        </w:rPr>
      </w:pPr>
      <w:r>
        <w:rPr>
          <w:rFonts w:cs="Tahoma" w:ascii="Tahoma" w:hAnsi="Tahoma"/>
          <w:sz w:val="22"/>
          <w:szCs w:val="22"/>
        </w:rPr>
        <w:t>Rozsah případných méněprací nebo víceprací a cena za jejich realizaci budou vždy předem sjednány dodatkem k této smlouvě.</w:t>
      </w:r>
    </w:p>
    <w:p>
      <w:pPr>
        <w:pStyle w:val="Normal"/>
        <w:numPr>
          <w:ilvl w:val="0"/>
          <w:numId w:val="18"/>
        </w:numPr>
        <w:tabs>
          <w:tab w:val="clear" w:pos="720"/>
        </w:tabs>
        <w:spacing w:before="120" w:after="0"/>
        <w:ind w:hanging="357" w:left="357"/>
        <w:jc w:val="both"/>
        <w:rPr>
          <w:rFonts w:ascii="Tahoma" w:hAnsi="Tahoma" w:cs="Tahoma"/>
          <w:sz w:val="22"/>
          <w:szCs w:val="22"/>
        </w:rPr>
      </w:pPr>
      <w:r>
        <w:rPr>
          <w:rFonts w:cs="Tahoma" w:ascii="Tahoma" w:hAnsi="Tahoma"/>
          <w:sz w:val="22"/>
          <w:szCs w:val="22"/>
        </w:rPr>
        <w:t>Zhotovitel je povinen zpracovat veškeré změnové listy a dále oceněné soupisy méněprací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pPr>
        <w:pStyle w:val="Normal"/>
        <w:numPr>
          <w:ilvl w:val="0"/>
          <w:numId w:val="18"/>
        </w:numPr>
        <w:tabs>
          <w:tab w:val="clear" w:pos="720"/>
        </w:tabs>
        <w:spacing w:before="120" w:after="0"/>
        <w:ind w:hanging="357" w:left="357"/>
        <w:jc w:val="both"/>
        <w:rPr>
          <w:rFonts w:ascii="Tahoma" w:hAnsi="Tahoma" w:cs="Tahoma"/>
          <w:sz w:val="22"/>
          <w:szCs w:val="22"/>
        </w:rPr>
      </w:pPr>
      <w:r>
        <w:rPr>
          <w:rFonts w:cs="Tahoma" w:ascii="Tahoma" w:hAnsi="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pPr>
        <w:pStyle w:val="Normal"/>
        <w:keepNext w:val="true"/>
        <w:spacing w:before="360" w:after="0"/>
        <w:jc w:val="center"/>
        <w:rPr>
          <w:rFonts w:ascii="Tahoma" w:hAnsi="Tahoma" w:cs="Tahoma"/>
          <w:b/>
          <w:sz w:val="22"/>
          <w:szCs w:val="22"/>
        </w:rPr>
      </w:pPr>
      <w:r>
        <w:rPr>
          <w:rFonts w:cs="Tahoma" w:ascii="Tahoma" w:hAnsi="Tahoma"/>
          <w:b/>
          <w:sz w:val="22"/>
          <w:szCs w:val="22"/>
        </w:rPr>
        <w:t>VI.</w:t>
        <w:br/>
        <w:t>Platební podmínky</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Zálohy na platby nejsou sjednány.</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Podkladem pro úhradu ceny za dílo budou faktury, které budou mít náležitosti daňového dokladu a náležitosti stanovené dalšími obecně závaznými právními předpisy (dále jen „faktura“). Kromě náležitostí stanovených platnými právními předpisy pro daňový doklad bude zhotovitel povinen ve faktuře uvést i tyto údaje:</w:t>
      </w:r>
    </w:p>
    <w:p>
      <w:pPr>
        <w:pStyle w:val="Normal"/>
        <w:widowControl w:val="false"/>
        <w:numPr>
          <w:ilvl w:val="2"/>
          <w:numId w:val="4"/>
        </w:numPr>
        <w:tabs>
          <w:tab w:val="clear" w:pos="720"/>
          <w:tab w:val="left" w:pos="714" w:leader="none"/>
        </w:tabs>
        <w:snapToGrid w:val="false"/>
        <w:spacing w:before="60" w:after="0"/>
        <w:ind w:hanging="357" w:left="714"/>
        <w:jc w:val="both"/>
        <w:rPr>
          <w:rFonts w:ascii="Tahoma" w:hAnsi="Tahoma" w:cs="Tahoma"/>
          <w:sz w:val="22"/>
          <w:szCs w:val="22"/>
        </w:rPr>
      </w:pPr>
      <w:r>
        <w:rPr>
          <w:rFonts w:cs="Tahoma" w:ascii="Tahoma" w:hAnsi="Tahoma"/>
          <w:sz w:val="22"/>
          <w:szCs w:val="22"/>
        </w:rPr>
        <w:t>číslo smlouvy objednatele, IČO objednatele,</w:t>
      </w:r>
    </w:p>
    <w:p>
      <w:pPr>
        <w:pStyle w:val="Normal"/>
        <w:widowControl w:val="false"/>
        <w:numPr>
          <w:ilvl w:val="2"/>
          <w:numId w:val="4"/>
        </w:numPr>
        <w:tabs>
          <w:tab w:val="clear" w:pos="720"/>
          <w:tab w:val="left" w:pos="714" w:leader="none"/>
        </w:tabs>
        <w:snapToGrid w:val="false"/>
        <w:spacing w:before="60" w:after="0"/>
        <w:ind w:hanging="357" w:left="714"/>
        <w:jc w:val="both"/>
        <w:rPr>
          <w:rFonts w:ascii="Tahoma" w:hAnsi="Tahoma" w:cs="Tahoma"/>
          <w:sz w:val="22"/>
          <w:szCs w:val="22"/>
        </w:rPr>
      </w:pPr>
      <w:r>
        <w:rPr>
          <w:rFonts w:cs="Tahoma" w:ascii="Tahoma" w:hAnsi="Tahoma"/>
          <w:sz w:val="22"/>
          <w:szCs w:val="22"/>
        </w:rPr>
        <w:t>předmět smlouvy, tj. text „zhotovení stavb</w:t>
      </w:r>
      <w:r>
        <w:rPr>
          <w:rFonts w:cs="Tahoma" w:ascii="Tahoma" w:hAnsi="Tahoma"/>
          <w:sz w:val="22"/>
          <w:szCs w:val="22"/>
          <w:shd w:fill="auto" w:val="clear"/>
        </w:rPr>
        <w:t xml:space="preserve">y - Modernizace učebny odborného výcviku oboru Stravovací a ubytovací služby – kuchařské práce“, ev. č. projektu CZ.06.04.01/00/23_095/0006324 </w:t>
      </w:r>
    </w:p>
    <w:p>
      <w:pPr>
        <w:pStyle w:val="Normal"/>
        <w:widowControl w:val="false"/>
        <w:numPr>
          <w:ilvl w:val="2"/>
          <w:numId w:val="4"/>
        </w:numPr>
        <w:tabs>
          <w:tab w:val="clear" w:pos="720"/>
          <w:tab w:val="left" w:pos="709" w:leader="none"/>
        </w:tabs>
        <w:snapToGrid w:val="false"/>
        <w:spacing w:before="60" w:after="0"/>
        <w:ind w:hanging="357" w:left="714"/>
        <w:jc w:val="both"/>
        <w:rPr>
          <w:rFonts w:ascii="Tahoma" w:hAnsi="Tahoma" w:cs="Tahoma"/>
          <w:sz w:val="22"/>
          <w:szCs w:val="22"/>
        </w:rPr>
      </w:pPr>
      <w:r>
        <w:rPr>
          <w:rFonts w:cs="Tahoma" w:ascii="Tahoma" w:hAnsi="Tahoma"/>
          <w:sz w:val="22"/>
          <w:szCs w:val="22"/>
          <w:shd w:fill="auto" w:val="clear"/>
        </w:rPr>
        <w:t>označení banky a číslo zveřejněného účtu, na který musí být</w:t>
      </w:r>
      <w:r>
        <w:rPr>
          <w:rFonts w:cs="Tahoma" w:ascii="Tahoma" w:hAnsi="Tahoma"/>
          <w:sz w:val="22"/>
          <w:szCs w:val="22"/>
        </w:rPr>
        <w:t xml:space="preserve"> zaplaceno,</w:t>
      </w:r>
    </w:p>
    <w:p>
      <w:pPr>
        <w:pStyle w:val="Normal"/>
        <w:widowControl w:val="false"/>
        <w:numPr>
          <w:ilvl w:val="2"/>
          <w:numId w:val="4"/>
        </w:numPr>
        <w:tabs>
          <w:tab w:val="clear" w:pos="720"/>
          <w:tab w:val="left" w:pos="709" w:leader="none"/>
        </w:tabs>
        <w:snapToGrid w:val="false"/>
        <w:spacing w:before="60" w:after="0"/>
        <w:ind w:hanging="357" w:left="714"/>
        <w:jc w:val="both"/>
        <w:rPr>
          <w:rFonts w:ascii="Tahoma" w:hAnsi="Tahoma" w:cs="Tahoma"/>
          <w:sz w:val="22"/>
          <w:szCs w:val="22"/>
        </w:rPr>
      </w:pPr>
      <w:r>
        <w:rPr>
          <w:rFonts w:cs="Tahoma" w:ascii="Tahoma" w:hAnsi="Tahoma"/>
          <w:sz w:val="22"/>
          <w:szCs w:val="22"/>
        </w:rPr>
        <w:t>lhůtu splatnosti faktury,</w:t>
      </w:r>
    </w:p>
    <w:p>
      <w:pPr>
        <w:pStyle w:val="Normal"/>
        <w:widowControl w:val="false"/>
        <w:numPr>
          <w:ilvl w:val="2"/>
          <w:numId w:val="4"/>
        </w:numPr>
        <w:tabs>
          <w:tab w:val="clear" w:pos="720"/>
          <w:tab w:val="left" w:pos="709" w:leader="none"/>
        </w:tabs>
        <w:snapToGrid w:val="false"/>
        <w:spacing w:before="60" w:after="0"/>
        <w:ind w:hanging="357" w:left="714"/>
        <w:jc w:val="both"/>
        <w:rPr>
          <w:rFonts w:ascii="Tahoma" w:hAnsi="Tahoma" w:cs="Tahoma"/>
          <w:sz w:val="22"/>
          <w:szCs w:val="22"/>
        </w:rPr>
      </w:pPr>
      <w:r>
        <w:rPr>
          <w:rFonts w:cs="Tahoma" w:ascii="Tahoma" w:hAnsi="Tahoma"/>
          <w:sz w:val="22"/>
          <w:szCs w:val="22"/>
        </w:rPr>
        <w:t>označení osoby, která fakturu vyhotovila, včetně jejího podpisu a kontaktního telefonu,</w:t>
      </w:r>
    </w:p>
    <w:p>
      <w:pPr>
        <w:pStyle w:val="Normal"/>
        <w:widowControl w:val="false"/>
        <w:numPr>
          <w:ilvl w:val="2"/>
          <w:numId w:val="4"/>
        </w:numPr>
        <w:tabs>
          <w:tab w:val="clear" w:pos="720"/>
          <w:tab w:val="left" w:pos="709" w:leader="none"/>
        </w:tabs>
        <w:snapToGrid w:val="false"/>
        <w:spacing w:before="60" w:after="0"/>
        <w:ind w:hanging="357" w:left="714"/>
        <w:jc w:val="both"/>
        <w:rPr>
          <w:rFonts w:ascii="Tahoma" w:hAnsi="Tahoma" w:cs="Tahoma"/>
          <w:sz w:val="22"/>
          <w:szCs w:val="22"/>
        </w:rPr>
      </w:pPr>
      <w:r>
        <w:rPr>
          <w:rFonts w:cs="Tahoma" w:ascii="Tahoma" w:hAnsi="Tahoma"/>
          <w:sz w:val="22"/>
          <w:szCs w:val="22"/>
        </w:rPr>
        <w:t>přílohou konečné faktury bude protokol o předání a převzetí díla dle této smlouvy, obsahující prohlášení objednatele, že dílo přejímá.</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V souladu s ustanovením zákona o DPH sjednávají smluvní strany dílčí plnění v rozsahu skutečně provedeného plnění za kalendářní měsíc. Dílčí plnění odsouhlasené podpisem oprávněného zástupce objednatele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 a odsouhlasené osobou vykonávající technický dozor stavebníka.</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Konečná faktura bude vystavena po předání a převzetí dokončeného díla. Součástí konečné faktury bude rekapitulace vystavených faktur a rekapitulace veškerých provedených prací, která bude zpracována v souladu s odsouhlaseným soupisem prací.</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V případě dodatečných prací fakturovaných na základě dodatků uzavřených k této smlouvě (vícepráce) bude soupis těchto prací tvořit samostatnou přílohu faktury.</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Lhůta splatnosti jednotlivých faktur je dohodou stanovena na 30 kalendářních dnů ode dne jejich doručení objednateli.</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Doručení faktury se provede osobně na sekretariátě příspěvkové organizace oproti podpisu potvrzující převzetí, doručenkou prostřednictvím provozovatele poštovních služeb nebo prostřednictvím datové schránky.</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Objednatel je oprávněn vadnou fakturu před uplynutím lhůty splatnosti vrátit druhé smluvní straně bez zaplacení k provedení opravy v těchto případech:</w:t>
      </w:r>
    </w:p>
    <w:p>
      <w:pPr>
        <w:pStyle w:val="Normal"/>
        <w:widowControl w:val="false"/>
        <w:numPr>
          <w:ilvl w:val="0"/>
          <w:numId w:val="19"/>
        </w:numPr>
        <w:tabs>
          <w:tab w:val="clear" w:pos="720"/>
          <w:tab w:val="left" w:pos="714" w:leader="none"/>
        </w:tabs>
        <w:snapToGrid w:val="false"/>
        <w:spacing w:before="60" w:after="0"/>
        <w:ind w:hanging="357" w:left="714"/>
        <w:jc w:val="both"/>
        <w:rPr>
          <w:rFonts w:ascii="Tahoma" w:hAnsi="Tahoma" w:cs="Tahoma"/>
          <w:sz w:val="22"/>
          <w:szCs w:val="22"/>
        </w:rPr>
      </w:pPr>
      <w:r>
        <w:rPr>
          <w:rFonts w:cs="Tahoma" w:ascii="Tahoma" w:hAnsi="Tahoma"/>
          <w:sz w:val="22"/>
          <w:szCs w:val="22"/>
        </w:rPr>
        <w:t>nebude</w:t>
        <w:noBreakHyphen/>
        <w:t>li faktura obsahovat některou povinnou nebo dohodnutou náležitost nebo bude</w:t>
        <w:noBreakHyphen/>
        <w:t>li chybně vyúčtována cena za dílo,</w:t>
      </w:r>
    </w:p>
    <w:p>
      <w:pPr>
        <w:pStyle w:val="Normal"/>
        <w:widowControl w:val="false"/>
        <w:numPr>
          <w:ilvl w:val="0"/>
          <w:numId w:val="19"/>
        </w:numPr>
        <w:tabs>
          <w:tab w:val="clear" w:pos="720"/>
          <w:tab w:val="left" w:pos="714" w:leader="none"/>
        </w:tabs>
        <w:snapToGrid w:val="false"/>
        <w:spacing w:before="60" w:after="0"/>
        <w:ind w:hanging="357" w:left="714"/>
        <w:jc w:val="both"/>
        <w:rPr>
          <w:rFonts w:ascii="Tahoma" w:hAnsi="Tahoma" w:cs="Tahoma"/>
          <w:sz w:val="22"/>
          <w:szCs w:val="22"/>
        </w:rPr>
      </w:pPr>
      <w:r>
        <w:rPr>
          <w:rFonts w:cs="Tahoma" w:ascii="Tahoma" w:hAnsi="Tahoma"/>
          <w:sz w:val="22"/>
          <w:szCs w:val="22"/>
        </w:rPr>
        <w:t>budou</w:t>
        <w:noBreakHyphen/>
        <w:t>li vyúčtovány práce, které nebyly provedeny či nebyly potvrzeny oprávněným zástupcem objednatele,</w:t>
      </w:r>
    </w:p>
    <w:p>
      <w:pPr>
        <w:pStyle w:val="Normal"/>
        <w:widowControl w:val="false"/>
        <w:numPr>
          <w:ilvl w:val="0"/>
          <w:numId w:val="19"/>
        </w:numPr>
        <w:tabs>
          <w:tab w:val="clear" w:pos="720"/>
          <w:tab w:val="left" w:pos="714" w:leader="none"/>
        </w:tabs>
        <w:snapToGrid w:val="false"/>
        <w:spacing w:before="60" w:after="0"/>
        <w:ind w:hanging="357" w:left="714"/>
        <w:jc w:val="both"/>
        <w:rPr>
          <w:rFonts w:ascii="Tahoma" w:hAnsi="Tahoma" w:cs="Tahoma"/>
          <w:sz w:val="22"/>
          <w:szCs w:val="22"/>
        </w:rPr>
      </w:pPr>
      <w:r>
        <w:rPr>
          <w:rFonts w:cs="Tahoma" w:ascii="Tahoma" w:hAnsi="Tahoma"/>
          <w:sz w:val="22"/>
          <w:szCs w:val="22"/>
        </w:rPr>
        <w:t>bude</w:t>
        <w:noBreakHyphen/>
        <w:t>li DPH vyúčtována v nesprávné výši.</w:t>
      </w:r>
    </w:p>
    <w:p>
      <w:pPr>
        <w:pStyle w:val="Smlouva-slo1"/>
        <w:spacing w:lineRule="auto" w:line="240"/>
        <w:ind w:left="357"/>
        <w:rPr>
          <w:rFonts w:ascii="Tahoma" w:hAnsi="Tahoma" w:cs="Tahoma"/>
          <w:sz w:val="22"/>
          <w:szCs w:val="22"/>
        </w:rPr>
      </w:pPr>
      <w:r>
        <w:rPr>
          <w:rFonts w:cs="Tahoma" w:ascii="Tahoma" w:hAnsi="Tahoma"/>
          <w:sz w:val="22"/>
          <w:szCs w:val="22"/>
        </w:rPr>
        <w:t>Ve vrácené faktuře objednatel vyznačí důvod vrácení. Zhotovitel provede opravu faktury a znovu ji doručí objednateli. Vrátí</w:t>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Povinnost zaplatit cenu za dílo je splněna dnem odepsání příslušné částky z účtu objednatele.</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Objednatel je oprávněn pozastavit financování v případě, že zhotovitel bezdůvodně přeruší práce nebo práce bude provádět v rozporu s projektovou dokumentací, touto</w:t>
      </w:r>
      <w:r>
        <w:rPr>
          <w:rFonts w:cs="Tahoma" w:ascii="Tahoma" w:hAnsi="Tahoma"/>
          <w:color w:val="FF0000"/>
          <w:sz w:val="22"/>
          <w:szCs w:val="22"/>
        </w:rPr>
        <w:t xml:space="preserve"> </w:t>
      </w:r>
      <w:r>
        <w:rPr>
          <w:rFonts w:cs="Tahoma" w:ascii="Tahoma" w:hAnsi="Tahoma"/>
          <w:sz w:val="22"/>
          <w:szCs w:val="22"/>
        </w:rPr>
        <w:t>smlouvou nebo pokyny objednatele.</w:t>
      </w:r>
    </w:p>
    <w:p>
      <w:pPr>
        <w:pStyle w:val="Normal"/>
        <w:widowControl w:val="false"/>
        <w:numPr>
          <w:ilvl w:val="1"/>
          <w:numId w:val="3"/>
        </w:numPr>
        <w:tabs>
          <w:tab w:val="clear" w:pos="720"/>
        </w:tabs>
        <w:snapToGrid w:val="false"/>
        <w:spacing w:before="120" w:after="0"/>
        <w:ind w:hanging="357" w:left="357"/>
        <w:jc w:val="both"/>
        <w:rPr>
          <w:rFonts w:ascii="Tahoma" w:hAnsi="Tahoma" w:cs="Tahoma"/>
          <w:sz w:val="22"/>
          <w:szCs w:val="22"/>
        </w:rPr>
      </w:pPr>
      <w:r>
        <w:rPr>
          <w:rFonts w:cs="Tahoma" w:ascii="Tahoma" w:hAnsi="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pPr>
        <w:pStyle w:val="Normal"/>
        <w:numPr>
          <w:ilvl w:val="0"/>
          <w:numId w:val="28"/>
        </w:numPr>
        <w:spacing w:before="60" w:after="0"/>
        <w:ind w:hanging="357" w:left="714"/>
        <w:jc w:val="both"/>
        <w:rPr>
          <w:rFonts w:ascii="Tahoma" w:hAnsi="Tahoma" w:cs="Tahoma"/>
          <w:sz w:val="22"/>
          <w:szCs w:val="22"/>
        </w:rPr>
      </w:pPr>
      <w:r>
        <w:rPr>
          <w:rFonts w:cs="Tahoma" w:ascii="Tahoma" w:hAnsi="Tahoma"/>
          <w:sz w:val="22"/>
          <w:szCs w:val="22"/>
        </w:rPr>
        <w:t>zhotovitel bude ke dni poskytnutí úplaty nebo ke dni uskutečnění zdanitelného plnění zveřejněn v aplikaci „Registr DPH“ jako nespolehlivý plátce, nebo</w:t>
      </w:r>
    </w:p>
    <w:p>
      <w:pPr>
        <w:pStyle w:val="Normal"/>
        <w:numPr>
          <w:ilvl w:val="0"/>
          <w:numId w:val="28"/>
        </w:numPr>
        <w:spacing w:before="60" w:after="0"/>
        <w:ind w:hanging="357" w:left="714"/>
        <w:jc w:val="both"/>
        <w:rPr>
          <w:rFonts w:ascii="Tahoma" w:hAnsi="Tahoma" w:cs="Tahoma"/>
          <w:sz w:val="22"/>
          <w:szCs w:val="22"/>
        </w:rPr>
      </w:pPr>
      <w:r>
        <w:rPr>
          <w:rFonts w:cs="Tahoma" w:ascii="Tahoma" w:hAnsi="Tahoma"/>
          <w:sz w:val="22"/>
          <w:szCs w:val="22"/>
        </w:rPr>
        <w:t>zhotovitel bude ke dni poskytnutí úplaty nebo ke dni uskutečnění zdanitelného plnění v insolvenčním řízení, nebo</w:t>
      </w:r>
    </w:p>
    <w:p>
      <w:pPr>
        <w:pStyle w:val="Normal"/>
        <w:numPr>
          <w:ilvl w:val="0"/>
          <w:numId w:val="28"/>
        </w:numPr>
        <w:spacing w:before="60" w:after="0"/>
        <w:ind w:hanging="357" w:left="714"/>
        <w:jc w:val="both"/>
        <w:rPr>
          <w:color w:val="000000"/>
        </w:rPr>
      </w:pPr>
      <w:r>
        <w:rPr>
          <w:rFonts w:cs="Tahoma" w:ascii="Tahoma" w:hAnsi="Tahoma"/>
          <w:color w:val="000000"/>
          <w:sz w:val="22"/>
          <w:szCs w:val="22"/>
        </w:rPr>
        <w:t>bankovní účet zhotovitele určený k úhradě plnění uvedený na faktuře nebude správcem daně zveřejněn v aplikaci „Registr DPH“.</w:t>
      </w:r>
    </w:p>
    <w:p>
      <w:pPr>
        <w:pStyle w:val="Normal"/>
        <w:spacing w:before="120" w:after="0"/>
        <w:ind w:left="357"/>
        <w:jc w:val="both"/>
        <w:rPr>
          <w:rFonts w:ascii="Tahoma" w:hAnsi="Tahoma" w:cs="Tahoma"/>
          <w:sz w:val="22"/>
          <w:szCs w:val="22"/>
        </w:rPr>
      </w:pPr>
      <w:r>
        <w:rPr>
          <w:rFonts w:cs="Tahoma" w:ascii="Tahoma" w:hAnsi="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pPr>
        <w:pStyle w:val="Normal"/>
        <w:keepNext w:val="true"/>
        <w:spacing w:before="360" w:after="0"/>
        <w:jc w:val="center"/>
        <w:rPr>
          <w:rFonts w:ascii="Tahoma" w:hAnsi="Tahoma" w:cs="Tahoma"/>
          <w:b/>
          <w:sz w:val="22"/>
          <w:szCs w:val="22"/>
        </w:rPr>
      </w:pPr>
      <w:r>
        <w:rPr>
          <w:rFonts w:cs="Tahoma" w:ascii="Tahoma" w:hAnsi="Tahoma"/>
          <w:b/>
          <w:sz w:val="22"/>
          <w:szCs w:val="22"/>
        </w:rPr>
        <w:t>VII.</w:t>
        <w:br/>
        <w:t>Jakost díla</w:t>
      </w:r>
    </w:p>
    <w:p>
      <w:pPr>
        <w:pStyle w:val="Smlouva-slo1"/>
        <w:numPr>
          <w:ilvl w:val="0"/>
          <w:numId w:val="5"/>
        </w:numPr>
        <w:tabs>
          <w:tab w:val="clear" w:pos="720"/>
        </w:tabs>
        <w:spacing w:lineRule="auto" w:line="240"/>
        <w:rPr>
          <w:rFonts w:ascii="Tahoma" w:hAnsi="Tahoma" w:cs="Tahoma"/>
          <w:bCs/>
          <w:sz w:val="22"/>
          <w:szCs w:val="22"/>
        </w:rPr>
      </w:pPr>
      <w:r>
        <w:rPr>
          <w:rFonts w:cs="Tahoma" w:ascii="Tahoma" w:hAnsi="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w:t>
      </w:r>
      <w:r>
        <w:rPr>
          <w:rFonts w:cs="Tahoma" w:ascii="Tahoma" w:hAnsi="Tahoma"/>
          <w:bCs/>
          <w:color w:val="000000"/>
          <w:sz w:val="22"/>
          <w:szCs w:val="22"/>
        </w:rPr>
        <w:t>dou odpovídat platné právní úpravě, českým technickým normám, projektové dokumentaci, zadání veřejné zakázky a této smlouvě. K tomu se zhotovitel zavazuje používat pouze materiály a konstru</w:t>
      </w:r>
      <w:r>
        <w:rPr>
          <w:rFonts w:cs="Tahoma" w:ascii="Tahoma" w:hAnsi="Tahoma"/>
          <w:bCs/>
          <w:sz w:val="22"/>
          <w:szCs w:val="22"/>
        </w:rPr>
        <w:t>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pPr>
        <w:pStyle w:val="Smlouva-slo1"/>
        <w:numPr>
          <w:ilvl w:val="0"/>
          <w:numId w:val="5"/>
        </w:numPr>
        <w:tabs>
          <w:tab w:val="clear" w:pos="720"/>
        </w:tabs>
        <w:spacing w:lineRule="auto" w:line="240"/>
        <w:rPr>
          <w:rFonts w:ascii="Tahoma" w:hAnsi="Tahoma" w:cs="Tahoma"/>
          <w:bCs/>
          <w:sz w:val="22"/>
          <w:szCs w:val="22"/>
        </w:rPr>
      </w:pPr>
      <w:r>
        <w:rPr>
          <w:rFonts w:cs="Tahoma" w:ascii="Tahoma" w:hAnsi="Tahoma"/>
          <w:bCs/>
          <w:sz w:val="22"/>
          <w:szCs w:val="22"/>
        </w:rPr>
        <w:t>Smluvní strany se dohodly, že bude</w:t>
        <w:noBreakHyphen/>
        <w:t>li v rámci díla dodáváno zboží (spotřebiče, nábytek apod.), toto bude dodáno v I. jakosti.</w:t>
      </w:r>
    </w:p>
    <w:p>
      <w:pPr>
        <w:pStyle w:val="Smlouva-slo1"/>
        <w:numPr>
          <w:ilvl w:val="0"/>
          <w:numId w:val="5"/>
        </w:numPr>
        <w:tabs>
          <w:tab w:val="clear" w:pos="720"/>
        </w:tabs>
        <w:spacing w:lineRule="auto" w:line="240"/>
        <w:rPr>
          <w:rFonts w:ascii="Tahoma" w:hAnsi="Tahoma" w:cs="Tahoma"/>
          <w:bCs/>
          <w:sz w:val="22"/>
          <w:szCs w:val="22"/>
        </w:rPr>
      </w:pPr>
      <w:r>
        <w:rPr>
          <w:rFonts w:cs="Tahoma" w:ascii="Tahoma" w:hAnsi="Tahoma"/>
          <w:bCs/>
          <w:sz w:val="22"/>
          <w:szCs w:val="22"/>
        </w:rPr>
        <w:t>Jakost dodávaných materiálů a konstrukcí bude dokladována předepsaným způsobem při kontrolních prohlídkách a při předání a převzetí díla.</w:t>
      </w:r>
    </w:p>
    <w:p>
      <w:pPr>
        <w:pStyle w:val="Normal"/>
        <w:keepNext w:val="true"/>
        <w:spacing w:before="360" w:after="0"/>
        <w:jc w:val="center"/>
        <w:rPr>
          <w:rFonts w:ascii="Tahoma" w:hAnsi="Tahoma" w:cs="Tahoma"/>
          <w:b/>
          <w:sz w:val="22"/>
          <w:szCs w:val="22"/>
        </w:rPr>
      </w:pPr>
      <w:r>
        <w:rPr>
          <w:rFonts w:cs="Tahoma" w:ascii="Tahoma" w:hAnsi="Tahoma"/>
          <w:b/>
          <w:sz w:val="22"/>
          <w:szCs w:val="22"/>
        </w:rPr>
        <w:t>VIII.</w:t>
        <w:br/>
        <w:t>Staveniště</w:t>
      </w:r>
    </w:p>
    <w:p>
      <w:pPr>
        <w:pStyle w:val="Smlouva-slo1"/>
        <w:widowControl/>
        <w:numPr>
          <w:ilvl w:val="3"/>
          <w:numId w:val="4"/>
        </w:numPr>
        <w:spacing w:lineRule="auto" w:line="240"/>
        <w:rPr>
          <w:rFonts w:ascii="Tahoma" w:hAnsi="Tahoma" w:cs="Tahoma"/>
          <w:sz w:val="22"/>
          <w:szCs w:val="22"/>
        </w:rPr>
      </w:pPr>
      <w:r>
        <w:rPr>
          <w:rFonts w:cs="Tahoma" w:ascii="Tahoma" w:hAnsi="Tahoma"/>
          <w:sz w:val="22"/>
          <w:szCs w:val="22"/>
        </w:rPr>
        <w:t>Objednatel předá a zhotovitel převezme staveniště nejpozdě</w:t>
      </w:r>
      <w:r>
        <w:rPr>
          <w:rFonts w:cs="Tahoma" w:ascii="Tahoma" w:hAnsi="Tahoma"/>
          <w:sz w:val="22"/>
          <w:szCs w:val="22"/>
          <w:shd w:fill="auto" w:val="clear"/>
        </w:rPr>
        <w:t>ji do</w:t>
      </w:r>
      <w:r>
        <w:rPr>
          <w:rFonts w:cs="Tahoma" w:ascii="Tahoma" w:hAnsi="Tahoma"/>
          <w:color w:val="000000"/>
          <w:sz w:val="22"/>
          <w:szCs w:val="22"/>
          <w:shd w:fill="auto" w:val="clear"/>
        </w:rPr>
        <w:t> </w:t>
      </w:r>
      <w:r>
        <w:rPr>
          <w:rFonts w:cs="Tahoma" w:ascii="Tahoma" w:hAnsi="Tahoma"/>
          <w:color w:val="000000"/>
          <w:sz w:val="22"/>
          <w:szCs w:val="22"/>
          <w:shd w:fill="auto" w:val="clear"/>
        </w:rPr>
        <w:t>10</w:t>
      </w:r>
      <w:r>
        <w:rPr>
          <w:rFonts w:cs="Tahoma" w:ascii="Tahoma" w:hAnsi="Tahoma"/>
          <w:color w:val="000000"/>
          <w:sz w:val="22"/>
          <w:szCs w:val="22"/>
          <w:shd w:fill="auto" w:val="clear"/>
        </w:rPr>
        <w:t xml:space="preserve"> kalen</w:t>
      </w:r>
      <w:r>
        <w:rPr>
          <w:rFonts w:cs="Tahoma" w:ascii="Tahoma" w:hAnsi="Tahoma"/>
          <w:sz w:val="22"/>
          <w:szCs w:val="22"/>
          <w:shd w:fill="auto" w:val="clear"/>
        </w:rPr>
        <w:t xml:space="preserve">dářních dnů od nabytí účinnosti této smlouvy, </w:t>
      </w:r>
      <w:r>
        <w:rPr>
          <w:rFonts w:cs="Tahoma" w:ascii="Tahoma" w:hAnsi="Tahoma"/>
          <w:sz w:val="22"/>
          <w:szCs w:val="22"/>
          <w:shd w:fill="auto" w:val="clear"/>
        </w:rPr>
        <w:t>nikoli však dříve než 5. 6. 2025</w:t>
      </w:r>
      <w:r>
        <w:rPr>
          <w:rFonts w:cs="Tahoma" w:ascii="Tahoma" w:hAnsi="Tahoma"/>
          <w:sz w:val="22"/>
          <w:szCs w:val="22"/>
          <w:shd w:fill="auto" w:val="clear"/>
        </w:rPr>
        <w:t>, nedohod</w:t>
      </w:r>
      <w:r>
        <w:rPr>
          <w:rFonts w:cs="Tahoma" w:ascii="Tahoma" w:hAnsi="Tahoma"/>
          <w:sz w:val="22"/>
          <w:szCs w:val="22"/>
        </w:rPr>
        <w:t>nou</w:t>
        <w:noBreakHyphen/>
        <w:t>li se smluvní strany, zejména s ohledem na klimatické podmínky, písemně jinak. Dohoda o změně termínu předání staveniště bude učiněna formou zápisu ve stavebním deníku nebo zápisu ze společného jednání smluvních stran v rámci přípravy realizace stavby,</w:t>
      </w:r>
      <w:r>
        <w:rPr>
          <w:rFonts w:cs="Tahoma" w:ascii="Tahoma" w:hAnsi="Tahoma"/>
        </w:rPr>
        <w:t xml:space="preserve"> </w:t>
      </w:r>
      <w:r>
        <w:rPr>
          <w:rFonts w:cs="Tahoma" w:ascii="Tahoma" w:hAnsi="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pPr>
        <w:pStyle w:val="Smlouva-slo1"/>
        <w:widowControl/>
        <w:numPr>
          <w:ilvl w:val="3"/>
          <w:numId w:val="4"/>
        </w:numPr>
        <w:spacing w:lineRule="auto" w:line="240"/>
        <w:rPr>
          <w:rFonts w:ascii="Tahoma" w:hAnsi="Tahoma" w:cs="Tahoma"/>
          <w:sz w:val="22"/>
          <w:szCs w:val="22"/>
        </w:rPr>
      </w:pPr>
      <w:r>
        <w:rPr>
          <w:rFonts w:cs="Tahoma" w:ascii="Tahoma" w:hAnsi="Tahoma"/>
          <w:sz w:val="22"/>
          <w:szCs w:val="22"/>
        </w:rPr>
        <w:t>O předání a převzetí staveniště vyhotoví smluvní strany zápis. Při předání staveniště objednatel předá zhotoviteli 1 vyhotovení projektové dokumentace stavby.</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Obvod staveniště je vymezen projektovou dokumentací. Pokud bude zhotovitel potřebovat pro realizaci díla prostor větší, zajistí si jej na vlastní náklady a vlastním jménem. Určení základních vytyčovacích prvků bude provedeno při předání staveniště objednatelem.</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 </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Zhotovitel je povinen zajistit hlídání staveniště. Náklady na ostrahu jsou již zahrnuty v ceně za dílo.</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Zhotovitel se zavazuje zcela vyklidit a vyčistit staveniště do 14 dnů od provedení díla. Při nedodržení tohoto termínu se zhotovitel zavazuje uhradit objednateli veškeré náklady a škody, které mu tím vznikly.</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pPr>
        <w:pStyle w:val="Smlouva-slo1"/>
        <w:widowControl/>
        <w:numPr>
          <w:ilvl w:val="3"/>
          <w:numId w:val="4"/>
        </w:numPr>
        <w:tabs>
          <w:tab w:val="clear" w:pos="720"/>
        </w:tabs>
        <w:spacing w:lineRule="auto" w:line="240"/>
        <w:rPr>
          <w:rFonts w:ascii="Tahoma" w:hAnsi="Tahoma" w:cs="Tahoma"/>
          <w:sz w:val="22"/>
          <w:szCs w:val="22"/>
        </w:rPr>
      </w:pPr>
      <w:r>
        <w:rPr>
          <w:rFonts w:cs="Tahoma" w:ascii="Tahoma" w:hAnsi="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pPr>
        <w:pStyle w:val="Normal"/>
        <w:keepNext w:val="true"/>
        <w:spacing w:before="360" w:after="0"/>
        <w:jc w:val="center"/>
        <w:rPr>
          <w:rFonts w:ascii="Tahoma" w:hAnsi="Tahoma" w:cs="Tahoma"/>
          <w:b/>
          <w:sz w:val="22"/>
          <w:szCs w:val="22"/>
        </w:rPr>
      </w:pPr>
      <w:r>
        <w:rPr>
          <w:rFonts w:cs="Tahoma" w:ascii="Tahoma" w:hAnsi="Tahoma"/>
          <w:b/>
          <w:sz w:val="22"/>
          <w:szCs w:val="22"/>
        </w:rPr>
        <w:t>IX.</w:t>
        <w:br/>
        <w:t>Provádění díla, práva a povinnosti smluvních stran</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dodržovat při provádění díla ujednání této smlouvy, řídit se podklady a pokyny objednatele a poskytnout mu požadovanou dokumentaci a informace,</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účastnit se na základě pozvánky objednatele všech jednání týkajících se předmětného díla,</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do 7 dnů od předání staveniště zpracovat a objednateli předat podrobný harmonogram výstavby. Zhotovitel je povinen harmonogram výstavby průběžně aktualizovat a aktualizace neprodleně předkládat osobě vykonávající technický dozor stavebníka a objednateli,</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dbát při provádění díla na ochranu životního prostředí a dodržovat platné technické, bezpečnostní, zdravotní, hygienické a jiné předpisy, včetně předpisů týkajících se ochrany životního prostředí,</w:t>
      </w:r>
    </w:p>
    <w:p>
      <w:pPr>
        <w:pStyle w:val="Smlouva-slo1"/>
        <w:numPr>
          <w:ilvl w:val="1"/>
          <w:numId w:val="7"/>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v dostatečném předstihu před jejich osazováním do stavby v rámci tzv. „vzorkování″ doložit platné atesty či certifikáty, případně další dokumenty prokazující splnění požadovaných technických a kvalitativních parametrů používaných výrobků a materiálů, a to nejpozději před jejich osazováním do stavby. Bez doložení těchto atestů není zhotovitel oprávněn započít s osazováním příslušných výrobků do stavby.</w:t>
      </w:r>
    </w:p>
    <w:p>
      <w:pPr>
        <w:pStyle w:val="Smlouva-slo1"/>
        <w:numPr>
          <w:ilvl w:val="0"/>
          <w:numId w:val="7"/>
        </w:numPr>
        <w:spacing w:lineRule="auto" w:line="240"/>
        <w:rPr>
          <w:rFonts w:ascii="Tahoma" w:hAnsi="Tahoma" w:cs="Tahoma"/>
          <w:sz w:val="22"/>
          <w:szCs w:val="22"/>
        </w:rPr>
      </w:pPr>
      <w:r>
        <w:rPr>
          <w:rFonts w:cs="Tahoma" w:ascii="Tahoma" w:hAnsi="Tahoma"/>
          <w:sz w:val="22"/>
          <w:szCs w:val="22"/>
        </w:rPr>
        <w:t>Zhotovitel je povinen informovat objednatele a zároveň osobu vykonávající technický dozor stavebníka o skutečnostech majících vliv na plnění této smlouvy, a to neprodleně, nejpozději následující pracovní d</w:t>
      </w:r>
      <w:r>
        <w:rPr>
          <w:rFonts w:cs="Tahoma" w:ascii="Tahoma" w:hAnsi="Tahoma"/>
          <w:sz w:val="22"/>
          <w:szCs w:val="22"/>
          <w:shd w:fill="auto" w:val="clear"/>
        </w:rPr>
        <w:t>en poté, kdy příslušná skutečnost nastane nebo zhotovitel zjistí, že by nastat mohla. Informace dle předchozí věty budou objednateli zaslány elektronickou poštou na adresu: vondal@kolofikopava.cz Zhotovitel je povinen informovat objednatele a osobou vykonávající technický dozor stavebn</w:t>
      </w:r>
      <w:r>
        <w:rPr>
          <w:rFonts w:cs="Tahoma" w:ascii="Tahoma" w:hAnsi="Tahoma"/>
          <w:sz w:val="22"/>
          <w:szCs w:val="22"/>
        </w:rPr>
        <w:t>íka zejména:</w:t>
      </w:r>
    </w:p>
    <w:p>
      <w:pPr>
        <w:pStyle w:val="Smlouva-slo1"/>
        <w:numPr>
          <w:ilvl w:val="0"/>
          <w:numId w:val="25"/>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zjistí</w:t>
        <w:noBreakHyphen/>
        <w:t>li při provádění díla skryté překážky bránící řádnému provedení díla. Zhotovitel je povinen navrhnout objednateli další postup,</w:t>
      </w:r>
    </w:p>
    <w:p>
      <w:pPr>
        <w:pStyle w:val="Smlouva-slo1"/>
        <w:numPr>
          <w:ilvl w:val="0"/>
          <w:numId w:val="25"/>
        </w:numPr>
        <w:tabs>
          <w:tab w:val="left" w:pos="720" w:leader="none"/>
        </w:tabs>
        <w:spacing w:lineRule="auto" w:line="240" w:before="60" w:after="0"/>
        <w:ind w:hanging="357" w:left="714"/>
        <w:rPr>
          <w:rFonts w:ascii="Tahoma" w:hAnsi="Tahoma" w:cs="Tahoma"/>
          <w:sz w:val="22"/>
          <w:szCs w:val="22"/>
        </w:rPr>
      </w:pPr>
      <w:r>
        <w:rPr>
          <w:rFonts w:cs="Tahoma" w:ascii="Tahoma" w:hAnsi="Tahoma"/>
          <w:sz w:val="22"/>
          <w:szCs w:val="22"/>
        </w:rPr>
        <w:t>o případné nevhodnosti realizace vyžadovaných prací,</w:t>
      </w:r>
    </w:p>
    <w:p>
      <w:pPr>
        <w:pStyle w:val="Smlouva-slo1"/>
        <w:numPr>
          <w:ilvl w:val="0"/>
          <w:numId w:val="25"/>
        </w:numPr>
        <w:tabs>
          <w:tab w:val="left" w:pos="720" w:leader="none"/>
        </w:tabs>
        <w:spacing w:lineRule="auto" w:line="240" w:before="60" w:after="0"/>
        <w:ind w:hanging="357" w:left="714"/>
        <w:rPr>
          <w:rFonts w:ascii="Tahoma" w:hAnsi="Tahoma" w:cs="Tahoma"/>
          <w:sz w:val="22"/>
          <w:szCs w:val="22"/>
        </w:rPr>
      </w:pPr>
      <w:r>
        <w:rPr>
          <w:rFonts w:cs="Tahoma" w:ascii="Tahoma" w:hAnsi="Tahoma"/>
          <w:sz w:val="22"/>
          <w:szCs w:val="22"/>
        </w:rPr>
        <w:t>zjistí</w:t>
        <w:noBreakHyphen/>
        <w:t>li v projektové dokumentaci stavby dle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pPr>
        <w:pStyle w:val="Smlouva-slo1"/>
        <w:numPr>
          <w:ilvl w:val="0"/>
          <w:numId w:val="7"/>
        </w:numPr>
        <w:spacing w:lineRule="auto" w:line="240"/>
        <w:rPr>
          <w:rFonts w:ascii="Tahoma" w:hAnsi="Tahoma" w:cs="Tahoma"/>
          <w:sz w:val="22"/>
          <w:szCs w:val="22"/>
        </w:rPr>
      </w:pPr>
      <w:r>
        <w:rPr>
          <w:rFonts w:cs="Tahoma" w:ascii="Tahoma" w:hAnsi="Tahoma"/>
          <w:sz w:val="22"/>
          <w:szCs w:val="22"/>
        </w:rPr>
        <w:t>Zhotovitel jako odborně způsobilá osoba je povinen zkontrolovat technickou část předané dokumentace vč. jejího rozsahu a obsahu dle požadavků stavebního zákona a souvisejících předpisů 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 bude-li akce vyžadovat.</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pPr>
        <w:pStyle w:val="Smlouva-slo1"/>
        <w:numPr>
          <w:ilvl w:val="0"/>
          <w:numId w:val="7"/>
        </w:numPr>
        <w:spacing w:lineRule="auto" w:line="240"/>
        <w:rPr>
          <w:rFonts w:ascii="Tahoma" w:hAnsi="Tahoma" w:cs="Tahoma"/>
          <w:sz w:val="22"/>
          <w:szCs w:val="22"/>
        </w:rPr>
      </w:pPr>
      <w:r>
        <w:rPr>
          <w:rFonts w:cs="Tahoma" w:ascii="Tahoma" w:hAnsi="Tahoma"/>
          <w:sz w:val="22"/>
          <w:szCs w:val="22"/>
        </w:rPr>
        <w:t>Zhotovitel nese odpovědnost původce odpadů, zavazuje se nezpůsobovat únik ropných, toxických či jiných škodlivých látek na stavbě.</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 provedené stavební práce, zařizovací předměty a výrobky zabezpečit před poškozením a krádežemi až do předání díla k užívání objednateli, a to na vlastní náklady.</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 informovat objednatele o poddodavatelích, kteří se budou podílet na realizaci díla, a to před zahájením plnění části díla tímto poddodavatelem. Povinnost identifikovat poddodavatele se považuje za splněnou, jsou-li tyto údaje uvedeny ve stavebním deníku.</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se zavazuje realizovat dílo prostřednictvím osob, kterými byla v rámci zadávacího řízení na výběr zhotovitele stavby prokazována kvalifikace</w:t>
      </w:r>
      <w:r>
        <w:rPr>
          <w:rFonts w:eastAsia="Calibri" w:cs="Tahoma" w:ascii="Tahoma" w:hAnsi="Tahoma"/>
          <w:sz w:val="22"/>
          <w:szCs w:val="22"/>
          <w:lang w:eastAsia="en-US"/>
        </w:rPr>
        <w:t xml:space="preserve"> </w:t>
      </w:r>
      <w:r>
        <w:rPr>
          <w:rFonts w:cs="Tahoma" w:ascii="Tahoma" w:hAnsi="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se zavazuje realizovat práce vyžadující zvláštní způsobilost nebo povolení podle příslušných předpisů osobami, které tuto podmínku splňují.</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nejméně 15 pracovních dnů předem oznámí správcům sítí a osobě vykonávající technický dozor stavebníka práci v ochranném pásmu či křížení těchto sítí ke kontrole průběhu prací a převzetí před zpětným zásypem.</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se zavazuje po celou dobu realizace stavby aktivně spolupracovat s projektantem a osobou vykonávající činnost autorského dozoru projektanta při realizaci stavby. V případě zjištění rozporu platné projektové dokumentace se skutečností na stavbě je zhotovitel povinen zjištěné rozpory řešit ve spolupráci s projektantem, a to bezodkladně.</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Bourací práce (hluk, prach) budou realizovány pouze po předchozím oznámení objednateli.</w:t>
      </w:r>
    </w:p>
    <w:p>
      <w:pPr>
        <w:pStyle w:val="Smlouva-slo1"/>
        <w:numPr>
          <w:ilvl w:val="0"/>
          <w:numId w:val="7"/>
        </w:numPr>
        <w:spacing w:lineRule="auto" w:line="240"/>
        <w:rPr>
          <w:rFonts w:ascii="Tahoma" w:hAnsi="Tahoma" w:cs="Tahoma"/>
          <w:sz w:val="22"/>
          <w:szCs w:val="22"/>
        </w:rPr>
      </w:pPr>
      <w:r>
        <w:rPr>
          <w:rFonts w:cs="Tahoma" w:ascii="Tahoma" w:hAnsi="Tahoma"/>
          <w:sz w:val="22"/>
          <w:szCs w:val="22"/>
        </w:rPr>
        <w:t>Zhotovitel je povinen umožnit výkon technického dozoru stavebníka, autorského dozoru projektanta a umožnit osobám, které je vykonávají, vstup na stavbu a staveniště</w:t>
      </w:r>
      <w:r>
        <w:rPr>
          <w:rFonts w:cs="Tahoma" w:ascii="Tahoma" w:hAnsi="Tahoma"/>
          <w:iCs/>
          <w:sz w:val="22"/>
          <w:szCs w:val="22"/>
        </w:rPr>
        <w:t>.</w:t>
      </w:r>
    </w:p>
    <w:p>
      <w:pPr>
        <w:pStyle w:val="Smlouva-slo1"/>
        <w:numPr>
          <w:ilvl w:val="0"/>
          <w:numId w:val="7"/>
        </w:numPr>
        <w:spacing w:lineRule="auto" w:line="240"/>
        <w:rPr>
          <w:rFonts w:ascii="Tahoma" w:hAnsi="Tahoma" w:cs="Tahoma"/>
          <w:sz w:val="22"/>
          <w:szCs w:val="22"/>
        </w:rPr>
      </w:pPr>
      <w:r>
        <w:rPr>
          <w:rFonts w:cs="Tahoma" w:ascii="Tahoma" w:hAnsi="Tahoma"/>
          <w:sz w:val="22"/>
          <w:szCs w:val="22"/>
        </w:rPr>
        <w:t>Zhotovitel ani osoba s ním propojená nesmí za objednatele vykonávat inženýrsko</w:t>
        <w:noBreakHyphen/>
        <w:t>investorskou činnost na stavbě (technický dozor stavebníka).</w:t>
      </w:r>
    </w:p>
    <w:p>
      <w:pPr>
        <w:pStyle w:val="Smlouva-slo1"/>
        <w:spacing w:lineRule="auto" w:line="240"/>
        <w:ind w:hanging="357" w:left="357"/>
        <w:rPr>
          <w:rFonts w:ascii="Tahoma" w:hAnsi="Tahoma" w:cs="Tahoma"/>
          <w:bCs/>
          <w:caps/>
          <w:sz w:val="22"/>
          <w:szCs w:val="22"/>
        </w:rPr>
      </w:pPr>
      <w:r>
        <w:rPr>
          <w:rFonts w:cs="Tahoma" w:ascii="Tahoma" w:hAnsi="Tahoma"/>
          <w:bCs/>
          <w:caps/>
          <w:sz w:val="22"/>
          <w:szCs w:val="22"/>
        </w:rPr>
        <w:t>Kontrola prováděných prací, organizace kontrolních dnů</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Kontrola prováděných prací bude realizována:</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osobou vykonávající technický dozor stavebníka,</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osobou vykonávající činnost autorského dozoru projektanta,</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orgány státní správy oprávněnými ke kontrole na základě zvláštních předpisů,</w:t>
      </w:r>
    </w:p>
    <w:p>
      <w:pPr>
        <w:pStyle w:val="Smlouva-slo1"/>
        <w:spacing w:lineRule="auto" w:line="240"/>
        <w:ind w:left="360"/>
        <w:rPr>
          <w:rFonts w:ascii="Tahoma" w:hAnsi="Tahoma" w:cs="Tahoma"/>
          <w:sz w:val="22"/>
          <w:szCs w:val="22"/>
        </w:rPr>
      </w:pPr>
      <w:r>
        <w:rPr>
          <w:rFonts w:cs="Tahoma" w:ascii="Tahoma" w:hAnsi="Tahoma"/>
          <w:sz w:val="22"/>
          <w:szCs w:val="22"/>
        </w:rPr>
        <w:t>Dále může provádět kontrolu objednatel a jím pověřené osoby.</w:t>
      </w:r>
    </w:p>
    <w:p>
      <w:pPr>
        <w:pStyle w:val="Smlouva-slo1"/>
        <w:spacing w:lineRule="auto" w:line="240"/>
        <w:ind w:firstLine="357"/>
        <w:rPr>
          <w:rFonts w:ascii="Tahoma" w:hAnsi="Tahoma" w:cs="Tahoma"/>
          <w:sz w:val="22"/>
          <w:szCs w:val="22"/>
        </w:rPr>
      </w:pPr>
      <w:r>
        <w:rPr>
          <w:rFonts w:cs="Tahoma" w:ascii="Tahoma" w:hAnsi="Tahoma"/>
          <w:sz w:val="22"/>
          <w:szCs w:val="22"/>
        </w:rPr>
        <w:t>Zhotovitel je povinen umožnit uvedeným osobám provedení kontroly realizovaných prací.</w:t>
      </w:r>
    </w:p>
    <w:p>
      <w:pPr>
        <w:pStyle w:val="Normal"/>
        <w:widowControl w:val="false"/>
        <w:numPr>
          <w:ilvl w:val="0"/>
          <w:numId w:val="7"/>
        </w:numPr>
        <w:spacing w:before="60" w:after="0"/>
        <w:jc w:val="both"/>
        <w:rPr>
          <w:rFonts w:ascii="Tahoma" w:hAnsi="Tahoma" w:cs="Tahoma"/>
          <w:sz w:val="22"/>
          <w:szCs w:val="22"/>
        </w:rPr>
      </w:pPr>
      <w:r>
        <w:rPr>
          <w:rFonts w:cs="Tahoma" w:ascii="Tahoma" w:hAnsi="Tahoma"/>
          <w:sz w:val="22"/>
          <w:szCs w:val="22"/>
        </w:rPr>
        <w:t>Osoba vykonávající technický dozor stavebníka je kromě kontroly provádění díla oprávněna i ke kontrole dokumentace k realizaci stavby vypracované zhotovitelem, kontrole stavebního deníku, kontrole rozpočtů a faktur, kontrole hospodaření s odpady a k dalším úkonům vyplývajícím z příslušné smlouvy na zajištění výkonu inženýrské a investorské činnosti při realizaci stavby.</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Kontrola prováděných prací bude realizována zejména v rámci kontrolních dnů, s tím, že:</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kontrolní dny se budou konat dle potřeby, zpravidla jednou týdně,</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technický dozor stavebníka,</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kontrolní dny budou řízeny osobou vykonávající technický dozor stavebníka,</w:t>
      </w:r>
    </w:p>
    <w:p>
      <w:pPr>
        <w:pStyle w:val="Smlouva-slo1"/>
        <w:numPr>
          <w:ilvl w:val="0"/>
          <w:numId w:val="26"/>
        </w:numPr>
        <w:tabs>
          <w:tab w:val="left" w:pos="720" w:leader="none"/>
        </w:tabs>
        <w:spacing w:lineRule="auto" w:line="240"/>
        <w:ind w:hanging="357" w:left="714"/>
        <w:rPr>
          <w:rFonts w:ascii="Tahoma" w:hAnsi="Tahoma" w:cs="Tahoma"/>
          <w:sz w:val="22"/>
          <w:szCs w:val="22"/>
        </w:rPr>
      </w:pPr>
      <w:r>
        <w:rPr>
          <w:rFonts w:cs="Tahoma" w:ascii="Tahoma" w:hAnsi="Tahoma"/>
          <w:sz w:val="22"/>
          <w:szCs w:val="22"/>
        </w:rPr>
        <w:t>z kontrolních dnů budou osobou vykonávající technický dozor stavebníka pořizovány zápisy, které budou zhotoviteli zasílány v elektronické podobě.</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vyzve osobu vykonávající technický dozor stavebníka prokazatelnou formou nejméně 3 pracovní dny předem k prověření kvality prací, jež budou dalším postupem při zhotovování díla zakryty.</w:t>
      </w:r>
    </w:p>
    <w:p>
      <w:pPr>
        <w:pStyle w:val="Smlouva-slo1"/>
        <w:spacing w:lineRule="auto" w:line="240" w:before="60" w:after="0"/>
        <w:ind w:left="357"/>
        <w:rPr>
          <w:rFonts w:ascii="Tahoma" w:hAnsi="Tahoma" w:cs="Tahoma"/>
          <w:sz w:val="22"/>
          <w:szCs w:val="22"/>
        </w:rPr>
      </w:pPr>
      <w:r>
        <w:rPr>
          <w:rFonts w:cs="Tahoma" w:ascii="Tahoma" w:hAnsi="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pPr>
        <w:pStyle w:val="Smlouva-slo1"/>
        <w:spacing w:lineRule="auto" w:line="240" w:before="60" w:after="0"/>
        <w:ind w:left="357"/>
        <w:rPr>
          <w:rFonts w:ascii="Tahoma" w:hAnsi="Tahoma" w:cs="Tahoma"/>
          <w:sz w:val="22"/>
          <w:szCs w:val="22"/>
        </w:rPr>
      </w:pPr>
      <w:r>
        <w:rPr>
          <w:rFonts w:cs="Tahoma" w:ascii="Tahoma" w:hAnsi="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pPr>
        <w:pStyle w:val="Smlouva-slo1"/>
        <w:numPr>
          <w:ilvl w:val="0"/>
          <w:numId w:val="7"/>
        </w:numPr>
        <w:tabs>
          <w:tab w:val="clear" w:pos="720"/>
        </w:tabs>
        <w:spacing w:lineRule="auto" w:line="240"/>
        <w:ind w:hanging="357" w:left="357"/>
        <w:rPr>
          <w:rFonts w:ascii="Tahoma" w:hAnsi="Tahoma" w:cs="Tahoma"/>
          <w:sz w:val="22"/>
          <w:szCs w:val="22"/>
        </w:rPr>
      </w:pPr>
      <w:r>
        <w:rPr>
          <w:rFonts w:cs="Tahoma" w:ascii="Tahoma" w:hAnsi="Tahoma"/>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w:t>
      </w:r>
    </w:p>
    <w:p>
      <w:pPr>
        <w:pStyle w:val="Normal"/>
        <w:keepNext w:val="true"/>
        <w:spacing w:before="360" w:after="0"/>
        <w:jc w:val="center"/>
        <w:rPr>
          <w:rFonts w:ascii="Tahoma" w:hAnsi="Tahoma" w:cs="Tahoma"/>
          <w:b/>
          <w:sz w:val="22"/>
          <w:szCs w:val="22"/>
        </w:rPr>
      </w:pPr>
      <w:r>
        <w:rPr>
          <w:rFonts w:cs="Tahoma" w:ascii="Tahoma" w:hAnsi="Tahoma"/>
          <w:b/>
          <w:sz w:val="22"/>
          <w:szCs w:val="22"/>
        </w:rPr>
        <w:t>X.</w:t>
        <w:br/>
        <w:t>Stavební deník</w:t>
      </w:r>
    </w:p>
    <w:p>
      <w:pPr>
        <w:pStyle w:val="Smlouva3"/>
        <w:numPr>
          <w:ilvl w:val="2"/>
          <w:numId w:val="8"/>
        </w:numPr>
        <w:tabs>
          <w:tab w:val="clear" w:pos="720"/>
        </w:tabs>
        <w:ind w:hanging="357" w:left="357"/>
        <w:rPr>
          <w:rFonts w:ascii="Tahoma" w:hAnsi="Tahoma" w:cs="Tahoma"/>
          <w:sz w:val="22"/>
          <w:szCs w:val="22"/>
        </w:rPr>
      </w:pPr>
      <w:r>
        <w:rPr>
          <w:rFonts w:cs="Tahoma" w:ascii="Tahoma" w:hAnsi="Tahoma"/>
          <w:sz w:val="22"/>
          <w:szCs w:val="22"/>
        </w:rP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 ve znění pozdějších předpisů</w:t>
      </w:r>
      <w:r>
        <w:rPr/>
        <w:t xml:space="preserve"> </w:t>
      </w:r>
      <w:r>
        <w:rPr>
          <w:rFonts w:cs="Tahoma" w:ascii="Tahoma" w:hAnsi="Tahoma"/>
          <w:sz w:val="22"/>
          <w:szCs w:val="22"/>
        </w:rPr>
        <w:t>a předpisu tuto vyhlášku nahrazující.</w:t>
      </w:r>
    </w:p>
    <w:p>
      <w:pPr>
        <w:pStyle w:val="Smlouva3"/>
        <w:numPr>
          <w:ilvl w:val="2"/>
          <w:numId w:val="8"/>
        </w:numPr>
        <w:tabs>
          <w:tab w:val="clear" w:pos="720"/>
        </w:tabs>
        <w:ind w:hanging="357" w:left="357"/>
        <w:rPr>
          <w:rFonts w:ascii="Tahoma" w:hAnsi="Tahoma" w:cs="Tahoma"/>
          <w:sz w:val="22"/>
          <w:szCs w:val="22"/>
        </w:rPr>
      </w:pPr>
      <w:r>
        <w:rPr>
          <w:rFonts w:cs="Tahoma" w:ascii="Tahoma" w:hAnsi="Tahoma"/>
          <w:sz w:val="22"/>
          <w:szCs w:val="22"/>
        </w:rPr>
        <w:t>Zápisem ve stavebním deníku nelze obsah této smlouvy měnit.</w:t>
      </w:r>
    </w:p>
    <w:p>
      <w:pPr>
        <w:pStyle w:val="Normal"/>
        <w:spacing w:before="360" w:after="0"/>
        <w:jc w:val="center"/>
        <w:rPr>
          <w:rFonts w:ascii="Tahoma" w:hAnsi="Tahoma" w:cs="Tahoma"/>
          <w:b/>
          <w:sz w:val="22"/>
          <w:szCs w:val="22"/>
        </w:rPr>
      </w:pPr>
      <w:r>
        <w:rPr>
          <w:rFonts w:cs="Tahoma" w:ascii="Tahoma" w:hAnsi="Tahoma"/>
          <w:b/>
          <w:sz w:val="22"/>
          <w:szCs w:val="22"/>
        </w:rPr>
        <w:t>XI.</w:t>
        <w:br/>
        <w:t>Předání díla</w:t>
      </w:r>
    </w:p>
    <w:p>
      <w:pPr>
        <w:pStyle w:val="Normal"/>
        <w:widowControl w:val="false"/>
        <w:numPr>
          <w:ilvl w:val="0"/>
          <w:numId w:val="9"/>
        </w:numPr>
        <w:tabs>
          <w:tab w:val="clear" w:pos="720"/>
        </w:tabs>
        <w:spacing w:before="120" w:after="0"/>
        <w:ind w:hanging="357" w:left="357"/>
        <w:jc w:val="both"/>
        <w:rPr>
          <w:rFonts w:ascii="Tahoma" w:hAnsi="Tahoma" w:cs="Tahoma"/>
          <w:sz w:val="22"/>
          <w:szCs w:val="22"/>
        </w:rPr>
      </w:pPr>
      <w:r>
        <w:rPr>
          <w:rFonts w:cs="Tahoma" w:ascii="Tahoma" w:hAnsi="Tahoma"/>
          <w:sz w:val="22"/>
          <w:szCs w:val="22"/>
        </w:rPr>
        <w:t xml:space="preserve">Objednatel se zavazuje dokončené dílo převzít </w:t>
      </w:r>
      <w:r>
        <w:rPr>
          <w:rFonts w:cs="Tahoma" w:ascii="Tahoma" w:hAnsi="Tahoma"/>
          <w:color w:val="000000"/>
          <w:sz w:val="22"/>
          <w:szCs w:val="22"/>
        </w:rPr>
        <w:t>do 10 pracovních dnů od do</w:t>
      </w:r>
      <w:r>
        <w:rPr>
          <w:rFonts w:cs="Tahoma" w:ascii="Tahoma" w:hAnsi="Tahoma"/>
          <w:sz w:val="22"/>
          <w:szCs w:val="22"/>
        </w:rPr>
        <w:t>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pPr>
        <w:pStyle w:val="Normal"/>
        <w:widowControl w:val="false"/>
        <w:numPr>
          <w:ilvl w:val="0"/>
          <w:numId w:val="9"/>
        </w:numPr>
        <w:tabs>
          <w:tab w:val="clear" w:pos="720"/>
        </w:tabs>
        <w:spacing w:before="120" w:after="0"/>
        <w:ind w:hanging="357" w:left="357"/>
        <w:jc w:val="both"/>
        <w:rPr>
          <w:rFonts w:ascii="Tahoma" w:hAnsi="Tahoma" w:cs="Tahoma"/>
          <w:sz w:val="22"/>
          <w:szCs w:val="22"/>
        </w:rPr>
      </w:pPr>
      <w:r>
        <w:rPr>
          <w:rFonts w:cs="Tahoma" w:ascii="Tahoma" w:hAnsi="Tahoma"/>
          <w:sz w:val="22"/>
          <w:szCs w:val="22"/>
        </w:rPr>
        <w:t>O předání a převzetí díla bude sepsán protokol mezi objednatelem a zhotovitelem. Protokol připraví a sepíše osoba vykonávající technický dozor stavebníka.</w:t>
      </w:r>
    </w:p>
    <w:p>
      <w:pPr>
        <w:pStyle w:val="Normal"/>
        <w:widowControl w:val="false"/>
        <w:spacing w:before="120" w:after="0"/>
        <w:ind w:left="357"/>
        <w:jc w:val="both"/>
        <w:rPr>
          <w:rFonts w:ascii="Tahoma" w:hAnsi="Tahoma" w:cs="Tahoma"/>
          <w:sz w:val="22"/>
          <w:szCs w:val="22"/>
        </w:rPr>
      </w:pPr>
      <w:r>
        <w:rPr>
          <w:rFonts w:cs="Tahoma" w:ascii="Tahoma" w:hAnsi="Tahoma"/>
          <w:sz w:val="22"/>
          <w:szCs w:val="22"/>
        </w:rPr>
        <w:t>Protokol bude obsahovat:</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označení předmětu díla,</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označení objednatele a zhotovitele díla,</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číslo a datum uzavření smlouvy o dílo včetně čísel a dat uzavření jejích dodatků,</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termín vyklizení staveniště,</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datum ukončení záruky za jakost na dílo,</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soupis nákladů od zahájení po dokončení díla,</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termín zahájení a dokončení prací na zhotovovaném díle,</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seznam převzaté dokumentace,</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prohlášení objednatele, že dílo přejímá (nepřejímá),</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datum a místo sepsání protokolu,</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v případě, je</w:t>
        <w:noBreakHyphen/>
        <w:t>li dílo přebíráno s vadami a nedodělky, uvedení, že je dílo přebíráno s výhradami a seznam vad a nedodělků, s nimiž bylo dílo převzato, včetně uvedení lhůty k odstranění těchto vad,</w:t>
      </w:r>
    </w:p>
    <w:p>
      <w:pPr>
        <w:pStyle w:val="Smlouva-slo1"/>
        <w:numPr>
          <w:ilvl w:val="2"/>
          <w:numId w:val="1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jména a podpisy zástupců objednatele, zhotovitele a osoby vykonávající technický dozor stavebníka.</w:t>
      </w:r>
    </w:p>
    <w:p>
      <w:pPr>
        <w:pStyle w:val="Normal"/>
        <w:widowControl w:val="false"/>
        <w:numPr>
          <w:ilvl w:val="0"/>
          <w:numId w:val="9"/>
        </w:numPr>
        <w:tabs>
          <w:tab w:val="clear" w:pos="720"/>
        </w:tabs>
        <w:spacing w:before="120" w:after="0"/>
        <w:ind w:hanging="426" w:left="426"/>
        <w:jc w:val="both"/>
        <w:rPr>
          <w:rFonts w:ascii="Tahoma" w:hAnsi="Tahoma" w:cs="Tahoma"/>
          <w:sz w:val="22"/>
          <w:szCs w:val="22"/>
        </w:rPr>
      </w:pPr>
      <w:r>
        <w:rPr>
          <w:rFonts w:cs="Tahoma" w:ascii="Tahoma" w:hAnsi="Tahoma"/>
          <w:sz w:val="22"/>
          <w:szCs w:val="22"/>
        </w:rPr>
        <w:t>Zhotovitel je povinen provést předepsané zkoušky dle platných právních předpisů a technických norem. Úspěšné provedení těchto zkoušek je podmínkou převzetí díla.</w:t>
      </w:r>
    </w:p>
    <w:p>
      <w:pPr>
        <w:pStyle w:val="Normal"/>
        <w:widowControl w:val="false"/>
        <w:numPr>
          <w:ilvl w:val="0"/>
          <w:numId w:val="9"/>
        </w:numPr>
        <w:tabs>
          <w:tab w:val="clear" w:pos="720"/>
        </w:tabs>
        <w:spacing w:before="120" w:after="0"/>
        <w:ind w:hanging="357" w:left="357"/>
        <w:jc w:val="both"/>
        <w:rPr>
          <w:rFonts w:ascii="Tahoma" w:hAnsi="Tahoma" w:cs="Tahoma"/>
          <w:sz w:val="22"/>
          <w:szCs w:val="22"/>
        </w:rPr>
      </w:pPr>
      <w:r>
        <w:rPr>
          <w:rFonts w:cs="Tahoma" w:ascii="Tahoma" w:hAnsi="Tahoma"/>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pPr>
        <w:pStyle w:val="Normal"/>
        <w:widowControl w:val="false"/>
        <w:numPr>
          <w:ilvl w:val="0"/>
          <w:numId w:val="9"/>
        </w:numPr>
        <w:tabs>
          <w:tab w:val="clear" w:pos="720"/>
        </w:tabs>
        <w:spacing w:before="120" w:after="0"/>
        <w:ind w:hanging="357" w:left="357"/>
        <w:jc w:val="both"/>
        <w:rPr>
          <w:rFonts w:ascii="Tahoma" w:hAnsi="Tahoma" w:cs="Tahoma"/>
          <w:sz w:val="22"/>
          <w:szCs w:val="22"/>
        </w:rPr>
      </w:pPr>
      <w:r>
        <w:rPr>
          <w:rFonts w:cs="Tahoma" w:ascii="Tahoma" w:hAnsi="Tahoma"/>
          <w:sz w:val="22"/>
          <w:szCs w:val="22"/>
        </w:rPr>
        <w:t>Zhotovitel se zavazuje zúčastnit se na výzvu objednatele závěrečné kontrolní prohlídky stavby nebo místního šetření v rámci kolaudačního řízení podle stavebního zákona, pokud bude probíhat.</w:t>
      </w:r>
    </w:p>
    <w:p>
      <w:pPr>
        <w:pStyle w:val="Normal"/>
        <w:widowControl w:val="false"/>
        <w:numPr>
          <w:ilvl w:val="0"/>
          <w:numId w:val="9"/>
        </w:numPr>
        <w:tabs>
          <w:tab w:val="clear" w:pos="720"/>
        </w:tabs>
        <w:spacing w:before="120" w:after="0"/>
        <w:ind w:hanging="357" w:left="357"/>
        <w:jc w:val="both"/>
        <w:rPr>
          <w:rFonts w:ascii="Tahoma" w:hAnsi="Tahoma" w:cs="Tahoma"/>
          <w:sz w:val="22"/>
          <w:szCs w:val="22"/>
        </w:rPr>
      </w:pPr>
      <w:r>
        <w:rPr>
          <w:rFonts w:cs="Tahoma" w:ascii="Tahoma" w:hAnsi="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pPr>
        <w:pStyle w:val="Normal"/>
        <w:keepNext w:val="true"/>
        <w:spacing w:before="360" w:after="0"/>
        <w:jc w:val="center"/>
        <w:rPr>
          <w:rFonts w:ascii="Tahoma" w:hAnsi="Tahoma" w:cs="Tahoma"/>
          <w:b/>
          <w:sz w:val="22"/>
          <w:szCs w:val="22"/>
        </w:rPr>
      </w:pPr>
      <w:r>
        <w:rPr>
          <w:rFonts w:cs="Tahoma" w:ascii="Tahoma" w:hAnsi="Tahoma"/>
          <w:b/>
          <w:sz w:val="22"/>
          <w:szCs w:val="22"/>
        </w:rPr>
        <w:t>XII.</w:t>
        <w:br/>
        <w:t>Práva z vadného plnění, záruka za jakost</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Dílo má vadu, jestliže neodpovídá požadavkům uvedeným v této smlouvě.</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noBreakHyphen/>
        <w:t>li se vada v průběhu 6 měsíců od převzetí díla objednatelem, má se zato, že dílo bylo vadné již při převzetí, neprokáže-li zhotovitel opak.</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Zhotovitel poskytuje objednateli na provedené dílo záruku za jakost (dále jen „záruka“) ve smyslu § 2619 a § 2113 a násl. občanského zákoníku, a to v délce:</w:t>
      </w:r>
    </w:p>
    <w:p>
      <w:pPr>
        <w:pStyle w:val="Normal"/>
        <w:numPr>
          <w:ilvl w:val="0"/>
          <w:numId w:val="29"/>
        </w:numPr>
        <w:tabs>
          <w:tab w:val="clear" w:pos="720"/>
          <w:tab w:val="left" w:pos="714" w:leader="none"/>
        </w:tabs>
        <w:spacing w:before="120" w:after="0"/>
        <w:ind w:hanging="357" w:left="714"/>
        <w:jc w:val="both"/>
        <w:rPr>
          <w:rFonts w:ascii="Tahoma" w:hAnsi="Tahoma" w:cs="Tahoma"/>
          <w:sz w:val="22"/>
          <w:szCs w:val="22"/>
        </w:rPr>
      </w:pPr>
      <w:r>
        <w:rPr>
          <w:rFonts w:cs="Tahoma" w:ascii="Tahoma" w:hAnsi="Tahoma"/>
          <w:sz w:val="22"/>
          <w:szCs w:val="22"/>
        </w:rPr>
        <w:t>60 měsíců na provedené práce a dodávky, pokud nejsou uvedeny v písm. b) tohoto odstavce,</w:t>
      </w:r>
    </w:p>
    <w:p>
      <w:pPr>
        <w:pStyle w:val="Normal"/>
        <w:numPr>
          <w:ilvl w:val="0"/>
          <w:numId w:val="29"/>
        </w:numPr>
        <w:tabs>
          <w:tab w:val="clear" w:pos="720"/>
          <w:tab w:val="left" w:pos="714" w:leader="none"/>
        </w:tabs>
        <w:spacing w:before="120" w:after="0"/>
        <w:ind w:hanging="357" w:left="714"/>
        <w:jc w:val="both"/>
        <w:rPr>
          <w:rFonts w:ascii="Tahoma" w:hAnsi="Tahoma" w:cs="Tahoma"/>
          <w:sz w:val="22"/>
          <w:szCs w:val="22"/>
        </w:rPr>
      </w:pPr>
      <w:r>
        <w:rPr>
          <w:rFonts w:cs="Tahoma" w:ascii="Tahoma" w:hAnsi="Tahoma"/>
          <w:sz w:val="22"/>
          <w:szCs w:val="22"/>
        </w:rPr>
        <w:t>na dodávky strojů, zařízení technologie, předměty postupné spotřeby v délce shodné se zárukou poskytovanou výrobcem, nejméně však 24 měsíců,</w:t>
      </w:r>
    </w:p>
    <w:p>
      <w:pPr>
        <w:pStyle w:val="Normal"/>
        <w:tabs>
          <w:tab w:val="clear" w:pos="720"/>
          <w:tab w:val="left" w:pos="-1418" w:leader="none"/>
        </w:tabs>
        <w:spacing w:before="120" w:after="0"/>
        <w:ind w:left="357"/>
        <w:jc w:val="both"/>
        <w:rPr>
          <w:rFonts w:ascii="Tahoma" w:hAnsi="Tahoma" w:cs="Tahoma"/>
          <w:sz w:val="22"/>
          <w:szCs w:val="22"/>
        </w:rPr>
      </w:pPr>
      <w:r>
        <w:rPr>
          <w:rFonts w:cs="Tahoma" w:ascii="Tahoma" w:hAnsi="Tahoma"/>
          <w:sz w:val="22"/>
          <w:szCs w:val="22"/>
        </w:rPr>
        <w:t>(dále též „záruční doba“).</w:t>
      </w:r>
    </w:p>
    <w:p>
      <w:pPr>
        <w:pStyle w:val="Normal"/>
        <w:spacing w:before="120" w:after="0"/>
        <w:ind w:left="357"/>
        <w:jc w:val="both"/>
        <w:rPr>
          <w:rFonts w:ascii="Tahoma" w:hAnsi="Tahoma" w:cs="Tahoma"/>
          <w:sz w:val="22"/>
          <w:szCs w:val="22"/>
        </w:rPr>
      </w:pPr>
      <w:r>
        <w:rPr>
          <w:rFonts w:cs="Tahoma" w:ascii="Tahoma" w:hAnsi="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Vady a nedodělky díla z vadného plnění a  dále také vady, které se projeví během záruční doby, budou zhotovitelem odstraněny bezplatně, a to včetně všech potřebných náhradních dílů a dalšího materiálu.</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Veškeré vady díla bude objednatel povinen uplatnit u zhotovitele bez zbytečného odkladu poté, kdy vadu zjistil, a to formou písemného oznámení (za písemné oznámení se považuje i oznámení e</w:t>
        <w:noBreakHyphen/>
        <w:t>mailem), obsahujícího specifikaci zjištěné vady. Objednatel bude vady díla oznamovat na:</w:t>
      </w:r>
    </w:p>
    <w:p>
      <w:pPr>
        <w:pStyle w:val="Smlouva-slo1"/>
        <w:numPr>
          <w:ilvl w:val="1"/>
          <w:numId w:val="11"/>
        </w:numPr>
        <w:tabs>
          <w:tab w:val="left" w:pos="720" w:leader="none"/>
          <w:tab w:val="left" w:pos="3119" w:leader="none"/>
        </w:tabs>
        <w:spacing w:lineRule="auto" w:line="240" w:before="60" w:after="0"/>
        <w:ind w:hanging="357" w:left="714"/>
        <w:jc w:val="left"/>
        <w:rPr>
          <w:rFonts w:ascii="Tahoma" w:hAnsi="Tahoma" w:cs="Tahoma"/>
          <w:sz w:val="22"/>
          <w:szCs w:val="22"/>
        </w:rPr>
      </w:pPr>
      <w:r>
        <w:rPr>
          <w:rFonts w:cs="Tahoma" w:ascii="Tahoma" w:hAnsi="Tahoma"/>
          <w:sz w:val="22"/>
          <w:szCs w:val="22"/>
        </w:rPr>
        <w:t>e</w:t>
        <w:noBreakHyphen/>
      </w:r>
      <w:r>
        <w:rPr>
          <w:rFonts w:cs="Tahoma" w:ascii="Tahoma" w:hAnsi="Tahoma"/>
          <w:bCs/>
          <w:sz w:val="22"/>
          <w:szCs w:val="22"/>
        </w:rPr>
        <w:t>mail</w:t>
      </w:r>
      <w:r>
        <w:rPr>
          <w:rFonts w:cs="Tahoma" w:ascii="Tahoma" w:hAnsi="Tahoma"/>
          <w:sz w:val="22"/>
          <w:szCs w:val="22"/>
        </w:rPr>
        <w:t>:</w:t>
        <w:tab/>
      </w:r>
      <w:r>
        <w:rPr>
          <w:rFonts w:cs="Tahoma" w:ascii="Tahoma" w:hAnsi="Tahoma"/>
          <w:bCs/>
          <w:sz w:val="22"/>
          <w:szCs w:val="22"/>
        </w:rPr>
        <w:t>…………………………, nebo</w:t>
      </w:r>
    </w:p>
    <w:p>
      <w:pPr>
        <w:pStyle w:val="Smlouva-slo1"/>
        <w:numPr>
          <w:ilvl w:val="1"/>
          <w:numId w:val="11"/>
        </w:numPr>
        <w:tabs>
          <w:tab w:val="left" w:pos="720" w:leader="none"/>
          <w:tab w:val="left" w:pos="3119" w:leader="none"/>
        </w:tabs>
        <w:spacing w:lineRule="auto" w:line="240" w:before="60" w:after="0"/>
        <w:ind w:hanging="357" w:left="714"/>
        <w:jc w:val="left"/>
        <w:rPr>
          <w:rFonts w:ascii="Tahoma" w:hAnsi="Tahoma" w:cs="Tahoma"/>
          <w:sz w:val="22"/>
          <w:szCs w:val="22"/>
        </w:rPr>
      </w:pPr>
      <w:r>
        <w:rPr>
          <w:rFonts w:cs="Tahoma" w:ascii="Tahoma" w:hAnsi="Tahoma"/>
          <w:bCs/>
          <w:sz w:val="22"/>
          <w:szCs w:val="22"/>
        </w:rPr>
        <w:t>adresu</w:t>
      </w:r>
      <w:r>
        <w:rPr>
          <w:rFonts w:cs="Tahoma" w:ascii="Tahoma" w:hAnsi="Tahoma"/>
          <w:sz w:val="22"/>
          <w:szCs w:val="22"/>
        </w:rPr>
        <w:t>:</w:t>
        <w:tab/>
      </w:r>
      <w:r>
        <w:rPr>
          <w:rFonts w:cs="Tahoma" w:ascii="Tahoma" w:hAnsi="Tahoma"/>
          <w:bCs/>
          <w:sz w:val="22"/>
          <w:szCs w:val="22"/>
        </w:rPr>
        <w:t>…………………………, nebo</w:t>
      </w:r>
    </w:p>
    <w:p>
      <w:pPr>
        <w:pStyle w:val="Smlouva-slo1"/>
        <w:numPr>
          <w:ilvl w:val="1"/>
          <w:numId w:val="11"/>
        </w:numPr>
        <w:tabs>
          <w:tab w:val="left" w:pos="720" w:leader="none"/>
          <w:tab w:val="left" w:pos="3119" w:leader="none"/>
        </w:tabs>
        <w:spacing w:lineRule="auto" w:line="240" w:before="60" w:after="0"/>
        <w:ind w:hanging="357" w:left="714"/>
        <w:jc w:val="left"/>
        <w:rPr>
          <w:rFonts w:ascii="Tahoma" w:hAnsi="Tahoma" w:cs="Tahoma"/>
          <w:sz w:val="22"/>
          <w:szCs w:val="22"/>
        </w:rPr>
      </w:pPr>
      <w:r>
        <w:rPr>
          <w:rFonts w:cs="Tahoma" w:ascii="Tahoma" w:hAnsi="Tahoma"/>
          <w:bCs/>
          <w:sz w:val="22"/>
          <w:szCs w:val="22"/>
        </w:rPr>
        <w:t>do datové schránky:</w:t>
        <w:tab/>
        <w:t xml:space="preserve">………………………… </w:t>
      </w:r>
      <w:r>
        <w:rPr>
          <w:rFonts w:cs="Tahoma" w:ascii="Tahoma" w:hAnsi="Tahoma"/>
          <w:i/>
          <w:iCs/>
          <w:color w:val="FF0000"/>
          <w:sz w:val="22"/>
          <w:szCs w:val="22"/>
        </w:rPr>
        <w:t>(doplní účastník/zhotovitel)</w:t>
      </w:r>
    </w:p>
    <w:p>
      <w:pPr>
        <w:pStyle w:val="Normal"/>
        <w:numPr>
          <w:ilvl w:val="0"/>
          <w:numId w:val="11"/>
        </w:numPr>
        <w:spacing w:before="120" w:after="0"/>
        <w:jc w:val="both"/>
        <w:rPr>
          <w:rFonts w:ascii="Tahoma" w:hAnsi="Tahoma" w:cs="Tahoma"/>
          <w:iCs/>
          <w:sz w:val="22"/>
          <w:szCs w:val="22"/>
        </w:rPr>
      </w:pPr>
      <w:r>
        <w:rPr>
          <w:rFonts w:cs="Tahoma" w:ascii="Tahoma" w:hAnsi="Tahoma"/>
          <w:sz w:val="22"/>
          <w:szCs w:val="22"/>
        </w:rPr>
        <w:t>Objednatel má právo na odstranění vady opravou; je</w:t>
        <w:noBreakHyphen/>
        <w:t>li vadné plnění podstatným porušením smlouvy, má také právo od smlouvy odstoupit. Právo volby plnění má objednatel.</w:t>
      </w:r>
    </w:p>
    <w:p>
      <w:pPr>
        <w:pStyle w:val="Normal"/>
        <w:numPr>
          <w:ilvl w:val="0"/>
          <w:numId w:val="11"/>
        </w:numPr>
        <w:tabs>
          <w:tab w:val="clear" w:pos="720"/>
        </w:tabs>
        <w:spacing w:before="120" w:after="0"/>
        <w:ind w:hanging="357" w:left="357"/>
        <w:jc w:val="both"/>
        <w:rPr>
          <w:rFonts w:ascii="Tahoma" w:hAnsi="Tahoma" w:cs="Tahoma"/>
          <w:sz w:val="22"/>
          <w:szCs w:val="22"/>
        </w:rPr>
      </w:pPr>
      <w:r>
        <w:rPr>
          <w:rFonts w:cs="Tahoma" w:ascii="Tahoma" w:hAnsi="Tahoma"/>
          <w:sz w:val="22"/>
          <w:szCs w:val="22"/>
        </w:rPr>
        <w:t>Zhotovitel započne s odstraněním vady nejpozději do </w:t>
      </w:r>
      <w:r>
        <w:rPr>
          <w:rFonts w:cs="Tahoma" w:ascii="Tahoma" w:hAnsi="Tahoma"/>
          <w:bCs/>
          <w:sz w:val="22"/>
          <w:szCs w:val="22"/>
        </w:rPr>
        <w:t>5</w:t>
      </w:r>
      <w:r>
        <w:rPr>
          <w:rFonts w:cs="Tahoma" w:ascii="Tahoma" w:hAnsi="Tahoma"/>
          <w:sz w:val="22"/>
          <w:szCs w:val="22"/>
        </w:rPr>
        <w:t xml:space="preserve"> pracovních </w:t>
      </w:r>
      <w:r>
        <w:rPr>
          <w:rFonts w:cs="Tahoma" w:ascii="Tahoma" w:hAnsi="Tahoma"/>
          <w:bCs/>
          <w:sz w:val="22"/>
          <w:szCs w:val="22"/>
        </w:rPr>
        <w:t>dnů</w:t>
      </w:r>
      <w:r>
        <w:rPr>
          <w:rFonts w:cs="Tahoma" w:ascii="Tahoma" w:hAnsi="Tahoma"/>
          <w:sz w:val="22"/>
          <w:szCs w:val="22"/>
        </w:rPr>
        <w:t xml:space="preserve"> od doručení oznámení o vadě, pokud se smluvní strany nedohodnou písemně jinak. V případě havárie započne s odstraněním vady neodkladně, nejpozději do </w:t>
      </w:r>
      <w:r>
        <w:rPr>
          <w:rFonts w:cs="Tahoma" w:ascii="Tahoma" w:hAnsi="Tahoma"/>
          <w:bCs/>
          <w:sz w:val="22"/>
          <w:szCs w:val="22"/>
        </w:rPr>
        <w:t xml:space="preserve">12 hodin </w:t>
      </w:r>
      <w:r>
        <w:rPr>
          <w:rFonts w:cs="Tahoma" w:ascii="Tahoma" w:hAnsi="Tahoma"/>
          <w:sz w:val="22"/>
          <w:szCs w:val="22"/>
        </w:rPr>
        <w:t>od doručení oznámení o vadě. Nezapočne</w:t>
        <w:noBreakHyphen/>
        <w:t>li zhotovitel s odstraněním vady ve stanovené lhůtě, je objednatel oprávněn zajistit odstranění vady na náklady zhotovitele u jiné odborné osoby. Vada bude odstraněna nejpozději do </w:t>
      </w:r>
      <w:r>
        <w:rPr>
          <w:rFonts w:cs="Tahoma" w:ascii="Tahoma" w:hAnsi="Tahoma"/>
          <w:bCs/>
          <w:sz w:val="22"/>
          <w:szCs w:val="22"/>
        </w:rPr>
        <w:t xml:space="preserve">10 pracovních dnů </w:t>
      </w:r>
      <w:r>
        <w:rPr>
          <w:rFonts w:cs="Tahoma" w:ascii="Tahoma" w:hAnsi="Tahoma"/>
          <w:sz w:val="22"/>
          <w:szCs w:val="22"/>
        </w:rPr>
        <w:t>ode dne doručení oznámení o vadě</w:t>
      </w:r>
      <w:r>
        <w:rPr>
          <w:rFonts w:cs="Tahoma" w:ascii="Tahoma" w:hAnsi="Tahoma"/>
          <w:iCs/>
          <w:sz w:val="22"/>
          <w:szCs w:val="22"/>
        </w:rPr>
        <w:t>,</w:t>
      </w:r>
      <w:r>
        <w:rPr>
          <w:rFonts w:cs="Tahoma" w:ascii="Tahoma" w:hAnsi="Tahoma"/>
          <w:sz w:val="22"/>
          <w:szCs w:val="22"/>
        </w:rPr>
        <w:t xml:space="preserve"> v případě havárie nejpozději do </w:t>
      </w:r>
      <w:r>
        <w:rPr>
          <w:rFonts w:cs="Tahoma" w:ascii="Tahoma" w:hAnsi="Tahoma"/>
          <w:bCs/>
          <w:sz w:val="22"/>
          <w:szCs w:val="22"/>
        </w:rPr>
        <w:t>24</w:t>
      </w:r>
      <w:r>
        <w:rPr>
          <w:rFonts w:cs="Tahoma" w:ascii="Tahoma" w:hAnsi="Tahoma"/>
          <w:b/>
          <w:sz w:val="22"/>
          <w:szCs w:val="22"/>
        </w:rPr>
        <w:t xml:space="preserve"> </w:t>
      </w:r>
      <w:r>
        <w:rPr>
          <w:rFonts w:cs="Tahoma" w:ascii="Tahoma" w:hAnsi="Tahoma"/>
          <w:bCs/>
          <w:sz w:val="22"/>
          <w:szCs w:val="22"/>
        </w:rPr>
        <w:t xml:space="preserve">hodin </w:t>
      </w:r>
      <w:r>
        <w:rPr>
          <w:rFonts w:cs="Tahoma" w:ascii="Tahoma" w:hAnsi="Tahoma"/>
          <w:sz w:val="22"/>
          <w:szCs w:val="22"/>
        </w:rPr>
        <w:t>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pPr>
        <w:pStyle w:val="Normal"/>
        <w:numPr>
          <w:ilvl w:val="0"/>
          <w:numId w:val="11"/>
        </w:numPr>
        <w:tabs>
          <w:tab w:val="clear" w:pos="720"/>
        </w:tabs>
        <w:spacing w:before="120" w:after="0"/>
        <w:ind w:hanging="357" w:left="357"/>
        <w:jc w:val="both"/>
        <w:rPr>
          <w:rFonts w:ascii="Tahoma" w:hAnsi="Tahoma" w:cs="Tahoma"/>
          <w:b/>
          <w:sz w:val="22"/>
          <w:szCs w:val="22"/>
        </w:rPr>
      </w:pPr>
      <w:r>
        <w:rPr>
          <w:rFonts w:cs="Tahoma" w:ascii="Tahoma" w:hAnsi="Tahoma"/>
          <w:sz w:val="22"/>
          <w:szCs w:val="22"/>
        </w:rPr>
        <w:t>Provedenou opravu vady zhotovitel objednateli předá písemně. Na provedenou opravu poskytne zhotovitel záruku za jakost v délce shodné s délkou sjednané záruky na dílo dle této smlouvy.</w:t>
      </w:r>
    </w:p>
    <w:p>
      <w:pPr>
        <w:pStyle w:val="Normal"/>
        <w:keepNext w:val="true"/>
        <w:spacing w:before="360" w:after="0"/>
        <w:jc w:val="center"/>
        <w:rPr>
          <w:rFonts w:ascii="Tahoma" w:hAnsi="Tahoma" w:cs="Tahoma"/>
          <w:b/>
          <w:sz w:val="22"/>
          <w:szCs w:val="22"/>
        </w:rPr>
      </w:pPr>
      <w:r>
        <w:rPr>
          <w:rFonts w:cs="Tahoma" w:ascii="Tahoma" w:hAnsi="Tahoma"/>
          <w:b/>
          <w:sz w:val="22"/>
          <w:szCs w:val="22"/>
        </w:rPr>
        <w:t>XIII.</w:t>
        <w:br/>
        <w:t>Vlastnické právo, nebezpečí škody</w:t>
      </w:r>
    </w:p>
    <w:p>
      <w:pPr>
        <w:pStyle w:val="Smlouva-slo1"/>
        <w:numPr>
          <w:ilvl w:val="0"/>
          <w:numId w:val="12"/>
        </w:numPr>
        <w:spacing w:lineRule="auto" w:line="240"/>
        <w:rPr>
          <w:rFonts w:ascii="Tahoma" w:hAnsi="Tahoma" w:cs="Tahoma"/>
          <w:sz w:val="22"/>
          <w:szCs w:val="22"/>
        </w:rPr>
      </w:pPr>
      <w:r>
        <w:rPr>
          <w:rFonts w:cs="Tahoma" w:ascii="Tahoma" w:hAnsi="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pPr>
        <w:pStyle w:val="Smlouva-slo1"/>
        <w:numPr>
          <w:ilvl w:val="0"/>
          <w:numId w:val="12"/>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 učinit veškerá opatření potřebná k odvrácení škody nebo k jejímu zmírnění.</w:t>
      </w:r>
    </w:p>
    <w:p>
      <w:pPr>
        <w:pStyle w:val="Smlouva-slo1"/>
        <w:numPr>
          <w:ilvl w:val="0"/>
          <w:numId w:val="12"/>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 nahradit objednateli v plné výši škodu, která vznikla při realizaci a užívání díla v souvislosti nebo jako důsledek porušení povinností a závazků zhotovitele dle této smlouvy.</w:t>
      </w:r>
    </w:p>
    <w:p>
      <w:pPr>
        <w:pStyle w:val="Smlouva-slo1"/>
        <w:numPr>
          <w:ilvl w:val="0"/>
          <w:numId w:val="12"/>
        </w:numPr>
        <w:tabs>
          <w:tab w:val="clear" w:pos="720"/>
        </w:tabs>
        <w:spacing w:lineRule="auto" w:line="240"/>
        <w:ind w:hanging="357" w:left="357"/>
        <w:rPr>
          <w:rFonts w:ascii="Tahoma" w:hAnsi="Tahoma" w:cs="Tahoma"/>
          <w:sz w:val="22"/>
          <w:szCs w:val="22"/>
        </w:rPr>
      </w:pPr>
      <w:r>
        <w:rPr>
          <w:rFonts w:cs="Tahoma" w:ascii="Tahoma" w:hAnsi="Tahoma"/>
          <w:sz w:val="22"/>
          <w:szCs w:val="22"/>
        </w:rPr>
        <w:t>Zhotovitel se zavazuje, že po celou dobu realizace d</w:t>
      </w:r>
      <w:r>
        <w:rPr>
          <w:rFonts w:cs="Tahoma" w:ascii="Tahoma" w:hAnsi="Tahoma"/>
          <w:sz w:val="22"/>
          <w:szCs w:val="22"/>
          <w:shd w:fill="auto" w:val="clear"/>
        </w:rPr>
        <w:t>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2 mil. Kč. Pojištění musí obsahovat krytí škod způsobené na majetku a zdraví třetích osob.</w:t>
      </w:r>
    </w:p>
    <w:p>
      <w:pPr>
        <w:pStyle w:val="Smlouva-slo1"/>
        <w:numPr>
          <w:ilvl w:val="0"/>
          <w:numId w:val="12"/>
        </w:numPr>
        <w:tabs>
          <w:tab w:val="clear" w:pos="720"/>
        </w:tabs>
        <w:spacing w:lineRule="auto" w:line="240"/>
        <w:ind w:hanging="357" w:left="357"/>
        <w:rPr>
          <w:rFonts w:ascii="Tahoma" w:hAnsi="Tahoma" w:cs="Tahoma"/>
          <w:sz w:val="22"/>
          <w:szCs w:val="22"/>
        </w:rPr>
      </w:pPr>
      <w:r>
        <w:rPr>
          <w:rFonts w:cs="Tahoma" w:ascii="Tahoma" w:hAnsi="Tahoma"/>
          <w:sz w:val="22"/>
          <w:szCs w:val="22"/>
        </w:rPr>
        <w:t>Zhotovitel je povinen předat objednateli při podpisu této smlouvy a dále na vyžádání objednatelem kdykoliv v průběhu provádění díla 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sublimity plnění a výši spoluúčasti). Certifikát dle předchozí věty nesmí být starší jednoho měsíce.</w:t>
      </w:r>
    </w:p>
    <w:p>
      <w:pPr>
        <w:pStyle w:val="Normal"/>
        <w:keepNext w:val="true"/>
        <w:spacing w:before="360" w:after="0"/>
        <w:jc w:val="center"/>
        <w:rPr>
          <w:rFonts w:ascii="Tahoma" w:hAnsi="Tahoma" w:cs="Tahoma"/>
          <w:b/>
          <w:sz w:val="22"/>
          <w:szCs w:val="22"/>
        </w:rPr>
      </w:pPr>
      <w:r>
        <w:rPr>
          <w:rFonts w:cs="Tahoma" w:ascii="Tahoma" w:hAnsi="Tahoma"/>
          <w:b/>
          <w:sz w:val="22"/>
          <w:szCs w:val="22"/>
        </w:rPr>
        <w:t>XIV.</w:t>
        <w:br/>
        <w:t>Sankční ujednání</w:t>
      </w:r>
    </w:p>
    <w:p>
      <w:pPr>
        <w:pStyle w:val="paragraph"/>
        <w:spacing w:beforeAutospacing="0" w:before="0" w:afterAutospacing="0" w:after="0"/>
        <w:ind w:hanging="915" w:left="915"/>
        <w:jc w:val="both"/>
        <w:textAlignment w:val="baseline"/>
        <w:rPr>
          <w:rFonts w:ascii="Segoe UI" w:hAnsi="Segoe UI" w:cs="Segoe UI"/>
          <w:color w:val="FF0000"/>
          <w:sz w:val="18"/>
          <w:szCs w:val="18"/>
        </w:rPr>
      </w:pPr>
      <w:r>
        <w:rPr>
          <w:rFonts w:cs="Segoe UI" w:ascii="Segoe UI" w:hAnsi="Segoe UI"/>
          <w:color w:val="FF0000"/>
          <w:sz w:val="18"/>
          <w:szCs w:val="18"/>
        </w:rPr>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sz w:val="22"/>
          <w:szCs w:val="22"/>
        </w:rPr>
        <w:t xml:space="preserve">V případě, že bude zhotovitel v prodlení s provedením díla v době plnění dle čl. IV odst. 1 této smlouvy, je povinen zaplatit objednateli smluvní pokutu </w:t>
      </w:r>
      <w:r>
        <w:rPr>
          <w:rFonts w:cs="Tahoma" w:ascii="Tahoma" w:hAnsi="Tahoma"/>
          <w:color w:val="000000"/>
          <w:sz w:val="22"/>
          <w:szCs w:val="22"/>
        </w:rPr>
        <w:t>ve výši 0,05 % z ceny za dílo bez DPH za každý i započatý den prodlení.</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zhotovitel neodstraní všechny drobné vady a nedodělky, s nimiž bylo dílo převzato, ve lhůtě dle čl. XI odst. 6 této smlouvy, je povinen zaplatit objednateli smluvní pokutu ve výši 0,01 % z ceny za dílo bez DPH za každý i započatý den prodlení.</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Pro případ prodlení se zaplacením ceny za dílo sjednávají smluvní strany úrok z prodlení ve výši stanovené občanskoprávními předpisy.</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color w:val="000000"/>
          <w:sz w:val="22"/>
          <w:szCs w:val="22"/>
        </w:rPr>
        <w:t>V případě prodlení s vyklizením a vyčištěním staveniště ve lhůtě dle čl. VIII odst. 6 této smlouvy je zhotovitel povinen zaplatit objednateli smluvní pokutu ve výši 0,05 % z </w:t>
      </w:r>
      <w:r>
        <w:rPr>
          <w:rFonts w:cs="Tahoma" w:ascii="Tahoma" w:hAnsi="Tahoma"/>
          <w:sz w:val="22"/>
          <w:szCs w:val="22"/>
        </w:rPr>
        <w:t>ceny za dílo bez DPH za každý i započatý den prodlení.</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sz w:val="22"/>
          <w:szCs w:val="22"/>
        </w:rPr>
        <w:t>V případě</w:t>
      </w:r>
      <w:r>
        <w:rPr>
          <w:rFonts w:cs="Tahoma" w:ascii="Tahoma" w:hAnsi="Tahoma"/>
          <w:color w:val="000000"/>
          <w:sz w:val="22"/>
          <w:szCs w:val="22"/>
        </w:rPr>
        <w:t xml:space="preserve"> porušení povinnosti zhotovitele plnit  požadavky dotčených orgánů a organizací související s realizací stavby, je zhotovitel povinen zaplatit objednateli smluvní pokutu ve výši 0,01 % z ceny za dílo bez DPH </w:t>
      </w:r>
      <w:r>
        <w:rPr>
          <w:rFonts w:cs="Tahoma" w:ascii="Tahoma" w:hAnsi="Tahoma"/>
          <w:sz w:val="22"/>
          <w:szCs w:val="22"/>
        </w:rPr>
        <w:t>za každý zjištěný případ.</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sz w:val="22"/>
          <w:szCs w:val="22"/>
        </w:rPr>
        <w:t>V případě porušení předpisů týkajících se BOZP (zejména zákona č. 309/2006 Sb., stavebního zákona, nařízení vlády č. 591/2006</w:t>
      </w:r>
      <w:r>
        <w:rPr>
          <w:rFonts w:cs="Tahoma" w:ascii="Tahoma" w:hAnsi="Tahoma"/>
          <w:color w:val="000000"/>
          <w:sz w:val="22"/>
          <w:szCs w:val="22"/>
        </w:rPr>
        <w:t>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 za každý zjištěný případ.</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prodlení zhotovitele s odstraněním vady ve lhůtě dle čl. XII odst. 7 této smlouvy je zhotovitel povinen zaplatit objednateli smluvní pokutu ve výši 0,05 % z ceny za dílo bez DPH za každý i započatý den prodlení.</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zhotovitel poruší kteroukoliv povinnost stanovenou v čl. XIII odst. 4 nebo 5 této smlouvy, je zhotovitel povinen zaplatit objednateli smluvní pokutu ve výši 5.000 Kč za každý zjištěný případ a každý den prodlení.</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zhotovitel poruší jakoukoliv svou povinnost stanovenou v čl. IX odst. 1 písm. f), 9 nebo 10 nebo 27 této smlouvy, je povinen zaplatit objednateli smluvní pokutu ve výši 10.000 Kč za každý zjištěný případ.</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zhotovitel poruší svou povinnost stanovenou v čl. IX odst. 12 této smlouvy, je povinen zaplatit objednateli smluvní pokutu ve výši 2.000 Kč za každý zjištěný případ.</w:t>
      </w:r>
    </w:p>
    <w:p>
      <w:pPr>
        <w:pStyle w:val="Normal"/>
        <w:numPr>
          <w:ilvl w:val="0"/>
          <w:numId w:val="14"/>
        </w:numPr>
        <w:tabs>
          <w:tab w:val="clear" w:pos="720"/>
        </w:tabs>
        <w:spacing w:before="120" w:after="0"/>
        <w:jc w:val="both"/>
        <w:rPr>
          <w:color w:val="000000"/>
        </w:rPr>
      </w:pPr>
      <w:r>
        <w:rPr>
          <w:rFonts w:cs="Tahoma" w:ascii="Tahoma" w:hAnsi="Tahoma"/>
          <w:color w:val="000000"/>
          <w:sz w:val="22"/>
          <w:szCs w:val="22"/>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povinen zaplatit objednateli smluvní pokutu ve výši 2.000 Kč za každý zjištěný případ.</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color w:val="000000"/>
          <w:sz w:val="22"/>
          <w:szCs w:val="22"/>
        </w:rPr>
        <w:t>V případě, že závazek provést dílo zanikne před řádným ukončením díla, nezaniká nárok na smluvní pokutu, pokud vznikl dřívějším porušením povinnosti. Zánik</w:t>
      </w:r>
      <w:r>
        <w:rPr>
          <w:rFonts w:cs="Tahoma" w:ascii="Tahoma" w:hAnsi="Tahoma"/>
          <w:sz w:val="22"/>
          <w:szCs w:val="22"/>
        </w:rPr>
        <w:t xml:space="preserve"> závazku pozdním splněním neznamená zánik nároku na smluvní pokutu za prodlení s plněním.</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sz w:val="22"/>
          <w:szCs w:val="22"/>
        </w:rPr>
        <w:t>Sjednané smluvní pokuty zaplatí povinná strana nezávisle na zavinění a na tom, zda a v jaké výši vznikne druhé straně škoda.</w:t>
      </w:r>
    </w:p>
    <w:p>
      <w:pPr>
        <w:pStyle w:val="Normal"/>
        <w:numPr>
          <w:ilvl w:val="0"/>
          <w:numId w:val="14"/>
        </w:numPr>
        <w:tabs>
          <w:tab w:val="clear" w:pos="720"/>
        </w:tabs>
        <w:spacing w:before="120" w:after="0"/>
        <w:jc w:val="both"/>
        <w:rPr>
          <w:rFonts w:ascii="Tahoma" w:hAnsi="Tahoma" w:cs="Tahoma"/>
          <w:sz w:val="22"/>
          <w:szCs w:val="22"/>
        </w:rPr>
      </w:pPr>
      <w:r>
        <w:rPr>
          <w:rFonts w:cs="Tahoma" w:ascii="Tahoma" w:hAnsi="Tahoma"/>
          <w:sz w:val="22"/>
          <w:szCs w:val="22"/>
        </w:rPr>
        <w:t>Smluvní pokuty se nezapočítávají na náhradu případně vzniklé škody. Náhradu škody lze vymáhat samostatně vedle smluvní pokuty v plné výši.</w:t>
      </w:r>
    </w:p>
    <w:p>
      <w:pPr>
        <w:pStyle w:val="Normal"/>
        <w:keepNext w:val="true"/>
        <w:spacing w:before="360" w:after="0"/>
        <w:jc w:val="center"/>
        <w:rPr>
          <w:rFonts w:ascii="Tahoma" w:hAnsi="Tahoma" w:cs="Tahoma"/>
          <w:b/>
          <w:bCs/>
          <w:sz w:val="22"/>
          <w:szCs w:val="22"/>
        </w:rPr>
      </w:pPr>
      <w:r>
        <w:rPr>
          <w:rFonts w:cs="Tahoma" w:ascii="Tahoma" w:hAnsi="Tahoma"/>
          <w:b/>
          <w:sz w:val="22"/>
          <w:szCs w:val="22"/>
        </w:rPr>
        <w:t>XV</w:t>
      </w:r>
      <w:r>
        <w:rPr>
          <w:rFonts w:cs="Tahoma" w:ascii="Tahoma" w:hAnsi="Tahoma"/>
          <w:b/>
          <w:bCs/>
          <w:sz w:val="22"/>
          <w:szCs w:val="22"/>
        </w:rPr>
        <w:t>.</w:t>
        <w:br/>
        <w:t>Sankce vůči Rusku a Bělorusku</w:t>
      </w:r>
    </w:p>
    <w:p>
      <w:pPr>
        <w:pStyle w:val="paragraph"/>
        <w:numPr>
          <w:ilvl w:val="0"/>
          <w:numId w:val="33"/>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cs="Tahoma" w:ascii="Tahoma" w:hAnsi="Tahoma"/>
          <w:sz w:val="22"/>
          <w:szCs w:val="22"/>
        </w:rPr>
        <w:t> </w:t>
      </w:r>
    </w:p>
    <w:p>
      <w:pPr>
        <w:pStyle w:val="paragraph"/>
        <w:numPr>
          <w:ilvl w:val="0"/>
          <w:numId w:val="34"/>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r>
        <w:rPr>
          <w:rStyle w:val="eop"/>
          <w:rFonts w:cs="Tahoma" w:ascii="Tahoma" w:hAnsi="Tahoma"/>
          <w:sz w:val="22"/>
          <w:szCs w:val="22"/>
        </w:rPr>
        <w:t> </w:t>
      </w:r>
    </w:p>
    <w:p>
      <w:pPr>
        <w:pStyle w:val="paragraph"/>
        <w:numPr>
          <w:ilvl w:val="0"/>
          <w:numId w:val="35"/>
        </w:numPr>
        <w:tabs>
          <w:tab w:val="clear" w:pos="720"/>
        </w:tabs>
        <w:spacing w:beforeAutospacing="0" w:before="120" w:afterAutospacing="0" w:after="0"/>
        <w:ind w:hanging="425" w:left="851"/>
        <w:jc w:val="both"/>
        <w:textAlignment w:val="baseline"/>
        <w:rPr>
          <w:rFonts w:ascii="Tahoma" w:hAnsi="Tahoma" w:cs="Tahoma"/>
          <w:sz w:val="22"/>
          <w:szCs w:val="22"/>
        </w:rPr>
      </w:pPr>
      <w:r>
        <w:rPr>
          <w:rStyle w:val="normaltextrun"/>
          <w:rFonts w:cs="Tahoma" w:ascii="Tahoma" w:hAnsi="Tahoma"/>
          <w:sz w:val="22"/>
          <w:szCs w:val="22"/>
        </w:rPr>
        <w:t>ruským státním příslušníkem, fyzickou nebo právnickou osobou se sídlem v Rusku,</w:t>
      </w:r>
      <w:r>
        <w:rPr>
          <w:rStyle w:val="eop"/>
          <w:rFonts w:cs="Tahoma" w:ascii="Tahoma" w:hAnsi="Tahoma"/>
          <w:sz w:val="22"/>
          <w:szCs w:val="22"/>
        </w:rPr>
        <w:t> </w:t>
      </w:r>
    </w:p>
    <w:p>
      <w:pPr>
        <w:pStyle w:val="paragraph"/>
        <w:numPr>
          <w:ilvl w:val="0"/>
          <w:numId w:val="35"/>
        </w:numPr>
        <w:tabs>
          <w:tab w:val="clear" w:pos="720"/>
        </w:tabs>
        <w:spacing w:beforeAutospacing="0" w:before="0" w:afterAutospacing="0" w:after="0"/>
        <w:ind w:hanging="425" w:left="851"/>
        <w:jc w:val="both"/>
        <w:textAlignment w:val="baseline"/>
        <w:rPr>
          <w:rFonts w:ascii="Tahoma" w:hAnsi="Tahoma" w:cs="Tahoma"/>
          <w:sz w:val="22"/>
          <w:szCs w:val="22"/>
        </w:rPr>
      </w:pPr>
      <w:r>
        <w:rPr>
          <w:rStyle w:val="normaltextrun"/>
          <w:rFonts w:cs="Tahoma" w:ascii="Tahoma" w:hAnsi="Tahoma"/>
          <w:sz w:val="22"/>
          <w:szCs w:val="22"/>
        </w:rPr>
        <w:t>právnickou osobou, která je z více než 50 % přímo či nepřímo vlastněna některou z osob dle předešlé odrážky, nebo</w:t>
      </w:r>
      <w:r>
        <w:rPr>
          <w:rStyle w:val="eop"/>
          <w:rFonts w:cs="Tahoma" w:ascii="Tahoma" w:hAnsi="Tahoma"/>
          <w:sz w:val="22"/>
          <w:szCs w:val="22"/>
        </w:rPr>
        <w:t> </w:t>
      </w:r>
    </w:p>
    <w:p>
      <w:pPr>
        <w:pStyle w:val="paragraph"/>
        <w:numPr>
          <w:ilvl w:val="0"/>
          <w:numId w:val="36"/>
        </w:numPr>
        <w:tabs>
          <w:tab w:val="clear" w:pos="720"/>
        </w:tabs>
        <w:spacing w:beforeAutospacing="0" w:before="120" w:afterAutospacing="0" w:after="0"/>
        <w:ind w:hanging="425" w:left="851"/>
        <w:jc w:val="both"/>
        <w:textAlignment w:val="baseline"/>
        <w:rPr>
          <w:rFonts w:ascii="Tahoma" w:hAnsi="Tahoma" w:cs="Tahoma"/>
          <w:sz w:val="22"/>
          <w:szCs w:val="22"/>
        </w:rPr>
      </w:pPr>
      <w:r>
        <w:rPr>
          <w:rStyle w:val="normaltextrun"/>
          <w:rFonts w:cs="Tahoma" w:ascii="Tahoma" w:hAnsi="Tahoma"/>
          <w:sz w:val="22"/>
          <w:szCs w:val="22"/>
        </w:rPr>
        <w:t>fyzickou nebo právnickou osobou, která jedná jménem nebo na pokyn některé z osob uvedených v předešlých odrážkách.</w:t>
      </w:r>
      <w:r>
        <w:rPr>
          <w:rStyle w:val="eop"/>
          <w:rFonts w:cs="Tahoma" w:ascii="Tahoma" w:hAnsi="Tahoma"/>
          <w:sz w:val="22"/>
          <w:szCs w:val="22"/>
        </w:rPr>
        <w:t> </w:t>
      </w:r>
    </w:p>
    <w:p>
      <w:pPr>
        <w:pStyle w:val="paragraph"/>
        <w:spacing w:beforeAutospacing="0" w:before="120" w:afterAutospacing="0" w:after="0"/>
        <w:ind w:left="425"/>
        <w:jc w:val="both"/>
        <w:textAlignment w:val="baseline"/>
        <w:rPr>
          <w:rFonts w:ascii="Segoe UI" w:hAnsi="Segoe UI" w:cs="Segoe UI"/>
          <w:sz w:val="22"/>
          <w:szCs w:val="22"/>
        </w:rPr>
      </w:pPr>
      <w:r>
        <w:rPr>
          <w:rStyle w:val="normaltextrun"/>
          <w:rFonts w:cs="Tahoma" w:ascii="Tahoma" w:hAnsi="Tahoma"/>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r>
        <w:rPr>
          <w:rStyle w:val="eop"/>
          <w:rFonts w:cs="Tahoma" w:ascii="Tahoma" w:hAnsi="Tahoma"/>
          <w:sz w:val="22"/>
          <w:szCs w:val="22"/>
        </w:rPr>
        <w:t> </w:t>
      </w:r>
    </w:p>
    <w:p>
      <w:pPr>
        <w:pStyle w:val="paragraph"/>
        <w:numPr>
          <w:ilvl w:val="0"/>
          <w:numId w:val="37"/>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Bude-li kterékoliv z nařízení v budoucnu doplněno či nahrazeno jinou legislativou obdobného významu, uvedená povinnost se uplatní obdobně.</w:t>
      </w:r>
      <w:r>
        <w:rPr>
          <w:rStyle w:val="eop"/>
          <w:rFonts w:cs="Tahoma" w:ascii="Tahoma" w:hAnsi="Tahoma"/>
          <w:sz w:val="22"/>
          <w:szCs w:val="22"/>
        </w:rPr>
        <w:t> </w:t>
      </w:r>
    </w:p>
    <w:p>
      <w:pPr>
        <w:pStyle w:val="paragraph"/>
        <w:numPr>
          <w:ilvl w:val="0"/>
          <w:numId w:val="38"/>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Pr>
          <w:rStyle w:val="eop"/>
          <w:rFonts w:cs="Tahoma" w:ascii="Tahoma" w:hAnsi="Tahoma"/>
          <w:sz w:val="22"/>
          <w:szCs w:val="22"/>
        </w:rPr>
        <w:t> </w:t>
      </w:r>
    </w:p>
    <w:p>
      <w:pPr>
        <w:pStyle w:val="paragraph"/>
        <w:numPr>
          <w:ilvl w:val="0"/>
          <w:numId w:val="39"/>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cs="Tahoma" w:ascii="Tahoma" w:hAnsi="Tahoma"/>
          <w:sz w:val="22"/>
          <w:szCs w:val="22"/>
        </w:rPr>
        <w:t> </w:t>
      </w:r>
    </w:p>
    <w:p>
      <w:pPr>
        <w:pStyle w:val="paragraph"/>
        <w:numPr>
          <w:ilvl w:val="0"/>
          <w:numId w:val="40"/>
        </w:numPr>
        <w:tabs>
          <w:tab w:val="clear" w:pos="720"/>
        </w:tabs>
        <w:spacing w:beforeAutospacing="0" w:before="120" w:afterAutospacing="0" w:after="0"/>
        <w:ind w:hanging="425" w:left="425"/>
        <w:jc w:val="both"/>
        <w:textAlignment w:val="baseline"/>
        <w:rPr>
          <w:rFonts w:ascii="Tahoma" w:hAnsi="Tahoma" w:cs="Tahoma"/>
          <w:sz w:val="22"/>
          <w:szCs w:val="22"/>
        </w:rPr>
      </w:pPr>
      <w:r>
        <w:rPr>
          <w:rStyle w:val="normaltextrun"/>
          <w:rFonts w:cs="Tahoma" w:ascii="Tahoma" w:hAnsi="Tahoma"/>
          <w:sz w:val="22"/>
          <w:szCs w:val="22"/>
        </w:rPr>
        <w:t>Dojde-li k porušení pravidel dle odst. 1 a/nebo 2 této smlouvy, je zhotovitel povinen zaplatit objednateli smluvní pokutu ve výši 100.000 Kč, a to za každý jednotlivý případ porušení.</w:t>
      </w:r>
      <w:r>
        <w:rPr>
          <w:rStyle w:val="eop"/>
          <w:rFonts w:cs="Tahoma" w:ascii="Tahoma" w:hAnsi="Tahoma"/>
          <w:sz w:val="22"/>
          <w:szCs w:val="22"/>
        </w:rPr>
        <w:t> </w:t>
      </w:r>
    </w:p>
    <w:p>
      <w:pPr>
        <w:pStyle w:val="Normal"/>
        <w:keepNext w:val="true"/>
        <w:spacing w:before="360" w:after="0"/>
        <w:jc w:val="center"/>
        <w:rPr>
          <w:rFonts w:ascii="Tahoma" w:hAnsi="Tahoma" w:cs="Tahoma"/>
          <w:b/>
          <w:sz w:val="22"/>
          <w:szCs w:val="22"/>
        </w:rPr>
      </w:pPr>
      <w:r>
        <w:rPr>
          <w:rFonts w:cs="Tahoma" w:ascii="Tahoma" w:hAnsi="Tahoma"/>
          <w:b/>
          <w:sz w:val="22"/>
          <w:szCs w:val="22"/>
        </w:rPr>
        <w:t>XVI.</w:t>
        <w:br/>
        <w:t>Zánik smlouvy</w:t>
      </w:r>
    </w:p>
    <w:p>
      <w:pPr>
        <w:pStyle w:val="Smlouva-slo1"/>
        <w:numPr>
          <w:ilvl w:val="0"/>
          <w:numId w:val="13"/>
        </w:numPr>
        <w:tabs>
          <w:tab w:val="clear" w:pos="720"/>
        </w:tabs>
        <w:spacing w:lineRule="auto" w:line="240"/>
        <w:ind w:hanging="357" w:left="357"/>
        <w:rPr>
          <w:rFonts w:ascii="Tahoma" w:hAnsi="Tahoma" w:cs="Tahoma"/>
          <w:sz w:val="22"/>
          <w:szCs w:val="22"/>
        </w:rPr>
      </w:pPr>
      <w:r>
        <w:rPr>
          <w:rFonts w:cs="Tahoma" w:ascii="Tahoma" w:hAnsi="Tahoma"/>
          <w:sz w:val="22"/>
          <w:szCs w:val="22"/>
        </w:rPr>
        <w:t>Smluvní strany mohou ukončit smluvní vztah písemnou dohodou.</w:t>
      </w:r>
    </w:p>
    <w:p>
      <w:pPr>
        <w:pStyle w:val="Smlouva-slo1"/>
        <w:numPr>
          <w:ilvl w:val="0"/>
          <w:numId w:val="13"/>
        </w:numPr>
        <w:tabs>
          <w:tab w:val="clear" w:pos="720"/>
        </w:tabs>
        <w:spacing w:lineRule="auto" w:line="240"/>
        <w:ind w:hanging="357" w:left="357"/>
        <w:rPr>
          <w:rFonts w:ascii="Tahoma" w:hAnsi="Tahoma" w:cs="Tahoma"/>
          <w:sz w:val="22"/>
          <w:szCs w:val="22"/>
        </w:rPr>
      </w:pPr>
      <w:r>
        <w:rPr>
          <w:rFonts w:cs="Tahoma" w:ascii="Tahoma" w:hAnsi="Tahoma"/>
          <w:sz w:val="22"/>
          <w:szCs w:val="22"/>
        </w:rPr>
        <w:t>Smluvní strany jsou oprávněny odstoupit od smlouvy v případě jejího podstatného porušení druhou smluvní stranou, přičemž podstatným porušením smlouvy se rozumí zejména:</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neprovedení díla v době plnění dle čl. IV odst. 1 této smlouvy,</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nepředání kopie pojistné smlouvy na požadované pojištění dle čl. XIII odst. 5 této smlouvy,</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nepřevzetí staveniště zhotovitelem na výzvu objednatele (s výjimkou případů, kdy převzetí brání důvody na straně objednatele),</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nedodržení pokynů objednatele, právních předpisů nebo technických norem týkajících se provádění díla,</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nedodržení smluvních ujednání o záruce za jakost,</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neuhrazení ceny za dílo objednatelem po druhé výzvě zhotovitele k uhrazení dlužné částky, přičemž druhá výzva nesmí následovat dříve než 30 dnů po doručení první výzvy,</w:t>
      </w:r>
    </w:p>
    <w:p>
      <w:pPr>
        <w:pStyle w:val="Smlouva-slo1"/>
        <w:numPr>
          <w:ilvl w:val="0"/>
          <w:numId w:val="20"/>
        </w:numPr>
        <w:tabs>
          <w:tab w:val="clear" w:pos="720"/>
          <w:tab w:val="left" w:pos="714" w:leader="none"/>
        </w:tabs>
        <w:spacing w:lineRule="auto" w:line="240" w:before="60" w:after="0"/>
        <w:ind w:hanging="357" w:left="714"/>
        <w:rPr>
          <w:rFonts w:ascii="Tahoma" w:hAnsi="Tahoma" w:cs="Tahoma"/>
          <w:sz w:val="22"/>
          <w:szCs w:val="22"/>
        </w:rPr>
      </w:pPr>
      <w:r>
        <w:rPr>
          <w:rFonts w:cs="Tahoma" w:ascii="Tahoma" w:hAnsi="Tahoma"/>
          <w:sz w:val="22"/>
          <w:szCs w:val="22"/>
        </w:rPr>
        <w:t>nedodržení jakéhokoliv smluvního ujednání dle čl. IX odst. 10 této smlouvy.</w:t>
      </w:r>
    </w:p>
    <w:p>
      <w:pPr>
        <w:pStyle w:val="Smlouva-slo1"/>
        <w:numPr>
          <w:ilvl w:val="0"/>
          <w:numId w:val="13"/>
        </w:numPr>
        <w:tabs>
          <w:tab w:val="clear" w:pos="720"/>
        </w:tabs>
        <w:spacing w:lineRule="auto" w:line="240"/>
        <w:ind w:hanging="357" w:left="357"/>
        <w:rPr>
          <w:rFonts w:ascii="Tahoma" w:hAnsi="Tahoma" w:cs="Tahoma"/>
          <w:sz w:val="22"/>
          <w:szCs w:val="22"/>
        </w:rPr>
      </w:pPr>
      <w:r>
        <w:rPr>
          <w:rFonts w:cs="Tahoma" w:ascii="Tahoma" w:hAnsi="Tahoma"/>
          <w:sz w:val="22"/>
          <w:szCs w:val="22"/>
        </w:rPr>
        <w:t>Objednatel je dále oprávněn od této smlouvy odstoupit v těchto případech:</w:t>
      </w:r>
    </w:p>
    <w:p>
      <w:pPr>
        <w:pStyle w:val="Normal"/>
        <w:numPr>
          <w:ilvl w:val="0"/>
          <w:numId w:val="27"/>
        </w:numPr>
        <w:tabs>
          <w:tab w:val="clear" w:pos="720"/>
          <w:tab w:val="left" w:pos="714" w:leader="none"/>
        </w:tabs>
        <w:spacing w:before="60" w:after="0"/>
        <w:ind w:hanging="357" w:left="714"/>
        <w:jc w:val="both"/>
        <w:rPr>
          <w:rFonts w:ascii="Tahoma" w:hAnsi="Tahoma" w:cs="Tahoma"/>
          <w:color w:val="000000"/>
          <w:sz w:val="22"/>
          <w:szCs w:val="22"/>
        </w:rPr>
      </w:pPr>
      <w:r>
        <w:rPr>
          <w:rFonts w:cs="Tahoma" w:ascii="Tahoma" w:hAnsi="Tahoma"/>
          <w:color w:val="000000"/>
          <w:sz w:val="22"/>
          <w:szCs w:val="22"/>
        </w:rPr>
        <w:t>dojde</w:t>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pPr>
        <w:pStyle w:val="Normal"/>
        <w:numPr>
          <w:ilvl w:val="0"/>
          <w:numId w:val="27"/>
        </w:numPr>
        <w:tabs>
          <w:tab w:val="left" w:pos="720" w:leader="none"/>
        </w:tabs>
        <w:spacing w:before="60" w:after="0"/>
        <w:ind w:hanging="357" w:left="714"/>
        <w:jc w:val="both"/>
        <w:rPr>
          <w:rFonts w:ascii="Tahoma" w:hAnsi="Tahoma" w:cs="Tahoma"/>
          <w:color w:val="000000"/>
          <w:sz w:val="22"/>
          <w:szCs w:val="22"/>
        </w:rPr>
      </w:pPr>
      <w:r>
        <w:rPr>
          <w:rFonts w:cs="Tahoma" w:ascii="Tahoma" w:hAnsi="Tahoma"/>
          <w:color w:val="000000"/>
          <w:sz w:val="22"/>
          <w:szCs w:val="22"/>
        </w:rPr>
        <w:t>bylo</w:t>
        <w:noBreakHyphen/>
        <w:t>li příslušným soudem rozhodnuto o tom, že zhotovitel je v úpadku ve smyslu zákona č. 182/2006 Sb., o úpadku a způsobech jeho řešení (insolvenční zákon), ve znění pozdějších předpisů (a to bez ohledu na právní moc tohoto rozhodnutí);</w:t>
      </w:r>
    </w:p>
    <w:p>
      <w:pPr>
        <w:pStyle w:val="Normal"/>
        <w:numPr>
          <w:ilvl w:val="0"/>
          <w:numId w:val="27"/>
        </w:numPr>
        <w:tabs>
          <w:tab w:val="left" w:pos="720" w:leader="none"/>
        </w:tabs>
        <w:spacing w:before="60" w:after="0"/>
        <w:ind w:hanging="357" w:left="714"/>
        <w:jc w:val="both"/>
        <w:rPr>
          <w:rFonts w:ascii="Tahoma" w:hAnsi="Tahoma" w:cs="Tahoma"/>
          <w:color w:val="000000"/>
          <w:sz w:val="22"/>
          <w:szCs w:val="22"/>
        </w:rPr>
      </w:pPr>
      <w:r>
        <w:rPr>
          <w:rFonts w:cs="Tahoma" w:ascii="Tahoma" w:hAnsi="Tahoma"/>
          <w:color w:val="000000"/>
          <w:sz w:val="22"/>
          <w:szCs w:val="22"/>
        </w:rPr>
        <w:t>podá</w:t>
        <w:noBreakHyphen/>
        <w:t>li zhotovitel sám na sebe insolvenční návrh.</w:t>
      </w:r>
    </w:p>
    <w:p>
      <w:pPr>
        <w:pStyle w:val="Smlouva-slo1"/>
        <w:numPr>
          <w:ilvl w:val="0"/>
          <w:numId w:val="13"/>
        </w:numPr>
        <w:tabs>
          <w:tab w:val="clear" w:pos="720"/>
        </w:tabs>
        <w:spacing w:lineRule="auto" w:line="240"/>
        <w:ind w:hanging="357" w:left="357"/>
        <w:rPr>
          <w:rFonts w:ascii="Tahoma" w:hAnsi="Tahoma" w:cs="Tahoma"/>
          <w:color w:val="000000"/>
          <w:sz w:val="22"/>
          <w:szCs w:val="22"/>
        </w:rPr>
      </w:pPr>
      <w:r>
        <w:rPr>
          <w:rFonts w:cs="Tahoma" w:ascii="Tahoma" w:hAnsi="Tahoma"/>
          <w:sz w:val="22"/>
          <w:szCs w:val="22"/>
        </w:rPr>
        <w:t>Odstoupením</w:t>
      </w:r>
      <w:r>
        <w:rPr>
          <w:rFonts w:cs="Tahoma" w:ascii="Tahoma" w:hAnsi="Tahoma"/>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pPr>
        <w:pStyle w:val="Smlouva-slo1"/>
        <w:numPr>
          <w:ilvl w:val="0"/>
          <w:numId w:val="13"/>
        </w:numPr>
        <w:tabs>
          <w:tab w:val="clear" w:pos="720"/>
        </w:tabs>
        <w:spacing w:lineRule="auto" w:line="240"/>
        <w:ind w:hanging="357" w:left="357"/>
        <w:rPr>
          <w:rFonts w:ascii="Tahoma" w:hAnsi="Tahoma" w:cs="Tahoma"/>
          <w:sz w:val="22"/>
          <w:szCs w:val="22"/>
        </w:rPr>
      </w:pPr>
      <w:r>
        <w:rPr>
          <w:rFonts w:cs="Tahoma" w:ascii="Tahoma" w:hAnsi="Tahoma"/>
          <w:sz w:val="22"/>
          <w:szCs w:val="22"/>
        </w:rPr>
        <w:t>Pro účely této smlouvy se pod pojmem „bez zbytečného odkladu“ dle § 2002 občanského zákoníku rozumí „nejpozději do 14 dnů“.</w:t>
      </w:r>
    </w:p>
    <w:p>
      <w:pPr>
        <w:pStyle w:val="Normal"/>
        <w:keepNext w:val="true"/>
        <w:spacing w:before="360" w:after="0"/>
        <w:jc w:val="center"/>
        <w:rPr>
          <w:rFonts w:ascii="Tahoma" w:hAnsi="Tahoma" w:cs="Tahoma"/>
          <w:b/>
          <w:sz w:val="22"/>
          <w:szCs w:val="22"/>
        </w:rPr>
      </w:pPr>
      <w:r>
        <w:rPr>
          <w:rFonts w:cs="Tahoma" w:ascii="Tahoma" w:hAnsi="Tahoma"/>
          <w:b/>
          <w:sz w:val="22"/>
          <w:szCs w:val="22"/>
        </w:rPr>
        <w:t>XVII.</w:t>
        <w:br/>
        <w:t>Závěrečná ujednání</w:t>
      </w:r>
    </w:p>
    <w:p>
      <w:pPr>
        <w:pStyle w:val="Smlouva-slo1"/>
        <w:numPr>
          <w:ilvl w:val="0"/>
          <w:numId w:val="15"/>
        </w:numPr>
        <w:tabs>
          <w:tab w:val="clear" w:pos="720"/>
        </w:tabs>
        <w:spacing w:lineRule="auto" w:line="240"/>
        <w:rPr>
          <w:rFonts w:ascii="Tahoma" w:hAnsi="Tahoma" w:cs="Tahoma"/>
          <w:sz w:val="22"/>
          <w:szCs w:val="22"/>
        </w:rPr>
      </w:pPr>
      <w:r>
        <w:rPr>
          <w:rFonts w:cs="Tahoma" w:ascii="Tahoma" w:hAnsi="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pPr>
        <w:pStyle w:val="Smlouva-slo1"/>
        <w:numPr>
          <w:ilvl w:val="0"/>
          <w:numId w:val="15"/>
        </w:numPr>
        <w:spacing w:lineRule="auto" w:line="240"/>
        <w:rPr>
          <w:rFonts w:ascii="Tahoma" w:hAnsi="Tahoma" w:cs="Tahoma"/>
          <w:sz w:val="22"/>
          <w:szCs w:val="22"/>
        </w:rPr>
      </w:pPr>
      <w:r>
        <w:rPr>
          <w:rFonts w:cs="Tahoma" w:ascii="Tahoma" w:hAnsi="Tahoma"/>
          <w:sz w:val="22"/>
          <w:szCs w:val="22"/>
        </w:rPr>
        <w:t>Tato smlouva nabývá platnosti dnem jejího podpisu oběma smluvními stranami a účinnosti dnem, kdy vyjádření souhlasu s obsahem návrhu smlouvy dojde druhé smluvní straně, nestanoví</w:t>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pPr>
        <w:pStyle w:val="Smlouva-slo1"/>
        <w:numPr>
          <w:ilvl w:val="0"/>
          <w:numId w:val="15"/>
        </w:numPr>
        <w:spacing w:lineRule="auto" w:line="240"/>
        <w:rPr>
          <w:rFonts w:ascii="Tahoma" w:hAnsi="Tahoma" w:cs="Tahoma"/>
          <w:sz w:val="22"/>
          <w:szCs w:val="22"/>
        </w:rPr>
      </w:pPr>
      <w:r>
        <w:rPr>
          <w:rFonts w:cs="Tahoma" w:ascii="Tahoma" w:hAnsi="Tahoma"/>
          <w:sz w:val="22"/>
          <w:szCs w:val="22"/>
        </w:rPr>
        <w:t>Je-li tato smlouva uzavřena v listinné podobě, je vyhotove</w:t>
      </w:r>
      <w:r>
        <w:rPr>
          <w:rFonts w:cs="Tahoma" w:ascii="Tahoma" w:hAnsi="Tahoma"/>
          <w:color w:val="000000"/>
          <w:sz w:val="22"/>
          <w:szCs w:val="22"/>
        </w:rPr>
        <w:t>na ve dvou stejnopisech s platností originálu, přičemž každá ze smluvních stran obdrží jedno vyhotovení. Je-li tato smlouva uzavřena elektronicky, obdrží obě smluvní strany její elek</w:t>
      </w:r>
      <w:r>
        <w:rPr>
          <w:rFonts w:cs="Tahoma" w:ascii="Tahoma" w:hAnsi="Tahoma"/>
          <w:sz w:val="22"/>
          <w:szCs w:val="22"/>
        </w:rPr>
        <w:t xml:space="preserve">tronický originál opatřený elektronickými podpisy. </w:t>
      </w:r>
    </w:p>
    <w:p>
      <w:pPr>
        <w:pStyle w:val="Smlouva-slo1"/>
        <w:numPr>
          <w:ilvl w:val="0"/>
          <w:numId w:val="15"/>
        </w:numPr>
        <w:tabs>
          <w:tab w:val="clear" w:pos="720"/>
        </w:tabs>
        <w:spacing w:lineRule="auto" w:line="240"/>
        <w:rPr>
          <w:rFonts w:ascii="Tahoma" w:hAnsi="Tahoma" w:cs="Tahoma"/>
          <w:sz w:val="22"/>
          <w:szCs w:val="22"/>
        </w:rPr>
      </w:pPr>
      <w:r>
        <w:rPr>
          <w:rFonts w:cs="Tahoma" w:ascii="Tahoma" w:hAnsi="Tahoma"/>
          <w:sz w:val="22"/>
          <w:szCs w:val="22"/>
        </w:rPr>
        <w:t>Zhotovitel nemůže bez souhlasu objednatele postoupit svá práva a povinnosti plynoucí z této smlouvy třetí osobě.</w:t>
      </w:r>
    </w:p>
    <w:p>
      <w:pPr>
        <w:pStyle w:val="Smlouva-slo1"/>
        <w:numPr>
          <w:ilvl w:val="0"/>
          <w:numId w:val="15"/>
        </w:numPr>
        <w:tabs>
          <w:tab w:val="clear" w:pos="720"/>
        </w:tabs>
        <w:spacing w:lineRule="auto" w:line="240"/>
        <w:rPr>
          <w:rFonts w:ascii="Tahoma" w:hAnsi="Tahoma" w:cs="Tahoma"/>
          <w:sz w:val="22"/>
          <w:szCs w:val="22"/>
        </w:rPr>
      </w:pPr>
      <w:r>
        <w:rPr>
          <w:rFonts w:cs="Tahoma" w:ascii="Tahoma" w:hAnsi="Tahoma"/>
          <w:sz w:val="22"/>
          <w:szCs w:val="22"/>
        </w:rPr>
        <w:t>Smluvní strany shodně prohlašují, že si tuto smlouvu před jejím podpisem přečetly a že dohodly o celém jejím obsahu, což stvrzují svými podpisy.</w:t>
      </w:r>
    </w:p>
    <w:p>
      <w:pPr>
        <w:pStyle w:val="Smlouva-slo1"/>
        <w:numPr>
          <w:ilvl w:val="0"/>
          <w:numId w:val="15"/>
        </w:numPr>
        <w:spacing w:lineRule="auto" w:line="240"/>
        <w:rPr>
          <w:rFonts w:ascii="Tahoma" w:hAnsi="Tahoma" w:cs="Tahoma"/>
          <w:sz w:val="22"/>
          <w:szCs w:val="22"/>
        </w:rPr>
      </w:pPr>
      <w:r>
        <w:rPr>
          <w:rFonts w:cs="Tahoma" w:ascii="Tahoma" w:hAnsi="Tahoma"/>
          <w:sz w:val="22"/>
          <w:szCs w:val="22"/>
        </w:rPr>
        <w:t>Smluvní strany se dohodly, že pokud se na tuto smlouvu vztahuje povinnost uveřejnění v registru smluv ve smyslu zákona o registru smluv, provede uveřejnění v souladu se zákonem objednatel.</w:t>
      </w:r>
    </w:p>
    <w:p>
      <w:pPr>
        <w:pStyle w:val="Smlouva-slo1"/>
        <w:numPr>
          <w:ilvl w:val="0"/>
          <w:numId w:val="15"/>
        </w:numPr>
        <w:spacing w:lineRule="auto" w:line="240"/>
        <w:rPr>
          <w:rFonts w:ascii="Tahoma" w:hAnsi="Tahoma" w:cs="Tahoma"/>
          <w:sz w:val="22"/>
          <w:szCs w:val="22"/>
        </w:rPr>
      </w:pPr>
      <w:r>
        <w:rPr>
          <w:rFonts w:cs="Tahoma" w:ascii="Tahoma" w:hAnsi="Tahoma"/>
          <w:sz w:val="22"/>
          <w:szCs w:val="22"/>
        </w:rPr>
        <w:t>Osobní údaje obsažené v této smlouvě budou objednatelem zpracovávány pouze pro účely plnění práv a povinností vyplývajících z této smlouvy; k jiným účelům nebudou tyto osobní údaje objednatelem použity. Ob</w:t>
      </w:r>
      <w:r>
        <w:rPr>
          <w:rFonts w:cs="Tahoma" w:ascii="Tahoma" w:hAnsi="Tahoma"/>
          <w:color w:val="000000"/>
          <w:sz w:val="22"/>
          <w:szCs w:val="22"/>
          <w:shd w:fill="auto" w:val="clear"/>
        </w:rPr>
        <w:t xml:space="preserve">jednatel při zpracovávání osobních údajů dodržuje platné právní předpisy. Podrobné informace o ochraně osobních údajů jsou uvedeny na oficiálních webových stránkách objednatele </w:t>
      </w:r>
      <w:hyperlink r:id="rId2">
        <w:r>
          <w:rPr>
            <w:rStyle w:val="Hyperlink"/>
            <w:rFonts w:cs="Tahoma" w:ascii="Tahoma" w:hAnsi="Tahoma"/>
            <w:color w:val="000000"/>
            <w:sz w:val="22"/>
            <w:szCs w:val="22"/>
            <w:shd w:fill="auto" w:val="clear"/>
          </w:rPr>
          <w:t>www.k</w:t>
        </w:r>
      </w:hyperlink>
      <w:r>
        <w:rPr>
          <w:rFonts w:cs="Tahoma" w:ascii="Tahoma" w:hAnsi="Tahoma"/>
          <w:color w:val="000000"/>
          <w:sz w:val="22"/>
          <w:szCs w:val="22"/>
          <w:shd w:fill="auto" w:val="clear"/>
        </w:rPr>
        <w:t>olofik.cz</w:t>
      </w:r>
    </w:p>
    <w:p>
      <w:pPr>
        <w:pStyle w:val="Smlouva-slo1"/>
        <w:numPr>
          <w:ilvl w:val="0"/>
          <w:numId w:val="15"/>
        </w:numPr>
        <w:tabs>
          <w:tab w:val="clear" w:pos="720"/>
        </w:tabs>
        <w:spacing w:lineRule="auto" w:line="240"/>
        <w:rPr>
          <w:rFonts w:ascii="Tahoma" w:hAnsi="Tahoma" w:cs="Tahoma"/>
          <w:sz w:val="22"/>
          <w:szCs w:val="22"/>
        </w:rPr>
      </w:pPr>
      <w:r>
        <w:rPr>
          <w:rFonts w:cs="Tahoma" w:ascii="Tahoma" w:hAnsi="Tahoma"/>
          <w:sz w:val="22"/>
          <w:szCs w:val="22"/>
        </w:rPr>
        <w:t>Nedílnou součástí smlouvy jsou tyto přílohy:</w:t>
      </w:r>
    </w:p>
    <w:p>
      <w:pPr>
        <w:pStyle w:val="Smlouva-slo1"/>
        <w:tabs>
          <w:tab w:val="clear" w:pos="720"/>
          <w:tab w:val="left" w:pos="1701" w:leader="none"/>
        </w:tabs>
        <w:spacing w:lineRule="auto" w:line="240"/>
        <w:ind w:left="357"/>
        <w:rPr>
          <w:color w:val="000000"/>
        </w:rPr>
      </w:pPr>
      <w:r>
        <w:rPr>
          <w:rFonts w:cs="Tahoma" w:ascii="Tahoma" w:hAnsi="Tahoma"/>
          <w:bCs/>
          <w:color w:val="000000"/>
          <w:sz w:val="22"/>
          <w:szCs w:val="22"/>
        </w:rPr>
        <w:t>Příloha č. 1:</w:t>
        <w:tab/>
      </w:r>
      <w:r>
        <w:rPr>
          <w:rFonts w:cs="Tahoma" w:ascii="Tahoma" w:hAnsi="Tahoma"/>
          <w:color w:val="000000"/>
          <w:sz w:val="22"/>
          <w:szCs w:val="22"/>
        </w:rPr>
        <w:t>Souhrnný rozpočet stavby</w:t>
      </w:r>
    </w:p>
    <w:p>
      <w:pPr>
        <w:pStyle w:val="Smlouva-slo1"/>
        <w:tabs>
          <w:tab w:val="clear" w:pos="720"/>
          <w:tab w:val="left" w:pos="1701" w:leader="none"/>
        </w:tabs>
        <w:spacing w:lineRule="auto" w:line="240"/>
        <w:ind w:left="357"/>
        <w:rPr>
          <w:color w:val="000000"/>
        </w:rPr>
      </w:pPr>
      <w:r>
        <w:rPr>
          <w:color w:val="000000"/>
        </w:rPr>
      </w:r>
    </w:p>
    <w:tbl>
      <w:tblPr>
        <w:tblW w:w="9000"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3537"/>
        <w:gridCol w:w="1292"/>
        <w:gridCol w:w="4171"/>
      </w:tblGrid>
      <w:tr>
        <w:trPr/>
        <w:tc>
          <w:tcPr>
            <w:tcW w:w="3537" w:type="dxa"/>
            <w:tcBorders/>
          </w:tcPr>
          <w:p>
            <w:pPr>
              <w:pStyle w:val="Normal"/>
              <w:rPr>
                <w:rFonts w:ascii="Tahoma" w:hAnsi="Tahoma" w:cs="Tahoma"/>
                <w:sz w:val="22"/>
                <w:szCs w:val="22"/>
              </w:rPr>
            </w:pPr>
            <w:r>
              <w:rPr>
                <w:rFonts w:cs="Tahoma" w:ascii="Tahoma" w:hAnsi="Tahoma"/>
                <w:sz w:val="22"/>
                <w:szCs w:val="22"/>
              </w:rPr>
              <w:t>V Opavě dne</w:t>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t>……………………………………</w:t>
            </w:r>
            <w:r>
              <w:rPr>
                <w:rFonts w:cs="Tahoma" w:ascii="Tahoma" w:hAnsi="Tahoma"/>
                <w:sz w:val="22"/>
                <w:szCs w:val="22"/>
              </w:rPr>
              <w:t>.</w:t>
            </w:r>
          </w:p>
          <w:p>
            <w:pPr>
              <w:pStyle w:val="Normal"/>
              <w:rPr>
                <w:rFonts w:ascii="Tahoma" w:hAnsi="Tahoma" w:cs="Tahoma"/>
                <w:sz w:val="22"/>
                <w:szCs w:val="22"/>
              </w:rPr>
            </w:pPr>
            <w:r>
              <w:rPr>
                <w:rFonts w:cs="Tahoma" w:ascii="Tahoma" w:hAnsi="Tahoma"/>
                <w:sz w:val="22"/>
                <w:szCs w:val="22"/>
              </w:rPr>
              <w:t>za objednatele</w:t>
            </w:r>
          </w:p>
          <w:p>
            <w:pPr>
              <w:pStyle w:val="Normal"/>
              <w:ind w:hanging="716" w:left="716"/>
              <w:rPr>
                <w:rFonts w:ascii="Tahoma" w:hAnsi="Tahoma" w:cs="Tahoma"/>
                <w:sz w:val="22"/>
                <w:szCs w:val="22"/>
              </w:rPr>
            </w:pPr>
            <w:r>
              <w:rPr>
                <w:rFonts w:cs="Tahoma" w:ascii="Tahoma" w:hAnsi="Tahoma"/>
                <w:sz w:val="22"/>
                <w:szCs w:val="22"/>
              </w:rPr>
            </w:r>
          </w:p>
        </w:tc>
        <w:tc>
          <w:tcPr>
            <w:tcW w:w="1292" w:type="dxa"/>
            <w:tcBorders/>
          </w:tcPr>
          <w:p>
            <w:pPr>
              <w:pStyle w:val="Normal"/>
              <w:rPr>
                <w:rFonts w:ascii="Tahoma" w:hAnsi="Tahoma" w:cs="Tahoma"/>
                <w:sz w:val="22"/>
                <w:szCs w:val="22"/>
              </w:rPr>
            </w:pPr>
            <w:r>
              <w:rPr>
                <w:rFonts w:cs="Tahoma" w:ascii="Tahoma" w:hAnsi="Tahoma"/>
                <w:sz w:val="22"/>
                <w:szCs w:val="22"/>
              </w:rPr>
            </w:r>
          </w:p>
        </w:tc>
        <w:tc>
          <w:tcPr>
            <w:tcW w:w="4171" w:type="dxa"/>
            <w:tcBorders/>
          </w:tcPr>
          <w:p>
            <w:pPr>
              <w:pStyle w:val="Normal"/>
              <w:rPr>
                <w:rFonts w:ascii="Tahoma" w:hAnsi="Tahoma" w:cs="Tahoma"/>
                <w:sz w:val="22"/>
                <w:szCs w:val="22"/>
              </w:rPr>
            </w:pPr>
            <w:r>
              <w:rPr>
                <w:rFonts w:cs="Tahoma" w:ascii="Tahoma" w:hAnsi="Tahoma"/>
                <w:sz w:val="22"/>
                <w:szCs w:val="22"/>
              </w:rPr>
              <w:t>V ……………… dne</w:t>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r>
          </w:p>
          <w:p>
            <w:pPr>
              <w:pStyle w:val="Normal"/>
              <w:rPr>
                <w:rFonts w:ascii="Tahoma" w:hAnsi="Tahoma" w:cs="Tahoma"/>
                <w:sz w:val="22"/>
                <w:szCs w:val="22"/>
              </w:rPr>
            </w:pPr>
            <w:r>
              <w:rPr>
                <w:rFonts w:cs="Tahoma" w:ascii="Tahoma" w:hAnsi="Tahoma"/>
                <w:sz w:val="22"/>
                <w:szCs w:val="22"/>
              </w:rPr>
              <w:t>……………………………</w:t>
            </w:r>
            <w:r>
              <w:rPr>
                <w:rFonts w:cs="Tahoma" w:ascii="Tahoma" w:hAnsi="Tahoma"/>
                <w:sz w:val="22"/>
                <w:szCs w:val="22"/>
              </w:rPr>
              <w:t>..</w:t>
            </w:r>
          </w:p>
          <w:p>
            <w:pPr>
              <w:pStyle w:val="Normal"/>
              <w:rPr>
                <w:rFonts w:ascii="Tahoma" w:hAnsi="Tahoma" w:cs="Tahoma"/>
                <w:sz w:val="22"/>
                <w:szCs w:val="22"/>
              </w:rPr>
            </w:pPr>
            <w:r>
              <w:rPr>
                <w:rFonts w:cs="Tahoma" w:ascii="Tahoma" w:hAnsi="Tahoma"/>
                <w:sz w:val="22"/>
                <w:szCs w:val="22"/>
              </w:rPr>
              <w:t>za zhotovitele</w:t>
            </w:r>
          </w:p>
          <w:p>
            <w:pPr>
              <w:pStyle w:val="Normal"/>
              <w:rPr>
                <w:rFonts w:ascii="Tahoma" w:hAnsi="Tahoma" w:cs="Tahoma"/>
                <w:sz w:val="22"/>
                <w:szCs w:val="22"/>
              </w:rPr>
            </w:pPr>
            <w:r>
              <w:rPr>
                <w:rFonts w:cs="Tahoma" w:ascii="Tahoma" w:hAnsi="Tahoma"/>
                <w:sz w:val="22"/>
                <w:szCs w:val="22"/>
              </w:rPr>
            </w:r>
          </w:p>
        </w:tc>
      </w:tr>
    </w:tbl>
    <w:p>
      <w:pPr>
        <w:pStyle w:val="Smlouva-slo1"/>
        <w:spacing w:lineRule="auto" w:line="240" w:before="0" w:after="0"/>
        <w:rPr>
          <w:rFonts w:ascii="Tahoma" w:hAnsi="Tahoma" w:cs="Tahoma"/>
          <w:color w:val="0000FF"/>
          <w:sz w:val="22"/>
          <w:szCs w:val="22"/>
        </w:rPr>
      </w:pPr>
      <w:r>
        <w:rPr>
          <w:rFonts w:cs="Tahoma" w:ascii="Tahoma" w:hAnsi="Tahoma"/>
          <w:color w:val="0000FF"/>
          <w:sz w:val="22"/>
          <w:szCs w:val="22"/>
        </w:rPr>
      </w:r>
    </w:p>
    <w:sectPr>
      <w:footerReference w:type="even" r:id="rId3"/>
      <w:footerReference w:type="default" r:id="rId4"/>
      <w:footerReference w:type="first" r:id="rId5"/>
      <w:type w:val="nextPage"/>
      <w:pgSz w:w="11906" w:h="16838"/>
      <w:pgMar w:left="1418" w:right="1418" w:gutter="0" w:header="0" w:top="1418" w:footer="624"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Liberation Sans">
    <w:altName w:val="Arial"/>
    <w:charset w:val="ee"/>
    <w:family w:val="swiss"/>
    <w:pitch w:val="variable"/>
  </w:font>
  <w:font w:name="Courier New">
    <w:charset w:val="ee"/>
    <w:family w:val="roman"/>
    <w:pitch w:val="variable"/>
  </w:font>
  <w:font w:name="Arial">
    <w:charset w:val="ee"/>
    <w:family w:val="swiss"/>
    <w:pitch w:val="variable"/>
  </w:font>
  <w:font w:name="Tahoma">
    <w:charset w:val="ee"/>
    <w:family w:val="swiss"/>
    <w:pitch w:val="variable"/>
  </w:font>
  <w:font w:name="Verdana">
    <w:charset w:val="ee"/>
    <w:family w:val="swiss"/>
    <w:pitch w:val="variable"/>
  </w:font>
  <w:font w:name="Segoe UI">
    <w:charset w:val="ee"/>
    <w:family w:val="swiss"/>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tabs>
        <w:tab w:val="center" w:pos="4536" w:leader="none"/>
        <w:tab w:val="left" w:pos="8820" w:leader="none"/>
        <w:tab w:val="right" w:pos="9072" w:leader="none"/>
      </w:tabs>
      <w:rPr>
        <w:rFonts w:ascii="Tahoma" w:hAnsi="Tahoma" w:cs="Tahoma"/>
        <w:sz w:val="18"/>
        <w:szCs w:val="18"/>
      </w:rPr>
    </w:pPr>
    <w:r>
      <w:rPr>
        <w:rFonts w:cs="Tahoma" w:ascii="Tahoma" w:hAnsi="Tahoma"/>
        <w:sz w:val="18"/>
        <w:szCs w:val="18"/>
      </w:rPr>
      <w:t>Smlouva o dílo na sta</w:t>
    </w:r>
    <w:r>
      <w:rPr>
        <w:rFonts w:cs="Tahoma" w:ascii="Tahoma" w:hAnsi="Tahoma"/>
        <w:sz w:val="18"/>
        <w:szCs w:val="18"/>
        <w:shd w:fill="auto" w:val="clear"/>
      </w:rPr>
      <w:t>vbu Modernizace učebny odborného výcviku oboru Stravovací a ubytovací služby – kuchařské práce</w:t>
      <w:tab/>
      <w:tab/>
    </w:r>
    <w:r>
      <w:rPr>
        <w:rStyle w:val="PageNumber"/>
        <w:rFonts w:cs="Tahoma" w:ascii="Tahoma" w:hAnsi="Tahoma"/>
        <w:sz w:val="18"/>
        <w:szCs w:val="18"/>
        <w:shd w:fill="auto" w:val="clear"/>
      </w:rPr>
      <w:fldChar w:fldCharType="begin"/>
    </w:r>
    <w:r>
      <w:rPr>
        <w:rStyle w:val="PageNumber"/>
        <w:sz w:val="18"/>
        <w:shd w:fill="auto" w:val="clear"/>
        <w:szCs w:val="18"/>
        <w:rFonts w:cs="Tahoma" w:ascii="Tahoma" w:hAnsi="Tahoma"/>
      </w:rPr>
      <w:instrText xml:space="preserve"> PAGE </w:instrText>
    </w:r>
    <w:r>
      <w:rPr>
        <w:rStyle w:val="PageNumber"/>
        <w:sz w:val="18"/>
        <w:shd w:fill="auto" w:val="clear"/>
        <w:szCs w:val="18"/>
        <w:rFonts w:cs="Tahoma" w:ascii="Tahoma" w:hAnsi="Tahoma"/>
      </w:rPr>
      <w:fldChar w:fldCharType="separate"/>
    </w:r>
    <w:r>
      <w:rPr>
        <w:rStyle w:val="PageNumber"/>
        <w:sz w:val="18"/>
        <w:shd w:fill="auto" w:val="clear"/>
        <w:szCs w:val="18"/>
        <w:rFonts w:cs="Tahoma" w:ascii="Tahoma" w:hAnsi="Tahoma"/>
      </w:rPr>
      <w:t>18</w:t>
    </w:r>
    <w:r>
      <w:rPr>
        <w:rStyle w:val="PageNumber"/>
        <w:sz w:val="18"/>
        <w:shd w:fill="auto" w:val="clear"/>
        <w:szCs w:val="18"/>
        <w:rFonts w:cs="Tahoma" w:ascii="Tahoma" w:hAnsi="Tahom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0" w:color="000000"/>
      </w:pBdr>
      <w:rPr>
        <w:rFonts w:ascii="Tahoma" w:hAnsi="Tahoma" w:cs="Tahoma"/>
        <w:sz w:val="18"/>
        <w:szCs w:val="18"/>
      </w:rPr>
    </w:pPr>
    <w:r>
      <w:rPr>
        <w:rFonts w:cs="Tahoma" w:ascii="Tahoma" w:hAnsi="Tahoma"/>
        <w:sz w:val="18"/>
        <w:szCs w:val="18"/>
      </w:rPr>
      <w:t>Smlouva o dílo na</w:t>
    </w:r>
    <w:r>
      <w:rPr>
        <w:rFonts w:cs="Tahoma" w:ascii="Tahoma" w:hAnsi="Tahoma"/>
        <w:sz w:val="18"/>
        <w:szCs w:val="18"/>
        <w:shd w:fill="auto" w:val="clear"/>
      </w:rPr>
      <w:t xml:space="preserve"> stavbu Modernizace učebny odborného výcviku oboru Stravovací a ubytovací služby – kuchařské práce</w:t>
    </w:r>
    <w:r>
      <w:rPr>
        <w:rFonts w:cs="Tahoma" w:ascii="Tahoma" w:hAnsi="Tahoma"/>
        <w:sz w:val="18"/>
        <w:szCs w:val="18"/>
      </w:rPr>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
      <w:lvlJc w:val="left"/>
      <w:pPr>
        <w:tabs>
          <w:tab w:val="num" w:pos="0"/>
        </w:tabs>
        <w:ind w:left="283" w:hanging="283"/>
      </w:pPr>
      <w:rPr>
        <w:sz w:val="24"/>
        <w:i w:val="false"/>
        <w:u w:val="none"/>
        <w:b w:val="false"/>
        <w:rFonts w:ascii="Times New Roman" w:hAnsi="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lvlText w:val="%1)"/>
      <w:lvlJc w:val="left"/>
      <w:pPr>
        <w:tabs>
          <w:tab w:val="num" w:pos="851"/>
        </w:tabs>
        <w:ind w:left="851" w:hanging="511"/>
      </w:pPr>
      <w:rPr>
        <w:sz w:val="22"/>
        <w:i w:val="false"/>
        <w:b w:val="false"/>
        <w:szCs w:val="22"/>
      </w:rPr>
    </w:lvl>
    <w:lvl w:ilvl="1">
      <w:start w:val="1"/>
      <w:numFmt w:val="lowerLetter"/>
      <w:lvlText w:val="%2."/>
      <w:lvlJc w:val="left"/>
      <w:pPr>
        <w:tabs>
          <w:tab w:val="num" w:pos="851"/>
        </w:tabs>
        <w:ind w:left="851" w:hanging="511"/>
      </w:pPr>
      <w:rPr/>
    </w:lvl>
    <w:lvl w:ilvl="2">
      <w:start w:val="1"/>
      <w:numFmt w:val="decimal"/>
      <w:lvlText w:val="%3."/>
      <w:lvlJc w:val="left"/>
      <w:pPr>
        <w:tabs>
          <w:tab w:val="num" w:pos="234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lowerLetter"/>
      <w:lvlText w:val="%1)"/>
      <w:lvlJc w:val="left"/>
      <w:pPr>
        <w:tabs>
          <w:tab w:val="num" w:pos="717"/>
        </w:tabs>
        <w:ind w:left="717" w:hanging="360"/>
      </w:pPr>
      <w:rPr/>
    </w:lvl>
    <w:lvl w:ilvl="1">
      <w:start w:val="1"/>
      <w:numFmt w:val="decimal"/>
      <w:lvlText w:val="%2."/>
      <w:lvlJc w:val="left"/>
      <w:pPr>
        <w:tabs>
          <w:tab w:val="num" w:pos="360"/>
        </w:tabs>
        <w:ind w:left="340" w:hanging="34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360"/>
        </w:tabs>
        <w:ind w:left="357" w:hanging="357"/>
      </w:pPr>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numFmt w:val="none"/>
      <w:suff w:val="nothing"/>
      <w:lvlText w:val=""/>
      <w:lvlJc w:val="left"/>
      <w:pPr>
        <w:tabs>
          <w:tab w:val="num" w:pos="0"/>
        </w:tabs>
        <w:ind w:left="0" w:hanging="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567"/>
        </w:tabs>
        <w:ind w:left="567" w:hanging="567"/>
      </w:pPr>
      <w:rPr>
        <w:sz w:val="22"/>
        <w:rFonts w:ascii="Arial" w:hAnsi="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360"/>
        </w:tabs>
        <w:ind w:left="340" w:hanging="340"/>
      </w:pPr>
      <w:rPr>
        <w:i w:val="false"/>
        <w:b w:val="false"/>
        <w:color w:val="auto"/>
      </w:rPr>
    </w:lvl>
    <w:lvl w:ilvl="1">
      <w:start w:val="1"/>
      <w:numFmt w:val="lowerLetter"/>
      <w:lvlText w:val="%2)"/>
      <w:lvlJc w:val="left"/>
      <w:pPr>
        <w:tabs>
          <w:tab w:val="num" w:pos="737"/>
        </w:tabs>
        <w:ind w:left="737" w:hanging="397"/>
      </w:pPr>
      <w:r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i/>
        <w:b w:val="false"/>
        <w:color w:val="FF0000"/>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decimal"/>
      <w:lvlText w:val="%1."/>
      <w:lvlJc w:val="left"/>
      <w:pPr>
        <w:tabs>
          <w:tab w:val="num" w:pos="360"/>
        </w:tabs>
        <w:ind w:left="340" w:hanging="340"/>
      </w:pPr>
      <w:rPr/>
    </w:lvl>
    <w:lvl w:ilvl="1">
      <w:start w:val="1"/>
      <w:numFmt w:val="lowerLetter"/>
      <w:lvlText w:val="%2)"/>
      <w:lvlJc w:val="left"/>
      <w:pPr>
        <w:tabs>
          <w:tab w:val="num" w:pos="737"/>
        </w:tabs>
        <w:ind w:left="737" w:hanging="380"/>
      </w:pPr>
      <w:rPr/>
    </w:lvl>
    <w:lvl w:ilvl="2">
      <w:start w:val="1"/>
      <w:numFmt w:val="decimal"/>
      <w:lvlText w:val="%3."/>
      <w:lvlJc w:val="left"/>
      <w:pPr>
        <w:tabs>
          <w:tab w:val="num" w:pos="360"/>
        </w:tabs>
        <w:ind w:left="340" w:hanging="34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decimal"/>
      <w:lvlText w:val="%1."/>
      <w:lvlJc w:val="left"/>
      <w:pPr>
        <w:tabs>
          <w:tab w:val="num" w:pos="360"/>
        </w:tabs>
        <w:ind w:left="360" w:hanging="360"/>
      </w:pPr>
      <w:rPr>
        <w:sz w:val="22"/>
        <w:i w:val="false"/>
        <w:b w:val="false"/>
        <w:szCs w:val="22"/>
        <w:rFonts w:ascii="Tahoma" w:hAnsi="Tahoma" w:cs="Tahoma"/>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3"/>
      <w:numFmt w:val="decimal"/>
      <w:lvlText w:val="%1."/>
      <w:lvlJc w:val="left"/>
      <w:pPr>
        <w:tabs>
          <w:tab w:val="num" w:pos="397"/>
        </w:tabs>
        <w:ind w:left="397" w:hanging="397"/>
      </w:pPr>
      <w:rPr>
        <w:sz w:val="24"/>
        <w:i w:val="false"/>
        <w:b w:val="false"/>
        <w:rFonts w:ascii="Times New Roman" w:hAnsi="Times New Roman"/>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737"/>
        </w:tabs>
        <w:ind w:left="737" w:hanging="3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
    <w:lvl w:ilvl="0">
      <w:start w:val="1"/>
      <w:numFmt w:val="decimal"/>
      <w:lvlText w:val="%1."/>
      <w:lvlJc w:val="left"/>
      <w:pPr>
        <w:tabs>
          <w:tab w:val="num" w:pos="360"/>
        </w:tabs>
        <w:ind w:left="360" w:hanging="360"/>
      </w:pPr>
      <w:rPr>
        <w:sz w:val="22"/>
        <w:i w:val="false"/>
        <w:b w:val="false"/>
        <w:szCs w:val="22"/>
        <w:rFonts w:ascii="Tahoma" w:hAnsi="Tahoma" w:cs="Tahoma"/>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360"/>
        </w:tabs>
        <w:ind w:left="360" w:hanging="360"/>
      </w:pPr>
      <w:rPr>
        <w:sz w:val="22"/>
        <w:i w:val="false"/>
        <w:b w:val="false"/>
        <w:szCs w:val="22"/>
        <w:rFonts w:ascii="Tahoma" w:hAnsi="Tahoma" w:cs="Tahoma"/>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360"/>
        </w:tabs>
        <w:ind w:left="360" w:hanging="360"/>
      </w:pPr>
      <w:rPr/>
    </w:lvl>
    <w:lvl w:ilvl="1">
      <w:start w:val="1"/>
      <w:numFmt w:val="decimal"/>
      <w:lvlText w:val="%1.%2."/>
      <w:lvlJc w:val="left"/>
      <w:pPr>
        <w:tabs>
          <w:tab w:val="num" w:pos="792"/>
        </w:tabs>
        <w:ind w:left="792" w:hanging="432"/>
      </w:pPr>
      <w:rPr/>
    </w:lvl>
    <w:lvl w:ilvl="2">
      <w:start w:val="1"/>
      <w:numFmt w:val="decimal"/>
      <w:lvlText w:val="%1.%2.%3."/>
      <w:lvlJc w:val="left"/>
      <w:pPr>
        <w:tabs>
          <w:tab w:val="num" w:pos="1440"/>
        </w:tabs>
        <w:ind w:left="1224" w:hanging="504"/>
      </w:pPr>
      <w:rPr/>
    </w:lvl>
    <w:lvl w:ilvl="3">
      <w:start w:val="1"/>
      <w:numFmt w:val="decimal"/>
      <w:lvlText w:val="%1.%2.%3.%4."/>
      <w:lvlJc w:val="left"/>
      <w:pPr>
        <w:tabs>
          <w:tab w:val="num" w:pos="1800"/>
        </w:tabs>
        <w:ind w:left="1728" w:hanging="648"/>
      </w:pPr>
      <w:rPr/>
    </w:lvl>
    <w:lvl w:ilvl="4">
      <w:start w:val="1"/>
      <w:numFmt w:val="decimal"/>
      <w:lvlText w:val="%1.%2.%3.%4.%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14">
    <w:lvl w:ilvl="0">
      <w:start w:val="1"/>
      <w:numFmt w:val="decimal"/>
      <w:lvlText w:val="%1."/>
      <w:lvlJc w:val="left"/>
      <w:pPr>
        <w:tabs>
          <w:tab w:val="num" w:pos="360"/>
        </w:tabs>
        <w:ind w:left="357" w:hanging="357"/>
      </w:pPr>
      <w:rPr>
        <w:i w:val="false"/>
        <w:b w:val="false"/>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1"/>
      <w:numFmt w:val="decimal"/>
      <w:lvlText w:val="%1."/>
      <w:lvlJc w:val="left"/>
      <w:pPr>
        <w:tabs>
          <w:tab w:val="num" w:pos="360"/>
        </w:tabs>
        <w:ind w:left="357" w:hanging="357"/>
      </w:pPr>
      <w:r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
    <w:lvl w:ilvl="0">
      <w:start w:val="1"/>
      <w:numFmt w:val="decimal"/>
      <w:lvlText w:val="%1."/>
      <w:lvlJc w:val="left"/>
      <w:pPr>
        <w:tabs>
          <w:tab w:val="num" w:pos="360"/>
        </w:tabs>
        <w:ind w:left="340" w:hanging="340"/>
      </w:pPr>
      <w:rPr>
        <w:i w:val="false"/>
        <w:b w:val="false"/>
        <w:rFonts w:ascii="Tahoma" w:hAnsi="Tahoma" w:cs="Tahoma"/>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
    <w:lvl w:ilvl="0">
      <w:start w:val="1"/>
      <w:numFmt w:val="decimal"/>
      <w:lvlText w:val="%1."/>
      <w:lvlJc w:val="left"/>
      <w:pPr>
        <w:tabs>
          <w:tab w:val="num" w:pos="397"/>
        </w:tabs>
        <w:ind w:left="397" w:hanging="397"/>
      </w:pPr>
      <w:rPr>
        <w:sz w:val="22"/>
        <w:i w:val="false"/>
        <w:b w:val="false"/>
        <w:szCs w:val="22"/>
        <w:rFonts w:ascii="Tahoma" w:hAnsi="Tahoma" w:cs="Tahoma"/>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9">
    <w:lvl w:ilvl="0">
      <w:start w:val="1"/>
      <w:numFmt w:val="lowerLetter"/>
      <w:lvlText w:val="%1)"/>
      <w:lvlJc w:val="left"/>
      <w:pPr>
        <w:tabs>
          <w:tab w:val="num" w:pos="720"/>
        </w:tabs>
        <w:ind w:left="720" w:hanging="380"/>
      </w:pPr>
      <w:rPr/>
    </w:lvl>
    <w:lvl w:ilvl="1">
      <w:start w:val="1"/>
      <w:numFmt w:val="lowerLetter"/>
      <w:lvlText w:val="%2."/>
      <w:lvlJc w:val="left"/>
      <w:pPr>
        <w:tabs>
          <w:tab w:val="num" w:pos="1423"/>
        </w:tabs>
        <w:ind w:left="1423" w:hanging="360"/>
      </w:pPr>
      <w:rPr/>
    </w:lvl>
    <w:lvl w:ilvl="2">
      <w:start w:val="1"/>
      <w:numFmt w:val="lowerRoman"/>
      <w:lvlText w:val="%3."/>
      <w:lvlJc w:val="right"/>
      <w:pPr>
        <w:tabs>
          <w:tab w:val="num" w:pos="2143"/>
        </w:tabs>
        <w:ind w:left="2143" w:hanging="180"/>
      </w:pPr>
      <w:rPr/>
    </w:lvl>
    <w:lvl w:ilvl="3">
      <w:start w:val="1"/>
      <w:numFmt w:val="decimal"/>
      <w:lvlText w:val="%4."/>
      <w:lvlJc w:val="left"/>
      <w:pPr>
        <w:tabs>
          <w:tab w:val="num" w:pos="2863"/>
        </w:tabs>
        <w:ind w:left="2863" w:hanging="360"/>
      </w:pPr>
      <w:rPr/>
    </w:lvl>
    <w:lvl w:ilvl="4">
      <w:start w:val="1"/>
      <w:numFmt w:val="lowerLetter"/>
      <w:lvlText w:val="%5."/>
      <w:lvlJc w:val="left"/>
      <w:pPr>
        <w:tabs>
          <w:tab w:val="num" w:pos="3583"/>
        </w:tabs>
        <w:ind w:left="3583" w:hanging="360"/>
      </w:pPr>
      <w:rPr/>
    </w:lvl>
    <w:lvl w:ilvl="5">
      <w:start w:val="1"/>
      <w:numFmt w:val="lowerRoman"/>
      <w:lvlText w:val="%6."/>
      <w:lvlJc w:val="right"/>
      <w:pPr>
        <w:tabs>
          <w:tab w:val="num" w:pos="4303"/>
        </w:tabs>
        <w:ind w:left="4303" w:hanging="180"/>
      </w:pPr>
      <w:rPr/>
    </w:lvl>
    <w:lvl w:ilvl="6">
      <w:start w:val="1"/>
      <w:numFmt w:val="decimal"/>
      <w:lvlText w:val="%7."/>
      <w:lvlJc w:val="left"/>
      <w:pPr>
        <w:tabs>
          <w:tab w:val="num" w:pos="5023"/>
        </w:tabs>
        <w:ind w:left="5023" w:hanging="360"/>
      </w:pPr>
      <w:rPr/>
    </w:lvl>
    <w:lvl w:ilvl="7">
      <w:start w:val="1"/>
      <w:numFmt w:val="lowerLetter"/>
      <w:lvlText w:val="%8."/>
      <w:lvlJc w:val="left"/>
      <w:pPr>
        <w:tabs>
          <w:tab w:val="num" w:pos="5743"/>
        </w:tabs>
        <w:ind w:left="5743" w:hanging="360"/>
      </w:pPr>
      <w:rPr/>
    </w:lvl>
    <w:lvl w:ilvl="8">
      <w:start w:val="1"/>
      <w:numFmt w:val="lowerRoman"/>
      <w:lvlText w:val="%9."/>
      <w:lvlJc w:val="right"/>
      <w:pPr>
        <w:tabs>
          <w:tab w:val="num" w:pos="6463"/>
        </w:tabs>
        <w:ind w:left="6463" w:hanging="180"/>
      </w:pPr>
      <w:rPr/>
    </w:lvl>
  </w:abstractNum>
  <w:abstractNum w:abstractNumId="20">
    <w:lvl w:ilvl="0">
      <w:start w:val="1"/>
      <w:numFmt w:val="lowerLetter"/>
      <w:lvlText w:val="%1)"/>
      <w:lvlJc w:val="left"/>
      <w:pPr>
        <w:tabs>
          <w:tab w:val="num" w:pos="737"/>
        </w:tabs>
        <w:ind w:left="737" w:hanging="397"/>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1">
    <w:lvl w:ilvl="0">
      <w:start w:val="1"/>
      <w:numFmt w:val="lowerLetter"/>
      <w:lvlText w:val="%1)"/>
      <w:lvlJc w:val="left"/>
      <w:pPr>
        <w:tabs>
          <w:tab w:val="num" w:pos="717"/>
        </w:tabs>
        <w:ind w:left="714" w:hanging="357"/>
      </w:pPr>
      <w:rPr/>
    </w:lvl>
    <w:lvl w:ilvl="1">
      <w:start w:val="1"/>
      <w:numFmt w:val="lowerLetter"/>
      <w:lvlText w:val="%2."/>
      <w:lvlJc w:val="left"/>
      <w:pPr>
        <w:tabs>
          <w:tab w:val="num" w:pos="1797"/>
        </w:tabs>
        <w:ind w:left="1797" w:hanging="360"/>
      </w:pPr>
      <w:rPr/>
    </w:lvl>
    <w:lvl w:ilvl="2">
      <w:start w:val="1"/>
      <w:numFmt w:val="lowerRoman"/>
      <w:lvlText w:val="%3."/>
      <w:lvlJc w:val="right"/>
      <w:pPr>
        <w:tabs>
          <w:tab w:val="num" w:pos="2517"/>
        </w:tabs>
        <w:ind w:left="2517" w:hanging="180"/>
      </w:pPr>
      <w:rPr/>
    </w:lvl>
    <w:lvl w:ilvl="3">
      <w:start w:val="1"/>
      <w:numFmt w:val="decimal"/>
      <w:lvlText w:val="%4."/>
      <w:lvlJc w:val="left"/>
      <w:pPr>
        <w:tabs>
          <w:tab w:val="num" w:pos="3237"/>
        </w:tabs>
        <w:ind w:left="3237" w:hanging="360"/>
      </w:pPr>
      <w:rPr/>
    </w:lvl>
    <w:lvl w:ilvl="4">
      <w:start w:val="1"/>
      <w:numFmt w:val="lowerLetter"/>
      <w:lvlText w:val="%5."/>
      <w:lvlJc w:val="left"/>
      <w:pPr>
        <w:tabs>
          <w:tab w:val="num" w:pos="3957"/>
        </w:tabs>
        <w:ind w:left="3957" w:hanging="360"/>
      </w:pPr>
      <w:rPr/>
    </w:lvl>
    <w:lvl w:ilvl="5">
      <w:start w:val="1"/>
      <w:numFmt w:val="lowerRoman"/>
      <w:lvlText w:val="%6."/>
      <w:lvlJc w:val="right"/>
      <w:pPr>
        <w:tabs>
          <w:tab w:val="num" w:pos="4677"/>
        </w:tabs>
        <w:ind w:left="4677" w:hanging="180"/>
      </w:pPr>
      <w:rPr/>
    </w:lvl>
    <w:lvl w:ilvl="6">
      <w:start w:val="1"/>
      <w:numFmt w:val="decimal"/>
      <w:lvlText w:val="%7."/>
      <w:lvlJc w:val="left"/>
      <w:pPr>
        <w:tabs>
          <w:tab w:val="num" w:pos="5397"/>
        </w:tabs>
        <w:ind w:left="5397" w:hanging="360"/>
      </w:pPr>
      <w:rPr/>
    </w:lvl>
    <w:lvl w:ilvl="7">
      <w:start w:val="1"/>
      <w:numFmt w:val="lowerLetter"/>
      <w:lvlText w:val="%8."/>
      <w:lvlJc w:val="left"/>
      <w:pPr>
        <w:tabs>
          <w:tab w:val="num" w:pos="6117"/>
        </w:tabs>
        <w:ind w:left="6117" w:hanging="360"/>
      </w:pPr>
      <w:rPr/>
    </w:lvl>
    <w:lvl w:ilvl="8">
      <w:start w:val="1"/>
      <w:numFmt w:val="lowerRoman"/>
      <w:lvlText w:val="%9."/>
      <w:lvlJc w:val="right"/>
      <w:pPr>
        <w:tabs>
          <w:tab w:val="num" w:pos="6837"/>
        </w:tabs>
        <w:ind w:left="6837" w:hanging="180"/>
      </w:pPr>
      <w:rPr/>
    </w:lvl>
  </w:abstractNum>
  <w:abstractNum w:abstractNumId="22">
    <w:lvl w:ilvl="0">
      <w:start w:val="1"/>
      <w:numFmt w:val="decimal"/>
      <w:lvlText w:val="%1."/>
      <w:lvlJc w:val="left"/>
      <w:pPr>
        <w:tabs>
          <w:tab w:val="num" w:pos="360"/>
        </w:tabs>
        <w:ind w:left="360" w:hanging="360"/>
      </w:pPr>
      <w:rPr>
        <w:i w:val="false"/>
        <w:b w:val="fals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2520"/>
        </w:tabs>
        <w:ind w:left="2520" w:hanging="360"/>
      </w:pPr>
      <w:rPr>
        <w:rFonts w:ascii="Symbol" w:hAnsi="Symbol" w:cs="Symbol" w:hint="default"/>
        <w:sz w:val="20"/>
        <w:color w:val="auto"/>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abstractNum w:abstractNumId="24">
    <w:lvl w:ilvl="0">
      <w:start w:val="1"/>
      <w:numFmt w:val="lowerLetter"/>
      <w:lvlText w:val="%1)"/>
      <w:lvlJc w:val="left"/>
      <w:pPr>
        <w:tabs>
          <w:tab w:val="num" w:pos="1362"/>
        </w:tabs>
        <w:ind w:left="1362" w:hanging="511"/>
      </w:pPr>
      <w:rPr>
        <w:sz w:val="22"/>
        <w:i w:val="false"/>
        <w:b w:val="false"/>
        <w:szCs w:val="22"/>
      </w:rPr>
    </w:lvl>
    <w:lvl w:ilvl="1">
      <w:start w:val="1"/>
      <w:numFmt w:val="lowerLetter"/>
      <w:lvlText w:val="%2."/>
      <w:lvlJc w:val="left"/>
      <w:pPr>
        <w:tabs>
          <w:tab w:val="num" w:pos="1951"/>
        </w:tabs>
        <w:ind w:left="1951" w:hanging="360"/>
      </w:pPr>
      <w:rPr/>
    </w:lvl>
    <w:lvl w:ilvl="2">
      <w:start w:val="1"/>
      <w:numFmt w:val="lowerRoman"/>
      <w:lvlText w:val="%3."/>
      <w:lvlJc w:val="right"/>
      <w:pPr>
        <w:tabs>
          <w:tab w:val="num" w:pos="2671"/>
        </w:tabs>
        <w:ind w:left="2671" w:hanging="180"/>
      </w:pPr>
      <w:rPr/>
    </w:lvl>
    <w:lvl w:ilvl="3">
      <w:start w:val="1"/>
      <w:numFmt w:val="decimal"/>
      <w:lvlText w:val="%4."/>
      <w:lvlJc w:val="left"/>
      <w:pPr>
        <w:tabs>
          <w:tab w:val="num" w:pos="3391"/>
        </w:tabs>
        <w:ind w:left="3391" w:hanging="360"/>
      </w:pPr>
      <w:rPr/>
    </w:lvl>
    <w:lvl w:ilvl="4">
      <w:start w:val="1"/>
      <w:numFmt w:val="lowerLetter"/>
      <w:lvlText w:val="%5."/>
      <w:lvlJc w:val="left"/>
      <w:pPr>
        <w:tabs>
          <w:tab w:val="num" w:pos="4111"/>
        </w:tabs>
        <w:ind w:left="4111" w:hanging="360"/>
      </w:pPr>
      <w:rPr/>
    </w:lvl>
    <w:lvl w:ilvl="5">
      <w:start w:val="1"/>
      <w:numFmt w:val="lowerRoman"/>
      <w:lvlText w:val="%6."/>
      <w:lvlJc w:val="right"/>
      <w:pPr>
        <w:tabs>
          <w:tab w:val="num" w:pos="4831"/>
        </w:tabs>
        <w:ind w:left="4831" w:hanging="180"/>
      </w:pPr>
      <w:rPr/>
    </w:lvl>
    <w:lvl w:ilvl="6">
      <w:start w:val="1"/>
      <w:numFmt w:val="decimal"/>
      <w:lvlText w:val="%7."/>
      <w:lvlJc w:val="left"/>
      <w:pPr>
        <w:tabs>
          <w:tab w:val="num" w:pos="5551"/>
        </w:tabs>
        <w:ind w:left="5551" w:hanging="360"/>
      </w:pPr>
      <w:rPr/>
    </w:lvl>
    <w:lvl w:ilvl="7">
      <w:start w:val="1"/>
      <w:numFmt w:val="lowerLetter"/>
      <w:lvlText w:val="%8."/>
      <w:lvlJc w:val="left"/>
      <w:pPr>
        <w:tabs>
          <w:tab w:val="num" w:pos="6271"/>
        </w:tabs>
        <w:ind w:left="6271" w:hanging="360"/>
      </w:pPr>
      <w:rPr/>
    </w:lvl>
    <w:lvl w:ilvl="8">
      <w:start w:val="1"/>
      <w:numFmt w:val="lowerRoman"/>
      <w:lvlText w:val="%9."/>
      <w:lvlJc w:val="right"/>
      <w:pPr>
        <w:tabs>
          <w:tab w:val="num" w:pos="6991"/>
        </w:tabs>
        <w:ind w:left="6991" w:hanging="180"/>
      </w:pPr>
      <w:rPr/>
    </w:lvl>
  </w:abstractNum>
  <w:abstractNum w:abstractNumId="25">
    <w:lvl w:ilvl="0">
      <w:start w:val="1"/>
      <w:numFmt w:val="lowerLetter"/>
      <w:lvlText w:val="%1)"/>
      <w:lvlJc w:val="left"/>
      <w:pPr>
        <w:tabs>
          <w:tab w:val="num" w:pos="397"/>
        </w:tabs>
        <w:ind w:left="397" w:hanging="397"/>
      </w:pPr>
      <w:rPr/>
    </w:lvl>
    <w:lvl w:ilvl="1">
      <w:start w:val="1"/>
      <w:numFmt w:val="lowerLetter"/>
      <w:lvlText w:val="%2."/>
      <w:lvlJc w:val="left"/>
      <w:pPr>
        <w:tabs>
          <w:tab w:val="num" w:pos="1100"/>
        </w:tabs>
        <w:ind w:left="1100" w:hanging="360"/>
      </w:pPr>
      <w:rPr/>
    </w:lvl>
    <w:lvl w:ilvl="2">
      <w:start w:val="1"/>
      <w:numFmt w:val="lowerRoman"/>
      <w:lvlText w:val="%3."/>
      <w:lvlJc w:val="right"/>
      <w:pPr>
        <w:tabs>
          <w:tab w:val="num" w:pos="1820"/>
        </w:tabs>
        <w:ind w:left="1820" w:hanging="180"/>
      </w:pPr>
      <w:rPr/>
    </w:lvl>
    <w:lvl w:ilvl="3">
      <w:start w:val="1"/>
      <w:numFmt w:val="decimal"/>
      <w:lvlText w:val="%4."/>
      <w:lvlJc w:val="left"/>
      <w:pPr>
        <w:tabs>
          <w:tab w:val="num" w:pos="2540"/>
        </w:tabs>
        <w:ind w:left="2540" w:hanging="360"/>
      </w:pPr>
      <w:rPr/>
    </w:lvl>
    <w:lvl w:ilvl="4">
      <w:start w:val="1"/>
      <w:numFmt w:val="lowerLetter"/>
      <w:lvlText w:val="%5."/>
      <w:lvlJc w:val="left"/>
      <w:pPr>
        <w:tabs>
          <w:tab w:val="num" w:pos="3260"/>
        </w:tabs>
        <w:ind w:left="3260" w:hanging="360"/>
      </w:pPr>
      <w:rPr/>
    </w:lvl>
    <w:lvl w:ilvl="5">
      <w:start w:val="1"/>
      <w:numFmt w:val="lowerRoman"/>
      <w:lvlText w:val="%6."/>
      <w:lvlJc w:val="right"/>
      <w:pPr>
        <w:tabs>
          <w:tab w:val="num" w:pos="3980"/>
        </w:tabs>
        <w:ind w:left="3980" w:hanging="180"/>
      </w:pPr>
      <w:rPr/>
    </w:lvl>
    <w:lvl w:ilvl="6">
      <w:start w:val="1"/>
      <w:numFmt w:val="decimal"/>
      <w:lvlText w:val="%7."/>
      <w:lvlJc w:val="left"/>
      <w:pPr>
        <w:tabs>
          <w:tab w:val="num" w:pos="4700"/>
        </w:tabs>
        <w:ind w:left="4700" w:hanging="360"/>
      </w:pPr>
      <w:rPr/>
    </w:lvl>
    <w:lvl w:ilvl="7">
      <w:start w:val="1"/>
      <w:numFmt w:val="lowerLetter"/>
      <w:lvlText w:val="%8."/>
      <w:lvlJc w:val="left"/>
      <w:pPr>
        <w:tabs>
          <w:tab w:val="num" w:pos="5420"/>
        </w:tabs>
        <w:ind w:left="5420" w:hanging="360"/>
      </w:pPr>
      <w:rPr/>
    </w:lvl>
    <w:lvl w:ilvl="8">
      <w:start w:val="1"/>
      <w:numFmt w:val="lowerRoman"/>
      <w:lvlText w:val="%9."/>
      <w:lvlJc w:val="right"/>
      <w:pPr>
        <w:tabs>
          <w:tab w:val="num" w:pos="6140"/>
        </w:tabs>
        <w:ind w:left="6140" w:hanging="180"/>
      </w:pPr>
      <w:rPr/>
    </w:lvl>
  </w:abstractNum>
  <w:abstractNum w:abstractNumId="26">
    <w:lvl w:ilvl="0">
      <w:start w:val="1"/>
      <w:numFmt w:val="bullet"/>
      <w:lvlText w:val=""/>
      <w:lvlJc w:val="left"/>
      <w:pPr>
        <w:tabs>
          <w:tab w:val="num" w:pos="360"/>
        </w:tabs>
        <w:ind w:left="360" w:hanging="360"/>
      </w:pPr>
      <w:rPr>
        <w:rFonts w:ascii="Symbol" w:hAnsi="Symbol" w:cs="Symbol" w:hint="default"/>
        <w:i w:val="false"/>
        <w:b w:val="false"/>
        <w:color w:val="auto"/>
      </w:rPr>
    </w:lvl>
    <w:lvl w:ilvl="1">
      <w:start w:val="1"/>
      <w:numFmt w:val="lowerLetter"/>
      <w:lvlText w:val="%2)"/>
      <w:lvlJc w:val="left"/>
      <w:pPr>
        <w:tabs>
          <w:tab w:val="num" w:pos="737"/>
        </w:tabs>
        <w:ind w:left="737" w:hanging="397"/>
      </w:pPr>
      <w:r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i/>
        <w:b w:val="false"/>
        <w:color w:val="FF0000"/>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7">
    <w:lvl w:ilvl="0">
      <w:start w:val="1"/>
      <w:numFmt w:val="lowerLetter"/>
      <w:lvlText w:val="%1)"/>
      <w:lvlJc w:val="left"/>
      <w:pPr>
        <w:tabs>
          <w:tab w:val="num" w:pos="1545"/>
        </w:tabs>
        <w:ind w:left="1545" w:hanging="465"/>
      </w:pPr>
      <w:rPr>
        <w:sz w:val="22"/>
        <w:i w:val="false"/>
        <w:b w:val="false"/>
        <w:szCs w:val="22"/>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8">
    <w:lvl w:ilvl="0">
      <w:start w:val="1"/>
      <w:numFmt w:val="lowerLetter"/>
      <w:lvlText w:val="%1)"/>
      <w:lvlJc w:val="left"/>
      <w:pPr>
        <w:tabs>
          <w:tab w:val="num" w:pos="700"/>
        </w:tabs>
        <w:ind w:left="700" w:hanging="360"/>
      </w:pPr>
      <w:rPr>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9">
    <w:lvl w:ilvl="0">
      <w:start w:val="1"/>
      <w:numFmt w:val="lowerLetter"/>
      <w:lvlText w:val="%1)"/>
      <w:lvlJc w:val="left"/>
      <w:pPr>
        <w:tabs>
          <w:tab w:val="num" w:pos="1605"/>
        </w:tabs>
        <w:ind w:left="1605" w:hanging="360"/>
      </w:pPr>
      <w:rPr>
        <w:sz w:val="22"/>
        <w:szCs w:val="22"/>
        <w:color w:val="auto"/>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lowerLetter"/>
      <w:lvlText w:val="%1)"/>
      <w:lvlJc w:val="left"/>
      <w:pPr>
        <w:tabs>
          <w:tab w:val="num" w:pos="0"/>
        </w:tabs>
        <w:ind w:left="1077" w:hanging="360"/>
      </w:pPr>
      <w:rPr>
        <w:sz w:val="22"/>
        <w:i w:val="false"/>
        <w:b w:val="false"/>
        <w:szCs w:val="22"/>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32">
    <w:lvl w:ilvl="0">
      <w:numFmt w:val="bullet"/>
      <w:lvlText w:val="-"/>
      <w:lvlJc w:val="left"/>
      <w:pPr>
        <w:tabs>
          <w:tab w:val="num" w:pos="0"/>
        </w:tabs>
        <w:ind w:left="1077" w:hanging="360"/>
      </w:pPr>
      <w:rPr>
        <w:rFonts w:ascii="Tahoma" w:hAnsi="Tahoma" w:cs="Tahoma" w:hint="default"/>
        <w:sz w:val="22"/>
        <w:i w:val="false"/>
        <w:b w:val="false"/>
        <w:szCs w:val="22"/>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3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4">
    <w:lvl w:ilvl="0">
      <w:start w:val="2"/>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7">
    <w:lvl w:ilvl="0">
      <w:start w:val="3"/>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8">
    <w:lvl w:ilvl="0">
      <w:start w:val="4"/>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9">
    <w:lvl w:ilvl="0">
      <w:start w:val="5"/>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0">
    <w:lvl w:ilvl="0">
      <w:start w:val="6"/>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w="http://schemas.openxmlformats.org/wordprocessingml/2006/main">
  <w:zoom w:percent="100"/>
  <w:embedSystemFonts/>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docVars>
    <w:docVar w:name="pDOC_NAME" w:val="-"/>
    <w:docVar w:name="pID_FILE" w:val="-1"/>
    <w:docVar w:name="pID_PIS" w:val="-1"/>
    <w:docVar w:name="sCJ" w:val="CJ-XXX-XXX-XXX"/>
    <w:docVar w:name="sEC" w:val="EC-XXX-XXX-XXX"/>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cs-CZ" w:bidi="ar-SA"/>
    </w:rPr>
  </w:style>
  <w:style w:type="paragraph" w:styleId="Heading1">
    <w:name w:val="heading 1"/>
    <w:basedOn w:val="Normal"/>
    <w:next w:val="Normal"/>
    <w:qFormat/>
    <w:pPr>
      <w:keepNext w:val="true"/>
      <w:tabs>
        <w:tab w:val="clear" w:pos="720"/>
        <w:tab w:val="left" w:pos="7371" w:leader="none"/>
      </w:tabs>
      <w:jc w:val="center"/>
      <w:outlineLvl w:val="0"/>
    </w:pPr>
    <w:rPr>
      <w:b/>
      <w:bCs/>
      <w:sz w:val="28"/>
    </w:rPr>
  </w:style>
  <w:style w:type="paragraph" w:styleId="Heading2">
    <w:name w:val="heading 2"/>
    <w:basedOn w:val="Normal"/>
    <w:next w:val="Normal"/>
    <w:qFormat/>
    <w:pPr>
      <w:keepNext w:val="true"/>
      <w:tabs>
        <w:tab w:val="clear" w:pos="720"/>
        <w:tab w:val="left" w:pos="540" w:leader="none"/>
        <w:tab w:val="left" w:pos="1260" w:leader="none"/>
        <w:tab w:val="left" w:pos="1980" w:leader="none"/>
        <w:tab w:val="left" w:pos="3960" w:leader="none"/>
      </w:tabs>
      <w:jc w:val="center"/>
      <w:outlineLvl w:val="1"/>
    </w:pPr>
    <w:rPr>
      <w:b/>
      <w:bCs/>
    </w:rPr>
  </w:style>
  <w:style w:type="paragraph" w:styleId="Heading3">
    <w:name w:val="heading 3"/>
    <w:basedOn w:val="Normal"/>
    <w:next w:val="Normal"/>
    <w:qFormat/>
    <w:pPr>
      <w:keepNext w:val="true"/>
      <w:jc w:val="both"/>
      <w:outlineLvl w:val="2"/>
    </w:pPr>
    <w:rPr>
      <w:b/>
      <w:szCs w:val="20"/>
      <w:u w:val="single"/>
    </w:rPr>
  </w:style>
  <w:style w:type="paragraph" w:styleId="Heading4">
    <w:name w:val="heading 4"/>
    <w:basedOn w:val="Normal"/>
    <w:next w:val="Normal"/>
    <w:qFormat/>
    <w:pPr>
      <w:keepNext w:val="true"/>
      <w:tabs>
        <w:tab w:val="clear" w:pos="720"/>
        <w:tab w:val="left" w:pos="567" w:leader="none"/>
        <w:tab w:val="left" w:pos="1701" w:leader="none"/>
      </w:tabs>
      <w:spacing w:before="0" w:after="60"/>
      <w:ind w:firstLine="360"/>
      <w:outlineLvl w:val="3"/>
    </w:pPr>
    <w:rPr>
      <w:i/>
      <w:iCs/>
    </w:rPr>
  </w:style>
  <w:style w:type="paragraph" w:styleId="Heading5">
    <w:name w:val="heading 5"/>
    <w:basedOn w:val="Normal"/>
    <w:next w:val="Normal"/>
    <w:qFormat/>
    <w:pPr>
      <w:keepNext w:val="true"/>
      <w:widowControl w:val="false"/>
      <w:spacing w:before="120" w:after="0"/>
      <w:outlineLvl w:val="4"/>
    </w:pPr>
    <w:rPr/>
  </w:style>
  <w:style w:type="paragraph" w:styleId="Heading6">
    <w:name w:val="heading 6"/>
    <w:basedOn w:val="Normal"/>
    <w:next w:val="Normal"/>
    <w:qFormat/>
    <w:pPr>
      <w:keepNext w:val="true"/>
      <w:outlineLvl w:val="5"/>
    </w:pPr>
    <w:rPr>
      <w:i/>
      <w:iCs/>
      <w:color w:val="FF0000"/>
    </w:rPr>
  </w:style>
  <w:style w:type="paragraph" w:styleId="Heading8">
    <w:name w:val="heading 8"/>
    <w:basedOn w:val="Normal"/>
    <w:next w:val="Normal"/>
    <w:qFormat/>
    <w:pPr>
      <w:keepNext w:val="true"/>
      <w:tabs>
        <w:tab w:val="clear" w:pos="720"/>
        <w:tab w:val="left" w:pos="567" w:leader="none"/>
        <w:tab w:val="left" w:pos="1701" w:leader="none"/>
      </w:tabs>
      <w:outlineLvl w:val="7"/>
    </w:pPr>
    <w:rPr>
      <w:i/>
      <w:iCs/>
      <w:sz w:val="28"/>
      <w:u w:val="single"/>
    </w:rPr>
  </w:style>
  <w:style w:type="character" w:styleId="DefaultParagraphFont" w:default="1">
    <w:name w:val="Default Paragraph Font"/>
    <w:uiPriority w:val="1"/>
    <w:semiHidden/>
    <w:unhideWhenUsed/>
    <w:qFormat/>
    <w:rPr/>
  </w:style>
  <w:style w:type="character" w:styleId="PageNumber">
    <w:name w:val="page number"/>
    <w:basedOn w:val="DefaultParagraphFont"/>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Emphasis">
    <w:name w:val="Emphasis"/>
    <w:qFormat/>
    <w:rPr>
      <w:i/>
      <w:iCs/>
    </w:rPr>
  </w:style>
  <w:style w:type="character" w:styleId="Strong">
    <w:name w:val="Strong"/>
    <w:qFormat/>
    <w:rsid w:val="00f76baf"/>
    <w:rPr>
      <w:b/>
      <w:bCs/>
    </w:rPr>
  </w:style>
  <w:style w:type="character" w:styleId="ZkladntextChar" w:customStyle="1">
    <w:name w:val="Základní text Char"/>
    <w:qFormat/>
    <w:rsid w:val="00655a98"/>
    <w:rPr>
      <w:sz w:val="24"/>
      <w:szCs w:val="24"/>
      <w:lang w:val="cs-CZ" w:eastAsia="cs-CZ" w:bidi="ar-SA"/>
    </w:rPr>
  </w:style>
  <w:style w:type="character" w:styleId="CommentReference">
    <w:name w:val="annotation reference"/>
    <w:uiPriority w:val="99"/>
    <w:semiHidden/>
    <w:unhideWhenUsed/>
    <w:qFormat/>
    <w:rsid w:val="0017385a"/>
    <w:rPr>
      <w:sz w:val="16"/>
      <w:szCs w:val="16"/>
    </w:rPr>
  </w:style>
  <w:style w:type="character" w:styleId="TextkomenteChar" w:customStyle="1">
    <w:name w:val="Text komentáře Char"/>
    <w:basedOn w:val="DefaultParagraphFont"/>
    <w:uiPriority w:val="99"/>
    <w:semiHidden/>
    <w:qFormat/>
    <w:rsid w:val="0017385a"/>
    <w:rPr/>
  </w:style>
  <w:style w:type="character" w:styleId="PedmtkomenteChar" w:customStyle="1">
    <w:name w:val="Předmět komentáře Char"/>
    <w:link w:val="annotationsubject"/>
    <w:uiPriority w:val="99"/>
    <w:semiHidden/>
    <w:qFormat/>
    <w:rsid w:val="0017385a"/>
    <w:rPr>
      <w:b/>
      <w:bCs/>
    </w:rPr>
  </w:style>
  <w:style w:type="character" w:styleId="ZhlavChar" w:customStyle="1">
    <w:name w:val="Záhlaví Char"/>
    <w:qFormat/>
    <w:rsid w:val="004c3a76"/>
    <w:rPr>
      <w:sz w:val="24"/>
      <w:szCs w:val="24"/>
    </w:rPr>
  </w:style>
  <w:style w:type="character" w:styleId="normaltextrun" w:customStyle="1">
    <w:name w:val="normaltextrun"/>
    <w:basedOn w:val="DefaultParagraphFont"/>
    <w:qFormat/>
    <w:rsid w:val="005e08a5"/>
    <w:rPr/>
  </w:style>
  <w:style w:type="character" w:styleId="tabchar" w:customStyle="1">
    <w:name w:val="tabchar"/>
    <w:basedOn w:val="DefaultParagraphFont"/>
    <w:qFormat/>
    <w:rsid w:val="005e08a5"/>
    <w:rPr/>
  </w:style>
  <w:style w:type="character" w:styleId="eop" w:customStyle="1">
    <w:name w:val="eop"/>
    <w:basedOn w:val="DefaultParagraphFont"/>
    <w:qFormat/>
    <w:rsid w:val="005e08a5"/>
    <w:rPr/>
  </w:style>
  <w:style w:type="character" w:styleId="contextualspellingandgrammarerror" w:customStyle="1">
    <w:name w:val="contextualspellingandgrammarerror"/>
    <w:basedOn w:val="DefaultParagraphFont"/>
    <w:qFormat/>
    <w:rsid w:val="00ee3a16"/>
    <w:rPr/>
  </w:style>
  <w:style w:type="paragraph" w:styleId="Nadpis">
    <w:name w:val="Nadpis"/>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ZkladntextChar"/>
    <w:pPr>
      <w:tabs>
        <w:tab w:val="clear" w:pos="720"/>
        <w:tab w:val="left" w:pos="540" w:leader="none"/>
        <w:tab w:val="left" w:pos="1260" w:leader="none"/>
        <w:tab w:val="left" w:pos="1980" w:leader="none"/>
        <w:tab w:val="left" w:pos="3960" w:leader="none"/>
      </w:tabs>
      <w:jc w:val="both"/>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Nadpisuser">
    <w:name w:val="Nadpis (user)"/>
    <w:basedOn w:val="Normal"/>
    <w:next w:val="BodyText"/>
    <w:qFormat/>
    <w:pPr>
      <w:keepNext w:val="true"/>
      <w:spacing w:before="240" w:after="120"/>
    </w:pPr>
    <w:rPr>
      <w:rFonts w:ascii="Liberation Sans" w:hAnsi="Liberation Sans" w:eastAsia="Microsoft YaHei" w:cs="Lucida Sans"/>
      <w:sz w:val="28"/>
      <w:szCs w:val="28"/>
    </w:rPr>
  </w:style>
  <w:style w:type="paragraph" w:styleId="Rejstkuser">
    <w:name w:val="Rejstřík (user)"/>
    <w:basedOn w:val="Normal"/>
    <w:qFormat/>
    <w:pPr>
      <w:suppressLineNumbers/>
    </w:pPr>
    <w:rPr>
      <w:rFonts w:cs="Lucida Sans"/>
    </w:rPr>
  </w:style>
  <w:style w:type="paragraph" w:styleId="Import16" w:customStyle="1">
    <w:name w:val="Import 16"/>
    <w:basedOn w:val="Normal"/>
    <w:qFormat/>
    <w:pPr>
      <w:widowControl w:val="false"/>
      <w:tabs>
        <w:tab w:val="clear" w:pos="720"/>
        <w:tab w:val="left" w:pos="864" w:leader="none"/>
      </w:tabs>
      <w:ind w:hanging="144"/>
    </w:pPr>
    <w:rPr>
      <w:rFonts w:ascii="Courier New" w:hAnsi="Courier New" w:cs="Courier New"/>
    </w:rPr>
  </w:style>
  <w:style w:type="paragraph" w:styleId="BodyTextIndent2">
    <w:name w:val="Body Text Indent 2"/>
    <w:basedOn w:val="Normal"/>
    <w:qFormat/>
    <w:pPr>
      <w:widowControl w:val="false"/>
      <w:ind w:hanging="567" w:left="567"/>
      <w:jc w:val="both"/>
    </w:pPr>
    <w:rPr/>
  </w:style>
  <w:style w:type="paragraph" w:styleId="Import5" w:customStyle="1">
    <w:name w:val="Import 5"/>
    <w:basedOn w:val="Normal"/>
    <w:qFormat/>
    <w:pPr>
      <w:widowControl w:val="false"/>
      <w:tabs>
        <w:tab w:val="left" w:pos="720" w:leader="none"/>
        <w:tab w:val="left" w:pos="1584" w:leader="none"/>
        <w:tab w:val="left" w:pos="2448" w:leader="none"/>
        <w:tab w:val="left" w:pos="3312" w:leader="none"/>
        <w:tab w:val="left" w:pos="4176" w:leader="none"/>
        <w:tab w:val="left" w:pos="5040" w:leader="none"/>
        <w:tab w:val="left" w:pos="5904" w:leader="none"/>
        <w:tab w:val="left" w:pos="6768" w:leader="none"/>
        <w:tab w:val="left" w:pos="7632" w:leader="none"/>
        <w:tab w:val="left" w:pos="8496" w:leader="none"/>
        <w:tab w:val="left" w:pos="9360" w:leader="none"/>
        <w:tab w:val="left" w:pos="10224" w:leader="none"/>
        <w:tab w:val="left" w:pos="11088" w:leader="none"/>
        <w:tab w:val="left" w:pos="11952" w:leader="none"/>
        <w:tab w:val="left" w:pos="12816" w:leader="none"/>
        <w:tab w:val="left" w:pos="13680" w:leader="none"/>
        <w:tab w:val="left" w:pos="14544" w:leader="none"/>
        <w:tab w:val="left" w:pos="15408" w:leader="none"/>
        <w:tab w:val="left" w:pos="16272" w:leader="none"/>
        <w:tab w:val="left" w:pos="17136" w:leader="none"/>
        <w:tab w:val="left" w:pos="18000" w:leader="none"/>
        <w:tab w:val="left" w:pos="18864" w:leader="none"/>
      </w:tabs>
      <w:ind w:hanging="288"/>
    </w:pPr>
    <w:rPr>
      <w:rFonts w:ascii="Courier New" w:hAnsi="Courier New" w:cs="Courier New"/>
    </w:rPr>
  </w:style>
  <w:style w:type="paragraph" w:styleId="Import3" w:customStyle="1">
    <w:name w:val="Import 3"/>
    <w:basedOn w:val="Normal"/>
    <w:qFormat/>
    <w:pPr>
      <w:widowControl w:val="false"/>
      <w:tabs>
        <w:tab w:val="left" w:pos="720" w:leader="none"/>
        <w:tab w:val="left" w:pos="1584" w:leader="none"/>
        <w:tab w:val="left" w:pos="2448" w:leader="none"/>
        <w:tab w:val="left" w:pos="3312" w:leader="none"/>
        <w:tab w:val="left" w:pos="4176" w:leader="none"/>
        <w:tab w:val="left" w:pos="5040" w:leader="none"/>
        <w:tab w:val="left" w:pos="5904" w:leader="none"/>
        <w:tab w:val="left" w:pos="6768" w:leader="none"/>
        <w:tab w:val="left" w:pos="7632" w:leader="none"/>
        <w:tab w:val="left" w:pos="8496" w:leader="none"/>
        <w:tab w:val="left" w:pos="9360" w:leader="none"/>
        <w:tab w:val="left" w:pos="10224" w:leader="none"/>
        <w:tab w:val="left" w:pos="11088" w:leader="none"/>
        <w:tab w:val="left" w:pos="11952" w:leader="none"/>
        <w:tab w:val="left" w:pos="12816" w:leader="none"/>
        <w:tab w:val="left" w:pos="13680" w:leader="none"/>
        <w:tab w:val="left" w:pos="14544" w:leader="none"/>
        <w:tab w:val="left" w:pos="15408" w:leader="none"/>
        <w:tab w:val="left" w:pos="16272" w:leader="none"/>
        <w:tab w:val="left" w:pos="17136" w:leader="none"/>
        <w:tab w:val="left" w:pos="18000" w:leader="none"/>
        <w:tab w:val="left" w:pos="18864" w:leader="none"/>
      </w:tabs>
    </w:pPr>
    <w:rPr>
      <w:rFonts w:ascii="Courier New" w:hAnsi="Courier New" w:cs="Courier New"/>
    </w:rPr>
  </w:style>
  <w:style w:type="paragraph" w:styleId="BodyText3">
    <w:name w:val="Body Text 3"/>
    <w:basedOn w:val="Normal"/>
    <w:qFormat/>
    <w:pPr>
      <w:spacing w:lineRule="exact" w:line="240"/>
      <w:jc w:val="both"/>
    </w:pPr>
    <w:rPr>
      <w:szCs w:val="20"/>
    </w:rPr>
  </w:style>
  <w:style w:type="paragraph" w:styleId="Smlouva-eslo" w:customStyle="1">
    <w:name w:val="Smlouva-eíslo"/>
    <w:basedOn w:val="Normal"/>
    <w:qFormat/>
    <w:pPr>
      <w:widowControl w:val="false"/>
      <w:spacing w:lineRule="atLeast" w:line="240" w:before="120" w:after="0"/>
      <w:jc w:val="both"/>
    </w:pPr>
    <w:rPr>
      <w:szCs w:val="20"/>
    </w:rPr>
  </w:style>
  <w:style w:type="paragraph" w:styleId="Smlouva2" w:customStyle="1">
    <w:name w:val="Smlouva2"/>
    <w:basedOn w:val="Normal"/>
    <w:qFormat/>
    <w:pPr>
      <w:widowControl w:val="false"/>
      <w:jc w:val="center"/>
    </w:pPr>
    <w:rPr>
      <w:b/>
      <w:szCs w:val="20"/>
    </w:rPr>
  </w:style>
  <w:style w:type="paragraph" w:styleId="Zhlavazpatuser">
    <w:name w:val="Záhlaví a zápatí (user)"/>
    <w:basedOn w:val="Normal"/>
    <w:qFormat/>
    <w:pPr/>
    <w:rPr/>
  </w:style>
  <w:style w:type="paragraph" w:styleId="Zhlavazpat">
    <w:name w:val="Záhlaví a zápatí"/>
    <w:basedOn w:val="Normal"/>
    <w:qFormat/>
    <w:pPr/>
    <w:rPr/>
  </w:style>
  <w:style w:type="paragraph" w:styleId="Footer">
    <w:name w:val="footer"/>
    <w:basedOn w:val="Normal"/>
    <w:pPr>
      <w:tabs>
        <w:tab w:val="clear" w:pos="720"/>
        <w:tab w:val="center" w:pos="4536" w:leader="none"/>
        <w:tab w:val="right" w:pos="9072" w:leader="none"/>
      </w:tabs>
    </w:pPr>
    <w:rPr/>
  </w:style>
  <w:style w:type="paragraph" w:styleId="BodyTextIndent">
    <w:name w:val="Body Text Indent"/>
    <w:basedOn w:val="Normal"/>
    <w:pPr>
      <w:tabs>
        <w:tab w:val="clear" w:pos="720"/>
        <w:tab w:val="left" w:pos="357" w:leader="none"/>
        <w:tab w:val="left" w:pos="540" w:leader="none"/>
        <w:tab w:val="left" w:pos="1980" w:leader="none"/>
        <w:tab w:val="left" w:pos="7380" w:leader="none"/>
      </w:tabs>
      <w:ind w:hanging="540" w:left="540"/>
      <w:jc w:val="both"/>
    </w:pPr>
    <w:rPr/>
  </w:style>
  <w:style w:type="paragraph" w:styleId="Header">
    <w:name w:val="header"/>
    <w:basedOn w:val="Normal"/>
    <w:link w:val="ZhlavChar"/>
    <w:pPr>
      <w:tabs>
        <w:tab w:val="clear" w:pos="720"/>
        <w:tab w:val="center" w:pos="4536" w:leader="none"/>
        <w:tab w:val="right" w:pos="9072" w:leader="none"/>
      </w:tabs>
    </w:pPr>
    <w:rPr/>
  </w:style>
  <w:style w:type="paragraph" w:styleId="BodyTextIndent3">
    <w:name w:val="Body Text Indent 3"/>
    <w:basedOn w:val="Normal"/>
    <w:qFormat/>
    <w:pPr>
      <w:tabs>
        <w:tab w:val="clear" w:pos="720"/>
        <w:tab w:val="left" w:pos="426" w:leader="none"/>
      </w:tabs>
      <w:ind w:left="357"/>
      <w:jc w:val="both"/>
    </w:pPr>
    <w:rPr>
      <w:i/>
      <w:iCs/>
    </w:rPr>
  </w:style>
  <w:style w:type="paragraph" w:styleId="BodyText2">
    <w:name w:val="Body Text 2"/>
    <w:basedOn w:val="Normal"/>
    <w:qFormat/>
    <w:pPr>
      <w:tabs>
        <w:tab w:val="clear" w:pos="720"/>
        <w:tab w:val="left" w:pos="567" w:leader="none"/>
        <w:tab w:val="left" w:pos="1701" w:leader="none"/>
      </w:tabs>
      <w:spacing w:before="0" w:after="120"/>
    </w:pPr>
    <w:rPr>
      <w:sz w:val="20"/>
    </w:rPr>
  </w:style>
  <w:style w:type="paragraph" w:styleId="Smlouva-slo" w:customStyle="1">
    <w:name w:val="Smlouva-èíslo"/>
    <w:basedOn w:val="Normal"/>
    <w:qFormat/>
    <w:pPr>
      <w:spacing w:lineRule="atLeast" w:line="240" w:before="120" w:after="0"/>
      <w:jc w:val="both"/>
    </w:pPr>
    <w:rPr>
      <w:szCs w:val="20"/>
    </w:rPr>
  </w:style>
  <w:style w:type="paragraph" w:styleId="Title">
    <w:name w:val="Title"/>
    <w:basedOn w:val="Normal"/>
    <w:qFormat/>
    <w:pPr>
      <w:widowControl w:val="false"/>
      <w:jc w:val="center"/>
    </w:pPr>
    <w:rPr>
      <w:b/>
      <w:bCs/>
      <w:sz w:val="32"/>
      <w:szCs w:val="20"/>
    </w:rPr>
  </w:style>
  <w:style w:type="paragraph" w:styleId="Smlouva-slo1" w:customStyle="1">
    <w:name w:val="Smlouva-číslo"/>
    <w:basedOn w:val="Normal"/>
    <w:qFormat/>
    <w:pPr>
      <w:widowControl w:val="false"/>
      <w:spacing w:lineRule="atLeast" w:line="240" w:before="120" w:after="0"/>
      <w:jc w:val="both"/>
    </w:pPr>
    <w:rPr>
      <w:szCs w:val="20"/>
    </w:rPr>
  </w:style>
  <w:style w:type="paragraph" w:styleId="slovnvSOD" w:customStyle="1">
    <w:name w:val="číslování v SOD"/>
    <w:basedOn w:val="BodyText"/>
    <w:qFormat/>
    <w:pPr>
      <w:widowControl w:val="false"/>
      <w:numPr>
        <w:ilvl w:val="0"/>
        <w:numId w:val="6"/>
      </w:numPr>
      <w:tabs>
        <w:tab w:val="clear" w:pos="540"/>
        <w:tab w:val="clear" w:pos="1260"/>
        <w:tab w:val="clear" w:pos="1980"/>
        <w:tab w:val="clear" w:pos="3960"/>
      </w:tabs>
      <w:spacing w:before="0" w:after="120"/>
    </w:pPr>
    <w:rPr>
      <w:rFonts w:ascii="Arial" w:hAnsi="Arial"/>
      <w:sz w:val="22"/>
      <w:szCs w:val="20"/>
    </w:rPr>
  </w:style>
  <w:style w:type="paragraph" w:styleId="Smlouva3" w:customStyle="1">
    <w:name w:val="Smlouva3"/>
    <w:basedOn w:val="Normal"/>
    <w:qFormat/>
    <w:pPr>
      <w:widowControl w:val="false"/>
      <w:spacing w:before="120" w:after="0"/>
      <w:jc w:val="both"/>
    </w:pPr>
    <w:rPr>
      <w:szCs w:val="20"/>
    </w:rPr>
  </w:style>
  <w:style w:type="paragraph" w:styleId="xl24" w:customStyle="1">
    <w:name w:val="xl24"/>
    <w:basedOn w:val="Normal"/>
    <w:qFormat/>
    <w:pPr>
      <w:pBdr>
        <w:top w:val="single" w:sz="8" w:space="0" w:color="000000"/>
        <w:right w:val="single" w:sz="4" w:space="0" w:color="000000"/>
      </w:pBdr>
      <w:spacing w:beforeAutospacing="1" w:afterAutospacing="1"/>
      <w:jc w:val="center"/>
      <w:textAlignment w:val="center"/>
    </w:pPr>
    <w:rPr>
      <w:b/>
      <w:bCs/>
    </w:rPr>
  </w:style>
  <w:style w:type="paragraph" w:styleId="xl25" w:customStyle="1">
    <w:name w:val="xl25"/>
    <w:basedOn w:val="Normal"/>
    <w:qFormat/>
    <w:pPr>
      <w:pBdr>
        <w:top w:val="single" w:sz="8" w:space="0" w:color="000000"/>
        <w:left w:val="single" w:sz="4" w:space="0" w:color="000000"/>
        <w:right w:val="single" w:sz="4" w:space="0" w:color="000000"/>
      </w:pBdr>
      <w:spacing w:beforeAutospacing="1" w:afterAutospacing="1"/>
      <w:jc w:val="center"/>
      <w:textAlignment w:val="center"/>
    </w:pPr>
    <w:rPr>
      <w:b/>
      <w:bCs/>
    </w:rPr>
  </w:style>
  <w:style w:type="paragraph" w:styleId="xl26" w:customStyle="1">
    <w:name w:val="xl26"/>
    <w:basedOn w:val="Normal"/>
    <w:qFormat/>
    <w:pPr>
      <w:pBdr>
        <w:top w:val="single" w:sz="8" w:space="0" w:color="000000"/>
        <w:left w:val="single" w:sz="4" w:space="0" w:color="000000"/>
        <w:right w:val="single" w:sz="8" w:space="0" w:color="000000"/>
      </w:pBdr>
      <w:spacing w:beforeAutospacing="1" w:afterAutospacing="1"/>
      <w:jc w:val="center"/>
      <w:textAlignment w:val="center"/>
    </w:pPr>
    <w:rPr>
      <w:b/>
      <w:bCs/>
    </w:rPr>
  </w:style>
  <w:style w:type="paragraph" w:styleId="xl27" w:customStyle="1">
    <w:name w:val="xl27"/>
    <w:basedOn w:val="Normal"/>
    <w:qFormat/>
    <w:pPr>
      <w:pBdr>
        <w:left w:val="single" w:sz="8" w:space="0" w:color="000000"/>
        <w:bottom w:val="single" w:sz="8" w:space="0" w:color="000000"/>
      </w:pBdr>
      <w:spacing w:beforeAutospacing="1" w:afterAutospacing="1"/>
      <w:jc w:val="center"/>
      <w:textAlignment w:val="center"/>
    </w:pPr>
    <w:rPr>
      <w:b/>
      <w:bCs/>
    </w:rPr>
  </w:style>
  <w:style w:type="paragraph" w:styleId="xl28" w:customStyle="1">
    <w:name w:val="xl28"/>
    <w:basedOn w:val="Normal"/>
    <w:qFormat/>
    <w:pPr>
      <w:pBdr>
        <w:bottom w:val="single" w:sz="8" w:space="0" w:color="000000"/>
        <w:right w:val="single" w:sz="4" w:space="0" w:color="000000"/>
      </w:pBdr>
      <w:spacing w:beforeAutospacing="1" w:afterAutospacing="1"/>
      <w:jc w:val="center"/>
      <w:textAlignment w:val="center"/>
    </w:pPr>
    <w:rPr>
      <w:b/>
      <w:bCs/>
    </w:rPr>
  </w:style>
  <w:style w:type="paragraph" w:styleId="xl29" w:customStyle="1">
    <w:name w:val="xl29"/>
    <w:basedOn w:val="Normal"/>
    <w:qFormat/>
    <w:pPr>
      <w:pBdr>
        <w:left w:val="single" w:sz="4" w:space="0" w:color="000000"/>
        <w:bottom w:val="single" w:sz="8" w:space="0" w:color="000000"/>
        <w:right w:val="single" w:sz="4" w:space="0" w:color="000000"/>
      </w:pBdr>
      <w:spacing w:beforeAutospacing="1" w:afterAutospacing="1"/>
      <w:jc w:val="center"/>
      <w:textAlignment w:val="center"/>
    </w:pPr>
    <w:rPr>
      <w:b/>
      <w:bCs/>
    </w:rPr>
  </w:style>
  <w:style w:type="paragraph" w:styleId="xl30" w:customStyle="1">
    <w:name w:val="xl30"/>
    <w:basedOn w:val="Normal"/>
    <w:qFormat/>
    <w:pPr>
      <w:pBdr>
        <w:left w:val="single" w:sz="4" w:space="0" w:color="000000"/>
        <w:bottom w:val="single" w:sz="8" w:space="0" w:color="000000"/>
        <w:right w:val="single" w:sz="8" w:space="0" w:color="000000"/>
      </w:pBdr>
      <w:spacing w:beforeAutospacing="1" w:afterAutospacing="1"/>
      <w:jc w:val="center"/>
      <w:textAlignment w:val="center"/>
    </w:pPr>
    <w:rPr>
      <w:b/>
      <w:bCs/>
    </w:rPr>
  </w:style>
  <w:style w:type="paragraph" w:styleId="xl31" w:customStyle="1">
    <w:name w:val="xl31"/>
    <w:basedOn w:val="Normal"/>
    <w:qFormat/>
    <w:pPr>
      <w:pBdr>
        <w:top w:val="single" w:sz="8" w:space="0" w:color="000000"/>
        <w:left w:val="single" w:sz="8" w:space="0" w:color="000000"/>
        <w:right w:val="single" w:sz="4" w:space="0" w:color="000000"/>
      </w:pBdr>
      <w:spacing w:beforeAutospacing="1" w:afterAutospacing="1"/>
      <w:jc w:val="center"/>
      <w:textAlignment w:val="center"/>
    </w:pPr>
    <w:rPr>
      <w:sz w:val="22"/>
      <w:szCs w:val="22"/>
    </w:rPr>
  </w:style>
  <w:style w:type="paragraph" w:styleId="xl32" w:customStyle="1">
    <w:name w:val="xl32"/>
    <w:basedOn w:val="Normal"/>
    <w:qFormat/>
    <w:pPr>
      <w:pBdr>
        <w:top w:val="single" w:sz="8" w:space="0" w:color="000000"/>
        <w:left w:val="single" w:sz="4" w:space="0" w:color="000000"/>
        <w:right w:val="single" w:sz="4" w:space="0" w:color="000000"/>
      </w:pBdr>
      <w:spacing w:beforeAutospacing="1" w:afterAutospacing="1"/>
      <w:textAlignment w:val="center"/>
    </w:pPr>
    <w:rPr>
      <w:sz w:val="22"/>
      <w:szCs w:val="22"/>
    </w:rPr>
  </w:style>
  <w:style w:type="paragraph" w:styleId="xl33" w:customStyle="1">
    <w:name w:val="xl33"/>
    <w:basedOn w:val="Normal"/>
    <w:qFormat/>
    <w:pPr>
      <w:pBdr>
        <w:top w:val="single" w:sz="8" w:space="0" w:color="000000"/>
        <w:bottom w:val="single" w:sz="4" w:space="0" w:color="000000"/>
        <w:right w:val="single" w:sz="4" w:space="0" w:color="000000"/>
      </w:pBdr>
      <w:spacing w:beforeAutospacing="1" w:afterAutospacing="1"/>
      <w:jc w:val="center"/>
      <w:textAlignment w:val="center"/>
    </w:pPr>
    <w:rPr>
      <w:sz w:val="22"/>
      <w:szCs w:val="22"/>
    </w:rPr>
  </w:style>
  <w:style w:type="paragraph" w:styleId="xl34" w:customStyle="1">
    <w:name w:val="xl34"/>
    <w:basedOn w:val="Normal"/>
    <w:qFormat/>
    <w:pPr>
      <w:pBdr>
        <w:top w:val="single" w:sz="8" w:space="0" w:color="000000"/>
        <w:bottom w:val="single" w:sz="4" w:space="0" w:color="000000"/>
        <w:right w:val="single" w:sz="4" w:space="0" w:color="000000"/>
      </w:pBdr>
      <w:spacing w:beforeAutospacing="1" w:afterAutospacing="1"/>
      <w:jc w:val="right"/>
      <w:textAlignment w:val="center"/>
    </w:pPr>
    <w:rPr>
      <w:sz w:val="22"/>
      <w:szCs w:val="22"/>
    </w:rPr>
  </w:style>
  <w:style w:type="paragraph" w:styleId="xl35" w:customStyle="1">
    <w:name w:val="xl35"/>
    <w:basedOn w:val="Normal"/>
    <w:qFormat/>
    <w:pPr>
      <w:pBdr>
        <w:top w:val="single" w:sz="8" w:space="0" w:color="000000"/>
        <w:bottom w:val="single" w:sz="4" w:space="0" w:color="000000"/>
        <w:right w:val="single" w:sz="8" w:space="0" w:color="000000"/>
      </w:pBdr>
      <w:spacing w:beforeAutospacing="1" w:afterAutospacing="1"/>
      <w:jc w:val="right"/>
      <w:textAlignment w:val="center"/>
    </w:pPr>
    <w:rPr>
      <w:sz w:val="22"/>
      <w:szCs w:val="22"/>
    </w:rPr>
  </w:style>
  <w:style w:type="paragraph" w:styleId="xl36" w:customStyle="1">
    <w:name w:val="xl36"/>
    <w:basedOn w:val="Normal"/>
    <w:qFormat/>
    <w:pPr>
      <w:pBdr>
        <w:left w:val="single" w:sz="8" w:space="0" w:color="000000"/>
        <w:right w:val="single" w:sz="4" w:space="0" w:color="000000"/>
      </w:pBdr>
      <w:spacing w:beforeAutospacing="1" w:afterAutospacing="1"/>
      <w:jc w:val="center"/>
      <w:textAlignment w:val="center"/>
    </w:pPr>
    <w:rPr>
      <w:sz w:val="22"/>
      <w:szCs w:val="22"/>
    </w:rPr>
  </w:style>
  <w:style w:type="paragraph" w:styleId="xl37" w:customStyle="1">
    <w:name w:val="xl37"/>
    <w:basedOn w:val="Normal"/>
    <w:qFormat/>
    <w:pPr>
      <w:pBdr>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styleId="xl38" w:customStyle="1">
    <w:name w:val="xl38"/>
    <w:basedOn w:val="Normal"/>
    <w:qFormat/>
    <w:pPr>
      <w:pBdr>
        <w:left w:val="single" w:sz="4" w:space="0" w:color="000000"/>
        <w:bottom w:val="single" w:sz="8" w:space="0" w:color="000000"/>
      </w:pBdr>
      <w:spacing w:beforeAutospacing="1" w:afterAutospacing="1"/>
      <w:textAlignment w:val="center"/>
    </w:pPr>
    <w:rPr>
      <w:sz w:val="22"/>
      <w:szCs w:val="22"/>
    </w:rPr>
  </w:style>
  <w:style w:type="paragraph" w:styleId="xl39" w:customStyle="1">
    <w:name w:val="xl39"/>
    <w:basedOn w:val="Normal"/>
    <w:qFormat/>
    <w:pPr>
      <w:pBdr>
        <w:right w:val="single" w:sz="4" w:space="0" w:color="000000"/>
      </w:pBdr>
      <w:spacing w:beforeAutospacing="1" w:afterAutospacing="1"/>
      <w:jc w:val="center"/>
      <w:textAlignment w:val="center"/>
    </w:pPr>
    <w:rPr>
      <w:sz w:val="22"/>
      <w:szCs w:val="22"/>
    </w:rPr>
  </w:style>
  <w:style w:type="paragraph" w:styleId="xl40" w:customStyle="1">
    <w:name w:val="xl40"/>
    <w:basedOn w:val="Normal"/>
    <w:qFormat/>
    <w:pPr>
      <w:pBdr>
        <w:right w:val="single" w:sz="4" w:space="0" w:color="000000"/>
      </w:pBdr>
      <w:spacing w:beforeAutospacing="1" w:afterAutospacing="1"/>
      <w:jc w:val="right"/>
      <w:textAlignment w:val="center"/>
    </w:pPr>
    <w:rPr>
      <w:sz w:val="22"/>
      <w:szCs w:val="22"/>
    </w:rPr>
  </w:style>
  <w:style w:type="paragraph" w:styleId="xl41" w:customStyle="1">
    <w:name w:val="xl41"/>
    <w:basedOn w:val="Normal"/>
    <w:qFormat/>
    <w:pPr>
      <w:pBdr>
        <w:right w:val="single" w:sz="8" w:space="0" w:color="000000"/>
      </w:pBdr>
      <w:spacing w:beforeAutospacing="1" w:afterAutospacing="1"/>
      <w:jc w:val="right"/>
      <w:textAlignment w:val="center"/>
    </w:pPr>
    <w:rPr>
      <w:sz w:val="22"/>
      <w:szCs w:val="22"/>
    </w:rPr>
  </w:style>
  <w:style w:type="paragraph" w:styleId="xl42" w:customStyle="1">
    <w:name w:val="xl42"/>
    <w:basedOn w:val="Normal"/>
    <w:qFormat/>
    <w:pPr>
      <w:pBdr>
        <w:top w:val="single" w:sz="8" w:space="0" w:color="000000"/>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styleId="xl43" w:customStyle="1">
    <w:name w:val="xl43"/>
    <w:basedOn w:val="Normal"/>
    <w:qFormat/>
    <w:pPr>
      <w:pBdr>
        <w:top w:val="single" w:sz="8" w:space="0" w:color="000000"/>
        <w:bottom w:val="single" w:sz="8" w:space="0" w:color="000000"/>
        <w:right w:val="single" w:sz="4" w:space="0" w:color="000000"/>
      </w:pBdr>
      <w:spacing w:beforeAutospacing="1" w:afterAutospacing="1"/>
      <w:jc w:val="right"/>
      <w:textAlignment w:val="center"/>
    </w:pPr>
    <w:rPr>
      <w:sz w:val="22"/>
      <w:szCs w:val="22"/>
    </w:rPr>
  </w:style>
  <w:style w:type="paragraph" w:styleId="xl44" w:customStyle="1">
    <w:name w:val="xl44"/>
    <w:basedOn w:val="Normal"/>
    <w:qFormat/>
    <w:pPr>
      <w:pBdr>
        <w:top w:val="single" w:sz="8" w:space="0" w:color="000000"/>
        <w:bottom w:val="single" w:sz="8" w:space="0" w:color="000000"/>
        <w:right w:val="single" w:sz="8" w:space="0" w:color="000000"/>
      </w:pBdr>
      <w:spacing w:beforeAutospacing="1" w:afterAutospacing="1"/>
      <w:jc w:val="right"/>
      <w:textAlignment w:val="center"/>
    </w:pPr>
    <w:rPr>
      <w:sz w:val="22"/>
      <w:szCs w:val="22"/>
    </w:rPr>
  </w:style>
  <w:style w:type="paragraph" w:styleId="xl45" w:customStyle="1">
    <w:name w:val="xl45"/>
    <w:basedOn w:val="Normal"/>
    <w:qFormat/>
    <w:pPr>
      <w:pBdr>
        <w:top w:val="single" w:sz="4" w:space="0" w:color="000000"/>
        <w:left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styleId="xl46" w:customStyle="1">
    <w:name w:val="xl46"/>
    <w:basedOn w:val="Normal"/>
    <w:qFormat/>
    <w:pPr>
      <w:pBdr>
        <w:top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styleId="xl47" w:customStyle="1">
    <w:name w:val="xl47"/>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b/>
      <w:bCs/>
      <w:color w:val="000000"/>
      <w:sz w:val="22"/>
      <w:szCs w:val="22"/>
    </w:rPr>
  </w:style>
  <w:style w:type="paragraph" w:styleId="xl48" w:customStyle="1">
    <w:name w:val="xl48"/>
    <w:basedOn w:val="Normal"/>
    <w:qFormat/>
    <w:pPr>
      <w:pBdr>
        <w:bottom w:val="single" w:sz="4" w:space="0" w:color="000000"/>
        <w:right w:val="single" w:sz="4" w:space="0" w:color="000000"/>
      </w:pBdr>
      <w:shd w:val="clear" w:color="auto" w:fill="C0C0C0"/>
      <w:spacing w:beforeAutospacing="1" w:afterAutospacing="1"/>
      <w:jc w:val="center"/>
      <w:textAlignment w:val="center"/>
    </w:pPr>
    <w:rPr>
      <w:sz w:val="22"/>
      <w:szCs w:val="22"/>
    </w:rPr>
  </w:style>
  <w:style w:type="paragraph" w:styleId="xl49" w:customStyle="1">
    <w:name w:val="xl49"/>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rFonts w:eastAsia="Arial Unicode MS"/>
      <w:b/>
      <w:bCs/>
      <w:color w:val="000000"/>
      <w:sz w:val="22"/>
      <w:szCs w:val="22"/>
    </w:rPr>
  </w:style>
  <w:style w:type="paragraph" w:styleId="xl50" w:customStyle="1">
    <w:name w:val="xl50"/>
    <w:basedOn w:val="Normal"/>
    <w:qFormat/>
    <w:pPr>
      <w:pBdr>
        <w:bottom w:val="single" w:sz="4" w:space="0" w:color="000000"/>
        <w:right w:val="single" w:sz="4" w:space="0" w:color="000000"/>
      </w:pBdr>
      <w:shd w:val="clear" w:color="auto" w:fill="C0C0C0"/>
      <w:spacing w:beforeAutospacing="1" w:afterAutospacing="1"/>
      <w:jc w:val="center"/>
      <w:textAlignment w:val="center"/>
    </w:pPr>
    <w:rPr>
      <w:rFonts w:eastAsia="Arial Unicode MS"/>
      <w:sz w:val="22"/>
      <w:szCs w:val="22"/>
    </w:rPr>
  </w:style>
  <w:style w:type="paragraph" w:styleId="NzevSmlouvy" w:customStyle="1">
    <w:name w:val="NázevSmlouvy"/>
    <w:basedOn w:val="Header"/>
    <w:next w:val="Normal"/>
    <w:qFormat/>
    <w:pPr>
      <w:keepNext w:val="true"/>
      <w:widowControl w:val="false"/>
      <w:tabs>
        <w:tab w:val="clear" w:pos="4536"/>
        <w:tab w:val="clear" w:pos="9072"/>
      </w:tabs>
      <w:spacing w:before="480" w:after="0"/>
      <w:jc w:val="center"/>
    </w:pPr>
    <w:rPr>
      <w:b/>
      <w:bCs/>
      <w:sz w:val="32"/>
      <w:szCs w:val="20"/>
    </w:rPr>
  </w:style>
  <w:style w:type="paragraph" w:styleId="OdstavecSmlouvy" w:customStyle="1">
    <w:name w:val="OdstavecSmlouvy"/>
    <w:basedOn w:val="Normal"/>
    <w:qFormat/>
    <w:pPr>
      <w:keepLines/>
      <w:numPr>
        <w:ilvl w:val="0"/>
        <w:numId w:val="1"/>
      </w:numPr>
      <w:tabs>
        <w:tab w:val="clear" w:pos="720"/>
        <w:tab w:val="left" w:pos="426" w:leader="none"/>
        <w:tab w:val="left" w:pos="1701" w:leader="none"/>
      </w:tabs>
      <w:spacing w:before="0" w:after="120"/>
      <w:jc w:val="both"/>
    </w:pPr>
    <w:rPr>
      <w:szCs w:val="20"/>
    </w:rPr>
  </w:style>
  <w:style w:type="paragraph" w:styleId="slovanPododstavecSmlouvy" w:customStyle="1">
    <w:name w:val="ČíslovanýPododstavecSmlouvy"/>
    <w:basedOn w:val="BodyText"/>
    <w:qFormat/>
    <w:pPr>
      <w:numPr>
        <w:ilvl w:val="0"/>
        <w:numId w:val="21"/>
      </w:numPr>
      <w:tabs>
        <w:tab w:val="clear" w:pos="540"/>
        <w:tab w:val="left" w:pos="284" w:leader="none"/>
        <w:tab w:val="left" w:pos="1260" w:leader="none"/>
        <w:tab w:val="left" w:pos="1980" w:leader="none"/>
        <w:tab w:val="left" w:pos="3960" w:leader="none"/>
      </w:tabs>
    </w:pPr>
    <w:rPr/>
  </w:style>
  <w:style w:type="paragraph" w:styleId="dajeOSmluvnStran" w:customStyle="1">
    <w:name w:val="ÚdajeOSmluvníStraně"/>
    <w:basedOn w:val="Normal"/>
    <w:qFormat/>
    <w:pPr>
      <w:ind w:left="357"/>
    </w:pPr>
    <w:rPr>
      <w:szCs w:val="20"/>
    </w:rPr>
  </w:style>
  <w:style w:type="paragraph" w:styleId="BalloonText">
    <w:name w:val="Balloon Text"/>
    <w:basedOn w:val="Normal"/>
    <w:semiHidden/>
    <w:qFormat/>
    <w:pPr/>
    <w:rPr>
      <w:rFonts w:ascii="Tahoma" w:hAnsi="Tahoma" w:cs="Tahoma"/>
      <w:sz w:val="16"/>
      <w:szCs w:val="16"/>
    </w:rPr>
  </w:style>
  <w:style w:type="paragraph" w:styleId="Subtitle">
    <w:name w:val="Subtitle"/>
    <w:basedOn w:val="Normal"/>
    <w:qFormat/>
    <w:pPr>
      <w:jc w:val="center"/>
    </w:pPr>
    <w:rPr>
      <w:b/>
      <w:color w:val="000000"/>
      <w:sz w:val="28"/>
      <w:szCs w:val="20"/>
    </w:rPr>
  </w:style>
  <w:style w:type="paragraph" w:styleId="slovn" w:customStyle="1">
    <w:name w:val="Číslování"/>
    <w:basedOn w:val="Smlouva3"/>
    <w:qFormat/>
    <w:pPr>
      <w:widowControl/>
    </w:pPr>
    <w:rPr/>
  </w:style>
  <w:style w:type="paragraph" w:styleId="KUMS-adresa" w:customStyle="1">
    <w:name w:val="KUMS-adresa"/>
    <w:basedOn w:val="Normal"/>
    <w:qFormat/>
    <w:rsid w:val="00f13a88"/>
    <w:pPr>
      <w:spacing w:lineRule="exact" w:line="280"/>
      <w:jc w:val="both"/>
    </w:pPr>
    <w:rPr>
      <w:rFonts w:ascii="Tahoma" w:hAnsi="Tahoma" w:cs="Tahoma"/>
      <w:sz w:val="20"/>
      <w:szCs w:val="20"/>
    </w:rPr>
  </w:style>
  <w:style w:type="paragraph" w:styleId="CharChar1" w:customStyle="1">
    <w:name w:val="Char Char1"/>
    <w:basedOn w:val="Normal"/>
    <w:qFormat/>
    <w:rsid w:val="00b937d0"/>
    <w:pPr>
      <w:spacing w:lineRule="exact" w:line="240" w:before="0" w:after="160"/>
    </w:pPr>
    <w:rPr>
      <w:rFonts w:ascii="Verdana" w:hAnsi="Verdana" w:cs="Verdana"/>
      <w:sz w:val="20"/>
      <w:szCs w:val="20"/>
      <w:lang w:val="en-US" w:eastAsia="en-US"/>
    </w:rPr>
  </w:style>
  <w:style w:type="paragraph" w:styleId="msolistparagraph" w:customStyle="1">
    <w:name w:val="msolistparagraph"/>
    <w:basedOn w:val="Normal"/>
    <w:qFormat/>
    <w:rsid w:val="00441296"/>
    <w:pPr>
      <w:ind w:left="720"/>
    </w:pPr>
    <w:rPr/>
  </w:style>
  <w:style w:type="paragraph" w:styleId="CharCharChar" w:customStyle="1">
    <w:name w:val="Char Char Char"/>
    <w:basedOn w:val="Normal"/>
    <w:qFormat/>
    <w:rsid w:val="00655a98"/>
    <w:pPr>
      <w:spacing w:lineRule="exact" w:line="240" w:before="0" w:after="160"/>
    </w:pPr>
    <w:rPr>
      <w:rFonts w:ascii="Verdana" w:hAnsi="Verdana" w:cs="Verdana"/>
      <w:sz w:val="20"/>
      <w:szCs w:val="20"/>
      <w:lang w:val="en-US" w:eastAsia="en-US"/>
    </w:rPr>
  </w:style>
  <w:style w:type="paragraph" w:styleId="odstavecsmlouvy1" w:customStyle="1">
    <w:name w:val="odstavecsmlouvy1"/>
    <w:basedOn w:val="Normal"/>
    <w:qFormat/>
    <w:rsid w:val="004c68e7"/>
    <w:pPr>
      <w:spacing w:beforeAutospacing="1" w:afterAutospacing="1"/>
    </w:pPr>
    <w:rPr/>
  </w:style>
  <w:style w:type="paragraph" w:styleId="Default" w:customStyle="1">
    <w:name w:val="Default"/>
    <w:qFormat/>
    <w:rsid w:val="00807e38"/>
    <w:pPr>
      <w:widowControl/>
      <w:suppressAutoHyphens w:val="true"/>
      <w:bidi w:val="0"/>
      <w:spacing w:before="0" w:after="0"/>
      <w:jc w:val="left"/>
    </w:pPr>
    <w:rPr>
      <w:rFonts w:ascii="Tahoma" w:hAnsi="Tahoma" w:eastAsia="Times New Roman" w:cs="Tahoma"/>
      <w:color w:val="000000"/>
      <w:kern w:val="0"/>
      <w:sz w:val="24"/>
      <w:szCs w:val="24"/>
      <w:lang w:val="cs-CZ" w:eastAsia="cs-CZ" w:bidi="ar-SA"/>
    </w:rPr>
  </w:style>
  <w:style w:type="paragraph" w:styleId="CommentText">
    <w:name w:val="annotation text"/>
    <w:basedOn w:val="Normal"/>
    <w:link w:val="TextkomenteChar"/>
    <w:uiPriority w:val="99"/>
    <w:semiHidden/>
    <w:unhideWhenUsed/>
    <w:rsid w:val="0017385a"/>
    <w:pPr/>
    <w:rPr>
      <w:sz w:val="20"/>
      <w:szCs w:val="20"/>
    </w:rPr>
  </w:style>
  <w:style w:type="paragraph" w:styleId="annotationsubject">
    <w:name w:val="annotation subject"/>
    <w:basedOn w:val="CommentText"/>
    <w:next w:val="CommentText"/>
    <w:link w:val="PedmtkomenteChar"/>
    <w:uiPriority w:val="99"/>
    <w:semiHidden/>
    <w:unhideWhenUsed/>
    <w:qFormat/>
    <w:rsid w:val="0017385a"/>
    <w:pPr/>
    <w:rPr>
      <w:b/>
      <w:bCs/>
    </w:rPr>
  </w:style>
  <w:style w:type="paragraph" w:styleId="paragraph" w:customStyle="1">
    <w:name w:val="paragraph"/>
    <w:basedOn w:val="Normal"/>
    <w:qFormat/>
    <w:rsid w:val="005e08a5"/>
    <w:pPr>
      <w:spacing w:beforeAutospacing="1" w:afterAutospacing="1"/>
    </w:pPr>
    <w:rPr/>
  </w:style>
  <w:style w:type="paragraph" w:styleId="Revision">
    <w:name w:val="Revision"/>
    <w:uiPriority w:val="99"/>
    <w:semiHidden/>
    <w:qFormat/>
    <w:rsid w:val="005f178f"/>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cs-CZ" w:bidi="ar-SA"/>
    </w:rPr>
  </w:style>
  <w:style w:type="paragraph" w:styleId="ListParagraph">
    <w:name w:val="List Paragraph"/>
    <w:basedOn w:val="Normal"/>
    <w:uiPriority w:val="34"/>
    <w:qFormat/>
    <w:rsid w:val="001913c5"/>
    <w:pPr>
      <w:spacing w:before="0" w:after="0"/>
      <w:ind w:left="720"/>
      <w:contextualSpacing/>
    </w:pPr>
    <w:rPr/>
  </w:style>
  <w:style w:type="paragraph" w:styleId="Obsahrmceuser">
    <w:name w:val="Obsah rámce (user)"/>
    <w:basedOn w:val="Normal"/>
    <w:qFormat/>
    <w:pPr/>
    <w:rPr/>
  </w:style>
  <w:style w:type="numbering" w:styleId="Bezseznamuuser" w:default="1">
    <w:name w:val="Bez seznamu (user)"/>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rsid w:val="00d606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doplnitweb.cz/"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Motiv Office">
  <a:themeElements>
    <a:clrScheme name="Kancelář">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LibreOffice/25.2.2.2$Windows_X86_64 LibreOffice_project/7370d4be9e3cf6031a51beef54ff3bda878e3fac</Application>
  <AppVersion>15.0000</AppVersion>
  <Pages>18</Pages>
  <Words>7544</Words>
  <Characters>45120</Characters>
  <CharactersWithSpaces>52212</CharactersWithSpaces>
  <Paragraphs>277</Paragraphs>
  <Company>Moravskoslezský kraj</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2023-11-08T12:55:00Z</dcterms:created>
  <dc:creator>sames</dc:creator>
  <dc:description/>
  <dc:language>cs-CZ</dc:language>
  <cp:lastModifiedBy/>
  <cp:lastPrinted>2019-06-12T07:09:00Z</cp:lastPrinted>
  <dcterms:modified xsi:type="dcterms:W3CDTF">2025-04-16T14:21:12Z</dcterms:modified>
  <cp:revision>19</cp:revision>
  <dc:subject/>
  <dc:title>SMLOUVA  O  DÍLO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0x0101003A2C300378B0DD4C85E9AB2C679B5213</vt:lpwstr>
  </property>
  <property fmtid="{D5CDD505-2E9C-101B-9397-08002B2CF9AE}" pid="4" name="MSIP_Label_63ff9749-f68b-40ec-aa05-229831920469_ActionId">
    <vt:lpwstr>c98fdd37-2dcd-4ca8-8100-d2df55d7289f</vt:lpwstr>
  </property>
  <property fmtid="{D5CDD505-2E9C-101B-9397-08002B2CF9AE}" pid="5" name="MSIP_Label_63ff9749-f68b-40ec-aa05-229831920469_ContentBits">
    <vt:lpwstr>2</vt:lpwstr>
  </property>
  <property fmtid="{D5CDD505-2E9C-101B-9397-08002B2CF9AE}" pid="6" name="MSIP_Label_63ff9749-f68b-40ec-aa05-229831920469_Enabled">
    <vt:lpwstr>true</vt:lpwstr>
  </property>
  <property fmtid="{D5CDD505-2E9C-101B-9397-08002B2CF9AE}" pid="7" name="MSIP_Label_63ff9749-f68b-40ec-aa05-229831920469_Method">
    <vt:lpwstr>Standard</vt:lpwstr>
  </property>
  <property fmtid="{D5CDD505-2E9C-101B-9397-08002B2CF9AE}" pid="8" name="MSIP_Label_63ff9749-f68b-40ec-aa05-229831920469_Name">
    <vt:lpwstr>Neveřejná informace</vt:lpwstr>
  </property>
  <property fmtid="{D5CDD505-2E9C-101B-9397-08002B2CF9AE}" pid="9" name="MSIP_Label_63ff9749-f68b-40ec-aa05-229831920469_SetDate">
    <vt:lpwstr>2022-01-31T11:02:47Z</vt:lpwstr>
  </property>
  <property fmtid="{D5CDD505-2E9C-101B-9397-08002B2CF9AE}" pid="10" name="MSIP_Label_63ff9749-f68b-40ec-aa05-229831920469_SiteId">
    <vt:lpwstr>39f24d0b-aa30-4551-8e81-43c77cf1000e</vt:lpwstr>
  </property>
  <property fmtid="{D5CDD505-2E9C-101B-9397-08002B2CF9AE}" pid="11" name="Order">
    <vt:r8>1832300</vt:r8>
  </property>
  <property fmtid="{D5CDD505-2E9C-101B-9397-08002B2CF9AE}" pid="12" name="TemplateUrl">
    <vt:lpwstr/>
  </property>
  <property fmtid="{D5CDD505-2E9C-101B-9397-08002B2CF9AE}" pid="13" name="TriggerFlowInfo">
    <vt:lpwstr/>
  </property>
  <property fmtid="{D5CDD505-2E9C-101B-9397-08002B2CF9AE}" pid="14" name="_ExtendedDescription">
    <vt:lpwstr/>
  </property>
  <property fmtid="{D5CDD505-2E9C-101B-9397-08002B2CF9AE}" pid="15" name="xd_ProgID">
    <vt:lpwstr/>
  </property>
  <property fmtid="{D5CDD505-2E9C-101B-9397-08002B2CF9AE}" pid="16" name="xd_Signature">
    <vt:bool>0</vt:bool>
  </property>
</Properties>
</file>