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DB578" w14:textId="77777777" w:rsidR="00014B18" w:rsidRPr="00355D97" w:rsidRDefault="007C0821" w:rsidP="000D0EC2">
      <w:pPr>
        <w:pStyle w:val="Nadpis1"/>
        <w:tabs>
          <w:tab w:val="clear" w:pos="624"/>
        </w:tabs>
        <w:ind w:left="0" w:firstLine="0"/>
      </w:pPr>
      <w:bookmarkStart w:id="0" w:name="_Hlk39829021"/>
      <w:r>
        <w:t>P</w:t>
      </w:r>
      <w:r w:rsidR="00152582" w:rsidRPr="00242DA3">
        <w:t xml:space="preserve">lnění </w:t>
      </w:r>
      <w:r w:rsidR="006507AD" w:rsidRPr="00242DA3">
        <w:t>rozpočtu M</w:t>
      </w:r>
      <w:r w:rsidR="0099361A" w:rsidRPr="00242DA3">
        <w:t>oravskoslezského kraje</w:t>
      </w:r>
      <w:r w:rsidR="00A36140">
        <w:t xml:space="preserve"> na rok 2020</w:t>
      </w:r>
      <w:r w:rsidR="0099361A" w:rsidRPr="00242DA3">
        <w:t xml:space="preserve"> a</w:t>
      </w:r>
      <w:r w:rsidR="00242DA3">
        <w:t> </w:t>
      </w:r>
      <w:r w:rsidR="0099361A" w:rsidRPr="00242DA3">
        <w:t>jeho úprav</w:t>
      </w:r>
      <w:r>
        <w:t>y</w:t>
      </w:r>
      <w:r w:rsidR="0099361A" w:rsidRPr="00242DA3">
        <w:t xml:space="preserve"> v návaznosti na řešení dopadů COVID-19</w:t>
      </w:r>
    </w:p>
    <w:bookmarkEnd w:id="0"/>
    <w:p w14:paraId="7E8789EB" w14:textId="77777777" w:rsidR="00014B18" w:rsidRPr="00C512B0" w:rsidRDefault="00014B18" w:rsidP="003E25B7">
      <w:pPr>
        <w:pStyle w:val="Nadpis2"/>
      </w:pPr>
      <w:r w:rsidRPr="00C512B0">
        <w:t>Úvod</w:t>
      </w:r>
    </w:p>
    <w:p w14:paraId="30C2E798" w14:textId="77777777" w:rsidR="00014B18" w:rsidRPr="00C512B0" w:rsidRDefault="00014B18" w:rsidP="00B145ED">
      <w:pPr>
        <w:rPr>
          <w:rFonts w:cs="Tahoma"/>
          <w:sz w:val="2"/>
          <w:szCs w:val="2"/>
        </w:rPr>
      </w:pPr>
    </w:p>
    <w:p w14:paraId="403B895C" w14:textId="77777777" w:rsidR="00014B18" w:rsidRPr="00C512B0" w:rsidRDefault="00014B18" w:rsidP="00174EE8">
      <w:r w:rsidRPr="00C512B0">
        <w:t>Rozpočet Moravskoslezského kraje pro</w:t>
      </w:r>
      <w:r w:rsidR="00C512B0" w:rsidRPr="00C512B0">
        <w:t> </w:t>
      </w:r>
      <w:r w:rsidRPr="00C512B0">
        <w:t xml:space="preserve">rok </w:t>
      </w:r>
      <w:r w:rsidR="00C22C6C" w:rsidRPr="00C512B0">
        <w:t>20</w:t>
      </w:r>
      <w:r w:rsidR="00D5035C">
        <w:t>20</w:t>
      </w:r>
      <w:r w:rsidRPr="00C512B0">
        <w:t xml:space="preserve"> byl schválen ve</w:t>
      </w:r>
      <w:r w:rsidR="00244858" w:rsidRPr="00C512B0">
        <w:t> </w:t>
      </w:r>
      <w:r w:rsidRPr="00C512B0">
        <w:t xml:space="preserve">výši </w:t>
      </w:r>
      <w:r w:rsidR="00F0790E" w:rsidRPr="00C512B0">
        <w:t>10.</w:t>
      </w:r>
      <w:r w:rsidR="007A695F">
        <w:t>787.896</w:t>
      </w:r>
      <w:r w:rsidRPr="00C512B0">
        <w:t xml:space="preserve"> tis. Kč. Zdroje schváleného rozpočtu tvoří příjmy v objemu </w:t>
      </w:r>
      <w:r w:rsidR="007A695F">
        <w:t>10.195.395</w:t>
      </w:r>
      <w:r w:rsidRPr="00C512B0">
        <w:t xml:space="preserve"> tis. Kč a financování ve výši </w:t>
      </w:r>
      <w:r w:rsidR="007A695F">
        <w:t>592.501</w:t>
      </w:r>
      <w:r w:rsidRPr="00C512B0">
        <w:t> tis. Kč</w:t>
      </w:r>
      <w:r w:rsidR="00814207" w:rsidRPr="00C512B0">
        <w:t>.</w:t>
      </w:r>
      <w:r w:rsidRPr="00C512B0">
        <w:t xml:space="preserve"> </w:t>
      </w:r>
    </w:p>
    <w:p w14:paraId="471171C7" w14:textId="77777777" w:rsidR="00014B18" w:rsidRPr="00355D97" w:rsidRDefault="00E87A91" w:rsidP="00355D97">
      <w:pPr>
        <w:pStyle w:val="Styltab"/>
      </w:pPr>
      <w:r w:rsidRPr="00355D97">
        <w:t>Hospodaření Moravskoslezského kraje k </w:t>
      </w:r>
      <w:r w:rsidR="00CB7A10">
        <w:t>30</w:t>
      </w:r>
      <w:r w:rsidR="00923B2A" w:rsidRPr="00355D97">
        <w:t>.</w:t>
      </w:r>
      <w:r w:rsidR="00876860">
        <w:t> </w:t>
      </w:r>
      <w:r w:rsidR="007A695F">
        <w:t>4</w:t>
      </w:r>
      <w:r w:rsidR="00923B2A" w:rsidRPr="00355D97">
        <w:t>.</w:t>
      </w:r>
      <w:r w:rsidR="00876860">
        <w:t> </w:t>
      </w:r>
      <w:r w:rsidR="00923B2A" w:rsidRPr="00355D97">
        <w:t>20</w:t>
      </w:r>
      <w:r w:rsidR="007A695F">
        <w:t>20</w:t>
      </w:r>
      <w:r w:rsidR="00A52F4A" w:rsidRPr="00355D97">
        <w:tab/>
      </w:r>
      <w:r w:rsidRPr="00355D97">
        <w:t>v tis. Kč</w:t>
      </w:r>
    </w:p>
    <w:bookmarkStart w:id="1" w:name="_MON_1476601264"/>
    <w:bookmarkStart w:id="2" w:name="_MON_1477284508"/>
    <w:bookmarkStart w:id="3" w:name="_MON_1489983302"/>
    <w:bookmarkStart w:id="4" w:name="_MON_1490158136"/>
    <w:bookmarkStart w:id="5" w:name="_MON_1490161178"/>
    <w:bookmarkStart w:id="6" w:name="_MON_1490161199"/>
    <w:bookmarkStart w:id="7" w:name="_MON_1490172727"/>
    <w:bookmarkStart w:id="8" w:name="_MON_1490433935"/>
    <w:bookmarkStart w:id="9" w:name="_MON_1469334758"/>
    <w:bookmarkStart w:id="10" w:name="_MON_1469335147"/>
    <w:bookmarkStart w:id="11" w:name="_MON_1469339558"/>
    <w:bookmarkStart w:id="12" w:name="_MON_1469851826"/>
    <w:bookmarkStart w:id="13" w:name="_MON_1476600780"/>
    <w:bookmarkEnd w:id="1"/>
    <w:bookmarkEnd w:id="2"/>
    <w:bookmarkEnd w:id="3"/>
    <w:bookmarkEnd w:id="4"/>
    <w:bookmarkEnd w:id="5"/>
    <w:bookmarkEnd w:id="6"/>
    <w:bookmarkEnd w:id="7"/>
    <w:bookmarkEnd w:id="8"/>
    <w:bookmarkEnd w:id="9"/>
    <w:bookmarkEnd w:id="10"/>
    <w:bookmarkEnd w:id="11"/>
    <w:bookmarkEnd w:id="12"/>
    <w:bookmarkEnd w:id="13"/>
    <w:bookmarkStart w:id="14" w:name="_MON_1476600823"/>
    <w:bookmarkEnd w:id="14"/>
    <w:p w14:paraId="0346B397" w14:textId="157BBB95" w:rsidR="00014B18" w:rsidRPr="00923B2A" w:rsidRDefault="00AD0A9F" w:rsidP="00D01918">
      <w:pPr>
        <w:rPr>
          <w:rFonts w:cs="Tahoma"/>
          <w:color w:val="A6A6A6" w:themeColor="background1" w:themeShade="A6"/>
          <w:szCs w:val="20"/>
        </w:rPr>
      </w:pPr>
      <w:r w:rsidRPr="00923B2A">
        <w:rPr>
          <w:rFonts w:cs="Tahoma"/>
          <w:color w:val="A6A6A6" w:themeColor="background1" w:themeShade="A6"/>
          <w:szCs w:val="20"/>
        </w:rPr>
        <w:object w:dxaOrig="10103" w:dyaOrig="1616" w14:anchorId="4D21B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79.5pt" o:ole="">
            <v:imagedata r:id="rId8" o:title=""/>
          </v:shape>
          <o:OLEObject Type="Embed" ProgID="Excel.Sheet.8" ShapeID="_x0000_i1025" DrawAspect="Content" ObjectID="_1651462950" r:id="rId9"/>
        </w:object>
      </w:r>
    </w:p>
    <w:p w14:paraId="4A646898" w14:textId="77777777" w:rsidR="00596ABD" w:rsidRPr="00355D97" w:rsidRDefault="00596ABD" w:rsidP="00596ABD">
      <w:pPr>
        <w:rPr>
          <w:rFonts w:cs="Tahoma"/>
          <w:szCs w:val="20"/>
        </w:rPr>
      </w:pPr>
      <w:r w:rsidRPr="00355D97">
        <w:rPr>
          <w:rFonts w:cs="Tahoma"/>
          <w:szCs w:val="20"/>
        </w:rPr>
        <w:t>Upravený rozpočet Moravskoslezského kraje k </w:t>
      </w:r>
      <w:r w:rsidR="00DE34F9">
        <w:rPr>
          <w:rFonts w:cs="Tahoma"/>
          <w:szCs w:val="20"/>
        </w:rPr>
        <w:t>3</w:t>
      </w:r>
      <w:r w:rsidR="0099361A">
        <w:rPr>
          <w:rFonts w:cs="Tahoma"/>
          <w:szCs w:val="20"/>
        </w:rPr>
        <w:t>0</w:t>
      </w:r>
      <w:r w:rsidR="00923B2A" w:rsidRPr="00355D97">
        <w:rPr>
          <w:rFonts w:cs="Tahoma"/>
          <w:szCs w:val="20"/>
        </w:rPr>
        <w:t xml:space="preserve">. </w:t>
      </w:r>
      <w:r w:rsidR="0099361A">
        <w:rPr>
          <w:rFonts w:cs="Tahoma"/>
          <w:szCs w:val="20"/>
        </w:rPr>
        <w:t>4</w:t>
      </w:r>
      <w:r w:rsidR="00923B2A" w:rsidRPr="00355D97">
        <w:rPr>
          <w:rFonts w:cs="Tahoma"/>
          <w:szCs w:val="20"/>
        </w:rPr>
        <w:t>. 20</w:t>
      </w:r>
      <w:r w:rsidR="0099361A">
        <w:rPr>
          <w:rFonts w:cs="Tahoma"/>
          <w:szCs w:val="20"/>
        </w:rPr>
        <w:t>20</w:t>
      </w:r>
      <w:r w:rsidRPr="00355D97">
        <w:rPr>
          <w:rFonts w:cs="Tahoma"/>
          <w:szCs w:val="20"/>
        </w:rPr>
        <w:t xml:space="preserve"> činí </w:t>
      </w:r>
      <w:r w:rsidR="00DE34F9">
        <w:rPr>
          <w:rFonts w:cs="Tahoma"/>
          <w:szCs w:val="20"/>
        </w:rPr>
        <w:t>31.995.147</w:t>
      </w:r>
      <w:r w:rsidRPr="00355D97">
        <w:rPr>
          <w:rFonts w:cs="Tahoma"/>
          <w:szCs w:val="20"/>
        </w:rPr>
        <w:t xml:space="preserve"> tis. Kč. </w:t>
      </w:r>
    </w:p>
    <w:p w14:paraId="090D66AB" w14:textId="77777777" w:rsidR="009754CC" w:rsidRDefault="009754CC" w:rsidP="00262E44">
      <w:pPr>
        <w:pStyle w:val="Nadpis3"/>
      </w:pPr>
      <w:r w:rsidRPr="00D83D0B">
        <w:t xml:space="preserve">Úpravy rozpočtu v roce </w:t>
      </w:r>
      <w:r w:rsidR="00C22C6C" w:rsidRPr="00D83D0B">
        <w:t>20</w:t>
      </w:r>
      <w:r w:rsidR="006507AD">
        <w:t>20</w:t>
      </w:r>
      <w:r w:rsidRPr="00D83D0B">
        <w:t>:</w:t>
      </w:r>
    </w:p>
    <w:p w14:paraId="62285143" w14:textId="4F4A49AA" w:rsidR="007D52CA" w:rsidRPr="007D52CA" w:rsidRDefault="007D52CA" w:rsidP="007D52CA">
      <w:pPr>
        <w:pStyle w:val="MSKNormal"/>
      </w:pPr>
      <w:r w:rsidRPr="001B4200">
        <w:rPr>
          <w:snapToGrid w:val="0"/>
        </w:rPr>
        <w:t>K</w:t>
      </w:r>
      <w:r w:rsidR="008438FF">
        <w:rPr>
          <w:snapToGrid w:val="0"/>
        </w:rPr>
        <w:t xml:space="preserve">e </w:t>
      </w:r>
      <w:r w:rsidRPr="001B4200">
        <w:rPr>
          <w:snapToGrid w:val="0"/>
        </w:rPr>
        <w:t>4. 5. 2020 došlo na základě svěření daného bodem 5. usnesení zastupitelstva kraje č. 14/1652 ze</w:t>
      </w:r>
      <w:r w:rsidR="008438FF">
        <w:rPr>
          <w:snapToGrid w:val="0"/>
        </w:rPr>
        <w:t> </w:t>
      </w:r>
      <w:r w:rsidRPr="001B4200">
        <w:rPr>
          <w:snapToGrid w:val="0"/>
        </w:rPr>
        <w:t>dne 12. 12. 2019 o provádění rozpočtových opatření k navýšení závazných ukazatelů, a to rozpočtu příjmů o</w:t>
      </w:r>
      <w:r w:rsidR="000D0EC2">
        <w:rPr>
          <w:snapToGrid w:val="0"/>
        </w:rPr>
        <w:t> </w:t>
      </w:r>
      <w:r w:rsidRPr="001B4200">
        <w:rPr>
          <w:snapToGrid w:val="0"/>
        </w:rPr>
        <w:t>18.941.630</w:t>
      </w:r>
      <w:r w:rsidR="000D0EC2">
        <w:rPr>
          <w:snapToGrid w:val="0"/>
        </w:rPr>
        <w:t> </w:t>
      </w:r>
      <w:r w:rsidRPr="001B4200">
        <w:rPr>
          <w:snapToGrid w:val="0"/>
        </w:rPr>
        <w:t>tis.</w:t>
      </w:r>
      <w:r w:rsidR="000D0EC2">
        <w:rPr>
          <w:snapToGrid w:val="0"/>
        </w:rPr>
        <w:t> </w:t>
      </w:r>
      <w:r w:rsidRPr="001B4200">
        <w:rPr>
          <w:snapToGrid w:val="0"/>
        </w:rPr>
        <w:t>Kč na</w:t>
      </w:r>
      <w:r w:rsidR="000D0EC2">
        <w:rPr>
          <w:snapToGrid w:val="0"/>
        </w:rPr>
        <w:t> </w:t>
      </w:r>
      <w:r w:rsidRPr="001B4200">
        <w:rPr>
          <w:snapToGrid w:val="0"/>
        </w:rPr>
        <w:t>29.137.025</w:t>
      </w:r>
      <w:r w:rsidR="008438FF">
        <w:rPr>
          <w:snapToGrid w:val="0"/>
        </w:rPr>
        <w:t> </w:t>
      </w:r>
      <w:r w:rsidRPr="001B4200">
        <w:rPr>
          <w:snapToGrid w:val="0"/>
        </w:rPr>
        <w:t>tis.</w:t>
      </w:r>
      <w:r w:rsidR="000D0EC2">
        <w:rPr>
          <w:snapToGrid w:val="0"/>
        </w:rPr>
        <w:t> </w:t>
      </w:r>
      <w:r w:rsidRPr="001B4200">
        <w:rPr>
          <w:snapToGrid w:val="0"/>
        </w:rPr>
        <w:t>Kč a rozpočtu výdajů o</w:t>
      </w:r>
      <w:r w:rsidR="000D0EC2">
        <w:rPr>
          <w:snapToGrid w:val="0"/>
        </w:rPr>
        <w:t> </w:t>
      </w:r>
      <w:r w:rsidRPr="001B4200">
        <w:rPr>
          <w:snapToGrid w:val="0"/>
        </w:rPr>
        <w:t>21.187.399</w:t>
      </w:r>
      <w:r w:rsidR="008438FF">
        <w:rPr>
          <w:snapToGrid w:val="0"/>
        </w:rPr>
        <w:t> </w:t>
      </w:r>
      <w:r w:rsidRPr="001B4200">
        <w:rPr>
          <w:snapToGrid w:val="0"/>
        </w:rPr>
        <w:t>tis.</w:t>
      </w:r>
      <w:r w:rsidR="008438FF">
        <w:rPr>
          <w:snapToGrid w:val="0"/>
        </w:rPr>
        <w:t> </w:t>
      </w:r>
      <w:r w:rsidRPr="001B4200">
        <w:rPr>
          <w:snapToGrid w:val="0"/>
        </w:rPr>
        <w:t>Kč na</w:t>
      </w:r>
      <w:r w:rsidR="008438FF">
        <w:rPr>
          <w:snapToGrid w:val="0"/>
        </w:rPr>
        <w:t> </w:t>
      </w:r>
      <w:r w:rsidRPr="001B4200">
        <w:rPr>
          <w:snapToGrid w:val="0"/>
        </w:rPr>
        <w:t>31.975.295</w:t>
      </w:r>
      <w:r w:rsidR="008438FF">
        <w:rPr>
          <w:snapToGrid w:val="0"/>
        </w:rPr>
        <w:t> </w:t>
      </w:r>
      <w:r w:rsidRPr="001B4200">
        <w:rPr>
          <w:snapToGrid w:val="0"/>
        </w:rPr>
        <w:t>tis. Kč. Rada kraje provedla v souladu s jejím svěřením 176 rozpočtových opatření v</w:t>
      </w:r>
      <w:r w:rsidR="008438FF">
        <w:rPr>
          <w:snapToGrid w:val="0"/>
        </w:rPr>
        <w:t> </w:t>
      </w:r>
      <w:r w:rsidRPr="001B4200">
        <w:rPr>
          <w:snapToGrid w:val="0"/>
        </w:rPr>
        <w:t xml:space="preserve">objemu </w:t>
      </w:r>
      <w:r w:rsidRPr="001B4200">
        <w:t xml:space="preserve">38.511.698 </w:t>
      </w:r>
      <w:r w:rsidRPr="001B4200">
        <w:rPr>
          <w:snapToGrid w:val="0"/>
        </w:rPr>
        <w:t xml:space="preserve">tis. Kč. </w:t>
      </w:r>
    </w:p>
    <w:p w14:paraId="3FC25872" w14:textId="77777777" w:rsidR="009754CC" w:rsidRPr="006C05FC" w:rsidRDefault="009754CC" w:rsidP="009754CC">
      <w:pPr>
        <w:numPr>
          <w:ilvl w:val="0"/>
          <w:numId w:val="11"/>
        </w:numPr>
        <w:rPr>
          <w:rFonts w:cs="Tahoma"/>
          <w:szCs w:val="20"/>
        </w:rPr>
      </w:pPr>
      <w:r w:rsidRPr="006C05FC">
        <w:rPr>
          <w:rFonts w:cs="Tahoma"/>
          <w:szCs w:val="20"/>
        </w:rPr>
        <w:t>Př</w:t>
      </w:r>
      <w:r w:rsidR="004F7A8C" w:rsidRPr="006C05FC">
        <w:rPr>
          <w:rFonts w:cs="Tahoma"/>
          <w:szCs w:val="20"/>
        </w:rPr>
        <w:t>ijetí státních účelových dotací</w:t>
      </w:r>
    </w:p>
    <w:p w14:paraId="1DC7F6D7" w14:textId="77777777" w:rsidR="00596ABD" w:rsidRDefault="00596ABD" w:rsidP="00152582">
      <w:pPr>
        <w:rPr>
          <w:rFonts w:cs="Tahoma"/>
          <w:szCs w:val="20"/>
        </w:rPr>
      </w:pPr>
      <w:r w:rsidRPr="006C05FC">
        <w:rPr>
          <w:rFonts w:cs="Tahoma"/>
          <w:szCs w:val="20"/>
        </w:rPr>
        <w:t>K významné</w:t>
      </w:r>
      <w:r w:rsidR="00171895" w:rsidRPr="006C05FC">
        <w:rPr>
          <w:rFonts w:cs="Tahoma"/>
          <w:szCs w:val="20"/>
        </w:rPr>
        <w:t xml:space="preserve"> </w:t>
      </w:r>
      <w:r w:rsidRPr="006C05FC">
        <w:rPr>
          <w:rFonts w:cs="Tahoma"/>
          <w:szCs w:val="20"/>
        </w:rPr>
        <w:t xml:space="preserve">úpravě rozpočtu příjmů a výdajů dochází každoročně zejména v důsledku přijetí účelových dotací </w:t>
      </w:r>
      <w:r w:rsidR="006B25AF" w:rsidRPr="006C05FC">
        <w:rPr>
          <w:rFonts w:cs="Tahoma"/>
          <w:szCs w:val="20"/>
        </w:rPr>
        <w:t>(nárůst celkem o</w:t>
      </w:r>
      <w:r w:rsidR="00BC0E49" w:rsidRPr="006C05FC">
        <w:rPr>
          <w:rFonts w:cs="Tahoma"/>
          <w:szCs w:val="20"/>
        </w:rPr>
        <w:t> </w:t>
      </w:r>
      <w:r w:rsidR="00CB7A10">
        <w:rPr>
          <w:rFonts w:cs="Tahoma"/>
          <w:szCs w:val="20"/>
        </w:rPr>
        <w:t>18.968.816</w:t>
      </w:r>
      <w:r w:rsidR="00D83D0B" w:rsidRPr="006C05FC">
        <w:rPr>
          <w:rFonts w:cs="Tahoma"/>
          <w:szCs w:val="20"/>
        </w:rPr>
        <w:t> </w:t>
      </w:r>
      <w:r w:rsidR="002D01B8" w:rsidRPr="006C05FC">
        <w:rPr>
          <w:rFonts w:cs="Tahoma"/>
          <w:szCs w:val="20"/>
        </w:rPr>
        <w:t>tis.</w:t>
      </w:r>
      <w:r w:rsidR="002276E5" w:rsidRPr="006C05FC">
        <w:rPr>
          <w:rFonts w:cs="Tahoma"/>
          <w:szCs w:val="20"/>
        </w:rPr>
        <w:t> </w:t>
      </w:r>
      <w:r w:rsidR="002D01B8" w:rsidRPr="006C05FC">
        <w:rPr>
          <w:rFonts w:cs="Tahoma"/>
          <w:szCs w:val="20"/>
        </w:rPr>
        <w:t>Kč</w:t>
      </w:r>
      <w:r w:rsidR="006B25AF" w:rsidRPr="006C05FC">
        <w:rPr>
          <w:rFonts w:cs="Tahoma"/>
          <w:szCs w:val="20"/>
        </w:rPr>
        <w:t>)</w:t>
      </w:r>
      <w:r w:rsidRPr="006C05FC">
        <w:rPr>
          <w:rFonts w:cs="Tahoma"/>
          <w:szCs w:val="20"/>
        </w:rPr>
        <w:t xml:space="preserve">. Objemově nejvýznamnější byly neinvestiční dotace z kapitoly Ministerstva školství, mládeže a tělovýchovy určené k financování mzdových nákladů v objemu </w:t>
      </w:r>
      <w:r w:rsidR="00CB7A10">
        <w:rPr>
          <w:rFonts w:cs="Tahoma"/>
          <w:szCs w:val="20"/>
        </w:rPr>
        <w:t>16.740.731</w:t>
      </w:r>
      <w:r w:rsidRPr="006C05FC">
        <w:rPr>
          <w:rFonts w:cs="Tahoma"/>
          <w:szCs w:val="20"/>
        </w:rPr>
        <w:t> tis. Kč. K</w:t>
      </w:r>
      <w:r w:rsidR="00247144" w:rsidRPr="006C05FC">
        <w:rPr>
          <w:rFonts w:cs="Tahoma"/>
          <w:szCs w:val="20"/>
        </w:rPr>
        <w:t> </w:t>
      </w:r>
      <w:r w:rsidRPr="006C05FC">
        <w:rPr>
          <w:rFonts w:cs="Tahoma"/>
          <w:szCs w:val="20"/>
        </w:rPr>
        <w:t>navýšení objemu rozpočtu došlo také v souvislosti se</w:t>
      </w:r>
      <w:r w:rsidR="00BF7F7D" w:rsidRPr="006C05FC">
        <w:rPr>
          <w:rFonts w:cs="Tahoma"/>
          <w:szCs w:val="20"/>
        </w:rPr>
        <w:t> </w:t>
      </w:r>
      <w:r w:rsidRPr="006C05FC">
        <w:rPr>
          <w:rFonts w:cs="Tahoma"/>
          <w:szCs w:val="20"/>
        </w:rPr>
        <w:t>zapojením dotace určené na dotační program - Program na podporu poskytování sociálních služeb v</w:t>
      </w:r>
      <w:r w:rsidR="00BF7F7D" w:rsidRPr="006C05FC">
        <w:rPr>
          <w:rFonts w:cs="Tahoma"/>
          <w:szCs w:val="20"/>
        </w:rPr>
        <w:t> </w:t>
      </w:r>
      <w:r w:rsidRPr="006C05FC">
        <w:rPr>
          <w:rFonts w:cs="Tahoma"/>
          <w:szCs w:val="20"/>
        </w:rPr>
        <w:t xml:space="preserve">celkové výši </w:t>
      </w:r>
      <w:r w:rsidR="0084144F">
        <w:rPr>
          <w:rFonts w:cs="Tahoma"/>
          <w:szCs w:val="20"/>
        </w:rPr>
        <w:t>2.109.930</w:t>
      </w:r>
      <w:r w:rsidR="00240238" w:rsidRPr="006C05FC">
        <w:rPr>
          <w:rFonts w:cs="Tahoma"/>
          <w:szCs w:val="20"/>
        </w:rPr>
        <w:t> </w:t>
      </w:r>
      <w:r w:rsidRPr="006C05FC">
        <w:rPr>
          <w:rFonts w:cs="Tahoma"/>
          <w:szCs w:val="20"/>
        </w:rPr>
        <w:t>tis.</w:t>
      </w:r>
      <w:r w:rsidR="00E57C85" w:rsidRPr="006C05FC">
        <w:rPr>
          <w:rFonts w:cs="Tahoma"/>
          <w:szCs w:val="20"/>
        </w:rPr>
        <w:t> </w:t>
      </w:r>
      <w:r w:rsidRPr="006C05FC">
        <w:rPr>
          <w:rFonts w:cs="Tahoma"/>
          <w:szCs w:val="20"/>
        </w:rPr>
        <w:t>Kč poskytnuté z kapitoly Ministerstva práce a sociálních věcí. Účelem</w:t>
      </w:r>
      <w:r w:rsidR="00FB3DC8" w:rsidRPr="006C05FC">
        <w:rPr>
          <w:rFonts w:cs="Tahoma"/>
          <w:szCs w:val="20"/>
        </w:rPr>
        <w:t> </w:t>
      </w:r>
      <w:r w:rsidRPr="006C05FC">
        <w:rPr>
          <w:rFonts w:cs="Tahoma"/>
          <w:szCs w:val="20"/>
        </w:rPr>
        <w:t>realizace dotačního programu je finanční podpora poskytovatelů registrovaných sociálních služeb, jejichž potřebnost je vyjádřena ve</w:t>
      </w:r>
      <w:r w:rsidR="008C4DB9" w:rsidRPr="006C05FC">
        <w:rPr>
          <w:rFonts w:cs="Tahoma"/>
          <w:szCs w:val="20"/>
        </w:rPr>
        <w:t> </w:t>
      </w:r>
      <w:r w:rsidRPr="006C05FC">
        <w:rPr>
          <w:rFonts w:cs="Tahoma"/>
          <w:szCs w:val="20"/>
        </w:rPr>
        <w:t>Střednědobém plánu rozvoje sociálních služeb MSK na</w:t>
      </w:r>
      <w:r w:rsidR="008C4DB9" w:rsidRPr="006C05FC">
        <w:rPr>
          <w:rFonts w:cs="Tahoma"/>
          <w:szCs w:val="20"/>
        </w:rPr>
        <w:t> </w:t>
      </w:r>
      <w:r w:rsidRPr="006C05FC">
        <w:rPr>
          <w:rFonts w:cs="Tahoma"/>
          <w:szCs w:val="20"/>
        </w:rPr>
        <w:t>léta 2015 – 2020, a která jsou součástí sítě sociálních služeb v</w:t>
      </w:r>
      <w:r w:rsidR="00240238" w:rsidRPr="006C05FC">
        <w:rPr>
          <w:rFonts w:cs="Tahoma"/>
          <w:szCs w:val="20"/>
        </w:rPr>
        <w:t> </w:t>
      </w:r>
      <w:r w:rsidRPr="006C05FC">
        <w:rPr>
          <w:rFonts w:cs="Tahoma"/>
          <w:szCs w:val="20"/>
        </w:rPr>
        <w:t>kraji</w:t>
      </w:r>
      <w:r w:rsidR="00240238" w:rsidRPr="006C05FC">
        <w:rPr>
          <w:rFonts w:cs="Tahoma"/>
          <w:szCs w:val="20"/>
        </w:rPr>
        <w:t>.</w:t>
      </w:r>
      <w:r w:rsidR="009754CC" w:rsidRPr="006C05FC">
        <w:rPr>
          <w:rFonts w:cs="Tahoma"/>
          <w:szCs w:val="20"/>
        </w:rPr>
        <w:t xml:space="preserve"> Úpravy rozpočtu roku </w:t>
      </w:r>
      <w:r w:rsidR="00C22C6C" w:rsidRPr="006C05FC">
        <w:rPr>
          <w:rFonts w:cs="Tahoma"/>
          <w:szCs w:val="20"/>
        </w:rPr>
        <w:t>201</w:t>
      </w:r>
      <w:r w:rsidR="00E57C85" w:rsidRPr="006C05FC">
        <w:rPr>
          <w:rFonts w:cs="Tahoma"/>
          <w:szCs w:val="20"/>
        </w:rPr>
        <w:t>9</w:t>
      </w:r>
      <w:r w:rsidR="009754CC" w:rsidRPr="006C05FC">
        <w:rPr>
          <w:rFonts w:cs="Tahoma"/>
          <w:szCs w:val="20"/>
        </w:rPr>
        <w:t xml:space="preserve"> souvisely také s přijetím a následným přerozdělením ostatních dotací z jednotlivých kapitol státního rozpočtu.</w:t>
      </w:r>
      <w:r w:rsidR="00152582">
        <w:rPr>
          <w:rFonts w:cs="Tahoma"/>
          <w:szCs w:val="20"/>
        </w:rPr>
        <w:t xml:space="preserve"> </w:t>
      </w:r>
    </w:p>
    <w:p w14:paraId="1B555F63" w14:textId="77777777" w:rsidR="00152582" w:rsidRDefault="00152582" w:rsidP="00152582">
      <w:r>
        <w:t>Z kapitoly Všeobecná pokladní správa byla kraji poskytnuta dotace ve výši 10.000 tis. Kč</w:t>
      </w:r>
      <w:r w:rsidRPr="00152582">
        <w:t xml:space="preserve"> </w:t>
      </w:r>
      <w:r>
        <w:t>na pokrytí prvotních nákladů na akce a nezbytná opatření přijatá Moravskoslezským krajem v rámci řešení krizové situace, realizovaná běžnými i investičními výdaji v souladu s § 14 zákona č. 240/2000 Sb., o krizovém řízení a o změně některých zákonů, ve znění pozdějších předpisů, v návaznosti na vyhlášení nouzového stavu.</w:t>
      </w:r>
    </w:p>
    <w:p w14:paraId="3539252B" w14:textId="77777777" w:rsidR="009754CC" w:rsidRPr="00D83D0B" w:rsidRDefault="004B506F" w:rsidP="00EA380E">
      <w:pPr>
        <w:numPr>
          <w:ilvl w:val="0"/>
          <w:numId w:val="11"/>
        </w:numPr>
        <w:ind w:left="714" w:hanging="357"/>
        <w:rPr>
          <w:rFonts w:cs="Tahoma"/>
          <w:szCs w:val="20"/>
        </w:rPr>
      </w:pPr>
      <w:r w:rsidRPr="00D83D0B">
        <w:rPr>
          <w:rFonts w:cs="Tahoma"/>
          <w:szCs w:val="20"/>
        </w:rPr>
        <w:t>Zůstatek</w:t>
      </w:r>
      <w:r w:rsidR="009754CC" w:rsidRPr="00D83D0B">
        <w:rPr>
          <w:rFonts w:cs="Tahoma"/>
          <w:szCs w:val="20"/>
        </w:rPr>
        <w:t xml:space="preserve"> finančních prostředků r</w:t>
      </w:r>
      <w:r w:rsidR="006507AD">
        <w:rPr>
          <w:rFonts w:cs="Tahoma"/>
          <w:szCs w:val="20"/>
        </w:rPr>
        <w:t>ozpočtového hospodaření roku 2019</w:t>
      </w:r>
    </w:p>
    <w:p w14:paraId="6C53B20B" w14:textId="77777777" w:rsidR="003F1905" w:rsidRDefault="003F1905" w:rsidP="003F1905">
      <w:r>
        <w:t xml:space="preserve">V souladu s usnesením zastupitelstva kraje č. 14/1652 ze dne 12. 12. 2019 došlo k 30. 4. 2020 ke zvýšení výdajové části a nahrazení části příjmů ve zdrojové části rozpočtu zapojením části zůstatku finančních prostředků rozpočtového hospodaření roku 2019 do rozpočtu na rok 2020 v celkové výši 2.243.771 tis. Kč, z toho: </w:t>
      </w:r>
    </w:p>
    <w:p w14:paraId="61E23E83" w14:textId="77777777" w:rsidR="003F1905" w:rsidRDefault="003F1905" w:rsidP="003F1905">
      <w:pPr>
        <w:numPr>
          <w:ilvl w:val="0"/>
          <w:numId w:val="41"/>
        </w:numPr>
        <w:spacing w:before="200"/>
        <w:ind w:left="1077" w:hanging="357"/>
      </w:pPr>
      <w:r>
        <w:t xml:space="preserve">Část zůstatku finančních prostředků rozpočtového hospodaření roku 2019 ve výši 1.667.194 tis. Kč byla zapojena usneseními rady kraje č. 78/7054 ze dne 13. 1. 2020 a č. 79/7104 ze dne 27. 1. 2020 do rozpočtu kraje na rok 2020, a to k dofinancování akcí spolufinancovaných z evropských finančních zdrojů, akcí reprodukce majetku kraje a akcí jinak smluvně zajištěných a převedených do roku 2020. </w:t>
      </w:r>
    </w:p>
    <w:p w14:paraId="3F8524CC" w14:textId="77777777" w:rsidR="003F1905" w:rsidRDefault="003F1905" w:rsidP="003F1905">
      <w:pPr>
        <w:numPr>
          <w:ilvl w:val="0"/>
          <w:numId w:val="41"/>
        </w:numPr>
        <w:spacing w:before="200"/>
        <w:ind w:left="1077" w:hanging="357"/>
      </w:pPr>
      <w:r>
        <w:lastRenderedPageBreak/>
        <w:t xml:space="preserve">Prostředky ve výši 21 tis. Kč byly zapojeny usneseními rady kraje č. 78/7070 ze dne 13. 1. 2020 a č. 86/7559 ze dne 20. 4. 2020 k použití v souladu s vymezeným účelem (vratky mimo finanční vypořádání aj.). </w:t>
      </w:r>
    </w:p>
    <w:p w14:paraId="71E16D97" w14:textId="77777777" w:rsidR="003F1905" w:rsidRDefault="003F1905" w:rsidP="003F1905">
      <w:pPr>
        <w:numPr>
          <w:ilvl w:val="0"/>
          <w:numId w:val="41"/>
        </w:numPr>
      </w:pPr>
      <w:r>
        <w:t xml:space="preserve">Prostředky ve výši 6.681 tis. Kč byly zapojeny usnesením rady kraje č. 84/7444 ze dne 23. 3. 2020 do rozpočtu na rok 2020 v souvislosti s finančním vypořádáním účelově poskytnutých dotací kraji v roce 2019 z jednotlivých kapitol státního rozpočtu. </w:t>
      </w:r>
    </w:p>
    <w:p w14:paraId="70361EA2" w14:textId="77777777" w:rsidR="003F1905" w:rsidRDefault="003F1905" w:rsidP="003F1905">
      <w:pPr>
        <w:pStyle w:val="Mjtext"/>
        <w:numPr>
          <w:ilvl w:val="0"/>
          <w:numId w:val="41"/>
        </w:numPr>
      </w:pPr>
      <w:r>
        <w:t>Nespecifikovaná část zůstatku hospodaření za rok 2019 ve výši 569.875 tis. Kč byla radou kraje postupně zapojována do rozpočtu kraje na rok 2020. Jednalo se o prostředky, které byly použity k částečnému nahrazení výpadku příjmů ze sdílených daní v rozpočtu na rok 2020, k dofinancování akcí rozpočtu kraje na rok 2019 a financování nových akcí v souladu se Strategií rozvoje Moravskoslezského kraje na léta 2009 </w:t>
      </w:r>
      <w:r>
        <w:noBreakHyphen/>
        <w:t xml:space="preserve"> 2020, schválenou usnesením zastupitelstva kraje č. 24/2162 ze dne 6. 6. 2012, a vychází z programového prohlášení rady kraje Vize 2024 (schváleného usnesením rady kraje č. 9/661 ze dne 14. 3. 2017). </w:t>
      </w:r>
    </w:p>
    <w:p w14:paraId="67421287" w14:textId="77777777" w:rsidR="005E011F" w:rsidRPr="00F86DA5" w:rsidRDefault="005E011F" w:rsidP="005E011F">
      <w:pPr>
        <w:numPr>
          <w:ilvl w:val="0"/>
          <w:numId w:val="11"/>
        </w:numPr>
        <w:rPr>
          <w:rFonts w:cs="Tahoma"/>
          <w:szCs w:val="20"/>
        </w:rPr>
      </w:pPr>
      <w:r w:rsidRPr="00F86DA5">
        <w:rPr>
          <w:rFonts w:cs="Tahoma"/>
          <w:szCs w:val="20"/>
        </w:rPr>
        <w:t>Úpravy rozpočtu v návaznosti na řešení dopadů COVI</w:t>
      </w:r>
      <w:r w:rsidR="0099361A" w:rsidRPr="00F86DA5">
        <w:rPr>
          <w:rFonts w:cs="Tahoma"/>
          <w:szCs w:val="20"/>
        </w:rPr>
        <w:t>D</w:t>
      </w:r>
      <w:r w:rsidRPr="00F86DA5">
        <w:rPr>
          <w:rFonts w:cs="Tahoma"/>
          <w:szCs w:val="20"/>
        </w:rPr>
        <w:t>-19</w:t>
      </w:r>
    </w:p>
    <w:p w14:paraId="6CCDB19D" w14:textId="647EB374" w:rsidR="001775FB" w:rsidRDefault="008438FF" w:rsidP="008438FF">
      <w:r>
        <w:t>U</w:t>
      </w:r>
      <w:r w:rsidR="001775FB">
        <w:t>snesením rady kraje č. 82/7414 ze</w:t>
      </w:r>
      <w:r w:rsidR="009B5682">
        <w:t> </w:t>
      </w:r>
      <w:r w:rsidR="001775FB">
        <w:t>dne 2. 3. 2020 byly vyčleněny v rozpočtu kraje finanční prostředky ve výši 10.000 tis. Kč na opatření s cílem ochránit občany v souvislosti se šířením nákazy koronavirem COVID</w:t>
      </w:r>
      <w:r w:rsidR="001775FB">
        <w:noBreakHyphen/>
        <w:t xml:space="preserve">19. Následně byl objem finančních prostředků určený na řešení následků šíření nákazy navýšen usnesením rady kraje č. </w:t>
      </w:r>
      <w:r w:rsidR="001775FB" w:rsidRPr="00794285">
        <w:t>84/7444 ze</w:t>
      </w:r>
      <w:r w:rsidR="001775FB">
        <w:t xml:space="preserve"> dne</w:t>
      </w:r>
      <w:r w:rsidR="001775FB" w:rsidRPr="00794285">
        <w:t xml:space="preserve"> 23.</w:t>
      </w:r>
      <w:r w:rsidR="001775FB">
        <w:t> </w:t>
      </w:r>
      <w:r w:rsidR="001775FB" w:rsidRPr="00794285">
        <w:t>3.</w:t>
      </w:r>
      <w:r w:rsidR="001775FB">
        <w:t> </w:t>
      </w:r>
      <w:r w:rsidR="001775FB" w:rsidRPr="00794285">
        <w:t>2020</w:t>
      </w:r>
      <w:r w:rsidR="001775FB">
        <w:t xml:space="preserve"> o finanční prostředky z rezervy na řešení krizových situací ve výši 500 tis. Kč a z rezervy na mimořádné </w:t>
      </w:r>
      <w:r w:rsidR="001775FB" w:rsidRPr="002F04E3">
        <w:t>akce a akce s nedořešeným financováním</w:t>
      </w:r>
      <w:r w:rsidR="001775FB">
        <w:t xml:space="preserve"> ve výši 49.500 tis. Kč.</w:t>
      </w:r>
    </w:p>
    <w:p w14:paraId="2A23B572" w14:textId="77777777" w:rsidR="009754CC" w:rsidRPr="00D83D0B" w:rsidRDefault="009754CC" w:rsidP="009754CC">
      <w:pPr>
        <w:numPr>
          <w:ilvl w:val="0"/>
          <w:numId w:val="11"/>
        </w:numPr>
        <w:rPr>
          <w:rFonts w:cs="Tahoma"/>
          <w:szCs w:val="20"/>
        </w:rPr>
      </w:pPr>
      <w:r w:rsidRPr="00D83D0B">
        <w:rPr>
          <w:rFonts w:cs="Tahoma"/>
          <w:szCs w:val="20"/>
        </w:rPr>
        <w:t>Ostatní úpravy rozpočtu</w:t>
      </w:r>
    </w:p>
    <w:p w14:paraId="36F48EFC" w14:textId="77777777" w:rsidR="009754CC" w:rsidRPr="00D83D0B" w:rsidRDefault="00014B18" w:rsidP="006B374A">
      <w:pPr>
        <w:rPr>
          <w:rFonts w:cs="Tahoma"/>
          <w:szCs w:val="20"/>
        </w:rPr>
      </w:pPr>
      <w:r w:rsidRPr="00D83D0B">
        <w:rPr>
          <w:rFonts w:cs="Tahoma"/>
          <w:szCs w:val="20"/>
        </w:rPr>
        <w:t xml:space="preserve">Úpravy rozpočtu roku </w:t>
      </w:r>
      <w:r w:rsidR="00C22C6C" w:rsidRPr="00D83D0B">
        <w:rPr>
          <w:rFonts w:cs="Tahoma"/>
          <w:szCs w:val="20"/>
        </w:rPr>
        <w:t>20</w:t>
      </w:r>
      <w:r w:rsidR="006507AD">
        <w:rPr>
          <w:rFonts w:cs="Tahoma"/>
          <w:szCs w:val="20"/>
        </w:rPr>
        <w:t>20</w:t>
      </w:r>
      <w:r w:rsidRPr="00D83D0B">
        <w:rPr>
          <w:rFonts w:cs="Tahoma"/>
          <w:szCs w:val="20"/>
        </w:rPr>
        <w:t xml:space="preserve"> souvisely také s</w:t>
      </w:r>
      <w:r w:rsidR="009754CC" w:rsidRPr="00D83D0B">
        <w:rPr>
          <w:rFonts w:cs="Tahoma"/>
          <w:szCs w:val="20"/>
        </w:rPr>
        <w:t>e</w:t>
      </w:r>
      <w:r w:rsidR="00244858" w:rsidRPr="00D83D0B">
        <w:rPr>
          <w:rFonts w:cs="Tahoma"/>
          <w:szCs w:val="20"/>
        </w:rPr>
        <w:t> </w:t>
      </w:r>
      <w:r w:rsidRPr="00D83D0B">
        <w:rPr>
          <w:rFonts w:cs="Tahoma"/>
          <w:szCs w:val="20"/>
        </w:rPr>
        <w:t>zapojením prostředků určených pro</w:t>
      </w:r>
      <w:r w:rsidR="0027631A" w:rsidRPr="00D83D0B">
        <w:rPr>
          <w:rFonts w:cs="Tahoma"/>
          <w:szCs w:val="20"/>
        </w:rPr>
        <w:t> </w:t>
      </w:r>
      <w:r w:rsidRPr="00D83D0B">
        <w:rPr>
          <w:rFonts w:cs="Tahoma"/>
          <w:szCs w:val="20"/>
        </w:rPr>
        <w:t xml:space="preserve">finanční vypořádání dotací přijatých v minulých obdobích do rozpočtu kraje. Dále </w:t>
      </w:r>
      <w:r w:rsidR="00DA7A19" w:rsidRPr="00D83D0B">
        <w:rPr>
          <w:rFonts w:cs="Tahoma"/>
          <w:szCs w:val="20"/>
        </w:rPr>
        <w:t>byl</w:t>
      </w:r>
      <w:r w:rsidRPr="00D83D0B">
        <w:rPr>
          <w:rFonts w:cs="Tahoma"/>
          <w:szCs w:val="20"/>
        </w:rPr>
        <w:t xml:space="preserve"> rozpočet kraje průběžně navyšován o přeplněné (neočekávané či mimořádné) příjmy roku </w:t>
      </w:r>
      <w:r w:rsidR="00C22C6C" w:rsidRPr="00D83D0B">
        <w:rPr>
          <w:rFonts w:cs="Tahoma"/>
          <w:szCs w:val="20"/>
        </w:rPr>
        <w:t>20</w:t>
      </w:r>
      <w:r w:rsidR="006507AD">
        <w:rPr>
          <w:rFonts w:cs="Tahoma"/>
          <w:szCs w:val="20"/>
        </w:rPr>
        <w:t>20</w:t>
      </w:r>
      <w:r w:rsidRPr="00D83D0B">
        <w:rPr>
          <w:rFonts w:cs="Tahoma"/>
          <w:szCs w:val="20"/>
        </w:rPr>
        <w:t xml:space="preserve"> související s vlastní činností kraje, kdy tyto prostředky reflektují aktuální potřeby kraje. </w:t>
      </w:r>
      <w:r w:rsidR="00B1307F" w:rsidRPr="00D83D0B">
        <w:rPr>
          <w:rFonts w:cs="Tahoma"/>
          <w:szCs w:val="20"/>
        </w:rPr>
        <w:t>Neméně významné byly úpravy rozpočtu související s odpovídajícím zatřízením dle platné legislativy.</w:t>
      </w:r>
    </w:p>
    <w:p w14:paraId="5F1E38B4" w14:textId="13BB326C" w:rsidR="00014B18" w:rsidRDefault="00014B18" w:rsidP="006B374A">
      <w:pPr>
        <w:rPr>
          <w:rFonts w:cs="Tahoma"/>
          <w:szCs w:val="20"/>
        </w:rPr>
      </w:pPr>
      <w:r w:rsidRPr="00D83D0B">
        <w:rPr>
          <w:rFonts w:cs="Tahoma"/>
          <w:szCs w:val="20"/>
        </w:rPr>
        <w:t xml:space="preserve">Zbývající </w:t>
      </w:r>
      <w:r w:rsidR="002F4168" w:rsidRPr="00D83D0B">
        <w:rPr>
          <w:rFonts w:cs="Tahoma"/>
          <w:szCs w:val="20"/>
        </w:rPr>
        <w:t>úpravy rozpočtu neměly</w:t>
      </w:r>
      <w:r w:rsidRPr="00D83D0B">
        <w:rPr>
          <w:rFonts w:cs="Tahoma"/>
          <w:szCs w:val="20"/>
        </w:rPr>
        <w:t xml:space="preserve"> významný dopad na celkovou výši rozpočtu kraje.</w:t>
      </w:r>
      <w:r w:rsidR="00FF720E">
        <w:rPr>
          <w:rFonts w:cs="Tahoma"/>
          <w:szCs w:val="20"/>
        </w:rPr>
        <w:t xml:space="preserve"> Přehled všech schválených rozpočtových opatření radou kraje je uveden v příloze č. </w:t>
      </w:r>
      <w:r w:rsidR="00216C9D">
        <w:rPr>
          <w:rFonts w:cs="Tahoma"/>
          <w:szCs w:val="20"/>
        </w:rPr>
        <w:t>1</w:t>
      </w:r>
      <w:r w:rsidR="00FF720E">
        <w:rPr>
          <w:rFonts w:cs="Tahoma"/>
          <w:szCs w:val="20"/>
        </w:rPr>
        <w:t xml:space="preserve"> </w:t>
      </w:r>
      <w:r w:rsidR="00063C46">
        <w:rPr>
          <w:rFonts w:cs="Tahoma"/>
          <w:szCs w:val="20"/>
        </w:rPr>
        <w:t xml:space="preserve">předloženého </w:t>
      </w:r>
      <w:r w:rsidR="00FF720E">
        <w:rPr>
          <w:rFonts w:cs="Tahoma"/>
          <w:szCs w:val="20"/>
        </w:rPr>
        <w:t>materiálu.</w:t>
      </w:r>
    </w:p>
    <w:p w14:paraId="25724575" w14:textId="77777777" w:rsidR="0064757D" w:rsidRPr="00787A97" w:rsidRDefault="0064757D" w:rsidP="0064757D">
      <w:pPr>
        <w:pStyle w:val="Nadpis2"/>
      </w:pPr>
      <w:r w:rsidRPr="00787A97">
        <w:t>Příjmová část rozpočtu</w:t>
      </w:r>
    </w:p>
    <w:p w14:paraId="50D3C9FF" w14:textId="16ED948D" w:rsidR="005F4011" w:rsidRPr="00787A97" w:rsidRDefault="00216C9D" w:rsidP="005F4011">
      <w:pPr>
        <w:rPr>
          <w:rFonts w:cs="Tahoma"/>
          <w:szCs w:val="20"/>
        </w:rPr>
      </w:pPr>
      <w:r w:rsidRPr="00216C9D">
        <w:rPr>
          <w:rFonts w:cs="Tahoma"/>
          <w:szCs w:val="20"/>
        </w:rPr>
        <w:t>K 30. 4. 2020 j</w:t>
      </w:r>
      <w:r w:rsidR="000127EC">
        <w:rPr>
          <w:rFonts w:cs="Tahoma"/>
          <w:szCs w:val="20"/>
        </w:rPr>
        <w:t>sou příjmy plněny</w:t>
      </w:r>
      <w:r w:rsidRPr="00216C9D">
        <w:rPr>
          <w:rFonts w:cs="Tahoma"/>
          <w:szCs w:val="20"/>
        </w:rPr>
        <w:t xml:space="preserve"> na 34,</w:t>
      </w:r>
      <w:r w:rsidR="005F4011">
        <w:rPr>
          <w:rFonts w:cs="Tahoma"/>
          <w:szCs w:val="20"/>
        </w:rPr>
        <w:t>69</w:t>
      </w:r>
      <w:r w:rsidRPr="00216C9D">
        <w:rPr>
          <w:rFonts w:cs="Tahoma"/>
          <w:szCs w:val="20"/>
        </w:rPr>
        <w:t xml:space="preserve"> % upraveného rozpočtu</w:t>
      </w:r>
      <w:r w:rsidR="000127EC">
        <w:rPr>
          <w:rFonts w:cs="Tahoma"/>
          <w:szCs w:val="20"/>
        </w:rPr>
        <w:t>. Skutečné</w:t>
      </w:r>
      <w:r w:rsidRPr="00216C9D">
        <w:rPr>
          <w:rFonts w:cs="Tahoma"/>
          <w:szCs w:val="20"/>
        </w:rPr>
        <w:t xml:space="preserve"> příjmy činí 10.</w:t>
      </w:r>
      <w:r w:rsidR="005F4011">
        <w:rPr>
          <w:rFonts w:cs="Tahoma"/>
          <w:szCs w:val="20"/>
        </w:rPr>
        <w:t>110.338</w:t>
      </w:r>
      <w:r w:rsidR="000127EC">
        <w:rPr>
          <w:rFonts w:cs="Tahoma"/>
          <w:szCs w:val="20"/>
        </w:rPr>
        <w:t> </w:t>
      </w:r>
      <w:r w:rsidRPr="00216C9D">
        <w:rPr>
          <w:rFonts w:cs="Tahoma"/>
          <w:szCs w:val="20"/>
        </w:rPr>
        <w:t>tis.</w:t>
      </w:r>
      <w:r w:rsidR="000127EC">
        <w:rPr>
          <w:rFonts w:cs="Tahoma"/>
          <w:szCs w:val="20"/>
        </w:rPr>
        <w:t> </w:t>
      </w:r>
      <w:r w:rsidRPr="00216C9D">
        <w:rPr>
          <w:rFonts w:cs="Tahoma"/>
          <w:szCs w:val="20"/>
        </w:rPr>
        <w:t>Kč. Ve srovnání skutečných příjmů období leden – duben 2020 se stejným obdobím roku 2019 došlo celkově v letošním roce ke zvýšení příjmů kraje o</w:t>
      </w:r>
      <w:r>
        <w:rPr>
          <w:rFonts w:cs="Tahoma"/>
          <w:szCs w:val="20"/>
        </w:rPr>
        <w:t> </w:t>
      </w:r>
      <w:r w:rsidR="005F4011">
        <w:rPr>
          <w:rFonts w:cs="Tahoma"/>
          <w:szCs w:val="20"/>
        </w:rPr>
        <w:t>584.095</w:t>
      </w:r>
      <w:r>
        <w:rPr>
          <w:rFonts w:cs="Tahoma"/>
          <w:szCs w:val="20"/>
        </w:rPr>
        <w:t> </w:t>
      </w:r>
      <w:r w:rsidRPr="00216C9D">
        <w:rPr>
          <w:rFonts w:cs="Tahoma"/>
          <w:szCs w:val="20"/>
        </w:rPr>
        <w:t>tis.</w:t>
      </w:r>
      <w:r>
        <w:rPr>
          <w:rFonts w:cs="Tahoma"/>
          <w:szCs w:val="20"/>
        </w:rPr>
        <w:t> </w:t>
      </w:r>
      <w:r w:rsidRPr="00216C9D">
        <w:rPr>
          <w:rFonts w:cs="Tahoma"/>
          <w:szCs w:val="20"/>
        </w:rPr>
        <w:t>Kč. Meziroční růst příjmů souvisel s</w:t>
      </w:r>
      <w:r>
        <w:rPr>
          <w:rFonts w:cs="Tahoma"/>
          <w:szCs w:val="20"/>
        </w:rPr>
        <w:t> </w:t>
      </w:r>
      <w:r w:rsidRPr="00216C9D">
        <w:rPr>
          <w:rFonts w:cs="Tahoma"/>
          <w:szCs w:val="20"/>
        </w:rPr>
        <w:t>vyšším objemem přijatých dotací z jednotlivých ministerstev a</w:t>
      </w:r>
      <w:r>
        <w:rPr>
          <w:rFonts w:cs="Tahoma"/>
          <w:szCs w:val="20"/>
        </w:rPr>
        <w:t> </w:t>
      </w:r>
      <w:r w:rsidRPr="00216C9D">
        <w:rPr>
          <w:rFonts w:cs="Tahoma"/>
          <w:szCs w:val="20"/>
        </w:rPr>
        <w:t>z</w:t>
      </w:r>
      <w:r>
        <w:rPr>
          <w:rFonts w:cs="Tahoma"/>
          <w:szCs w:val="20"/>
        </w:rPr>
        <w:t> </w:t>
      </w:r>
      <w:r w:rsidRPr="00216C9D">
        <w:rPr>
          <w:rFonts w:cs="Tahoma"/>
          <w:szCs w:val="20"/>
        </w:rPr>
        <w:t>evropských finančních zdrojů v</w:t>
      </w:r>
      <w:r>
        <w:rPr>
          <w:rFonts w:cs="Tahoma"/>
          <w:szCs w:val="20"/>
        </w:rPr>
        <w:t> </w:t>
      </w:r>
      <w:r w:rsidRPr="00216C9D">
        <w:rPr>
          <w:rFonts w:cs="Tahoma"/>
          <w:szCs w:val="20"/>
        </w:rPr>
        <w:t>důsledku financování projektů v</w:t>
      </w:r>
      <w:r>
        <w:rPr>
          <w:rFonts w:cs="Tahoma"/>
          <w:szCs w:val="20"/>
        </w:rPr>
        <w:t> </w:t>
      </w:r>
      <w:r w:rsidRPr="00216C9D">
        <w:rPr>
          <w:rFonts w:cs="Tahoma"/>
          <w:szCs w:val="20"/>
        </w:rPr>
        <w:t>programovém období 2014 – 2020 (kumulativní nárůst celkem o</w:t>
      </w:r>
      <w:r>
        <w:rPr>
          <w:rFonts w:cs="Tahoma"/>
          <w:szCs w:val="20"/>
        </w:rPr>
        <w:t> </w:t>
      </w:r>
      <w:r w:rsidR="005F4011">
        <w:rPr>
          <w:rFonts w:cs="Tahoma"/>
          <w:szCs w:val="20"/>
        </w:rPr>
        <w:t>555.553</w:t>
      </w:r>
      <w:r>
        <w:rPr>
          <w:rFonts w:cs="Tahoma"/>
          <w:szCs w:val="20"/>
        </w:rPr>
        <w:t> </w:t>
      </w:r>
      <w:r w:rsidRPr="00216C9D">
        <w:rPr>
          <w:rFonts w:cs="Tahoma"/>
          <w:szCs w:val="20"/>
        </w:rPr>
        <w:t>tis.</w:t>
      </w:r>
      <w:r>
        <w:rPr>
          <w:rFonts w:cs="Tahoma"/>
          <w:szCs w:val="20"/>
        </w:rPr>
        <w:t> </w:t>
      </w:r>
      <w:r w:rsidRPr="00216C9D">
        <w:rPr>
          <w:rFonts w:cs="Tahoma"/>
          <w:szCs w:val="20"/>
        </w:rPr>
        <w:t>Kč)</w:t>
      </w:r>
      <w:r w:rsidR="005F4011">
        <w:rPr>
          <w:rFonts w:cs="Tahoma"/>
          <w:szCs w:val="20"/>
        </w:rPr>
        <w:t>,</w:t>
      </w:r>
      <w:r w:rsidRPr="00216C9D">
        <w:rPr>
          <w:rFonts w:cs="Tahoma"/>
          <w:szCs w:val="20"/>
        </w:rPr>
        <w:t xml:space="preserve"> vyšším objemem přijatých daňových příjmů (nárůst celkem o</w:t>
      </w:r>
      <w:r>
        <w:rPr>
          <w:rFonts w:cs="Tahoma"/>
          <w:szCs w:val="20"/>
        </w:rPr>
        <w:t> </w:t>
      </w:r>
      <w:r w:rsidR="005F4011">
        <w:rPr>
          <w:rFonts w:cs="Tahoma"/>
          <w:szCs w:val="20"/>
        </w:rPr>
        <w:t>32.898</w:t>
      </w:r>
      <w:r>
        <w:rPr>
          <w:rFonts w:cs="Tahoma"/>
          <w:szCs w:val="20"/>
        </w:rPr>
        <w:t> </w:t>
      </w:r>
      <w:r w:rsidRPr="00216C9D">
        <w:rPr>
          <w:rFonts w:cs="Tahoma"/>
          <w:szCs w:val="20"/>
        </w:rPr>
        <w:t>tis.</w:t>
      </w:r>
      <w:r>
        <w:rPr>
          <w:rFonts w:cs="Tahoma"/>
          <w:szCs w:val="20"/>
        </w:rPr>
        <w:t> </w:t>
      </w:r>
      <w:r w:rsidRPr="00216C9D">
        <w:rPr>
          <w:rFonts w:cs="Tahoma"/>
          <w:szCs w:val="20"/>
        </w:rPr>
        <w:t>Kč)</w:t>
      </w:r>
      <w:r w:rsidR="005F4011">
        <w:rPr>
          <w:rFonts w:cs="Tahoma"/>
          <w:szCs w:val="20"/>
        </w:rPr>
        <w:t>, a dále s růstem objemu skutečných nedaňových příjmů (nárůst o 232 tis. Kč)</w:t>
      </w:r>
      <w:r w:rsidRPr="00216C9D">
        <w:rPr>
          <w:rFonts w:cs="Tahoma"/>
          <w:szCs w:val="20"/>
        </w:rPr>
        <w:t>. Současně došlo ke</w:t>
      </w:r>
      <w:r>
        <w:rPr>
          <w:rFonts w:cs="Tahoma"/>
          <w:szCs w:val="20"/>
        </w:rPr>
        <w:t> </w:t>
      </w:r>
      <w:r w:rsidRPr="00216C9D">
        <w:rPr>
          <w:rFonts w:cs="Tahoma"/>
          <w:szCs w:val="20"/>
        </w:rPr>
        <w:t xml:space="preserve">snížení objemu </w:t>
      </w:r>
      <w:r w:rsidR="005F4011" w:rsidRPr="00216C9D">
        <w:rPr>
          <w:rFonts w:cs="Tahoma"/>
          <w:szCs w:val="20"/>
        </w:rPr>
        <w:t>kapitálových příjmů (pokles celkem o</w:t>
      </w:r>
      <w:r w:rsidR="005F4011">
        <w:rPr>
          <w:rFonts w:cs="Tahoma"/>
          <w:szCs w:val="20"/>
        </w:rPr>
        <w:t> </w:t>
      </w:r>
      <w:r w:rsidR="005F4011" w:rsidRPr="00216C9D">
        <w:rPr>
          <w:rFonts w:cs="Tahoma"/>
          <w:szCs w:val="20"/>
        </w:rPr>
        <w:t>4.588</w:t>
      </w:r>
      <w:r w:rsidR="005F4011">
        <w:rPr>
          <w:rFonts w:cs="Tahoma"/>
          <w:szCs w:val="20"/>
        </w:rPr>
        <w:t> </w:t>
      </w:r>
      <w:r w:rsidR="005F4011" w:rsidRPr="00216C9D">
        <w:rPr>
          <w:rFonts w:cs="Tahoma"/>
          <w:szCs w:val="20"/>
        </w:rPr>
        <w:t>tis.</w:t>
      </w:r>
      <w:r w:rsidR="005F4011">
        <w:rPr>
          <w:rFonts w:cs="Tahoma"/>
          <w:szCs w:val="20"/>
        </w:rPr>
        <w:t> </w:t>
      </w:r>
      <w:r w:rsidR="005F4011" w:rsidRPr="00216C9D">
        <w:rPr>
          <w:rFonts w:cs="Tahoma"/>
          <w:szCs w:val="20"/>
        </w:rPr>
        <w:t>Kč).</w:t>
      </w:r>
    </w:p>
    <w:p w14:paraId="32ACD2EE" w14:textId="77777777" w:rsidR="007A695F" w:rsidRPr="00787A97" w:rsidRDefault="007A695F" w:rsidP="007A695F">
      <w:pPr>
        <w:pStyle w:val="Styltab"/>
      </w:pPr>
      <w:r w:rsidRPr="00787A97">
        <w:t xml:space="preserve">Přehled příjmů kraje v členění dle rozpočtové skladby </w:t>
      </w:r>
      <w:r w:rsidRPr="00787A97">
        <w:tab/>
        <w:t>v tis. Kč</w:t>
      </w:r>
    </w:p>
    <w:bookmarkStart w:id="15" w:name="_MON_1619579848"/>
    <w:bookmarkEnd w:id="15"/>
    <w:p w14:paraId="2B24D2B9" w14:textId="0A02E0E4" w:rsidR="007A695F" w:rsidRPr="002A5DB5" w:rsidRDefault="000127EC" w:rsidP="007A695F">
      <w:pPr>
        <w:rPr>
          <w:rFonts w:cs="Tahoma"/>
          <w:sz w:val="2"/>
          <w:szCs w:val="2"/>
        </w:rPr>
      </w:pPr>
      <w:r w:rsidRPr="00787A97">
        <w:rPr>
          <w:rFonts w:cs="Tahoma"/>
          <w:szCs w:val="20"/>
        </w:rPr>
        <w:object w:dxaOrig="9303" w:dyaOrig="1733" w14:anchorId="20BCC7FB">
          <v:shape id="_x0000_i1026" type="#_x0000_t75" style="width:461.25pt;height:86.25pt" o:ole="">
            <v:imagedata r:id="rId10" o:title=""/>
          </v:shape>
          <o:OLEObject Type="Embed" ProgID="Excel.Sheet.8" ShapeID="_x0000_i1026" DrawAspect="Content" ObjectID="_1651462951" r:id="rId11"/>
        </w:object>
      </w:r>
    </w:p>
    <w:p w14:paraId="3EB4CA04" w14:textId="77777777" w:rsidR="00050677" w:rsidRPr="00787A97" w:rsidRDefault="00050677" w:rsidP="00050677">
      <w:pPr>
        <w:pStyle w:val="Nadpis3"/>
      </w:pPr>
      <w:r>
        <w:lastRenderedPageBreak/>
        <w:t>Příjmy ze sdílených daní</w:t>
      </w:r>
    </w:p>
    <w:p w14:paraId="38B6C7E1" w14:textId="77777777" w:rsidR="00050677" w:rsidRPr="00787A97" w:rsidRDefault="00050677" w:rsidP="00050677">
      <w:pPr>
        <w:rPr>
          <w:rFonts w:cs="Tahoma"/>
          <w:szCs w:val="20"/>
        </w:rPr>
      </w:pPr>
      <w:r w:rsidRPr="000614B7">
        <w:rPr>
          <w:rFonts w:cs="Tahoma"/>
          <w:szCs w:val="20"/>
        </w:rPr>
        <w:t>Upravený rozpočet příjmů kraje ze sdílených daní činí 7.240.000 tis. Kč. Skutečně přijaté příjmy kraje pak dosáhly k 30. 4. 2020 výše 2.222.691 tis. Kč.</w:t>
      </w:r>
    </w:p>
    <w:p w14:paraId="571EE711" w14:textId="77777777" w:rsidR="00050677" w:rsidRPr="00787A97" w:rsidRDefault="00050677" w:rsidP="00050677">
      <w:pPr>
        <w:pStyle w:val="Styltab"/>
      </w:pPr>
      <w:r w:rsidRPr="00787A97">
        <w:t>Přehl</w:t>
      </w:r>
      <w:r>
        <w:t>ed příjmů ze sdílených daní</w:t>
      </w:r>
      <w:r w:rsidRPr="00787A97">
        <w:tab/>
        <w:t>v tis. Kč</w:t>
      </w:r>
    </w:p>
    <w:bookmarkStart w:id="16" w:name="_MON_1620195247"/>
    <w:bookmarkEnd w:id="16"/>
    <w:p w14:paraId="57935955" w14:textId="268B66F1" w:rsidR="00050677" w:rsidRPr="00787A97" w:rsidRDefault="00681786" w:rsidP="00050677">
      <w:pPr>
        <w:rPr>
          <w:rFonts w:cs="Tahoma"/>
          <w:szCs w:val="20"/>
        </w:rPr>
      </w:pPr>
      <w:r w:rsidRPr="00787A97">
        <w:rPr>
          <w:rFonts w:cs="Tahoma"/>
          <w:szCs w:val="20"/>
        </w:rPr>
        <w:object w:dxaOrig="10436" w:dyaOrig="3195" w14:anchorId="0550B00B">
          <v:shape id="_x0000_i1027" type="#_x0000_t75" style="width:457.5pt;height:145.5pt" o:ole="">
            <v:imagedata r:id="rId12" o:title=""/>
          </v:shape>
          <o:OLEObject Type="Embed" ProgID="Excel.Sheet.8" ShapeID="_x0000_i1027" DrawAspect="Content" ObjectID="_1651462952" r:id="rId13"/>
        </w:object>
      </w:r>
    </w:p>
    <w:p w14:paraId="4AD6E9C5" w14:textId="77777777" w:rsidR="00050677" w:rsidRPr="000614B7" w:rsidRDefault="00050677" w:rsidP="00876860">
      <w:pPr>
        <w:rPr>
          <w:rFonts w:cs="Tahoma"/>
          <w:szCs w:val="20"/>
        </w:rPr>
      </w:pPr>
      <w:r w:rsidRPr="000614B7">
        <w:rPr>
          <w:rFonts w:cs="Tahoma"/>
          <w:szCs w:val="20"/>
        </w:rPr>
        <w:t>Ve stejném období loňského roku pak inkaso činilo 2.198.047 tis. Kč. Meziroční nárůst tak za sledované období činí 24.644 tis. Kč. Příznivého výsledku bylo dosaženo skutečností, že inkaso za leden – březen se vyvíjelo v souladu s očekáváním, první výrazný meziroční výpadek byl zaznamenán až v dubnu, a</w:t>
      </w:r>
      <w:r w:rsidR="00876860">
        <w:rPr>
          <w:rFonts w:cs="Tahoma"/>
          <w:szCs w:val="20"/>
        </w:rPr>
        <w:t> </w:t>
      </w:r>
      <w:r w:rsidRPr="000614B7">
        <w:rPr>
          <w:rFonts w:cs="Tahoma"/>
          <w:szCs w:val="20"/>
        </w:rPr>
        <w:t>to o</w:t>
      </w:r>
      <w:r w:rsidR="00876860">
        <w:rPr>
          <w:rFonts w:cs="Tahoma"/>
          <w:szCs w:val="20"/>
        </w:rPr>
        <w:t> </w:t>
      </w:r>
      <w:r w:rsidRPr="000614B7">
        <w:rPr>
          <w:rFonts w:cs="Tahoma"/>
          <w:szCs w:val="20"/>
        </w:rPr>
        <w:t>52</w:t>
      </w:r>
      <w:r w:rsidR="00876860">
        <w:rPr>
          <w:rFonts w:cs="Tahoma"/>
          <w:szCs w:val="20"/>
        </w:rPr>
        <w:t> </w:t>
      </w:r>
      <w:r w:rsidRPr="000614B7">
        <w:rPr>
          <w:rFonts w:cs="Tahoma"/>
          <w:szCs w:val="20"/>
        </w:rPr>
        <w:t xml:space="preserve">mil. Kč. </w:t>
      </w:r>
    </w:p>
    <w:p w14:paraId="31D306E1" w14:textId="687C5727" w:rsidR="00050677" w:rsidRPr="000614B7" w:rsidRDefault="00050677" w:rsidP="00876860">
      <w:pPr>
        <w:rPr>
          <w:rFonts w:cs="Tahoma"/>
          <w:szCs w:val="20"/>
        </w:rPr>
      </w:pPr>
      <w:r w:rsidRPr="000614B7">
        <w:rPr>
          <w:rFonts w:cs="Tahoma"/>
          <w:szCs w:val="20"/>
        </w:rPr>
        <w:t>Dle predikce inkasa sdílených daní pro rok 2020</w:t>
      </w:r>
      <w:r>
        <w:rPr>
          <w:rFonts w:cs="Tahoma"/>
          <w:szCs w:val="20"/>
        </w:rPr>
        <w:t>,</w:t>
      </w:r>
      <w:r w:rsidRPr="000614B7">
        <w:rPr>
          <w:rFonts w:cs="Tahoma"/>
          <w:szCs w:val="20"/>
        </w:rPr>
        <w:t xml:space="preserve"> aktualizované Ministerstvem financí dne </w:t>
      </w:r>
      <w:r w:rsidR="007C755A">
        <w:rPr>
          <w:rFonts w:cs="Tahoma"/>
          <w:szCs w:val="20"/>
        </w:rPr>
        <w:t>13</w:t>
      </w:r>
      <w:r w:rsidRPr="000614B7">
        <w:rPr>
          <w:rFonts w:cs="Tahoma"/>
          <w:szCs w:val="20"/>
        </w:rPr>
        <w:t>.</w:t>
      </w:r>
      <w:r w:rsidR="00876860">
        <w:rPr>
          <w:rFonts w:cs="Tahoma"/>
          <w:szCs w:val="20"/>
        </w:rPr>
        <w:t> </w:t>
      </w:r>
      <w:r w:rsidR="007C755A">
        <w:rPr>
          <w:rFonts w:cs="Tahoma"/>
          <w:szCs w:val="20"/>
        </w:rPr>
        <w:t>5</w:t>
      </w:r>
      <w:r w:rsidRPr="000614B7">
        <w:rPr>
          <w:rFonts w:cs="Tahoma"/>
          <w:szCs w:val="20"/>
        </w:rPr>
        <w:t>.</w:t>
      </w:r>
      <w:r w:rsidR="00876860">
        <w:rPr>
          <w:rFonts w:cs="Tahoma"/>
          <w:szCs w:val="20"/>
        </w:rPr>
        <w:t> </w:t>
      </w:r>
      <w:r w:rsidRPr="000614B7">
        <w:rPr>
          <w:rFonts w:cs="Tahoma"/>
          <w:szCs w:val="20"/>
        </w:rPr>
        <w:t>2020, která zohledňuje snížení sdílených daní v</w:t>
      </w:r>
      <w:r w:rsidR="00876860">
        <w:rPr>
          <w:rFonts w:cs="Tahoma"/>
          <w:szCs w:val="20"/>
        </w:rPr>
        <w:t> </w:t>
      </w:r>
      <w:r w:rsidRPr="000614B7">
        <w:rPr>
          <w:rFonts w:cs="Tahoma"/>
          <w:szCs w:val="20"/>
        </w:rPr>
        <w:t>souvislosti s</w:t>
      </w:r>
      <w:r w:rsidR="00876860">
        <w:rPr>
          <w:rFonts w:cs="Tahoma"/>
          <w:szCs w:val="20"/>
        </w:rPr>
        <w:t> </w:t>
      </w:r>
      <w:r w:rsidRPr="000614B7">
        <w:rPr>
          <w:rFonts w:cs="Tahoma"/>
          <w:szCs w:val="20"/>
        </w:rPr>
        <w:t>dopady krizové situace, by tyto příjmy měly být v roce 2020 oproti skutečnosti roku 2019 nižší o</w:t>
      </w:r>
      <w:r w:rsidR="00876860">
        <w:rPr>
          <w:rFonts w:cs="Tahoma"/>
          <w:szCs w:val="20"/>
        </w:rPr>
        <w:t> </w:t>
      </w:r>
      <w:r w:rsidRPr="000614B7">
        <w:rPr>
          <w:rFonts w:cs="Tahoma"/>
          <w:szCs w:val="20"/>
        </w:rPr>
        <w:t>cca 1</w:t>
      </w:r>
      <w:r w:rsidR="007C755A">
        <w:rPr>
          <w:rFonts w:cs="Tahoma"/>
          <w:szCs w:val="20"/>
        </w:rPr>
        <w:t>2,6</w:t>
      </w:r>
      <w:r w:rsidR="00876860">
        <w:rPr>
          <w:rFonts w:cs="Tahoma"/>
          <w:szCs w:val="20"/>
        </w:rPr>
        <w:t> </w:t>
      </w:r>
      <w:r w:rsidRPr="000614B7">
        <w:rPr>
          <w:rFonts w:cs="Tahoma"/>
          <w:szCs w:val="20"/>
        </w:rPr>
        <w:t>%. To by v případě Moravskoslezského kraje znamenalo pokles o</w:t>
      </w:r>
      <w:r w:rsidR="00876860">
        <w:rPr>
          <w:rFonts w:cs="Tahoma"/>
          <w:szCs w:val="20"/>
        </w:rPr>
        <w:t> </w:t>
      </w:r>
      <w:r w:rsidRPr="000614B7">
        <w:rPr>
          <w:rFonts w:cs="Tahoma"/>
          <w:szCs w:val="20"/>
        </w:rPr>
        <w:t xml:space="preserve">cca </w:t>
      </w:r>
      <w:r w:rsidR="007C755A">
        <w:rPr>
          <w:rFonts w:cs="Tahoma"/>
          <w:szCs w:val="20"/>
        </w:rPr>
        <w:t>930</w:t>
      </w:r>
      <w:r w:rsidR="00876860">
        <w:rPr>
          <w:rFonts w:cs="Tahoma"/>
          <w:szCs w:val="20"/>
        </w:rPr>
        <w:t> </w:t>
      </w:r>
      <w:r w:rsidRPr="000614B7">
        <w:rPr>
          <w:rFonts w:cs="Tahoma"/>
          <w:szCs w:val="20"/>
        </w:rPr>
        <w:t>mil.</w:t>
      </w:r>
      <w:r w:rsidR="00876860">
        <w:rPr>
          <w:rFonts w:cs="Tahoma"/>
          <w:szCs w:val="20"/>
        </w:rPr>
        <w:t> </w:t>
      </w:r>
      <w:r w:rsidRPr="000614B7">
        <w:rPr>
          <w:rFonts w:cs="Tahoma"/>
          <w:szCs w:val="20"/>
        </w:rPr>
        <w:t>Kč.</w:t>
      </w:r>
    </w:p>
    <w:p w14:paraId="07BBB730" w14:textId="311CEB12" w:rsidR="00050677" w:rsidRPr="000614B7" w:rsidRDefault="00050677" w:rsidP="00876860">
      <w:pPr>
        <w:rPr>
          <w:rFonts w:cs="Tahoma"/>
          <w:szCs w:val="20"/>
        </w:rPr>
      </w:pPr>
      <w:r w:rsidRPr="000614B7">
        <w:rPr>
          <w:rFonts w:cs="Tahoma"/>
          <w:szCs w:val="20"/>
        </w:rPr>
        <w:t>Údaje o</w:t>
      </w:r>
      <w:r w:rsidR="00876860">
        <w:rPr>
          <w:rFonts w:cs="Tahoma"/>
          <w:szCs w:val="20"/>
        </w:rPr>
        <w:t> </w:t>
      </w:r>
      <w:r w:rsidRPr="000614B7">
        <w:rPr>
          <w:rFonts w:cs="Tahoma"/>
          <w:szCs w:val="20"/>
        </w:rPr>
        <w:t>celostátním inkasu jednotlivých sdílených daní na</w:t>
      </w:r>
      <w:r w:rsidR="00876860">
        <w:rPr>
          <w:rFonts w:cs="Tahoma"/>
          <w:szCs w:val="20"/>
        </w:rPr>
        <w:t> </w:t>
      </w:r>
      <w:r w:rsidRPr="000614B7">
        <w:rPr>
          <w:rFonts w:cs="Tahoma"/>
          <w:szCs w:val="20"/>
        </w:rPr>
        <w:t>webu Finanční správy k </w:t>
      </w:r>
      <w:r w:rsidR="00A6332B">
        <w:rPr>
          <w:rFonts w:cs="Tahoma"/>
          <w:szCs w:val="20"/>
        </w:rPr>
        <w:t>15</w:t>
      </w:r>
      <w:r w:rsidRPr="000614B7">
        <w:rPr>
          <w:rFonts w:cs="Tahoma"/>
          <w:szCs w:val="20"/>
        </w:rPr>
        <w:t>.</w:t>
      </w:r>
      <w:r w:rsidR="00876860">
        <w:rPr>
          <w:rFonts w:cs="Tahoma"/>
          <w:szCs w:val="20"/>
        </w:rPr>
        <w:t> </w:t>
      </w:r>
      <w:r w:rsidR="00A6332B">
        <w:rPr>
          <w:rFonts w:cs="Tahoma"/>
          <w:szCs w:val="20"/>
        </w:rPr>
        <w:t>5</w:t>
      </w:r>
      <w:r w:rsidRPr="000614B7">
        <w:rPr>
          <w:rFonts w:cs="Tahoma"/>
          <w:szCs w:val="20"/>
        </w:rPr>
        <w:t>.</w:t>
      </w:r>
      <w:r w:rsidR="00876860">
        <w:rPr>
          <w:rFonts w:cs="Tahoma"/>
          <w:szCs w:val="20"/>
        </w:rPr>
        <w:t> </w:t>
      </w:r>
      <w:r w:rsidRPr="000614B7">
        <w:rPr>
          <w:rFonts w:cs="Tahoma"/>
          <w:szCs w:val="20"/>
        </w:rPr>
        <w:t>2020 (</w:t>
      </w:r>
      <w:r w:rsidR="00A6332B">
        <w:rPr>
          <w:rFonts w:cs="Tahoma"/>
          <w:szCs w:val="20"/>
        </w:rPr>
        <w:t>po 2. květnové tranši</w:t>
      </w:r>
      <w:r w:rsidRPr="000614B7">
        <w:rPr>
          <w:rFonts w:cs="Tahoma"/>
          <w:szCs w:val="20"/>
        </w:rPr>
        <w:t xml:space="preserve">) však tomuto předpokladu neodpovídají. </w:t>
      </w:r>
      <w:r w:rsidR="00A6332B">
        <w:rPr>
          <w:rFonts w:cs="Tahoma"/>
          <w:szCs w:val="20"/>
        </w:rPr>
        <w:t xml:space="preserve">V rámci dvou květnových tranší </w:t>
      </w:r>
      <w:r w:rsidRPr="000614B7">
        <w:rPr>
          <w:rFonts w:cs="Tahoma"/>
          <w:szCs w:val="20"/>
        </w:rPr>
        <w:t xml:space="preserve">se v případě </w:t>
      </w:r>
      <w:r w:rsidR="00FF720E">
        <w:rPr>
          <w:rFonts w:cs="Tahoma"/>
          <w:szCs w:val="20"/>
        </w:rPr>
        <w:t xml:space="preserve">kraje </w:t>
      </w:r>
      <w:r w:rsidRPr="000614B7">
        <w:rPr>
          <w:rFonts w:cs="Tahoma"/>
          <w:szCs w:val="20"/>
        </w:rPr>
        <w:t>jedná o</w:t>
      </w:r>
      <w:r w:rsidR="00876860">
        <w:rPr>
          <w:rFonts w:cs="Tahoma"/>
          <w:szCs w:val="20"/>
        </w:rPr>
        <w:t> </w:t>
      </w:r>
      <w:r w:rsidRPr="000614B7">
        <w:rPr>
          <w:rFonts w:cs="Tahoma"/>
          <w:szCs w:val="20"/>
        </w:rPr>
        <w:t>meziroční propad 1</w:t>
      </w:r>
      <w:r w:rsidR="00A6332B">
        <w:rPr>
          <w:rFonts w:cs="Tahoma"/>
          <w:szCs w:val="20"/>
        </w:rPr>
        <w:t>91</w:t>
      </w:r>
      <w:r w:rsidR="00876860">
        <w:rPr>
          <w:rFonts w:cs="Tahoma"/>
          <w:szCs w:val="20"/>
        </w:rPr>
        <w:t> </w:t>
      </w:r>
      <w:r w:rsidRPr="000614B7">
        <w:rPr>
          <w:rFonts w:cs="Tahoma"/>
          <w:szCs w:val="20"/>
        </w:rPr>
        <w:t>mil.</w:t>
      </w:r>
      <w:r w:rsidR="00876860">
        <w:rPr>
          <w:rFonts w:cs="Tahoma"/>
          <w:szCs w:val="20"/>
        </w:rPr>
        <w:t> </w:t>
      </w:r>
      <w:r w:rsidRPr="000614B7">
        <w:rPr>
          <w:rFonts w:cs="Tahoma"/>
          <w:szCs w:val="20"/>
        </w:rPr>
        <w:t>Kč</w:t>
      </w:r>
      <w:r w:rsidR="00A6332B">
        <w:rPr>
          <w:rFonts w:cs="Tahoma"/>
          <w:szCs w:val="20"/>
        </w:rPr>
        <w:t xml:space="preserve"> (tj. o 35 %)</w:t>
      </w:r>
      <w:r w:rsidRPr="000614B7">
        <w:rPr>
          <w:rFonts w:cs="Tahoma"/>
          <w:szCs w:val="20"/>
        </w:rPr>
        <w:t>. Současně jsme Finančním úřadem pro</w:t>
      </w:r>
      <w:r w:rsidR="00876860">
        <w:rPr>
          <w:rFonts w:cs="Tahoma"/>
          <w:szCs w:val="20"/>
        </w:rPr>
        <w:t> </w:t>
      </w:r>
      <w:r w:rsidR="00FF720E">
        <w:rPr>
          <w:rFonts w:cs="Tahoma"/>
          <w:szCs w:val="20"/>
        </w:rPr>
        <w:t xml:space="preserve">Moravskoslezský kraj </w:t>
      </w:r>
      <w:r w:rsidRPr="000614B7">
        <w:rPr>
          <w:rFonts w:cs="Tahoma"/>
          <w:szCs w:val="20"/>
        </w:rPr>
        <w:t>aktuálně přeplaceni na</w:t>
      </w:r>
      <w:r w:rsidR="00876860">
        <w:rPr>
          <w:rFonts w:cs="Tahoma"/>
          <w:szCs w:val="20"/>
        </w:rPr>
        <w:t> </w:t>
      </w:r>
      <w:r w:rsidRPr="000614B7">
        <w:rPr>
          <w:rFonts w:cs="Tahoma"/>
          <w:szCs w:val="20"/>
        </w:rPr>
        <w:t>zálohách celkem o</w:t>
      </w:r>
      <w:r w:rsidR="00876860">
        <w:rPr>
          <w:rFonts w:cs="Tahoma"/>
          <w:szCs w:val="20"/>
        </w:rPr>
        <w:t> </w:t>
      </w:r>
      <w:r w:rsidR="00A6332B">
        <w:rPr>
          <w:rFonts w:cs="Tahoma"/>
          <w:szCs w:val="20"/>
        </w:rPr>
        <w:t>47</w:t>
      </w:r>
      <w:r w:rsidRPr="000614B7">
        <w:rPr>
          <w:rFonts w:cs="Tahoma"/>
          <w:szCs w:val="20"/>
        </w:rPr>
        <w:t xml:space="preserve"> mil.</w:t>
      </w:r>
      <w:r w:rsidR="00876860">
        <w:rPr>
          <w:rFonts w:cs="Tahoma"/>
          <w:szCs w:val="20"/>
        </w:rPr>
        <w:t> </w:t>
      </w:r>
      <w:r w:rsidRPr="000614B7">
        <w:rPr>
          <w:rFonts w:cs="Tahoma"/>
          <w:szCs w:val="20"/>
        </w:rPr>
        <w:t>Kč díky zápornému inkasu v</w:t>
      </w:r>
      <w:r w:rsidR="00876860">
        <w:rPr>
          <w:rFonts w:cs="Tahoma"/>
          <w:szCs w:val="20"/>
        </w:rPr>
        <w:t> </w:t>
      </w:r>
      <w:r w:rsidRPr="000614B7">
        <w:rPr>
          <w:rFonts w:cs="Tahoma"/>
          <w:szCs w:val="20"/>
        </w:rPr>
        <w:t>rámci daně z příjmů právnických osob a</w:t>
      </w:r>
      <w:r w:rsidR="00876860">
        <w:rPr>
          <w:rFonts w:cs="Tahoma"/>
          <w:szCs w:val="20"/>
        </w:rPr>
        <w:t> </w:t>
      </w:r>
      <w:r w:rsidRPr="000614B7">
        <w:rPr>
          <w:rFonts w:cs="Tahoma"/>
          <w:szCs w:val="20"/>
        </w:rPr>
        <w:t>dan</w:t>
      </w:r>
      <w:r w:rsidR="00A6332B">
        <w:rPr>
          <w:rFonts w:cs="Tahoma"/>
          <w:szCs w:val="20"/>
        </w:rPr>
        <w:t xml:space="preserve">ě </w:t>
      </w:r>
      <w:r w:rsidRPr="000614B7">
        <w:rPr>
          <w:rFonts w:cs="Tahoma"/>
          <w:szCs w:val="20"/>
        </w:rPr>
        <w:t>z příjmů fyzických osob place</w:t>
      </w:r>
      <w:r w:rsidR="00A6332B">
        <w:rPr>
          <w:rFonts w:cs="Tahoma"/>
          <w:szCs w:val="20"/>
        </w:rPr>
        <w:t xml:space="preserve">né </w:t>
      </w:r>
      <w:r w:rsidRPr="000614B7">
        <w:rPr>
          <w:rFonts w:cs="Tahoma"/>
          <w:szCs w:val="20"/>
        </w:rPr>
        <w:t>poplatníky. Z uvedeného je tedy patrné, že lze očekávat mnohem větší celoroční propad, a</w:t>
      </w:r>
      <w:r w:rsidR="00876860">
        <w:rPr>
          <w:rFonts w:cs="Tahoma"/>
          <w:szCs w:val="20"/>
        </w:rPr>
        <w:t> </w:t>
      </w:r>
      <w:r w:rsidRPr="000614B7">
        <w:rPr>
          <w:rFonts w:cs="Tahoma"/>
          <w:szCs w:val="20"/>
        </w:rPr>
        <w:t>to minimálně 1</w:t>
      </w:r>
      <w:r w:rsidR="00876860">
        <w:rPr>
          <w:rFonts w:cs="Tahoma"/>
          <w:szCs w:val="20"/>
        </w:rPr>
        <w:t> </w:t>
      </w:r>
      <w:r w:rsidRPr="000614B7">
        <w:rPr>
          <w:rFonts w:cs="Tahoma"/>
          <w:szCs w:val="20"/>
        </w:rPr>
        <w:t>mld. Kč oproti schválenému rozpočtu na</w:t>
      </w:r>
      <w:r w:rsidR="00876860">
        <w:rPr>
          <w:rFonts w:cs="Tahoma"/>
          <w:szCs w:val="20"/>
        </w:rPr>
        <w:t> </w:t>
      </w:r>
      <w:r w:rsidRPr="000614B7">
        <w:rPr>
          <w:rFonts w:cs="Tahoma"/>
          <w:szCs w:val="20"/>
        </w:rPr>
        <w:t>rok 2020 (pokles o</w:t>
      </w:r>
      <w:r w:rsidR="00876860">
        <w:rPr>
          <w:rFonts w:cs="Tahoma"/>
          <w:szCs w:val="20"/>
        </w:rPr>
        <w:t> </w:t>
      </w:r>
      <w:r w:rsidRPr="000614B7">
        <w:rPr>
          <w:rFonts w:cs="Tahoma"/>
          <w:szCs w:val="20"/>
        </w:rPr>
        <w:t>13,7</w:t>
      </w:r>
      <w:r w:rsidR="00876860">
        <w:rPr>
          <w:rFonts w:cs="Tahoma"/>
          <w:szCs w:val="20"/>
        </w:rPr>
        <w:t> </w:t>
      </w:r>
      <w:r w:rsidRPr="000614B7">
        <w:rPr>
          <w:rFonts w:cs="Tahoma"/>
          <w:szCs w:val="20"/>
        </w:rPr>
        <w:t>% oproti schválenému rozpočtu na</w:t>
      </w:r>
      <w:r w:rsidR="00876860">
        <w:rPr>
          <w:rFonts w:cs="Tahoma"/>
          <w:szCs w:val="20"/>
        </w:rPr>
        <w:t> </w:t>
      </w:r>
      <w:r w:rsidRPr="000614B7">
        <w:rPr>
          <w:rFonts w:cs="Tahoma"/>
          <w:szCs w:val="20"/>
        </w:rPr>
        <w:t>rok 2020, resp. o</w:t>
      </w:r>
      <w:r w:rsidR="00876860">
        <w:rPr>
          <w:rFonts w:cs="Tahoma"/>
          <w:szCs w:val="20"/>
        </w:rPr>
        <w:t> </w:t>
      </w:r>
      <w:r w:rsidRPr="000614B7">
        <w:rPr>
          <w:rFonts w:cs="Tahoma"/>
          <w:szCs w:val="20"/>
        </w:rPr>
        <w:t>15 % oproti skutečnosti roku 2019, kdy příjmy ze</w:t>
      </w:r>
      <w:r w:rsidR="00876860">
        <w:rPr>
          <w:rFonts w:cs="Tahoma"/>
          <w:szCs w:val="20"/>
        </w:rPr>
        <w:t> </w:t>
      </w:r>
      <w:r w:rsidRPr="000614B7">
        <w:rPr>
          <w:rFonts w:cs="Tahoma"/>
          <w:szCs w:val="20"/>
        </w:rPr>
        <w:t>sdílených daní dosáhly částky 7.412</w:t>
      </w:r>
      <w:r w:rsidR="00876860">
        <w:rPr>
          <w:rFonts w:cs="Tahoma"/>
          <w:szCs w:val="20"/>
        </w:rPr>
        <w:t> </w:t>
      </w:r>
      <w:r w:rsidRPr="000614B7">
        <w:rPr>
          <w:rFonts w:cs="Tahoma"/>
          <w:szCs w:val="20"/>
        </w:rPr>
        <w:t>mil.</w:t>
      </w:r>
      <w:r w:rsidR="00876860">
        <w:rPr>
          <w:rFonts w:cs="Tahoma"/>
          <w:szCs w:val="20"/>
        </w:rPr>
        <w:t> </w:t>
      </w:r>
      <w:r w:rsidRPr="000614B7">
        <w:rPr>
          <w:rFonts w:cs="Tahoma"/>
          <w:szCs w:val="20"/>
        </w:rPr>
        <w:t xml:space="preserve">Kč). </w:t>
      </w:r>
    </w:p>
    <w:p w14:paraId="476F70EC" w14:textId="77777777" w:rsidR="00050677" w:rsidRPr="000614B7" w:rsidRDefault="00050677" w:rsidP="00876860">
      <w:pPr>
        <w:rPr>
          <w:rFonts w:cs="Tahoma"/>
          <w:szCs w:val="20"/>
        </w:rPr>
      </w:pPr>
      <w:r w:rsidRPr="000614B7">
        <w:rPr>
          <w:rFonts w:cs="Tahoma"/>
          <w:szCs w:val="20"/>
        </w:rPr>
        <w:t>Rada kraje již dne 20.</w:t>
      </w:r>
      <w:r w:rsidR="00876860">
        <w:rPr>
          <w:rFonts w:cs="Tahoma"/>
          <w:szCs w:val="20"/>
        </w:rPr>
        <w:t> </w:t>
      </w:r>
      <w:r w:rsidRPr="000614B7">
        <w:rPr>
          <w:rFonts w:cs="Tahoma"/>
          <w:szCs w:val="20"/>
        </w:rPr>
        <w:t>4.</w:t>
      </w:r>
      <w:r w:rsidR="00876860">
        <w:rPr>
          <w:rFonts w:cs="Tahoma"/>
          <w:szCs w:val="20"/>
        </w:rPr>
        <w:t> </w:t>
      </w:r>
      <w:r w:rsidRPr="000614B7">
        <w:rPr>
          <w:rFonts w:cs="Tahoma"/>
          <w:szCs w:val="20"/>
        </w:rPr>
        <w:t>2020 schválila rozpočtové opatření, kterým došlo ke</w:t>
      </w:r>
      <w:r w:rsidR="00876860">
        <w:rPr>
          <w:rFonts w:cs="Tahoma"/>
          <w:szCs w:val="20"/>
        </w:rPr>
        <w:t> </w:t>
      </w:r>
      <w:r w:rsidRPr="000614B7">
        <w:rPr>
          <w:rFonts w:cs="Tahoma"/>
          <w:szCs w:val="20"/>
        </w:rPr>
        <w:t>snížení rozpočtu příjmů ze</w:t>
      </w:r>
      <w:r w:rsidR="00876860">
        <w:rPr>
          <w:rFonts w:cs="Tahoma"/>
          <w:szCs w:val="20"/>
        </w:rPr>
        <w:t> </w:t>
      </w:r>
      <w:r w:rsidRPr="000614B7">
        <w:rPr>
          <w:rFonts w:cs="Tahoma"/>
          <w:szCs w:val="20"/>
        </w:rPr>
        <w:t>sdílených daní pro</w:t>
      </w:r>
      <w:r w:rsidR="00876860">
        <w:rPr>
          <w:rFonts w:cs="Tahoma"/>
          <w:szCs w:val="20"/>
        </w:rPr>
        <w:t> </w:t>
      </w:r>
      <w:r w:rsidRPr="000614B7">
        <w:rPr>
          <w:rFonts w:cs="Tahoma"/>
          <w:szCs w:val="20"/>
        </w:rPr>
        <w:t>letošní rok o</w:t>
      </w:r>
      <w:r w:rsidR="00876860">
        <w:rPr>
          <w:rFonts w:cs="Tahoma"/>
          <w:szCs w:val="20"/>
        </w:rPr>
        <w:t> </w:t>
      </w:r>
      <w:r w:rsidRPr="000614B7">
        <w:rPr>
          <w:rFonts w:cs="Tahoma"/>
          <w:szCs w:val="20"/>
        </w:rPr>
        <w:t>60</w:t>
      </w:r>
      <w:r w:rsidR="00876860">
        <w:rPr>
          <w:rFonts w:cs="Tahoma"/>
          <w:szCs w:val="20"/>
        </w:rPr>
        <w:t> </w:t>
      </w:r>
      <w:r w:rsidRPr="000614B7">
        <w:rPr>
          <w:rFonts w:cs="Tahoma"/>
          <w:szCs w:val="20"/>
        </w:rPr>
        <w:t>mil.</w:t>
      </w:r>
      <w:r w:rsidR="00876860">
        <w:rPr>
          <w:rFonts w:cs="Tahoma"/>
          <w:szCs w:val="20"/>
        </w:rPr>
        <w:t> </w:t>
      </w:r>
      <w:r w:rsidRPr="000614B7">
        <w:rPr>
          <w:rFonts w:cs="Tahoma"/>
          <w:szCs w:val="20"/>
        </w:rPr>
        <w:t>Kč</w:t>
      </w:r>
      <w:r>
        <w:rPr>
          <w:rFonts w:cs="Tahoma"/>
          <w:szCs w:val="20"/>
        </w:rPr>
        <w:t xml:space="preserve"> (ze</w:t>
      </w:r>
      <w:r w:rsidR="00876860">
        <w:rPr>
          <w:rFonts w:cs="Tahoma"/>
          <w:szCs w:val="20"/>
        </w:rPr>
        <w:t> </w:t>
      </w:r>
      <w:r>
        <w:rPr>
          <w:rFonts w:cs="Tahoma"/>
          <w:szCs w:val="20"/>
        </w:rPr>
        <w:t>7.300 mil.</w:t>
      </w:r>
      <w:r w:rsidR="00876860">
        <w:rPr>
          <w:rFonts w:cs="Tahoma"/>
          <w:szCs w:val="20"/>
        </w:rPr>
        <w:t> </w:t>
      </w:r>
      <w:r>
        <w:rPr>
          <w:rFonts w:cs="Tahoma"/>
          <w:szCs w:val="20"/>
        </w:rPr>
        <w:t>Kč na</w:t>
      </w:r>
      <w:r w:rsidR="00876860">
        <w:rPr>
          <w:rFonts w:cs="Tahoma"/>
          <w:szCs w:val="20"/>
        </w:rPr>
        <w:t> </w:t>
      </w:r>
      <w:r>
        <w:rPr>
          <w:rFonts w:cs="Tahoma"/>
          <w:szCs w:val="20"/>
        </w:rPr>
        <w:t>7.240</w:t>
      </w:r>
      <w:r w:rsidR="00876860">
        <w:rPr>
          <w:rFonts w:cs="Tahoma"/>
          <w:szCs w:val="20"/>
        </w:rPr>
        <w:t> </w:t>
      </w:r>
      <w:r>
        <w:rPr>
          <w:rFonts w:cs="Tahoma"/>
          <w:szCs w:val="20"/>
        </w:rPr>
        <w:t>mil.</w:t>
      </w:r>
      <w:r w:rsidR="00876860">
        <w:rPr>
          <w:rFonts w:cs="Tahoma"/>
          <w:szCs w:val="20"/>
        </w:rPr>
        <w:t> </w:t>
      </w:r>
      <w:r>
        <w:rPr>
          <w:rFonts w:cs="Tahoma"/>
          <w:szCs w:val="20"/>
        </w:rPr>
        <w:t>Kč)</w:t>
      </w:r>
      <w:r w:rsidRPr="000614B7">
        <w:rPr>
          <w:rFonts w:cs="Tahoma"/>
          <w:szCs w:val="20"/>
        </w:rPr>
        <w:t xml:space="preserve">, dále </w:t>
      </w:r>
      <w:r>
        <w:rPr>
          <w:rFonts w:cs="Tahoma"/>
          <w:szCs w:val="20"/>
        </w:rPr>
        <w:t>bylo</w:t>
      </w:r>
      <w:r w:rsidRPr="000614B7">
        <w:rPr>
          <w:rFonts w:cs="Tahoma"/>
          <w:szCs w:val="20"/>
        </w:rPr>
        <w:t xml:space="preserve"> tedy nutné vygenerovat zdroje na</w:t>
      </w:r>
      <w:r w:rsidR="00876860">
        <w:rPr>
          <w:rFonts w:cs="Tahoma"/>
          <w:szCs w:val="20"/>
        </w:rPr>
        <w:t> </w:t>
      </w:r>
      <w:r w:rsidRPr="000614B7">
        <w:rPr>
          <w:rFonts w:cs="Tahoma"/>
          <w:szCs w:val="20"/>
        </w:rPr>
        <w:t>další snížení rozpočtu těchto příjmů o</w:t>
      </w:r>
      <w:r w:rsidR="00876860">
        <w:rPr>
          <w:rFonts w:cs="Tahoma"/>
          <w:szCs w:val="20"/>
        </w:rPr>
        <w:t> </w:t>
      </w:r>
      <w:r w:rsidRPr="000614B7">
        <w:rPr>
          <w:rFonts w:cs="Tahoma"/>
          <w:szCs w:val="20"/>
        </w:rPr>
        <w:t>940</w:t>
      </w:r>
      <w:r w:rsidR="00876860">
        <w:rPr>
          <w:rFonts w:cs="Tahoma"/>
          <w:szCs w:val="20"/>
        </w:rPr>
        <w:t> </w:t>
      </w:r>
      <w:r w:rsidRPr="000614B7">
        <w:rPr>
          <w:rFonts w:cs="Tahoma"/>
          <w:szCs w:val="20"/>
        </w:rPr>
        <w:t>mil.</w:t>
      </w:r>
      <w:r w:rsidR="00876860">
        <w:rPr>
          <w:rFonts w:cs="Tahoma"/>
          <w:szCs w:val="20"/>
        </w:rPr>
        <w:t> </w:t>
      </w:r>
      <w:r w:rsidRPr="000614B7">
        <w:rPr>
          <w:rFonts w:cs="Tahoma"/>
          <w:szCs w:val="20"/>
        </w:rPr>
        <w:t>Kč.</w:t>
      </w:r>
    </w:p>
    <w:p w14:paraId="194BE853" w14:textId="77777777" w:rsidR="00050677" w:rsidRPr="000614B7" w:rsidRDefault="00050677" w:rsidP="00050677">
      <w:pPr>
        <w:autoSpaceDE w:val="0"/>
        <w:autoSpaceDN w:val="0"/>
        <w:rPr>
          <w:szCs w:val="20"/>
          <w:u w:val="single"/>
        </w:rPr>
      </w:pPr>
      <w:r w:rsidRPr="000614B7">
        <w:rPr>
          <w:szCs w:val="20"/>
          <w:u w:val="single"/>
        </w:rPr>
        <w:t>Rekapitulace dopadů na</w:t>
      </w:r>
      <w:r w:rsidR="00F40BE0">
        <w:rPr>
          <w:szCs w:val="20"/>
          <w:u w:val="single"/>
        </w:rPr>
        <w:t> </w:t>
      </w:r>
      <w:r w:rsidRPr="000614B7">
        <w:rPr>
          <w:szCs w:val="20"/>
          <w:u w:val="single"/>
        </w:rPr>
        <w:t>jednotlivé daně</w:t>
      </w:r>
    </w:p>
    <w:p w14:paraId="101C82C9" w14:textId="77777777" w:rsidR="00050677" w:rsidRPr="000614B7" w:rsidRDefault="00050677" w:rsidP="00050677">
      <w:pPr>
        <w:autoSpaceDE w:val="0"/>
        <w:autoSpaceDN w:val="0"/>
        <w:rPr>
          <w:rFonts w:ascii="Calibri" w:hAnsi="Calibri"/>
          <w:szCs w:val="20"/>
        </w:rPr>
      </w:pPr>
      <w:r w:rsidRPr="000614B7">
        <w:rPr>
          <w:szCs w:val="20"/>
        </w:rPr>
        <w:t>U</w:t>
      </w:r>
      <w:r w:rsidR="00F40BE0">
        <w:rPr>
          <w:szCs w:val="20"/>
        </w:rPr>
        <w:t> </w:t>
      </w:r>
      <w:r w:rsidRPr="000614B7">
        <w:rPr>
          <w:szCs w:val="20"/>
        </w:rPr>
        <w:t xml:space="preserve">výnosu </w:t>
      </w:r>
      <w:r w:rsidRPr="000614B7">
        <w:rPr>
          <w:b/>
          <w:szCs w:val="20"/>
        </w:rPr>
        <w:t>daně z přidané hodnoty</w:t>
      </w:r>
      <w:r w:rsidRPr="000614B7">
        <w:rPr>
          <w:szCs w:val="20"/>
        </w:rPr>
        <w:t xml:space="preserve"> predikuje Ministerstvo financí jen mírný pokles. Meziroční dynamika by měla výrazně</w:t>
      </w:r>
      <w:r w:rsidRPr="000614B7">
        <w:rPr>
          <w:rFonts w:ascii="Calibri" w:hAnsi="Calibri"/>
          <w:szCs w:val="20"/>
        </w:rPr>
        <w:t xml:space="preserve"> </w:t>
      </w:r>
      <w:r w:rsidRPr="000614B7">
        <w:rPr>
          <w:szCs w:val="20"/>
        </w:rPr>
        <w:t>zpomalit v</w:t>
      </w:r>
      <w:r w:rsidR="00F40BE0">
        <w:rPr>
          <w:szCs w:val="20"/>
        </w:rPr>
        <w:t> </w:t>
      </w:r>
      <w:r w:rsidRPr="000614B7">
        <w:rPr>
          <w:szCs w:val="20"/>
        </w:rPr>
        <w:t>návaznosti na</w:t>
      </w:r>
      <w:r w:rsidR="00F40BE0">
        <w:rPr>
          <w:szCs w:val="20"/>
        </w:rPr>
        <w:t> </w:t>
      </w:r>
      <w:r w:rsidRPr="000614B7">
        <w:rPr>
          <w:szCs w:val="20"/>
        </w:rPr>
        <w:t>pomalejší růst nominální spotřeby</w:t>
      </w:r>
      <w:r w:rsidRPr="000614B7">
        <w:rPr>
          <w:rFonts w:ascii="Calibri" w:hAnsi="Calibri"/>
          <w:szCs w:val="20"/>
        </w:rPr>
        <w:t xml:space="preserve"> </w:t>
      </w:r>
      <w:r w:rsidRPr="000614B7">
        <w:rPr>
          <w:szCs w:val="20"/>
        </w:rPr>
        <w:t>domácností a</w:t>
      </w:r>
      <w:r w:rsidR="00F40BE0">
        <w:rPr>
          <w:szCs w:val="20"/>
        </w:rPr>
        <w:t> </w:t>
      </w:r>
      <w:r w:rsidRPr="000614B7">
        <w:rPr>
          <w:szCs w:val="20"/>
        </w:rPr>
        <w:t>relevantní části výdajů vládních</w:t>
      </w:r>
      <w:r w:rsidRPr="000614B7">
        <w:rPr>
          <w:rFonts w:ascii="Calibri" w:hAnsi="Calibri"/>
          <w:szCs w:val="20"/>
        </w:rPr>
        <w:t xml:space="preserve"> </w:t>
      </w:r>
      <w:r w:rsidRPr="000614B7">
        <w:rPr>
          <w:szCs w:val="20"/>
        </w:rPr>
        <w:t>institucí. Dále by se měl negativně projevit i</w:t>
      </w:r>
      <w:r w:rsidR="00F40BE0">
        <w:rPr>
          <w:szCs w:val="20"/>
        </w:rPr>
        <w:t> </w:t>
      </w:r>
      <w:r w:rsidRPr="000614B7">
        <w:rPr>
          <w:szCs w:val="20"/>
        </w:rPr>
        <w:t>citelný výpadek</w:t>
      </w:r>
      <w:r w:rsidRPr="000614B7">
        <w:rPr>
          <w:rFonts w:ascii="Calibri" w:hAnsi="Calibri"/>
          <w:szCs w:val="20"/>
        </w:rPr>
        <w:t xml:space="preserve"> </w:t>
      </w:r>
      <w:r w:rsidRPr="000614B7">
        <w:rPr>
          <w:szCs w:val="20"/>
        </w:rPr>
        <w:t>tržeb z</w:t>
      </w:r>
      <w:r w:rsidR="00F40BE0">
        <w:rPr>
          <w:szCs w:val="20"/>
        </w:rPr>
        <w:t> </w:t>
      </w:r>
      <w:r w:rsidRPr="000614B7">
        <w:rPr>
          <w:szCs w:val="20"/>
        </w:rPr>
        <w:t>nákupů zahraničních turistů, přesun některých služeb a</w:t>
      </w:r>
      <w:r w:rsidR="00F40BE0">
        <w:rPr>
          <w:szCs w:val="20"/>
        </w:rPr>
        <w:t> </w:t>
      </w:r>
      <w:r w:rsidRPr="000614B7">
        <w:rPr>
          <w:szCs w:val="20"/>
        </w:rPr>
        <w:t>komodit</w:t>
      </w:r>
      <w:r w:rsidRPr="000614B7">
        <w:rPr>
          <w:rFonts w:ascii="Calibri" w:hAnsi="Calibri"/>
          <w:szCs w:val="20"/>
        </w:rPr>
        <w:t xml:space="preserve"> </w:t>
      </w:r>
      <w:r w:rsidRPr="000614B7">
        <w:rPr>
          <w:szCs w:val="20"/>
        </w:rPr>
        <w:t>do</w:t>
      </w:r>
      <w:r w:rsidR="00F40BE0">
        <w:rPr>
          <w:szCs w:val="20"/>
        </w:rPr>
        <w:t> </w:t>
      </w:r>
      <w:r w:rsidRPr="000614B7">
        <w:rPr>
          <w:szCs w:val="20"/>
        </w:rPr>
        <w:t>druhé snížené sazby od</w:t>
      </w:r>
      <w:r w:rsidR="00F40BE0">
        <w:rPr>
          <w:szCs w:val="20"/>
        </w:rPr>
        <w:t> </w:t>
      </w:r>
      <w:r w:rsidRPr="000614B7">
        <w:rPr>
          <w:szCs w:val="20"/>
        </w:rPr>
        <w:t>1.</w:t>
      </w:r>
      <w:r w:rsidR="00F40BE0">
        <w:rPr>
          <w:szCs w:val="20"/>
        </w:rPr>
        <w:t> </w:t>
      </w:r>
      <w:r w:rsidRPr="000614B7">
        <w:rPr>
          <w:szCs w:val="20"/>
        </w:rPr>
        <w:t>5.</w:t>
      </w:r>
      <w:r w:rsidR="00F40BE0">
        <w:rPr>
          <w:szCs w:val="20"/>
        </w:rPr>
        <w:t> </w:t>
      </w:r>
      <w:r w:rsidRPr="000614B7">
        <w:rPr>
          <w:szCs w:val="20"/>
        </w:rPr>
        <w:t>2020 a</w:t>
      </w:r>
      <w:r w:rsidR="00F40BE0">
        <w:rPr>
          <w:szCs w:val="20"/>
        </w:rPr>
        <w:t> </w:t>
      </w:r>
      <w:r w:rsidRPr="000614B7">
        <w:rPr>
          <w:szCs w:val="20"/>
        </w:rPr>
        <w:t>pozastavení systému elektronické evidence tržeb až</w:t>
      </w:r>
      <w:r w:rsidR="00F40BE0">
        <w:rPr>
          <w:szCs w:val="20"/>
        </w:rPr>
        <w:t> </w:t>
      </w:r>
      <w:r w:rsidRPr="000614B7">
        <w:rPr>
          <w:szCs w:val="20"/>
        </w:rPr>
        <w:t>do</w:t>
      </w:r>
      <w:r w:rsidR="00F40BE0">
        <w:rPr>
          <w:szCs w:val="20"/>
        </w:rPr>
        <w:t> </w:t>
      </w:r>
      <w:r w:rsidRPr="000614B7">
        <w:rPr>
          <w:szCs w:val="20"/>
        </w:rPr>
        <w:t>1.</w:t>
      </w:r>
      <w:r w:rsidR="00F40BE0">
        <w:rPr>
          <w:szCs w:val="20"/>
        </w:rPr>
        <w:t> </w:t>
      </w:r>
      <w:r w:rsidRPr="000614B7">
        <w:rPr>
          <w:szCs w:val="20"/>
        </w:rPr>
        <w:t>1.</w:t>
      </w:r>
      <w:r w:rsidR="00F40BE0">
        <w:rPr>
          <w:szCs w:val="20"/>
        </w:rPr>
        <w:t> </w:t>
      </w:r>
      <w:r w:rsidRPr="000614B7">
        <w:rPr>
          <w:szCs w:val="20"/>
        </w:rPr>
        <w:t>2021.</w:t>
      </w:r>
    </w:p>
    <w:p w14:paraId="30D20933" w14:textId="77777777" w:rsidR="00050677" w:rsidRPr="000614B7" w:rsidRDefault="00050677" w:rsidP="00050677">
      <w:pPr>
        <w:autoSpaceDE w:val="0"/>
        <w:autoSpaceDN w:val="0"/>
        <w:rPr>
          <w:rFonts w:ascii="Calibri" w:hAnsi="Calibri"/>
          <w:szCs w:val="20"/>
        </w:rPr>
      </w:pPr>
      <w:r w:rsidRPr="000614B7">
        <w:t>Na</w:t>
      </w:r>
      <w:r w:rsidR="00F40BE0">
        <w:t> </w:t>
      </w:r>
      <w:r w:rsidRPr="000614B7">
        <w:t xml:space="preserve">výnos </w:t>
      </w:r>
      <w:r w:rsidRPr="000614B7">
        <w:rPr>
          <w:b/>
        </w:rPr>
        <w:t xml:space="preserve">daně z příjmů právnických osob </w:t>
      </w:r>
      <w:r w:rsidRPr="000614B7">
        <w:t xml:space="preserve">bude negativně působit </w:t>
      </w:r>
      <w:r w:rsidRPr="000614B7">
        <w:rPr>
          <w:szCs w:val="20"/>
        </w:rPr>
        <w:t>nucené</w:t>
      </w:r>
      <w:r w:rsidRPr="000614B7">
        <w:rPr>
          <w:rFonts w:ascii="Calibri" w:hAnsi="Calibri"/>
          <w:szCs w:val="20"/>
        </w:rPr>
        <w:t xml:space="preserve"> </w:t>
      </w:r>
      <w:r w:rsidRPr="000614B7">
        <w:rPr>
          <w:szCs w:val="20"/>
        </w:rPr>
        <w:t>omezování výroby, poskytování služeb, zavírání</w:t>
      </w:r>
      <w:r w:rsidRPr="000614B7">
        <w:rPr>
          <w:rFonts w:ascii="Calibri" w:hAnsi="Calibri"/>
          <w:szCs w:val="20"/>
        </w:rPr>
        <w:t xml:space="preserve"> </w:t>
      </w:r>
      <w:r w:rsidRPr="000614B7">
        <w:rPr>
          <w:szCs w:val="20"/>
        </w:rPr>
        <w:t>provozů a</w:t>
      </w:r>
      <w:r w:rsidR="00F40BE0">
        <w:rPr>
          <w:szCs w:val="20"/>
        </w:rPr>
        <w:t> </w:t>
      </w:r>
      <w:r w:rsidRPr="000614B7">
        <w:rPr>
          <w:szCs w:val="20"/>
        </w:rPr>
        <w:t>celkový útlum ekonomiky v souvislosti</w:t>
      </w:r>
      <w:r w:rsidRPr="000614B7">
        <w:rPr>
          <w:rFonts w:ascii="Calibri" w:hAnsi="Calibri"/>
          <w:szCs w:val="20"/>
        </w:rPr>
        <w:t xml:space="preserve"> </w:t>
      </w:r>
      <w:r w:rsidRPr="000614B7">
        <w:rPr>
          <w:szCs w:val="20"/>
        </w:rPr>
        <w:t>s</w:t>
      </w:r>
      <w:r w:rsidR="00F40BE0">
        <w:rPr>
          <w:szCs w:val="20"/>
        </w:rPr>
        <w:t> </w:t>
      </w:r>
      <w:r w:rsidRPr="000614B7">
        <w:rPr>
          <w:szCs w:val="20"/>
        </w:rPr>
        <w:t>pandemií. Výrazným vlivem pak bude prominutí červnové zálohy na</w:t>
      </w:r>
      <w:r w:rsidR="00F40BE0">
        <w:rPr>
          <w:szCs w:val="20"/>
        </w:rPr>
        <w:t> </w:t>
      </w:r>
      <w:r w:rsidRPr="000614B7">
        <w:rPr>
          <w:szCs w:val="20"/>
        </w:rPr>
        <w:t>daň z příjmů.</w:t>
      </w:r>
    </w:p>
    <w:p w14:paraId="04B7BB81" w14:textId="00CD9C98" w:rsidR="00050677" w:rsidRPr="000614B7" w:rsidRDefault="00050677" w:rsidP="00DF711B">
      <w:pPr>
        <w:rPr>
          <w:rFonts w:cs="Tahoma"/>
          <w:szCs w:val="20"/>
        </w:rPr>
      </w:pPr>
      <w:r w:rsidRPr="000614B7">
        <w:rPr>
          <w:rFonts w:cs="Tahoma"/>
          <w:szCs w:val="20"/>
        </w:rPr>
        <w:t xml:space="preserve">Výnos </w:t>
      </w:r>
      <w:r w:rsidRPr="000614B7">
        <w:rPr>
          <w:rFonts w:cs="Tahoma"/>
          <w:b/>
          <w:szCs w:val="20"/>
        </w:rPr>
        <w:t>daní z </w:t>
      </w:r>
      <w:r w:rsidRPr="00214E94">
        <w:rPr>
          <w:rFonts w:cs="Tahoma"/>
          <w:b/>
          <w:szCs w:val="20"/>
        </w:rPr>
        <w:t>příjmů</w:t>
      </w:r>
      <w:r w:rsidRPr="00214E94">
        <w:rPr>
          <w:rFonts w:cs="Tahoma"/>
          <w:szCs w:val="20"/>
        </w:rPr>
        <w:t xml:space="preserve"> </w:t>
      </w:r>
      <w:r w:rsidR="00FF720E" w:rsidRPr="00214E94">
        <w:rPr>
          <w:rFonts w:cs="Tahoma"/>
          <w:b/>
          <w:bCs/>
          <w:szCs w:val="20"/>
        </w:rPr>
        <w:t>fyzických osob</w:t>
      </w:r>
      <w:r w:rsidR="00FF720E" w:rsidRPr="00214E94">
        <w:rPr>
          <w:rFonts w:cs="Tahoma"/>
          <w:szCs w:val="20"/>
        </w:rPr>
        <w:t xml:space="preserve"> </w:t>
      </w:r>
      <w:r w:rsidRPr="00214E94">
        <w:rPr>
          <w:rFonts w:cs="Tahoma"/>
          <w:szCs w:val="20"/>
        </w:rPr>
        <w:t>bude</w:t>
      </w:r>
      <w:r w:rsidRPr="000614B7">
        <w:rPr>
          <w:rFonts w:cs="Tahoma"/>
          <w:szCs w:val="20"/>
        </w:rPr>
        <w:t xml:space="preserve"> negativně ovlivněn zejména </w:t>
      </w:r>
      <w:r w:rsidRPr="000614B7">
        <w:rPr>
          <w:szCs w:val="20"/>
        </w:rPr>
        <w:t>přímou jednorázovou podporou</w:t>
      </w:r>
      <w:r w:rsidRPr="000614B7">
        <w:rPr>
          <w:rFonts w:cs="Tahoma"/>
          <w:szCs w:val="20"/>
        </w:rPr>
        <w:t xml:space="preserve"> </w:t>
      </w:r>
      <w:r w:rsidRPr="000614B7">
        <w:rPr>
          <w:szCs w:val="20"/>
        </w:rPr>
        <w:t>osob samostatně výdělečně činných – tzv. kompenzační bonus ve</w:t>
      </w:r>
      <w:r w:rsidR="000D2E03">
        <w:rPr>
          <w:szCs w:val="20"/>
        </w:rPr>
        <w:t> </w:t>
      </w:r>
      <w:r w:rsidRPr="000614B7">
        <w:rPr>
          <w:szCs w:val="20"/>
        </w:rPr>
        <w:t>výši 500</w:t>
      </w:r>
      <w:r w:rsidR="000D2E03">
        <w:rPr>
          <w:szCs w:val="20"/>
        </w:rPr>
        <w:t> </w:t>
      </w:r>
      <w:r w:rsidRPr="000614B7">
        <w:rPr>
          <w:szCs w:val="20"/>
        </w:rPr>
        <w:t>Kč na</w:t>
      </w:r>
      <w:r w:rsidR="000D2E03">
        <w:rPr>
          <w:szCs w:val="20"/>
        </w:rPr>
        <w:t> </w:t>
      </w:r>
      <w:r>
        <w:rPr>
          <w:szCs w:val="20"/>
        </w:rPr>
        <w:t>kalendářní den (pro</w:t>
      </w:r>
      <w:r w:rsidR="000D2E03">
        <w:rPr>
          <w:szCs w:val="20"/>
        </w:rPr>
        <w:t> </w:t>
      </w:r>
      <w:r>
        <w:rPr>
          <w:szCs w:val="20"/>
        </w:rPr>
        <w:t>období od</w:t>
      </w:r>
      <w:r w:rsidR="000D2E03">
        <w:rPr>
          <w:szCs w:val="20"/>
        </w:rPr>
        <w:t> </w:t>
      </w:r>
      <w:r>
        <w:rPr>
          <w:szCs w:val="20"/>
        </w:rPr>
        <w:t>12</w:t>
      </w:r>
      <w:r w:rsidR="000D2E03">
        <w:rPr>
          <w:szCs w:val="20"/>
        </w:rPr>
        <w:t>. </w:t>
      </w:r>
      <w:r w:rsidRPr="000614B7">
        <w:rPr>
          <w:szCs w:val="20"/>
        </w:rPr>
        <w:t>3. do</w:t>
      </w:r>
      <w:r w:rsidR="000D2E03">
        <w:rPr>
          <w:szCs w:val="20"/>
        </w:rPr>
        <w:t> </w:t>
      </w:r>
      <w:r w:rsidRPr="000614B7">
        <w:rPr>
          <w:szCs w:val="20"/>
        </w:rPr>
        <w:t>8.</w:t>
      </w:r>
      <w:r w:rsidR="000D2E03">
        <w:rPr>
          <w:szCs w:val="20"/>
        </w:rPr>
        <w:t> </w:t>
      </w:r>
      <w:r w:rsidRPr="000614B7">
        <w:rPr>
          <w:szCs w:val="20"/>
        </w:rPr>
        <w:t>6.</w:t>
      </w:r>
      <w:r w:rsidR="000D2E03">
        <w:rPr>
          <w:szCs w:val="20"/>
        </w:rPr>
        <w:t> </w:t>
      </w:r>
      <w:r w:rsidRPr="000614B7">
        <w:rPr>
          <w:szCs w:val="20"/>
        </w:rPr>
        <w:t>2020), která má</w:t>
      </w:r>
      <w:r w:rsidRPr="000614B7">
        <w:rPr>
          <w:rFonts w:cs="Tahoma"/>
          <w:szCs w:val="20"/>
        </w:rPr>
        <w:t xml:space="preserve"> </w:t>
      </w:r>
      <w:r w:rsidRPr="000614B7">
        <w:rPr>
          <w:szCs w:val="20"/>
        </w:rPr>
        <w:t>tlumit negativní dopady mimořádných opatření přijatých</w:t>
      </w:r>
      <w:r w:rsidRPr="000614B7">
        <w:rPr>
          <w:rFonts w:cs="Tahoma"/>
          <w:szCs w:val="20"/>
        </w:rPr>
        <w:t xml:space="preserve"> </w:t>
      </w:r>
      <w:r w:rsidRPr="000614B7">
        <w:rPr>
          <w:szCs w:val="20"/>
        </w:rPr>
        <w:t>ve</w:t>
      </w:r>
      <w:r w:rsidR="000D2E03">
        <w:rPr>
          <w:szCs w:val="20"/>
        </w:rPr>
        <w:t> </w:t>
      </w:r>
      <w:r w:rsidRPr="000614B7">
        <w:rPr>
          <w:szCs w:val="20"/>
        </w:rPr>
        <w:t>spojitosti s pandemií.</w:t>
      </w:r>
      <w:r>
        <w:rPr>
          <w:szCs w:val="20"/>
        </w:rPr>
        <w:t xml:space="preserve"> Dle odhadů Ministerstva financí se </w:t>
      </w:r>
      <w:r w:rsidRPr="00400BA1">
        <w:rPr>
          <w:szCs w:val="20"/>
        </w:rPr>
        <w:t xml:space="preserve">předpokládá, že objem vyplacené podpory </w:t>
      </w:r>
      <w:r w:rsidR="008D37CE">
        <w:rPr>
          <w:szCs w:val="20"/>
        </w:rPr>
        <w:t>dosáhne</w:t>
      </w:r>
      <w:r w:rsidRPr="00400BA1">
        <w:rPr>
          <w:szCs w:val="20"/>
        </w:rPr>
        <w:t xml:space="preserve"> celkově </w:t>
      </w:r>
      <w:r w:rsidR="008D37CE">
        <w:rPr>
          <w:szCs w:val="20"/>
        </w:rPr>
        <w:t>cca 45</w:t>
      </w:r>
      <w:r w:rsidR="000D2E03">
        <w:rPr>
          <w:szCs w:val="20"/>
        </w:rPr>
        <w:t> </w:t>
      </w:r>
      <w:r w:rsidRPr="00400BA1">
        <w:rPr>
          <w:szCs w:val="20"/>
        </w:rPr>
        <w:t>mld.</w:t>
      </w:r>
      <w:r w:rsidR="000D2E03">
        <w:rPr>
          <w:szCs w:val="20"/>
        </w:rPr>
        <w:t> </w:t>
      </w:r>
      <w:r w:rsidRPr="00400BA1">
        <w:rPr>
          <w:szCs w:val="20"/>
        </w:rPr>
        <w:t xml:space="preserve">Kč. </w:t>
      </w:r>
      <w:r>
        <w:rPr>
          <w:szCs w:val="20"/>
        </w:rPr>
        <w:t>Na</w:t>
      </w:r>
      <w:r w:rsidR="000D2E03">
        <w:rPr>
          <w:szCs w:val="20"/>
        </w:rPr>
        <w:t> </w:t>
      </w:r>
      <w:r>
        <w:rPr>
          <w:szCs w:val="20"/>
        </w:rPr>
        <w:t>vyplácení této podpory se budou dle podílů stanovených zákonem č.</w:t>
      </w:r>
      <w:r w:rsidR="000D2E03">
        <w:rPr>
          <w:szCs w:val="20"/>
        </w:rPr>
        <w:t> </w:t>
      </w:r>
      <w:r>
        <w:rPr>
          <w:szCs w:val="20"/>
        </w:rPr>
        <w:t>243/2000</w:t>
      </w:r>
      <w:r w:rsidR="000D2E03">
        <w:rPr>
          <w:szCs w:val="20"/>
        </w:rPr>
        <w:t> </w:t>
      </w:r>
      <w:r>
        <w:rPr>
          <w:szCs w:val="20"/>
        </w:rPr>
        <w:t>Sb., o</w:t>
      </w:r>
      <w:r w:rsidR="000D2E03">
        <w:rPr>
          <w:szCs w:val="20"/>
        </w:rPr>
        <w:t> </w:t>
      </w:r>
      <w:r>
        <w:rPr>
          <w:szCs w:val="20"/>
        </w:rPr>
        <w:t>rozpočtovém určení daní, kromě státu podílet také obce a</w:t>
      </w:r>
      <w:r w:rsidR="000D2E03">
        <w:rPr>
          <w:szCs w:val="20"/>
        </w:rPr>
        <w:t> </w:t>
      </w:r>
      <w:r>
        <w:rPr>
          <w:szCs w:val="20"/>
        </w:rPr>
        <w:t>kraje.</w:t>
      </w:r>
      <w:r>
        <w:t xml:space="preserve"> </w:t>
      </w:r>
      <w:r w:rsidRPr="0074284E">
        <w:rPr>
          <w:b/>
        </w:rPr>
        <w:t xml:space="preserve">Jelikož je bonus </w:t>
      </w:r>
      <w:r w:rsidRPr="0074284E">
        <w:rPr>
          <w:b/>
        </w:rPr>
        <w:lastRenderedPageBreak/>
        <w:t>dle zákona č. 159/2020 Sb., o kompenzačním bonusu, vratkou daně z příjmů fyzických osob ze</w:t>
      </w:r>
      <w:r w:rsidR="000D2E03">
        <w:rPr>
          <w:b/>
        </w:rPr>
        <w:t> </w:t>
      </w:r>
      <w:r w:rsidRPr="0074284E">
        <w:rPr>
          <w:b/>
        </w:rPr>
        <w:t xml:space="preserve">závislé činnosti, </w:t>
      </w:r>
      <w:r w:rsidRPr="0074284E">
        <w:rPr>
          <w:b/>
          <w:szCs w:val="20"/>
        </w:rPr>
        <w:t>kraj tak na</w:t>
      </w:r>
      <w:r w:rsidR="000D2E03">
        <w:rPr>
          <w:b/>
          <w:szCs w:val="20"/>
        </w:rPr>
        <w:t> </w:t>
      </w:r>
      <w:r w:rsidRPr="0074284E">
        <w:rPr>
          <w:b/>
          <w:szCs w:val="20"/>
        </w:rPr>
        <w:t xml:space="preserve">inkasu této daně v důsledku </w:t>
      </w:r>
      <w:r w:rsidR="00FB3760">
        <w:rPr>
          <w:b/>
          <w:szCs w:val="20"/>
        </w:rPr>
        <w:t>vyplácené</w:t>
      </w:r>
      <w:r w:rsidRPr="0074284E">
        <w:rPr>
          <w:b/>
          <w:szCs w:val="20"/>
        </w:rPr>
        <w:t xml:space="preserve"> podpory zaznamená v roce 2020 výpadek </w:t>
      </w:r>
      <w:r w:rsidR="00BD7A73">
        <w:rPr>
          <w:b/>
          <w:szCs w:val="20"/>
        </w:rPr>
        <w:t>cca</w:t>
      </w:r>
      <w:r w:rsidRPr="0074284E">
        <w:rPr>
          <w:b/>
          <w:szCs w:val="20"/>
        </w:rPr>
        <w:t xml:space="preserve"> ve</w:t>
      </w:r>
      <w:r w:rsidR="000D2E03">
        <w:rPr>
          <w:b/>
          <w:szCs w:val="20"/>
        </w:rPr>
        <w:t> </w:t>
      </w:r>
      <w:r w:rsidRPr="0074284E">
        <w:rPr>
          <w:b/>
          <w:szCs w:val="20"/>
        </w:rPr>
        <w:t xml:space="preserve">výši </w:t>
      </w:r>
      <w:r w:rsidR="006147A1">
        <w:rPr>
          <w:b/>
          <w:szCs w:val="20"/>
        </w:rPr>
        <w:t>390</w:t>
      </w:r>
      <w:r w:rsidR="000D2E03">
        <w:rPr>
          <w:b/>
          <w:szCs w:val="20"/>
        </w:rPr>
        <w:t> </w:t>
      </w:r>
      <w:r w:rsidRPr="0074284E">
        <w:rPr>
          <w:b/>
          <w:szCs w:val="20"/>
        </w:rPr>
        <w:t>mil.</w:t>
      </w:r>
      <w:r w:rsidR="000D2E03">
        <w:rPr>
          <w:b/>
          <w:szCs w:val="20"/>
        </w:rPr>
        <w:t> </w:t>
      </w:r>
      <w:r w:rsidRPr="0074284E">
        <w:rPr>
          <w:b/>
          <w:szCs w:val="20"/>
        </w:rPr>
        <w:t>Kč.</w:t>
      </w:r>
      <w:r>
        <w:rPr>
          <w:szCs w:val="20"/>
        </w:rPr>
        <w:t xml:space="preserve"> </w:t>
      </w:r>
      <w:r w:rsidRPr="00400BA1">
        <w:rPr>
          <w:szCs w:val="20"/>
        </w:rPr>
        <w:t>Negativně bude</w:t>
      </w:r>
      <w:r w:rsidRPr="000614B7">
        <w:rPr>
          <w:szCs w:val="20"/>
        </w:rPr>
        <w:t xml:space="preserve"> také působit plošné prominutí červnové zálohy na</w:t>
      </w:r>
      <w:r w:rsidR="000D2E03">
        <w:rPr>
          <w:szCs w:val="20"/>
        </w:rPr>
        <w:t> </w:t>
      </w:r>
      <w:r w:rsidRPr="000614B7">
        <w:rPr>
          <w:szCs w:val="20"/>
        </w:rPr>
        <w:t>daň z</w:t>
      </w:r>
      <w:r w:rsidR="000D2E03">
        <w:rPr>
          <w:szCs w:val="20"/>
        </w:rPr>
        <w:t> </w:t>
      </w:r>
      <w:r w:rsidRPr="000614B7">
        <w:rPr>
          <w:szCs w:val="20"/>
        </w:rPr>
        <w:t>příjmů fyzických osob.</w:t>
      </w:r>
    </w:p>
    <w:p w14:paraId="17A0EC67" w14:textId="77777777" w:rsidR="00050677" w:rsidRPr="001F7251" w:rsidRDefault="00050677" w:rsidP="00DF711B">
      <w:r w:rsidRPr="000614B7">
        <w:t>Nejistoty kolem trvání pandemie nového typu koronaviru, délka trvání jednotlivých již přijatých opatření, výčet možných nových opatření a celkový účet za škody v</w:t>
      </w:r>
      <w:r w:rsidR="000D2E03">
        <w:t> </w:t>
      </w:r>
      <w:r w:rsidRPr="000614B7">
        <w:t>ekonomice, sociální náklady a rezultující dopady do</w:t>
      </w:r>
      <w:r w:rsidR="000D2E03">
        <w:t> </w:t>
      </w:r>
      <w:r w:rsidRPr="000614B7">
        <w:t>veřejných financí nebudou zřejmě s</w:t>
      </w:r>
      <w:r w:rsidR="000D2E03">
        <w:t> </w:t>
      </w:r>
      <w:r w:rsidRPr="000614B7">
        <w:t>jistotou známy ani do</w:t>
      </w:r>
      <w:r w:rsidR="000D2E03">
        <w:t> </w:t>
      </w:r>
      <w:r w:rsidRPr="000614B7">
        <w:t>konce roku 2020. Na</w:t>
      </w:r>
      <w:r w:rsidRPr="000614B7">
        <w:rPr>
          <w:szCs w:val="20"/>
        </w:rPr>
        <w:t>víc přijatá opatření budou inkaso sdílených daní</w:t>
      </w:r>
      <w:r>
        <w:rPr>
          <w:szCs w:val="20"/>
        </w:rPr>
        <w:t xml:space="preserve"> snižovat</w:t>
      </w:r>
      <w:r w:rsidRPr="000614B7">
        <w:rPr>
          <w:szCs w:val="20"/>
        </w:rPr>
        <w:t xml:space="preserve"> i v</w:t>
      </w:r>
      <w:r w:rsidR="000D2E03">
        <w:rPr>
          <w:szCs w:val="20"/>
        </w:rPr>
        <w:t> </w:t>
      </w:r>
      <w:r w:rsidRPr="000614B7">
        <w:rPr>
          <w:szCs w:val="20"/>
        </w:rPr>
        <w:t>dalších letech, např.</w:t>
      </w:r>
      <w:r>
        <w:rPr>
          <w:szCs w:val="20"/>
        </w:rPr>
        <w:t xml:space="preserve"> z</w:t>
      </w:r>
      <w:r w:rsidR="000D2E03">
        <w:rPr>
          <w:szCs w:val="20"/>
        </w:rPr>
        <w:t> </w:t>
      </w:r>
      <w:r>
        <w:rPr>
          <w:szCs w:val="20"/>
        </w:rPr>
        <w:t>důvodu</w:t>
      </w:r>
      <w:r w:rsidRPr="000614B7">
        <w:rPr>
          <w:szCs w:val="20"/>
        </w:rPr>
        <w:t xml:space="preserve"> uplatňování daňových ztrát z</w:t>
      </w:r>
      <w:r w:rsidR="000D2E03">
        <w:rPr>
          <w:szCs w:val="20"/>
        </w:rPr>
        <w:t> </w:t>
      </w:r>
      <w:r w:rsidRPr="000614B7">
        <w:rPr>
          <w:szCs w:val="20"/>
        </w:rPr>
        <w:t>roku 2020. Z tohoto důvodu nelze vyloučit, že bude nutné</w:t>
      </w:r>
      <w:r>
        <w:rPr>
          <w:szCs w:val="20"/>
        </w:rPr>
        <w:t>,</w:t>
      </w:r>
      <w:r w:rsidRPr="000614B7">
        <w:rPr>
          <w:szCs w:val="20"/>
        </w:rPr>
        <w:t xml:space="preserve"> s ohledem na</w:t>
      </w:r>
      <w:r w:rsidR="000D2E03">
        <w:rPr>
          <w:szCs w:val="20"/>
        </w:rPr>
        <w:t> </w:t>
      </w:r>
      <w:r w:rsidRPr="000614B7">
        <w:rPr>
          <w:szCs w:val="20"/>
        </w:rPr>
        <w:t>vývoj skutečného inkas</w:t>
      </w:r>
      <w:r>
        <w:rPr>
          <w:szCs w:val="20"/>
        </w:rPr>
        <w:t>a</w:t>
      </w:r>
      <w:r w:rsidRPr="000614B7">
        <w:rPr>
          <w:szCs w:val="20"/>
        </w:rPr>
        <w:t xml:space="preserve"> sdílených daní v dalších měsících roku 2020</w:t>
      </w:r>
      <w:r>
        <w:rPr>
          <w:szCs w:val="20"/>
        </w:rPr>
        <w:t>,</w:t>
      </w:r>
      <w:r w:rsidRPr="000614B7">
        <w:rPr>
          <w:szCs w:val="20"/>
        </w:rPr>
        <w:t xml:space="preserve"> provést další snížení těchto rozpočtovaných příjmů.</w:t>
      </w:r>
    </w:p>
    <w:p w14:paraId="1399E929" w14:textId="77777777" w:rsidR="004A72BD" w:rsidRPr="00787A97" w:rsidRDefault="004A72BD" w:rsidP="004A72BD">
      <w:pPr>
        <w:pStyle w:val="Nadpis2"/>
      </w:pPr>
      <w:r>
        <w:t>Výdajová</w:t>
      </w:r>
      <w:r w:rsidRPr="00787A97">
        <w:t xml:space="preserve"> část rozpočtu</w:t>
      </w:r>
    </w:p>
    <w:p w14:paraId="12929726" w14:textId="35FF785C" w:rsidR="00530663" w:rsidRPr="00787A97" w:rsidRDefault="00530663" w:rsidP="00530663">
      <w:r w:rsidRPr="00787A97">
        <w:t>Výdaje kraje jsou celkem čerpány k </w:t>
      </w:r>
      <w:r w:rsidR="009428A0">
        <w:t>30</w:t>
      </w:r>
      <w:r w:rsidRPr="00787A97">
        <w:t xml:space="preserve">. </w:t>
      </w:r>
      <w:r>
        <w:t>4</w:t>
      </w:r>
      <w:r w:rsidRPr="00787A97">
        <w:t>. 20</w:t>
      </w:r>
      <w:r>
        <w:t>20</w:t>
      </w:r>
      <w:r w:rsidRPr="00787A97">
        <w:t xml:space="preserve"> ve výši </w:t>
      </w:r>
      <w:r w:rsidR="0066477C">
        <w:t>9.909.052</w:t>
      </w:r>
      <w:r w:rsidRPr="00787A97">
        <w:t xml:space="preserve"> tis. Kč, což činí </w:t>
      </w:r>
      <w:r>
        <w:t>30,</w:t>
      </w:r>
      <w:r w:rsidR="009428A0">
        <w:t>9</w:t>
      </w:r>
      <w:r w:rsidR="0066477C">
        <w:t>7</w:t>
      </w:r>
      <w:r w:rsidRPr="00787A97">
        <w:t> % upraveného rozpočtu.</w:t>
      </w:r>
    </w:p>
    <w:p w14:paraId="1CBD4AB3" w14:textId="77777777" w:rsidR="00530663" w:rsidRPr="00923B2A" w:rsidRDefault="00530663" w:rsidP="00530663">
      <w:pPr>
        <w:pStyle w:val="Styltab"/>
      </w:pPr>
      <w:r w:rsidRPr="00923B2A">
        <w:t>Přehled výdajů rozpočtu kraje v členění dle rozpočtové skladby</w:t>
      </w:r>
      <w:r w:rsidRPr="00923B2A">
        <w:tab/>
        <w:t>v tis. Kč</w:t>
      </w:r>
    </w:p>
    <w:bookmarkStart w:id="17" w:name="_MON_1490172748"/>
    <w:bookmarkStart w:id="18" w:name="_MON_1469358469"/>
    <w:bookmarkStart w:id="19" w:name="_MON_1476601467"/>
    <w:bookmarkStart w:id="20" w:name="_MON_1477201248"/>
    <w:bookmarkEnd w:id="17"/>
    <w:bookmarkEnd w:id="18"/>
    <w:bookmarkEnd w:id="19"/>
    <w:bookmarkEnd w:id="20"/>
    <w:bookmarkStart w:id="21" w:name="_MON_1489915522"/>
    <w:bookmarkEnd w:id="21"/>
    <w:p w14:paraId="24E769DB" w14:textId="02719BC5" w:rsidR="00530663" w:rsidRDefault="003C3C19" w:rsidP="00530663">
      <w:pPr>
        <w:rPr>
          <w:rFonts w:cs="Tahoma"/>
          <w:color w:val="A6A6A6" w:themeColor="background1" w:themeShade="A6"/>
          <w:szCs w:val="20"/>
        </w:rPr>
      </w:pPr>
      <w:r w:rsidRPr="00923B2A">
        <w:rPr>
          <w:rFonts w:cs="Tahoma"/>
          <w:color w:val="A6A6A6" w:themeColor="background1" w:themeShade="A6"/>
          <w:szCs w:val="20"/>
        </w:rPr>
        <w:object w:dxaOrig="9081" w:dyaOrig="1369" w14:anchorId="037E50E5">
          <v:shape id="_x0000_i1028" type="#_x0000_t75" style="width:460.5pt;height:64.5pt" o:ole="">
            <v:imagedata r:id="rId14" o:title=""/>
          </v:shape>
          <o:OLEObject Type="Embed" ProgID="Excel.Sheet.8" ShapeID="_x0000_i1028" DrawAspect="Content" ObjectID="_1651462953" r:id="rId15"/>
        </w:object>
      </w:r>
    </w:p>
    <w:p w14:paraId="5CD4AC35" w14:textId="796892B9" w:rsidR="00DC05C4" w:rsidRPr="001120C6" w:rsidRDefault="00DC05C4" w:rsidP="00DC05C4">
      <w:pPr>
        <w:rPr>
          <w:rFonts w:cs="Tahoma"/>
          <w:szCs w:val="20"/>
        </w:rPr>
      </w:pPr>
      <w:r w:rsidRPr="001120C6">
        <w:rPr>
          <w:rFonts w:cs="Tahoma"/>
          <w:szCs w:val="20"/>
        </w:rPr>
        <w:t>Ve srovnání skutečných výdajů v období leden až duben 2020 a obdobného období roku 2019 celkově došlo v letošním roce k růstu výdajů kraje (růst celkem o 1.</w:t>
      </w:r>
      <w:r w:rsidR="003C3C19">
        <w:rPr>
          <w:rFonts w:cs="Tahoma"/>
          <w:szCs w:val="20"/>
        </w:rPr>
        <w:t>300.786</w:t>
      </w:r>
      <w:r w:rsidRPr="001120C6">
        <w:rPr>
          <w:rFonts w:cs="Tahoma"/>
          <w:szCs w:val="20"/>
        </w:rPr>
        <w:t> tis. Kč). Meziroční růst výdajů souvisel zejména s vyšším objemem výdajů na samosprávné a jiné činnosti zajišťované prostřednictvím krajského úřadu v roce 2020 (meziroční růst o </w:t>
      </w:r>
      <w:r w:rsidR="003C3C19">
        <w:rPr>
          <w:rFonts w:cs="Tahoma"/>
          <w:szCs w:val="20"/>
        </w:rPr>
        <w:t>1.015.591</w:t>
      </w:r>
      <w:r w:rsidRPr="001120C6">
        <w:rPr>
          <w:rFonts w:cs="Tahoma"/>
          <w:szCs w:val="20"/>
        </w:rPr>
        <w:t> tis. Kč), na příspěvek na provoz (meziroční růst celkem o 27</w:t>
      </w:r>
      <w:r w:rsidR="00EE17A7">
        <w:rPr>
          <w:rFonts w:cs="Tahoma"/>
          <w:szCs w:val="20"/>
        </w:rPr>
        <w:t>4.183</w:t>
      </w:r>
      <w:r w:rsidRPr="001120C6">
        <w:rPr>
          <w:rFonts w:cs="Tahoma"/>
          <w:szCs w:val="20"/>
        </w:rPr>
        <w:t> tis. Kč) a na akce reprodukce majetku kraje (meziroční růst o </w:t>
      </w:r>
      <w:r w:rsidR="00EE17A7">
        <w:rPr>
          <w:rFonts w:cs="Tahoma"/>
          <w:szCs w:val="20"/>
        </w:rPr>
        <w:t>39.072</w:t>
      </w:r>
      <w:r w:rsidRPr="001120C6">
        <w:rPr>
          <w:rFonts w:cs="Tahoma"/>
          <w:szCs w:val="20"/>
        </w:rPr>
        <w:t> tis. Kč).</w:t>
      </w:r>
    </w:p>
    <w:p w14:paraId="65DF4930" w14:textId="77777777" w:rsidR="00530663" w:rsidRPr="009A769B" w:rsidRDefault="00530663" w:rsidP="00530663">
      <w:pPr>
        <w:pStyle w:val="Styltab"/>
      </w:pPr>
      <w:r w:rsidRPr="009A769B">
        <w:t>Přehled výdajů rozpočtu kraje tříděných dle odvětví v roce 2020</w:t>
      </w:r>
      <w:r w:rsidRPr="009A769B">
        <w:tab/>
        <w:t>v tis. Kč</w:t>
      </w:r>
    </w:p>
    <w:bookmarkStart w:id="22" w:name="_MON_1490166028"/>
    <w:bookmarkStart w:id="23" w:name="_MON_1477201315"/>
    <w:bookmarkStart w:id="24" w:name="_MON_1490172761"/>
    <w:bookmarkStart w:id="25" w:name="_MON_1490448822"/>
    <w:bookmarkStart w:id="26" w:name="_MON_1469358730"/>
    <w:bookmarkStart w:id="27" w:name="_MON_1469532098"/>
    <w:bookmarkStart w:id="28" w:name="_MON_1469854967"/>
    <w:bookmarkStart w:id="29" w:name="_MON_1469879846"/>
    <w:bookmarkStart w:id="30" w:name="_MON_1476601495"/>
    <w:bookmarkStart w:id="31" w:name="_MON_1476601542"/>
    <w:bookmarkStart w:id="32" w:name="_MON_1476602688"/>
    <w:bookmarkStart w:id="33" w:name="_MON_1477201677"/>
    <w:bookmarkStart w:id="34" w:name="_MON_1477203383"/>
    <w:bookmarkStart w:id="35" w:name="_MON_1477312353"/>
    <w:bookmarkStart w:id="36" w:name="_MON_1477463904"/>
    <w:bookmarkStart w:id="37" w:name="_MON_1489911158"/>
    <w:bookmarkStart w:id="38" w:name="_MON_148991438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Start w:id="39" w:name="_MON_1489919526"/>
    <w:bookmarkEnd w:id="39"/>
    <w:p w14:paraId="4207B1C5" w14:textId="06F72505" w:rsidR="00530663" w:rsidRPr="009A769B" w:rsidRDefault="001B6167" w:rsidP="00530663">
      <w:pPr>
        <w:rPr>
          <w:rFonts w:cs="Tahoma"/>
          <w:szCs w:val="20"/>
        </w:rPr>
      </w:pPr>
      <w:r w:rsidRPr="009A769B">
        <w:rPr>
          <w:rFonts w:cs="Tahoma"/>
          <w:szCs w:val="20"/>
        </w:rPr>
        <w:object w:dxaOrig="9033" w:dyaOrig="3882" w14:anchorId="1FF20BD4">
          <v:shape id="_x0000_i1029" type="#_x0000_t75" style="width:460.5pt;height:201.75pt" o:ole="">
            <v:imagedata r:id="rId16" o:title=""/>
          </v:shape>
          <o:OLEObject Type="Embed" ProgID="Excel.Sheet.8" ShapeID="_x0000_i1029" DrawAspect="Content" ObjectID="_1651462954" r:id="rId17"/>
        </w:object>
      </w:r>
    </w:p>
    <w:p w14:paraId="3C3BABA8" w14:textId="3D56203B" w:rsidR="00530663" w:rsidRDefault="00530663" w:rsidP="00530663">
      <w:r w:rsidRPr="001120C6">
        <w:t>V meziročním porovnání skutečných výdajů mezi jednotlivými odvětvími došlo k největšímu růstu výdajů v odvětví školství (celkový meziroční růst o </w:t>
      </w:r>
      <w:r w:rsidR="00710FB2">
        <w:t>614.621</w:t>
      </w:r>
      <w:r w:rsidRPr="001120C6">
        <w:t xml:space="preserve"> tis. Kč), odvětví sociálních věcí (celkový meziroční růst o </w:t>
      </w:r>
      <w:r w:rsidR="00710FB2">
        <w:t>457.007</w:t>
      </w:r>
      <w:r w:rsidRPr="001120C6">
        <w:t> tis. Kč), a odvětví dopravy a chytrého regionu (celkový meziroční růst o </w:t>
      </w:r>
      <w:r w:rsidR="00710FB2">
        <w:t>246.767</w:t>
      </w:r>
      <w:r w:rsidRPr="001120C6">
        <w:t> tis. Kč). K poklesu výdajů v meziročním srovnání došlo zejména v odvětví zdravotnictví (celkový meziroční pokles o </w:t>
      </w:r>
      <w:r w:rsidR="00710FB2">
        <w:t>99.</w:t>
      </w:r>
      <w:r w:rsidR="0066477C">
        <w:t>258</w:t>
      </w:r>
      <w:r w:rsidRPr="001120C6">
        <w:t> tis. Kč).</w:t>
      </w:r>
    </w:p>
    <w:p w14:paraId="583524BF" w14:textId="77777777" w:rsidR="00794285" w:rsidRPr="007611B3" w:rsidRDefault="00794285" w:rsidP="007611B3">
      <w:pPr>
        <w:pStyle w:val="Nadpis2"/>
        <w:tabs>
          <w:tab w:val="clear" w:pos="624"/>
        </w:tabs>
        <w:ind w:left="0" w:firstLine="0"/>
        <w:rPr>
          <w:sz w:val="22"/>
          <w:u w:val="none"/>
        </w:rPr>
      </w:pPr>
      <w:r w:rsidRPr="007611B3">
        <w:rPr>
          <w:sz w:val="22"/>
          <w:u w:val="none"/>
        </w:rPr>
        <w:lastRenderedPageBreak/>
        <w:t>Objem finančních prostředků vyčleněných v rozpočtu kraje na řešení dopadů COVID-19</w:t>
      </w:r>
    </w:p>
    <w:p w14:paraId="09CF8FA1" w14:textId="77777777" w:rsidR="0056449A" w:rsidRDefault="00794285" w:rsidP="00FE21CC">
      <w:r>
        <w:t>U</w:t>
      </w:r>
      <w:r w:rsidR="0071239E">
        <w:t xml:space="preserve">snesením rady kraje č. 82/7414 ze dne 2. 3. 2020 byly </w:t>
      </w:r>
      <w:r w:rsidR="002F04E3">
        <w:t xml:space="preserve">vyčleněny v rozpočtu kraje </w:t>
      </w:r>
      <w:r w:rsidR="0071239E">
        <w:t>finanční prostředky ve</w:t>
      </w:r>
      <w:r w:rsidR="002F04E3">
        <w:t> </w:t>
      </w:r>
      <w:r w:rsidR="0071239E">
        <w:t>výši 10.000 tis. Kč na opatření s cílem ochránit občany v souvislosti se šířením nákazy koronavirem COVID</w:t>
      </w:r>
      <w:r w:rsidR="0071239E">
        <w:noBreakHyphen/>
        <w:t>19.</w:t>
      </w:r>
      <w:r w:rsidR="002F04E3">
        <w:t xml:space="preserve"> Následně byl objem finančních prostředků určený na řešení následků šíření nákazy navýšen</w:t>
      </w:r>
      <w:r>
        <w:t xml:space="preserve"> usnesením rady kraje č. </w:t>
      </w:r>
      <w:r w:rsidRPr="00794285">
        <w:t>84/7444 ze</w:t>
      </w:r>
      <w:r>
        <w:t xml:space="preserve"> dne</w:t>
      </w:r>
      <w:r w:rsidRPr="00794285">
        <w:t xml:space="preserve"> 23.</w:t>
      </w:r>
      <w:r>
        <w:t> </w:t>
      </w:r>
      <w:r w:rsidRPr="00794285">
        <w:t>3.</w:t>
      </w:r>
      <w:r>
        <w:t> </w:t>
      </w:r>
      <w:r w:rsidRPr="00794285">
        <w:t>2020</w:t>
      </w:r>
      <w:r w:rsidR="002F04E3">
        <w:t xml:space="preserve"> o finanční prostředky z rezervy na řešení krizových situací ve výši 500 tis. Kč a z rezervy na mimořádné </w:t>
      </w:r>
      <w:r w:rsidR="002F04E3" w:rsidRPr="002F04E3">
        <w:t>akce a akce s nedořešeným financováním</w:t>
      </w:r>
      <w:r w:rsidR="002F04E3">
        <w:t xml:space="preserve"> ve výši 49.500 tis. Kč.</w:t>
      </w:r>
    </w:p>
    <w:p w14:paraId="7AC5B79A" w14:textId="32011E11" w:rsidR="00AD7EE9" w:rsidRDefault="002F04E3" w:rsidP="00AD7EE9">
      <w:r>
        <w:t xml:space="preserve">Usnesením rady kraje č. 85/7515 ze dne 6. 4. 2020 byly </w:t>
      </w:r>
      <w:r w:rsidR="00AD7EE9">
        <w:t xml:space="preserve">do rozpočtu kraje nabyty finanční prostředky z kapitoly Všeobecná pokladní správa ve výši 10.000 tis. Kč na pokrytí prvotních nákladů na akce a nezbytná opatření přijatá Moravskoslezským krajem v rámci řešení krizové situace, realizovaná běžnými i investičními výdaji v souladu s § 14 zákona č. 240/2000 Sb., o krizovém řízení a o změně některých zákonů, ve znění pozdějších předpisů, v návaznosti na vyhlášení nouzového stavu, a to v souladu s rozhodnutím Ministerstva financí </w:t>
      </w:r>
      <w:r w:rsidR="003D421B">
        <w:t xml:space="preserve">č. j. </w:t>
      </w:r>
      <w:r w:rsidR="00AD7EE9">
        <w:t>MF-7812/2020/1201-3 ze</w:t>
      </w:r>
      <w:r w:rsidR="00216C9D">
        <w:t> </w:t>
      </w:r>
      <w:r w:rsidR="00AD7EE9">
        <w:t>dne 25. 3. 2020.</w:t>
      </w:r>
    </w:p>
    <w:p w14:paraId="0E217DEB" w14:textId="77777777" w:rsidR="00794285" w:rsidRDefault="00794285" w:rsidP="00AD7EE9">
      <w:r>
        <w:t xml:space="preserve">Dále byly do rozpočtu kraje zapojeny usnesením rady kraje č. </w:t>
      </w:r>
      <w:r w:rsidRPr="00794285">
        <w:t>85/7515</w:t>
      </w:r>
      <w:r>
        <w:t xml:space="preserve"> ze dne </w:t>
      </w:r>
      <w:r w:rsidRPr="00794285">
        <w:t>6.</w:t>
      </w:r>
      <w:r>
        <w:t> </w:t>
      </w:r>
      <w:r w:rsidRPr="00794285">
        <w:t>4.</w:t>
      </w:r>
      <w:r>
        <w:t> </w:t>
      </w:r>
      <w:r w:rsidRPr="00794285">
        <w:t>2020</w:t>
      </w:r>
      <w:r>
        <w:t xml:space="preserve"> příjmy za prodej desinfek</w:t>
      </w:r>
      <w:r w:rsidR="00E96F92">
        <w:t>čních přípravků Anti-COVID</w:t>
      </w:r>
      <w:r>
        <w:t xml:space="preserve"> </w:t>
      </w:r>
      <w:r w:rsidR="00E96F92">
        <w:t xml:space="preserve">obcím a dalším subjektům </w:t>
      </w:r>
      <w:r>
        <w:t xml:space="preserve">ve výši </w:t>
      </w:r>
      <w:r w:rsidR="003E2850">
        <w:t>2.207</w:t>
      </w:r>
      <w:r>
        <w:t xml:space="preserve"> tis. Kč. Tyto finanční prostředky však představují úhradu výdajů vynaložených krajem na jejich pořízení.</w:t>
      </w:r>
    </w:p>
    <w:p w14:paraId="35E8544C" w14:textId="77777777" w:rsidR="003E2850" w:rsidRDefault="003E2850" w:rsidP="00AD7EE9">
      <w:r>
        <w:t>Celkový objem prostředků alokovaných v rozpočtu kraje na akci „Opatření proti šíření nákazy koro</w:t>
      </w:r>
      <w:r w:rsidR="003F0E6C">
        <w:t>navirem</w:t>
      </w:r>
      <w:r>
        <w:t xml:space="preserve"> COVID-19“ byl</w:t>
      </w:r>
      <w:r w:rsidR="00242DA3">
        <w:t xml:space="preserve"> k 30. 4. 2020</w:t>
      </w:r>
      <w:r>
        <w:t xml:space="preserve"> ve výši 72.20</w:t>
      </w:r>
      <w:r w:rsidR="00925A6C">
        <w:t>7</w:t>
      </w:r>
      <w:r>
        <w:t xml:space="preserve"> tis. Kč.</w:t>
      </w:r>
      <w:r w:rsidR="002C2953">
        <w:t xml:space="preserve"> </w:t>
      </w:r>
    </w:p>
    <w:p w14:paraId="2CF6BCBB" w14:textId="77777777" w:rsidR="003E2850" w:rsidRDefault="003E2850" w:rsidP="00AD7EE9">
      <w:r>
        <w:t xml:space="preserve">Příspěvkovým organizacím kraje byly z takto vyčleněných finančních prostředků schváleny </w:t>
      </w:r>
      <w:r w:rsidR="003D421B">
        <w:t xml:space="preserve">k 30. 4. 2020 </w:t>
      </w:r>
      <w:r>
        <w:t xml:space="preserve">formou </w:t>
      </w:r>
      <w:r w:rsidR="00925A6C">
        <w:t xml:space="preserve">zvýšení </w:t>
      </w:r>
      <w:r>
        <w:t>závazného ukazatele</w:t>
      </w:r>
      <w:r w:rsidR="00925A6C">
        <w:t xml:space="preserve"> „příspěvek na provoz“ </w:t>
      </w:r>
      <w:r>
        <w:t xml:space="preserve">prostředky v celkovém objemu </w:t>
      </w:r>
      <w:r w:rsidR="00925A6C">
        <w:t>13.159</w:t>
      </w:r>
      <w:r w:rsidR="003D421B">
        <w:t> </w:t>
      </w:r>
      <w:r>
        <w:t>tis.</w:t>
      </w:r>
      <w:r w:rsidR="003D421B">
        <w:t> </w:t>
      </w:r>
      <w:r>
        <w:t>Kč:</w:t>
      </w:r>
    </w:p>
    <w:p w14:paraId="10B3129A" w14:textId="77777777" w:rsidR="003E2850" w:rsidRDefault="00925A6C" w:rsidP="00E731AC">
      <w:pPr>
        <w:pStyle w:val="Odstavecseseznamem"/>
        <w:numPr>
          <w:ilvl w:val="0"/>
          <w:numId w:val="10"/>
        </w:numPr>
      </w:pPr>
      <w:r>
        <w:t>usnesením rady kraje č. 84/7450 ze dne 23. 3. 2020 a č. 85/7515 ze dne 6. 4. 2020 N</w:t>
      </w:r>
      <w:r w:rsidR="003E2850">
        <w:t>emocnici ve Frýdku-Místku, příspěvková organizace, IČO 00534188, s účelovým určením na nákup zdravotnických prostředků</w:t>
      </w:r>
      <w:r>
        <w:t xml:space="preserve"> v</w:t>
      </w:r>
      <w:r w:rsidR="003F0E6C">
        <w:t xml:space="preserve"> souhrnné</w:t>
      </w:r>
      <w:r>
        <w:t xml:space="preserve"> výši</w:t>
      </w:r>
      <w:r w:rsidR="003F0E6C">
        <w:t xml:space="preserve"> o</w:t>
      </w:r>
      <w:r>
        <w:t xml:space="preserve"> 11.369 tis. Kč</w:t>
      </w:r>
      <w:r w:rsidR="003E2850">
        <w:t>,</w:t>
      </w:r>
      <w:r>
        <w:t xml:space="preserve"> </w:t>
      </w:r>
    </w:p>
    <w:p w14:paraId="40DD480E" w14:textId="77777777" w:rsidR="00925A6C" w:rsidRDefault="00925A6C" w:rsidP="00E731AC">
      <w:pPr>
        <w:pStyle w:val="Odstavecseseznamem"/>
        <w:numPr>
          <w:ilvl w:val="0"/>
          <w:numId w:val="10"/>
        </w:numPr>
      </w:pPr>
      <w:r>
        <w:t xml:space="preserve">usnesením rady kraje č. 84/7456 ze dne 23. 3. 2020 příspěvkovým organizacím v odvětví školství </w:t>
      </w:r>
      <w:r w:rsidR="003F0E6C">
        <w:t>o 1.790 tis. Kč</w:t>
      </w:r>
      <w:r w:rsidR="008B2D5B">
        <w:t xml:space="preserve"> na zvýšené výdaje spojené se zamezením šíření nákazy koronavirem COVID-19.</w:t>
      </w:r>
    </w:p>
    <w:p w14:paraId="04221E13" w14:textId="77777777" w:rsidR="003E2850" w:rsidRDefault="008B2D5B" w:rsidP="00925A6C">
      <w:r>
        <w:t xml:space="preserve">Další </w:t>
      </w:r>
      <w:r w:rsidR="003F0E6C">
        <w:t>prostředky vyčleněné v rozpočtu kraje na akci „Opatření proti šíření nákazy koronavirem COVID</w:t>
      </w:r>
      <w:r w:rsidR="003F0E6C">
        <w:noBreakHyphen/>
        <w:t>19 byly nebo budou použity zejména na:</w:t>
      </w:r>
    </w:p>
    <w:p w14:paraId="2BE88257" w14:textId="77777777" w:rsidR="003F0E6C" w:rsidRDefault="003F0E6C" w:rsidP="003F0E6C">
      <w:pPr>
        <w:pStyle w:val="Odstavecseseznamem"/>
        <w:numPr>
          <w:ilvl w:val="0"/>
          <w:numId w:val="10"/>
        </w:numPr>
      </w:pPr>
      <w:r>
        <w:t xml:space="preserve">nákupy ochranných prostředků – roušky, respirátory, </w:t>
      </w:r>
    </w:p>
    <w:p w14:paraId="11DD095E" w14:textId="77777777" w:rsidR="003F0E6C" w:rsidRDefault="003F0E6C" w:rsidP="003F0E6C">
      <w:pPr>
        <w:pStyle w:val="Odstavecseseznamem"/>
        <w:numPr>
          <w:ilvl w:val="0"/>
          <w:numId w:val="10"/>
        </w:numPr>
      </w:pPr>
      <w:r>
        <w:t>nákupy surovin pro výrobu desinfekčních prostředků,</w:t>
      </w:r>
    </w:p>
    <w:p w14:paraId="67BD12BE" w14:textId="77777777" w:rsidR="003F0E6C" w:rsidRDefault="003F0E6C" w:rsidP="003F0E6C">
      <w:pPr>
        <w:pStyle w:val="Odstavecseseznamem"/>
        <w:numPr>
          <w:ilvl w:val="0"/>
          <w:numId w:val="10"/>
        </w:numPr>
      </w:pPr>
      <w:r>
        <w:t>nákupy kanystrů a palet,</w:t>
      </w:r>
      <w:r w:rsidR="008B2D5B">
        <w:t xml:space="preserve"> tepelně aerosolových generátorů </w:t>
      </w:r>
      <w:r w:rsidR="008B2D5B" w:rsidRPr="008B2D5B">
        <w:t>Kärcher</w:t>
      </w:r>
      <w:r w:rsidR="008B2D5B">
        <w:t>,</w:t>
      </w:r>
    </w:p>
    <w:p w14:paraId="5B84FAAF" w14:textId="77777777" w:rsidR="008B2D5B" w:rsidRDefault="008B2D5B" w:rsidP="003F0E6C">
      <w:pPr>
        <w:pStyle w:val="Odstavecseseznamem"/>
        <w:numPr>
          <w:ilvl w:val="0"/>
          <w:numId w:val="10"/>
        </w:numPr>
      </w:pPr>
      <w:r>
        <w:t>nákup materiálu pro tisk na 3D tiskárnách</w:t>
      </w:r>
      <w:r w:rsidR="002C2953">
        <w:t xml:space="preserve"> (výroba ochranných štítů)</w:t>
      </w:r>
      <w:r>
        <w:t>,</w:t>
      </w:r>
    </w:p>
    <w:p w14:paraId="1791E87D" w14:textId="77777777" w:rsidR="003F0E6C" w:rsidRDefault="003F0E6C" w:rsidP="003F0E6C">
      <w:pPr>
        <w:pStyle w:val="Odstavecseseznamem"/>
        <w:numPr>
          <w:ilvl w:val="0"/>
          <w:numId w:val="10"/>
        </w:numPr>
      </w:pPr>
      <w:r>
        <w:t xml:space="preserve">pronájmy techniky, kontejnerů, toalet, </w:t>
      </w:r>
      <w:r w:rsidR="008B2D5B">
        <w:t>stanů</w:t>
      </w:r>
      <w:r w:rsidR="00DB5EF3">
        <w:t>,</w:t>
      </w:r>
    </w:p>
    <w:p w14:paraId="5390BFE0" w14:textId="77777777" w:rsidR="008B2D5B" w:rsidRDefault="008B2D5B" w:rsidP="003F0E6C">
      <w:pPr>
        <w:pStyle w:val="Odstavecseseznamem"/>
        <w:numPr>
          <w:ilvl w:val="0"/>
          <w:numId w:val="10"/>
        </w:numPr>
      </w:pPr>
      <w:r>
        <w:t>zajištění přepravy repatriovaných občanů kraje do místa bydliště,</w:t>
      </w:r>
    </w:p>
    <w:p w14:paraId="731DE49D" w14:textId="77777777" w:rsidR="008B2D5B" w:rsidRDefault="00DB5EF3" w:rsidP="003F0E6C">
      <w:pPr>
        <w:pStyle w:val="Odstavecseseznamem"/>
        <w:numPr>
          <w:ilvl w:val="0"/>
          <w:numId w:val="10"/>
        </w:numPr>
      </w:pPr>
      <w:r>
        <w:t xml:space="preserve">peněžní náhrady za vykonání pracovní povinnosti podle </w:t>
      </w:r>
      <w:r w:rsidRPr="008B2D5B">
        <w:t>§ 35 zákona č. 240/2000 Sb., o</w:t>
      </w:r>
      <w:r>
        <w:t> </w:t>
      </w:r>
      <w:r w:rsidRPr="008B2D5B">
        <w:t>krizovém řízení a o změně některých zákonů (krizový zákon)</w:t>
      </w:r>
    </w:p>
    <w:p w14:paraId="5CD85EFC" w14:textId="77777777" w:rsidR="00DB5EF3" w:rsidRDefault="00DB5EF3" w:rsidP="003F0E6C">
      <w:pPr>
        <w:pStyle w:val="Odstavecseseznamem"/>
        <w:numPr>
          <w:ilvl w:val="0"/>
          <w:numId w:val="10"/>
        </w:numPr>
      </w:pPr>
      <w:r>
        <w:t xml:space="preserve">zajištění poskytnutí zdravotní </w:t>
      </w:r>
      <w:r w:rsidR="00BE6237">
        <w:t>péče pro pacienty bez příznaku o</w:t>
      </w:r>
      <w:r>
        <w:t>n</w:t>
      </w:r>
      <w:r w:rsidR="00BE6237">
        <w:t>e</w:t>
      </w:r>
      <w:r>
        <w:t>mocnění COVID-19 způsobeného novým koronavirem CARS-CoV-2.</w:t>
      </w:r>
    </w:p>
    <w:p w14:paraId="73C0BE70" w14:textId="77777777" w:rsidR="007611B3" w:rsidRPr="004A72BD" w:rsidRDefault="0041269E" w:rsidP="007611B3">
      <w:pPr>
        <w:pStyle w:val="Nadpis2"/>
        <w:tabs>
          <w:tab w:val="clear" w:pos="624"/>
        </w:tabs>
        <w:ind w:left="0" w:firstLine="0"/>
        <w:rPr>
          <w:sz w:val="22"/>
          <w:u w:val="none"/>
        </w:rPr>
      </w:pPr>
      <w:r>
        <w:rPr>
          <w:sz w:val="22"/>
          <w:u w:val="none"/>
        </w:rPr>
        <w:t xml:space="preserve">Úspory rozpočtu kraje na základě provedené revize </w:t>
      </w:r>
    </w:p>
    <w:p w14:paraId="4456C72C" w14:textId="06AA61B9" w:rsidR="004C6B52" w:rsidRDefault="009A4ED1" w:rsidP="0041269E">
      <w:pPr>
        <w:spacing w:after="0"/>
        <w:rPr>
          <w:rFonts w:cs="Tahoma"/>
          <w:szCs w:val="20"/>
        </w:rPr>
      </w:pPr>
      <w:r>
        <w:t xml:space="preserve">V průběhu měsíce března 2020 byly započaty úkony vztahující se k revizi rozpočtu kraje na rok 2020 s vyčíslením možných úspor. </w:t>
      </w:r>
      <w:r w:rsidR="0041269E" w:rsidRPr="0041269E">
        <w:rPr>
          <w:rFonts w:cs="Tahoma"/>
        </w:rPr>
        <w:t>Na základě „Pokynu k řešení dopadů na finance kraje v souvislosti s</w:t>
      </w:r>
      <w:r w:rsidR="00874751">
        <w:rPr>
          <w:rFonts w:cs="Tahoma"/>
        </w:rPr>
        <w:t> </w:t>
      </w:r>
      <w:r w:rsidR="0041269E" w:rsidRPr="0041269E">
        <w:rPr>
          <w:rFonts w:cs="Tahoma"/>
        </w:rPr>
        <w:t xml:space="preserve">pandemickým šířením COVID-19 a vyhlášením nouzového stavu na území ČR“, který byl vydán odborem financí </w:t>
      </w:r>
      <w:r w:rsidR="002F6610">
        <w:rPr>
          <w:rFonts w:cs="Tahoma"/>
        </w:rPr>
        <w:t xml:space="preserve">dne </w:t>
      </w:r>
      <w:r w:rsidR="0041269E" w:rsidRPr="0041269E">
        <w:rPr>
          <w:rFonts w:cs="Tahoma"/>
        </w:rPr>
        <w:t>19.</w:t>
      </w:r>
      <w:r w:rsidR="00216C9D">
        <w:rPr>
          <w:rFonts w:cs="Tahoma"/>
        </w:rPr>
        <w:t> </w:t>
      </w:r>
      <w:r w:rsidR="0041269E" w:rsidRPr="0041269E">
        <w:rPr>
          <w:rFonts w:cs="Tahoma"/>
        </w:rPr>
        <w:t>března</w:t>
      </w:r>
      <w:r w:rsidR="002F6610">
        <w:rPr>
          <w:rFonts w:cs="Tahoma"/>
        </w:rPr>
        <w:t xml:space="preserve"> 2020</w:t>
      </w:r>
      <w:r w:rsidR="004C6B52">
        <w:rPr>
          <w:rFonts w:cs="Tahoma"/>
        </w:rPr>
        <w:t>,</w:t>
      </w:r>
      <w:r w:rsidR="0041269E" w:rsidRPr="0041269E">
        <w:rPr>
          <w:rFonts w:cs="Tahoma"/>
        </w:rPr>
        <w:t xml:space="preserve"> jednotlivé odbory </w:t>
      </w:r>
      <w:r w:rsidR="0041269E" w:rsidRPr="0041269E">
        <w:rPr>
          <w:rFonts w:cs="Tahoma"/>
          <w:szCs w:val="20"/>
        </w:rPr>
        <w:t>prov</w:t>
      </w:r>
      <w:r w:rsidR="0041269E" w:rsidRPr="0041269E">
        <w:rPr>
          <w:rFonts w:cs="Tahoma"/>
        </w:rPr>
        <w:t xml:space="preserve">edly </w:t>
      </w:r>
      <w:r w:rsidR="0041269E" w:rsidRPr="0041269E">
        <w:rPr>
          <w:rFonts w:cs="Tahoma"/>
          <w:szCs w:val="20"/>
        </w:rPr>
        <w:t>revizi</w:t>
      </w:r>
      <w:r w:rsidR="0041269E">
        <w:rPr>
          <w:rFonts w:cs="Tahoma"/>
          <w:szCs w:val="20"/>
        </w:rPr>
        <w:t xml:space="preserve"> </w:t>
      </w:r>
      <w:r w:rsidR="004C6B52">
        <w:rPr>
          <w:rFonts w:cs="Tahoma"/>
          <w:szCs w:val="20"/>
        </w:rPr>
        <w:t>rozpočtu kraje (</w:t>
      </w:r>
      <w:r w:rsidR="0041269E">
        <w:rPr>
          <w:rFonts w:cs="Tahoma"/>
          <w:szCs w:val="20"/>
        </w:rPr>
        <w:t>jimi svěřené</w:t>
      </w:r>
      <w:r w:rsidR="004C6B52">
        <w:rPr>
          <w:rFonts w:cs="Tahoma"/>
          <w:szCs w:val="20"/>
        </w:rPr>
        <w:t xml:space="preserve"> rozpisem rozpočtu). Zaměřil</w:t>
      </w:r>
      <w:r w:rsidR="003377C6">
        <w:rPr>
          <w:rFonts w:cs="Tahoma"/>
          <w:szCs w:val="20"/>
        </w:rPr>
        <w:t>y</w:t>
      </w:r>
      <w:r w:rsidR="004C6B52">
        <w:rPr>
          <w:rFonts w:cs="Tahoma"/>
          <w:szCs w:val="20"/>
        </w:rPr>
        <w:t xml:space="preserve"> se hlavně na:</w:t>
      </w:r>
    </w:p>
    <w:p w14:paraId="5023BFD2" w14:textId="77777777" w:rsidR="004C6B52" w:rsidRPr="004C6B52" w:rsidRDefault="004C6B52" w:rsidP="004C6B52">
      <w:pPr>
        <w:pStyle w:val="Odstavecseseznamem"/>
        <w:numPr>
          <w:ilvl w:val="0"/>
          <w:numId w:val="10"/>
        </w:numPr>
        <w:spacing w:after="0"/>
        <w:rPr>
          <w:rFonts w:cs="Tahoma"/>
          <w:szCs w:val="20"/>
        </w:rPr>
      </w:pPr>
      <w:r w:rsidRPr="004C6B52">
        <w:rPr>
          <w:rFonts w:cs="Tahoma"/>
          <w:szCs w:val="20"/>
        </w:rPr>
        <w:t xml:space="preserve">prověření </w:t>
      </w:r>
      <w:r w:rsidR="0041269E" w:rsidRPr="004C6B52">
        <w:rPr>
          <w:rFonts w:cs="Tahoma"/>
          <w:szCs w:val="20"/>
        </w:rPr>
        <w:t>již uzavřených smluv, objednávek a jejich plnění</w:t>
      </w:r>
      <w:r w:rsidR="0041269E" w:rsidRPr="004C6B52">
        <w:rPr>
          <w:rFonts w:cs="Tahoma"/>
        </w:rPr>
        <w:t xml:space="preserve">, </w:t>
      </w:r>
    </w:p>
    <w:p w14:paraId="0682B728" w14:textId="77777777" w:rsidR="004C6B52" w:rsidRDefault="004C6B52" w:rsidP="004C6B52">
      <w:pPr>
        <w:pStyle w:val="Odstavecseseznamem"/>
        <w:numPr>
          <w:ilvl w:val="0"/>
          <w:numId w:val="10"/>
        </w:numPr>
        <w:spacing w:after="0"/>
        <w:rPr>
          <w:rFonts w:cs="Tahoma"/>
          <w:szCs w:val="20"/>
        </w:rPr>
      </w:pPr>
      <w:r>
        <w:rPr>
          <w:rFonts w:cs="Tahoma"/>
          <w:szCs w:val="20"/>
        </w:rPr>
        <w:t>p</w:t>
      </w:r>
      <w:r w:rsidR="0041269E" w:rsidRPr="004C6B52">
        <w:rPr>
          <w:rFonts w:cs="Tahoma"/>
          <w:szCs w:val="20"/>
        </w:rPr>
        <w:t>ozastav</w:t>
      </w:r>
      <w:r>
        <w:rPr>
          <w:rFonts w:cs="Tahoma"/>
          <w:szCs w:val="20"/>
        </w:rPr>
        <w:t xml:space="preserve">ení </w:t>
      </w:r>
      <w:r w:rsidR="0041269E" w:rsidRPr="004C6B52">
        <w:rPr>
          <w:rFonts w:cs="Tahoma"/>
          <w:szCs w:val="20"/>
        </w:rPr>
        <w:t>nepodepsan</w:t>
      </w:r>
      <w:r>
        <w:rPr>
          <w:rFonts w:cs="Tahoma"/>
          <w:szCs w:val="20"/>
        </w:rPr>
        <w:t>ých</w:t>
      </w:r>
      <w:r w:rsidR="0041269E" w:rsidRPr="004C6B52">
        <w:rPr>
          <w:rFonts w:cs="Tahoma"/>
          <w:szCs w:val="20"/>
        </w:rPr>
        <w:t xml:space="preserve"> (neuzavřen</w:t>
      </w:r>
      <w:r>
        <w:rPr>
          <w:rFonts w:cs="Tahoma"/>
          <w:szCs w:val="20"/>
        </w:rPr>
        <w:t>ých</w:t>
      </w:r>
      <w:r w:rsidR="0041269E" w:rsidRPr="004C6B52">
        <w:rPr>
          <w:rFonts w:cs="Tahoma"/>
          <w:szCs w:val="20"/>
        </w:rPr>
        <w:t>) smluv, objednáv</w:t>
      </w:r>
      <w:r>
        <w:rPr>
          <w:rFonts w:cs="Tahoma"/>
          <w:szCs w:val="20"/>
        </w:rPr>
        <w:t>e</w:t>
      </w:r>
      <w:r w:rsidR="0041269E" w:rsidRPr="004C6B52">
        <w:rPr>
          <w:rFonts w:cs="Tahoma"/>
          <w:szCs w:val="20"/>
        </w:rPr>
        <w:t>k</w:t>
      </w:r>
      <w:r>
        <w:rPr>
          <w:rFonts w:cs="Tahoma"/>
          <w:szCs w:val="20"/>
        </w:rPr>
        <w:t>,</w:t>
      </w:r>
      <w:r w:rsidR="0041269E" w:rsidRPr="004C6B52">
        <w:rPr>
          <w:rFonts w:cs="Tahoma"/>
          <w:szCs w:val="20"/>
        </w:rPr>
        <w:t xml:space="preserve"> </w:t>
      </w:r>
    </w:p>
    <w:p w14:paraId="5FB9212B" w14:textId="38C3E52E" w:rsidR="004C6B52" w:rsidRDefault="0041269E" w:rsidP="004C6B52">
      <w:pPr>
        <w:pStyle w:val="Odstavecseseznamem"/>
        <w:numPr>
          <w:ilvl w:val="0"/>
          <w:numId w:val="10"/>
        </w:numPr>
        <w:spacing w:after="0"/>
        <w:rPr>
          <w:rFonts w:cs="Tahoma"/>
          <w:szCs w:val="20"/>
        </w:rPr>
      </w:pPr>
      <w:r w:rsidRPr="004C6B52">
        <w:rPr>
          <w:rFonts w:cs="Tahoma"/>
          <w:szCs w:val="20"/>
        </w:rPr>
        <w:lastRenderedPageBreak/>
        <w:t>pozastavit vyřizování veškerých žádost</w:t>
      </w:r>
      <w:r w:rsidR="00BB6B66">
        <w:rPr>
          <w:rFonts w:cs="Tahoma"/>
          <w:szCs w:val="20"/>
        </w:rPr>
        <w:t>í</w:t>
      </w:r>
      <w:r w:rsidRPr="004C6B52">
        <w:rPr>
          <w:rFonts w:cs="Tahoma"/>
          <w:szCs w:val="20"/>
        </w:rPr>
        <w:t xml:space="preserve"> o individuální dotace a prověř</w:t>
      </w:r>
      <w:r w:rsidR="004C6B52">
        <w:rPr>
          <w:rFonts w:cs="Tahoma"/>
          <w:szCs w:val="20"/>
        </w:rPr>
        <w:t>ení těch</w:t>
      </w:r>
      <w:r w:rsidRPr="004C6B52">
        <w:rPr>
          <w:rFonts w:cs="Tahoma"/>
          <w:szCs w:val="20"/>
        </w:rPr>
        <w:t xml:space="preserve"> dotac</w:t>
      </w:r>
      <w:r w:rsidR="004C6B52">
        <w:rPr>
          <w:rFonts w:cs="Tahoma"/>
          <w:szCs w:val="20"/>
        </w:rPr>
        <w:t>í</w:t>
      </w:r>
      <w:r w:rsidRPr="004C6B52">
        <w:rPr>
          <w:rFonts w:cs="Tahoma"/>
          <w:szCs w:val="20"/>
        </w:rPr>
        <w:t xml:space="preserve">, které jsou předloženy k podpisu smluv </w:t>
      </w:r>
      <w:r w:rsidR="009A4ED1">
        <w:rPr>
          <w:rFonts w:cs="Tahoma"/>
          <w:szCs w:val="20"/>
        </w:rPr>
        <w:t>(byl vydán samostatný postup při uzavírání a revizi dotačních smluv v době stavu nouze),</w:t>
      </w:r>
      <w:r w:rsidR="004C6B52">
        <w:rPr>
          <w:rFonts w:cs="Tahoma"/>
          <w:szCs w:val="20"/>
        </w:rPr>
        <w:t xml:space="preserve"> </w:t>
      </w:r>
    </w:p>
    <w:p w14:paraId="5C3A4BD5" w14:textId="77777777" w:rsidR="004C6B52" w:rsidRDefault="0041269E" w:rsidP="004C6B52">
      <w:pPr>
        <w:pStyle w:val="Odstavecseseznamem"/>
        <w:numPr>
          <w:ilvl w:val="0"/>
          <w:numId w:val="10"/>
        </w:numPr>
        <w:spacing w:after="0"/>
        <w:rPr>
          <w:rFonts w:cs="Tahoma"/>
          <w:szCs w:val="20"/>
        </w:rPr>
      </w:pPr>
      <w:r w:rsidRPr="004C6B52">
        <w:rPr>
          <w:rFonts w:cs="Tahoma"/>
          <w:szCs w:val="20"/>
        </w:rPr>
        <w:t>vyčíslen</w:t>
      </w:r>
      <w:r w:rsidR="004C6B52">
        <w:rPr>
          <w:rFonts w:cs="Tahoma"/>
          <w:szCs w:val="20"/>
        </w:rPr>
        <w:t>í</w:t>
      </w:r>
      <w:r w:rsidRPr="004C6B52">
        <w:rPr>
          <w:rFonts w:cs="Tahoma"/>
          <w:szCs w:val="20"/>
        </w:rPr>
        <w:t xml:space="preserve"> úspor </w:t>
      </w:r>
      <w:r w:rsidR="004C6B52">
        <w:rPr>
          <w:rFonts w:cs="Tahoma"/>
          <w:szCs w:val="20"/>
        </w:rPr>
        <w:t>již zrealizovaných akcí rozpočtu.</w:t>
      </w:r>
    </w:p>
    <w:p w14:paraId="437C02B8" w14:textId="77777777" w:rsidR="009A4ED1" w:rsidRDefault="009A4ED1" w:rsidP="009A4ED1">
      <w:pPr>
        <w:pStyle w:val="Odstavecseseznamem"/>
        <w:spacing w:after="0"/>
        <w:ind w:left="1080"/>
        <w:rPr>
          <w:rFonts w:cs="Tahoma"/>
          <w:szCs w:val="20"/>
        </w:rPr>
      </w:pPr>
    </w:p>
    <w:p w14:paraId="07812C9B" w14:textId="03604744" w:rsidR="002F70D2" w:rsidRDefault="009A4ED1" w:rsidP="00B50E11">
      <w:pPr>
        <w:widowControl w:val="0"/>
      </w:pPr>
      <w:r>
        <w:t>Příslušné odbory v</w:t>
      </w:r>
      <w:r w:rsidR="002F70D2">
        <w:t>yčísl</w:t>
      </w:r>
      <w:r>
        <w:t>il</w:t>
      </w:r>
      <w:r w:rsidR="004E3CB2">
        <w:t xml:space="preserve">y </w:t>
      </w:r>
      <w:r w:rsidR="002F70D2">
        <w:t xml:space="preserve">úspory </w:t>
      </w:r>
      <w:r>
        <w:t xml:space="preserve">ve výši </w:t>
      </w:r>
      <w:r w:rsidR="00BD6311">
        <w:t>716.</w:t>
      </w:r>
      <w:r w:rsidR="00350596">
        <w:t>7</w:t>
      </w:r>
      <w:r w:rsidR="00BD6311">
        <w:t>79 </w:t>
      </w:r>
      <w:r w:rsidRPr="006D1F45">
        <w:t>tis. Kč. Jedná se</w:t>
      </w:r>
      <w:r>
        <w:t xml:space="preserve"> o: </w:t>
      </w:r>
    </w:p>
    <w:p w14:paraId="0198EF09" w14:textId="77777777" w:rsidR="00D52295" w:rsidRDefault="00D52295" w:rsidP="00923F89">
      <w:pPr>
        <w:pStyle w:val="Odstavecseseznamem"/>
        <w:widowControl w:val="0"/>
        <w:numPr>
          <w:ilvl w:val="0"/>
          <w:numId w:val="42"/>
        </w:numPr>
      </w:pPr>
      <w:r>
        <w:t>Ú</w:t>
      </w:r>
      <w:r w:rsidR="002F70D2">
        <w:t>spory</w:t>
      </w:r>
      <w:r w:rsidR="002C2953">
        <w:t xml:space="preserve"> v rámci výdajů na samosprávné činnosti</w:t>
      </w:r>
      <w:r w:rsidR="000D1C10">
        <w:t xml:space="preserve"> a </w:t>
      </w:r>
      <w:r w:rsidR="000D1C10" w:rsidRPr="000E7E12">
        <w:t>příspěvků na provoz</w:t>
      </w:r>
      <w:r>
        <w:t xml:space="preserve"> zřízeným příspěvkovým organizacím kraje</w:t>
      </w:r>
    </w:p>
    <w:p w14:paraId="6316CCA3" w14:textId="289C8AF5" w:rsidR="002C2953" w:rsidRDefault="00D52295" w:rsidP="00D52295">
      <w:pPr>
        <w:widowControl w:val="0"/>
      </w:pPr>
      <w:r>
        <w:t>J</w:t>
      </w:r>
      <w:r w:rsidR="002F70D2">
        <w:t>edn</w:t>
      </w:r>
      <w:r w:rsidR="009A4ED1">
        <w:t xml:space="preserve">á </w:t>
      </w:r>
      <w:r w:rsidR="002F70D2">
        <w:t xml:space="preserve">se </w:t>
      </w:r>
      <w:r w:rsidR="00EA4B6A">
        <w:t>zejména o</w:t>
      </w:r>
      <w:r w:rsidR="00216C9D">
        <w:t> </w:t>
      </w:r>
      <w:r w:rsidR="00012BD6">
        <w:t>prostředky určené na</w:t>
      </w:r>
      <w:r w:rsidR="00216C9D">
        <w:t> </w:t>
      </w:r>
      <w:r w:rsidR="00012BD6">
        <w:t>dotační programy, které nebyly dosud vyhlášeny a</w:t>
      </w:r>
      <w:r w:rsidR="002D2928">
        <w:t> </w:t>
      </w:r>
      <w:r w:rsidR="00012BD6">
        <w:t>nepředpokládá se jejich vyhlášení v roce 2020,</w:t>
      </w:r>
      <w:r w:rsidR="002F70D2">
        <w:t xml:space="preserve"> prostředky z nevyplacených druhých splátek dotací po</w:t>
      </w:r>
      <w:r w:rsidR="002D2928">
        <w:t> </w:t>
      </w:r>
      <w:r w:rsidR="002F70D2">
        <w:t>předložení závěrečných vyúčtování, nerozdělené prostředky v rámci dotačních programů, u</w:t>
      </w:r>
      <w:r w:rsidR="00513DE7">
        <w:t> </w:t>
      </w:r>
      <w:r w:rsidR="002F70D2">
        <w:t xml:space="preserve">kterých nebyli schváleni náhradní žadatelé, </w:t>
      </w:r>
      <w:r w:rsidR="00012BD6">
        <w:t xml:space="preserve">úspory z </w:t>
      </w:r>
      <w:r w:rsidR="002F70D2">
        <w:t>neuzavře</w:t>
      </w:r>
      <w:r w:rsidR="00012BD6">
        <w:t>ných</w:t>
      </w:r>
      <w:r w:rsidR="002F70D2">
        <w:t xml:space="preserve"> smluv</w:t>
      </w:r>
      <w:r w:rsidR="00695DC6">
        <w:t xml:space="preserve"> a objednávek</w:t>
      </w:r>
      <w:r w:rsidR="002F70D2">
        <w:t xml:space="preserve"> z důvodu </w:t>
      </w:r>
      <w:r w:rsidR="002F70D2" w:rsidRPr="001D362C">
        <w:t>nerealizace akcí</w:t>
      </w:r>
      <w:r w:rsidR="00242DA3" w:rsidRPr="001D362C">
        <w:t>.</w:t>
      </w:r>
      <w:r w:rsidR="002F70D2" w:rsidRPr="001D362C">
        <w:t xml:space="preserve"> </w:t>
      </w:r>
    </w:p>
    <w:p w14:paraId="7CB57509" w14:textId="0CA57676" w:rsidR="002F70D2" w:rsidRDefault="002F70D2" w:rsidP="00D52295">
      <w:pPr>
        <w:widowControl w:val="0"/>
      </w:pPr>
      <w:r w:rsidRPr="00214E94">
        <w:t>Do</w:t>
      </w:r>
      <w:r w:rsidR="00012BD6" w:rsidRPr="00214E94">
        <w:t> </w:t>
      </w:r>
      <w:r w:rsidRPr="00214E94">
        <w:t xml:space="preserve">rozpočtové rezervy tak byly </w:t>
      </w:r>
      <w:r w:rsidR="002C2953" w:rsidRPr="00214E94">
        <w:t>k</w:t>
      </w:r>
      <w:r w:rsidR="00E95070">
        <w:t> </w:t>
      </w:r>
      <w:r w:rsidR="00D52295">
        <w:t>11</w:t>
      </w:r>
      <w:r w:rsidR="00242DA3" w:rsidRPr="00214E94">
        <w:t>.</w:t>
      </w:r>
      <w:r w:rsidR="00E95070">
        <w:t> </w:t>
      </w:r>
      <w:r w:rsidR="00242DA3" w:rsidRPr="00214E94">
        <w:t>5.</w:t>
      </w:r>
      <w:r w:rsidR="00E95070">
        <w:t> </w:t>
      </w:r>
      <w:r w:rsidR="003D421B" w:rsidRPr="00214E94">
        <w:t>2020</w:t>
      </w:r>
      <w:r w:rsidRPr="00214E94">
        <w:t xml:space="preserve"> převedeny prostředky v souhrnném objemu </w:t>
      </w:r>
      <w:r w:rsidR="003F3A0A">
        <w:t>230.</w:t>
      </w:r>
      <w:r w:rsidR="00EA685B">
        <w:t>6</w:t>
      </w:r>
      <w:r w:rsidR="003F3A0A">
        <w:t>21</w:t>
      </w:r>
      <w:r w:rsidR="00445CE1" w:rsidRPr="00214E94">
        <w:t> tis. </w:t>
      </w:r>
      <w:r w:rsidRPr="00214E94">
        <w:t>Kč.</w:t>
      </w:r>
      <w:r w:rsidR="002D2928" w:rsidRPr="00214E94">
        <w:t xml:space="preserve"> Přehled </w:t>
      </w:r>
      <w:r w:rsidR="003D421B" w:rsidRPr="00214E94">
        <w:t xml:space="preserve">úspor převedených na rezervu </w:t>
      </w:r>
      <w:r w:rsidR="002D2928" w:rsidRPr="00214E94">
        <w:t xml:space="preserve">za jednotlivá odvětví je uveden v tabulce č. </w:t>
      </w:r>
      <w:r w:rsidR="00CE3D12" w:rsidRPr="00214E94">
        <w:t>6</w:t>
      </w:r>
      <w:r w:rsidR="002D2928" w:rsidRPr="00214E94">
        <w:t>.</w:t>
      </w:r>
    </w:p>
    <w:p w14:paraId="5857CE2F" w14:textId="77777777" w:rsidR="002D2928" w:rsidRPr="00923B2A" w:rsidRDefault="002D2928" w:rsidP="002D2928">
      <w:pPr>
        <w:pStyle w:val="Styltab"/>
      </w:pPr>
      <w:r>
        <w:t xml:space="preserve">Přehled </w:t>
      </w:r>
      <w:r w:rsidR="00B663E2">
        <w:t>úspor</w:t>
      </w:r>
      <w:r>
        <w:t xml:space="preserve"> </w:t>
      </w:r>
      <w:r w:rsidR="002C2953">
        <w:t xml:space="preserve">výdajů na samosprávné činnosti </w:t>
      </w:r>
      <w:r w:rsidR="000E7E12">
        <w:t xml:space="preserve">a </w:t>
      </w:r>
      <w:r w:rsidR="000E7E12" w:rsidRPr="000E7E12">
        <w:t>příspěvků na provoz</w:t>
      </w:r>
      <w:r w:rsidR="000E7E12">
        <w:t xml:space="preserve"> </w:t>
      </w:r>
      <w:r w:rsidR="002C2953">
        <w:t xml:space="preserve">dle </w:t>
      </w:r>
      <w:r>
        <w:t>odvětví převedených do rozpočtové rezervy</w:t>
      </w:r>
      <w:r w:rsidRPr="00923B2A">
        <w:tab/>
        <w:t>v tis. Kč</w:t>
      </w:r>
    </w:p>
    <w:bookmarkStart w:id="40" w:name="_MON_1650107088"/>
    <w:bookmarkEnd w:id="40"/>
    <w:p w14:paraId="3B8DBAEA" w14:textId="68602760" w:rsidR="002C2953" w:rsidRDefault="00EA685B" w:rsidP="002C2953">
      <w:pPr>
        <w:rPr>
          <w:rFonts w:cs="Tahoma"/>
          <w:color w:val="A6A6A6" w:themeColor="background1" w:themeShade="A6"/>
          <w:szCs w:val="20"/>
        </w:rPr>
      </w:pPr>
      <w:r w:rsidRPr="00923B2A">
        <w:rPr>
          <w:rFonts w:cs="Tahoma"/>
          <w:color w:val="A6A6A6" w:themeColor="background1" w:themeShade="A6"/>
          <w:szCs w:val="20"/>
        </w:rPr>
        <w:object w:dxaOrig="9033" w:dyaOrig="3880" w14:anchorId="23BC850E">
          <v:shape id="_x0000_i1030" type="#_x0000_t75" style="width:458.25pt;height:183pt" o:ole="">
            <v:imagedata r:id="rId18" o:title=""/>
          </v:shape>
          <o:OLEObject Type="Embed" ProgID="Excel.Sheet.8" ShapeID="_x0000_i1030" DrawAspect="Content" ObjectID="_1651462955" r:id="rId19"/>
        </w:object>
      </w:r>
    </w:p>
    <w:p w14:paraId="79CEA7C9" w14:textId="6BCA320C" w:rsidR="00216C9D" w:rsidRDefault="00216C9D" w:rsidP="002C2953">
      <w:r>
        <w:rPr>
          <w:rFonts w:cs="Tahoma"/>
          <w:szCs w:val="20"/>
        </w:rPr>
        <w:t>U další č</w:t>
      </w:r>
      <w:r w:rsidRPr="002C2953">
        <w:rPr>
          <w:rFonts w:cs="Tahoma"/>
          <w:szCs w:val="20"/>
        </w:rPr>
        <w:t>ást</w:t>
      </w:r>
      <w:r>
        <w:rPr>
          <w:rFonts w:cs="Tahoma"/>
          <w:szCs w:val="20"/>
        </w:rPr>
        <w:t>i</w:t>
      </w:r>
      <w:r w:rsidRPr="002C2953">
        <w:rPr>
          <w:rFonts w:cs="Tahoma"/>
          <w:szCs w:val="20"/>
        </w:rPr>
        <w:t xml:space="preserve"> ú</w:t>
      </w:r>
      <w:r w:rsidRPr="002C2953">
        <w:t xml:space="preserve">spor </w:t>
      </w:r>
      <w:r>
        <w:t xml:space="preserve">výdajů na samosprávné činnosti je jejich převod do rozpočtové rezervy podmíněn změnou již schválených usnesení orgánů kraje nebo schválením předložených usnesení na následujících schůzích rady kraje či jednání zastupitelstva kraje. Mezi tyto úspory můžeme zařadit zejména prostředky z uzavřených smluv, prostředky určené na individuální </w:t>
      </w:r>
      <w:r w:rsidRPr="00214E94">
        <w:t>dotace, o</w:t>
      </w:r>
      <w:r>
        <w:t> </w:t>
      </w:r>
      <w:r w:rsidRPr="00214E94">
        <w:t>jejichž poskytnutí rozhodly orgány kraje a jednotlivé subjekty odstoupili od realizace svých projektů před nebo po</w:t>
      </w:r>
      <w:r>
        <w:t> </w:t>
      </w:r>
      <w:r w:rsidRPr="00214E94">
        <w:t>podpisu smlouvy. Výše těchto vyčíslených úspor po jednotlivých odvětvích je uvedena v tabulce č. 7.</w:t>
      </w:r>
    </w:p>
    <w:p w14:paraId="41B1109A" w14:textId="77777777" w:rsidR="00A004BF" w:rsidRPr="00923B2A" w:rsidRDefault="00A004BF" w:rsidP="00A004BF">
      <w:pPr>
        <w:pStyle w:val="Styltab"/>
      </w:pPr>
      <w:r>
        <w:t xml:space="preserve">Přehled vyčíslených úspor </w:t>
      </w:r>
      <w:r w:rsidR="002C2953">
        <w:t xml:space="preserve">výdajů na samosprávné činnosti dle </w:t>
      </w:r>
      <w:r>
        <w:t>odvětví podléhající dalšímu schválení v orgánech kraje</w:t>
      </w:r>
      <w:r w:rsidRPr="00923B2A">
        <w:tab/>
        <w:t>v tis. Kč</w:t>
      </w:r>
    </w:p>
    <w:bookmarkStart w:id="41" w:name="_MON_1650194229"/>
    <w:bookmarkEnd w:id="41"/>
    <w:p w14:paraId="40D6B22C" w14:textId="77777777" w:rsidR="00A004BF" w:rsidRDefault="00C4104E" w:rsidP="00A004BF">
      <w:pPr>
        <w:rPr>
          <w:rFonts w:cs="Tahoma"/>
          <w:color w:val="A6A6A6" w:themeColor="background1" w:themeShade="A6"/>
          <w:szCs w:val="20"/>
        </w:rPr>
      </w:pPr>
      <w:r w:rsidRPr="00923B2A">
        <w:rPr>
          <w:rFonts w:cs="Tahoma"/>
          <w:color w:val="A6A6A6" w:themeColor="background1" w:themeShade="A6"/>
          <w:szCs w:val="20"/>
        </w:rPr>
        <w:object w:dxaOrig="9033" w:dyaOrig="2356" w14:anchorId="1249370A">
          <v:shape id="_x0000_i1031" type="#_x0000_t75" style="width:458.25pt;height:110.25pt" o:ole="">
            <v:imagedata r:id="rId20" o:title=""/>
          </v:shape>
          <o:OLEObject Type="Embed" ProgID="Excel.Sheet.8" ShapeID="_x0000_i1031" DrawAspect="Content" ObjectID="_1651462956" r:id="rId21"/>
        </w:object>
      </w:r>
    </w:p>
    <w:p w14:paraId="077E0DBE" w14:textId="3B825BC3" w:rsidR="0080019A" w:rsidRDefault="00603D81" w:rsidP="000D1C10">
      <w:r>
        <w:rPr>
          <w:rFonts w:cs="Tahoma"/>
        </w:rPr>
        <w:t>Součástí objemu úspor převedených d</w:t>
      </w:r>
      <w:r w:rsidR="00C4104E">
        <w:rPr>
          <w:rFonts w:cs="Tahoma"/>
        </w:rPr>
        <w:t xml:space="preserve">o rozpočtové rezervy byly rovněž i úspory </w:t>
      </w:r>
      <w:r w:rsidR="000E7E12">
        <w:t xml:space="preserve">v rámci výdajů určených </w:t>
      </w:r>
      <w:r w:rsidR="00C4104E">
        <w:t>jako</w:t>
      </w:r>
      <w:r w:rsidR="000E7E12">
        <w:t xml:space="preserve"> </w:t>
      </w:r>
      <w:r w:rsidR="000E7E12" w:rsidRPr="000E7E12">
        <w:t>příspěv</w:t>
      </w:r>
      <w:r w:rsidR="000E7E12">
        <w:t>e</w:t>
      </w:r>
      <w:r w:rsidR="000E7E12" w:rsidRPr="000E7E12">
        <w:t>k na provoz</w:t>
      </w:r>
      <w:r w:rsidR="000E7E12">
        <w:t xml:space="preserve"> </w:t>
      </w:r>
      <w:r w:rsidR="0014412C">
        <w:t xml:space="preserve">zřízeným příspěvkovým organizacím kraje </w:t>
      </w:r>
      <w:r w:rsidR="00C4104E">
        <w:t>ve výši</w:t>
      </w:r>
      <w:r w:rsidR="000E7E12">
        <w:t xml:space="preserve"> 14.965</w:t>
      </w:r>
      <w:r w:rsidR="00E97EE5">
        <w:t> </w:t>
      </w:r>
      <w:r w:rsidR="000E7E12">
        <w:t>tis. Kč.</w:t>
      </w:r>
    </w:p>
    <w:p w14:paraId="3B8D6C59" w14:textId="77777777" w:rsidR="002C2953" w:rsidRPr="000D1C10" w:rsidRDefault="0080019A" w:rsidP="000D1C10">
      <w:pPr>
        <w:rPr>
          <w:rFonts w:cs="Tahoma"/>
        </w:rPr>
      </w:pPr>
      <w:r>
        <w:br w:type="column"/>
      </w:r>
    </w:p>
    <w:p w14:paraId="09E1D7A4" w14:textId="554288FE" w:rsidR="00D52295" w:rsidRPr="00D52295" w:rsidRDefault="00073915" w:rsidP="007A6933">
      <w:pPr>
        <w:pStyle w:val="Odstavecseseznamem"/>
        <w:numPr>
          <w:ilvl w:val="0"/>
          <w:numId w:val="42"/>
        </w:numPr>
        <w:rPr>
          <w:rFonts w:cs="Tahoma"/>
        </w:rPr>
      </w:pPr>
      <w:r>
        <w:t>Úspory u</w:t>
      </w:r>
      <w:r w:rsidR="00216C9D">
        <w:t> </w:t>
      </w:r>
      <w:r w:rsidRPr="002002D1">
        <w:t>akcí reprodukce majetku kraje</w:t>
      </w:r>
      <w:r w:rsidR="00D873B9">
        <w:t xml:space="preserve"> </w:t>
      </w:r>
    </w:p>
    <w:p w14:paraId="381A6919" w14:textId="77777777" w:rsidR="00807BAF" w:rsidRPr="00E217DA" w:rsidRDefault="00D52295" w:rsidP="00D52295">
      <w:pPr>
        <w:rPr>
          <w:rFonts w:cs="Tahoma"/>
        </w:rPr>
      </w:pPr>
      <w:r>
        <w:t>P</w:t>
      </w:r>
      <w:r w:rsidR="00D873B9" w:rsidRPr="003B051E">
        <w:t>roveden</w:t>
      </w:r>
      <w:r w:rsidR="002C2953">
        <w:t>á</w:t>
      </w:r>
      <w:r w:rsidR="00D873B9" w:rsidRPr="003B051E">
        <w:t xml:space="preserve"> revize </w:t>
      </w:r>
      <w:r w:rsidR="00D873B9" w:rsidRPr="00D52295">
        <w:rPr>
          <w:rFonts w:cs="Tahoma"/>
        </w:rPr>
        <w:t>zohled</w:t>
      </w:r>
      <w:r w:rsidR="002C2953" w:rsidRPr="00D52295">
        <w:rPr>
          <w:rFonts w:cs="Tahoma"/>
        </w:rPr>
        <w:t xml:space="preserve">nila </w:t>
      </w:r>
      <w:r w:rsidR="00D873B9" w:rsidRPr="00D52295">
        <w:rPr>
          <w:rFonts w:cs="Tahoma"/>
        </w:rPr>
        <w:t>současný stav přípravy a realizace akcí, výsledky příslušných veřejných zakázek a upřes</w:t>
      </w:r>
      <w:r w:rsidR="002C2953" w:rsidRPr="00D52295">
        <w:rPr>
          <w:rFonts w:cs="Tahoma"/>
        </w:rPr>
        <w:t xml:space="preserve">nila </w:t>
      </w:r>
      <w:r w:rsidR="00D873B9" w:rsidRPr="00E217DA">
        <w:rPr>
          <w:rFonts w:cs="Tahoma"/>
        </w:rPr>
        <w:t>tak požadavky na finanční krytí předmětných akcí v roce 2020 a</w:t>
      </w:r>
      <w:r w:rsidRPr="00E217DA">
        <w:rPr>
          <w:rFonts w:cs="Tahoma"/>
        </w:rPr>
        <w:t xml:space="preserve"> v</w:t>
      </w:r>
      <w:r w:rsidR="00D873B9" w:rsidRPr="00E217DA">
        <w:rPr>
          <w:rFonts w:cs="Tahoma"/>
        </w:rPr>
        <w:t xml:space="preserve"> dalších letech. </w:t>
      </w:r>
    </w:p>
    <w:p w14:paraId="48119BCA" w14:textId="1A6C761A" w:rsidR="00216C9D" w:rsidRPr="00216C9D" w:rsidRDefault="00216C9D" w:rsidP="00216C9D">
      <w:pPr>
        <w:rPr>
          <w:rFonts w:cs="Tahoma"/>
        </w:rPr>
      </w:pPr>
      <w:r w:rsidRPr="00216C9D">
        <w:rPr>
          <w:rFonts w:cs="Tahoma"/>
        </w:rPr>
        <w:t>Byly vyčísleny úspory ve</w:t>
      </w:r>
      <w:r>
        <w:rPr>
          <w:rFonts w:cs="Tahoma"/>
        </w:rPr>
        <w:t> </w:t>
      </w:r>
      <w:r w:rsidRPr="00216C9D">
        <w:rPr>
          <w:rFonts w:cs="Tahoma"/>
        </w:rPr>
        <w:t xml:space="preserve">výši </w:t>
      </w:r>
      <w:r w:rsidR="00B824EF">
        <w:rPr>
          <w:rFonts w:cs="Tahoma"/>
        </w:rPr>
        <w:t>92.919</w:t>
      </w:r>
      <w:r>
        <w:rPr>
          <w:rFonts w:cs="Tahoma"/>
        </w:rPr>
        <w:t> </w:t>
      </w:r>
      <w:r w:rsidRPr="00216C9D">
        <w:rPr>
          <w:rFonts w:cs="Tahoma"/>
        </w:rPr>
        <w:t>tis.</w:t>
      </w:r>
      <w:r>
        <w:rPr>
          <w:rFonts w:cs="Tahoma"/>
        </w:rPr>
        <w:t> </w:t>
      </w:r>
      <w:r w:rsidRPr="00216C9D">
        <w:rPr>
          <w:rFonts w:cs="Tahoma"/>
        </w:rPr>
        <w:t>Kč, které byly převedeny do</w:t>
      </w:r>
      <w:r>
        <w:rPr>
          <w:rFonts w:cs="Tahoma"/>
        </w:rPr>
        <w:t> </w:t>
      </w:r>
      <w:r w:rsidRPr="00216C9D">
        <w:rPr>
          <w:rFonts w:cs="Tahoma"/>
        </w:rPr>
        <w:t>rezervy na</w:t>
      </w:r>
      <w:r>
        <w:rPr>
          <w:rFonts w:cs="Tahoma"/>
        </w:rPr>
        <w:t> </w:t>
      </w:r>
      <w:r w:rsidRPr="00216C9D">
        <w:rPr>
          <w:rFonts w:cs="Tahoma"/>
        </w:rPr>
        <w:t>mimořádné akce a</w:t>
      </w:r>
      <w:r>
        <w:rPr>
          <w:rFonts w:cs="Tahoma"/>
        </w:rPr>
        <w:t> </w:t>
      </w:r>
      <w:r w:rsidRPr="00216C9D">
        <w:rPr>
          <w:rFonts w:cs="Tahoma"/>
        </w:rPr>
        <w:t>akce s nedořešeným financováním v roce 2020, a úspory ve</w:t>
      </w:r>
      <w:r>
        <w:rPr>
          <w:rFonts w:cs="Tahoma"/>
        </w:rPr>
        <w:t> </w:t>
      </w:r>
      <w:r w:rsidRPr="00216C9D">
        <w:rPr>
          <w:rFonts w:cs="Tahoma"/>
        </w:rPr>
        <w:t>výši 9.032</w:t>
      </w:r>
      <w:r>
        <w:rPr>
          <w:rFonts w:cs="Tahoma"/>
        </w:rPr>
        <w:t> </w:t>
      </w:r>
      <w:r w:rsidRPr="00216C9D">
        <w:rPr>
          <w:rFonts w:cs="Tahoma"/>
        </w:rPr>
        <w:t>tis.</w:t>
      </w:r>
      <w:r>
        <w:rPr>
          <w:rFonts w:cs="Tahoma"/>
        </w:rPr>
        <w:t> </w:t>
      </w:r>
      <w:r w:rsidRPr="00216C9D">
        <w:rPr>
          <w:rFonts w:cs="Tahoma"/>
        </w:rPr>
        <w:t>Kč, jejichž převod do</w:t>
      </w:r>
      <w:r>
        <w:rPr>
          <w:rFonts w:cs="Tahoma"/>
        </w:rPr>
        <w:t> </w:t>
      </w:r>
      <w:r w:rsidRPr="00216C9D">
        <w:rPr>
          <w:rFonts w:cs="Tahoma"/>
        </w:rPr>
        <w:t>rozpočtové rezervy bude možný až po</w:t>
      </w:r>
      <w:r>
        <w:rPr>
          <w:rFonts w:cs="Tahoma"/>
        </w:rPr>
        <w:t> </w:t>
      </w:r>
      <w:r w:rsidRPr="00216C9D">
        <w:rPr>
          <w:rFonts w:cs="Tahoma"/>
        </w:rPr>
        <w:t xml:space="preserve">schválení příslušných usnesení v orgánech kraje. Dále byly </w:t>
      </w:r>
      <w:r w:rsidRPr="00214E94">
        <w:t>vyčísleny finanční prostředky ve</w:t>
      </w:r>
      <w:r>
        <w:t> </w:t>
      </w:r>
      <w:r w:rsidRPr="00214E94">
        <w:t xml:space="preserve">výši </w:t>
      </w:r>
      <w:r w:rsidR="00032E0A">
        <w:t>135.312</w:t>
      </w:r>
      <w:r>
        <w:t> </w:t>
      </w:r>
      <w:r w:rsidRPr="00214E94">
        <w:t>tis.</w:t>
      </w:r>
      <w:r>
        <w:t> </w:t>
      </w:r>
      <w:r w:rsidRPr="00214E94">
        <w:t>Kč, které ale budou nárokovány v dalších letech, a</w:t>
      </w:r>
      <w:r>
        <w:t> </w:t>
      </w:r>
      <w:r w:rsidRPr="00214E94">
        <w:t>to s ohledem na časový posun v přípravě či realizaci akce z důvodu zpožďování veřejných zakázek, problémů při</w:t>
      </w:r>
      <w:r>
        <w:t> </w:t>
      </w:r>
      <w:r w:rsidRPr="00214E94">
        <w:t>přípravě projektových dokumentací či zajištění povolení dle stavebního zákona, neočekávaných změn při</w:t>
      </w:r>
      <w:r>
        <w:t> </w:t>
      </w:r>
      <w:r w:rsidRPr="00214E94">
        <w:t>realizaci stavby, komplikací při</w:t>
      </w:r>
      <w:r>
        <w:t> </w:t>
      </w:r>
      <w:r w:rsidRPr="00214E94">
        <w:t>zajištění vstupů na</w:t>
      </w:r>
      <w:r>
        <w:t> </w:t>
      </w:r>
      <w:r w:rsidRPr="00214E94">
        <w:t xml:space="preserve">staveniště, apod. Seznam těchto </w:t>
      </w:r>
      <w:r w:rsidRPr="00216C9D">
        <w:rPr>
          <w:rFonts w:cs="Tahoma"/>
        </w:rPr>
        <w:t>akcí včetně návrhu úpravy rozpočtu kraje na rok</w:t>
      </w:r>
      <w:r>
        <w:rPr>
          <w:rFonts w:cs="Tahoma"/>
        </w:rPr>
        <w:t> </w:t>
      </w:r>
      <w:r w:rsidRPr="00216C9D">
        <w:rPr>
          <w:rFonts w:cs="Tahoma"/>
        </w:rPr>
        <w:t>2020 a výhledu na</w:t>
      </w:r>
      <w:r>
        <w:rPr>
          <w:rFonts w:cs="Tahoma"/>
        </w:rPr>
        <w:t> </w:t>
      </w:r>
      <w:r w:rsidRPr="00216C9D">
        <w:rPr>
          <w:rFonts w:cs="Tahoma"/>
        </w:rPr>
        <w:t>léta 2021 -2023 je uveden v příloze č. 3 materiálu.</w:t>
      </w:r>
    </w:p>
    <w:p w14:paraId="6692617B" w14:textId="0CFF63FA" w:rsidR="00216C9D" w:rsidRPr="001F61B2" w:rsidRDefault="00216C9D" w:rsidP="00216C9D">
      <w:pPr>
        <w:pStyle w:val="MSKNormal"/>
      </w:pPr>
      <w:r>
        <w:t>U dalších akcí reprodukce majetku kraje je navrženo pozastavit v tomto okamžiku jejich realizaci a</w:t>
      </w:r>
      <w:r w:rsidR="00C73029">
        <w:t> </w:t>
      </w:r>
      <w:r>
        <w:t>zabývat se jejich financováním v rámci přípravy návrhu rozpočtu kraje na</w:t>
      </w:r>
      <w:r w:rsidR="00C73029">
        <w:t> </w:t>
      </w:r>
      <w:r>
        <w:t>rok 2021</w:t>
      </w:r>
      <w:r w:rsidRPr="0041273B">
        <w:t xml:space="preserve"> </w:t>
      </w:r>
      <w:r>
        <w:t>a</w:t>
      </w:r>
      <w:r w:rsidR="00C73029">
        <w:t> </w:t>
      </w:r>
      <w:r>
        <w:t>návrhu Střednědobého výhledu rozpočtu kraje na</w:t>
      </w:r>
      <w:r w:rsidR="00C73029">
        <w:t> </w:t>
      </w:r>
      <w:r>
        <w:t xml:space="preserve">léta 2022 - 2024 s možností </w:t>
      </w:r>
      <w:r w:rsidRPr="00561290">
        <w:t>zaji</w:t>
      </w:r>
      <w:r>
        <w:t xml:space="preserve">štění </w:t>
      </w:r>
      <w:r w:rsidRPr="00561290">
        <w:t>jej</w:t>
      </w:r>
      <w:r>
        <w:t xml:space="preserve">ich krytí z nových </w:t>
      </w:r>
      <w:r w:rsidRPr="00561290">
        <w:t>úvěr</w:t>
      </w:r>
      <w:r>
        <w:t>ových</w:t>
      </w:r>
      <w:r w:rsidRPr="0041273B">
        <w:t xml:space="preserve"> </w:t>
      </w:r>
      <w:r>
        <w:t xml:space="preserve">nebo </w:t>
      </w:r>
      <w:r w:rsidRPr="0041273B">
        <w:t>jiných zdrojů</w:t>
      </w:r>
      <w:r>
        <w:t xml:space="preserve">. V rozpočtu na rok 2020 a výhledu zůstanou vyčleněny prostředky nezbytné pouze k dokončení projektových </w:t>
      </w:r>
      <w:r w:rsidRPr="00214E94">
        <w:t xml:space="preserve">dokumentací a přípravných prací. Seznam těchto </w:t>
      </w:r>
      <w:r w:rsidRPr="00214E94">
        <w:rPr>
          <w:rFonts w:cs="Tahoma"/>
        </w:rPr>
        <w:t>akcí je uveden v příloze č.</w:t>
      </w:r>
      <w:r w:rsidR="00C73029">
        <w:rPr>
          <w:rFonts w:cs="Tahoma"/>
        </w:rPr>
        <w:t> </w:t>
      </w:r>
      <w:r w:rsidRPr="00214E94">
        <w:rPr>
          <w:rFonts w:cs="Tahoma"/>
        </w:rPr>
        <w:t xml:space="preserve">4 materiálu. </w:t>
      </w:r>
      <w:r w:rsidRPr="00214E94">
        <w:t>Vlivem těchto navrhovaných úprav dojde ke snížení plánovaných výdajů rozpočtu kraje na rok 2020 o 1</w:t>
      </w:r>
      <w:r>
        <w:t>49</w:t>
      </w:r>
      <w:r w:rsidRPr="00214E94">
        <w:t>.</w:t>
      </w:r>
      <w:r>
        <w:t>882 </w:t>
      </w:r>
      <w:r w:rsidRPr="00214E94">
        <w:t xml:space="preserve">tis. Kč a </w:t>
      </w:r>
      <w:r w:rsidR="00B824EF">
        <w:t>z toho</w:t>
      </w:r>
      <w:bookmarkStart w:id="42" w:name="_GoBack"/>
      <w:bookmarkEnd w:id="42"/>
      <w:r w:rsidRPr="00214E94">
        <w:t xml:space="preserve"> je možné využít prostředky Fondu pro financování strategických projektů Moravskoslezského kraje ve výši 65.386</w:t>
      </w:r>
      <w:r>
        <w:t> </w:t>
      </w:r>
      <w:r w:rsidRPr="00214E94">
        <w:t>tis. Kč, z kterého měl</w:t>
      </w:r>
      <w:r>
        <w:t>y</w:t>
      </w:r>
      <w:r w:rsidRPr="00214E94">
        <w:t xml:space="preserve"> být vybrané akce financovány.</w:t>
      </w:r>
    </w:p>
    <w:p w14:paraId="3ADB88EF" w14:textId="77777777" w:rsidR="00D52295" w:rsidRDefault="00073915" w:rsidP="009A4ED1">
      <w:pPr>
        <w:pStyle w:val="Odstavecseseznamem"/>
        <w:numPr>
          <w:ilvl w:val="0"/>
          <w:numId w:val="42"/>
        </w:numPr>
      </w:pPr>
      <w:r w:rsidRPr="00214E94">
        <w:t>Úspory u akcí spolufinancovaných z</w:t>
      </w:r>
      <w:r w:rsidR="00D52295">
        <w:t> </w:t>
      </w:r>
      <w:r w:rsidRPr="00214E94">
        <w:t>EU</w:t>
      </w:r>
    </w:p>
    <w:p w14:paraId="538552AD" w14:textId="243CBE89" w:rsidR="00B329B6" w:rsidRPr="00214E94" w:rsidRDefault="00B329B6" w:rsidP="00B329B6">
      <w:r>
        <w:t>V</w:t>
      </w:r>
      <w:r w:rsidRPr="00214E94">
        <w:t> rámci projektů spolufinancovaných z evropských finančních zdrojů byly provedeny souhrnné rozpočtové úpravy za I</w:t>
      </w:r>
      <w:r>
        <w:t>. </w:t>
      </w:r>
      <w:r w:rsidRPr="00214E94">
        <w:t>čtvrtletí 2020 (schválené rad</w:t>
      </w:r>
      <w:r>
        <w:t>ou</w:t>
      </w:r>
      <w:r w:rsidRPr="00214E94">
        <w:t xml:space="preserve"> kraje usnesením č. 87/7616 ze</w:t>
      </w:r>
      <w:r>
        <w:t> </w:t>
      </w:r>
      <w:r w:rsidRPr="00214E94">
        <w:t>dne 4.</w:t>
      </w:r>
      <w:r>
        <w:t> </w:t>
      </w:r>
      <w:r w:rsidRPr="00214E94">
        <w:t>5.</w:t>
      </w:r>
      <w:r>
        <w:t> </w:t>
      </w:r>
      <w:r w:rsidRPr="00214E94">
        <w:t xml:space="preserve">2020). </w:t>
      </w:r>
      <w:r>
        <w:t>B</w:t>
      </w:r>
      <w:r w:rsidRPr="00214E94">
        <w:t>yly vygenerovány volné prostředky ve</w:t>
      </w:r>
      <w:r>
        <w:t> </w:t>
      </w:r>
      <w:r w:rsidRPr="00214E94">
        <w:t>výši 24.584</w:t>
      </w:r>
      <w:r>
        <w:t> </w:t>
      </w:r>
      <w:r w:rsidRPr="00214E94">
        <w:t>tis.</w:t>
      </w:r>
      <w:r>
        <w:t> </w:t>
      </w:r>
      <w:r w:rsidRPr="00214E94">
        <w:t>Kč, které byly převedeny jako úspora do</w:t>
      </w:r>
      <w:r>
        <w:t> </w:t>
      </w:r>
      <w:r w:rsidRPr="00214E94">
        <w:t>rozpočtové rezervy.</w:t>
      </w:r>
      <w:r>
        <w:t xml:space="preserve"> Dále byly do rozpočtové rezervy převedeny finanční prostředky z akce rozpočtu kraje „Kotlíkové dotace v Moravskoslezském kraji – 2. grantové schéma“ ve výši 9.000 tis. Kč, které představovaly zejména nevyplacené dotace z důvodu nepředložení závěrečných vyúčtování u 2. grantového schématu. </w:t>
      </w:r>
    </w:p>
    <w:p w14:paraId="3CC1A944" w14:textId="4031B86C" w:rsidR="00B329B6" w:rsidRPr="00214E94" w:rsidRDefault="00B329B6" w:rsidP="00B329B6">
      <w:r w:rsidRPr="00214E94">
        <w:t>V rámci další revize stavebních projektů byla zjištěna u</w:t>
      </w:r>
      <w:r>
        <w:t> </w:t>
      </w:r>
      <w:r w:rsidRPr="00214E94">
        <w:t>dvou projektů, a</w:t>
      </w:r>
      <w:r>
        <w:t> </w:t>
      </w:r>
      <w:r w:rsidRPr="00214E94">
        <w:t xml:space="preserve">to „Rekonstrukce a výstavba Domova Březiny“ a „Zateplení a stavební úpravy správní budovy, pavilonu E a F Domova Březiny“ komplikace související se zajištěním stavebního povolení. Důsledkem je </w:t>
      </w:r>
      <w:r>
        <w:t>možné p</w:t>
      </w:r>
      <w:r w:rsidRPr="00214E94">
        <w:t>ozdější vyhlášení veřejné zakázky a posun zahájení realizace stavby</w:t>
      </w:r>
      <w:r>
        <w:t>.</w:t>
      </w:r>
      <w:r w:rsidRPr="00214E94">
        <w:t xml:space="preserve"> Což umožní úpravu rozpočtu kraje na</w:t>
      </w:r>
      <w:r>
        <w:t> </w:t>
      </w:r>
      <w:r w:rsidRPr="00214E94">
        <w:t>rok 2020 a</w:t>
      </w:r>
      <w:r>
        <w:t> </w:t>
      </w:r>
      <w:r w:rsidRPr="00214E94">
        <w:t>dojde ke</w:t>
      </w:r>
      <w:r>
        <w:t> </w:t>
      </w:r>
      <w:r w:rsidRPr="00214E94">
        <w:t>snížení plánovaných výdajů o 47.232</w:t>
      </w:r>
      <w:r>
        <w:t> </w:t>
      </w:r>
      <w:r w:rsidRPr="00214E94">
        <w:t xml:space="preserve">tis. Kč – podrobněji je navrhovaná úprava u těchto akcí uvedena v příloze č. </w:t>
      </w:r>
      <w:r>
        <w:t>4</w:t>
      </w:r>
      <w:r w:rsidRPr="00214E94">
        <w:t xml:space="preserve"> </w:t>
      </w:r>
      <w:r>
        <w:t xml:space="preserve">předloženého </w:t>
      </w:r>
      <w:r w:rsidRPr="00214E94">
        <w:t xml:space="preserve">materiálu.  </w:t>
      </w:r>
    </w:p>
    <w:p w14:paraId="60F68A21" w14:textId="7E2F162F" w:rsidR="00A02B42" w:rsidRDefault="00A02B42" w:rsidP="00261870"/>
    <w:p w14:paraId="6F730DB2" w14:textId="77777777" w:rsidR="0080019A" w:rsidRPr="00214E94" w:rsidRDefault="0080019A" w:rsidP="00261870"/>
    <w:p w14:paraId="16808457" w14:textId="3546253C" w:rsidR="0040052A" w:rsidRDefault="0040052A" w:rsidP="0040052A">
      <w:bookmarkStart w:id="43" w:name="_Hlk40080516"/>
      <w:r>
        <w:t xml:space="preserve">Objem vyčíslených úspor představuje stav k 11. 5. 2020. Postupně však stále dochází ke zpřesňování jejich výše či k vydefinování nových úspor, které se tak stanou součástí potřebného objemu výdajů k dokrytí </w:t>
      </w:r>
      <w:bookmarkStart w:id="44" w:name="_Hlk39828827"/>
      <w:r>
        <w:t>výpadu příjmů ze sdílených daní v rozpočtu kraje na rok 2020 a zvyšujících se výdajů.</w:t>
      </w:r>
      <w:bookmarkEnd w:id="44"/>
    </w:p>
    <w:p w14:paraId="345B8019" w14:textId="43782951" w:rsidR="0041269E" w:rsidRDefault="00CE3A9E" w:rsidP="00CE3A9E">
      <w:pPr>
        <w:spacing w:after="0"/>
      </w:pPr>
      <w:r>
        <w:t xml:space="preserve">Bude </w:t>
      </w:r>
      <w:r w:rsidR="004E3CB2">
        <w:t>na</w:t>
      </w:r>
      <w:r>
        <w:t>dále postupováno dle O</w:t>
      </w:r>
      <w:r w:rsidR="0041269E">
        <w:t>patření k řešení ekonomických dopadů COVID-19 na rozpočet kraje na</w:t>
      </w:r>
      <w:r w:rsidR="000862DA">
        <w:t> </w:t>
      </w:r>
      <w:r w:rsidR="0041269E">
        <w:t>rok 2020</w:t>
      </w:r>
      <w:r>
        <w:t xml:space="preserve">, které schválila rada kraje usnesením č. </w:t>
      </w:r>
      <w:r w:rsidRPr="00B50E11">
        <w:t xml:space="preserve">86/7563 </w:t>
      </w:r>
      <w:r>
        <w:t>ze dne</w:t>
      </w:r>
      <w:r w:rsidRPr="00B50E11">
        <w:t xml:space="preserve"> 20. 4. 2020</w:t>
      </w:r>
      <w:bookmarkEnd w:id="43"/>
      <w:r w:rsidR="0041269E">
        <w:t>, a to:</w:t>
      </w:r>
    </w:p>
    <w:p w14:paraId="354E043E" w14:textId="231F680A" w:rsidR="0041269E" w:rsidRPr="00B3048F" w:rsidRDefault="0041269E" w:rsidP="0041269E">
      <w:pPr>
        <w:pStyle w:val="Odstavecseseznamem"/>
        <w:numPr>
          <w:ilvl w:val="0"/>
          <w:numId w:val="39"/>
        </w:numPr>
        <w:spacing w:after="0"/>
        <w:ind w:left="426" w:hanging="426"/>
        <w:contextualSpacing w:val="0"/>
        <w:rPr>
          <w:rFonts w:cs="Tahoma"/>
        </w:rPr>
      </w:pPr>
      <w:r w:rsidRPr="00B3048F">
        <w:rPr>
          <w:rFonts w:cs="Tahoma"/>
        </w:rPr>
        <w:t xml:space="preserve">všechny úspory rozpočtu kraje na rok 2020 </w:t>
      </w:r>
      <w:r>
        <w:rPr>
          <w:rFonts w:cs="Tahoma"/>
        </w:rPr>
        <w:t xml:space="preserve">(včetně nerozpočtovaných příjmů) </w:t>
      </w:r>
      <w:r w:rsidRPr="00B3048F">
        <w:rPr>
          <w:rFonts w:cs="Tahoma"/>
        </w:rPr>
        <w:t>použít na pokrytí výpadku příjmů ze sdílených daní,</w:t>
      </w:r>
    </w:p>
    <w:p w14:paraId="0D058B1B" w14:textId="77777777" w:rsidR="0041269E" w:rsidRPr="00375E00" w:rsidRDefault="0041269E" w:rsidP="0041269E">
      <w:pPr>
        <w:widowControl w:val="0"/>
        <w:numPr>
          <w:ilvl w:val="0"/>
          <w:numId w:val="39"/>
        </w:numPr>
        <w:spacing w:after="0"/>
        <w:ind w:left="426" w:hanging="426"/>
        <w:rPr>
          <w:b/>
          <w:iCs/>
          <w:lang w:eastAsia="en-US"/>
        </w:rPr>
      </w:pPr>
      <w:r w:rsidRPr="00375E00">
        <w:rPr>
          <w:rFonts w:cs="Tahoma"/>
        </w:rPr>
        <w:t xml:space="preserve">finanční prostředky rozpočtu </w:t>
      </w:r>
      <w:r>
        <w:rPr>
          <w:rFonts w:cs="Tahoma"/>
        </w:rPr>
        <w:t xml:space="preserve">kraje na rok </w:t>
      </w:r>
      <w:r w:rsidRPr="00375E00">
        <w:rPr>
          <w:rFonts w:cs="Tahoma"/>
        </w:rPr>
        <w:t xml:space="preserve">2020 </w:t>
      </w:r>
      <w:r>
        <w:rPr>
          <w:rFonts w:cs="Tahoma"/>
        </w:rPr>
        <w:t xml:space="preserve">nebude možné převádět </w:t>
      </w:r>
      <w:r w:rsidRPr="00375E00">
        <w:rPr>
          <w:rFonts w:cs="Tahoma"/>
        </w:rPr>
        <w:t xml:space="preserve">do dalšího </w:t>
      </w:r>
      <w:r>
        <w:rPr>
          <w:rFonts w:cs="Tahoma"/>
        </w:rPr>
        <w:t xml:space="preserve">rozpočtového </w:t>
      </w:r>
      <w:r w:rsidRPr="00375E00">
        <w:rPr>
          <w:rFonts w:cs="Tahoma"/>
        </w:rPr>
        <w:t>roku vyjma prostředků, které jsou přísně účelově určeny</w:t>
      </w:r>
      <w:r>
        <w:rPr>
          <w:rFonts w:cs="Tahoma"/>
        </w:rPr>
        <w:t>,</w:t>
      </w:r>
      <w:r w:rsidRPr="00375E00">
        <w:rPr>
          <w:rFonts w:cs="Tahoma"/>
        </w:rPr>
        <w:t xml:space="preserve"> </w:t>
      </w:r>
    </w:p>
    <w:p w14:paraId="28B63059" w14:textId="77777777" w:rsidR="0041269E" w:rsidRPr="00375E00" w:rsidRDefault="0041269E" w:rsidP="0041269E">
      <w:pPr>
        <w:widowControl w:val="0"/>
        <w:numPr>
          <w:ilvl w:val="0"/>
          <w:numId w:val="39"/>
        </w:numPr>
        <w:spacing w:after="0"/>
        <w:ind w:left="426" w:hanging="426"/>
        <w:rPr>
          <w:b/>
          <w:iCs/>
          <w:lang w:eastAsia="en-US"/>
        </w:rPr>
      </w:pPr>
      <w:r>
        <w:t>ne</w:t>
      </w:r>
      <w:r w:rsidRPr="00375E00">
        <w:t>zahajov</w:t>
      </w:r>
      <w:r>
        <w:t xml:space="preserve">at </w:t>
      </w:r>
      <w:r w:rsidRPr="00375E00">
        <w:t>realizac</w:t>
      </w:r>
      <w:r>
        <w:t>i</w:t>
      </w:r>
      <w:r w:rsidRPr="00375E00">
        <w:t xml:space="preserve"> nových investičních akcí, na které dosud nebyly vyčleněny finanční prostředky z rozpočtu kraje s</w:t>
      </w:r>
      <w:r>
        <w:t> </w:t>
      </w:r>
      <w:r w:rsidRPr="00375E00">
        <w:t>výjimkou</w:t>
      </w:r>
      <w:r>
        <w:t>,</w:t>
      </w:r>
      <w:r w:rsidRPr="00375E00">
        <w:t xml:space="preserve"> jedná-li se o havárie</w:t>
      </w:r>
      <w:r>
        <w:t>,</w:t>
      </w:r>
    </w:p>
    <w:p w14:paraId="7069A03E" w14:textId="77777777" w:rsidR="0041269E" w:rsidRDefault="0041269E" w:rsidP="0041269E">
      <w:pPr>
        <w:pStyle w:val="Odstavecseseznamem"/>
        <w:numPr>
          <w:ilvl w:val="0"/>
          <w:numId w:val="39"/>
        </w:numPr>
        <w:spacing w:after="0"/>
        <w:ind w:left="426" w:hanging="426"/>
        <w:contextualSpacing w:val="0"/>
      </w:pPr>
      <w:r w:rsidRPr="00375E00">
        <w:t>omezit poskytování dotací z rozpočtu kraje na rok 2020 pouze</w:t>
      </w:r>
      <w:r>
        <w:t xml:space="preserve"> na ty, které souvisí </w:t>
      </w:r>
      <w:r w:rsidRPr="00375E00">
        <w:t>s ochranou života a zdraví lidí</w:t>
      </w:r>
      <w:r>
        <w:t xml:space="preserve"> nebo se zajištěním zmírnění dopadů vyvolaných pandemickým šířením COVID-19,</w:t>
      </w:r>
    </w:p>
    <w:p w14:paraId="1F356987" w14:textId="77777777" w:rsidR="00A02B42" w:rsidRDefault="0041269E" w:rsidP="0041269E">
      <w:pPr>
        <w:pStyle w:val="Odstavecseseznamem"/>
        <w:numPr>
          <w:ilvl w:val="0"/>
          <w:numId w:val="39"/>
        </w:numPr>
        <w:spacing w:after="0"/>
        <w:ind w:left="426" w:hanging="426"/>
        <w:contextualSpacing w:val="0"/>
      </w:pPr>
      <w:r>
        <w:lastRenderedPageBreak/>
        <w:t>prověřit další možnost restrukturalizace akcí rozpočtu kraje s ohledem na reálnost jejich realizace za současné situace vyvolané pandemií,</w:t>
      </w:r>
    </w:p>
    <w:p w14:paraId="5F1E3562" w14:textId="77777777" w:rsidR="00513DE7" w:rsidRDefault="0041269E" w:rsidP="0041269E">
      <w:pPr>
        <w:pStyle w:val="Odstavecseseznamem"/>
        <w:numPr>
          <w:ilvl w:val="0"/>
          <w:numId w:val="39"/>
        </w:numPr>
        <w:spacing w:after="0"/>
        <w:ind w:left="426" w:hanging="426"/>
        <w:contextualSpacing w:val="0"/>
      </w:pPr>
      <w:r>
        <w:t>prověřit možnost použití prostředků peněžních fondů kraje.</w:t>
      </w:r>
    </w:p>
    <w:p w14:paraId="24F2EC89" w14:textId="77777777" w:rsidR="00A02B42" w:rsidRDefault="00A02B42" w:rsidP="00A02B42">
      <w:pPr>
        <w:spacing w:after="0"/>
      </w:pPr>
    </w:p>
    <w:p w14:paraId="566020D9" w14:textId="77777777" w:rsidR="00A02B42" w:rsidRDefault="001C3E58" w:rsidP="001C3E58">
      <w:pPr>
        <w:pStyle w:val="Nadpis2"/>
        <w:tabs>
          <w:tab w:val="clear" w:pos="624"/>
        </w:tabs>
        <w:ind w:left="0" w:firstLine="0"/>
        <w:rPr>
          <w:sz w:val="22"/>
          <w:u w:val="none"/>
        </w:rPr>
      </w:pPr>
      <w:r w:rsidRPr="001C3E58">
        <w:rPr>
          <w:sz w:val="22"/>
          <w:u w:val="none"/>
        </w:rPr>
        <w:t>Peněžní fondy kraje</w:t>
      </w:r>
    </w:p>
    <w:p w14:paraId="03EA4E6D" w14:textId="4A655D63" w:rsidR="004834FA" w:rsidRDefault="000B00E8" w:rsidP="004834FA">
      <w:r>
        <w:t xml:space="preserve">Moravskoslezský kraj </w:t>
      </w:r>
      <w:r w:rsidR="00640F02">
        <w:t>má</w:t>
      </w:r>
      <w:r w:rsidR="004834FA">
        <w:t xml:space="preserve"> v souladu se zákonem č. 250/2000 Sb., o rozpočtových pravidlech územních rozpočtů, ve znění pozdějších předpisů, </w:t>
      </w:r>
      <w:r w:rsidR="00640F02">
        <w:t>zřízeno</w:t>
      </w:r>
      <w:r>
        <w:t xml:space="preserve"> </w:t>
      </w:r>
      <w:r w:rsidR="004834FA">
        <w:t xml:space="preserve">6 </w:t>
      </w:r>
      <w:r>
        <w:t>peněžních fondů</w:t>
      </w:r>
      <w:r w:rsidR="00640F02">
        <w:t xml:space="preserve">. </w:t>
      </w:r>
      <w:r w:rsidR="004834FA">
        <w:t>Použití prostředků daného fondu je vždy přesně stanoveno jeho statutem. Celkový z</w:t>
      </w:r>
      <w:r>
        <w:t>ůstat</w:t>
      </w:r>
      <w:r w:rsidR="004834FA">
        <w:t>e</w:t>
      </w:r>
      <w:r>
        <w:t xml:space="preserve">k </w:t>
      </w:r>
      <w:r w:rsidR="004834FA">
        <w:t xml:space="preserve">fondů </w:t>
      </w:r>
      <w:r>
        <w:t>ke dni 30. 4. 2020</w:t>
      </w:r>
      <w:r w:rsidR="004834FA">
        <w:t xml:space="preserve"> činí 1.255.264 tis. Kč. </w:t>
      </w:r>
      <w:r w:rsidR="004834FA" w:rsidRPr="00214E94">
        <w:t xml:space="preserve">Výše těchto </w:t>
      </w:r>
      <w:r w:rsidR="004834FA">
        <w:t xml:space="preserve">zůstatků </w:t>
      </w:r>
      <w:r w:rsidR="004834FA" w:rsidRPr="00214E94">
        <w:t xml:space="preserve">po jednotlivých </w:t>
      </w:r>
      <w:r w:rsidR="004834FA">
        <w:t xml:space="preserve">fondech </w:t>
      </w:r>
      <w:r w:rsidR="004834FA" w:rsidRPr="00214E94">
        <w:t xml:space="preserve">je uvedena v tabulce č. </w:t>
      </w:r>
      <w:r w:rsidR="004834FA">
        <w:t>8</w:t>
      </w:r>
      <w:r w:rsidR="004834FA" w:rsidRPr="00214E94">
        <w:t>.</w:t>
      </w:r>
    </w:p>
    <w:p w14:paraId="607DD4D8" w14:textId="77777777" w:rsidR="002F0CF6" w:rsidRPr="00923B2A" w:rsidRDefault="002F0CF6" w:rsidP="002F0CF6">
      <w:pPr>
        <w:pStyle w:val="Styltab"/>
      </w:pPr>
      <w:r w:rsidRPr="00923B2A">
        <w:t xml:space="preserve">Přehled </w:t>
      </w:r>
      <w:r>
        <w:t>peněžních fondů Moravskoslezského kraje</w:t>
      </w:r>
      <w:r w:rsidRPr="00923B2A">
        <w:tab/>
        <w:t>v tis. Kč</w:t>
      </w:r>
    </w:p>
    <w:bookmarkStart w:id="45" w:name="_Hlk40177167"/>
    <w:bookmarkStart w:id="46" w:name="_MON_1650713286"/>
    <w:bookmarkEnd w:id="46"/>
    <w:p w14:paraId="565B460C" w14:textId="337DF93A" w:rsidR="002F0CF6" w:rsidRDefault="00397B47" w:rsidP="002F0CF6">
      <w:pPr>
        <w:rPr>
          <w:rFonts w:cs="Tahoma"/>
          <w:color w:val="A6A6A6" w:themeColor="background1" w:themeShade="A6"/>
          <w:szCs w:val="20"/>
        </w:rPr>
      </w:pPr>
      <w:r w:rsidRPr="00923B2A">
        <w:rPr>
          <w:rFonts w:cs="Tahoma"/>
          <w:color w:val="A6A6A6" w:themeColor="background1" w:themeShade="A6"/>
          <w:szCs w:val="20"/>
        </w:rPr>
        <w:object w:dxaOrig="9064" w:dyaOrig="2718" w14:anchorId="1DD14304">
          <v:shape id="_x0000_i1032" type="#_x0000_t75" style="width:459pt;height:127.5pt" o:ole="">
            <v:imagedata r:id="rId22" o:title=""/>
          </v:shape>
          <o:OLEObject Type="Embed" ProgID="Excel.Sheet.8" ShapeID="_x0000_i1032" DrawAspect="Content" ObjectID="_1651462957" r:id="rId23"/>
        </w:object>
      </w:r>
      <w:bookmarkEnd w:id="45"/>
    </w:p>
    <w:p w14:paraId="278361FA" w14:textId="77777777" w:rsidR="00E97EE5" w:rsidRDefault="00397B47" w:rsidP="00397B47">
      <w:pPr>
        <w:spacing w:after="0"/>
      </w:pPr>
      <w:r>
        <w:t>V </w:t>
      </w:r>
      <w:r w:rsidRPr="00242DA3">
        <w:t>návaznosti na</w:t>
      </w:r>
      <w:r>
        <w:t> </w:t>
      </w:r>
      <w:r w:rsidRPr="00242DA3">
        <w:t>řešení dopadů COVID-19</w:t>
      </w:r>
      <w:r>
        <w:t xml:space="preserve"> a provedené revizi rozpočtu kraje je plánován předpokládaný zůstatek prostředků na peněžních fondech ke konci roku 2020 ve výši 937.925 tis. Kč. K největšímu snížení očekávanému zůstatku k 31.12.2020 oproti stavu k 30. 4. 2020 dojde u Fondu pro financování strategických projektů Moravskoslezského kraje, a to z důvodu využití jeho zdrojů v objemu 488.661 tis. Kč v návaznosti na neplnění daňových příjmů v rozpočtu kraje na rok 2020 v souladu s jeho statutem. Nejvyšší nárůst zůstatku bude u Fondu sociálních služeb s ohledem na </w:t>
      </w:r>
    </w:p>
    <w:p w14:paraId="59F7626B" w14:textId="656D2723" w:rsidR="00397B47" w:rsidRDefault="00397B47" w:rsidP="00397B47">
      <w:pPr>
        <w:spacing w:after="0"/>
      </w:pPr>
      <w:r>
        <w:t xml:space="preserve">vrácení návratných finančních výpomocí poskytovatelům sociálních služeb.  </w:t>
      </w:r>
    </w:p>
    <w:p w14:paraId="4FBAC249" w14:textId="77777777" w:rsidR="004834FA" w:rsidRDefault="004834FA" w:rsidP="00397B47">
      <w:pPr>
        <w:spacing w:after="0"/>
        <w:rPr>
          <w:b/>
        </w:rPr>
      </w:pPr>
    </w:p>
    <w:sectPr w:rsidR="004834FA" w:rsidSect="00663EF0">
      <w:footerReference w:type="default" r:id="rId24"/>
      <w:headerReference w:type="first" r:id="rId25"/>
      <w:footerReference w:type="first" r:id="rId26"/>
      <w:pgSz w:w="11906" w:h="16838" w:code="9"/>
      <w:pgMar w:top="1021" w:right="1469" w:bottom="1560" w:left="1259" w:header="454"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9420" w16cex:dateUtc="2020-05-12T19: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40595" w14:textId="77777777" w:rsidR="00B245BB" w:rsidRDefault="00B245BB">
      <w:r>
        <w:separator/>
      </w:r>
    </w:p>
  </w:endnote>
  <w:endnote w:type="continuationSeparator" w:id="0">
    <w:p w14:paraId="4D38A550" w14:textId="77777777" w:rsidR="00B245BB" w:rsidRDefault="00B2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F1493" w14:textId="77777777" w:rsidR="00D5035C" w:rsidRPr="00F27FC4" w:rsidRDefault="00D5035C">
    <w:pPr>
      <w:pStyle w:val="Zpat"/>
      <w:jc w:val="center"/>
      <w:rPr>
        <w:rFonts w:cs="Tahoma"/>
        <w:szCs w:val="20"/>
      </w:rPr>
    </w:pPr>
    <w:r w:rsidRPr="00F27FC4">
      <w:rPr>
        <w:rFonts w:cs="Tahoma"/>
        <w:szCs w:val="20"/>
      </w:rPr>
      <w:fldChar w:fldCharType="begin"/>
    </w:r>
    <w:r w:rsidRPr="00F27FC4">
      <w:rPr>
        <w:rFonts w:cs="Tahoma"/>
        <w:szCs w:val="20"/>
      </w:rPr>
      <w:instrText>PAGE   \* MERGEFORMAT</w:instrText>
    </w:r>
    <w:r w:rsidRPr="00F27FC4">
      <w:rPr>
        <w:rFonts w:cs="Tahoma"/>
        <w:szCs w:val="20"/>
      </w:rPr>
      <w:fldChar w:fldCharType="separate"/>
    </w:r>
    <w:r w:rsidR="005552AE">
      <w:rPr>
        <w:rFonts w:cs="Tahoma"/>
        <w:noProof/>
        <w:szCs w:val="20"/>
      </w:rPr>
      <w:t>8</w:t>
    </w:r>
    <w:r w:rsidRPr="00F27FC4">
      <w:rPr>
        <w:rFonts w:cs="Tahoma"/>
        <w:szCs w:val="20"/>
      </w:rPr>
      <w:fldChar w:fldCharType="end"/>
    </w:r>
  </w:p>
  <w:p w14:paraId="3914F5E3" w14:textId="77777777" w:rsidR="00D5035C" w:rsidRDefault="00D503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D6FA" w14:textId="77777777" w:rsidR="00D5035C" w:rsidRPr="00120D12" w:rsidRDefault="00D5035C">
    <w:pPr>
      <w:pStyle w:val="Zpat"/>
      <w:jc w:val="center"/>
      <w:rPr>
        <w:rFonts w:cs="Tahoma"/>
        <w:szCs w:val="20"/>
      </w:rPr>
    </w:pPr>
    <w:r w:rsidRPr="00120D12">
      <w:rPr>
        <w:rFonts w:cs="Tahoma"/>
        <w:szCs w:val="20"/>
      </w:rPr>
      <w:fldChar w:fldCharType="begin"/>
    </w:r>
    <w:r w:rsidRPr="00120D12">
      <w:rPr>
        <w:rFonts w:cs="Tahoma"/>
        <w:szCs w:val="20"/>
      </w:rPr>
      <w:instrText>PAGE   \* MERGEFORMAT</w:instrText>
    </w:r>
    <w:r w:rsidRPr="00120D12">
      <w:rPr>
        <w:rFonts w:cs="Tahoma"/>
        <w:szCs w:val="20"/>
      </w:rPr>
      <w:fldChar w:fldCharType="separate"/>
    </w:r>
    <w:r w:rsidR="006C3BDB">
      <w:rPr>
        <w:rFonts w:cs="Tahoma"/>
        <w:noProof/>
        <w:szCs w:val="20"/>
      </w:rPr>
      <w:t>1</w:t>
    </w:r>
    <w:r w:rsidRPr="00120D12">
      <w:rPr>
        <w:rFonts w:cs="Tahoma"/>
        <w:szCs w:val="20"/>
      </w:rPr>
      <w:fldChar w:fldCharType="end"/>
    </w:r>
  </w:p>
  <w:p w14:paraId="7D3E346B" w14:textId="77777777" w:rsidR="00D5035C" w:rsidRDefault="00D503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2A2FB" w14:textId="77777777" w:rsidR="00B245BB" w:rsidRDefault="00B245BB">
      <w:r>
        <w:separator/>
      </w:r>
    </w:p>
  </w:footnote>
  <w:footnote w:type="continuationSeparator" w:id="0">
    <w:p w14:paraId="042D21C0" w14:textId="77777777" w:rsidR="00B245BB" w:rsidRDefault="00B2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B63E5" w14:textId="68442C5E" w:rsidR="00A35CFA" w:rsidRDefault="00D5035C">
    <w:pPr>
      <w:pStyle w:val="Zhlav"/>
    </w:pPr>
    <w:r>
      <w:t xml:space="preserve">Příloha č. </w:t>
    </w:r>
    <w:r w:rsidR="00A35CFA">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C077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CCEE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760E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E5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089B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50A6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48DD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B8684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6ED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ACABF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ADE1BA7"/>
    <w:multiLevelType w:val="hybridMultilevel"/>
    <w:tmpl w:val="E57E8F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E85FC1"/>
    <w:multiLevelType w:val="hybridMultilevel"/>
    <w:tmpl w:val="929045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5414E0"/>
    <w:multiLevelType w:val="hybridMultilevel"/>
    <w:tmpl w:val="AD263DFA"/>
    <w:lvl w:ilvl="0" w:tplc="255486B8">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CF786F"/>
    <w:multiLevelType w:val="multilevel"/>
    <w:tmpl w:val="EE8067B0"/>
    <w:lvl w:ilvl="0">
      <w:start w:val="1"/>
      <w:numFmt w:val="decimal"/>
      <w:lvlText w:val="%1"/>
      <w:lvlJc w:val="left"/>
      <w:pPr>
        <w:tabs>
          <w:tab w:val="num" w:pos="624"/>
        </w:tabs>
        <w:ind w:left="624" w:hanging="624"/>
      </w:pPr>
      <w:rPr>
        <w:rFonts w:ascii="Tahoma" w:hAnsi="Tahoma" w:hint="default"/>
        <w:b/>
        <w:i w:val="0"/>
        <w:sz w:val="20"/>
      </w:rPr>
    </w:lvl>
    <w:lvl w:ilvl="1">
      <w:start w:val="1"/>
      <w:numFmt w:val="decimal"/>
      <w:lvlRestart w:val="0"/>
      <w:suff w:val="space"/>
      <w:lvlText w:val="Tabulka %2:"/>
      <w:lvlJc w:val="left"/>
      <w:pPr>
        <w:ind w:left="1333" w:hanging="624"/>
      </w:pPr>
      <w:rPr>
        <w:rFonts w:ascii="Tahoma" w:hAnsi="Tahoma" w:hint="default"/>
        <w:b w:val="0"/>
        <w:i w:val="0"/>
        <w:color w:val="auto"/>
        <w:sz w:val="20"/>
        <w:szCs w:val="20"/>
      </w:rPr>
    </w:lvl>
    <w:lvl w:ilvl="2">
      <w:start w:val="1"/>
      <w:numFmt w:val="decimal"/>
      <w:lvlText w:val="%1.%2.%3"/>
      <w:lvlJc w:val="left"/>
      <w:pPr>
        <w:tabs>
          <w:tab w:val="num" w:pos="624"/>
        </w:tabs>
        <w:ind w:left="624" w:hanging="624"/>
      </w:pPr>
      <w:rPr>
        <w:rFonts w:ascii="Times New Roman" w:hAnsi="Times New Roman" w:hint="default"/>
        <w:b/>
        <w:i w:val="0"/>
        <w:sz w:val="24"/>
      </w:rPr>
    </w:lvl>
    <w:lvl w:ilvl="3">
      <w:start w:val="1"/>
      <w:numFmt w:val="decimal"/>
      <w:lvlText w:val="%1.%2.%3.%4"/>
      <w:lvlJc w:val="left"/>
      <w:pPr>
        <w:tabs>
          <w:tab w:val="num" w:pos="624"/>
        </w:tabs>
        <w:ind w:left="624" w:hanging="624"/>
      </w:pPr>
      <w:rPr>
        <w:rFonts w:hint="default"/>
      </w:rPr>
    </w:lvl>
    <w:lvl w:ilvl="4">
      <w:start w:val="1"/>
      <w:numFmt w:val="decimal"/>
      <w:lvlText w:val="%1.%2.%3.%4.%5"/>
      <w:lvlJc w:val="left"/>
      <w:pPr>
        <w:tabs>
          <w:tab w:val="num" w:pos="624"/>
        </w:tabs>
        <w:ind w:left="624" w:hanging="624"/>
      </w:pPr>
      <w:rPr>
        <w:rFonts w:hint="default"/>
      </w:rPr>
    </w:lvl>
    <w:lvl w:ilvl="5">
      <w:start w:val="1"/>
      <w:numFmt w:val="decimal"/>
      <w:lvlText w:val="%1.%2.%3.%4.%5.%6"/>
      <w:lvlJc w:val="left"/>
      <w:pPr>
        <w:tabs>
          <w:tab w:val="num" w:pos="624"/>
        </w:tabs>
        <w:ind w:left="624" w:hanging="624"/>
      </w:pPr>
      <w:rPr>
        <w:rFonts w:hint="default"/>
      </w:rPr>
    </w:lvl>
    <w:lvl w:ilvl="6">
      <w:start w:val="1"/>
      <w:numFmt w:val="decimal"/>
      <w:lvlText w:val="%1.%2.%3.%4.%5.%6.%7"/>
      <w:lvlJc w:val="left"/>
      <w:pPr>
        <w:tabs>
          <w:tab w:val="num" w:pos="624"/>
        </w:tabs>
        <w:ind w:left="624" w:hanging="624"/>
      </w:pPr>
      <w:rPr>
        <w:rFonts w:hint="default"/>
      </w:rPr>
    </w:lvl>
    <w:lvl w:ilvl="7">
      <w:start w:val="1"/>
      <w:numFmt w:val="decimal"/>
      <w:lvlText w:val="%1.%2.%3.%4.%5.%6.%7.%8"/>
      <w:lvlJc w:val="left"/>
      <w:pPr>
        <w:tabs>
          <w:tab w:val="num" w:pos="624"/>
        </w:tabs>
        <w:ind w:left="624" w:hanging="624"/>
      </w:pPr>
      <w:rPr>
        <w:rFonts w:hint="default"/>
      </w:rPr>
    </w:lvl>
    <w:lvl w:ilvl="8">
      <w:start w:val="1"/>
      <w:numFmt w:val="decimal"/>
      <w:lvlText w:val="%1.%2.%3.%4.%5.%6.%7.%8.%9"/>
      <w:lvlJc w:val="left"/>
      <w:pPr>
        <w:tabs>
          <w:tab w:val="num" w:pos="624"/>
        </w:tabs>
        <w:ind w:left="624" w:hanging="624"/>
      </w:pPr>
      <w:rPr>
        <w:rFonts w:hint="default"/>
      </w:rPr>
    </w:lvl>
  </w:abstractNum>
  <w:abstractNum w:abstractNumId="14" w15:restartNumberingAfterBreak="0">
    <w:nsid w:val="31262DBA"/>
    <w:multiLevelType w:val="hybridMultilevel"/>
    <w:tmpl w:val="4014D1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CF0570"/>
    <w:multiLevelType w:val="hybridMultilevel"/>
    <w:tmpl w:val="83E8BE1E"/>
    <w:lvl w:ilvl="0" w:tplc="21EA90B6">
      <w:start w:val="1"/>
      <w:numFmt w:val="decimal"/>
      <w:pStyle w:val="Styltab"/>
      <w:suff w:val="space"/>
      <w:lvlText w:val="Tabulka %1:"/>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5C2F5A"/>
    <w:multiLevelType w:val="hybridMultilevel"/>
    <w:tmpl w:val="89C26F88"/>
    <w:lvl w:ilvl="0" w:tplc="443033CC">
      <w:start w:val="1"/>
      <w:numFmt w:val="upperRoman"/>
      <w:pStyle w:val="Nadpis4"/>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837383"/>
    <w:multiLevelType w:val="hybridMultilevel"/>
    <w:tmpl w:val="4F56F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734E6A"/>
    <w:multiLevelType w:val="hybridMultilevel"/>
    <w:tmpl w:val="7FF44F84"/>
    <w:lvl w:ilvl="0" w:tplc="75525F0A">
      <w:start w:val="1"/>
      <w:numFmt w:val="decimal"/>
      <w:lvlText w:val="%1)"/>
      <w:lvlJc w:val="left"/>
      <w:pPr>
        <w:tabs>
          <w:tab w:val="num" w:pos="435"/>
        </w:tabs>
        <w:ind w:left="435" w:hanging="435"/>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9" w15:restartNumberingAfterBreak="0">
    <w:nsid w:val="42FC0E73"/>
    <w:multiLevelType w:val="hybridMultilevel"/>
    <w:tmpl w:val="E6E0E4DA"/>
    <w:lvl w:ilvl="0" w:tplc="3A4CFAE8">
      <w:start w:val="1"/>
      <w:numFmt w:val="lowerLetter"/>
      <w:lvlText w:val="%1)"/>
      <w:lvlJc w:val="left"/>
      <w:pPr>
        <w:ind w:left="720" w:hanging="360"/>
      </w:pPr>
    </w:lvl>
    <w:lvl w:ilvl="1" w:tplc="39783C90">
      <w:start w:val="1"/>
      <w:numFmt w:val="lowerLetter"/>
      <w:lvlText w:val="%2."/>
      <w:lvlJc w:val="left"/>
      <w:pPr>
        <w:ind w:left="1440" w:hanging="360"/>
      </w:pPr>
    </w:lvl>
    <w:lvl w:ilvl="2" w:tplc="EB7A3FFC">
      <w:start w:val="1"/>
      <w:numFmt w:val="lowerRoman"/>
      <w:lvlText w:val="%3."/>
      <w:lvlJc w:val="right"/>
      <w:pPr>
        <w:ind w:left="2160" w:hanging="180"/>
      </w:pPr>
    </w:lvl>
    <w:lvl w:ilvl="3" w:tplc="FA12311C">
      <w:start w:val="1"/>
      <w:numFmt w:val="decimal"/>
      <w:lvlText w:val="%4."/>
      <w:lvlJc w:val="left"/>
      <w:pPr>
        <w:ind w:left="2880" w:hanging="360"/>
      </w:pPr>
    </w:lvl>
    <w:lvl w:ilvl="4" w:tplc="899ED654">
      <w:start w:val="1"/>
      <w:numFmt w:val="lowerLetter"/>
      <w:lvlText w:val="%5."/>
      <w:lvlJc w:val="left"/>
      <w:pPr>
        <w:ind w:left="3600" w:hanging="360"/>
      </w:pPr>
    </w:lvl>
    <w:lvl w:ilvl="5" w:tplc="0FD49882">
      <w:start w:val="1"/>
      <w:numFmt w:val="lowerRoman"/>
      <w:lvlText w:val="%6."/>
      <w:lvlJc w:val="right"/>
      <w:pPr>
        <w:ind w:left="4320" w:hanging="180"/>
      </w:pPr>
    </w:lvl>
    <w:lvl w:ilvl="6" w:tplc="599658FA">
      <w:start w:val="1"/>
      <w:numFmt w:val="decimal"/>
      <w:lvlText w:val="%7."/>
      <w:lvlJc w:val="left"/>
      <w:pPr>
        <w:ind w:left="5040" w:hanging="360"/>
      </w:pPr>
    </w:lvl>
    <w:lvl w:ilvl="7" w:tplc="E12AC182">
      <w:start w:val="1"/>
      <w:numFmt w:val="lowerLetter"/>
      <w:lvlText w:val="%8."/>
      <w:lvlJc w:val="left"/>
      <w:pPr>
        <w:ind w:left="5760" w:hanging="360"/>
      </w:pPr>
    </w:lvl>
    <w:lvl w:ilvl="8" w:tplc="259A10B2">
      <w:start w:val="1"/>
      <w:numFmt w:val="lowerRoman"/>
      <w:lvlText w:val="%9."/>
      <w:lvlJc w:val="right"/>
      <w:pPr>
        <w:ind w:left="6480" w:hanging="180"/>
      </w:pPr>
    </w:lvl>
  </w:abstractNum>
  <w:abstractNum w:abstractNumId="20" w15:restartNumberingAfterBreak="0">
    <w:nsid w:val="45272B65"/>
    <w:multiLevelType w:val="hybridMultilevel"/>
    <w:tmpl w:val="7278E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ED4A2F"/>
    <w:multiLevelType w:val="hybridMultilevel"/>
    <w:tmpl w:val="2468EF92"/>
    <w:lvl w:ilvl="0" w:tplc="B9CAF254">
      <w:start w:val="20"/>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500E28"/>
    <w:multiLevelType w:val="hybridMultilevel"/>
    <w:tmpl w:val="B9101298"/>
    <w:lvl w:ilvl="0" w:tplc="FD7E8D6A">
      <w:numFmt w:val="bullet"/>
      <w:lvlText w:val="-"/>
      <w:lvlJc w:val="left"/>
      <w:pPr>
        <w:tabs>
          <w:tab w:val="num" w:pos="720"/>
        </w:tabs>
        <w:ind w:left="720" w:hanging="360"/>
      </w:pPr>
      <w:rPr>
        <w:rFonts w:ascii="Tahoma" w:eastAsia="Times New Roman" w:hAnsi="Tahom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7D0B35"/>
    <w:multiLevelType w:val="hybridMultilevel"/>
    <w:tmpl w:val="2440F8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9E155E"/>
    <w:multiLevelType w:val="hybridMultilevel"/>
    <w:tmpl w:val="E0FCB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BD7096"/>
    <w:multiLevelType w:val="hybridMultilevel"/>
    <w:tmpl w:val="4F56F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700293"/>
    <w:multiLevelType w:val="multilevel"/>
    <w:tmpl w:val="04A803E6"/>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63724CAC"/>
    <w:multiLevelType w:val="hybridMultilevel"/>
    <w:tmpl w:val="5400075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95A78F9"/>
    <w:multiLevelType w:val="hybridMultilevel"/>
    <w:tmpl w:val="6082F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564485"/>
    <w:multiLevelType w:val="multilevel"/>
    <w:tmpl w:val="3D1E11F8"/>
    <w:lvl w:ilvl="0">
      <w:start w:val="1"/>
      <w:numFmt w:val="none"/>
      <w:pStyle w:val="MSKNavrhusneseniZacatek"/>
      <w:suff w:val="nothing"/>
      <w:lvlText w:val=""/>
      <w:lvlJc w:val="left"/>
      <w:pPr>
        <w:ind w:left="0" w:firstLine="0"/>
      </w:pPr>
      <w:rPr>
        <w:rFonts w:ascii="Tahoma" w:hAnsi="Tahoma" w:hint="default"/>
        <w:b w:val="0"/>
        <w:i w:val="0"/>
        <w:sz w:val="24"/>
      </w:rPr>
    </w:lvl>
    <w:lvl w:ilvl="1">
      <w:start w:val="1"/>
      <w:numFmt w:val="decimal"/>
      <w:pStyle w:val="MSKDoplnek"/>
      <w:suff w:val="nothing"/>
      <w:lvlText w:val="%2. "/>
      <w:lvlJc w:val="left"/>
      <w:pPr>
        <w:ind w:left="0" w:firstLine="0"/>
      </w:pPr>
      <w:rPr>
        <w:rFonts w:ascii="Tahoma" w:hAnsi="Tahoma" w:hint="default"/>
        <w:b w:val="0"/>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51A3131"/>
    <w:multiLevelType w:val="hybridMultilevel"/>
    <w:tmpl w:val="A508D31A"/>
    <w:lvl w:ilvl="0" w:tplc="73A88DC8">
      <w:start w:val="1"/>
      <w:numFmt w:val="bullet"/>
      <w:lvlText w:val=""/>
      <w:lvlJc w:val="left"/>
      <w:pPr>
        <w:ind w:left="720" w:hanging="360"/>
      </w:pPr>
      <w:rPr>
        <w:rFonts w:ascii="Symbol" w:hAnsi="Symbol" w:hint="default"/>
      </w:rPr>
    </w:lvl>
    <w:lvl w:ilvl="1" w:tplc="D5969D5C" w:tentative="1">
      <w:start w:val="1"/>
      <w:numFmt w:val="bullet"/>
      <w:lvlText w:val="o"/>
      <w:lvlJc w:val="left"/>
      <w:pPr>
        <w:ind w:left="1440" w:hanging="360"/>
      </w:pPr>
      <w:rPr>
        <w:rFonts w:ascii="Courier New" w:hAnsi="Courier New" w:cs="Courier New" w:hint="default"/>
      </w:rPr>
    </w:lvl>
    <w:lvl w:ilvl="2" w:tplc="4604713A" w:tentative="1">
      <w:start w:val="1"/>
      <w:numFmt w:val="bullet"/>
      <w:lvlText w:val=""/>
      <w:lvlJc w:val="left"/>
      <w:pPr>
        <w:ind w:left="2160" w:hanging="360"/>
      </w:pPr>
      <w:rPr>
        <w:rFonts w:ascii="Wingdings" w:hAnsi="Wingdings" w:hint="default"/>
      </w:rPr>
    </w:lvl>
    <w:lvl w:ilvl="3" w:tplc="4BBA7DBA" w:tentative="1">
      <w:start w:val="1"/>
      <w:numFmt w:val="bullet"/>
      <w:lvlText w:val=""/>
      <w:lvlJc w:val="left"/>
      <w:pPr>
        <w:ind w:left="2880" w:hanging="360"/>
      </w:pPr>
      <w:rPr>
        <w:rFonts w:ascii="Symbol" w:hAnsi="Symbol" w:hint="default"/>
      </w:rPr>
    </w:lvl>
    <w:lvl w:ilvl="4" w:tplc="DB784A64" w:tentative="1">
      <w:start w:val="1"/>
      <w:numFmt w:val="bullet"/>
      <w:lvlText w:val="o"/>
      <w:lvlJc w:val="left"/>
      <w:pPr>
        <w:ind w:left="3600" w:hanging="360"/>
      </w:pPr>
      <w:rPr>
        <w:rFonts w:ascii="Courier New" w:hAnsi="Courier New" w:cs="Courier New" w:hint="default"/>
      </w:rPr>
    </w:lvl>
    <w:lvl w:ilvl="5" w:tplc="45C0569C" w:tentative="1">
      <w:start w:val="1"/>
      <w:numFmt w:val="bullet"/>
      <w:lvlText w:val=""/>
      <w:lvlJc w:val="left"/>
      <w:pPr>
        <w:ind w:left="4320" w:hanging="360"/>
      </w:pPr>
      <w:rPr>
        <w:rFonts w:ascii="Wingdings" w:hAnsi="Wingdings" w:hint="default"/>
      </w:rPr>
    </w:lvl>
    <w:lvl w:ilvl="6" w:tplc="0DF025F8" w:tentative="1">
      <w:start w:val="1"/>
      <w:numFmt w:val="bullet"/>
      <w:lvlText w:val=""/>
      <w:lvlJc w:val="left"/>
      <w:pPr>
        <w:ind w:left="5040" w:hanging="360"/>
      </w:pPr>
      <w:rPr>
        <w:rFonts w:ascii="Symbol" w:hAnsi="Symbol" w:hint="default"/>
      </w:rPr>
    </w:lvl>
    <w:lvl w:ilvl="7" w:tplc="104CB4EC" w:tentative="1">
      <w:start w:val="1"/>
      <w:numFmt w:val="bullet"/>
      <w:lvlText w:val="o"/>
      <w:lvlJc w:val="left"/>
      <w:pPr>
        <w:ind w:left="5760" w:hanging="360"/>
      </w:pPr>
      <w:rPr>
        <w:rFonts w:ascii="Courier New" w:hAnsi="Courier New" w:cs="Courier New" w:hint="default"/>
      </w:rPr>
    </w:lvl>
    <w:lvl w:ilvl="8" w:tplc="6F42B1B2" w:tentative="1">
      <w:start w:val="1"/>
      <w:numFmt w:val="bullet"/>
      <w:lvlText w:val=""/>
      <w:lvlJc w:val="left"/>
      <w:pPr>
        <w:ind w:left="6480" w:hanging="360"/>
      </w:pPr>
      <w:rPr>
        <w:rFonts w:ascii="Wingdings" w:hAnsi="Wingdings" w:hint="default"/>
      </w:rPr>
    </w:lvl>
  </w:abstractNum>
  <w:abstractNum w:abstractNumId="31" w15:restartNumberingAfterBreak="0">
    <w:nsid w:val="78257F25"/>
    <w:multiLevelType w:val="hybridMultilevel"/>
    <w:tmpl w:val="16ECBDAA"/>
    <w:lvl w:ilvl="0" w:tplc="255486B8">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6"/>
  </w:num>
  <w:num w:numId="2">
    <w:abstractNumId w:val="9"/>
  </w:num>
  <w:num w:numId="3">
    <w:abstractNumId w:val="7"/>
  </w:num>
  <w:num w:numId="4">
    <w:abstractNumId w:val="22"/>
  </w:num>
  <w:num w:numId="5">
    <w:abstractNumId w:val="26"/>
  </w:num>
  <w:num w:numId="6">
    <w:abstractNumId w:val="24"/>
  </w:num>
  <w:num w:numId="7">
    <w:abstractNumId w:val="23"/>
  </w:num>
  <w:num w:numId="8">
    <w:abstractNumId w:val="25"/>
  </w:num>
  <w:num w:numId="9">
    <w:abstractNumId w:val="12"/>
  </w:num>
  <w:num w:numId="10">
    <w:abstractNumId w:val="31"/>
  </w:num>
  <w:num w:numId="11">
    <w:abstractNumId w:val="10"/>
  </w:num>
  <w:num w:numId="12">
    <w:abstractNumId w:val="13"/>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6"/>
  </w:num>
  <w:num w:numId="20">
    <w:abstractNumId w:val="5"/>
  </w:num>
  <w:num w:numId="21">
    <w:abstractNumId w:val="4"/>
  </w:num>
  <w:num w:numId="22">
    <w:abstractNumId w:val="13"/>
  </w:num>
  <w:num w:numId="23">
    <w:abstractNumId w:val="13"/>
  </w:num>
  <w:num w:numId="24">
    <w:abstractNumId w:val="13"/>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5"/>
  </w:num>
  <w:num w:numId="33">
    <w:abstractNumId w:val="15"/>
  </w:num>
  <w:num w:numId="34">
    <w:abstractNumId w:val="31"/>
  </w:num>
  <w:num w:numId="35">
    <w:abstractNumId w:val="30"/>
  </w:num>
  <w:num w:numId="36">
    <w:abstractNumId w:val="20"/>
  </w:num>
  <w:num w:numId="37">
    <w:abstractNumId w:val="14"/>
  </w:num>
  <w:num w:numId="38">
    <w:abstractNumId w:val="17"/>
  </w:num>
  <w:num w:numId="39">
    <w:abstractNumId w:val="21"/>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1"/>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4F"/>
    <w:rsid w:val="0000019C"/>
    <w:rsid w:val="000002CC"/>
    <w:rsid w:val="000003EA"/>
    <w:rsid w:val="000008F3"/>
    <w:rsid w:val="00000A1E"/>
    <w:rsid w:val="00000AFF"/>
    <w:rsid w:val="00000BBE"/>
    <w:rsid w:val="00000D71"/>
    <w:rsid w:val="0000103B"/>
    <w:rsid w:val="000010E6"/>
    <w:rsid w:val="000012C5"/>
    <w:rsid w:val="00001314"/>
    <w:rsid w:val="00001548"/>
    <w:rsid w:val="0000157C"/>
    <w:rsid w:val="00001830"/>
    <w:rsid w:val="00001C43"/>
    <w:rsid w:val="00002228"/>
    <w:rsid w:val="000024EA"/>
    <w:rsid w:val="00002A8E"/>
    <w:rsid w:val="0000302E"/>
    <w:rsid w:val="00003431"/>
    <w:rsid w:val="000034FD"/>
    <w:rsid w:val="000037C2"/>
    <w:rsid w:val="00003857"/>
    <w:rsid w:val="00003903"/>
    <w:rsid w:val="00003AB3"/>
    <w:rsid w:val="00003C16"/>
    <w:rsid w:val="00003CD7"/>
    <w:rsid w:val="000042A0"/>
    <w:rsid w:val="0000454F"/>
    <w:rsid w:val="000046FE"/>
    <w:rsid w:val="000048E0"/>
    <w:rsid w:val="00005037"/>
    <w:rsid w:val="00005061"/>
    <w:rsid w:val="000051CE"/>
    <w:rsid w:val="00005256"/>
    <w:rsid w:val="00005880"/>
    <w:rsid w:val="00005E84"/>
    <w:rsid w:val="00005EA2"/>
    <w:rsid w:val="00005EC6"/>
    <w:rsid w:val="0000609A"/>
    <w:rsid w:val="0000612C"/>
    <w:rsid w:val="0000668B"/>
    <w:rsid w:val="00006BE5"/>
    <w:rsid w:val="00006D1F"/>
    <w:rsid w:val="00006E76"/>
    <w:rsid w:val="00007567"/>
    <w:rsid w:val="000076CF"/>
    <w:rsid w:val="000077F5"/>
    <w:rsid w:val="00007944"/>
    <w:rsid w:val="00007C33"/>
    <w:rsid w:val="00007E14"/>
    <w:rsid w:val="00010170"/>
    <w:rsid w:val="0001036E"/>
    <w:rsid w:val="00010512"/>
    <w:rsid w:val="00010527"/>
    <w:rsid w:val="0001066E"/>
    <w:rsid w:val="000109A3"/>
    <w:rsid w:val="00010BB4"/>
    <w:rsid w:val="000111FB"/>
    <w:rsid w:val="00011549"/>
    <w:rsid w:val="000116CA"/>
    <w:rsid w:val="00011769"/>
    <w:rsid w:val="00011C9A"/>
    <w:rsid w:val="00011CA4"/>
    <w:rsid w:val="000123D1"/>
    <w:rsid w:val="000127EC"/>
    <w:rsid w:val="00012854"/>
    <w:rsid w:val="00012938"/>
    <w:rsid w:val="00012BD6"/>
    <w:rsid w:val="00013197"/>
    <w:rsid w:val="0001319A"/>
    <w:rsid w:val="00013548"/>
    <w:rsid w:val="000137CB"/>
    <w:rsid w:val="00013805"/>
    <w:rsid w:val="00013897"/>
    <w:rsid w:val="00013A48"/>
    <w:rsid w:val="00013C3E"/>
    <w:rsid w:val="00013C91"/>
    <w:rsid w:val="00013E4F"/>
    <w:rsid w:val="000141E3"/>
    <w:rsid w:val="00014912"/>
    <w:rsid w:val="00014AAB"/>
    <w:rsid w:val="00014B18"/>
    <w:rsid w:val="00014C04"/>
    <w:rsid w:val="0001563A"/>
    <w:rsid w:val="00016024"/>
    <w:rsid w:val="0001603C"/>
    <w:rsid w:val="000163E5"/>
    <w:rsid w:val="000163E6"/>
    <w:rsid w:val="0001645B"/>
    <w:rsid w:val="000166A6"/>
    <w:rsid w:val="00016807"/>
    <w:rsid w:val="0001684A"/>
    <w:rsid w:val="000169F3"/>
    <w:rsid w:val="00017006"/>
    <w:rsid w:val="0001744C"/>
    <w:rsid w:val="000175F6"/>
    <w:rsid w:val="00017720"/>
    <w:rsid w:val="000177A8"/>
    <w:rsid w:val="00020117"/>
    <w:rsid w:val="000206F4"/>
    <w:rsid w:val="000208D8"/>
    <w:rsid w:val="0002099D"/>
    <w:rsid w:val="00020B7E"/>
    <w:rsid w:val="00020D67"/>
    <w:rsid w:val="00020E1C"/>
    <w:rsid w:val="00021020"/>
    <w:rsid w:val="000214EF"/>
    <w:rsid w:val="000217F2"/>
    <w:rsid w:val="00021807"/>
    <w:rsid w:val="00021941"/>
    <w:rsid w:val="000219FD"/>
    <w:rsid w:val="00021E0B"/>
    <w:rsid w:val="00021E6C"/>
    <w:rsid w:val="0002251C"/>
    <w:rsid w:val="00022608"/>
    <w:rsid w:val="0002260B"/>
    <w:rsid w:val="00022F9F"/>
    <w:rsid w:val="000230ED"/>
    <w:rsid w:val="00023133"/>
    <w:rsid w:val="0002325F"/>
    <w:rsid w:val="00023354"/>
    <w:rsid w:val="00023821"/>
    <w:rsid w:val="000238EE"/>
    <w:rsid w:val="00023CAE"/>
    <w:rsid w:val="00023DC2"/>
    <w:rsid w:val="00023DF8"/>
    <w:rsid w:val="0002414C"/>
    <w:rsid w:val="00024483"/>
    <w:rsid w:val="00024987"/>
    <w:rsid w:val="000249A5"/>
    <w:rsid w:val="00024B50"/>
    <w:rsid w:val="00024CAC"/>
    <w:rsid w:val="00024F31"/>
    <w:rsid w:val="0002578C"/>
    <w:rsid w:val="00025C6D"/>
    <w:rsid w:val="00025F38"/>
    <w:rsid w:val="0002656E"/>
    <w:rsid w:val="000265AD"/>
    <w:rsid w:val="000265BE"/>
    <w:rsid w:val="000267BD"/>
    <w:rsid w:val="0002698B"/>
    <w:rsid w:val="00026B50"/>
    <w:rsid w:val="00027099"/>
    <w:rsid w:val="000272DC"/>
    <w:rsid w:val="000272E1"/>
    <w:rsid w:val="000276E7"/>
    <w:rsid w:val="000277A0"/>
    <w:rsid w:val="00027EA6"/>
    <w:rsid w:val="0003004D"/>
    <w:rsid w:val="000300E3"/>
    <w:rsid w:val="00030303"/>
    <w:rsid w:val="000304BB"/>
    <w:rsid w:val="00030512"/>
    <w:rsid w:val="000305D3"/>
    <w:rsid w:val="0003062F"/>
    <w:rsid w:val="00030B69"/>
    <w:rsid w:val="000311BD"/>
    <w:rsid w:val="00031569"/>
    <w:rsid w:val="000315A6"/>
    <w:rsid w:val="00031891"/>
    <w:rsid w:val="00031A76"/>
    <w:rsid w:val="00031B0F"/>
    <w:rsid w:val="00031D32"/>
    <w:rsid w:val="000323B9"/>
    <w:rsid w:val="00032452"/>
    <w:rsid w:val="00032C9B"/>
    <w:rsid w:val="00032E0A"/>
    <w:rsid w:val="00032E3B"/>
    <w:rsid w:val="00033044"/>
    <w:rsid w:val="000337A0"/>
    <w:rsid w:val="00033970"/>
    <w:rsid w:val="00033A5C"/>
    <w:rsid w:val="00033AA0"/>
    <w:rsid w:val="00033C57"/>
    <w:rsid w:val="00034519"/>
    <w:rsid w:val="0003483C"/>
    <w:rsid w:val="00034C42"/>
    <w:rsid w:val="000359A7"/>
    <w:rsid w:val="00035A3B"/>
    <w:rsid w:val="00035B27"/>
    <w:rsid w:val="00035B3E"/>
    <w:rsid w:val="00035C58"/>
    <w:rsid w:val="00035F1D"/>
    <w:rsid w:val="00036220"/>
    <w:rsid w:val="00036231"/>
    <w:rsid w:val="00036295"/>
    <w:rsid w:val="00036370"/>
    <w:rsid w:val="000365D2"/>
    <w:rsid w:val="00036BDC"/>
    <w:rsid w:val="00036DB6"/>
    <w:rsid w:val="00036DF9"/>
    <w:rsid w:val="00036E35"/>
    <w:rsid w:val="00036EC9"/>
    <w:rsid w:val="00037017"/>
    <w:rsid w:val="0003767C"/>
    <w:rsid w:val="000376FB"/>
    <w:rsid w:val="00037C2C"/>
    <w:rsid w:val="00037D85"/>
    <w:rsid w:val="00037EE8"/>
    <w:rsid w:val="000402A5"/>
    <w:rsid w:val="00040840"/>
    <w:rsid w:val="00040C0A"/>
    <w:rsid w:val="00040C5C"/>
    <w:rsid w:val="0004112D"/>
    <w:rsid w:val="000418A9"/>
    <w:rsid w:val="00041EDE"/>
    <w:rsid w:val="00041F26"/>
    <w:rsid w:val="00042229"/>
    <w:rsid w:val="0004294B"/>
    <w:rsid w:val="00042B10"/>
    <w:rsid w:val="00042E0A"/>
    <w:rsid w:val="00042FBC"/>
    <w:rsid w:val="0004353A"/>
    <w:rsid w:val="00043CA8"/>
    <w:rsid w:val="00044387"/>
    <w:rsid w:val="00044836"/>
    <w:rsid w:val="0004486A"/>
    <w:rsid w:val="00044D18"/>
    <w:rsid w:val="00044EBA"/>
    <w:rsid w:val="00044ECA"/>
    <w:rsid w:val="00044ED4"/>
    <w:rsid w:val="00044F15"/>
    <w:rsid w:val="0004507B"/>
    <w:rsid w:val="000456BA"/>
    <w:rsid w:val="000457A3"/>
    <w:rsid w:val="00045817"/>
    <w:rsid w:val="00045B63"/>
    <w:rsid w:val="00046338"/>
    <w:rsid w:val="000463CB"/>
    <w:rsid w:val="00046611"/>
    <w:rsid w:val="00046B52"/>
    <w:rsid w:val="00046E20"/>
    <w:rsid w:val="00047314"/>
    <w:rsid w:val="00047361"/>
    <w:rsid w:val="00047397"/>
    <w:rsid w:val="00047EFE"/>
    <w:rsid w:val="00047F89"/>
    <w:rsid w:val="00050551"/>
    <w:rsid w:val="00050677"/>
    <w:rsid w:val="000506FA"/>
    <w:rsid w:val="000507C7"/>
    <w:rsid w:val="00050960"/>
    <w:rsid w:val="00050AF7"/>
    <w:rsid w:val="00050B3D"/>
    <w:rsid w:val="00050C2E"/>
    <w:rsid w:val="00050C7A"/>
    <w:rsid w:val="00050CA0"/>
    <w:rsid w:val="00050E5F"/>
    <w:rsid w:val="00051045"/>
    <w:rsid w:val="000510E6"/>
    <w:rsid w:val="000515FD"/>
    <w:rsid w:val="00051F95"/>
    <w:rsid w:val="000522BE"/>
    <w:rsid w:val="00052466"/>
    <w:rsid w:val="00052FA0"/>
    <w:rsid w:val="00053371"/>
    <w:rsid w:val="00053556"/>
    <w:rsid w:val="00053633"/>
    <w:rsid w:val="000538C7"/>
    <w:rsid w:val="00053A27"/>
    <w:rsid w:val="00053A3A"/>
    <w:rsid w:val="00053B66"/>
    <w:rsid w:val="00053C30"/>
    <w:rsid w:val="00053DA6"/>
    <w:rsid w:val="00054046"/>
    <w:rsid w:val="000544D0"/>
    <w:rsid w:val="0005456A"/>
    <w:rsid w:val="00055039"/>
    <w:rsid w:val="00055076"/>
    <w:rsid w:val="0005525F"/>
    <w:rsid w:val="000555D2"/>
    <w:rsid w:val="000557B0"/>
    <w:rsid w:val="000558BC"/>
    <w:rsid w:val="00055A51"/>
    <w:rsid w:val="00055C49"/>
    <w:rsid w:val="000560ED"/>
    <w:rsid w:val="00056660"/>
    <w:rsid w:val="0005692C"/>
    <w:rsid w:val="00056B79"/>
    <w:rsid w:val="00056C64"/>
    <w:rsid w:val="00056D6E"/>
    <w:rsid w:val="00056E78"/>
    <w:rsid w:val="00056EB4"/>
    <w:rsid w:val="00057345"/>
    <w:rsid w:val="000573AD"/>
    <w:rsid w:val="00057478"/>
    <w:rsid w:val="0005751C"/>
    <w:rsid w:val="00057552"/>
    <w:rsid w:val="000575AC"/>
    <w:rsid w:val="000576E6"/>
    <w:rsid w:val="00057AF8"/>
    <w:rsid w:val="00057B45"/>
    <w:rsid w:val="00057D3A"/>
    <w:rsid w:val="00057E4B"/>
    <w:rsid w:val="0006019F"/>
    <w:rsid w:val="0006035A"/>
    <w:rsid w:val="00060904"/>
    <w:rsid w:val="000610FE"/>
    <w:rsid w:val="00061106"/>
    <w:rsid w:val="0006129B"/>
    <w:rsid w:val="00061E36"/>
    <w:rsid w:val="000620A5"/>
    <w:rsid w:val="0006244C"/>
    <w:rsid w:val="00062688"/>
    <w:rsid w:val="000628A3"/>
    <w:rsid w:val="00062ED6"/>
    <w:rsid w:val="00063383"/>
    <w:rsid w:val="000634F7"/>
    <w:rsid w:val="00063775"/>
    <w:rsid w:val="00063AC0"/>
    <w:rsid w:val="00063C46"/>
    <w:rsid w:val="00063D20"/>
    <w:rsid w:val="00063E4A"/>
    <w:rsid w:val="00063EAC"/>
    <w:rsid w:val="00063EF0"/>
    <w:rsid w:val="00064515"/>
    <w:rsid w:val="000649DF"/>
    <w:rsid w:val="00064FB3"/>
    <w:rsid w:val="000651D0"/>
    <w:rsid w:val="00065576"/>
    <w:rsid w:val="000657AD"/>
    <w:rsid w:val="00066235"/>
    <w:rsid w:val="00066292"/>
    <w:rsid w:val="000663A9"/>
    <w:rsid w:val="000665DC"/>
    <w:rsid w:val="00066A41"/>
    <w:rsid w:val="00067138"/>
    <w:rsid w:val="00067289"/>
    <w:rsid w:val="00067460"/>
    <w:rsid w:val="00067E27"/>
    <w:rsid w:val="00067E7E"/>
    <w:rsid w:val="00067F0C"/>
    <w:rsid w:val="00067F1B"/>
    <w:rsid w:val="00070009"/>
    <w:rsid w:val="0007007F"/>
    <w:rsid w:val="000704FF"/>
    <w:rsid w:val="0007075C"/>
    <w:rsid w:val="00070864"/>
    <w:rsid w:val="00070877"/>
    <w:rsid w:val="00070880"/>
    <w:rsid w:val="0007098A"/>
    <w:rsid w:val="00070BC6"/>
    <w:rsid w:val="00070CF7"/>
    <w:rsid w:val="00070E88"/>
    <w:rsid w:val="00070F3F"/>
    <w:rsid w:val="00071135"/>
    <w:rsid w:val="00071262"/>
    <w:rsid w:val="00071382"/>
    <w:rsid w:val="00071638"/>
    <w:rsid w:val="0007173D"/>
    <w:rsid w:val="000718C4"/>
    <w:rsid w:val="00071F8F"/>
    <w:rsid w:val="00072094"/>
    <w:rsid w:val="0007211A"/>
    <w:rsid w:val="000727C5"/>
    <w:rsid w:val="0007296A"/>
    <w:rsid w:val="00072B1D"/>
    <w:rsid w:val="00072C37"/>
    <w:rsid w:val="00073129"/>
    <w:rsid w:val="000733B2"/>
    <w:rsid w:val="000734E2"/>
    <w:rsid w:val="00073591"/>
    <w:rsid w:val="0007387A"/>
    <w:rsid w:val="00073915"/>
    <w:rsid w:val="00073CA0"/>
    <w:rsid w:val="00074247"/>
    <w:rsid w:val="00074353"/>
    <w:rsid w:val="00074732"/>
    <w:rsid w:val="00074780"/>
    <w:rsid w:val="000747E0"/>
    <w:rsid w:val="000747EC"/>
    <w:rsid w:val="00074935"/>
    <w:rsid w:val="000752D0"/>
    <w:rsid w:val="000752DB"/>
    <w:rsid w:val="000752F6"/>
    <w:rsid w:val="0007533B"/>
    <w:rsid w:val="000755AC"/>
    <w:rsid w:val="00075600"/>
    <w:rsid w:val="0007577D"/>
    <w:rsid w:val="00075B55"/>
    <w:rsid w:val="00075BA5"/>
    <w:rsid w:val="00075F8B"/>
    <w:rsid w:val="00076461"/>
    <w:rsid w:val="00076FA9"/>
    <w:rsid w:val="00076FB8"/>
    <w:rsid w:val="00076FCF"/>
    <w:rsid w:val="000770F9"/>
    <w:rsid w:val="000774CB"/>
    <w:rsid w:val="00077862"/>
    <w:rsid w:val="00077980"/>
    <w:rsid w:val="00077A0F"/>
    <w:rsid w:val="00077C5E"/>
    <w:rsid w:val="00077D43"/>
    <w:rsid w:val="00077E46"/>
    <w:rsid w:val="00080C9E"/>
    <w:rsid w:val="00081740"/>
    <w:rsid w:val="00081F56"/>
    <w:rsid w:val="0008206E"/>
    <w:rsid w:val="000823C0"/>
    <w:rsid w:val="00082526"/>
    <w:rsid w:val="00082557"/>
    <w:rsid w:val="00082583"/>
    <w:rsid w:val="000825B6"/>
    <w:rsid w:val="00082DC2"/>
    <w:rsid w:val="00082EF1"/>
    <w:rsid w:val="000834B9"/>
    <w:rsid w:val="000834CD"/>
    <w:rsid w:val="000838AE"/>
    <w:rsid w:val="00083AA0"/>
    <w:rsid w:val="00083B30"/>
    <w:rsid w:val="00083CDF"/>
    <w:rsid w:val="00083F86"/>
    <w:rsid w:val="0008432C"/>
    <w:rsid w:val="0008444B"/>
    <w:rsid w:val="0008478A"/>
    <w:rsid w:val="00084BF0"/>
    <w:rsid w:val="00084FC9"/>
    <w:rsid w:val="0008559B"/>
    <w:rsid w:val="000856D9"/>
    <w:rsid w:val="000859A5"/>
    <w:rsid w:val="00085B6D"/>
    <w:rsid w:val="00085DD1"/>
    <w:rsid w:val="00085F68"/>
    <w:rsid w:val="000862DA"/>
    <w:rsid w:val="000868E4"/>
    <w:rsid w:val="0008694E"/>
    <w:rsid w:val="00086BD9"/>
    <w:rsid w:val="00086D44"/>
    <w:rsid w:val="00086F07"/>
    <w:rsid w:val="0008717F"/>
    <w:rsid w:val="000873F0"/>
    <w:rsid w:val="00087466"/>
    <w:rsid w:val="0008758E"/>
    <w:rsid w:val="000876CC"/>
    <w:rsid w:val="00087B02"/>
    <w:rsid w:val="00087CE1"/>
    <w:rsid w:val="00087F38"/>
    <w:rsid w:val="000903A7"/>
    <w:rsid w:val="00090C6A"/>
    <w:rsid w:val="00090F2A"/>
    <w:rsid w:val="00090F70"/>
    <w:rsid w:val="0009101A"/>
    <w:rsid w:val="0009173A"/>
    <w:rsid w:val="00091886"/>
    <w:rsid w:val="00091947"/>
    <w:rsid w:val="0009196F"/>
    <w:rsid w:val="00091A3C"/>
    <w:rsid w:val="0009204D"/>
    <w:rsid w:val="000922F7"/>
    <w:rsid w:val="000927EF"/>
    <w:rsid w:val="00092961"/>
    <w:rsid w:val="00092B0B"/>
    <w:rsid w:val="00092CD7"/>
    <w:rsid w:val="00092D2B"/>
    <w:rsid w:val="000930A7"/>
    <w:rsid w:val="000930B4"/>
    <w:rsid w:val="00093739"/>
    <w:rsid w:val="00093905"/>
    <w:rsid w:val="00093930"/>
    <w:rsid w:val="00093A8F"/>
    <w:rsid w:val="00093C71"/>
    <w:rsid w:val="00093E98"/>
    <w:rsid w:val="00094009"/>
    <w:rsid w:val="0009416D"/>
    <w:rsid w:val="00094480"/>
    <w:rsid w:val="00094503"/>
    <w:rsid w:val="00094DB3"/>
    <w:rsid w:val="00095002"/>
    <w:rsid w:val="00095A08"/>
    <w:rsid w:val="0009621B"/>
    <w:rsid w:val="0009655B"/>
    <w:rsid w:val="000966B8"/>
    <w:rsid w:val="000967D1"/>
    <w:rsid w:val="000969C0"/>
    <w:rsid w:val="00096BD9"/>
    <w:rsid w:val="0009708D"/>
    <w:rsid w:val="00097280"/>
    <w:rsid w:val="00097407"/>
    <w:rsid w:val="00097541"/>
    <w:rsid w:val="000976B8"/>
    <w:rsid w:val="00097A9D"/>
    <w:rsid w:val="000A014E"/>
    <w:rsid w:val="000A0173"/>
    <w:rsid w:val="000A01FE"/>
    <w:rsid w:val="000A03F6"/>
    <w:rsid w:val="000A043B"/>
    <w:rsid w:val="000A05B3"/>
    <w:rsid w:val="000A0B03"/>
    <w:rsid w:val="000A0C99"/>
    <w:rsid w:val="000A0CD5"/>
    <w:rsid w:val="000A0DBD"/>
    <w:rsid w:val="000A0F77"/>
    <w:rsid w:val="000A117C"/>
    <w:rsid w:val="000A14A9"/>
    <w:rsid w:val="000A1760"/>
    <w:rsid w:val="000A1AFE"/>
    <w:rsid w:val="000A1DCC"/>
    <w:rsid w:val="000A1E09"/>
    <w:rsid w:val="000A1ED6"/>
    <w:rsid w:val="000A229D"/>
    <w:rsid w:val="000A2A4F"/>
    <w:rsid w:val="000A2B46"/>
    <w:rsid w:val="000A30F0"/>
    <w:rsid w:val="000A3316"/>
    <w:rsid w:val="000A344F"/>
    <w:rsid w:val="000A3729"/>
    <w:rsid w:val="000A3772"/>
    <w:rsid w:val="000A38EB"/>
    <w:rsid w:val="000A4293"/>
    <w:rsid w:val="000A43CB"/>
    <w:rsid w:val="000A4410"/>
    <w:rsid w:val="000A4674"/>
    <w:rsid w:val="000A483B"/>
    <w:rsid w:val="000A4B31"/>
    <w:rsid w:val="000A4CF5"/>
    <w:rsid w:val="000A535F"/>
    <w:rsid w:val="000A5F64"/>
    <w:rsid w:val="000A6641"/>
    <w:rsid w:val="000A6751"/>
    <w:rsid w:val="000A7456"/>
    <w:rsid w:val="000A760D"/>
    <w:rsid w:val="000A762D"/>
    <w:rsid w:val="000A772B"/>
    <w:rsid w:val="000B00E8"/>
    <w:rsid w:val="000B0560"/>
    <w:rsid w:val="000B071A"/>
    <w:rsid w:val="000B0720"/>
    <w:rsid w:val="000B09B7"/>
    <w:rsid w:val="000B119F"/>
    <w:rsid w:val="000B135A"/>
    <w:rsid w:val="000B13B3"/>
    <w:rsid w:val="000B1707"/>
    <w:rsid w:val="000B1735"/>
    <w:rsid w:val="000B17F5"/>
    <w:rsid w:val="000B181D"/>
    <w:rsid w:val="000B186B"/>
    <w:rsid w:val="000B1BC4"/>
    <w:rsid w:val="000B1E4D"/>
    <w:rsid w:val="000B25F0"/>
    <w:rsid w:val="000B263F"/>
    <w:rsid w:val="000B28A2"/>
    <w:rsid w:val="000B2B0A"/>
    <w:rsid w:val="000B2B47"/>
    <w:rsid w:val="000B3110"/>
    <w:rsid w:val="000B319C"/>
    <w:rsid w:val="000B35CE"/>
    <w:rsid w:val="000B3616"/>
    <w:rsid w:val="000B3643"/>
    <w:rsid w:val="000B387B"/>
    <w:rsid w:val="000B393B"/>
    <w:rsid w:val="000B3B3B"/>
    <w:rsid w:val="000B3D61"/>
    <w:rsid w:val="000B3D6E"/>
    <w:rsid w:val="000B3E1B"/>
    <w:rsid w:val="000B40F6"/>
    <w:rsid w:val="000B4225"/>
    <w:rsid w:val="000B422D"/>
    <w:rsid w:val="000B43D4"/>
    <w:rsid w:val="000B44DA"/>
    <w:rsid w:val="000B464D"/>
    <w:rsid w:val="000B4960"/>
    <w:rsid w:val="000B4BF0"/>
    <w:rsid w:val="000B4CB8"/>
    <w:rsid w:val="000B4D20"/>
    <w:rsid w:val="000B4D2B"/>
    <w:rsid w:val="000B4DB5"/>
    <w:rsid w:val="000B4DFF"/>
    <w:rsid w:val="000B56C6"/>
    <w:rsid w:val="000B599F"/>
    <w:rsid w:val="000B5B3A"/>
    <w:rsid w:val="000B5B87"/>
    <w:rsid w:val="000B5BFE"/>
    <w:rsid w:val="000B607E"/>
    <w:rsid w:val="000B6B43"/>
    <w:rsid w:val="000B6CA4"/>
    <w:rsid w:val="000B6F68"/>
    <w:rsid w:val="000B728F"/>
    <w:rsid w:val="000B7418"/>
    <w:rsid w:val="000B7459"/>
    <w:rsid w:val="000B7CB2"/>
    <w:rsid w:val="000C0088"/>
    <w:rsid w:val="000C00D0"/>
    <w:rsid w:val="000C0484"/>
    <w:rsid w:val="000C08D2"/>
    <w:rsid w:val="000C0954"/>
    <w:rsid w:val="000C10A2"/>
    <w:rsid w:val="000C10F3"/>
    <w:rsid w:val="000C14A6"/>
    <w:rsid w:val="000C15F0"/>
    <w:rsid w:val="000C1828"/>
    <w:rsid w:val="000C1BA1"/>
    <w:rsid w:val="000C1CC7"/>
    <w:rsid w:val="000C1DF5"/>
    <w:rsid w:val="000C205F"/>
    <w:rsid w:val="000C21C9"/>
    <w:rsid w:val="000C3491"/>
    <w:rsid w:val="000C3543"/>
    <w:rsid w:val="000C3893"/>
    <w:rsid w:val="000C3E79"/>
    <w:rsid w:val="000C3F3E"/>
    <w:rsid w:val="000C40E2"/>
    <w:rsid w:val="000C419A"/>
    <w:rsid w:val="000C4411"/>
    <w:rsid w:val="000C464A"/>
    <w:rsid w:val="000C478B"/>
    <w:rsid w:val="000C48FE"/>
    <w:rsid w:val="000C4CE3"/>
    <w:rsid w:val="000C4E10"/>
    <w:rsid w:val="000C4F66"/>
    <w:rsid w:val="000C5098"/>
    <w:rsid w:val="000C50E4"/>
    <w:rsid w:val="000C516E"/>
    <w:rsid w:val="000C5428"/>
    <w:rsid w:val="000C591D"/>
    <w:rsid w:val="000C59C9"/>
    <w:rsid w:val="000C5AA5"/>
    <w:rsid w:val="000C5BF2"/>
    <w:rsid w:val="000C5F1F"/>
    <w:rsid w:val="000C5F52"/>
    <w:rsid w:val="000C5F9F"/>
    <w:rsid w:val="000C61BB"/>
    <w:rsid w:val="000C624F"/>
    <w:rsid w:val="000C68B5"/>
    <w:rsid w:val="000C6BCD"/>
    <w:rsid w:val="000C6F5E"/>
    <w:rsid w:val="000C70BD"/>
    <w:rsid w:val="000C761F"/>
    <w:rsid w:val="000C7683"/>
    <w:rsid w:val="000C7FA4"/>
    <w:rsid w:val="000C7FCA"/>
    <w:rsid w:val="000D00E2"/>
    <w:rsid w:val="000D028A"/>
    <w:rsid w:val="000D04B0"/>
    <w:rsid w:val="000D0ADD"/>
    <w:rsid w:val="000D0B85"/>
    <w:rsid w:val="000D0C55"/>
    <w:rsid w:val="000D0EC2"/>
    <w:rsid w:val="000D115F"/>
    <w:rsid w:val="000D1318"/>
    <w:rsid w:val="000D1589"/>
    <w:rsid w:val="000D192C"/>
    <w:rsid w:val="000D1C10"/>
    <w:rsid w:val="000D1C5F"/>
    <w:rsid w:val="000D1DE8"/>
    <w:rsid w:val="000D1EEE"/>
    <w:rsid w:val="000D1FE5"/>
    <w:rsid w:val="000D234F"/>
    <w:rsid w:val="000D23F8"/>
    <w:rsid w:val="000D25A7"/>
    <w:rsid w:val="000D291C"/>
    <w:rsid w:val="000D2DB1"/>
    <w:rsid w:val="000D2DB7"/>
    <w:rsid w:val="000D2E03"/>
    <w:rsid w:val="000D2E38"/>
    <w:rsid w:val="000D323A"/>
    <w:rsid w:val="000D330D"/>
    <w:rsid w:val="000D3666"/>
    <w:rsid w:val="000D37A5"/>
    <w:rsid w:val="000D37AB"/>
    <w:rsid w:val="000D3883"/>
    <w:rsid w:val="000D3C63"/>
    <w:rsid w:val="000D3CF1"/>
    <w:rsid w:val="000D3DE4"/>
    <w:rsid w:val="000D3F3D"/>
    <w:rsid w:val="000D3FDE"/>
    <w:rsid w:val="000D40DE"/>
    <w:rsid w:val="000D42C4"/>
    <w:rsid w:val="000D451A"/>
    <w:rsid w:val="000D48FE"/>
    <w:rsid w:val="000D4947"/>
    <w:rsid w:val="000D49FA"/>
    <w:rsid w:val="000D4D0B"/>
    <w:rsid w:val="000D4E15"/>
    <w:rsid w:val="000D4E60"/>
    <w:rsid w:val="000D5A66"/>
    <w:rsid w:val="000D5C65"/>
    <w:rsid w:val="000D5DB4"/>
    <w:rsid w:val="000D5DFD"/>
    <w:rsid w:val="000D61C2"/>
    <w:rsid w:val="000D645E"/>
    <w:rsid w:val="000D654E"/>
    <w:rsid w:val="000D6654"/>
    <w:rsid w:val="000D66C4"/>
    <w:rsid w:val="000D6A81"/>
    <w:rsid w:val="000D726D"/>
    <w:rsid w:val="000D7731"/>
    <w:rsid w:val="000D77FA"/>
    <w:rsid w:val="000D7DAF"/>
    <w:rsid w:val="000E0063"/>
    <w:rsid w:val="000E02D7"/>
    <w:rsid w:val="000E04FD"/>
    <w:rsid w:val="000E0652"/>
    <w:rsid w:val="000E0729"/>
    <w:rsid w:val="000E0C50"/>
    <w:rsid w:val="000E0E37"/>
    <w:rsid w:val="000E132A"/>
    <w:rsid w:val="000E18E4"/>
    <w:rsid w:val="000E1918"/>
    <w:rsid w:val="000E1EB9"/>
    <w:rsid w:val="000E1FF1"/>
    <w:rsid w:val="000E202F"/>
    <w:rsid w:val="000E27AC"/>
    <w:rsid w:val="000E2916"/>
    <w:rsid w:val="000E2D24"/>
    <w:rsid w:val="000E2EA6"/>
    <w:rsid w:val="000E2FA1"/>
    <w:rsid w:val="000E31B5"/>
    <w:rsid w:val="000E33E8"/>
    <w:rsid w:val="000E34A2"/>
    <w:rsid w:val="000E3647"/>
    <w:rsid w:val="000E37FB"/>
    <w:rsid w:val="000E3C25"/>
    <w:rsid w:val="000E3C5A"/>
    <w:rsid w:val="000E3CCB"/>
    <w:rsid w:val="000E4250"/>
    <w:rsid w:val="000E42EF"/>
    <w:rsid w:val="000E481C"/>
    <w:rsid w:val="000E4B32"/>
    <w:rsid w:val="000E54A6"/>
    <w:rsid w:val="000E56AA"/>
    <w:rsid w:val="000E589E"/>
    <w:rsid w:val="000E5AD0"/>
    <w:rsid w:val="000E5F7D"/>
    <w:rsid w:val="000E6379"/>
    <w:rsid w:val="000E638C"/>
    <w:rsid w:val="000E6392"/>
    <w:rsid w:val="000E6626"/>
    <w:rsid w:val="000E6781"/>
    <w:rsid w:val="000E6823"/>
    <w:rsid w:val="000E6A6B"/>
    <w:rsid w:val="000E7344"/>
    <w:rsid w:val="000E7516"/>
    <w:rsid w:val="000E772B"/>
    <w:rsid w:val="000E7E12"/>
    <w:rsid w:val="000F02B9"/>
    <w:rsid w:val="000F02E5"/>
    <w:rsid w:val="000F0484"/>
    <w:rsid w:val="000F0F0C"/>
    <w:rsid w:val="000F1154"/>
    <w:rsid w:val="000F1345"/>
    <w:rsid w:val="000F165C"/>
    <w:rsid w:val="000F1737"/>
    <w:rsid w:val="000F1B46"/>
    <w:rsid w:val="000F1B89"/>
    <w:rsid w:val="000F2061"/>
    <w:rsid w:val="000F2704"/>
    <w:rsid w:val="000F2C89"/>
    <w:rsid w:val="000F2CEB"/>
    <w:rsid w:val="000F3065"/>
    <w:rsid w:val="000F3077"/>
    <w:rsid w:val="000F32B7"/>
    <w:rsid w:val="000F3301"/>
    <w:rsid w:val="000F33A0"/>
    <w:rsid w:val="000F33BB"/>
    <w:rsid w:val="000F345B"/>
    <w:rsid w:val="000F347D"/>
    <w:rsid w:val="000F36C6"/>
    <w:rsid w:val="000F3D6C"/>
    <w:rsid w:val="000F3EF1"/>
    <w:rsid w:val="000F3FA4"/>
    <w:rsid w:val="000F4CB7"/>
    <w:rsid w:val="000F4F55"/>
    <w:rsid w:val="000F5202"/>
    <w:rsid w:val="000F5848"/>
    <w:rsid w:val="000F594A"/>
    <w:rsid w:val="000F5BAC"/>
    <w:rsid w:val="000F5C99"/>
    <w:rsid w:val="000F60D2"/>
    <w:rsid w:val="000F630D"/>
    <w:rsid w:val="000F658D"/>
    <w:rsid w:val="000F6D04"/>
    <w:rsid w:val="000F6D60"/>
    <w:rsid w:val="000F7074"/>
    <w:rsid w:val="000F727D"/>
    <w:rsid w:val="000F7A59"/>
    <w:rsid w:val="000F7DA3"/>
    <w:rsid w:val="000F7FDF"/>
    <w:rsid w:val="00100A9C"/>
    <w:rsid w:val="00100E29"/>
    <w:rsid w:val="00100EF7"/>
    <w:rsid w:val="00101293"/>
    <w:rsid w:val="0010171E"/>
    <w:rsid w:val="00101831"/>
    <w:rsid w:val="00101D60"/>
    <w:rsid w:val="00101DEF"/>
    <w:rsid w:val="00102499"/>
    <w:rsid w:val="0010271D"/>
    <w:rsid w:val="00102936"/>
    <w:rsid w:val="00102AAF"/>
    <w:rsid w:val="00102F73"/>
    <w:rsid w:val="00103135"/>
    <w:rsid w:val="001032BA"/>
    <w:rsid w:val="001033B6"/>
    <w:rsid w:val="00103438"/>
    <w:rsid w:val="00103479"/>
    <w:rsid w:val="0010364D"/>
    <w:rsid w:val="00103747"/>
    <w:rsid w:val="00103790"/>
    <w:rsid w:val="001038DD"/>
    <w:rsid w:val="00104182"/>
    <w:rsid w:val="0010446C"/>
    <w:rsid w:val="00104754"/>
    <w:rsid w:val="00104967"/>
    <w:rsid w:val="00104B50"/>
    <w:rsid w:val="00104DDD"/>
    <w:rsid w:val="00104FBF"/>
    <w:rsid w:val="00105088"/>
    <w:rsid w:val="0010508F"/>
    <w:rsid w:val="00105130"/>
    <w:rsid w:val="0010516D"/>
    <w:rsid w:val="001053DC"/>
    <w:rsid w:val="001055B7"/>
    <w:rsid w:val="00105866"/>
    <w:rsid w:val="00105CFB"/>
    <w:rsid w:val="00105FCC"/>
    <w:rsid w:val="00106783"/>
    <w:rsid w:val="00106A3F"/>
    <w:rsid w:val="00106B50"/>
    <w:rsid w:val="00106E7F"/>
    <w:rsid w:val="00106F66"/>
    <w:rsid w:val="00107059"/>
    <w:rsid w:val="00107112"/>
    <w:rsid w:val="001073EA"/>
    <w:rsid w:val="00107614"/>
    <w:rsid w:val="00107B30"/>
    <w:rsid w:val="00107E6F"/>
    <w:rsid w:val="0011066C"/>
    <w:rsid w:val="00110D98"/>
    <w:rsid w:val="00111057"/>
    <w:rsid w:val="001110BA"/>
    <w:rsid w:val="001115A5"/>
    <w:rsid w:val="00111B7F"/>
    <w:rsid w:val="001120C6"/>
    <w:rsid w:val="00112297"/>
    <w:rsid w:val="00112327"/>
    <w:rsid w:val="001127CB"/>
    <w:rsid w:val="00112A26"/>
    <w:rsid w:val="00112A45"/>
    <w:rsid w:val="00112B99"/>
    <w:rsid w:val="00112F56"/>
    <w:rsid w:val="001133CF"/>
    <w:rsid w:val="00113562"/>
    <w:rsid w:val="00113575"/>
    <w:rsid w:val="00113A58"/>
    <w:rsid w:val="001143E0"/>
    <w:rsid w:val="00114411"/>
    <w:rsid w:val="0011453C"/>
    <w:rsid w:val="001147C6"/>
    <w:rsid w:val="00114A38"/>
    <w:rsid w:val="00114B56"/>
    <w:rsid w:val="00114BE6"/>
    <w:rsid w:val="00114F45"/>
    <w:rsid w:val="001152C6"/>
    <w:rsid w:val="001154D8"/>
    <w:rsid w:val="001156E9"/>
    <w:rsid w:val="001157BE"/>
    <w:rsid w:val="00115B02"/>
    <w:rsid w:val="00115D37"/>
    <w:rsid w:val="00115EA6"/>
    <w:rsid w:val="00116738"/>
    <w:rsid w:val="00116AE9"/>
    <w:rsid w:val="00116D84"/>
    <w:rsid w:val="00116EF9"/>
    <w:rsid w:val="001170EB"/>
    <w:rsid w:val="00117138"/>
    <w:rsid w:val="00117654"/>
    <w:rsid w:val="00117A5B"/>
    <w:rsid w:val="00117B07"/>
    <w:rsid w:val="00117F02"/>
    <w:rsid w:val="00117F0E"/>
    <w:rsid w:val="00120106"/>
    <w:rsid w:val="001209A8"/>
    <w:rsid w:val="00120AC2"/>
    <w:rsid w:val="00120D12"/>
    <w:rsid w:val="00120F92"/>
    <w:rsid w:val="001214CC"/>
    <w:rsid w:val="00121AA8"/>
    <w:rsid w:val="00121B7A"/>
    <w:rsid w:val="001220B8"/>
    <w:rsid w:val="00122134"/>
    <w:rsid w:val="001222F3"/>
    <w:rsid w:val="0012233E"/>
    <w:rsid w:val="00122341"/>
    <w:rsid w:val="00122481"/>
    <w:rsid w:val="0012248E"/>
    <w:rsid w:val="001225A2"/>
    <w:rsid w:val="001226A2"/>
    <w:rsid w:val="00122C21"/>
    <w:rsid w:val="00122F5A"/>
    <w:rsid w:val="001230D9"/>
    <w:rsid w:val="001234B8"/>
    <w:rsid w:val="00123D11"/>
    <w:rsid w:val="00124231"/>
    <w:rsid w:val="0012431C"/>
    <w:rsid w:val="00124510"/>
    <w:rsid w:val="00124C83"/>
    <w:rsid w:val="00124F25"/>
    <w:rsid w:val="001250C1"/>
    <w:rsid w:val="00125204"/>
    <w:rsid w:val="00125372"/>
    <w:rsid w:val="001253AB"/>
    <w:rsid w:val="00125C69"/>
    <w:rsid w:val="00126A03"/>
    <w:rsid w:val="00126BE1"/>
    <w:rsid w:val="00126C2F"/>
    <w:rsid w:val="00126CCB"/>
    <w:rsid w:val="00126D92"/>
    <w:rsid w:val="00126DDE"/>
    <w:rsid w:val="00126FCF"/>
    <w:rsid w:val="00127015"/>
    <w:rsid w:val="00127557"/>
    <w:rsid w:val="0012779A"/>
    <w:rsid w:val="001277F0"/>
    <w:rsid w:val="00127A3C"/>
    <w:rsid w:val="00127B3B"/>
    <w:rsid w:val="00127D24"/>
    <w:rsid w:val="0013007A"/>
    <w:rsid w:val="001308A2"/>
    <w:rsid w:val="001308FA"/>
    <w:rsid w:val="0013123C"/>
    <w:rsid w:val="00131619"/>
    <w:rsid w:val="001318CF"/>
    <w:rsid w:val="00131F9A"/>
    <w:rsid w:val="0013260D"/>
    <w:rsid w:val="0013273A"/>
    <w:rsid w:val="00133788"/>
    <w:rsid w:val="001337C2"/>
    <w:rsid w:val="001338DB"/>
    <w:rsid w:val="00133C2F"/>
    <w:rsid w:val="00133CFA"/>
    <w:rsid w:val="00133E26"/>
    <w:rsid w:val="001343D6"/>
    <w:rsid w:val="00134650"/>
    <w:rsid w:val="00134827"/>
    <w:rsid w:val="00134CDA"/>
    <w:rsid w:val="00135243"/>
    <w:rsid w:val="0013537F"/>
    <w:rsid w:val="00135418"/>
    <w:rsid w:val="001360C3"/>
    <w:rsid w:val="00136239"/>
    <w:rsid w:val="001362A8"/>
    <w:rsid w:val="001365D2"/>
    <w:rsid w:val="0013695F"/>
    <w:rsid w:val="00136A4F"/>
    <w:rsid w:val="00136E06"/>
    <w:rsid w:val="001372AB"/>
    <w:rsid w:val="001373EF"/>
    <w:rsid w:val="00137881"/>
    <w:rsid w:val="001378C8"/>
    <w:rsid w:val="00137DB9"/>
    <w:rsid w:val="001400E5"/>
    <w:rsid w:val="0014097C"/>
    <w:rsid w:val="00140A64"/>
    <w:rsid w:val="00140EA6"/>
    <w:rsid w:val="0014114D"/>
    <w:rsid w:val="001412B4"/>
    <w:rsid w:val="00141300"/>
    <w:rsid w:val="00141394"/>
    <w:rsid w:val="001414E3"/>
    <w:rsid w:val="001419B1"/>
    <w:rsid w:val="00141A1A"/>
    <w:rsid w:val="00141CA7"/>
    <w:rsid w:val="00141D4D"/>
    <w:rsid w:val="00142169"/>
    <w:rsid w:val="0014219D"/>
    <w:rsid w:val="001421C2"/>
    <w:rsid w:val="001424EE"/>
    <w:rsid w:val="00142833"/>
    <w:rsid w:val="0014290D"/>
    <w:rsid w:val="00142A5F"/>
    <w:rsid w:val="00142B06"/>
    <w:rsid w:val="00142B5E"/>
    <w:rsid w:val="00142DB3"/>
    <w:rsid w:val="00142E2D"/>
    <w:rsid w:val="00142F50"/>
    <w:rsid w:val="001431DE"/>
    <w:rsid w:val="00143951"/>
    <w:rsid w:val="0014398E"/>
    <w:rsid w:val="00143E52"/>
    <w:rsid w:val="0014412C"/>
    <w:rsid w:val="001443E4"/>
    <w:rsid w:val="00144483"/>
    <w:rsid w:val="001444C1"/>
    <w:rsid w:val="001448A3"/>
    <w:rsid w:val="00144919"/>
    <w:rsid w:val="00144FC1"/>
    <w:rsid w:val="001457B2"/>
    <w:rsid w:val="001457F7"/>
    <w:rsid w:val="001459D6"/>
    <w:rsid w:val="00145A8A"/>
    <w:rsid w:val="00145B63"/>
    <w:rsid w:val="00146875"/>
    <w:rsid w:val="00147037"/>
    <w:rsid w:val="001472BA"/>
    <w:rsid w:val="001475A5"/>
    <w:rsid w:val="0014768B"/>
    <w:rsid w:val="00147C41"/>
    <w:rsid w:val="00147CF9"/>
    <w:rsid w:val="00147D24"/>
    <w:rsid w:val="00147D37"/>
    <w:rsid w:val="00147F83"/>
    <w:rsid w:val="00150301"/>
    <w:rsid w:val="001505E7"/>
    <w:rsid w:val="001506AF"/>
    <w:rsid w:val="00150737"/>
    <w:rsid w:val="001507EB"/>
    <w:rsid w:val="001508D1"/>
    <w:rsid w:val="00150A29"/>
    <w:rsid w:val="00150ADD"/>
    <w:rsid w:val="00150E30"/>
    <w:rsid w:val="0015108C"/>
    <w:rsid w:val="001515F2"/>
    <w:rsid w:val="00151C22"/>
    <w:rsid w:val="00151C95"/>
    <w:rsid w:val="00151E87"/>
    <w:rsid w:val="0015208D"/>
    <w:rsid w:val="0015256F"/>
    <w:rsid w:val="00152582"/>
    <w:rsid w:val="00152707"/>
    <w:rsid w:val="001527E7"/>
    <w:rsid w:val="0015284D"/>
    <w:rsid w:val="00152A7F"/>
    <w:rsid w:val="00152B64"/>
    <w:rsid w:val="00153065"/>
    <w:rsid w:val="001533DC"/>
    <w:rsid w:val="00153ADB"/>
    <w:rsid w:val="00153B0B"/>
    <w:rsid w:val="00153B81"/>
    <w:rsid w:val="00154129"/>
    <w:rsid w:val="00154221"/>
    <w:rsid w:val="001543A2"/>
    <w:rsid w:val="001543FF"/>
    <w:rsid w:val="00154446"/>
    <w:rsid w:val="001546B9"/>
    <w:rsid w:val="001546C7"/>
    <w:rsid w:val="00154CBE"/>
    <w:rsid w:val="00154EC4"/>
    <w:rsid w:val="00154FC4"/>
    <w:rsid w:val="00155134"/>
    <w:rsid w:val="0015529D"/>
    <w:rsid w:val="001557FC"/>
    <w:rsid w:val="00155C9E"/>
    <w:rsid w:val="0015635F"/>
    <w:rsid w:val="00156A9C"/>
    <w:rsid w:val="00156CF2"/>
    <w:rsid w:val="00156E1F"/>
    <w:rsid w:val="00156F90"/>
    <w:rsid w:val="00157AA9"/>
    <w:rsid w:val="00157E63"/>
    <w:rsid w:val="00157E72"/>
    <w:rsid w:val="00160030"/>
    <w:rsid w:val="00161189"/>
    <w:rsid w:val="001614D5"/>
    <w:rsid w:val="0016158F"/>
    <w:rsid w:val="00161C85"/>
    <w:rsid w:val="00161DF0"/>
    <w:rsid w:val="0016213B"/>
    <w:rsid w:val="00162169"/>
    <w:rsid w:val="001621DF"/>
    <w:rsid w:val="00162C35"/>
    <w:rsid w:val="00162F60"/>
    <w:rsid w:val="00163064"/>
    <w:rsid w:val="001631AA"/>
    <w:rsid w:val="00163201"/>
    <w:rsid w:val="00163337"/>
    <w:rsid w:val="00163389"/>
    <w:rsid w:val="00163748"/>
    <w:rsid w:val="00163792"/>
    <w:rsid w:val="00163813"/>
    <w:rsid w:val="00163993"/>
    <w:rsid w:val="00163B34"/>
    <w:rsid w:val="00163F9A"/>
    <w:rsid w:val="001640D4"/>
    <w:rsid w:val="00164602"/>
    <w:rsid w:val="00164606"/>
    <w:rsid w:val="00164925"/>
    <w:rsid w:val="001649E2"/>
    <w:rsid w:val="00164AEC"/>
    <w:rsid w:val="00164D4C"/>
    <w:rsid w:val="001650EC"/>
    <w:rsid w:val="00165418"/>
    <w:rsid w:val="001655F9"/>
    <w:rsid w:val="00165646"/>
    <w:rsid w:val="00165AF4"/>
    <w:rsid w:val="00165B6E"/>
    <w:rsid w:val="00165D35"/>
    <w:rsid w:val="00165E16"/>
    <w:rsid w:val="00165EFC"/>
    <w:rsid w:val="001666E7"/>
    <w:rsid w:val="00166C68"/>
    <w:rsid w:val="00166DB6"/>
    <w:rsid w:val="001670A2"/>
    <w:rsid w:val="001670B2"/>
    <w:rsid w:val="001672A7"/>
    <w:rsid w:val="0016736A"/>
    <w:rsid w:val="00167454"/>
    <w:rsid w:val="00167471"/>
    <w:rsid w:val="00167A1E"/>
    <w:rsid w:val="00167CAA"/>
    <w:rsid w:val="00167CE3"/>
    <w:rsid w:val="00167F54"/>
    <w:rsid w:val="00167F76"/>
    <w:rsid w:val="00170315"/>
    <w:rsid w:val="001705AD"/>
    <w:rsid w:val="00170B78"/>
    <w:rsid w:val="00170DCF"/>
    <w:rsid w:val="001712BE"/>
    <w:rsid w:val="00171318"/>
    <w:rsid w:val="001716B9"/>
    <w:rsid w:val="00171895"/>
    <w:rsid w:val="00171A65"/>
    <w:rsid w:val="00171BC0"/>
    <w:rsid w:val="001720FC"/>
    <w:rsid w:val="00172213"/>
    <w:rsid w:val="00172700"/>
    <w:rsid w:val="00172F8A"/>
    <w:rsid w:val="00173034"/>
    <w:rsid w:val="0017323E"/>
    <w:rsid w:val="00173429"/>
    <w:rsid w:val="00173A4F"/>
    <w:rsid w:val="00173BD3"/>
    <w:rsid w:val="00173CB6"/>
    <w:rsid w:val="00173FCC"/>
    <w:rsid w:val="00173FCF"/>
    <w:rsid w:val="00174121"/>
    <w:rsid w:val="00174A7E"/>
    <w:rsid w:val="00174CA9"/>
    <w:rsid w:val="00174EAE"/>
    <w:rsid w:val="00174EE8"/>
    <w:rsid w:val="00174F7F"/>
    <w:rsid w:val="001751A7"/>
    <w:rsid w:val="001755EA"/>
    <w:rsid w:val="001759F2"/>
    <w:rsid w:val="00175B3A"/>
    <w:rsid w:val="00175ED5"/>
    <w:rsid w:val="00176ADD"/>
    <w:rsid w:val="001774C1"/>
    <w:rsid w:val="0017753F"/>
    <w:rsid w:val="001775FB"/>
    <w:rsid w:val="00177681"/>
    <w:rsid w:val="00177D4D"/>
    <w:rsid w:val="00177EF6"/>
    <w:rsid w:val="0018039D"/>
    <w:rsid w:val="001804D1"/>
    <w:rsid w:val="00180785"/>
    <w:rsid w:val="00180AEF"/>
    <w:rsid w:val="00180C03"/>
    <w:rsid w:val="00180D5C"/>
    <w:rsid w:val="001811F9"/>
    <w:rsid w:val="00181519"/>
    <w:rsid w:val="00181C4B"/>
    <w:rsid w:val="00181E00"/>
    <w:rsid w:val="00181F2F"/>
    <w:rsid w:val="00182AD1"/>
    <w:rsid w:val="00182C64"/>
    <w:rsid w:val="00182C7D"/>
    <w:rsid w:val="00182DB3"/>
    <w:rsid w:val="00183289"/>
    <w:rsid w:val="0018350A"/>
    <w:rsid w:val="00183DE3"/>
    <w:rsid w:val="00183E3D"/>
    <w:rsid w:val="001840AD"/>
    <w:rsid w:val="001841AE"/>
    <w:rsid w:val="001845E2"/>
    <w:rsid w:val="00184AC0"/>
    <w:rsid w:val="00184EF0"/>
    <w:rsid w:val="001852B2"/>
    <w:rsid w:val="001856EB"/>
    <w:rsid w:val="00185886"/>
    <w:rsid w:val="00185D5A"/>
    <w:rsid w:val="00185D8F"/>
    <w:rsid w:val="00185DE1"/>
    <w:rsid w:val="00186079"/>
    <w:rsid w:val="00186752"/>
    <w:rsid w:val="00186938"/>
    <w:rsid w:val="00186AB5"/>
    <w:rsid w:val="00186D2E"/>
    <w:rsid w:val="00186EBA"/>
    <w:rsid w:val="001871A4"/>
    <w:rsid w:val="001874F5"/>
    <w:rsid w:val="00187B68"/>
    <w:rsid w:val="00187BFF"/>
    <w:rsid w:val="00187D3A"/>
    <w:rsid w:val="00187F43"/>
    <w:rsid w:val="00190149"/>
    <w:rsid w:val="001901B2"/>
    <w:rsid w:val="00190267"/>
    <w:rsid w:val="0019045A"/>
    <w:rsid w:val="001904B3"/>
    <w:rsid w:val="00190625"/>
    <w:rsid w:val="00190665"/>
    <w:rsid w:val="00190813"/>
    <w:rsid w:val="0019097E"/>
    <w:rsid w:val="001909D6"/>
    <w:rsid w:val="001914D1"/>
    <w:rsid w:val="00191593"/>
    <w:rsid w:val="0019189B"/>
    <w:rsid w:val="00191FDF"/>
    <w:rsid w:val="001922F0"/>
    <w:rsid w:val="00192400"/>
    <w:rsid w:val="00192844"/>
    <w:rsid w:val="00192C29"/>
    <w:rsid w:val="00192DBC"/>
    <w:rsid w:val="00192F10"/>
    <w:rsid w:val="00192F87"/>
    <w:rsid w:val="001930AC"/>
    <w:rsid w:val="001935B9"/>
    <w:rsid w:val="00193658"/>
    <w:rsid w:val="00193FD9"/>
    <w:rsid w:val="0019429B"/>
    <w:rsid w:val="001944C0"/>
    <w:rsid w:val="001946FC"/>
    <w:rsid w:val="00194E4B"/>
    <w:rsid w:val="00194FDE"/>
    <w:rsid w:val="00195075"/>
    <w:rsid w:val="00195506"/>
    <w:rsid w:val="00195760"/>
    <w:rsid w:val="00195B5E"/>
    <w:rsid w:val="00195CB9"/>
    <w:rsid w:val="001961C6"/>
    <w:rsid w:val="001961D3"/>
    <w:rsid w:val="00196779"/>
    <w:rsid w:val="00196877"/>
    <w:rsid w:val="00196AF9"/>
    <w:rsid w:val="00196DDE"/>
    <w:rsid w:val="001972C5"/>
    <w:rsid w:val="00197360"/>
    <w:rsid w:val="00197B15"/>
    <w:rsid w:val="001A00C5"/>
    <w:rsid w:val="001A0300"/>
    <w:rsid w:val="001A050B"/>
    <w:rsid w:val="001A069E"/>
    <w:rsid w:val="001A0E98"/>
    <w:rsid w:val="001A0F8E"/>
    <w:rsid w:val="001A1CA9"/>
    <w:rsid w:val="001A22B9"/>
    <w:rsid w:val="001A243E"/>
    <w:rsid w:val="001A244A"/>
    <w:rsid w:val="001A2499"/>
    <w:rsid w:val="001A28A4"/>
    <w:rsid w:val="001A2A64"/>
    <w:rsid w:val="001A2CF4"/>
    <w:rsid w:val="001A2FAF"/>
    <w:rsid w:val="001A34FC"/>
    <w:rsid w:val="001A377A"/>
    <w:rsid w:val="001A3B5E"/>
    <w:rsid w:val="001A413D"/>
    <w:rsid w:val="001A4224"/>
    <w:rsid w:val="001A46A3"/>
    <w:rsid w:val="001A476D"/>
    <w:rsid w:val="001A47AE"/>
    <w:rsid w:val="001A48E2"/>
    <w:rsid w:val="001A49A0"/>
    <w:rsid w:val="001A4CD9"/>
    <w:rsid w:val="001A4FAC"/>
    <w:rsid w:val="001A514B"/>
    <w:rsid w:val="001A5658"/>
    <w:rsid w:val="001A5767"/>
    <w:rsid w:val="001A5955"/>
    <w:rsid w:val="001A5B2D"/>
    <w:rsid w:val="001A5BC9"/>
    <w:rsid w:val="001A61B5"/>
    <w:rsid w:val="001A629C"/>
    <w:rsid w:val="001A64CC"/>
    <w:rsid w:val="001A67A7"/>
    <w:rsid w:val="001A6881"/>
    <w:rsid w:val="001A707B"/>
    <w:rsid w:val="001A7141"/>
    <w:rsid w:val="001A7387"/>
    <w:rsid w:val="001A73B0"/>
    <w:rsid w:val="001A73BC"/>
    <w:rsid w:val="001A77D7"/>
    <w:rsid w:val="001A7887"/>
    <w:rsid w:val="001A7891"/>
    <w:rsid w:val="001A7A7A"/>
    <w:rsid w:val="001A7EB8"/>
    <w:rsid w:val="001A7FD5"/>
    <w:rsid w:val="001B08F7"/>
    <w:rsid w:val="001B0BE6"/>
    <w:rsid w:val="001B0E90"/>
    <w:rsid w:val="001B132F"/>
    <w:rsid w:val="001B16C1"/>
    <w:rsid w:val="001B1847"/>
    <w:rsid w:val="001B1C06"/>
    <w:rsid w:val="001B1D3B"/>
    <w:rsid w:val="001B2157"/>
    <w:rsid w:val="001B2A34"/>
    <w:rsid w:val="001B2A52"/>
    <w:rsid w:val="001B2B88"/>
    <w:rsid w:val="001B2BF8"/>
    <w:rsid w:val="001B313D"/>
    <w:rsid w:val="001B31D2"/>
    <w:rsid w:val="001B33A3"/>
    <w:rsid w:val="001B3946"/>
    <w:rsid w:val="001B3B9A"/>
    <w:rsid w:val="001B3CC8"/>
    <w:rsid w:val="001B414B"/>
    <w:rsid w:val="001B42A1"/>
    <w:rsid w:val="001B4414"/>
    <w:rsid w:val="001B4545"/>
    <w:rsid w:val="001B4550"/>
    <w:rsid w:val="001B4AAC"/>
    <w:rsid w:val="001B4AE3"/>
    <w:rsid w:val="001B4B21"/>
    <w:rsid w:val="001B4FAE"/>
    <w:rsid w:val="001B5343"/>
    <w:rsid w:val="001B53A7"/>
    <w:rsid w:val="001B568A"/>
    <w:rsid w:val="001B57FC"/>
    <w:rsid w:val="001B5BC7"/>
    <w:rsid w:val="001B60E4"/>
    <w:rsid w:val="001B6167"/>
    <w:rsid w:val="001B6435"/>
    <w:rsid w:val="001B6B4A"/>
    <w:rsid w:val="001B6CDC"/>
    <w:rsid w:val="001B6EC6"/>
    <w:rsid w:val="001B7109"/>
    <w:rsid w:val="001B7160"/>
    <w:rsid w:val="001B71D1"/>
    <w:rsid w:val="001B7600"/>
    <w:rsid w:val="001B787E"/>
    <w:rsid w:val="001C05EE"/>
    <w:rsid w:val="001C0B22"/>
    <w:rsid w:val="001C0CE2"/>
    <w:rsid w:val="001C0D65"/>
    <w:rsid w:val="001C0ED1"/>
    <w:rsid w:val="001C1047"/>
    <w:rsid w:val="001C1084"/>
    <w:rsid w:val="001C14D9"/>
    <w:rsid w:val="001C1CCA"/>
    <w:rsid w:val="001C1D85"/>
    <w:rsid w:val="001C1FBD"/>
    <w:rsid w:val="001C221C"/>
    <w:rsid w:val="001C22E9"/>
    <w:rsid w:val="001C26A0"/>
    <w:rsid w:val="001C2738"/>
    <w:rsid w:val="001C2A11"/>
    <w:rsid w:val="001C2A6C"/>
    <w:rsid w:val="001C2D17"/>
    <w:rsid w:val="001C2EDB"/>
    <w:rsid w:val="001C2F80"/>
    <w:rsid w:val="001C3059"/>
    <w:rsid w:val="001C324A"/>
    <w:rsid w:val="001C353C"/>
    <w:rsid w:val="001C3546"/>
    <w:rsid w:val="001C3B9F"/>
    <w:rsid w:val="001C3DFA"/>
    <w:rsid w:val="001C3E58"/>
    <w:rsid w:val="001C41B5"/>
    <w:rsid w:val="001C44C2"/>
    <w:rsid w:val="001C459A"/>
    <w:rsid w:val="001C4787"/>
    <w:rsid w:val="001C4A16"/>
    <w:rsid w:val="001C4C2F"/>
    <w:rsid w:val="001C5061"/>
    <w:rsid w:val="001C52CA"/>
    <w:rsid w:val="001C5573"/>
    <w:rsid w:val="001C56E8"/>
    <w:rsid w:val="001C5755"/>
    <w:rsid w:val="001C5767"/>
    <w:rsid w:val="001C5846"/>
    <w:rsid w:val="001C5E1E"/>
    <w:rsid w:val="001C6478"/>
    <w:rsid w:val="001C65B7"/>
    <w:rsid w:val="001C67A4"/>
    <w:rsid w:val="001C6935"/>
    <w:rsid w:val="001C6B0D"/>
    <w:rsid w:val="001C6C13"/>
    <w:rsid w:val="001C6C5C"/>
    <w:rsid w:val="001C6CA7"/>
    <w:rsid w:val="001C70C3"/>
    <w:rsid w:val="001C769C"/>
    <w:rsid w:val="001C777D"/>
    <w:rsid w:val="001C7798"/>
    <w:rsid w:val="001C77DD"/>
    <w:rsid w:val="001C7BDE"/>
    <w:rsid w:val="001D01D2"/>
    <w:rsid w:val="001D08F6"/>
    <w:rsid w:val="001D0A0B"/>
    <w:rsid w:val="001D0C39"/>
    <w:rsid w:val="001D0E7A"/>
    <w:rsid w:val="001D0F89"/>
    <w:rsid w:val="001D123D"/>
    <w:rsid w:val="001D12E7"/>
    <w:rsid w:val="001D1341"/>
    <w:rsid w:val="001D180E"/>
    <w:rsid w:val="001D1A0C"/>
    <w:rsid w:val="001D1ADB"/>
    <w:rsid w:val="001D1C0F"/>
    <w:rsid w:val="001D1F72"/>
    <w:rsid w:val="001D2384"/>
    <w:rsid w:val="001D2513"/>
    <w:rsid w:val="001D25C4"/>
    <w:rsid w:val="001D2647"/>
    <w:rsid w:val="001D2BAE"/>
    <w:rsid w:val="001D2C38"/>
    <w:rsid w:val="001D2DDF"/>
    <w:rsid w:val="001D2EC1"/>
    <w:rsid w:val="001D362C"/>
    <w:rsid w:val="001D37BC"/>
    <w:rsid w:val="001D3B73"/>
    <w:rsid w:val="001D3D11"/>
    <w:rsid w:val="001D3D6C"/>
    <w:rsid w:val="001D3ED3"/>
    <w:rsid w:val="001D4010"/>
    <w:rsid w:val="001D411B"/>
    <w:rsid w:val="001D42A4"/>
    <w:rsid w:val="001D4466"/>
    <w:rsid w:val="001D4AF1"/>
    <w:rsid w:val="001D4E63"/>
    <w:rsid w:val="001D4EFB"/>
    <w:rsid w:val="001D4F88"/>
    <w:rsid w:val="001D4FEA"/>
    <w:rsid w:val="001D5259"/>
    <w:rsid w:val="001D52B3"/>
    <w:rsid w:val="001D5A5E"/>
    <w:rsid w:val="001D5CD6"/>
    <w:rsid w:val="001D69FE"/>
    <w:rsid w:val="001D6A0C"/>
    <w:rsid w:val="001D6B9D"/>
    <w:rsid w:val="001D6C9F"/>
    <w:rsid w:val="001D784C"/>
    <w:rsid w:val="001D7877"/>
    <w:rsid w:val="001D7E24"/>
    <w:rsid w:val="001D7E80"/>
    <w:rsid w:val="001E007B"/>
    <w:rsid w:val="001E0127"/>
    <w:rsid w:val="001E066C"/>
    <w:rsid w:val="001E0767"/>
    <w:rsid w:val="001E09CC"/>
    <w:rsid w:val="001E0DB0"/>
    <w:rsid w:val="001E0DE1"/>
    <w:rsid w:val="001E0EA8"/>
    <w:rsid w:val="001E11B4"/>
    <w:rsid w:val="001E145E"/>
    <w:rsid w:val="001E1A57"/>
    <w:rsid w:val="001E1C5D"/>
    <w:rsid w:val="001E1D06"/>
    <w:rsid w:val="001E21F2"/>
    <w:rsid w:val="001E25FF"/>
    <w:rsid w:val="001E2A0B"/>
    <w:rsid w:val="001E2A97"/>
    <w:rsid w:val="001E2CCC"/>
    <w:rsid w:val="001E3588"/>
    <w:rsid w:val="001E3641"/>
    <w:rsid w:val="001E365F"/>
    <w:rsid w:val="001E366E"/>
    <w:rsid w:val="001E3752"/>
    <w:rsid w:val="001E41D3"/>
    <w:rsid w:val="001E4493"/>
    <w:rsid w:val="001E47C5"/>
    <w:rsid w:val="001E4CA9"/>
    <w:rsid w:val="001E4D4A"/>
    <w:rsid w:val="001E4E63"/>
    <w:rsid w:val="001E56BE"/>
    <w:rsid w:val="001E5784"/>
    <w:rsid w:val="001E57D9"/>
    <w:rsid w:val="001E5AA4"/>
    <w:rsid w:val="001E5CED"/>
    <w:rsid w:val="001E64ED"/>
    <w:rsid w:val="001E6845"/>
    <w:rsid w:val="001E688A"/>
    <w:rsid w:val="001E6BF1"/>
    <w:rsid w:val="001E6D8C"/>
    <w:rsid w:val="001E766A"/>
    <w:rsid w:val="001E78EE"/>
    <w:rsid w:val="001E7A8F"/>
    <w:rsid w:val="001E7E12"/>
    <w:rsid w:val="001F04C5"/>
    <w:rsid w:val="001F0879"/>
    <w:rsid w:val="001F09A7"/>
    <w:rsid w:val="001F0A54"/>
    <w:rsid w:val="001F0B03"/>
    <w:rsid w:val="001F0E28"/>
    <w:rsid w:val="001F0EE1"/>
    <w:rsid w:val="001F10B2"/>
    <w:rsid w:val="001F14B1"/>
    <w:rsid w:val="001F14C1"/>
    <w:rsid w:val="001F152E"/>
    <w:rsid w:val="001F1589"/>
    <w:rsid w:val="001F1BC1"/>
    <w:rsid w:val="001F1C66"/>
    <w:rsid w:val="001F1F67"/>
    <w:rsid w:val="001F2499"/>
    <w:rsid w:val="001F2577"/>
    <w:rsid w:val="001F2F0D"/>
    <w:rsid w:val="001F2FB7"/>
    <w:rsid w:val="001F3863"/>
    <w:rsid w:val="001F3ACA"/>
    <w:rsid w:val="001F3D9A"/>
    <w:rsid w:val="001F405B"/>
    <w:rsid w:val="001F43C2"/>
    <w:rsid w:val="001F5088"/>
    <w:rsid w:val="001F53CF"/>
    <w:rsid w:val="001F5B31"/>
    <w:rsid w:val="001F6C16"/>
    <w:rsid w:val="001F70FA"/>
    <w:rsid w:val="001F74CB"/>
    <w:rsid w:val="001F7BDF"/>
    <w:rsid w:val="001F7C93"/>
    <w:rsid w:val="001F7E95"/>
    <w:rsid w:val="00200002"/>
    <w:rsid w:val="00200136"/>
    <w:rsid w:val="00200505"/>
    <w:rsid w:val="00200510"/>
    <w:rsid w:val="002009B1"/>
    <w:rsid w:val="00200BEF"/>
    <w:rsid w:val="00200CA0"/>
    <w:rsid w:val="00200D8A"/>
    <w:rsid w:val="00200E36"/>
    <w:rsid w:val="00200E38"/>
    <w:rsid w:val="00200EE7"/>
    <w:rsid w:val="00201445"/>
    <w:rsid w:val="00201658"/>
    <w:rsid w:val="00201A8C"/>
    <w:rsid w:val="002020A6"/>
    <w:rsid w:val="00202160"/>
    <w:rsid w:val="00202554"/>
    <w:rsid w:val="0020268D"/>
    <w:rsid w:val="0020290A"/>
    <w:rsid w:val="002029B9"/>
    <w:rsid w:val="00202C01"/>
    <w:rsid w:val="00202F0B"/>
    <w:rsid w:val="00203089"/>
    <w:rsid w:val="002032BA"/>
    <w:rsid w:val="00203CA7"/>
    <w:rsid w:val="00203D9B"/>
    <w:rsid w:val="00203DF9"/>
    <w:rsid w:val="00203F56"/>
    <w:rsid w:val="00203FBC"/>
    <w:rsid w:val="002041D5"/>
    <w:rsid w:val="00204370"/>
    <w:rsid w:val="00204AB4"/>
    <w:rsid w:val="00204B4B"/>
    <w:rsid w:val="00204B5E"/>
    <w:rsid w:val="00204C41"/>
    <w:rsid w:val="00204E7D"/>
    <w:rsid w:val="002050FF"/>
    <w:rsid w:val="00205625"/>
    <w:rsid w:val="002056DA"/>
    <w:rsid w:val="00205B10"/>
    <w:rsid w:val="00205C3F"/>
    <w:rsid w:val="00205F19"/>
    <w:rsid w:val="00206458"/>
    <w:rsid w:val="0020673E"/>
    <w:rsid w:val="00206901"/>
    <w:rsid w:val="002069C2"/>
    <w:rsid w:val="00207219"/>
    <w:rsid w:val="002075E8"/>
    <w:rsid w:val="00207C51"/>
    <w:rsid w:val="00207E33"/>
    <w:rsid w:val="0021003C"/>
    <w:rsid w:val="00210157"/>
    <w:rsid w:val="00210593"/>
    <w:rsid w:val="00210F1A"/>
    <w:rsid w:val="0021142D"/>
    <w:rsid w:val="002116A8"/>
    <w:rsid w:val="002117C3"/>
    <w:rsid w:val="00211D8F"/>
    <w:rsid w:val="002122CF"/>
    <w:rsid w:val="002125B2"/>
    <w:rsid w:val="00212703"/>
    <w:rsid w:val="00212A17"/>
    <w:rsid w:val="00212D48"/>
    <w:rsid w:val="00213079"/>
    <w:rsid w:val="002131DF"/>
    <w:rsid w:val="00213294"/>
    <w:rsid w:val="002132B1"/>
    <w:rsid w:val="0021380E"/>
    <w:rsid w:val="0021384A"/>
    <w:rsid w:val="00213CED"/>
    <w:rsid w:val="00213E96"/>
    <w:rsid w:val="00213FFD"/>
    <w:rsid w:val="002141A8"/>
    <w:rsid w:val="00214436"/>
    <w:rsid w:val="00214A4B"/>
    <w:rsid w:val="00214B2C"/>
    <w:rsid w:val="00214DB8"/>
    <w:rsid w:val="00214DE4"/>
    <w:rsid w:val="00214E94"/>
    <w:rsid w:val="002153E4"/>
    <w:rsid w:val="002157DA"/>
    <w:rsid w:val="0021609E"/>
    <w:rsid w:val="002162BB"/>
    <w:rsid w:val="00216328"/>
    <w:rsid w:val="00216720"/>
    <w:rsid w:val="00216826"/>
    <w:rsid w:val="0021692A"/>
    <w:rsid w:val="00216A22"/>
    <w:rsid w:val="00216AD2"/>
    <w:rsid w:val="00216B0C"/>
    <w:rsid w:val="00216C9D"/>
    <w:rsid w:val="00216CED"/>
    <w:rsid w:val="00216D48"/>
    <w:rsid w:val="002173D7"/>
    <w:rsid w:val="0021744E"/>
    <w:rsid w:val="002177F4"/>
    <w:rsid w:val="00217ADE"/>
    <w:rsid w:val="00217B1E"/>
    <w:rsid w:val="00217B51"/>
    <w:rsid w:val="00217B71"/>
    <w:rsid w:val="00217C19"/>
    <w:rsid w:val="00217C3C"/>
    <w:rsid w:val="00217C44"/>
    <w:rsid w:val="00217CB7"/>
    <w:rsid w:val="0022048D"/>
    <w:rsid w:val="00220E26"/>
    <w:rsid w:val="00220EA5"/>
    <w:rsid w:val="00220FFD"/>
    <w:rsid w:val="00221D96"/>
    <w:rsid w:val="002224DD"/>
    <w:rsid w:val="00222843"/>
    <w:rsid w:val="002229BD"/>
    <w:rsid w:val="002229D6"/>
    <w:rsid w:val="00222A1C"/>
    <w:rsid w:val="00223047"/>
    <w:rsid w:val="0022329E"/>
    <w:rsid w:val="002233C0"/>
    <w:rsid w:val="00223509"/>
    <w:rsid w:val="002235BC"/>
    <w:rsid w:val="0022379C"/>
    <w:rsid w:val="0022453E"/>
    <w:rsid w:val="0022470F"/>
    <w:rsid w:val="002247BE"/>
    <w:rsid w:val="002247FE"/>
    <w:rsid w:val="00225048"/>
    <w:rsid w:val="002251AA"/>
    <w:rsid w:val="0022593F"/>
    <w:rsid w:val="00225948"/>
    <w:rsid w:val="00225EFD"/>
    <w:rsid w:val="00225F54"/>
    <w:rsid w:val="00225F88"/>
    <w:rsid w:val="002269DA"/>
    <w:rsid w:val="002271DC"/>
    <w:rsid w:val="00227249"/>
    <w:rsid w:val="0022759D"/>
    <w:rsid w:val="002276E5"/>
    <w:rsid w:val="002300AD"/>
    <w:rsid w:val="002304F8"/>
    <w:rsid w:val="002306CC"/>
    <w:rsid w:val="0023071A"/>
    <w:rsid w:val="002308F4"/>
    <w:rsid w:val="00230B59"/>
    <w:rsid w:val="00230F11"/>
    <w:rsid w:val="00230F3B"/>
    <w:rsid w:val="00230F64"/>
    <w:rsid w:val="002315F7"/>
    <w:rsid w:val="002315FB"/>
    <w:rsid w:val="00231631"/>
    <w:rsid w:val="002320F3"/>
    <w:rsid w:val="00232149"/>
    <w:rsid w:val="002322E8"/>
    <w:rsid w:val="0023237B"/>
    <w:rsid w:val="002323E8"/>
    <w:rsid w:val="0023246A"/>
    <w:rsid w:val="002325A7"/>
    <w:rsid w:val="002325A8"/>
    <w:rsid w:val="002325D4"/>
    <w:rsid w:val="00232921"/>
    <w:rsid w:val="00232A09"/>
    <w:rsid w:val="00232B08"/>
    <w:rsid w:val="00232B84"/>
    <w:rsid w:val="00232CBB"/>
    <w:rsid w:val="00233A79"/>
    <w:rsid w:val="00233CF6"/>
    <w:rsid w:val="0023408B"/>
    <w:rsid w:val="002349EC"/>
    <w:rsid w:val="00234CB5"/>
    <w:rsid w:val="00234F02"/>
    <w:rsid w:val="002355FD"/>
    <w:rsid w:val="00235781"/>
    <w:rsid w:val="00235A41"/>
    <w:rsid w:val="00235AC4"/>
    <w:rsid w:val="00235AD5"/>
    <w:rsid w:val="002360EE"/>
    <w:rsid w:val="00236D9B"/>
    <w:rsid w:val="00236DA7"/>
    <w:rsid w:val="00236E0B"/>
    <w:rsid w:val="002371B9"/>
    <w:rsid w:val="002374EA"/>
    <w:rsid w:val="00237E8C"/>
    <w:rsid w:val="0024019A"/>
    <w:rsid w:val="00240238"/>
    <w:rsid w:val="0024033C"/>
    <w:rsid w:val="0024079B"/>
    <w:rsid w:val="00240837"/>
    <w:rsid w:val="00240DB0"/>
    <w:rsid w:val="00240F9C"/>
    <w:rsid w:val="002414F6"/>
    <w:rsid w:val="002415F7"/>
    <w:rsid w:val="002416BC"/>
    <w:rsid w:val="00241836"/>
    <w:rsid w:val="00241C05"/>
    <w:rsid w:val="00241C26"/>
    <w:rsid w:val="00241E2D"/>
    <w:rsid w:val="002422E0"/>
    <w:rsid w:val="0024279B"/>
    <w:rsid w:val="00242D32"/>
    <w:rsid w:val="00242DA3"/>
    <w:rsid w:val="00242DC3"/>
    <w:rsid w:val="0024316A"/>
    <w:rsid w:val="0024343A"/>
    <w:rsid w:val="002435D0"/>
    <w:rsid w:val="0024390D"/>
    <w:rsid w:val="00243B1F"/>
    <w:rsid w:val="00243B34"/>
    <w:rsid w:val="00243C57"/>
    <w:rsid w:val="0024412C"/>
    <w:rsid w:val="00244211"/>
    <w:rsid w:val="00244858"/>
    <w:rsid w:val="00244E11"/>
    <w:rsid w:val="0024534F"/>
    <w:rsid w:val="0024545D"/>
    <w:rsid w:val="00245829"/>
    <w:rsid w:val="00245A90"/>
    <w:rsid w:val="00245E65"/>
    <w:rsid w:val="00245EE0"/>
    <w:rsid w:val="00245FDF"/>
    <w:rsid w:val="002460DC"/>
    <w:rsid w:val="00246369"/>
    <w:rsid w:val="00246468"/>
    <w:rsid w:val="002465BA"/>
    <w:rsid w:val="0024682E"/>
    <w:rsid w:val="002470E7"/>
    <w:rsid w:val="00247144"/>
    <w:rsid w:val="002472B8"/>
    <w:rsid w:val="0024765F"/>
    <w:rsid w:val="00247857"/>
    <w:rsid w:val="00247AA1"/>
    <w:rsid w:val="00247B9D"/>
    <w:rsid w:val="00247BE8"/>
    <w:rsid w:val="002503D3"/>
    <w:rsid w:val="002506AC"/>
    <w:rsid w:val="00250A05"/>
    <w:rsid w:val="00250BF0"/>
    <w:rsid w:val="00250D04"/>
    <w:rsid w:val="00250DA5"/>
    <w:rsid w:val="00250EC6"/>
    <w:rsid w:val="002511A9"/>
    <w:rsid w:val="002512B1"/>
    <w:rsid w:val="00251529"/>
    <w:rsid w:val="002518D2"/>
    <w:rsid w:val="0025192F"/>
    <w:rsid w:val="00251A0B"/>
    <w:rsid w:val="00251D55"/>
    <w:rsid w:val="00251E2B"/>
    <w:rsid w:val="002523EA"/>
    <w:rsid w:val="002526DD"/>
    <w:rsid w:val="00252B7D"/>
    <w:rsid w:val="00252F67"/>
    <w:rsid w:val="00253383"/>
    <w:rsid w:val="00253A07"/>
    <w:rsid w:val="00253AF3"/>
    <w:rsid w:val="00253C04"/>
    <w:rsid w:val="00254097"/>
    <w:rsid w:val="002543DC"/>
    <w:rsid w:val="00254918"/>
    <w:rsid w:val="0025501B"/>
    <w:rsid w:val="00255170"/>
    <w:rsid w:val="00255239"/>
    <w:rsid w:val="0025563B"/>
    <w:rsid w:val="00255B64"/>
    <w:rsid w:val="00256318"/>
    <w:rsid w:val="00256343"/>
    <w:rsid w:val="00256408"/>
    <w:rsid w:val="00257070"/>
    <w:rsid w:val="002570DE"/>
    <w:rsid w:val="0025718C"/>
    <w:rsid w:val="0025734C"/>
    <w:rsid w:val="002575D7"/>
    <w:rsid w:val="00257CED"/>
    <w:rsid w:val="0026008A"/>
    <w:rsid w:val="0026016B"/>
    <w:rsid w:val="002603D5"/>
    <w:rsid w:val="002605AD"/>
    <w:rsid w:val="00260E49"/>
    <w:rsid w:val="00261829"/>
    <w:rsid w:val="00261870"/>
    <w:rsid w:val="00261948"/>
    <w:rsid w:val="00261A7E"/>
    <w:rsid w:val="00261E78"/>
    <w:rsid w:val="00261FCA"/>
    <w:rsid w:val="002621D1"/>
    <w:rsid w:val="00262291"/>
    <w:rsid w:val="00262589"/>
    <w:rsid w:val="00262845"/>
    <w:rsid w:val="00262865"/>
    <w:rsid w:val="00262B00"/>
    <w:rsid w:val="00262C43"/>
    <w:rsid w:val="00262DD0"/>
    <w:rsid w:val="00262E44"/>
    <w:rsid w:val="0026328C"/>
    <w:rsid w:val="002635D4"/>
    <w:rsid w:val="00263603"/>
    <w:rsid w:val="0026373D"/>
    <w:rsid w:val="0026377A"/>
    <w:rsid w:val="002637A5"/>
    <w:rsid w:val="002637A8"/>
    <w:rsid w:val="00263803"/>
    <w:rsid w:val="00263968"/>
    <w:rsid w:val="002639EF"/>
    <w:rsid w:val="00263CEE"/>
    <w:rsid w:val="002647D1"/>
    <w:rsid w:val="00264ACB"/>
    <w:rsid w:val="00264C36"/>
    <w:rsid w:val="00264DA5"/>
    <w:rsid w:val="002653DF"/>
    <w:rsid w:val="00265A7F"/>
    <w:rsid w:val="00265D5F"/>
    <w:rsid w:val="00265EBD"/>
    <w:rsid w:val="00266156"/>
    <w:rsid w:val="002662D8"/>
    <w:rsid w:val="0026688B"/>
    <w:rsid w:val="00266E45"/>
    <w:rsid w:val="0026792D"/>
    <w:rsid w:val="00267E68"/>
    <w:rsid w:val="00270500"/>
    <w:rsid w:val="00270557"/>
    <w:rsid w:val="00270662"/>
    <w:rsid w:val="00270719"/>
    <w:rsid w:val="00270F23"/>
    <w:rsid w:val="0027130A"/>
    <w:rsid w:val="00271381"/>
    <w:rsid w:val="0027152C"/>
    <w:rsid w:val="00271544"/>
    <w:rsid w:val="00271AFF"/>
    <w:rsid w:val="00272434"/>
    <w:rsid w:val="0027251E"/>
    <w:rsid w:val="0027272F"/>
    <w:rsid w:val="002727E0"/>
    <w:rsid w:val="002729BB"/>
    <w:rsid w:val="00272C96"/>
    <w:rsid w:val="00272F21"/>
    <w:rsid w:val="00272F52"/>
    <w:rsid w:val="002732E4"/>
    <w:rsid w:val="0027350F"/>
    <w:rsid w:val="002736BA"/>
    <w:rsid w:val="00273788"/>
    <w:rsid w:val="002737E8"/>
    <w:rsid w:val="002738F7"/>
    <w:rsid w:val="002739D6"/>
    <w:rsid w:val="00273A15"/>
    <w:rsid w:val="00273B79"/>
    <w:rsid w:val="00273DE8"/>
    <w:rsid w:val="00274195"/>
    <w:rsid w:val="00274509"/>
    <w:rsid w:val="00274623"/>
    <w:rsid w:val="002749D8"/>
    <w:rsid w:val="00274DC9"/>
    <w:rsid w:val="0027503C"/>
    <w:rsid w:val="0027528B"/>
    <w:rsid w:val="002754EA"/>
    <w:rsid w:val="00275619"/>
    <w:rsid w:val="002758A2"/>
    <w:rsid w:val="00275D7F"/>
    <w:rsid w:val="00275F9D"/>
    <w:rsid w:val="002760E5"/>
    <w:rsid w:val="0027631A"/>
    <w:rsid w:val="0027637D"/>
    <w:rsid w:val="002763C5"/>
    <w:rsid w:val="00276569"/>
    <w:rsid w:val="00276AE9"/>
    <w:rsid w:val="00276C1D"/>
    <w:rsid w:val="00276EA1"/>
    <w:rsid w:val="00276F8C"/>
    <w:rsid w:val="0027759B"/>
    <w:rsid w:val="00277894"/>
    <w:rsid w:val="002779FD"/>
    <w:rsid w:val="00277B10"/>
    <w:rsid w:val="00280075"/>
    <w:rsid w:val="0028016A"/>
    <w:rsid w:val="002801A8"/>
    <w:rsid w:val="002801ED"/>
    <w:rsid w:val="002804D4"/>
    <w:rsid w:val="002805D2"/>
    <w:rsid w:val="002806DF"/>
    <w:rsid w:val="0028086E"/>
    <w:rsid w:val="002808E5"/>
    <w:rsid w:val="00280AB8"/>
    <w:rsid w:val="00280EFA"/>
    <w:rsid w:val="00281399"/>
    <w:rsid w:val="002814EB"/>
    <w:rsid w:val="002815AE"/>
    <w:rsid w:val="0028162E"/>
    <w:rsid w:val="0028167E"/>
    <w:rsid w:val="00281987"/>
    <w:rsid w:val="00281B5D"/>
    <w:rsid w:val="00281C8E"/>
    <w:rsid w:val="00281D59"/>
    <w:rsid w:val="00282636"/>
    <w:rsid w:val="00282637"/>
    <w:rsid w:val="002826ED"/>
    <w:rsid w:val="00282CF4"/>
    <w:rsid w:val="00282DF5"/>
    <w:rsid w:val="00283251"/>
    <w:rsid w:val="0028326E"/>
    <w:rsid w:val="002838AB"/>
    <w:rsid w:val="00283A28"/>
    <w:rsid w:val="00283ADD"/>
    <w:rsid w:val="00283AF1"/>
    <w:rsid w:val="00283C56"/>
    <w:rsid w:val="002840CC"/>
    <w:rsid w:val="002843B4"/>
    <w:rsid w:val="0028443C"/>
    <w:rsid w:val="00284454"/>
    <w:rsid w:val="0028452F"/>
    <w:rsid w:val="00284B5E"/>
    <w:rsid w:val="002852A7"/>
    <w:rsid w:val="00285364"/>
    <w:rsid w:val="0028554C"/>
    <w:rsid w:val="002855EA"/>
    <w:rsid w:val="0028598A"/>
    <w:rsid w:val="00285AAC"/>
    <w:rsid w:val="00285AD6"/>
    <w:rsid w:val="00285B7C"/>
    <w:rsid w:val="00285C7B"/>
    <w:rsid w:val="00285C8D"/>
    <w:rsid w:val="00285E42"/>
    <w:rsid w:val="00286149"/>
    <w:rsid w:val="002864BB"/>
    <w:rsid w:val="0028674B"/>
    <w:rsid w:val="00286D29"/>
    <w:rsid w:val="00287B59"/>
    <w:rsid w:val="0029006E"/>
    <w:rsid w:val="002906B0"/>
    <w:rsid w:val="00290898"/>
    <w:rsid w:val="002909A3"/>
    <w:rsid w:val="002912D3"/>
    <w:rsid w:val="0029175A"/>
    <w:rsid w:val="00291831"/>
    <w:rsid w:val="002918C9"/>
    <w:rsid w:val="00291D23"/>
    <w:rsid w:val="00292217"/>
    <w:rsid w:val="002929FF"/>
    <w:rsid w:val="0029301A"/>
    <w:rsid w:val="00293684"/>
    <w:rsid w:val="00293722"/>
    <w:rsid w:val="00293F73"/>
    <w:rsid w:val="0029408D"/>
    <w:rsid w:val="0029411D"/>
    <w:rsid w:val="0029452D"/>
    <w:rsid w:val="00294BD1"/>
    <w:rsid w:val="00294F86"/>
    <w:rsid w:val="00295503"/>
    <w:rsid w:val="0029552B"/>
    <w:rsid w:val="0029591D"/>
    <w:rsid w:val="00295AA8"/>
    <w:rsid w:val="00295AB6"/>
    <w:rsid w:val="00295EEC"/>
    <w:rsid w:val="00296236"/>
    <w:rsid w:val="00296339"/>
    <w:rsid w:val="0029655A"/>
    <w:rsid w:val="0029677E"/>
    <w:rsid w:val="002969AC"/>
    <w:rsid w:val="00296C0C"/>
    <w:rsid w:val="00296E4E"/>
    <w:rsid w:val="00297107"/>
    <w:rsid w:val="0029719C"/>
    <w:rsid w:val="00297628"/>
    <w:rsid w:val="00297C09"/>
    <w:rsid w:val="00297C1A"/>
    <w:rsid w:val="00297DEE"/>
    <w:rsid w:val="002A05A3"/>
    <w:rsid w:val="002A05ED"/>
    <w:rsid w:val="002A0630"/>
    <w:rsid w:val="002A06C2"/>
    <w:rsid w:val="002A0957"/>
    <w:rsid w:val="002A12C8"/>
    <w:rsid w:val="002A12DE"/>
    <w:rsid w:val="002A1A89"/>
    <w:rsid w:val="002A1CB2"/>
    <w:rsid w:val="002A1D00"/>
    <w:rsid w:val="002A1D34"/>
    <w:rsid w:val="002A205F"/>
    <w:rsid w:val="002A2077"/>
    <w:rsid w:val="002A21DD"/>
    <w:rsid w:val="002A2222"/>
    <w:rsid w:val="002A2245"/>
    <w:rsid w:val="002A2369"/>
    <w:rsid w:val="002A245C"/>
    <w:rsid w:val="002A2643"/>
    <w:rsid w:val="002A26C5"/>
    <w:rsid w:val="002A284B"/>
    <w:rsid w:val="002A2973"/>
    <w:rsid w:val="002A2E0F"/>
    <w:rsid w:val="002A39F1"/>
    <w:rsid w:val="002A3BCC"/>
    <w:rsid w:val="002A3DF4"/>
    <w:rsid w:val="002A3F70"/>
    <w:rsid w:val="002A41B4"/>
    <w:rsid w:val="002A42A4"/>
    <w:rsid w:val="002A4390"/>
    <w:rsid w:val="002A455D"/>
    <w:rsid w:val="002A45E1"/>
    <w:rsid w:val="002A49D6"/>
    <w:rsid w:val="002A4A5C"/>
    <w:rsid w:val="002A4AF5"/>
    <w:rsid w:val="002A4CA8"/>
    <w:rsid w:val="002A4D41"/>
    <w:rsid w:val="002A51AF"/>
    <w:rsid w:val="002A520C"/>
    <w:rsid w:val="002A52DD"/>
    <w:rsid w:val="002A5772"/>
    <w:rsid w:val="002A5BC4"/>
    <w:rsid w:val="002A5C22"/>
    <w:rsid w:val="002A5DB5"/>
    <w:rsid w:val="002A65E9"/>
    <w:rsid w:val="002A688F"/>
    <w:rsid w:val="002A6BE7"/>
    <w:rsid w:val="002A6D56"/>
    <w:rsid w:val="002A70BB"/>
    <w:rsid w:val="002A7BC7"/>
    <w:rsid w:val="002A7D87"/>
    <w:rsid w:val="002B0967"/>
    <w:rsid w:val="002B0EFD"/>
    <w:rsid w:val="002B13F5"/>
    <w:rsid w:val="002B1422"/>
    <w:rsid w:val="002B1439"/>
    <w:rsid w:val="002B1982"/>
    <w:rsid w:val="002B21D5"/>
    <w:rsid w:val="002B2416"/>
    <w:rsid w:val="002B279B"/>
    <w:rsid w:val="002B27CF"/>
    <w:rsid w:val="002B29C3"/>
    <w:rsid w:val="002B2B71"/>
    <w:rsid w:val="002B2D03"/>
    <w:rsid w:val="002B2DD0"/>
    <w:rsid w:val="002B2DF9"/>
    <w:rsid w:val="002B2E30"/>
    <w:rsid w:val="002B2E40"/>
    <w:rsid w:val="002B2F7E"/>
    <w:rsid w:val="002B3179"/>
    <w:rsid w:val="002B317B"/>
    <w:rsid w:val="002B3405"/>
    <w:rsid w:val="002B3457"/>
    <w:rsid w:val="002B370A"/>
    <w:rsid w:val="002B3C8C"/>
    <w:rsid w:val="002B3D2D"/>
    <w:rsid w:val="002B443B"/>
    <w:rsid w:val="002B471A"/>
    <w:rsid w:val="002B4819"/>
    <w:rsid w:val="002B481A"/>
    <w:rsid w:val="002B5067"/>
    <w:rsid w:val="002B5158"/>
    <w:rsid w:val="002B52A5"/>
    <w:rsid w:val="002B5617"/>
    <w:rsid w:val="002B57D5"/>
    <w:rsid w:val="002B5807"/>
    <w:rsid w:val="002B59DA"/>
    <w:rsid w:val="002B5A3E"/>
    <w:rsid w:val="002B5D7D"/>
    <w:rsid w:val="002B5DA3"/>
    <w:rsid w:val="002B6013"/>
    <w:rsid w:val="002B65F5"/>
    <w:rsid w:val="002B6600"/>
    <w:rsid w:val="002B6E5E"/>
    <w:rsid w:val="002B70AA"/>
    <w:rsid w:val="002B7205"/>
    <w:rsid w:val="002B72B1"/>
    <w:rsid w:val="002B74B0"/>
    <w:rsid w:val="002B7C1D"/>
    <w:rsid w:val="002B7E06"/>
    <w:rsid w:val="002C0003"/>
    <w:rsid w:val="002C0049"/>
    <w:rsid w:val="002C0120"/>
    <w:rsid w:val="002C0808"/>
    <w:rsid w:val="002C08EF"/>
    <w:rsid w:val="002C0FD2"/>
    <w:rsid w:val="002C11BE"/>
    <w:rsid w:val="002C1299"/>
    <w:rsid w:val="002C12A6"/>
    <w:rsid w:val="002C16F0"/>
    <w:rsid w:val="002C17B7"/>
    <w:rsid w:val="002C196D"/>
    <w:rsid w:val="002C1B5A"/>
    <w:rsid w:val="002C2048"/>
    <w:rsid w:val="002C20F6"/>
    <w:rsid w:val="002C2149"/>
    <w:rsid w:val="002C2428"/>
    <w:rsid w:val="002C2442"/>
    <w:rsid w:val="002C2953"/>
    <w:rsid w:val="002C2B1E"/>
    <w:rsid w:val="002C2CD7"/>
    <w:rsid w:val="002C2CEF"/>
    <w:rsid w:val="002C3393"/>
    <w:rsid w:val="002C33B3"/>
    <w:rsid w:val="002C372D"/>
    <w:rsid w:val="002C39D1"/>
    <w:rsid w:val="002C3BB6"/>
    <w:rsid w:val="002C3DC5"/>
    <w:rsid w:val="002C3EA1"/>
    <w:rsid w:val="002C475F"/>
    <w:rsid w:val="002C4F68"/>
    <w:rsid w:val="002C4FD7"/>
    <w:rsid w:val="002C51B2"/>
    <w:rsid w:val="002C5232"/>
    <w:rsid w:val="002C554E"/>
    <w:rsid w:val="002C5725"/>
    <w:rsid w:val="002C5D87"/>
    <w:rsid w:val="002C6037"/>
    <w:rsid w:val="002C64E4"/>
    <w:rsid w:val="002C65F3"/>
    <w:rsid w:val="002C6816"/>
    <w:rsid w:val="002C690B"/>
    <w:rsid w:val="002C6B14"/>
    <w:rsid w:val="002C6B83"/>
    <w:rsid w:val="002C6BE4"/>
    <w:rsid w:val="002C6FDE"/>
    <w:rsid w:val="002C7183"/>
    <w:rsid w:val="002C7560"/>
    <w:rsid w:val="002C7DDD"/>
    <w:rsid w:val="002D0046"/>
    <w:rsid w:val="002D0065"/>
    <w:rsid w:val="002D01B8"/>
    <w:rsid w:val="002D0AD9"/>
    <w:rsid w:val="002D1180"/>
    <w:rsid w:val="002D138B"/>
    <w:rsid w:val="002D14D0"/>
    <w:rsid w:val="002D178D"/>
    <w:rsid w:val="002D1883"/>
    <w:rsid w:val="002D2147"/>
    <w:rsid w:val="002D25DA"/>
    <w:rsid w:val="002D273B"/>
    <w:rsid w:val="002D2928"/>
    <w:rsid w:val="002D3091"/>
    <w:rsid w:val="002D3639"/>
    <w:rsid w:val="002D36B1"/>
    <w:rsid w:val="002D3ABB"/>
    <w:rsid w:val="002D3C21"/>
    <w:rsid w:val="002D4021"/>
    <w:rsid w:val="002D44EC"/>
    <w:rsid w:val="002D47EE"/>
    <w:rsid w:val="002D4D5C"/>
    <w:rsid w:val="002D52B1"/>
    <w:rsid w:val="002D52EC"/>
    <w:rsid w:val="002D5623"/>
    <w:rsid w:val="002D56F0"/>
    <w:rsid w:val="002D594E"/>
    <w:rsid w:val="002D5E3A"/>
    <w:rsid w:val="002D6022"/>
    <w:rsid w:val="002D60FA"/>
    <w:rsid w:val="002D6713"/>
    <w:rsid w:val="002D692A"/>
    <w:rsid w:val="002D6D6E"/>
    <w:rsid w:val="002D6E06"/>
    <w:rsid w:val="002D6ED4"/>
    <w:rsid w:val="002D700F"/>
    <w:rsid w:val="002D7220"/>
    <w:rsid w:val="002D72D9"/>
    <w:rsid w:val="002D7326"/>
    <w:rsid w:val="002D7B2D"/>
    <w:rsid w:val="002D7CB8"/>
    <w:rsid w:val="002D7DBA"/>
    <w:rsid w:val="002D7EF2"/>
    <w:rsid w:val="002D7F79"/>
    <w:rsid w:val="002E00E5"/>
    <w:rsid w:val="002E03B3"/>
    <w:rsid w:val="002E0509"/>
    <w:rsid w:val="002E079A"/>
    <w:rsid w:val="002E0E3B"/>
    <w:rsid w:val="002E0FF9"/>
    <w:rsid w:val="002E110E"/>
    <w:rsid w:val="002E15DC"/>
    <w:rsid w:val="002E16EF"/>
    <w:rsid w:val="002E19DE"/>
    <w:rsid w:val="002E1C6B"/>
    <w:rsid w:val="002E26C2"/>
    <w:rsid w:val="002E2D8D"/>
    <w:rsid w:val="002E2EE2"/>
    <w:rsid w:val="002E2F3C"/>
    <w:rsid w:val="002E30A4"/>
    <w:rsid w:val="002E30FE"/>
    <w:rsid w:val="002E3524"/>
    <w:rsid w:val="002E3532"/>
    <w:rsid w:val="002E36DE"/>
    <w:rsid w:val="002E374E"/>
    <w:rsid w:val="002E37AA"/>
    <w:rsid w:val="002E3B1B"/>
    <w:rsid w:val="002E3C9D"/>
    <w:rsid w:val="002E3EB0"/>
    <w:rsid w:val="002E3F12"/>
    <w:rsid w:val="002E3FF4"/>
    <w:rsid w:val="002E4525"/>
    <w:rsid w:val="002E475D"/>
    <w:rsid w:val="002E4B31"/>
    <w:rsid w:val="002E4C17"/>
    <w:rsid w:val="002E4D18"/>
    <w:rsid w:val="002E4EDB"/>
    <w:rsid w:val="002E500F"/>
    <w:rsid w:val="002E53AA"/>
    <w:rsid w:val="002E5623"/>
    <w:rsid w:val="002E5805"/>
    <w:rsid w:val="002E5B71"/>
    <w:rsid w:val="002E6AC5"/>
    <w:rsid w:val="002E6ED6"/>
    <w:rsid w:val="002E6F76"/>
    <w:rsid w:val="002E6F8E"/>
    <w:rsid w:val="002E7033"/>
    <w:rsid w:val="002E736C"/>
    <w:rsid w:val="002E7373"/>
    <w:rsid w:val="002E7AB5"/>
    <w:rsid w:val="002E7C7A"/>
    <w:rsid w:val="002E7DB9"/>
    <w:rsid w:val="002E7F1B"/>
    <w:rsid w:val="002F0075"/>
    <w:rsid w:val="002F03B1"/>
    <w:rsid w:val="002F04E3"/>
    <w:rsid w:val="002F0748"/>
    <w:rsid w:val="002F08DD"/>
    <w:rsid w:val="002F0AFA"/>
    <w:rsid w:val="002F0C5C"/>
    <w:rsid w:val="002F0CF6"/>
    <w:rsid w:val="002F12A9"/>
    <w:rsid w:val="002F133D"/>
    <w:rsid w:val="002F1343"/>
    <w:rsid w:val="002F155B"/>
    <w:rsid w:val="002F18B5"/>
    <w:rsid w:val="002F1E12"/>
    <w:rsid w:val="002F1FF6"/>
    <w:rsid w:val="002F223C"/>
    <w:rsid w:val="002F2493"/>
    <w:rsid w:val="002F2E5D"/>
    <w:rsid w:val="002F2EAB"/>
    <w:rsid w:val="002F2FBD"/>
    <w:rsid w:val="002F329B"/>
    <w:rsid w:val="002F32F4"/>
    <w:rsid w:val="002F3340"/>
    <w:rsid w:val="002F3ABA"/>
    <w:rsid w:val="002F4114"/>
    <w:rsid w:val="002F4168"/>
    <w:rsid w:val="002F4BBE"/>
    <w:rsid w:val="002F4C86"/>
    <w:rsid w:val="002F4E1A"/>
    <w:rsid w:val="002F505F"/>
    <w:rsid w:val="002F5273"/>
    <w:rsid w:val="002F533E"/>
    <w:rsid w:val="002F599D"/>
    <w:rsid w:val="002F5D12"/>
    <w:rsid w:val="002F618B"/>
    <w:rsid w:val="002F63FE"/>
    <w:rsid w:val="002F643D"/>
    <w:rsid w:val="002F6610"/>
    <w:rsid w:val="002F6628"/>
    <w:rsid w:val="002F6670"/>
    <w:rsid w:val="002F6AEE"/>
    <w:rsid w:val="002F6D8A"/>
    <w:rsid w:val="002F6E06"/>
    <w:rsid w:val="002F70D2"/>
    <w:rsid w:val="002F7263"/>
    <w:rsid w:val="002F7386"/>
    <w:rsid w:val="002F7893"/>
    <w:rsid w:val="002F7E71"/>
    <w:rsid w:val="003000C1"/>
    <w:rsid w:val="003004EC"/>
    <w:rsid w:val="00300530"/>
    <w:rsid w:val="003005BC"/>
    <w:rsid w:val="0030071E"/>
    <w:rsid w:val="00300762"/>
    <w:rsid w:val="00300E17"/>
    <w:rsid w:val="00301263"/>
    <w:rsid w:val="00301642"/>
    <w:rsid w:val="00301BE8"/>
    <w:rsid w:val="00301F29"/>
    <w:rsid w:val="00302031"/>
    <w:rsid w:val="0030223E"/>
    <w:rsid w:val="003022DE"/>
    <w:rsid w:val="003024E7"/>
    <w:rsid w:val="003024F0"/>
    <w:rsid w:val="003025D5"/>
    <w:rsid w:val="0030296D"/>
    <w:rsid w:val="00302B24"/>
    <w:rsid w:val="00303104"/>
    <w:rsid w:val="0030363F"/>
    <w:rsid w:val="003037BF"/>
    <w:rsid w:val="00303A45"/>
    <w:rsid w:val="00303A56"/>
    <w:rsid w:val="00303C89"/>
    <w:rsid w:val="00304599"/>
    <w:rsid w:val="00304799"/>
    <w:rsid w:val="003049DD"/>
    <w:rsid w:val="00304A95"/>
    <w:rsid w:val="00304B80"/>
    <w:rsid w:val="00304CBC"/>
    <w:rsid w:val="00304CF0"/>
    <w:rsid w:val="00304F39"/>
    <w:rsid w:val="003052B2"/>
    <w:rsid w:val="003058C5"/>
    <w:rsid w:val="00305961"/>
    <w:rsid w:val="003059A3"/>
    <w:rsid w:val="00305C2F"/>
    <w:rsid w:val="00305F42"/>
    <w:rsid w:val="00306A10"/>
    <w:rsid w:val="00306A85"/>
    <w:rsid w:val="00306C1C"/>
    <w:rsid w:val="00306D29"/>
    <w:rsid w:val="0030706F"/>
    <w:rsid w:val="003071A6"/>
    <w:rsid w:val="003073C0"/>
    <w:rsid w:val="00307723"/>
    <w:rsid w:val="00307C39"/>
    <w:rsid w:val="00307DF8"/>
    <w:rsid w:val="00307E79"/>
    <w:rsid w:val="00310902"/>
    <w:rsid w:val="00310A65"/>
    <w:rsid w:val="00310CF4"/>
    <w:rsid w:val="00310E21"/>
    <w:rsid w:val="00311004"/>
    <w:rsid w:val="0031102D"/>
    <w:rsid w:val="00311281"/>
    <w:rsid w:val="0031155E"/>
    <w:rsid w:val="00311785"/>
    <w:rsid w:val="00311FF0"/>
    <w:rsid w:val="00312514"/>
    <w:rsid w:val="00312816"/>
    <w:rsid w:val="00312931"/>
    <w:rsid w:val="00312A1E"/>
    <w:rsid w:val="00312A20"/>
    <w:rsid w:val="00312A2D"/>
    <w:rsid w:val="00312CB6"/>
    <w:rsid w:val="00312D92"/>
    <w:rsid w:val="00312F2B"/>
    <w:rsid w:val="00313AA1"/>
    <w:rsid w:val="003141D0"/>
    <w:rsid w:val="0031435B"/>
    <w:rsid w:val="00314468"/>
    <w:rsid w:val="00314482"/>
    <w:rsid w:val="003145AF"/>
    <w:rsid w:val="00314AB9"/>
    <w:rsid w:val="0031508D"/>
    <w:rsid w:val="0031536C"/>
    <w:rsid w:val="00315488"/>
    <w:rsid w:val="0031577E"/>
    <w:rsid w:val="00315B2A"/>
    <w:rsid w:val="00315F91"/>
    <w:rsid w:val="0031626D"/>
    <w:rsid w:val="00316625"/>
    <w:rsid w:val="00316671"/>
    <w:rsid w:val="00316EEA"/>
    <w:rsid w:val="0031724D"/>
    <w:rsid w:val="00317766"/>
    <w:rsid w:val="003178F4"/>
    <w:rsid w:val="00317B17"/>
    <w:rsid w:val="00317C07"/>
    <w:rsid w:val="00317C2D"/>
    <w:rsid w:val="00317F96"/>
    <w:rsid w:val="0032016F"/>
    <w:rsid w:val="00320238"/>
    <w:rsid w:val="0032025E"/>
    <w:rsid w:val="0032039F"/>
    <w:rsid w:val="003203EC"/>
    <w:rsid w:val="003205B0"/>
    <w:rsid w:val="00320CFC"/>
    <w:rsid w:val="00320EBE"/>
    <w:rsid w:val="00320F41"/>
    <w:rsid w:val="003212E8"/>
    <w:rsid w:val="003215C6"/>
    <w:rsid w:val="0032163B"/>
    <w:rsid w:val="00321994"/>
    <w:rsid w:val="003219EE"/>
    <w:rsid w:val="00321EEA"/>
    <w:rsid w:val="00321EFC"/>
    <w:rsid w:val="00322316"/>
    <w:rsid w:val="0032250B"/>
    <w:rsid w:val="0032295B"/>
    <w:rsid w:val="00322AED"/>
    <w:rsid w:val="00322EF8"/>
    <w:rsid w:val="00322FB8"/>
    <w:rsid w:val="003230E6"/>
    <w:rsid w:val="0032399B"/>
    <w:rsid w:val="00323EA3"/>
    <w:rsid w:val="00323EB5"/>
    <w:rsid w:val="00323F57"/>
    <w:rsid w:val="00324066"/>
    <w:rsid w:val="0032463E"/>
    <w:rsid w:val="0032472B"/>
    <w:rsid w:val="00324831"/>
    <w:rsid w:val="003248C2"/>
    <w:rsid w:val="00324CCF"/>
    <w:rsid w:val="00324E99"/>
    <w:rsid w:val="003250F6"/>
    <w:rsid w:val="00325349"/>
    <w:rsid w:val="003256AA"/>
    <w:rsid w:val="00325991"/>
    <w:rsid w:val="00325C77"/>
    <w:rsid w:val="00325F02"/>
    <w:rsid w:val="00325F64"/>
    <w:rsid w:val="00326028"/>
    <w:rsid w:val="003260CF"/>
    <w:rsid w:val="00326113"/>
    <w:rsid w:val="0032622B"/>
    <w:rsid w:val="00326352"/>
    <w:rsid w:val="00326354"/>
    <w:rsid w:val="0032655C"/>
    <w:rsid w:val="00326669"/>
    <w:rsid w:val="00326857"/>
    <w:rsid w:val="0032693B"/>
    <w:rsid w:val="003269EF"/>
    <w:rsid w:val="00326B4D"/>
    <w:rsid w:val="00326BC5"/>
    <w:rsid w:val="00326CD7"/>
    <w:rsid w:val="00326D41"/>
    <w:rsid w:val="003276AA"/>
    <w:rsid w:val="003277E4"/>
    <w:rsid w:val="0032792F"/>
    <w:rsid w:val="003300E9"/>
    <w:rsid w:val="003301B9"/>
    <w:rsid w:val="00330FE3"/>
    <w:rsid w:val="0033117D"/>
    <w:rsid w:val="003312A0"/>
    <w:rsid w:val="00331385"/>
    <w:rsid w:val="003316B6"/>
    <w:rsid w:val="00331977"/>
    <w:rsid w:val="003319F9"/>
    <w:rsid w:val="00331BEF"/>
    <w:rsid w:val="00331EDD"/>
    <w:rsid w:val="00332CBE"/>
    <w:rsid w:val="0033301C"/>
    <w:rsid w:val="003330C7"/>
    <w:rsid w:val="003336AF"/>
    <w:rsid w:val="00333744"/>
    <w:rsid w:val="00333B48"/>
    <w:rsid w:val="00333B90"/>
    <w:rsid w:val="00333BFB"/>
    <w:rsid w:val="00333DC8"/>
    <w:rsid w:val="00333E69"/>
    <w:rsid w:val="00334179"/>
    <w:rsid w:val="00334560"/>
    <w:rsid w:val="0033460F"/>
    <w:rsid w:val="003346B4"/>
    <w:rsid w:val="003347CA"/>
    <w:rsid w:val="00334960"/>
    <w:rsid w:val="0033498E"/>
    <w:rsid w:val="00334CC8"/>
    <w:rsid w:val="00334F30"/>
    <w:rsid w:val="00335175"/>
    <w:rsid w:val="00335C1B"/>
    <w:rsid w:val="00335C41"/>
    <w:rsid w:val="00335FE1"/>
    <w:rsid w:val="003362FA"/>
    <w:rsid w:val="00336375"/>
    <w:rsid w:val="003365FB"/>
    <w:rsid w:val="0033745F"/>
    <w:rsid w:val="00337736"/>
    <w:rsid w:val="003377A2"/>
    <w:rsid w:val="003377C6"/>
    <w:rsid w:val="00337E1A"/>
    <w:rsid w:val="00340047"/>
    <w:rsid w:val="0034015E"/>
    <w:rsid w:val="0034023D"/>
    <w:rsid w:val="003408DC"/>
    <w:rsid w:val="0034149F"/>
    <w:rsid w:val="00341B6D"/>
    <w:rsid w:val="0034212B"/>
    <w:rsid w:val="00342291"/>
    <w:rsid w:val="00342393"/>
    <w:rsid w:val="00342B3E"/>
    <w:rsid w:val="00342CC7"/>
    <w:rsid w:val="00343511"/>
    <w:rsid w:val="003435FB"/>
    <w:rsid w:val="0034372D"/>
    <w:rsid w:val="00343C37"/>
    <w:rsid w:val="003440CE"/>
    <w:rsid w:val="003445F9"/>
    <w:rsid w:val="00344A87"/>
    <w:rsid w:val="00344B5B"/>
    <w:rsid w:val="00344EB0"/>
    <w:rsid w:val="00345107"/>
    <w:rsid w:val="00345226"/>
    <w:rsid w:val="0034527A"/>
    <w:rsid w:val="00345724"/>
    <w:rsid w:val="00345831"/>
    <w:rsid w:val="003458F6"/>
    <w:rsid w:val="0034597E"/>
    <w:rsid w:val="00345C8B"/>
    <w:rsid w:val="00345D29"/>
    <w:rsid w:val="00345D8C"/>
    <w:rsid w:val="00345E5E"/>
    <w:rsid w:val="003462F6"/>
    <w:rsid w:val="00346599"/>
    <w:rsid w:val="00346631"/>
    <w:rsid w:val="00346641"/>
    <w:rsid w:val="00346922"/>
    <w:rsid w:val="00346D8E"/>
    <w:rsid w:val="00346EAA"/>
    <w:rsid w:val="00346ED3"/>
    <w:rsid w:val="00346F14"/>
    <w:rsid w:val="0034731C"/>
    <w:rsid w:val="00347651"/>
    <w:rsid w:val="00347779"/>
    <w:rsid w:val="00347B9D"/>
    <w:rsid w:val="00347D18"/>
    <w:rsid w:val="00350211"/>
    <w:rsid w:val="0035041A"/>
    <w:rsid w:val="003504AC"/>
    <w:rsid w:val="00350500"/>
    <w:rsid w:val="00350596"/>
    <w:rsid w:val="00350B6B"/>
    <w:rsid w:val="00350E02"/>
    <w:rsid w:val="00351091"/>
    <w:rsid w:val="003516DE"/>
    <w:rsid w:val="00351D2C"/>
    <w:rsid w:val="00351F38"/>
    <w:rsid w:val="00352284"/>
    <w:rsid w:val="00352CE3"/>
    <w:rsid w:val="00352EEF"/>
    <w:rsid w:val="003534FC"/>
    <w:rsid w:val="0035381E"/>
    <w:rsid w:val="003538CC"/>
    <w:rsid w:val="0035428A"/>
    <w:rsid w:val="00354342"/>
    <w:rsid w:val="00354632"/>
    <w:rsid w:val="0035471B"/>
    <w:rsid w:val="00354A7B"/>
    <w:rsid w:val="00354EEA"/>
    <w:rsid w:val="003552B7"/>
    <w:rsid w:val="0035557D"/>
    <w:rsid w:val="003558FD"/>
    <w:rsid w:val="00355A3F"/>
    <w:rsid w:val="00355CD2"/>
    <w:rsid w:val="00355D97"/>
    <w:rsid w:val="00355DB7"/>
    <w:rsid w:val="00356362"/>
    <w:rsid w:val="003565B0"/>
    <w:rsid w:val="003566B7"/>
    <w:rsid w:val="00356CE7"/>
    <w:rsid w:val="0035732D"/>
    <w:rsid w:val="00357A8F"/>
    <w:rsid w:val="00357B8C"/>
    <w:rsid w:val="00357F20"/>
    <w:rsid w:val="00360143"/>
    <w:rsid w:val="003602D5"/>
    <w:rsid w:val="003605F2"/>
    <w:rsid w:val="00360791"/>
    <w:rsid w:val="00360AD3"/>
    <w:rsid w:val="00360CCA"/>
    <w:rsid w:val="00360D70"/>
    <w:rsid w:val="00360F1F"/>
    <w:rsid w:val="0036108D"/>
    <w:rsid w:val="003616CA"/>
    <w:rsid w:val="00361CAF"/>
    <w:rsid w:val="00361D37"/>
    <w:rsid w:val="00362250"/>
    <w:rsid w:val="003627C8"/>
    <w:rsid w:val="0036286B"/>
    <w:rsid w:val="00362D37"/>
    <w:rsid w:val="00362D9F"/>
    <w:rsid w:val="00362E89"/>
    <w:rsid w:val="00363043"/>
    <w:rsid w:val="003634AC"/>
    <w:rsid w:val="00363AAA"/>
    <w:rsid w:val="00363C3F"/>
    <w:rsid w:val="00364064"/>
    <w:rsid w:val="003646FA"/>
    <w:rsid w:val="003647F6"/>
    <w:rsid w:val="00364820"/>
    <w:rsid w:val="00364838"/>
    <w:rsid w:val="00364B98"/>
    <w:rsid w:val="00364F20"/>
    <w:rsid w:val="00365168"/>
    <w:rsid w:val="0036550E"/>
    <w:rsid w:val="003656A5"/>
    <w:rsid w:val="00366C37"/>
    <w:rsid w:val="00366F06"/>
    <w:rsid w:val="0036719E"/>
    <w:rsid w:val="00367498"/>
    <w:rsid w:val="003678B5"/>
    <w:rsid w:val="00367D16"/>
    <w:rsid w:val="00367D93"/>
    <w:rsid w:val="00367EDF"/>
    <w:rsid w:val="003707C8"/>
    <w:rsid w:val="00370C69"/>
    <w:rsid w:val="00370FE0"/>
    <w:rsid w:val="00371037"/>
    <w:rsid w:val="00371196"/>
    <w:rsid w:val="0037124C"/>
    <w:rsid w:val="003712BA"/>
    <w:rsid w:val="00371A3E"/>
    <w:rsid w:val="00371B18"/>
    <w:rsid w:val="00371F1E"/>
    <w:rsid w:val="00372B0B"/>
    <w:rsid w:val="0037363D"/>
    <w:rsid w:val="0037382B"/>
    <w:rsid w:val="00373C76"/>
    <w:rsid w:val="00373E6B"/>
    <w:rsid w:val="003748CB"/>
    <w:rsid w:val="00374C43"/>
    <w:rsid w:val="00374E10"/>
    <w:rsid w:val="0037573B"/>
    <w:rsid w:val="00375A64"/>
    <w:rsid w:val="00376065"/>
    <w:rsid w:val="00376111"/>
    <w:rsid w:val="003761B9"/>
    <w:rsid w:val="00376351"/>
    <w:rsid w:val="003765C8"/>
    <w:rsid w:val="00376631"/>
    <w:rsid w:val="003767D7"/>
    <w:rsid w:val="0037689A"/>
    <w:rsid w:val="00376C21"/>
    <w:rsid w:val="00377510"/>
    <w:rsid w:val="003776B0"/>
    <w:rsid w:val="00377757"/>
    <w:rsid w:val="003779D6"/>
    <w:rsid w:val="00377DB8"/>
    <w:rsid w:val="00377E7B"/>
    <w:rsid w:val="0038033D"/>
    <w:rsid w:val="00380406"/>
    <w:rsid w:val="003804AE"/>
    <w:rsid w:val="003804C5"/>
    <w:rsid w:val="00380505"/>
    <w:rsid w:val="00380B31"/>
    <w:rsid w:val="00380C34"/>
    <w:rsid w:val="00380CC8"/>
    <w:rsid w:val="00381066"/>
    <w:rsid w:val="003810F7"/>
    <w:rsid w:val="003813C4"/>
    <w:rsid w:val="0038155B"/>
    <w:rsid w:val="003815FD"/>
    <w:rsid w:val="003820F2"/>
    <w:rsid w:val="0038220F"/>
    <w:rsid w:val="003822B9"/>
    <w:rsid w:val="003824C3"/>
    <w:rsid w:val="003824FA"/>
    <w:rsid w:val="003829EA"/>
    <w:rsid w:val="00382BF9"/>
    <w:rsid w:val="00382C85"/>
    <w:rsid w:val="00382D65"/>
    <w:rsid w:val="00383180"/>
    <w:rsid w:val="00383787"/>
    <w:rsid w:val="00383915"/>
    <w:rsid w:val="0038397F"/>
    <w:rsid w:val="00383B3C"/>
    <w:rsid w:val="00383BF5"/>
    <w:rsid w:val="00383F69"/>
    <w:rsid w:val="00384012"/>
    <w:rsid w:val="0038406A"/>
    <w:rsid w:val="00384BB4"/>
    <w:rsid w:val="0038540F"/>
    <w:rsid w:val="003857D9"/>
    <w:rsid w:val="00385854"/>
    <w:rsid w:val="0038598B"/>
    <w:rsid w:val="003859F6"/>
    <w:rsid w:val="00385A1C"/>
    <w:rsid w:val="00385A6D"/>
    <w:rsid w:val="00385D5B"/>
    <w:rsid w:val="003863AE"/>
    <w:rsid w:val="003865FE"/>
    <w:rsid w:val="00386684"/>
    <w:rsid w:val="00386913"/>
    <w:rsid w:val="00386A41"/>
    <w:rsid w:val="003876A9"/>
    <w:rsid w:val="00387C2B"/>
    <w:rsid w:val="00387DFD"/>
    <w:rsid w:val="00387E82"/>
    <w:rsid w:val="0039004A"/>
    <w:rsid w:val="003900AE"/>
    <w:rsid w:val="0039012C"/>
    <w:rsid w:val="00390304"/>
    <w:rsid w:val="003903DB"/>
    <w:rsid w:val="0039057C"/>
    <w:rsid w:val="00390958"/>
    <w:rsid w:val="00390F53"/>
    <w:rsid w:val="0039116B"/>
    <w:rsid w:val="003915ED"/>
    <w:rsid w:val="003917A3"/>
    <w:rsid w:val="003919EB"/>
    <w:rsid w:val="00391D78"/>
    <w:rsid w:val="00391F81"/>
    <w:rsid w:val="0039201E"/>
    <w:rsid w:val="003922FA"/>
    <w:rsid w:val="003927AF"/>
    <w:rsid w:val="003929D3"/>
    <w:rsid w:val="00392B53"/>
    <w:rsid w:val="00393606"/>
    <w:rsid w:val="00393755"/>
    <w:rsid w:val="00393CEA"/>
    <w:rsid w:val="00393D04"/>
    <w:rsid w:val="0039461E"/>
    <w:rsid w:val="00394A95"/>
    <w:rsid w:val="00394D3F"/>
    <w:rsid w:val="003955D1"/>
    <w:rsid w:val="00395E5E"/>
    <w:rsid w:val="00395E7E"/>
    <w:rsid w:val="00396538"/>
    <w:rsid w:val="00396550"/>
    <w:rsid w:val="00396606"/>
    <w:rsid w:val="00396628"/>
    <w:rsid w:val="00396D9E"/>
    <w:rsid w:val="00397498"/>
    <w:rsid w:val="003976BF"/>
    <w:rsid w:val="00397B47"/>
    <w:rsid w:val="00397F8E"/>
    <w:rsid w:val="003A02F1"/>
    <w:rsid w:val="003A054D"/>
    <w:rsid w:val="003A06CF"/>
    <w:rsid w:val="003A0947"/>
    <w:rsid w:val="003A09EF"/>
    <w:rsid w:val="003A0B4B"/>
    <w:rsid w:val="003A0D2C"/>
    <w:rsid w:val="003A0FF0"/>
    <w:rsid w:val="003A123E"/>
    <w:rsid w:val="003A1861"/>
    <w:rsid w:val="003A1BB7"/>
    <w:rsid w:val="003A1BCB"/>
    <w:rsid w:val="003A1E3C"/>
    <w:rsid w:val="003A27FE"/>
    <w:rsid w:val="003A2BA8"/>
    <w:rsid w:val="003A30B9"/>
    <w:rsid w:val="003A31A5"/>
    <w:rsid w:val="003A3476"/>
    <w:rsid w:val="003A357F"/>
    <w:rsid w:val="003A3688"/>
    <w:rsid w:val="003A37DC"/>
    <w:rsid w:val="003A38AB"/>
    <w:rsid w:val="003A397E"/>
    <w:rsid w:val="003A3BDF"/>
    <w:rsid w:val="003A3DD4"/>
    <w:rsid w:val="003A3F00"/>
    <w:rsid w:val="003A4038"/>
    <w:rsid w:val="003A4088"/>
    <w:rsid w:val="003A42C4"/>
    <w:rsid w:val="003A4B13"/>
    <w:rsid w:val="003A4D6A"/>
    <w:rsid w:val="003A4F44"/>
    <w:rsid w:val="003A51A8"/>
    <w:rsid w:val="003A5228"/>
    <w:rsid w:val="003A576A"/>
    <w:rsid w:val="003A5BB2"/>
    <w:rsid w:val="003A5C07"/>
    <w:rsid w:val="003A5D0F"/>
    <w:rsid w:val="003A5FDC"/>
    <w:rsid w:val="003A6080"/>
    <w:rsid w:val="003A67CD"/>
    <w:rsid w:val="003A6D58"/>
    <w:rsid w:val="003A6D6B"/>
    <w:rsid w:val="003A70B1"/>
    <w:rsid w:val="003A71AE"/>
    <w:rsid w:val="003A74A6"/>
    <w:rsid w:val="003A772C"/>
    <w:rsid w:val="003A7940"/>
    <w:rsid w:val="003A7CD0"/>
    <w:rsid w:val="003A7D58"/>
    <w:rsid w:val="003B02FD"/>
    <w:rsid w:val="003B080A"/>
    <w:rsid w:val="003B0D15"/>
    <w:rsid w:val="003B1202"/>
    <w:rsid w:val="003B196F"/>
    <w:rsid w:val="003B1995"/>
    <w:rsid w:val="003B1E63"/>
    <w:rsid w:val="003B218F"/>
    <w:rsid w:val="003B274B"/>
    <w:rsid w:val="003B2E9C"/>
    <w:rsid w:val="003B2F78"/>
    <w:rsid w:val="003B3365"/>
    <w:rsid w:val="003B34C5"/>
    <w:rsid w:val="003B3738"/>
    <w:rsid w:val="003B3884"/>
    <w:rsid w:val="003B3B52"/>
    <w:rsid w:val="003B3B54"/>
    <w:rsid w:val="003B3C9E"/>
    <w:rsid w:val="003B418F"/>
    <w:rsid w:val="003B4542"/>
    <w:rsid w:val="003B457A"/>
    <w:rsid w:val="003B45DE"/>
    <w:rsid w:val="003B48D6"/>
    <w:rsid w:val="003B4C1E"/>
    <w:rsid w:val="003B4F05"/>
    <w:rsid w:val="003B519C"/>
    <w:rsid w:val="003B52C0"/>
    <w:rsid w:val="003B54B1"/>
    <w:rsid w:val="003B54CF"/>
    <w:rsid w:val="003B56D3"/>
    <w:rsid w:val="003B59A1"/>
    <w:rsid w:val="003B5ABA"/>
    <w:rsid w:val="003B5F11"/>
    <w:rsid w:val="003B5F6B"/>
    <w:rsid w:val="003B5F82"/>
    <w:rsid w:val="003B6019"/>
    <w:rsid w:val="003B618B"/>
    <w:rsid w:val="003B62EB"/>
    <w:rsid w:val="003B646A"/>
    <w:rsid w:val="003B6954"/>
    <w:rsid w:val="003B6C56"/>
    <w:rsid w:val="003B6D75"/>
    <w:rsid w:val="003B6E45"/>
    <w:rsid w:val="003B73A7"/>
    <w:rsid w:val="003B74B2"/>
    <w:rsid w:val="003B767F"/>
    <w:rsid w:val="003B79E3"/>
    <w:rsid w:val="003B7A66"/>
    <w:rsid w:val="003B7D9E"/>
    <w:rsid w:val="003B7F26"/>
    <w:rsid w:val="003C0062"/>
    <w:rsid w:val="003C05C7"/>
    <w:rsid w:val="003C0DB9"/>
    <w:rsid w:val="003C0F64"/>
    <w:rsid w:val="003C0FA1"/>
    <w:rsid w:val="003C1167"/>
    <w:rsid w:val="003C1253"/>
    <w:rsid w:val="003C127F"/>
    <w:rsid w:val="003C12D5"/>
    <w:rsid w:val="003C1451"/>
    <w:rsid w:val="003C159C"/>
    <w:rsid w:val="003C1630"/>
    <w:rsid w:val="003C1DDB"/>
    <w:rsid w:val="003C1F43"/>
    <w:rsid w:val="003C239C"/>
    <w:rsid w:val="003C2844"/>
    <w:rsid w:val="003C2901"/>
    <w:rsid w:val="003C2A83"/>
    <w:rsid w:val="003C2EBD"/>
    <w:rsid w:val="003C3391"/>
    <w:rsid w:val="003C3502"/>
    <w:rsid w:val="003C35D0"/>
    <w:rsid w:val="003C3747"/>
    <w:rsid w:val="003C37F5"/>
    <w:rsid w:val="003C3AF0"/>
    <w:rsid w:val="003C3BB4"/>
    <w:rsid w:val="003C3C04"/>
    <w:rsid w:val="003C3C19"/>
    <w:rsid w:val="003C3D0F"/>
    <w:rsid w:val="003C4336"/>
    <w:rsid w:val="003C43D7"/>
    <w:rsid w:val="003C4BDA"/>
    <w:rsid w:val="003C4E03"/>
    <w:rsid w:val="003C554E"/>
    <w:rsid w:val="003C5A63"/>
    <w:rsid w:val="003C5AF9"/>
    <w:rsid w:val="003C6212"/>
    <w:rsid w:val="003C628D"/>
    <w:rsid w:val="003C6487"/>
    <w:rsid w:val="003C67B1"/>
    <w:rsid w:val="003C6ADE"/>
    <w:rsid w:val="003C6BCB"/>
    <w:rsid w:val="003C6E3C"/>
    <w:rsid w:val="003C6FCA"/>
    <w:rsid w:val="003C70F5"/>
    <w:rsid w:val="003C743E"/>
    <w:rsid w:val="003C75C3"/>
    <w:rsid w:val="003C7795"/>
    <w:rsid w:val="003C78BA"/>
    <w:rsid w:val="003D00B3"/>
    <w:rsid w:val="003D01BA"/>
    <w:rsid w:val="003D0463"/>
    <w:rsid w:val="003D0B81"/>
    <w:rsid w:val="003D0BF0"/>
    <w:rsid w:val="003D0FC7"/>
    <w:rsid w:val="003D11CB"/>
    <w:rsid w:val="003D12DE"/>
    <w:rsid w:val="003D18A7"/>
    <w:rsid w:val="003D1AF5"/>
    <w:rsid w:val="003D1B2C"/>
    <w:rsid w:val="003D1BBC"/>
    <w:rsid w:val="003D1CD3"/>
    <w:rsid w:val="003D23D8"/>
    <w:rsid w:val="003D2884"/>
    <w:rsid w:val="003D2AC4"/>
    <w:rsid w:val="003D2B9E"/>
    <w:rsid w:val="003D301F"/>
    <w:rsid w:val="003D30C6"/>
    <w:rsid w:val="003D3122"/>
    <w:rsid w:val="003D3439"/>
    <w:rsid w:val="003D34D5"/>
    <w:rsid w:val="003D3958"/>
    <w:rsid w:val="003D39CD"/>
    <w:rsid w:val="003D3E27"/>
    <w:rsid w:val="003D3E51"/>
    <w:rsid w:val="003D421B"/>
    <w:rsid w:val="003D4B12"/>
    <w:rsid w:val="003D4F69"/>
    <w:rsid w:val="003D513E"/>
    <w:rsid w:val="003D53FA"/>
    <w:rsid w:val="003D5590"/>
    <w:rsid w:val="003D5623"/>
    <w:rsid w:val="003D564B"/>
    <w:rsid w:val="003D56F1"/>
    <w:rsid w:val="003D59A8"/>
    <w:rsid w:val="003D6365"/>
    <w:rsid w:val="003D64C0"/>
    <w:rsid w:val="003D680F"/>
    <w:rsid w:val="003D6D16"/>
    <w:rsid w:val="003D709C"/>
    <w:rsid w:val="003D794A"/>
    <w:rsid w:val="003D7BCF"/>
    <w:rsid w:val="003D7C5E"/>
    <w:rsid w:val="003D7D19"/>
    <w:rsid w:val="003E0387"/>
    <w:rsid w:val="003E043D"/>
    <w:rsid w:val="003E0D32"/>
    <w:rsid w:val="003E0EF5"/>
    <w:rsid w:val="003E119A"/>
    <w:rsid w:val="003E11F4"/>
    <w:rsid w:val="003E1368"/>
    <w:rsid w:val="003E18DE"/>
    <w:rsid w:val="003E1A48"/>
    <w:rsid w:val="003E1B31"/>
    <w:rsid w:val="003E1C5F"/>
    <w:rsid w:val="003E1F9C"/>
    <w:rsid w:val="003E25B7"/>
    <w:rsid w:val="003E2797"/>
    <w:rsid w:val="003E2850"/>
    <w:rsid w:val="003E2E21"/>
    <w:rsid w:val="003E2F42"/>
    <w:rsid w:val="003E3661"/>
    <w:rsid w:val="003E3A2A"/>
    <w:rsid w:val="003E3CE3"/>
    <w:rsid w:val="003E3D6F"/>
    <w:rsid w:val="003E3E36"/>
    <w:rsid w:val="003E3F9A"/>
    <w:rsid w:val="003E405C"/>
    <w:rsid w:val="003E4287"/>
    <w:rsid w:val="003E43A6"/>
    <w:rsid w:val="003E46C2"/>
    <w:rsid w:val="003E492D"/>
    <w:rsid w:val="003E49DE"/>
    <w:rsid w:val="003E4CB8"/>
    <w:rsid w:val="003E4FC8"/>
    <w:rsid w:val="003E50E2"/>
    <w:rsid w:val="003E5412"/>
    <w:rsid w:val="003E58AF"/>
    <w:rsid w:val="003E5A47"/>
    <w:rsid w:val="003E5D51"/>
    <w:rsid w:val="003E64D8"/>
    <w:rsid w:val="003E658F"/>
    <w:rsid w:val="003E68A3"/>
    <w:rsid w:val="003E6997"/>
    <w:rsid w:val="003E69A4"/>
    <w:rsid w:val="003E6A8D"/>
    <w:rsid w:val="003E6BD3"/>
    <w:rsid w:val="003E707E"/>
    <w:rsid w:val="003E7213"/>
    <w:rsid w:val="003E748E"/>
    <w:rsid w:val="003E78F8"/>
    <w:rsid w:val="003E7956"/>
    <w:rsid w:val="003E7CD6"/>
    <w:rsid w:val="003E7EDC"/>
    <w:rsid w:val="003E7F75"/>
    <w:rsid w:val="003F0111"/>
    <w:rsid w:val="003F0985"/>
    <w:rsid w:val="003F099C"/>
    <w:rsid w:val="003F0B11"/>
    <w:rsid w:val="003F0B55"/>
    <w:rsid w:val="003F0E08"/>
    <w:rsid w:val="003F0E6C"/>
    <w:rsid w:val="003F0FBA"/>
    <w:rsid w:val="003F10E0"/>
    <w:rsid w:val="003F11E3"/>
    <w:rsid w:val="003F12D7"/>
    <w:rsid w:val="003F177E"/>
    <w:rsid w:val="003F1905"/>
    <w:rsid w:val="003F1A23"/>
    <w:rsid w:val="003F1B8D"/>
    <w:rsid w:val="003F1BC9"/>
    <w:rsid w:val="003F1D84"/>
    <w:rsid w:val="003F1E4A"/>
    <w:rsid w:val="003F1FFE"/>
    <w:rsid w:val="003F2208"/>
    <w:rsid w:val="003F236F"/>
    <w:rsid w:val="003F2443"/>
    <w:rsid w:val="003F27BA"/>
    <w:rsid w:val="003F2A28"/>
    <w:rsid w:val="003F2E82"/>
    <w:rsid w:val="003F32F4"/>
    <w:rsid w:val="003F34B8"/>
    <w:rsid w:val="003F34F3"/>
    <w:rsid w:val="003F35F4"/>
    <w:rsid w:val="003F36F1"/>
    <w:rsid w:val="003F3918"/>
    <w:rsid w:val="003F3A0A"/>
    <w:rsid w:val="003F3EFE"/>
    <w:rsid w:val="003F3F57"/>
    <w:rsid w:val="003F4849"/>
    <w:rsid w:val="003F48AB"/>
    <w:rsid w:val="003F49EC"/>
    <w:rsid w:val="003F4DBC"/>
    <w:rsid w:val="003F4DF8"/>
    <w:rsid w:val="003F4EFB"/>
    <w:rsid w:val="003F51A9"/>
    <w:rsid w:val="003F51D1"/>
    <w:rsid w:val="003F5527"/>
    <w:rsid w:val="003F5D4C"/>
    <w:rsid w:val="003F6031"/>
    <w:rsid w:val="003F6597"/>
    <w:rsid w:val="003F6EFD"/>
    <w:rsid w:val="003F77AE"/>
    <w:rsid w:val="003F7B64"/>
    <w:rsid w:val="003F7B74"/>
    <w:rsid w:val="003F7B81"/>
    <w:rsid w:val="0040003D"/>
    <w:rsid w:val="0040015B"/>
    <w:rsid w:val="0040052A"/>
    <w:rsid w:val="00400573"/>
    <w:rsid w:val="00400633"/>
    <w:rsid w:val="004008C1"/>
    <w:rsid w:val="00401163"/>
    <w:rsid w:val="004011AB"/>
    <w:rsid w:val="004012BB"/>
    <w:rsid w:val="004013CC"/>
    <w:rsid w:val="00401692"/>
    <w:rsid w:val="00401759"/>
    <w:rsid w:val="00401DEC"/>
    <w:rsid w:val="00402183"/>
    <w:rsid w:val="0040224F"/>
    <w:rsid w:val="00402658"/>
    <w:rsid w:val="004029D4"/>
    <w:rsid w:val="00402BD2"/>
    <w:rsid w:val="00402D3F"/>
    <w:rsid w:val="00402E60"/>
    <w:rsid w:val="00403018"/>
    <w:rsid w:val="004030A3"/>
    <w:rsid w:val="004031FD"/>
    <w:rsid w:val="00403357"/>
    <w:rsid w:val="00403773"/>
    <w:rsid w:val="0040396E"/>
    <w:rsid w:val="00403A30"/>
    <w:rsid w:val="00403BEA"/>
    <w:rsid w:val="00403F1D"/>
    <w:rsid w:val="00404059"/>
    <w:rsid w:val="004043B1"/>
    <w:rsid w:val="0040485D"/>
    <w:rsid w:val="00404BBB"/>
    <w:rsid w:val="00404C0B"/>
    <w:rsid w:val="00404F76"/>
    <w:rsid w:val="00405465"/>
    <w:rsid w:val="00405515"/>
    <w:rsid w:val="00405B4E"/>
    <w:rsid w:val="004063A9"/>
    <w:rsid w:val="00406544"/>
    <w:rsid w:val="004065C6"/>
    <w:rsid w:val="004066D5"/>
    <w:rsid w:val="00406737"/>
    <w:rsid w:val="00406DF4"/>
    <w:rsid w:val="004072DF"/>
    <w:rsid w:val="0040751E"/>
    <w:rsid w:val="00407634"/>
    <w:rsid w:val="00407642"/>
    <w:rsid w:val="00407B1B"/>
    <w:rsid w:val="004100F4"/>
    <w:rsid w:val="00410167"/>
    <w:rsid w:val="00410346"/>
    <w:rsid w:val="0041038D"/>
    <w:rsid w:val="00410971"/>
    <w:rsid w:val="00410AF6"/>
    <w:rsid w:val="00410B8D"/>
    <w:rsid w:val="00410E88"/>
    <w:rsid w:val="004111B9"/>
    <w:rsid w:val="004116F3"/>
    <w:rsid w:val="00411B05"/>
    <w:rsid w:val="00411B6E"/>
    <w:rsid w:val="00411BD4"/>
    <w:rsid w:val="00411CD0"/>
    <w:rsid w:val="00411DEF"/>
    <w:rsid w:val="00411E68"/>
    <w:rsid w:val="00412011"/>
    <w:rsid w:val="0041228C"/>
    <w:rsid w:val="00412373"/>
    <w:rsid w:val="0041269E"/>
    <w:rsid w:val="004126F4"/>
    <w:rsid w:val="00412CDC"/>
    <w:rsid w:val="00412FAC"/>
    <w:rsid w:val="00412FF8"/>
    <w:rsid w:val="0041312C"/>
    <w:rsid w:val="004133BB"/>
    <w:rsid w:val="00413527"/>
    <w:rsid w:val="004135E2"/>
    <w:rsid w:val="004137CF"/>
    <w:rsid w:val="004138F1"/>
    <w:rsid w:val="00413B10"/>
    <w:rsid w:val="00413FB3"/>
    <w:rsid w:val="004140A9"/>
    <w:rsid w:val="004142ED"/>
    <w:rsid w:val="004146C6"/>
    <w:rsid w:val="00414B3C"/>
    <w:rsid w:val="00414DC4"/>
    <w:rsid w:val="004151E0"/>
    <w:rsid w:val="00415342"/>
    <w:rsid w:val="004153A4"/>
    <w:rsid w:val="004158A5"/>
    <w:rsid w:val="004158BC"/>
    <w:rsid w:val="0041598F"/>
    <w:rsid w:val="00415A65"/>
    <w:rsid w:val="00415AE2"/>
    <w:rsid w:val="00415C42"/>
    <w:rsid w:val="00415E22"/>
    <w:rsid w:val="00415FF3"/>
    <w:rsid w:val="00416160"/>
    <w:rsid w:val="004161A2"/>
    <w:rsid w:val="004162E6"/>
    <w:rsid w:val="004162FA"/>
    <w:rsid w:val="00416BBE"/>
    <w:rsid w:val="0041712F"/>
    <w:rsid w:val="0041720A"/>
    <w:rsid w:val="0041795E"/>
    <w:rsid w:val="00417AEE"/>
    <w:rsid w:val="00417BD1"/>
    <w:rsid w:val="00417E91"/>
    <w:rsid w:val="0042011B"/>
    <w:rsid w:val="00420523"/>
    <w:rsid w:val="004206DC"/>
    <w:rsid w:val="0042077C"/>
    <w:rsid w:val="004209BA"/>
    <w:rsid w:val="004209C4"/>
    <w:rsid w:val="00420B41"/>
    <w:rsid w:val="00420D10"/>
    <w:rsid w:val="00420E43"/>
    <w:rsid w:val="004211C6"/>
    <w:rsid w:val="00421223"/>
    <w:rsid w:val="00421A6C"/>
    <w:rsid w:val="00421D64"/>
    <w:rsid w:val="00421E22"/>
    <w:rsid w:val="00421EE9"/>
    <w:rsid w:val="004225FC"/>
    <w:rsid w:val="0042276F"/>
    <w:rsid w:val="004229FF"/>
    <w:rsid w:val="00422BF5"/>
    <w:rsid w:val="004231CA"/>
    <w:rsid w:val="004234D3"/>
    <w:rsid w:val="0042361C"/>
    <w:rsid w:val="00423849"/>
    <w:rsid w:val="004238C9"/>
    <w:rsid w:val="00423C0B"/>
    <w:rsid w:val="00423DD3"/>
    <w:rsid w:val="00423E4C"/>
    <w:rsid w:val="00423FC1"/>
    <w:rsid w:val="00424520"/>
    <w:rsid w:val="004248E2"/>
    <w:rsid w:val="004249BD"/>
    <w:rsid w:val="00424B15"/>
    <w:rsid w:val="00424EC5"/>
    <w:rsid w:val="00425286"/>
    <w:rsid w:val="004255E7"/>
    <w:rsid w:val="00425A19"/>
    <w:rsid w:val="00425C83"/>
    <w:rsid w:val="00425C92"/>
    <w:rsid w:val="00425E49"/>
    <w:rsid w:val="00425FC3"/>
    <w:rsid w:val="004260E1"/>
    <w:rsid w:val="00426BE4"/>
    <w:rsid w:val="00426D04"/>
    <w:rsid w:val="00426DC2"/>
    <w:rsid w:val="00426E68"/>
    <w:rsid w:val="00427364"/>
    <w:rsid w:val="004274B9"/>
    <w:rsid w:val="0042764F"/>
    <w:rsid w:val="004279A7"/>
    <w:rsid w:val="00427D52"/>
    <w:rsid w:val="00427D7B"/>
    <w:rsid w:val="00427E98"/>
    <w:rsid w:val="00427FCC"/>
    <w:rsid w:val="00430429"/>
    <w:rsid w:val="00430553"/>
    <w:rsid w:val="00430579"/>
    <w:rsid w:val="00430D0D"/>
    <w:rsid w:val="00430F6E"/>
    <w:rsid w:val="004310B8"/>
    <w:rsid w:val="004312BE"/>
    <w:rsid w:val="00431638"/>
    <w:rsid w:val="0043175E"/>
    <w:rsid w:val="00431826"/>
    <w:rsid w:val="00431C7E"/>
    <w:rsid w:val="004320CE"/>
    <w:rsid w:val="00432102"/>
    <w:rsid w:val="00432686"/>
    <w:rsid w:val="004326A0"/>
    <w:rsid w:val="004326BF"/>
    <w:rsid w:val="00432ADC"/>
    <w:rsid w:val="0043301D"/>
    <w:rsid w:val="00433172"/>
    <w:rsid w:val="004337B4"/>
    <w:rsid w:val="00433A49"/>
    <w:rsid w:val="00433A9D"/>
    <w:rsid w:val="00433CEA"/>
    <w:rsid w:val="00433D1B"/>
    <w:rsid w:val="00433F17"/>
    <w:rsid w:val="00434176"/>
    <w:rsid w:val="0043418F"/>
    <w:rsid w:val="0043466B"/>
    <w:rsid w:val="00434768"/>
    <w:rsid w:val="004349A4"/>
    <w:rsid w:val="00434BCF"/>
    <w:rsid w:val="0043557C"/>
    <w:rsid w:val="004355A5"/>
    <w:rsid w:val="00435644"/>
    <w:rsid w:val="00435852"/>
    <w:rsid w:val="00435AA3"/>
    <w:rsid w:val="00435F4A"/>
    <w:rsid w:val="00436263"/>
    <w:rsid w:val="0043656C"/>
    <w:rsid w:val="004365F2"/>
    <w:rsid w:val="00436635"/>
    <w:rsid w:val="00436A62"/>
    <w:rsid w:val="00436B66"/>
    <w:rsid w:val="00436C1A"/>
    <w:rsid w:val="00436DC6"/>
    <w:rsid w:val="00436F4B"/>
    <w:rsid w:val="0043761C"/>
    <w:rsid w:val="00437759"/>
    <w:rsid w:val="004379A8"/>
    <w:rsid w:val="00437A3A"/>
    <w:rsid w:val="00437E92"/>
    <w:rsid w:val="0044048F"/>
    <w:rsid w:val="00440718"/>
    <w:rsid w:val="0044079E"/>
    <w:rsid w:val="0044116D"/>
    <w:rsid w:val="00441339"/>
    <w:rsid w:val="00441650"/>
    <w:rsid w:val="00441ACE"/>
    <w:rsid w:val="00441B81"/>
    <w:rsid w:val="00441BC8"/>
    <w:rsid w:val="00441D23"/>
    <w:rsid w:val="00441DCF"/>
    <w:rsid w:val="00441F6F"/>
    <w:rsid w:val="004425A4"/>
    <w:rsid w:val="00442671"/>
    <w:rsid w:val="0044305A"/>
    <w:rsid w:val="004431F1"/>
    <w:rsid w:val="0044337E"/>
    <w:rsid w:val="004433CD"/>
    <w:rsid w:val="004436AE"/>
    <w:rsid w:val="004437BE"/>
    <w:rsid w:val="004438C7"/>
    <w:rsid w:val="00444700"/>
    <w:rsid w:val="00444AAA"/>
    <w:rsid w:val="00444C63"/>
    <w:rsid w:val="00445177"/>
    <w:rsid w:val="00445522"/>
    <w:rsid w:val="00445862"/>
    <w:rsid w:val="004458E3"/>
    <w:rsid w:val="004458FB"/>
    <w:rsid w:val="00445956"/>
    <w:rsid w:val="00445997"/>
    <w:rsid w:val="00445B38"/>
    <w:rsid w:val="00445BEA"/>
    <w:rsid w:val="00445CE1"/>
    <w:rsid w:val="00445F0F"/>
    <w:rsid w:val="00446736"/>
    <w:rsid w:val="00446844"/>
    <w:rsid w:val="0044696F"/>
    <w:rsid w:val="00447147"/>
    <w:rsid w:val="004475A5"/>
    <w:rsid w:val="0044767B"/>
    <w:rsid w:val="004477C9"/>
    <w:rsid w:val="00447CF0"/>
    <w:rsid w:val="0045028C"/>
    <w:rsid w:val="00450673"/>
    <w:rsid w:val="004509D1"/>
    <w:rsid w:val="00450C6B"/>
    <w:rsid w:val="00450E04"/>
    <w:rsid w:val="00450FB7"/>
    <w:rsid w:val="00451ABD"/>
    <w:rsid w:val="00451B0E"/>
    <w:rsid w:val="00451B4E"/>
    <w:rsid w:val="00451BA7"/>
    <w:rsid w:val="00451FC4"/>
    <w:rsid w:val="004521A3"/>
    <w:rsid w:val="004525DD"/>
    <w:rsid w:val="00452927"/>
    <w:rsid w:val="00452C07"/>
    <w:rsid w:val="00452E35"/>
    <w:rsid w:val="00452FB9"/>
    <w:rsid w:val="0045307F"/>
    <w:rsid w:val="004530C1"/>
    <w:rsid w:val="00453318"/>
    <w:rsid w:val="004535D6"/>
    <w:rsid w:val="00453BA1"/>
    <w:rsid w:val="0045417F"/>
    <w:rsid w:val="004541C4"/>
    <w:rsid w:val="004544A4"/>
    <w:rsid w:val="004544C2"/>
    <w:rsid w:val="0045484A"/>
    <w:rsid w:val="004551B8"/>
    <w:rsid w:val="00455B55"/>
    <w:rsid w:val="00455E1C"/>
    <w:rsid w:val="00456031"/>
    <w:rsid w:val="00456179"/>
    <w:rsid w:val="00456546"/>
    <w:rsid w:val="00456919"/>
    <w:rsid w:val="00456C69"/>
    <w:rsid w:val="00456D67"/>
    <w:rsid w:val="0045726F"/>
    <w:rsid w:val="00457974"/>
    <w:rsid w:val="00460047"/>
    <w:rsid w:val="00460489"/>
    <w:rsid w:val="00460551"/>
    <w:rsid w:val="00460911"/>
    <w:rsid w:val="00460A32"/>
    <w:rsid w:val="00460AB7"/>
    <w:rsid w:val="00460EE6"/>
    <w:rsid w:val="0046110F"/>
    <w:rsid w:val="004615EF"/>
    <w:rsid w:val="004617ED"/>
    <w:rsid w:val="00461846"/>
    <w:rsid w:val="004618A2"/>
    <w:rsid w:val="004618BA"/>
    <w:rsid w:val="004619D3"/>
    <w:rsid w:val="004619D8"/>
    <w:rsid w:val="00461CC9"/>
    <w:rsid w:val="00461D20"/>
    <w:rsid w:val="00461FB1"/>
    <w:rsid w:val="00462092"/>
    <w:rsid w:val="0046271A"/>
    <w:rsid w:val="00462B6C"/>
    <w:rsid w:val="00462C8D"/>
    <w:rsid w:val="00462E11"/>
    <w:rsid w:val="00462FF6"/>
    <w:rsid w:val="00463312"/>
    <w:rsid w:val="00463B2A"/>
    <w:rsid w:val="00463C43"/>
    <w:rsid w:val="00463E49"/>
    <w:rsid w:val="00464460"/>
    <w:rsid w:val="00464929"/>
    <w:rsid w:val="004649AE"/>
    <w:rsid w:val="00464B12"/>
    <w:rsid w:val="00464F0C"/>
    <w:rsid w:val="0046526B"/>
    <w:rsid w:val="004652F8"/>
    <w:rsid w:val="004656ED"/>
    <w:rsid w:val="00465719"/>
    <w:rsid w:val="00465AF9"/>
    <w:rsid w:val="00465E53"/>
    <w:rsid w:val="00465E7B"/>
    <w:rsid w:val="00465F90"/>
    <w:rsid w:val="0046636E"/>
    <w:rsid w:val="0046660F"/>
    <w:rsid w:val="004667B1"/>
    <w:rsid w:val="00466AF5"/>
    <w:rsid w:val="00466E5B"/>
    <w:rsid w:val="00466FE3"/>
    <w:rsid w:val="004670BF"/>
    <w:rsid w:val="004670E8"/>
    <w:rsid w:val="00467621"/>
    <w:rsid w:val="00467ADA"/>
    <w:rsid w:val="00467ADC"/>
    <w:rsid w:val="00467CE6"/>
    <w:rsid w:val="00467CEE"/>
    <w:rsid w:val="00467E6D"/>
    <w:rsid w:val="0047036D"/>
    <w:rsid w:val="00470618"/>
    <w:rsid w:val="004709CA"/>
    <w:rsid w:val="00470AC8"/>
    <w:rsid w:val="00470C5E"/>
    <w:rsid w:val="00471662"/>
    <w:rsid w:val="00471688"/>
    <w:rsid w:val="0047168D"/>
    <w:rsid w:val="00471805"/>
    <w:rsid w:val="00471807"/>
    <w:rsid w:val="004719E8"/>
    <w:rsid w:val="00471F9A"/>
    <w:rsid w:val="004724B1"/>
    <w:rsid w:val="004728A8"/>
    <w:rsid w:val="00472EAA"/>
    <w:rsid w:val="0047308F"/>
    <w:rsid w:val="004732DB"/>
    <w:rsid w:val="00473435"/>
    <w:rsid w:val="00473438"/>
    <w:rsid w:val="004734C7"/>
    <w:rsid w:val="004736EB"/>
    <w:rsid w:val="004738CA"/>
    <w:rsid w:val="0047426D"/>
    <w:rsid w:val="0047433C"/>
    <w:rsid w:val="004747E0"/>
    <w:rsid w:val="004748C9"/>
    <w:rsid w:val="00474A53"/>
    <w:rsid w:val="00474BA1"/>
    <w:rsid w:val="00474C12"/>
    <w:rsid w:val="00475179"/>
    <w:rsid w:val="00475377"/>
    <w:rsid w:val="00476111"/>
    <w:rsid w:val="004764CE"/>
    <w:rsid w:val="00476971"/>
    <w:rsid w:val="00476FD4"/>
    <w:rsid w:val="00477037"/>
    <w:rsid w:val="004775E2"/>
    <w:rsid w:val="00477D11"/>
    <w:rsid w:val="00477E41"/>
    <w:rsid w:val="004805E8"/>
    <w:rsid w:val="00480634"/>
    <w:rsid w:val="00480ADE"/>
    <w:rsid w:val="00480DB2"/>
    <w:rsid w:val="00481141"/>
    <w:rsid w:val="00481308"/>
    <w:rsid w:val="00481354"/>
    <w:rsid w:val="00482006"/>
    <w:rsid w:val="00482422"/>
    <w:rsid w:val="004824BD"/>
    <w:rsid w:val="004824ED"/>
    <w:rsid w:val="00482747"/>
    <w:rsid w:val="004828BC"/>
    <w:rsid w:val="00482B48"/>
    <w:rsid w:val="00482CFC"/>
    <w:rsid w:val="004832D7"/>
    <w:rsid w:val="004834FA"/>
    <w:rsid w:val="00483555"/>
    <w:rsid w:val="00483585"/>
    <w:rsid w:val="0048359A"/>
    <w:rsid w:val="00483938"/>
    <w:rsid w:val="0048397F"/>
    <w:rsid w:val="00483AB4"/>
    <w:rsid w:val="00483B3E"/>
    <w:rsid w:val="00483C8A"/>
    <w:rsid w:val="00483F4E"/>
    <w:rsid w:val="00484595"/>
    <w:rsid w:val="00484846"/>
    <w:rsid w:val="00484B11"/>
    <w:rsid w:val="00484BFB"/>
    <w:rsid w:val="00484CF2"/>
    <w:rsid w:val="00484D23"/>
    <w:rsid w:val="0048540E"/>
    <w:rsid w:val="0048540F"/>
    <w:rsid w:val="00485BBC"/>
    <w:rsid w:val="00485FAC"/>
    <w:rsid w:val="004862A6"/>
    <w:rsid w:val="004866DB"/>
    <w:rsid w:val="00486900"/>
    <w:rsid w:val="00486BA0"/>
    <w:rsid w:val="004875A1"/>
    <w:rsid w:val="00487607"/>
    <w:rsid w:val="00487822"/>
    <w:rsid w:val="00487A42"/>
    <w:rsid w:val="00487C8C"/>
    <w:rsid w:val="00487EA1"/>
    <w:rsid w:val="00487EE8"/>
    <w:rsid w:val="00490148"/>
    <w:rsid w:val="00490414"/>
    <w:rsid w:val="004904AD"/>
    <w:rsid w:val="00490619"/>
    <w:rsid w:val="004906B9"/>
    <w:rsid w:val="004911C2"/>
    <w:rsid w:val="004911E1"/>
    <w:rsid w:val="0049140F"/>
    <w:rsid w:val="004915A3"/>
    <w:rsid w:val="00491A5F"/>
    <w:rsid w:val="00491BD8"/>
    <w:rsid w:val="0049262B"/>
    <w:rsid w:val="00492737"/>
    <w:rsid w:val="004927AC"/>
    <w:rsid w:val="00492B53"/>
    <w:rsid w:val="00493852"/>
    <w:rsid w:val="004939B1"/>
    <w:rsid w:val="004941E4"/>
    <w:rsid w:val="00494291"/>
    <w:rsid w:val="004942C9"/>
    <w:rsid w:val="0049443F"/>
    <w:rsid w:val="00494538"/>
    <w:rsid w:val="00494811"/>
    <w:rsid w:val="004949B3"/>
    <w:rsid w:val="00494ED7"/>
    <w:rsid w:val="00495027"/>
    <w:rsid w:val="00495192"/>
    <w:rsid w:val="00495344"/>
    <w:rsid w:val="0049534F"/>
    <w:rsid w:val="0049544E"/>
    <w:rsid w:val="0049552D"/>
    <w:rsid w:val="004958A3"/>
    <w:rsid w:val="00495B22"/>
    <w:rsid w:val="00495B2C"/>
    <w:rsid w:val="004963D8"/>
    <w:rsid w:val="00496750"/>
    <w:rsid w:val="004967BF"/>
    <w:rsid w:val="00497184"/>
    <w:rsid w:val="004972B5"/>
    <w:rsid w:val="004975DF"/>
    <w:rsid w:val="00497DA1"/>
    <w:rsid w:val="00497E91"/>
    <w:rsid w:val="004A00DF"/>
    <w:rsid w:val="004A01CF"/>
    <w:rsid w:val="004A031B"/>
    <w:rsid w:val="004A0C86"/>
    <w:rsid w:val="004A1166"/>
    <w:rsid w:val="004A16F3"/>
    <w:rsid w:val="004A18C2"/>
    <w:rsid w:val="004A1971"/>
    <w:rsid w:val="004A1CC1"/>
    <w:rsid w:val="004A1FC2"/>
    <w:rsid w:val="004A2CD1"/>
    <w:rsid w:val="004A31E8"/>
    <w:rsid w:val="004A34B6"/>
    <w:rsid w:val="004A3618"/>
    <w:rsid w:val="004A3638"/>
    <w:rsid w:val="004A374D"/>
    <w:rsid w:val="004A3A4F"/>
    <w:rsid w:val="004A3AE3"/>
    <w:rsid w:val="004A3BFE"/>
    <w:rsid w:val="004A40F2"/>
    <w:rsid w:val="004A42B0"/>
    <w:rsid w:val="004A461D"/>
    <w:rsid w:val="004A4677"/>
    <w:rsid w:val="004A4712"/>
    <w:rsid w:val="004A4842"/>
    <w:rsid w:val="004A49A2"/>
    <w:rsid w:val="004A4D6A"/>
    <w:rsid w:val="004A531D"/>
    <w:rsid w:val="004A58B2"/>
    <w:rsid w:val="004A5A50"/>
    <w:rsid w:val="004A5A8E"/>
    <w:rsid w:val="004A5D28"/>
    <w:rsid w:val="004A5E33"/>
    <w:rsid w:val="004A60BC"/>
    <w:rsid w:val="004A615B"/>
    <w:rsid w:val="004A6364"/>
    <w:rsid w:val="004A65CC"/>
    <w:rsid w:val="004A65DF"/>
    <w:rsid w:val="004A66F8"/>
    <w:rsid w:val="004A68B4"/>
    <w:rsid w:val="004A6A14"/>
    <w:rsid w:val="004A6BE7"/>
    <w:rsid w:val="004A6C0D"/>
    <w:rsid w:val="004A6E46"/>
    <w:rsid w:val="004A6F97"/>
    <w:rsid w:val="004A72BD"/>
    <w:rsid w:val="004A72F0"/>
    <w:rsid w:val="004A748A"/>
    <w:rsid w:val="004A7EAD"/>
    <w:rsid w:val="004B00AA"/>
    <w:rsid w:val="004B05CC"/>
    <w:rsid w:val="004B06B0"/>
    <w:rsid w:val="004B080E"/>
    <w:rsid w:val="004B0BD4"/>
    <w:rsid w:val="004B136B"/>
    <w:rsid w:val="004B1417"/>
    <w:rsid w:val="004B193F"/>
    <w:rsid w:val="004B1EB1"/>
    <w:rsid w:val="004B1ECC"/>
    <w:rsid w:val="004B239F"/>
    <w:rsid w:val="004B23A4"/>
    <w:rsid w:val="004B2794"/>
    <w:rsid w:val="004B2A7F"/>
    <w:rsid w:val="004B2CAC"/>
    <w:rsid w:val="004B3188"/>
    <w:rsid w:val="004B31C2"/>
    <w:rsid w:val="004B36CD"/>
    <w:rsid w:val="004B3A62"/>
    <w:rsid w:val="004B3FAC"/>
    <w:rsid w:val="004B4592"/>
    <w:rsid w:val="004B4D01"/>
    <w:rsid w:val="004B4E46"/>
    <w:rsid w:val="004B501A"/>
    <w:rsid w:val="004B506F"/>
    <w:rsid w:val="004B514A"/>
    <w:rsid w:val="004B5663"/>
    <w:rsid w:val="004B5A9F"/>
    <w:rsid w:val="004B5B25"/>
    <w:rsid w:val="004B5FC2"/>
    <w:rsid w:val="004B605A"/>
    <w:rsid w:val="004B6173"/>
    <w:rsid w:val="004B627B"/>
    <w:rsid w:val="004B63DF"/>
    <w:rsid w:val="004B6620"/>
    <w:rsid w:val="004B6EE1"/>
    <w:rsid w:val="004B6EE4"/>
    <w:rsid w:val="004B6FCF"/>
    <w:rsid w:val="004B72C0"/>
    <w:rsid w:val="004B72D0"/>
    <w:rsid w:val="004B742A"/>
    <w:rsid w:val="004B745A"/>
    <w:rsid w:val="004B762C"/>
    <w:rsid w:val="004B7A79"/>
    <w:rsid w:val="004B7C22"/>
    <w:rsid w:val="004C0036"/>
    <w:rsid w:val="004C05F3"/>
    <w:rsid w:val="004C1185"/>
    <w:rsid w:val="004C18A1"/>
    <w:rsid w:val="004C19EC"/>
    <w:rsid w:val="004C1A5B"/>
    <w:rsid w:val="004C1B4B"/>
    <w:rsid w:val="004C1D92"/>
    <w:rsid w:val="004C224E"/>
    <w:rsid w:val="004C225B"/>
    <w:rsid w:val="004C2688"/>
    <w:rsid w:val="004C27AA"/>
    <w:rsid w:val="004C28BD"/>
    <w:rsid w:val="004C2905"/>
    <w:rsid w:val="004C2A4B"/>
    <w:rsid w:val="004C2ADC"/>
    <w:rsid w:val="004C3500"/>
    <w:rsid w:val="004C3784"/>
    <w:rsid w:val="004C3CAF"/>
    <w:rsid w:val="004C3F2A"/>
    <w:rsid w:val="004C4003"/>
    <w:rsid w:val="004C4310"/>
    <w:rsid w:val="004C43ED"/>
    <w:rsid w:val="004C4C24"/>
    <w:rsid w:val="004C4E8B"/>
    <w:rsid w:val="004C4F54"/>
    <w:rsid w:val="004C51B2"/>
    <w:rsid w:val="004C5237"/>
    <w:rsid w:val="004C52A7"/>
    <w:rsid w:val="004C546C"/>
    <w:rsid w:val="004C55B5"/>
    <w:rsid w:val="004C572D"/>
    <w:rsid w:val="004C5DC8"/>
    <w:rsid w:val="004C5F35"/>
    <w:rsid w:val="004C6167"/>
    <w:rsid w:val="004C61AD"/>
    <w:rsid w:val="004C63E0"/>
    <w:rsid w:val="004C6536"/>
    <w:rsid w:val="004C662F"/>
    <w:rsid w:val="004C6B52"/>
    <w:rsid w:val="004C7477"/>
    <w:rsid w:val="004C785E"/>
    <w:rsid w:val="004C78BF"/>
    <w:rsid w:val="004C7CF2"/>
    <w:rsid w:val="004C7E3B"/>
    <w:rsid w:val="004C7F0E"/>
    <w:rsid w:val="004D0218"/>
    <w:rsid w:val="004D0902"/>
    <w:rsid w:val="004D1118"/>
    <w:rsid w:val="004D1219"/>
    <w:rsid w:val="004D12D0"/>
    <w:rsid w:val="004D1624"/>
    <w:rsid w:val="004D1EB2"/>
    <w:rsid w:val="004D1EB7"/>
    <w:rsid w:val="004D20EA"/>
    <w:rsid w:val="004D233F"/>
    <w:rsid w:val="004D259F"/>
    <w:rsid w:val="004D28E8"/>
    <w:rsid w:val="004D2A1D"/>
    <w:rsid w:val="004D2C3A"/>
    <w:rsid w:val="004D2DCA"/>
    <w:rsid w:val="004D2FC8"/>
    <w:rsid w:val="004D2FF4"/>
    <w:rsid w:val="004D327D"/>
    <w:rsid w:val="004D342C"/>
    <w:rsid w:val="004D34DF"/>
    <w:rsid w:val="004D3512"/>
    <w:rsid w:val="004D35F8"/>
    <w:rsid w:val="004D46F0"/>
    <w:rsid w:val="004D4730"/>
    <w:rsid w:val="004D490F"/>
    <w:rsid w:val="004D4A63"/>
    <w:rsid w:val="004D4BD6"/>
    <w:rsid w:val="004D517E"/>
    <w:rsid w:val="004D519D"/>
    <w:rsid w:val="004D5625"/>
    <w:rsid w:val="004D562C"/>
    <w:rsid w:val="004D56DB"/>
    <w:rsid w:val="004D5762"/>
    <w:rsid w:val="004D5902"/>
    <w:rsid w:val="004D5CBC"/>
    <w:rsid w:val="004D5D7E"/>
    <w:rsid w:val="004D5F2E"/>
    <w:rsid w:val="004D6282"/>
    <w:rsid w:val="004D6518"/>
    <w:rsid w:val="004D6573"/>
    <w:rsid w:val="004D663E"/>
    <w:rsid w:val="004D6BD4"/>
    <w:rsid w:val="004D6FCB"/>
    <w:rsid w:val="004D711D"/>
    <w:rsid w:val="004D7193"/>
    <w:rsid w:val="004D72C4"/>
    <w:rsid w:val="004D72C9"/>
    <w:rsid w:val="004D7318"/>
    <w:rsid w:val="004D74D4"/>
    <w:rsid w:val="004D7738"/>
    <w:rsid w:val="004D7873"/>
    <w:rsid w:val="004D78A1"/>
    <w:rsid w:val="004D7904"/>
    <w:rsid w:val="004D7B49"/>
    <w:rsid w:val="004D7CC2"/>
    <w:rsid w:val="004D7D40"/>
    <w:rsid w:val="004D7E86"/>
    <w:rsid w:val="004E00E0"/>
    <w:rsid w:val="004E067E"/>
    <w:rsid w:val="004E0E54"/>
    <w:rsid w:val="004E0EF3"/>
    <w:rsid w:val="004E14DA"/>
    <w:rsid w:val="004E1620"/>
    <w:rsid w:val="004E1724"/>
    <w:rsid w:val="004E186B"/>
    <w:rsid w:val="004E1C39"/>
    <w:rsid w:val="004E1F39"/>
    <w:rsid w:val="004E2440"/>
    <w:rsid w:val="004E2F45"/>
    <w:rsid w:val="004E2F94"/>
    <w:rsid w:val="004E34C1"/>
    <w:rsid w:val="004E3625"/>
    <w:rsid w:val="004E3860"/>
    <w:rsid w:val="004E3B39"/>
    <w:rsid w:val="004E3CB2"/>
    <w:rsid w:val="004E433A"/>
    <w:rsid w:val="004E4376"/>
    <w:rsid w:val="004E460D"/>
    <w:rsid w:val="004E4FB8"/>
    <w:rsid w:val="004E511E"/>
    <w:rsid w:val="004E5269"/>
    <w:rsid w:val="004E5272"/>
    <w:rsid w:val="004E5C11"/>
    <w:rsid w:val="004E64BB"/>
    <w:rsid w:val="004E64F1"/>
    <w:rsid w:val="004E6740"/>
    <w:rsid w:val="004E6B47"/>
    <w:rsid w:val="004E6D53"/>
    <w:rsid w:val="004E759E"/>
    <w:rsid w:val="004E76DC"/>
    <w:rsid w:val="004E7966"/>
    <w:rsid w:val="004E7AAA"/>
    <w:rsid w:val="004E7AD8"/>
    <w:rsid w:val="004E7B6E"/>
    <w:rsid w:val="004F0033"/>
    <w:rsid w:val="004F01EA"/>
    <w:rsid w:val="004F0855"/>
    <w:rsid w:val="004F0A14"/>
    <w:rsid w:val="004F10C9"/>
    <w:rsid w:val="004F1324"/>
    <w:rsid w:val="004F14ED"/>
    <w:rsid w:val="004F15F0"/>
    <w:rsid w:val="004F1902"/>
    <w:rsid w:val="004F1FD7"/>
    <w:rsid w:val="004F2403"/>
    <w:rsid w:val="004F2412"/>
    <w:rsid w:val="004F2445"/>
    <w:rsid w:val="004F24DF"/>
    <w:rsid w:val="004F2A06"/>
    <w:rsid w:val="004F2A75"/>
    <w:rsid w:val="004F3198"/>
    <w:rsid w:val="004F31CD"/>
    <w:rsid w:val="004F3450"/>
    <w:rsid w:val="004F3746"/>
    <w:rsid w:val="004F3B93"/>
    <w:rsid w:val="004F3C02"/>
    <w:rsid w:val="004F46A3"/>
    <w:rsid w:val="004F4829"/>
    <w:rsid w:val="004F50C5"/>
    <w:rsid w:val="004F5450"/>
    <w:rsid w:val="004F565B"/>
    <w:rsid w:val="004F569A"/>
    <w:rsid w:val="004F56D3"/>
    <w:rsid w:val="004F57B9"/>
    <w:rsid w:val="004F5835"/>
    <w:rsid w:val="004F5A4E"/>
    <w:rsid w:val="004F5C79"/>
    <w:rsid w:val="004F5DB4"/>
    <w:rsid w:val="004F5FFA"/>
    <w:rsid w:val="004F6739"/>
    <w:rsid w:val="004F6795"/>
    <w:rsid w:val="004F6FED"/>
    <w:rsid w:val="004F709E"/>
    <w:rsid w:val="004F72E2"/>
    <w:rsid w:val="004F7537"/>
    <w:rsid w:val="004F7597"/>
    <w:rsid w:val="004F76BA"/>
    <w:rsid w:val="004F7903"/>
    <w:rsid w:val="004F7A8C"/>
    <w:rsid w:val="005000CF"/>
    <w:rsid w:val="0050049B"/>
    <w:rsid w:val="0050064C"/>
    <w:rsid w:val="00500848"/>
    <w:rsid w:val="005008EC"/>
    <w:rsid w:val="00500A48"/>
    <w:rsid w:val="00500CA6"/>
    <w:rsid w:val="00500DF5"/>
    <w:rsid w:val="00500E13"/>
    <w:rsid w:val="00500E40"/>
    <w:rsid w:val="00501026"/>
    <w:rsid w:val="005011B9"/>
    <w:rsid w:val="00501280"/>
    <w:rsid w:val="005012E5"/>
    <w:rsid w:val="005013C6"/>
    <w:rsid w:val="005014CC"/>
    <w:rsid w:val="00501534"/>
    <w:rsid w:val="00501962"/>
    <w:rsid w:val="00501B92"/>
    <w:rsid w:val="00501D0D"/>
    <w:rsid w:val="0050200E"/>
    <w:rsid w:val="00502123"/>
    <w:rsid w:val="005023B7"/>
    <w:rsid w:val="00502B2C"/>
    <w:rsid w:val="00502B2D"/>
    <w:rsid w:val="00503268"/>
    <w:rsid w:val="00503344"/>
    <w:rsid w:val="0050383A"/>
    <w:rsid w:val="00503891"/>
    <w:rsid w:val="00503E3A"/>
    <w:rsid w:val="00503E86"/>
    <w:rsid w:val="00504165"/>
    <w:rsid w:val="00504289"/>
    <w:rsid w:val="005048AC"/>
    <w:rsid w:val="00504A6C"/>
    <w:rsid w:val="00504E2D"/>
    <w:rsid w:val="00504E70"/>
    <w:rsid w:val="00504F77"/>
    <w:rsid w:val="0050502A"/>
    <w:rsid w:val="005050AA"/>
    <w:rsid w:val="005050FA"/>
    <w:rsid w:val="0050522F"/>
    <w:rsid w:val="005052E4"/>
    <w:rsid w:val="005054B6"/>
    <w:rsid w:val="005054E2"/>
    <w:rsid w:val="0050550C"/>
    <w:rsid w:val="0050570F"/>
    <w:rsid w:val="00505BE6"/>
    <w:rsid w:val="00505CF7"/>
    <w:rsid w:val="00505EAD"/>
    <w:rsid w:val="005061E1"/>
    <w:rsid w:val="00506408"/>
    <w:rsid w:val="0050645A"/>
    <w:rsid w:val="005064B6"/>
    <w:rsid w:val="00506583"/>
    <w:rsid w:val="00506721"/>
    <w:rsid w:val="005067B8"/>
    <w:rsid w:val="00506AF6"/>
    <w:rsid w:val="00506B45"/>
    <w:rsid w:val="00506EFD"/>
    <w:rsid w:val="005077D0"/>
    <w:rsid w:val="005078AF"/>
    <w:rsid w:val="005100AC"/>
    <w:rsid w:val="0051011A"/>
    <w:rsid w:val="00510F51"/>
    <w:rsid w:val="0051136D"/>
    <w:rsid w:val="005113ED"/>
    <w:rsid w:val="0051154A"/>
    <w:rsid w:val="00511576"/>
    <w:rsid w:val="005119A7"/>
    <w:rsid w:val="00511BC3"/>
    <w:rsid w:val="00511F35"/>
    <w:rsid w:val="0051221A"/>
    <w:rsid w:val="0051225F"/>
    <w:rsid w:val="005123C6"/>
    <w:rsid w:val="005124E9"/>
    <w:rsid w:val="00512B0A"/>
    <w:rsid w:val="00512C2B"/>
    <w:rsid w:val="00512F06"/>
    <w:rsid w:val="00512F8E"/>
    <w:rsid w:val="005135A0"/>
    <w:rsid w:val="0051393A"/>
    <w:rsid w:val="00513A95"/>
    <w:rsid w:val="00513D0C"/>
    <w:rsid w:val="00513DE7"/>
    <w:rsid w:val="00513E70"/>
    <w:rsid w:val="00513F08"/>
    <w:rsid w:val="005143E9"/>
    <w:rsid w:val="00514678"/>
    <w:rsid w:val="00514A29"/>
    <w:rsid w:val="00514FC7"/>
    <w:rsid w:val="00514FF2"/>
    <w:rsid w:val="00515AED"/>
    <w:rsid w:val="00515C2A"/>
    <w:rsid w:val="00515E31"/>
    <w:rsid w:val="00515EA9"/>
    <w:rsid w:val="00515F68"/>
    <w:rsid w:val="00515FCC"/>
    <w:rsid w:val="005164EF"/>
    <w:rsid w:val="0051651A"/>
    <w:rsid w:val="005165F0"/>
    <w:rsid w:val="0051682F"/>
    <w:rsid w:val="005169DD"/>
    <w:rsid w:val="00516B42"/>
    <w:rsid w:val="00516BFE"/>
    <w:rsid w:val="00516EF1"/>
    <w:rsid w:val="00517842"/>
    <w:rsid w:val="00517CED"/>
    <w:rsid w:val="00517D14"/>
    <w:rsid w:val="00517D29"/>
    <w:rsid w:val="00517D4F"/>
    <w:rsid w:val="00520263"/>
    <w:rsid w:val="00520445"/>
    <w:rsid w:val="00520594"/>
    <w:rsid w:val="0052080F"/>
    <w:rsid w:val="00520CE2"/>
    <w:rsid w:val="00520F8A"/>
    <w:rsid w:val="0052115C"/>
    <w:rsid w:val="00521760"/>
    <w:rsid w:val="005218E7"/>
    <w:rsid w:val="00521A24"/>
    <w:rsid w:val="00521A94"/>
    <w:rsid w:val="00521E6F"/>
    <w:rsid w:val="005220B7"/>
    <w:rsid w:val="005222AD"/>
    <w:rsid w:val="00522557"/>
    <w:rsid w:val="0052262F"/>
    <w:rsid w:val="005228BC"/>
    <w:rsid w:val="005231BD"/>
    <w:rsid w:val="00523354"/>
    <w:rsid w:val="0052351A"/>
    <w:rsid w:val="00523574"/>
    <w:rsid w:val="00523677"/>
    <w:rsid w:val="005238BD"/>
    <w:rsid w:val="005238F3"/>
    <w:rsid w:val="00523A46"/>
    <w:rsid w:val="00523A53"/>
    <w:rsid w:val="00523B12"/>
    <w:rsid w:val="00523C2C"/>
    <w:rsid w:val="00523CCA"/>
    <w:rsid w:val="00523CF6"/>
    <w:rsid w:val="005244E8"/>
    <w:rsid w:val="005248EC"/>
    <w:rsid w:val="005249EB"/>
    <w:rsid w:val="00524D54"/>
    <w:rsid w:val="00524E3A"/>
    <w:rsid w:val="00525142"/>
    <w:rsid w:val="005255BD"/>
    <w:rsid w:val="0052567D"/>
    <w:rsid w:val="00525913"/>
    <w:rsid w:val="00525A10"/>
    <w:rsid w:val="00525A95"/>
    <w:rsid w:val="00525BD2"/>
    <w:rsid w:val="00525D94"/>
    <w:rsid w:val="0052616A"/>
    <w:rsid w:val="005262A7"/>
    <w:rsid w:val="00526363"/>
    <w:rsid w:val="005263E2"/>
    <w:rsid w:val="00526497"/>
    <w:rsid w:val="005265CB"/>
    <w:rsid w:val="005267EC"/>
    <w:rsid w:val="0052698B"/>
    <w:rsid w:val="00526CD0"/>
    <w:rsid w:val="005277CC"/>
    <w:rsid w:val="00527D5F"/>
    <w:rsid w:val="00527D90"/>
    <w:rsid w:val="00527D96"/>
    <w:rsid w:val="00527F94"/>
    <w:rsid w:val="0053004F"/>
    <w:rsid w:val="0053018C"/>
    <w:rsid w:val="00530663"/>
    <w:rsid w:val="0053068D"/>
    <w:rsid w:val="00530693"/>
    <w:rsid w:val="0053069C"/>
    <w:rsid w:val="00530703"/>
    <w:rsid w:val="00530B12"/>
    <w:rsid w:val="00530BC8"/>
    <w:rsid w:val="00531ECD"/>
    <w:rsid w:val="00531EE4"/>
    <w:rsid w:val="00531FE6"/>
    <w:rsid w:val="0053200F"/>
    <w:rsid w:val="0053233D"/>
    <w:rsid w:val="00532371"/>
    <w:rsid w:val="00532511"/>
    <w:rsid w:val="00532690"/>
    <w:rsid w:val="00532B81"/>
    <w:rsid w:val="00533836"/>
    <w:rsid w:val="0053476B"/>
    <w:rsid w:val="005347E4"/>
    <w:rsid w:val="0053484D"/>
    <w:rsid w:val="0053497D"/>
    <w:rsid w:val="00534C62"/>
    <w:rsid w:val="00534F73"/>
    <w:rsid w:val="005351B4"/>
    <w:rsid w:val="005357CC"/>
    <w:rsid w:val="00535DF8"/>
    <w:rsid w:val="00536322"/>
    <w:rsid w:val="005363C2"/>
    <w:rsid w:val="00536603"/>
    <w:rsid w:val="00536A2B"/>
    <w:rsid w:val="00536AAB"/>
    <w:rsid w:val="00536FF4"/>
    <w:rsid w:val="005370AD"/>
    <w:rsid w:val="005375A2"/>
    <w:rsid w:val="00540537"/>
    <w:rsid w:val="0054078D"/>
    <w:rsid w:val="00540BB1"/>
    <w:rsid w:val="00540C66"/>
    <w:rsid w:val="005410BB"/>
    <w:rsid w:val="0054144D"/>
    <w:rsid w:val="00541451"/>
    <w:rsid w:val="005417B4"/>
    <w:rsid w:val="00541B38"/>
    <w:rsid w:val="00542513"/>
    <w:rsid w:val="005427F0"/>
    <w:rsid w:val="00542D75"/>
    <w:rsid w:val="00542F8F"/>
    <w:rsid w:val="00543A25"/>
    <w:rsid w:val="00543ABD"/>
    <w:rsid w:val="00543F5F"/>
    <w:rsid w:val="0054456B"/>
    <w:rsid w:val="00544753"/>
    <w:rsid w:val="00544D9E"/>
    <w:rsid w:val="0054575C"/>
    <w:rsid w:val="00545802"/>
    <w:rsid w:val="00545B33"/>
    <w:rsid w:val="00545CF8"/>
    <w:rsid w:val="00545D0D"/>
    <w:rsid w:val="00545E19"/>
    <w:rsid w:val="00545EA7"/>
    <w:rsid w:val="00546088"/>
    <w:rsid w:val="00546811"/>
    <w:rsid w:val="00546997"/>
    <w:rsid w:val="00546B6B"/>
    <w:rsid w:val="00546C3C"/>
    <w:rsid w:val="00546CDF"/>
    <w:rsid w:val="00546E8C"/>
    <w:rsid w:val="00547269"/>
    <w:rsid w:val="0054743F"/>
    <w:rsid w:val="00547732"/>
    <w:rsid w:val="005478A8"/>
    <w:rsid w:val="00547A1E"/>
    <w:rsid w:val="00547A85"/>
    <w:rsid w:val="00547AFD"/>
    <w:rsid w:val="00547C5D"/>
    <w:rsid w:val="00547CB7"/>
    <w:rsid w:val="00547CDD"/>
    <w:rsid w:val="00547CF9"/>
    <w:rsid w:val="00547E9B"/>
    <w:rsid w:val="005500FD"/>
    <w:rsid w:val="0055016B"/>
    <w:rsid w:val="00550203"/>
    <w:rsid w:val="005504CA"/>
    <w:rsid w:val="005506F7"/>
    <w:rsid w:val="00550772"/>
    <w:rsid w:val="00550916"/>
    <w:rsid w:val="00550D05"/>
    <w:rsid w:val="00550EE7"/>
    <w:rsid w:val="0055116D"/>
    <w:rsid w:val="00551178"/>
    <w:rsid w:val="0055126A"/>
    <w:rsid w:val="00551850"/>
    <w:rsid w:val="00551920"/>
    <w:rsid w:val="00551DBD"/>
    <w:rsid w:val="00551EC4"/>
    <w:rsid w:val="00551EFE"/>
    <w:rsid w:val="00551FBE"/>
    <w:rsid w:val="00551FC1"/>
    <w:rsid w:val="00552028"/>
    <w:rsid w:val="005521F6"/>
    <w:rsid w:val="00552294"/>
    <w:rsid w:val="005522C3"/>
    <w:rsid w:val="0055292E"/>
    <w:rsid w:val="00552AB7"/>
    <w:rsid w:val="00552BEF"/>
    <w:rsid w:val="00552C5E"/>
    <w:rsid w:val="00552D60"/>
    <w:rsid w:val="00552DD9"/>
    <w:rsid w:val="00552FAA"/>
    <w:rsid w:val="0055305D"/>
    <w:rsid w:val="005530BC"/>
    <w:rsid w:val="00553207"/>
    <w:rsid w:val="00553245"/>
    <w:rsid w:val="00553249"/>
    <w:rsid w:val="00553334"/>
    <w:rsid w:val="00553611"/>
    <w:rsid w:val="005536D2"/>
    <w:rsid w:val="00553804"/>
    <w:rsid w:val="00553AFE"/>
    <w:rsid w:val="0055410A"/>
    <w:rsid w:val="0055465D"/>
    <w:rsid w:val="0055492B"/>
    <w:rsid w:val="00555144"/>
    <w:rsid w:val="005552AE"/>
    <w:rsid w:val="0055530B"/>
    <w:rsid w:val="00555470"/>
    <w:rsid w:val="005558A7"/>
    <w:rsid w:val="00555CF1"/>
    <w:rsid w:val="00555E31"/>
    <w:rsid w:val="005561BF"/>
    <w:rsid w:val="005563C0"/>
    <w:rsid w:val="005565A0"/>
    <w:rsid w:val="005573D0"/>
    <w:rsid w:val="0055764E"/>
    <w:rsid w:val="00557E61"/>
    <w:rsid w:val="005605E9"/>
    <w:rsid w:val="0056064B"/>
    <w:rsid w:val="00560695"/>
    <w:rsid w:val="00560AC0"/>
    <w:rsid w:val="00560D42"/>
    <w:rsid w:val="0056113E"/>
    <w:rsid w:val="005611A5"/>
    <w:rsid w:val="0056136B"/>
    <w:rsid w:val="00561677"/>
    <w:rsid w:val="0056177C"/>
    <w:rsid w:val="00561E4F"/>
    <w:rsid w:val="00562267"/>
    <w:rsid w:val="00562313"/>
    <w:rsid w:val="00562B76"/>
    <w:rsid w:val="00562C0A"/>
    <w:rsid w:val="00562FFF"/>
    <w:rsid w:val="005631BF"/>
    <w:rsid w:val="0056337A"/>
    <w:rsid w:val="00563967"/>
    <w:rsid w:val="00563C80"/>
    <w:rsid w:val="00563D46"/>
    <w:rsid w:val="00563D9D"/>
    <w:rsid w:val="00563E53"/>
    <w:rsid w:val="005642D7"/>
    <w:rsid w:val="0056444E"/>
    <w:rsid w:val="0056449A"/>
    <w:rsid w:val="005647EC"/>
    <w:rsid w:val="00564979"/>
    <w:rsid w:val="00564BE9"/>
    <w:rsid w:val="00565128"/>
    <w:rsid w:val="00565347"/>
    <w:rsid w:val="005654F3"/>
    <w:rsid w:val="00565612"/>
    <w:rsid w:val="0056586B"/>
    <w:rsid w:val="00565C0C"/>
    <w:rsid w:val="005661F5"/>
    <w:rsid w:val="0056684A"/>
    <w:rsid w:val="00566A6F"/>
    <w:rsid w:val="00566B59"/>
    <w:rsid w:val="005672D4"/>
    <w:rsid w:val="00570195"/>
    <w:rsid w:val="005702F7"/>
    <w:rsid w:val="005703B4"/>
    <w:rsid w:val="0057055E"/>
    <w:rsid w:val="005707AE"/>
    <w:rsid w:val="005709AF"/>
    <w:rsid w:val="00570C24"/>
    <w:rsid w:val="00570D68"/>
    <w:rsid w:val="00570D6A"/>
    <w:rsid w:val="005711A4"/>
    <w:rsid w:val="00571510"/>
    <w:rsid w:val="00571639"/>
    <w:rsid w:val="00571990"/>
    <w:rsid w:val="00571CE1"/>
    <w:rsid w:val="00571D0E"/>
    <w:rsid w:val="0057225C"/>
    <w:rsid w:val="005722BD"/>
    <w:rsid w:val="00572669"/>
    <w:rsid w:val="005726E4"/>
    <w:rsid w:val="00572842"/>
    <w:rsid w:val="00572954"/>
    <w:rsid w:val="005731AE"/>
    <w:rsid w:val="005739C5"/>
    <w:rsid w:val="00573BAF"/>
    <w:rsid w:val="00573F64"/>
    <w:rsid w:val="00573F69"/>
    <w:rsid w:val="00573FFD"/>
    <w:rsid w:val="00574013"/>
    <w:rsid w:val="0057415B"/>
    <w:rsid w:val="005741C4"/>
    <w:rsid w:val="005741F9"/>
    <w:rsid w:val="0057430D"/>
    <w:rsid w:val="00574579"/>
    <w:rsid w:val="005745BF"/>
    <w:rsid w:val="00574AC0"/>
    <w:rsid w:val="00574D7F"/>
    <w:rsid w:val="0057510D"/>
    <w:rsid w:val="00575267"/>
    <w:rsid w:val="0057528D"/>
    <w:rsid w:val="005752CE"/>
    <w:rsid w:val="005753A8"/>
    <w:rsid w:val="0057543E"/>
    <w:rsid w:val="0057565D"/>
    <w:rsid w:val="005758C9"/>
    <w:rsid w:val="00575BA3"/>
    <w:rsid w:val="00575C8E"/>
    <w:rsid w:val="005762F5"/>
    <w:rsid w:val="0057636C"/>
    <w:rsid w:val="005763C1"/>
    <w:rsid w:val="0057656E"/>
    <w:rsid w:val="00576911"/>
    <w:rsid w:val="005769B9"/>
    <w:rsid w:val="00576A83"/>
    <w:rsid w:val="00576F6E"/>
    <w:rsid w:val="0057705E"/>
    <w:rsid w:val="005776FA"/>
    <w:rsid w:val="00577A54"/>
    <w:rsid w:val="00577CA7"/>
    <w:rsid w:val="00577E07"/>
    <w:rsid w:val="00580658"/>
    <w:rsid w:val="00580664"/>
    <w:rsid w:val="00580932"/>
    <w:rsid w:val="00580965"/>
    <w:rsid w:val="0058103E"/>
    <w:rsid w:val="005810A6"/>
    <w:rsid w:val="0058118E"/>
    <w:rsid w:val="005811BF"/>
    <w:rsid w:val="0058154F"/>
    <w:rsid w:val="00581C88"/>
    <w:rsid w:val="00581FAC"/>
    <w:rsid w:val="00582306"/>
    <w:rsid w:val="00582996"/>
    <w:rsid w:val="00582E46"/>
    <w:rsid w:val="00583210"/>
    <w:rsid w:val="005835B1"/>
    <w:rsid w:val="0058390E"/>
    <w:rsid w:val="00583963"/>
    <w:rsid w:val="0058438A"/>
    <w:rsid w:val="0058440D"/>
    <w:rsid w:val="00584459"/>
    <w:rsid w:val="00584487"/>
    <w:rsid w:val="0058476A"/>
    <w:rsid w:val="005847E3"/>
    <w:rsid w:val="00584A2D"/>
    <w:rsid w:val="00584DFB"/>
    <w:rsid w:val="005859DB"/>
    <w:rsid w:val="00585A19"/>
    <w:rsid w:val="00585D06"/>
    <w:rsid w:val="00585F26"/>
    <w:rsid w:val="00586210"/>
    <w:rsid w:val="005865B2"/>
    <w:rsid w:val="00586680"/>
    <w:rsid w:val="00586734"/>
    <w:rsid w:val="00586735"/>
    <w:rsid w:val="00586EA6"/>
    <w:rsid w:val="00586EDE"/>
    <w:rsid w:val="00587028"/>
    <w:rsid w:val="005873FC"/>
    <w:rsid w:val="005874AD"/>
    <w:rsid w:val="005875AA"/>
    <w:rsid w:val="00587A14"/>
    <w:rsid w:val="00587B4A"/>
    <w:rsid w:val="00587C7A"/>
    <w:rsid w:val="00587CE1"/>
    <w:rsid w:val="0059008A"/>
    <w:rsid w:val="00590545"/>
    <w:rsid w:val="005906C3"/>
    <w:rsid w:val="00590700"/>
    <w:rsid w:val="005907F7"/>
    <w:rsid w:val="005907FA"/>
    <w:rsid w:val="00590875"/>
    <w:rsid w:val="00590D02"/>
    <w:rsid w:val="005913C5"/>
    <w:rsid w:val="00592007"/>
    <w:rsid w:val="005924A2"/>
    <w:rsid w:val="0059267F"/>
    <w:rsid w:val="0059290B"/>
    <w:rsid w:val="00592F8A"/>
    <w:rsid w:val="0059328A"/>
    <w:rsid w:val="0059333C"/>
    <w:rsid w:val="005934CA"/>
    <w:rsid w:val="005935DB"/>
    <w:rsid w:val="005935E4"/>
    <w:rsid w:val="00593600"/>
    <w:rsid w:val="00593C83"/>
    <w:rsid w:val="00593E57"/>
    <w:rsid w:val="00594126"/>
    <w:rsid w:val="005945F3"/>
    <w:rsid w:val="00594A2B"/>
    <w:rsid w:val="00594D76"/>
    <w:rsid w:val="00594E4D"/>
    <w:rsid w:val="00594F08"/>
    <w:rsid w:val="005950C8"/>
    <w:rsid w:val="005952D7"/>
    <w:rsid w:val="0059589C"/>
    <w:rsid w:val="005958B3"/>
    <w:rsid w:val="00595A34"/>
    <w:rsid w:val="00595ADD"/>
    <w:rsid w:val="00595B23"/>
    <w:rsid w:val="00595B3F"/>
    <w:rsid w:val="00595EA0"/>
    <w:rsid w:val="00595FAD"/>
    <w:rsid w:val="00596312"/>
    <w:rsid w:val="0059680B"/>
    <w:rsid w:val="005968F0"/>
    <w:rsid w:val="005969C4"/>
    <w:rsid w:val="00596ABD"/>
    <w:rsid w:val="00596F7E"/>
    <w:rsid w:val="00596FD9"/>
    <w:rsid w:val="00597391"/>
    <w:rsid w:val="00597A95"/>
    <w:rsid w:val="00597BAF"/>
    <w:rsid w:val="00597E69"/>
    <w:rsid w:val="005A00F4"/>
    <w:rsid w:val="005A01EA"/>
    <w:rsid w:val="005A071E"/>
    <w:rsid w:val="005A08A0"/>
    <w:rsid w:val="005A0A49"/>
    <w:rsid w:val="005A0CE0"/>
    <w:rsid w:val="005A0FB6"/>
    <w:rsid w:val="005A1382"/>
    <w:rsid w:val="005A1419"/>
    <w:rsid w:val="005A15FF"/>
    <w:rsid w:val="005A17DE"/>
    <w:rsid w:val="005A182F"/>
    <w:rsid w:val="005A1C89"/>
    <w:rsid w:val="005A1DEA"/>
    <w:rsid w:val="005A1FE0"/>
    <w:rsid w:val="005A2104"/>
    <w:rsid w:val="005A2138"/>
    <w:rsid w:val="005A236C"/>
    <w:rsid w:val="005A2673"/>
    <w:rsid w:val="005A28A4"/>
    <w:rsid w:val="005A2BD3"/>
    <w:rsid w:val="005A30D9"/>
    <w:rsid w:val="005A3122"/>
    <w:rsid w:val="005A3385"/>
    <w:rsid w:val="005A33B5"/>
    <w:rsid w:val="005A3405"/>
    <w:rsid w:val="005A3754"/>
    <w:rsid w:val="005A3A25"/>
    <w:rsid w:val="005A3F16"/>
    <w:rsid w:val="005A40B6"/>
    <w:rsid w:val="005A43E2"/>
    <w:rsid w:val="005A45C7"/>
    <w:rsid w:val="005A46A1"/>
    <w:rsid w:val="005A4DDD"/>
    <w:rsid w:val="005A501E"/>
    <w:rsid w:val="005A56B8"/>
    <w:rsid w:val="005A58FF"/>
    <w:rsid w:val="005A5AC7"/>
    <w:rsid w:val="005A5DAB"/>
    <w:rsid w:val="005A5DF1"/>
    <w:rsid w:val="005A5E64"/>
    <w:rsid w:val="005A5E82"/>
    <w:rsid w:val="005A62F3"/>
    <w:rsid w:val="005A663A"/>
    <w:rsid w:val="005A692D"/>
    <w:rsid w:val="005A6CB2"/>
    <w:rsid w:val="005A6F76"/>
    <w:rsid w:val="005A71A5"/>
    <w:rsid w:val="005A728D"/>
    <w:rsid w:val="005A7375"/>
    <w:rsid w:val="005A7B31"/>
    <w:rsid w:val="005A7BD5"/>
    <w:rsid w:val="005A7E23"/>
    <w:rsid w:val="005B03A2"/>
    <w:rsid w:val="005B0575"/>
    <w:rsid w:val="005B0633"/>
    <w:rsid w:val="005B09F4"/>
    <w:rsid w:val="005B0E00"/>
    <w:rsid w:val="005B0F4F"/>
    <w:rsid w:val="005B0FD1"/>
    <w:rsid w:val="005B10FE"/>
    <w:rsid w:val="005B1176"/>
    <w:rsid w:val="005B119B"/>
    <w:rsid w:val="005B1297"/>
    <w:rsid w:val="005B1899"/>
    <w:rsid w:val="005B1957"/>
    <w:rsid w:val="005B1B5F"/>
    <w:rsid w:val="005B20A4"/>
    <w:rsid w:val="005B24CB"/>
    <w:rsid w:val="005B27AF"/>
    <w:rsid w:val="005B3975"/>
    <w:rsid w:val="005B3A80"/>
    <w:rsid w:val="005B45E4"/>
    <w:rsid w:val="005B4644"/>
    <w:rsid w:val="005B47E6"/>
    <w:rsid w:val="005B48DD"/>
    <w:rsid w:val="005B4CB5"/>
    <w:rsid w:val="005B4EDC"/>
    <w:rsid w:val="005B547F"/>
    <w:rsid w:val="005B56B6"/>
    <w:rsid w:val="005B597F"/>
    <w:rsid w:val="005B5A03"/>
    <w:rsid w:val="005B5BB6"/>
    <w:rsid w:val="005B5C2C"/>
    <w:rsid w:val="005B5CB1"/>
    <w:rsid w:val="005B60A5"/>
    <w:rsid w:val="005B60EB"/>
    <w:rsid w:val="005B6F52"/>
    <w:rsid w:val="005B70B0"/>
    <w:rsid w:val="005B71CA"/>
    <w:rsid w:val="005B72BD"/>
    <w:rsid w:val="005B760E"/>
    <w:rsid w:val="005B7703"/>
    <w:rsid w:val="005B7EB5"/>
    <w:rsid w:val="005B7EF2"/>
    <w:rsid w:val="005B7FD3"/>
    <w:rsid w:val="005C0092"/>
    <w:rsid w:val="005C01F4"/>
    <w:rsid w:val="005C04A5"/>
    <w:rsid w:val="005C0655"/>
    <w:rsid w:val="005C09CC"/>
    <w:rsid w:val="005C0D9D"/>
    <w:rsid w:val="005C104B"/>
    <w:rsid w:val="005C12C5"/>
    <w:rsid w:val="005C1D48"/>
    <w:rsid w:val="005C1E59"/>
    <w:rsid w:val="005C224C"/>
    <w:rsid w:val="005C24B3"/>
    <w:rsid w:val="005C2722"/>
    <w:rsid w:val="005C279F"/>
    <w:rsid w:val="005C2984"/>
    <w:rsid w:val="005C2C45"/>
    <w:rsid w:val="005C2C92"/>
    <w:rsid w:val="005C2D98"/>
    <w:rsid w:val="005C2DC7"/>
    <w:rsid w:val="005C3468"/>
    <w:rsid w:val="005C3737"/>
    <w:rsid w:val="005C3BD6"/>
    <w:rsid w:val="005C3ECF"/>
    <w:rsid w:val="005C4458"/>
    <w:rsid w:val="005C46F6"/>
    <w:rsid w:val="005C4736"/>
    <w:rsid w:val="005C4E4C"/>
    <w:rsid w:val="005C4E8E"/>
    <w:rsid w:val="005C5244"/>
    <w:rsid w:val="005C53EF"/>
    <w:rsid w:val="005C54B7"/>
    <w:rsid w:val="005C5627"/>
    <w:rsid w:val="005C56F0"/>
    <w:rsid w:val="005C5C09"/>
    <w:rsid w:val="005C5F6C"/>
    <w:rsid w:val="005C62BB"/>
    <w:rsid w:val="005C693C"/>
    <w:rsid w:val="005C6CA9"/>
    <w:rsid w:val="005C6D33"/>
    <w:rsid w:val="005C7137"/>
    <w:rsid w:val="005C71C8"/>
    <w:rsid w:val="005C736B"/>
    <w:rsid w:val="005C7415"/>
    <w:rsid w:val="005C74C6"/>
    <w:rsid w:val="005C75CE"/>
    <w:rsid w:val="005C7BF0"/>
    <w:rsid w:val="005C7E74"/>
    <w:rsid w:val="005D0364"/>
    <w:rsid w:val="005D13A0"/>
    <w:rsid w:val="005D143A"/>
    <w:rsid w:val="005D16E7"/>
    <w:rsid w:val="005D1C78"/>
    <w:rsid w:val="005D2E8C"/>
    <w:rsid w:val="005D32D8"/>
    <w:rsid w:val="005D357D"/>
    <w:rsid w:val="005D3A1B"/>
    <w:rsid w:val="005D3C7E"/>
    <w:rsid w:val="005D3DA4"/>
    <w:rsid w:val="005D4028"/>
    <w:rsid w:val="005D429D"/>
    <w:rsid w:val="005D4600"/>
    <w:rsid w:val="005D462C"/>
    <w:rsid w:val="005D4C0A"/>
    <w:rsid w:val="005D4E3E"/>
    <w:rsid w:val="005D4F79"/>
    <w:rsid w:val="005D5015"/>
    <w:rsid w:val="005D5079"/>
    <w:rsid w:val="005D536D"/>
    <w:rsid w:val="005D58DE"/>
    <w:rsid w:val="005D5D91"/>
    <w:rsid w:val="005D5E34"/>
    <w:rsid w:val="005D5E6A"/>
    <w:rsid w:val="005D5FB8"/>
    <w:rsid w:val="005D63DB"/>
    <w:rsid w:val="005D6518"/>
    <w:rsid w:val="005D67D1"/>
    <w:rsid w:val="005D6985"/>
    <w:rsid w:val="005D6ADB"/>
    <w:rsid w:val="005D6F13"/>
    <w:rsid w:val="005D7561"/>
    <w:rsid w:val="005D7736"/>
    <w:rsid w:val="005D77F7"/>
    <w:rsid w:val="005D7CFF"/>
    <w:rsid w:val="005D7D00"/>
    <w:rsid w:val="005D7E1D"/>
    <w:rsid w:val="005D7F46"/>
    <w:rsid w:val="005D7F4E"/>
    <w:rsid w:val="005E011F"/>
    <w:rsid w:val="005E081E"/>
    <w:rsid w:val="005E0B4F"/>
    <w:rsid w:val="005E0D27"/>
    <w:rsid w:val="005E0F2A"/>
    <w:rsid w:val="005E0F6C"/>
    <w:rsid w:val="005E10B9"/>
    <w:rsid w:val="005E1966"/>
    <w:rsid w:val="005E1AB9"/>
    <w:rsid w:val="005E1DEE"/>
    <w:rsid w:val="005E224D"/>
    <w:rsid w:val="005E24E0"/>
    <w:rsid w:val="005E27DF"/>
    <w:rsid w:val="005E2942"/>
    <w:rsid w:val="005E2D72"/>
    <w:rsid w:val="005E2DC5"/>
    <w:rsid w:val="005E3116"/>
    <w:rsid w:val="005E37CF"/>
    <w:rsid w:val="005E38E1"/>
    <w:rsid w:val="005E39DA"/>
    <w:rsid w:val="005E3A92"/>
    <w:rsid w:val="005E3FA8"/>
    <w:rsid w:val="005E460D"/>
    <w:rsid w:val="005E47FF"/>
    <w:rsid w:val="005E4837"/>
    <w:rsid w:val="005E4A02"/>
    <w:rsid w:val="005E4A62"/>
    <w:rsid w:val="005E4C3E"/>
    <w:rsid w:val="005E4DFE"/>
    <w:rsid w:val="005E4E88"/>
    <w:rsid w:val="005E4EFE"/>
    <w:rsid w:val="005E5031"/>
    <w:rsid w:val="005E5061"/>
    <w:rsid w:val="005E5112"/>
    <w:rsid w:val="005E5302"/>
    <w:rsid w:val="005E5713"/>
    <w:rsid w:val="005E57B0"/>
    <w:rsid w:val="005E5977"/>
    <w:rsid w:val="005E598C"/>
    <w:rsid w:val="005E5BB3"/>
    <w:rsid w:val="005E5C8A"/>
    <w:rsid w:val="005E5EB1"/>
    <w:rsid w:val="005E610C"/>
    <w:rsid w:val="005E6175"/>
    <w:rsid w:val="005E61CB"/>
    <w:rsid w:val="005E6992"/>
    <w:rsid w:val="005E75F2"/>
    <w:rsid w:val="005E7825"/>
    <w:rsid w:val="005E7D3C"/>
    <w:rsid w:val="005E7FD1"/>
    <w:rsid w:val="005F0663"/>
    <w:rsid w:val="005F082B"/>
    <w:rsid w:val="005F08B5"/>
    <w:rsid w:val="005F0D17"/>
    <w:rsid w:val="005F0D49"/>
    <w:rsid w:val="005F11C5"/>
    <w:rsid w:val="005F13F1"/>
    <w:rsid w:val="005F1774"/>
    <w:rsid w:val="005F17E6"/>
    <w:rsid w:val="005F19CA"/>
    <w:rsid w:val="005F1BA0"/>
    <w:rsid w:val="005F205A"/>
    <w:rsid w:val="005F247E"/>
    <w:rsid w:val="005F2929"/>
    <w:rsid w:val="005F2A2B"/>
    <w:rsid w:val="005F2B38"/>
    <w:rsid w:val="005F2CE3"/>
    <w:rsid w:val="005F3823"/>
    <w:rsid w:val="005F3D2A"/>
    <w:rsid w:val="005F3DF2"/>
    <w:rsid w:val="005F3FF5"/>
    <w:rsid w:val="005F4011"/>
    <w:rsid w:val="005F43D3"/>
    <w:rsid w:val="005F4445"/>
    <w:rsid w:val="005F5102"/>
    <w:rsid w:val="005F5130"/>
    <w:rsid w:val="005F52FF"/>
    <w:rsid w:val="005F5CA6"/>
    <w:rsid w:val="005F5F15"/>
    <w:rsid w:val="005F638E"/>
    <w:rsid w:val="005F64A2"/>
    <w:rsid w:val="005F6A06"/>
    <w:rsid w:val="005F6C06"/>
    <w:rsid w:val="005F6E5C"/>
    <w:rsid w:val="005F6F8A"/>
    <w:rsid w:val="005F7232"/>
    <w:rsid w:val="005F7574"/>
    <w:rsid w:val="005F7917"/>
    <w:rsid w:val="005F7934"/>
    <w:rsid w:val="005F7B4C"/>
    <w:rsid w:val="005F7DDC"/>
    <w:rsid w:val="006001FF"/>
    <w:rsid w:val="0060024C"/>
    <w:rsid w:val="00600318"/>
    <w:rsid w:val="00600344"/>
    <w:rsid w:val="00600651"/>
    <w:rsid w:val="00600700"/>
    <w:rsid w:val="00600763"/>
    <w:rsid w:val="006009FF"/>
    <w:rsid w:val="00600FC1"/>
    <w:rsid w:val="00600FCD"/>
    <w:rsid w:val="00600FE6"/>
    <w:rsid w:val="00601071"/>
    <w:rsid w:val="00601478"/>
    <w:rsid w:val="006015D1"/>
    <w:rsid w:val="006019D2"/>
    <w:rsid w:val="00601BAB"/>
    <w:rsid w:val="00601BD6"/>
    <w:rsid w:val="00601E66"/>
    <w:rsid w:val="00601F9F"/>
    <w:rsid w:val="00602142"/>
    <w:rsid w:val="0060217E"/>
    <w:rsid w:val="00602749"/>
    <w:rsid w:val="00602B67"/>
    <w:rsid w:val="0060316D"/>
    <w:rsid w:val="00603180"/>
    <w:rsid w:val="0060331A"/>
    <w:rsid w:val="006033D7"/>
    <w:rsid w:val="00603435"/>
    <w:rsid w:val="00603BED"/>
    <w:rsid w:val="00603D81"/>
    <w:rsid w:val="00604090"/>
    <w:rsid w:val="00604118"/>
    <w:rsid w:val="006042C2"/>
    <w:rsid w:val="006043E9"/>
    <w:rsid w:val="006047D6"/>
    <w:rsid w:val="00604850"/>
    <w:rsid w:val="00605157"/>
    <w:rsid w:val="00605198"/>
    <w:rsid w:val="006052B0"/>
    <w:rsid w:val="0060549B"/>
    <w:rsid w:val="006054E0"/>
    <w:rsid w:val="00605ACA"/>
    <w:rsid w:val="00605AE1"/>
    <w:rsid w:val="00605B63"/>
    <w:rsid w:val="006064BB"/>
    <w:rsid w:val="0060686B"/>
    <w:rsid w:val="00606D87"/>
    <w:rsid w:val="00607E28"/>
    <w:rsid w:val="00610B2E"/>
    <w:rsid w:val="00611076"/>
    <w:rsid w:val="006110C7"/>
    <w:rsid w:val="0061115A"/>
    <w:rsid w:val="006125F4"/>
    <w:rsid w:val="0061261B"/>
    <w:rsid w:val="006127B2"/>
    <w:rsid w:val="00612936"/>
    <w:rsid w:val="00612BBD"/>
    <w:rsid w:val="00612E09"/>
    <w:rsid w:val="00613002"/>
    <w:rsid w:val="00613171"/>
    <w:rsid w:val="00613289"/>
    <w:rsid w:val="00613444"/>
    <w:rsid w:val="0061397B"/>
    <w:rsid w:val="00614497"/>
    <w:rsid w:val="006146E0"/>
    <w:rsid w:val="006147A1"/>
    <w:rsid w:val="00614F53"/>
    <w:rsid w:val="00615001"/>
    <w:rsid w:val="006150CB"/>
    <w:rsid w:val="006153F9"/>
    <w:rsid w:val="006155D8"/>
    <w:rsid w:val="0061592B"/>
    <w:rsid w:val="00615B24"/>
    <w:rsid w:val="00615C90"/>
    <w:rsid w:val="0061628F"/>
    <w:rsid w:val="0061667F"/>
    <w:rsid w:val="00616B10"/>
    <w:rsid w:val="00617400"/>
    <w:rsid w:val="00617502"/>
    <w:rsid w:val="006178B1"/>
    <w:rsid w:val="00617C68"/>
    <w:rsid w:val="00617FFC"/>
    <w:rsid w:val="006201E1"/>
    <w:rsid w:val="006202F3"/>
    <w:rsid w:val="006206EA"/>
    <w:rsid w:val="00620747"/>
    <w:rsid w:val="00620824"/>
    <w:rsid w:val="00620972"/>
    <w:rsid w:val="00620A2D"/>
    <w:rsid w:val="00620CAE"/>
    <w:rsid w:val="00620DCA"/>
    <w:rsid w:val="006212CA"/>
    <w:rsid w:val="006217B0"/>
    <w:rsid w:val="00622431"/>
    <w:rsid w:val="006229D0"/>
    <w:rsid w:val="00622C12"/>
    <w:rsid w:val="00623255"/>
    <w:rsid w:val="00623732"/>
    <w:rsid w:val="006238C2"/>
    <w:rsid w:val="00623AB3"/>
    <w:rsid w:val="00623AC3"/>
    <w:rsid w:val="00623D2D"/>
    <w:rsid w:val="00624BBA"/>
    <w:rsid w:val="00624FAA"/>
    <w:rsid w:val="006252FE"/>
    <w:rsid w:val="0062540C"/>
    <w:rsid w:val="00625665"/>
    <w:rsid w:val="00625AEB"/>
    <w:rsid w:val="00625F90"/>
    <w:rsid w:val="00626373"/>
    <w:rsid w:val="006264E9"/>
    <w:rsid w:val="00626623"/>
    <w:rsid w:val="0062675E"/>
    <w:rsid w:val="00626936"/>
    <w:rsid w:val="00626DB1"/>
    <w:rsid w:val="0062708D"/>
    <w:rsid w:val="006270DB"/>
    <w:rsid w:val="006272FA"/>
    <w:rsid w:val="00627376"/>
    <w:rsid w:val="006275B5"/>
    <w:rsid w:val="00627654"/>
    <w:rsid w:val="00627DB4"/>
    <w:rsid w:val="0063033D"/>
    <w:rsid w:val="0063050C"/>
    <w:rsid w:val="006307B3"/>
    <w:rsid w:val="00630930"/>
    <w:rsid w:val="00630962"/>
    <w:rsid w:val="006309B2"/>
    <w:rsid w:val="00630A0A"/>
    <w:rsid w:val="00630B2E"/>
    <w:rsid w:val="00630C53"/>
    <w:rsid w:val="00630C5B"/>
    <w:rsid w:val="00630C66"/>
    <w:rsid w:val="00630C90"/>
    <w:rsid w:val="00630FA0"/>
    <w:rsid w:val="006313A8"/>
    <w:rsid w:val="0063157B"/>
    <w:rsid w:val="00631761"/>
    <w:rsid w:val="0063194E"/>
    <w:rsid w:val="00631C5D"/>
    <w:rsid w:val="00631D3A"/>
    <w:rsid w:val="00631E55"/>
    <w:rsid w:val="00631F07"/>
    <w:rsid w:val="00631FBE"/>
    <w:rsid w:val="006320CA"/>
    <w:rsid w:val="006325F7"/>
    <w:rsid w:val="00632647"/>
    <w:rsid w:val="00632668"/>
    <w:rsid w:val="0063275C"/>
    <w:rsid w:val="00632BAA"/>
    <w:rsid w:val="00632D99"/>
    <w:rsid w:val="0063376C"/>
    <w:rsid w:val="00633AB8"/>
    <w:rsid w:val="00633B19"/>
    <w:rsid w:val="00633B35"/>
    <w:rsid w:val="00633E4B"/>
    <w:rsid w:val="00633F30"/>
    <w:rsid w:val="0063417C"/>
    <w:rsid w:val="006342D6"/>
    <w:rsid w:val="006342EF"/>
    <w:rsid w:val="00634701"/>
    <w:rsid w:val="0063490E"/>
    <w:rsid w:val="006351DD"/>
    <w:rsid w:val="006363A9"/>
    <w:rsid w:val="006367C5"/>
    <w:rsid w:val="00636B79"/>
    <w:rsid w:val="0063731A"/>
    <w:rsid w:val="0063741B"/>
    <w:rsid w:val="00637647"/>
    <w:rsid w:val="006377A8"/>
    <w:rsid w:val="00637B82"/>
    <w:rsid w:val="00637C2B"/>
    <w:rsid w:val="00637FD5"/>
    <w:rsid w:val="006401AC"/>
    <w:rsid w:val="00640321"/>
    <w:rsid w:val="00640565"/>
    <w:rsid w:val="00640727"/>
    <w:rsid w:val="00640A20"/>
    <w:rsid w:val="00640D44"/>
    <w:rsid w:val="00640E26"/>
    <w:rsid w:val="00640F02"/>
    <w:rsid w:val="00640FB3"/>
    <w:rsid w:val="00641079"/>
    <w:rsid w:val="0064140F"/>
    <w:rsid w:val="00641510"/>
    <w:rsid w:val="006415C8"/>
    <w:rsid w:val="00641B8D"/>
    <w:rsid w:val="00641CE9"/>
    <w:rsid w:val="00642026"/>
    <w:rsid w:val="006420D1"/>
    <w:rsid w:val="00642167"/>
    <w:rsid w:val="00642169"/>
    <w:rsid w:val="0064238A"/>
    <w:rsid w:val="006425B5"/>
    <w:rsid w:val="006427D4"/>
    <w:rsid w:val="0064282D"/>
    <w:rsid w:val="006428FE"/>
    <w:rsid w:val="00642A5E"/>
    <w:rsid w:val="00642AB5"/>
    <w:rsid w:val="00642C34"/>
    <w:rsid w:val="00642DF0"/>
    <w:rsid w:val="00642EE1"/>
    <w:rsid w:val="00643082"/>
    <w:rsid w:val="006433C4"/>
    <w:rsid w:val="006435F5"/>
    <w:rsid w:val="00643B4D"/>
    <w:rsid w:val="0064411E"/>
    <w:rsid w:val="006441D9"/>
    <w:rsid w:val="0064494C"/>
    <w:rsid w:val="00644AD0"/>
    <w:rsid w:val="00644F00"/>
    <w:rsid w:val="00644FAC"/>
    <w:rsid w:val="006454BD"/>
    <w:rsid w:val="00645A7A"/>
    <w:rsid w:val="00645B8D"/>
    <w:rsid w:val="00645E95"/>
    <w:rsid w:val="0064637A"/>
    <w:rsid w:val="00646447"/>
    <w:rsid w:val="006464C1"/>
    <w:rsid w:val="006464D1"/>
    <w:rsid w:val="00646B8C"/>
    <w:rsid w:val="00646BCC"/>
    <w:rsid w:val="00646D2B"/>
    <w:rsid w:val="00646DA8"/>
    <w:rsid w:val="00646E2B"/>
    <w:rsid w:val="00647416"/>
    <w:rsid w:val="0064757D"/>
    <w:rsid w:val="00647688"/>
    <w:rsid w:val="006476C2"/>
    <w:rsid w:val="006477AB"/>
    <w:rsid w:val="006478E1"/>
    <w:rsid w:val="00647A7E"/>
    <w:rsid w:val="00647DA0"/>
    <w:rsid w:val="006503C7"/>
    <w:rsid w:val="0065040E"/>
    <w:rsid w:val="00650697"/>
    <w:rsid w:val="006507AD"/>
    <w:rsid w:val="00650991"/>
    <w:rsid w:val="00650B0F"/>
    <w:rsid w:val="00650BF7"/>
    <w:rsid w:val="00650D0D"/>
    <w:rsid w:val="00651465"/>
    <w:rsid w:val="006516DE"/>
    <w:rsid w:val="006521A5"/>
    <w:rsid w:val="00652454"/>
    <w:rsid w:val="0065255B"/>
    <w:rsid w:val="00652A68"/>
    <w:rsid w:val="00652A8D"/>
    <w:rsid w:val="00652DAB"/>
    <w:rsid w:val="00652FBB"/>
    <w:rsid w:val="006532D3"/>
    <w:rsid w:val="00653345"/>
    <w:rsid w:val="00653A64"/>
    <w:rsid w:val="00653ADF"/>
    <w:rsid w:val="00653C96"/>
    <w:rsid w:val="0065412C"/>
    <w:rsid w:val="006541B0"/>
    <w:rsid w:val="0065470C"/>
    <w:rsid w:val="006548A6"/>
    <w:rsid w:val="00654B1C"/>
    <w:rsid w:val="00654CDE"/>
    <w:rsid w:val="006551A2"/>
    <w:rsid w:val="006553A3"/>
    <w:rsid w:val="00655445"/>
    <w:rsid w:val="0065567E"/>
    <w:rsid w:val="00655A33"/>
    <w:rsid w:val="00655D38"/>
    <w:rsid w:val="006568EA"/>
    <w:rsid w:val="006569FC"/>
    <w:rsid w:val="00656D50"/>
    <w:rsid w:val="00656E29"/>
    <w:rsid w:val="00656E52"/>
    <w:rsid w:val="006570AA"/>
    <w:rsid w:val="00657355"/>
    <w:rsid w:val="006573E5"/>
    <w:rsid w:val="00657524"/>
    <w:rsid w:val="006575BA"/>
    <w:rsid w:val="0065790B"/>
    <w:rsid w:val="00657AEB"/>
    <w:rsid w:val="00657BA7"/>
    <w:rsid w:val="00657C59"/>
    <w:rsid w:val="00657E4D"/>
    <w:rsid w:val="006602DB"/>
    <w:rsid w:val="00660391"/>
    <w:rsid w:val="006608B3"/>
    <w:rsid w:val="006608F9"/>
    <w:rsid w:val="00660CCE"/>
    <w:rsid w:val="00661078"/>
    <w:rsid w:val="0066139A"/>
    <w:rsid w:val="006613F9"/>
    <w:rsid w:val="00661413"/>
    <w:rsid w:val="00661BAC"/>
    <w:rsid w:val="00661C66"/>
    <w:rsid w:val="00662151"/>
    <w:rsid w:val="0066215E"/>
    <w:rsid w:val="0066253C"/>
    <w:rsid w:val="0066293D"/>
    <w:rsid w:val="00662BD0"/>
    <w:rsid w:val="00662E4A"/>
    <w:rsid w:val="0066300C"/>
    <w:rsid w:val="00663112"/>
    <w:rsid w:val="006636B8"/>
    <w:rsid w:val="00663999"/>
    <w:rsid w:val="00663EA0"/>
    <w:rsid w:val="00663EA5"/>
    <w:rsid w:val="00663EF0"/>
    <w:rsid w:val="00663FD8"/>
    <w:rsid w:val="00663FE4"/>
    <w:rsid w:val="006640FF"/>
    <w:rsid w:val="00664496"/>
    <w:rsid w:val="00664587"/>
    <w:rsid w:val="0066476E"/>
    <w:rsid w:val="0066477C"/>
    <w:rsid w:val="0066498B"/>
    <w:rsid w:val="00664A0C"/>
    <w:rsid w:val="00664BB3"/>
    <w:rsid w:val="00664C20"/>
    <w:rsid w:val="00665075"/>
    <w:rsid w:val="006656FD"/>
    <w:rsid w:val="0066571B"/>
    <w:rsid w:val="00666064"/>
    <w:rsid w:val="006662A7"/>
    <w:rsid w:val="006663D5"/>
    <w:rsid w:val="0066664A"/>
    <w:rsid w:val="006668DD"/>
    <w:rsid w:val="00666C46"/>
    <w:rsid w:val="00667A49"/>
    <w:rsid w:val="00667B37"/>
    <w:rsid w:val="00667E54"/>
    <w:rsid w:val="00670400"/>
    <w:rsid w:val="006708D8"/>
    <w:rsid w:val="00670C15"/>
    <w:rsid w:val="00670D32"/>
    <w:rsid w:val="00670E34"/>
    <w:rsid w:val="00670E55"/>
    <w:rsid w:val="006714BC"/>
    <w:rsid w:val="006714F8"/>
    <w:rsid w:val="00671504"/>
    <w:rsid w:val="00671623"/>
    <w:rsid w:val="0067187B"/>
    <w:rsid w:val="00671AAB"/>
    <w:rsid w:val="00671BFD"/>
    <w:rsid w:val="0067264F"/>
    <w:rsid w:val="00672660"/>
    <w:rsid w:val="006726EE"/>
    <w:rsid w:val="00672746"/>
    <w:rsid w:val="0067295B"/>
    <w:rsid w:val="00672A82"/>
    <w:rsid w:val="00672AEB"/>
    <w:rsid w:val="00672F9C"/>
    <w:rsid w:val="006735D6"/>
    <w:rsid w:val="00673C0E"/>
    <w:rsid w:val="00673E15"/>
    <w:rsid w:val="00673FBF"/>
    <w:rsid w:val="00674F1B"/>
    <w:rsid w:val="00674F8E"/>
    <w:rsid w:val="006752C1"/>
    <w:rsid w:val="006752C4"/>
    <w:rsid w:val="00675424"/>
    <w:rsid w:val="006754A5"/>
    <w:rsid w:val="006757C7"/>
    <w:rsid w:val="0067589D"/>
    <w:rsid w:val="00675CBE"/>
    <w:rsid w:val="00676091"/>
    <w:rsid w:val="006760DD"/>
    <w:rsid w:val="00676BED"/>
    <w:rsid w:val="00677075"/>
    <w:rsid w:val="0067740E"/>
    <w:rsid w:val="006800B9"/>
    <w:rsid w:val="006801C6"/>
    <w:rsid w:val="00680A8F"/>
    <w:rsid w:val="00680D8C"/>
    <w:rsid w:val="00680F77"/>
    <w:rsid w:val="0068104F"/>
    <w:rsid w:val="0068113C"/>
    <w:rsid w:val="0068126A"/>
    <w:rsid w:val="00681582"/>
    <w:rsid w:val="006815AD"/>
    <w:rsid w:val="00681786"/>
    <w:rsid w:val="00681862"/>
    <w:rsid w:val="00681B21"/>
    <w:rsid w:val="00681B22"/>
    <w:rsid w:val="00681B91"/>
    <w:rsid w:val="00681D41"/>
    <w:rsid w:val="00681E0E"/>
    <w:rsid w:val="00682257"/>
    <w:rsid w:val="0068267D"/>
    <w:rsid w:val="00682746"/>
    <w:rsid w:val="006834C5"/>
    <w:rsid w:val="0068367D"/>
    <w:rsid w:val="00683960"/>
    <w:rsid w:val="00683B52"/>
    <w:rsid w:val="00683C55"/>
    <w:rsid w:val="006842A4"/>
    <w:rsid w:val="006843FB"/>
    <w:rsid w:val="0068452D"/>
    <w:rsid w:val="00684627"/>
    <w:rsid w:val="00684726"/>
    <w:rsid w:val="006847CC"/>
    <w:rsid w:val="00684C0B"/>
    <w:rsid w:val="00684ED6"/>
    <w:rsid w:val="00685354"/>
    <w:rsid w:val="0068553F"/>
    <w:rsid w:val="0068591F"/>
    <w:rsid w:val="006859A7"/>
    <w:rsid w:val="00685B5E"/>
    <w:rsid w:val="00685E75"/>
    <w:rsid w:val="0068602D"/>
    <w:rsid w:val="006866F8"/>
    <w:rsid w:val="00686DFF"/>
    <w:rsid w:val="00686F67"/>
    <w:rsid w:val="00686FAC"/>
    <w:rsid w:val="006872A2"/>
    <w:rsid w:val="00687B2C"/>
    <w:rsid w:val="00687C2D"/>
    <w:rsid w:val="006901B7"/>
    <w:rsid w:val="006905AF"/>
    <w:rsid w:val="006905EA"/>
    <w:rsid w:val="006905F8"/>
    <w:rsid w:val="00690648"/>
    <w:rsid w:val="00690789"/>
    <w:rsid w:val="0069092D"/>
    <w:rsid w:val="0069119E"/>
    <w:rsid w:val="006911EC"/>
    <w:rsid w:val="00691241"/>
    <w:rsid w:val="0069183E"/>
    <w:rsid w:val="00691D21"/>
    <w:rsid w:val="00691DC2"/>
    <w:rsid w:val="00692253"/>
    <w:rsid w:val="00692431"/>
    <w:rsid w:val="00692B8B"/>
    <w:rsid w:val="00692DE6"/>
    <w:rsid w:val="00692E83"/>
    <w:rsid w:val="006931DD"/>
    <w:rsid w:val="00693296"/>
    <w:rsid w:val="0069334A"/>
    <w:rsid w:val="00693526"/>
    <w:rsid w:val="0069363C"/>
    <w:rsid w:val="00693A0A"/>
    <w:rsid w:val="00693B64"/>
    <w:rsid w:val="00693D03"/>
    <w:rsid w:val="00694374"/>
    <w:rsid w:val="006943DB"/>
    <w:rsid w:val="00694507"/>
    <w:rsid w:val="006946E9"/>
    <w:rsid w:val="00694CA4"/>
    <w:rsid w:val="00694D17"/>
    <w:rsid w:val="00694EDA"/>
    <w:rsid w:val="00694EF2"/>
    <w:rsid w:val="00695051"/>
    <w:rsid w:val="006953BA"/>
    <w:rsid w:val="006959F4"/>
    <w:rsid w:val="00695AD6"/>
    <w:rsid w:val="00695DC6"/>
    <w:rsid w:val="0069652B"/>
    <w:rsid w:val="006966F1"/>
    <w:rsid w:val="00696979"/>
    <w:rsid w:val="00696997"/>
    <w:rsid w:val="00696A85"/>
    <w:rsid w:val="00696DA0"/>
    <w:rsid w:val="00696F1E"/>
    <w:rsid w:val="006971E2"/>
    <w:rsid w:val="0069725C"/>
    <w:rsid w:val="0069788C"/>
    <w:rsid w:val="00697994"/>
    <w:rsid w:val="00697C32"/>
    <w:rsid w:val="00697EF3"/>
    <w:rsid w:val="006A0192"/>
    <w:rsid w:val="006A026D"/>
    <w:rsid w:val="006A0686"/>
    <w:rsid w:val="006A06F4"/>
    <w:rsid w:val="006A0851"/>
    <w:rsid w:val="006A09E7"/>
    <w:rsid w:val="006A0A3E"/>
    <w:rsid w:val="006A0AF3"/>
    <w:rsid w:val="006A0F83"/>
    <w:rsid w:val="006A106A"/>
    <w:rsid w:val="006A11D0"/>
    <w:rsid w:val="006A1232"/>
    <w:rsid w:val="006A1406"/>
    <w:rsid w:val="006A1AC6"/>
    <w:rsid w:val="006A1EFF"/>
    <w:rsid w:val="006A1FB4"/>
    <w:rsid w:val="006A2041"/>
    <w:rsid w:val="006A274D"/>
    <w:rsid w:val="006A2C77"/>
    <w:rsid w:val="006A2DB8"/>
    <w:rsid w:val="006A3563"/>
    <w:rsid w:val="006A35D0"/>
    <w:rsid w:val="006A36BD"/>
    <w:rsid w:val="006A36C2"/>
    <w:rsid w:val="006A4206"/>
    <w:rsid w:val="006A43AA"/>
    <w:rsid w:val="006A4753"/>
    <w:rsid w:val="006A4872"/>
    <w:rsid w:val="006A4E53"/>
    <w:rsid w:val="006A5928"/>
    <w:rsid w:val="006A59FA"/>
    <w:rsid w:val="006A5B05"/>
    <w:rsid w:val="006A5BF1"/>
    <w:rsid w:val="006A5D71"/>
    <w:rsid w:val="006A5EDB"/>
    <w:rsid w:val="006A5F57"/>
    <w:rsid w:val="006A6081"/>
    <w:rsid w:val="006A624C"/>
    <w:rsid w:val="006A64C5"/>
    <w:rsid w:val="006A6A8F"/>
    <w:rsid w:val="006A709A"/>
    <w:rsid w:val="006A73C1"/>
    <w:rsid w:val="006A73F4"/>
    <w:rsid w:val="006A73FA"/>
    <w:rsid w:val="006A76A1"/>
    <w:rsid w:val="006A7BDB"/>
    <w:rsid w:val="006A7E44"/>
    <w:rsid w:val="006A7F78"/>
    <w:rsid w:val="006A7FDE"/>
    <w:rsid w:val="006B0133"/>
    <w:rsid w:val="006B0294"/>
    <w:rsid w:val="006B0744"/>
    <w:rsid w:val="006B084A"/>
    <w:rsid w:val="006B0AFE"/>
    <w:rsid w:val="006B0B2C"/>
    <w:rsid w:val="006B0BDA"/>
    <w:rsid w:val="006B0BF3"/>
    <w:rsid w:val="006B0DD8"/>
    <w:rsid w:val="006B0E2D"/>
    <w:rsid w:val="006B194A"/>
    <w:rsid w:val="006B194C"/>
    <w:rsid w:val="006B1A94"/>
    <w:rsid w:val="006B1D2C"/>
    <w:rsid w:val="006B21E4"/>
    <w:rsid w:val="006B25AF"/>
    <w:rsid w:val="006B2642"/>
    <w:rsid w:val="006B2FB8"/>
    <w:rsid w:val="006B32BC"/>
    <w:rsid w:val="006B3498"/>
    <w:rsid w:val="006B374A"/>
    <w:rsid w:val="006B37BB"/>
    <w:rsid w:val="006B42B2"/>
    <w:rsid w:val="006B447B"/>
    <w:rsid w:val="006B45B4"/>
    <w:rsid w:val="006B4959"/>
    <w:rsid w:val="006B496D"/>
    <w:rsid w:val="006B49F5"/>
    <w:rsid w:val="006B4CD3"/>
    <w:rsid w:val="006B5267"/>
    <w:rsid w:val="006B526F"/>
    <w:rsid w:val="006B55BA"/>
    <w:rsid w:val="006B5930"/>
    <w:rsid w:val="006B5A35"/>
    <w:rsid w:val="006B5CD1"/>
    <w:rsid w:val="006B5E43"/>
    <w:rsid w:val="006B5EBE"/>
    <w:rsid w:val="006B62F1"/>
    <w:rsid w:val="006B631F"/>
    <w:rsid w:val="006B6C71"/>
    <w:rsid w:val="006B6FF6"/>
    <w:rsid w:val="006B707F"/>
    <w:rsid w:val="006B7E1A"/>
    <w:rsid w:val="006B7FE8"/>
    <w:rsid w:val="006C0483"/>
    <w:rsid w:val="006C05FC"/>
    <w:rsid w:val="006C07F3"/>
    <w:rsid w:val="006C1123"/>
    <w:rsid w:val="006C16E5"/>
    <w:rsid w:val="006C1CC0"/>
    <w:rsid w:val="006C1E03"/>
    <w:rsid w:val="006C1E2E"/>
    <w:rsid w:val="006C2657"/>
    <w:rsid w:val="006C275C"/>
    <w:rsid w:val="006C3168"/>
    <w:rsid w:val="006C32BF"/>
    <w:rsid w:val="006C37B9"/>
    <w:rsid w:val="006C3B95"/>
    <w:rsid w:val="006C3BDB"/>
    <w:rsid w:val="006C3D6C"/>
    <w:rsid w:val="006C40BD"/>
    <w:rsid w:val="006C40BE"/>
    <w:rsid w:val="006C42A9"/>
    <w:rsid w:val="006C47C5"/>
    <w:rsid w:val="006C48C5"/>
    <w:rsid w:val="006C48F9"/>
    <w:rsid w:val="006C4949"/>
    <w:rsid w:val="006C49B0"/>
    <w:rsid w:val="006C4C9E"/>
    <w:rsid w:val="006C51C5"/>
    <w:rsid w:val="006C51E5"/>
    <w:rsid w:val="006C52CD"/>
    <w:rsid w:val="006C54BF"/>
    <w:rsid w:val="006C57B3"/>
    <w:rsid w:val="006C57F0"/>
    <w:rsid w:val="006C58E4"/>
    <w:rsid w:val="006C5AD0"/>
    <w:rsid w:val="006C5C1F"/>
    <w:rsid w:val="006C5CF6"/>
    <w:rsid w:val="006C60AC"/>
    <w:rsid w:val="006C618C"/>
    <w:rsid w:val="006C62CE"/>
    <w:rsid w:val="006C6533"/>
    <w:rsid w:val="006C6B1D"/>
    <w:rsid w:val="006C6CBF"/>
    <w:rsid w:val="006C6D11"/>
    <w:rsid w:val="006C6D33"/>
    <w:rsid w:val="006C6E0A"/>
    <w:rsid w:val="006C70CF"/>
    <w:rsid w:val="006C7671"/>
    <w:rsid w:val="006C7CE2"/>
    <w:rsid w:val="006C7D28"/>
    <w:rsid w:val="006C7D39"/>
    <w:rsid w:val="006C7FCE"/>
    <w:rsid w:val="006D05A6"/>
    <w:rsid w:val="006D0850"/>
    <w:rsid w:val="006D0C65"/>
    <w:rsid w:val="006D10B2"/>
    <w:rsid w:val="006D1375"/>
    <w:rsid w:val="006D1621"/>
    <w:rsid w:val="006D1BA5"/>
    <w:rsid w:val="006D1C18"/>
    <w:rsid w:val="006D1DB3"/>
    <w:rsid w:val="006D1F45"/>
    <w:rsid w:val="006D20EE"/>
    <w:rsid w:val="006D2437"/>
    <w:rsid w:val="006D2582"/>
    <w:rsid w:val="006D2C20"/>
    <w:rsid w:val="006D2D4F"/>
    <w:rsid w:val="006D3051"/>
    <w:rsid w:val="006D329C"/>
    <w:rsid w:val="006D336B"/>
    <w:rsid w:val="006D364B"/>
    <w:rsid w:val="006D3B5A"/>
    <w:rsid w:val="006D3B75"/>
    <w:rsid w:val="006D3BD4"/>
    <w:rsid w:val="006D3C0D"/>
    <w:rsid w:val="006D40E7"/>
    <w:rsid w:val="006D41B6"/>
    <w:rsid w:val="006D44DD"/>
    <w:rsid w:val="006D457D"/>
    <w:rsid w:val="006D45ED"/>
    <w:rsid w:val="006D474A"/>
    <w:rsid w:val="006D4907"/>
    <w:rsid w:val="006D4935"/>
    <w:rsid w:val="006D4FE5"/>
    <w:rsid w:val="006D56DE"/>
    <w:rsid w:val="006D59D5"/>
    <w:rsid w:val="006D5CFC"/>
    <w:rsid w:val="006D5F39"/>
    <w:rsid w:val="006D6389"/>
    <w:rsid w:val="006D669D"/>
    <w:rsid w:val="006D679A"/>
    <w:rsid w:val="006D6E57"/>
    <w:rsid w:val="006D7168"/>
    <w:rsid w:val="006D7229"/>
    <w:rsid w:val="006D72B3"/>
    <w:rsid w:val="006D75CF"/>
    <w:rsid w:val="006D79AF"/>
    <w:rsid w:val="006D7C82"/>
    <w:rsid w:val="006D7F96"/>
    <w:rsid w:val="006E014E"/>
    <w:rsid w:val="006E016E"/>
    <w:rsid w:val="006E0504"/>
    <w:rsid w:val="006E0817"/>
    <w:rsid w:val="006E0B3C"/>
    <w:rsid w:val="006E0CEF"/>
    <w:rsid w:val="006E0D20"/>
    <w:rsid w:val="006E1006"/>
    <w:rsid w:val="006E1197"/>
    <w:rsid w:val="006E1280"/>
    <w:rsid w:val="006E12A0"/>
    <w:rsid w:val="006E1392"/>
    <w:rsid w:val="006E14B4"/>
    <w:rsid w:val="006E176C"/>
    <w:rsid w:val="006E1C5A"/>
    <w:rsid w:val="006E2038"/>
    <w:rsid w:val="006E260A"/>
    <w:rsid w:val="006E26EF"/>
    <w:rsid w:val="006E2716"/>
    <w:rsid w:val="006E29AB"/>
    <w:rsid w:val="006E2D1C"/>
    <w:rsid w:val="006E2DFB"/>
    <w:rsid w:val="006E2EAF"/>
    <w:rsid w:val="006E2F6A"/>
    <w:rsid w:val="006E30A9"/>
    <w:rsid w:val="006E31A8"/>
    <w:rsid w:val="006E31C7"/>
    <w:rsid w:val="006E3780"/>
    <w:rsid w:val="006E3CEE"/>
    <w:rsid w:val="006E3D56"/>
    <w:rsid w:val="006E3D9A"/>
    <w:rsid w:val="006E3DE3"/>
    <w:rsid w:val="006E3F5D"/>
    <w:rsid w:val="006E41B4"/>
    <w:rsid w:val="006E44E2"/>
    <w:rsid w:val="006E4721"/>
    <w:rsid w:val="006E4C69"/>
    <w:rsid w:val="006E4C7E"/>
    <w:rsid w:val="006E4CD3"/>
    <w:rsid w:val="006E4FC5"/>
    <w:rsid w:val="006E59F1"/>
    <w:rsid w:val="006E5B32"/>
    <w:rsid w:val="006E5BA1"/>
    <w:rsid w:val="006E5C46"/>
    <w:rsid w:val="006E63CE"/>
    <w:rsid w:val="006E66BF"/>
    <w:rsid w:val="006E674A"/>
    <w:rsid w:val="006E68E8"/>
    <w:rsid w:val="006E6957"/>
    <w:rsid w:val="006E6EC6"/>
    <w:rsid w:val="006E6FA4"/>
    <w:rsid w:val="006E6FD2"/>
    <w:rsid w:val="006E708E"/>
    <w:rsid w:val="006E718E"/>
    <w:rsid w:val="006E72F8"/>
    <w:rsid w:val="006E76E2"/>
    <w:rsid w:val="006E7729"/>
    <w:rsid w:val="006E7B68"/>
    <w:rsid w:val="006E7B7C"/>
    <w:rsid w:val="006E7B93"/>
    <w:rsid w:val="006E7D5E"/>
    <w:rsid w:val="006F01F3"/>
    <w:rsid w:val="006F0526"/>
    <w:rsid w:val="006F0AD8"/>
    <w:rsid w:val="006F0BF7"/>
    <w:rsid w:val="006F0C3D"/>
    <w:rsid w:val="006F1247"/>
    <w:rsid w:val="006F19F3"/>
    <w:rsid w:val="006F1B28"/>
    <w:rsid w:val="006F1F80"/>
    <w:rsid w:val="006F2420"/>
    <w:rsid w:val="006F247E"/>
    <w:rsid w:val="006F25EF"/>
    <w:rsid w:val="006F26DD"/>
    <w:rsid w:val="006F274F"/>
    <w:rsid w:val="006F2873"/>
    <w:rsid w:val="006F305B"/>
    <w:rsid w:val="006F30DD"/>
    <w:rsid w:val="006F3115"/>
    <w:rsid w:val="006F38EC"/>
    <w:rsid w:val="006F408F"/>
    <w:rsid w:val="006F41C7"/>
    <w:rsid w:val="006F46BB"/>
    <w:rsid w:val="006F479A"/>
    <w:rsid w:val="006F50F1"/>
    <w:rsid w:val="006F523A"/>
    <w:rsid w:val="006F54AB"/>
    <w:rsid w:val="006F593F"/>
    <w:rsid w:val="006F59F5"/>
    <w:rsid w:val="006F5BE7"/>
    <w:rsid w:val="006F5C75"/>
    <w:rsid w:val="006F5DCB"/>
    <w:rsid w:val="006F622E"/>
    <w:rsid w:val="006F69EF"/>
    <w:rsid w:val="006F6C59"/>
    <w:rsid w:val="006F6DA6"/>
    <w:rsid w:val="006F71D0"/>
    <w:rsid w:val="006F74EA"/>
    <w:rsid w:val="006F7592"/>
    <w:rsid w:val="006F7A32"/>
    <w:rsid w:val="006F7DB2"/>
    <w:rsid w:val="007006DB"/>
    <w:rsid w:val="00700C71"/>
    <w:rsid w:val="00700E41"/>
    <w:rsid w:val="00700FA4"/>
    <w:rsid w:val="0070203A"/>
    <w:rsid w:val="007020EE"/>
    <w:rsid w:val="0070225F"/>
    <w:rsid w:val="00703421"/>
    <w:rsid w:val="007036A2"/>
    <w:rsid w:val="00703924"/>
    <w:rsid w:val="00703948"/>
    <w:rsid w:val="007039BC"/>
    <w:rsid w:val="00704636"/>
    <w:rsid w:val="00704680"/>
    <w:rsid w:val="007046B4"/>
    <w:rsid w:val="00704788"/>
    <w:rsid w:val="0070481D"/>
    <w:rsid w:val="00704B76"/>
    <w:rsid w:val="00704D81"/>
    <w:rsid w:val="007052CF"/>
    <w:rsid w:val="007058D0"/>
    <w:rsid w:val="00705B2A"/>
    <w:rsid w:val="00705D8D"/>
    <w:rsid w:val="00705E75"/>
    <w:rsid w:val="00705F12"/>
    <w:rsid w:val="0070612C"/>
    <w:rsid w:val="007061AD"/>
    <w:rsid w:val="00706200"/>
    <w:rsid w:val="00706270"/>
    <w:rsid w:val="00706280"/>
    <w:rsid w:val="0070633B"/>
    <w:rsid w:val="007064F6"/>
    <w:rsid w:val="0070671D"/>
    <w:rsid w:val="00706910"/>
    <w:rsid w:val="00706E13"/>
    <w:rsid w:val="00706E59"/>
    <w:rsid w:val="00707041"/>
    <w:rsid w:val="0070778C"/>
    <w:rsid w:val="00707859"/>
    <w:rsid w:val="00707B4A"/>
    <w:rsid w:val="00707E13"/>
    <w:rsid w:val="00707F30"/>
    <w:rsid w:val="007105AF"/>
    <w:rsid w:val="00710FB2"/>
    <w:rsid w:val="007112A0"/>
    <w:rsid w:val="007115A5"/>
    <w:rsid w:val="007116F8"/>
    <w:rsid w:val="00711A6C"/>
    <w:rsid w:val="00711DEF"/>
    <w:rsid w:val="007121F9"/>
    <w:rsid w:val="0071239E"/>
    <w:rsid w:val="00712490"/>
    <w:rsid w:val="00712EE2"/>
    <w:rsid w:val="007133C9"/>
    <w:rsid w:val="007135F3"/>
    <w:rsid w:val="00713CEE"/>
    <w:rsid w:val="007144E7"/>
    <w:rsid w:val="0071458F"/>
    <w:rsid w:val="00714690"/>
    <w:rsid w:val="007147BF"/>
    <w:rsid w:val="00714B5A"/>
    <w:rsid w:val="00714F22"/>
    <w:rsid w:val="00715241"/>
    <w:rsid w:val="007153A9"/>
    <w:rsid w:val="00715604"/>
    <w:rsid w:val="00715B0C"/>
    <w:rsid w:val="00715BDD"/>
    <w:rsid w:val="00715CF0"/>
    <w:rsid w:val="00715F74"/>
    <w:rsid w:val="00715FF7"/>
    <w:rsid w:val="007160A3"/>
    <w:rsid w:val="00716A2C"/>
    <w:rsid w:val="00716E18"/>
    <w:rsid w:val="007171EE"/>
    <w:rsid w:val="00717315"/>
    <w:rsid w:val="00717FBA"/>
    <w:rsid w:val="007205FE"/>
    <w:rsid w:val="00720875"/>
    <w:rsid w:val="00720ABA"/>
    <w:rsid w:val="00720AD8"/>
    <w:rsid w:val="00720BCE"/>
    <w:rsid w:val="00720E40"/>
    <w:rsid w:val="00721630"/>
    <w:rsid w:val="00721673"/>
    <w:rsid w:val="0072186A"/>
    <w:rsid w:val="0072187A"/>
    <w:rsid w:val="00721CB2"/>
    <w:rsid w:val="00721DB2"/>
    <w:rsid w:val="00721DDC"/>
    <w:rsid w:val="00721F0C"/>
    <w:rsid w:val="007221A2"/>
    <w:rsid w:val="0072292A"/>
    <w:rsid w:val="00722BB2"/>
    <w:rsid w:val="00722E0B"/>
    <w:rsid w:val="007230DC"/>
    <w:rsid w:val="00723230"/>
    <w:rsid w:val="0072329E"/>
    <w:rsid w:val="00723416"/>
    <w:rsid w:val="007234F4"/>
    <w:rsid w:val="007235A3"/>
    <w:rsid w:val="007237FB"/>
    <w:rsid w:val="00723B99"/>
    <w:rsid w:val="00723DB2"/>
    <w:rsid w:val="00723E19"/>
    <w:rsid w:val="007240B7"/>
    <w:rsid w:val="00724133"/>
    <w:rsid w:val="00724C1E"/>
    <w:rsid w:val="00724C60"/>
    <w:rsid w:val="0072536B"/>
    <w:rsid w:val="007253BD"/>
    <w:rsid w:val="00725436"/>
    <w:rsid w:val="007254E1"/>
    <w:rsid w:val="00725604"/>
    <w:rsid w:val="00725B90"/>
    <w:rsid w:val="00725C4C"/>
    <w:rsid w:val="00725FF3"/>
    <w:rsid w:val="007262AC"/>
    <w:rsid w:val="007262FB"/>
    <w:rsid w:val="007267B4"/>
    <w:rsid w:val="007267DA"/>
    <w:rsid w:val="00726BB7"/>
    <w:rsid w:val="00726C33"/>
    <w:rsid w:val="00726DA8"/>
    <w:rsid w:val="00726E9A"/>
    <w:rsid w:val="007270C3"/>
    <w:rsid w:val="0072760F"/>
    <w:rsid w:val="00727632"/>
    <w:rsid w:val="00727788"/>
    <w:rsid w:val="00727ECC"/>
    <w:rsid w:val="007300F1"/>
    <w:rsid w:val="0073031C"/>
    <w:rsid w:val="00730715"/>
    <w:rsid w:val="0073074C"/>
    <w:rsid w:val="00730A9B"/>
    <w:rsid w:val="00730B08"/>
    <w:rsid w:val="00731AF6"/>
    <w:rsid w:val="00731F72"/>
    <w:rsid w:val="00731F8E"/>
    <w:rsid w:val="00732196"/>
    <w:rsid w:val="0073253D"/>
    <w:rsid w:val="007328A5"/>
    <w:rsid w:val="00732AD5"/>
    <w:rsid w:val="00732C2E"/>
    <w:rsid w:val="00732DE2"/>
    <w:rsid w:val="00733038"/>
    <w:rsid w:val="0073305C"/>
    <w:rsid w:val="007330BA"/>
    <w:rsid w:val="0073323F"/>
    <w:rsid w:val="0073383B"/>
    <w:rsid w:val="00733B1C"/>
    <w:rsid w:val="00733CE4"/>
    <w:rsid w:val="00733EE7"/>
    <w:rsid w:val="00733F14"/>
    <w:rsid w:val="00733FC0"/>
    <w:rsid w:val="007340D8"/>
    <w:rsid w:val="0073432F"/>
    <w:rsid w:val="007344D2"/>
    <w:rsid w:val="00734571"/>
    <w:rsid w:val="007348AC"/>
    <w:rsid w:val="00734AAA"/>
    <w:rsid w:val="00734AE6"/>
    <w:rsid w:val="00734BC2"/>
    <w:rsid w:val="00734CDA"/>
    <w:rsid w:val="00734EF0"/>
    <w:rsid w:val="007359CF"/>
    <w:rsid w:val="00735ADE"/>
    <w:rsid w:val="00735C5C"/>
    <w:rsid w:val="00735DAD"/>
    <w:rsid w:val="00735FA2"/>
    <w:rsid w:val="00735FC3"/>
    <w:rsid w:val="007360E9"/>
    <w:rsid w:val="00736876"/>
    <w:rsid w:val="00736BA7"/>
    <w:rsid w:val="00736CC5"/>
    <w:rsid w:val="00736FF5"/>
    <w:rsid w:val="00737073"/>
    <w:rsid w:val="00737166"/>
    <w:rsid w:val="00737338"/>
    <w:rsid w:val="007375BC"/>
    <w:rsid w:val="00737F54"/>
    <w:rsid w:val="00740062"/>
    <w:rsid w:val="0074006A"/>
    <w:rsid w:val="00740451"/>
    <w:rsid w:val="007408F6"/>
    <w:rsid w:val="00740CC8"/>
    <w:rsid w:val="00740D6F"/>
    <w:rsid w:val="00740FC9"/>
    <w:rsid w:val="007410B6"/>
    <w:rsid w:val="007410E5"/>
    <w:rsid w:val="007410F8"/>
    <w:rsid w:val="007413DE"/>
    <w:rsid w:val="0074175A"/>
    <w:rsid w:val="007417AE"/>
    <w:rsid w:val="0074242F"/>
    <w:rsid w:val="0074255C"/>
    <w:rsid w:val="00742595"/>
    <w:rsid w:val="0074270F"/>
    <w:rsid w:val="007428DF"/>
    <w:rsid w:val="00742B24"/>
    <w:rsid w:val="00742DF7"/>
    <w:rsid w:val="00742F58"/>
    <w:rsid w:val="00742F83"/>
    <w:rsid w:val="007431D4"/>
    <w:rsid w:val="00743373"/>
    <w:rsid w:val="007435A0"/>
    <w:rsid w:val="0074370F"/>
    <w:rsid w:val="00743E1C"/>
    <w:rsid w:val="00744190"/>
    <w:rsid w:val="0074427C"/>
    <w:rsid w:val="0074452D"/>
    <w:rsid w:val="00744731"/>
    <w:rsid w:val="00744924"/>
    <w:rsid w:val="00744E16"/>
    <w:rsid w:val="00744FBE"/>
    <w:rsid w:val="007454E0"/>
    <w:rsid w:val="0074553E"/>
    <w:rsid w:val="007455B5"/>
    <w:rsid w:val="007457E7"/>
    <w:rsid w:val="007457F2"/>
    <w:rsid w:val="007459AF"/>
    <w:rsid w:val="00745CDF"/>
    <w:rsid w:val="00746034"/>
    <w:rsid w:val="00746209"/>
    <w:rsid w:val="00746296"/>
    <w:rsid w:val="007467EF"/>
    <w:rsid w:val="00746A2C"/>
    <w:rsid w:val="00746A46"/>
    <w:rsid w:val="0074706D"/>
    <w:rsid w:val="00747CBC"/>
    <w:rsid w:val="00747FFE"/>
    <w:rsid w:val="007500A7"/>
    <w:rsid w:val="007500B0"/>
    <w:rsid w:val="00750347"/>
    <w:rsid w:val="00750365"/>
    <w:rsid w:val="007506B7"/>
    <w:rsid w:val="00750874"/>
    <w:rsid w:val="007508BD"/>
    <w:rsid w:val="007509B7"/>
    <w:rsid w:val="007509DD"/>
    <w:rsid w:val="00750A09"/>
    <w:rsid w:val="00750B2A"/>
    <w:rsid w:val="00750E52"/>
    <w:rsid w:val="00751569"/>
    <w:rsid w:val="0075183E"/>
    <w:rsid w:val="007519BF"/>
    <w:rsid w:val="00751D82"/>
    <w:rsid w:val="00751DAA"/>
    <w:rsid w:val="00751E7F"/>
    <w:rsid w:val="00751ECA"/>
    <w:rsid w:val="00751F13"/>
    <w:rsid w:val="007521D3"/>
    <w:rsid w:val="0075237A"/>
    <w:rsid w:val="00752513"/>
    <w:rsid w:val="007526CC"/>
    <w:rsid w:val="00752AEF"/>
    <w:rsid w:val="00753035"/>
    <w:rsid w:val="00753474"/>
    <w:rsid w:val="00753B1C"/>
    <w:rsid w:val="00753CB8"/>
    <w:rsid w:val="00754123"/>
    <w:rsid w:val="0075456D"/>
    <w:rsid w:val="0075457B"/>
    <w:rsid w:val="007545D9"/>
    <w:rsid w:val="007549CD"/>
    <w:rsid w:val="00754DB8"/>
    <w:rsid w:val="0075564E"/>
    <w:rsid w:val="00755781"/>
    <w:rsid w:val="00755858"/>
    <w:rsid w:val="00755C40"/>
    <w:rsid w:val="00755D3E"/>
    <w:rsid w:val="00755EFE"/>
    <w:rsid w:val="007564E9"/>
    <w:rsid w:val="0075650E"/>
    <w:rsid w:val="007565DE"/>
    <w:rsid w:val="00757006"/>
    <w:rsid w:val="007575A9"/>
    <w:rsid w:val="007576C2"/>
    <w:rsid w:val="00757762"/>
    <w:rsid w:val="007579C6"/>
    <w:rsid w:val="00757AEE"/>
    <w:rsid w:val="00757BA1"/>
    <w:rsid w:val="00757C97"/>
    <w:rsid w:val="007600FF"/>
    <w:rsid w:val="007611B3"/>
    <w:rsid w:val="007612E8"/>
    <w:rsid w:val="00761A81"/>
    <w:rsid w:val="00761F2B"/>
    <w:rsid w:val="007620B2"/>
    <w:rsid w:val="00762EF1"/>
    <w:rsid w:val="0076313B"/>
    <w:rsid w:val="007634A8"/>
    <w:rsid w:val="007637C8"/>
    <w:rsid w:val="00763C30"/>
    <w:rsid w:val="00763D0D"/>
    <w:rsid w:val="0076472A"/>
    <w:rsid w:val="007649E1"/>
    <w:rsid w:val="00764A8F"/>
    <w:rsid w:val="00764D61"/>
    <w:rsid w:val="00764E2C"/>
    <w:rsid w:val="00764F6F"/>
    <w:rsid w:val="0076503C"/>
    <w:rsid w:val="007651DE"/>
    <w:rsid w:val="00765A8E"/>
    <w:rsid w:val="0076606C"/>
    <w:rsid w:val="007662E6"/>
    <w:rsid w:val="00766C21"/>
    <w:rsid w:val="00766F12"/>
    <w:rsid w:val="0076737D"/>
    <w:rsid w:val="007674DE"/>
    <w:rsid w:val="007676D8"/>
    <w:rsid w:val="0076780C"/>
    <w:rsid w:val="00767C58"/>
    <w:rsid w:val="00767D6E"/>
    <w:rsid w:val="00767FB5"/>
    <w:rsid w:val="00770025"/>
    <w:rsid w:val="007700AD"/>
    <w:rsid w:val="00770429"/>
    <w:rsid w:val="00770A82"/>
    <w:rsid w:val="00770A99"/>
    <w:rsid w:val="00770C2A"/>
    <w:rsid w:val="00770CDE"/>
    <w:rsid w:val="00770D56"/>
    <w:rsid w:val="00770DA3"/>
    <w:rsid w:val="0077105F"/>
    <w:rsid w:val="007711F3"/>
    <w:rsid w:val="007713C1"/>
    <w:rsid w:val="00771529"/>
    <w:rsid w:val="0077174E"/>
    <w:rsid w:val="00771776"/>
    <w:rsid w:val="0077187E"/>
    <w:rsid w:val="007719F8"/>
    <w:rsid w:val="00771A96"/>
    <w:rsid w:val="00771B77"/>
    <w:rsid w:val="00771FC5"/>
    <w:rsid w:val="00771FCB"/>
    <w:rsid w:val="007722EE"/>
    <w:rsid w:val="007728F5"/>
    <w:rsid w:val="00772C34"/>
    <w:rsid w:val="007732C0"/>
    <w:rsid w:val="007733BF"/>
    <w:rsid w:val="00773654"/>
    <w:rsid w:val="007736FC"/>
    <w:rsid w:val="00773788"/>
    <w:rsid w:val="00773908"/>
    <w:rsid w:val="00773B9C"/>
    <w:rsid w:val="00773BEC"/>
    <w:rsid w:val="007741FA"/>
    <w:rsid w:val="00774362"/>
    <w:rsid w:val="007745DD"/>
    <w:rsid w:val="007747AD"/>
    <w:rsid w:val="00774A38"/>
    <w:rsid w:val="007751A5"/>
    <w:rsid w:val="0077530E"/>
    <w:rsid w:val="00775682"/>
    <w:rsid w:val="007757BE"/>
    <w:rsid w:val="007759D8"/>
    <w:rsid w:val="00775BB3"/>
    <w:rsid w:val="00775D22"/>
    <w:rsid w:val="00775F56"/>
    <w:rsid w:val="00775FBC"/>
    <w:rsid w:val="00775FFD"/>
    <w:rsid w:val="0077603B"/>
    <w:rsid w:val="00776703"/>
    <w:rsid w:val="00776745"/>
    <w:rsid w:val="00776AB3"/>
    <w:rsid w:val="00776EE0"/>
    <w:rsid w:val="00776EFA"/>
    <w:rsid w:val="007770B6"/>
    <w:rsid w:val="007770DA"/>
    <w:rsid w:val="0077714C"/>
    <w:rsid w:val="00777249"/>
    <w:rsid w:val="007775B8"/>
    <w:rsid w:val="0077765F"/>
    <w:rsid w:val="00777BDF"/>
    <w:rsid w:val="00777E53"/>
    <w:rsid w:val="00777FED"/>
    <w:rsid w:val="0078030E"/>
    <w:rsid w:val="007805D5"/>
    <w:rsid w:val="00780655"/>
    <w:rsid w:val="007809C3"/>
    <w:rsid w:val="00780BF9"/>
    <w:rsid w:val="00780F6B"/>
    <w:rsid w:val="00780F89"/>
    <w:rsid w:val="00781190"/>
    <w:rsid w:val="0078137D"/>
    <w:rsid w:val="00781434"/>
    <w:rsid w:val="00781561"/>
    <w:rsid w:val="00781A14"/>
    <w:rsid w:val="007820A6"/>
    <w:rsid w:val="007820F8"/>
    <w:rsid w:val="0078245D"/>
    <w:rsid w:val="00782680"/>
    <w:rsid w:val="00782A49"/>
    <w:rsid w:val="00782AA7"/>
    <w:rsid w:val="00782BC7"/>
    <w:rsid w:val="00783233"/>
    <w:rsid w:val="007834EF"/>
    <w:rsid w:val="00783772"/>
    <w:rsid w:val="007837A3"/>
    <w:rsid w:val="007838ED"/>
    <w:rsid w:val="00783B74"/>
    <w:rsid w:val="00783C9F"/>
    <w:rsid w:val="00783FB1"/>
    <w:rsid w:val="00784AD6"/>
    <w:rsid w:val="00784C71"/>
    <w:rsid w:val="00784EDE"/>
    <w:rsid w:val="007850A1"/>
    <w:rsid w:val="00785327"/>
    <w:rsid w:val="00785993"/>
    <w:rsid w:val="00785A22"/>
    <w:rsid w:val="007860B1"/>
    <w:rsid w:val="007864F6"/>
    <w:rsid w:val="007866AB"/>
    <w:rsid w:val="00786890"/>
    <w:rsid w:val="007868EB"/>
    <w:rsid w:val="00786A48"/>
    <w:rsid w:val="00786AF7"/>
    <w:rsid w:val="00786E05"/>
    <w:rsid w:val="007871B8"/>
    <w:rsid w:val="0078762C"/>
    <w:rsid w:val="0078785E"/>
    <w:rsid w:val="00787F9A"/>
    <w:rsid w:val="00790470"/>
    <w:rsid w:val="00790698"/>
    <w:rsid w:val="007906DB"/>
    <w:rsid w:val="007906DC"/>
    <w:rsid w:val="00790E57"/>
    <w:rsid w:val="00790EC7"/>
    <w:rsid w:val="0079107E"/>
    <w:rsid w:val="00791377"/>
    <w:rsid w:val="00791400"/>
    <w:rsid w:val="00791806"/>
    <w:rsid w:val="00791879"/>
    <w:rsid w:val="00791B48"/>
    <w:rsid w:val="00791F07"/>
    <w:rsid w:val="007921AC"/>
    <w:rsid w:val="0079253B"/>
    <w:rsid w:val="007925E4"/>
    <w:rsid w:val="0079261F"/>
    <w:rsid w:val="00792BB8"/>
    <w:rsid w:val="00792CAD"/>
    <w:rsid w:val="00792F1C"/>
    <w:rsid w:val="00793030"/>
    <w:rsid w:val="007932BE"/>
    <w:rsid w:val="00793C8F"/>
    <w:rsid w:val="0079407C"/>
    <w:rsid w:val="00794143"/>
    <w:rsid w:val="00794285"/>
    <w:rsid w:val="007942D2"/>
    <w:rsid w:val="007946FB"/>
    <w:rsid w:val="00795377"/>
    <w:rsid w:val="0079548F"/>
    <w:rsid w:val="00795722"/>
    <w:rsid w:val="007957B1"/>
    <w:rsid w:val="00795829"/>
    <w:rsid w:val="00795A12"/>
    <w:rsid w:val="00795A3D"/>
    <w:rsid w:val="00795A3E"/>
    <w:rsid w:val="00796020"/>
    <w:rsid w:val="007964F1"/>
    <w:rsid w:val="00796707"/>
    <w:rsid w:val="00796992"/>
    <w:rsid w:val="00796A51"/>
    <w:rsid w:val="00796C4F"/>
    <w:rsid w:val="00796CA0"/>
    <w:rsid w:val="00796E31"/>
    <w:rsid w:val="00797591"/>
    <w:rsid w:val="0079786C"/>
    <w:rsid w:val="00797D6B"/>
    <w:rsid w:val="007A0299"/>
    <w:rsid w:val="007A064C"/>
    <w:rsid w:val="007A17F3"/>
    <w:rsid w:val="007A1D0B"/>
    <w:rsid w:val="007A2449"/>
    <w:rsid w:val="007A29CC"/>
    <w:rsid w:val="007A2A04"/>
    <w:rsid w:val="007A2A31"/>
    <w:rsid w:val="007A2AE6"/>
    <w:rsid w:val="007A2B31"/>
    <w:rsid w:val="007A2B39"/>
    <w:rsid w:val="007A2C2B"/>
    <w:rsid w:val="007A2D8E"/>
    <w:rsid w:val="007A3018"/>
    <w:rsid w:val="007A317B"/>
    <w:rsid w:val="007A31F2"/>
    <w:rsid w:val="007A336F"/>
    <w:rsid w:val="007A363F"/>
    <w:rsid w:val="007A394E"/>
    <w:rsid w:val="007A3AB5"/>
    <w:rsid w:val="007A3AD6"/>
    <w:rsid w:val="007A3E9E"/>
    <w:rsid w:val="007A45BC"/>
    <w:rsid w:val="007A4787"/>
    <w:rsid w:val="007A4C50"/>
    <w:rsid w:val="007A4EB4"/>
    <w:rsid w:val="007A4FB2"/>
    <w:rsid w:val="007A555F"/>
    <w:rsid w:val="007A55AA"/>
    <w:rsid w:val="007A5677"/>
    <w:rsid w:val="007A59AC"/>
    <w:rsid w:val="007A5BB0"/>
    <w:rsid w:val="007A5BB9"/>
    <w:rsid w:val="007A5CFE"/>
    <w:rsid w:val="007A5D06"/>
    <w:rsid w:val="007A5EB7"/>
    <w:rsid w:val="007A61FF"/>
    <w:rsid w:val="007A63C5"/>
    <w:rsid w:val="007A64EB"/>
    <w:rsid w:val="007A68E4"/>
    <w:rsid w:val="007A695F"/>
    <w:rsid w:val="007A6BCE"/>
    <w:rsid w:val="007A6C82"/>
    <w:rsid w:val="007A7399"/>
    <w:rsid w:val="007A768F"/>
    <w:rsid w:val="007A76A1"/>
    <w:rsid w:val="007A788F"/>
    <w:rsid w:val="007A7DED"/>
    <w:rsid w:val="007B021B"/>
    <w:rsid w:val="007B08DA"/>
    <w:rsid w:val="007B0AED"/>
    <w:rsid w:val="007B0B9F"/>
    <w:rsid w:val="007B0BC8"/>
    <w:rsid w:val="007B0F25"/>
    <w:rsid w:val="007B105B"/>
    <w:rsid w:val="007B1999"/>
    <w:rsid w:val="007B19C0"/>
    <w:rsid w:val="007B1BB8"/>
    <w:rsid w:val="007B20B3"/>
    <w:rsid w:val="007B238F"/>
    <w:rsid w:val="007B23FE"/>
    <w:rsid w:val="007B25D0"/>
    <w:rsid w:val="007B2CB9"/>
    <w:rsid w:val="007B3169"/>
    <w:rsid w:val="007B3291"/>
    <w:rsid w:val="007B3339"/>
    <w:rsid w:val="007B3720"/>
    <w:rsid w:val="007B37C0"/>
    <w:rsid w:val="007B38B4"/>
    <w:rsid w:val="007B38CD"/>
    <w:rsid w:val="007B3E00"/>
    <w:rsid w:val="007B42FC"/>
    <w:rsid w:val="007B499F"/>
    <w:rsid w:val="007B4BD7"/>
    <w:rsid w:val="007B504B"/>
    <w:rsid w:val="007B53E0"/>
    <w:rsid w:val="007B5477"/>
    <w:rsid w:val="007B55FC"/>
    <w:rsid w:val="007B572C"/>
    <w:rsid w:val="007B57C3"/>
    <w:rsid w:val="007B5CD1"/>
    <w:rsid w:val="007B5E05"/>
    <w:rsid w:val="007B5E78"/>
    <w:rsid w:val="007B5F58"/>
    <w:rsid w:val="007B6014"/>
    <w:rsid w:val="007B62D1"/>
    <w:rsid w:val="007B63BE"/>
    <w:rsid w:val="007B63C0"/>
    <w:rsid w:val="007B669D"/>
    <w:rsid w:val="007B66E6"/>
    <w:rsid w:val="007B6807"/>
    <w:rsid w:val="007B7013"/>
    <w:rsid w:val="007B73DC"/>
    <w:rsid w:val="007B754A"/>
    <w:rsid w:val="007B7843"/>
    <w:rsid w:val="007B7B0D"/>
    <w:rsid w:val="007B7F65"/>
    <w:rsid w:val="007B7FF1"/>
    <w:rsid w:val="007C02BB"/>
    <w:rsid w:val="007C0341"/>
    <w:rsid w:val="007C0515"/>
    <w:rsid w:val="007C0821"/>
    <w:rsid w:val="007C085E"/>
    <w:rsid w:val="007C08BB"/>
    <w:rsid w:val="007C0ACE"/>
    <w:rsid w:val="007C0C8B"/>
    <w:rsid w:val="007C0E69"/>
    <w:rsid w:val="007C12AE"/>
    <w:rsid w:val="007C15AE"/>
    <w:rsid w:val="007C1660"/>
    <w:rsid w:val="007C1AAE"/>
    <w:rsid w:val="007C1B31"/>
    <w:rsid w:val="007C1B83"/>
    <w:rsid w:val="007C2064"/>
    <w:rsid w:val="007C245D"/>
    <w:rsid w:val="007C24D5"/>
    <w:rsid w:val="007C255D"/>
    <w:rsid w:val="007C25BD"/>
    <w:rsid w:val="007C26AE"/>
    <w:rsid w:val="007C2946"/>
    <w:rsid w:val="007C3178"/>
    <w:rsid w:val="007C3945"/>
    <w:rsid w:val="007C3BC5"/>
    <w:rsid w:val="007C3C99"/>
    <w:rsid w:val="007C3DC2"/>
    <w:rsid w:val="007C3DF6"/>
    <w:rsid w:val="007C4017"/>
    <w:rsid w:val="007C40A8"/>
    <w:rsid w:val="007C4137"/>
    <w:rsid w:val="007C41C0"/>
    <w:rsid w:val="007C4C51"/>
    <w:rsid w:val="007C53E0"/>
    <w:rsid w:val="007C5406"/>
    <w:rsid w:val="007C5591"/>
    <w:rsid w:val="007C59BF"/>
    <w:rsid w:val="007C5E75"/>
    <w:rsid w:val="007C6352"/>
    <w:rsid w:val="007C67D2"/>
    <w:rsid w:val="007C6835"/>
    <w:rsid w:val="007C6A80"/>
    <w:rsid w:val="007C6F54"/>
    <w:rsid w:val="007C7131"/>
    <w:rsid w:val="007C755A"/>
    <w:rsid w:val="007C77E5"/>
    <w:rsid w:val="007C78B2"/>
    <w:rsid w:val="007C7ACE"/>
    <w:rsid w:val="007D013C"/>
    <w:rsid w:val="007D0448"/>
    <w:rsid w:val="007D07CB"/>
    <w:rsid w:val="007D087E"/>
    <w:rsid w:val="007D0D68"/>
    <w:rsid w:val="007D0EDB"/>
    <w:rsid w:val="007D1293"/>
    <w:rsid w:val="007D132D"/>
    <w:rsid w:val="007D1351"/>
    <w:rsid w:val="007D1453"/>
    <w:rsid w:val="007D16DB"/>
    <w:rsid w:val="007D1A8F"/>
    <w:rsid w:val="007D21B2"/>
    <w:rsid w:val="007D24B6"/>
    <w:rsid w:val="007D25F6"/>
    <w:rsid w:val="007D2698"/>
    <w:rsid w:val="007D29FE"/>
    <w:rsid w:val="007D2B13"/>
    <w:rsid w:val="007D2B4E"/>
    <w:rsid w:val="007D2F17"/>
    <w:rsid w:val="007D3436"/>
    <w:rsid w:val="007D35C7"/>
    <w:rsid w:val="007D35F2"/>
    <w:rsid w:val="007D37D2"/>
    <w:rsid w:val="007D3DCA"/>
    <w:rsid w:val="007D3F05"/>
    <w:rsid w:val="007D4258"/>
    <w:rsid w:val="007D43DE"/>
    <w:rsid w:val="007D475B"/>
    <w:rsid w:val="007D4B77"/>
    <w:rsid w:val="007D4C68"/>
    <w:rsid w:val="007D52CA"/>
    <w:rsid w:val="007D561B"/>
    <w:rsid w:val="007D57F2"/>
    <w:rsid w:val="007D596B"/>
    <w:rsid w:val="007D5AD4"/>
    <w:rsid w:val="007D5C05"/>
    <w:rsid w:val="007D68DD"/>
    <w:rsid w:val="007D6E92"/>
    <w:rsid w:val="007D7094"/>
    <w:rsid w:val="007D74D8"/>
    <w:rsid w:val="007D7685"/>
    <w:rsid w:val="007D7891"/>
    <w:rsid w:val="007D789D"/>
    <w:rsid w:val="007D7910"/>
    <w:rsid w:val="007D7958"/>
    <w:rsid w:val="007D7D3B"/>
    <w:rsid w:val="007E0160"/>
    <w:rsid w:val="007E0784"/>
    <w:rsid w:val="007E07E4"/>
    <w:rsid w:val="007E105E"/>
    <w:rsid w:val="007E14B3"/>
    <w:rsid w:val="007E15F0"/>
    <w:rsid w:val="007E1E02"/>
    <w:rsid w:val="007E1F63"/>
    <w:rsid w:val="007E211A"/>
    <w:rsid w:val="007E21C2"/>
    <w:rsid w:val="007E23BB"/>
    <w:rsid w:val="007E2844"/>
    <w:rsid w:val="007E2C78"/>
    <w:rsid w:val="007E3262"/>
    <w:rsid w:val="007E3285"/>
    <w:rsid w:val="007E3C70"/>
    <w:rsid w:val="007E3DF8"/>
    <w:rsid w:val="007E3E08"/>
    <w:rsid w:val="007E4015"/>
    <w:rsid w:val="007E428C"/>
    <w:rsid w:val="007E4383"/>
    <w:rsid w:val="007E481E"/>
    <w:rsid w:val="007E4905"/>
    <w:rsid w:val="007E4D2B"/>
    <w:rsid w:val="007E4D58"/>
    <w:rsid w:val="007E4D95"/>
    <w:rsid w:val="007E52B6"/>
    <w:rsid w:val="007E55B4"/>
    <w:rsid w:val="007E55D7"/>
    <w:rsid w:val="007E5618"/>
    <w:rsid w:val="007E57FA"/>
    <w:rsid w:val="007E5881"/>
    <w:rsid w:val="007E5FB3"/>
    <w:rsid w:val="007E6049"/>
    <w:rsid w:val="007E6684"/>
    <w:rsid w:val="007E67B1"/>
    <w:rsid w:val="007E6838"/>
    <w:rsid w:val="007E6994"/>
    <w:rsid w:val="007E6DEC"/>
    <w:rsid w:val="007E71B2"/>
    <w:rsid w:val="007E7BBE"/>
    <w:rsid w:val="007E7C11"/>
    <w:rsid w:val="007E7C4C"/>
    <w:rsid w:val="007E7DBF"/>
    <w:rsid w:val="007E7EB0"/>
    <w:rsid w:val="007F014C"/>
    <w:rsid w:val="007F01BB"/>
    <w:rsid w:val="007F02CD"/>
    <w:rsid w:val="007F0312"/>
    <w:rsid w:val="007F04E4"/>
    <w:rsid w:val="007F080B"/>
    <w:rsid w:val="007F0CBA"/>
    <w:rsid w:val="007F1104"/>
    <w:rsid w:val="007F12B3"/>
    <w:rsid w:val="007F1610"/>
    <w:rsid w:val="007F173E"/>
    <w:rsid w:val="007F17E6"/>
    <w:rsid w:val="007F18D7"/>
    <w:rsid w:val="007F1A97"/>
    <w:rsid w:val="007F1AEC"/>
    <w:rsid w:val="007F2479"/>
    <w:rsid w:val="007F2AC3"/>
    <w:rsid w:val="007F2C25"/>
    <w:rsid w:val="007F2E07"/>
    <w:rsid w:val="007F329F"/>
    <w:rsid w:val="007F3AE8"/>
    <w:rsid w:val="007F3E19"/>
    <w:rsid w:val="007F4113"/>
    <w:rsid w:val="007F4601"/>
    <w:rsid w:val="007F4A82"/>
    <w:rsid w:val="007F4AEB"/>
    <w:rsid w:val="007F59B0"/>
    <w:rsid w:val="007F5C5F"/>
    <w:rsid w:val="007F5CD1"/>
    <w:rsid w:val="007F6315"/>
    <w:rsid w:val="007F63B4"/>
    <w:rsid w:val="007F65F7"/>
    <w:rsid w:val="007F67B0"/>
    <w:rsid w:val="007F6B3B"/>
    <w:rsid w:val="007F6C69"/>
    <w:rsid w:val="007F6DE7"/>
    <w:rsid w:val="007F6F3B"/>
    <w:rsid w:val="007F7375"/>
    <w:rsid w:val="007F7699"/>
    <w:rsid w:val="007F77A5"/>
    <w:rsid w:val="007F78AF"/>
    <w:rsid w:val="0080019A"/>
    <w:rsid w:val="008004C9"/>
    <w:rsid w:val="00800CB2"/>
    <w:rsid w:val="00800EE4"/>
    <w:rsid w:val="0080136F"/>
    <w:rsid w:val="00801481"/>
    <w:rsid w:val="00801A57"/>
    <w:rsid w:val="008026DD"/>
    <w:rsid w:val="0080290A"/>
    <w:rsid w:val="00802969"/>
    <w:rsid w:val="0080299E"/>
    <w:rsid w:val="008034B2"/>
    <w:rsid w:val="00803547"/>
    <w:rsid w:val="008036FA"/>
    <w:rsid w:val="00803C92"/>
    <w:rsid w:val="00803CFD"/>
    <w:rsid w:val="00803D19"/>
    <w:rsid w:val="0080404A"/>
    <w:rsid w:val="00804257"/>
    <w:rsid w:val="008042AC"/>
    <w:rsid w:val="0080467F"/>
    <w:rsid w:val="0080479B"/>
    <w:rsid w:val="008049E6"/>
    <w:rsid w:val="00804B84"/>
    <w:rsid w:val="0080503B"/>
    <w:rsid w:val="00805194"/>
    <w:rsid w:val="0080529D"/>
    <w:rsid w:val="0080547D"/>
    <w:rsid w:val="00805501"/>
    <w:rsid w:val="0080592F"/>
    <w:rsid w:val="00805BF2"/>
    <w:rsid w:val="00805CFC"/>
    <w:rsid w:val="0080676B"/>
    <w:rsid w:val="00806913"/>
    <w:rsid w:val="00806950"/>
    <w:rsid w:val="00806F22"/>
    <w:rsid w:val="00806F44"/>
    <w:rsid w:val="008071FC"/>
    <w:rsid w:val="008076D8"/>
    <w:rsid w:val="00807946"/>
    <w:rsid w:val="0080799E"/>
    <w:rsid w:val="00807BAF"/>
    <w:rsid w:val="00807D34"/>
    <w:rsid w:val="0081007F"/>
    <w:rsid w:val="00810260"/>
    <w:rsid w:val="00810347"/>
    <w:rsid w:val="00810506"/>
    <w:rsid w:val="00810962"/>
    <w:rsid w:val="00810A11"/>
    <w:rsid w:val="00810D3E"/>
    <w:rsid w:val="00810FB7"/>
    <w:rsid w:val="0081105F"/>
    <w:rsid w:val="008112D3"/>
    <w:rsid w:val="0081131A"/>
    <w:rsid w:val="008113D6"/>
    <w:rsid w:val="008116C1"/>
    <w:rsid w:val="0081182A"/>
    <w:rsid w:val="00811C72"/>
    <w:rsid w:val="00811F52"/>
    <w:rsid w:val="008120FA"/>
    <w:rsid w:val="0081218E"/>
    <w:rsid w:val="008122EF"/>
    <w:rsid w:val="0081338B"/>
    <w:rsid w:val="0081348A"/>
    <w:rsid w:val="008135F9"/>
    <w:rsid w:val="00813FFD"/>
    <w:rsid w:val="0081412F"/>
    <w:rsid w:val="0081414E"/>
    <w:rsid w:val="00814207"/>
    <w:rsid w:val="0081442F"/>
    <w:rsid w:val="008144B0"/>
    <w:rsid w:val="00814542"/>
    <w:rsid w:val="008145F9"/>
    <w:rsid w:val="0081473F"/>
    <w:rsid w:val="008147A1"/>
    <w:rsid w:val="008148C7"/>
    <w:rsid w:val="008149C0"/>
    <w:rsid w:val="00814FE2"/>
    <w:rsid w:val="00815176"/>
    <w:rsid w:val="0081572C"/>
    <w:rsid w:val="00815993"/>
    <w:rsid w:val="00816178"/>
    <w:rsid w:val="00816895"/>
    <w:rsid w:val="008168BE"/>
    <w:rsid w:val="0081697C"/>
    <w:rsid w:val="00816A38"/>
    <w:rsid w:val="00816E78"/>
    <w:rsid w:val="00816F02"/>
    <w:rsid w:val="008170B4"/>
    <w:rsid w:val="00817106"/>
    <w:rsid w:val="008171A4"/>
    <w:rsid w:val="008173B6"/>
    <w:rsid w:val="008178E5"/>
    <w:rsid w:val="00817BC9"/>
    <w:rsid w:val="00817C38"/>
    <w:rsid w:val="00820103"/>
    <w:rsid w:val="0082026A"/>
    <w:rsid w:val="008202B7"/>
    <w:rsid w:val="00820413"/>
    <w:rsid w:val="00821A10"/>
    <w:rsid w:val="00821BDE"/>
    <w:rsid w:val="00821E03"/>
    <w:rsid w:val="00821F4D"/>
    <w:rsid w:val="00821F86"/>
    <w:rsid w:val="00822196"/>
    <w:rsid w:val="0082219B"/>
    <w:rsid w:val="008224B0"/>
    <w:rsid w:val="008228EA"/>
    <w:rsid w:val="00822A28"/>
    <w:rsid w:val="00822A55"/>
    <w:rsid w:val="00822DB7"/>
    <w:rsid w:val="00822EDE"/>
    <w:rsid w:val="0082337C"/>
    <w:rsid w:val="00823519"/>
    <w:rsid w:val="00823D64"/>
    <w:rsid w:val="00824277"/>
    <w:rsid w:val="008243E0"/>
    <w:rsid w:val="008244BB"/>
    <w:rsid w:val="008247E5"/>
    <w:rsid w:val="00824A83"/>
    <w:rsid w:val="00824BC9"/>
    <w:rsid w:val="00825532"/>
    <w:rsid w:val="0082589D"/>
    <w:rsid w:val="008258E0"/>
    <w:rsid w:val="00825AE0"/>
    <w:rsid w:val="00825DA6"/>
    <w:rsid w:val="00826368"/>
    <w:rsid w:val="00826AAF"/>
    <w:rsid w:val="00826B56"/>
    <w:rsid w:val="00826B78"/>
    <w:rsid w:val="00826BF2"/>
    <w:rsid w:val="00826E6F"/>
    <w:rsid w:val="00826EEC"/>
    <w:rsid w:val="00827461"/>
    <w:rsid w:val="008276CB"/>
    <w:rsid w:val="0082775D"/>
    <w:rsid w:val="0082780C"/>
    <w:rsid w:val="00827B83"/>
    <w:rsid w:val="00827EB2"/>
    <w:rsid w:val="008309B6"/>
    <w:rsid w:val="0083100B"/>
    <w:rsid w:val="008310F0"/>
    <w:rsid w:val="0083113D"/>
    <w:rsid w:val="0083121A"/>
    <w:rsid w:val="008312DF"/>
    <w:rsid w:val="008314CF"/>
    <w:rsid w:val="00831CF4"/>
    <w:rsid w:val="008321A5"/>
    <w:rsid w:val="00832C09"/>
    <w:rsid w:val="00832C78"/>
    <w:rsid w:val="00832C93"/>
    <w:rsid w:val="00832DD6"/>
    <w:rsid w:val="00832FA2"/>
    <w:rsid w:val="00833113"/>
    <w:rsid w:val="0083313A"/>
    <w:rsid w:val="00833820"/>
    <w:rsid w:val="00833BB1"/>
    <w:rsid w:val="00833F8A"/>
    <w:rsid w:val="008344AC"/>
    <w:rsid w:val="0083489E"/>
    <w:rsid w:val="00834C5A"/>
    <w:rsid w:val="00834C99"/>
    <w:rsid w:val="00835604"/>
    <w:rsid w:val="0083576D"/>
    <w:rsid w:val="00835860"/>
    <w:rsid w:val="00835D6E"/>
    <w:rsid w:val="00835D74"/>
    <w:rsid w:val="00835EC7"/>
    <w:rsid w:val="00835F1B"/>
    <w:rsid w:val="0083608F"/>
    <w:rsid w:val="00836277"/>
    <w:rsid w:val="008368BE"/>
    <w:rsid w:val="00837050"/>
    <w:rsid w:val="008373C1"/>
    <w:rsid w:val="0083744E"/>
    <w:rsid w:val="008378D5"/>
    <w:rsid w:val="00837D2D"/>
    <w:rsid w:val="00840147"/>
    <w:rsid w:val="0084065C"/>
    <w:rsid w:val="00840799"/>
    <w:rsid w:val="00840851"/>
    <w:rsid w:val="008409E0"/>
    <w:rsid w:val="00840C0B"/>
    <w:rsid w:val="00840EF3"/>
    <w:rsid w:val="0084113E"/>
    <w:rsid w:val="008413AD"/>
    <w:rsid w:val="0084144F"/>
    <w:rsid w:val="0084145C"/>
    <w:rsid w:val="00841482"/>
    <w:rsid w:val="008417C0"/>
    <w:rsid w:val="008419A8"/>
    <w:rsid w:val="00841A2F"/>
    <w:rsid w:val="008420CF"/>
    <w:rsid w:val="008421BF"/>
    <w:rsid w:val="00842551"/>
    <w:rsid w:val="008427AE"/>
    <w:rsid w:val="00842DBA"/>
    <w:rsid w:val="00842FF1"/>
    <w:rsid w:val="008430C9"/>
    <w:rsid w:val="008432AE"/>
    <w:rsid w:val="008435B9"/>
    <w:rsid w:val="00843821"/>
    <w:rsid w:val="008438FF"/>
    <w:rsid w:val="008439AB"/>
    <w:rsid w:val="00843D38"/>
    <w:rsid w:val="00844183"/>
    <w:rsid w:val="008441AA"/>
    <w:rsid w:val="0084422B"/>
    <w:rsid w:val="00844439"/>
    <w:rsid w:val="00844B78"/>
    <w:rsid w:val="00844BFA"/>
    <w:rsid w:val="00844FDD"/>
    <w:rsid w:val="008450F2"/>
    <w:rsid w:val="0084537D"/>
    <w:rsid w:val="00845B09"/>
    <w:rsid w:val="00845B8F"/>
    <w:rsid w:val="00845BCA"/>
    <w:rsid w:val="00845DEA"/>
    <w:rsid w:val="00845DFC"/>
    <w:rsid w:val="0084600B"/>
    <w:rsid w:val="00846441"/>
    <w:rsid w:val="00846929"/>
    <w:rsid w:val="00846C50"/>
    <w:rsid w:val="00846CB7"/>
    <w:rsid w:val="00846E8A"/>
    <w:rsid w:val="0084720E"/>
    <w:rsid w:val="00847610"/>
    <w:rsid w:val="00847B21"/>
    <w:rsid w:val="00847C8C"/>
    <w:rsid w:val="00847CD4"/>
    <w:rsid w:val="00847D03"/>
    <w:rsid w:val="00847E19"/>
    <w:rsid w:val="00847EAB"/>
    <w:rsid w:val="00847ECF"/>
    <w:rsid w:val="008500C3"/>
    <w:rsid w:val="0085020B"/>
    <w:rsid w:val="008502EB"/>
    <w:rsid w:val="0085048E"/>
    <w:rsid w:val="00850579"/>
    <w:rsid w:val="00850CB6"/>
    <w:rsid w:val="00850FB4"/>
    <w:rsid w:val="00851106"/>
    <w:rsid w:val="00851304"/>
    <w:rsid w:val="0085148C"/>
    <w:rsid w:val="008517C2"/>
    <w:rsid w:val="00851867"/>
    <w:rsid w:val="00851A7D"/>
    <w:rsid w:val="00851F00"/>
    <w:rsid w:val="00852105"/>
    <w:rsid w:val="008521C8"/>
    <w:rsid w:val="008528EA"/>
    <w:rsid w:val="008535D7"/>
    <w:rsid w:val="00853B8F"/>
    <w:rsid w:val="00853EE3"/>
    <w:rsid w:val="00853EF4"/>
    <w:rsid w:val="00853F3E"/>
    <w:rsid w:val="008543DF"/>
    <w:rsid w:val="008547D9"/>
    <w:rsid w:val="00854BDF"/>
    <w:rsid w:val="00854D6A"/>
    <w:rsid w:val="00854EDA"/>
    <w:rsid w:val="00854F48"/>
    <w:rsid w:val="008553C3"/>
    <w:rsid w:val="00855706"/>
    <w:rsid w:val="00855A67"/>
    <w:rsid w:val="00855AF9"/>
    <w:rsid w:val="00855C4E"/>
    <w:rsid w:val="00855C7B"/>
    <w:rsid w:val="00855F32"/>
    <w:rsid w:val="00856072"/>
    <w:rsid w:val="008560CA"/>
    <w:rsid w:val="00856229"/>
    <w:rsid w:val="00856287"/>
    <w:rsid w:val="008567DC"/>
    <w:rsid w:val="00856E07"/>
    <w:rsid w:val="00856E08"/>
    <w:rsid w:val="00856E77"/>
    <w:rsid w:val="008571B9"/>
    <w:rsid w:val="00857381"/>
    <w:rsid w:val="0085744A"/>
    <w:rsid w:val="00857CD5"/>
    <w:rsid w:val="0086007F"/>
    <w:rsid w:val="008604B4"/>
    <w:rsid w:val="00860D1C"/>
    <w:rsid w:val="00860D6F"/>
    <w:rsid w:val="00860E86"/>
    <w:rsid w:val="00860F59"/>
    <w:rsid w:val="00862208"/>
    <w:rsid w:val="0086225C"/>
    <w:rsid w:val="00862D01"/>
    <w:rsid w:val="00862FF0"/>
    <w:rsid w:val="00863632"/>
    <w:rsid w:val="008637B4"/>
    <w:rsid w:val="00863866"/>
    <w:rsid w:val="008638CC"/>
    <w:rsid w:val="00863A87"/>
    <w:rsid w:val="00863B17"/>
    <w:rsid w:val="00863CB0"/>
    <w:rsid w:val="00863E77"/>
    <w:rsid w:val="008642CD"/>
    <w:rsid w:val="0086434E"/>
    <w:rsid w:val="00864677"/>
    <w:rsid w:val="008647ED"/>
    <w:rsid w:val="00864BD8"/>
    <w:rsid w:val="008652F2"/>
    <w:rsid w:val="008653AD"/>
    <w:rsid w:val="0086569F"/>
    <w:rsid w:val="00865B3E"/>
    <w:rsid w:val="00865F6C"/>
    <w:rsid w:val="00866121"/>
    <w:rsid w:val="0086675A"/>
    <w:rsid w:val="00866AFE"/>
    <w:rsid w:val="00866C6B"/>
    <w:rsid w:val="00867063"/>
    <w:rsid w:val="008672C6"/>
    <w:rsid w:val="0086732A"/>
    <w:rsid w:val="008679AA"/>
    <w:rsid w:val="00867B7B"/>
    <w:rsid w:val="00867F85"/>
    <w:rsid w:val="008702F5"/>
    <w:rsid w:val="008705C8"/>
    <w:rsid w:val="008707EF"/>
    <w:rsid w:val="00870838"/>
    <w:rsid w:val="0087109F"/>
    <w:rsid w:val="00871656"/>
    <w:rsid w:val="00871E74"/>
    <w:rsid w:val="0087207F"/>
    <w:rsid w:val="00872513"/>
    <w:rsid w:val="008727DB"/>
    <w:rsid w:val="0087286E"/>
    <w:rsid w:val="00872942"/>
    <w:rsid w:val="00872A80"/>
    <w:rsid w:val="008733EF"/>
    <w:rsid w:val="008734CE"/>
    <w:rsid w:val="00873549"/>
    <w:rsid w:val="00873637"/>
    <w:rsid w:val="0087369D"/>
    <w:rsid w:val="0087370A"/>
    <w:rsid w:val="0087382E"/>
    <w:rsid w:val="008739C8"/>
    <w:rsid w:val="00873AB6"/>
    <w:rsid w:val="00873FC0"/>
    <w:rsid w:val="00874055"/>
    <w:rsid w:val="00874229"/>
    <w:rsid w:val="008742B6"/>
    <w:rsid w:val="00874434"/>
    <w:rsid w:val="0087459D"/>
    <w:rsid w:val="008745E5"/>
    <w:rsid w:val="00874751"/>
    <w:rsid w:val="008747F1"/>
    <w:rsid w:val="008748F4"/>
    <w:rsid w:val="00874C7A"/>
    <w:rsid w:val="00874DC9"/>
    <w:rsid w:val="0087531E"/>
    <w:rsid w:val="008754BB"/>
    <w:rsid w:val="0087575B"/>
    <w:rsid w:val="00875901"/>
    <w:rsid w:val="008759CF"/>
    <w:rsid w:val="00875DDB"/>
    <w:rsid w:val="00876270"/>
    <w:rsid w:val="008766B1"/>
    <w:rsid w:val="008767D0"/>
    <w:rsid w:val="00876860"/>
    <w:rsid w:val="00876907"/>
    <w:rsid w:val="00876943"/>
    <w:rsid w:val="00876BCA"/>
    <w:rsid w:val="00876C82"/>
    <w:rsid w:val="0087709E"/>
    <w:rsid w:val="0087710D"/>
    <w:rsid w:val="00877129"/>
    <w:rsid w:val="0087730F"/>
    <w:rsid w:val="00877AF3"/>
    <w:rsid w:val="00877CC0"/>
    <w:rsid w:val="00877D37"/>
    <w:rsid w:val="008800B9"/>
    <w:rsid w:val="00880121"/>
    <w:rsid w:val="00880231"/>
    <w:rsid w:val="00880BAE"/>
    <w:rsid w:val="00880C52"/>
    <w:rsid w:val="00881399"/>
    <w:rsid w:val="0088151D"/>
    <w:rsid w:val="0088157A"/>
    <w:rsid w:val="00881AD4"/>
    <w:rsid w:val="00881AD9"/>
    <w:rsid w:val="00881D6C"/>
    <w:rsid w:val="00881EB7"/>
    <w:rsid w:val="00881F66"/>
    <w:rsid w:val="00881FD4"/>
    <w:rsid w:val="008820D0"/>
    <w:rsid w:val="00882282"/>
    <w:rsid w:val="00882A44"/>
    <w:rsid w:val="00882C2F"/>
    <w:rsid w:val="00882E15"/>
    <w:rsid w:val="00882EF5"/>
    <w:rsid w:val="00883097"/>
    <w:rsid w:val="0088314A"/>
    <w:rsid w:val="008833AB"/>
    <w:rsid w:val="00883998"/>
    <w:rsid w:val="00883CE6"/>
    <w:rsid w:val="00883D59"/>
    <w:rsid w:val="00883E20"/>
    <w:rsid w:val="00884131"/>
    <w:rsid w:val="00884297"/>
    <w:rsid w:val="008842FC"/>
    <w:rsid w:val="00884779"/>
    <w:rsid w:val="008848DD"/>
    <w:rsid w:val="008849C3"/>
    <w:rsid w:val="00884B4A"/>
    <w:rsid w:val="00884C1A"/>
    <w:rsid w:val="00884D5F"/>
    <w:rsid w:val="00884EA6"/>
    <w:rsid w:val="00885147"/>
    <w:rsid w:val="00885293"/>
    <w:rsid w:val="00885883"/>
    <w:rsid w:val="00885C54"/>
    <w:rsid w:val="00885F76"/>
    <w:rsid w:val="00885F84"/>
    <w:rsid w:val="008860E8"/>
    <w:rsid w:val="00886274"/>
    <w:rsid w:val="00886366"/>
    <w:rsid w:val="008863F1"/>
    <w:rsid w:val="0088657A"/>
    <w:rsid w:val="00886B95"/>
    <w:rsid w:val="00886F4D"/>
    <w:rsid w:val="00886F55"/>
    <w:rsid w:val="0088736B"/>
    <w:rsid w:val="00887384"/>
    <w:rsid w:val="0088739B"/>
    <w:rsid w:val="0088746D"/>
    <w:rsid w:val="00887506"/>
    <w:rsid w:val="0088770C"/>
    <w:rsid w:val="00887767"/>
    <w:rsid w:val="008877BD"/>
    <w:rsid w:val="00887B08"/>
    <w:rsid w:val="00887FD7"/>
    <w:rsid w:val="00890336"/>
    <w:rsid w:val="00890619"/>
    <w:rsid w:val="00890C18"/>
    <w:rsid w:val="00890C8A"/>
    <w:rsid w:val="00890D83"/>
    <w:rsid w:val="00891010"/>
    <w:rsid w:val="008917C7"/>
    <w:rsid w:val="00891960"/>
    <w:rsid w:val="0089196E"/>
    <w:rsid w:val="00891997"/>
    <w:rsid w:val="00891C32"/>
    <w:rsid w:val="00891E98"/>
    <w:rsid w:val="00891EA2"/>
    <w:rsid w:val="00892110"/>
    <w:rsid w:val="00892394"/>
    <w:rsid w:val="0089283F"/>
    <w:rsid w:val="00892C7A"/>
    <w:rsid w:val="008936B4"/>
    <w:rsid w:val="008936D6"/>
    <w:rsid w:val="008937F2"/>
    <w:rsid w:val="00893809"/>
    <w:rsid w:val="00893A37"/>
    <w:rsid w:val="00893BD9"/>
    <w:rsid w:val="00893D4F"/>
    <w:rsid w:val="00893F6B"/>
    <w:rsid w:val="0089415E"/>
    <w:rsid w:val="00894469"/>
    <w:rsid w:val="008945A2"/>
    <w:rsid w:val="008948AC"/>
    <w:rsid w:val="00894D21"/>
    <w:rsid w:val="00894DEE"/>
    <w:rsid w:val="00894FE7"/>
    <w:rsid w:val="008959C4"/>
    <w:rsid w:val="00896214"/>
    <w:rsid w:val="00896396"/>
    <w:rsid w:val="0089650A"/>
    <w:rsid w:val="00896659"/>
    <w:rsid w:val="0089668F"/>
    <w:rsid w:val="008966C4"/>
    <w:rsid w:val="008967FC"/>
    <w:rsid w:val="00896A80"/>
    <w:rsid w:val="00896F50"/>
    <w:rsid w:val="00896FE7"/>
    <w:rsid w:val="00897198"/>
    <w:rsid w:val="00897264"/>
    <w:rsid w:val="00897329"/>
    <w:rsid w:val="00897596"/>
    <w:rsid w:val="00897719"/>
    <w:rsid w:val="0089779E"/>
    <w:rsid w:val="00897E98"/>
    <w:rsid w:val="00897EF1"/>
    <w:rsid w:val="008A0111"/>
    <w:rsid w:val="008A03AB"/>
    <w:rsid w:val="008A045C"/>
    <w:rsid w:val="008A0616"/>
    <w:rsid w:val="008A0968"/>
    <w:rsid w:val="008A0AF9"/>
    <w:rsid w:val="008A1032"/>
    <w:rsid w:val="008A1187"/>
    <w:rsid w:val="008A1994"/>
    <w:rsid w:val="008A1AB3"/>
    <w:rsid w:val="008A1E83"/>
    <w:rsid w:val="008A230B"/>
    <w:rsid w:val="008A2684"/>
    <w:rsid w:val="008A27FF"/>
    <w:rsid w:val="008A2883"/>
    <w:rsid w:val="008A2EF7"/>
    <w:rsid w:val="008A3A20"/>
    <w:rsid w:val="008A3C0F"/>
    <w:rsid w:val="008A3C65"/>
    <w:rsid w:val="008A3DFD"/>
    <w:rsid w:val="008A47B0"/>
    <w:rsid w:val="008A4A33"/>
    <w:rsid w:val="008A4A53"/>
    <w:rsid w:val="008A4E30"/>
    <w:rsid w:val="008A540A"/>
    <w:rsid w:val="008A545A"/>
    <w:rsid w:val="008A5607"/>
    <w:rsid w:val="008A5903"/>
    <w:rsid w:val="008A59CC"/>
    <w:rsid w:val="008A5A90"/>
    <w:rsid w:val="008A5ADC"/>
    <w:rsid w:val="008A5CC9"/>
    <w:rsid w:val="008A62B4"/>
    <w:rsid w:val="008A63EE"/>
    <w:rsid w:val="008A6F1A"/>
    <w:rsid w:val="008A72B8"/>
    <w:rsid w:val="008A7381"/>
    <w:rsid w:val="008A7780"/>
    <w:rsid w:val="008A7AB2"/>
    <w:rsid w:val="008A7B48"/>
    <w:rsid w:val="008A7F83"/>
    <w:rsid w:val="008A7FD4"/>
    <w:rsid w:val="008B0142"/>
    <w:rsid w:val="008B04D8"/>
    <w:rsid w:val="008B0FC0"/>
    <w:rsid w:val="008B1234"/>
    <w:rsid w:val="008B1297"/>
    <w:rsid w:val="008B1560"/>
    <w:rsid w:val="008B1A25"/>
    <w:rsid w:val="008B1A7E"/>
    <w:rsid w:val="008B1DBC"/>
    <w:rsid w:val="008B1FAA"/>
    <w:rsid w:val="008B1FF8"/>
    <w:rsid w:val="008B20D5"/>
    <w:rsid w:val="008B22CC"/>
    <w:rsid w:val="008B2399"/>
    <w:rsid w:val="008B24C5"/>
    <w:rsid w:val="008B2974"/>
    <w:rsid w:val="008B2D5B"/>
    <w:rsid w:val="008B2FFC"/>
    <w:rsid w:val="008B338B"/>
    <w:rsid w:val="008B341B"/>
    <w:rsid w:val="008B3590"/>
    <w:rsid w:val="008B36C5"/>
    <w:rsid w:val="008B372D"/>
    <w:rsid w:val="008B3C68"/>
    <w:rsid w:val="008B3E4A"/>
    <w:rsid w:val="008B4434"/>
    <w:rsid w:val="008B478F"/>
    <w:rsid w:val="008B48E0"/>
    <w:rsid w:val="008B4AB0"/>
    <w:rsid w:val="008B4AC4"/>
    <w:rsid w:val="008B53ED"/>
    <w:rsid w:val="008B57D3"/>
    <w:rsid w:val="008B5A33"/>
    <w:rsid w:val="008B5CCA"/>
    <w:rsid w:val="008B67CE"/>
    <w:rsid w:val="008B6B89"/>
    <w:rsid w:val="008B7180"/>
    <w:rsid w:val="008B77AD"/>
    <w:rsid w:val="008B7EEE"/>
    <w:rsid w:val="008B7FBC"/>
    <w:rsid w:val="008C04A2"/>
    <w:rsid w:val="008C050F"/>
    <w:rsid w:val="008C055F"/>
    <w:rsid w:val="008C073E"/>
    <w:rsid w:val="008C08C1"/>
    <w:rsid w:val="008C16E3"/>
    <w:rsid w:val="008C19AC"/>
    <w:rsid w:val="008C19C0"/>
    <w:rsid w:val="008C1B8C"/>
    <w:rsid w:val="008C1FC6"/>
    <w:rsid w:val="008C204E"/>
    <w:rsid w:val="008C23A8"/>
    <w:rsid w:val="008C24DD"/>
    <w:rsid w:val="008C2761"/>
    <w:rsid w:val="008C277F"/>
    <w:rsid w:val="008C2842"/>
    <w:rsid w:val="008C2895"/>
    <w:rsid w:val="008C2951"/>
    <w:rsid w:val="008C2B5F"/>
    <w:rsid w:val="008C2E43"/>
    <w:rsid w:val="008C2EA5"/>
    <w:rsid w:val="008C3318"/>
    <w:rsid w:val="008C3355"/>
    <w:rsid w:val="008C3725"/>
    <w:rsid w:val="008C3A9C"/>
    <w:rsid w:val="008C3CF7"/>
    <w:rsid w:val="008C4172"/>
    <w:rsid w:val="008C41C6"/>
    <w:rsid w:val="008C43DC"/>
    <w:rsid w:val="008C44BF"/>
    <w:rsid w:val="008C4603"/>
    <w:rsid w:val="008C49DF"/>
    <w:rsid w:val="008C4B4A"/>
    <w:rsid w:val="008C4DB9"/>
    <w:rsid w:val="008C52A9"/>
    <w:rsid w:val="008C556B"/>
    <w:rsid w:val="008C55DF"/>
    <w:rsid w:val="008C56D2"/>
    <w:rsid w:val="008C5B8D"/>
    <w:rsid w:val="008C61E4"/>
    <w:rsid w:val="008C6390"/>
    <w:rsid w:val="008C66B8"/>
    <w:rsid w:val="008C6AA3"/>
    <w:rsid w:val="008C6AE7"/>
    <w:rsid w:val="008C6CE7"/>
    <w:rsid w:val="008C6D5E"/>
    <w:rsid w:val="008C6DE4"/>
    <w:rsid w:val="008C6EE1"/>
    <w:rsid w:val="008C73B5"/>
    <w:rsid w:val="008C7676"/>
    <w:rsid w:val="008C776A"/>
    <w:rsid w:val="008C77B3"/>
    <w:rsid w:val="008C7AE5"/>
    <w:rsid w:val="008C7FA0"/>
    <w:rsid w:val="008D0444"/>
    <w:rsid w:val="008D0662"/>
    <w:rsid w:val="008D08BB"/>
    <w:rsid w:val="008D0918"/>
    <w:rsid w:val="008D0F81"/>
    <w:rsid w:val="008D1005"/>
    <w:rsid w:val="008D1781"/>
    <w:rsid w:val="008D1BDB"/>
    <w:rsid w:val="008D1C61"/>
    <w:rsid w:val="008D1E15"/>
    <w:rsid w:val="008D1E3C"/>
    <w:rsid w:val="008D22FD"/>
    <w:rsid w:val="008D23CA"/>
    <w:rsid w:val="008D2487"/>
    <w:rsid w:val="008D27A3"/>
    <w:rsid w:val="008D27D3"/>
    <w:rsid w:val="008D2825"/>
    <w:rsid w:val="008D2912"/>
    <w:rsid w:val="008D2A7E"/>
    <w:rsid w:val="008D2CD3"/>
    <w:rsid w:val="008D2E91"/>
    <w:rsid w:val="008D33EB"/>
    <w:rsid w:val="008D3517"/>
    <w:rsid w:val="008D3673"/>
    <w:rsid w:val="008D37CE"/>
    <w:rsid w:val="008D384F"/>
    <w:rsid w:val="008D3E09"/>
    <w:rsid w:val="008D4064"/>
    <w:rsid w:val="008D4225"/>
    <w:rsid w:val="008D4303"/>
    <w:rsid w:val="008D477E"/>
    <w:rsid w:val="008D4942"/>
    <w:rsid w:val="008D4BB9"/>
    <w:rsid w:val="008D4CBB"/>
    <w:rsid w:val="008D4EE3"/>
    <w:rsid w:val="008D5042"/>
    <w:rsid w:val="008D5089"/>
    <w:rsid w:val="008D5119"/>
    <w:rsid w:val="008D55EE"/>
    <w:rsid w:val="008D55F3"/>
    <w:rsid w:val="008D5877"/>
    <w:rsid w:val="008D5BC2"/>
    <w:rsid w:val="008D65E8"/>
    <w:rsid w:val="008D66EF"/>
    <w:rsid w:val="008D68A5"/>
    <w:rsid w:val="008D6A96"/>
    <w:rsid w:val="008D6BC7"/>
    <w:rsid w:val="008D6D6A"/>
    <w:rsid w:val="008D7399"/>
    <w:rsid w:val="008D76D0"/>
    <w:rsid w:val="008D7752"/>
    <w:rsid w:val="008D7799"/>
    <w:rsid w:val="008D7B23"/>
    <w:rsid w:val="008D7DFF"/>
    <w:rsid w:val="008D7FBE"/>
    <w:rsid w:val="008D7FE6"/>
    <w:rsid w:val="008E012B"/>
    <w:rsid w:val="008E0D5E"/>
    <w:rsid w:val="008E1075"/>
    <w:rsid w:val="008E12EE"/>
    <w:rsid w:val="008E18A3"/>
    <w:rsid w:val="008E1CC2"/>
    <w:rsid w:val="008E1E0A"/>
    <w:rsid w:val="008E20A6"/>
    <w:rsid w:val="008E2A89"/>
    <w:rsid w:val="008E2B17"/>
    <w:rsid w:val="008E2C08"/>
    <w:rsid w:val="008E2EBF"/>
    <w:rsid w:val="008E304A"/>
    <w:rsid w:val="008E3393"/>
    <w:rsid w:val="008E341C"/>
    <w:rsid w:val="008E36E4"/>
    <w:rsid w:val="008E3CF3"/>
    <w:rsid w:val="008E3EAD"/>
    <w:rsid w:val="008E431E"/>
    <w:rsid w:val="008E464D"/>
    <w:rsid w:val="008E49D9"/>
    <w:rsid w:val="008E4A9C"/>
    <w:rsid w:val="008E4B6F"/>
    <w:rsid w:val="008E4C81"/>
    <w:rsid w:val="008E4E0B"/>
    <w:rsid w:val="008E4EC9"/>
    <w:rsid w:val="008E54ED"/>
    <w:rsid w:val="008E56D0"/>
    <w:rsid w:val="008E576D"/>
    <w:rsid w:val="008E5868"/>
    <w:rsid w:val="008E60C0"/>
    <w:rsid w:val="008E6295"/>
    <w:rsid w:val="008E63E6"/>
    <w:rsid w:val="008E670C"/>
    <w:rsid w:val="008E674F"/>
    <w:rsid w:val="008E695D"/>
    <w:rsid w:val="008E6BE5"/>
    <w:rsid w:val="008E6D1B"/>
    <w:rsid w:val="008E6E99"/>
    <w:rsid w:val="008E6EBF"/>
    <w:rsid w:val="008E6F51"/>
    <w:rsid w:val="008E75A4"/>
    <w:rsid w:val="008E75A5"/>
    <w:rsid w:val="008E76C2"/>
    <w:rsid w:val="008E79DA"/>
    <w:rsid w:val="008E7A59"/>
    <w:rsid w:val="008F01B4"/>
    <w:rsid w:val="008F0353"/>
    <w:rsid w:val="008F040B"/>
    <w:rsid w:val="008F08A6"/>
    <w:rsid w:val="008F0B64"/>
    <w:rsid w:val="008F0D2B"/>
    <w:rsid w:val="008F0E4F"/>
    <w:rsid w:val="008F1096"/>
    <w:rsid w:val="008F1267"/>
    <w:rsid w:val="008F129C"/>
    <w:rsid w:val="008F1C66"/>
    <w:rsid w:val="008F2D38"/>
    <w:rsid w:val="008F32A8"/>
    <w:rsid w:val="008F34F1"/>
    <w:rsid w:val="008F3581"/>
    <w:rsid w:val="008F36F0"/>
    <w:rsid w:val="008F3721"/>
    <w:rsid w:val="008F3A86"/>
    <w:rsid w:val="008F3F1F"/>
    <w:rsid w:val="008F4086"/>
    <w:rsid w:val="008F430B"/>
    <w:rsid w:val="008F43A8"/>
    <w:rsid w:val="008F4454"/>
    <w:rsid w:val="008F47BE"/>
    <w:rsid w:val="008F4BC1"/>
    <w:rsid w:val="008F504F"/>
    <w:rsid w:val="008F5C15"/>
    <w:rsid w:val="008F5C2B"/>
    <w:rsid w:val="008F5E86"/>
    <w:rsid w:val="008F5FDC"/>
    <w:rsid w:val="008F6093"/>
    <w:rsid w:val="008F633D"/>
    <w:rsid w:val="008F69E0"/>
    <w:rsid w:val="008F70B6"/>
    <w:rsid w:val="008F7C08"/>
    <w:rsid w:val="00900570"/>
    <w:rsid w:val="00900E6A"/>
    <w:rsid w:val="009011D6"/>
    <w:rsid w:val="00901607"/>
    <w:rsid w:val="0090190E"/>
    <w:rsid w:val="00901F0D"/>
    <w:rsid w:val="0090210C"/>
    <w:rsid w:val="009027C8"/>
    <w:rsid w:val="00902992"/>
    <w:rsid w:val="009029D6"/>
    <w:rsid w:val="00902D66"/>
    <w:rsid w:val="009032FB"/>
    <w:rsid w:val="00903614"/>
    <w:rsid w:val="00903945"/>
    <w:rsid w:val="00903BB5"/>
    <w:rsid w:val="00903BDC"/>
    <w:rsid w:val="00903BF2"/>
    <w:rsid w:val="00903CFE"/>
    <w:rsid w:val="009048A2"/>
    <w:rsid w:val="009049BB"/>
    <w:rsid w:val="00904FB8"/>
    <w:rsid w:val="00905410"/>
    <w:rsid w:val="00905C33"/>
    <w:rsid w:val="009065AF"/>
    <w:rsid w:val="00906925"/>
    <w:rsid w:val="0090696C"/>
    <w:rsid w:val="00906E4A"/>
    <w:rsid w:val="00906E92"/>
    <w:rsid w:val="00906F05"/>
    <w:rsid w:val="00906F84"/>
    <w:rsid w:val="00906FBD"/>
    <w:rsid w:val="00906FFA"/>
    <w:rsid w:val="009070BB"/>
    <w:rsid w:val="00907108"/>
    <w:rsid w:val="0090716F"/>
    <w:rsid w:val="009075E4"/>
    <w:rsid w:val="009077FC"/>
    <w:rsid w:val="00907829"/>
    <w:rsid w:val="009078B1"/>
    <w:rsid w:val="00907F30"/>
    <w:rsid w:val="0091036D"/>
    <w:rsid w:val="00910A18"/>
    <w:rsid w:val="00910E40"/>
    <w:rsid w:val="009110CF"/>
    <w:rsid w:val="009112CD"/>
    <w:rsid w:val="0091139D"/>
    <w:rsid w:val="00911B5D"/>
    <w:rsid w:val="00911FA7"/>
    <w:rsid w:val="00912325"/>
    <w:rsid w:val="00912454"/>
    <w:rsid w:val="00912469"/>
    <w:rsid w:val="0091263D"/>
    <w:rsid w:val="00912A8F"/>
    <w:rsid w:val="00912B7A"/>
    <w:rsid w:val="0091319C"/>
    <w:rsid w:val="009131AB"/>
    <w:rsid w:val="0091320A"/>
    <w:rsid w:val="009132C4"/>
    <w:rsid w:val="00913757"/>
    <w:rsid w:val="0091396E"/>
    <w:rsid w:val="00913C31"/>
    <w:rsid w:val="00913C8F"/>
    <w:rsid w:val="00913C9D"/>
    <w:rsid w:val="0091422A"/>
    <w:rsid w:val="009142A2"/>
    <w:rsid w:val="00914517"/>
    <w:rsid w:val="009146AE"/>
    <w:rsid w:val="009148F8"/>
    <w:rsid w:val="00914A86"/>
    <w:rsid w:val="00914CDC"/>
    <w:rsid w:val="00915736"/>
    <w:rsid w:val="00915A38"/>
    <w:rsid w:val="00915D58"/>
    <w:rsid w:val="00915F6E"/>
    <w:rsid w:val="009167A2"/>
    <w:rsid w:val="00916989"/>
    <w:rsid w:val="0091698F"/>
    <w:rsid w:val="00916BEA"/>
    <w:rsid w:val="00916C36"/>
    <w:rsid w:val="00916C79"/>
    <w:rsid w:val="00916E70"/>
    <w:rsid w:val="0091708B"/>
    <w:rsid w:val="0091727E"/>
    <w:rsid w:val="009172E1"/>
    <w:rsid w:val="00917439"/>
    <w:rsid w:val="009174B9"/>
    <w:rsid w:val="0091769D"/>
    <w:rsid w:val="009179D4"/>
    <w:rsid w:val="00917FA8"/>
    <w:rsid w:val="00920020"/>
    <w:rsid w:val="00920BB7"/>
    <w:rsid w:val="00920C47"/>
    <w:rsid w:val="00920F4F"/>
    <w:rsid w:val="0092117A"/>
    <w:rsid w:val="00921378"/>
    <w:rsid w:val="009216D1"/>
    <w:rsid w:val="00921710"/>
    <w:rsid w:val="009218C9"/>
    <w:rsid w:val="00921919"/>
    <w:rsid w:val="00921D82"/>
    <w:rsid w:val="00921E37"/>
    <w:rsid w:val="00921E8C"/>
    <w:rsid w:val="00922441"/>
    <w:rsid w:val="00922F01"/>
    <w:rsid w:val="00923651"/>
    <w:rsid w:val="009236D8"/>
    <w:rsid w:val="00923A02"/>
    <w:rsid w:val="00923B2A"/>
    <w:rsid w:val="00923C18"/>
    <w:rsid w:val="00923CC1"/>
    <w:rsid w:val="00923DEB"/>
    <w:rsid w:val="009244E8"/>
    <w:rsid w:val="0092455B"/>
    <w:rsid w:val="00924709"/>
    <w:rsid w:val="00924904"/>
    <w:rsid w:val="00924CE4"/>
    <w:rsid w:val="00924D80"/>
    <w:rsid w:val="009255EF"/>
    <w:rsid w:val="00925639"/>
    <w:rsid w:val="009256BC"/>
    <w:rsid w:val="00925962"/>
    <w:rsid w:val="00925A6C"/>
    <w:rsid w:val="00926A65"/>
    <w:rsid w:val="00926E1E"/>
    <w:rsid w:val="00927148"/>
    <w:rsid w:val="009272FB"/>
    <w:rsid w:val="00927366"/>
    <w:rsid w:val="00927A5C"/>
    <w:rsid w:val="00927A5D"/>
    <w:rsid w:val="009301C0"/>
    <w:rsid w:val="009304B9"/>
    <w:rsid w:val="009304C9"/>
    <w:rsid w:val="00930517"/>
    <w:rsid w:val="00930708"/>
    <w:rsid w:val="00930897"/>
    <w:rsid w:val="00930D56"/>
    <w:rsid w:val="00930EFE"/>
    <w:rsid w:val="00930F26"/>
    <w:rsid w:val="00930F5A"/>
    <w:rsid w:val="00931095"/>
    <w:rsid w:val="00931220"/>
    <w:rsid w:val="0093123F"/>
    <w:rsid w:val="00931387"/>
    <w:rsid w:val="00931522"/>
    <w:rsid w:val="009317BD"/>
    <w:rsid w:val="0093190A"/>
    <w:rsid w:val="009319F9"/>
    <w:rsid w:val="0093220D"/>
    <w:rsid w:val="009326DD"/>
    <w:rsid w:val="00932BBD"/>
    <w:rsid w:val="00932D23"/>
    <w:rsid w:val="00932E2E"/>
    <w:rsid w:val="00932F05"/>
    <w:rsid w:val="00932F92"/>
    <w:rsid w:val="00933100"/>
    <w:rsid w:val="009332AD"/>
    <w:rsid w:val="00933525"/>
    <w:rsid w:val="009335BA"/>
    <w:rsid w:val="00933D86"/>
    <w:rsid w:val="00933F11"/>
    <w:rsid w:val="00933F16"/>
    <w:rsid w:val="00933F94"/>
    <w:rsid w:val="00934297"/>
    <w:rsid w:val="00934663"/>
    <w:rsid w:val="00934685"/>
    <w:rsid w:val="00934DBE"/>
    <w:rsid w:val="00935149"/>
    <w:rsid w:val="0093541C"/>
    <w:rsid w:val="009354EC"/>
    <w:rsid w:val="00935B64"/>
    <w:rsid w:val="00935C68"/>
    <w:rsid w:val="00935D77"/>
    <w:rsid w:val="00936075"/>
    <w:rsid w:val="009360CD"/>
    <w:rsid w:val="0093627B"/>
    <w:rsid w:val="00936369"/>
    <w:rsid w:val="009369B4"/>
    <w:rsid w:val="00936FFF"/>
    <w:rsid w:val="009370C3"/>
    <w:rsid w:val="009372FA"/>
    <w:rsid w:val="00937862"/>
    <w:rsid w:val="00937B9A"/>
    <w:rsid w:val="00937BCB"/>
    <w:rsid w:val="00937C87"/>
    <w:rsid w:val="00937F77"/>
    <w:rsid w:val="009401F1"/>
    <w:rsid w:val="009407CC"/>
    <w:rsid w:val="00940C5E"/>
    <w:rsid w:val="00940D95"/>
    <w:rsid w:val="009412A4"/>
    <w:rsid w:val="00941A45"/>
    <w:rsid w:val="00942051"/>
    <w:rsid w:val="009420BD"/>
    <w:rsid w:val="00942355"/>
    <w:rsid w:val="0094242B"/>
    <w:rsid w:val="009424FC"/>
    <w:rsid w:val="00942526"/>
    <w:rsid w:val="009428A0"/>
    <w:rsid w:val="009429F9"/>
    <w:rsid w:val="00942D58"/>
    <w:rsid w:val="0094316F"/>
    <w:rsid w:val="009435F0"/>
    <w:rsid w:val="0094367B"/>
    <w:rsid w:val="00943896"/>
    <w:rsid w:val="00943C5D"/>
    <w:rsid w:val="009443B3"/>
    <w:rsid w:val="009445C3"/>
    <w:rsid w:val="00944713"/>
    <w:rsid w:val="00944768"/>
    <w:rsid w:val="009449F2"/>
    <w:rsid w:val="00944B71"/>
    <w:rsid w:val="00944C95"/>
    <w:rsid w:val="0094568A"/>
    <w:rsid w:val="00945815"/>
    <w:rsid w:val="00945ADE"/>
    <w:rsid w:val="00945CF9"/>
    <w:rsid w:val="009462DE"/>
    <w:rsid w:val="009463B2"/>
    <w:rsid w:val="009464CB"/>
    <w:rsid w:val="0094659F"/>
    <w:rsid w:val="009465CD"/>
    <w:rsid w:val="00946B27"/>
    <w:rsid w:val="00946C12"/>
    <w:rsid w:val="00946C26"/>
    <w:rsid w:val="00946C81"/>
    <w:rsid w:val="00947297"/>
    <w:rsid w:val="0094747C"/>
    <w:rsid w:val="00947530"/>
    <w:rsid w:val="0094755F"/>
    <w:rsid w:val="00947F74"/>
    <w:rsid w:val="0095001B"/>
    <w:rsid w:val="00950763"/>
    <w:rsid w:val="00950961"/>
    <w:rsid w:val="00950C36"/>
    <w:rsid w:val="00950CD0"/>
    <w:rsid w:val="00951261"/>
    <w:rsid w:val="00951429"/>
    <w:rsid w:val="0095185A"/>
    <w:rsid w:val="0095195F"/>
    <w:rsid w:val="00951CA7"/>
    <w:rsid w:val="00951EC0"/>
    <w:rsid w:val="009520BE"/>
    <w:rsid w:val="0095210E"/>
    <w:rsid w:val="009523C7"/>
    <w:rsid w:val="009523F2"/>
    <w:rsid w:val="0095243F"/>
    <w:rsid w:val="00952974"/>
    <w:rsid w:val="00952AB5"/>
    <w:rsid w:val="00952B56"/>
    <w:rsid w:val="00952C3C"/>
    <w:rsid w:val="00952DAF"/>
    <w:rsid w:val="00952ED5"/>
    <w:rsid w:val="00953244"/>
    <w:rsid w:val="0095359C"/>
    <w:rsid w:val="00953A33"/>
    <w:rsid w:val="00953A9A"/>
    <w:rsid w:val="00953B5D"/>
    <w:rsid w:val="00953CDA"/>
    <w:rsid w:val="009540C1"/>
    <w:rsid w:val="009540DA"/>
    <w:rsid w:val="00954674"/>
    <w:rsid w:val="00954AD2"/>
    <w:rsid w:val="00954FEB"/>
    <w:rsid w:val="009550C4"/>
    <w:rsid w:val="0095532D"/>
    <w:rsid w:val="00955339"/>
    <w:rsid w:val="00955346"/>
    <w:rsid w:val="00955360"/>
    <w:rsid w:val="009553FE"/>
    <w:rsid w:val="009556E1"/>
    <w:rsid w:val="00956402"/>
    <w:rsid w:val="0095670D"/>
    <w:rsid w:val="00956CEE"/>
    <w:rsid w:val="00956E38"/>
    <w:rsid w:val="00956E97"/>
    <w:rsid w:val="00957161"/>
    <w:rsid w:val="0095718F"/>
    <w:rsid w:val="0095723A"/>
    <w:rsid w:val="00957C21"/>
    <w:rsid w:val="00957DF2"/>
    <w:rsid w:val="00957F44"/>
    <w:rsid w:val="009600C1"/>
    <w:rsid w:val="0096020A"/>
    <w:rsid w:val="00960608"/>
    <w:rsid w:val="00960614"/>
    <w:rsid w:val="00960797"/>
    <w:rsid w:val="009608CE"/>
    <w:rsid w:val="00960944"/>
    <w:rsid w:val="00960C87"/>
    <w:rsid w:val="00960F40"/>
    <w:rsid w:val="0096103E"/>
    <w:rsid w:val="0096120E"/>
    <w:rsid w:val="009612AB"/>
    <w:rsid w:val="0096135E"/>
    <w:rsid w:val="00961413"/>
    <w:rsid w:val="00961466"/>
    <w:rsid w:val="009615B6"/>
    <w:rsid w:val="0096166A"/>
    <w:rsid w:val="00961983"/>
    <w:rsid w:val="00961BDF"/>
    <w:rsid w:val="00961FA5"/>
    <w:rsid w:val="00962325"/>
    <w:rsid w:val="009623F6"/>
    <w:rsid w:val="0096292A"/>
    <w:rsid w:val="00962974"/>
    <w:rsid w:val="00962EE5"/>
    <w:rsid w:val="009630B5"/>
    <w:rsid w:val="0096345C"/>
    <w:rsid w:val="0096365E"/>
    <w:rsid w:val="009638CF"/>
    <w:rsid w:val="00963A03"/>
    <w:rsid w:val="00963A22"/>
    <w:rsid w:val="00963BD7"/>
    <w:rsid w:val="00963D2C"/>
    <w:rsid w:val="009645EA"/>
    <w:rsid w:val="00964742"/>
    <w:rsid w:val="00964BB7"/>
    <w:rsid w:val="00964BC8"/>
    <w:rsid w:val="00964F6B"/>
    <w:rsid w:val="009653D7"/>
    <w:rsid w:val="0096546D"/>
    <w:rsid w:val="0096557B"/>
    <w:rsid w:val="00965637"/>
    <w:rsid w:val="00965AF8"/>
    <w:rsid w:val="00965C6E"/>
    <w:rsid w:val="009663E7"/>
    <w:rsid w:val="00966986"/>
    <w:rsid w:val="00966A87"/>
    <w:rsid w:val="00966BAC"/>
    <w:rsid w:val="00966D79"/>
    <w:rsid w:val="00966F0D"/>
    <w:rsid w:val="00967001"/>
    <w:rsid w:val="00967032"/>
    <w:rsid w:val="00967315"/>
    <w:rsid w:val="0096738B"/>
    <w:rsid w:val="009674DB"/>
    <w:rsid w:val="009678B8"/>
    <w:rsid w:val="009679C0"/>
    <w:rsid w:val="00967FBB"/>
    <w:rsid w:val="009708F7"/>
    <w:rsid w:val="00970A69"/>
    <w:rsid w:val="00970F84"/>
    <w:rsid w:val="00970FE6"/>
    <w:rsid w:val="00971201"/>
    <w:rsid w:val="00971291"/>
    <w:rsid w:val="00971574"/>
    <w:rsid w:val="009715BB"/>
    <w:rsid w:val="00971750"/>
    <w:rsid w:val="009720B5"/>
    <w:rsid w:val="0097273F"/>
    <w:rsid w:val="00972AE0"/>
    <w:rsid w:val="00972BC2"/>
    <w:rsid w:val="00973058"/>
    <w:rsid w:val="009730F6"/>
    <w:rsid w:val="0097321D"/>
    <w:rsid w:val="00973685"/>
    <w:rsid w:val="009738E8"/>
    <w:rsid w:val="00973B3C"/>
    <w:rsid w:val="009743C4"/>
    <w:rsid w:val="00974450"/>
    <w:rsid w:val="009744C5"/>
    <w:rsid w:val="00974B8C"/>
    <w:rsid w:val="00974DB2"/>
    <w:rsid w:val="00974E7A"/>
    <w:rsid w:val="00974F9C"/>
    <w:rsid w:val="009754CC"/>
    <w:rsid w:val="009755DE"/>
    <w:rsid w:val="0097585D"/>
    <w:rsid w:val="00975CF9"/>
    <w:rsid w:val="00975E96"/>
    <w:rsid w:val="009762F4"/>
    <w:rsid w:val="009763C9"/>
    <w:rsid w:val="00976760"/>
    <w:rsid w:val="00976DA0"/>
    <w:rsid w:val="00976F20"/>
    <w:rsid w:val="00976F4D"/>
    <w:rsid w:val="00977296"/>
    <w:rsid w:val="00977367"/>
    <w:rsid w:val="009773C9"/>
    <w:rsid w:val="00977616"/>
    <w:rsid w:val="0097783C"/>
    <w:rsid w:val="00977959"/>
    <w:rsid w:val="00977A23"/>
    <w:rsid w:val="00977BDB"/>
    <w:rsid w:val="00977CE0"/>
    <w:rsid w:val="00977EEE"/>
    <w:rsid w:val="00980130"/>
    <w:rsid w:val="0098025E"/>
    <w:rsid w:val="00980269"/>
    <w:rsid w:val="00980449"/>
    <w:rsid w:val="009806CA"/>
    <w:rsid w:val="0098075F"/>
    <w:rsid w:val="0098086A"/>
    <w:rsid w:val="00980892"/>
    <w:rsid w:val="00980A23"/>
    <w:rsid w:val="0098144F"/>
    <w:rsid w:val="00981487"/>
    <w:rsid w:val="009814EA"/>
    <w:rsid w:val="00981A23"/>
    <w:rsid w:val="00981AFD"/>
    <w:rsid w:val="00981B59"/>
    <w:rsid w:val="00981CF5"/>
    <w:rsid w:val="00982175"/>
    <w:rsid w:val="0098222A"/>
    <w:rsid w:val="00982359"/>
    <w:rsid w:val="00982448"/>
    <w:rsid w:val="00982586"/>
    <w:rsid w:val="009827C4"/>
    <w:rsid w:val="00982A60"/>
    <w:rsid w:val="009831C2"/>
    <w:rsid w:val="00983666"/>
    <w:rsid w:val="00983739"/>
    <w:rsid w:val="009838D8"/>
    <w:rsid w:val="00983969"/>
    <w:rsid w:val="00983A94"/>
    <w:rsid w:val="00983B89"/>
    <w:rsid w:val="00985092"/>
    <w:rsid w:val="00985205"/>
    <w:rsid w:val="009852AF"/>
    <w:rsid w:val="00985534"/>
    <w:rsid w:val="009859A6"/>
    <w:rsid w:val="00985D47"/>
    <w:rsid w:val="00985F5A"/>
    <w:rsid w:val="0098604E"/>
    <w:rsid w:val="009861D1"/>
    <w:rsid w:val="00986CCF"/>
    <w:rsid w:val="00986D31"/>
    <w:rsid w:val="00986D6F"/>
    <w:rsid w:val="009871D7"/>
    <w:rsid w:val="00987689"/>
    <w:rsid w:val="00987976"/>
    <w:rsid w:val="00987B00"/>
    <w:rsid w:val="00987C52"/>
    <w:rsid w:val="00987CA7"/>
    <w:rsid w:val="00987D88"/>
    <w:rsid w:val="00987DBA"/>
    <w:rsid w:val="009902CE"/>
    <w:rsid w:val="009903C3"/>
    <w:rsid w:val="0099053F"/>
    <w:rsid w:val="009905DF"/>
    <w:rsid w:val="00990880"/>
    <w:rsid w:val="009909F5"/>
    <w:rsid w:val="00990C94"/>
    <w:rsid w:val="00990F0C"/>
    <w:rsid w:val="00991142"/>
    <w:rsid w:val="009913FD"/>
    <w:rsid w:val="009917C2"/>
    <w:rsid w:val="00991919"/>
    <w:rsid w:val="00991A0B"/>
    <w:rsid w:val="00991A33"/>
    <w:rsid w:val="00991B57"/>
    <w:rsid w:val="00991DCD"/>
    <w:rsid w:val="00992115"/>
    <w:rsid w:val="0099227E"/>
    <w:rsid w:val="0099283A"/>
    <w:rsid w:val="00992CDB"/>
    <w:rsid w:val="009930BE"/>
    <w:rsid w:val="00993299"/>
    <w:rsid w:val="0099329E"/>
    <w:rsid w:val="00993484"/>
    <w:rsid w:val="00993617"/>
    <w:rsid w:val="0099361A"/>
    <w:rsid w:val="0099370E"/>
    <w:rsid w:val="00993993"/>
    <w:rsid w:val="00993A1E"/>
    <w:rsid w:val="00993B7E"/>
    <w:rsid w:val="00993D4B"/>
    <w:rsid w:val="00993DC5"/>
    <w:rsid w:val="00994837"/>
    <w:rsid w:val="00994F37"/>
    <w:rsid w:val="00994F96"/>
    <w:rsid w:val="00994FEF"/>
    <w:rsid w:val="0099507D"/>
    <w:rsid w:val="00995135"/>
    <w:rsid w:val="00995177"/>
    <w:rsid w:val="00995235"/>
    <w:rsid w:val="00995798"/>
    <w:rsid w:val="00995939"/>
    <w:rsid w:val="00995D53"/>
    <w:rsid w:val="0099634F"/>
    <w:rsid w:val="00996725"/>
    <w:rsid w:val="009967C9"/>
    <w:rsid w:val="00996A88"/>
    <w:rsid w:val="00996F1F"/>
    <w:rsid w:val="009970A5"/>
    <w:rsid w:val="009973DC"/>
    <w:rsid w:val="00997936"/>
    <w:rsid w:val="00997C45"/>
    <w:rsid w:val="00997EE9"/>
    <w:rsid w:val="00997F43"/>
    <w:rsid w:val="00997FDE"/>
    <w:rsid w:val="009A00E9"/>
    <w:rsid w:val="009A026C"/>
    <w:rsid w:val="009A02AA"/>
    <w:rsid w:val="009A064E"/>
    <w:rsid w:val="009A0777"/>
    <w:rsid w:val="009A0836"/>
    <w:rsid w:val="009A0848"/>
    <w:rsid w:val="009A09AE"/>
    <w:rsid w:val="009A09F0"/>
    <w:rsid w:val="009A0D64"/>
    <w:rsid w:val="009A138E"/>
    <w:rsid w:val="009A16DC"/>
    <w:rsid w:val="009A16FF"/>
    <w:rsid w:val="009A1C6E"/>
    <w:rsid w:val="009A25ED"/>
    <w:rsid w:val="009A290E"/>
    <w:rsid w:val="009A2912"/>
    <w:rsid w:val="009A29F6"/>
    <w:rsid w:val="009A31F8"/>
    <w:rsid w:val="009A3988"/>
    <w:rsid w:val="009A3FC4"/>
    <w:rsid w:val="009A423B"/>
    <w:rsid w:val="009A446C"/>
    <w:rsid w:val="009A4B86"/>
    <w:rsid w:val="009A4D24"/>
    <w:rsid w:val="009A4D73"/>
    <w:rsid w:val="009A4ED1"/>
    <w:rsid w:val="009A4FA2"/>
    <w:rsid w:val="009A54D2"/>
    <w:rsid w:val="009A57A9"/>
    <w:rsid w:val="009A58C1"/>
    <w:rsid w:val="009A5912"/>
    <w:rsid w:val="009A5A1E"/>
    <w:rsid w:val="009A5AF8"/>
    <w:rsid w:val="009A5AFF"/>
    <w:rsid w:val="009A5C1A"/>
    <w:rsid w:val="009A6895"/>
    <w:rsid w:val="009A6A08"/>
    <w:rsid w:val="009A6AD1"/>
    <w:rsid w:val="009A6C72"/>
    <w:rsid w:val="009A6D80"/>
    <w:rsid w:val="009A6F50"/>
    <w:rsid w:val="009A7350"/>
    <w:rsid w:val="009A73D3"/>
    <w:rsid w:val="009A73F2"/>
    <w:rsid w:val="009A747D"/>
    <w:rsid w:val="009A7613"/>
    <w:rsid w:val="009A769B"/>
    <w:rsid w:val="009A77F5"/>
    <w:rsid w:val="009A7957"/>
    <w:rsid w:val="009A796C"/>
    <w:rsid w:val="009A7E6D"/>
    <w:rsid w:val="009B02B7"/>
    <w:rsid w:val="009B0B10"/>
    <w:rsid w:val="009B0B77"/>
    <w:rsid w:val="009B1119"/>
    <w:rsid w:val="009B1289"/>
    <w:rsid w:val="009B1697"/>
    <w:rsid w:val="009B17A8"/>
    <w:rsid w:val="009B1A04"/>
    <w:rsid w:val="009B1B59"/>
    <w:rsid w:val="009B1D58"/>
    <w:rsid w:val="009B2107"/>
    <w:rsid w:val="009B2256"/>
    <w:rsid w:val="009B23FC"/>
    <w:rsid w:val="009B29B9"/>
    <w:rsid w:val="009B2B0D"/>
    <w:rsid w:val="009B2DCE"/>
    <w:rsid w:val="009B2F23"/>
    <w:rsid w:val="009B2F4B"/>
    <w:rsid w:val="009B3BB1"/>
    <w:rsid w:val="009B3C37"/>
    <w:rsid w:val="009B3C6A"/>
    <w:rsid w:val="009B3FFE"/>
    <w:rsid w:val="009B496D"/>
    <w:rsid w:val="009B4A11"/>
    <w:rsid w:val="009B4C0C"/>
    <w:rsid w:val="009B4C66"/>
    <w:rsid w:val="009B4EB4"/>
    <w:rsid w:val="009B4F26"/>
    <w:rsid w:val="009B4FD2"/>
    <w:rsid w:val="009B5682"/>
    <w:rsid w:val="009B5D0C"/>
    <w:rsid w:val="009B5EF6"/>
    <w:rsid w:val="009B6C7B"/>
    <w:rsid w:val="009B6D33"/>
    <w:rsid w:val="009B6D35"/>
    <w:rsid w:val="009B6FEE"/>
    <w:rsid w:val="009B7443"/>
    <w:rsid w:val="009B7CE8"/>
    <w:rsid w:val="009C008D"/>
    <w:rsid w:val="009C0AE6"/>
    <w:rsid w:val="009C0B1B"/>
    <w:rsid w:val="009C0DDF"/>
    <w:rsid w:val="009C0E96"/>
    <w:rsid w:val="009C0EC5"/>
    <w:rsid w:val="009C1255"/>
    <w:rsid w:val="009C1284"/>
    <w:rsid w:val="009C1870"/>
    <w:rsid w:val="009C1BEE"/>
    <w:rsid w:val="009C2077"/>
    <w:rsid w:val="009C208A"/>
    <w:rsid w:val="009C25D2"/>
    <w:rsid w:val="009C27A3"/>
    <w:rsid w:val="009C29E0"/>
    <w:rsid w:val="009C2AAC"/>
    <w:rsid w:val="009C2C24"/>
    <w:rsid w:val="009C2DE1"/>
    <w:rsid w:val="009C3497"/>
    <w:rsid w:val="009C3A49"/>
    <w:rsid w:val="009C3AD9"/>
    <w:rsid w:val="009C4188"/>
    <w:rsid w:val="009C46FF"/>
    <w:rsid w:val="009C501F"/>
    <w:rsid w:val="009C541F"/>
    <w:rsid w:val="009C5529"/>
    <w:rsid w:val="009C5A98"/>
    <w:rsid w:val="009C5E6B"/>
    <w:rsid w:val="009C6405"/>
    <w:rsid w:val="009C65A4"/>
    <w:rsid w:val="009C6A36"/>
    <w:rsid w:val="009C6CA4"/>
    <w:rsid w:val="009C6FC6"/>
    <w:rsid w:val="009C7531"/>
    <w:rsid w:val="009C75C1"/>
    <w:rsid w:val="009C75C4"/>
    <w:rsid w:val="009C76AE"/>
    <w:rsid w:val="009C7B01"/>
    <w:rsid w:val="009C7C4A"/>
    <w:rsid w:val="009C7DC2"/>
    <w:rsid w:val="009C7E73"/>
    <w:rsid w:val="009D00DE"/>
    <w:rsid w:val="009D05C7"/>
    <w:rsid w:val="009D0DDD"/>
    <w:rsid w:val="009D11E9"/>
    <w:rsid w:val="009D1257"/>
    <w:rsid w:val="009D1261"/>
    <w:rsid w:val="009D126F"/>
    <w:rsid w:val="009D1437"/>
    <w:rsid w:val="009D14A5"/>
    <w:rsid w:val="009D155B"/>
    <w:rsid w:val="009D2057"/>
    <w:rsid w:val="009D2389"/>
    <w:rsid w:val="009D2C54"/>
    <w:rsid w:val="009D2EF4"/>
    <w:rsid w:val="009D3988"/>
    <w:rsid w:val="009D3EFA"/>
    <w:rsid w:val="009D3F29"/>
    <w:rsid w:val="009D3F94"/>
    <w:rsid w:val="009D40F2"/>
    <w:rsid w:val="009D41D0"/>
    <w:rsid w:val="009D431D"/>
    <w:rsid w:val="009D43F2"/>
    <w:rsid w:val="009D452E"/>
    <w:rsid w:val="009D465A"/>
    <w:rsid w:val="009D4924"/>
    <w:rsid w:val="009D4B52"/>
    <w:rsid w:val="009D4FFE"/>
    <w:rsid w:val="009D5102"/>
    <w:rsid w:val="009D5B0A"/>
    <w:rsid w:val="009D5C57"/>
    <w:rsid w:val="009D5CE7"/>
    <w:rsid w:val="009D640A"/>
    <w:rsid w:val="009D6696"/>
    <w:rsid w:val="009D67FA"/>
    <w:rsid w:val="009D6A01"/>
    <w:rsid w:val="009D6A49"/>
    <w:rsid w:val="009D6AC2"/>
    <w:rsid w:val="009D6C95"/>
    <w:rsid w:val="009D6DB1"/>
    <w:rsid w:val="009D6F0D"/>
    <w:rsid w:val="009D7018"/>
    <w:rsid w:val="009D70C7"/>
    <w:rsid w:val="009D74B1"/>
    <w:rsid w:val="009D7CD9"/>
    <w:rsid w:val="009D7CF8"/>
    <w:rsid w:val="009E039E"/>
    <w:rsid w:val="009E07D5"/>
    <w:rsid w:val="009E0CA4"/>
    <w:rsid w:val="009E0F6B"/>
    <w:rsid w:val="009E11A9"/>
    <w:rsid w:val="009E1362"/>
    <w:rsid w:val="009E1539"/>
    <w:rsid w:val="009E1708"/>
    <w:rsid w:val="009E1BC4"/>
    <w:rsid w:val="009E1C04"/>
    <w:rsid w:val="009E1D33"/>
    <w:rsid w:val="009E1E7F"/>
    <w:rsid w:val="009E1FEC"/>
    <w:rsid w:val="009E231F"/>
    <w:rsid w:val="009E267F"/>
    <w:rsid w:val="009E269E"/>
    <w:rsid w:val="009E2785"/>
    <w:rsid w:val="009E27F0"/>
    <w:rsid w:val="009E2800"/>
    <w:rsid w:val="009E2853"/>
    <w:rsid w:val="009E2A3D"/>
    <w:rsid w:val="009E2B66"/>
    <w:rsid w:val="009E332F"/>
    <w:rsid w:val="009E33DB"/>
    <w:rsid w:val="009E4436"/>
    <w:rsid w:val="009E44BE"/>
    <w:rsid w:val="009E4A4C"/>
    <w:rsid w:val="009E5358"/>
    <w:rsid w:val="009E5564"/>
    <w:rsid w:val="009E5732"/>
    <w:rsid w:val="009E5A45"/>
    <w:rsid w:val="009E5B6D"/>
    <w:rsid w:val="009E5EDF"/>
    <w:rsid w:val="009E6908"/>
    <w:rsid w:val="009E6AD3"/>
    <w:rsid w:val="009E6B94"/>
    <w:rsid w:val="009E6CAE"/>
    <w:rsid w:val="009E6D67"/>
    <w:rsid w:val="009E6EB2"/>
    <w:rsid w:val="009E703D"/>
    <w:rsid w:val="009E7335"/>
    <w:rsid w:val="009E7343"/>
    <w:rsid w:val="009E74C8"/>
    <w:rsid w:val="009E74D8"/>
    <w:rsid w:val="009E7597"/>
    <w:rsid w:val="009E75CF"/>
    <w:rsid w:val="009E75D6"/>
    <w:rsid w:val="009E7B40"/>
    <w:rsid w:val="009E7B91"/>
    <w:rsid w:val="009E7E0C"/>
    <w:rsid w:val="009F0B57"/>
    <w:rsid w:val="009F0CD6"/>
    <w:rsid w:val="009F1022"/>
    <w:rsid w:val="009F12B2"/>
    <w:rsid w:val="009F1350"/>
    <w:rsid w:val="009F1484"/>
    <w:rsid w:val="009F186A"/>
    <w:rsid w:val="009F1ACD"/>
    <w:rsid w:val="009F1B10"/>
    <w:rsid w:val="009F1EB9"/>
    <w:rsid w:val="009F1F15"/>
    <w:rsid w:val="009F2321"/>
    <w:rsid w:val="009F25B4"/>
    <w:rsid w:val="009F3307"/>
    <w:rsid w:val="009F3544"/>
    <w:rsid w:val="009F369F"/>
    <w:rsid w:val="009F376A"/>
    <w:rsid w:val="009F3E01"/>
    <w:rsid w:val="009F459B"/>
    <w:rsid w:val="009F4BAE"/>
    <w:rsid w:val="009F4E34"/>
    <w:rsid w:val="009F52E6"/>
    <w:rsid w:val="009F531C"/>
    <w:rsid w:val="009F5411"/>
    <w:rsid w:val="009F570C"/>
    <w:rsid w:val="009F57B5"/>
    <w:rsid w:val="009F5981"/>
    <w:rsid w:val="009F5A74"/>
    <w:rsid w:val="009F6070"/>
    <w:rsid w:val="009F631D"/>
    <w:rsid w:val="009F6554"/>
    <w:rsid w:val="009F6791"/>
    <w:rsid w:val="009F6A8B"/>
    <w:rsid w:val="009F6B64"/>
    <w:rsid w:val="009F6F66"/>
    <w:rsid w:val="009F7012"/>
    <w:rsid w:val="009F72EB"/>
    <w:rsid w:val="009F7349"/>
    <w:rsid w:val="009F7434"/>
    <w:rsid w:val="009F781B"/>
    <w:rsid w:val="009F7AE2"/>
    <w:rsid w:val="00A003E8"/>
    <w:rsid w:val="00A004BF"/>
    <w:rsid w:val="00A005C4"/>
    <w:rsid w:val="00A008F8"/>
    <w:rsid w:val="00A00A16"/>
    <w:rsid w:val="00A00B5C"/>
    <w:rsid w:val="00A00EC8"/>
    <w:rsid w:val="00A00EDA"/>
    <w:rsid w:val="00A00F27"/>
    <w:rsid w:val="00A00FD0"/>
    <w:rsid w:val="00A011E9"/>
    <w:rsid w:val="00A01274"/>
    <w:rsid w:val="00A013A0"/>
    <w:rsid w:val="00A0169E"/>
    <w:rsid w:val="00A01726"/>
    <w:rsid w:val="00A01826"/>
    <w:rsid w:val="00A019A9"/>
    <w:rsid w:val="00A01C40"/>
    <w:rsid w:val="00A01C7C"/>
    <w:rsid w:val="00A01D00"/>
    <w:rsid w:val="00A01D3B"/>
    <w:rsid w:val="00A01FA4"/>
    <w:rsid w:val="00A02262"/>
    <w:rsid w:val="00A025FE"/>
    <w:rsid w:val="00A02849"/>
    <w:rsid w:val="00A02B42"/>
    <w:rsid w:val="00A02D34"/>
    <w:rsid w:val="00A02DEE"/>
    <w:rsid w:val="00A02E90"/>
    <w:rsid w:val="00A02F03"/>
    <w:rsid w:val="00A030A2"/>
    <w:rsid w:val="00A0345A"/>
    <w:rsid w:val="00A039AC"/>
    <w:rsid w:val="00A03B22"/>
    <w:rsid w:val="00A03C46"/>
    <w:rsid w:val="00A03CF8"/>
    <w:rsid w:val="00A04318"/>
    <w:rsid w:val="00A043C4"/>
    <w:rsid w:val="00A0458C"/>
    <w:rsid w:val="00A0486A"/>
    <w:rsid w:val="00A04AF1"/>
    <w:rsid w:val="00A04AF4"/>
    <w:rsid w:val="00A05178"/>
    <w:rsid w:val="00A051C1"/>
    <w:rsid w:val="00A0525A"/>
    <w:rsid w:val="00A0554E"/>
    <w:rsid w:val="00A05957"/>
    <w:rsid w:val="00A05C0B"/>
    <w:rsid w:val="00A06442"/>
    <w:rsid w:val="00A068D5"/>
    <w:rsid w:val="00A06CED"/>
    <w:rsid w:val="00A06DE9"/>
    <w:rsid w:val="00A075EA"/>
    <w:rsid w:val="00A07794"/>
    <w:rsid w:val="00A07B1F"/>
    <w:rsid w:val="00A07B69"/>
    <w:rsid w:val="00A07C82"/>
    <w:rsid w:val="00A07FF8"/>
    <w:rsid w:val="00A101B6"/>
    <w:rsid w:val="00A10653"/>
    <w:rsid w:val="00A10869"/>
    <w:rsid w:val="00A1094A"/>
    <w:rsid w:val="00A109FF"/>
    <w:rsid w:val="00A10A76"/>
    <w:rsid w:val="00A10C56"/>
    <w:rsid w:val="00A11213"/>
    <w:rsid w:val="00A11409"/>
    <w:rsid w:val="00A11AD7"/>
    <w:rsid w:val="00A11E07"/>
    <w:rsid w:val="00A128B4"/>
    <w:rsid w:val="00A12B8E"/>
    <w:rsid w:val="00A12E54"/>
    <w:rsid w:val="00A12EAC"/>
    <w:rsid w:val="00A1329B"/>
    <w:rsid w:val="00A133A0"/>
    <w:rsid w:val="00A134D0"/>
    <w:rsid w:val="00A138AC"/>
    <w:rsid w:val="00A13927"/>
    <w:rsid w:val="00A139B1"/>
    <w:rsid w:val="00A13A1F"/>
    <w:rsid w:val="00A13B10"/>
    <w:rsid w:val="00A13C84"/>
    <w:rsid w:val="00A13E02"/>
    <w:rsid w:val="00A13E94"/>
    <w:rsid w:val="00A13EC6"/>
    <w:rsid w:val="00A1401E"/>
    <w:rsid w:val="00A1402F"/>
    <w:rsid w:val="00A14100"/>
    <w:rsid w:val="00A14531"/>
    <w:rsid w:val="00A1453B"/>
    <w:rsid w:val="00A1465E"/>
    <w:rsid w:val="00A14780"/>
    <w:rsid w:val="00A149C8"/>
    <w:rsid w:val="00A15034"/>
    <w:rsid w:val="00A1506E"/>
    <w:rsid w:val="00A150FC"/>
    <w:rsid w:val="00A15206"/>
    <w:rsid w:val="00A15616"/>
    <w:rsid w:val="00A1567E"/>
    <w:rsid w:val="00A15D1D"/>
    <w:rsid w:val="00A163C0"/>
    <w:rsid w:val="00A163FD"/>
    <w:rsid w:val="00A16BA9"/>
    <w:rsid w:val="00A16E6C"/>
    <w:rsid w:val="00A16EAF"/>
    <w:rsid w:val="00A17279"/>
    <w:rsid w:val="00A17436"/>
    <w:rsid w:val="00A2016B"/>
    <w:rsid w:val="00A20217"/>
    <w:rsid w:val="00A203E5"/>
    <w:rsid w:val="00A20643"/>
    <w:rsid w:val="00A20F42"/>
    <w:rsid w:val="00A2104A"/>
    <w:rsid w:val="00A211CE"/>
    <w:rsid w:val="00A211FB"/>
    <w:rsid w:val="00A21270"/>
    <w:rsid w:val="00A21359"/>
    <w:rsid w:val="00A213B6"/>
    <w:rsid w:val="00A21522"/>
    <w:rsid w:val="00A2164E"/>
    <w:rsid w:val="00A21D36"/>
    <w:rsid w:val="00A22034"/>
    <w:rsid w:val="00A22994"/>
    <w:rsid w:val="00A22A2C"/>
    <w:rsid w:val="00A232D5"/>
    <w:rsid w:val="00A2357F"/>
    <w:rsid w:val="00A23746"/>
    <w:rsid w:val="00A23C37"/>
    <w:rsid w:val="00A23F5A"/>
    <w:rsid w:val="00A240F5"/>
    <w:rsid w:val="00A2429E"/>
    <w:rsid w:val="00A2493C"/>
    <w:rsid w:val="00A2525E"/>
    <w:rsid w:val="00A25425"/>
    <w:rsid w:val="00A25476"/>
    <w:rsid w:val="00A255BF"/>
    <w:rsid w:val="00A2578E"/>
    <w:rsid w:val="00A25843"/>
    <w:rsid w:val="00A25C07"/>
    <w:rsid w:val="00A26179"/>
    <w:rsid w:val="00A263E4"/>
    <w:rsid w:val="00A26669"/>
    <w:rsid w:val="00A26875"/>
    <w:rsid w:val="00A26B0B"/>
    <w:rsid w:val="00A26B1B"/>
    <w:rsid w:val="00A27329"/>
    <w:rsid w:val="00A273A2"/>
    <w:rsid w:val="00A273A3"/>
    <w:rsid w:val="00A273A9"/>
    <w:rsid w:val="00A27528"/>
    <w:rsid w:val="00A275C1"/>
    <w:rsid w:val="00A2786F"/>
    <w:rsid w:val="00A27B8F"/>
    <w:rsid w:val="00A27CEF"/>
    <w:rsid w:val="00A27D1C"/>
    <w:rsid w:val="00A30089"/>
    <w:rsid w:val="00A301D3"/>
    <w:rsid w:val="00A30383"/>
    <w:rsid w:val="00A30392"/>
    <w:rsid w:val="00A3046C"/>
    <w:rsid w:val="00A309A1"/>
    <w:rsid w:val="00A30BAD"/>
    <w:rsid w:val="00A30C9A"/>
    <w:rsid w:val="00A30E0E"/>
    <w:rsid w:val="00A3122B"/>
    <w:rsid w:val="00A31336"/>
    <w:rsid w:val="00A313E5"/>
    <w:rsid w:val="00A316D5"/>
    <w:rsid w:val="00A31A53"/>
    <w:rsid w:val="00A31D37"/>
    <w:rsid w:val="00A31D8A"/>
    <w:rsid w:val="00A31DD9"/>
    <w:rsid w:val="00A31EEA"/>
    <w:rsid w:val="00A320D2"/>
    <w:rsid w:val="00A320E5"/>
    <w:rsid w:val="00A32143"/>
    <w:rsid w:val="00A32AF0"/>
    <w:rsid w:val="00A32C3A"/>
    <w:rsid w:val="00A32E09"/>
    <w:rsid w:val="00A32FAF"/>
    <w:rsid w:val="00A33915"/>
    <w:rsid w:val="00A33AE5"/>
    <w:rsid w:val="00A33B32"/>
    <w:rsid w:val="00A33DE2"/>
    <w:rsid w:val="00A3417E"/>
    <w:rsid w:val="00A341B8"/>
    <w:rsid w:val="00A34517"/>
    <w:rsid w:val="00A34746"/>
    <w:rsid w:val="00A34D76"/>
    <w:rsid w:val="00A34FD5"/>
    <w:rsid w:val="00A3524D"/>
    <w:rsid w:val="00A3533D"/>
    <w:rsid w:val="00A353E6"/>
    <w:rsid w:val="00A35429"/>
    <w:rsid w:val="00A35568"/>
    <w:rsid w:val="00A35B1C"/>
    <w:rsid w:val="00A35BA4"/>
    <w:rsid w:val="00A35C54"/>
    <w:rsid w:val="00A35CFA"/>
    <w:rsid w:val="00A36013"/>
    <w:rsid w:val="00A36140"/>
    <w:rsid w:val="00A36186"/>
    <w:rsid w:val="00A361C5"/>
    <w:rsid w:val="00A362B8"/>
    <w:rsid w:val="00A3632A"/>
    <w:rsid w:val="00A36A7D"/>
    <w:rsid w:val="00A36AA5"/>
    <w:rsid w:val="00A36CA9"/>
    <w:rsid w:val="00A36D62"/>
    <w:rsid w:val="00A36D69"/>
    <w:rsid w:val="00A36F55"/>
    <w:rsid w:val="00A36FF6"/>
    <w:rsid w:val="00A372BB"/>
    <w:rsid w:val="00A37731"/>
    <w:rsid w:val="00A37A6A"/>
    <w:rsid w:val="00A37B52"/>
    <w:rsid w:val="00A400E0"/>
    <w:rsid w:val="00A401F2"/>
    <w:rsid w:val="00A40404"/>
    <w:rsid w:val="00A40618"/>
    <w:rsid w:val="00A408C3"/>
    <w:rsid w:val="00A41358"/>
    <w:rsid w:val="00A41AF3"/>
    <w:rsid w:val="00A4209A"/>
    <w:rsid w:val="00A421E3"/>
    <w:rsid w:val="00A42562"/>
    <w:rsid w:val="00A426A3"/>
    <w:rsid w:val="00A426D6"/>
    <w:rsid w:val="00A42A81"/>
    <w:rsid w:val="00A42B6B"/>
    <w:rsid w:val="00A42C62"/>
    <w:rsid w:val="00A42C6C"/>
    <w:rsid w:val="00A42E3D"/>
    <w:rsid w:val="00A4319B"/>
    <w:rsid w:val="00A431B2"/>
    <w:rsid w:val="00A4322A"/>
    <w:rsid w:val="00A43313"/>
    <w:rsid w:val="00A4369C"/>
    <w:rsid w:val="00A436C9"/>
    <w:rsid w:val="00A437E3"/>
    <w:rsid w:val="00A43A94"/>
    <w:rsid w:val="00A43ECA"/>
    <w:rsid w:val="00A44159"/>
    <w:rsid w:val="00A44187"/>
    <w:rsid w:val="00A44277"/>
    <w:rsid w:val="00A443F7"/>
    <w:rsid w:val="00A445C7"/>
    <w:rsid w:val="00A44B16"/>
    <w:rsid w:val="00A44CB3"/>
    <w:rsid w:val="00A44DD6"/>
    <w:rsid w:val="00A44EF2"/>
    <w:rsid w:val="00A450DD"/>
    <w:rsid w:val="00A45A87"/>
    <w:rsid w:val="00A45C1D"/>
    <w:rsid w:val="00A45C21"/>
    <w:rsid w:val="00A45D9E"/>
    <w:rsid w:val="00A46035"/>
    <w:rsid w:val="00A4643F"/>
    <w:rsid w:val="00A46469"/>
    <w:rsid w:val="00A464BB"/>
    <w:rsid w:val="00A466FA"/>
    <w:rsid w:val="00A46704"/>
    <w:rsid w:val="00A46851"/>
    <w:rsid w:val="00A46B6C"/>
    <w:rsid w:val="00A46D30"/>
    <w:rsid w:val="00A46DB2"/>
    <w:rsid w:val="00A46E1A"/>
    <w:rsid w:val="00A46F98"/>
    <w:rsid w:val="00A4725A"/>
    <w:rsid w:val="00A47389"/>
    <w:rsid w:val="00A47500"/>
    <w:rsid w:val="00A4795C"/>
    <w:rsid w:val="00A47E74"/>
    <w:rsid w:val="00A50C92"/>
    <w:rsid w:val="00A50D86"/>
    <w:rsid w:val="00A50E72"/>
    <w:rsid w:val="00A50F3B"/>
    <w:rsid w:val="00A51227"/>
    <w:rsid w:val="00A514DD"/>
    <w:rsid w:val="00A51A5A"/>
    <w:rsid w:val="00A51BAE"/>
    <w:rsid w:val="00A51FE4"/>
    <w:rsid w:val="00A524F2"/>
    <w:rsid w:val="00A52618"/>
    <w:rsid w:val="00A52A1C"/>
    <w:rsid w:val="00A52C8B"/>
    <w:rsid w:val="00A52CE1"/>
    <w:rsid w:val="00A52DDC"/>
    <w:rsid w:val="00A52F4A"/>
    <w:rsid w:val="00A5307D"/>
    <w:rsid w:val="00A53741"/>
    <w:rsid w:val="00A537A0"/>
    <w:rsid w:val="00A537AC"/>
    <w:rsid w:val="00A537E5"/>
    <w:rsid w:val="00A53944"/>
    <w:rsid w:val="00A53967"/>
    <w:rsid w:val="00A54084"/>
    <w:rsid w:val="00A544DA"/>
    <w:rsid w:val="00A54573"/>
    <w:rsid w:val="00A54641"/>
    <w:rsid w:val="00A5467C"/>
    <w:rsid w:val="00A547E5"/>
    <w:rsid w:val="00A54AD1"/>
    <w:rsid w:val="00A54B00"/>
    <w:rsid w:val="00A55435"/>
    <w:rsid w:val="00A55439"/>
    <w:rsid w:val="00A55B32"/>
    <w:rsid w:val="00A55E35"/>
    <w:rsid w:val="00A562AE"/>
    <w:rsid w:val="00A56591"/>
    <w:rsid w:val="00A56A22"/>
    <w:rsid w:val="00A56B99"/>
    <w:rsid w:val="00A56E5C"/>
    <w:rsid w:val="00A56F09"/>
    <w:rsid w:val="00A56FA1"/>
    <w:rsid w:val="00A573FE"/>
    <w:rsid w:val="00A57441"/>
    <w:rsid w:val="00A57497"/>
    <w:rsid w:val="00A5775B"/>
    <w:rsid w:val="00A5793F"/>
    <w:rsid w:val="00A579BE"/>
    <w:rsid w:val="00A57A68"/>
    <w:rsid w:val="00A57B40"/>
    <w:rsid w:val="00A57B67"/>
    <w:rsid w:val="00A57C64"/>
    <w:rsid w:val="00A60147"/>
    <w:rsid w:val="00A60966"/>
    <w:rsid w:val="00A60C66"/>
    <w:rsid w:val="00A60DBE"/>
    <w:rsid w:val="00A60E47"/>
    <w:rsid w:val="00A60FAC"/>
    <w:rsid w:val="00A611AC"/>
    <w:rsid w:val="00A6136A"/>
    <w:rsid w:val="00A61429"/>
    <w:rsid w:val="00A6180F"/>
    <w:rsid w:val="00A618FC"/>
    <w:rsid w:val="00A61935"/>
    <w:rsid w:val="00A61B38"/>
    <w:rsid w:val="00A61CCD"/>
    <w:rsid w:val="00A61DF1"/>
    <w:rsid w:val="00A622A9"/>
    <w:rsid w:val="00A62641"/>
    <w:rsid w:val="00A62953"/>
    <w:rsid w:val="00A62BDE"/>
    <w:rsid w:val="00A62CE7"/>
    <w:rsid w:val="00A6332B"/>
    <w:rsid w:val="00A6334E"/>
    <w:rsid w:val="00A63398"/>
    <w:rsid w:val="00A634D9"/>
    <w:rsid w:val="00A634E5"/>
    <w:rsid w:val="00A6357E"/>
    <w:rsid w:val="00A63791"/>
    <w:rsid w:val="00A63D5B"/>
    <w:rsid w:val="00A642DA"/>
    <w:rsid w:val="00A64585"/>
    <w:rsid w:val="00A64705"/>
    <w:rsid w:val="00A64841"/>
    <w:rsid w:val="00A64A41"/>
    <w:rsid w:val="00A64BBC"/>
    <w:rsid w:val="00A64F80"/>
    <w:rsid w:val="00A65A76"/>
    <w:rsid w:val="00A664F3"/>
    <w:rsid w:val="00A668F8"/>
    <w:rsid w:val="00A67164"/>
    <w:rsid w:val="00A67187"/>
    <w:rsid w:val="00A67951"/>
    <w:rsid w:val="00A70367"/>
    <w:rsid w:val="00A7046E"/>
    <w:rsid w:val="00A7055D"/>
    <w:rsid w:val="00A70D89"/>
    <w:rsid w:val="00A70D9F"/>
    <w:rsid w:val="00A71226"/>
    <w:rsid w:val="00A71355"/>
    <w:rsid w:val="00A7139D"/>
    <w:rsid w:val="00A713BF"/>
    <w:rsid w:val="00A71BC7"/>
    <w:rsid w:val="00A7214E"/>
    <w:rsid w:val="00A721D8"/>
    <w:rsid w:val="00A72249"/>
    <w:rsid w:val="00A729E9"/>
    <w:rsid w:val="00A72C6A"/>
    <w:rsid w:val="00A7309E"/>
    <w:rsid w:val="00A731DD"/>
    <w:rsid w:val="00A73313"/>
    <w:rsid w:val="00A7363A"/>
    <w:rsid w:val="00A7383D"/>
    <w:rsid w:val="00A738F3"/>
    <w:rsid w:val="00A73973"/>
    <w:rsid w:val="00A73D19"/>
    <w:rsid w:val="00A73EF4"/>
    <w:rsid w:val="00A740A6"/>
    <w:rsid w:val="00A741B1"/>
    <w:rsid w:val="00A74327"/>
    <w:rsid w:val="00A74454"/>
    <w:rsid w:val="00A744A3"/>
    <w:rsid w:val="00A74511"/>
    <w:rsid w:val="00A7466C"/>
    <w:rsid w:val="00A74B94"/>
    <w:rsid w:val="00A74F41"/>
    <w:rsid w:val="00A7506C"/>
    <w:rsid w:val="00A7529F"/>
    <w:rsid w:val="00A7543D"/>
    <w:rsid w:val="00A75588"/>
    <w:rsid w:val="00A756E5"/>
    <w:rsid w:val="00A75ADF"/>
    <w:rsid w:val="00A75B71"/>
    <w:rsid w:val="00A7613C"/>
    <w:rsid w:val="00A769F0"/>
    <w:rsid w:val="00A76BC3"/>
    <w:rsid w:val="00A76CFF"/>
    <w:rsid w:val="00A76D81"/>
    <w:rsid w:val="00A76E06"/>
    <w:rsid w:val="00A77282"/>
    <w:rsid w:val="00A777D9"/>
    <w:rsid w:val="00A77E2F"/>
    <w:rsid w:val="00A80119"/>
    <w:rsid w:val="00A802B5"/>
    <w:rsid w:val="00A804A2"/>
    <w:rsid w:val="00A8074E"/>
    <w:rsid w:val="00A807FA"/>
    <w:rsid w:val="00A80963"/>
    <w:rsid w:val="00A80BF0"/>
    <w:rsid w:val="00A80E4F"/>
    <w:rsid w:val="00A8125A"/>
    <w:rsid w:val="00A81273"/>
    <w:rsid w:val="00A815FD"/>
    <w:rsid w:val="00A817D3"/>
    <w:rsid w:val="00A81B4D"/>
    <w:rsid w:val="00A81B93"/>
    <w:rsid w:val="00A81D4F"/>
    <w:rsid w:val="00A81F10"/>
    <w:rsid w:val="00A81FD2"/>
    <w:rsid w:val="00A822E4"/>
    <w:rsid w:val="00A8252D"/>
    <w:rsid w:val="00A8278D"/>
    <w:rsid w:val="00A82815"/>
    <w:rsid w:val="00A8287B"/>
    <w:rsid w:val="00A83012"/>
    <w:rsid w:val="00A832F9"/>
    <w:rsid w:val="00A83505"/>
    <w:rsid w:val="00A835DB"/>
    <w:rsid w:val="00A83DBD"/>
    <w:rsid w:val="00A83F15"/>
    <w:rsid w:val="00A844D3"/>
    <w:rsid w:val="00A844E2"/>
    <w:rsid w:val="00A846F1"/>
    <w:rsid w:val="00A84BEF"/>
    <w:rsid w:val="00A84BF5"/>
    <w:rsid w:val="00A84DD6"/>
    <w:rsid w:val="00A85197"/>
    <w:rsid w:val="00A8524E"/>
    <w:rsid w:val="00A856A5"/>
    <w:rsid w:val="00A85A9C"/>
    <w:rsid w:val="00A85CFE"/>
    <w:rsid w:val="00A85D00"/>
    <w:rsid w:val="00A861EC"/>
    <w:rsid w:val="00A862C5"/>
    <w:rsid w:val="00A86471"/>
    <w:rsid w:val="00A86589"/>
    <w:rsid w:val="00A86960"/>
    <w:rsid w:val="00A86D7B"/>
    <w:rsid w:val="00A86E41"/>
    <w:rsid w:val="00A87054"/>
    <w:rsid w:val="00A8705B"/>
    <w:rsid w:val="00A873A7"/>
    <w:rsid w:val="00A87446"/>
    <w:rsid w:val="00A876C5"/>
    <w:rsid w:val="00A87823"/>
    <w:rsid w:val="00A8789F"/>
    <w:rsid w:val="00A87934"/>
    <w:rsid w:val="00A87A59"/>
    <w:rsid w:val="00A900E2"/>
    <w:rsid w:val="00A9025B"/>
    <w:rsid w:val="00A904EE"/>
    <w:rsid w:val="00A905F7"/>
    <w:rsid w:val="00A906F0"/>
    <w:rsid w:val="00A90AA5"/>
    <w:rsid w:val="00A913A0"/>
    <w:rsid w:val="00A91523"/>
    <w:rsid w:val="00A915DC"/>
    <w:rsid w:val="00A915E0"/>
    <w:rsid w:val="00A916A1"/>
    <w:rsid w:val="00A9177C"/>
    <w:rsid w:val="00A918B4"/>
    <w:rsid w:val="00A918DF"/>
    <w:rsid w:val="00A91F3C"/>
    <w:rsid w:val="00A92341"/>
    <w:rsid w:val="00A92419"/>
    <w:rsid w:val="00A925DB"/>
    <w:rsid w:val="00A9291D"/>
    <w:rsid w:val="00A92A17"/>
    <w:rsid w:val="00A93574"/>
    <w:rsid w:val="00A936F9"/>
    <w:rsid w:val="00A93726"/>
    <w:rsid w:val="00A9380F"/>
    <w:rsid w:val="00A93A22"/>
    <w:rsid w:val="00A93A44"/>
    <w:rsid w:val="00A93AC8"/>
    <w:rsid w:val="00A93ACF"/>
    <w:rsid w:val="00A93DFD"/>
    <w:rsid w:val="00A94261"/>
    <w:rsid w:val="00A942E0"/>
    <w:rsid w:val="00A943EE"/>
    <w:rsid w:val="00A94468"/>
    <w:rsid w:val="00A946D0"/>
    <w:rsid w:val="00A94AC5"/>
    <w:rsid w:val="00A94B75"/>
    <w:rsid w:val="00A94D9A"/>
    <w:rsid w:val="00A95191"/>
    <w:rsid w:val="00A9543E"/>
    <w:rsid w:val="00A95463"/>
    <w:rsid w:val="00A954B3"/>
    <w:rsid w:val="00A95639"/>
    <w:rsid w:val="00A957C1"/>
    <w:rsid w:val="00A957FC"/>
    <w:rsid w:val="00A95854"/>
    <w:rsid w:val="00A9592C"/>
    <w:rsid w:val="00A95993"/>
    <w:rsid w:val="00A95A6A"/>
    <w:rsid w:val="00A9601C"/>
    <w:rsid w:val="00A96386"/>
    <w:rsid w:val="00A963BB"/>
    <w:rsid w:val="00A96781"/>
    <w:rsid w:val="00A96978"/>
    <w:rsid w:val="00A96CDE"/>
    <w:rsid w:val="00A96F17"/>
    <w:rsid w:val="00A971D8"/>
    <w:rsid w:val="00A97376"/>
    <w:rsid w:val="00A97473"/>
    <w:rsid w:val="00A974A9"/>
    <w:rsid w:val="00A979D9"/>
    <w:rsid w:val="00A97A2D"/>
    <w:rsid w:val="00A97C01"/>
    <w:rsid w:val="00A97C6E"/>
    <w:rsid w:val="00AA029E"/>
    <w:rsid w:val="00AA04A2"/>
    <w:rsid w:val="00AA04F2"/>
    <w:rsid w:val="00AA05A7"/>
    <w:rsid w:val="00AA094A"/>
    <w:rsid w:val="00AA0995"/>
    <w:rsid w:val="00AA0F52"/>
    <w:rsid w:val="00AA11C2"/>
    <w:rsid w:val="00AA11FA"/>
    <w:rsid w:val="00AA17B2"/>
    <w:rsid w:val="00AA1853"/>
    <w:rsid w:val="00AA18F4"/>
    <w:rsid w:val="00AA19BA"/>
    <w:rsid w:val="00AA1AB2"/>
    <w:rsid w:val="00AA1EA1"/>
    <w:rsid w:val="00AA2137"/>
    <w:rsid w:val="00AA2151"/>
    <w:rsid w:val="00AA2245"/>
    <w:rsid w:val="00AA254B"/>
    <w:rsid w:val="00AA2553"/>
    <w:rsid w:val="00AA2970"/>
    <w:rsid w:val="00AA29AE"/>
    <w:rsid w:val="00AA2A68"/>
    <w:rsid w:val="00AA2AFB"/>
    <w:rsid w:val="00AA2EA0"/>
    <w:rsid w:val="00AA2F16"/>
    <w:rsid w:val="00AA34D5"/>
    <w:rsid w:val="00AA358D"/>
    <w:rsid w:val="00AA37C0"/>
    <w:rsid w:val="00AA3A8B"/>
    <w:rsid w:val="00AA3F32"/>
    <w:rsid w:val="00AA4864"/>
    <w:rsid w:val="00AA4CDD"/>
    <w:rsid w:val="00AA4F14"/>
    <w:rsid w:val="00AA51D4"/>
    <w:rsid w:val="00AA5328"/>
    <w:rsid w:val="00AA5614"/>
    <w:rsid w:val="00AA5A0D"/>
    <w:rsid w:val="00AA5A2B"/>
    <w:rsid w:val="00AA5C32"/>
    <w:rsid w:val="00AA618B"/>
    <w:rsid w:val="00AA6441"/>
    <w:rsid w:val="00AA65E0"/>
    <w:rsid w:val="00AA6B04"/>
    <w:rsid w:val="00AA6BF6"/>
    <w:rsid w:val="00AA6C27"/>
    <w:rsid w:val="00AA6F63"/>
    <w:rsid w:val="00AA6F7E"/>
    <w:rsid w:val="00AA74D7"/>
    <w:rsid w:val="00AA7909"/>
    <w:rsid w:val="00AA792A"/>
    <w:rsid w:val="00AA7AB8"/>
    <w:rsid w:val="00AA7FA7"/>
    <w:rsid w:val="00AB04A2"/>
    <w:rsid w:val="00AB04B7"/>
    <w:rsid w:val="00AB074E"/>
    <w:rsid w:val="00AB08C2"/>
    <w:rsid w:val="00AB1712"/>
    <w:rsid w:val="00AB1B45"/>
    <w:rsid w:val="00AB2068"/>
    <w:rsid w:val="00AB24A0"/>
    <w:rsid w:val="00AB24AA"/>
    <w:rsid w:val="00AB26B0"/>
    <w:rsid w:val="00AB299A"/>
    <w:rsid w:val="00AB314A"/>
    <w:rsid w:val="00AB33DA"/>
    <w:rsid w:val="00AB3799"/>
    <w:rsid w:val="00AB38C4"/>
    <w:rsid w:val="00AB409F"/>
    <w:rsid w:val="00AB412C"/>
    <w:rsid w:val="00AB41D1"/>
    <w:rsid w:val="00AB4329"/>
    <w:rsid w:val="00AB4575"/>
    <w:rsid w:val="00AB461B"/>
    <w:rsid w:val="00AB4940"/>
    <w:rsid w:val="00AB49DC"/>
    <w:rsid w:val="00AB4DB2"/>
    <w:rsid w:val="00AB5E3B"/>
    <w:rsid w:val="00AB5E67"/>
    <w:rsid w:val="00AB5FA0"/>
    <w:rsid w:val="00AB6107"/>
    <w:rsid w:val="00AB619A"/>
    <w:rsid w:val="00AB63F3"/>
    <w:rsid w:val="00AB6A7B"/>
    <w:rsid w:val="00AB6CA7"/>
    <w:rsid w:val="00AB6D0D"/>
    <w:rsid w:val="00AB6E9A"/>
    <w:rsid w:val="00AB709B"/>
    <w:rsid w:val="00AB71AC"/>
    <w:rsid w:val="00AB71AD"/>
    <w:rsid w:val="00AB7224"/>
    <w:rsid w:val="00AB775C"/>
    <w:rsid w:val="00AB7993"/>
    <w:rsid w:val="00AB7AE5"/>
    <w:rsid w:val="00AC01BD"/>
    <w:rsid w:val="00AC0298"/>
    <w:rsid w:val="00AC031E"/>
    <w:rsid w:val="00AC0451"/>
    <w:rsid w:val="00AC0C28"/>
    <w:rsid w:val="00AC0FAB"/>
    <w:rsid w:val="00AC13DD"/>
    <w:rsid w:val="00AC1828"/>
    <w:rsid w:val="00AC18AF"/>
    <w:rsid w:val="00AC19D9"/>
    <w:rsid w:val="00AC1FD1"/>
    <w:rsid w:val="00AC2298"/>
    <w:rsid w:val="00AC23E0"/>
    <w:rsid w:val="00AC2618"/>
    <w:rsid w:val="00AC286C"/>
    <w:rsid w:val="00AC2908"/>
    <w:rsid w:val="00AC2DBD"/>
    <w:rsid w:val="00AC3C4F"/>
    <w:rsid w:val="00AC3E1A"/>
    <w:rsid w:val="00AC43FF"/>
    <w:rsid w:val="00AC44ED"/>
    <w:rsid w:val="00AC47D0"/>
    <w:rsid w:val="00AC4A0E"/>
    <w:rsid w:val="00AC4D1D"/>
    <w:rsid w:val="00AC5082"/>
    <w:rsid w:val="00AC5359"/>
    <w:rsid w:val="00AC56E9"/>
    <w:rsid w:val="00AC5B3A"/>
    <w:rsid w:val="00AC5B71"/>
    <w:rsid w:val="00AC5D26"/>
    <w:rsid w:val="00AC5F02"/>
    <w:rsid w:val="00AC5F2E"/>
    <w:rsid w:val="00AC60C0"/>
    <w:rsid w:val="00AC631E"/>
    <w:rsid w:val="00AC64C1"/>
    <w:rsid w:val="00AC66D9"/>
    <w:rsid w:val="00AC6747"/>
    <w:rsid w:val="00AC67BC"/>
    <w:rsid w:val="00AC695C"/>
    <w:rsid w:val="00AC6E6B"/>
    <w:rsid w:val="00AC70CF"/>
    <w:rsid w:val="00AC73A2"/>
    <w:rsid w:val="00AC7E8E"/>
    <w:rsid w:val="00AD0500"/>
    <w:rsid w:val="00AD0A0D"/>
    <w:rsid w:val="00AD0A7E"/>
    <w:rsid w:val="00AD0A9F"/>
    <w:rsid w:val="00AD1078"/>
    <w:rsid w:val="00AD10E6"/>
    <w:rsid w:val="00AD12D8"/>
    <w:rsid w:val="00AD1A29"/>
    <w:rsid w:val="00AD1A7E"/>
    <w:rsid w:val="00AD1B0B"/>
    <w:rsid w:val="00AD1D91"/>
    <w:rsid w:val="00AD20AB"/>
    <w:rsid w:val="00AD234C"/>
    <w:rsid w:val="00AD33B2"/>
    <w:rsid w:val="00AD368F"/>
    <w:rsid w:val="00AD3708"/>
    <w:rsid w:val="00AD3AD1"/>
    <w:rsid w:val="00AD3BC8"/>
    <w:rsid w:val="00AD3EFD"/>
    <w:rsid w:val="00AD3F53"/>
    <w:rsid w:val="00AD3F6A"/>
    <w:rsid w:val="00AD403A"/>
    <w:rsid w:val="00AD46FC"/>
    <w:rsid w:val="00AD4C4F"/>
    <w:rsid w:val="00AD4F30"/>
    <w:rsid w:val="00AD4FD4"/>
    <w:rsid w:val="00AD5145"/>
    <w:rsid w:val="00AD54E5"/>
    <w:rsid w:val="00AD59C3"/>
    <w:rsid w:val="00AD5A44"/>
    <w:rsid w:val="00AD5AF4"/>
    <w:rsid w:val="00AD5D9E"/>
    <w:rsid w:val="00AD6085"/>
    <w:rsid w:val="00AD616E"/>
    <w:rsid w:val="00AD6612"/>
    <w:rsid w:val="00AD6BAA"/>
    <w:rsid w:val="00AD6BDF"/>
    <w:rsid w:val="00AD744B"/>
    <w:rsid w:val="00AD79B0"/>
    <w:rsid w:val="00AD7B9E"/>
    <w:rsid w:val="00AD7DC0"/>
    <w:rsid w:val="00AD7EE9"/>
    <w:rsid w:val="00AE0047"/>
    <w:rsid w:val="00AE0446"/>
    <w:rsid w:val="00AE08D4"/>
    <w:rsid w:val="00AE0DC4"/>
    <w:rsid w:val="00AE0FB5"/>
    <w:rsid w:val="00AE1293"/>
    <w:rsid w:val="00AE147E"/>
    <w:rsid w:val="00AE16A2"/>
    <w:rsid w:val="00AE16CD"/>
    <w:rsid w:val="00AE175A"/>
    <w:rsid w:val="00AE1962"/>
    <w:rsid w:val="00AE1B35"/>
    <w:rsid w:val="00AE1ECC"/>
    <w:rsid w:val="00AE1EE9"/>
    <w:rsid w:val="00AE2ABF"/>
    <w:rsid w:val="00AE2BB8"/>
    <w:rsid w:val="00AE2E31"/>
    <w:rsid w:val="00AE2EA2"/>
    <w:rsid w:val="00AE3B6D"/>
    <w:rsid w:val="00AE3F0D"/>
    <w:rsid w:val="00AE4125"/>
    <w:rsid w:val="00AE4266"/>
    <w:rsid w:val="00AE46AB"/>
    <w:rsid w:val="00AE4A05"/>
    <w:rsid w:val="00AE4BB5"/>
    <w:rsid w:val="00AE4FB7"/>
    <w:rsid w:val="00AE52C5"/>
    <w:rsid w:val="00AE5C71"/>
    <w:rsid w:val="00AE5E02"/>
    <w:rsid w:val="00AE608A"/>
    <w:rsid w:val="00AE68BF"/>
    <w:rsid w:val="00AE6C6C"/>
    <w:rsid w:val="00AE6F0B"/>
    <w:rsid w:val="00AE6F48"/>
    <w:rsid w:val="00AE74AC"/>
    <w:rsid w:val="00AE7C33"/>
    <w:rsid w:val="00AF038D"/>
    <w:rsid w:val="00AF03BC"/>
    <w:rsid w:val="00AF06CD"/>
    <w:rsid w:val="00AF06E7"/>
    <w:rsid w:val="00AF0FF0"/>
    <w:rsid w:val="00AF10E8"/>
    <w:rsid w:val="00AF164E"/>
    <w:rsid w:val="00AF1763"/>
    <w:rsid w:val="00AF1C08"/>
    <w:rsid w:val="00AF1D6F"/>
    <w:rsid w:val="00AF1F73"/>
    <w:rsid w:val="00AF214F"/>
    <w:rsid w:val="00AF25FC"/>
    <w:rsid w:val="00AF2888"/>
    <w:rsid w:val="00AF2DCA"/>
    <w:rsid w:val="00AF30B2"/>
    <w:rsid w:val="00AF3816"/>
    <w:rsid w:val="00AF3B2A"/>
    <w:rsid w:val="00AF3C2D"/>
    <w:rsid w:val="00AF3C56"/>
    <w:rsid w:val="00AF3D05"/>
    <w:rsid w:val="00AF3FCB"/>
    <w:rsid w:val="00AF41E0"/>
    <w:rsid w:val="00AF4205"/>
    <w:rsid w:val="00AF44E7"/>
    <w:rsid w:val="00AF4509"/>
    <w:rsid w:val="00AF487D"/>
    <w:rsid w:val="00AF48B0"/>
    <w:rsid w:val="00AF48D3"/>
    <w:rsid w:val="00AF4B5A"/>
    <w:rsid w:val="00AF4DFE"/>
    <w:rsid w:val="00AF518A"/>
    <w:rsid w:val="00AF5367"/>
    <w:rsid w:val="00AF5377"/>
    <w:rsid w:val="00AF5AD3"/>
    <w:rsid w:val="00AF5F72"/>
    <w:rsid w:val="00AF62BE"/>
    <w:rsid w:val="00AF65CE"/>
    <w:rsid w:val="00AF6708"/>
    <w:rsid w:val="00AF67C0"/>
    <w:rsid w:val="00AF6824"/>
    <w:rsid w:val="00AF6972"/>
    <w:rsid w:val="00AF6CE5"/>
    <w:rsid w:val="00AF6D99"/>
    <w:rsid w:val="00AF715A"/>
    <w:rsid w:val="00AF7232"/>
    <w:rsid w:val="00AF7DDF"/>
    <w:rsid w:val="00AF7F05"/>
    <w:rsid w:val="00B00638"/>
    <w:rsid w:val="00B00865"/>
    <w:rsid w:val="00B00B8F"/>
    <w:rsid w:val="00B00E35"/>
    <w:rsid w:val="00B011AE"/>
    <w:rsid w:val="00B01376"/>
    <w:rsid w:val="00B01A73"/>
    <w:rsid w:val="00B01AFB"/>
    <w:rsid w:val="00B01D77"/>
    <w:rsid w:val="00B01DD6"/>
    <w:rsid w:val="00B01E1B"/>
    <w:rsid w:val="00B021B1"/>
    <w:rsid w:val="00B0231D"/>
    <w:rsid w:val="00B02397"/>
    <w:rsid w:val="00B0239F"/>
    <w:rsid w:val="00B02525"/>
    <w:rsid w:val="00B02A25"/>
    <w:rsid w:val="00B02D60"/>
    <w:rsid w:val="00B02DB1"/>
    <w:rsid w:val="00B0312E"/>
    <w:rsid w:val="00B03620"/>
    <w:rsid w:val="00B036A5"/>
    <w:rsid w:val="00B037A7"/>
    <w:rsid w:val="00B03A3A"/>
    <w:rsid w:val="00B03E2C"/>
    <w:rsid w:val="00B03ED1"/>
    <w:rsid w:val="00B04F31"/>
    <w:rsid w:val="00B050B4"/>
    <w:rsid w:val="00B05A10"/>
    <w:rsid w:val="00B05CAE"/>
    <w:rsid w:val="00B05D19"/>
    <w:rsid w:val="00B05D20"/>
    <w:rsid w:val="00B05DAA"/>
    <w:rsid w:val="00B05ECF"/>
    <w:rsid w:val="00B05F1B"/>
    <w:rsid w:val="00B06222"/>
    <w:rsid w:val="00B06485"/>
    <w:rsid w:val="00B065FD"/>
    <w:rsid w:val="00B06625"/>
    <w:rsid w:val="00B06713"/>
    <w:rsid w:val="00B068D4"/>
    <w:rsid w:val="00B06DC3"/>
    <w:rsid w:val="00B06F87"/>
    <w:rsid w:val="00B0701B"/>
    <w:rsid w:val="00B073D9"/>
    <w:rsid w:val="00B076DF"/>
    <w:rsid w:val="00B077DA"/>
    <w:rsid w:val="00B0793C"/>
    <w:rsid w:val="00B07CF5"/>
    <w:rsid w:val="00B07FC3"/>
    <w:rsid w:val="00B103D4"/>
    <w:rsid w:val="00B104FB"/>
    <w:rsid w:val="00B106F3"/>
    <w:rsid w:val="00B111B8"/>
    <w:rsid w:val="00B111E7"/>
    <w:rsid w:val="00B11725"/>
    <w:rsid w:val="00B11BBF"/>
    <w:rsid w:val="00B11C77"/>
    <w:rsid w:val="00B12727"/>
    <w:rsid w:val="00B1294F"/>
    <w:rsid w:val="00B1307F"/>
    <w:rsid w:val="00B13108"/>
    <w:rsid w:val="00B13683"/>
    <w:rsid w:val="00B13876"/>
    <w:rsid w:val="00B13A4B"/>
    <w:rsid w:val="00B13C40"/>
    <w:rsid w:val="00B14247"/>
    <w:rsid w:val="00B145ED"/>
    <w:rsid w:val="00B14C6F"/>
    <w:rsid w:val="00B14D9C"/>
    <w:rsid w:val="00B1561C"/>
    <w:rsid w:val="00B1576D"/>
    <w:rsid w:val="00B15E12"/>
    <w:rsid w:val="00B15F6E"/>
    <w:rsid w:val="00B16472"/>
    <w:rsid w:val="00B164E2"/>
    <w:rsid w:val="00B16648"/>
    <w:rsid w:val="00B16771"/>
    <w:rsid w:val="00B16EC4"/>
    <w:rsid w:val="00B17181"/>
    <w:rsid w:val="00B171A5"/>
    <w:rsid w:val="00B17268"/>
    <w:rsid w:val="00B1735F"/>
    <w:rsid w:val="00B173A0"/>
    <w:rsid w:val="00B1795A"/>
    <w:rsid w:val="00B17CFF"/>
    <w:rsid w:val="00B17DF8"/>
    <w:rsid w:val="00B17FC4"/>
    <w:rsid w:val="00B207DB"/>
    <w:rsid w:val="00B20CB6"/>
    <w:rsid w:val="00B20F3C"/>
    <w:rsid w:val="00B20F62"/>
    <w:rsid w:val="00B21041"/>
    <w:rsid w:val="00B21350"/>
    <w:rsid w:val="00B215AC"/>
    <w:rsid w:val="00B2181D"/>
    <w:rsid w:val="00B21AF8"/>
    <w:rsid w:val="00B21BF0"/>
    <w:rsid w:val="00B21CE9"/>
    <w:rsid w:val="00B21F99"/>
    <w:rsid w:val="00B22079"/>
    <w:rsid w:val="00B221C0"/>
    <w:rsid w:val="00B223D0"/>
    <w:rsid w:val="00B22622"/>
    <w:rsid w:val="00B22635"/>
    <w:rsid w:val="00B227C5"/>
    <w:rsid w:val="00B22AB1"/>
    <w:rsid w:val="00B22B95"/>
    <w:rsid w:val="00B22B9C"/>
    <w:rsid w:val="00B22D13"/>
    <w:rsid w:val="00B22D21"/>
    <w:rsid w:val="00B22FC4"/>
    <w:rsid w:val="00B2382B"/>
    <w:rsid w:val="00B23A45"/>
    <w:rsid w:val="00B23AD6"/>
    <w:rsid w:val="00B23C3E"/>
    <w:rsid w:val="00B23E1C"/>
    <w:rsid w:val="00B24150"/>
    <w:rsid w:val="00B245BB"/>
    <w:rsid w:val="00B245FA"/>
    <w:rsid w:val="00B24DEE"/>
    <w:rsid w:val="00B24ECD"/>
    <w:rsid w:val="00B252C2"/>
    <w:rsid w:val="00B25304"/>
    <w:rsid w:val="00B255CE"/>
    <w:rsid w:val="00B256BD"/>
    <w:rsid w:val="00B25870"/>
    <w:rsid w:val="00B258A8"/>
    <w:rsid w:val="00B258F9"/>
    <w:rsid w:val="00B25CA2"/>
    <w:rsid w:val="00B25F04"/>
    <w:rsid w:val="00B26946"/>
    <w:rsid w:val="00B26F8B"/>
    <w:rsid w:val="00B2700D"/>
    <w:rsid w:val="00B27556"/>
    <w:rsid w:val="00B27C2E"/>
    <w:rsid w:val="00B27CBF"/>
    <w:rsid w:val="00B27E11"/>
    <w:rsid w:val="00B300E8"/>
    <w:rsid w:val="00B30400"/>
    <w:rsid w:val="00B311DB"/>
    <w:rsid w:val="00B3130C"/>
    <w:rsid w:val="00B313DE"/>
    <w:rsid w:val="00B31954"/>
    <w:rsid w:val="00B319EE"/>
    <w:rsid w:val="00B31A75"/>
    <w:rsid w:val="00B31B34"/>
    <w:rsid w:val="00B320E7"/>
    <w:rsid w:val="00B3283A"/>
    <w:rsid w:val="00B32842"/>
    <w:rsid w:val="00B329B6"/>
    <w:rsid w:val="00B32A91"/>
    <w:rsid w:val="00B32B62"/>
    <w:rsid w:val="00B32E43"/>
    <w:rsid w:val="00B33028"/>
    <w:rsid w:val="00B33694"/>
    <w:rsid w:val="00B33C2B"/>
    <w:rsid w:val="00B33C64"/>
    <w:rsid w:val="00B33E40"/>
    <w:rsid w:val="00B33EBF"/>
    <w:rsid w:val="00B342FA"/>
    <w:rsid w:val="00B34332"/>
    <w:rsid w:val="00B34712"/>
    <w:rsid w:val="00B34CB3"/>
    <w:rsid w:val="00B34D80"/>
    <w:rsid w:val="00B34E0E"/>
    <w:rsid w:val="00B352DE"/>
    <w:rsid w:val="00B355C9"/>
    <w:rsid w:val="00B3575A"/>
    <w:rsid w:val="00B35AF3"/>
    <w:rsid w:val="00B35C17"/>
    <w:rsid w:val="00B35D52"/>
    <w:rsid w:val="00B35EC1"/>
    <w:rsid w:val="00B35F3D"/>
    <w:rsid w:val="00B36483"/>
    <w:rsid w:val="00B364A4"/>
    <w:rsid w:val="00B364F4"/>
    <w:rsid w:val="00B3656C"/>
    <w:rsid w:val="00B365C5"/>
    <w:rsid w:val="00B366FC"/>
    <w:rsid w:val="00B367B2"/>
    <w:rsid w:val="00B3680A"/>
    <w:rsid w:val="00B36984"/>
    <w:rsid w:val="00B36FE4"/>
    <w:rsid w:val="00B3758C"/>
    <w:rsid w:val="00B3792C"/>
    <w:rsid w:val="00B4045A"/>
    <w:rsid w:val="00B40870"/>
    <w:rsid w:val="00B40F68"/>
    <w:rsid w:val="00B41023"/>
    <w:rsid w:val="00B41A53"/>
    <w:rsid w:val="00B41A5D"/>
    <w:rsid w:val="00B41E29"/>
    <w:rsid w:val="00B41E2A"/>
    <w:rsid w:val="00B41F04"/>
    <w:rsid w:val="00B420F5"/>
    <w:rsid w:val="00B42170"/>
    <w:rsid w:val="00B42252"/>
    <w:rsid w:val="00B42C02"/>
    <w:rsid w:val="00B43109"/>
    <w:rsid w:val="00B437F5"/>
    <w:rsid w:val="00B43917"/>
    <w:rsid w:val="00B43A2E"/>
    <w:rsid w:val="00B43AA4"/>
    <w:rsid w:val="00B43CE5"/>
    <w:rsid w:val="00B442FF"/>
    <w:rsid w:val="00B448EF"/>
    <w:rsid w:val="00B44E00"/>
    <w:rsid w:val="00B456B2"/>
    <w:rsid w:val="00B45A73"/>
    <w:rsid w:val="00B45DC0"/>
    <w:rsid w:val="00B462C1"/>
    <w:rsid w:val="00B4634B"/>
    <w:rsid w:val="00B46453"/>
    <w:rsid w:val="00B464A7"/>
    <w:rsid w:val="00B468FD"/>
    <w:rsid w:val="00B46A63"/>
    <w:rsid w:val="00B46A79"/>
    <w:rsid w:val="00B46CB3"/>
    <w:rsid w:val="00B46D66"/>
    <w:rsid w:val="00B46EDE"/>
    <w:rsid w:val="00B46F08"/>
    <w:rsid w:val="00B472E4"/>
    <w:rsid w:val="00B474E1"/>
    <w:rsid w:val="00B47A28"/>
    <w:rsid w:val="00B47A68"/>
    <w:rsid w:val="00B47ABE"/>
    <w:rsid w:val="00B47B0F"/>
    <w:rsid w:val="00B47D6C"/>
    <w:rsid w:val="00B47F62"/>
    <w:rsid w:val="00B5018F"/>
    <w:rsid w:val="00B50C9D"/>
    <w:rsid w:val="00B50D36"/>
    <w:rsid w:val="00B50E11"/>
    <w:rsid w:val="00B510A3"/>
    <w:rsid w:val="00B51545"/>
    <w:rsid w:val="00B516F9"/>
    <w:rsid w:val="00B5190D"/>
    <w:rsid w:val="00B51F47"/>
    <w:rsid w:val="00B52051"/>
    <w:rsid w:val="00B520CF"/>
    <w:rsid w:val="00B5212C"/>
    <w:rsid w:val="00B5218D"/>
    <w:rsid w:val="00B52412"/>
    <w:rsid w:val="00B5262D"/>
    <w:rsid w:val="00B52720"/>
    <w:rsid w:val="00B527D1"/>
    <w:rsid w:val="00B52A22"/>
    <w:rsid w:val="00B52AF9"/>
    <w:rsid w:val="00B52BC6"/>
    <w:rsid w:val="00B52BED"/>
    <w:rsid w:val="00B53347"/>
    <w:rsid w:val="00B535CE"/>
    <w:rsid w:val="00B53891"/>
    <w:rsid w:val="00B538AE"/>
    <w:rsid w:val="00B53BEC"/>
    <w:rsid w:val="00B53F3B"/>
    <w:rsid w:val="00B54109"/>
    <w:rsid w:val="00B54821"/>
    <w:rsid w:val="00B548FC"/>
    <w:rsid w:val="00B54BB3"/>
    <w:rsid w:val="00B54DB5"/>
    <w:rsid w:val="00B54DDC"/>
    <w:rsid w:val="00B54F7A"/>
    <w:rsid w:val="00B54F9C"/>
    <w:rsid w:val="00B558FC"/>
    <w:rsid w:val="00B55A41"/>
    <w:rsid w:val="00B55A9A"/>
    <w:rsid w:val="00B56008"/>
    <w:rsid w:val="00B56032"/>
    <w:rsid w:val="00B561A7"/>
    <w:rsid w:val="00B5674B"/>
    <w:rsid w:val="00B56B0B"/>
    <w:rsid w:val="00B56C59"/>
    <w:rsid w:val="00B571C3"/>
    <w:rsid w:val="00B572BC"/>
    <w:rsid w:val="00B5747E"/>
    <w:rsid w:val="00B600C6"/>
    <w:rsid w:val="00B60117"/>
    <w:rsid w:val="00B60405"/>
    <w:rsid w:val="00B6067F"/>
    <w:rsid w:val="00B60C8B"/>
    <w:rsid w:val="00B60E9C"/>
    <w:rsid w:val="00B60F30"/>
    <w:rsid w:val="00B610F4"/>
    <w:rsid w:val="00B61366"/>
    <w:rsid w:val="00B61D14"/>
    <w:rsid w:val="00B61D20"/>
    <w:rsid w:val="00B6250D"/>
    <w:rsid w:val="00B62C2A"/>
    <w:rsid w:val="00B62D16"/>
    <w:rsid w:val="00B62DBD"/>
    <w:rsid w:val="00B62ED5"/>
    <w:rsid w:val="00B62F92"/>
    <w:rsid w:val="00B62FB6"/>
    <w:rsid w:val="00B63581"/>
    <w:rsid w:val="00B63753"/>
    <w:rsid w:val="00B6394A"/>
    <w:rsid w:val="00B63CB9"/>
    <w:rsid w:val="00B64302"/>
    <w:rsid w:val="00B64483"/>
    <w:rsid w:val="00B64B13"/>
    <w:rsid w:val="00B64F01"/>
    <w:rsid w:val="00B6521F"/>
    <w:rsid w:val="00B652B4"/>
    <w:rsid w:val="00B655CF"/>
    <w:rsid w:val="00B659AD"/>
    <w:rsid w:val="00B65B6C"/>
    <w:rsid w:val="00B65D1D"/>
    <w:rsid w:val="00B66039"/>
    <w:rsid w:val="00B663E2"/>
    <w:rsid w:val="00B66452"/>
    <w:rsid w:val="00B6661E"/>
    <w:rsid w:val="00B668A2"/>
    <w:rsid w:val="00B66AC3"/>
    <w:rsid w:val="00B670F4"/>
    <w:rsid w:val="00B67D8A"/>
    <w:rsid w:val="00B67E24"/>
    <w:rsid w:val="00B67F54"/>
    <w:rsid w:val="00B7009F"/>
    <w:rsid w:val="00B701CA"/>
    <w:rsid w:val="00B7024F"/>
    <w:rsid w:val="00B704C4"/>
    <w:rsid w:val="00B707E1"/>
    <w:rsid w:val="00B70987"/>
    <w:rsid w:val="00B70BFC"/>
    <w:rsid w:val="00B70E2F"/>
    <w:rsid w:val="00B71665"/>
    <w:rsid w:val="00B71717"/>
    <w:rsid w:val="00B7171E"/>
    <w:rsid w:val="00B71859"/>
    <w:rsid w:val="00B71D0D"/>
    <w:rsid w:val="00B729E8"/>
    <w:rsid w:val="00B72AE9"/>
    <w:rsid w:val="00B72C22"/>
    <w:rsid w:val="00B72D0D"/>
    <w:rsid w:val="00B72F66"/>
    <w:rsid w:val="00B730AE"/>
    <w:rsid w:val="00B7327D"/>
    <w:rsid w:val="00B732B9"/>
    <w:rsid w:val="00B73856"/>
    <w:rsid w:val="00B73EBF"/>
    <w:rsid w:val="00B73F95"/>
    <w:rsid w:val="00B74405"/>
    <w:rsid w:val="00B744F5"/>
    <w:rsid w:val="00B74715"/>
    <w:rsid w:val="00B74770"/>
    <w:rsid w:val="00B74A35"/>
    <w:rsid w:val="00B74A5C"/>
    <w:rsid w:val="00B74D4D"/>
    <w:rsid w:val="00B74EE3"/>
    <w:rsid w:val="00B7509C"/>
    <w:rsid w:val="00B754E2"/>
    <w:rsid w:val="00B7554C"/>
    <w:rsid w:val="00B75835"/>
    <w:rsid w:val="00B75B98"/>
    <w:rsid w:val="00B75BE2"/>
    <w:rsid w:val="00B75CB6"/>
    <w:rsid w:val="00B75D6D"/>
    <w:rsid w:val="00B75E41"/>
    <w:rsid w:val="00B75E46"/>
    <w:rsid w:val="00B75E8C"/>
    <w:rsid w:val="00B760FE"/>
    <w:rsid w:val="00B761D5"/>
    <w:rsid w:val="00B765C4"/>
    <w:rsid w:val="00B7673D"/>
    <w:rsid w:val="00B76811"/>
    <w:rsid w:val="00B769C8"/>
    <w:rsid w:val="00B76AD9"/>
    <w:rsid w:val="00B76E47"/>
    <w:rsid w:val="00B77152"/>
    <w:rsid w:val="00B7730E"/>
    <w:rsid w:val="00B775B3"/>
    <w:rsid w:val="00B77709"/>
    <w:rsid w:val="00B77973"/>
    <w:rsid w:val="00B77E25"/>
    <w:rsid w:val="00B77FC2"/>
    <w:rsid w:val="00B800AB"/>
    <w:rsid w:val="00B80487"/>
    <w:rsid w:val="00B805D9"/>
    <w:rsid w:val="00B809BC"/>
    <w:rsid w:val="00B809CD"/>
    <w:rsid w:val="00B80A10"/>
    <w:rsid w:val="00B80A7A"/>
    <w:rsid w:val="00B80C09"/>
    <w:rsid w:val="00B81360"/>
    <w:rsid w:val="00B815E3"/>
    <w:rsid w:val="00B81627"/>
    <w:rsid w:val="00B81903"/>
    <w:rsid w:val="00B81B34"/>
    <w:rsid w:val="00B822A9"/>
    <w:rsid w:val="00B8247F"/>
    <w:rsid w:val="00B824EF"/>
    <w:rsid w:val="00B827D2"/>
    <w:rsid w:val="00B82DFA"/>
    <w:rsid w:val="00B83083"/>
    <w:rsid w:val="00B8375D"/>
    <w:rsid w:val="00B83AA3"/>
    <w:rsid w:val="00B83B8C"/>
    <w:rsid w:val="00B83CED"/>
    <w:rsid w:val="00B83E85"/>
    <w:rsid w:val="00B842E6"/>
    <w:rsid w:val="00B84C42"/>
    <w:rsid w:val="00B84C52"/>
    <w:rsid w:val="00B84CAB"/>
    <w:rsid w:val="00B84F03"/>
    <w:rsid w:val="00B85507"/>
    <w:rsid w:val="00B855B9"/>
    <w:rsid w:val="00B856D3"/>
    <w:rsid w:val="00B86673"/>
    <w:rsid w:val="00B86949"/>
    <w:rsid w:val="00B86B13"/>
    <w:rsid w:val="00B86D35"/>
    <w:rsid w:val="00B86ED7"/>
    <w:rsid w:val="00B87185"/>
    <w:rsid w:val="00B872BC"/>
    <w:rsid w:val="00B8744C"/>
    <w:rsid w:val="00B875BA"/>
    <w:rsid w:val="00B8769B"/>
    <w:rsid w:val="00B877BF"/>
    <w:rsid w:val="00B87AD6"/>
    <w:rsid w:val="00B87CEF"/>
    <w:rsid w:val="00B87D59"/>
    <w:rsid w:val="00B87E1F"/>
    <w:rsid w:val="00B87FC4"/>
    <w:rsid w:val="00B900BB"/>
    <w:rsid w:val="00B9034F"/>
    <w:rsid w:val="00B9075E"/>
    <w:rsid w:val="00B90ACE"/>
    <w:rsid w:val="00B90ADD"/>
    <w:rsid w:val="00B90B0F"/>
    <w:rsid w:val="00B91278"/>
    <w:rsid w:val="00B912ED"/>
    <w:rsid w:val="00B91435"/>
    <w:rsid w:val="00B916F9"/>
    <w:rsid w:val="00B9170D"/>
    <w:rsid w:val="00B91764"/>
    <w:rsid w:val="00B918FC"/>
    <w:rsid w:val="00B91AED"/>
    <w:rsid w:val="00B91DD6"/>
    <w:rsid w:val="00B91E3B"/>
    <w:rsid w:val="00B920FE"/>
    <w:rsid w:val="00B921E6"/>
    <w:rsid w:val="00B923BB"/>
    <w:rsid w:val="00B92686"/>
    <w:rsid w:val="00B92A2E"/>
    <w:rsid w:val="00B92E3F"/>
    <w:rsid w:val="00B9305B"/>
    <w:rsid w:val="00B9366E"/>
    <w:rsid w:val="00B93A04"/>
    <w:rsid w:val="00B93A0F"/>
    <w:rsid w:val="00B93CA4"/>
    <w:rsid w:val="00B93E34"/>
    <w:rsid w:val="00B94442"/>
    <w:rsid w:val="00B945DA"/>
    <w:rsid w:val="00B94876"/>
    <w:rsid w:val="00B94AE8"/>
    <w:rsid w:val="00B94B98"/>
    <w:rsid w:val="00B94C45"/>
    <w:rsid w:val="00B95060"/>
    <w:rsid w:val="00B95122"/>
    <w:rsid w:val="00B951EE"/>
    <w:rsid w:val="00B953EB"/>
    <w:rsid w:val="00B95480"/>
    <w:rsid w:val="00B9585D"/>
    <w:rsid w:val="00B95C49"/>
    <w:rsid w:val="00B95FC4"/>
    <w:rsid w:val="00B96035"/>
    <w:rsid w:val="00B9611F"/>
    <w:rsid w:val="00B96300"/>
    <w:rsid w:val="00B963F5"/>
    <w:rsid w:val="00B96566"/>
    <w:rsid w:val="00B968AB"/>
    <w:rsid w:val="00B968E7"/>
    <w:rsid w:val="00B96BB0"/>
    <w:rsid w:val="00B970A4"/>
    <w:rsid w:val="00B97171"/>
    <w:rsid w:val="00B972E2"/>
    <w:rsid w:val="00B97AC8"/>
    <w:rsid w:val="00BA11A2"/>
    <w:rsid w:val="00BA1278"/>
    <w:rsid w:val="00BA17B7"/>
    <w:rsid w:val="00BA1E56"/>
    <w:rsid w:val="00BA1F3B"/>
    <w:rsid w:val="00BA2433"/>
    <w:rsid w:val="00BA243F"/>
    <w:rsid w:val="00BA25D8"/>
    <w:rsid w:val="00BA2CF9"/>
    <w:rsid w:val="00BA30D9"/>
    <w:rsid w:val="00BA375C"/>
    <w:rsid w:val="00BA3B43"/>
    <w:rsid w:val="00BA3B83"/>
    <w:rsid w:val="00BA3D18"/>
    <w:rsid w:val="00BA3D7B"/>
    <w:rsid w:val="00BA3FAC"/>
    <w:rsid w:val="00BA4114"/>
    <w:rsid w:val="00BA4631"/>
    <w:rsid w:val="00BA5118"/>
    <w:rsid w:val="00BA5982"/>
    <w:rsid w:val="00BA5BA8"/>
    <w:rsid w:val="00BA5E1E"/>
    <w:rsid w:val="00BA63DA"/>
    <w:rsid w:val="00BA6432"/>
    <w:rsid w:val="00BA65CD"/>
    <w:rsid w:val="00BA6970"/>
    <w:rsid w:val="00BA6ACA"/>
    <w:rsid w:val="00BA6B5B"/>
    <w:rsid w:val="00BA6BA0"/>
    <w:rsid w:val="00BA6C08"/>
    <w:rsid w:val="00BA7030"/>
    <w:rsid w:val="00BA741B"/>
    <w:rsid w:val="00BA748D"/>
    <w:rsid w:val="00BA75A6"/>
    <w:rsid w:val="00BA7A4E"/>
    <w:rsid w:val="00BA7A62"/>
    <w:rsid w:val="00BA7C62"/>
    <w:rsid w:val="00BA7FA8"/>
    <w:rsid w:val="00BB0158"/>
    <w:rsid w:val="00BB0800"/>
    <w:rsid w:val="00BB0F7E"/>
    <w:rsid w:val="00BB11CB"/>
    <w:rsid w:val="00BB1228"/>
    <w:rsid w:val="00BB134F"/>
    <w:rsid w:val="00BB1464"/>
    <w:rsid w:val="00BB16EA"/>
    <w:rsid w:val="00BB1707"/>
    <w:rsid w:val="00BB194A"/>
    <w:rsid w:val="00BB19ED"/>
    <w:rsid w:val="00BB1ACA"/>
    <w:rsid w:val="00BB1E44"/>
    <w:rsid w:val="00BB1EDD"/>
    <w:rsid w:val="00BB2134"/>
    <w:rsid w:val="00BB2288"/>
    <w:rsid w:val="00BB2389"/>
    <w:rsid w:val="00BB2410"/>
    <w:rsid w:val="00BB248C"/>
    <w:rsid w:val="00BB2953"/>
    <w:rsid w:val="00BB2A30"/>
    <w:rsid w:val="00BB2D57"/>
    <w:rsid w:val="00BB3039"/>
    <w:rsid w:val="00BB308C"/>
    <w:rsid w:val="00BB312D"/>
    <w:rsid w:val="00BB313C"/>
    <w:rsid w:val="00BB3193"/>
    <w:rsid w:val="00BB31A0"/>
    <w:rsid w:val="00BB32D6"/>
    <w:rsid w:val="00BB34C5"/>
    <w:rsid w:val="00BB35DE"/>
    <w:rsid w:val="00BB37EB"/>
    <w:rsid w:val="00BB3967"/>
    <w:rsid w:val="00BB4105"/>
    <w:rsid w:val="00BB45C3"/>
    <w:rsid w:val="00BB4CF3"/>
    <w:rsid w:val="00BB4E3F"/>
    <w:rsid w:val="00BB4E6B"/>
    <w:rsid w:val="00BB5453"/>
    <w:rsid w:val="00BB5775"/>
    <w:rsid w:val="00BB5869"/>
    <w:rsid w:val="00BB5A1A"/>
    <w:rsid w:val="00BB5D22"/>
    <w:rsid w:val="00BB60C8"/>
    <w:rsid w:val="00BB61AC"/>
    <w:rsid w:val="00BB6240"/>
    <w:rsid w:val="00BB66C0"/>
    <w:rsid w:val="00BB679A"/>
    <w:rsid w:val="00BB6B66"/>
    <w:rsid w:val="00BB7519"/>
    <w:rsid w:val="00BB75EF"/>
    <w:rsid w:val="00BB76CD"/>
    <w:rsid w:val="00BB78A5"/>
    <w:rsid w:val="00BC00FA"/>
    <w:rsid w:val="00BC0426"/>
    <w:rsid w:val="00BC0532"/>
    <w:rsid w:val="00BC0A8A"/>
    <w:rsid w:val="00BC0E49"/>
    <w:rsid w:val="00BC11A1"/>
    <w:rsid w:val="00BC1296"/>
    <w:rsid w:val="00BC15BC"/>
    <w:rsid w:val="00BC170C"/>
    <w:rsid w:val="00BC21C1"/>
    <w:rsid w:val="00BC2579"/>
    <w:rsid w:val="00BC29B6"/>
    <w:rsid w:val="00BC338B"/>
    <w:rsid w:val="00BC3636"/>
    <w:rsid w:val="00BC36DB"/>
    <w:rsid w:val="00BC375F"/>
    <w:rsid w:val="00BC3E77"/>
    <w:rsid w:val="00BC3F0B"/>
    <w:rsid w:val="00BC3F94"/>
    <w:rsid w:val="00BC40F5"/>
    <w:rsid w:val="00BC41E5"/>
    <w:rsid w:val="00BC444E"/>
    <w:rsid w:val="00BC458D"/>
    <w:rsid w:val="00BC469E"/>
    <w:rsid w:val="00BC4719"/>
    <w:rsid w:val="00BC48F0"/>
    <w:rsid w:val="00BC4A3D"/>
    <w:rsid w:val="00BC4B0D"/>
    <w:rsid w:val="00BC4B80"/>
    <w:rsid w:val="00BC4BCF"/>
    <w:rsid w:val="00BC504F"/>
    <w:rsid w:val="00BC5337"/>
    <w:rsid w:val="00BC53B5"/>
    <w:rsid w:val="00BC5606"/>
    <w:rsid w:val="00BC576F"/>
    <w:rsid w:val="00BC5F3F"/>
    <w:rsid w:val="00BC6267"/>
    <w:rsid w:val="00BC64D1"/>
    <w:rsid w:val="00BC65BB"/>
    <w:rsid w:val="00BC67A9"/>
    <w:rsid w:val="00BC69B9"/>
    <w:rsid w:val="00BC6C24"/>
    <w:rsid w:val="00BC6E87"/>
    <w:rsid w:val="00BC701D"/>
    <w:rsid w:val="00BC703A"/>
    <w:rsid w:val="00BC71B7"/>
    <w:rsid w:val="00BC71C4"/>
    <w:rsid w:val="00BC722E"/>
    <w:rsid w:val="00BD038B"/>
    <w:rsid w:val="00BD071A"/>
    <w:rsid w:val="00BD090A"/>
    <w:rsid w:val="00BD09B0"/>
    <w:rsid w:val="00BD0F84"/>
    <w:rsid w:val="00BD1000"/>
    <w:rsid w:val="00BD1743"/>
    <w:rsid w:val="00BD1887"/>
    <w:rsid w:val="00BD1B86"/>
    <w:rsid w:val="00BD1CB1"/>
    <w:rsid w:val="00BD2021"/>
    <w:rsid w:val="00BD2098"/>
    <w:rsid w:val="00BD223E"/>
    <w:rsid w:val="00BD304A"/>
    <w:rsid w:val="00BD3159"/>
    <w:rsid w:val="00BD34C5"/>
    <w:rsid w:val="00BD350F"/>
    <w:rsid w:val="00BD3902"/>
    <w:rsid w:val="00BD397C"/>
    <w:rsid w:val="00BD3A6F"/>
    <w:rsid w:val="00BD3A96"/>
    <w:rsid w:val="00BD3B4E"/>
    <w:rsid w:val="00BD407B"/>
    <w:rsid w:val="00BD4226"/>
    <w:rsid w:val="00BD43F5"/>
    <w:rsid w:val="00BD4715"/>
    <w:rsid w:val="00BD4766"/>
    <w:rsid w:val="00BD5141"/>
    <w:rsid w:val="00BD5176"/>
    <w:rsid w:val="00BD54DF"/>
    <w:rsid w:val="00BD58D7"/>
    <w:rsid w:val="00BD5C7F"/>
    <w:rsid w:val="00BD62D9"/>
    <w:rsid w:val="00BD6311"/>
    <w:rsid w:val="00BD63BA"/>
    <w:rsid w:val="00BD6536"/>
    <w:rsid w:val="00BD67A0"/>
    <w:rsid w:val="00BD6951"/>
    <w:rsid w:val="00BD6D53"/>
    <w:rsid w:val="00BD6D9C"/>
    <w:rsid w:val="00BD7002"/>
    <w:rsid w:val="00BD717D"/>
    <w:rsid w:val="00BD71FF"/>
    <w:rsid w:val="00BD7217"/>
    <w:rsid w:val="00BD73E1"/>
    <w:rsid w:val="00BD7411"/>
    <w:rsid w:val="00BD74BF"/>
    <w:rsid w:val="00BD7696"/>
    <w:rsid w:val="00BD7A73"/>
    <w:rsid w:val="00BD7AF6"/>
    <w:rsid w:val="00BD7BA5"/>
    <w:rsid w:val="00BD7C46"/>
    <w:rsid w:val="00BE051A"/>
    <w:rsid w:val="00BE054D"/>
    <w:rsid w:val="00BE0642"/>
    <w:rsid w:val="00BE06C0"/>
    <w:rsid w:val="00BE082A"/>
    <w:rsid w:val="00BE09EA"/>
    <w:rsid w:val="00BE0A20"/>
    <w:rsid w:val="00BE0E98"/>
    <w:rsid w:val="00BE11D9"/>
    <w:rsid w:val="00BE1356"/>
    <w:rsid w:val="00BE1412"/>
    <w:rsid w:val="00BE15DB"/>
    <w:rsid w:val="00BE1999"/>
    <w:rsid w:val="00BE1B25"/>
    <w:rsid w:val="00BE1DF2"/>
    <w:rsid w:val="00BE233F"/>
    <w:rsid w:val="00BE242C"/>
    <w:rsid w:val="00BE245D"/>
    <w:rsid w:val="00BE26A6"/>
    <w:rsid w:val="00BE28BE"/>
    <w:rsid w:val="00BE29C4"/>
    <w:rsid w:val="00BE2E18"/>
    <w:rsid w:val="00BE2E7E"/>
    <w:rsid w:val="00BE2EE4"/>
    <w:rsid w:val="00BE3358"/>
    <w:rsid w:val="00BE3C75"/>
    <w:rsid w:val="00BE3CC5"/>
    <w:rsid w:val="00BE3FDC"/>
    <w:rsid w:val="00BE40D1"/>
    <w:rsid w:val="00BE4173"/>
    <w:rsid w:val="00BE49BF"/>
    <w:rsid w:val="00BE51D8"/>
    <w:rsid w:val="00BE56D6"/>
    <w:rsid w:val="00BE5811"/>
    <w:rsid w:val="00BE5940"/>
    <w:rsid w:val="00BE5B4D"/>
    <w:rsid w:val="00BE5B68"/>
    <w:rsid w:val="00BE60E4"/>
    <w:rsid w:val="00BE61E7"/>
    <w:rsid w:val="00BE6237"/>
    <w:rsid w:val="00BE67BC"/>
    <w:rsid w:val="00BE67CD"/>
    <w:rsid w:val="00BE67F5"/>
    <w:rsid w:val="00BE69D2"/>
    <w:rsid w:val="00BE6A5A"/>
    <w:rsid w:val="00BE73C3"/>
    <w:rsid w:val="00BE7D10"/>
    <w:rsid w:val="00BE7EDE"/>
    <w:rsid w:val="00BE7F52"/>
    <w:rsid w:val="00BF033D"/>
    <w:rsid w:val="00BF0469"/>
    <w:rsid w:val="00BF07E9"/>
    <w:rsid w:val="00BF0F27"/>
    <w:rsid w:val="00BF1114"/>
    <w:rsid w:val="00BF1EB0"/>
    <w:rsid w:val="00BF1F7E"/>
    <w:rsid w:val="00BF213E"/>
    <w:rsid w:val="00BF2433"/>
    <w:rsid w:val="00BF257B"/>
    <w:rsid w:val="00BF25A3"/>
    <w:rsid w:val="00BF25F7"/>
    <w:rsid w:val="00BF2A47"/>
    <w:rsid w:val="00BF2C72"/>
    <w:rsid w:val="00BF2CD3"/>
    <w:rsid w:val="00BF3097"/>
    <w:rsid w:val="00BF31D5"/>
    <w:rsid w:val="00BF39FA"/>
    <w:rsid w:val="00BF3CC4"/>
    <w:rsid w:val="00BF3D34"/>
    <w:rsid w:val="00BF3F8D"/>
    <w:rsid w:val="00BF4383"/>
    <w:rsid w:val="00BF441D"/>
    <w:rsid w:val="00BF4663"/>
    <w:rsid w:val="00BF49BA"/>
    <w:rsid w:val="00BF4A01"/>
    <w:rsid w:val="00BF4F2E"/>
    <w:rsid w:val="00BF5110"/>
    <w:rsid w:val="00BF541A"/>
    <w:rsid w:val="00BF5E7E"/>
    <w:rsid w:val="00BF6178"/>
    <w:rsid w:val="00BF62F9"/>
    <w:rsid w:val="00BF6750"/>
    <w:rsid w:val="00BF6A6F"/>
    <w:rsid w:val="00BF6B94"/>
    <w:rsid w:val="00BF6E07"/>
    <w:rsid w:val="00BF6F0A"/>
    <w:rsid w:val="00BF7037"/>
    <w:rsid w:val="00BF7043"/>
    <w:rsid w:val="00BF71B2"/>
    <w:rsid w:val="00BF7206"/>
    <w:rsid w:val="00BF7C30"/>
    <w:rsid w:val="00BF7E1C"/>
    <w:rsid w:val="00BF7F7D"/>
    <w:rsid w:val="00C00141"/>
    <w:rsid w:val="00C001D4"/>
    <w:rsid w:val="00C00617"/>
    <w:rsid w:val="00C006F7"/>
    <w:rsid w:val="00C0088D"/>
    <w:rsid w:val="00C00981"/>
    <w:rsid w:val="00C0099E"/>
    <w:rsid w:val="00C01097"/>
    <w:rsid w:val="00C01268"/>
    <w:rsid w:val="00C02063"/>
    <w:rsid w:val="00C0218F"/>
    <w:rsid w:val="00C02424"/>
    <w:rsid w:val="00C0255F"/>
    <w:rsid w:val="00C02709"/>
    <w:rsid w:val="00C028C3"/>
    <w:rsid w:val="00C02921"/>
    <w:rsid w:val="00C02AB9"/>
    <w:rsid w:val="00C02AF4"/>
    <w:rsid w:val="00C02C96"/>
    <w:rsid w:val="00C02E89"/>
    <w:rsid w:val="00C02E8A"/>
    <w:rsid w:val="00C031E7"/>
    <w:rsid w:val="00C032B2"/>
    <w:rsid w:val="00C03B5D"/>
    <w:rsid w:val="00C03BFF"/>
    <w:rsid w:val="00C03CB4"/>
    <w:rsid w:val="00C03D43"/>
    <w:rsid w:val="00C041D9"/>
    <w:rsid w:val="00C04329"/>
    <w:rsid w:val="00C0434C"/>
    <w:rsid w:val="00C0445C"/>
    <w:rsid w:val="00C04539"/>
    <w:rsid w:val="00C048D1"/>
    <w:rsid w:val="00C04B74"/>
    <w:rsid w:val="00C055C9"/>
    <w:rsid w:val="00C057AC"/>
    <w:rsid w:val="00C057AF"/>
    <w:rsid w:val="00C05AE1"/>
    <w:rsid w:val="00C05AFD"/>
    <w:rsid w:val="00C05DF0"/>
    <w:rsid w:val="00C05FC4"/>
    <w:rsid w:val="00C06000"/>
    <w:rsid w:val="00C06085"/>
    <w:rsid w:val="00C06511"/>
    <w:rsid w:val="00C06ABD"/>
    <w:rsid w:val="00C06AF0"/>
    <w:rsid w:val="00C06F37"/>
    <w:rsid w:val="00C06F5C"/>
    <w:rsid w:val="00C06FBF"/>
    <w:rsid w:val="00C0703D"/>
    <w:rsid w:val="00C07241"/>
    <w:rsid w:val="00C07581"/>
    <w:rsid w:val="00C07926"/>
    <w:rsid w:val="00C0795C"/>
    <w:rsid w:val="00C106E7"/>
    <w:rsid w:val="00C108BA"/>
    <w:rsid w:val="00C108FA"/>
    <w:rsid w:val="00C10B62"/>
    <w:rsid w:val="00C10B6E"/>
    <w:rsid w:val="00C10BE8"/>
    <w:rsid w:val="00C1124D"/>
    <w:rsid w:val="00C112F7"/>
    <w:rsid w:val="00C1151D"/>
    <w:rsid w:val="00C11785"/>
    <w:rsid w:val="00C11B0F"/>
    <w:rsid w:val="00C11F4F"/>
    <w:rsid w:val="00C12A4A"/>
    <w:rsid w:val="00C12A81"/>
    <w:rsid w:val="00C12B34"/>
    <w:rsid w:val="00C12CAB"/>
    <w:rsid w:val="00C12E44"/>
    <w:rsid w:val="00C13336"/>
    <w:rsid w:val="00C133D4"/>
    <w:rsid w:val="00C134DE"/>
    <w:rsid w:val="00C134E9"/>
    <w:rsid w:val="00C13545"/>
    <w:rsid w:val="00C135FA"/>
    <w:rsid w:val="00C13943"/>
    <w:rsid w:val="00C13DBD"/>
    <w:rsid w:val="00C14003"/>
    <w:rsid w:val="00C14035"/>
    <w:rsid w:val="00C140E9"/>
    <w:rsid w:val="00C143D6"/>
    <w:rsid w:val="00C14519"/>
    <w:rsid w:val="00C14537"/>
    <w:rsid w:val="00C145ED"/>
    <w:rsid w:val="00C145F1"/>
    <w:rsid w:val="00C14AA6"/>
    <w:rsid w:val="00C1500F"/>
    <w:rsid w:val="00C150D4"/>
    <w:rsid w:val="00C1521C"/>
    <w:rsid w:val="00C152BA"/>
    <w:rsid w:val="00C155CC"/>
    <w:rsid w:val="00C1595F"/>
    <w:rsid w:val="00C15F0C"/>
    <w:rsid w:val="00C15FB7"/>
    <w:rsid w:val="00C1635F"/>
    <w:rsid w:val="00C163AA"/>
    <w:rsid w:val="00C16833"/>
    <w:rsid w:val="00C17371"/>
    <w:rsid w:val="00C17475"/>
    <w:rsid w:val="00C17913"/>
    <w:rsid w:val="00C17CA5"/>
    <w:rsid w:val="00C17FF7"/>
    <w:rsid w:val="00C208BD"/>
    <w:rsid w:val="00C20B20"/>
    <w:rsid w:val="00C20B4E"/>
    <w:rsid w:val="00C21780"/>
    <w:rsid w:val="00C21969"/>
    <w:rsid w:val="00C21CE3"/>
    <w:rsid w:val="00C21FE3"/>
    <w:rsid w:val="00C221A1"/>
    <w:rsid w:val="00C224DC"/>
    <w:rsid w:val="00C226A8"/>
    <w:rsid w:val="00C22765"/>
    <w:rsid w:val="00C227BE"/>
    <w:rsid w:val="00C22941"/>
    <w:rsid w:val="00C22ABC"/>
    <w:rsid w:val="00C22C6C"/>
    <w:rsid w:val="00C22DB3"/>
    <w:rsid w:val="00C22EC9"/>
    <w:rsid w:val="00C22F56"/>
    <w:rsid w:val="00C22FB9"/>
    <w:rsid w:val="00C23020"/>
    <w:rsid w:val="00C23181"/>
    <w:rsid w:val="00C2341C"/>
    <w:rsid w:val="00C2360E"/>
    <w:rsid w:val="00C23A31"/>
    <w:rsid w:val="00C23DA3"/>
    <w:rsid w:val="00C240DE"/>
    <w:rsid w:val="00C24146"/>
    <w:rsid w:val="00C24314"/>
    <w:rsid w:val="00C2434B"/>
    <w:rsid w:val="00C24423"/>
    <w:rsid w:val="00C24505"/>
    <w:rsid w:val="00C246A4"/>
    <w:rsid w:val="00C248E7"/>
    <w:rsid w:val="00C24E11"/>
    <w:rsid w:val="00C253F3"/>
    <w:rsid w:val="00C25CD0"/>
    <w:rsid w:val="00C25E50"/>
    <w:rsid w:val="00C2679D"/>
    <w:rsid w:val="00C26B6C"/>
    <w:rsid w:val="00C272D6"/>
    <w:rsid w:val="00C273EA"/>
    <w:rsid w:val="00C279A3"/>
    <w:rsid w:val="00C279B8"/>
    <w:rsid w:val="00C27BDC"/>
    <w:rsid w:val="00C27DCC"/>
    <w:rsid w:val="00C27DFB"/>
    <w:rsid w:val="00C303EB"/>
    <w:rsid w:val="00C30443"/>
    <w:rsid w:val="00C3086D"/>
    <w:rsid w:val="00C30FF1"/>
    <w:rsid w:val="00C3114E"/>
    <w:rsid w:val="00C311D5"/>
    <w:rsid w:val="00C31237"/>
    <w:rsid w:val="00C3169E"/>
    <w:rsid w:val="00C31750"/>
    <w:rsid w:val="00C31993"/>
    <w:rsid w:val="00C31A11"/>
    <w:rsid w:val="00C31E46"/>
    <w:rsid w:val="00C31F09"/>
    <w:rsid w:val="00C321D2"/>
    <w:rsid w:val="00C324AB"/>
    <w:rsid w:val="00C32618"/>
    <w:rsid w:val="00C32C21"/>
    <w:rsid w:val="00C32C7D"/>
    <w:rsid w:val="00C33554"/>
    <w:rsid w:val="00C33797"/>
    <w:rsid w:val="00C337DF"/>
    <w:rsid w:val="00C33A9F"/>
    <w:rsid w:val="00C33AE3"/>
    <w:rsid w:val="00C340C3"/>
    <w:rsid w:val="00C34F9A"/>
    <w:rsid w:val="00C3576C"/>
    <w:rsid w:val="00C35B40"/>
    <w:rsid w:val="00C35B59"/>
    <w:rsid w:val="00C36147"/>
    <w:rsid w:val="00C362F7"/>
    <w:rsid w:val="00C36416"/>
    <w:rsid w:val="00C365CE"/>
    <w:rsid w:val="00C36905"/>
    <w:rsid w:val="00C36EBC"/>
    <w:rsid w:val="00C3767A"/>
    <w:rsid w:val="00C37A0F"/>
    <w:rsid w:val="00C37A41"/>
    <w:rsid w:val="00C37DC3"/>
    <w:rsid w:val="00C37F04"/>
    <w:rsid w:val="00C4018A"/>
    <w:rsid w:val="00C40745"/>
    <w:rsid w:val="00C40BC2"/>
    <w:rsid w:val="00C40E2A"/>
    <w:rsid w:val="00C4104E"/>
    <w:rsid w:val="00C413C0"/>
    <w:rsid w:val="00C413FB"/>
    <w:rsid w:val="00C41560"/>
    <w:rsid w:val="00C41776"/>
    <w:rsid w:val="00C41810"/>
    <w:rsid w:val="00C41A17"/>
    <w:rsid w:val="00C41C45"/>
    <w:rsid w:val="00C41EDB"/>
    <w:rsid w:val="00C42824"/>
    <w:rsid w:val="00C42DE9"/>
    <w:rsid w:val="00C435B8"/>
    <w:rsid w:val="00C43BF7"/>
    <w:rsid w:val="00C43CA4"/>
    <w:rsid w:val="00C43CCD"/>
    <w:rsid w:val="00C43CD5"/>
    <w:rsid w:val="00C43D25"/>
    <w:rsid w:val="00C45AA5"/>
    <w:rsid w:val="00C45BC9"/>
    <w:rsid w:val="00C45D53"/>
    <w:rsid w:val="00C45FC4"/>
    <w:rsid w:val="00C467D9"/>
    <w:rsid w:val="00C46801"/>
    <w:rsid w:val="00C46989"/>
    <w:rsid w:val="00C46B89"/>
    <w:rsid w:val="00C47225"/>
    <w:rsid w:val="00C4734E"/>
    <w:rsid w:val="00C47757"/>
    <w:rsid w:val="00C47C37"/>
    <w:rsid w:val="00C47D15"/>
    <w:rsid w:val="00C501D7"/>
    <w:rsid w:val="00C50509"/>
    <w:rsid w:val="00C50535"/>
    <w:rsid w:val="00C505D8"/>
    <w:rsid w:val="00C509C3"/>
    <w:rsid w:val="00C50B9E"/>
    <w:rsid w:val="00C51005"/>
    <w:rsid w:val="00C51085"/>
    <w:rsid w:val="00C512B0"/>
    <w:rsid w:val="00C51323"/>
    <w:rsid w:val="00C51FCB"/>
    <w:rsid w:val="00C5211D"/>
    <w:rsid w:val="00C52160"/>
    <w:rsid w:val="00C523AE"/>
    <w:rsid w:val="00C523D9"/>
    <w:rsid w:val="00C528C9"/>
    <w:rsid w:val="00C52E16"/>
    <w:rsid w:val="00C53282"/>
    <w:rsid w:val="00C5338F"/>
    <w:rsid w:val="00C53847"/>
    <w:rsid w:val="00C53AAC"/>
    <w:rsid w:val="00C54069"/>
    <w:rsid w:val="00C54083"/>
    <w:rsid w:val="00C5408A"/>
    <w:rsid w:val="00C54123"/>
    <w:rsid w:val="00C54173"/>
    <w:rsid w:val="00C5422E"/>
    <w:rsid w:val="00C54313"/>
    <w:rsid w:val="00C5488D"/>
    <w:rsid w:val="00C54F26"/>
    <w:rsid w:val="00C54FC7"/>
    <w:rsid w:val="00C5523D"/>
    <w:rsid w:val="00C5550E"/>
    <w:rsid w:val="00C55A97"/>
    <w:rsid w:val="00C55C1A"/>
    <w:rsid w:val="00C55CDB"/>
    <w:rsid w:val="00C55DD1"/>
    <w:rsid w:val="00C55FC7"/>
    <w:rsid w:val="00C5624E"/>
    <w:rsid w:val="00C56869"/>
    <w:rsid w:val="00C5690C"/>
    <w:rsid w:val="00C576A9"/>
    <w:rsid w:val="00C5778C"/>
    <w:rsid w:val="00C57824"/>
    <w:rsid w:val="00C57851"/>
    <w:rsid w:val="00C57B1D"/>
    <w:rsid w:val="00C57D20"/>
    <w:rsid w:val="00C57DB3"/>
    <w:rsid w:val="00C604E0"/>
    <w:rsid w:val="00C60541"/>
    <w:rsid w:val="00C6054E"/>
    <w:rsid w:val="00C60776"/>
    <w:rsid w:val="00C60DBB"/>
    <w:rsid w:val="00C60EF0"/>
    <w:rsid w:val="00C60F88"/>
    <w:rsid w:val="00C60FDA"/>
    <w:rsid w:val="00C60FE8"/>
    <w:rsid w:val="00C61320"/>
    <w:rsid w:val="00C61531"/>
    <w:rsid w:val="00C61764"/>
    <w:rsid w:val="00C619B8"/>
    <w:rsid w:val="00C61AE6"/>
    <w:rsid w:val="00C61B0A"/>
    <w:rsid w:val="00C61BC8"/>
    <w:rsid w:val="00C61C7F"/>
    <w:rsid w:val="00C61D87"/>
    <w:rsid w:val="00C61F04"/>
    <w:rsid w:val="00C62052"/>
    <w:rsid w:val="00C62130"/>
    <w:rsid w:val="00C6228A"/>
    <w:rsid w:val="00C62485"/>
    <w:rsid w:val="00C6289E"/>
    <w:rsid w:val="00C632C9"/>
    <w:rsid w:val="00C6349F"/>
    <w:rsid w:val="00C634B9"/>
    <w:rsid w:val="00C634DE"/>
    <w:rsid w:val="00C63A4A"/>
    <w:rsid w:val="00C63AD1"/>
    <w:rsid w:val="00C63BF9"/>
    <w:rsid w:val="00C63F05"/>
    <w:rsid w:val="00C641B2"/>
    <w:rsid w:val="00C64236"/>
    <w:rsid w:val="00C6458E"/>
    <w:rsid w:val="00C6523B"/>
    <w:rsid w:val="00C65375"/>
    <w:rsid w:val="00C653C9"/>
    <w:rsid w:val="00C65FE8"/>
    <w:rsid w:val="00C667F2"/>
    <w:rsid w:val="00C66FF8"/>
    <w:rsid w:val="00C67193"/>
    <w:rsid w:val="00C673C3"/>
    <w:rsid w:val="00C674C1"/>
    <w:rsid w:val="00C679CF"/>
    <w:rsid w:val="00C67BF6"/>
    <w:rsid w:val="00C67F04"/>
    <w:rsid w:val="00C7060F"/>
    <w:rsid w:val="00C707C9"/>
    <w:rsid w:val="00C70D19"/>
    <w:rsid w:val="00C70DAD"/>
    <w:rsid w:val="00C71052"/>
    <w:rsid w:val="00C71074"/>
    <w:rsid w:val="00C711B8"/>
    <w:rsid w:val="00C7147D"/>
    <w:rsid w:val="00C71913"/>
    <w:rsid w:val="00C71C21"/>
    <w:rsid w:val="00C71EA5"/>
    <w:rsid w:val="00C71F08"/>
    <w:rsid w:val="00C7268D"/>
    <w:rsid w:val="00C73029"/>
    <w:rsid w:val="00C73246"/>
    <w:rsid w:val="00C73502"/>
    <w:rsid w:val="00C73C23"/>
    <w:rsid w:val="00C73E0A"/>
    <w:rsid w:val="00C74060"/>
    <w:rsid w:val="00C74260"/>
    <w:rsid w:val="00C748CF"/>
    <w:rsid w:val="00C74BEA"/>
    <w:rsid w:val="00C752FD"/>
    <w:rsid w:val="00C7554B"/>
    <w:rsid w:val="00C757F2"/>
    <w:rsid w:val="00C75909"/>
    <w:rsid w:val="00C75B2C"/>
    <w:rsid w:val="00C75BA0"/>
    <w:rsid w:val="00C75BDD"/>
    <w:rsid w:val="00C75E4A"/>
    <w:rsid w:val="00C7631D"/>
    <w:rsid w:val="00C76360"/>
    <w:rsid w:val="00C76519"/>
    <w:rsid w:val="00C76A6D"/>
    <w:rsid w:val="00C76BE5"/>
    <w:rsid w:val="00C76EDC"/>
    <w:rsid w:val="00C77335"/>
    <w:rsid w:val="00C777B7"/>
    <w:rsid w:val="00C77C05"/>
    <w:rsid w:val="00C77CAB"/>
    <w:rsid w:val="00C77CE4"/>
    <w:rsid w:val="00C800CE"/>
    <w:rsid w:val="00C805EA"/>
    <w:rsid w:val="00C81047"/>
    <w:rsid w:val="00C8106B"/>
    <w:rsid w:val="00C81741"/>
    <w:rsid w:val="00C819AA"/>
    <w:rsid w:val="00C81CF2"/>
    <w:rsid w:val="00C81F00"/>
    <w:rsid w:val="00C82150"/>
    <w:rsid w:val="00C821F3"/>
    <w:rsid w:val="00C823B8"/>
    <w:rsid w:val="00C82433"/>
    <w:rsid w:val="00C82510"/>
    <w:rsid w:val="00C82591"/>
    <w:rsid w:val="00C825D4"/>
    <w:rsid w:val="00C82E19"/>
    <w:rsid w:val="00C82F8F"/>
    <w:rsid w:val="00C831CA"/>
    <w:rsid w:val="00C83343"/>
    <w:rsid w:val="00C83505"/>
    <w:rsid w:val="00C835DA"/>
    <w:rsid w:val="00C83746"/>
    <w:rsid w:val="00C83809"/>
    <w:rsid w:val="00C83A64"/>
    <w:rsid w:val="00C8445A"/>
    <w:rsid w:val="00C84838"/>
    <w:rsid w:val="00C84A6F"/>
    <w:rsid w:val="00C84B91"/>
    <w:rsid w:val="00C84C30"/>
    <w:rsid w:val="00C84F6E"/>
    <w:rsid w:val="00C84FF8"/>
    <w:rsid w:val="00C85084"/>
    <w:rsid w:val="00C850CC"/>
    <w:rsid w:val="00C85202"/>
    <w:rsid w:val="00C852B7"/>
    <w:rsid w:val="00C857F8"/>
    <w:rsid w:val="00C8581E"/>
    <w:rsid w:val="00C85B97"/>
    <w:rsid w:val="00C85B9A"/>
    <w:rsid w:val="00C861CE"/>
    <w:rsid w:val="00C86264"/>
    <w:rsid w:val="00C8642D"/>
    <w:rsid w:val="00C8680C"/>
    <w:rsid w:val="00C86B80"/>
    <w:rsid w:val="00C86E88"/>
    <w:rsid w:val="00C87203"/>
    <w:rsid w:val="00C87220"/>
    <w:rsid w:val="00C876B2"/>
    <w:rsid w:val="00C87782"/>
    <w:rsid w:val="00C9001A"/>
    <w:rsid w:val="00C90B22"/>
    <w:rsid w:val="00C911D4"/>
    <w:rsid w:val="00C91A38"/>
    <w:rsid w:val="00C91AC2"/>
    <w:rsid w:val="00C91FD6"/>
    <w:rsid w:val="00C922DE"/>
    <w:rsid w:val="00C9257E"/>
    <w:rsid w:val="00C925CE"/>
    <w:rsid w:val="00C926C9"/>
    <w:rsid w:val="00C92920"/>
    <w:rsid w:val="00C92C1A"/>
    <w:rsid w:val="00C93357"/>
    <w:rsid w:val="00C934A3"/>
    <w:rsid w:val="00C93564"/>
    <w:rsid w:val="00C93FD6"/>
    <w:rsid w:val="00C94218"/>
    <w:rsid w:val="00C94381"/>
    <w:rsid w:val="00C946C9"/>
    <w:rsid w:val="00C946E5"/>
    <w:rsid w:val="00C947E3"/>
    <w:rsid w:val="00C94E58"/>
    <w:rsid w:val="00C94FCC"/>
    <w:rsid w:val="00C955FC"/>
    <w:rsid w:val="00C95643"/>
    <w:rsid w:val="00C956B8"/>
    <w:rsid w:val="00C957B7"/>
    <w:rsid w:val="00C95C80"/>
    <w:rsid w:val="00C95CB9"/>
    <w:rsid w:val="00C95E95"/>
    <w:rsid w:val="00C9601E"/>
    <w:rsid w:val="00C965C6"/>
    <w:rsid w:val="00C96A03"/>
    <w:rsid w:val="00C96D1B"/>
    <w:rsid w:val="00C96D1F"/>
    <w:rsid w:val="00C96D34"/>
    <w:rsid w:val="00C9721C"/>
    <w:rsid w:val="00C9745E"/>
    <w:rsid w:val="00C9793B"/>
    <w:rsid w:val="00C97A21"/>
    <w:rsid w:val="00C97B95"/>
    <w:rsid w:val="00C97C92"/>
    <w:rsid w:val="00C97CFD"/>
    <w:rsid w:val="00C97DFC"/>
    <w:rsid w:val="00CA0123"/>
    <w:rsid w:val="00CA0125"/>
    <w:rsid w:val="00CA0650"/>
    <w:rsid w:val="00CA077F"/>
    <w:rsid w:val="00CA07DA"/>
    <w:rsid w:val="00CA0AC2"/>
    <w:rsid w:val="00CA0B3B"/>
    <w:rsid w:val="00CA1101"/>
    <w:rsid w:val="00CA1443"/>
    <w:rsid w:val="00CA1999"/>
    <w:rsid w:val="00CA1A44"/>
    <w:rsid w:val="00CA1B05"/>
    <w:rsid w:val="00CA1B62"/>
    <w:rsid w:val="00CA1DD6"/>
    <w:rsid w:val="00CA2184"/>
    <w:rsid w:val="00CA247F"/>
    <w:rsid w:val="00CA24B0"/>
    <w:rsid w:val="00CA26BE"/>
    <w:rsid w:val="00CA2905"/>
    <w:rsid w:val="00CA2BA9"/>
    <w:rsid w:val="00CA2DFA"/>
    <w:rsid w:val="00CA2E96"/>
    <w:rsid w:val="00CA35B1"/>
    <w:rsid w:val="00CA3621"/>
    <w:rsid w:val="00CA38B6"/>
    <w:rsid w:val="00CA3A77"/>
    <w:rsid w:val="00CA40B7"/>
    <w:rsid w:val="00CA4203"/>
    <w:rsid w:val="00CA444F"/>
    <w:rsid w:val="00CA4723"/>
    <w:rsid w:val="00CA48EE"/>
    <w:rsid w:val="00CA495B"/>
    <w:rsid w:val="00CA4A16"/>
    <w:rsid w:val="00CA4AC5"/>
    <w:rsid w:val="00CA4B43"/>
    <w:rsid w:val="00CA4D06"/>
    <w:rsid w:val="00CA4D0A"/>
    <w:rsid w:val="00CA4FB1"/>
    <w:rsid w:val="00CA5007"/>
    <w:rsid w:val="00CA535E"/>
    <w:rsid w:val="00CA5571"/>
    <w:rsid w:val="00CA558A"/>
    <w:rsid w:val="00CA55E7"/>
    <w:rsid w:val="00CA592D"/>
    <w:rsid w:val="00CA5E57"/>
    <w:rsid w:val="00CA62C9"/>
    <w:rsid w:val="00CA6497"/>
    <w:rsid w:val="00CA654C"/>
    <w:rsid w:val="00CA6556"/>
    <w:rsid w:val="00CA66C4"/>
    <w:rsid w:val="00CA671D"/>
    <w:rsid w:val="00CA6BEE"/>
    <w:rsid w:val="00CA7151"/>
    <w:rsid w:val="00CA7280"/>
    <w:rsid w:val="00CA75E2"/>
    <w:rsid w:val="00CA78D1"/>
    <w:rsid w:val="00CA7AF4"/>
    <w:rsid w:val="00CA7EB2"/>
    <w:rsid w:val="00CB002A"/>
    <w:rsid w:val="00CB06B8"/>
    <w:rsid w:val="00CB0FB6"/>
    <w:rsid w:val="00CB12E4"/>
    <w:rsid w:val="00CB136C"/>
    <w:rsid w:val="00CB142B"/>
    <w:rsid w:val="00CB1B0D"/>
    <w:rsid w:val="00CB1B4D"/>
    <w:rsid w:val="00CB1CE9"/>
    <w:rsid w:val="00CB227B"/>
    <w:rsid w:val="00CB24AD"/>
    <w:rsid w:val="00CB28B5"/>
    <w:rsid w:val="00CB2B4D"/>
    <w:rsid w:val="00CB2B89"/>
    <w:rsid w:val="00CB2C9C"/>
    <w:rsid w:val="00CB2D6A"/>
    <w:rsid w:val="00CB30C1"/>
    <w:rsid w:val="00CB324D"/>
    <w:rsid w:val="00CB3397"/>
    <w:rsid w:val="00CB354A"/>
    <w:rsid w:val="00CB371D"/>
    <w:rsid w:val="00CB3774"/>
    <w:rsid w:val="00CB3931"/>
    <w:rsid w:val="00CB3AB7"/>
    <w:rsid w:val="00CB3DDE"/>
    <w:rsid w:val="00CB3F64"/>
    <w:rsid w:val="00CB3FC1"/>
    <w:rsid w:val="00CB3FC3"/>
    <w:rsid w:val="00CB43FD"/>
    <w:rsid w:val="00CB45DD"/>
    <w:rsid w:val="00CB470D"/>
    <w:rsid w:val="00CB4720"/>
    <w:rsid w:val="00CB4CB5"/>
    <w:rsid w:val="00CB4DCD"/>
    <w:rsid w:val="00CB54B5"/>
    <w:rsid w:val="00CB5595"/>
    <w:rsid w:val="00CB5EF7"/>
    <w:rsid w:val="00CB605D"/>
    <w:rsid w:val="00CB65BF"/>
    <w:rsid w:val="00CB6E62"/>
    <w:rsid w:val="00CB72B3"/>
    <w:rsid w:val="00CB72EE"/>
    <w:rsid w:val="00CB73CA"/>
    <w:rsid w:val="00CB75EA"/>
    <w:rsid w:val="00CB7A10"/>
    <w:rsid w:val="00CB7EF7"/>
    <w:rsid w:val="00CC0184"/>
    <w:rsid w:val="00CC05D4"/>
    <w:rsid w:val="00CC0854"/>
    <w:rsid w:val="00CC0872"/>
    <w:rsid w:val="00CC08FB"/>
    <w:rsid w:val="00CC0AF3"/>
    <w:rsid w:val="00CC0FDC"/>
    <w:rsid w:val="00CC1523"/>
    <w:rsid w:val="00CC1BB9"/>
    <w:rsid w:val="00CC1D5A"/>
    <w:rsid w:val="00CC2348"/>
    <w:rsid w:val="00CC247E"/>
    <w:rsid w:val="00CC24E8"/>
    <w:rsid w:val="00CC2811"/>
    <w:rsid w:val="00CC28A3"/>
    <w:rsid w:val="00CC2C7F"/>
    <w:rsid w:val="00CC2FE4"/>
    <w:rsid w:val="00CC3456"/>
    <w:rsid w:val="00CC36EE"/>
    <w:rsid w:val="00CC3BBE"/>
    <w:rsid w:val="00CC42A5"/>
    <w:rsid w:val="00CC458E"/>
    <w:rsid w:val="00CC4BCA"/>
    <w:rsid w:val="00CC4C6A"/>
    <w:rsid w:val="00CC4CAF"/>
    <w:rsid w:val="00CC4E43"/>
    <w:rsid w:val="00CC50BE"/>
    <w:rsid w:val="00CC5210"/>
    <w:rsid w:val="00CC569C"/>
    <w:rsid w:val="00CC587E"/>
    <w:rsid w:val="00CC58B0"/>
    <w:rsid w:val="00CC58D8"/>
    <w:rsid w:val="00CC5C6F"/>
    <w:rsid w:val="00CC5F0C"/>
    <w:rsid w:val="00CC6125"/>
    <w:rsid w:val="00CC617A"/>
    <w:rsid w:val="00CC6185"/>
    <w:rsid w:val="00CC6739"/>
    <w:rsid w:val="00CC67A4"/>
    <w:rsid w:val="00CC68BC"/>
    <w:rsid w:val="00CC6DE8"/>
    <w:rsid w:val="00CC6F5F"/>
    <w:rsid w:val="00CC7A41"/>
    <w:rsid w:val="00CC7C57"/>
    <w:rsid w:val="00CC7D10"/>
    <w:rsid w:val="00CD0319"/>
    <w:rsid w:val="00CD05F7"/>
    <w:rsid w:val="00CD08E7"/>
    <w:rsid w:val="00CD09D5"/>
    <w:rsid w:val="00CD0CBC"/>
    <w:rsid w:val="00CD0DC8"/>
    <w:rsid w:val="00CD16C9"/>
    <w:rsid w:val="00CD17AB"/>
    <w:rsid w:val="00CD1AA3"/>
    <w:rsid w:val="00CD1B55"/>
    <w:rsid w:val="00CD1F49"/>
    <w:rsid w:val="00CD2007"/>
    <w:rsid w:val="00CD215B"/>
    <w:rsid w:val="00CD2983"/>
    <w:rsid w:val="00CD2C4D"/>
    <w:rsid w:val="00CD2F53"/>
    <w:rsid w:val="00CD30F0"/>
    <w:rsid w:val="00CD310F"/>
    <w:rsid w:val="00CD3121"/>
    <w:rsid w:val="00CD3A0F"/>
    <w:rsid w:val="00CD3B3B"/>
    <w:rsid w:val="00CD3BD1"/>
    <w:rsid w:val="00CD3E32"/>
    <w:rsid w:val="00CD41E4"/>
    <w:rsid w:val="00CD42FC"/>
    <w:rsid w:val="00CD431A"/>
    <w:rsid w:val="00CD4355"/>
    <w:rsid w:val="00CD43AC"/>
    <w:rsid w:val="00CD4ABE"/>
    <w:rsid w:val="00CD4B87"/>
    <w:rsid w:val="00CD4D49"/>
    <w:rsid w:val="00CD4E47"/>
    <w:rsid w:val="00CD4ECA"/>
    <w:rsid w:val="00CD5B81"/>
    <w:rsid w:val="00CD5BA6"/>
    <w:rsid w:val="00CD5D54"/>
    <w:rsid w:val="00CD62E6"/>
    <w:rsid w:val="00CD6687"/>
    <w:rsid w:val="00CD695D"/>
    <w:rsid w:val="00CD6A15"/>
    <w:rsid w:val="00CD6A8A"/>
    <w:rsid w:val="00CD71BC"/>
    <w:rsid w:val="00CD73A8"/>
    <w:rsid w:val="00CD744C"/>
    <w:rsid w:val="00CD749E"/>
    <w:rsid w:val="00CD79BA"/>
    <w:rsid w:val="00CD7C11"/>
    <w:rsid w:val="00CD7CD5"/>
    <w:rsid w:val="00CD7E31"/>
    <w:rsid w:val="00CE01C5"/>
    <w:rsid w:val="00CE0415"/>
    <w:rsid w:val="00CE06E3"/>
    <w:rsid w:val="00CE09FE"/>
    <w:rsid w:val="00CE11BB"/>
    <w:rsid w:val="00CE14F7"/>
    <w:rsid w:val="00CE196A"/>
    <w:rsid w:val="00CE1B5B"/>
    <w:rsid w:val="00CE1BF9"/>
    <w:rsid w:val="00CE1E76"/>
    <w:rsid w:val="00CE22F3"/>
    <w:rsid w:val="00CE26A7"/>
    <w:rsid w:val="00CE26BE"/>
    <w:rsid w:val="00CE2A09"/>
    <w:rsid w:val="00CE2B7B"/>
    <w:rsid w:val="00CE2E1D"/>
    <w:rsid w:val="00CE2ECE"/>
    <w:rsid w:val="00CE31D1"/>
    <w:rsid w:val="00CE35EB"/>
    <w:rsid w:val="00CE3A9E"/>
    <w:rsid w:val="00CE3D12"/>
    <w:rsid w:val="00CE405C"/>
    <w:rsid w:val="00CE40AC"/>
    <w:rsid w:val="00CE40C5"/>
    <w:rsid w:val="00CE425B"/>
    <w:rsid w:val="00CE4408"/>
    <w:rsid w:val="00CE475A"/>
    <w:rsid w:val="00CE4EE7"/>
    <w:rsid w:val="00CE5041"/>
    <w:rsid w:val="00CE5390"/>
    <w:rsid w:val="00CE578E"/>
    <w:rsid w:val="00CE5875"/>
    <w:rsid w:val="00CE58AF"/>
    <w:rsid w:val="00CE5AA2"/>
    <w:rsid w:val="00CE5E99"/>
    <w:rsid w:val="00CE6126"/>
    <w:rsid w:val="00CE6316"/>
    <w:rsid w:val="00CE65F5"/>
    <w:rsid w:val="00CE6705"/>
    <w:rsid w:val="00CE67A0"/>
    <w:rsid w:val="00CE6F47"/>
    <w:rsid w:val="00CE759B"/>
    <w:rsid w:val="00CE7704"/>
    <w:rsid w:val="00CE7D4E"/>
    <w:rsid w:val="00CE7DF3"/>
    <w:rsid w:val="00CE7EF6"/>
    <w:rsid w:val="00CF0703"/>
    <w:rsid w:val="00CF0BBB"/>
    <w:rsid w:val="00CF0F88"/>
    <w:rsid w:val="00CF12EF"/>
    <w:rsid w:val="00CF155C"/>
    <w:rsid w:val="00CF1682"/>
    <w:rsid w:val="00CF18D3"/>
    <w:rsid w:val="00CF19BB"/>
    <w:rsid w:val="00CF1A5C"/>
    <w:rsid w:val="00CF1A6A"/>
    <w:rsid w:val="00CF1C09"/>
    <w:rsid w:val="00CF1C1A"/>
    <w:rsid w:val="00CF1F8E"/>
    <w:rsid w:val="00CF23CF"/>
    <w:rsid w:val="00CF276D"/>
    <w:rsid w:val="00CF2919"/>
    <w:rsid w:val="00CF2EEA"/>
    <w:rsid w:val="00CF35A5"/>
    <w:rsid w:val="00CF35CA"/>
    <w:rsid w:val="00CF3895"/>
    <w:rsid w:val="00CF38AD"/>
    <w:rsid w:val="00CF3F79"/>
    <w:rsid w:val="00CF45A0"/>
    <w:rsid w:val="00CF4787"/>
    <w:rsid w:val="00CF4966"/>
    <w:rsid w:val="00CF4B5B"/>
    <w:rsid w:val="00CF4D2F"/>
    <w:rsid w:val="00CF4DB8"/>
    <w:rsid w:val="00CF56EA"/>
    <w:rsid w:val="00CF5913"/>
    <w:rsid w:val="00CF59C6"/>
    <w:rsid w:val="00CF5E65"/>
    <w:rsid w:val="00CF646C"/>
    <w:rsid w:val="00CF6A36"/>
    <w:rsid w:val="00CF6A63"/>
    <w:rsid w:val="00CF6D13"/>
    <w:rsid w:val="00CF6F17"/>
    <w:rsid w:val="00CF74D5"/>
    <w:rsid w:val="00CF74D9"/>
    <w:rsid w:val="00CF79AA"/>
    <w:rsid w:val="00CF79B9"/>
    <w:rsid w:val="00CF7D2E"/>
    <w:rsid w:val="00CF7D95"/>
    <w:rsid w:val="00CF7F0A"/>
    <w:rsid w:val="00D00104"/>
    <w:rsid w:val="00D003F8"/>
    <w:rsid w:val="00D0064B"/>
    <w:rsid w:val="00D006EF"/>
    <w:rsid w:val="00D008A9"/>
    <w:rsid w:val="00D00BE4"/>
    <w:rsid w:val="00D00CB0"/>
    <w:rsid w:val="00D01218"/>
    <w:rsid w:val="00D012CE"/>
    <w:rsid w:val="00D015E9"/>
    <w:rsid w:val="00D017FC"/>
    <w:rsid w:val="00D01918"/>
    <w:rsid w:val="00D01C59"/>
    <w:rsid w:val="00D01D27"/>
    <w:rsid w:val="00D01DE2"/>
    <w:rsid w:val="00D023B1"/>
    <w:rsid w:val="00D02411"/>
    <w:rsid w:val="00D0250D"/>
    <w:rsid w:val="00D0269C"/>
    <w:rsid w:val="00D02AA4"/>
    <w:rsid w:val="00D02C0A"/>
    <w:rsid w:val="00D03112"/>
    <w:rsid w:val="00D03382"/>
    <w:rsid w:val="00D0343E"/>
    <w:rsid w:val="00D034F8"/>
    <w:rsid w:val="00D03896"/>
    <w:rsid w:val="00D03A7D"/>
    <w:rsid w:val="00D03D71"/>
    <w:rsid w:val="00D03E7B"/>
    <w:rsid w:val="00D042F9"/>
    <w:rsid w:val="00D0441B"/>
    <w:rsid w:val="00D04B0A"/>
    <w:rsid w:val="00D04B6E"/>
    <w:rsid w:val="00D04BCC"/>
    <w:rsid w:val="00D04F55"/>
    <w:rsid w:val="00D04F7A"/>
    <w:rsid w:val="00D04F9E"/>
    <w:rsid w:val="00D04FF1"/>
    <w:rsid w:val="00D05093"/>
    <w:rsid w:val="00D052AB"/>
    <w:rsid w:val="00D05483"/>
    <w:rsid w:val="00D054B7"/>
    <w:rsid w:val="00D05547"/>
    <w:rsid w:val="00D058C9"/>
    <w:rsid w:val="00D0597F"/>
    <w:rsid w:val="00D059C8"/>
    <w:rsid w:val="00D059D7"/>
    <w:rsid w:val="00D05CE3"/>
    <w:rsid w:val="00D05DD6"/>
    <w:rsid w:val="00D061D8"/>
    <w:rsid w:val="00D064CC"/>
    <w:rsid w:val="00D06C3B"/>
    <w:rsid w:val="00D070EB"/>
    <w:rsid w:val="00D072CF"/>
    <w:rsid w:val="00D07A2A"/>
    <w:rsid w:val="00D07B1C"/>
    <w:rsid w:val="00D07B48"/>
    <w:rsid w:val="00D07BC2"/>
    <w:rsid w:val="00D07C71"/>
    <w:rsid w:val="00D100E9"/>
    <w:rsid w:val="00D10213"/>
    <w:rsid w:val="00D10354"/>
    <w:rsid w:val="00D10483"/>
    <w:rsid w:val="00D10621"/>
    <w:rsid w:val="00D10C8E"/>
    <w:rsid w:val="00D10D6D"/>
    <w:rsid w:val="00D11038"/>
    <w:rsid w:val="00D115A6"/>
    <w:rsid w:val="00D11A30"/>
    <w:rsid w:val="00D11CC0"/>
    <w:rsid w:val="00D11CD5"/>
    <w:rsid w:val="00D11DF7"/>
    <w:rsid w:val="00D1289C"/>
    <w:rsid w:val="00D12DDE"/>
    <w:rsid w:val="00D13018"/>
    <w:rsid w:val="00D132ED"/>
    <w:rsid w:val="00D135D0"/>
    <w:rsid w:val="00D135DC"/>
    <w:rsid w:val="00D13616"/>
    <w:rsid w:val="00D13701"/>
    <w:rsid w:val="00D137B0"/>
    <w:rsid w:val="00D13BF0"/>
    <w:rsid w:val="00D13C0D"/>
    <w:rsid w:val="00D14243"/>
    <w:rsid w:val="00D14464"/>
    <w:rsid w:val="00D145BC"/>
    <w:rsid w:val="00D14B56"/>
    <w:rsid w:val="00D150FB"/>
    <w:rsid w:val="00D1515E"/>
    <w:rsid w:val="00D151EE"/>
    <w:rsid w:val="00D15656"/>
    <w:rsid w:val="00D15924"/>
    <w:rsid w:val="00D15989"/>
    <w:rsid w:val="00D159DA"/>
    <w:rsid w:val="00D15A58"/>
    <w:rsid w:val="00D16343"/>
    <w:rsid w:val="00D1643B"/>
    <w:rsid w:val="00D16445"/>
    <w:rsid w:val="00D1658F"/>
    <w:rsid w:val="00D166A7"/>
    <w:rsid w:val="00D16AA2"/>
    <w:rsid w:val="00D16BAD"/>
    <w:rsid w:val="00D16C2B"/>
    <w:rsid w:val="00D16D80"/>
    <w:rsid w:val="00D17114"/>
    <w:rsid w:val="00D17689"/>
    <w:rsid w:val="00D179FB"/>
    <w:rsid w:val="00D17A50"/>
    <w:rsid w:val="00D20036"/>
    <w:rsid w:val="00D20308"/>
    <w:rsid w:val="00D2053C"/>
    <w:rsid w:val="00D2061C"/>
    <w:rsid w:val="00D20655"/>
    <w:rsid w:val="00D206EA"/>
    <w:rsid w:val="00D20C1C"/>
    <w:rsid w:val="00D20DEE"/>
    <w:rsid w:val="00D20F95"/>
    <w:rsid w:val="00D211C6"/>
    <w:rsid w:val="00D21663"/>
    <w:rsid w:val="00D21712"/>
    <w:rsid w:val="00D2198C"/>
    <w:rsid w:val="00D219E2"/>
    <w:rsid w:val="00D21C9B"/>
    <w:rsid w:val="00D21D92"/>
    <w:rsid w:val="00D2236F"/>
    <w:rsid w:val="00D22565"/>
    <w:rsid w:val="00D2277D"/>
    <w:rsid w:val="00D22FD0"/>
    <w:rsid w:val="00D23232"/>
    <w:rsid w:val="00D237EF"/>
    <w:rsid w:val="00D2395C"/>
    <w:rsid w:val="00D23A42"/>
    <w:rsid w:val="00D23BA1"/>
    <w:rsid w:val="00D23D27"/>
    <w:rsid w:val="00D23DFB"/>
    <w:rsid w:val="00D23F72"/>
    <w:rsid w:val="00D2461D"/>
    <w:rsid w:val="00D24A5E"/>
    <w:rsid w:val="00D24B9F"/>
    <w:rsid w:val="00D24D92"/>
    <w:rsid w:val="00D2502F"/>
    <w:rsid w:val="00D254DC"/>
    <w:rsid w:val="00D255E3"/>
    <w:rsid w:val="00D2567A"/>
    <w:rsid w:val="00D257A3"/>
    <w:rsid w:val="00D25847"/>
    <w:rsid w:val="00D2603A"/>
    <w:rsid w:val="00D26227"/>
    <w:rsid w:val="00D2625D"/>
    <w:rsid w:val="00D266B4"/>
    <w:rsid w:val="00D26865"/>
    <w:rsid w:val="00D26C9A"/>
    <w:rsid w:val="00D26F5D"/>
    <w:rsid w:val="00D27286"/>
    <w:rsid w:val="00D27774"/>
    <w:rsid w:val="00D27A97"/>
    <w:rsid w:val="00D27AA2"/>
    <w:rsid w:val="00D27B4C"/>
    <w:rsid w:val="00D27C8D"/>
    <w:rsid w:val="00D3007E"/>
    <w:rsid w:val="00D302DF"/>
    <w:rsid w:val="00D303B8"/>
    <w:rsid w:val="00D3054A"/>
    <w:rsid w:val="00D307E8"/>
    <w:rsid w:val="00D30A11"/>
    <w:rsid w:val="00D30EA7"/>
    <w:rsid w:val="00D3123D"/>
    <w:rsid w:val="00D31805"/>
    <w:rsid w:val="00D318D3"/>
    <w:rsid w:val="00D31ED6"/>
    <w:rsid w:val="00D3280D"/>
    <w:rsid w:val="00D32814"/>
    <w:rsid w:val="00D32FEF"/>
    <w:rsid w:val="00D3305B"/>
    <w:rsid w:val="00D331F6"/>
    <w:rsid w:val="00D33380"/>
    <w:rsid w:val="00D33AB7"/>
    <w:rsid w:val="00D33C79"/>
    <w:rsid w:val="00D345F4"/>
    <w:rsid w:val="00D346B4"/>
    <w:rsid w:val="00D34775"/>
    <w:rsid w:val="00D34A32"/>
    <w:rsid w:val="00D34A5A"/>
    <w:rsid w:val="00D354E8"/>
    <w:rsid w:val="00D3558A"/>
    <w:rsid w:val="00D360BE"/>
    <w:rsid w:val="00D36997"/>
    <w:rsid w:val="00D36B2C"/>
    <w:rsid w:val="00D36EFE"/>
    <w:rsid w:val="00D36FAF"/>
    <w:rsid w:val="00D3714C"/>
    <w:rsid w:val="00D372CB"/>
    <w:rsid w:val="00D37D60"/>
    <w:rsid w:val="00D404C9"/>
    <w:rsid w:val="00D40603"/>
    <w:rsid w:val="00D407CB"/>
    <w:rsid w:val="00D40884"/>
    <w:rsid w:val="00D40A28"/>
    <w:rsid w:val="00D40B7D"/>
    <w:rsid w:val="00D40D91"/>
    <w:rsid w:val="00D4138D"/>
    <w:rsid w:val="00D4169C"/>
    <w:rsid w:val="00D4185F"/>
    <w:rsid w:val="00D418E5"/>
    <w:rsid w:val="00D41968"/>
    <w:rsid w:val="00D419A3"/>
    <w:rsid w:val="00D41B1B"/>
    <w:rsid w:val="00D41FE0"/>
    <w:rsid w:val="00D4233C"/>
    <w:rsid w:val="00D4245B"/>
    <w:rsid w:val="00D42639"/>
    <w:rsid w:val="00D427E4"/>
    <w:rsid w:val="00D427EE"/>
    <w:rsid w:val="00D429EB"/>
    <w:rsid w:val="00D42A0C"/>
    <w:rsid w:val="00D42D74"/>
    <w:rsid w:val="00D43050"/>
    <w:rsid w:val="00D433C8"/>
    <w:rsid w:val="00D43477"/>
    <w:rsid w:val="00D434E9"/>
    <w:rsid w:val="00D434EA"/>
    <w:rsid w:val="00D436AD"/>
    <w:rsid w:val="00D43753"/>
    <w:rsid w:val="00D4440E"/>
    <w:rsid w:val="00D44517"/>
    <w:rsid w:val="00D4481E"/>
    <w:rsid w:val="00D44B99"/>
    <w:rsid w:val="00D44C2E"/>
    <w:rsid w:val="00D44C59"/>
    <w:rsid w:val="00D44DCB"/>
    <w:rsid w:val="00D4537A"/>
    <w:rsid w:val="00D45A99"/>
    <w:rsid w:val="00D45AB3"/>
    <w:rsid w:val="00D45BB1"/>
    <w:rsid w:val="00D45CAB"/>
    <w:rsid w:val="00D46DE3"/>
    <w:rsid w:val="00D47406"/>
    <w:rsid w:val="00D4743C"/>
    <w:rsid w:val="00D47805"/>
    <w:rsid w:val="00D4781E"/>
    <w:rsid w:val="00D478B2"/>
    <w:rsid w:val="00D47991"/>
    <w:rsid w:val="00D47BE8"/>
    <w:rsid w:val="00D47C4A"/>
    <w:rsid w:val="00D500D2"/>
    <w:rsid w:val="00D50175"/>
    <w:rsid w:val="00D5031A"/>
    <w:rsid w:val="00D5035C"/>
    <w:rsid w:val="00D507FA"/>
    <w:rsid w:val="00D50A06"/>
    <w:rsid w:val="00D50C0F"/>
    <w:rsid w:val="00D50CB4"/>
    <w:rsid w:val="00D50F2E"/>
    <w:rsid w:val="00D51019"/>
    <w:rsid w:val="00D51310"/>
    <w:rsid w:val="00D5131F"/>
    <w:rsid w:val="00D515D8"/>
    <w:rsid w:val="00D5181B"/>
    <w:rsid w:val="00D518E9"/>
    <w:rsid w:val="00D51A05"/>
    <w:rsid w:val="00D51D4A"/>
    <w:rsid w:val="00D51DB4"/>
    <w:rsid w:val="00D52152"/>
    <w:rsid w:val="00D52295"/>
    <w:rsid w:val="00D52940"/>
    <w:rsid w:val="00D52993"/>
    <w:rsid w:val="00D529AF"/>
    <w:rsid w:val="00D52C13"/>
    <w:rsid w:val="00D52C30"/>
    <w:rsid w:val="00D531AC"/>
    <w:rsid w:val="00D5330F"/>
    <w:rsid w:val="00D53B76"/>
    <w:rsid w:val="00D53BCE"/>
    <w:rsid w:val="00D53C7C"/>
    <w:rsid w:val="00D53DDE"/>
    <w:rsid w:val="00D53F25"/>
    <w:rsid w:val="00D541B4"/>
    <w:rsid w:val="00D5446C"/>
    <w:rsid w:val="00D54626"/>
    <w:rsid w:val="00D54BB5"/>
    <w:rsid w:val="00D54DEE"/>
    <w:rsid w:val="00D54FE7"/>
    <w:rsid w:val="00D55105"/>
    <w:rsid w:val="00D55411"/>
    <w:rsid w:val="00D55615"/>
    <w:rsid w:val="00D5565F"/>
    <w:rsid w:val="00D55741"/>
    <w:rsid w:val="00D55B95"/>
    <w:rsid w:val="00D55EF2"/>
    <w:rsid w:val="00D5612B"/>
    <w:rsid w:val="00D561F1"/>
    <w:rsid w:val="00D56515"/>
    <w:rsid w:val="00D566DB"/>
    <w:rsid w:val="00D56704"/>
    <w:rsid w:val="00D567DE"/>
    <w:rsid w:val="00D56AD0"/>
    <w:rsid w:val="00D56CD8"/>
    <w:rsid w:val="00D56FE1"/>
    <w:rsid w:val="00D57056"/>
    <w:rsid w:val="00D57747"/>
    <w:rsid w:val="00D57CB7"/>
    <w:rsid w:val="00D57D3C"/>
    <w:rsid w:val="00D6001B"/>
    <w:rsid w:val="00D6069D"/>
    <w:rsid w:val="00D61085"/>
    <w:rsid w:val="00D61B5E"/>
    <w:rsid w:val="00D61B97"/>
    <w:rsid w:val="00D6232B"/>
    <w:rsid w:val="00D62519"/>
    <w:rsid w:val="00D6257F"/>
    <w:rsid w:val="00D62717"/>
    <w:rsid w:val="00D6287E"/>
    <w:rsid w:val="00D62A32"/>
    <w:rsid w:val="00D62FA2"/>
    <w:rsid w:val="00D63187"/>
    <w:rsid w:val="00D6320F"/>
    <w:rsid w:val="00D6327C"/>
    <w:rsid w:val="00D63A51"/>
    <w:rsid w:val="00D63EB9"/>
    <w:rsid w:val="00D64F18"/>
    <w:rsid w:val="00D64FC2"/>
    <w:rsid w:val="00D650FA"/>
    <w:rsid w:val="00D650FD"/>
    <w:rsid w:val="00D6537E"/>
    <w:rsid w:val="00D65973"/>
    <w:rsid w:val="00D65BF4"/>
    <w:rsid w:val="00D66217"/>
    <w:rsid w:val="00D667B6"/>
    <w:rsid w:val="00D66C2B"/>
    <w:rsid w:val="00D66ECD"/>
    <w:rsid w:val="00D66F7B"/>
    <w:rsid w:val="00D67352"/>
    <w:rsid w:val="00D67C44"/>
    <w:rsid w:val="00D67E4D"/>
    <w:rsid w:val="00D67E5E"/>
    <w:rsid w:val="00D703DB"/>
    <w:rsid w:val="00D70522"/>
    <w:rsid w:val="00D70708"/>
    <w:rsid w:val="00D7082E"/>
    <w:rsid w:val="00D70A33"/>
    <w:rsid w:val="00D70B46"/>
    <w:rsid w:val="00D70C33"/>
    <w:rsid w:val="00D70D41"/>
    <w:rsid w:val="00D70D4D"/>
    <w:rsid w:val="00D71299"/>
    <w:rsid w:val="00D712EA"/>
    <w:rsid w:val="00D71399"/>
    <w:rsid w:val="00D71DCA"/>
    <w:rsid w:val="00D72711"/>
    <w:rsid w:val="00D72826"/>
    <w:rsid w:val="00D72870"/>
    <w:rsid w:val="00D72A14"/>
    <w:rsid w:val="00D72BB6"/>
    <w:rsid w:val="00D72CF4"/>
    <w:rsid w:val="00D72DA0"/>
    <w:rsid w:val="00D72E47"/>
    <w:rsid w:val="00D7302E"/>
    <w:rsid w:val="00D73070"/>
    <w:rsid w:val="00D7330C"/>
    <w:rsid w:val="00D733D7"/>
    <w:rsid w:val="00D739C3"/>
    <w:rsid w:val="00D74099"/>
    <w:rsid w:val="00D740DC"/>
    <w:rsid w:val="00D743D3"/>
    <w:rsid w:val="00D743DD"/>
    <w:rsid w:val="00D746B4"/>
    <w:rsid w:val="00D74AAA"/>
    <w:rsid w:val="00D750A8"/>
    <w:rsid w:val="00D75357"/>
    <w:rsid w:val="00D753E9"/>
    <w:rsid w:val="00D758A8"/>
    <w:rsid w:val="00D75997"/>
    <w:rsid w:val="00D75CC7"/>
    <w:rsid w:val="00D76307"/>
    <w:rsid w:val="00D7648B"/>
    <w:rsid w:val="00D76812"/>
    <w:rsid w:val="00D76818"/>
    <w:rsid w:val="00D76A4B"/>
    <w:rsid w:val="00D76D15"/>
    <w:rsid w:val="00D76DDC"/>
    <w:rsid w:val="00D771F9"/>
    <w:rsid w:val="00D77604"/>
    <w:rsid w:val="00D77783"/>
    <w:rsid w:val="00D7783B"/>
    <w:rsid w:val="00D77C56"/>
    <w:rsid w:val="00D77CDC"/>
    <w:rsid w:val="00D80161"/>
    <w:rsid w:val="00D805F0"/>
    <w:rsid w:val="00D80E0D"/>
    <w:rsid w:val="00D80F93"/>
    <w:rsid w:val="00D80FC0"/>
    <w:rsid w:val="00D80FCC"/>
    <w:rsid w:val="00D813D2"/>
    <w:rsid w:val="00D8141F"/>
    <w:rsid w:val="00D81447"/>
    <w:rsid w:val="00D81549"/>
    <w:rsid w:val="00D81BAF"/>
    <w:rsid w:val="00D81BD3"/>
    <w:rsid w:val="00D81CBD"/>
    <w:rsid w:val="00D82108"/>
    <w:rsid w:val="00D82118"/>
    <w:rsid w:val="00D82175"/>
    <w:rsid w:val="00D8222B"/>
    <w:rsid w:val="00D822A5"/>
    <w:rsid w:val="00D822D9"/>
    <w:rsid w:val="00D82DC1"/>
    <w:rsid w:val="00D832C1"/>
    <w:rsid w:val="00D83502"/>
    <w:rsid w:val="00D836BD"/>
    <w:rsid w:val="00D838C5"/>
    <w:rsid w:val="00D83D0B"/>
    <w:rsid w:val="00D83E47"/>
    <w:rsid w:val="00D84083"/>
    <w:rsid w:val="00D842E5"/>
    <w:rsid w:val="00D84EFC"/>
    <w:rsid w:val="00D84F7E"/>
    <w:rsid w:val="00D85134"/>
    <w:rsid w:val="00D852A8"/>
    <w:rsid w:val="00D85444"/>
    <w:rsid w:val="00D85585"/>
    <w:rsid w:val="00D859BC"/>
    <w:rsid w:val="00D866A3"/>
    <w:rsid w:val="00D86A1B"/>
    <w:rsid w:val="00D86C7B"/>
    <w:rsid w:val="00D86CC3"/>
    <w:rsid w:val="00D87053"/>
    <w:rsid w:val="00D870AD"/>
    <w:rsid w:val="00D870FD"/>
    <w:rsid w:val="00D873B9"/>
    <w:rsid w:val="00D875BD"/>
    <w:rsid w:val="00D877CB"/>
    <w:rsid w:val="00D90126"/>
    <w:rsid w:val="00D904B3"/>
    <w:rsid w:val="00D905E4"/>
    <w:rsid w:val="00D90694"/>
    <w:rsid w:val="00D907AF"/>
    <w:rsid w:val="00D90DDE"/>
    <w:rsid w:val="00D91024"/>
    <w:rsid w:val="00D910B3"/>
    <w:rsid w:val="00D914CF"/>
    <w:rsid w:val="00D915F5"/>
    <w:rsid w:val="00D91761"/>
    <w:rsid w:val="00D919C7"/>
    <w:rsid w:val="00D91BCC"/>
    <w:rsid w:val="00D91BD5"/>
    <w:rsid w:val="00D9233E"/>
    <w:rsid w:val="00D924F5"/>
    <w:rsid w:val="00D92C36"/>
    <w:rsid w:val="00D92D0C"/>
    <w:rsid w:val="00D92E6A"/>
    <w:rsid w:val="00D9338A"/>
    <w:rsid w:val="00D93450"/>
    <w:rsid w:val="00D93598"/>
    <w:rsid w:val="00D9397D"/>
    <w:rsid w:val="00D940D4"/>
    <w:rsid w:val="00D941D9"/>
    <w:rsid w:val="00D94758"/>
    <w:rsid w:val="00D9480A"/>
    <w:rsid w:val="00D94B5D"/>
    <w:rsid w:val="00D94EA6"/>
    <w:rsid w:val="00D95333"/>
    <w:rsid w:val="00D95440"/>
    <w:rsid w:val="00D95719"/>
    <w:rsid w:val="00D95B66"/>
    <w:rsid w:val="00D96403"/>
    <w:rsid w:val="00D96608"/>
    <w:rsid w:val="00D966CC"/>
    <w:rsid w:val="00D96D24"/>
    <w:rsid w:val="00D973EF"/>
    <w:rsid w:val="00D97437"/>
    <w:rsid w:val="00D97C67"/>
    <w:rsid w:val="00D97F8C"/>
    <w:rsid w:val="00DA0336"/>
    <w:rsid w:val="00DA0418"/>
    <w:rsid w:val="00DA07FD"/>
    <w:rsid w:val="00DA0848"/>
    <w:rsid w:val="00DA0CE3"/>
    <w:rsid w:val="00DA11DE"/>
    <w:rsid w:val="00DA13A7"/>
    <w:rsid w:val="00DA1894"/>
    <w:rsid w:val="00DA1ACA"/>
    <w:rsid w:val="00DA1E17"/>
    <w:rsid w:val="00DA275B"/>
    <w:rsid w:val="00DA29D0"/>
    <w:rsid w:val="00DA2DC1"/>
    <w:rsid w:val="00DA2F71"/>
    <w:rsid w:val="00DA3026"/>
    <w:rsid w:val="00DA3188"/>
    <w:rsid w:val="00DA3275"/>
    <w:rsid w:val="00DA3322"/>
    <w:rsid w:val="00DA33BD"/>
    <w:rsid w:val="00DA3516"/>
    <w:rsid w:val="00DA3692"/>
    <w:rsid w:val="00DA36C5"/>
    <w:rsid w:val="00DA37EE"/>
    <w:rsid w:val="00DA381F"/>
    <w:rsid w:val="00DA3898"/>
    <w:rsid w:val="00DA3B11"/>
    <w:rsid w:val="00DA3CC1"/>
    <w:rsid w:val="00DA3F76"/>
    <w:rsid w:val="00DA40D8"/>
    <w:rsid w:val="00DA41AD"/>
    <w:rsid w:val="00DA44AD"/>
    <w:rsid w:val="00DA4AB6"/>
    <w:rsid w:val="00DA4BA7"/>
    <w:rsid w:val="00DA4C80"/>
    <w:rsid w:val="00DA4CD3"/>
    <w:rsid w:val="00DA4E7C"/>
    <w:rsid w:val="00DA51CB"/>
    <w:rsid w:val="00DA530B"/>
    <w:rsid w:val="00DA54BA"/>
    <w:rsid w:val="00DA569E"/>
    <w:rsid w:val="00DA5AA3"/>
    <w:rsid w:val="00DA5AB6"/>
    <w:rsid w:val="00DA5E76"/>
    <w:rsid w:val="00DA5F34"/>
    <w:rsid w:val="00DA6401"/>
    <w:rsid w:val="00DA67CD"/>
    <w:rsid w:val="00DA6B65"/>
    <w:rsid w:val="00DA6BDC"/>
    <w:rsid w:val="00DA6BDF"/>
    <w:rsid w:val="00DA6DB5"/>
    <w:rsid w:val="00DA6E1F"/>
    <w:rsid w:val="00DA79E8"/>
    <w:rsid w:val="00DA7A19"/>
    <w:rsid w:val="00DA7C94"/>
    <w:rsid w:val="00DA7DD5"/>
    <w:rsid w:val="00DB0238"/>
    <w:rsid w:val="00DB02FD"/>
    <w:rsid w:val="00DB03C2"/>
    <w:rsid w:val="00DB0452"/>
    <w:rsid w:val="00DB0890"/>
    <w:rsid w:val="00DB08A6"/>
    <w:rsid w:val="00DB08DE"/>
    <w:rsid w:val="00DB09CF"/>
    <w:rsid w:val="00DB0C9D"/>
    <w:rsid w:val="00DB0D1E"/>
    <w:rsid w:val="00DB1442"/>
    <w:rsid w:val="00DB1593"/>
    <w:rsid w:val="00DB1BBD"/>
    <w:rsid w:val="00DB1C00"/>
    <w:rsid w:val="00DB1C60"/>
    <w:rsid w:val="00DB1DBF"/>
    <w:rsid w:val="00DB27B7"/>
    <w:rsid w:val="00DB2A7C"/>
    <w:rsid w:val="00DB2E80"/>
    <w:rsid w:val="00DB2F65"/>
    <w:rsid w:val="00DB313A"/>
    <w:rsid w:val="00DB32D8"/>
    <w:rsid w:val="00DB358C"/>
    <w:rsid w:val="00DB38DC"/>
    <w:rsid w:val="00DB3E47"/>
    <w:rsid w:val="00DB423F"/>
    <w:rsid w:val="00DB431E"/>
    <w:rsid w:val="00DB44B6"/>
    <w:rsid w:val="00DB4736"/>
    <w:rsid w:val="00DB477E"/>
    <w:rsid w:val="00DB49E8"/>
    <w:rsid w:val="00DB4A25"/>
    <w:rsid w:val="00DB4BAA"/>
    <w:rsid w:val="00DB4BD2"/>
    <w:rsid w:val="00DB51CD"/>
    <w:rsid w:val="00DB53A6"/>
    <w:rsid w:val="00DB5C1A"/>
    <w:rsid w:val="00DB5EF3"/>
    <w:rsid w:val="00DB5F25"/>
    <w:rsid w:val="00DB61E2"/>
    <w:rsid w:val="00DB68C2"/>
    <w:rsid w:val="00DB6DD8"/>
    <w:rsid w:val="00DB70E6"/>
    <w:rsid w:val="00DB71A1"/>
    <w:rsid w:val="00DB74A4"/>
    <w:rsid w:val="00DB79C3"/>
    <w:rsid w:val="00DB7A12"/>
    <w:rsid w:val="00DB7F22"/>
    <w:rsid w:val="00DC0538"/>
    <w:rsid w:val="00DC0578"/>
    <w:rsid w:val="00DC05C4"/>
    <w:rsid w:val="00DC070A"/>
    <w:rsid w:val="00DC1481"/>
    <w:rsid w:val="00DC16D2"/>
    <w:rsid w:val="00DC1776"/>
    <w:rsid w:val="00DC190D"/>
    <w:rsid w:val="00DC2093"/>
    <w:rsid w:val="00DC231F"/>
    <w:rsid w:val="00DC232D"/>
    <w:rsid w:val="00DC284B"/>
    <w:rsid w:val="00DC2B50"/>
    <w:rsid w:val="00DC2CBB"/>
    <w:rsid w:val="00DC2D19"/>
    <w:rsid w:val="00DC3318"/>
    <w:rsid w:val="00DC3548"/>
    <w:rsid w:val="00DC386D"/>
    <w:rsid w:val="00DC3BF0"/>
    <w:rsid w:val="00DC3EF1"/>
    <w:rsid w:val="00DC3F3A"/>
    <w:rsid w:val="00DC4800"/>
    <w:rsid w:val="00DC4B0C"/>
    <w:rsid w:val="00DC4BC8"/>
    <w:rsid w:val="00DC4CB6"/>
    <w:rsid w:val="00DC580F"/>
    <w:rsid w:val="00DC5B5E"/>
    <w:rsid w:val="00DC5C57"/>
    <w:rsid w:val="00DC5EB2"/>
    <w:rsid w:val="00DC6140"/>
    <w:rsid w:val="00DC621E"/>
    <w:rsid w:val="00DC63CE"/>
    <w:rsid w:val="00DC671D"/>
    <w:rsid w:val="00DC6CC3"/>
    <w:rsid w:val="00DC6F45"/>
    <w:rsid w:val="00DC71EC"/>
    <w:rsid w:val="00DC7B58"/>
    <w:rsid w:val="00DC7BA7"/>
    <w:rsid w:val="00DD028A"/>
    <w:rsid w:val="00DD042A"/>
    <w:rsid w:val="00DD0535"/>
    <w:rsid w:val="00DD0565"/>
    <w:rsid w:val="00DD085E"/>
    <w:rsid w:val="00DD0A13"/>
    <w:rsid w:val="00DD0E79"/>
    <w:rsid w:val="00DD1244"/>
    <w:rsid w:val="00DD1294"/>
    <w:rsid w:val="00DD17AB"/>
    <w:rsid w:val="00DD18DF"/>
    <w:rsid w:val="00DD1D2B"/>
    <w:rsid w:val="00DD1DDB"/>
    <w:rsid w:val="00DD1E33"/>
    <w:rsid w:val="00DD1F4A"/>
    <w:rsid w:val="00DD289F"/>
    <w:rsid w:val="00DD28F1"/>
    <w:rsid w:val="00DD2A3E"/>
    <w:rsid w:val="00DD2BA4"/>
    <w:rsid w:val="00DD2BAF"/>
    <w:rsid w:val="00DD2DE6"/>
    <w:rsid w:val="00DD2FF2"/>
    <w:rsid w:val="00DD301C"/>
    <w:rsid w:val="00DD3066"/>
    <w:rsid w:val="00DD3603"/>
    <w:rsid w:val="00DD360C"/>
    <w:rsid w:val="00DD3682"/>
    <w:rsid w:val="00DD368C"/>
    <w:rsid w:val="00DD3898"/>
    <w:rsid w:val="00DD3921"/>
    <w:rsid w:val="00DD3DB1"/>
    <w:rsid w:val="00DD40D9"/>
    <w:rsid w:val="00DD4643"/>
    <w:rsid w:val="00DD47DA"/>
    <w:rsid w:val="00DD4A09"/>
    <w:rsid w:val="00DD4A4A"/>
    <w:rsid w:val="00DD4EF1"/>
    <w:rsid w:val="00DD5148"/>
    <w:rsid w:val="00DD519C"/>
    <w:rsid w:val="00DD5425"/>
    <w:rsid w:val="00DD55BD"/>
    <w:rsid w:val="00DD56AF"/>
    <w:rsid w:val="00DD5800"/>
    <w:rsid w:val="00DD5A61"/>
    <w:rsid w:val="00DD5C1E"/>
    <w:rsid w:val="00DD5FF0"/>
    <w:rsid w:val="00DD6256"/>
    <w:rsid w:val="00DD645E"/>
    <w:rsid w:val="00DD68A2"/>
    <w:rsid w:val="00DD6915"/>
    <w:rsid w:val="00DD6B1C"/>
    <w:rsid w:val="00DD6D55"/>
    <w:rsid w:val="00DD6E88"/>
    <w:rsid w:val="00DD6F32"/>
    <w:rsid w:val="00DD700B"/>
    <w:rsid w:val="00DD7250"/>
    <w:rsid w:val="00DD74C3"/>
    <w:rsid w:val="00DD74FE"/>
    <w:rsid w:val="00DD78F8"/>
    <w:rsid w:val="00DD7911"/>
    <w:rsid w:val="00DD7C49"/>
    <w:rsid w:val="00DD7D59"/>
    <w:rsid w:val="00DE0306"/>
    <w:rsid w:val="00DE0E3A"/>
    <w:rsid w:val="00DE0EBC"/>
    <w:rsid w:val="00DE0F76"/>
    <w:rsid w:val="00DE1135"/>
    <w:rsid w:val="00DE133A"/>
    <w:rsid w:val="00DE1540"/>
    <w:rsid w:val="00DE17EC"/>
    <w:rsid w:val="00DE1B5E"/>
    <w:rsid w:val="00DE1C8A"/>
    <w:rsid w:val="00DE260B"/>
    <w:rsid w:val="00DE26A6"/>
    <w:rsid w:val="00DE2775"/>
    <w:rsid w:val="00DE2A03"/>
    <w:rsid w:val="00DE2A2B"/>
    <w:rsid w:val="00DE34F9"/>
    <w:rsid w:val="00DE350C"/>
    <w:rsid w:val="00DE353C"/>
    <w:rsid w:val="00DE392A"/>
    <w:rsid w:val="00DE4000"/>
    <w:rsid w:val="00DE4129"/>
    <w:rsid w:val="00DE45ED"/>
    <w:rsid w:val="00DE47D5"/>
    <w:rsid w:val="00DE4F4D"/>
    <w:rsid w:val="00DE577D"/>
    <w:rsid w:val="00DE57AD"/>
    <w:rsid w:val="00DE58C6"/>
    <w:rsid w:val="00DE5AD8"/>
    <w:rsid w:val="00DE5D14"/>
    <w:rsid w:val="00DE5F2C"/>
    <w:rsid w:val="00DE6190"/>
    <w:rsid w:val="00DE63F0"/>
    <w:rsid w:val="00DE65BA"/>
    <w:rsid w:val="00DE65D5"/>
    <w:rsid w:val="00DE66AD"/>
    <w:rsid w:val="00DE6B4D"/>
    <w:rsid w:val="00DE6F79"/>
    <w:rsid w:val="00DE724E"/>
    <w:rsid w:val="00DE745B"/>
    <w:rsid w:val="00DE7658"/>
    <w:rsid w:val="00DE7787"/>
    <w:rsid w:val="00DE7B99"/>
    <w:rsid w:val="00DE7CEE"/>
    <w:rsid w:val="00DE7FD1"/>
    <w:rsid w:val="00DF0444"/>
    <w:rsid w:val="00DF0718"/>
    <w:rsid w:val="00DF0857"/>
    <w:rsid w:val="00DF0D5C"/>
    <w:rsid w:val="00DF16FB"/>
    <w:rsid w:val="00DF1995"/>
    <w:rsid w:val="00DF1C3A"/>
    <w:rsid w:val="00DF1D9F"/>
    <w:rsid w:val="00DF1DF0"/>
    <w:rsid w:val="00DF2E56"/>
    <w:rsid w:val="00DF30C7"/>
    <w:rsid w:val="00DF368D"/>
    <w:rsid w:val="00DF3745"/>
    <w:rsid w:val="00DF37D5"/>
    <w:rsid w:val="00DF395C"/>
    <w:rsid w:val="00DF4096"/>
    <w:rsid w:val="00DF41DE"/>
    <w:rsid w:val="00DF4216"/>
    <w:rsid w:val="00DF4482"/>
    <w:rsid w:val="00DF44BA"/>
    <w:rsid w:val="00DF4CE1"/>
    <w:rsid w:val="00DF53E4"/>
    <w:rsid w:val="00DF560F"/>
    <w:rsid w:val="00DF58DE"/>
    <w:rsid w:val="00DF5D4A"/>
    <w:rsid w:val="00DF5F80"/>
    <w:rsid w:val="00DF61A2"/>
    <w:rsid w:val="00DF632D"/>
    <w:rsid w:val="00DF6820"/>
    <w:rsid w:val="00DF698E"/>
    <w:rsid w:val="00DF6D6E"/>
    <w:rsid w:val="00DF6E41"/>
    <w:rsid w:val="00DF711B"/>
    <w:rsid w:val="00DF720E"/>
    <w:rsid w:val="00DF7661"/>
    <w:rsid w:val="00DF7A43"/>
    <w:rsid w:val="00DF7B4D"/>
    <w:rsid w:val="00DF7B98"/>
    <w:rsid w:val="00DF7FC5"/>
    <w:rsid w:val="00E005BF"/>
    <w:rsid w:val="00E005ED"/>
    <w:rsid w:val="00E015E9"/>
    <w:rsid w:val="00E01827"/>
    <w:rsid w:val="00E01896"/>
    <w:rsid w:val="00E01C71"/>
    <w:rsid w:val="00E02099"/>
    <w:rsid w:val="00E020C2"/>
    <w:rsid w:val="00E02705"/>
    <w:rsid w:val="00E0285D"/>
    <w:rsid w:val="00E029A8"/>
    <w:rsid w:val="00E02A75"/>
    <w:rsid w:val="00E03120"/>
    <w:rsid w:val="00E032CA"/>
    <w:rsid w:val="00E0344D"/>
    <w:rsid w:val="00E03501"/>
    <w:rsid w:val="00E03795"/>
    <w:rsid w:val="00E0418A"/>
    <w:rsid w:val="00E045ED"/>
    <w:rsid w:val="00E055F1"/>
    <w:rsid w:val="00E05762"/>
    <w:rsid w:val="00E05E42"/>
    <w:rsid w:val="00E05EC1"/>
    <w:rsid w:val="00E06482"/>
    <w:rsid w:val="00E067FA"/>
    <w:rsid w:val="00E068F0"/>
    <w:rsid w:val="00E06904"/>
    <w:rsid w:val="00E06A0F"/>
    <w:rsid w:val="00E06ADE"/>
    <w:rsid w:val="00E06B35"/>
    <w:rsid w:val="00E06C22"/>
    <w:rsid w:val="00E0708C"/>
    <w:rsid w:val="00E070F1"/>
    <w:rsid w:val="00E07506"/>
    <w:rsid w:val="00E07C18"/>
    <w:rsid w:val="00E07D32"/>
    <w:rsid w:val="00E07F2D"/>
    <w:rsid w:val="00E10EEC"/>
    <w:rsid w:val="00E115AE"/>
    <w:rsid w:val="00E11F03"/>
    <w:rsid w:val="00E121F2"/>
    <w:rsid w:val="00E125BC"/>
    <w:rsid w:val="00E12824"/>
    <w:rsid w:val="00E129BC"/>
    <w:rsid w:val="00E12AB7"/>
    <w:rsid w:val="00E12ED1"/>
    <w:rsid w:val="00E13562"/>
    <w:rsid w:val="00E1364D"/>
    <w:rsid w:val="00E13A0D"/>
    <w:rsid w:val="00E13B0B"/>
    <w:rsid w:val="00E13CCC"/>
    <w:rsid w:val="00E13E06"/>
    <w:rsid w:val="00E13F64"/>
    <w:rsid w:val="00E141DE"/>
    <w:rsid w:val="00E1447A"/>
    <w:rsid w:val="00E14645"/>
    <w:rsid w:val="00E1494F"/>
    <w:rsid w:val="00E14BE6"/>
    <w:rsid w:val="00E14EBC"/>
    <w:rsid w:val="00E15132"/>
    <w:rsid w:val="00E154B9"/>
    <w:rsid w:val="00E155BF"/>
    <w:rsid w:val="00E15608"/>
    <w:rsid w:val="00E15846"/>
    <w:rsid w:val="00E159B5"/>
    <w:rsid w:val="00E15AF4"/>
    <w:rsid w:val="00E15C09"/>
    <w:rsid w:val="00E15D58"/>
    <w:rsid w:val="00E15DB0"/>
    <w:rsid w:val="00E15DD5"/>
    <w:rsid w:val="00E15FB4"/>
    <w:rsid w:val="00E1629E"/>
    <w:rsid w:val="00E16ACF"/>
    <w:rsid w:val="00E1731F"/>
    <w:rsid w:val="00E1740F"/>
    <w:rsid w:val="00E17565"/>
    <w:rsid w:val="00E1777E"/>
    <w:rsid w:val="00E178EA"/>
    <w:rsid w:val="00E179CC"/>
    <w:rsid w:val="00E179D5"/>
    <w:rsid w:val="00E17FB2"/>
    <w:rsid w:val="00E20168"/>
    <w:rsid w:val="00E20496"/>
    <w:rsid w:val="00E205DA"/>
    <w:rsid w:val="00E2082C"/>
    <w:rsid w:val="00E20B51"/>
    <w:rsid w:val="00E20CD0"/>
    <w:rsid w:val="00E20E81"/>
    <w:rsid w:val="00E20EB5"/>
    <w:rsid w:val="00E2138F"/>
    <w:rsid w:val="00E21685"/>
    <w:rsid w:val="00E21783"/>
    <w:rsid w:val="00E217DA"/>
    <w:rsid w:val="00E218BC"/>
    <w:rsid w:val="00E21ABA"/>
    <w:rsid w:val="00E21ABF"/>
    <w:rsid w:val="00E21CCE"/>
    <w:rsid w:val="00E2233B"/>
    <w:rsid w:val="00E2234A"/>
    <w:rsid w:val="00E226CE"/>
    <w:rsid w:val="00E22752"/>
    <w:rsid w:val="00E22C19"/>
    <w:rsid w:val="00E22D8A"/>
    <w:rsid w:val="00E22E3A"/>
    <w:rsid w:val="00E22F30"/>
    <w:rsid w:val="00E2306D"/>
    <w:rsid w:val="00E233FF"/>
    <w:rsid w:val="00E2348C"/>
    <w:rsid w:val="00E234E0"/>
    <w:rsid w:val="00E235CA"/>
    <w:rsid w:val="00E238F2"/>
    <w:rsid w:val="00E239F1"/>
    <w:rsid w:val="00E23DBA"/>
    <w:rsid w:val="00E23FE8"/>
    <w:rsid w:val="00E24BF7"/>
    <w:rsid w:val="00E24D13"/>
    <w:rsid w:val="00E24D61"/>
    <w:rsid w:val="00E25116"/>
    <w:rsid w:val="00E2561A"/>
    <w:rsid w:val="00E2571A"/>
    <w:rsid w:val="00E25C5D"/>
    <w:rsid w:val="00E25E6D"/>
    <w:rsid w:val="00E25FB5"/>
    <w:rsid w:val="00E263FF"/>
    <w:rsid w:val="00E26486"/>
    <w:rsid w:val="00E2693A"/>
    <w:rsid w:val="00E278A6"/>
    <w:rsid w:val="00E27B7B"/>
    <w:rsid w:val="00E27E48"/>
    <w:rsid w:val="00E30155"/>
    <w:rsid w:val="00E301F7"/>
    <w:rsid w:val="00E307E3"/>
    <w:rsid w:val="00E30A91"/>
    <w:rsid w:val="00E30DED"/>
    <w:rsid w:val="00E31113"/>
    <w:rsid w:val="00E3124F"/>
    <w:rsid w:val="00E31334"/>
    <w:rsid w:val="00E314B6"/>
    <w:rsid w:val="00E31A01"/>
    <w:rsid w:val="00E31A2D"/>
    <w:rsid w:val="00E31C75"/>
    <w:rsid w:val="00E31E84"/>
    <w:rsid w:val="00E31EEE"/>
    <w:rsid w:val="00E3230E"/>
    <w:rsid w:val="00E324A7"/>
    <w:rsid w:val="00E324E1"/>
    <w:rsid w:val="00E32645"/>
    <w:rsid w:val="00E327B4"/>
    <w:rsid w:val="00E328D7"/>
    <w:rsid w:val="00E32901"/>
    <w:rsid w:val="00E32AFD"/>
    <w:rsid w:val="00E33163"/>
    <w:rsid w:val="00E33171"/>
    <w:rsid w:val="00E3352D"/>
    <w:rsid w:val="00E335A5"/>
    <w:rsid w:val="00E3365B"/>
    <w:rsid w:val="00E336B0"/>
    <w:rsid w:val="00E338F7"/>
    <w:rsid w:val="00E33F85"/>
    <w:rsid w:val="00E3400A"/>
    <w:rsid w:val="00E34416"/>
    <w:rsid w:val="00E3455C"/>
    <w:rsid w:val="00E34586"/>
    <w:rsid w:val="00E3486B"/>
    <w:rsid w:val="00E34892"/>
    <w:rsid w:val="00E3492B"/>
    <w:rsid w:val="00E34B81"/>
    <w:rsid w:val="00E34BEE"/>
    <w:rsid w:val="00E34D52"/>
    <w:rsid w:val="00E34F58"/>
    <w:rsid w:val="00E3555D"/>
    <w:rsid w:val="00E357CF"/>
    <w:rsid w:val="00E3584F"/>
    <w:rsid w:val="00E360AB"/>
    <w:rsid w:val="00E36483"/>
    <w:rsid w:val="00E36613"/>
    <w:rsid w:val="00E367C5"/>
    <w:rsid w:val="00E36E1F"/>
    <w:rsid w:val="00E37174"/>
    <w:rsid w:val="00E373B7"/>
    <w:rsid w:val="00E37400"/>
    <w:rsid w:val="00E3749D"/>
    <w:rsid w:val="00E37981"/>
    <w:rsid w:val="00E37FD2"/>
    <w:rsid w:val="00E40096"/>
    <w:rsid w:val="00E4010D"/>
    <w:rsid w:val="00E404C2"/>
    <w:rsid w:val="00E4060F"/>
    <w:rsid w:val="00E40641"/>
    <w:rsid w:val="00E406E7"/>
    <w:rsid w:val="00E40AE5"/>
    <w:rsid w:val="00E40B1B"/>
    <w:rsid w:val="00E41207"/>
    <w:rsid w:val="00E41A60"/>
    <w:rsid w:val="00E41A6B"/>
    <w:rsid w:val="00E41BF6"/>
    <w:rsid w:val="00E41D47"/>
    <w:rsid w:val="00E41E83"/>
    <w:rsid w:val="00E42013"/>
    <w:rsid w:val="00E42655"/>
    <w:rsid w:val="00E42A49"/>
    <w:rsid w:val="00E42B32"/>
    <w:rsid w:val="00E42DA6"/>
    <w:rsid w:val="00E430B1"/>
    <w:rsid w:val="00E433A9"/>
    <w:rsid w:val="00E43524"/>
    <w:rsid w:val="00E4439C"/>
    <w:rsid w:val="00E44472"/>
    <w:rsid w:val="00E44846"/>
    <w:rsid w:val="00E448E5"/>
    <w:rsid w:val="00E44B0F"/>
    <w:rsid w:val="00E44B8A"/>
    <w:rsid w:val="00E44DC8"/>
    <w:rsid w:val="00E44F81"/>
    <w:rsid w:val="00E452A7"/>
    <w:rsid w:val="00E45421"/>
    <w:rsid w:val="00E45544"/>
    <w:rsid w:val="00E458F3"/>
    <w:rsid w:val="00E459EF"/>
    <w:rsid w:val="00E45FAA"/>
    <w:rsid w:val="00E4604B"/>
    <w:rsid w:val="00E46342"/>
    <w:rsid w:val="00E46460"/>
    <w:rsid w:val="00E468DE"/>
    <w:rsid w:val="00E46B26"/>
    <w:rsid w:val="00E46D2C"/>
    <w:rsid w:val="00E472B5"/>
    <w:rsid w:val="00E47486"/>
    <w:rsid w:val="00E477A9"/>
    <w:rsid w:val="00E477E2"/>
    <w:rsid w:val="00E47C44"/>
    <w:rsid w:val="00E5039F"/>
    <w:rsid w:val="00E50851"/>
    <w:rsid w:val="00E5090E"/>
    <w:rsid w:val="00E50A20"/>
    <w:rsid w:val="00E50C12"/>
    <w:rsid w:val="00E5105C"/>
    <w:rsid w:val="00E516F6"/>
    <w:rsid w:val="00E5183D"/>
    <w:rsid w:val="00E5183E"/>
    <w:rsid w:val="00E521FB"/>
    <w:rsid w:val="00E5288C"/>
    <w:rsid w:val="00E52FE5"/>
    <w:rsid w:val="00E531C0"/>
    <w:rsid w:val="00E535DB"/>
    <w:rsid w:val="00E5361E"/>
    <w:rsid w:val="00E53710"/>
    <w:rsid w:val="00E53936"/>
    <w:rsid w:val="00E53B85"/>
    <w:rsid w:val="00E53BB9"/>
    <w:rsid w:val="00E53F42"/>
    <w:rsid w:val="00E5436B"/>
    <w:rsid w:val="00E543DB"/>
    <w:rsid w:val="00E54543"/>
    <w:rsid w:val="00E545BA"/>
    <w:rsid w:val="00E545DA"/>
    <w:rsid w:val="00E54746"/>
    <w:rsid w:val="00E54D21"/>
    <w:rsid w:val="00E54DDE"/>
    <w:rsid w:val="00E54E58"/>
    <w:rsid w:val="00E54E70"/>
    <w:rsid w:val="00E55201"/>
    <w:rsid w:val="00E557C0"/>
    <w:rsid w:val="00E55833"/>
    <w:rsid w:val="00E55AD4"/>
    <w:rsid w:val="00E55AFC"/>
    <w:rsid w:val="00E55C89"/>
    <w:rsid w:val="00E55D15"/>
    <w:rsid w:val="00E55EBF"/>
    <w:rsid w:val="00E55EDF"/>
    <w:rsid w:val="00E562CA"/>
    <w:rsid w:val="00E56361"/>
    <w:rsid w:val="00E56B17"/>
    <w:rsid w:val="00E56C9E"/>
    <w:rsid w:val="00E56E54"/>
    <w:rsid w:val="00E56FFA"/>
    <w:rsid w:val="00E574BD"/>
    <w:rsid w:val="00E577AE"/>
    <w:rsid w:val="00E5782B"/>
    <w:rsid w:val="00E578E6"/>
    <w:rsid w:val="00E57C85"/>
    <w:rsid w:val="00E57DDF"/>
    <w:rsid w:val="00E60038"/>
    <w:rsid w:val="00E60817"/>
    <w:rsid w:val="00E608D0"/>
    <w:rsid w:val="00E60F16"/>
    <w:rsid w:val="00E614E9"/>
    <w:rsid w:val="00E61556"/>
    <w:rsid w:val="00E616EC"/>
    <w:rsid w:val="00E6181E"/>
    <w:rsid w:val="00E61944"/>
    <w:rsid w:val="00E61EC1"/>
    <w:rsid w:val="00E620DA"/>
    <w:rsid w:val="00E623D9"/>
    <w:rsid w:val="00E625BC"/>
    <w:rsid w:val="00E62FF7"/>
    <w:rsid w:val="00E630F1"/>
    <w:rsid w:val="00E63481"/>
    <w:rsid w:val="00E63629"/>
    <w:rsid w:val="00E63654"/>
    <w:rsid w:val="00E63719"/>
    <w:rsid w:val="00E63918"/>
    <w:rsid w:val="00E63BF1"/>
    <w:rsid w:val="00E63C5D"/>
    <w:rsid w:val="00E63D0E"/>
    <w:rsid w:val="00E63E37"/>
    <w:rsid w:val="00E63FBE"/>
    <w:rsid w:val="00E6447A"/>
    <w:rsid w:val="00E64616"/>
    <w:rsid w:val="00E648CB"/>
    <w:rsid w:val="00E64BE2"/>
    <w:rsid w:val="00E64F64"/>
    <w:rsid w:val="00E650C4"/>
    <w:rsid w:val="00E659F9"/>
    <w:rsid w:val="00E65C0B"/>
    <w:rsid w:val="00E663AE"/>
    <w:rsid w:val="00E66F3C"/>
    <w:rsid w:val="00E66FEB"/>
    <w:rsid w:val="00E6718C"/>
    <w:rsid w:val="00E67213"/>
    <w:rsid w:val="00E67431"/>
    <w:rsid w:val="00E67677"/>
    <w:rsid w:val="00E67A3C"/>
    <w:rsid w:val="00E67D22"/>
    <w:rsid w:val="00E67F71"/>
    <w:rsid w:val="00E70C9A"/>
    <w:rsid w:val="00E711F3"/>
    <w:rsid w:val="00E713D4"/>
    <w:rsid w:val="00E71442"/>
    <w:rsid w:val="00E71A95"/>
    <w:rsid w:val="00E71B38"/>
    <w:rsid w:val="00E72083"/>
    <w:rsid w:val="00E7223C"/>
    <w:rsid w:val="00E72489"/>
    <w:rsid w:val="00E72ACC"/>
    <w:rsid w:val="00E72BCF"/>
    <w:rsid w:val="00E73631"/>
    <w:rsid w:val="00E73820"/>
    <w:rsid w:val="00E738C7"/>
    <w:rsid w:val="00E73A5E"/>
    <w:rsid w:val="00E73C22"/>
    <w:rsid w:val="00E73CFD"/>
    <w:rsid w:val="00E74142"/>
    <w:rsid w:val="00E74CD1"/>
    <w:rsid w:val="00E74EF1"/>
    <w:rsid w:val="00E74F06"/>
    <w:rsid w:val="00E751D2"/>
    <w:rsid w:val="00E75206"/>
    <w:rsid w:val="00E75278"/>
    <w:rsid w:val="00E7532A"/>
    <w:rsid w:val="00E7555B"/>
    <w:rsid w:val="00E7557E"/>
    <w:rsid w:val="00E7572A"/>
    <w:rsid w:val="00E7645A"/>
    <w:rsid w:val="00E76850"/>
    <w:rsid w:val="00E7703E"/>
    <w:rsid w:val="00E77879"/>
    <w:rsid w:val="00E77884"/>
    <w:rsid w:val="00E77915"/>
    <w:rsid w:val="00E77B6B"/>
    <w:rsid w:val="00E77CFF"/>
    <w:rsid w:val="00E803CC"/>
    <w:rsid w:val="00E80502"/>
    <w:rsid w:val="00E80583"/>
    <w:rsid w:val="00E8079E"/>
    <w:rsid w:val="00E8081B"/>
    <w:rsid w:val="00E80A9F"/>
    <w:rsid w:val="00E80B8E"/>
    <w:rsid w:val="00E80D47"/>
    <w:rsid w:val="00E8167F"/>
    <w:rsid w:val="00E819C7"/>
    <w:rsid w:val="00E81A75"/>
    <w:rsid w:val="00E822A7"/>
    <w:rsid w:val="00E82302"/>
    <w:rsid w:val="00E825C8"/>
    <w:rsid w:val="00E82D6F"/>
    <w:rsid w:val="00E82F5B"/>
    <w:rsid w:val="00E83702"/>
    <w:rsid w:val="00E83902"/>
    <w:rsid w:val="00E839B4"/>
    <w:rsid w:val="00E83BA8"/>
    <w:rsid w:val="00E83F7E"/>
    <w:rsid w:val="00E840A0"/>
    <w:rsid w:val="00E843B6"/>
    <w:rsid w:val="00E84988"/>
    <w:rsid w:val="00E84ACD"/>
    <w:rsid w:val="00E84CFD"/>
    <w:rsid w:val="00E84D6A"/>
    <w:rsid w:val="00E84FFB"/>
    <w:rsid w:val="00E852AF"/>
    <w:rsid w:val="00E855B0"/>
    <w:rsid w:val="00E8589B"/>
    <w:rsid w:val="00E85B46"/>
    <w:rsid w:val="00E85CDE"/>
    <w:rsid w:val="00E860A5"/>
    <w:rsid w:val="00E862FA"/>
    <w:rsid w:val="00E863CD"/>
    <w:rsid w:val="00E86481"/>
    <w:rsid w:val="00E8660B"/>
    <w:rsid w:val="00E8699A"/>
    <w:rsid w:val="00E86B2A"/>
    <w:rsid w:val="00E86C31"/>
    <w:rsid w:val="00E86E8F"/>
    <w:rsid w:val="00E87304"/>
    <w:rsid w:val="00E8745C"/>
    <w:rsid w:val="00E878F9"/>
    <w:rsid w:val="00E87980"/>
    <w:rsid w:val="00E87A91"/>
    <w:rsid w:val="00E87B83"/>
    <w:rsid w:val="00E87F62"/>
    <w:rsid w:val="00E9096E"/>
    <w:rsid w:val="00E90B70"/>
    <w:rsid w:val="00E90F6D"/>
    <w:rsid w:val="00E914BB"/>
    <w:rsid w:val="00E91628"/>
    <w:rsid w:val="00E91F60"/>
    <w:rsid w:val="00E91F65"/>
    <w:rsid w:val="00E9203D"/>
    <w:rsid w:val="00E922DE"/>
    <w:rsid w:val="00E92598"/>
    <w:rsid w:val="00E92A5F"/>
    <w:rsid w:val="00E93233"/>
    <w:rsid w:val="00E9358D"/>
    <w:rsid w:val="00E935F0"/>
    <w:rsid w:val="00E937DE"/>
    <w:rsid w:val="00E93940"/>
    <w:rsid w:val="00E93A49"/>
    <w:rsid w:val="00E93BB2"/>
    <w:rsid w:val="00E93D01"/>
    <w:rsid w:val="00E93DBA"/>
    <w:rsid w:val="00E94353"/>
    <w:rsid w:val="00E95070"/>
    <w:rsid w:val="00E95171"/>
    <w:rsid w:val="00E957FC"/>
    <w:rsid w:val="00E95957"/>
    <w:rsid w:val="00E95BD1"/>
    <w:rsid w:val="00E95E31"/>
    <w:rsid w:val="00E95F1F"/>
    <w:rsid w:val="00E95F4C"/>
    <w:rsid w:val="00E960D2"/>
    <w:rsid w:val="00E9671E"/>
    <w:rsid w:val="00E96CF8"/>
    <w:rsid w:val="00E96E1D"/>
    <w:rsid w:val="00E96F2A"/>
    <w:rsid w:val="00E96F92"/>
    <w:rsid w:val="00E97200"/>
    <w:rsid w:val="00E9733E"/>
    <w:rsid w:val="00E975A5"/>
    <w:rsid w:val="00E97606"/>
    <w:rsid w:val="00E9760C"/>
    <w:rsid w:val="00E9783F"/>
    <w:rsid w:val="00E97CEF"/>
    <w:rsid w:val="00E97EE5"/>
    <w:rsid w:val="00E97F57"/>
    <w:rsid w:val="00EA0401"/>
    <w:rsid w:val="00EA05A6"/>
    <w:rsid w:val="00EA0710"/>
    <w:rsid w:val="00EA0979"/>
    <w:rsid w:val="00EA0D9E"/>
    <w:rsid w:val="00EA0F19"/>
    <w:rsid w:val="00EA1009"/>
    <w:rsid w:val="00EA1352"/>
    <w:rsid w:val="00EA15B2"/>
    <w:rsid w:val="00EA192C"/>
    <w:rsid w:val="00EA1F71"/>
    <w:rsid w:val="00EA200C"/>
    <w:rsid w:val="00EA25B6"/>
    <w:rsid w:val="00EA2641"/>
    <w:rsid w:val="00EA2718"/>
    <w:rsid w:val="00EA2A73"/>
    <w:rsid w:val="00EA2AE7"/>
    <w:rsid w:val="00EA2CCA"/>
    <w:rsid w:val="00EA2F4F"/>
    <w:rsid w:val="00EA2FFB"/>
    <w:rsid w:val="00EA3062"/>
    <w:rsid w:val="00EA30B7"/>
    <w:rsid w:val="00EA33EE"/>
    <w:rsid w:val="00EA3424"/>
    <w:rsid w:val="00EA3468"/>
    <w:rsid w:val="00EA34F3"/>
    <w:rsid w:val="00EA36CF"/>
    <w:rsid w:val="00EA380E"/>
    <w:rsid w:val="00EA3DBF"/>
    <w:rsid w:val="00EA3EBD"/>
    <w:rsid w:val="00EA3F99"/>
    <w:rsid w:val="00EA421B"/>
    <w:rsid w:val="00EA45FE"/>
    <w:rsid w:val="00EA46CB"/>
    <w:rsid w:val="00EA4B6A"/>
    <w:rsid w:val="00EA4DC1"/>
    <w:rsid w:val="00EA4E5B"/>
    <w:rsid w:val="00EA50EF"/>
    <w:rsid w:val="00EA54A7"/>
    <w:rsid w:val="00EA55F6"/>
    <w:rsid w:val="00EA5C84"/>
    <w:rsid w:val="00EA5DB6"/>
    <w:rsid w:val="00EA642D"/>
    <w:rsid w:val="00EA66BB"/>
    <w:rsid w:val="00EA66DF"/>
    <w:rsid w:val="00EA685B"/>
    <w:rsid w:val="00EA69A9"/>
    <w:rsid w:val="00EA6B9B"/>
    <w:rsid w:val="00EA71B4"/>
    <w:rsid w:val="00EA7610"/>
    <w:rsid w:val="00EA76B5"/>
    <w:rsid w:val="00EA7AF7"/>
    <w:rsid w:val="00EA7BD2"/>
    <w:rsid w:val="00EA7D2B"/>
    <w:rsid w:val="00EA7E60"/>
    <w:rsid w:val="00EB0230"/>
    <w:rsid w:val="00EB03FE"/>
    <w:rsid w:val="00EB059D"/>
    <w:rsid w:val="00EB05BD"/>
    <w:rsid w:val="00EB08F2"/>
    <w:rsid w:val="00EB0BAC"/>
    <w:rsid w:val="00EB0CF5"/>
    <w:rsid w:val="00EB0E05"/>
    <w:rsid w:val="00EB0F16"/>
    <w:rsid w:val="00EB0F55"/>
    <w:rsid w:val="00EB18FC"/>
    <w:rsid w:val="00EB195C"/>
    <w:rsid w:val="00EB1992"/>
    <w:rsid w:val="00EB19CB"/>
    <w:rsid w:val="00EB1A55"/>
    <w:rsid w:val="00EB1D8F"/>
    <w:rsid w:val="00EB1DC8"/>
    <w:rsid w:val="00EB24A4"/>
    <w:rsid w:val="00EB2825"/>
    <w:rsid w:val="00EB29BD"/>
    <w:rsid w:val="00EB2C7A"/>
    <w:rsid w:val="00EB2F6C"/>
    <w:rsid w:val="00EB300E"/>
    <w:rsid w:val="00EB36D2"/>
    <w:rsid w:val="00EB377E"/>
    <w:rsid w:val="00EB39A9"/>
    <w:rsid w:val="00EB3A7A"/>
    <w:rsid w:val="00EB41E6"/>
    <w:rsid w:val="00EB458B"/>
    <w:rsid w:val="00EB462A"/>
    <w:rsid w:val="00EB4EAA"/>
    <w:rsid w:val="00EB5265"/>
    <w:rsid w:val="00EB52C5"/>
    <w:rsid w:val="00EB53F0"/>
    <w:rsid w:val="00EB5B76"/>
    <w:rsid w:val="00EB5BA9"/>
    <w:rsid w:val="00EB5C9E"/>
    <w:rsid w:val="00EB69C9"/>
    <w:rsid w:val="00EB69DA"/>
    <w:rsid w:val="00EB6A98"/>
    <w:rsid w:val="00EB6B41"/>
    <w:rsid w:val="00EB6C7F"/>
    <w:rsid w:val="00EB6E76"/>
    <w:rsid w:val="00EB6F5F"/>
    <w:rsid w:val="00EB70D5"/>
    <w:rsid w:val="00EB7259"/>
    <w:rsid w:val="00EB760C"/>
    <w:rsid w:val="00EB7805"/>
    <w:rsid w:val="00EB7C87"/>
    <w:rsid w:val="00EB7DBD"/>
    <w:rsid w:val="00EB7F17"/>
    <w:rsid w:val="00EC0353"/>
    <w:rsid w:val="00EC0405"/>
    <w:rsid w:val="00EC0584"/>
    <w:rsid w:val="00EC0A52"/>
    <w:rsid w:val="00EC0AAB"/>
    <w:rsid w:val="00EC0CF3"/>
    <w:rsid w:val="00EC0DA9"/>
    <w:rsid w:val="00EC0E5A"/>
    <w:rsid w:val="00EC15C8"/>
    <w:rsid w:val="00EC1946"/>
    <w:rsid w:val="00EC1D44"/>
    <w:rsid w:val="00EC1D97"/>
    <w:rsid w:val="00EC1FC0"/>
    <w:rsid w:val="00EC2016"/>
    <w:rsid w:val="00EC2327"/>
    <w:rsid w:val="00EC2910"/>
    <w:rsid w:val="00EC2A7D"/>
    <w:rsid w:val="00EC2B1D"/>
    <w:rsid w:val="00EC2B59"/>
    <w:rsid w:val="00EC2EB2"/>
    <w:rsid w:val="00EC3043"/>
    <w:rsid w:val="00EC304A"/>
    <w:rsid w:val="00EC30AD"/>
    <w:rsid w:val="00EC31A8"/>
    <w:rsid w:val="00EC31FA"/>
    <w:rsid w:val="00EC3354"/>
    <w:rsid w:val="00EC3506"/>
    <w:rsid w:val="00EC3CFF"/>
    <w:rsid w:val="00EC437E"/>
    <w:rsid w:val="00EC4482"/>
    <w:rsid w:val="00EC4511"/>
    <w:rsid w:val="00EC460D"/>
    <w:rsid w:val="00EC4665"/>
    <w:rsid w:val="00EC46AA"/>
    <w:rsid w:val="00EC4781"/>
    <w:rsid w:val="00EC482D"/>
    <w:rsid w:val="00EC48EF"/>
    <w:rsid w:val="00EC4DE7"/>
    <w:rsid w:val="00EC4FBE"/>
    <w:rsid w:val="00EC50C4"/>
    <w:rsid w:val="00EC562D"/>
    <w:rsid w:val="00EC5848"/>
    <w:rsid w:val="00EC5916"/>
    <w:rsid w:val="00EC5963"/>
    <w:rsid w:val="00EC5CB0"/>
    <w:rsid w:val="00EC605A"/>
    <w:rsid w:val="00EC66DB"/>
    <w:rsid w:val="00EC6790"/>
    <w:rsid w:val="00EC6A50"/>
    <w:rsid w:val="00EC6A6A"/>
    <w:rsid w:val="00EC6BBA"/>
    <w:rsid w:val="00EC6BDD"/>
    <w:rsid w:val="00EC6BF5"/>
    <w:rsid w:val="00EC6D4F"/>
    <w:rsid w:val="00EC7741"/>
    <w:rsid w:val="00EC7B49"/>
    <w:rsid w:val="00EC7CFA"/>
    <w:rsid w:val="00EC7D6E"/>
    <w:rsid w:val="00ED0086"/>
    <w:rsid w:val="00ED06A1"/>
    <w:rsid w:val="00ED06AC"/>
    <w:rsid w:val="00ED0B20"/>
    <w:rsid w:val="00ED0C79"/>
    <w:rsid w:val="00ED1393"/>
    <w:rsid w:val="00ED17A2"/>
    <w:rsid w:val="00ED1C43"/>
    <w:rsid w:val="00ED1E0C"/>
    <w:rsid w:val="00ED2347"/>
    <w:rsid w:val="00ED23C1"/>
    <w:rsid w:val="00ED2556"/>
    <w:rsid w:val="00ED26DC"/>
    <w:rsid w:val="00ED2B2D"/>
    <w:rsid w:val="00ED30F9"/>
    <w:rsid w:val="00ED3819"/>
    <w:rsid w:val="00ED3AF0"/>
    <w:rsid w:val="00ED3F5A"/>
    <w:rsid w:val="00ED4361"/>
    <w:rsid w:val="00ED443D"/>
    <w:rsid w:val="00ED4558"/>
    <w:rsid w:val="00ED45C9"/>
    <w:rsid w:val="00ED46FC"/>
    <w:rsid w:val="00ED4945"/>
    <w:rsid w:val="00ED4F92"/>
    <w:rsid w:val="00ED520A"/>
    <w:rsid w:val="00ED52BB"/>
    <w:rsid w:val="00ED5598"/>
    <w:rsid w:val="00ED61E8"/>
    <w:rsid w:val="00ED68AC"/>
    <w:rsid w:val="00ED69F1"/>
    <w:rsid w:val="00ED6C59"/>
    <w:rsid w:val="00ED6D13"/>
    <w:rsid w:val="00ED70DC"/>
    <w:rsid w:val="00ED7249"/>
    <w:rsid w:val="00ED7491"/>
    <w:rsid w:val="00ED75B7"/>
    <w:rsid w:val="00ED7AC1"/>
    <w:rsid w:val="00ED7B14"/>
    <w:rsid w:val="00ED7C60"/>
    <w:rsid w:val="00ED7CB8"/>
    <w:rsid w:val="00ED7D4F"/>
    <w:rsid w:val="00EE0119"/>
    <w:rsid w:val="00EE0393"/>
    <w:rsid w:val="00EE0545"/>
    <w:rsid w:val="00EE0612"/>
    <w:rsid w:val="00EE0D82"/>
    <w:rsid w:val="00EE17A7"/>
    <w:rsid w:val="00EE1BB8"/>
    <w:rsid w:val="00EE1E1D"/>
    <w:rsid w:val="00EE1FEE"/>
    <w:rsid w:val="00EE25A8"/>
    <w:rsid w:val="00EE2B46"/>
    <w:rsid w:val="00EE2C19"/>
    <w:rsid w:val="00EE2DAC"/>
    <w:rsid w:val="00EE2DD0"/>
    <w:rsid w:val="00EE2DDE"/>
    <w:rsid w:val="00EE31EA"/>
    <w:rsid w:val="00EE360A"/>
    <w:rsid w:val="00EE3C8F"/>
    <w:rsid w:val="00EE3CFC"/>
    <w:rsid w:val="00EE3E0A"/>
    <w:rsid w:val="00EE3F93"/>
    <w:rsid w:val="00EE404A"/>
    <w:rsid w:val="00EE4561"/>
    <w:rsid w:val="00EE466F"/>
    <w:rsid w:val="00EE47CE"/>
    <w:rsid w:val="00EE4928"/>
    <w:rsid w:val="00EE4D64"/>
    <w:rsid w:val="00EE54AB"/>
    <w:rsid w:val="00EE577F"/>
    <w:rsid w:val="00EE58AE"/>
    <w:rsid w:val="00EE5A13"/>
    <w:rsid w:val="00EE5DB3"/>
    <w:rsid w:val="00EE62F5"/>
    <w:rsid w:val="00EE6A6B"/>
    <w:rsid w:val="00EE6C4F"/>
    <w:rsid w:val="00EE747E"/>
    <w:rsid w:val="00EE76CC"/>
    <w:rsid w:val="00EE7D76"/>
    <w:rsid w:val="00EE7E68"/>
    <w:rsid w:val="00EE7FD7"/>
    <w:rsid w:val="00EF009F"/>
    <w:rsid w:val="00EF0434"/>
    <w:rsid w:val="00EF0689"/>
    <w:rsid w:val="00EF07AE"/>
    <w:rsid w:val="00EF0B4A"/>
    <w:rsid w:val="00EF0D25"/>
    <w:rsid w:val="00EF100D"/>
    <w:rsid w:val="00EF112E"/>
    <w:rsid w:val="00EF131B"/>
    <w:rsid w:val="00EF145E"/>
    <w:rsid w:val="00EF2490"/>
    <w:rsid w:val="00EF2600"/>
    <w:rsid w:val="00EF27D4"/>
    <w:rsid w:val="00EF2BE4"/>
    <w:rsid w:val="00EF2C04"/>
    <w:rsid w:val="00EF3258"/>
    <w:rsid w:val="00EF329B"/>
    <w:rsid w:val="00EF32A4"/>
    <w:rsid w:val="00EF32C3"/>
    <w:rsid w:val="00EF3746"/>
    <w:rsid w:val="00EF3833"/>
    <w:rsid w:val="00EF3E1C"/>
    <w:rsid w:val="00EF3E33"/>
    <w:rsid w:val="00EF4531"/>
    <w:rsid w:val="00EF4B79"/>
    <w:rsid w:val="00EF4C7B"/>
    <w:rsid w:val="00EF4EB3"/>
    <w:rsid w:val="00EF521F"/>
    <w:rsid w:val="00EF5490"/>
    <w:rsid w:val="00EF5A27"/>
    <w:rsid w:val="00EF5B9A"/>
    <w:rsid w:val="00EF607C"/>
    <w:rsid w:val="00EF637E"/>
    <w:rsid w:val="00EF65D2"/>
    <w:rsid w:val="00EF6998"/>
    <w:rsid w:val="00EF70AE"/>
    <w:rsid w:val="00EF74F2"/>
    <w:rsid w:val="00EF75C6"/>
    <w:rsid w:val="00EF760A"/>
    <w:rsid w:val="00EF76C0"/>
    <w:rsid w:val="00EF76D0"/>
    <w:rsid w:val="00EF77DE"/>
    <w:rsid w:val="00EF78F2"/>
    <w:rsid w:val="00EF7B01"/>
    <w:rsid w:val="00EF7BF2"/>
    <w:rsid w:val="00EF7E74"/>
    <w:rsid w:val="00F0005D"/>
    <w:rsid w:val="00F0034E"/>
    <w:rsid w:val="00F00A6E"/>
    <w:rsid w:val="00F00F64"/>
    <w:rsid w:val="00F01BB0"/>
    <w:rsid w:val="00F01F93"/>
    <w:rsid w:val="00F01FC6"/>
    <w:rsid w:val="00F02622"/>
    <w:rsid w:val="00F02632"/>
    <w:rsid w:val="00F02796"/>
    <w:rsid w:val="00F02CEF"/>
    <w:rsid w:val="00F02D19"/>
    <w:rsid w:val="00F03030"/>
    <w:rsid w:val="00F030BA"/>
    <w:rsid w:val="00F0314F"/>
    <w:rsid w:val="00F03396"/>
    <w:rsid w:val="00F03A11"/>
    <w:rsid w:val="00F0415D"/>
    <w:rsid w:val="00F04402"/>
    <w:rsid w:val="00F0447A"/>
    <w:rsid w:val="00F04628"/>
    <w:rsid w:val="00F049AB"/>
    <w:rsid w:val="00F04A56"/>
    <w:rsid w:val="00F04F3D"/>
    <w:rsid w:val="00F050D8"/>
    <w:rsid w:val="00F050DA"/>
    <w:rsid w:val="00F051D4"/>
    <w:rsid w:val="00F05344"/>
    <w:rsid w:val="00F05660"/>
    <w:rsid w:val="00F05A2F"/>
    <w:rsid w:val="00F05C9B"/>
    <w:rsid w:val="00F05CB7"/>
    <w:rsid w:val="00F05FE2"/>
    <w:rsid w:val="00F0605B"/>
    <w:rsid w:val="00F060C2"/>
    <w:rsid w:val="00F063B4"/>
    <w:rsid w:val="00F06C6A"/>
    <w:rsid w:val="00F06CB0"/>
    <w:rsid w:val="00F06CC9"/>
    <w:rsid w:val="00F06D52"/>
    <w:rsid w:val="00F06EE5"/>
    <w:rsid w:val="00F070ED"/>
    <w:rsid w:val="00F076BF"/>
    <w:rsid w:val="00F0774E"/>
    <w:rsid w:val="00F0790E"/>
    <w:rsid w:val="00F07996"/>
    <w:rsid w:val="00F07B93"/>
    <w:rsid w:val="00F07D57"/>
    <w:rsid w:val="00F10107"/>
    <w:rsid w:val="00F10136"/>
    <w:rsid w:val="00F10618"/>
    <w:rsid w:val="00F10995"/>
    <w:rsid w:val="00F10B7A"/>
    <w:rsid w:val="00F10D51"/>
    <w:rsid w:val="00F10E6A"/>
    <w:rsid w:val="00F114B5"/>
    <w:rsid w:val="00F1198C"/>
    <w:rsid w:val="00F11B65"/>
    <w:rsid w:val="00F12185"/>
    <w:rsid w:val="00F1251E"/>
    <w:rsid w:val="00F126F8"/>
    <w:rsid w:val="00F12A5A"/>
    <w:rsid w:val="00F12B17"/>
    <w:rsid w:val="00F12F68"/>
    <w:rsid w:val="00F1322E"/>
    <w:rsid w:val="00F13486"/>
    <w:rsid w:val="00F13DE4"/>
    <w:rsid w:val="00F145A4"/>
    <w:rsid w:val="00F145F1"/>
    <w:rsid w:val="00F146C5"/>
    <w:rsid w:val="00F14C33"/>
    <w:rsid w:val="00F15008"/>
    <w:rsid w:val="00F151CE"/>
    <w:rsid w:val="00F152BC"/>
    <w:rsid w:val="00F152D9"/>
    <w:rsid w:val="00F15419"/>
    <w:rsid w:val="00F15938"/>
    <w:rsid w:val="00F15D69"/>
    <w:rsid w:val="00F16076"/>
    <w:rsid w:val="00F162B3"/>
    <w:rsid w:val="00F164F6"/>
    <w:rsid w:val="00F1664A"/>
    <w:rsid w:val="00F1676E"/>
    <w:rsid w:val="00F1697D"/>
    <w:rsid w:val="00F16B3B"/>
    <w:rsid w:val="00F16D28"/>
    <w:rsid w:val="00F16E7E"/>
    <w:rsid w:val="00F173BF"/>
    <w:rsid w:val="00F1742E"/>
    <w:rsid w:val="00F176A3"/>
    <w:rsid w:val="00F17764"/>
    <w:rsid w:val="00F178E4"/>
    <w:rsid w:val="00F2012B"/>
    <w:rsid w:val="00F203A3"/>
    <w:rsid w:val="00F20453"/>
    <w:rsid w:val="00F20830"/>
    <w:rsid w:val="00F20CFB"/>
    <w:rsid w:val="00F20D9B"/>
    <w:rsid w:val="00F20FBF"/>
    <w:rsid w:val="00F21375"/>
    <w:rsid w:val="00F214CC"/>
    <w:rsid w:val="00F2174F"/>
    <w:rsid w:val="00F21907"/>
    <w:rsid w:val="00F21C55"/>
    <w:rsid w:val="00F21F89"/>
    <w:rsid w:val="00F2218B"/>
    <w:rsid w:val="00F22196"/>
    <w:rsid w:val="00F223FB"/>
    <w:rsid w:val="00F225D9"/>
    <w:rsid w:val="00F22FAE"/>
    <w:rsid w:val="00F2307E"/>
    <w:rsid w:val="00F2362A"/>
    <w:rsid w:val="00F23700"/>
    <w:rsid w:val="00F239F5"/>
    <w:rsid w:val="00F24042"/>
    <w:rsid w:val="00F24105"/>
    <w:rsid w:val="00F24330"/>
    <w:rsid w:val="00F24765"/>
    <w:rsid w:val="00F24854"/>
    <w:rsid w:val="00F24B1E"/>
    <w:rsid w:val="00F24DB8"/>
    <w:rsid w:val="00F2500A"/>
    <w:rsid w:val="00F2524C"/>
    <w:rsid w:val="00F256B3"/>
    <w:rsid w:val="00F25A17"/>
    <w:rsid w:val="00F25E28"/>
    <w:rsid w:val="00F2613C"/>
    <w:rsid w:val="00F265B9"/>
    <w:rsid w:val="00F26DC7"/>
    <w:rsid w:val="00F26E51"/>
    <w:rsid w:val="00F26FD4"/>
    <w:rsid w:val="00F2726B"/>
    <w:rsid w:val="00F273CD"/>
    <w:rsid w:val="00F2746A"/>
    <w:rsid w:val="00F277F6"/>
    <w:rsid w:val="00F27895"/>
    <w:rsid w:val="00F2793D"/>
    <w:rsid w:val="00F27C6B"/>
    <w:rsid w:val="00F27CAA"/>
    <w:rsid w:val="00F27FC4"/>
    <w:rsid w:val="00F30290"/>
    <w:rsid w:val="00F30337"/>
    <w:rsid w:val="00F30383"/>
    <w:rsid w:val="00F30522"/>
    <w:rsid w:val="00F305F5"/>
    <w:rsid w:val="00F305F8"/>
    <w:rsid w:val="00F30C4C"/>
    <w:rsid w:val="00F30EB6"/>
    <w:rsid w:val="00F30EE3"/>
    <w:rsid w:val="00F310AB"/>
    <w:rsid w:val="00F312A7"/>
    <w:rsid w:val="00F313DE"/>
    <w:rsid w:val="00F31BB9"/>
    <w:rsid w:val="00F32972"/>
    <w:rsid w:val="00F33125"/>
    <w:rsid w:val="00F332E8"/>
    <w:rsid w:val="00F337D0"/>
    <w:rsid w:val="00F33D3A"/>
    <w:rsid w:val="00F33DEA"/>
    <w:rsid w:val="00F33DEC"/>
    <w:rsid w:val="00F33EB1"/>
    <w:rsid w:val="00F34407"/>
    <w:rsid w:val="00F3478B"/>
    <w:rsid w:val="00F347E2"/>
    <w:rsid w:val="00F34A9D"/>
    <w:rsid w:val="00F34C88"/>
    <w:rsid w:val="00F34D58"/>
    <w:rsid w:val="00F34DE3"/>
    <w:rsid w:val="00F3517E"/>
    <w:rsid w:val="00F35772"/>
    <w:rsid w:val="00F35AFF"/>
    <w:rsid w:val="00F35BE3"/>
    <w:rsid w:val="00F35DF6"/>
    <w:rsid w:val="00F35F4A"/>
    <w:rsid w:val="00F3613F"/>
    <w:rsid w:val="00F36172"/>
    <w:rsid w:val="00F36269"/>
    <w:rsid w:val="00F36333"/>
    <w:rsid w:val="00F363E1"/>
    <w:rsid w:val="00F3640D"/>
    <w:rsid w:val="00F3663C"/>
    <w:rsid w:val="00F366BE"/>
    <w:rsid w:val="00F366CA"/>
    <w:rsid w:val="00F3673F"/>
    <w:rsid w:val="00F36922"/>
    <w:rsid w:val="00F36C00"/>
    <w:rsid w:val="00F3731F"/>
    <w:rsid w:val="00F37873"/>
    <w:rsid w:val="00F37A14"/>
    <w:rsid w:val="00F37A1C"/>
    <w:rsid w:val="00F37BB0"/>
    <w:rsid w:val="00F37D4D"/>
    <w:rsid w:val="00F37EBA"/>
    <w:rsid w:val="00F400A8"/>
    <w:rsid w:val="00F40973"/>
    <w:rsid w:val="00F409F1"/>
    <w:rsid w:val="00F40B3F"/>
    <w:rsid w:val="00F40BE0"/>
    <w:rsid w:val="00F40C71"/>
    <w:rsid w:val="00F40E5B"/>
    <w:rsid w:val="00F40EFB"/>
    <w:rsid w:val="00F4145A"/>
    <w:rsid w:val="00F41B20"/>
    <w:rsid w:val="00F41BDC"/>
    <w:rsid w:val="00F41C7E"/>
    <w:rsid w:val="00F423A2"/>
    <w:rsid w:val="00F425F0"/>
    <w:rsid w:val="00F42A54"/>
    <w:rsid w:val="00F431B6"/>
    <w:rsid w:val="00F43BD5"/>
    <w:rsid w:val="00F43C60"/>
    <w:rsid w:val="00F43C66"/>
    <w:rsid w:val="00F43E79"/>
    <w:rsid w:val="00F44C37"/>
    <w:rsid w:val="00F44DEB"/>
    <w:rsid w:val="00F44FC2"/>
    <w:rsid w:val="00F450E3"/>
    <w:rsid w:val="00F450E9"/>
    <w:rsid w:val="00F452ED"/>
    <w:rsid w:val="00F4530A"/>
    <w:rsid w:val="00F45606"/>
    <w:rsid w:val="00F4567C"/>
    <w:rsid w:val="00F45B16"/>
    <w:rsid w:val="00F460D2"/>
    <w:rsid w:val="00F4621B"/>
    <w:rsid w:val="00F46612"/>
    <w:rsid w:val="00F46CE8"/>
    <w:rsid w:val="00F470F5"/>
    <w:rsid w:val="00F47379"/>
    <w:rsid w:val="00F4792B"/>
    <w:rsid w:val="00F479B1"/>
    <w:rsid w:val="00F479D2"/>
    <w:rsid w:val="00F50203"/>
    <w:rsid w:val="00F506C2"/>
    <w:rsid w:val="00F50782"/>
    <w:rsid w:val="00F50CB0"/>
    <w:rsid w:val="00F50DA0"/>
    <w:rsid w:val="00F50EFC"/>
    <w:rsid w:val="00F51596"/>
    <w:rsid w:val="00F51B96"/>
    <w:rsid w:val="00F51C2F"/>
    <w:rsid w:val="00F51CE6"/>
    <w:rsid w:val="00F51F07"/>
    <w:rsid w:val="00F52059"/>
    <w:rsid w:val="00F52254"/>
    <w:rsid w:val="00F52AE0"/>
    <w:rsid w:val="00F52EB5"/>
    <w:rsid w:val="00F5320F"/>
    <w:rsid w:val="00F53A3F"/>
    <w:rsid w:val="00F53AC5"/>
    <w:rsid w:val="00F53BFB"/>
    <w:rsid w:val="00F53C3C"/>
    <w:rsid w:val="00F53F87"/>
    <w:rsid w:val="00F53FA6"/>
    <w:rsid w:val="00F54045"/>
    <w:rsid w:val="00F54823"/>
    <w:rsid w:val="00F54891"/>
    <w:rsid w:val="00F548C4"/>
    <w:rsid w:val="00F548DB"/>
    <w:rsid w:val="00F54A78"/>
    <w:rsid w:val="00F54FEB"/>
    <w:rsid w:val="00F551E1"/>
    <w:rsid w:val="00F55340"/>
    <w:rsid w:val="00F55479"/>
    <w:rsid w:val="00F55980"/>
    <w:rsid w:val="00F559DE"/>
    <w:rsid w:val="00F559F2"/>
    <w:rsid w:val="00F55AB8"/>
    <w:rsid w:val="00F55E30"/>
    <w:rsid w:val="00F561CC"/>
    <w:rsid w:val="00F56591"/>
    <w:rsid w:val="00F568FC"/>
    <w:rsid w:val="00F56A1F"/>
    <w:rsid w:val="00F56E98"/>
    <w:rsid w:val="00F56F0E"/>
    <w:rsid w:val="00F56F81"/>
    <w:rsid w:val="00F56FA2"/>
    <w:rsid w:val="00F57376"/>
    <w:rsid w:val="00F573F1"/>
    <w:rsid w:val="00F57B13"/>
    <w:rsid w:val="00F57CCF"/>
    <w:rsid w:val="00F57FE0"/>
    <w:rsid w:val="00F6015A"/>
    <w:rsid w:val="00F6074C"/>
    <w:rsid w:val="00F609E6"/>
    <w:rsid w:val="00F60C13"/>
    <w:rsid w:val="00F60C78"/>
    <w:rsid w:val="00F6101A"/>
    <w:rsid w:val="00F61029"/>
    <w:rsid w:val="00F611D6"/>
    <w:rsid w:val="00F6150B"/>
    <w:rsid w:val="00F6221D"/>
    <w:rsid w:val="00F62244"/>
    <w:rsid w:val="00F624BA"/>
    <w:rsid w:val="00F62661"/>
    <w:rsid w:val="00F6296B"/>
    <w:rsid w:val="00F6297B"/>
    <w:rsid w:val="00F62BAB"/>
    <w:rsid w:val="00F62CC3"/>
    <w:rsid w:val="00F640CC"/>
    <w:rsid w:val="00F641C6"/>
    <w:rsid w:val="00F641E0"/>
    <w:rsid w:val="00F644FB"/>
    <w:rsid w:val="00F64504"/>
    <w:rsid w:val="00F6453C"/>
    <w:rsid w:val="00F646CD"/>
    <w:rsid w:val="00F64CF2"/>
    <w:rsid w:val="00F64D0A"/>
    <w:rsid w:val="00F64E31"/>
    <w:rsid w:val="00F65361"/>
    <w:rsid w:val="00F65365"/>
    <w:rsid w:val="00F65658"/>
    <w:rsid w:val="00F657B6"/>
    <w:rsid w:val="00F65A5D"/>
    <w:rsid w:val="00F65BB4"/>
    <w:rsid w:val="00F65DFF"/>
    <w:rsid w:val="00F66659"/>
    <w:rsid w:val="00F66AB6"/>
    <w:rsid w:val="00F66B1B"/>
    <w:rsid w:val="00F670EA"/>
    <w:rsid w:val="00F67D64"/>
    <w:rsid w:val="00F70165"/>
    <w:rsid w:val="00F703BB"/>
    <w:rsid w:val="00F70844"/>
    <w:rsid w:val="00F71029"/>
    <w:rsid w:val="00F71160"/>
    <w:rsid w:val="00F711B7"/>
    <w:rsid w:val="00F71641"/>
    <w:rsid w:val="00F71938"/>
    <w:rsid w:val="00F7199A"/>
    <w:rsid w:val="00F71FD6"/>
    <w:rsid w:val="00F72521"/>
    <w:rsid w:val="00F725E6"/>
    <w:rsid w:val="00F727FE"/>
    <w:rsid w:val="00F72DDA"/>
    <w:rsid w:val="00F72EAB"/>
    <w:rsid w:val="00F72F67"/>
    <w:rsid w:val="00F7322E"/>
    <w:rsid w:val="00F73422"/>
    <w:rsid w:val="00F735A1"/>
    <w:rsid w:val="00F7363B"/>
    <w:rsid w:val="00F736B1"/>
    <w:rsid w:val="00F7385F"/>
    <w:rsid w:val="00F73865"/>
    <w:rsid w:val="00F739E7"/>
    <w:rsid w:val="00F73D03"/>
    <w:rsid w:val="00F74093"/>
    <w:rsid w:val="00F74404"/>
    <w:rsid w:val="00F74424"/>
    <w:rsid w:val="00F745EA"/>
    <w:rsid w:val="00F74A54"/>
    <w:rsid w:val="00F74AEA"/>
    <w:rsid w:val="00F74C87"/>
    <w:rsid w:val="00F74E26"/>
    <w:rsid w:val="00F74FFA"/>
    <w:rsid w:val="00F7500F"/>
    <w:rsid w:val="00F753E1"/>
    <w:rsid w:val="00F75601"/>
    <w:rsid w:val="00F7570E"/>
    <w:rsid w:val="00F75B03"/>
    <w:rsid w:val="00F75D87"/>
    <w:rsid w:val="00F75FEE"/>
    <w:rsid w:val="00F768AA"/>
    <w:rsid w:val="00F76A54"/>
    <w:rsid w:val="00F76B30"/>
    <w:rsid w:val="00F770E0"/>
    <w:rsid w:val="00F77117"/>
    <w:rsid w:val="00F7721A"/>
    <w:rsid w:val="00F774D6"/>
    <w:rsid w:val="00F77512"/>
    <w:rsid w:val="00F775E4"/>
    <w:rsid w:val="00F77933"/>
    <w:rsid w:val="00F77B48"/>
    <w:rsid w:val="00F77BAF"/>
    <w:rsid w:val="00F8028C"/>
    <w:rsid w:val="00F805FF"/>
    <w:rsid w:val="00F8085A"/>
    <w:rsid w:val="00F80A2C"/>
    <w:rsid w:val="00F80AFC"/>
    <w:rsid w:val="00F80CDF"/>
    <w:rsid w:val="00F81315"/>
    <w:rsid w:val="00F81589"/>
    <w:rsid w:val="00F81787"/>
    <w:rsid w:val="00F819D9"/>
    <w:rsid w:val="00F81D70"/>
    <w:rsid w:val="00F81FBB"/>
    <w:rsid w:val="00F828DD"/>
    <w:rsid w:val="00F82BB2"/>
    <w:rsid w:val="00F82CBE"/>
    <w:rsid w:val="00F82D9B"/>
    <w:rsid w:val="00F830C0"/>
    <w:rsid w:val="00F830C4"/>
    <w:rsid w:val="00F83471"/>
    <w:rsid w:val="00F83592"/>
    <w:rsid w:val="00F8375B"/>
    <w:rsid w:val="00F83861"/>
    <w:rsid w:val="00F838C7"/>
    <w:rsid w:val="00F839BE"/>
    <w:rsid w:val="00F839D6"/>
    <w:rsid w:val="00F84095"/>
    <w:rsid w:val="00F841DE"/>
    <w:rsid w:val="00F84203"/>
    <w:rsid w:val="00F84278"/>
    <w:rsid w:val="00F843EA"/>
    <w:rsid w:val="00F843F9"/>
    <w:rsid w:val="00F8456D"/>
    <w:rsid w:val="00F845BD"/>
    <w:rsid w:val="00F84A32"/>
    <w:rsid w:val="00F84FA7"/>
    <w:rsid w:val="00F85279"/>
    <w:rsid w:val="00F85732"/>
    <w:rsid w:val="00F85A0E"/>
    <w:rsid w:val="00F85C54"/>
    <w:rsid w:val="00F85E72"/>
    <w:rsid w:val="00F86008"/>
    <w:rsid w:val="00F860E4"/>
    <w:rsid w:val="00F8639A"/>
    <w:rsid w:val="00F863E5"/>
    <w:rsid w:val="00F8667F"/>
    <w:rsid w:val="00F86915"/>
    <w:rsid w:val="00F86C9C"/>
    <w:rsid w:val="00F86DA5"/>
    <w:rsid w:val="00F870FB"/>
    <w:rsid w:val="00F871B8"/>
    <w:rsid w:val="00F875D7"/>
    <w:rsid w:val="00F87CB3"/>
    <w:rsid w:val="00F90199"/>
    <w:rsid w:val="00F9034A"/>
    <w:rsid w:val="00F90493"/>
    <w:rsid w:val="00F9053A"/>
    <w:rsid w:val="00F9063A"/>
    <w:rsid w:val="00F911E5"/>
    <w:rsid w:val="00F91579"/>
    <w:rsid w:val="00F91A49"/>
    <w:rsid w:val="00F91C4D"/>
    <w:rsid w:val="00F91CCA"/>
    <w:rsid w:val="00F91E1D"/>
    <w:rsid w:val="00F92682"/>
    <w:rsid w:val="00F9278D"/>
    <w:rsid w:val="00F92BDA"/>
    <w:rsid w:val="00F92CEC"/>
    <w:rsid w:val="00F92D92"/>
    <w:rsid w:val="00F9318A"/>
    <w:rsid w:val="00F93732"/>
    <w:rsid w:val="00F93AE1"/>
    <w:rsid w:val="00F93D16"/>
    <w:rsid w:val="00F9419F"/>
    <w:rsid w:val="00F943AC"/>
    <w:rsid w:val="00F946EB"/>
    <w:rsid w:val="00F9471D"/>
    <w:rsid w:val="00F94BD7"/>
    <w:rsid w:val="00F94C5D"/>
    <w:rsid w:val="00F95063"/>
    <w:rsid w:val="00F950AE"/>
    <w:rsid w:val="00F95360"/>
    <w:rsid w:val="00F9571D"/>
    <w:rsid w:val="00F95924"/>
    <w:rsid w:val="00F959A5"/>
    <w:rsid w:val="00F95A32"/>
    <w:rsid w:val="00F95EC7"/>
    <w:rsid w:val="00F96098"/>
    <w:rsid w:val="00F967C2"/>
    <w:rsid w:val="00F9691D"/>
    <w:rsid w:val="00F96D77"/>
    <w:rsid w:val="00F96D96"/>
    <w:rsid w:val="00F96F10"/>
    <w:rsid w:val="00F96FAF"/>
    <w:rsid w:val="00F97272"/>
    <w:rsid w:val="00F9742B"/>
    <w:rsid w:val="00F9785D"/>
    <w:rsid w:val="00F97D2B"/>
    <w:rsid w:val="00FA0054"/>
    <w:rsid w:val="00FA13E9"/>
    <w:rsid w:val="00FA13EA"/>
    <w:rsid w:val="00FA1712"/>
    <w:rsid w:val="00FA1C85"/>
    <w:rsid w:val="00FA2242"/>
    <w:rsid w:val="00FA2BDF"/>
    <w:rsid w:val="00FA2EE6"/>
    <w:rsid w:val="00FA2FE5"/>
    <w:rsid w:val="00FA3108"/>
    <w:rsid w:val="00FA3298"/>
    <w:rsid w:val="00FA36A9"/>
    <w:rsid w:val="00FA3836"/>
    <w:rsid w:val="00FA3990"/>
    <w:rsid w:val="00FA39D6"/>
    <w:rsid w:val="00FA3A51"/>
    <w:rsid w:val="00FA3A58"/>
    <w:rsid w:val="00FA3DED"/>
    <w:rsid w:val="00FA3E30"/>
    <w:rsid w:val="00FA47FC"/>
    <w:rsid w:val="00FA4896"/>
    <w:rsid w:val="00FA4C40"/>
    <w:rsid w:val="00FA5689"/>
    <w:rsid w:val="00FA57EE"/>
    <w:rsid w:val="00FA5A9C"/>
    <w:rsid w:val="00FA5CE7"/>
    <w:rsid w:val="00FA5D0F"/>
    <w:rsid w:val="00FA5D94"/>
    <w:rsid w:val="00FA5F72"/>
    <w:rsid w:val="00FA67DB"/>
    <w:rsid w:val="00FA6907"/>
    <w:rsid w:val="00FA718A"/>
    <w:rsid w:val="00FA71F6"/>
    <w:rsid w:val="00FA751C"/>
    <w:rsid w:val="00FA765A"/>
    <w:rsid w:val="00FA7671"/>
    <w:rsid w:val="00FA76AD"/>
    <w:rsid w:val="00FA7D1D"/>
    <w:rsid w:val="00FA7DA1"/>
    <w:rsid w:val="00FB00BB"/>
    <w:rsid w:val="00FB0380"/>
    <w:rsid w:val="00FB0734"/>
    <w:rsid w:val="00FB0979"/>
    <w:rsid w:val="00FB09DC"/>
    <w:rsid w:val="00FB0A78"/>
    <w:rsid w:val="00FB0B8E"/>
    <w:rsid w:val="00FB0DFC"/>
    <w:rsid w:val="00FB0E41"/>
    <w:rsid w:val="00FB0E6B"/>
    <w:rsid w:val="00FB15B7"/>
    <w:rsid w:val="00FB183C"/>
    <w:rsid w:val="00FB18D7"/>
    <w:rsid w:val="00FB19A4"/>
    <w:rsid w:val="00FB1A91"/>
    <w:rsid w:val="00FB1ECE"/>
    <w:rsid w:val="00FB1F2A"/>
    <w:rsid w:val="00FB2462"/>
    <w:rsid w:val="00FB25C3"/>
    <w:rsid w:val="00FB2A2C"/>
    <w:rsid w:val="00FB2E08"/>
    <w:rsid w:val="00FB2EEA"/>
    <w:rsid w:val="00FB2EEF"/>
    <w:rsid w:val="00FB31C6"/>
    <w:rsid w:val="00FB328A"/>
    <w:rsid w:val="00FB3388"/>
    <w:rsid w:val="00FB34FD"/>
    <w:rsid w:val="00FB3631"/>
    <w:rsid w:val="00FB363E"/>
    <w:rsid w:val="00FB3760"/>
    <w:rsid w:val="00FB39F3"/>
    <w:rsid w:val="00FB3A61"/>
    <w:rsid w:val="00FB3C6F"/>
    <w:rsid w:val="00FB3DC8"/>
    <w:rsid w:val="00FB3F54"/>
    <w:rsid w:val="00FB4167"/>
    <w:rsid w:val="00FB46C3"/>
    <w:rsid w:val="00FB4DB3"/>
    <w:rsid w:val="00FB4E1D"/>
    <w:rsid w:val="00FB4F92"/>
    <w:rsid w:val="00FB538D"/>
    <w:rsid w:val="00FB5696"/>
    <w:rsid w:val="00FB56ED"/>
    <w:rsid w:val="00FB59DB"/>
    <w:rsid w:val="00FB5A78"/>
    <w:rsid w:val="00FB5B12"/>
    <w:rsid w:val="00FB5B5F"/>
    <w:rsid w:val="00FB6420"/>
    <w:rsid w:val="00FB64D6"/>
    <w:rsid w:val="00FB6ACA"/>
    <w:rsid w:val="00FB7048"/>
    <w:rsid w:val="00FB7064"/>
    <w:rsid w:val="00FB71BC"/>
    <w:rsid w:val="00FB72D4"/>
    <w:rsid w:val="00FB79E7"/>
    <w:rsid w:val="00FB7BB9"/>
    <w:rsid w:val="00FB7BE5"/>
    <w:rsid w:val="00FC028E"/>
    <w:rsid w:val="00FC039A"/>
    <w:rsid w:val="00FC0484"/>
    <w:rsid w:val="00FC05CB"/>
    <w:rsid w:val="00FC0600"/>
    <w:rsid w:val="00FC09C2"/>
    <w:rsid w:val="00FC09EE"/>
    <w:rsid w:val="00FC0FAC"/>
    <w:rsid w:val="00FC11F5"/>
    <w:rsid w:val="00FC1776"/>
    <w:rsid w:val="00FC22D4"/>
    <w:rsid w:val="00FC241C"/>
    <w:rsid w:val="00FC247F"/>
    <w:rsid w:val="00FC256E"/>
    <w:rsid w:val="00FC2884"/>
    <w:rsid w:val="00FC29C5"/>
    <w:rsid w:val="00FC2DA8"/>
    <w:rsid w:val="00FC2E3B"/>
    <w:rsid w:val="00FC3616"/>
    <w:rsid w:val="00FC3B86"/>
    <w:rsid w:val="00FC3C85"/>
    <w:rsid w:val="00FC3DD9"/>
    <w:rsid w:val="00FC3F73"/>
    <w:rsid w:val="00FC4903"/>
    <w:rsid w:val="00FC4991"/>
    <w:rsid w:val="00FC4A05"/>
    <w:rsid w:val="00FC4AEA"/>
    <w:rsid w:val="00FC50B9"/>
    <w:rsid w:val="00FC5360"/>
    <w:rsid w:val="00FC5A70"/>
    <w:rsid w:val="00FC5AA4"/>
    <w:rsid w:val="00FC5CF7"/>
    <w:rsid w:val="00FC5D78"/>
    <w:rsid w:val="00FC5E74"/>
    <w:rsid w:val="00FC60D6"/>
    <w:rsid w:val="00FC6322"/>
    <w:rsid w:val="00FC63F1"/>
    <w:rsid w:val="00FC64D5"/>
    <w:rsid w:val="00FC67C8"/>
    <w:rsid w:val="00FC67F3"/>
    <w:rsid w:val="00FC69F7"/>
    <w:rsid w:val="00FC6C04"/>
    <w:rsid w:val="00FC6C7E"/>
    <w:rsid w:val="00FC6D47"/>
    <w:rsid w:val="00FC7637"/>
    <w:rsid w:val="00FC7D0E"/>
    <w:rsid w:val="00FD096B"/>
    <w:rsid w:val="00FD0B45"/>
    <w:rsid w:val="00FD0F30"/>
    <w:rsid w:val="00FD13CB"/>
    <w:rsid w:val="00FD172E"/>
    <w:rsid w:val="00FD1734"/>
    <w:rsid w:val="00FD17F7"/>
    <w:rsid w:val="00FD193F"/>
    <w:rsid w:val="00FD1B5F"/>
    <w:rsid w:val="00FD1CB4"/>
    <w:rsid w:val="00FD1EC0"/>
    <w:rsid w:val="00FD20E8"/>
    <w:rsid w:val="00FD229E"/>
    <w:rsid w:val="00FD23BF"/>
    <w:rsid w:val="00FD24A8"/>
    <w:rsid w:val="00FD318D"/>
    <w:rsid w:val="00FD3295"/>
    <w:rsid w:val="00FD3349"/>
    <w:rsid w:val="00FD33B0"/>
    <w:rsid w:val="00FD361F"/>
    <w:rsid w:val="00FD380E"/>
    <w:rsid w:val="00FD391D"/>
    <w:rsid w:val="00FD397F"/>
    <w:rsid w:val="00FD3E4C"/>
    <w:rsid w:val="00FD3F8E"/>
    <w:rsid w:val="00FD4106"/>
    <w:rsid w:val="00FD4136"/>
    <w:rsid w:val="00FD45A7"/>
    <w:rsid w:val="00FD45DE"/>
    <w:rsid w:val="00FD51FE"/>
    <w:rsid w:val="00FD530A"/>
    <w:rsid w:val="00FD5739"/>
    <w:rsid w:val="00FD5E64"/>
    <w:rsid w:val="00FD66B2"/>
    <w:rsid w:val="00FD6761"/>
    <w:rsid w:val="00FD6833"/>
    <w:rsid w:val="00FD6A2C"/>
    <w:rsid w:val="00FD6ADF"/>
    <w:rsid w:val="00FD6CC6"/>
    <w:rsid w:val="00FD6E55"/>
    <w:rsid w:val="00FD750B"/>
    <w:rsid w:val="00FD7841"/>
    <w:rsid w:val="00FD7874"/>
    <w:rsid w:val="00FD7A6E"/>
    <w:rsid w:val="00FD7BD6"/>
    <w:rsid w:val="00FD7C90"/>
    <w:rsid w:val="00FD7EA3"/>
    <w:rsid w:val="00FE00B4"/>
    <w:rsid w:val="00FE021C"/>
    <w:rsid w:val="00FE0292"/>
    <w:rsid w:val="00FE04E7"/>
    <w:rsid w:val="00FE0748"/>
    <w:rsid w:val="00FE08C6"/>
    <w:rsid w:val="00FE0A1D"/>
    <w:rsid w:val="00FE0A71"/>
    <w:rsid w:val="00FE12B9"/>
    <w:rsid w:val="00FE14CB"/>
    <w:rsid w:val="00FE1575"/>
    <w:rsid w:val="00FE157C"/>
    <w:rsid w:val="00FE16D4"/>
    <w:rsid w:val="00FE17F6"/>
    <w:rsid w:val="00FE1AA2"/>
    <w:rsid w:val="00FE21CC"/>
    <w:rsid w:val="00FE26FB"/>
    <w:rsid w:val="00FE2715"/>
    <w:rsid w:val="00FE2B10"/>
    <w:rsid w:val="00FE2CCD"/>
    <w:rsid w:val="00FE2DEA"/>
    <w:rsid w:val="00FE32D5"/>
    <w:rsid w:val="00FE36FF"/>
    <w:rsid w:val="00FE37AC"/>
    <w:rsid w:val="00FE3B89"/>
    <w:rsid w:val="00FE3D83"/>
    <w:rsid w:val="00FE3E6E"/>
    <w:rsid w:val="00FE4210"/>
    <w:rsid w:val="00FE429F"/>
    <w:rsid w:val="00FE4455"/>
    <w:rsid w:val="00FE4597"/>
    <w:rsid w:val="00FE4910"/>
    <w:rsid w:val="00FE507D"/>
    <w:rsid w:val="00FE55F6"/>
    <w:rsid w:val="00FE569F"/>
    <w:rsid w:val="00FE5857"/>
    <w:rsid w:val="00FE58ED"/>
    <w:rsid w:val="00FE5900"/>
    <w:rsid w:val="00FE59B4"/>
    <w:rsid w:val="00FE5E65"/>
    <w:rsid w:val="00FE5E72"/>
    <w:rsid w:val="00FE5EC6"/>
    <w:rsid w:val="00FE5F32"/>
    <w:rsid w:val="00FE60E4"/>
    <w:rsid w:val="00FE6AA0"/>
    <w:rsid w:val="00FE7512"/>
    <w:rsid w:val="00FE79EF"/>
    <w:rsid w:val="00FE7D31"/>
    <w:rsid w:val="00FE7DFF"/>
    <w:rsid w:val="00FE7E79"/>
    <w:rsid w:val="00FF0042"/>
    <w:rsid w:val="00FF04F0"/>
    <w:rsid w:val="00FF0B2B"/>
    <w:rsid w:val="00FF0F11"/>
    <w:rsid w:val="00FF0FB1"/>
    <w:rsid w:val="00FF15B2"/>
    <w:rsid w:val="00FF22FE"/>
    <w:rsid w:val="00FF25B5"/>
    <w:rsid w:val="00FF2798"/>
    <w:rsid w:val="00FF2986"/>
    <w:rsid w:val="00FF2E18"/>
    <w:rsid w:val="00FF2E3E"/>
    <w:rsid w:val="00FF2FF4"/>
    <w:rsid w:val="00FF32B4"/>
    <w:rsid w:val="00FF33C8"/>
    <w:rsid w:val="00FF33DF"/>
    <w:rsid w:val="00FF413F"/>
    <w:rsid w:val="00FF4F76"/>
    <w:rsid w:val="00FF4FF8"/>
    <w:rsid w:val="00FF5131"/>
    <w:rsid w:val="00FF54C3"/>
    <w:rsid w:val="00FF564E"/>
    <w:rsid w:val="00FF5692"/>
    <w:rsid w:val="00FF584D"/>
    <w:rsid w:val="00FF5CB9"/>
    <w:rsid w:val="00FF5CFB"/>
    <w:rsid w:val="00FF5DCA"/>
    <w:rsid w:val="00FF5F5A"/>
    <w:rsid w:val="00FF605E"/>
    <w:rsid w:val="00FF60B6"/>
    <w:rsid w:val="00FF66C0"/>
    <w:rsid w:val="00FF6BA2"/>
    <w:rsid w:val="00FF6EFB"/>
    <w:rsid w:val="00FF6F64"/>
    <w:rsid w:val="00FF720E"/>
    <w:rsid w:val="00FF792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57BF01BD"/>
  <w15:docId w15:val="{6F0436BE-4CF6-4EA8-9A06-0C079990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F04C5"/>
    <w:pPr>
      <w:spacing w:after="200"/>
      <w:jc w:val="both"/>
    </w:pPr>
    <w:rPr>
      <w:rFonts w:ascii="Tahoma" w:hAnsi="Tahoma"/>
      <w:szCs w:val="24"/>
    </w:rPr>
  </w:style>
  <w:style w:type="paragraph" w:styleId="Nadpis1">
    <w:name w:val="heading 1"/>
    <w:basedOn w:val="Normln"/>
    <w:next w:val="Normln"/>
    <w:link w:val="Nadpis1Char"/>
    <w:uiPriority w:val="9"/>
    <w:qFormat/>
    <w:rsid w:val="003E25B7"/>
    <w:pPr>
      <w:keepNext/>
      <w:tabs>
        <w:tab w:val="num" w:pos="624"/>
      </w:tabs>
      <w:ind w:left="624" w:hanging="624"/>
      <w:outlineLvl w:val="0"/>
    </w:pPr>
    <w:rPr>
      <w:b/>
      <w:bCs/>
      <w:sz w:val="32"/>
    </w:rPr>
  </w:style>
  <w:style w:type="paragraph" w:styleId="Nadpis2">
    <w:name w:val="heading 2"/>
    <w:basedOn w:val="Normln"/>
    <w:next w:val="Normln"/>
    <w:link w:val="Nadpis2Char"/>
    <w:uiPriority w:val="9"/>
    <w:qFormat/>
    <w:rsid w:val="00094480"/>
    <w:pPr>
      <w:keepNext/>
      <w:tabs>
        <w:tab w:val="num" w:pos="624"/>
      </w:tabs>
      <w:spacing w:before="360" w:after="240"/>
      <w:ind w:left="624" w:hanging="624"/>
      <w:outlineLvl w:val="1"/>
    </w:pPr>
    <w:rPr>
      <w:b/>
      <w:sz w:val="28"/>
      <w:u w:val="single"/>
    </w:rPr>
  </w:style>
  <w:style w:type="paragraph" w:styleId="Nadpis3">
    <w:name w:val="heading 3"/>
    <w:basedOn w:val="Normln"/>
    <w:next w:val="Normln"/>
    <w:link w:val="Nadpis3Char"/>
    <w:uiPriority w:val="9"/>
    <w:qFormat/>
    <w:rsid w:val="001459D6"/>
    <w:pPr>
      <w:keepNext/>
      <w:tabs>
        <w:tab w:val="num" w:pos="720"/>
      </w:tabs>
      <w:spacing w:before="400"/>
      <w:outlineLvl w:val="2"/>
    </w:pPr>
    <w:rPr>
      <w:b/>
      <w:sz w:val="22"/>
    </w:rPr>
  </w:style>
  <w:style w:type="paragraph" w:styleId="Nadpis4">
    <w:name w:val="heading 4"/>
    <w:basedOn w:val="Normln"/>
    <w:next w:val="Normln"/>
    <w:link w:val="Nadpis4Char"/>
    <w:uiPriority w:val="9"/>
    <w:qFormat/>
    <w:rsid w:val="00D034F8"/>
    <w:pPr>
      <w:keepNext/>
      <w:numPr>
        <w:numId w:val="1"/>
      </w:numPr>
      <w:tabs>
        <w:tab w:val="clear" w:pos="1080"/>
        <w:tab w:val="num" w:pos="720"/>
      </w:tabs>
      <w:ind w:hanging="1080"/>
      <w:outlineLvl w:val="3"/>
    </w:pPr>
    <w:rPr>
      <w:b/>
      <w:bCs/>
      <w:sz w:val="28"/>
    </w:rPr>
  </w:style>
  <w:style w:type="paragraph" w:styleId="Nadpis5">
    <w:name w:val="heading 5"/>
    <w:basedOn w:val="Normln"/>
    <w:next w:val="Normln"/>
    <w:link w:val="Nadpis5Char"/>
    <w:uiPriority w:val="9"/>
    <w:qFormat/>
    <w:rsid w:val="001459D6"/>
    <w:pPr>
      <w:keepNext/>
      <w:tabs>
        <w:tab w:val="num" w:pos="720"/>
      </w:tabs>
      <w:outlineLvl w:val="4"/>
    </w:pPr>
    <w:rPr>
      <w:i/>
      <w:u w:val="single"/>
    </w:rPr>
  </w:style>
  <w:style w:type="paragraph" w:styleId="Nadpis6">
    <w:name w:val="heading 6"/>
    <w:basedOn w:val="Normln"/>
    <w:next w:val="Normln"/>
    <w:link w:val="Nadpis6Char"/>
    <w:uiPriority w:val="9"/>
    <w:qFormat/>
    <w:rsid w:val="00D034F8"/>
    <w:pPr>
      <w:keepNext/>
      <w:outlineLvl w:val="5"/>
    </w:pPr>
    <w:rPr>
      <w:b/>
      <w:bCs/>
      <w:sz w:val="28"/>
    </w:rPr>
  </w:style>
  <w:style w:type="paragraph" w:styleId="Nadpis7">
    <w:name w:val="heading 7"/>
    <w:basedOn w:val="Normln"/>
    <w:next w:val="Normln"/>
    <w:link w:val="Nadpis7Char"/>
    <w:uiPriority w:val="9"/>
    <w:qFormat/>
    <w:rsid w:val="00D034F8"/>
    <w:pPr>
      <w:keepNext/>
      <w:jc w:val="center"/>
      <w:outlineLvl w:val="6"/>
    </w:pPr>
    <w:rPr>
      <w:sz w:val="28"/>
    </w:rPr>
  </w:style>
  <w:style w:type="paragraph" w:styleId="Nadpis8">
    <w:name w:val="heading 8"/>
    <w:basedOn w:val="Normln"/>
    <w:next w:val="Normln"/>
    <w:link w:val="Nadpis8Char"/>
    <w:uiPriority w:val="9"/>
    <w:qFormat/>
    <w:rsid w:val="00D034F8"/>
    <w:pPr>
      <w:keepNext/>
      <w:tabs>
        <w:tab w:val="num" w:pos="0"/>
      </w:tabs>
      <w:outlineLvl w:val="7"/>
    </w:pPr>
    <w:rPr>
      <w:sz w:val="28"/>
    </w:rPr>
  </w:style>
  <w:style w:type="paragraph" w:styleId="Nadpis9">
    <w:name w:val="heading 9"/>
    <w:basedOn w:val="Normln"/>
    <w:next w:val="Normln"/>
    <w:link w:val="Nadpis9Char"/>
    <w:uiPriority w:val="9"/>
    <w:qFormat/>
    <w:rsid w:val="00D034F8"/>
    <w:pPr>
      <w:keepNext/>
      <w:jc w:val="cente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E25B7"/>
    <w:rPr>
      <w:rFonts w:ascii="Tahoma" w:hAnsi="Tahoma"/>
      <w:b/>
      <w:bCs/>
      <w:sz w:val="32"/>
      <w:szCs w:val="24"/>
    </w:rPr>
  </w:style>
  <w:style w:type="character" w:customStyle="1" w:styleId="Nadpis2Char">
    <w:name w:val="Nadpis 2 Char"/>
    <w:link w:val="Nadpis2"/>
    <w:uiPriority w:val="9"/>
    <w:rsid w:val="00094480"/>
    <w:rPr>
      <w:rFonts w:ascii="Tahoma" w:hAnsi="Tahoma"/>
      <w:b/>
      <w:sz w:val="28"/>
      <w:szCs w:val="24"/>
      <w:u w:val="single"/>
    </w:rPr>
  </w:style>
  <w:style w:type="character" w:customStyle="1" w:styleId="Nadpis3Char">
    <w:name w:val="Nadpis 3 Char"/>
    <w:link w:val="Nadpis3"/>
    <w:uiPriority w:val="9"/>
    <w:rsid w:val="001459D6"/>
    <w:rPr>
      <w:rFonts w:ascii="Tahoma" w:hAnsi="Tahoma"/>
      <w:b/>
      <w:sz w:val="22"/>
      <w:szCs w:val="24"/>
    </w:rPr>
  </w:style>
  <w:style w:type="character" w:customStyle="1" w:styleId="Nadpis4Char">
    <w:name w:val="Nadpis 4 Char"/>
    <w:link w:val="Nadpis4"/>
    <w:uiPriority w:val="9"/>
    <w:rsid w:val="00E96998"/>
    <w:rPr>
      <w:b/>
      <w:bCs/>
      <w:sz w:val="28"/>
      <w:szCs w:val="24"/>
    </w:rPr>
  </w:style>
  <w:style w:type="character" w:customStyle="1" w:styleId="Nadpis5Char">
    <w:name w:val="Nadpis 5 Char"/>
    <w:link w:val="Nadpis5"/>
    <w:uiPriority w:val="9"/>
    <w:rsid w:val="001459D6"/>
    <w:rPr>
      <w:rFonts w:ascii="Tahoma" w:hAnsi="Tahoma"/>
      <w:i/>
      <w:szCs w:val="24"/>
      <w:u w:val="single"/>
    </w:rPr>
  </w:style>
  <w:style w:type="character" w:customStyle="1" w:styleId="Nadpis6Char">
    <w:name w:val="Nadpis 6 Char"/>
    <w:link w:val="Nadpis6"/>
    <w:uiPriority w:val="9"/>
    <w:semiHidden/>
    <w:rsid w:val="00E96998"/>
    <w:rPr>
      <w:rFonts w:ascii="Calibri" w:eastAsia="Times New Roman" w:hAnsi="Calibri" w:cs="Times New Roman"/>
      <w:b/>
      <w:bCs/>
      <w:sz w:val="22"/>
      <w:szCs w:val="22"/>
    </w:rPr>
  </w:style>
  <w:style w:type="character" w:customStyle="1" w:styleId="Nadpis7Char">
    <w:name w:val="Nadpis 7 Char"/>
    <w:link w:val="Nadpis7"/>
    <w:uiPriority w:val="9"/>
    <w:semiHidden/>
    <w:rsid w:val="00E96998"/>
    <w:rPr>
      <w:rFonts w:ascii="Calibri" w:eastAsia="Times New Roman" w:hAnsi="Calibri" w:cs="Times New Roman"/>
      <w:sz w:val="24"/>
      <w:szCs w:val="24"/>
    </w:rPr>
  </w:style>
  <w:style w:type="character" w:customStyle="1" w:styleId="Nadpis8Char">
    <w:name w:val="Nadpis 8 Char"/>
    <w:link w:val="Nadpis8"/>
    <w:uiPriority w:val="9"/>
    <w:semiHidden/>
    <w:rsid w:val="00E96998"/>
    <w:rPr>
      <w:rFonts w:ascii="Calibri" w:eastAsia="Times New Roman" w:hAnsi="Calibri" w:cs="Times New Roman"/>
      <w:i/>
      <w:iCs/>
      <w:sz w:val="24"/>
      <w:szCs w:val="24"/>
    </w:rPr>
  </w:style>
  <w:style w:type="character" w:customStyle="1" w:styleId="Nadpis9Char">
    <w:name w:val="Nadpis 9 Char"/>
    <w:link w:val="Nadpis9"/>
    <w:uiPriority w:val="9"/>
    <w:semiHidden/>
    <w:rsid w:val="00E96998"/>
    <w:rPr>
      <w:rFonts w:ascii="Cambria" w:eastAsia="Times New Roman" w:hAnsi="Cambria" w:cs="Times New Roman"/>
      <w:sz w:val="22"/>
      <w:szCs w:val="22"/>
    </w:rPr>
  </w:style>
  <w:style w:type="paragraph" w:styleId="Zkladntext">
    <w:name w:val="Body Text"/>
    <w:aliases w:val="Char,subtitle2,Základní tZákladní text,Mgr. Rudolf Krejčík,Mgr. Rudolf Krejeík,Standard paragraph, Char,Body Text"/>
    <w:basedOn w:val="Normln"/>
    <w:link w:val="ZkladntextChar"/>
    <w:rsid w:val="00044D18"/>
    <w:pPr>
      <w:tabs>
        <w:tab w:val="num" w:pos="720"/>
      </w:tabs>
      <w:spacing w:before="120"/>
    </w:pPr>
    <w:rPr>
      <w:sz w:val="28"/>
    </w:rPr>
  </w:style>
  <w:style w:type="character" w:customStyle="1" w:styleId="BodyTextChar">
    <w:name w:val="Body Text Char"/>
    <w:aliases w:val="Char Char,subtitle2 Char,Základní tZákladní text Char,Mgr. Rudolf Krejčík Char,Mgr. Rudolf Krejeík Char,Standard paragraph Char"/>
    <w:uiPriority w:val="99"/>
    <w:semiHidden/>
    <w:rsid w:val="00E96998"/>
    <w:rPr>
      <w:sz w:val="24"/>
      <w:szCs w:val="24"/>
    </w:rPr>
  </w:style>
  <w:style w:type="paragraph" w:styleId="Zkladntext2">
    <w:name w:val="Body Text 2"/>
    <w:basedOn w:val="Normln"/>
    <w:link w:val="Zkladntext2Char"/>
    <w:uiPriority w:val="99"/>
    <w:rsid w:val="00D034F8"/>
    <w:rPr>
      <w:sz w:val="28"/>
    </w:rPr>
  </w:style>
  <w:style w:type="character" w:customStyle="1" w:styleId="Zkladntext2Char">
    <w:name w:val="Základní text 2 Char"/>
    <w:link w:val="Zkladntext2"/>
    <w:uiPriority w:val="99"/>
    <w:semiHidden/>
    <w:rsid w:val="00E96998"/>
    <w:rPr>
      <w:sz w:val="24"/>
      <w:szCs w:val="24"/>
    </w:rPr>
  </w:style>
  <w:style w:type="paragraph" w:styleId="Zkladntextodsazen2">
    <w:name w:val="Body Text Indent 2"/>
    <w:basedOn w:val="Normln"/>
    <w:link w:val="Zkladntextodsazen2Char"/>
    <w:uiPriority w:val="99"/>
    <w:rsid w:val="00D034F8"/>
    <w:pPr>
      <w:ind w:left="360"/>
    </w:pPr>
    <w:rPr>
      <w:sz w:val="28"/>
    </w:rPr>
  </w:style>
  <w:style w:type="character" w:customStyle="1" w:styleId="Zkladntextodsazen2Char">
    <w:name w:val="Základní text odsazený 2 Char"/>
    <w:link w:val="Zkladntextodsazen2"/>
    <w:uiPriority w:val="99"/>
    <w:semiHidden/>
    <w:rsid w:val="00E96998"/>
    <w:rPr>
      <w:sz w:val="24"/>
      <w:szCs w:val="24"/>
    </w:rPr>
  </w:style>
  <w:style w:type="paragraph" w:styleId="Zkladntext3">
    <w:name w:val="Body Text 3"/>
    <w:basedOn w:val="Normln"/>
    <w:link w:val="Zkladntext3Char"/>
    <w:rsid w:val="00D034F8"/>
    <w:rPr>
      <w:color w:val="FF0000"/>
      <w:sz w:val="28"/>
    </w:rPr>
  </w:style>
  <w:style w:type="character" w:customStyle="1" w:styleId="Zkladntext3Char">
    <w:name w:val="Základní text 3 Char"/>
    <w:link w:val="Zkladntext3"/>
    <w:rsid w:val="00E96998"/>
    <w:rPr>
      <w:sz w:val="16"/>
      <w:szCs w:val="16"/>
    </w:rPr>
  </w:style>
  <w:style w:type="paragraph" w:styleId="Podnadpis">
    <w:name w:val="Subtitle"/>
    <w:basedOn w:val="Normln"/>
    <w:link w:val="PodnadpisChar"/>
    <w:uiPriority w:val="11"/>
    <w:qFormat/>
    <w:rsid w:val="00D034F8"/>
    <w:rPr>
      <w:b/>
      <w:bCs/>
    </w:rPr>
  </w:style>
  <w:style w:type="character" w:customStyle="1" w:styleId="PodnadpisChar">
    <w:name w:val="Podnadpis Char"/>
    <w:link w:val="Podnadpis"/>
    <w:uiPriority w:val="11"/>
    <w:rsid w:val="00E96998"/>
    <w:rPr>
      <w:rFonts w:ascii="Cambria" w:eastAsia="Times New Roman" w:hAnsi="Cambria" w:cs="Times New Roman"/>
      <w:sz w:val="24"/>
      <w:szCs w:val="24"/>
    </w:rPr>
  </w:style>
  <w:style w:type="paragraph" w:styleId="Zpat">
    <w:name w:val="footer"/>
    <w:basedOn w:val="Normln"/>
    <w:link w:val="ZpatChar"/>
    <w:uiPriority w:val="99"/>
    <w:rsid w:val="00D034F8"/>
    <w:pPr>
      <w:tabs>
        <w:tab w:val="center" w:pos="4536"/>
        <w:tab w:val="right" w:pos="9072"/>
      </w:tabs>
    </w:pPr>
  </w:style>
  <w:style w:type="character" w:customStyle="1" w:styleId="ZpatChar">
    <w:name w:val="Zápatí Char"/>
    <w:link w:val="Zpat"/>
    <w:uiPriority w:val="99"/>
    <w:rsid w:val="00E96998"/>
    <w:rPr>
      <w:sz w:val="24"/>
      <w:szCs w:val="24"/>
    </w:rPr>
  </w:style>
  <w:style w:type="character" w:styleId="slostrnky">
    <w:name w:val="page number"/>
    <w:uiPriority w:val="99"/>
    <w:rsid w:val="00D034F8"/>
    <w:rPr>
      <w:rFonts w:cs="Times New Roman"/>
    </w:rPr>
  </w:style>
  <w:style w:type="paragraph" w:styleId="Zhlav">
    <w:name w:val="header"/>
    <w:basedOn w:val="Normln"/>
    <w:link w:val="ZhlavChar"/>
    <w:uiPriority w:val="99"/>
    <w:rsid w:val="00D034F8"/>
    <w:pPr>
      <w:tabs>
        <w:tab w:val="center" w:pos="4536"/>
        <w:tab w:val="right" w:pos="9072"/>
      </w:tabs>
    </w:pPr>
  </w:style>
  <w:style w:type="character" w:customStyle="1" w:styleId="ZhlavChar">
    <w:name w:val="Záhlaví Char"/>
    <w:link w:val="Zhlav"/>
    <w:uiPriority w:val="99"/>
    <w:semiHidden/>
    <w:rsid w:val="00E96998"/>
    <w:rPr>
      <w:sz w:val="24"/>
      <w:szCs w:val="24"/>
    </w:rPr>
  </w:style>
  <w:style w:type="paragraph" w:styleId="Zkladntextodsazen">
    <w:name w:val="Body Text Indent"/>
    <w:basedOn w:val="Normln"/>
    <w:link w:val="ZkladntextodsazenChar"/>
    <w:uiPriority w:val="99"/>
    <w:rsid w:val="00D034F8"/>
    <w:pPr>
      <w:ind w:firstLine="540"/>
    </w:pPr>
    <w:rPr>
      <w:sz w:val="28"/>
    </w:rPr>
  </w:style>
  <w:style w:type="character" w:customStyle="1" w:styleId="ZkladntextodsazenChar">
    <w:name w:val="Základní text odsazený Char"/>
    <w:link w:val="Zkladntextodsazen"/>
    <w:uiPriority w:val="99"/>
    <w:semiHidden/>
    <w:rsid w:val="00E96998"/>
    <w:rPr>
      <w:sz w:val="24"/>
      <w:szCs w:val="24"/>
    </w:rPr>
  </w:style>
  <w:style w:type="paragraph" w:styleId="Zkladntextodsazen3">
    <w:name w:val="Body Text Indent 3"/>
    <w:basedOn w:val="Normln"/>
    <w:link w:val="Zkladntextodsazen3Char"/>
    <w:uiPriority w:val="99"/>
    <w:rsid w:val="00D034F8"/>
    <w:pPr>
      <w:tabs>
        <w:tab w:val="num" w:pos="0"/>
      </w:tabs>
      <w:ind w:right="-110" w:firstLine="540"/>
    </w:pPr>
    <w:rPr>
      <w:sz w:val="28"/>
    </w:rPr>
  </w:style>
  <w:style w:type="character" w:customStyle="1" w:styleId="Zkladntextodsazen3Char">
    <w:name w:val="Základní text odsazený 3 Char"/>
    <w:link w:val="Zkladntextodsazen3"/>
    <w:uiPriority w:val="99"/>
    <w:semiHidden/>
    <w:rsid w:val="00E96998"/>
    <w:rPr>
      <w:sz w:val="16"/>
      <w:szCs w:val="16"/>
    </w:rPr>
  </w:style>
  <w:style w:type="paragraph" w:styleId="Textbubliny">
    <w:name w:val="Balloon Text"/>
    <w:basedOn w:val="Normln"/>
    <w:link w:val="TextbublinyChar"/>
    <w:uiPriority w:val="99"/>
    <w:semiHidden/>
    <w:rsid w:val="00480DB2"/>
    <w:rPr>
      <w:rFonts w:cs="Tahoma"/>
      <w:sz w:val="16"/>
      <w:szCs w:val="16"/>
    </w:rPr>
  </w:style>
  <w:style w:type="character" w:customStyle="1" w:styleId="TextbublinyChar">
    <w:name w:val="Text bubliny Char"/>
    <w:link w:val="Textbubliny"/>
    <w:uiPriority w:val="99"/>
    <w:semiHidden/>
    <w:rsid w:val="00E96998"/>
    <w:rPr>
      <w:sz w:val="0"/>
      <w:szCs w:val="0"/>
    </w:rPr>
  </w:style>
  <w:style w:type="character" w:customStyle="1" w:styleId="ZkladntextChar">
    <w:name w:val="Základní text Char"/>
    <w:aliases w:val="Char Char1,subtitle2 Char1,Základní tZákladní text Char1,Mgr. Rudolf Krejčík Char1,Mgr. Rudolf Krejeík Char1,Standard paragraph Char1, Char Char,Body Text Char1"/>
    <w:link w:val="Zkladntext"/>
    <w:locked/>
    <w:rsid w:val="002C1B5A"/>
    <w:rPr>
      <w:sz w:val="24"/>
      <w:lang w:val="cs-CZ" w:eastAsia="cs-CZ"/>
    </w:rPr>
  </w:style>
  <w:style w:type="character" w:styleId="Odkaznakoment">
    <w:name w:val="annotation reference"/>
    <w:uiPriority w:val="99"/>
    <w:semiHidden/>
    <w:rsid w:val="006570AA"/>
    <w:rPr>
      <w:sz w:val="16"/>
    </w:rPr>
  </w:style>
  <w:style w:type="paragraph" w:styleId="Textkomente">
    <w:name w:val="annotation text"/>
    <w:basedOn w:val="Normln"/>
    <w:link w:val="TextkomenteChar"/>
    <w:uiPriority w:val="99"/>
    <w:semiHidden/>
    <w:rsid w:val="006570AA"/>
    <w:rPr>
      <w:szCs w:val="20"/>
    </w:rPr>
  </w:style>
  <w:style w:type="character" w:customStyle="1" w:styleId="TextkomenteChar">
    <w:name w:val="Text komentáře Char"/>
    <w:basedOn w:val="Standardnpsmoodstavce"/>
    <w:link w:val="Textkomente"/>
    <w:uiPriority w:val="99"/>
    <w:semiHidden/>
    <w:rsid w:val="00E96998"/>
  </w:style>
  <w:style w:type="paragraph" w:styleId="Pedmtkomente">
    <w:name w:val="annotation subject"/>
    <w:basedOn w:val="Textkomente"/>
    <w:next w:val="Textkomente"/>
    <w:link w:val="PedmtkomenteChar"/>
    <w:uiPriority w:val="99"/>
    <w:semiHidden/>
    <w:rsid w:val="006570AA"/>
    <w:rPr>
      <w:b/>
      <w:bCs/>
    </w:rPr>
  </w:style>
  <w:style w:type="character" w:customStyle="1" w:styleId="PedmtkomenteChar">
    <w:name w:val="Předmět komentáře Char"/>
    <w:link w:val="Pedmtkomente"/>
    <w:uiPriority w:val="99"/>
    <w:semiHidden/>
    <w:rsid w:val="00E96998"/>
    <w:rPr>
      <w:b/>
      <w:bCs/>
    </w:rPr>
  </w:style>
  <w:style w:type="character" w:styleId="Hypertextovodkaz">
    <w:name w:val="Hyperlink"/>
    <w:uiPriority w:val="99"/>
    <w:rsid w:val="00253C04"/>
    <w:rPr>
      <w:color w:val="0000FF"/>
      <w:u w:val="single"/>
    </w:rPr>
  </w:style>
  <w:style w:type="character" w:customStyle="1" w:styleId="CharChar3">
    <w:name w:val="Char Char3"/>
    <w:rsid w:val="00B535CE"/>
    <w:rPr>
      <w:sz w:val="24"/>
      <w:lang w:val="cs-CZ" w:eastAsia="cs-CZ"/>
    </w:rPr>
  </w:style>
  <w:style w:type="character" w:styleId="Sledovanodkaz">
    <w:name w:val="FollowedHyperlink"/>
    <w:uiPriority w:val="99"/>
    <w:rsid w:val="0010171E"/>
    <w:rPr>
      <w:color w:val="800080"/>
      <w:u w:val="single"/>
    </w:rPr>
  </w:style>
  <w:style w:type="paragraph" w:customStyle="1" w:styleId="KUMS-adresa">
    <w:name w:val="KUMS-adresa"/>
    <w:basedOn w:val="Normln"/>
    <w:rsid w:val="00264ACB"/>
    <w:pPr>
      <w:spacing w:line="280" w:lineRule="exact"/>
    </w:pPr>
    <w:rPr>
      <w:rFonts w:cs="Tahoma"/>
      <w:noProof/>
      <w:szCs w:val="20"/>
    </w:rPr>
  </w:style>
  <w:style w:type="paragraph" w:styleId="Seznamsodrkami">
    <w:name w:val="List Bullet"/>
    <w:basedOn w:val="Normln"/>
    <w:autoRedefine/>
    <w:uiPriority w:val="99"/>
    <w:rsid w:val="006B3498"/>
    <w:pPr>
      <w:numPr>
        <w:numId w:val="2"/>
      </w:numPr>
    </w:pPr>
  </w:style>
  <w:style w:type="paragraph" w:styleId="Seznamsodrkami2">
    <w:name w:val="List Bullet 2"/>
    <w:basedOn w:val="Normln"/>
    <w:autoRedefine/>
    <w:uiPriority w:val="99"/>
    <w:rsid w:val="006B3498"/>
    <w:pPr>
      <w:numPr>
        <w:numId w:val="3"/>
      </w:numPr>
    </w:pPr>
  </w:style>
  <w:style w:type="paragraph" w:customStyle="1" w:styleId="xl33">
    <w:name w:val="xl33"/>
    <w:basedOn w:val="Normln"/>
    <w:rsid w:val="008842FC"/>
    <w:pPr>
      <w:spacing w:before="100" w:beforeAutospacing="1" w:after="100" w:afterAutospacing="1"/>
      <w:textAlignment w:val="top"/>
    </w:pPr>
    <w:rPr>
      <w:b/>
      <w:bCs/>
      <w:sz w:val="28"/>
      <w:szCs w:val="28"/>
    </w:rPr>
  </w:style>
  <w:style w:type="paragraph" w:styleId="FormtovanvHTML">
    <w:name w:val="HTML Preformatted"/>
    <w:basedOn w:val="Normln"/>
    <w:link w:val="FormtovanvHTMLChar"/>
    <w:uiPriority w:val="99"/>
    <w:rsid w:val="00F40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FormtovanvHTMLChar">
    <w:name w:val="Formátovaný v HTML Char"/>
    <w:link w:val="FormtovanvHTML"/>
    <w:uiPriority w:val="99"/>
    <w:locked/>
    <w:rsid w:val="00364838"/>
    <w:rPr>
      <w:rFonts w:ascii="Courier New" w:hAnsi="Courier New"/>
    </w:rPr>
  </w:style>
  <w:style w:type="table" w:styleId="Mkatabulky">
    <w:name w:val="Table Grid"/>
    <w:basedOn w:val="Normlntabulka"/>
    <w:uiPriority w:val="39"/>
    <w:rsid w:val="008F5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jtext">
    <w:name w:val="Můj text"/>
    <w:basedOn w:val="Normln"/>
    <w:link w:val="MjtextChar"/>
    <w:rsid w:val="006D679A"/>
    <w:pPr>
      <w:spacing w:before="120" w:after="240"/>
    </w:pPr>
    <w:rPr>
      <w:rFonts w:cs="Tahoma"/>
    </w:rPr>
  </w:style>
  <w:style w:type="character" w:customStyle="1" w:styleId="MjtextChar">
    <w:name w:val="Můj text Char"/>
    <w:link w:val="Mjtext"/>
    <w:locked/>
    <w:rsid w:val="006D679A"/>
    <w:rPr>
      <w:rFonts w:ascii="Tahoma" w:hAnsi="Tahoma"/>
      <w:sz w:val="24"/>
      <w:lang w:val="cs-CZ" w:eastAsia="cs-CZ"/>
    </w:rPr>
  </w:style>
  <w:style w:type="paragraph" w:customStyle="1" w:styleId="Styltab">
    <w:name w:val="Styl tab."/>
    <w:basedOn w:val="Normln"/>
    <w:next w:val="Normln"/>
    <w:link w:val="StyltabChar"/>
    <w:autoRedefine/>
    <w:qFormat/>
    <w:rsid w:val="00355D97"/>
    <w:pPr>
      <w:keepNext/>
      <w:numPr>
        <w:numId w:val="31"/>
      </w:numPr>
      <w:tabs>
        <w:tab w:val="right" w:pos="9072"/>
      </w:tabs>
      <w:spacing w:before="120" w:after="0"/>
      <w:ind w:left="0" w:firstLine="0"/>
      <w:outlineLvl w:val="1"/>
    </w:pPr>
    <w:rPr>
      <w:rFonts w:cs="Tahoma"/>
      <w:bCs/>
      <w:szCs w:val="20"/>
    </w:rPr>
  </w:style>
  <w:style w:type="paragraph" w:customStyle="1" w:styleId="CharChar2">
    <w:name w:val="Char Char2"/>
    <w:basedOn w:val="Normln"/>
    <w:rsid w:val="00D33380"/>
    <w:pPr>
      <w:spacing w:after="160" w:line="240" w:lineRule="exact"/>
    </w:pPr>
    <w:rPr>
      <w:rFonts w:ascii="Times New Roman Bold" w:hAnsi="Times New Roman Bold"/>
      <w:sz w:val="22"/>
      <w:szCs w:val="26"/>
      <w:lang w:val="sk-SK" w:eastAsia="en-US"/>
    </w:rPr>
  </w:style>
  <w:style w:type="paragraph" w:customStyle="1" w:styleId="Char4CharCharCharCharCharCharCharCharChar">
    <w:name w:val="Char4 Char Char Char Char Char Char Char Char Char"/>
    <w:basedOn w:val="Normln"/>
    <w:rsid w:val="00E33163"/>
    <w:pPr>
      <w:spacing w:after="160" w:line="240" w:lineRule="exact"/>
    </w:pPr>
    <w:rPr>
      <w:rFonts w:ascii="Times New Roman Bold" w:hAnsi="Times New Roman Bold"/>
      <w:sz w:val="22"/>
      <w:szCs w:val="26"/>
      <w:lang w:val="sk-SK" w:eastAsia="en-US"/>
    </w:rPr>
  </w:style>
  <w:style w:type="character" w:styleId="Siln">
    <w:name w:val="Strong"/>
    <w:uiPriority w:val="22"/>
    <w:qFormat/>
    <w:rsid w:val="00816A38"/>
    <w:rPr>
      <w:b/>
    </w:rPr>
  </w:style>
  <w:style w:type="paragraph" w:customStyle="1" w:styleId="CharChar8CharCharCharCharCharCharCharCharCharCharCharCharCharCharCharCharCharCharCharCharCharCharCharCharCharCharCharCharCharCharCharCharCharCharCharCharChar">
    <w:name w:val="Char Char8 Char Char Char Char Char Char Char Char Char Char Char Char Char Char Char Char Char Char Char Char Char Char Char Char Char Char Char Char Char Char Char Char Char Char Char Char Char"/>
    <w:basedOn w:val="Normln"/>
    <w:rsid w:val="005A3F16"/>
    <w:pPr>
      <w:spacing w:after="160" w:line="240" w:lineRule="exact"/>
    </w:pPr>
    <w:rPr>
      <w:rFonts w:ascii="Verdana" w:hAnsi="Verdana"/>
      <w:szCs w:val="20"/>
      <w:lang w:val="en-US" w:eastAsia="en-US"/>
    </w:rPr>
  </w:style>
  <w:style w:type="paragraph" w:customStyle="1" w:styleId="CharChar20">
    <w:name w:val="Char Char2"/>
    <w:basedOn w:val="Normln"/>
    <w:rsid w:val="004C1A5B"/>
    <w:pPr>
      <w:spacing w:after="160" w:line="240" w:lineRule="exact"/>
    </w:pPr>
    <w:rPr>
      <w:rFonts w:ascii="Times New Roman Bold" w:hAnsi="Times New Roman Bold"/>
      <w:sz w:val="22"/>
      <w:szCs w:val="26"/>
      <w:lang w:val="sk-SK" w:eastAsia="en-US"/>
    </w:rPr>
  </w:style>
  <w:style w:type="paragraph" w:customStyle="1" w:styleId="CharChar21">
    <w:name w:val="Char Char2"/>
    <w:basedOn w:val="Normln"/>
    <w:rsid w:val="0081338B"/>
    <w:pPr>
      <w:spacing w:after="160" w:line="240" w:lineRule="exact"/>
    </w:pPr>
    <w:rPr>
      <w:rFonts w:ascii="Times New Roman Bold" w:hAnsi="Times New Roman Bold"/>
      <w:sz w:val="22"/>
      <w:szCs w:val="26"/>
      <w:lang w:val="sk-SK" w:eastAsia="en-US"/>
    </w:rPr>
  </w:style>
  <w:style w:type="paragraph" w:customStyle="1" w:styleId="CharChar22">
    <w:name w:val="Char Char2"/>
    <w:basedOn w:val="Normln"/>
    <w:rsid w:val="003B080A"/>
    <w:pPr>
      <w:spacing w:after="160" w:line="240" w:lineRule="exact"/>
    </w:pPr>
    <w:rPr>
      <w:rFonts w:ascii="Times New Roman Bold" w:hAnsi="Times New Roman Bold"/>
      <w:sz w:val="22"/>
      <w:szCs w:val="26"/>
      <w:lang w:val="sk-SK" w:eastAsia="en-US"/>
    </w:rPr>
  </w:style>
  <w:style w:type="paragraph" w:customStyle="1" w:styleId="CharChar23">
    <w:name w:val="Char Char2"/>
    <w:basedOn w:val="Normln"/>
    <w:rsid w:val="00CA7EB2"/>
    <w:pPr>
      <w:spacing w:after="160" w:line="240" w:lineRule="exact"/>
    </w:pPr>
    <w:rPr>
      <w:rFonts w:ascii="Times New Roman Bold" w:hAnsi="Times New Roman Bold"/>
      <w:sz w:val="22"/>
      <w:szCs w:val="26"/>
      <w:lang w:val="sk-SK" w:eastAsia="en-US"/>
    </w:rPr>
  </w:style>
  <w:style w:type="paragraph" w:customStyle="1" w:styleId="CharChar24">
    <w:name w:val="Char Char2"/>
    <w:basedOn w:val="Normln"/>
    <w:rsid w:val="00D76307"/>
    <w:pPr>
      <w:spacing w:after="160" w:line="240" w:lineRule="exact"/>
    </w:pPr>
    <w:rPr>
      <w:rFonts w:ascii="Times New Roman Bold" w:hAnsi="Times New Roman Bold"/>
      <w:sz w:val="22"/>
      <w:szCs w:val="26"/>
      <w:lang w:val="sk-SK" w:eastAsia="en-US"/>
    </w:rPr>
  </w:style>
  <w:style w:type="paragraph" w:customStyle="1" w:styleId="CharChar25">
    <w:name w:val="Char Char2"/>
    <w:basedOn w:val="Normln"/>
    <w:rsid w:val="00D9338A"/>
    <w:pPr>
      <w:spacing w:after="160" w:line="240" w:lineRule="exact"/>
    </w:pPr>
    <w:rPr>
      <w:rFonts w:ascii="Times New Roman Bold" w:hAnsi="Times New Roman Bold"/>
      <w:sz w:val="22"/>
      <w:szCs w:val="26"/>
      <w:lang w:val="sk-SK" w:eastAsia="en-US"/>
    </w:rPr>
  </w:style>
  <w:style w:type="character" w:customStyle="1" w:styleId="StyltabChar">
    <w:name w:val="Styl tab. Char"/>
    <w:link w:val="Styltab"/>
    <w:rsid w:val="00355D97"/>
    <w:rPr>
      <w:rFonts w:ascii="Tahoma" w:hAnsi="Tahoma" w:cs="Tahoma"/>
      <w:bCs/>
    </w:rPr>
  </w:style>
  <w:style w:type="paragraph" w:customStyle="1" w:styleId="CharChar26">
    <w:name w:val="Char Char2"/>
    <w:basedOn w:val="Normln"/>
    <w:rsid w:val="00961FA5"/>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34"/>
    <w:qFormat/>
    <w:rsid w:val="009D5102"/>
    <w:pPr>
      <w:ind w:left="720"/>
      <w:contextualSpacing/>
    </w:pPr>
  </w:style>
  <w:style w:type="paragraph" w:customStyle="1" w:styleId="KUMS-text">
    <w:name w:val="KUMS-text"/>
    <w:basedOn w:val="Normln"/>
    <w:rsid w:val="009049BB"/>
    <w:pPr>
      <w:spacing w:after="280" w:line="280" w:lineRule="exact"/>
    </w:pPr>
    <w:rPr>
      <w:rFonts w:eastAsia="Calibri" w:cs="Tahoma"/>
      <w:szCs w:val="20"/>
    </w:rPr>
  </w:style>
  <w:style w:type="paragraph" w:customStyle="1" w:styleId="MSKNormal">
    <w:name w:val="MSK_Normal"/>
    <w:basedOn w:val="Normln"/>
    <w:link w:val="MSKNormalChar"/>
    <w:qFormat/>
    <w:rsid w:val="007871B8"/>
    <w:rPr>
      <w:rFonts w:eastAsia="Calibri"/>
    </w:rPr>
  </w:style>
  <w:style w:type="character" w:styleId="Zdraznnjemn">
    <w:name w:val="Subtle Emphasis"/>
    <w:aliases w:val="Graf"/>
    <w:basedOn w:val="StyltabChar"/>
    <w:uiPriority w:val="19"/>
    <w:qFormat/>
    <w:rsid w:val="001F04C5"/>
    <w:rPr>
      <w:rFonts w:ascii="Tahoma" w:hAnsi="Tahoma" w:cs="Tahoma"/>
      <w:bCs/>
      <w:i w:val="0"/>
      <w:iCs/>
      <w:color w:val="404040" w:themeColor="text1" w:themeTint="BF"/>
      <w:sz w:val="20"/>
    </w:rPr>
  </w:style>
  <w:style w:type="paragraph" w:styleId="Normlnweb">
    <w:name w:val="Normal (Web)"/>
    <w:basedOn w:val="Normln"/>
    <w:uiPriority w:val="99"/>
    <w:unhideWhenUsed/>
    <w:rsid w:val="003A0D2C"/>
    <w:pPr>
      <w:spacing w:after="150"/>
      <w:jc w:val="left"/>
      <w:textAlignment w:val="top"/>
    </w:pPr>
    <w:rPr>
      <w:rFonts w:ascii="Times New Roman" w:hAnsi="Times New Roman"/>
      <w:sz w:val="24"/>
    </w:rPr>
  </w:style>
  <w:style w:type="paragraph" w:customStyle="1" w:styleId="MSKNavrhusneseniZacatek">
    <w:name w:val="MSK_Navrh usneseni_Zacatek"/>
    <w:basedOn w:val="MSKNormal"/>
    <w:next w:val="MSKNormal"/>
    <w:qFormat/>
    <w:rsid w:val="009D40F2"/>
    <w:pPr>
      <w:numPr>
        <w:numId w:val="27"/>
      </w:numPr>
      <w:spacing w:after="0"/>
    </w:pPr>
    <w:rPr>
      <w:sz w:val="24"/>
    </w:rPr>
  </w:style>
  <w:style w:type="paragraph" w:customStyle="1" w:styleId="MSKDoplnek">
    <w:name w:val="MSK_Doplnek"/>
    <w:basedOn w:val="MSKNormal"/>
    <w:next w:val="MSKNormal"/>
    <w:qFormat/>
    <w:rsid w:val="009D40F2"/>
    <w:pPr>
      <w:numPr>
        <w:ilvl w:val="1"/>
        <w:numId w:val="27"/>
      </w:numPr>
      <w:spacing w:after="0"/>
    </w:pPr>
    <w:rPr>
      <w:sz w:val="24"/>
    </w:rPr>
  </w:style>
  <w:style w:type="character" w:customStyle="1" w:styleId="MSKNormalChar">
    <w:name w:val="MSK_Normal Char"/>
    <w:basedOn w:val="Standardnpsmoodstavce"/>
    <w:link w:val="MSKNormal"/>
    <w:rsid w:val="009D40F2"/>
    <w:rPr>
      <w:rFonts w:ascii="Tahoma" w:eastAsia="Calibri" w:hAnsi="Tahoma"/>
      <w:szCs w:val="24"/>
    </w:rPr>
  </w:style>
  <w:style w:type="character" w:customStyle="1" w:styleId="KUJKnormalChar">
    <w:name w:val="KUJK_normal Char"/>
    <w:basedOn w:val="Standardnpsmoodstavce"/>
    <w:link w:val="KUJKnormal"/>
    <w:locked/>
    <w:rsid w:val="0041269E"/>
    <w:rPr>
      <w:rFonts w:ascii="Arial" w:hAnsi="Arial" w:cs="Arial"/>
    </w:rPr>
  </w:style>
  <w:style w:type="paragraph" w:customStyle="1" w:styleId="KUJKnormal">
    <w:name w:val="KUJK_normal"/>
    <w:basedOn w:val="Normln"/>
    <w:link w:val="KUJKnormalChar"/>
    <w:rsid w:val="0041269E"/>
    <w:pPr>
      <w:spacing w:after="0"/>
      <w:contextualSpacing/>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7689">
      <w:bodyDiv w:val="1"/>
      <w:marLeft w:val="0"/>
      <w:marRight w:val="0"/>
      <w:marTop w:val="0"/>
      <w:marBottom w:val="0"/>
      <w:divBdr>
        <w:top w:val="none" w:sz="0" w:space="0" w:color="auto"/>
        <w:left w:val="none" w:sz="0" w:space="0" w:color="auto"/>
        <w:bottom w:val="none" w:sz="0" w:space="0" w:color="auto"/>
        <w:right w:val="none" w:sz="0" w:space="0" w:color="auto"/>
      </w:divBdr>
      <w:divsChild>
        <w:div w:id="1034772507">
          <w:marLeft w:val="0"/>
          <w:marRight w:val="0"/>
          <w:marTop w:val="0"/>
          <w:marBottom w:val="0"/>
          <w:divBdr>
            <w:top w:val="none" w:sz="0" w:space="0" w:color="auto"/>
            <w:left w:val="none" w:sz="0" w:space="0" w:color="auto"/>
            <w:bottom w:val="none" w:sz="0" w:space="0" w:color="auto"/>
            <w:right w:val="none" w:sz="0" w:space="0" w:color="auto"/>
          </w:divBdr>
          <w:divsChild>
            <w:div w:id="1144002920">
              <w:marLeft w:val="0"/>
              <w:marRight w:val="0"/>
              <w:marTop w:val="0"/>
              <w:marBottom w:val="0"/>
              <w:divBdr>
                <w:top w:val="none" w:sz="0" w:space="0" w:color="auto"/>
                <w:left w:val="none" w:sz="0" w:space="0" w:color="auto"/>
                <w:bottom w:val="none" w:sz="0" w:space="0" w:color="auto"/>
                <w:right w:val="none" w:sz="0" w:space="0" w:color="auto"/>
              </w:divBdr>
              <w:divsChild>
                <w:div w:id="1747847327">
                  <w:marLeft w:val="0"/>
                  <w:marRight w:val="0"/>
                  <w:marTop w:val="0"/>
                  <w:marBottom w:val="0"/>
                  <w:divBdr>
                    <w:top w:val="none" w:sz="0" w:space="0" w:color="auto"/>
                    <w:left w:val="none" w:sz="0" w:space="0" w:color="auto"/>
                    <w:bottom w:val="none" w:sz="0" w:space="0" w:color="auto"/>
                    <w:right w:val="none" w:sz="0" w:space="0" w:color="auto"/>
                  </w:divBdr>
                  <w:divsChild>
                    <w:div w:id="653142809">
                      <w:marLeft w:val="0"/>
                      <w:marRight w:val="0"/>
                      <w:marTop w:val="0"/>
                      <w:marBottom w:val="0"/>
                      <w:divBdr>
                        <w:top w:val="none" w:sz="0" w:space="0" w:color="auto"/>
                        <w:left w:val="none" w:sz="0" w:space="0" w:color="auto"/>
                        <w:bottom w:val="none" w:sz="0" w:space="0" w:color="auto"/>
                        <w:right w:val="none" w:sz="0" w:space="0" w:color="auto"/>
                      </w:divBdr>
                      <w:divsChild>
                        <w:div w:id="1639724851">
                          <w:marLeft w:val="0"/>
                          <w:marRight w:val="0"/>
                          <w:marTop w:val="0"/>
                          <w:marBottom w:val="0"/>
                          <w:divBdr>
                            <w:top w:val="none" w:sz="0" w:space="0" w:color="auto"/>
                            <w:left w:val="none" w:sz="0" w:space="0" w:color="auto"/>
                            <w:bottom w:val="none" w:sz="0" w:space="0" w:color="auto"/>
                            <w:right w:val="none" w:sz="0" w:space="0" w:color="auto"/>
                          </w:divBdr>
                          <w:divsChild>
                            <w:div w:id="7843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52334">
      <w:bodyDiv w:val="1"/>
      <w:marLeft w:val="0"/>
      <w:marRight w:val="0"/>
      <w:marTop w:val="0"/>
      <w:marBottom w:val="0"/>
      <w:divBdr>
        <w:top w:val="none" w:sz="0" w:space="0" w:color="auto"/>
        <w:left w:val="none" w:sz="0" w:space="0" w:color="auto"/>
        <w:bottom w:val="none" w:sz="0" w:space="0" w:color="auto"/>
        <w:right w:val="none" w:sz="0" w:space="0" w:color="auto"/>
      </w:divBdr>
    </w:div>
    <w:div w:id="60639902">
      <w:bodyDiv w:val="1"/>
      <w:marLeft w:val="0"/>
      <w:marRight w:val="0"/>
      <w:marTop w:val="0"/>
      <w:marBottom w:val="0"/>
      <w:divBdr>
        <w:top w:val="none" w:sz="0" w:space="0" w:color="auto"/>
        <w:left w:val="none" w:sz="0" w:space="0" w:color="auto"/>
        <w:bottom w:val="none" w:sz="0" w:space="0" w:color="auto"/>
        <w:right w:val="none" w:sz="0" w:space="0" w:color="auto"/>
      </w:divBdr>
    </w:div>
    <w:div w:id="64649102">
      <w:bodyDiv w:val="1"/>
      <w:marLeft w:val="0"/>
      <w:marRight w:val="0"/>
      <w:marTop w:val="0"/>
      <w:marBottom w:val="0"/>
      <w:divBdr>
        <w:top w:val="none" w:sz="0" w:space="0" w:color="auto"/>
        <w:left w:val="none" w:sz="0" w:space="0" w:color="auto"/>
        <w:bottom w:val="none" w:sz="0" w:space="0" w:color="auto"/>
        <w:right w:val="none" w:sz="0" w:space="0" w:color="auto"/>
      </w:divBdr>
    </w:div>
    <w:div w:id="68964656">
      <w:bodyDiv w:val="1"/>
      <w:marLeft w:val="0"/>
      <w:marRight w:val="0"/>
      <w:marTop w:val="0"/>
      <w:marBottom w:val="0"/>
      <w:divBdr>
        <w:top w:val="none" w:sz="0" w:space="0" w:color="auto"/>
        <w:left w:val="none" w:sz="0" w:space="0" w:color="auto"/>
        <w:bottom w:val="none" w:sz="0" w:space="0" w:color="auto"/>
        <w:right w:val="none" w:sz="0" w:space="0" w:color="auto"/>
      </w:divBdr>
    </w:div>
    <w:div w:id="98112296">
      <w:bodyDiv w:val="1"/>
      <w:marLeft w:val="0"/>
      <w:marRight w:val="0"/>
      <w:marTop w:val="0"/>
      <w:marBottom w:val="0"/>
      <w:divBdr>
        <w:top w:val="none" w:sz="0" w:space="0" w:color="auto"/>
        <w:left w:val="none" w:sz="0" w:space="0" w:color="auto"/>
        <w:bottom w:val="none" w:sz="0" w:space="0" w:color="auto"/>
        <w:right w:val="none" w:sz="0" w:space="0" w:color="auto"/>
      </w:divBdr>
    </w:div>
    <w:div w:id="113254214">
      <w:bodyDiv w:val="1"/>
      <w:marLeft w:val="0"/>
      <w:marRight w:val="0"/>
      <w:marTop w:val="0"/>
      <w:marBottom w:val="0"/>
      <w:divBdr>
        <w:top w:val="none" w:sz="0" w:space="0" w:color="auto"/>
        <w:left w:val="none" w:sz="0" w:space="0" w:color="auto"/>
        <w:bottom w:val="none" w:sz="0" w:space="0" w:color="auto"/>
        <w:right w:val="none" w:sz="0" w:space="0" w:color="auto"/>
      </w:divBdr>
    </w:div>
    <w:div w:id="122427539">
      <w:bodyDiv w:val="1"/>
      <w:marLeft w:val="0"/>
      <w:marRight w:val="0"/>
      <w:marTop w:val="0"/>
      <w:marBottom w:val="0"/>
      <w:divBdr>
        <w:top w:val="none" w:sz="0" w:space="0" w:color="auto"/>
        <w:left w:val="none" w:sz="0" w:space="0" w:color="auto"/>
        <w:bottom w:val="none" w:sz="0" w:space="0" w:color="auto"/>
        <w:right w:val="none" w:sz="0" w:space="0" w:color="auto"/>
      </w:divBdr>
      <w:divsChild>
        <w:div w:id="1951693099">
          <w:marLeft w:val="0"/>
          <w:marRight w:val="0"/>
          <w:marTop w:val="0"/>
          <w:marBottom w:val="0"/>
          <w:divBdr>
            <w:top w:val="none" w:sz="0" w:space="0" w:color="auto"/>
            <w:left w:val="none" w:sz="0" w:space="0" w:color="auto"/>
            <w:bottom w:val="none" w:sz="0" w:space="0" w:color="auto"/>
            <w:right w:val="none" w:sz="0" w:space="0" w:color="auto"/>
          </w:divBdr>
          <w:divsChild>
            <w:div w:id="269243598">
              <w:marLeft w:val="0"/>
              <w:marRight w:val="0"/>
              <w:marTop w:val="0"/>
              <w:marBottom w:val="0"/>
              <w:divBdr>
                <w:top w:val="none" w:sz="0" w:space="0" w:color="auto"/>
                <w:left w:val="none" w:sz="0" w:space="0" w:color="auto"/>
                <w:bottom w:val="none" w:sz="0" w:space="0" w:color="auto"/>
                <w:right w:val="none" w:sz="0" w:space="0" w:color="auto"/>
              </w:divBdr>
              <w:divsChild>
                <w:div w:id="1711539404">
                  <w:marLeft w:val="0"/>
                  <w:marRight w:val="0"/>
                  <w:marTop w:val="0"/>
                  <w:marBottom w:val="0"/>
                  <w:divBdr>
                    <w:top w:val="none" w:sz="0" w:space="0" w:color="auto"/>
                    <w:left w:val="none" w:sz="0" w:space="0" w:color="auto"/>
                    <w:bottom w:val="none" w:sz="0" w:space="0" w:color="auto"/>
                    <w:right w:val="none" w:sz="0" w:space="0" w:color="auto"/>
                  </w:divBdr>
                  <w:divsChild>
                    <w:div w:id="1605460584">
                      <w:marLeft w:val="0"/>
                      <w:marRight w:val="0"/>
                      <w:marTop w:val="0"/>
                      <w:marBottom w:val="0"/>
                      <w:divBdr>
                        <w:top w:val="none" w:sz="0" w:space="0" w:color="auto"/>
                        <w:left w:val="none" w:sz="0" w:space="0" w:color="auto"/>
                        <w:bottom w:val="none" w:sz="0" w:space="0" w:color="auto"/>
                        <w:right w:val="none" w:sz="0" w:space="0" w:color="auto"/>
                      </w:divBdr>
                      <w:divsChild>
                        <w:div w:id="1211385096">
                          <w:marLeft w:val="0"/>
                          <w:marRight w:val="0"/>
                          <w:marTop w:val="0"/>
                          <w:marBottom w:val="0"/>
                          <w:divBdr>
                            <w:top w:val="none" w:sz="0" w:space="0" w:color="auto"/>
                            <w:left w:val="none" w:sz="0" w:space="0" w:color="auto"/>
                            <w:bottom w:val="none" w:sz="0" w:space="0" w:color="auto"/>
                            <w:right w:val="none" w:sz="0" w:space="0" w:color="auto"/>
                          </w:divBdr>
                          <w:divsChild>
                            <w:div w:id="7390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45664">
      <w:bodyDiv w:val="1"/>
      <w:marLeft w:val="0"/>
      <w:marRight w:val="0"/>
      <w:marTop w:val="0"/>
      <w:marBottom w:val="0"/>
      <w:divBdr>
        <w:top w:val="none" w:sz="0" w:space="0" w:color="auto"/>
        <w:left w:val="none" w:sz="0" w:space="0" w:color="auto"/>
        <w:bottom w:val="none" w:sz="0" w:space="0" w:color="auto"/>
        <w:right w:val="none" w:sz="0" w:space="0" w:color="auto"/>
      </w:divBdr>
      <w:divsChild>
        <w:div w:id="676612592">
          <w:marLeft w:val="0"/>
          <w:marRight w:val="0"/>
          <w:marTop w:val="0"/>
          <w:marBottom w:val="0"/>
          <w:divBdr>
            <w:top w:val="none" w:sz="0" w:space="0" w:color="auto"/>
            <w:left w:val="none" w:sz="0" w:space="0" w:color="auto"/>
            <w:bottom w:val="none" w:sz="0" w:space="0" w:color="auto"/>
            <w:right w:val="none" w:sz="0" w:space="0" w:color="auto"/>
          </w:divBdr>
          <w:divsChild>
            <w:div w:id="1813717275">
              <w:marLeft w:val="0"/>
              <w:marRight w:val="0"/>
              <w:marTop w:val="0"/>
              <w:marBottom w:val="0"/>
              <w:divBdr>
                <w:top w:val="none" w:sz="0" w:space="0" w:color="auto"/>
                <w:left w:val="none" w:sz="0" w:space="0" w:color="auto"/>
                <w:bottom w:val="none" w:sz="0" w:space="0" w:color="auto"/>
                <w:right w:val="none" w:sz="0" w:space="0" w:color="auto"/>
              </w:divBdr>
              <w:divsChild>
                <w:div w:id="1790470848">
                  <w:marLeft w:val="0"/>
                  <w:marRight w:val="0"/>
                  <w:marTop w:val="0"/>
                  <w:marBottom w:val="0"/>
                  <w:divBdr>
                    <w:top w:val="none" w:sz="0" w:space="0" w:color="auto"/>
                    <w:left w:val="none" w:sz="0" w:space="0" w:color="auto"/>
                    <w:bottom w:val="none" w:sz="0" w:space="0" w:color="auto"/>
                    <w:right w:val="none" w:sz="0" w:space="0" w:color="auto"/>
                  </w:divBdr>
                  <w:divsChild>
                    <w:div w:id="875195906">
                      <w:marLeft w:val="0"/>
                      <w:marRight w:val="0"/>
                      <w:marTop w:val="0"/>
                      <w:marBottom w:val="0"/>
                      <w:divBdr>
                        <w:top w:val="none" w:sz="0" w:space="0" w:color="auto"/>
                        <w:left w:val="none" w:sz="0" w:space="0" w:color="auto"/>
                        <w:bottom w:val="none" w:sz="0" w:space="0" w:color="auto"/>
                        <w:right w:val="none" w:sz="0" w:space="0" w:color="auto"/>
                      </w:divBdr>
                      <w:divsChild>
                        <w:div w:id="162740272">
                          <w:marLeft w:val="0"/>
                          <w:marRight w:val="0"/>
                          <w:marTop w:val="0"/>
                          <w:marBottom w:val="0"/>
                          <w:divBdr>
                            <w:top w:val="none" w:sz="0" w:space="0" w:color="auto"/>
                            <w:left w:val="none" w:sz="0" w:space="0" w:color="auto"/>
                            <w:bottom w:val="none" w:sz="0" w:space="0" w:color="auto"/>
                            <w:right w:val="none" w:sz="0" w:space="0" w:color="auto"/>
                          </w:divBdr>
                          <w:divsChild>
                            <w:div w:id="20231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65669">
      <w:bodyDiv w:val="1"/>
      <w:marLeft w:val="0"/>
      <w:marRight w:val="0"/>
      <w:marTop w:val="0"/>
      <w:marBottom w:val="0"/>
      <w:divBdr>
        <w:top w:val="none" w:sz="0" w:space="0" w:color="auto"/>
        <w:left w:val="none" w:sz="0" w:space="0" w:color="auto"/>
        <w:bottom w:val="none" w:sz="0" w:space="0" w:color="auto"/>
        <w:right w:val="none" w:sz="0" w:space="0" w:color="auto"/>
      </w:divBdr>
    </w:div>
    <w:div w:id="146868482">
      <w:bodyDiv w:val="1"/>
      <w:marLeft w:val="0"/>
      <w:marRight w:val="0"/>
      <w:marTop w:val="0"/>
      <w:marBottom w:val="0"/>
      <w:divBdr>
        <w:top w:val="none" w:sz="0" w:space="0" w:color="auto"/>
        <w:left w:val="none" w:sz="0" w:space="0" w:color="auto"/>
        <w:bottom w:val="none" w:sz="0" w:space="0" w:color="auto"/>
        <w:right w:val="none" w:sz="0" w:space="0" w:color="auto"/>
      </w:divBdr>
    </w:div>
    <w:div w:id="192351726">
      <w:bodyDiv w:val="1"/>
      <w:marLeft w:val="0"/>
      <w:marRight w:val="0"/>
      <w:marTop w:val="0"/>
      <w:marBottom w:val="0"/>
      <w:divBdr>
        <w:top w:val="none" w:sz="0" w:space="0" w:color="auto"/>
        <w:left w:val="none" w:sz="0" w:space="0" w:color="auto"/>
        <w:bottom w:val="none" w:sz="0" w:space="0" w:color="auto"/>
        <w:right w:val="none" w:sz="0" w:space="0" w:color="auto"/>
      </w:divBdr>
    </w:div>
    <w:div w:id="193232463">
      <w:bodyDiv w:val="1"/>
      <w:marLeft w:val="0"/>
      <w:marRight w:val="0"/>
      <w:marTop w:val="0"/>
      <w:marBottom w:val="0"/>
      <w:divBdr>
        <w:top w:val="none" w:sz="0" w:space="0" w:color="auto"/>
        <w:left w:val="none" w:sz="0" w:space="0" w:color="auto"/>
        <w:bottom w:val="none" w:sz="0" w:space="0" w:color="auto"/>
        <w:right w:val="none" w:sz="0" w:space="0" w:color="auto"/>
      </w:divBdr>
    </w:div>
    <w:div w:id="194582985">
      <w:bodyDiv w:val="1"/>
      <w:marLeft w:val="0"/>
      <w:marRight w:val="0"/>
      <w:marTop w:val="0"/>
      <w:marBottom w:val="0"/>
      <w:divBdr>
        <w:top w:val="none" w:sz="0" w:space="0" w:color="auto"/>
        <w:left w:val="none" w:sz="0" w:space="0" w:color="auto"/>
        <w:bottom w:val="none" w:sz="0" w:space="0" w:color="auto"/>
        <w:right w:val="none" w:sz="0" w:space="0" w:color="auto"/>
      </w:divBdr>
    </w:div>
    <w:div w:id="220408116">
      <w:bodyDiv w:val="1"/>
      <w:marLeft w:val="0"/>
      <w:marRight w:val="0"/>
      <w:marTop w:val="0"/>
      <w:marBottom w:val="0"/>
      <w:divBdr>
        <w:top w:val="none" w:sz="0" w:space="0" w:color="auto"/>
        <w:left w:val="none" w:sz="0" w:space="0" w:color="auto"/>
        <w:bottom w:val="none" w:sz="0" w:space="0" w:color="auto"/>
        <w:right w:val="none" w:sz="0" w:space="0" w:color="auto"/>
      </w:divBdr>
      <w:divsChild>
        <w:div w:id="475998748">
          <w:marLeft w:val="0"/>
          <w:marRight w:val="0"/>
          <w:marTop w:val="0"/>
          <w:marBottom w:val="0"/>
          <w:divBdr>
            <w:top w:val="none" w:sz="0" w:space="0" w:color="auto"/>
            <w:left w:val="none" w:sz="0" w:space="0" w:color="auto"/>
            <w:bottom w:val="none" w:sz="0" w:space="0" w:color="auto"/>
            <w:right w:val="none" w:sz="0" w:space="0" w:color="auto"/>
          </w:divBdr>
          <w:divsChild>
            <w:div w:id="1736010683">
              <w:marLeft w:val="0"/>
              <w:marRight w:val="0"/>
              <w:marTop w:val="0"/>
              <w:marBottom w:val="0"/>
              <w:divBdr>
                <w:top w:val="none" w:sz="0" w:space="0" w:color="auto"/>
                <w:left w:val="none" w:sz="0" w:space="0" w:color="auto"/>
                <w:bottom w:val="none" w:sz="0" w:space="0" w:color="auto"/>
                <w:right w:val="none" w:sz="0" w:space="0" w:color="auto"/>
              </w:divBdr>
              <w:divsChild>
                <w:div w:id="493954297">
                  <w:marLeft w:val="0"/>
                  <w:marRight w:val="0"/>
                  <w:marTop w:val="0"/>
                  <w:marBottom w:val="0"/>
                  <w:divBdr>
                    <w:top w:val="none" w:sz="0" w:space="0" w:color="auto"/>
                    <w:left w:val="none" w:sz="0" w:space="0" w:color="auto"/>
                    <w:bottom w:val="none" w:sz="0" w:space="0" w:color="auto"/>
                    <w:right w:val="none" w:sz="0" w:space="0" w:color="auto"/>
                  </w:divBdr>
                  <w:divsChild>
                    <w:div w:id="110782519">
                      <w:marLeft w:val="0"/>
                      <w:marRight w:val="0"/>
                      <w:marTop w:val="0"/>
                      <w:marBottom w:val="0"/>
                      <w:divBdr>
                        <w:top w:val="none" w:sz="0" w:space="0" w:color="auto"/>
                        <w:left w:val="none" w:sz="0" w:space="0" w:color="auto"/>
                        <w:bottom w:val="none" w:sz="0" w:space="0" w:color="auto"/>
                        <w:right w:val="none" w:sz="0" w:space="0" w:color="auto"/>
                      </w:divBdr>
                      <w:divsChild>
                        <w:div w:id="1273517706">
                          <w:marLeft w:val="0"/>
                          <w:marRight w:val="0"/>
                          <w:marTop w:val="0"/>
                          <w:marBottom w:val="0"/>
                          <w:divBdr>
                            <w:top w:val="none" w:sz="0" w:space="0" w:color="auto"/>
                            <w:left w:val="none" w:sz="0" w:space="0" w:color="auto"/>
                            <w:bottom w:val="none" w:sz="0" w:space="0" w:color="auto"/>
                            <w:right w:val="none" w:sz="0" w:space="0" w:color="auto"/>
                          </w:divBdr>
                          <w:divsChild>
                            <w:div w:id="3507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338626">
      <w:bodyDiv w:val="1"/>
      <w:marLeft w:val="0"/>
      <w:marRight w:val="0"/>
      <w:marTop w:val="0"/>
      <w:marBottom w:val="0"/>
      <w:divBdr>
        <w:top w:val="none" w:sz="0" w:space="0" w:color="auto"/>
        <w:left w:val="none" w:sz="0" w:space="0" w:color="auto"/>
        <w:bottom w:val="none" w:sz="0" w:space="0" w:color="auto"/>
        <w:right w:val="none" w:sz="0" w:space="0" w:color="auto"/>
      </w:divBdr>
    </w:div>
    <w:div w:id="228661404">
      <w:bodyDiv w:val="1"/>
      <w:marLeft w:val="0"/>
      <w:marRight w:val="0"/>
      <w:marTop w:val="0"/>
      <w:marBottom w:val="0"/>
      <w:divBdr>
        <w:top w:val="none" w:sz="0" w:space="0" w:color="auto"/>
        <w:left w:val="none" w:sz="0" w:space="0" w:color="auto"/>
        <w:bottom w:val="none" w:sz="0" w:space="0" w:color="auto"/>
        <w:right w:val="none" w:sz="0" w:space="0" w:color="auto"/>
      </w:divBdr>
      <w:divsChild>
        <w:div w:id="1514492627">
          <w:marLeft w:val="0"/>
          <w:marRight w:val="0"/>
          <w:marTop w:val="0"/>
          <w:marBottom w:val="0"/>
          <w:divBdr>
            <w:top w:val="none" w:sz="0" w:space="0" w:color="auto"/>
            <w:left w:val="none" w:sz="0" w:space="0" w:color="auto"/>
            <w:bottom w:val="none" w:sz="0" w:space="0" w:color="auto"/>
            <w:right w:val="none" w:sz="0" w:space="0" w:color="auto"/>
          </w:divBdr>
          <w:divsChild>
            <w:div w:id="1043557843">
              <w:marLeft w:val="0"/>
              <w:marRight w:val="0"/>
              <w:marTop w:val="0"/>
              <w:marBottom w:val="0"/>
              <w:divBdr>
                <w:top w:val="none" w:sz="0" w:space="0" w:color="auto"/>
                <w:left w:val="none" w:sz="0" w:space="0" w:color="auto"/>
                <w:bottom w:val="none" w:sz="0" w:space="0" w:color="auto"/>
                <w:right w:val="none" w:sz="0" w:space="0" w:color="auto"/>
              </w:divBdr>
              <w:divsChild>
                <w:div w:id="548690682">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sChild>
                        <w:div w:id="1363944670">
                          <w:marLeft w:val="0"/>
                          <w:marRight w:val="0"/>
                          <w:marTop w:val="0"/>
                          <w:marBottom w:val="0"/>
                          <w:divBdr>
                            <w:top w:val="none" w:sz="0" w:space="0" w:color="auto"/>
                            <w:left w:val="none" w:sz="0" w:space="0" w:color="auto"/>
                            <w:bottom w:val="none" w:sz="0" w:space="0" w:color="auto"/>
                            <w:right w:val="none" w:sz="0" w:space="0" w:color="auto"/>
                          </w:divBdr>
                          <w:divsChild>
                            <w:div w:id="18283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957424">
      <w:bodyDiv w:val="1"/>
      <w:marLeft w:val="0"/>
      <w:marRight w:val="0"/>
      <w:marTop w:val="0"/>
      <w:marBottom w:val="0"/>
      <w:divBdr>
        <w:top w:val="none" w:sz="0" w:space="0" w:color="auto"/>
        <w:left w:val="none" w:sz="0" w:space="0" w:color="auto"/>
        <w:bottom w:val="none" w:sz="0" w:space="0" w:color="auto"/>
        <w:right w:val="none" w:sz="0" w:space="0" w:color="auto"/>
      </w:divBdr>
      <w:divsChild>
        <w:div w:id="1372732594">
          <w:marLeft w:val="0"/>
          <w:marRight w:val="0"/>
          <w:marTop w:val="0"/>
          <w:marBottom w:val="0"/>
          <w:divBdr>
            <w:top w:val="none" w:sz="0" w:space="0" w:color="auto"/>
            <w:left w:val="none" w:sz="0" w:space="0" w:color="auto"/>
            <w:bottom w:val="none" w:sz="0" w:space="0" w:color="auto"/>
            <w:right w:val="none" w:sz="0" w:space="0" w:color="auto"/>
          </w:divBdr>
          <w:divsChild>
            <w:div w:id="1669676202">
              <w:marLeft w:val="0"/>
              <w:marRight w:val="0"/>
              <w:marTop w:val="0"/>
              <w:marBottom w:val="0"/>
              <w:divBdr>
                <w:top w:val="none" w:sz="0" w:space="0" w:color="auto"/>
                <w:left w:val="none" w:sz="0" w:space="0" w:color="auto"/>
                <w:bottom w:val="none" w:sz="0" w:space="0" w:color="auto"/>
                <w:right w:val="none" w:sz="0" w:space="0" w:color="auto"/>
              </w:divBdr>
              <w:divsChild>
                <w:div w:id="1262254768">
                  <w:marLeft w:val="0"/>
                  <w:marRight w:val="0"/>
                  <w:marTop w:val="0"/>
                  <w:marBottom w:val="0"/>
                  <w:divBdr>
                    <w:top w:val="none" w:sz="0" w:space="0" w:color="auto"/>
                    <w:left w:val="none" w:sz="0" w:space="0" w:color="auto"/>
                    <w:bottom w:val="none" w:sz="0" w:space="0" w:color="auto"/>
                    <w:right w:val="none" w:sz="0" w:space="0" w:color="auto"/>
                  </w:divBdr>
                  <w:divsChild>
                    <w:div w:id="954871610">
                      <w:marLeft w:val="0"/>
                      <w:marRight w:val="0"/>
                      <w:marTop w:val="0"/>
                      <w:marBottom w:val="0"/>
                      <w:divBdr>
                        <w:top w:val="none" w:sz="0" w:space="0" w:color="auto"/>
                        <w:left w:val="none" w:sz="0" w:space="0" w:color="auto"/>
                        <w:bottom w:val="none" w:sz="0" w:space="0" w:color="auto"/>
                        <w:right w:val="none" w:sz="0" w:space="0" w:color="auto"/>
                      </w:divBdr>
                      <w:divsChild>
                        <w:div w:id="2023897070">
                          <w:marLeft w:val="0"/>
                          <w:marRight w:val="0"/>
                          <w:marTop w:val="0"/>
                          <w:marBottom w:val="0"/>
                          <w:divBdr>
                            <w:top w:val="none" w:sz="0" w:space="0" w:color="auto"/>
                            <w:left w:val="none" w:sz="0" w:space="0" w:color="auto"/>
                            <w:bottom w:val="none" w:sz="0" w:space="0" w:color="auto"/>
                            <w:right w:val="none" w:sz="0" w:space="0" w:color="auto"/>
                          </w:divBdr>
                          <w:divsChild>
                            <w:div w:id="6205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654401">
      <w:bodyDiv w:val="1"/>
      <w:marLeft w:val="0"/>
      <w:marRight w:val="0"/>
      <w:marTop w:val="0"/>
      <w:marBottom w:val="0"/>
      <w:divBdr>
        <w:top w:val="none" w:sz="0" w:space="0" w:color="auto"/>
        <w:left w:val="none" w:sz="0" w:space="0" w:color="auto"/>
        <w:bottom w:val="none" w:sz="0" w:space="0" w:color="auto"/>
        <w:right w:val="none" w:sz="0" w:space="0" w:color="auto"/>
      </w:divBdr>
    </w:div>
    <w:div w:id="337923732">
      <w:bodyDiv w:val="1"/>
      <w:marLeft w:val="0"/>
      <w:marRight w:val="0"/>
      <w:marTop w:val="0"/>
      <w:marBottom w:val="0"/>
      <w:divBdr>
        <w:top w:val="none" w:sz="0" w:space="0" w:color="auto"/>
        <w:left w:val="none" w:sz="0" w:space="0" w:color="auto"/>
        <w:bottom w:val="none" w:sz="0" w:space="0" w:color="auto"/>
        <w:right w:val="none" w:sz="0" w:space="0" w:color="auto"/>
      </w:divBdr>
    </w:div>
    <w:div w:id="360325318">
      <w:bodyDiv w:val="1"/>
      <w:marLeft w:val="0"/>
      <w:marRight w:val="0"/>
      <w:marTop w:val="0"/>
      <w:marBottom w:val="0"/>
      <w:divBdr>
        <w:top w:val="none" w:sz="0" w:space="0" w:color="auto"/>
        <w:left w:val="none" w:sz="0" w:space="0" w:color="auto"/>
        <w:bottom w:val="none" w:sz="0" w:space="0" w:color="auto"/>
        <w:right w:val="none" w:sz="0" w:space="0" w:color="auto"/>
      </w:divBdr>
    </w:div>
    <w:div w:id="372461872">
      <w:bodyDiv w:val="1"/>
      <w:marLeft w:val="0"/>
      <w:marRight w:val="0"/>
      <w:marTop w:val="0"/>
      <w:marBottom w:val="0"/>
      <w:divBdr>
        <w:top w:val="none" w:sz="0" w:space="0" w:color="auto"/>
        <w:left w:val="none" w:sz="0" w:space="0" w:color="auto"/>
        <w:bottom w:val="none" w:sz="0" w:space="0" w:color="auto"/>
        <w:right w:val="none" w:sz="0" w:space="0" w:color="auto"/>
      </w:divBdr>
    </w:div>
    <w:div w:id="380398051">
      <w:bodyDiv w:val="1"/>
      <w:marLeft w:val="0"/>
      <w:marRight w:val="0"/>
      <w:marTop w:val="0"/>
      <w:marBottom w:val="0"/>
      <w:divBdr>
        <w:top w:val="none" w:sz="0" w:space="0" w:color="auto"/>
        <w:left w:val="none" w:sz="0" w:space="0" w:color="auto"/>
        <w:bottom w:val="none" w:sz="0" w:space="0" w:color="auto"/>
        <w:right w:val="none" w:sz="0" w:space="0" w:color="auto"/>
      </w:divBdr>
    </w:div>
    <w:div w:id="396705601">
      <w:bodyDiv w:val="1"/>
      <w:marLeft w:val="0"/>
      <w:marRight w:val="0"/>
      <w:marTop w:val="0"/>
      <w:marBottom w:val="0"/>
      <w:divBdr>
        <w:top w:val="none" w:sz="0" w:space="0" w:color="auto"/>
        <w:left w:val="none" w:sz="0" w:space="0" w:color="auto"/>
        <w:bottom w:val="none" w:sz="0" w:space="0" w:color="auto"/>
        <w:right w:val="none" w:sz="0" w:space="0" w:color="auto"/>
      </w:divBdr>
    </w:div>
    <w:div w:id="414207952">
      <w:bodyDiv w:val="1"/>
      <w:marLeft w:val="0"/>
      <w:marRight w:val="0"/>
      <w:marTop w:val="0"/>
      <w:marBottom w:val="0"/>
      <w:divBdr>
        <w:top w:val="none" w:sz="0" w:space="0" w:color="auto"/>
        <w:left w:val="none" w:sz="0" w:space="0" w:color="auto"/>
        <w:bottom w:val="none" w:sz="0" w:space="0" w:color="auto"/>
        <w:right w:val="none" w:sz="0" w:space="0" w:color="auto"/>
      </w:divBdr>
    </w:div>
    <w:div w:id="420758672">
      <w:bodyDiv w:val="1"/>
      <w:marLeft w:val="0"/>
      <w:marRight w:val="0"/>
      <w:marTop w:val="0"/>
      <w:marBottom w:val="0"/>
      <w:divBdr>
        <w:top w:val="none" w:sz="0" w:space="0" w:color="auto"/>
        <w:left w:val="none" w:sz="0" w:space="0" w:color="auto"/>
        <w:bottom w:val="none" w:sz="0" w:space="0" w:color="auto"/>
        <w:right w:val="none" w:sz="0" w:space="0" w:color="auto"/>
      </w:divBdr>
      <w:divsChild>
        <w:div w:id="1092624283">
          <w:marLeft w:val="0"/>
          <w:marRight w:val="0"/>
          <w:marTop w:val="0"/>
          <w:marBottom w:val="0"/>
          <w:divBdr>
            <w:top w:val="none" w:sz="0" w:space="0" w:color="auto"/>
            <w:left w:val="none" w:sz="0" w:space="0" w:color="auto"/>
            <w:bottom w:val="none" w:sz="0" w:space="0" w:color="auto"/>
            <w:right w:val="none" w:sz="0" w:space="0" w:color="auto"/>
          </w:divBdr>
          <w:divsChild>
            <w:div w:id="486408811">
              <w:marLeft w:val="0"/>
              <w:marRight w:val="0"/>
              <w:marTop w:val="0"/>
              <w:marBottom w:val="0"/>
              <w:divBdr>
                <w:top w:val="none" w:sz="0" w:space="0" w:color="auto"/>
                <w:left w:val="none" w:sz="0" w:space="0" w:color="auto"/>
                <w:bottom w:val="none" w:sz="0" w:space="0" w:color="auto"/>
                <w:right w:val="none" w:sz="0" w:space="0" w:color="auto"/>
              </w:divBdr>
              <w:divsChild>
                <w:div w:id="1909222305">
                  <w:marLeft w:val="0"/>
                  <w:marRight w:val="0"/>
                  <w:marTop w:val="0"/>
                  <w:marBottom w:val="0"/>
                  <w:divBdr>
                    <w:top w:val="none" w:sz="0" w:space="0" w:color="auto"/>
                    <w:left w:val="none" w:sz="0" w:space="0" w:color="auto"/>
                    <w:bottom w:val="none" w:sz="0" w:space="0" w:color="auto"/>
                    <w:right w:val="none" w:sz="0" w:space="0" w:color="auto"/>
                  </w:divBdr>
                  <w:divsChild>
                    <w:div w:id="1642149835">
                      <w:marLeft w:val="0"/>
                      <w:marRight w:val="0"/>
                      <w:marTop w:val="0"/>
                      <w:marBottom w:val="0"/>
                      <w:divBdr>
                        <w:top w:val="none" w:sz="0" w:space="0" w:color="auto"/>
                        <w:left w:val="none" w:sz="0" w:space="0" w:color="auto"/>
                        <w:bottom w:val="none" w:sz="0" w:space="0" w:color="auto"/>
                        <w:right w:val="none" w:sz="0" w:space="0" w:color="auto"/>
                      </w:divBdr>
                      <w:divsChild>
                        <w:div w:id="775247390">
                          <w:marLeft w:val="0"/>
                          <w:marRight w:val="0"/>
                          <w:marTop w:val="0"/>
                          <w:marBottom w:val="0"/>
                          <w:divBdr>
                            <w:top w:val="none" w:sz="0" w:space="0" w:color="auto"/>
                            <w:left w:val="none" w:sz="0" w:space="0" w:color="auto"/>
                            <w:bottom w:val="none" w:sz="0" w:space="0" w:color="auto"/>
                            <w:right w:val="none" w:sz="0" w:space="0" w:color="auto"/>
                          </w:divBdr>
                          <w:divsChild>
                            <w:div w:id="189026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954125">
      <w:bodyDiv w:val="1"/>
      <w:marLeft w:val="0"/>
      <w:marRight w:val="0"/>
      <w:marTop w:val="0"/>
      <w:marBottom w:val="0"/>
      <w:divBdr>
        <w:top w:val="none" w:sz="0" w:space="0" w:color="auto"/>
        <w:left w:val="none" w:sz="0" w:space="0" w:color="auto"/>
        <w:bottom w:val="none" w:sz="0" w:space="0" w:color="auto"/>
        <w:right w:val="none" w:sz="0" w:space="0" w:color="auto"/>
      </w:divBdr>
    </w:div>
    <w:div w:id="448551243">
      <w:bodyDiv w:val="1"/>
      <w:marLeft w:val="0"/>
      <w:marRight w:val="0"/>
      <w:marTop w:val="0"/>
      <w:marBottom w:val="0"/>
      <w:divBdr>
        <w:top w:val="none" w:sz="0" w:space="0" w:color="auto"/>
        <w:left w:val="none" w:sz="0" w:space="0" w:color="auto"/>
        <w:bottom w:val="none" w:sz="0" w:space="0" w:color="auto"/>
        <w:right w:val="none" w:sz="0" w:space="0" w:color="auto"/>
      </w:divBdr>
    </w:div>
    <w:div w:id="465705217">
      <w:bodyDiv w:val="1"/>
      <w:marLeft w:val="0"/>
      <w:marRight w:val="0"/>
      <w:marTop w:val="0"/>
      <w:marBottom w:val="0"/>
      <w:divBdr>
        <w:top w:val="none" w:sz="0" w:space="0" w:color="auto"/>
        <w:left w:val="none" w:sz="0" w:space="0" w:color="auto"/>
        <w:bottom w:val="none" w:sz="0" w:space="0" w:color="auto"/>
        <w:right w:val="none" w:sz="0" w:space="0" w:color="auto"/>
      </w:divBdr>
      <w:divsChild>
        <w:div w:id="1534919007">
          <w:marLeft w:val="0"/>
          <w:marRight w:val="0"/>
          <w:marTop w:val="0"/>
          <w:marBottom w:val="0"/>
          <w:divBdr>
            <w:top w:val="none" w:sz="0" w:space="0" w:color="auto"/>
            <w:left w:val="none" w:sz="0" w:space="0" w:color="auto"/>
            <w:bottom w:val="none" w:sz="0" w:space="0" w:color="auto"/>
            <w:right w:val="none" w:sz="0" w:space="0" w:color="auto"/>
          </w:divBdr>
          <w:divsChild>
            <w:div w:id="1205292870">
              <w:marLeft w:val="0"/>
              <w:marRight w:val="0"/>
              <w:marTop w:val="0"/>
              <w:marBottom w:val="0"/>
              <w:divBdr>
                <w:top w:val="none" w:sz="0" w:space="0" w:color="auto"/>
                <w:left w:val="none" w:sz="0" w:space="0" w:color="auto"/>
                <w:bottom w:val="none" w:sz="0" w:space="0" w:color="auto"/>
                <w:right w:val="none" w:sz="0" w:space="0" w:color="auto"/>
              </w:divBdr>
              <w:divsChild>
                <w:div w:id="84303493">
                  <w:marLeft w:val="0"/>
                  <w:marRight w:val="0"/>
                  <w:marTop w:val="0"/>
                  <w:marBottom w:val="0"/>
                  <w:divBdr>
                    <w:top w:val="none" w:sz="0" w:space="0" w:color="auto"/>
                    <w:left w:val="none" w:sz="0" w:space="0" w:color="auto"/>
                    <w:bottom w:val="none" w:sz="0" w:space="0" w:color="auto"/>
                    <w:right w:val="none" w:sz="0" w:space="0" w:color="auto"/>
                  </w:divBdr>
                  <w:divsChild>
                    <w:div w:id="936905996">
                      <w:marLeft w:val="0"/>
                      <w:marRight w:val="0"/>
                      <w:marTop w:val="0"/>
                      <w:marBottom w:val="0"/>
                      <w:divBdr>
                        <w:top w:val="none" w:sz="0" w:space="0" w:color="auto"/>
                        <w:left w:val="none" w:sz="0" w:space="0" w:color="auto"/>
                        <w:bottom w:val="none" w:sz="0" w:space="0" w:color="auto"/>
                        <w:right w:val="none" w:sz="0" w:space="0" w:color="auto"/>
                      </w:divBdr>
                      <w:divsChild>
                        <w:div w:id="547453365">
                          <w:marLeft w:val="0"/>
                          <w:marRight w:val="0"/>
                          <w:marTop w:val="0"/>
                          <w:marBottom w:val="0"/>
                          <w:divBdr>
                            <w:top w:val="none" w:sz="0" w:space="0" w:color="auto"/>
                            <w:left w:val="none" w:sz="0" w:space="0" w:color="auto"/>
                            <w:bottom w:val="none" w:sz="0" w:space="0" w:color="auto"/>
                            <w:right w:val="none" w:sz="0" w:space="0" w:color="auto"/>
                          </w:divBdr>
                          <w:divsChild>
                            <w:div w:id="6752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146231">
      <w:bodyDiv w:val="1"/>
      <w:marLeft w:val="0"/>
      <w:marRight w:val="0"/>
      <w:marTop w:val="0"/>
      <w:marBottom w:val="0"/>
      <w:divBdr>
        <w:top w:val="none" w:sz="0" w:space="0" w:color="auto"/>
        <w:left w:val="none" w:sz="0" w:space="0" w:color="auto"/>
        <w:bottom w:val="none" w:sz="0" w:space="0" w:color="auto"/>
        <w:right w:val="none" w:sz="0" w:space="0" w:color="auto"/>
      </w:divBdr>
    </w:div>
    <w:div w:id="530413431">
      <w:bodyDiv w:val="1"/>
      <w:marLeft w:val="0"/>
      <w:marRight w:val="0"/>
      <w:marTop w:val="0"/>
      <w:marBottom w:val="0"/>
      <w:divBdr>
        <w:top w:val="none" w:sz="0" w:space="0" w:color="auto"/>
        <w:left w:val="none" w:sz="0" w:space="0" w:color="auto"/>
        <w:bottom w:val="none" w:sz="0" w:space="0" w:color="auto"/>
        <w:right w:val="none" w:sz="0" w:space="0" w:color="auto"/>
      </w:divBdr>
    </w:div>
    <w:div w:id="552691094">
      <w:bodyDiv w:val="1"/>
      <w:marLeft w:val="0"/>
      <w:marRight w:val="0"/>
      <w:marTop w:val="0"/>
      <w:marBottom w:val="0"/>
      <w:divBdr>
        <w:top w:val="none" w:sz="0" w:space="0" w:color="auto"/>
        <w:left w:val="none" w:sz="0" w:space="0" w:color="auto"/>
        <w:bottom w:val="none" w:sz="0" w:space="0" w:color="auto"/>
        <w:right w:val="none" w:sz="0" w:space="0" w:color="auto"/>
      </w:divBdr>
    </w:div>
    <w:div w:id="560336841">
      <w:bodyDiv w:val="1"/>
      <w:marLeft w:val="0"/>
      <w:marRight w:val="0"/>
      <w:marTop w:val="0"/>
      <w:marBottom w:val="0"/>
      <w:divBdr>
        <w:top w:val="none" w:sz="0" w:space="0" w:color="auto"/>
        <w:left w:val="none" w:sz="0" w:space="0" w:color="auto"/>
        <w:bottom w:val="none" w:sz="0" w:space="0" w:color="auto"/>
        <w:right w:val="none" w:sz="0" w:space="0" w:color="auto"/>
      </w:divBdr>
    </w:div>
    <w:div w:id="585656325">
      <w:bodyDiv w:val="1"/>
      <w:marLeft w:val="0"/>
      <w:marRight w:val="0"/>
      <w:marTop w:val="0"/>
      <w:marBottom w:val="0"/>
      <w:divBdr>
        <w:top w:val="none" w:sz="0" w:space="0" w:color="auto"/>
        <w:left w:val="none" w:sz="0" w:space="0" w:color="auto"/>
        <w:bottom w:val="none" w:sz="0" w:space="0" w:color="auto"/>
        <w:right w:val="none" w:sz="0" w:space="0" w:color="auto"/>
      </w:divBdr>
    </w:div>
    <w:div w:id="592008563">
      <w:bodyDiv w:val="1"/>
      <w:marLeft w:val="0"/>
      <w:marRight w:val="0"/>
      <w:marTop w:val="0"/>
      <w:marBottom w:val="0"/>
      <w:divBdr>
        <w:top w:val="none" w:sz="0" w:space="0" w:color="auto"/>
        <w:left w:val="none" w:sz="0" w:space="0" w:color="auto"/>
        <w:bottom w:val="none" w:sz="0" w:space="0" w:color="auto"/>
        <w:right w:val="none" w:sz="0" w:space="0" w:color="auto"/>
      </w:divBdr>
    </w:div>
    <w:div w:id="607200250">
      <w:bodyDiv w:val="1"/>
      <w:marLeft w:val="0"/>
      <w:marRight w:val="0"/>
      <w:marTop w:val="0"/>
      <w:marBottom w:val="0"/>
      <w:divBdr>
        <w:top w:val="none" w:sz="0" w:space="0" w:color="auto"/>
        <w:left w:val="none" w:sz="0" w:space="0" w:color="auto"/>
        <w:bottom w:val="none" w:sz="0" w:space="0" w:color="auto"/>
        <w:right w:val="none" w:sz="0" w:space="0" w:color="auto"/>
      </w:divBdr>
    </w:div>
    <w:div w:id="632174971">
      <w:bodyDiv w:val="1"/>
      <w:marLeft w:val="0"/>
      <w:marRight w:val="0"/>
      <w:marTop w:val="0"/>
      <w:marBottom w:val="0"/>
      <w:divBdr>
        <w:top w:val="none" w:sz="0" w:space="0" w:color="auto"/>
        <w:left w:val="none" w:sz="0" w:space="0" w:color="auto"/>
        <w:bottom w:val="none" w:sz="0" w:space="0" w:color="auto"/>
        <w:right w:val="none" w:sz="0" w:space="0" w:color="auto"/>
      </w:divBdr>
    </w:div>
    <w:div w:id="674768068">
      <w:bodyDiv w:val="1"/>
      <w:marLeft w:val="0"/>
      <w:marRight w:val="0"/>
      <w:marTop w:val="0"/>
      <w:marBottom w:val="0"/>
      <w:divBdr>
        <w:top w:val="none" w:sz="0" w:space="0" w:color="auto"/>
        <w:left w:val="none" w:sz="0" w:space="0" w:color="auto"/>
        <w:bottom w:val="none" w:sz="0" w:space="0" w:color="auto"/>
        <w:right w:val="none" w:sz="0" w:space="0" w:color="auto"/>
      </w:divBdr>
    </w:div>
    <w:div w:id="679696357">
      <w:marLeft w:val="0"/>
      <w:marRight w:val="0"/>
      <w:marTop w:val="0"/>
      <w:marBottom w:val="0"/>
      <w:divBdr>
        <w:top w:val="none" w:sz="0" w:space="0" w:color="auto"/>
        <w:left w:val="none" w:sz="0" w:space="0" w:color="auto"/>
        <w:bottom w:val="none" w:sz="0" w:space="0" w:color="auto"/>
        <w:right w:val="none" w:sz="0" w:space="0" w:color="auto"/>
      </w:divBdr>
    </w:div>
    <w:div w:id="679696359">
      <w:marLeft w:val="0"/>
      <w:marRight w:val="0"/>
      <w:marTop w:val="0"/>
      <w:marBottom w:val="0"/>
      <w:divBdr>
        <w:top w:val="none" w:sz="0" w:space="0" w:color="auto"/>
        <w:left w:val="none" w:sz="0" w:space="0" w:color="auto"/>
        <w:bottom w:val="none" w:sz="0" w:space="0" w:color="auto"/>
        <w:right w:val="none" w:sz="0" w:space="0" w:color="auto"/>
      </w:divBdr>
    </w:div>
    <w:div w:id="679696360">
      <w:marLeft w:val="0"/>
      <w:marRight w:val="0"/>
      <w:marTop w:val="0"/>
      <w:marBottom w:val="0"/>
      <w:divBdr>
        <w:top w:val="none" w:sz="0" w:space="0" w:color="auto"/>
        <w:left w:val="none" w:sz="0" w:space="0" w:color="auto"/>
        <w:bottom w:val="none" w:sz="0" w:space="0" w:color="auto"/>
        <w:right w:val="none" w:sz="0" w:space="0" w:color="auto"/>
      </w:divBdr>
      <w:divsChild>
        <w:div w:id="679696749">
          <w:marLeft w:val="0"/>
          <w:marRight w:val="0"/>
          <w:marTop w:val="0"/>
          <w:marBottom w:val="0"/>
          <w:divBdr>
            <w:top w:val="none" w:sz="0" w:space="0" w:color="auto"/>
            <w:left w:val="none" w:sz="0" w:space="0" w:color="auto"/>
            <w:bottom w:val="none" w:sz="0" w:space="0" w:color="auto"/>
            <w:right w:val="none" w:sz="0" w:space="0" w:color="auto"/>
          </w:divBdr>
        </w:div>
      </w:divsChild>
    </w:div>
    <w:div w:id="679696361">
      <w:marLeft w:val="0"/>
      <w:marRight w:val="0"/>
      <w:marTop w:val="0"/>
      <w:marBottom w:val="0"/>
      <w:divBdr>
        <w:top w:val="none" w:sz="0" w:space="0" w:color="auto"/>
        <w:left w:val="none" w:sz="0" w:space="0" w:color="auto"/>
        <w:bottom w:val="none" w:sz="0" w:space="0" w:color="auto"/>
        <w:right w:val="none" w:sz="0" w:space="0" w:color="auto"/>
      </w:divBdr>
    </w:div>
    <w:div w:id="679696362">
      <w:marLeft w:val="0"/>
      <w:marRight w:val="0"/>
      <w:marTop w:val="0"/>
      <w:marBottom w:val="0"/>
      <w:divBdr>
        <w:top w:val="none" w:sz="0" w:space="0" w:color="auto"/>
        <w:left w:val="none" w:sz="0" w:space="0" w:color="auto"/>
        <w:bottom w:val="none" w:sz="0" w:space="0" w:color="auto"/>
        <w:right w:val="none" w:sz="0" w:space="0" w:color="auto"/>
      </w:divBdr>
      <w:divsChild>
        <w:div w:id="679696506">
          <w:marLeft w:val="0"/>
          <w:marRight w:val="0"/>
          <w:marTop w:val="0"/>
          <w:marBottom w:val="0"/>
          <w:divBdr>
            <w:top w:val="none" w:sz="0" w:space="0" w:color="auto"/>
            <w:left w:val="none" w:sz="0" w:space="0" w:color="auto"/>
            <w:bottom w:val="none" w:sz="0" w:space="0" w:color="auto"/>
            <w:right w:val="none" w:sz="0" w:space="0" w:color="auto"/>
          </w:divBdr>
        </w:div>
      </w:divsChild>
    </w:div>
    <w:div w:id="679696364">
      <w:marLeft w:val="0"/>
      <w:marRight w:val="0"/>
      <w:marTop w:val="0"/>
      <w:marBottom w:val="0"/>
      <w:divBdr>
        <w:top w:val="none" w:sz="0" w:space="0" w:color="auto"/>
        <w:left w:val="none" w:sz="0" w:space="0" w:color="auto"/>
        <w:bottom w:val="none" w:sz="0" w:space="0" w:color="auto"/>
        <w:right w:val="none" w:sz="0" w:space="0" w:color="auto"/>
      </w:divBdr>
    </w:div>
    <w:div w:id="679696366">
      <w:marLeft w:val="0"/>
      <w:marRight w:val="0"/>
      <w:marTop w:val="0"/>
      <w:marBottom w:val="0"/>
      <w:divBdr>
        <w:top w:val="none" w:sz="0" w:space="0" w:color="auto"/>
        <w:left w:val="none" w:sz="0" w:space="0" w:color="auto"/>
        <w:bottom w:val="none" w:sz="0" w:space="0" w:color="auto"/>
        <w:right w:val="none" w:sz="0" w:space="0" w:color="auto"/>
      </w:divBdr>
    </w:div>
    <w:div w:id="679696368">
      <w:marLeft w:val="0"/>
      <w:marRight w:val="0"/>
      <w:marTop w:val="0"/>
      <w:marBottom w:val="0"/>
      <w:divBdr>
        <w:top w:val="none" w:sz="0" w:space="0" w:color="auto"/>
        <w:left w:val="none" w:sz="0" w:space="0" w:color="auto"/>
        <w:bottom w:val="none" w:sz="0" w:space="0" w:color="auto"/>
        <w:right w:val="none" w:sz="0" w:space="0" w:color="auto"/>
      </w:divBdr>
    </w:div>
    <w:div w:id="679696369">
      <w:marLeft w:val="0"/>
      <w:marRight w:val="0"/>
      <w:marTop w:val="0"/>
      <w:marBottom w:val="0"/>
      <w:divBdr>
        <w:top w:val="none" w:sz="0" w:space="0" w:color="auto"/>
        <w:left w:val="none" w:sz="0" w:space="0" w:color="auto"/>
        <w:bottom w:val="none" w:sz="0" w:space="0" w:color="auto"/>
        <w:right w:val="none" w:sz="0" w:space="0" w:color="auto"/>
      </w:divBdr>
    </w:div>
    <w:div w:id="679696371">
      <w:marLeft w:val="0"/>
      <w:marRight w:val="0"/>
      <w:marTop w:val="0"/>
      <w:marBottom w:val="0"/>
      <w:divBdr>
        <w:top w:val="none" w:sz="0" w:space="0" w:color="auto"/>
        <w:left w:val="none" w:sz="0" w:space="0" w:color="auto"/>
        <w:bottom w:val="none" w:sz="0" w:space="0" w:color="auto"/>
        <w:right w:val="none" w:sz="0" w:space="0" w:color="auto"/>
      </w:divBdr>
    </w:div>
    <w:div w:id="679696373">
      <w:marLeft w:val="0"/>
      <w:marRight w:val="0"/>
      <w:marTop w:val="0"/>
      <w:marBottom w:val="0"/>
      <w:divBdr>
        <w:top w:val="none" w:sz="0" w:space="0" w:color="auto"/>
        <w:left w:val="none" w:sz="0" w:space="0" w:color="auto"/>
        <w:bottom w:val="none" w:sz="0" w:space="0" w:color="auto"/>
        <w:right w:val="none" w:sz="0" w:space="0" w:color="auto"/>
      </w:divBdr>
    </w:div>
    <w:div w:id="679696374">
      <w:marLeft w:val="0"/>
      <w:marRight w:val="0"/>
      <w:marTop w:val="0"/>
      <w:marBottom w:val="0"/>
      <w:divBdr>
        <w:top w:val="none" w:sz="0" w:space="0" w:color="auto"/>
        <w:left w:val="none" w:sz="0" w:space="0" w:color="auto"/>
        <w:bottom w:val="none" w:sz="0" w:space="0" w:color="auto"/>
        <w:right w:val="none" w:sz="0" w:space="0" w:color="auto"/>
      </w:divBdr>
    </w:div>
    <w:div w:id="679696376">
      <w:marLeft w:val="0"/>
      <w:marRight w:val="0"/>
      <w:marTop w:val="0"/>
      <w:marBottom w:val="0"/>
      <w:divBdr>
        <w:top w:val="none" w:sz="0" w:space="0" w:color="auto"/>
        <w:left w:val="none" w:sz="0" w:space="0" w:color="auto"/>
        <w:bottom w:val="none" w:sz="0" w:space="0" w:color="auto"/>
        <w:right w:val="none" w:sz="0" w:space="0" w:color="auto"/>
      </w:divBdr>
    </w:div>
    <w:div w:id="679696377">
      <w:marLeft w:val="0"/>
      <w:marRight w:val="0"/>
      <w:marTop w:val="0"/>
      <w:marBottom w:val="0"/>
      <w:divBdr>
        <w:top w:val="none" w:sz="0" w:space="0" w:color="auto"/>
        <w:left w:val="none" w:sz="0" w:space="0" w:color="auto"/>
        <w:bottom w:val="none" w:sz="0" w:space="0" w:color="auto"/>
        <w:right w:val="none" w:sz="0" w:space="0" w:color="auto"/>
      </w:divBdr>
    </w:div>
    <w:div w:id="679696378">
      <w:marLeft w:val="0"/>
      <w:marRight w:val="0"/>
      <w:marTop w:val="0"/>
      <w:marBottom w:val="0"/>
      <w:divBdr>
        <w:top w:val="none" w:sz="0" w:space="0" w:color="auto"/>
        <w:left w:val="none" w:sz="0" w:space="0" w:color="auto"/>
        <w:bottom w:val="none" w:sz="0" w:space="0" w:color="auto"/>
        <w:right w:val="none" w:sz="0" w:space="0" w:color="auto"/>
      </w:divBdr>
    </w:div>
    <w:div w:id="679696379">
      <w:marLeft w:val="0"/>
      <w:marRight w:val="0"/>
      <w:marTop w:val="0"/>
      <w:marBottom w:val="0"/>
      <w:divBdr>
        <w:top w:val="none" w:sz="0" w:space="0" w:color="auto"/>
        <w:left w:val="none" w:sz="0" w:space="0" w:color="auto"/>
        <w:bottom w:val="none" w:sz="0" w:space="0" w:color="auto"/>
        <w:right w:val="none" w:sz="0" w:space="0" w:color="auto"/>
      </w:divBdr>
    </w:div>
    <w:div w:id="679696380">
      <w:marLeft w:val="0"/>
      <w:marRight w:val="0"/>
      <w:marTop w:val="0"/>
      <w:marBottom w:val="0"/>
      <w:divBdr>
        <w:top w:val="none" w:sz="0" w:space="0" w:color="auto"/>
        <w:left w:val="none" w:sz="0" w:space="0" w:color="auto"/>
        <w:bottom w:val="none" w:sz="0" w:space="0" w:color="auto"/>
        <w:right w:val="none" w:sz="0" w:space="0" w:color="auto"/>
      </w:divBdr>
    </w:div>
    <w:div w:id="679696381">
      <w:marLeft w:val="0"/>
      <w:marRight w:val="0"/>
      <w:marTop w:val="0"/>
      <w:marBottom w:val="0"/>
      <w:divBdr>
        <w:top w:val="none" w:sz="0" w:space="0" w:color="auto"/>
        <w:left w:val="none" w:sz="0" w:space="0" w:color="auto"/>
        <w:bottom w:val="none" w:sz="0" w:space="0" w:color="auto"/>
        <w:right w:val="none" w:sz="0" w:space="0" w:color="auto"/>
      </w:divBdr>
    </w:div>
    <w:div w:id="679696384">
      <w:marLeft w:val="0"/>
      <w:marRight w:val="0"/>
      <w:marTop w:val="0"/>
      <w:marBottom w:val="0"/>
      <w:divBdr>
        <w:top w:val="none" w:sz="0" w:space="0" w:color="auto"/>
        <w:left w:val="none" w:sz="0" w:space="0" w:color="auto"/>
        <w:bottom w:val="none" w:sz="0" w:space="0" w:color="auto"/>
        <w:right w:val="none" w:sz="0" w:space="0" w:color="auto"/>
      </w:divBdr>
    </w:div>
    <w:div w:id="679696385">
      <w:marLeft w:val="0"/>
      <w:marRight w:val="0"/>
      <w:marTop w:val="0"/>
      <w:marBottom w:val="0"/>
      <w:divBdr>
        <w:top w:val="none" w:sz="0" w:space="0" w:color="auto"/>
        <w:left w:val="none" w:sz="0" w:space="0" w:color="auto"/>
        <w:bottom w:val="none" w:sz="0" w:space="0" w:color="auto"/>
        <w:right w:val="none" w:sz="0" w:space="0" w:color="auto"/>
      </w:divBdr>
    </w:div>
    <w:div w:id="679696387">
      <w:marLeft w:val="0"/>
      <w:marRight w:val="0"/>
      <w:marTop w:val="0"/>
      <w:marBottom w:val="0"/>
      <w:divBdr>
        <w:top w:val="none" w:sz="0" w:space="0" w:color="auto"/>
        <w:left w:val="none" w:sz="0" w:space="0" w:color="auto"/>
        <w:bottom w:val="none" w:sz="0" w:space="0" w:color="auto"/>
        <w:right w:val="none" w:sz="0" w:space="0" w:color="auto"/>
      </w:divBdr>
    </w:div>
    <w:div w:id="679696388">
      <w:marLeft w:val="0"/>
      <w:marRight w:val="0"/>
      <w:marTop w:val="0"/>
      <w:marBottom w:val="0"/>
      <w:divBdr>
        <w:top w:val="none" w:sz="0" w:space="0" w:color="auto"/>
        <w:left w:val="none" w:sz="0" w:space="0" w:color="auto"/>
        <w:bottom w:val="none" w:sz="0" w:space="0" w:color="auto"/>
        <w:right w:val="none" w:sz="0" w:space="0" w:color="auto"/>
      </w:divBdr>
    </w:div>
    <w:div w:id="679696391">
      <w:marLeft w:val="0"/>
      <w:marRight w:val="0"/>
      <w:marTop w:val="0"/>
      <w:marBottom w:val="0"/>
      <w:divBdr>
        <w:top w:val="none" w:sz="0" w:space="0" w:color="auto"/>
        <w:left w:val="none" w:sz="0" w:space="0" w:color="auto"/>
        <w:bottom w:val="none" w:sz="0" w:space="0" w:color="auto"/>
        <w:right w:val="none" w:sz="0" w:space="0" w:color="auto"/>
      </w:divBdr>
      <w:divsChild>
        <w:div w:id="679696490">
          <w:marLeft w:val="0"/>
          <w:marRight w:val="0"/>
          <w:marTop w:val="0"/>
          <w:marBottom w:val="0"/>
          <w:divBdr>
            <w:top w:val="none" w:sz="0" w:space="0" w:color="auto"/>
            <w:left w:val="none" w:sz="0" w:space="0" w:color="auto"/>
            <w:bottom w:val="none" w:sz="0" w:space="0" w:color="auto"/>
            <w:right w:val="none" w:sz="0" w:space="0" w:color="auto"/>
          </w:divBdr>
        </w:div>
      </w:divsChild>
    </w:div>
    <w:div w:id="679696392">
      <w:marLeft w:val="0"/>
      <w:marRight w:val="0"/>
      <w:marTop w:val="0"/>
      <w:marBottom w:val="0"/>
      <w:divBdr>
        <w:top w:val="none" w:sz="0" w:space="0" w:color="auto"/>
        <w:left w:val="none" w:sz="0" w:space="0" w:color="auto"/>
        <w:bottom w:val="none" w:sz="0" w:space="0" w:color="auto"/>
        <w:right w:val="none" w:sz="0" w:space="0" w:color="auto"/>
      </w:divBdr>
      <w:divsChild>
        <w:div w:id="679696471">
          <w:marLeft w:val="0"/>
          <w:marRight w:val="0"/>
          <w:marTop w:val="0"/>
          <w:marBottom w:val="0"/>
          <w:divBdr>
            <w:top w:val="none" w:sz="0" w:space="0" w:color="auto"/>
            <w:left w:val="none" w:sz="0" w:space="0" w:color="auto"/>
            <w:bottom w:val="none" w:sz="0" w:space="0" w:color="auto"/>
            <w:right w:val="none" w:sz="0" w:space="0" w:color="auto"/>
          </w:divBdr>
          <w:divsChild>
            <w:div w:id="679696590">
              <w:marLeft w:val="0"/>
              <w:marRight w:val="0"/>
              <w:marTop w:val="0"/>
              <w:marBottom w:val="0"/>
              <w:divBdr>
                <w:top w:val="none" w:sz="0" w:space="0" w:color="auto"/>
                <w:left w:val="none" w:sz="0" w:space="0" w:color="auto"/>
                <w:bottom w:val="none" w:sz="0" w:space="0" w:color="auto"/>
                <w:right w:val="none" w:sz="0" w:space="0" w:color="auto"/>
              </w:divBdr>
              <w:divsChild>
                <w:div w:id="679696441">
                  <w:marLeft w:val="0"/>
                  <w:marRight w:val="0"/>
                  <w:marTop w:val="0"/>
                  <w:marBottom w:val="0"/>
                  <w:divBdr>
                    <w:top w:val="none" w:sz="0" w:space="0" w:color="auto"/>
                    <w:left w:val="none" w:sz="0" w:space="0" w:color="auto"/>
                    <w:bottom w:val="none" w:sz="0" w:space="0" w:color="auto"/>
                    <w:right w:val="none" w:sz="0" w:space="0" w:color="auto"/>
                  </w:divBdr>
                  <w:divsChild>
                    <w:div w:id="679696614">
                      <w:marLeft w:val="0"/>
                      <w:marRight w:val="0"/>
                      <w:marTop w:val="0"/>
                      <w:marBottom w:val="0"/>
                      <w:divBdr>
                        <w:top w:val="none" w:sz="0" w:space="0" w:color="auto"/>
                        <w:left w:val="none" w:sz="0" w:space="0" w:color="auto"/>
                        <w:bottom w:val="none" w:sz="0" w:space="0" w:color="auto"/>
                        <w:right w:val="none" w:sz="0" w:space="0" w:color="auto"/>
                      </w:divBdr>
                      <w:divsChild>
                        <w:div w:id="67969666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394">
      <w:marLeft w:val="0"/>
      <w:marRight w:val="0"/>
      <w:marTop w:val="0"/>
      <w:marBottom w:val="0"/>
      <w:divBdr>
        <w:top w:val="none" w:sz="0" w:space="0" w:color="auto"/>
        <w:left w:val="none" w:sz="0" w:space="0" w:color="auto"/>
        <w:bottom w:val="none" w:sz="0" w:space="0" w:color="auto"/>
        <w:right w:val="none" w:sz="0" w:space="0" w:color="auto"/>
      </w:divBdr>
      <w:divsChild>
        <w:div w:id="679696654">
          <w:marLeft w:val="0"/>
          <w:marRight w:val="0"/>
          <w:marTop w:val="0"/>
          <w:marBottom w:val="0"/>
          <w:divBdr>
            <w:top w:val="none" w:sz="0" w:space="0" w:color="auto"/>
            <w:left w:val="none" w:sz="0" w:space="0" w:color="auto"/>
            <w:bottom w:val="none" w:sz="0" w:space="0" w:color="auto"/>
            <w:right w:val="none" w:sz="0" w:space="0" w:color="auto"/>
          </w:divBdr>
          <w:divsChild>
            <w:div w:id="679696573">
              <w:marLeft w:val="0"/>
              <w:marRight w:val="0"/>
              <w:marTop w:val="0"/>
              <w:marBottom w:val="0"/>
              <w:divBdr>
                <w:top w:val="none" w:sz="0" w:space="0" w:color="auto"/>
                <w:left w:val="none" w:sz="0" w:space="0" w:color="auto"/>
                <w:bottom w:val="none" w:sz="0" w:space="0" w:color="auto"/>
                <w:right w:val="none" w:sz="0" w:space="0" w:color="auto"/>
              </w:divBdr>
              <w:divsChild>
                <w:div w:id="679696477">
                  <w:marLeft w:val="0"/>
                  <w:marRight w:val="0"/>
                  <w:marTop w:val="0"/>
                  <w:marBottom w:val="0"/>
                  <w:divBdr>
                    <w:top w:val="none" w:sz="0" w:space="0" w:color="auto"/>
                    <w:left w:val="none" w:sz="0" w:space="0" w:color="auto"/>
                    <w:bottom w:val="none" w:sz="0" w:space="0" w:color="auto"/>
                    <w:right w:val="none" w:sz="0" w:space="0" w:color="auto"/>
                  </w:divBdr>
                  <w:divsChild>
                    <w:div w:id="679696404">
                      <w:marLeft w:val="0"/>
                      <w:marRight w:val="0"/>
                      <w:marTop w:val="0"/>
                      <w:marBottom w:val="0"/>
                      <w:divBdr>
                        <w:top w:val="none" w:sz="0" w:space="0" w:color="auto"/>
                        <w:left w:val="none" w:sz="0" w:space="0" w:color="auto"/>
                        <w:bottom w:val="none" w:sz="0" w:space="0" w:color="auto"/>
                        <w:right w:val="none" w:sz="0" w:space="0" w:color="auto"/>
                      </w:divBdr>
                      <w:divsChild>
                        <w:div w:id="67969636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395">
      <w:marLeft w:val="0"/>
      <w:marRight w:val="0"/>
      <w:marTop w:val="0"/>
      <w:marBottom w:val="0"/>
      <w:divBdr>
        <w:top w:val="none" w:sz="0" w:space="0" w:color="auto"/>
        <w:left w:val="none" w:sz="0" w:space="0" w:color="auto"/>
        <w:bottom w:val="none" w:sz="0" w:space="0" w:color="auto"/>
        <w:right w:val="none" w:sz="0" w:space="0" w:color="auto"/>
      </w:divBdr>
    </w:div>
    <w:div w:id="679696397">
      <w:marLeft w:val="0"/>
      <w:marRight w:val="0"/>
      <w:marTop w:val="0"/>
      <w:marBottom w:val="0"/>
      <w:divBdr>
        <w:top w:val="none" w:sz="0" w:space="0" w:color="auto"/>
        <w:left w:val="none" w:sz="0" w:space="0" w:color="auto"/>
        <w:bottom w:val="none" w:sz="0" w:space="0" w:color="auto"/>
        <w:right w:val="none" w:sz="0" w:space="0" w:color="auto"/>
      </w:divBdr>
    </w:div>
    <w:div w:id="679696398">
      <w:marLeft w:val="0"/>
      <w:marRight w:val="0"/>
      <w:marTop w:val="0"/>
      <w:marBottom w:val="0"/>
      <w:divBdr>
        <w:top w:val="none" w:sz="0" w:space="0" w:color="auto"/>
        <w:left w:val="none" w:sz="0" w:space="0" w:color="auto"/>
        <w:bottom w:val="none" w:sz="0" w:space="0" w:color="auto"/>
        <w:right w:val="none" w:sz="0" w:space="0" w:color="auto"/>
      </w:divBdr>
    </w:div>
    <w:div w:id="679696399">
      <w:marLeft w:val="0"/>
      <w:marRight w:val="0"/>
      <w:marTop w:val="0"/>
      <w:marBottom w:val="0"/>
      <w:divBdr>
        <w:top w:val="none" w:sz="0" w:space="0" w:color="auto"/>
        <w:left w:val="none" w:sz="0" w:space="0" w:color="auto"/>
        <w:bottom w:val="none" w:sz="0" w:space="0" w:color="auto"/>
        <w:right w:val="none" w:sz="0" w:space="0" w:color="auto"/>
      </w:divBdr>
      <w:divsChild>
        <w:div w:id="679696449">
          <w:marLeft w:val="0"/>
          <w:marRight w:val="0"/>
          <w:marTop w:val="0"/>
          <w:marBottom w:val="0"/>
          <w:divBdr>
            <w:top w:val="none" w:sz="0" w:space="0" w:color="auto"/>
            <w:left w:val="none" w:sz="0" w:space="0" w:color="auto"/>
            <w:bottom w:val="none" w:sz="0" w:space="0" w:color="auto"/>
            <w:right w:val="none" w:sz="0" w:space="0" w:color="auto"/>
          </w:divBdr>
        </w:div>
        <w:div w:id="679696723">
          <w:marLeft w:val="0"/>
          <w:marRight w:val="0"/>
          <w:marTop w:val="0"/>
          <w:marBottom w:val="0"/>
          <w:divBdr>
            <w:top w:val="none" w:sz="0" w:space="0" w:color="auto"/>
            <w:left w:val="none" w:sz="0" w:space="0" w:color="auto"/>
            <w:bottom w:val="none" w:sz="0" w:space="0" w:color="auto"/>
            <w:right w:val="none" w:sz="0" w:space="0" w:color="auto"/>
          </w:divBdr>
        </w:div>
      </w:divsChild>
    </w:div>
    <w:div w:id="679696400">
      <w:marLeft w:val="0"/>
      <w:marRight w:val="0"/>
      <w:marTop w:val="0"/>
      <w:marBottom w:val="0"/>
      <w:divBdr>
        <w:top w:val="none" w:sz="0" w:space="0" w:color="auto"/>
        <w:left w:val="none" w:sz="0" w:space="0" w:color="auto"/>
        <w:bottom w:val="none" w:sz="0" w:space="0" w:color="auto"/>
        <w:right w:val="none" w:sz="0" w:space="0" w:color="auto"/>
      </w:divBdr>
    </w:div>
    <w:div w:id="679696401">
      <w:marLeft w:val="0"/>
      <w:marRight w:val="0"/>
      <w:marTop w:val="0"/>
      <w:marBottom w:val="0"/>
      <w:divBdr>
        <w:top w:val="none" w:sz="0" w:space="0" w:color="auto"/>
        <w:left w:val="none" w:sz="0" w:space="0" w:color="auto"/>
        <w:bottom w:val="none" w:sz="0" w:space="0" w:color="auto"/>
        <w:right w:val="none" w:sz="0" w:space="0" w:color="auto"/>
      </w:divBdr>
    </w:div>
    <w:div w:id="679696402">
      <w:marLeft w:val="0"/>
      <w:marRight w:val="0"/>
      <w:marTop w:val="0"/>
      <w:marBottom w:val="0"/>
      <w:divBdr>
        <w:top w:val="none" w:sz="0" w:space="0" w:color="auto"/>
        <w:left w:val="none" w:sz="0" w:space="0" w:color="auto"/>
        <w:bottom w:val="none" w:sz="0" w:space="0" w:color="auto"/>
        <w:right w:val="none" w:sz="0" w:space="0" w:color="auto"/>
      </w:divBdr>
    </w:div>
    <w:div w:id="679696405">
      <w:marLeft w:val="0"/>
      <w:marRight w:val="0"/>
      <w:marTop w:val="0"/>
      <w:marBottom w:val="0"/>
      <w:divBdr>
        <w:top w:val="none" w:sz="0" w:space="0" w:color="auto"/>
        <w:left w:val="none" w:sz="0" w:space="0" w:color="auto"/>
        <w:bottom w:val="none" w:sz="0" w:space="0" w:color="auto"/>
        <w:right w:val="none" w:sz="0" w:space="0" w:color="auto"/>
      </w:divBdr>
    </w:div>
    <w:div w:id="679696407">
      <w:marLeft w:val="0"/>
      <w:marRight w:val="0"/>
      <w:marTop w:val="0"/>
      <w:marBottom w:val="0"/>
      <w:divBdr>
        <w:top w:val="none" w:sz="0" w:space="0" w:color="auto"/>
        <w:left w:val="none" w:sz="0" w:space="0" w:color="auto"/>
        <w:bottom w:val="none" w:sz="0" w:space="0" w:color="auto"/>
        <w:right w:val="none" w:sz="0" w:space="0" w:color="auto"/>
      </w:divBdr>
    </w:div>
    <w:div w:id="679696408">
      <w:marLeft w:val="0"/>
      <w:marRight w:val="0"/>
      <w:marTop w:val="0"/>
      <w:marBottom w:val="0"/>
      <w:divBdr>
        <w:top w:val="none" w:sz="0" w:space="0" w:color="auto"/>
        <w:left w:val="none" w:sz="0" w:space="0" w:color="auto"/>
        <w:bottom w:val="none" w:sz="0" w:space="0" w:color="auto"/>
        <w:right w:val="none" w:sz="0" w:space="0" w:color="auto"/>
      </w:divBdr>
    </w:div>
    <w:div w:id="679696409">
      <w:marLeft w:val="0"/>
      <w:marRight w:val="0"/>
      <w:marTop w:val="0"/>
      <w:marBottom w:val="0"/>
      <w:divBdr>
        <w:top w:val="none" w:sz="0" w:space="0" w:color="auto"/>
        <w:left w:val="none" w:sz="0" w:space="0" w:color="auto"/>
        <w:bottom w:val="none" w:sz="0" w:space="0" w:color="auto"/>
        <w:right w:val="none" w:sz="0" w:space="0" w:color="auto"/>
      </w:divBdr>
    </w:div>
    <w:div w:id="679696410">
      <w:marLeft w:val="0"/>
      <w:marRight w:val="0"/>
      <w:marTop w:val="0"/>
      <w:marBottom w:val="0"/>
      <w:divBdr>
        <w:top w:val="none" w:sz="0" w:space="0" w:color="auto"/>
        <w:left w:val="none" w:sz="0" w:space="0" w:color="auto"/>
        <w:bottom w:val="none" w:sz="0" w:space="0" w:color="auto"/>
        <w:right w:val="none" w:sz="0" w:space="0" w:color="auto"/>
      </w:divBdr>
    </w:div>
    <w:div w:id="679696411">
      <w:marLeft w:val="0"/>
      <w:marRight w:val="0"/>
      <w:marTop w:val="0"/>
      <w:marBottom w:val="0"/>
      <w:divBdr>
        <w:top w:val="none" w:sz="0" w:space="0" w:color="auto"/>
        <w:left w:val="none" w:sz="0" w:space="0" w:color="auto"/>
        <w:bottom w:val="none" w:sz="0" w:space="0" w:color="auto"/>
        <w:right w:val="none" w:sz="0" w:space="0" w:color="auto"/>
      </w:divBdr>
    </w:div>
    <w:div w:id="679696412">
      <w:marLeft w:val="0"/>
      <w:marRight w:val="0"/>
      <w:marTop w:val="0"/>
      <w:marBottom w:val="0"/>
      <w:divBdr>
        <w:top w:val="none" w:sz="0" w:space="0" w:color="auto"/>
        <w:left w:val="none" w:sz="0" w:space="0" w:color="auto"/>
        <w:bottom w:val="none" w:sz="0" w:space="0" w:color="auto"/>
        <w:right w:val="none" w:sz="0" w:space="0" w:color="auto"/>
      </w:divBdr>
    </w:div>
    <w:div w:id="679696413">
      <w:marLeft w:val="0"/>
      <w:marRight w:val="0"/>
      <w:marTop w:val="0"/>
      <w:marBottom w:val="0"/>
      <w:divBdr>
        <w:top w:val="none" w:sz="0" w:space="0" w:color="auto"/>
        <w:left w:val="none" w:sz="0" w:space="0" w:color="auto"/>
        <w:bottom w:val="none" w:sz="0" w:space="0" w:color="auto"/>
        <w:right w:val="none" w:sz="0" w:space="0" w:color="auto"/>
      </w:divBdr>
    </w:div>
    <w:div w:id="679696416">
      <w:marLeft w:val="0"/>
      <w:marRight w:val="0"/>
      <w:marTop w:val="0"/>
      <w:marBottom w:val="0"/>
      <w:divBdr>
        <w:top w:val="none" w:sz="0" w:space="0" w:color="auto"/>
        <w:left w:val="none" w:sz="0" w:space="0" w:color="auto"/>
        <w:bottom w:val="none" w:sz="0" w:space="0" w:color="auto"/>
        <w:right w:val="none" w:sz="0" w:space="0" w:color="auto"/>
      </w:divBdr>
    </w:div>
    <w:div w:id="679696417">
      <w:marLeft w:val="0"/>
      <w:marRight w:val="0"/>
      <w:marTop w:val="0"/>
      <w:marBottom w:val="0"/>
      <w:divBdr>
        <w:top w:val="none" w:sz="0" w:space="0" w:color="auto"/>
        <w:left w:val="none" w:sz="0" w:space="0" w:color="auto"/>
        <w:bottom w:val="none" w:sz="0" w:space="0" w:color="auto"/>
        <w:right w:val="none" w:sz="0" w:space="0" w:color="auto"/>
      </w:divBdr>
      <w:divsChild>
        <w:div w:id="679696386">
          <w:marLeft w:val="0"/>
          <w:marRight w:val="0"/>
          <w:marTop w:val="0"/>
          <w:marBottom w:val="0"/>
          <w:divBdr>
            <w:top w:val="none" w:sz="0" w:space="0" w:color="auto"/>
            <w:left w:val="none" w:sz="0" w:space="0" w:color="auto"/>
            <w:bottom w:val="none" w:sz="0" w:space="0" w:color="auto"/>
            <w:right w:val="none" w:sz="0" w:space="0" w:color="auto"/>
          </w:divBdr>
          <w:divsChild>
            <w:div w:id="679696480">
              <w:marLeft w:val="0"/>
              <w:marRight w:val="0"/>
              <w:marTop w:val="0"/>
              <w:marBottom w:val="0"/>
              <w:divBdr>
                <w:top w:val="none" w:sz="0" w:space="0" w:color="auto"/>
                <w:left w:val="none" w:sz="0" w:space="0" w:color="auto"/>
                <w:bottom w:val="none" w:sz="0" w:space="0" w:color="auto"/>
                <w:right w:val="none" w:sz="0" w:space="0" w:color="auto"/>
              </w:divBdr>
              <w:divsChild>
                <w:div w:id="679696649">
                  <w:marLeft w:val="0"/>
                  <w:marRight w:val="0"/>
                  <w:marTop w:val="0"/>
                  <w:marBottom w:val="0"/>
                  <w:divBdr>
                    <w:top w:val="none" w:sz="0" w:space="0" w:color="auto"/>
                    <w:left w:val="none" w:sz="0" w:space="0" w:color="auto"/>
                    <w:bottom w:val="none" w:sz="0" w:space="0" w:color="auto"/>
                    <w:right w:val="none" w:sz="0" w:space="0" w:color="auto"/>
                  </w:divBdr>
                  <w:divsChild>
                    <w:div w:id="679696670">
                      <w:marLeft w:val="0"/>
                      <w:marRight w:val="0"/>
                      <w:marTop w:val="0"/>
                      <w:marBottom w:val="0"/>
                      <w:divBdr>
                        <w:top w:val="none" w:sz="0" w:space="0" w:color="auto"/>
                        <w:left w:val="none" w:sz="0" w:space="0" w:color="auto"/>
                        <w:bottom w:val="none" w:sz="0" w:space="0" w:color="auto"/>
                        <w:right w:val="none" w:sz="0" w:space="0" w:color="auto"/>
                      </w:divBdr>
                      <w:divsChild>
                        <w:div w:id="6796965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418">
      <w:marLeft w:val="0"/>
      <w:marRight w:val="0"/>
      <w:marTop w:val="0"/>
      <w:marBottom w:val="0"/>
      <w:divBdr>
        <w:top w:val="none" w:sz="0" w:space="0" w:color="auto"/>
        <w:left w:val="none" w:sz="0" w:space="0" w:color="auto"/>
        <w:bottom w:val="none" w:sz="0" w:space="0" w:color="auto"/>
        <w:right w:val="none" w:sz="0" w:space="0" w:color="auto"/>
      </w:divBdr>
    </w:div>
    <w:div w:id="679696421">
      <w:marLeft w:val="0"/>
      <w:marRight w:val="0"/>
      <w:marTop w:val="0"/>
      <w:marBottom w:val="0"/>
      <w:divBdr>
        <w:top w:val="none" w:sz="0" w:space="0" w:color="auto"/>
        <w:left w:val="none" w:sz="0" w:space="0" w:color="auto"/>
        <w:bottom w:val="none" w:sz="0" w:space="0" w:color="auto"/>
        <w:right w:val="none" w:sz="0" w:space="0" w:color="auto"/>
      </w:divBdr>
      <w:divsChild>
        <w:div w:id="679696714">
          <w:marLeft w:val="0"/>
          <w:marRight w:val="0"/>
          <w:marTop w:val="0"/>
          <w:marBottom w:val="0"/>
          <w:divBdr>
            <w:top w:val="none" w:sz="0" w:space="0" w:color="auto"/>
            <w:left w:val="none" w:sz="0" w:space="0" w:color="auto"/>
            <w:bottom w:val="none" w:sz="0" w:space="0" w:color="auto"/>
            <w:right w:val="none" w:sz="0" w:space="0" w:color="auto"/>
          </w:divBdr>
        </w:div>
      </w:divsChild>
    </w:div>
    <w:div w:id="679696423">
      <w:marLeft w:val="0"/>
      <w:marRight w:val="0"/>
      <w:marTop w:val="0"/>
      <w:marBottom w:val="0"/>
      <w:divBdr>
        <w:top w:val="none" w:sz="0" w:space="0" w:color="auto"/>
        <w:left w:val="none" w:sz="0" w:space="0" w:color="auto"/>
        <w:bottom w:val="none" w:sz="0" w:space="0" w:color="auto"/>
        <w:right w:val="none" w:sz="0" w:space="0" w:color="auto"/>
      </w:divBdr>
    </w:div>
    <w:div w:id="679696425">
      <w:marLeft w:val="0"/>
      <w:marRight w:val="0"/>
      <w:marTop w:val="0"/>
      <w:marBottom w:val="0"/>
      <w:divBdr>
        <w:top w:val="none" w:sz="0" w:space="0" w:color="auto"/>
        <w:left w:val="none" w:sz="0" w:space="0" w:color="auto"/>
        <w:bottom w:val="none" w:sz="0" w:space="0" w:color="auto"/>
        <w:right w:val="none" w:sz="0" w:space="0" w:color="auto"/>
      </w:divBdr>
    </w:div>
    <w:div w:id="679696427">
      <w:marLeft w:val="0"/>
      <w:marRight w:val="0"/>
      <w:marTop w:val="0"/>
      <w:marBottom w:val="0"/>
      <w:divBdr>
        <w:top w:val="none" w:sz="0" w:space="0" w:color="auto"/>
        <w:left w:val="none" w:sz="0" w:space="0" w:color="auto"/>
        <w:bottom w:val="none" w:sz="0" w:space="0" w:color="auto"/>
        <w:right w:val="none" w:sz="0" w:space="0" w:color="auto"/>
      </w:divBdr>
    </w:div>
    <w:div w:id="679696428">
      <w:marLeft w:val="0"/>
      <w:marRight w:val="0"/>
      <w:marTop w:val="0"/>
      <w:marBottom w:val="0"/>
      <w:divBdr>
        <w:top w:val="none" w:sz="0" w:space="0" w:color="auto"/>
        <w:left w:val="none" w:sz="0" w:space="0" w:color="auto"/>
        <w:bottom w:val="none" w:sz="0" w:space="0" w:color="auto"/>
        <w:right w:val="none" w:sz="0" w:space="0" w:color="auto"/>
      </w:divBdr>
      <w:divsChild>
        <w:div w:id="679696389">
          <w:marLeft w:val="0"/>
          <w:marRight w:val="0"/>
          <w:marTop w:val="0"/>
          <w:marBottom w:val="0"/>
          <w:divBdr>
            <w:top w:val="none" w:sz="0" w:space="0" w:color="auto"/>
            <w:left w:val="none" w:sz="0" w:space="0" w:color="auto"/>
            <w:bottom w:val="none" w:sz="0" w:space="0" w:color="auto"/>
            <w:right w:val="none" w:sz="0" w:space="0" w:color="auto"/>
          </w:divBdr>
        </w:div>
      </w:divsChild>
    </w:div>
    <w:div w:id="679696429">
      <w:marLeft w:val="0"/>
      <w:marRight w:val="0"/>
      <w:marTop w:val="0"/>
      <w:marBottom w:val="0"/>
      <w:divBdr>
        <w:top w:val="none" w:sz="0" w:space="0" w:color="auto"/>
        <w:left w:val="none" w:sz="0" w:space="0" w:color="auto"/>
        <w:bottom w:val="none" w:sz="0" w:space="0" w:color="auto"/>
        <w:right w:val="none" w:sz="0" w:space="0" w:color="auto"/>
      </w:divBdr>
    </w:div>
    <w:div w:id="679696430">
      <w:marLeft w:val="0"/>
      <w:marRight w:val="0"/>
      <w:marTop w:val="0"/>
      <w:marBottom w:val="0"/>
      <w:divBdr>
        <w:top w:val="none" w:sz="0" w:space="0" w:color="auto"/>
        <w:left w:val="none" w:sz="0" w:space="0" w:color="auto"/>
        <w:bottom w:val="none" w:sz="0" w:space="0" w:color="auto"/>
        <w:right w:val="none" w:sz="0" w:space="0" w:color="auto"/>
      </w:divBdr>
    </w:div>
    <w:div w:id="679696431">
      <w:marLeft w:val="0"/>
      <w:marRight w:val="0"/>
      <w:marTop w:val="0"/>
      <w:marBottom w:val="0"/>
      <w:divBdr>
        <w:top w:val="none" w:sz="0" w:space="0" w:color="auto"/>
        <w:left w:val="none" w:sz="0" w:space="0" w:color="auto"/>
        <w:bottom w:val="none" w:sz="0" w:space="0" w:color="auto"/>
        <w:right w:val="none" w:sz="0" w:space="0" w:color="auto"/>
      </w:divBdr>
      <w:divsChild>
        <w:div w:id="679696597">
          <w:marLeft w:val="0"/>
          <w:marRight w:val="0"/>
          <w:marTop w:val="0"/>
          <w:marBottom w:val="0"/>
          <w:divBdr>
            <w:top w:val="none" w:sz="0" w:space="0" w:color="auto"/>
            <w:left w:val="none" w:sz="0" w:space="0" w:color="auto"/>
            <w:bottom w:val="none" w:sz="0" w:space="0" w:color="auto"/>
            <w:right w:val="none" w:sz="0" w:space="0" w:color="auto"/>
          </w:divBdr>
          <w:divsChild>
            <w:div w:id="679696744">
              <w:marLeft w:val="0"/>
              <w:marRight w:val="0"/>
              <w:marTop w:val="0"/>
              <w:marBottom w:val="0"/>
              <w:divBdr>
                <w:top w:val="none" w:sz="0" w:space="0" w:color="auto"/>
                <w:left w:val="none" w:sz="0" w:space="0" w:color="auto"/>
                <w:bottom w:val="none" w:sz="0" w:space="0" w:color="auto"/>
                <w:right w:val="none" w:sz="0" w:space="0" w:color="auto"/>
              </w:divBdr>
              <w:divsChild>
                <w:div w:id="679696415">
                  <w:marLeft w:val="0"/>
                  <w:marRight w:val="0"/>
                  <w:marTop w:val="0"/>
                  <w:marBottom w:val="0"/>
                  <w:divBdr>
                    <w:top w:val="none" w:sz="0" w:space="0" w:color="auto"/>
                    <w:left w:val="none" w:sz="0" w:space="0" w:color="auto"/>
                    <w:bottom w:val="none" w:sz="0" w:space="0" w:color="auto"/>
                    <w:right w:val="none" w:sz="0" w:space="0" w:color="auto"/>
                  </w:divBdr>
                  <w:divsChild>
                    <w:div w:id="679696665">
                      <w:marLeft w:val="0"/>
                      <w:marRight w:val="0"/>
                      <w:marTop w:val="0"/>
                      <w:marBottom w:val="0"/>
                      <w:divBdr>
                        <w:top w:val="none" w:sz="0" w:space="0" w:color="auto"/>
                        <w:left w:val="none" w:sz="0" w:space="0" w:color="auto"/>
                        <w:bottom w:val="none" w:sz="0" w:space="0" w:color="auto"/>
                        <w:right w:val="none" w:sz="0" w:space="0" w:color="auto"/>
                      </w:divBdr>
                      <w:divsChild>
                        <w:div w:id="6796966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432">
      <w:marLeft w:val="0"/>
      <w:marRight w:val="0"/>
      <w:marTop w:val="0"/>
      <w:marBottom w:val="0"/>
      <w:divBdr>
        <w:top w:val="none" w:sz="0" w:space="0" w:color="auto"/>
        <w:left w:val="none" w:sz="0" w:space="0" w:color="auto"/>
        <w:bottom w:val="none" w:sz="0" w:space="0" w:color="auto"/>
        <w:right w:val="none" w:sz="0" w:space="0" w:color="auto"/>
      </w:divBdr>
    </w:div>
    <w:div w:id="679696433">
      <w:marLeft w:val="0"/>
      <w:marRight w:val="0"/>
      <w:marTop w:val="0"/>
      <w:marBottom w:val="0"/>
      <w:divBdr>
        <w:top w:val="none" w:sz="0" w:space="0" w:color="auto"/>
        <w:left w:val="none" w:sz="0" w:space="0" w:color="auto"/>
        <w:bottom w:val="none" w:sz="0" w:space="0" w:color="auto"/>
        <w:right w:val="none" w:sz="0" w:space="0" w:color="auto"/>
      </w:divBdr>
      <w:divsChild>
        <w:div w:id="679696672">
          <w:marLeft w:val="0"/>
          <w:marRight w:val="0"/>
          <w:marTop w:val="0"/>
          <w:marBottom w:val="0"/>
          <w:divBdr>
            <w:top w:val="none" w:sz="0" w:space="0" w:color="auto"/>
            <w:left w:val="none" w:sz="0" w:space="0" w:color="auto"/>
            <w:bottom w:val="none" w:sz="0" w:space="0" w:color="auto"/>
            <w:right w:val="none" w:sz="0" w:space="0" w:color="auto"/>
          </w:divBdr>
          <w:divsChild>
            <w:div w:id="679696585">
              <w:marLeft w:val="0"/>
              <w:marRight w:val="0"/>
              <w:marTop w:val="0"/>
              <w:marBottom w:val="0"/>
              <w:divBdr>
                <w:top w:val="none" w:sz="0" w:space="0" w:color="auto"/>
                <w:left w:val="none" w:sz="0" w:space="0" w:color="auto"/>
                <w:bottom w:val="none" w:sz="0" w:space="0" w:color="auto"/>
                <w:right w:val="none" w:sz="0" w:space="0" w:color="auto"/>
              </w:divBdr>
              <w:divsChild>
                <w:div w:id="679696624">
                  <w:marLeft w:val="0"/>
                  <w:marRight w:val="0"/>
                  <w:marTop w:val="0"/>
                  <w:marBottom w:val="0"/>
                  <w:divBdr>
                    <w:top w:val="none" w:sz="0" w:space="0" w:color="auto"/>
                    <w:left w:val="none" w:sz="0" w:space="0" w:color="auto"/>
                    <w:bottom w:val="none" w:sz="0" w:space="0" w:color="auto"/>
                    <w:right w:val="none" w:sz="0" w:space="0" w:color="auto"/>
                  </w:divBdr>
                  <w:divsChild>
                    <w:div w:id="679696552">
                      <w:marLeft w:val="0"/>
                      <w:marRight w:val="0"/>
                      <w:marTop w:val="0"/>
                      <w:marBottom w:val="0"/>
                      <w:divBdr>
                        <w:top w:val="none" w:sz="0" w:space="0" w:color="auto"/>
                        <w:left w:val="none" w:sz="0" w:space="0" w:color="auto"/>
                        <w:bottom w:val="none" w:sz="0" w:space="0" w:color="auto"/>
                        <w:right w:val="none" w:sz="0" w:space="0" w:color="auto"/>
                      </w:divBdr>
                      <w:divsChild>
                        <w:div w:id="6796964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434">
      <w:marLeft w:val="0"/>
      <w:marRight w:val="0"/>
      <w:marTop w:val="0"/>
      <w:marBottom w:val="0"/>
      <w:divBdr>
        <w:top w:val="none" w:sz="0" w:space="0" w:color="auto"/>
        <w:left w:val="none" w:sz="0" w:space="0" w:color="auto"/>
        <w:bottom w:val="none" w:sz="0" w:space="0" w:color="auto"/>
        <w:right w:val="none" w:sz="0" w:space="0" w:color="auto"/>
      </w:divBdr>
    </w:div>
    <w:div w:id="679696435">
      <w:marLeft w:val="0"/>
      <w:marRight w:val="0"/>
      <w:marTop w:val="0"/>
      <w:marBottom w:val="0"/>
      <w:divBdr>
        <w:top w:val="none" w:sz="0" w:space="0" w:color="auto"/>
        <w:left w:val="none" w:sz="0" w:space="0" w:color="auto"/>
        <w:bottom w:val="none" w:sz="0" w:space="0" w:color="auto"/>
        <w:right w:val="none" w:sz="0" w:space="0" w:color="auto"/>
      </w:divBdr>
    </w:div>
    <w:div w:id="679696436">
      <w:marLeft w:val="0"/>
      <w:marRight w:val="0"/>
      <w:marTop w:val="0"/>
      <w:marBottom w:val="0"/>
      <w:divBdr>
        <w:top w:val="none" w:sz="0" w:space="0" w:color="auto"/>
        <w:left w:val="none" w:sz="0" w:space="0" w:color="auto"/>
        <w:bottom w:val="none" w:sz="0" w:space="0" w:color="auto"/>
        <w:right w:val="none" w:sz="0" w:space="0" w:color="auto"/>
      </w:divBdr>
    </w:div>
    <w:div w:id="679696437">
      <w:marLeft w:val="0"/>
      <w:marRight w:val="0"/>
      <w:marTop w:val="0"/>
      <w:marBottom w:val="0"/>
      <w:divBdr>
        <w:top w:val="none" w:sz="0" w:space="0" w:color="auto"/>
        <w:left w:val="none" w:sz="0" w:space="0" w:color="auto"/>
        <w:bottom w:val="none" w:sz="0" w:space="0" w:color="auto"/>
        <w:right w:val="none" w:sz="0" w:space="0" w:color="auto"/>
      </w:divBdr>
    </w:div>
    <w:div w:id="679696438">
      <w:marLeft w:val="0"/>
      <w:marRight w:val="0"/>
      <w:marTop w:val="0"/>
      <w:marBottom w:val="0"/>
      <w:divBdr>
        <w:top w:val="none" w:sz="0" w:space="0" w:color="auto"/>
        <w:left w:val="none" w:sz="0" w:space="0" w:color="auto"/>
        <w:bottom w:val="none" w:sz="0" w:space="0" w:color="auto"/>
        <w:right w:val="none" w:sz="0" w:space="0" w:color="auto"/>
      </w:divBdr>
    </w:div>
    <w:div w:id="679696439">
      <w:marLeft w:val="0"/>
      <w:marRight w:val="0"/>
      <w:marTop w:val="0"/>
      <w:marBottom w:val="0"/>
      <w:divBdr>
        <w:top w:val="none" w:sz="0" w:space="0" w:color="auto"/>
        <w:left w:val="none" w:sz="0" w:space="0" w:color="auto"/>
        <w:bottom w:val="none" w:sz="0" w:space="0" w:color="auto"/>
        <w:right w:val="none" w:sz="0" w:space="0" w:color="auto"/>
      </w:divBdr>
    </w:div>
    <w:div w:id="679696440">
      <w:marLeft w:val="0"/>
      <w:marRight w:val="0"/>
      <w:marTop w:val="0"/>
      <w:marBottom w:val="0"/>
      <w:divBdr>
        <w:top w:val="none" w:sz="0" w:space="0" w:color="auto"/>
        <w:left w:val="none" w:sz="0" w:space="0" w:color="auto"/>
        <w:bottom w:val="none" w:sz="0" w:space="0" w:color="auto"/>
        <w:right w:val="none" w:sz="0" w:space="0" w:color="auto"/>
      </w:divBdr>
    </w:div>
    <w:div w:id="679696442">
      <w:marLeft w:val="0"/>
      <w:marRight w:val="0"/>
      <w:marTop w:val="0"/>
      <w:marBottom w:val="0"/>
      <w:divBdr>
        <w:top w:val="none" w:sz="0" w:space="0" w:color="auto"/>
        <w:left w:val="none" w:sz="0" w:space="0" w:color="auto"/>
        <w:bottom w:val="none" w:sz="0" w:space="0" w:color="auto"/>
        <w:right w:val="none" w:sz="0" w:space="0" w:color="auto"/>
      </w:divBdr>
    </w:div>
    <w:div w:id="679696443">
      <w:marLeft w:val="0"/>
      <w:marRight w:val="0"/>
      <w:marTop w:val="0"/>
      <w:marBottom w:val="0"/>
      <w:divBdr>
        <w:top w:val="none" w:sz="0" w:space="0" w:color="auto"/>
        <w:left w:val="none" w:sz="0" w:space="0" w:color="auto"/>
        <w:bottom w:val="none" w:sz="0" w:space="0" w:color="auto"/>
        <w:right w:val="none" w:sz="0" w:space="0" w:color="auto"/>
      </w:divBdr>
      <w:divsChild>
        <w:div w:id="679696457">
          <w:marLeft w:val="0"/>
          <w:marRight w:val="0"/>
          <w:marTop w:val="0"/>
          <w:marBottom w:val="0"/>
          <w:divBdr>
            <w:top w:val="none" w:sz="0" w:space="0" w:color="auto"/>
            <w:left w:val="none" w:sz="0" w:space="0" w:color="auto"/>
            <w:bottom w:val="none" w:sz="0" w:space="0" w:color="auto"/>
            <w:right w:val="none" w:sz="0" w:space="0" w:color="auto"/>
          </w:divBdr>
        </w:div>
        <w:div w:id="679696704">
          <w:marLeft w:val="0"/>
          <w:marRight w:val="0"/>
          <w:marTop w:val="0"/>
          <w:marBottom w:val="0"/>
          <w:divBdr>
            <w:top w:val="none" w:sz="0" w:space="0" w:color="auto"/>
            <w:left w:val="none" w:sz="0" w:space="0" w:color="auto"/>
            <w:bottom w:val="none" w:sz="0" w:space="0" w:color="auto"/>
            <w:right w:val="none" w:sz="0" w:space="0" w:color="auto"/>
          </w:divBdr>
        </w:div>
        <w:div w:id="679696706">
          <w:marLeft w:val="0"/>
          <w:marRight w:val="0"/>
          <w:marTop w:val="0"/>
          <w:marBottom w:val="0"/>
          <w:divBdr>
            <w:top w:val="none" w:sz="0" w:space="0" w:color="auto"/>
            <w:left w:val="none" w:sz="0" w:space="0" w:color="auto"/>
            <w:bottom w:val="none" w:sz="0" w:space="0" w:color="auto"/>
            <w:right w:val="none" w:sz="0" w:space="0" w:color="auto"/>
          </w:divBdr>
        </w:div>
      </w:divsChild>
    </w:div>
    <w:div w:id="679696444">
      <w:marLeft w:val="0"/>
      <w:marRight w:val="0"/>
      <w:marTop w:val="0"/>
      <w:marBottom w:val="0"/>
      <w:divBdr>
        <w:top w:val="none" w:sz="0" w:space="0" w:color="auto"/>
        <w:left w:val="none" w:sz="0" w:space="0" w:color="auto"/>
        <w:bottom w:val="none" w:sz="0" w:space="0" w:color="auto"/>
        <w:right w:val="none" w:sz="0" w:space="0" w:color="auto"/>
      </w:divBdr>
    </w:div>
    <w:div w:id="679696445">
      <w:marLeft w:val="0"/>
      <w:marRight w:val="0"/>
      <w:marTop w:val="0"/>
      <w:marBottom w:val="0"/>
      <w:divBdr>
        <w:top w:val="none" w:sz="0" w:space="0" w:color="auto"/>
        <w:left w:val="none" w:sz="0" w:space="0" w:color="auto"/>
        <w:bottom w:val="none" w:sz="0" w:space="0" w:color="auto"/>
        <w:right w:val="none" w:sz="0" w:space="0" w:color="auto"/>
      </w:divBdr>
    </w:div>
    <w:div w:id="679696446">
      <w:marLeft w:val="0"/>
      <w:marRight w:val="0"/>
      <w:marTop w:val="0"/>
      <w:marBottom w:val="0"/>
      <w:divBdr>
        <w:top w:val="none" w:sz="0" w:space="0" w:color="auto"/>
        <w:left w:val="none" w:sz="0" w:space="0" w:color="auto"/>
        <w:bottom w:val="none" w:sz="0" w:space="0" w:color="auto"/>
        <w:right w:val="none" w:sz="0" w:space="0" w:color="auto"/>
      </w:divBdr>
    </w:div>
    <w:div w:id="679696448">
      <w:marLeft w:val="0"/>
      <w:marRight w:val="0"/>
      <w:marTop w:val="0"/>
      <w:marBottom w:val="0"/>
      <w:divBdr>
        <w:top w:val="none" w:sz="0" w:space="0" w:color="auto"/>
        <w:left w:val="none" w:sz="0" w:space="0" w:color="auto"/>
        <w:bottom w:val="none" w:sz="0" w:space="0" w:color="auto"/>
        <w:right w:val="none" w:sz="0" w:space="0" w:color="auto"/>
      </w:divBdr>
    </w:div>
    <w:div w:id="679696451">
      <w:marLeft w:val="0"/>
      <w:marRight w:val="0"/>
      <w:marTop w:val="0"/>
      <w:marBottom w:val="0"/>
      <w:divBdr>
        <w:top w:val="none" w:sz="0" w:space="0" w:color="auto"/>
        <w:left w:val="none" w:sz="0" w:space="0" w:color="auto"/>
        <w:bottom w:val="none" w:sz="0" w:space="0" w:color="auto"/>
        <w:right w:val="none" w:sz="0" w:space="0" w:color="auto"/>
      </w:divBdr>
    </w:div>
    <w:div w:id="679696452">
      <w:marLeft w:val="0"/>
      <w:marRight w:val="0"/>
      <w:marTop w:val="0"/>
      <w:marBottom w:val="0"/>
      <w:divBdr>
        <w:top w:val="none" w:sz="0" w:space="0" w:color="auto"/>
        <w:left w:val="none" w:sz="0" w:space="0" w:color="auto"/>
        <w:bottom w:val="none" w:sz="0" w:space="0" w:color="auto"/>
        <w:right w:val="none" w:sz="0" w:space="0" w:color="auto"/>
      </w:divBdr>
    </w:div>
    <w:div w:id="679696453">
      <w:marLeft w:val="0"/>
      <w:marRight w:val="0"/>
      <w:marTop w:val="0"/>
      <w:marBottom w:val="0"/>
      <w:divBdr>
        <w:top w:val="none" w:sz="0" w:space="0" w:color="auto"/>
        <w:left w:val="none" w:sz="0" w:space="0" w:color="auto"/>
        <w:bottom w:val="none" w:sz="0" w:space="0" w:color="auto"/>
        <w:right w:val="none" w:sz="0" w:space="0" w:color="auto"/>
      </w:divBdr>
      <w:divsChild>
        <w:div w:id="679696426">
          <w:marLeft w:val="0"/>
          <w:marRight w:val="0"/>
          <w:marTop w:val="0"/>
          <w:marBottom w:val="0"/>
          <w:divBdr>
            <w:top w:val="none" w:sz="0" w:space="0" w:color="auto"/>
            <w:left w:val="none" w:sz="0" w:space="0" w:color="auto"/>
            <w:bottom w:val="none" w:sz="0" w:space="0" w:color="auto"/>
            <w:right w:val="none" w:sz="0" w:space="0" w:color="auto"/>
          </w:divBdr>
          <w:divsChild>
            <w:div w:id="6796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6454">
      <w:marLeft w:val="0"/>
      <w:marRight w:val="0"/>
      <w:marTop w:val="0"/>
      <w:marBottom w:val="0"/>
      <w:divBdr>
        <w:top w:val="none" w:sz="0" w:space="0" w:color="auto"/>
        <w:left w:val="none" w:sz="0" w:space="0" w:color="auto"/>
        <w:bottom w:val="none" w:sz="0" w:space="0" w:color="auto"/>
        <w:right w:val="none" w:sz="0" w:space="0" w:color="auto"/>
      </w:divBdr>
    </w:div>
    <w:div w:id="679696455">
      <w:marLeft w:val="0"/>
      <w:marRight w:val="0"/>
      <w:marTop w:val="0"/>
      <w:marBottom w:val="0"/>
      <w:divBdr>
        <w:top w:val="none" w:sz="0" w:space="0" w:color="auto"/>
        <w:left w:val="none" w:sz="0" w:space="0" w:color="auto"/>
        <w:bottom w:val="none" w:sz="0" w:space="0" w:color="auto"/>
        <w:right w:val="none" w:sz="0" w:space="0" w:color="auto"/>
      </w:divBdr>
    </w:div>
    <w:div w:id="679696456">
      <w:marLeft w:val="0"/>
      <w:marRight w:val="0"/>
      <w:marTop w:val="0"/>
      <w:marBottom w:val="0"/>
      <w:divBdr>
        <w:top w:val="none" w:sz="0" w:space="0" w:color="auto"/>
        <w:left w:val="none" w:sz="0" w:space="0" w:color="auto"/>
        <w:bottom w:val="none" w:sz="0" w:space="0" w:color="auto"/>
        <w:right w:val="none" w:sz="0" w:space="0" w:color="auto"/>
      </w:divBdr>
    </w:div>
    <w:div w:id="679696458">
      <w:marLeft w:val="0"/>
      <w:marRight w:val="0"/>
      <w:marTop w:val="0"/>
      <w:marBottom w:val="0"/>
      <w:divBdr>
        <w:top w:val="none" w:sz="0" w:space="0" w:color="auto"/>
        <w:left w:val="none" w:sz="0" w:space="0" w:color="auto"/>
        <w:bottom w:val="none" w:sz="0" w:space="0" w:color="auto"/>
        <w:right w:val="none" w:sz="0" w:space="0" w:color="auto"/>
      </w:divBdr>
    </w:div>
    <w:div w:id="679696459">
      <w:marLeft w:val="0"/>
      <w:marRight w:val="0"/>
      <w:marTop w:val="0"/>
      <w:marBottom w:val="0"/>
      <w:divBdr>
        <w:top w:val="none" w:sz="0" w:space="0" w:color="auto"/>
        <w:left w:val="none" w:sz="0" w:space="0" w:color="auto"/>
        <w:bottom w:val="none" w:sz="0" w:space="0" w:color="auto"/>
        <w:right w:val="none" w:sz="0" w:space="0" w:color="auto"/>
      </w:divBdr>
    </w:div>
    <w:div w:id="679696460">
      <w:marLeft w:val="0"/>
      <w:marRight w:val="0"/>
      <w:marTop w:val="0"/>
      <w:marBottom w:val="0"/>
      <w:divBdr>
        <w:top w:val="none" w:sz="0" w:space="0" w:color="auto"/>
        <w:left w:val="none" w:sz="0" w:space="0" w:color="auto"/>
        <w:bottom w:val="none" w:sz="0" w:space="0" w:color="auto"/>
        <w:right w:val="none" w:sz="0" w:space="0" w:color="auto"/>
      </w:divBdr>
    </w:div>
    <w:div w:id="679696461">
      <w:marLeft w:val="0"/>
      <w:marRight w:val="0"/>
      <w:marTop w:val="0"/>
      <w:marBottom w:val="0"/>
      <w:divBdr>
        <w:top w:val="none" w:sz="0" w:space="0" w:color="auto"/>
        <w:left w:val="none" w:sz="0" w:space="0" w:color="auto"/>
        <w:bottom w:val="none" w:sz="0" w:space="0" w:color="auto"/>
        <w:right w:val="none" w:sz="0" w:space="0" w:color="auto"/>
      </w:divBdr>
    </w:div>
    <w:div w:id="679696462">
      <w:marLeft w:val="0"/>
      <w:marRight w:val="0"/>
      <w:marTop w:val="0"/>
      <w:marBottom w:val="0"/>
      <w:divBdr>
        <w:top w:val="none" w:sz="0" w:space="0" w:color="auto"/>
        <w:left w:val="none" w:sz="0" w:space="0" w:color="auto"/>
        <w:bottom w:val="none" w:sz="0" w:space="0" w:color="auto"/>
        <w:right w:val="none" w:sz="0" w:space="0" w:color="auto"/>
      </w:divBdr>
      <w:divsChild>
        <w:div w:id="679696363">
          <w:marLeft w:val="0"/>
          <w:marRight w:val="0"/>
          <w:marTop w:val="0"/>
          <w:marBottom w:val="0"/>
          <w:divBdr>
            <w:top w:val="none" w:sz="0" w:space="0" w:color="auto"/>
            <w:left w:val="none" w:sz="0" w:space="0" w:color="auto"/>
            <w:bottom w:val="none" w:sz="0" w:space="0" w:color="auto"/>
            <w:right w:val="none" w:sz="0" w:space="0" w:color="auto"/>
          </w:divBdr>
        </w:div>
      </w:divsChild>
    </w:div>
    <w:div w:id="679696463">
      <w:marLeft w:val="0"/>
      <w:marRight w:val="0"/>
      <w:marTop w:val="0"/>
      <w:marBottom w:val="0"/>
      <w:divBdr>
        <w:top w:val="none" w:sz="0" w:space="0" w:color="auto"/>
        <w:left w:val="none" w:sz="0" w:space="0" w:color="auto"/>
        <w:bottom w:val="none" w:sz="0" w:space="0" w:color="auto"/>
        <w:right w:val="none" w:sz="0" w:space="0" w:color="auto"/>
      </w:divBdr>
    </w:div>
    <w:div w:id="679696464">
      <w:marLeft w:val="0"/>
      <w:marRight w:val="0"/>
      <w:marTop w:val="0"/>
      <w:marBottom w:val="0"/>
      <w:divBdr>
        <w:top w:val="none" w:sz="0" w:space="0" w:color="auto"/>
        <w:left w:val="none" w:sz="0" w:space="0" w:color="auto"/>
        <w:bottom w:val="none" w:sz="0" w:space="0" w:color="auto"/>
        <w:right w:val="none" w:sz="0" w:space="0" w:color="auto"/>
      </w:divBdr>
    </w:div>
    <w:div w:id="679696465">
      <w:marLeft w:val="0"/>
      <w:marRight w:val="0"/>
      <w:marTop w:val="0"/>
      <w:marBottom w:val="0"/>
      <w:divBdr>
        <w:top w:val="none" w:sz="0" w:space="0" w:color="auto"/>
        <w:left w:val="none" w:sz="0" w:space="0" w:color="auto"/>
        <w:bottom w:val="none" w:sz="0" w:space="0" w:color="auto"/>
        <w:right w:val="none" w:sz="0" w:space="0" w:color="auto"/>
      </w:divBdr>
    </w:div>
    <w:div w:id="679696466">
      <w:marLeft w:val="0"/>
      <w:marRight w:val="0"/>
      <w:marTop w:val="0"/>
      <w:marBottom w:val="0"/>
      <w:divBdr>
        <w:top w:val="none" w:sz="0" w:space="0" w:color="auto"/>
        <w:left w:val="none" w:sz="0" w:space="0" w:color="auto"/>
        <w:bottom w:val="none" w:sz="0" w:space="0" w:color="auto"/>
        <w:right w:val="none" w:sz="0" w:space="0" w:color="auto"/>
      </w:divBdr>
    </w:div>
    <w:div w:id="679696467">
      <w:marLeft w:val="0"/>
      <w:marRight w:val="0"/>
      <w:marTop w:val="0"/>
      <w:marBottom w:val="0"/>
      <w:divBdr>
        <w:top w:val="none" w:sz="0" w:space="0" w:color="auto"/>
        <w:left w:val="none" w:sz="0" w:space="0" w:color="auto"/>
        <w:bottom w:val="none" w:sz="0" w:space="0" w:color="auto"/>
        <w:right w:val="none" w:sz="0" w:space="0" w:color="auto"/>
      </w:divBdr>
      <w:divsChild>
        <w:div w:id="679696383">
          <w:marLeft w:val="0"/>
          <w:marRight w:val="0"/>
          <w:marTop w:val="0"/>
          <w:marBottom w:val="0"/>
          <w:divBdr>
            <w:top w:val="none" w:sz="0" w:space="0" w:color="auto"/>
            <w:left w:val="none" w:sz="0" w:space="0" w:color="auto"/>
            <w:bottom w:val="none" w:sz="0" w:space="0" w:color="auto"/>
            <w:right w:val="none" w:sz="0" w:space="0" w:color="auto"/>
          </w:divBdr>
          <w:divsChild>
            <w:div w:id="679696637">
              <w:marLeft w:val="0"/>
              <w:marRight w:val="0"/>
              <w:marTop w:val="0"/>
              <w:marBottom w:val="0"/>
              <w:divBdr>
                <w:top w:val="none" w:sz="0" w:space="0" w:color="auto"/>
                <w:left w:val="none" w:sz="0" w:space="0" w:color="auto"/>
                <w:bottom w:val="none" w:sz="0" w:space="0" w:color="auto"/>
                <w:right w:val="none" w:sz="0" w:space="0" w:color="auto"/>
              </w:divBdr>
              <w:divsChild>
                <w:div w:id="679696519">
                  <w:marLeft w:val="0"/>
                  <w:marRight w:val="0"/>
                  <w:marTop w:val="0"/>
                  <w:marBottom w:val="0"/>
                  <w:divBdr>
                    <w:top w:val="none" w:sz="0" w:space="0" w:color="auto"/>
                    <w:left w:val="none" w:sz="0" w:space="0" w:color="auto"/>
                    <w:bottom w:val="none" w:sz="0" w:space="0" w:color="auto"/>
                    <w:right w:val="none" w:sz="0" w:space="0" w:color="auto"/>
                  </w:divBdr>
                  <w:divsChild>
                    <w:div w:id="679696420">
                      <w:marLeft w:val="0"/>
                      <w:marRight w:val="0"/>
                      <w:marTop w:val="0"/>
                      <w:marBottom w:val="0"/>
                      <w:divBdr>
                        <w:top w:val="none" w:sz="0" w:space="0" w:color="auto"/>
                        <w:left w:val="none" w:sz="0" w:space="0" w:color="auto"/>
                        <w:bottom w:val="none" w:sz="0" w:space="0" w:color="auto"/>
                        <w:right w:val="none" w:sz="0" w:space="0" w:color="auto"/>
                      </w:divBdr>
                      <w:divsChild>
                        <w:div w:id="67969665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470">
      <w:marLeft w:val="0"/>
      <w:marRight w:val="0"/>
      <w:marTop w:val="0"/>
      <w:marBottom w:val="0"/>
      <w:divBdr>
        <w:top w:val="none" w:sz="0" w:space="0" w:color="auto"/>
        <w:left w:val="none" w:sz="0" w:space="0" w:color="auto"/>
        <w:bottom w:val="none" w:sz="0" w:space="0" w:color="auto"/>
        <w:right w:val="none" w:sz="0" w:space="0" w:color="auto"/>
      </w:divBdr>
      <w:divsChild>
        <w:div w:id="679696540">
          <w:marLeft w:val="0"/>
          <w:marRight w:val="0"/>
          <w:marTop w:val="0"/>
          <w:marBottom w:val="0"/>
          <w:divBdr>
            <w:top w:val="none" w:sz="0" w:space="0" w:color="auto"/>
            <w:left w:val="none" w:sz="0" w:space="0" w:color="auto"/>
            <w:bottom w:val="none" w:sz="0" w:space="0" w:color="auto"/>
            <w:right w:val="none" w:sz="0" w:space="0" w:color="auto"/>
          </w:divBdr>
          <w:divsChild>
            <w:div w:id="679696541">
              <w:marLeft w:val="0"/>
              <w:marRight w:val="0"/>
              <w:marTop w:val="0"/>
              <w:marBottom w:val="0"/>
              <w:divBdr>
                <w:top w:val="none" w:sz="0" w:space="0" w:color="auto"/>
                <w:left w:val="none" w:sz="0" w:space="0" w:color="auto"/>
                <w:bottom w:val="none" w:sz="0" w:space="0" w:color="auto"/>
                <w:right w:val="none" w:sz="0" w:space="0" w:color="auto"/>
              </w:divBdr>
              <w:divsChild>
                <w:div w:id="679696731">
                  <w:marLeft w:val="0"/>
                  <w:marRight w:val="0"/>
                  <w:marTop w:val="0"/>
                  <w:marBottom w:val="0"/>
                  <w:divBdr>
                    <w:top w:val="none" w:sz="0" w:space="0" w:color="auto"/>
                    <w:left w:val="none" w:sz="0" w:space="0" w:color="auto"/>
                    <w:bottom w:val="none" w:sz="0" w:space="0" w:color="auto"/>
                    <w:right w:val="none" w:sz="0" w:space="0" w:color="auto"/>
                  </w:divBdr>
                  <w:divsChild>
                    <w:div w:id="679696580">
                      <w:marLeft w:val="0"/>
                      <w:marRight w:val="0"/>
                      <w:marTop w:val="0"/>
                      <w:marBottom w:val="0"/>
                      <w:divBdr>
                        <w:top w:val="none" w:sz="0" w:space="0" w:color="auto"/>
                        <w:left w:val="none" w:sz="0" w:space="0" w:color="auto"/>
                        <w:bottom w:val="none" w:sz="0" w:space="0" w:color="auto"/>
                        <w:right w:val="none" w:sz="0" w:space="0" w:color="auto"/>
                      </w:divBdr>
                      <w:divsChild>
                        <w:div w:id="67969665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472">
      <w:marLeft w:val="0"/>
      <w:marRight w:val="0"/>
      <w:marTop w:val="0"/>
      <w:marBottom w:val="0"/>
      <w:divBdr>
        <w:top w:val="none" w:sz="0" w:space="0" w:color="auto"/>
        <w:left w:val="none" w:sz="0" w:space="0" w:color="auto"/>
        <w:bottom w:val="none" w:sz="0" w:space="0" w:color="auto"/>
        <w:right w:val="none" w:sz="0" w:space="0" w:color="auto"/>
      </w:divBdr>
    </w:div>
    <w:div w:id="679696473">
      <w:marLeft w:val="0"/>
      <w:marRight w:val="0"/>
      <w:marTop w:val="0"/>
      <w:marBottom w:val="0"/>
      <w:divBdr>
        <w:top w:val="none" w:sz="0" w:space="0" w:color="auto"/>
        <w:left w:val="none" w:sz="0" w:space="0" w:color="auto"/>
        <w:bottom w:val="none" w:sz="0" w:space="0" w:color="auto"/>
        <w:right w:val="none" w:sz="0" w:space="0" w:color="auto"/>
      </w:divBdr>
    </w:div>
    <w:div w:id="679696474">
      <w:marLeft w:val="0"/>
      <w:marRight w:val="0"/>
      <w:marTop w:val="0"/>
      <w:marBottom w:val="0"/>
      <w:divBdr>
        <w:top w:val="none" w:sz="0" w:space="0" w:color="auto"/>
        <w:left w:val="none" w:sz="0" w:space="0" w:color="auto"/>
        <w:bottom w:val="none" w:sz="0" w:space="0" w:color="auto"/>
        <w:right w:val="none" w:sz="0" w:space="0" w:color="auto"/>
      </w:divBdr>
    </w:div>
    <w:div w:id="679696476">
      <w:marLeft w:val="0"/>
      <w:marRight w:val="0"/>
      <w:marTop w:val="0"/>
      <w:marBottom w:val="0"/>
      <w:divBdr>
        <w:top w:val="none" w:sz="0" w:space="0" w:color="auto"/>
        <w:left w:val="none" w:sz="0" w:space="0" w:color="auto"/>
        <w:bottom w:val="none" w:sz="0" w:space="0" w:color="auto"/>
        <w:right w:val="none" w:sz="0" w:space="0" w:color="auto"/>
      </w:divBdr>
    </w:div>
    <w:div w:id="679696478">
      <w:marLeft w:val="0"/>
      <w:marRight w:val="0"/>
      <w:marTop w:val="0"/>
      <w:marBottom w:val="0"/>
      <w:divBdr>
        <w:top w:val="none" w:sz="0" w:space="0" w:color="auto"/>
        <w:left w:val="none" w:sz="0" w:space="0" w:color="auto"/>
        <w:bottom w:val="none" w:sz="0" w:space="0" w:color="auto"/>
        <w:right w:val="none" w:sz="0" w:space="0" w:color="auto"/>
      </w:divBdr>
    </w:div>
    <w:div w:id="679696479">
      <w:marLeft w:val="0"/>
      <w:marRight w:val="0"/>
      <w:marTop w:val="0"/>
      <w:marBottom w:val="0"/>
      <w:divBdr>
        <w:top w:val="none" w:sz="0" w:space="0" w:color="auto"/>
        <w:left w:val="none" w:sz="0" w:space="0" w:color="auto"/>
        <w:bottom w:val="none" w:sz="0" w:space="0" w:color="auto"/>
        <w:right w:val="none" w:sz="0" w:space="0" w:color="auto"/>
      </w:divBdr>
    </w:div>
    <w:div w:id="679696482">
      <w:marLeft w:val="0"/>
      <w:marRight w:val="0"/>
      <w:marTop w:val="0"/>
      <w:marBottom w:val="0"/>
      <w:divBdr>
        <w:top w:val="none" w:sz="0" w:space="0" w:color="auto"/>
        <w:left w:val="none" w:sz="0" w:space="0" w:color="auto"/>
        <w:bottom w:val="none" w:sz="0" w:space="0" w:color="auto"/>
        <w:right w:val="none" w:sz="0" w:space="0" w:color="auto"/>
      </w:divBdr>
    </w:div>
    <w:div w:id="679696483">
      <w:marLeft w:val="0"/>
      <w:marRight w:val="0"/>
      <w:marTop w:val="0"/>
      <w:marBottom w:val="0"/>
      <w:divBdr>
        <w:top w:val="none" w:sz="0" w:space="0" w:color="auto"/>
        <w:left w:val="none" w:sz="0" w:space="0" w:color="auto"/>
        <w:bottom w:val="none" w:sz="0" w:space="0" w:color="auto"/>
        <w:right w:val="none" w:sz="0" w:space="0" w:color="auto"/>
      </w:divBdr>
    </w:div>
    <w:div w:id="679696484">
      <w:marLeft w:val="0"/>
      <w:marRight w:val="0"/>
      <w:marTop w:val="0"/>
      <w:marBottom w:val="0"/>
      <w:divBdr>
        <w:top w:val="none" w:sz="0" w:space="0" w:color="auto"/>
        <w:left w:val="none" w:sz="0" w:space="0" w:color="auto"/>
        <w:bottom w:val="none" w:sz="0" w:space="0" w:color="auto"/>
        <w:right w:val="none" w:sz="0" w:space="0" w:color="auto"/>
      </w:divBdr>
    </w:div>
    <w:div w:id="679696485">
      <w:marLeft w:val="0"/>
      <w:marRight w:val="0"/>
      <w:marTop w:val="0"/>
      <w:marBottom w:val="0"/>
      <w:divBdr>
        <w:top w:val="none" w:sz="0" w:space="0" w:color="auto"/>
        <w:left w:val="none" w:sz="0" w:space="0" w:color="auto"/>
        <w:bottom w:val="none" w:sz="0" w:space="0" w:color="auto"/>
        <w:right w:val="none" w:sz="0" w:space="0" w:color="auto"/>
      </w:divBdr>
    </w:div>
    <w:div w:id="679696486">
      <w:marLeft w:val="0"/>
      <w:marRight w:val="0"/>
      <w:marTop w:val="0"/>
      <w:marBottom w:val="0"/>
      <w:divBdr>
        <w:top w:val="none" w:sz="0" w:space="0" w:color="auto"/>
        <w:left w:val="none" w:sz="0" w:space="0" w:color="auto"/>
        <w:bottom w:val="none" w:sz="0" w:space="0" w:color="auto"/>
        <w:right w:val="none" w:sz="0" w:space="0" w:color="auto"/>
      </w:divBdr>
    </w:div>
    <w:div w:id="679696487">
      <w:marLeft w:val="0"/>
      <w:marRight w:val="0"/>
      <w:marTop w:val="0"/>
      <w:marBottom w:val="0"/>
      <w:divBdr>
        <w:top w:val="none" w:sz="0" w:space="0" w:color="auto"/>
        <w:left w:val="none" w:sz="0" w:space="0" w:color="auto"/>
        <w:bottom w:val="none" w:sz="0" w:space="0" w:color="auto"/>
        <w:right w:val="none" w:sz="0" w:space="0" w:color="auto"/>
      </w:divBdr>
      <w:divsChild>
        <w:div w:id="679696475">
          <w:marLeft w:val="0"/>
          <w:marRight w:val="0"/>
          <w:marTop w:val="0"/>
          <w:marBottom w:val="0"/>
          <w:divBdr>
            <w:top w:val="none" w:sz="0" w:space="0" w:color="auto"/>
            <w:left w:val="none" w:sz="0" w:space="0" w:color="auto"/>
            <w:bottom w:val="none" w:sz="0" w:space="0" w:color="auto"/>
            <w:right w:val="none" w:sz="0" w:space="0" w:color="auto"/>
          </w:divBdr>
          <w:divsChild>
            <w:div w:id="679696503">
              <w:marLeft w:val="0"/>
              <w:marRight w:val="0"/>
              <w:marTop w:val="0"/>
              <w:marBottom w:val="0"/>
              <w:divBdr>
                <w:top w:val="none" w:sz="0" w:space="0" w:color="auto"/>
                <w:left w:val="none" w:sz="0" w:space="0" w:color="auto"/>
                <w:bottom w:val="none" w:sz="0" w:space="0" w:color="auto"/>
                <w:right w:val="none" w:sz="0" w:space="0" w:color="auto"/>
              </w:divBdr>
              <w:divsChild>
                <w:div w:id="679696615">
                  <w:marLeft w:val="0"/>
                  <w:marRight w:val="0"/>
                  <w:marTop w:val="0"/>
                  <w:marBottom w:val="0"/>
                  <w:divBdr>
                    <w:top w:val="none" w:sz="0" w:space="0" w:color="auto"/>
                    <w:left w:val="none" w:sz="0" w:space="0" w:color="auto"/>
                    <w:bottom w:val="none" w:sz="0" w:space="0" w:color="auto"/>
                    <w:right w:val="none" w:sz="0" w:space="0" w:color="auto"/>
                  </w:divBdr>
                  <w:divsChild>
                    <w:div w:id="679696450">
                      <w:marLeft w:val="0"/>
                      <w:marRight w:val="0"/>
                      <w:marTop w:val="0"/>
                      <w:marBottom w:val="0"/>
                      <w:divBdr>
                        <w:top w:val="none" w:sz="0" w:space="0" w:color="auto"/>
                        <w:left w:val="none" w:sz="0" w:space="0" w:color="auto"/>
                        <w:bottom w:val="none" w:sz="0" w:space="0" w:color="auto"/>
                        <w:right w:val="none" w:sz="0" w:space="0" w:color="auto"/>
                      </w:divBdr>
                      <w:divsChild>
                        <w:div w:id="67969676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488">
      <w:marLeft w:val="0"/>
      <w:marRight w:val="0"/>
      <w:marTop w:val="0"/>
      <w:marBottom w:val="0"/>
      <w:divBdr>
        <w:top w:val="none" w:sz="0" w:space="0" w:color="auto"/>
        <w:left w:val="none" w:sz="0" w:space="0" w:color="auto"/>
        <w:bottom w:val="none" w:sz="0" w:space="0" w:color="auto"/>
        <w:right w:val="none" w:sz="0" w:space="0" w:color="auto"/>
      </w:divBdr>
      <w:divsChild>
        <w:div w:id="679696537">
          <w:marLeft w:val="0"/>
          <w:marRight w:val="0"/>
          <w:marTop w:val="0"/>
          <w:marBottom w:val="0"/>
          <w:divBdr>
            <w:top w:val="none" w:sz="0" w:space="0" w:color="auto"/>
            <w:left w:val="none" w:sz="0" w:space="0" w:color="auto"/>
            <w:bottom w:val="none" w:sz="0" w:space="0" w:color="auto"/>
            <w:right w:val="none" w:sz="0" w:space="0" w:color="auto"/>
          </w:divBdr>
          <w:divsChild>
            <w:div w:id="679696502">
              <w:marLeft w:val="0"/>
              <w:marRight w:val="0"/>
              <w:marTop w:val="0"/>
              <w:marBottom w:val="0"/>
              <w:divBdr>
                <w:top w:val="none" w:sz="0" w:space="0" w:color="auto"/>
                <w:left w:val="none" w:sz="0" w:space="0" w:color="auto"/>
                <w:bottom w:val="none" w:sz="0" w:space="0" w:color="auto"/>
                <w:right w:val="none" w:sz="0" w:space="0" w:color="auto"/>
              </w:divBdr>
              <w:divsChild>
                <w:div w:id="679696664">
                  <w:marLeft w:val="0"/>
                  <w:marRight w:val="0"/>
                  <w:marTop w:val="0"/>
                  <w:marBottom w:val="0"/>
                  <w:divBdr>
                    <w:top w:val="none" w:sz="0" w:space="0" w:color="auto"/>
                    <w:left w:val="none" w:sz="0" w:space="0" w:color="auto"/>
                    <w:bottom w:val="none" w:sz="0" w:space="0" w:color="auto"/>
                    <w:right w:val="none" w:sz="0" w:space="0" w:color="auto"/>
                  </w:divBdr>
                  <w:divsChild>
                    <w:div w:id="679696634">
                      <w:marLeft w:val="0"/>
                      <w:marRight w:val="0"/>
                      <w:marTop w:val="0"/>
                      <w:marBottom w:val="0"/>
                      <w:divBdr>
                        <w:top w:val="none" w:sz="0" w:space="0" w:color="auto"/>
                        <w:left w:val="none" w:sz="0" w:space="0" w:color="auto"/>
                        <w:bottom w:val="none" w:sz="0" w:space="0" w:color="auto"/>
                        <w:right w:val="none" w:sz="0" w:space="0" w:color="auto"/>
                      </w:divBdr>
                      <w:divsChild>
                        <w:div w:id="67969648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489">
      <w:marLeft w:val="0"/>
      <w:marRight w:val="0"/>
      <w:marTop w:val="0"/>
      <w:marBottom w:val="0"/>
      <w:divBdr>
        <w:top w:val="none" w:sz="0" w:space="0" w:color="auto"/>
        <w:left w:val="none" w:sz="0" w:space="0" w:color="auto"/>
        <w:bottom w:val="none" w:sz="0" w:space="0" w:color="auto"/>
        <w:right w:val="none" w:sz="0" w:space="0" w:color="auto"/>
      </w:divBdr>
    </w:div>
    <w:div w:id="679696491">
      <w:marLeft w:val="0"/>
      <w:marRight w:val="0"/>
      <w:marTop w:val="0"/>
      <w:marBottom w:val="0"/>
      <w:divBdr>
        <w:top w:val="none" w:sz="0" w:space="0" w:color="auto"/>
        <w:left w:val="none" w:sz="0" w:space="0" w:color="auto"/>
        <w:bottom w:val="none" w:sz="0" w:space="0" w:color="auto"/>
        <w:right w:val="none" w:sz="0" w:space="0" w:color="auto"/>
      </w:divBdr>
      <w:divsChild>
        <w:div w:id="679696735">
          <w:marLeft w:val="0"/>
          <w:marRight w:val="0"/>
          <w:marTop w:val="0"/>
          <w:marBottom w:val="0"/>
          <w:divBdr>
            <w:top w:val="none" w:sz="0" w:space="0" w:color="auto"/>
            <w:left w:val="none" w:sz="0" w:space="0" w:color="auto"/>
            <w:bottom w:val="none" w:sz="0" w:space="0" w:color="auto"/>
            <w:right w:val="none" w:sz="0" w:space="0" w:color="auto"/>
          </w:divBdr>
        </w:div>
      </w:divsChild>
    </w:div>
    <w:div w:id="679696492">
      <w:marLeft w:val="0"/>
      <w:marRight w:val="0"/>
      <w:marTop w:val="0"/>
      <w:marBottom w:val="0"/>
      <w:divBdr>
        <w:top w:val="none" w:sz="0" w:space="0" w:color="auto"/>
        <w:left w:val="none" w:sz="0" w:space="0" w:color="auto"/>
        <w:bottom w:val="none" w:sz="0" w:space="0" w:color="auto"/>
        <w:right w:val="none" w:sz="0" w:space="0" w:color="auto"/>
      </w:divBdr>
    </w:div>
    <w:div w:id="679696493">
      <w:marLeft w:val="0"/>
      <w:marRight w:val="0"/>
      <w:marTop w:val="0"/>
      <w:marBottom w:val="0"/>
      <w:divBdr>
        <w:top w:val="none" w:sz="0" w:space="0" w:color="auto"/>
        <w:left w:val="none" w:sz="0" w:space="0" w:color="auto"/>
        <w:bottom w:val="none" w:sz="0" w:space="0" w:color="auto"/>
        <w:right w:val="none" w:sz="0" w:space="0" w:color="auto"/>
      </w:divBdr>
    </w:div>
    <w:div w:id="679696494">
      <w:marLeft w:val="0"/>
      <w:marRight w:val="0"/>
      <w:marTop w:val="0"/>
      <w:marBottom w:val="0"/>
      <w:divBdr>
        <w:top w:val="none" w:sz="0" w:space="0" w:color="auto"/>
        <w:left w:val="none" w:sz="0" w:space="0" w:color="auto"/>
        <w:bottom w:val="none" w:sz="0" w:space="0" w:color="auto"/>
        <w:right w:val="none" w:sz="0" w:space="0" w:color="auto"/>
      </w:divBdr>
    </w:div>
    <w:div w:id="679696495">
      <w:marLeft w:val="0"/>
      <w:marRight w:val="0"/>
      <w:marTop w:val="0"/>
      <w:marBottom w:val="0"/>
      <w:divBdr>
        <w:top w:val="none" w:sz="0" w:space="0" w:color="auto"/>
        <w:left w:val="none" w:sz="0" w:space="0" w:color="auto"/>
        <w:bottom w:val="none" w:sz="0" w:space="0" w:color="auto"/>
        <w:right w:val="none" w:sz="0" w:space="0" w:color="auto"/>
      </w:divBdr>
    </w:div>
    <w:div w:id="679696496">
      <w:marLeft w:val="0"/>
      <w:marRight w:val="0"/>
      <w:marTop w:val="0"/>
      <w:marBottom w:val="0"/>
      <w:divBdr>
        <w:top w:val="none" w:sz="0" w:space="0" w:color="auto"/>
        <w:left w:val="none" w:sz="0" w:space="0" w:color="auto"/>
        <w:bottom w:val="none" w:sz="0" w:space="0" w:color="auto"/>
        <w:right w:val="none" w:sz="0" w:space="0" w:color="auto"/>
      </w:divBdr>
    </w:div>
    <w:div w:id="679696497">
      <w:marLeft w:val="0"/>
      <w:marRight w:val="0"/>
      <w:marTop w:val="0"/>
      <w:marBottom w:val="0"/>
      <w:divBdr>
        <w:top w:val="none" w:sz="0" w:space="0" w:color="auto"/>
        <w:left w:val="none" w:sz="0" w:space="0" w:color="auto"/>
        <w:bottom w:val="none" w:sz="0" w:space="0" w:color="auto"/>
        <w:right w:val="none" w:sz="0" w:space="0" w:color="auto"/>
      </w:divBdr>
    </w:div>
    <w:div w:id="679696498">
      <w:marLeft w:val="0"/>
      <w:marRight w:val="0"/>
      <w:marTop w:val="0"/>
      <w:marBottom w:val="0"/>
      <w:divBdr>
        <w:top w:val="none" w:sz="0" w:space="0" w:color="auto"/>
        <w:left w:val="none" w:sz="0" w:space="0" w:color="auto"/>
        <w:bottom w:val="none" w:sz="0" w:space="0" w:color="auto"/>
        <w:right w:val="none" w:sz="0" w:space="0" w:color="auto"/>
      </w:divBdr>
    </w:div>
    <w:div w:id="679696499">
      <w:marLeft w:val="0"/>
      <w:marRight w:val="0"/>
      <w:marTop w:val="0"/>
      <w:marBottom w:val="0"/>
      <w:divBdr>
        <w:top w:val="none" w:sz="0" w:space="0" w:color="auto"/>
        <w:left w:val="none" w:sz="0" w:space="0" w:color="auto"/>
        <w:bottom w:val="none" w:sz="0" w:space="0" w:color="auto"/>
        <w:right w:val="none" w:sz="0" w:space="0" w:color="auto"/>
      </w:divBdr>
    </w:div>
    <w:div w:id="679696501">
      <w:marLeft w:val="0"/>
      <w:marRight w:val="0"/>
      <w:marTop w:val="0"/>
      <w:marBottom w:val="0"/>
      <w:divBdr>
        <w:top w:val="none" w:sz="0" w:space="0" w:color="auto"/>
        <w:left w:val="none" w:sz="0" w:space="0" w:color="auto"/>
        <w:bottom w:val="none" w:sz="0" w:space="0" w:color="auto"/>
        <w:right w:val="none" w:sz="0" w:space="0" w:color="auto"/>
      </w:divBdr>
    </w:div>
    <w:div w:id="679696504">
      <w:marLeft w:val="0"/>
      <w:marRight w:val="0"/>
      <w:marTop w:val="0"/>
      <w:marBottom w:val="0"/>
      <w:divBdr>
        <w:top w:val="none" w:sz="0" w:space="0" w:color="auto"/>
        <w:left w:val="none" w:sz="0" w:space="0" w:color="auto"/>
        <w:bottom w:val="none" w:sz="0" w:space="0" w:color="auto"/>
        <w:right w:val="none" w:sz="0" w:space="0" w:color="auto"/>
      </w:divBdr>
    </w:div>
    <w:div w:id="679696505">
      <w:marLeft w:val="0"/>
      <w:marRight w:val="0"/>
      <w:marTop w:val="0"/>
      <w:marBottom w:val="0"/>
      <w:divBdr>
        <w:top w:val="none" w:sz="0" w:space="0" w:color="auto"/>
        <w:left w:val="none" w:sz="0" w:space="0" w:color="auto"/>
        <w:bottom w:val="none" w:sz="0" w:space="0" w:color="auto"/>
        <w:right w:val="none" w:sz="0" w:space="0" w:color="auto"/>
      </w:divBdr>
    </w:div>
    <w:div w:id="679696507">
      <w:marLeft w:val="0"/>
      <w:marRight w:val="0"/>
      <w:marTop w:val="0"/>
      <w:marBottom w:val="0"/>
      <w:divBdr>
        <w:top w:val="none" w:sz="0" w:space="0" w:color="auto"/>
        <w:left w:val="none" w:sz="0" w:space="0" w:color="auto"/>
        <w:bottom w:val="none" w:sz="0" w:space="0" w:color="auto"/>
        <w:right w:val="none" w:sz="0" w:space="0" w:color="auto"/>
      </w:divBdr>
    </w:div>
    <w:div w:id="679696508">
      <w:marLeft w:val="0"/>
      <w:marRight w:val="0"/>
      <w:marTop w:val="0"/>
      <w:marBottom w:val="0"/>
      <w:divBdr>
        <w:top w:val="none" w:sz="0" w:space="0" w:color="auto"/>
        <w:left w:val="none" w:sz="0" w:space="0" w:color="auto"/>
        <w:bottom w:val="none" w:sz="0" w:space="0" w:color="auto"/>
        <w:right w:val="none" w:sz="0" w:space="0" w:color="auto"/>
      </w:divBdr>
    </w:div>
    <w:div w:id="679696509">
      <w:marLeft w:val="0"/>
      <w:marRight w:val="0"/>
      <w:marTop w:val="0"/>
      <w:marBottom w:val="0"/>
      <w:divBdr>
        <w:top w:val="none" w:sz="0" w:space="0" w:color="auto"/>
        <w:left w:val="none" w:sz="0" w:space="0" w:color="auto"/>
        <w:bottom w:val="none" w:sz="0" w:space="0" w:color="auto"/>
        <w:right w:val="none" w:sz="0" w:space="0" w:color="auto"/>
      </w:divBdr>
      <w:divsChild>
        <w:div w:id="679696522">
          <w:marLeft w:val="0"/>
          <w:marRight w:val="0"/>
          <w:marTop w:val="0"/>
          <w:marBottom w:val="0"/>
          <w:divBdr>
            <w:top w:val="none" w:sz="0" w:space="0" w:color="auto"/>
            <w:left w:val="none" w:sz="0" w:space="0" w:color="auto"/>
            <w:bottom w:val="none" w:sz="0" w:space="0" w:color="auto"/>
            <w:right w:val="none" w:sz="0" w:space="0" w:color="auto"/>
          </w:divBdr>
        </w:div>
      </w:divsChild>
    </w:div>
    <w:div w:id="679696510">
      <w:marLeft w:val="0"/>
      <w:marRight w:val="0"/>
      <w:marTop w:val="0"/>
      <w:marBottom w:val="0"/>
      <w:divBdr>
        <w:top w:val="none" w:sz="0" w:space="0" w:color="auto"/>
        <w:left w:val="none" w:sz="0" w:space="0" w:color="auto"/>
        <w:bottom w:val="none" w:sz="0" w:space="0" w:color="auto"/>
        <w:right w:val="none" w:sz="0" w:space="0" w:color="auto"/>
      </w:divBdr>
      <w:divsChild>
        <w:div w:id="679696764">
          <w:marLeft w:val="0"/>
          <w:marRight w:val="0"/>
          <w:marTop w:val="0"/>
          <w:marBottom w:val="0"/>
          <w:divBdr>
            <w:top w:val="none" w:sz="0" w:space="0" w:color="auto"/>
            <w:left w:val="none" w:sz="0" w:space="0" w:color="auto"/>
            <w:bottom w:val="none" w:sz="0" w:space="0" w:color="auto"/>
            <w:right w:val="none" w:sz="0" w:space="0" w:color="auto"/>
          </w:divBdr>
          <w:divsChild>
            <w:div w:id="679696422">
              <w:marLeft w:val="0"/>
              <w:marRight w:val="0"/>
              <w:marTop w:val="0"/>
              <w:marBottom w:val="0"/>
              <w:divBdr>
                <w:top w:val="none" w:sz="0" w:space="0" w:color="auto"/>
                <w:left w:val="none" w:sz="0" w:space="0" w:color="auto"/>
                <w:bottom w:val="none" w:sz="0" w:space="0" w:color="auto"/>
                <w:right w:val="none" w:sz="0" w:space="0" w:color="auto"/>
              </w:divBdr>
              <w:divsChild>
                <w:div w:id="679696468">
                  <w:marLeft w:val="0"/>
                  <w:marRight w:val="0"/>
                  <w:marTop w:val="0"/>
                  <w:marBottom w:val="0"/>
                  <w:divBdr>
                    <w:top w:val="none" w:sz="0" w:space="0" w:color="auto"/>
                    <w:left w:val="none" w:sz="0" w:space="0" w:color="auto"/>
                    <w:bottom w:val="none" w:sz="0" w:space="0" w:color="auto"/>
                    <w:right w:val="none" w:sz="0" w:space="0" w:color="auto"/>
                  </w:divBdr>
                  <w:divsChild>
                    <w:div w:id="679696396">
                      <w:marLeft w:val="0"/>
                      <w:marRight w:val="0"/>
                      <w:marTop w:val="0"/>
                      <w:marBottom w:val="0"/>
                      <w:divBdr>
                        <w:top w:val="none" w:sz="0" w:space="0" w:color="auto"/>
                        <w:left w:val="none" w:sz="0" w:space="0" w:color="auto"/>
                        <w:bottom w:val="none" w:sz="0" w:space="0" w:color="auto"/>
                        <w:right w:val="none" w:sz="0" w:space="0" w:color="auto"/>
                      </w:divBdr>
                      <w:divsChild>
                        <w:div w:id="67969655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511">
      <w:marLeft w:val="0"/>
      <w:marRight w:val="0"/>
      <w:marTop w:val="0"/>
      <w:marBottom w:val="0"/>
      <w:divBdr>
        <w:top w:val="none" w:sz="0" w:space="0" w:color="auto"/>
        <w:left w:val="none" w:sz="0" w:space="0" w:color="auto"/>
        <w:bottom w:val="none" w:sz="0" w:space="0" w:color="auto"/>
        <w:right w:val="none" w:sz="0" w:space="0" w:color="auto"/>
      </w:divBdr>
    </w:div>
    <w:div w:id="679696512">
      <w:marLeft w:val="0"/>
      <w:marRight w:val="0"/>
      <w:marTop w:val="0"/>
      <w:marBottom w:val="0"/>
      <w:divBdr>
        <w:top w:val="none" w:sz="0" w:space="0" w:color="auto"/>
        <w:left w:val="none" w:sz="0" w:space="0" w:color="auto"/>
        <w:bottom w:val="none" w:sz="0" w:space="0" w:color="auto"/>
        <w:right w:val="none" w:sz="0" w:space="0" w:color="auto"/>
      </w:divBdr>
    </w:div>
    <w:div w:id="679696513">
      <w:marLeft w:val="0"/>
      <w:marRight w:val="0"/>
      <w:marTop w:val="0"/>
      <w:marBottom w:val="0"/>
      <w:divBdr>
        <w:top w:val="none" w:sz="0" w:space="0" w:color="auto"/>
        <w:left w:val="none" w:sz="0" w:space="0" w:color="auto"/>
        <w:bottom w:val="none" w:sz="0" w:space="0" w:color="auto"/>
        <w:right w:val="none" w:sz="0" w:space="0" w:color="auto"/>
      </w:divBdr>
    </w:div>
    <w:div w:id="679696514">
      <w:marLeft w:val="0"/>
      <w:marRight w:val="0"/>
      <w:marTop w:val="0"/>
      <w:marBottom w:val="0"/>
      <w:divBdr>
        <w:top w:val="none" w:sz="0" w:space="0" w:color="auto"/>
        <w:left w:val="none" w:sz="0" w:space="0" w:color="auto"/>
        <w:bottom w:val="none" w:sz="0" w:space="0" w:color="auto"/>
        <w:right w:val="none" w:sz="0" w:space="0" w:color="auto"/>
      </w:divBdr>
    </w:div>
    <w:div w:id="679696515">
      <w:marLeft w:val="0"/>
      <w:marRight w:val="0"/>
      <w:marTop w:val="0"/>
      <w:marBottom w:val="0"/>
      <w:divBdr>
        <w:top w:val="none" w:sz="0" w:space="0" w:color="auto"/>
        <w:left w:val="none" w:sz="0" w:space="0" w:color="auto"/>
        <w:bottom w:val="none" w:sz="0" w:space="0" w:color="auto"/>
        <w:right w:val="none" w:sz="0" w:space="0" w:color="auto"/>
      </w:divBdr>
    </w:div>
    <w:div w:id="679696517">
      <w:marLeft w:val="0"/>
      <w:marRight w:val="0"/>
      <w:marTop w:val="0"/>
      <w:marBottom w:val="0"/>
      <w:divBdr>
        <w:top w:val="none" w:sz="0" w:space="0" w:color="auto"/>
        <w:left w:val="none" w:sz="0" w:space="0" w:color="auto"/>
        <w:bottom w:val="none" w:sz="0" w:space="0" w:color="auto"/>
        <w:right w:val="none" w:sz="0" w:space="0" w:color="auto"/>
      </w:divBdr>
    </w:div>
    <w:div w:id="679696520">
      <w:marLeft w:val="0"/>
      <w:marRight w:val="0"/>
      <w:marTop w:val="0"/>
      <w:marBottom w:val="0"/>
      <w:divBdr>
        <w:top w:val="none" w:sz="0" w:space="0" w:color="auto"/>
        <w:left w:val="none" w:sz="0" w:space="0" w:color="auto"/>
        <w:bottom w:val="none" w:sz="0" w:space="0" w:color="auto"/>
        <w:right w:val="none" w:sz="0" w:space="0" w:color="auto"/>
      </w:divBdr>
    </w:div>
    <w:div w:id="679696521">
      <w:marLeft w:val="0"/>
      <w:marRight w:val="0"/>
      <w:marTop w:val="0"/>
      <w:marBottom w:val="0"/>
      <w:divBdr>
        <w:top w:val="none" w:sz="0" w:space="0" w:color="auto"/>
        <w:left w:val="none" w:sz="0" w:space="0" w:color="auto"/>
        <w:bottom w:val="none" w:sz="0" w:space="0" w:color="auto"/>
        <w:right w:val="none" w:sz="0" w:space="0" w:color="auto"/>
      </w:divBdr>
    </w:div>
    <w:div w:id="679696523">
      <w:marLeft w:val="0"/>
      <w:marRight w:val="0"/>
      <w:marTop w:val="0"/>
      <w:marBottom w:val="0"/>
      <w:divBdr>
        <w:top w:val="none" w:sz="0" w:space="0" w:color="auto"/>
        <w:left w:val="none" w:sz="0" w:space="0" w:color="auto"/>
        <w:bottom w:val="none" w:sz="0" w:space="0" w:color="auto"/>
        <w:right w:val="none" w:sz="0" w:space="0" w:color="auto"/>
      </w:divBdr>
      <w:divsChild>
        <w:div w:id="679696500">
          <w:marLeft w:val="0"/>
          <w:marRight w:val="0"/>
          <w:marTop w:val="0"/>
          <w:marBottom w:val="0"/>
          <w:divBdr>
            <w:top w:val="none" w:sz="0" w:space="0" w:color="auto"/>
            <w:left w:val="none" w:sz="0" w:space="0" w:color="auto"/>
            <w:bottom w:val="none" w:sz="0" w:space="0" w:color="auto"/>
            <w:right w:val="none" w:sz="0" w:space="0" w:color="auto"/>
          </w:divBdr>
        </w:div>
      </w:divsChild>
    </w:div>
    <w:div w:id="679696524">
      <w:marLeft w:val="0"/>
      <w:marRight w:val="0"/>
      <w:marTop w:val="0"/>
      <w:marBottom w:val="0"/>
      <w:divBdr>
        <w:top w:val="none" w:sz="0" w:space="0" w:color="auto"/>
        <w:left w:val="none" w:sz="0" w:space="0" w:color="auto"/>
        <w:bottom w:val="none" w:sz="0" w:space="0" w:color="auto"/>
        <w:right w:val="none" w:sz="0" w:space="0" w:color="auto"/>
      </w:divBdr>
    </w:div>
    <w:div w:id="679696525">
      <w:marLeft w:val="0"/>
      <w:marRight w:val="0"/>
      <w:marTop w:val="0"/>
      <w:marBottom w:val="0"/>
      <w:divBdr>
        <w:top w:val="none" w:sz="0" w:space="0" w:color="auto"/>
        <w:left w:val="none" w:sz="0" w:space="0" w:color="auto"/>
        <w:bottom w:val="none" w:sz="0" w:space="0" w:color="auto"/>
        <w:right w:val="none" w:sz="0" w:space="0" w:color="auto"/>
      </w:divBdr>
    </w:div>
    <w:div w:id="679696526">
      <w:marLeft w:val="0"/>
      <w:marRight w:val="0"/>
      <w:marTop w:val="0"/>
      <w:marBottom w:val="0"/>
      <w:divBdr>
        <w:top w:val="none" w:sz="0" w:space="0" w:color="auto"/>
        <w:left w:val="none" w:sz="0" w:space="0" w:color="auto"/>
        <w:bottom w:val="none" w:sz="0" w:space="0" w:color="auto"/>
        <w:right w:val="none" w:sz="0" w:space="0" w:color="auto"/>
      </w:divBdr>
      <w:divsChild>
        <w:div w:id="679696724">
          <w:marLeft w:val="0"/>
          <w:marRight w:val="0"/>
          <w:marTop w:val="0"/>
          <w:marBottom w:val="0"/>
          <w:divBdr>
            <w:top w:val="none" w:sz="0" w:space="0" w:color="auto"/>
            <w:left w:val="none" w:sz="0" w:space="0" w:color="auto"/>
            <w:bottom w:val="none" w:sz="0" w:space="0" w:color="auto"/>
            <w:right w:val="none" w:sz="0" w:space="0" w:color="auto"/>
          </w:divBdr>
          <w:divsChild>
            <w:div w:id="679696739">
              <w:marLeft w:val="0"/>
              <w:marRight w:val="0"/>
              <w:marTop w:val="0"/>
              <w:marBottom w:val="0"/>
              <w:divBdr>
                <w:top w:val="none" w:sz="0" w:space="0" w:color="auto"/>
                <w:left w:val="none" w:sz="0" w:space="0" w:color="auto"/>
                <w:bottom w:val="none" w:sz="0" w:space="0" w:color="auto"/>
                <w:right w:val="none" w:sz="0" w:space="0" w:color="auto"/>
              </w:divBdr>
              <w:divsChild>
                <w:div w:id="679696516">
                  <w:marLeft w:val="0"/>
                  <w:marRight w:val="0"/>
                  <w:marTop w:val="0"/>
                  <w:marBottom w:val="0"/>
                  <w:divBdr>
                    <w:top w:val="none" w:sz="0" w:space="0" w:color="auto"/>
                    <w:left w:val="none" w:sz="0" w:space="0" w:color="auto"/>
                    <w:bottom w:val="none" w:sz="0" w:space="0" w:color="auto"/>
                    <w:right w:val="none" w:sz="0" w:space="0" w:color="auto"/>
                  </w:divBdr>
                  <w:divsChild>
                    <w:div w:id="679696671">
                      <w:marLeft w:val="0"/>
                      <w:marRight w:val="0"/>
                      <w:marTop w:val="0"/>
                      <w:marBottom w:val="0"/>
                      <w:divBdr>
                        <w:top w:val="none" w:sz="0" w:space="0" w:color="auto"/>
                        <w:left w:val="none" w:sz="0" w:space="0" w:color="auto"/>
                        <w:bottom w:val="none" w:sz="0" w:space="0" w:color="auto"/>
                        <w:right w:val="none" w:sz="0" w:space="0" w:color="auto"/>
                      </w:divBdr>
                      <w:divsChild>
                        <w:div w:id="67969637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527">
      <w:marLeft w:val="0"/>
      <w:marRight w:val="0"/>
      <w:marTop w:val="0"/>
      <w:marBottom w:val="0"/>
      <w:divBdr>
        <w:top w:val="none" w:sz="0" w:space="0" w:color="auto"/>
        <w:left w:val="none" w:sz="0" w:space="0" w:color="auto"/>
        <w:bottom w:val="none" w:sz="0" w:space="0" w:color="auto"/>
        <w:right w:val="none" w:sz="0" w:space="0" w:color="auto"/>
      </w:divBdr>
    </w:div>
    <w:div w:id="679696528">
      <w:marLeft w:val="0"/>
      <w:marRight w:val="0"/>
      <w:marTop w:val="0"/>
      <w:marBottom w:val="0"/>
      <w:divBdr>
        <w:top w:val="none" w:sz="0" w:space="0" w:color="auto"/>
        <w:left w:val="none" w:sz="0" w:space="0" w:color="auto"/>
        <w:bottom w:val="none" w:sz="0" w:space="0" w:color="auto"/>
        <w:right w:val="none" w:sz="0" w:space="0" w:color="auto"/>
      </w:divBdr>
      <w:divsChild>
        <w:div w:id="679696370">
          <w:marLeft w:val="0"/>
          <w:marRight w:val="0"/>
          <w:marTop w:val="0"/>
          <w:marBottom w:val="0"/>
          <w:divBdr>
            <w:top w:val="none" w:sz="0" w:space="0" w:color="auto"/>
            <w:left w:val="none" w:sz="0" w:space="0" w:color="auto"/>
            <w:bottom w:val="none" w:sz="0" w:space="0" w:color="auto"/>
            <w:right w:val="none" w:sz="0" w:space="0" w:color="auto"/>
          </w:divBdr>
        </w:div>
      </w:divsChild>
    </w:div>
    <w:div w:id="679696529">
      <w:marLeft w:val="0"/>
      <w:marRight w:val="0"/>
      <w:marTop w:val="0"/>
      <w:marBottom w:val="0"/>
      <w:divBdr>
        <w:top w:val="none" w:sz="0" w:space="0" w:color="auto"/>
        <w:left w:val="none" w:sz="0" w:space="0" w:color="auto"/>
        <w:bottom w:val="none" w:sz="0" w:space="0" w:color="auto"/>
        <w:right w:val="none" w:sz="0" w:space="0" w:color="auto"/>
      </w:divBdr>
    </w:div>
    <w:div w:id="679696530">
      <w:marLeft w:val="0"/>
      <w:marRight w:val="0"/>
      <w:marTop w:val="0"/>
      <w:marBottom w:val="0"/>
      <w:divBdr>
        <w:top w:val="none" w:sz="0" w:space="0" w:color="auto"/>
        <w:left w:val="none" w:sz="0" w:space="0" w:color="auto"/>
        <w:bottom w:val="none" w:sz="0" w:space="0" w:color="auto"/>
        <w:right w:val="none" w:sz="0" w:space="0" w:color="auto"/>
      </w:divBdr>
    </w:div>
    <w:div w:id="679696531">
      <w:marLeft w:val="0"/>
      <w:marRight w:val="0"/>
      <w:marTop w:val="0"/>
      <w:marBottom w:val="0"/>
      <w:divBdr>
        <w:top w:val="none" w:sz="0" w:space="0" w:color="auto"/>
        <w:left w:val="none" w:sz="0" w:space="0" w:color="auto"/>
        <w:bottom w:val="none" w:sz="0" w:space="0" w:color="auto"/>
        <w:right w:val="none" w:sz="0" w:space="0" w:color="auto"/>
      </w:divBdr>
    </w:div>
    <w:div w:id="679696532">
      <w:marLeft w:val="0"/>
      <w:marRight w:val="0"/>
      <w:marTop w:val="0"/>
      <w:marBottom w:val="0"/>
      <w:divBdr>
        <w:top w:val="none" w:sz="0" w:space="0" w:color="auto"/>
        <w:left w:val="none" w:sz="0" w:space="0" w:color="auto"/>
        <w:bottom w:val="none" w:sz="0" w:space="0" w:color="auto"/>
        <w:right w:val="none" w:sz="0" w:space="0" w:color="auto"/>
      </w:divBdr>
    </w:div>
    <w:div w:id="679696533">
      <w:marLeft w:val="0"/>
      <w:marRight w:val="0"/>
      <w:marTop w:val="0"/>
      <w:marBottom w:val="0"/>
      <w:divBdr>
        <w:top w:val="none" w:sz="0" w:space="0" w:color="auto"/>
        <w:left w:val="none" w:sz="0" w:space="0" w:color="auto"/>
        <w:bottom w:val="none" w:sz="0" w:space="0" w:color="auto"/>
        <w:right w:val="none" w:sz="0" w:space="0" w:color="auto"/>
      </w:divBdr>
    </w:div>
    <w:div w:id="679696534">
      <w:marLeft w:val="0"/>
      <w:marRight w:val="0"/>
      <w:marTop w:val="0"/>
      <w:marBottom w:val="0"/>
      <w:divBdr>
        <w:top w:val="none" w:sz="0" w:space="0" w:color="auto"/>
        <w:left w:val="none" w:sz="0" w:space="0" w:color="auto"/>
        <w:bottom w:val="none" w:sz="0" w:space="0" w:color="auto"/>
        <w:right w:val="none" w:sz="0" w:space="0" w:color="auto"/>
      </w:divBdr>
    </w:div>
    <w:div w:id="679696535">
      <w:marLeft w:val="0"/>
      <w:marRight w:val="0"/>
      <w:marTop w:val="0"/>
      <w:marBottom w:val="0"/>
      <w:divBdr>
        <w:top w:val="none" w:sz="0" w:space="0" w:color="auto"/>
        <w:left w:val="none" w:sz="0" w:space="0" w:color="auto"/>
        <w:bottom w:val="none" w:sz="0" w:space="0" w:color="auto"/>
        <w:right w:val="none" w:sz="0" w:space="0" w:color="auto"/>
      </w:divBdr>
    </w:div>
    <w:div w:id="679696538">
      <w:marLeft w:val="0"/>
      <w:marRight w:val="0"/>
      <w:marTop w:val="0"/>
      <w:marBottom w:val="0"/>
      <w:divBdr>
        <w:top w:val="none" w:sz="0" w:space="0" w:color="auto"/>
        <w:left w:val="none" w:sz="0" w:space="0" w:color="auto"/>
        <w:bottom w:val="none" w:sz="0" w:space="0" w:color="auto"/>
        <w:right w:val="none" w:sz="0" w:space="0" w:color="auto"/>
      </w:divBdr>
    </w:div>
    <w:div w:id="679696539">
      <w:marLeft w:val="0"/>
      <w:marRight w:val="0"/>
      <w:marTop w:val="0"/>
      <w:marBottom w:val="0"/>
      <w:divBdr>
        <w:top w:val="none" w:sz="0" w:space="0" w:color="auto"/>
        <w:left w:val="none" w:sz="0" w:space="0" w:color="auto"/>
        <w:bottom w:val="none" w:sz="0" w:space="0" w:color="auto"/>
        <w:right w:val="none" w:sz="0" w:space="0" w:color="auto"/>
      </w:divBdr>
    </w:div>
    <w:div w:id="679696542">
      <w:marLeft w:val="0"/>
      <w:marRight w:val="0"/>
      <w:marTop w:val="0"/>
      <w:marBottom w:val="0"/>
      <w:divBdr>
        <w:top w:val="none" w:sz="0" w:space="0" w:color="auto"/>
        <w:left w:val="none" w:sz="0" w:space="0" w:color="auto"/>
        <w:bottom w:val="none" w:sz="0" w:space="0" w:color="auto"/>
        <w:right w:val="none" w:sz="0" w:space="0" w:color="auto"/>
      </w:divBdr>
    </w:div>
    <w:div w:id="679696544">
      <w:marLeft w:val="0"/>
      <w:marRight w:val="0"/>
      <w:marTop w:val="0"/>
      <w:marBottom w:val="0"/>
      <w:divBdr>
        <w:top w:val="none" w:sz="0" w:space="0" w:color="auto"/>
        <w:left w:val="none" w:sz="0" w:space="0" w:color="auto"/>
        <w:bottom w:val="none" w:sz="0" w:space="0" w:color="auto"/>
        <w:right w:val="none" w:sz="0" w:space="0" w:color="auto"/>
      </w:divBdr>
    </w:div>
    <w:div w:id="679696545">
      <w:marLeft w:val="0"/>
      <w:marRight w:val="0"/>
      <w:marTop w:val="0"/>
      <w:marBottom w:val="0"/>
      <w:divBdr>
        <w:top w:val="none" w:sz="0" w:space="0" w:color="auto"/>
        <w:left w:val="none" w:sz="0" w:space="0" w:color="auto"/>
        <w:bottom w:val="none" w:sz="0" w:space="0" w:color="auto"/>
        <w:right w:val="none" w:sz="0" w:space="0" w:color="auto"/>
      </w:divBdr>
    </w:div>
    <w:div w:id="679696546">
      <w:marLeft w:val="0"/>
      <w:marRight w:val="0"/>
      <w:marTop w:val="0"/>
      <w:marBottom w:val="0"/>
      <w:divBdr>
        <w:top w:val="none" w:sz="0" w:space="0" w:color="auto"/>
        <w:left w:val="none" w:sz="0" w:space="0" w:color="auto"/>
        <w:bottom w:val="none" w:sz="0" w:space="0" w:color="auto"/>
        <w:right w:val="none" w:sz="0" w:space="0" w:color="auto"/>
      </w:divBdr>
    </w:div>
    <w:div w:id="679696548">
      <w:marLeft w:val="0"/>
      <w:marRight w:val="0"/>
      <w:marTop w:val="0"/>
      <w:marBottom w:val="0"/>
      <w:divBdr>
        <w:top w:val="none" w:sz="0" w:space="0" w:color="auto"/>
        <w:left w:val="none" w:sz="0" w:space="0" w:color="auto"/>
        <w:bottom w:val="none" w:sz="0" w:space="0" w:color="auto"/>
        <w:right w:val="none" w:sz="0" w:space="0" w:color="auto"/>
      </w:divBdr>
    </w:div>
    <w:div w:id="679696549">
      <w:marLeft w:val="0"/>
      <w:marRight w:val="0"/>
      <w:marTop w:val="0"/>
      <w:marBottom w:val="0"/>
      <w:divBdr>
        <w:top w:val="none" w:sz="0" w:space="0" w:color="auto"/>
        <w:left w:val="none" w:sz="0" w:space="0" w:color="auto"/>
        <w:bottom w:val="none" w:sz="0" w:space="0" w:color="auto"/>
        <w:right w:val="none" w:sz="0" w:space="0" w:color="auto"/>
      </w:divBdr>
    </w:div>
    <w:div w:id="679696551">
      <w:marLeft w:val="0"/>
      <w:marRight w:val="0"/>
      <w:marTop w:val="0"/>
      <w:marBottom w:val="0"/>
      <w:divBdr>
        <w:top w:val="none" w:sz="0" w:space="0" w:color="auto"/>
        <w:left w:val="none" w:sz="0" w:space="0" w:color="auto"/>
        <w:bottom w:val="none" w:sz="0" w:space="0" w:color="auto"/>
        <w:right w:val="none" w:sz="0" w:space="0" w:color="auto"/>
      </w:divBdr>
    </w:div>
    <w:div w:id="679696553">
      <w:marLeft w:val="0"/>
      <w:marRight w:val="0"/>
      <w:marTop w:val="0"/>
      <w:marBottom w:val="0"/>
      <w:divBdr>
        <w:top w:val="none" w:sz="0" w:space="0" w:color="auto"/>
        <w:left w:val="none" w:sz="0" w:space="0" w:color="auto"/>
        <w:bottom w:val="none" w:sz="0" w:space="0" w:color="auto"/>
        <w:right w:val="none" w:sz="0" w:space="0" w:color="auto"/>
      </w:divBdr>
    </w:div>
    <w:div w:id="679696554">
      <w:marLeft w:val="0"/>
      <w:marRight w:val="0"/>
      <w:marTop w:val="0"/>
      <w:marBottom w:val="0"/>
      <w:divBdr>
        <w:top w:val="none" w:sz="0" w:space="0" w:color="auto"/>
        <w:left w:val="none" w:sz="0" w:space="0" w:color="auto"/>
        <w:bottom w:val="none" w:sz="0" w:space="0" w:color="auto"/>
        <w:right w:val="none" w:sz="0" w:space="0" w:color="auto"/>
      </w:divBdr>
      <w:divsChild>
        <w:div w:id="679696561">
          <w:marLeft w:val="0"/>
          <w:marRight w:val="0"/>
          <w:marTop w:val="0"/>
          <w:marBottom w:val="0"/>
          <w:divBdr>
            <w:top w:val="none" w:sz="0" w:space="0" w:color="auto"/>
            <w:left w:val="none" w:sz="0" w:space="0" w:color="auto"/>
            <w:bottom w:val="none" w:sz="0" w:space="0" w:color="auto"/>
            <w:right w:val="none" w:sz="0" w:space="0" w:color="auto"/>
          </w:divBdr>
          <w:divsChild>
            <w:div w:id="679696618">
              <w:marLeft w:val="0"/>
              <w:marRight w:val="0"/>
              <w:marTop w:val="0"/>
              <w:marBottom w:val="0"/>
              <w:divBdr>
                <w:top w:val="none" w:sz="0" w:space="0" w:color="auto"/>
                <w:left w:val="none" w:sz="0" w:space="0" w:color="auto"/>
                <w:bottom w:val="none" w:sz="0" w:space="0" w:color="auto"/>
                <w:right w:val="none" w:sz="0" w:space="0" w:color="auto"/>
              </w:divBdr>
              <w:divsChild>
                <w:div w:id="679696617">
                  <w:marLeft w:val="0"/>
                  <w:marRight w:val="0"/>
                  <w:marTop w:val="0"/>
                  <w:marBottom w:val="0"/>
                  <w:divBdr>
                    <w:top w:val="none" w:sz="0" w:space="0" w:color="auto"/>
                    <w:left w:val="none" w:sz="0" w:space="0" w:color="auto"/>
                    <w:bottom w:val="none" w:sz="0" w:space="0" w:color="auto"/>
                    <w:right w:val="none" w:sz="0" w:space="0" w:color="auto"/>
                  </w:divBdr>
                  <w:divsChild>
                    <w:div w:id="679696584">
                      <w:marLeft w:val="0"/>
                      <w:marRight w:val="0"/>
                      <w:marTop w:val="0"/>
                      <w:marBottom w:val="0"/>
                      <w:divBdr>
                        <w:top w:val="none" w:sz="0" w:space="0" w:color="auto"/>
                        <w:left w:val="none" w:sz="0" w:space="0" w:color="auto"/>
                        <w:bottom w:val="none" w:sz="0" w:space="0" w:color="auto"/>
                        <w:right w:val="none" w:sz="0" w:space="0" w:color="auto"/>
                      </w:divBdr>
                      <w:divsChild>
                        <w:div w:id="67969639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555">
      <w:marLeft w:val="0"/>
      <w:marRight w:val="0"/>
      <w:marTop w:val="0"/>
      <w:marBottom w:val="0"/>
      <w:divBdr>
        <w:top w:val="none" w:sz="0" w:space="0" w:color="auto"/>
        <w:left w:val="none" w:sz="0" w:space="0" w:color="auto"/>
        <w:bottom w:val="none" w:sz="0" w:space="0" w:color="auto"/>
        <w:right w:val="none" w:sz="0" w:space="0" w:color="auto"/>
      </w:divBdr>
    </w:div>
    <w:div w:id="679696556">
      <w:marLeft w:val="0"/>
      <w:marRight w:val="0"/>
      <w:marTop w:val="0"/>
      <w:marBottom w:val="0"/>
      <w:divBdr>
        <w:top w:val="none" w:sz="0" w:space="0" w:color="auto"/>
        <w:left w:val="none" w:sz="0" w:space="0" w:color="auto"/>
        <w:bottom w:val="none" w:sz="0" w:space="0" w:color="auto"/>
        <w:right w:val="none" w:sz="0" w:space="0" w:color="auto"/>
      </w:divBdr>
    </w:div>
    <w:div w:id="679696557">
      <w:marLeft w:val="0"/>
      <w:marRight w:val="0"/>
      <w:marTop w:val="0"/>
      <w:marBottom w:val="0"/>
      <w:divBdr>
        <w:top w:val="none" w:sz="0" w:space="0" w:color="auto"/>
        <w:left w:val="none" w:sz="0" w:space="0" w:color="auto"/>
        <w:bottom w:val="none" w:sz="0" w:space="0" w:color="auto"/>
        <w:right w:val="none" w:sz="0" w:space="0" w:color="auto"/>
      </w:divBdr>
    </w:div>
    <w:div w:id="679696558">
      <w:marLeft w:val="0"/>
      <w:marRight w:val="0"/>
      <w:marTop w:val="0"/>
      <w:marBottom w:val="0"/>
      <w:divBdr>
        <w:top w:val="none" w:sz="0" w:space="0" w:color="auto"/>
        <w:left w:val="none" w:sz="0" w:space="0" w:color="auto"/>
        <w:bottom w:val="none" w:sz="0" w:space="0" w:color="auto"/>
        <w:right w:val="none" w:sz="0" w:space="0" w:color="auto"/>
      </w:divBdr>
      <w:divsChild>
        <w:div w:id="679696752">
          <w:marLeft w:val="0"/>
          <w:marRight w:val="0"/>
          <w:marTop w:val="0"/>
          <w:marBottom w:val="0"/>
          <w:divBdr>
            <w:top w:val="none" w:sz="0" w:space="0" w:color="auto"/>
            <w:left w:val="none" w:sz="0" w:space="0" w:color="auto"/>
            <w:bottom w:val="none" w:sz="0" w:space="0" w:color="auto"/>
            <w:right w:val="none" w:sz="0" w:space="0" w:color="auto"/>
          </w:divBdr>
          <w:divsChild>
            <w:div w:id="6796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6560">
      <w:marLeft w:val="0"/>
      <w:marRight w:val="0"/>
      <w:marTop w:val="0"/>
      <w:marBottom w:val="0"/>
      <w:divBdr>
        <w:top w:val="none" w:sz="0" w:space="0" w:color="auto"/>
        <w:left w:val="none" w:sz="0" w:space="0" w:color="auto"/>
        <w:bottom w:val="none" w:sz="0" w:space="0" w:color="auto"/>
        <w:right w:val="none" w:sz="0" w:space="0" w:color="auto"/>
      </w:divBdr>
    </w:div>
    <w:div w:id="679696562">
      <w:marLeft w:val="0"/>
      <w:marRight w:val="0"/>
      <w:marTop w:val="0"/>
      <w:marBottom w:val="0"/>
      <w:divBdr>
        <w:top w:val="none" w:sz="0" w:space="0" w:color="auto"/>
        <w:left w:val="none" w:sz="0" w:space="0" w:color="auto"/>
        <w:bottom w:val="none" w:sz="0" w:space="0" w:color="auto"/>
        <w:right w:val="none" w:sz="0" w:space="0" w:color="auto"/>
      </w:divBdr>
    </w:div>
    <w:div w:id="679696563">
      <w:marLeft w:val="0"/>
      <w:marRight w:val="0"/>
      <w:marTop w:val="0"/>
      <w:marBottom w:val="0"/>
      <w:divBdr>
        <w:top w:val="none" w:sz="0" w:space="0" w:color="auto"/>
        <w:left w:val="none" w:sz="0" w:space="0" w:color="auto"/>
        <w:bottom w:val="none" w:sz="0" w:space="0" w:color="auto"/>
        <w:right w:val="none" w:sz="0" w:space="0" w:color="auto"/>
      </w:divBdr>
    </w:div>
    <w:div w:id="679696564">
      <w:marLeft w:val="0"/>
      <w:marRight w:val="0"/>
      <w:marTop w:val="0"/>
      <w:marBottom w:val="0"/>
      <w:divBdr>
        <w:top w:val="none" w:sz="0" w:space="0" w:color="auto"/>
        <w:left w:val="none" w:sz="0" w:space="0" w:color="auto"/>
        <w:bottom w:val="none" w:sz="0" w:space="0" w:color="auto"/>
        <w:right w:val="none" w:sz="0" w:space="0" w:color="auto"/>
      </w:divBdr>
    </w:div>
    <w:div w:id="679696565">
      <w:marLeft w:val="0"/>
      <w:marRight w:val="0"/>
      <w:marTop w:val="0"/>
      <w:marBottom w:val="0"/>
      <w:divBdr>
        <w:top w:val="none" w:sz="0" w:space="0" w:color="auto"/>
        <w:left w:val="none" w:sz="0" w:space="0" w:color="auto"/>
        <w:bottom w:val="none" w:sz="0" w:space="0" w:color="auto"/>
        <w:right w:val="none" w:sz="0" w:space="0" w:color="auto"/>
      </w:divBdr>
    </w:div>
    <w:div w:id="679696566">
      <w:marLeft w:val="0"/>
      <w:marRight w:val="0"/>
      <w:marTop w:val="0"/>
      <w:marBottom w:val="0"/>
      <w:divBdr>
        <w:top w:val="none" w:sz="0" w:space="0" w:color="auto"/>
        <w:left w:val="none" w:sz="0" w:space="0" w:color="auto"/>
        <w:bottom w:val="none" w:sz="0" w:space="0" w:color="auto"/>
        <w:right w:val="none" w:sz="0" w:space="0" w:color="auto"/>
      </w:divBdr>
    </w:div>
    <w:div w:id="679696567">
      <w:marLeft w:val="0"/>
      <w:marRight w:val="0"/>
      <w:marTop w:val="0"/>
      <w:marBottom w:val="0"/>
      <w:divBdr>
        <w:top w:val="none" w:sz="0" w:space="0" w:color="auto"/>
        <w:left w:val="none" w:sz="0" w:space="0" w:color="auto"/>
        <w:bottom w:val="none" w:sz="0" w:space="0" w:color="auto"/>
        <w:right w:val="none" w:sz="0" w:space="0" w:color="auto"/>
      </w:divBdr>
    </w:div>
    <w:div w:id="679696568">
      <w:marLeft w:val="0"/>
      <w:marRight w:val="0"/>
      <w:marTop w:val="0"/>
      <w:marBottom w:val="0"/>
      <w:divBdr>
        <w:top w:val="none" w:sz="0" w:space="0" w:color="auto"/>
        <w:left w:val="none" w:sz="0" w:space="0" w:color="auto"/>
        <w:bottom w:val="none" w:sz="0" w:space="0" w:color="auto"/>
        <w:right w:val="none" w:sz="0" w:space="0" w:color="auto"/>
      </w:divBdr>
    </w:div>
    <w:div w:id="679696569">
      <w:marLeft w:val="0"/>
      <w:marRight w:val="0"/>
      <w:marTop w:val="0"/>
      <w:marBottom w:val="0"/>
      <w:divBdr>
        <w:top w:val="none" w:sz="0" w:space="0" w:color="auto"/>
        <w:left w:val="none" w:sz="0" w:space="0" w:color="auto"/>
        <w:bottom w:val="none" w:sz="0" w:space="0" w:color="auto"/>
        <w:right w:val="none" w:sz="0" w:space="0" w:color="auto"/>
      </w:divBdr>
    </w:div>
    <w:div w:id="679696570">
      <w:marLeft w:val="0"/>
      <w:marRight w:val="0"/>
      <w:marTop w:val="0"/>
      <w:marBottom w:val="0"/>
      <w:divBdr>
        <w:top w:val="none" w:sz="0" w:space="0" w:color="auto"/>
        <w:left w:val="none" w:sz="0" w:space="0" w:color="auto"/>
        <w:bottom w:val="none" w:sz="0" w:space="0" w:color="auto"/>
        <w:right w:val="none" w:sz="0" w:space="0" w:color="auto"/>
      </w:divBdr>
    </w:div>
    <w:div w:id="679696571">
      <w:marLeft w:val="0"/>
      <w:marRight w:val="0"/>
      <w:marTop w:val="0"/>
      <w:marBottom w:val="0"/>
      <w:divBdr>
        <w:top w:val="none" w:sz="0" w:space="0" w:color="auto"/>
        <w:left w:val="none" w:sz="0" w:space="0" w:color="auto"/>
        <w:bottom w:val="none" w:sz="0" w:space="0" w:color="auto"/>
        <w:right w:val="none" w:sz="0" w:space="0" w:color="auto"/>
      </w:divBdr>
    </w:div>
    <w:div w:id="679696575">
      <w:marLeft w:val="0"/>
      <w:marRight w:val="0"/>
      <w:marTop w:val="0"/>
      <w:marBottom w:val="0"/>
      <w:divBdr>
        <w:top w:val="none" w:sz="0" w:space="0" w:color="auto"/>
        <w:left w:val="none" w:sz="0" w:space="0" w:color="auto"/>
        <w:bottom w:val="none" w:sz="0" w:space="0" w:color="auto"/>
        <w:right w:val="none" w:sz="0" w:space="0" w:color="auto"/>
      </w:divBdr>
    </w:div>
    <w:div w:id="679696576">
      <w:marLeft w:val="0"/>
      <w:marRight w:val="0"/>
      <w:marTop w:val="0"/>
      <w:marBottom w:val="0"/>
      <w:divBdr>
        <w:top w:val="none" w:sz="0" w:space="0" w:color="auto"/>
        <w:left w:val="none" w:sz="0" w:space="0" w:color="auto"/>
        <w:bottom w:val="none" w:sz="0" w:space="0" w:color="auto"/>
        <w:right w:val="none" w:sz="0" w:space="0" w:color="auto"/>
      </w:divBdr>
    </w:div>
    <w:div w:id="679696577">
      <w:marLeft w:val="0"/>
      <w:marRight w:val="0"/>
      <w:marTop w:val="0"/>
      <w:marBottom w:val="0"/>
      <w:divBdr>
        <w:top w:val="none" w:sz="0" w:space="0" w:color="auto"/>
        <w:left w:val="none" w:sz="0" w:space="0" w:color="auto"/>
        <w:bottom w:val="none" w:sz="0" w:space="0" w:color="auto"/>
        <w:right w:val="none" w:sz="0" w:space="0" w:color="auto"/>
      </w:divBdr>
    </w:div>
    <w:div w:id="679696578">
      <w:marLeft w:val="0"/>
      <w:marRight w:val="0"/>
      <w:marTop w:val="0"/>
      <w:marBottom w:val="0"/>
      <w:divBdr>
        <w:top w:val="none" w:sz="0" w:space="0" w:color="auto"/>
        <w:left w:val="none" w:sz="0" w:space="0" w:color="auto"/>
        <w:bottom w:val="none" w:sz="0" w:space="0" w:color="auto"/>
        <w:right w:val="none" w:sz="0" w:space="0" w:color="auto"/>
      </w:divBdr>
      <w:divsChild>
        <w:div w:id="679696627">
          <w:marLeft w:val="0"/>
          <w:marRight w:val="0"/>
          <w:marTop w:val="0"/>
          <w:marBottom w:val="0"/>
          <w:divBdr>
            <w:top w:val="none" w:sz="0" w:space="0" w:color="auto"/>
            <w:left w:val="none" w:sz="0" w:space="0" w:color="auto"/>
            <w:bottom w:val="none" w:sz="0" w:space="0" w:color="auto"/>
            <w:right w:val="none" w:sz="0" w:space="0" w:color="auto"/>
          </w:divBdr>
        </w:div>
      </w:divsChild>
    </w:div>
    <w:div w:id="679696582">
      <w:marLeft w:val="0"/>
      <w:marRight w:val="0"/>
      <w:marTop w:val="0"/>
      <w:marBottom w:val="0"/>
      <w:divBdr>
        <w:top w:val="none" w:sz="0" w:space="0" w:color="auto"/>
        <w:left w:val="none" w:sz="0" w:space="0" w:color="auto"/>
        <w:bottom w:val="none" w:sz="0" w:space="0" w:color="auto"/>
        <w:right w:val="none" w:sz="0" w:space="0" w:color="auto"/>
      </w:divBdr>
    </w:div>
    <w:div w:id="679696583">
      <w:marLeft w:val="0"/>
      <w:marRight w:val="0"/>
      <w:marTop w:val="0"/>
      <w:marBottom w:val="0"/>
      <w:divBdr>
        <w:top w:val="none" w:sz="0" w:space="0" w:color="auto"/>
        <w:left w:val="none" w:sz="0" w:space="0" w:color="auto"/>
        <w:bottom w:val="none" w:sz="0" w:space="0" w:color="auto"/>
        <w:right w:val="none" w:sz="0" w:space="0" w:color="auto"/>
      </w:divBdr>
    </w:div>
    <w:div w:id="679696587">
      <w:marLeft w:val="0"/>
      <w:marRight w:val="0"/>
      <w:marTop w:val="0"/>
      <w:marBottom w:val="0"/>
      <w:divBdr>
        <w:top w:val="none" w:sz="0" w:space="0" w:color="auto"/>
        <w:left w:val="none" w:sz="0" w:space="0" w:color="auto"/>
        <w:bottom w:val="none" w:sz="0" w:space="0" w:color="auto"/>
        <w:right w:val="none" w:sz="0" w:space="0" w:color="auto"/>
      </w:divBdr>
    </w:div>
    <w:div w:id="679696588">
      <w:marLeft w:val="0"/>
      <w:marRight w:val="0"/>
      <w:marTop w:val="0"/>
      <w:marBottom w:val="0"/>
      <w:divBdr>
        <w:top w:val="none" w:sz="0" w:space="0" w:color="auto"/>
        <w:left w:val="none" w:sz="0" w:space="0" w:color="auto"/>
        <w:bottom w:val="none" w:sz="0" w:space="0" w:color="auto"/>
        <w:right w:val="none" w:sz="0" w:space="0" w:color="auto"/>
      </w:divBdr>
    </w:div>
    <w:div w:id="679696589">
      <w:marLeft w:val="0"/>
      <w:marRight w:val="0"/>
      <w:marTop w:val="0"/>
      <w:marBottom w:val="0"/>
      <w:divBdr>
        <w:top w:val="none" w:sz="0" w:space="0" w:color="auto"/>
        <w:left w:val="none" w:sz="0" w:space="0" w:color="auto"/>
        <w:bottom w:val="none" w:sz="0" w:space="0" w:color="auto"/>
        <w:right w:val="none" w:sz="0" w:space="0" w:color="auto"/>
      </w:divBdr>
    </w:div>
    <w:div w:id="679696592">
      <w:marLeft w:val="0"/>
      <w:marRight w:val="0"/>
      <w:marTop w:val="0"/>
      <w:marBottom w:val="0"/>
      <w:divBdr>
        <w:top w:val="none" w:sz="0" w:space="0" w:color="auto"/>
        <w:left w:val="none" w:sz="0" w:space="0" w:color="auto"/>
        <w:bottom w:val="none" w:sz="0" w:space="0" w:color="auto"/>
        <w:right w:val="none" w:sz="0" w:space="0" w:color="auto"/>
      </w:divBdr>
    </w:div>
    <w:div w:id="679696593">
      <w:marLeft w:val="0"/>
      <w:marRight w:val="0"/>
      <w:marTop w:val="0"/>
      <w:marBottom w:val="0"/>
      <w:divBdr>
        <w:top w:val="none" w:sz="0" w:space="0" w:color="auto"/>
        <w:left w:val="none" w:sz="0" w:space="0" w:color="auto"/>
        <w:bottom w:val="none" w:sz="0" w:space="0" w:color="auto"/>
        <w:right w:val="none" w:sz="0" w:space="0" w:color="auto"/>
      </w:divBdr>
    </w:div>
    <w:div w:id="679696595">
      <w:marLeft w:val="0"/>
      <w:marRight w:val="0"/>
      <w:marTop w:val="0"/>
      <w:marBottom w:val="0"/>
      <w:divBdr>
        <w:top w:val="none" w:sz="0" w:space="0" w:color="auto"/>
        <w:left w:val="none" w:sz="0" w:space="0" w:color="auto"/>
        <w:bottom w:val="none" w:sz="0" w:space="0" w:color="auto"/>
        <w:right w:val="none" w:sz="0" w:space="0" w:color="auto"/>
      </w:divBdr>
    </w:div>
    <w:div w:id="679696596">
      <w:marLeft w:val="0"/>
      <w:marRight w:val="0"/>
      <w:marTop w:val="0"/>
      <w:marBottom w:val="0"/>
      <w:divBdr>
        <w:top w:val="none" w:sz="0" w:space="0" w:color="auto"/>
        <w:left w:val="none" w:sz="0" w:space="0" w:color="auto"/>
        <w:bottom w:val="none" w:sz="0" w:space="0" w:color="auto"/>
        <w:right w:val="none" w:sz="0" w:space="0" w:color="auto"/>
      </w:divBdr>
    </w:div>
    <w:div w:id="679696598">
      <w:marLeft w:val="0"/>
      <w:marRight w:val="0"/>
      <w:marTop w:val="0"/>
      <w:marBottom w:val="0"/>
      <w:divBdr>
        <w:top w:val="none" w:sz="0" w:space="0" w:color="auto"/>
        <w:left w:val="none" w:sz="0" w:space="0" w:color="auto"/>
        <w:bottom w:val="none" w:sz="0" w:space="0" w:color="auto"/>
        <w:right w:val="none" w:sz="0" w:space="0" w:color="auto"/>
      </w:divBdr>
    </w:div>
    <w:div w:id="679696599">
      <w:marLeft w:val="0"/>
      <w:marRight w:val="0"/>
      <w:marTop w:val="0"/>
      <w:marBottom w:val="0"/>
      <w:divBdr>
        <w:top w:val="none" w:sz="0" w:space="0" w:color="auto"/>
        <w:left w:val="none" w:sz="0" w:space="0" w:color="auto"/>
        <w:bottom w:val="none" w:sz="0" w:space="0" w:color="auto"/>
        <w:right w:val="none" w:sz="0" w:space="0" w:color="auto"/>
      </w:divBdr>
    </w:div>
    <w:div w:id="679696600">
      <w:marLeft w:val="0"/>
      <w:marRight w:val="0"/>
      <w:marTop w:val="0"/>
      <w:marBottom w:val="0"/>
      <w:divBdr>
        <w:top w:val="none" w:sz="0" w:space="0" w:color="auto"/>
        <w:left w:val="none" w:sz="0" w:space="0" w:color="auto"/>
        <w:bottom w:val="none" w:sz="0" w:space="0" w:color="auto"/>
        <w:right w:val="none" w:sz="0" w:space="0" w:color="auto"/>
      </w:divBdr>
    </w:div>
    <w:div w:id="679696601">
      <w:marLeft w:val="0"/>
      <w:marRight w:val="0"/>
      <w:marTop w:val="0"/>
      <w:marBottom w:val="0"/>
      <w:divBdr>
        <w:top w:val="none" w:sz="0" w:space="0" w:color="auto"/>
        <w:left w:val="none" w:sz="0" w:space="0" w:color="auto"/>
        <w:bottom w:val="none" w:sz="0" w:space="0" w:color="auto"/>
        <w:right w:val="none" w:sz="0" w:space="0" w:color="auto"/>
      </w:divBdr>
    </w:div>
    <w:div w:id="679696603">
      <w:marLeft w:val="0"/>
      <w:marRight w:val="0"/>
      <w:marTop w:val="0"/>
      <w:marBottom w:val="0"/>
      <w:divBdr>
        <w:top w:val="none" w:sz="0" w:space="0" w:color="auto"/>
        <w:left w:val="none" w:sz="0" w:space="0" w:color="auto"/>
        <w:bottom w:val="none" w:sz="0" w:space="0" w:color="auto"/>
        <w:right w:val="none" w:sz="0" w:space="0" w:color="auto"/>
      </w:divBdr>
    </w:div>
    <w:div w:id="679696604">
      <w:marLeft w:val="0"/>
      <w:marRight w:val="0"/>
      <w:marTop w:val="0"/>
      <w:marBottom w:val="0"/>
      <w:divBdr>
        <w:top w:val="none" w:sz="0" w:space="0" w:color="auto"/>
        <w:left w:val="none" w:sz="0" w:space="0" w:color="auto"/>
        <w:bottom w:val="none" w:sz="0" w:space="0" w:color="auto"/>
        <w:right w:val="none" w:sz="0" w:space="0" w:color="auto"/>
      </w:divBdr>
    </w:div>
    <w:div w:id="679696605">
      <w:marLeft w:val="0"/>
      <w:marRight w:val="0"/>
      <w:marTop w:val="0"/>
      <w:marBottom w:val="0"/>
      <w:divBdr>
        <w:top w:val="none" w:sz="0" w:space="0" w:color="auto"/>
        <w:left w:val="none" w:sz="0" w:space="0" w:color="auto"/>
        <w:bottom w:val="none" w:sz="0" w:space="0" w:color="auto"/>
        <w:right w:val="none" w:sz="0" w:space="0" w:color="auto"/>
      </w:divBdr>
    </w:div>
    <w:div w:id="679696606">
      <w:marLeft w:val="0"/>
      <w:marRight w:val="0"/>
      <w:marTop w:val="0"/>
      <w:marBottom w:val="0"/>
      <w:divBdr>
        <w:top w:val="none" w:sz="0" w:space="0" w:color="auto"/>
        <w:left w:val="none" w:sz="0" w:space="0" w:color="auto"/>
        <w:bottom w:val="none" w:sz="0" w:space="0" w:color="auto"/>
        <w:right w:val="none" w:sz="0" w:space="0" w:color="auto"/>
      </w:divBdr>
    </w:div>
    <w:div w:id="679696609">
      <w:marLeft w:val="0"/>
      <w:marRight w:val="0"/>
      <w:marTop w:val="0"/>
      <w:marBottom w:val="0"/>
      <w:divBdr>
        <w:top w:val="none" w:sz="0" w:space="0" w:color="auto"/>
        <w:left w:val="none" w:sz="0" w:space="0" w:color="auto"/>
        <w:bottom w:val="none" w:sz="0" w:space="0" w:color="auto"/>
        <w:right w:val="none" w:sz="0" w:space="0" w:color="auto"/>
      </w:divBdr>
    </w:div>
    <w:div w:id="679696610">
      <w:marLeft w:val="0"/>
      <w:marRight w:val="0"/>
      <w:marTop w:val="0"/>
      <w:marBottom w:val="0"/>
      <w:divBdr>
        <w:top w:val="none" w:sz="0" w:space="0" w:color="auto"/>
        <w:left w:val="none" w:sz="0" w:space="0" w:color="auto"/>
        <w:bottom w:val="none" w:sz="0" w:space="0" w:color="auto"/>
        <w:right w:val="none" w:sz="0" w:space="0" w:color="auto"/>
      </w:divBdr>
    </w:div>
    <w:div w:id="679696611">
      <w:marLeft w:val="0"/>
      <w:marRight w:val="0"/>
      <w:marTop w:val="0"/>
      <w:marBottom w:val="0"/>
      <w:divBdr>
        <w:top w:val="none" w:sz="0" w:space="0" w:color="auto"/>
        <w:left w:val="none" w:sz="0" w:space="0" w:color="auto"/>
        <w:bottom w:val="none" w:sz="0" w:space="0" w:color="auto"/>
        <w:right w:val="none" w:sz="0" w:space="0" w:color="auto"/>
      </w:divBdr>
    </w:div>
    <w:div w:id="679696612">
      <w:marLeft w:val="0"/>
      <w:marRight w:val="0"/>
      <w:marTop w:val="0"/>
      <w:marBottom w:val="0"/>
      <w:divBdr>
        <w:top w:val="none" w:sz="0" w:space="0" w:color="auto"/>
        <w:left w:val="none" w:sz="0" w:space="0" w:color="auto"/>
        <w:bottom w:val="none" w:sz="0" w:space="0" w:color="auto"/>
        <w:right w:val="none" w:sz="0" w:space="0" w:color="auto"/>
      </w:divBdr>
    </w:div>
    <w:div w:id="679696613">
      <w:marLeft w:val="0"/>
      <w:marRight w:val="0"/>
      <w:marTop w:val="0"/>
      <w:marBottom w:val="0"/>
      <w:divBdr>
        <w:top w:val="none" w:sz="0" w:space="0" w:color="auto"/>
        <w:left w:val="none" w:sz="0" w:space="0" w:color="auto"/>
        <w:bottom w:val="none" w:sz="0" w:space="0" w:color="auto"/>
        <w:right w:val="none" w:sz="0" w:space="0" w:color="auto"/>
      </w:divBdr>
    </w:div>
    <w:div w:id="679696616">
      <w:marLeft w:val="0"/>
      <w:marRight w:val="0"/>
      <w:marTop w:val="0"/>
      <w:marBottom w:val="0"/>
      <w:divBdr>
        <w:top w:val="none" w:sz="0" w:space="0" w:color="auto"/>
        <w:left w:val="none" w:sz="0" w:space="0" w:color="auto"/>
        <w:bottom w:val="none" w:sz="0" w:space="0" w:color="auto"/>
        <w:right w:val="none" w:sz="0" w:space="0" w:color="auto"/>
      </w:divBdr>
    </w:div>
    <w:div w:id="679696619">
      <w:marLeft w:val="0"/>
      <w:marRight w:val="0"/>
      <w:marTop w:val="0"/>
      <w:marBottom w:val="0"/>
      <w:divBdr>
        <w:top w:val="none" w:sz="0" w:space="0" w:color="auto"/>
        <w:left w:val="none" w:sz="0" w:space="0" w:color="auto"/>
        <w:bottom w:val="none" w:sz="0" w:space="0" w:color="auto"/>
        <w:right w:val="none" w:sz="0" w:space="0" w:color="auto"/>
      </w:divBdr>
    </w:div>
    <w:div w:id="679696620">
      <w:marLeft w:val="0"/>
      <w:marRight w:val="0"/>
      <w:marTop w:val="0"/>
      <w:marBottom w:val="0"/>
      <w:divBdr>
        <w:top w:val="none" w:sz="0" w:space="0" w:color="auto"/>
        <w:left w:val="none" w:sz="0" w:space="0" w:color="auto"/>
        <w:bottom w:val="none" w:sz="0" w:space="0" w:color="auto"/>
        <w:right w:val="none" w:sz="0" w:space="0" w:color="auto"/>
      </w:divBdr>
    </w:div>
    <w:div w:id="679696621">
      <w:marLeft w:val="0"/>
      <w:marRight w:val="0"/>
      <w:marTop w:val="0"/>
      <w:marBottom w:val="0"/>
      <w:divBdr>
        <w:top w:val="none" w:sz="0" w:space="0" w:color="auto"/>
        <w:left w:val="none" w:sz="0" w:space="0" w:color="auto"/>
        <w:bottom w:val="none" w:sz="0" w:space="0" w:color="auto"/>
        <w:right w:val="none" w:sz="0" w:space="0" w:color="auto"/>
      </w:divBdr>
    </w:div>
    <w:div w:id="679696622">
      <w:marLeft w:val="0"/>
      <w:marRight w:val="0"/>
      <w:marTop w:val="0"/>
      <w:marBottom w:val="0"/>
      <w:divBdr>
        <w:top w:val="none" w:sz="0" w:space="0" w:color="auto"/>
        <w:left w:val="none" w:sz="0" w:space="0" w:color="auto"/>
        <w:bottom w:val="none" w:sz="0" w:space="0" w:color="auto"/>
        <w:right w:val="none" w:sz="0" w:space="0" w:color="auto"/>
      </w:divBdr>
    </w:div>
    <w:div w:id="679696623">
      <w:marLeft w:val="0"/>
      <w:marRight w:val="0"/>
      <w:marTop w:val="0"/>
      <w:marBottom w:val="0"/>
      <w:divBdr>
        <w:top w:val="none" w:sz="0" w:space="0" w:color="auto"/>
        <w:left w:val="none" w:sz="0" w:space="0" w:color="auto"/>
        <w:bottom w:val="none" w:sz="0" w:space="0" w:color="auto"/>
        <w:right w:val="none" w:sz="0" w:space="0" w:color="auto"/>
      </w:divBdr>
    </w:div>
    <w:div w:id="679696625">
      <w:marLeft w:val="0"/>
      <w:marRight w:val="0"/>
      <w:marTop w:val="0"/>
      <w:marBottom w:val="0"/>
      <w:divBdr>
        <w:top w:val="none" w:sz="0" w:space="0" w:color="auto"/>
        <w:left w:val="none" w:sz="0" w:space="0" w:color="auto"/>
        <w:bottom w:val="none" w:sz="0" w:space="0" w:color="auto"/>
        <w:right w:val="none" w:sz="0" w:space="0" w:color="auto"/>
      </w:divBdr>
    </w:div>
    <w:div w:id="679696626">
      <w:marLeft w:val="0"/>
      <w:marRight w:val="0"/>
      <w:marTop w:val="0"/>
      <w:marBottom w:val="0"/>
      <w:divBdr>
        <w:top w:val="none" w:sz="0" w:space="0" w:color="auto"/>
        <w:left w:val="none" w:sz="0" w:space="0" w:color="auto"/>
        <w:bottom w:val="none" w:sz="0" w:space="0" w:color="auto"/>
        <w:right w:val="none" w:sz="0" w:space="0" w:color="auto"/>
      </w:divBdr>
    </w:div>
    <w:div w:id="679696628">
      <w:marLeft w:val="0"/>
      <w:marRight w:val="0"/>
      <w:marTop w:val="0"/>
      <w:marBottom w:val="0"/>
      <w:divBdr>
        <w:top w:val="none" w:sz="0" w:space="0" w:color="auto"/>
        <w:left w:val="none" w:sz="0" w:space="0" w:color="auto"/>
        <w:bottom w:val="none" w:sz="0" w:space="0" w:color="auto"/>
        <w:right w:val="none" w:sz="0" w:space="0" w:color="auto"/>
      </w:divBdr>
      <w:divsChild>
        <w:div w:id="679696390">
          <w:marLeft w:val="0"/>
          <w:marRight w:val="0"/>
          <w:marTop w:val="0"/>
          <w:marBottom w:val="0"/>
          <w:divBdr>
            <w:top w:val="none" w:sz="0" w:space="0" w:color="auto"/>
            <w:left w:val="none" w:sz="0" w:space="0" w:color="auto"/>
            <w:bottom w:val="none" w:sz="0" w:space="0" w:color="auto"/>
            <w:right w:val="none" w:sz="0" w:space="0" w:color="auto"/>
          </w:divBdr>
          <w:divsChild>
            <w:div w:id="679696365">
              <w:marLeft w:val="0"/>
              <w:marRight w:val="0"/>
              <w:marTop w:val="0"/>
              <w:marBottom w:val="0"/>
              <w:divBdr>
                <w:top w:val="none" w:sz="0" w:space="0" w:color="auto"/>
                <w:left w:val="none" w:sz="0" w:space="0" w:color="auto"/>
                <w:bottom w:val="none" w:sz="0" w:space="0" w:color="auto"/>
                <w:right w:val="none" w:sz="0" w:space="0" w:color="auto"/>
              </w:divBdr>
              <w:divsChild>
                <w:div w:id="679696755">
                  <w:marLeft w:val="0"/>
                  <w:marRight w:val="0"/>
                  <w:marTop w:val="0"/>
                  <w:marBottom w:val="0"/>
                  <w:divBdr>
                    <w:top w:val="none" w:sz="0" w:space="0" w:color="auto"/>
                    <w:left w:val="none" w:sz="0" w:space="0" w:color="auto"/>
                    <w:bottom w:val="none" w:sz="0" w:space="0" w:color="auto"/>
                    <w:right w:val="none" w:sz="0" w:space="0" w:color="auto"/>
                  </w:divBdr>
                  <w:divsChild>
                    <w:div w:id="6796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6630">
      <w:marLeft w:val="0"/>
      <w:marRight w:val="0"/>
      <w:marTop w:val="0"/>
      <w:marBottom w:val="0"/>
      <w:divBdr>
        <w:top w:val="none" w:sz="0" w:space="0" w:color="auto"/>
        <w:left w:val="none" w:sz="0" w:space="0" w:color="auto"/>
        <w:bottom w:val="none" w:sz="0" w:space="0" w:color="auto"/>
        <w:right w:val="none" w:sz="0" w:space="0" w:color="auto"/>
      </w:divBdr>
    </w:div>
    <w:div w:id="679696631">
      <w:marLeft w:val="0"/>
      <w:marRight w:val="0"/>
      <w:marTop w:val="0"/>
      <w:marBottom w:val="0"/>
      <w:divBdr>
        <w:top w:val="none" w:sz="0" w:space="0" w:color="auto"/>
        <w:left w:val="none" w:sz="0" w:space="0" w:color="auto"/>
        <w:bottom w:val="none" w:sz="0" w:space="0" w:color="auto"/>
        <w:right w:val="none" w:sz="0" w:space="0" w:color="auto"/>
      </w:divBdr>
    </w:div>
    <w:div w:id="679696632">
      <w:marLeft w:val="0"/>
      <w:marRight w:val="0"/>
      <w:marTop w:val="0"/>
      <w:marBottom w:val="0"/>
      <w:divBdr>
        <w:top w:val="none" w:sz="0" w:space="0" w:color="auto"/>
        <w:left w:val="none" w:sz="0" w:space="0" w:color="auto"/>
        <w:bottom w:val="none" w:sz="0" w:space="0" w:color="auto"/>
        <w:right w:val="none" w:sz="0" w:space="0" w:color="auto"/>
      </w:divBdr>
      <w:divsChild>
        <w:div w:id="679696406">
          <w:marLeft w:val="0"/>
          <w:marRight w:val="0"/>
          <w:marTop w:val="0"/>
          <w:marBottom w:val="0"/>
          <w:divBdr>
            <w:top w:val="none" w:sz="0" w:space="0" w:color="auto"/>
            <w:left w:val="none" w:sz="0" w:space="0" w:color="auto"/>
            <w:bottom w:val="none" w:sz="0" w:space="0" w:color="auto"/>
            <w:right w:val="none" w:sz="0" w:space="0" w:color="auto"/>
          </w:divBdr>
        </w:div>
      </w:divsChild>
    </w:div>
    <w:div w:id="679696633">
      <w:marLeft w:val="0"/>
      <w:marRight w:val="0"/>
      <w:marTop w:val="0"/>
      <w:marBottom w:val="0"/>
      <w:divBdr>
        <w:top w:val="none" w:sz="0" w:space="0" w:color="auto"/>
        <w:left w:val="none" w:sz="0" w:space="0" w:color="auto"/>
        <w:bottom w:val="none" w:sz="0" w:space="0" w:color="auto"/>
        <w:right w:val="none" w:sz="0" w:space="0" w:color="auto"/>
      </w:divBdr>
    </w:div>
    <w:div w:id="679696635">
      <w:marLeft w:val="0"/>
      <w:marRight w:val="0"/>
      <w:marTop w:val="0"/>
      <w:marBottom w:val="0"/>
      <w:divBdr>
        <w:top w:val="none" w:sz="0" w:space="0" w:color="auto"/>
        <w:left w:val="none" w:sz="0" w:space="0" w:color="auto"/>
        <w:bottom w:val="none" w:sz="0" w:space="0" w:color="auto"/>
        <w:right w:val="none" w:sz="0" w:space="0" w:color="auto"/>
      </w:divBdr>
    </w:div>
    <w:div w:id="679696638">
      <w:marLeft w:val="0"/>
      <w:marRight w:val="0"/>
      <w:marTop w:val="0"/>
      <w:marBottom w:val="0"/>
      <w:divBdr>
        <w:top w:val="none" w:sz="0" w:space="0" w:color="auto"/>
        <w:left w:val="none" w:sz="0" w:space="0" w:color="auto"/>
        <w:bottom w:val="none" w:sz="0" w:space="0" w:color="auto"/>
        <w:right w:val="none" w:sz="0" w:space="0" w:color="auto"/>
      </w:divBdr>
    </w:div>
    <w:div w:id="679696639">
      <w:marLeft w:val="0"/>
      <w:marRight w:val="0"/>
      <w:marTop w:val="0"/>
      <w:marBottom w:val="0"/>
      <w:divBdr>
        <w:top w:val="none" w:sz="0" w:space="0" w:color="auto"/>
        <w:left w:val="none" w:sz="0" w:space="0" w:color="auto"/>
        <w:bottom w:val="none" w:sz="0" w:space="0" w:color="auto"/>
        <w:right w:val="none" w:sz="0" w:space="0" w:color="auto"/>
      </w:divBdr>
    </w:div>
    <w:div w:id="679696640">
      <w:marLeft w:val="0"/>
      <w:marRight w:val="0"/>
      <w:marTop w:val="0"/>
      <w:marBottom w:val="0"/>
      <w:divBdr>
        <w:top w:val="none" w:sz="0" w:space="0" w:color="auto"/>
        <w:left w:val="none" w:sz="0" w:space="0" w:color="auto"/>
        <w:bottom w:val="none" w:sz="0" w:space="0" w:color="auto"/>
        <w:right w:val="none" w:sz="0" w:space="0" w:color="auto"/>
      </w:divBdr>
    </w:div>
    <w:div w:id="679696641">
      <w:marLeft w:val="0"/>
      <w:marRight w:val="0"/>
      <w:marTop w:val="0"/>
      <w:marBottom w:val="0"/>
      <w:divBdr>
        <w:top w:val="none" w:sz="0" w:space="0" w:color="auto"/>
        <w:left w:val="none" w:sz="0" w:space="0" w:color="auto"/>
        <w:bottom w:val="none" w:sz="0" w:space="0" w:color="auto"/>
        <w:right w:val="none" w:sz="0" w:space="0" w:color="auto"/>
      </w:divBdr>
    </w:div>
    <w:div w:id="679696642">
      <w:marLeft w:val="0"/>
      <w:marRight w:val="0"/>
      <w:marTop w:val="0"/>
      <w:marBottom w:val="0"/>
      <w:divBdr>
        <w:top w:val="none" w:sz="0" w:space="0" w:color="auto"/>
        <w:left w:val="none" w:sz="0" w:space="0" w:color="auto"/>
        <w:bottom w:val="none" w:sz="0" w:space="0" w:color="auto"/>
        <w:right w:val="none" w:sz="0" w:space="0" w:color="auto"/>
      </w:divBdr>
    </w:div>
    <w:div w:id="679696643">
      <w:marLeft w:val="0"/>
      <w:marRight w:val="0"/>
      <w:marTop w:val="0"/>
      <w:marBottom w:val="0"/>
      <w:divBdr>
        <w:top w:val="none" w:sz="0" w:space="0" w:color="auto"/>
        <w:left w:val="none" w:sz="0" w:space="0" w:color="auto"/>
        <w:bottom w:val="none" w:sz="0" w:space="0" w:color="auto"/>
        <w:right w:val="none" w:sz="0" w:space="0" w:color="auto"/>
      </w:divBdr>
    </w:div>
    <w:div w:id="679696644">
      <w:marLeft w:val="0"/>
      <w:marRight w:val="0"/>
      <w:marTop w:val="0"/>
      <w:marBottom w:val="0"/>
      <w:divBdr>
        <w:top w:val="none" w:sz="0" w:space="0" w:color="auto"/>
        <w:left w:val="none" w:sz="0" w:space="0" w:color="auto"/>
        <w:bottom w:val="none" w:sz="0" w:space="0" w:color="auto"/>
        <w:right w:val="none" w:sz="0" w:space="0" w:color="auto"/>
      </w:divBdr>
    </w:div>
    <w:div w:id="679696645">
      <w:marLeft w:val="0"/>
      <w:marRight w:val="0"/>
      <w:marTop w:val="0"/>
      <w:marBottom w:val="0"/>
      <w:divBdr>
        <w:top w:val="none" w:sz="0" w:space="0" w:color="auto"/>
        <w:left w:val="none" w:sz="0" w:space="0" w:color="auto"/>
        <w:bottom w:val="none" w:sz="0" w:space="0" w:color="auto"/>
        <w:right w:val="none" w:sz="0" w:space="0" w:color="auto"/>
      </w:divBdr>
    </w:div>
    <w:div w:id="679696646">
      <w:marLeft w:val="0"/>
      <w:marRight w:val="0"/>
      <w:marTop w:val="0"/>
      <w:marBottom w:val="0"/>
      <w:divBdr>
        <w:top w:val="none" w:sz="0" w:space="0" w:color="auto"/>
        <w:left w:val="none" w:sz="0" w:space="0" w:color="auto"/>
        <w:bottom w:val="none" w:sz="0" w:space="0" w:color="auto"/>
        <w:right w:val="none" w:sz="0" w:space="0" w:color="auto"/>
      </w:divBdr>
    </w:div>
    <w:div w:id="679696647">
      <w:marLeft w:val="0"/>
      <w:marRight w:val="0"/>
      <w:marTop w:val="0"/>
      <w:marBottom w:val="0"/>
      <w:divBdr>
        <w:top w:val="none" w:sz="0" w:space="0" w:color="auto"/>
        <w:left w:val="none" w:sz="0" w:space="0" w:color="auto"/>
        <w:bottom w:val="none" w:sz="0" w:space="0" w:color="auto"/>
        <w:right w:val="none" w:sz="0" w:space="0" w:color="auto"/>
      </w:divBdr>
    </w:div>
    <w:div w:id="679696648">
      <w:marLeft w:val="0"/>
      <w:marRight w:val="0"/>
      <w:marTop w:val="0"/>
      <w:marBottom w:val="0"/>
      <w:divBdr>
        <w:top w:val="none" w:sz="0" w:space="0" w:color="auto"/>
        <w:left w:val="none" w:sz="0" w:space="0" w:color="auto"/>
        <w:bottom w:val="none" w:sz="0" w:space="0" w:color="auto"/>
        <w:right w:val="none" w:sz="0" w:space="0" w:color="auto"/>
      </w:divBdr>
      <w:divsChild>
        <w:div w:id="679696574">
          <w:marLeft w:val="0"/>
          <w:marRight w:val="0"/>
          <w:marTop w:val="0"/>
          <w:marBottom w:val="0"/>
          <w:divBdr>
            <w:top w:val="none" w:sz="0" w:space="0" w:color="auto"/>
            <w:left w:val="none" w:sz="0" w:space="0" w:color="auto"/>
            <w:bottom w:val="none" w:sz="0" w:space="0" w:color="auto"/>
            <w:right w:val="none" w:sz="0" w:space="0" w:color="auto"/>
          </w:divBdr>
          <w:divsChild>
            <w:div w:id="679696586">
              <w:marLeft w:val="0"/>
              <w:marRight w:val="0"/>
              <w:marTop w:val="0"/>
              <w:marBottom w:val="0"/>
              <w:divBdr>
                <w:top w:val="none" w:sz="0" w:space="0" w:color="auto"/>
                <w:left w:val="none" w:sz="0" w:space="0" w:color="auto"/>
                <w:bottom w:val="none" w:sz="0" w:space="0" w:color="auto"/>
                <w:right w:val="none" w:sz="0" w:space="0" w:color="auto"/>
              </w:divBdr>
              <w:divsChild>
                <w:div w:id="679696682">
                  <w:marLeft w:val="0"/>
                  <w:marRight w:val="0"/>
                  <w:marTop w:val="0"/>
                  <w:marBottom w:val="0"/>
                  <w:divBdr>
                    <w:top w:val="none" w:sz="0" w:space="0" w:color="auto"/>
                    <w:left w:val="none" w:sz="0" w:space="0" w:color="auto"/>
                    <w:bottom w:val="none" w:sz="0" w:space="0" w:color="auto"/>
                    <w:right w:val="none" w:sz="0" w:space="0" w:color="auto"/>
                  </w:divBdr>
                  <w:divsChild>
                    <w:div w:id="679696753">
                      <w:marLeft w:val="0"/>
                      <w:marRight w:val="0"/>
                      <w:marTop w:val="0"/>
                      <w:marBottom w:val="0"/>
                      <w:divBdr>
                        <w:top w:val="none" w:sz="0" w:space="0" w:color="auto"/>
                        <w:left w:val="none" w:sz="0" w:space="0" w:color="auto"/>
                        <w:bottom w:val="none" w:sz="0" w:space="0" w:color="auto"/>
                        <w:right w:val="none" w:sz="0" w:space="0" w:color="auto"/>
                      </w:divBdr>
                      <w:divsChild>
                        <w:div w:id="6796965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652">
      <w:marLeft w:val="0"/>
      <w:marRight w:val="0"/>
      <w:marTop w:val="0"/>
      <w:marBottom w:val="0"/>
      <w:divBdr>
        <w:top w:val="none" w:sz="0" w:space="0" w:color="auto"/>
        <w:left w:val="none" w:sz="0" w:space="0" w:color="auto"/>
        <w:bottom w:val="none" w:sz="0" w:space="0" w:color="auto"/>
        <w:right w:val="none" w:sz="0" w:space="0" w:color="auto"/>
      </w:divBdr>
    </w:div>
    <w:div w:id="679696653">
      <w:marLeft w:val="0"/>
      <w:marRight w:val="0"/>
      <w:marTop w:val="0"/>
      <w:marBottom w:val="0"/>
      <w:divBdr>
        <w:top w:val="none" w:sz="0" w:space="0" w:color="auto"/>
        <w:left w:val="none" w:sz="0" w:space="0" w:color="auto"/>
        <w:bottom w:val="none" w:sz="0" w:space="0" w:color="auto"/>
        <w:right w:val="none" w:sz="0" w:space="0" w:color="auto"/>
      </w:divBdr>
    </w:div>
    <w:div w:id="679696655">
      <w:marLeft w:val="0"/>
      <w:marRight w:val="0"/>
      <w:marTop w:val="0"/>
      <w:marBottom w:val="0"/>
      <w:divBdr>
        <w:top w:val="none" w:sz="0" w:space="0" w:color="auto"/>
        <w:left w:val="none" w:sz="0" w:space="0" w:color="auto"/>
        <w:bottom w:val="none" w:sz="0" w:space="0" w:color="auto"/>
        <w:right w:val="none" w:sz="0" w:space="0" w:color="auto"/>
      </w:divBdr>
    </w:div>
    <w:div w:id="679696656">
      <w:marLeft w:val="0"/>
      <w:marRight w:val="0"/>
      <w:marTop w:val="0"/>
      <w:marBottom w:val="0"/>
      <w:divBdr>
        <w:top w:val="none" w:sz="0" w:space="0" w:color="auto"/>
        <w:left w:val="none" w:sz="0" w:space="0" w:color="auto"/>
        <w:bottom w:val="none" w:sz="0" w:space="0" w:color="auto"/>
        <w:right w:val="none" w:sz="0" w:space="0" w:color="auto"/>
      </w:divBdr>
    </w:div>
    <w:div w:id="679696657">
      <w:marLeft w:val="0"/>
      <w:marRight w:val="0"/>
      <w:marTop w:val="0"/>
      <w:marBottom w:val="0"/>
      <w:divBdr>
        <w:top w:val="none" w:sz="0" w:space="0" w:color="auto"/>
        <w:left w:val="none" w:sz="0" w:space="0" w:color="auto"/>
        <w:bottom w:val="none" w:sz="0" w:space="0" w:color="auto"/>
        <w:right w:val="none" w:sz="0" w:space="0" w:color="auto"/>
      </w:divBdr>
      <w:divsChild>
        <w:div w:id="679696372">
          <w:marLeft w:val="0"/>
          <w:marRight w:val="0"/>
          <w:marTop w:val="0"/>
          <w:marBottom w:val="0"/>
          <w:divBdr>
            <w:top w:val="none" w:sz="0" w:space="0" w:color="auto"/>
            <w:left w:val="none" w:sz="0" w:space="0" w:color="auto"/>
            <w:bottom w:val="none" w:sz="0" w:space="0" w:color="auto"/>
            <w:right w:val="none" w:sz="0" w:space="0" w:color="auto"/>
          </w:divBdr>
          <w:divsChild>
            <w:div w:id="679696543">
              <w:marLeft w:val="0"/>
              <w:marRight w:val="0"/>
              <w:marTop w:val="0"/>
              <w:marBottom w:val="0"/>
              <w:divBdr>
                <w:top w:val="none" w:sz="0" w:space="0" w:color="auto"/>
                <w:left w:val="none" w:sz="0" w:space="0" w:color="auto"/>
                <w:bottom w:val="none" w:sz="0" w:space="0" w:color="auto"/>
                <w:right w:val="none" w:sz="0" w:space="0" w:color="auto"/>
              </w:divBdr>
              <w:divsChild>
                <w:div w:id="679696607">
                  <w:marLeft w:val="0"/>
                  <w:marRight w:val="0"/>
                  <w:marTop w:val="0"/>
                  <w:marBottom w:val="0"/>
                  <w:divBdr>
                    <w:top w:val="none" w:sz="0" w:space="0" w:color="auto"/>
                    <w:left w:val="none" w:sz="0" w:space="0" w:color="auto"/>
                    <w:bottom w:val="none" w:sz="0" w:space="0" w:color="auto"/>
                    <w:right w:val="none" w:sz="0" w:space="0" w:color="auto"/>
                  </w:divBdr>
                  <w:divsChild>
                    <w:div w:id="679696719">
                      <w:marLeft w:val="0"/>
                      <w:marRight w:val="0"/>
                      <w:marTop w:val="0"/>
                      <w:marBottom w:val="0"/>
                      <w:divBdr>
                        <w:top w:val="none" w:sz="0" w:space="0" w:color="auto"/>
                        <w:left w:val="none" w:sz="0" w:space="0" w:color="auto"/>
                        <w:bottom w:val="none" w:sz="0" w:space="0" w:color="auto"/>
                        <w:right w:val="none" w:sz="0" w:space="0" w:color="auto"/>
                      </w:divBdr>
                      <w:divsChild>
                        <w:div w:id="67969659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660">
      <w:marLeft w:val="0"/>
      <w:marRight w:val="0"/>
      <w:marTop w:val="0"/>
      <w:marBottom w:val="0"/>
      <w:divBdr>
        <w:top w:val="none" w:sz="0" w:space="0" w:color="auto"/>
        <w:left w:val="none" w:sz="0" w:space="0" w:color="auto"/>
        <w:bottom w:val="none" w:sz="0" w:space="0" w:color="auto"/>
        <w:right w:val="none" w:sz="0" w:space="0" w:color="auto"/>
      </w:divBdr>
    </w:div>
    <w:div w:id="679696661">
      <w:marLeft w:val="0"/>
      <w:marRight w:val="0"/>
      <w:marTop w:val="0"/>
      <w:marBottom w:val="0"/>
      <w:divBdr>
        <w:top w:val="none" w:sz="0" w:space="0" w:color="auto"/>
        <w:left w:val="none" w:sz="0" w:space="0" w:color="auto"/>
        <w:bottom w:val="none" w:sz="0" w:space="0" w:color="auto"/>
        <w:right w:val="none" w:sz="0" w:space="0" w:color="auto"/>
      </w:divBdr>
    </w:div>
    <w:div w:id="679696662">
      <w:marLeft w:val="0"/>
      <w:marRight w:val="0"/>
      <w:marTop w:val="0"/>
      <w:marBottom w:val="0"/>
      <w:divBdr>
        <w:top w:val="none" w:sz="0" w:space="0" w:color="auto"/>
        <w:left w:val="none" w:sz="0" w:space="0" w:color="auto"/>
        <w:bottom w:val="none" w:sz="0" w:space="0" w:color="auto"/>
        <w:right w:val="none" w:sz="0" w:space="0" w:color="auto"/>
      </w:divBdr>
    </w:div>
    <w:div w:id="679696663">
      <w:marLeft w:val="0"/>
      <w:marRight w:val="0"/>
      <w:marTop w:val="0"/>
      <w:marBottom w:val="0"/>
      <w:divBdr>
        <w:top w:val="none" w:sz="0" w:space="0" w:color="auto"/>
        <w:left w:val="none" w:sz="0" w:space="0" w:color="auto"/>
        <w:bottom w:val="none" w:sz="0" w:space="0" w:color="auto"/>
        <w:right w:val="none" w:sz="0" w:space="0" w:color="auto"/>
      </w:divBdr>
    </w:div>
    <w:div w:id="679696666">
      <w:marLeft w:val="0"/>
      <w:marRight w:val="0"/>
      <w:marTop w:val="0"/>
      <w:marBottom w:val="0"/>
      <w:divBdr>
        <w:top w:val="none" w:sz="0" w:space="0" w:color="auto"/>
        <w:left w:val="none" w:sz="0" w:space="0" w:color="auto"/>
        <w:bottom w:val="none" w:sz="0" w:space="0" w:color="auto"/>
        <w:right w:val="none" w:sz="0" w:space="0" w:color="auto"/>
      </w:divBdr>
    </w:div>
    <w:div w:id="679696667">
      <w:marLeft w:val="0"/>
      <w:marRight w:val="0"/>
      <w:marTop w:val="0"/>
      <w:marBottom w:val="0"/>
      <w:divBdr>
        <w:top w:val="none" w:sz="0" w:space="0" w:color="auto"/>
        <w:left w:val="none" w:sz="0" w:space="0" w:color="auto"/>
        <w:bottom w:val="none" w:sz="0" w:space="0" w:color="auto"/>
        <w:right w:val="none" w:sz="0" w:space="0" w:color="auto"/>
      </w:divBdr>
      <w:divsChild>
        <w:div w:id="679696518">
          <w:marLeft w:val="0"/>
          <w:marRight w:val="0"/>
          <w:marTop w:val="0"/>
          <w:marBottom w:val="0"/>
          <w:divBdr>
            <w:top w:val="none" w:sz="0" w:space="0" w:color="auto"/>
            <w:left w:val="none" w:sz="0" w:space="0" w:color="auto"/>
            <w:bottom w:val="none" w:sz="0" w:space="0" w:color="auto"/>
            <w:right w:val="none" w:sz="0" w:space="0" w:color="auto"/>
          </w:divBdr>
        </w:div>
      </w:divsChild>
    </w:div>
    <w:div w:id="679696669">
      <w:marLeft w:val="0"/>
      <w:marRight w:val="0"/>
      <w:marTop w:val="0"/>
      <w:marBottom w:val="0"/>
      <w:divBdr>
        <w:top w:val="none" w:sz="0" w:space="0" w:color="auto"/>
        <w:left w:val="none" w:sz="0" w:space="0" w:color="auto"/>
        <w:bottom w:val="none" w:sz="0" w:space="0" w:color="auto"/>
        <w:right w:val="none" w:sz="0" w:space="0" w:color="auto"/>
      </w:divBdr>
    </w:div>
    <w:div w:id="679696673">
      <w:marLeft w:val="0"/>
      <w:marRight w:val="0"/>
      <w:marTop w:val="0"/>
      <w:marBottom w:val="0"/>
      <w:divBdr>
        <w:top w:val="none" w:sz="0" w:space="0" w:color="auto"/>
        <w:left w:val="none" w:sz="0" w:space="0" w:color="auto"/>
        <w:bottom w:val="none" w:sz="0" w:space="0" w:color="auto"/>
        <w:right w:val="none" w:sz="0" w:space="0" w:color="auto"/>
      </w:divBdr>
    </w:div>
    <w:div w:id="679696674">
      <w:marLeft w:val="0"/>
      <w:marRight w:val="0"/>
      <w:marTop w:val="0"/>
      <w:marBottom w:val="0"/>
      <w:divBdr>
        <w:top w:val="none" w:sz="0" w:space="0" w:color="auto"/>
        <w:left w:val="none" w:sz="0" w:space="0" w:color="auto"/>
        <w:bottom w:val="none" w:sz="0" w:space="0" w:color="auto"/>
        <w:right w:val="none" w:sz="0" w:space="0" w:color="auto"/>
      </w:divBdr>
    </w:div>
    <w:div w:id="679696675">
      <w:marLeft w:val="0"/>
      <w:marRight w:val="0"/>
      <w:marTop w:val="0"/>
      <w:marBottom w:val="0"/>
      <w:divBdr>
        <w:top w:val="none" w:sz="0" w:space="0" w:color="auto"/>
        <w:left w:val="none" w:sz="0" w:space="0" w:color="auto"/>
        <w:bottom w:val="none" w:sz="0" w:space="0" w:color="auto"/>
        <w:right w:val="none" w:sz="0" w:space="0" w:color="auto"/>
      </w:divBdr>
    </w:div>
    <w:div w:id="679696676">
      <w:marLeft w:val="0"/>
      <w:marRight w:val="0"/>
      <w:marTop w:val="0"/>
      <w:marBottom w:val="0"/>
      <w:divBdr>
        <w:top w:val="none" w:sz="0" w:space="0" w:color="auto"/>
        <w:left w:val="none" w:sz="0" w:space="0" w:color="auto"/>
        <w:bottom w:val="none" w:sz="0" w:space="0" w:color="auto"/>
        <w:right w:val="none" w:sz="0" w:space="0" w:color="auto"/>
      </w:divBdr>
    </w:div>
    <w:div w:id="679696677">
      <w:marLeft w:val="0"/>
      <w:marRight w:val="0"/>
      <w:marTop w:val="0"/>
      <w:marBottom w:val="0"/>
      <w:divBdr>
        <w:top w:val="none" w:sz="0" w:space="0" w:color="auto"/>
        <w:left w:val="none" w:sz="0" w:space="0" w:color="auto"/>
        <w:bottom w:val="none" w:sz="0" w:space="0" w:color="auto"/>
        <w:right w:val="none" w:sz="0" w:space="0" w:color="auto"/>
      </w:divBdr>
    </w:div>
    <w:div w:id="679696678">
      <w:marLeft w:val="0"/>
      <w:marRight w:val="0"/>
      <w:marTop w:val="0"/>
      <w:marBottom w:val="0"/>
      <w:divBdr>
        <w:top w:val="none" w:sz="0" w:space="0" w:color="auto"/>
        <w:left w:val="none" w:sz="0" w:space="0" w:color="auto"/>
        <w:bottom w:val="none" w:sz="0" w:space="0" w:color="auto"/>
        <w:right w:val="none" w:sz="0" w:space="0" w:color="auto"/>
      </w:divBdr>
    </w:div>
    <w:div w:id="679696679">
      <w:marLeft w:val="0"/>
      <w:marRight w:val="0"/>
      <w:marTop w:val="0"/>
      <w:marBottom w:val="0"/>
      <w:divBdr>
        <w:top w:val="none" w:sz="0" w:space="0" w:color="auto"/>
        <w:left w:val="none" w:sz="0" w:space="0" w:color="auto"/>
        <w:bottom w:val="none" w:sz="0" w:space="0" w:color="auto"/>
        <w:right w:val="none" w:sz="0" w:space="0" w:color="auto"/>
      </w:divBdr>
    </w:div>
    <w:div w:id="679696680">
      <w:marLeft w:val="0"/>
      <w:marRight w:val="0"/>
      <w:marTop w:val="0"/>
      <w:marBottom w:val="0"/>
      <w:divBdr>
        <w:top w:val="none" w:sz="0" w:space="0" w:color="auto"/>
        <w:left w:val="none" w:sz="0" w:space="0" w:color="auto"/>
        <w:bottom w:val="none" w:sz="0" w:space="0" w:color="auto"/>
        <w:right w:val="none" w:sz="0" w:space="0" w:color="auto"/>
      </w:divBdr>
    </w:div>
    <w:div w:id="679696681">
      <w:marLeft w:val="0"/>
      <w:marRight w:val="0"/>
      <w:marTop w:val="0"/>
      <w:marBottom w:val="0"/>
      <w:divBdr>
        <w:top w:val="none" w:sz="0" w:space="0" w:color="auto"/>
        <w:left w:val="none" w:sz="0" w:space="0" w:color="auto"/>
        <w:bottom w:val="none" w:sz="0" w:space="0" w:color="auto"/>
        <w:right w:val="none" w:sz="0" w:space="0" w:color="auto"/>
      </w:divBdr>
    </w:div>
    <w:div w:id="679696683">
      <w:marLeft w:val="0"/>
      <w:marRight w:val="0"/>
      <w:marTop w:val="0"/>
      <w:marBottom w:val="0"/>
      <w:divBdr>
        <w:top w:val="none" w:sz="0" w:space="0" w:color="auto"/>
        <w:left w:val="none" w:sz="0" w:space="0" w:color="auto"/>
        <w:bottom w:val="none" w:sz="0" w:space="0" w:color="auto"/>
        <w:right w:val="none" w:sz="0" w:space="0" w:color="auto"/>
      </w:divBdr>
    </w:div>
    <w:div w:id="679696684">
      <w:marLeft w:val="0"/>
      <w:marRight w:val="0"/>
      <w:marTop w:val="0"/>
      <w:marBottom w:val="0"/>
      <w:divBdr>
        <w:top w:val="none" w:sz="0" w:space="0" w:color="auto"/>
        <w:left w:val="none" w:sz="0" w:space="0" w:color="auto"/>
        <w:bottom w:val="none" w:sz="0" w:space="0" w:color="auto"/>
        <w:right w:val="none" w:sz="0" w:space="0" w:color="auto"/>
      </w:divBdr>
    </w:div>
    <w:div w:id="679696686">
      <w:marLeft w:val="0"/>
      <w:marRight w:val="0"/>
      <w:marTop w:val="0"/>
      <w:marBottom w:val="0"/>
      <w:divBdr>
        <w:top w:val="none" w:sz="0" w:space="0" w:color="auto"/>
        <w:left w:val="none" w:sz="0" w:space="0" w:color="auto"/>
        <w:bottom w:val="none" w:sz="0" w:space="0" w:color="auto"/>
        <w:right w:val="none" w:sz="0" w:space="0" w:color="auto"/>
      </w:divBdr>
    </w:div>
    <w:div w:id="679696687">
      <w:marLeft w:val="0"/>
      <w:marRight w:val="0"/>
      <w:marTop w:val="0"/>
      <w:marBottom w:val="0"/>
      <w:divBdr>
        <w:top w:val="none" w:sz="0" w:space="0" w:color="auto"/>
        <w:left w:val="none" w:sz="0" w:space="0" w:color="auto"/>
        <w:bottom w:val="none" w:sz="0" w:space="0" w:color="auto"/>
        <w:right w:val="none" w:sz="0" w:space="0" w:color="auto"/>
      </w:divBdr>
    </w:div>
    <w:div w:id="679696688">
      <w:marLeft w:val="0"/>
      <w:marRight w:val="0"/>
      <w:marTop w:val="0"/>
      <w:marBottom w:val="0"/>
      <w:divBdr>
        <w:top w:val="none" w:sz="0" w:space="0" w:color="auto"/>
        <w:left w:val="none" w:sz="0" w:space="0" w:color="auto"/>
        <w:bottom w:val="none" w:sz="0" w:space="0" w:color="auto"/>
        <w:right w:val="none" w:sz="0" w:space="0" w:color="auto"/>
      </w:divBdr>
    </w:div>
    <w:div w:id="679696689">
      <w:marLeft w:val="0"/>
      <w:marRight w:val="0"/>
      <w:marTop w:val="0"/>
      <w:marBottom w:val="0"/>
      <w:divBdr>
        <w:top w:val="none" w:sz="0" w:space="0" w:color="auto"/>
        <w:left w:val="none" w:sz="0" w:space="0" w:color="auto"/>
        <w:bottom w:val="none" w:sz="0" w:space="0" w:color="auto"/>
        <w:right w:val="none" w:sz="0" w:space="0" w:color="auto"/>
      </w:divBdr>
    </w:div>
    <w:div w:id="679696690">
      <w:marLeft w:val="0"/>
      <w:marRight w:val="0"/>
      <w:marTop w:val="0"/>
      <w:marBottom w:val="0"/>
      <w:divBdr>
        <w:top w:val="none" w:sz="0" w:space="0" w:color="auto"/>
        <w:left w:val="none" w:sz="0" w:space="0" w:color="auto"/>
        <w:bottom w:val="none" w:sz="0" w:space="0" w:color="auto"/>
        <w:right w:val="none" w:sz="0" w:space="0" w:color="auto"/>
      </w:divBdr>
    </w:div>
    <w:div w:id="679696691">
      <w:marLeft w:val="0"/>
      <w:marRight w:val="0"/>
      <w:marTop w:val="0"/>
      <w:marBottom w:val="0"/>
      <w:divBdr>
        <w:top w:val="none" w:sz="0" w:space="0" w:color="auto"/>
        <w:left w:val="none" w:sz="0" w:space="0" w:color="auto"/>
        <w:bottom w:val="none" w:sz="0" w:space="0" w:color="auto"/>
        <w:right w:val="none" w:sz="0" w:space="0" w:color="auto"/>
      </w:divBdr>
    </w:div>
    <w:div w:id="679696693">
      <w:marLeft w:val="0"/>
      <w:marRight w:val="0"/>
      <w:marTop w:val="0"/>
      <w:marBottom w:val="0"/>
      <w:divBdr>
        <w:top w:val="none" w:sz="0" w:space="0" w:color="auto"/>
        <w:left w:val="none" w:sz="0" w:space="0" w:color="auto"/>
        <w:bottom w:val="none" w:sz="0" w:space="0" w:color="auto"/>
        <w:right w:val="none" w:sz="0" w:space="0" w:color="auto"/>
      </w:divBdr>
      <w:divsChild>
        <w:div w:id="679696747">
          <w:marLeft w:val="0"/>
          <w:marRight w:val="0"/>
          <w:marTop w:val="0"/>
          <w:marBottom w:val="0"/>
          <w:divBdr>
            <w:top w:val="none" w:sz="0" w:space="0" w:color="auto"/>
            <w:left w:val="none" w:sz="0" w:space="0" w:color="auto"/>
            <w:bottom w:val="none" w:sz="0" w:space="0" w:color="auto"/>
            <w:right w:val="none" w:sz="0" w:space="0" w:color="auto"/>
          </w:divBdr>
          <w:divsChild>
            <w:div w:id="679696636">
              <w:marLeft w:val="0"/>
              <w:marRight w:val="0"/>
              <w:marTop w:val="0"/>
              <w:marBottom w:val="0"/>
              <w:divBdr>
                <w:top w:val="none" w:sz="0" w:space="0" w:color="auto"/>
                <w:left w:val="none" w:sz="0" w:space="0" w:color="auto"/>
                <w:bottom w:val="none" w:sz="0" w:space="0" w:color="auto"/>
                <w:right w:val="none" w:sz="0" w:space="0" w:color="auto"/>
              </w:divBdr>
              <w:divsChild>
                <w:div w:id="679696608">
                  <w:marLeft w:val="0"/>
                  <w:marRight w:val="0"/>
                  <w:marTop w:val="0"/>
                  <w:marBottom w:val="0"/>
                  <w:divBdr>
                    <w:top w:val="none" w:sz="0" w:space="0" w:color="auto"/>
                    <w:left w:val="none" w:sz="0" w:space="0" w:color="auto"/>
                    <w:bottom w:val="none" w:sz="0" w:space="0" w:color="auto"/>
                    <w:right w:val="none" w:sz="0" w:space="0" w:color="auto"/>
                  </w:divBdr>
                  <w:divsChild>
                    <w:div w:id="679696559">
                      <w:marLeft w:val="0"/>
                      <w:marRight w:val="0"/>
                      <w:marTop w:val="0"/>
                      <w:marBottom w:val="0"/>
                      <w:divBdr>
                        <w:top w:val="none" w:sz="0" w:space="0" w:color="auto"/>
                        <w:left w:val="none" w:sz="0" w:space="0" w:color="auto"/>
                        <w:bottom w:val="none" w:sz="0" w:space="0" w:color="auto"/>
                        <w:right w:val="none" w:sz="0" w:space="0" w:color="auto"/>
                      </w:divBdr>
                      <w:divsChild>
                        <w:div w:id="6796965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694">
      <w:marLeft w:val="0"/>
      <w:marRight w:val="0"/>
      <w:marTop w:val="0"/>
      <w:marBottom w:val="0"/>
      <w:divBdr>
        <w:top w:val="none" w:sz="0" w:space="0" w:color="auto"/>
        <w:left w:val="none" w:sz="0" w:space="0" w:color="auto"/>
        <w:bottom w:val="none" w:sz="0" w:space="0" w:color="auto"/>
        <w:right w:val="none" w:sz="0" w:space="0" w:color="auto"/>
      </w:divBdr>
    </w:div>
    <w:div w:id="679696695">
      <w:marLeft w:val="0"/>
      <w:marRight w:val="0"/>
      <w:marTop w:val="0"/>
      <w:marBottom w:val="0"/>
      <w:divBdr>
        <w:top w:val="none" w:sz="0" w:space="0" w:color="auto"/>
        <w:left w:val="none" w:sz="0" w:space="0" w:color="auto"/>
        <w:bottom w:val="none" w:sz="0" w:space="0" w:color="auto"/>
        <w:right w:val="none" w:sz="0" w:space="0" w:color="auto"/>
      </w:divBdr>
    </w:div>
    <w:div w:id="679696697">
      <w:marLeft w:val="0"/>
      <w:marRight w:val="0"/>
      <w:marTop w:val="0"/>
      <w:marBottom w:val="0"/>
      <w:divBdr>
        <w:top w:val="none" w:sz="0" w:space="0" w:color="auto"/>
        <w:left w:val="none" w:sz="0" w:space="0" w:color="auto"/>
        <w:bottom w:val="none" w:sz="0" w:space="0" w:color="auto"/>
        <w:right w:val="none" w:sz="0" w:space="0" w:color="auto"/>
      </w:divBdr>
    </w:div>
    <w:div w:id="679696698">
      <w:marLeft w:val="0"/>
      <w:marRight w:val="0"/>
      <w:marTop w:val="0"/>
      <w:marBottom w:val="0"/>
      <w:divBdr>
        <w:top w:val="none" w:sz="0" w:space="0" w:color="auto"/>
        <w:left w:val="none" w:sz="0" w:space="0" w:color="auto"/>
        <w:bottom w:val="none" w:sz="0" w:space="0" w:color="auto"/>
        <w:right w:val="none" w:sz="0" w:space="0" w:color="auto"/>
      </w:divBdr>
    </w:div>
    <w:div w:id="679696699">
      <w:marLeft w:val="0"/>
      <w:marRight w:val="0"/>
      <w:marTop w:val="0"/>
      <w:marBottom w:val="0"/>
      <w:divBdr>
        <w:top w:val="none" w:sz="0" w:space="0" w:color="auto"/>
        <w:left w:val="none" w:sz="0" w:space="0" w:color="auto"/>
        <w:bottom w:val="none" w:sz="0" w:space="0" w:color="auto"/>
        <w:right w:val="none" w:sz="0" w:space="0" w:color="auto"/>
      </w:divBdr>
    </w:div>
    <w:div w:id="679696700">
      <w:marLeft w:val="0"/>
      <w:marRight w:val="0"/>
      <w:marTop w:val="0"/>
      <w:marBottom w:val="0"/>
      <w:divBdr>
        <w:top w:val="none" w:sz="0" w:space="0" w:color="auto"/>
        <w:left w:val="none" w:sz="0" w:space="0" w:color="auto"/>
        <w:bottom w:val="none" w:sz="0" w:space="0" w:color="auto"/>
        <w:right w:val="none" w:sz="0" w:space="0" w:color="auto"/>
      </w:divBdr>
      <w:divsChild>
        <w:div w:id="679696710">
          <w:marLeft w:val="0"/>
          <w:marRight w:val="0"/>
          <w:marTop w:val="0"/>
          <w:marBottom w:val="0"/>
          <w:divBdr>
            <w:top w:val="none" w:sz="0" w:space="0" w:color="auto"/>
            <w:left w:val="none" w:sz="0" w:space="0" w:color="auto"/>
            <w:bottom w:val="none" w:sz="0" w:space="0" w:color="auto"/>
            <w:right w:val="none" w:sz="0" w:space="0" w:color="auto"/>
          </w:divBdr>
          <w:divsChild>
            <w:div w:id="679696717">
              <w:marLeft w:val="0"/>
              <w:marRight w:val="0"/>
              <w:marTop w:val="0"/>
              <w:marBottom w:val="0"/>
              <w:divBdr>
                <w:top w:val="none" w:sz="0" w:space="0" w:color="auto"/>
                <w:left w:val="none" w:sz="0" w:space="0" w:color="auto"/>
                <w:bottom w:val="none" w:sz="0" w:space="0" w:color="auto"/>
                <w:right w:val="none" w:sz="0" w:space="0" w:color="auto"/>
              </w:divBdr>
              <w:divsChild>
                <w:div w:id="679696629">
                  <w:marLeft w:val="0"/>
                  <w:marRight w:val="0"/>
                  <w:marTop w:val="0"/>
                  <w:marBottom w:val="0"/>
                  <w:divBdr>
                    <w:top w:val="none" w:sz="0" w:space="0" w:color="auto"/>
                    <w:left w:val="none" w:sz="0" w:space="0" w:color="auto"/>
                    <w:bottom w:val="none" w:sz="0" w:space="0" w:color="auto"/>
                    <w:right w:val="none" w:sz="0" w:space="0" w:color="auto"/>
                  </w:divBdr>
                  <w:divsChild>
                    <w:div w:id="679696751">
                      <w:marLeft w:val="0"/>
                      <w:marRight w:val="0"/>
                      <w:marTop w:val="0"/>
                      <w:marBottom w:val="0"/>
                      <w:divBdr>
                        <w:top w:val="none" w:sz="0" w:space="0" w:color="auto"/>
                        <w:left w:val="none" w:sz="0" w:space="0" w:color="auto"/>
                        <w:bottom w:val="none" w:sz="0" w:space="0" w:color="auto"/>
                        <w:right w:val="none" w:sz="0" w:space="0" w:color="auto"/>
                      </w:divBdr>
                      <w:divsChild>
                        <w:div w:id="6796966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701">
      <w:marLeft w:val="0"/>
      <w:marRight w:val="0"/>
      <w:marTop w:val="0"/>
      <w:marBottom w:val="0"/>
      <w:divBdr>
        <w:top w:val="none" w:sz="0" w:space="0" w:color="auto"/>
        <w:left w:val="none" w:sz="0" w:space="0" w:color="auto"/>
        <w:bottom w:val="none" w:sz="0" w:space="0" w:color="auto"/>
        <w:right w:val="none" w:sz="0" w:space="0" w:color="auto"/>
      </w:divBdr>
    </w:div>
    <w:div w:id="679696702">
      <w:marLeft w:val="0"/>
      <w:marRight w:val="0"/>
      <w:marTop w:val="0"/>
      <w:marBottom w:val="0"/>
      <w:divBdr>
        <w:top w:val="none" w:sz="0" w:space="0" w:color="auto"/>
        <w:left w:val="none" w:sz="0" w:space="0" w:color="auto"/>
        <w:bottom w:val="none" w:sz="0" w:space="0" w:color="auto"/>
        <w:right w:val="none" w:sz="0" w:space="0" w:color="auto"/>
      </w:divBdr>
    </w:div>
    <w:div w:id="679696703">
      <w:marLeft w:val="0"/>
      <w:marRight w:val="0"/>
      <w:marTop w:val="0"/>
      <w:marBottom w:val="0"/>
      <w:divBdr>
        <w:top w:val="none" w:sz="0" w:space="0" w:color="auto"/>
        <w:left w:val="none" w:sz="0" w:space="0" w:color="auto"/>
        <w:bottom w:val="none" w:sz="0" w:space="0" w:color="auto"/>
        <w:right w:val="none" w:sz="0" w:space="0" w:color="auto"/>
      </w:divBdr>
    </w:div>
    <w:div w:id="679696707">
      <w:marLeft w:val="0"/>
      <w:marRight w:val="0"/>
      <w:marTop w:val="0"/>
      <w:marBottom w:val="0"/>
      <w:divBdr>
        <w:top w:val="none" w:sz="0" w:space="0" w:color="auto"/>
        <w:left w:val="none" w:sz="0" w:space="0" w:color="auto"/>
        <w:bottom w:val="none" w:sz="0" w:space="0" w:color="auto"/>
        <w:right w:val="none" w:sz="0" w:space="0" w:color="auto"/>
      </w:divBdr>
    </w:div>
    <w:div w:id="679696708">
      <w:marLeft w:val="0"/>
      <w:marRight w:val="0"/>
      <w:marTop w:val="0"/>
      <w:marBottom w:val="0"/>
      <w:divBdr>
        <w:top w:val="none" w:sz="0" w:space="0" w:color="auto"/>
        <w:left w:val="none" w:sz="0" w:space="0" w:color="auto"/>
        <w:bottom w:val="none" w:sz="0" w:space="0" w:color="auto"/>
        <w:right w:val="none" w:sz="0" w:space="0" w:color="auto"/>
      </w:divBdr>
    </w:div>
    <w:div w:id="679696709">
      <w:marLeft w:val="0"/>
      <w:marRight w:val="0"/>
      <w:marTop w:val="0"/>
      <w:marBottom w:val="0"/>
      <w:divBdr>
        <w:top w:val="none" w:sz="0" w:space="0" w:color="auto"/>
        <w:left w:val="none" w:sz="0" w:space="0" w:color="auto"/>
        <w:bottom w:val="none" w:sz="0" w:space="0" w:color="auto"/>
        <w:right w:val="none" w:sz="0" w:space="0" w:color="auto"/>
      </w:divBdr>
    </w:div>
    <w:div w:id="679696711">
      <w:marLeft w:val="0"/>
      <w:marRight w:val="0"/>
      <w:marTop w:val="0"/>
      <w:marBottom w:val="0"/>
      <w:divBdr>
        <w:top w:val="none" w:sz="0" w:space="0" w:color="auto"/>
        <w:left w:val="none" w:sz="0" w:space="0" w:color="auto"/>
        <w:bottom w:val="none" w:sz="0" w:space="0" w:color="auto"/>
        <w:right w:val="none" w:sz="0" w:space="0" w:color="auto"/>
      </w:divBdr>
    </w:div>
    <w:div w:id="679696712">
      <w:marLeft w:val="0"/>
      <w:marRight w:val="0"/>
      <w:marTop w:val="0"/>
      <w:marBottom w:val="0"/>
      <w:divBdr>
        <w:top w:val="none" w:sz="0" w:space="0" w:color="auto"/>
        <w:left w:val="none" w:sz="0" w:space="0" w:color="auto"/>
        <w:bottom w:val="none" w:sz="0" w:space="0" w:color="auto"/>
        <w:right w:val="none" w:sz="0" w:space="0" w:color="auto"/>
      </w:divBdr>
    </w:div>
    <w:div w:id="679696713">
      <w:marLeft w:val="0"/>
      <w:marRight w:val="0"/>
      <w:marTop w:val="0"/>
      <w:marBottom w:val="0"/>
      <w:divBdr>
        <w:top w:val="none" w:sz="0" w:space="0" w:color="auto"/>
        <w:left w:val="none" w:sz="0" w:space="0" w:color="auto"/>
        <w:bottom w:val="none" w:sz="0" w:space="0" w:color="auto"/>
        <w:right w:val="none" w:sz="0" w:space="0" w:color="auto"/>
      </w:divBdr>
    </w:div>
    <w:div w:id="679696715">
      <w:marLeft w:val="0"/>
      <w:marRight w:val="0"/>
      <w:marTop w:val="0"/>
      <w:marBottom w:val="0"/>
      <w:divBdr>
        <w:top w:val="none" w:sz="0" w:space="0" w:color="auto"/>
        <w:left w:val="none" w:sz="0" w:space="0" w:color="auto"/>
        <w:bottom w:val="none" w:sz="0" w:space="0" w:color="auto"/>
        <w:right w:val="none" w:sz="0" w:space="0" w:color="auto"/>
      </w:divBdr>
    </w:div>
    <w:div w:id="679696716">
      <w:marLeft w:val="0"/>
      <w:marRight w:val="0"/>
      <w:marTop w:val="0"/>
      <w:marBottom w:val="0"/>
      <w:divBdr>
        <w:top w:val="none" w:sz="0" w:space="0" w:color="auto"/>
        <w:left w:val="none" w:sz="0" w:space="0" w:color="auto"/>
        <w:bottom w:val="none" w:sz="0" w:space="0" w:color="auto"/>
        <w:right w:val="none" w:sz="0" w:space="0" w:color="auto"/>
      </w:divBdr>
    </w:div>
    <w:div w:id="679696720">
      <w:marLeft w:val="0"/>
      <w:marRight w:val="0"/>
      <w:marTop w:val="0"/>
      <w:marBottom w:val="0"/>
      <w:divBdr>
        <w:top w:val="none" w:sz="0" w:space="0" w:color="auto"/>
        <w:left w:val="none" w:sz="0" w:space="0" w:color="auto"/>
        <w:bottom w:val="none" w:sz="0" w:space="0" w:color="auto"/>
        <w:right w:val="none" w:sz="0" w:space="0" w:color="auto"/>
      </w:divBdr>
    </w:div>
    <w:div w:id="679696721">
      <w:marLeft w:val="0"/>
      <w:marRight w:val="0"/>
      <w:marTop w:val="0"/>
      <w:marBottom w:val="0"/>
      <w:divBdr>
        <w:top w:val="none" w:sz="0" w:space="0" w:color="auto"/>
        <w:left w:val="none" w:sz="0" w:space="0" w:color="auto"/>
        <w:bottom w:val="none" w:sz="0" w:space="0" w:color="auto"/>
        <w:right w:val="none" w:sz="0" w:space="0" w:color="auto"/>
      </w:divBdr>
    </w:div>
    <w:div w:id="679696722">
      <w:marLeft w:val="0"/>
      <w:marRight w:val="0"/>
      <w:marTop w:val="0"/>
      <w:marBottom w:val="0"/>
      <w:divBdr>
        <w:top w:val="none" w:sz="0" w:space="0" w:color="auto"/>
        <w:left w:val="none" w:sz="0" w:space="0" w:color="auto"/>
        <w:bottom w:val="none" w:sz="0" w:space="0" w:color="auto"/>
        <w:right w:val="none" w:sz="0" w:space="0" w:color="auto"/>
      </w:divBdr>
    </w:div>
    <w:div w:id="679696725">
      <w:marLeft w:val="0"/>
      <w:marRight w:val="0"/>
      <w:marTop w:val="0"/>
      <w:marBottom w:val="0"/>
      <w:divBdr>
        <w:top w:val="none" w:sz="0" w:space="0" w:color="auto"/>
        <w:left w:val="none" w:sz="0" w:space="0" w:color="auto"/>
        <w:bottom w:val="none" w:sz="0" w:space="0" w:color="auto"/>
        <w:right w:val="none" w:sz="0" w:space="0" w:color="auto"/>
      </w:divBdr>
    </w:div>
    <w:div w:id="679696726">
      <w:marLeft w:val="0"/>
      <w:marRight w:val="0"/>
      <w:marTop w:val="0"/>
      <w:marBottom w:val="0"/>
      <w:divBdr>
        <w:top w:val="none" w:sz="0" w:space="0" w:color="auto"/>
        <w:left w:val="none" w:sz="0" w:space="0" w:color="auto"/>
        <w:bottom w:val="none" w:sz="0" w:space="0" w:color="auto"/>
        <w:right w:val="none" w:sz="0" w:space="0" w:color="auto"/>
      </w:divBdr>
    </w:div>
    <w:div w:id="679696727">
      <w:marLeft w:val="0"/>
      <w:marRight w:val="0"/>
      <w:marTop w:val="0"/>
      <w:marBottom w:val="0"/>
      <w:divBdr>
        <w:top w:val="none" w:sz="0" w:space="0" w:color="auto"/>
        <w:left w:val="none" w:sz="0" w:space="0" w:color="auto"/>
        <w:bottom w:val="none" w:sz="0" w:space="0" w:color="auto"/>
        <w:right w:val="none" w:sz="0" w:space="0" w:color="auto"/>
      </w:divBdr>
      <w:divsChild>
        <w:div w:id="679696767">
          <w:marLeft w:val="0"/>
          <w:marRight w:val="0"/>
          <w:marTop w:val="0"/>
          <w:marBottom w:val="0"/>
          <w:divBdr>
            <w:top w:val="none" w:sz="0" w:space="0" w:color="auto"/>
            <w:left w:val="none" w:sz="0" w:space="0" w:color="auto"/>
            <w:bottom w:val="none" w:sz="0" w:space="0" w:color="auto"/>
            <w:right w:val="none" w:sz="0" w:space="0" w:color="auto"/>
          </w:divBdr>
        </w:div>
      </w:divsChild>
    </w:div>
    <w:div w:id="679696728">
      <w:marLeft w:val="0"/>
      <w:marRight w:val="0"/>
      <w:marTop w:val="0"/>
      <w:marBottom w:val="0"/>
      <w:divBdr>
        <w:top w:val="none" w:sz="0" w:space="0" w:color="auto"/>
        <w:left w:val="none" w:sz="0" w:space="0" w:color="auto"/>
        <w:bottom w:val="none" w:sz="0" w:space="0" w:color="auto"/>
        <w:right w:val="none" w:sz="0" w:space="0" w:color="auto"/>
      </w:divBdr>
    </w:div>
    <w:div w:id="679696729">
      <w:marLeft w:val="0"/>
      <w:marRight w:val="0"/>
      <w:marTop w:val="0"/>
      <w:marBottom w:val="0"/>
      <w:divBdr>
        <w:top w:val="none" w:sz="0" w:space="0" w:color="auto"/>
        <w:left w:val="none" w:sz="0" w:space="0" w:color="auto"/>
        <w:bottom w:val="none" w:sz="0" w:space="0" w:color="auto"/>
        <w:right w:val="none" w:sz="0" w:space="0" w:color="auto"/>
      </w:divBdr>
      <w:divsChild>
        <w:div w:id="679696745">
          <w:marLeft w:val="0"/>
          <w:marRight w:val="0"/>
          <w:marTop w:val="0"/>
          <w:marBottom w:val="0"/>
          <w:divBdr>
            <w:top w:val="none" w:sz="0" w:space="0" w:color="auto"/>
            <w:left w:val="none" w:sz="0" w:space="0" w:color="auto"/>
            <w:bottom w:val="none" w:sz="0" w:space="0" w:color="auto"/>
            <w:right w:val="none" w:sz="0" w:space="0" w:color="auto"/>
          </w:divBdr>
          <w:divsChild>
            <w:div w:id="679696685">
              <w:marLeft w:val="0"/>
              <w:marRight w:val="0"/>
              <w:marTop w:val="0"/>
              <w:marBottom w:val="0"/>
              <w:divBdr>
                <w:top w:val="none" w:sz="0" w:space="0" w:color="auto"/>
                <w:left w:val="none" w:sz="0" w:space="0" w:color="auto"/>
                <w:bottom w:val="none" w:sz="0" w:space="0" w:color="auto"/>
                <w:right w:val="none" w:sz="0" w:space="0" w:color="auto"/>
              </w:divBdr>
              <w:divsChild>
                <w:div w:id="679696737">
                  <w:marLeft w:val="0"/>
                  <w:marRight w:val="0"/>
                  <w:marTop w:val="0"/>
                  <w:marBottom w:val="0"/>
                  <w:divBdr>
                    <w:top w:val="none" w:sz="0" w:space="0" w:color="auto"/>
                    <w:left w:val="none" w:sz="0" w:space="0" w:color="auto"/>
                    <w:bottom w:val="none" w:sz="0" w:space="0" w:color="auto"/>
                    <w:right w:val="none" w:sz="0" w:space="0" w:color="auto"/>
                  </w:divBdr>
                  <w:divsChild>
                    <w:div w:id="679696572">
                      <w:marLeft w:val="0"/>
                      <w:marRight w:val="0"/>
                      <w:marTop w:val="0"/>
                      <w:marBottom w:val="0"/>
                      <w:divBdr>
                        <w:top w:val="none" w:sz="0" w:space="0" w:color="auto"/>
                        <w:left w:val="none" w:sz="0" w:space="0" w:color="auto"/>
                        <w:bottom w:val="none" w:sz="0" w:space="0" w:color="auto"/>
                        <w:right w:val="none" w:sz="0" w:space="0" w:color="auto"/>
                      </w:divBdr>
                      <w:divsChild>
                        <w:div w:id="67969644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732">
      <w:marLeft w:val="0"/>
      <w:marRight w:val="0"/>
      <w:marTop w:val="0"/>
      <w:marBottom w:val="0"/>
      <w:divBdr>
        <w:top w:val="none" w:sz="0" w:space="0" w:color="auto"/>
        <w:left w:val="none" w:sz="0" w:space="0" w:color="auto"/>
        <w:bottom w:val="none" w:sz="0" w:space="0" w:color="auto"/>
        <w:right w:val="none" w:sz="0" w:space="0" w:color="auto"/>
      </w:divBdr>
    </w:div>
    <w:div w:id="679696733">
      <w:marLeft w:val="0"/>
      <w:marRight w:val="0"/>
      <w:marTop w:val="0"/>
      <w:marBottom w:val="0"/>
      <w:divBdr>
        <w:top w:val="none" w:sz="0" w:space="0" w:color="auto"/>
        <w:left w:val="none" w:sz="0" w:space="0" w:color="auto"/>
        <w:bottom w:val="none" w:sz="0" w:space="0" w:color="auto"/>
        <w:right w:val="none" w:sz="0" w:space="0" w:color="auto"/>
      </w:divBdr>
    </w:div>
    <w:div w:id="679696734">
      <w:marLeft w:val="0"/>
      <w:marRight w:val="0"/>
      <w:marTop w:val="0"/>
      <w:marBottom w:val="0"/>
      <w:divBdr>
        <w:top w:val="none" w:sz="0" w:space="0" w:color="auto"/>
        <w:left w:val="none" w:sz="0" w:space="0" w:color="auto"/>
        <w:bottom w:val="none" w:sz="0" w:space="0" w:color="auto"/>
        <w:right w:val="none" w:sz="0" w:space="0" w:color="auto"/>
      </w:divBdr>
      <w:divsChild>
        <w:div w:id="679696469">
          <w:marLeft w:val="0"/>
          <w:marRight w:val="0"/>
          <w:marTop w:val="0"/>
          <w:marBottom w:val="0"/>
          <w:divBdr>
            <w:top w:val="none" w:sz="0" w:space="0" w:color="auto"/>
            <w:left w:val="none" w:sz="0" w:space="0" w:color="auto"/>
            <w:bottom w:val="none" w:sz="0" w:space="0" w:color="auto"/>
            <w:right w:val="none" w:sz="0" w:space="0" w:color="auto"/>
          </w:divBdr>
        </w:div>
      </w:divsChild>
    </w:div>
    <w:div w:id="679696736">
      <w:marLeft w:val="0"/>
      <w:marRight w:val="0"/>
      <w:marTop w:val="0"/>
      <w:marBottom w:val="0"/>
      <w:divBdr>
        <w:top w:val="none" w:sz="0" w:space="0" w:color="auto"/>
        <w:left w:val="none" w:sz="0" w:space="0" w:color="auto"/>
        <w:bottom w:val="none" w:sz="0" w:space="0" w:color="auto"/>
        <w:right w:val="none" w:sz="0" w:space="0" w:color="auto"/>
      </w:divBdr>
    </w:div>
    <w:div w:id="679696738">
      <w:marLeft w:val="0"/>
      <w:marRight w:val="0"/>
      <w:marTop w:val="0"/>
      <w:marBottom w:val="0"/>
      <w:divBdr>
        <w:top w:val="none" w:sz="0" w:space="0" w:color="auto"/>
        <w:left w:val="none" w:sz="0" w:space="0" w:color="auto"/>
        <w:bottom w:val="none" w:sz="0" w:space="0" w:color="auto"/>
        <w:right w:val="none" w:sz="0" w:space="0" w:color="auto"/>
      </w:divBdr>
      <w:divsChild>
        <w:div w:id="679696358">
          <w:marLeft w:val="0"/>
          <w:marRight w:val="0"/>
          <w:marTop w:val="0"/>
          <w:marBottom w:val="0"/>
          <w:divBdr>
            <w:top w:val="none" w:sz="0" w:space="0" w:color="auto"/>
            <w:left w:val="none" w:sz="0" w:space="0" w:color="auto"/>
            <w:bottom w:val="none" w:sz="0" w:space="0" w:color="auto"/>
            <w:right w:val="none" w:sz="0" w:space="0" w:color="auto"/>
          </w:divBdr>
          <w:divsChild>
            <w:div w:id="679696581">
              <w:marLeft w:val="0"/>
              <w:marRight w:val="0"/>
              <w:marTop w:val="0"/>
              <w:marBottom w:val="0"/>
              <w:divBdr>
                <w:top w:val="none" w:sz="0" w:space="0" w:color="auto"/>
                <w:left w:val="none" w:sz="0" w:space="0" w:color="auto"/>
                <w:bottom w:val="none" w:sz="0" w:space="0" w:color="auto"/>
                <w:right w:val="none" w:sz="0" w:space="0" w:color="auto"/>
              </w:divBdr>
              <w:divsChild>
                <w:div w:id="679696382">
                  <w:marLeft w:val="0"/>
                  <w:marRight w:val="0"/>
                  <w:marTop w:val="0"/>
                  <w:marBottom w:val="0"/>
                  <w:divBdr>
                    <w:top w:val="none" w:sz="0" w:space="0" w:color="auto"/>
                    <w:left w:val="none" w:sz="0" w:space="0" w:color="auto"/>
                    <w:bottom w:val="none" w:sz="0" w:space="0" w:color="auto"/>
                    <w:right w:val="none" w:sz="0" w:space="0" w:color="auto"/>
                  </w:divBdr>
                  <w:divsChild>
                    <w:div w:id="679696696">
                      <w:marLeft w:val="0"/>
                      <w:marRight w:val="0"/>
                      <w:marTop w:val="0"/>
                      <w:marBottom w:val="0"/>
                      <w:divBdr>
                        <w:top w:val="none" w:sz="0" w:space="0" w:color="auto"/>
                        <w:left w:val="none" w:sz="0" w:space="0" w:color="auto"/>
                        <w:bottom w:val="none" w:sz="0" w:space="0" w:color="auto"/>
                        <w:right w:val="none" w:sz="0" w:space="0" w:color="auto"/>
                      </w:divBdr>
                      <w:divsChild>
                        <w:div w:id="67969665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740">
      <w:marLeft w:val="0"/>
      <w:marRight w:val="0"/>
      <w:marTop w:val="0"/>
      <w:marBottom w:val="0"/>
      <w:divBdr>
        <w:top w:val="none" w:sz="0" w:space="0" w:color="auto"/>
        <w:left w:val="none" w:sz="0" w:space="0" w:color="auto"/>
        <w:bottom w:val="none" w:sz="0" w:space="0" w:color="auto"/>
        <w:right w:val="none" w:sz="0" w:space="0" w:color="auto"/>
      </w:divBdr>
    </w:div>
    <w:div w:id="679696741">
      <w:marLeft w:val="0"/>
      <w:marRight w:val="0"/>
      <w:marTop w:val="0"/>
      <w:marBottom w:val="0"/>
      <w:divBdr>
        <w:top w:val="none" w:sz="0" w:space="0" w:color="auto"/>
        <w:left w:val="none" w:sz="0" w:space="0" w:color="auto"/>
        <w:bottom w:val="none" w:sz="0" w:space="0" w:color="auto"/>
        <w:right w:val="none" w:sz="0" w:space="0" w:color="auto"/>
      </w:divBdr>
    </w:div>
    <w:div w:id="679696742">
      <w:marLeft w:val="0"/>
      <w:marRight w:val="0"/>
      <w:marTop w:val="0"/>
      <w:marBottom w:val="0"/>
      <w:divBdr>
        <w:top w:val="none" w:sz="0" w:space="0" w:color="auto"/>
        <w:left w:val="none" w:sz="0" w:space="0" w:color="auto"/>
        <w:bottom w:val="none" w:sz="0" w:space="0" w:color="auto"/>
        <w:right w:val="none" w:sz="0" w:space="0" w:color="auto"/>
      </w:divBdr>
    </w:div>
    <w:div w:id="679696743">
      <w:marLeft w:val="0"/>
      <w:marRight w:val="0"/>
      <w:marTop w:val="0"/>
      <w:marBottom w:val="0"/>
      <w:divBdr>
        <w:top w:val="none" w:sz="0" w:space="0" w:color="auto"/>
        <w:left w:val="none" w:sz="0" w:space="0" w:color="auto"/>
        <w:bottom w:val="none" w:sz="0" w:space="0" w:color="auto"/>
        <w:right w:val="none" w:sz="0" w:space="0" w:color="auto"/>
      </w:divBdr>
    </w:div>
    <w:div w:id="679696746">
      <w:marLeft w:val="0"/>
      <w:marRight w:val="0"/>
      <w:marTop w:val="0"/>
      <w:marBottom w:val="0"/>
      <w:divBdr>
        <w:top w:val="none" w:sz="0" w:space="0" w:color="auto"/>
        <w:left w:val="none" w:sz="0" w:space="0" w:color="auto"/>
        <w:bottom w:val="none" w:sz="0" w:space="0" w:color="auto"/>
        <w:right w:val="none" w:sz="0" w:space="0" w:color="auto"/>
      </w:divBdr>
    </w:div>
    <w:div w:id="679696748">
      <w:marLeft w:val="0"/>
      <w:marRight w:val="0"/>
      <w:marTop w:val="0"/>
      <w:marBottom w:val="0"/>
      <w:divBdr>
        <w:top w:val="none" w:sz="0" w:space="0" w:color="auto"/>
        <w:left w:val="none" w:sz="0" w:space="0" w:color="auto"/>
        <w:bottom w:val="none" w:sz="0" w:space="0" w:color="auto"/>
        <w:right w:val="none" w:sz="0" w:space="0" w:color="auto"/>
      </w:divBdr>
    </w:div>
    <w:div w:id="679696750">
      <w:marLeft w:val="0"/>
      <w:marRight w:val="0"/>
      <w:marTop w:val="0"/>
      <w:marBottom w:val="0"/>
      <w:divBdr>
        <w:top w:val="none" w:sz="0" w:space="0" w:color="auto"/>
        <w:left w:val="none" w:sz="0" w:space="0" w:color="auto"/>
        <w:bottom w:val="none" w:sz="0" w:space="0" w:color="auto"/>
        <w:right w:val="none" w:sz="0" w:space="0" w:color="auto"/>
      </w:divBdr>
    </w:div>
    <w:div w:id="679696754">
      <w:marLeft w:val="0"/>
      <w:marRight w:val="0"/>
      <w:marTop w:val="0"/>
      <w:marBottom w:val="0"/>
      <w:divBdr>
        <w:top w:val="none" w:sz="0" w:space="0" w:color="auto"/>
        <w:left w:val="none" w:sz="0" w:space="0" w:color="auto"/>
        <w:bottom w:val="none" w:sz="0" w:space="0" w:color="auto"/>
        <w:right w:val="none" w:sz="0" w:space="0" w:color="auto"/>
      </w:divBdr>
    </w:div>
    <w:div w:id="679696756">
      <w:marLeft w:val="0"/>
      <w:marRight w:val="0"/>
      <w:marTop w:val="0"/>
      <w:marBottom w:val="0"/>
      <w:divBdr>
        <w:top w:val="none" w:sz="0" w:space="0" w:color="auto"/>
        <w:left w:val="none" w:sz="0" w:space="0" w:color="auto"/>
        <w:bottom w:val="none" w:sz="0" w:space="0" w:color="auto"/>
        <w:right w:val="none" w:sz="0" w:space="0" w:color="auto"/>
      </w:divBdr>
      <w:divsChild>
        <w:div w:id="679696419">
          <w:marLeft w:val="0"/>
          <w:marRight w:val="0"/>
          <w:marTop w:val="0"/>
          <w:marBottom w:val="0"/>
          <w:divBdr>
            <w:top w:val="none" w:sz="0" w:space="0" w:color="auto"/>
            <w:left w:val="none" w:sz="0" w:space="0" w:color="auto"/>
            <w:bottom w:val="none" w:sz="0" w:space="0" w:color="auto"/>
            <w:right w:val="none" w:sz="0" w:space="0" w:color="auto"/>
          </w:divBdr>
          <w:divsChild>
            <w:div w:id="679696705">
              <w:marLeft w:val="0"/>
              <w:marRight w:val="0"/>
              <w:marTop w:val="0"/>
              <w:marBottom w:val="0"/>
              <w:divBdr>
                <w:top w:val="none" w:sz="0" w:space="0" w:color="auto"/>
                <w:left w:val="none" w:sz="0" w:space="0" w:color="auto"/>
                <w:bottom w:val="none" w:sz="0" w:space="0" w:color="auto"/>
                <w:right w:val="none" w:sz="0" w:space="0" w:color="auto"/>
              </w:divBdr>
              <w:divsChild>
                <w:div w:id="679696718">
                  <w:marLeft w:val="0"/>
                  <w:marRight w:val="0"/>
                  <w:marTop w:val="0"/>
                  <w:marBottom w:val="0"/>
                  <w:divBdr>
                    <w:top w:val="none" w:sz="0" w:space="0" w:color="auto"/>
                    <w:left w:val="none" w:sz="0" w:space="0" w:color="auto"/>
                    <w:bottom w:val="none" w:sz="0" w:space="0" w:color="auto"/>
                    <w:right w:val="none" w:sz="0" w:space="0" w:color="auto"/>
                  </w:divBdr>
                  <w:divsChild>
                    <w:div w:id="679696547">
                      <w:marLeft w:val="0"/>
                      <w:marRight w:val="0"/>
                      <w:marTop w:val="0"/>
                      <w:marBottom w:val="0"/>
                      <w:divBdr>
                        <w:top w:val="none" w:sz="0" w:space="0" w:color="auto"/>
                        <w:left w:val="none" w:sz="0" w:space="0" w:color="auto"/>
                        <w:bottom w:val="none" w:sz="0" w:space="0" w:color="auto"/>
                        <w:right w:val="none" w:sz="0" w:space="0" w:color="auto"/>
                      </w:divBdr>
                      <w:divsChild>
                        <w:div w:id="6796964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96757">
      <w:marLeft w:val="0"/>
      <w:marRight w:val="0"/>
      <w:marTop w:val="0"/>
      <w:marBottom w:val="0"/>
      <w:divBdr>
        <w:top w:val="none" w:sz="0" w:space="0" w:color="auto"/>
        <w:left w:val="none" w:sz="0" w:space="0" w:color="auto"/>
        <w:bottom w:val="none" w:sz="0" w:space="0" w:color="auto"/>
        <w:right w:val="none" w:sz="0" w:space="0" w:color="auto"/>
      </w:divBdr>
    </w:div>
    <w:div w:id="679696758">
      <w:marLeft w:val="0"/>
      <w:marRight w:val="0"/>
      <w:marTop w:val="0"/>
      <w:marBottom w:val="0"/>
      <w:divBdr>
        <w:top w:val="none" w:sz="0" w:space="0" w:color="auto"/>
        <w:left w:val="none" w:sz="0" w:space="0" w:color="auto"/>
        <w:bottom w:val="none" w:sz="0" w:space="0" w:color="auto"/>
        <w:right w:val="none" w:sz="0" w:space="0" w:color="auto"/>
      </w:divBdr>
    </w:div>
    <w:div w:id="679696759">
      <w:marLeft w:val="0"/>
      <w:marRight w:val="0"/>
      <w:marTop w:val="0"/>
      <w:marBottom w:val="0"/>
      <w:divBdr>
        <w:top w:val="none" w:sz="0" w:space="0" w:color="auto"/>
        <w:left w:val="none" w:sz="0" w:space="0" w:color="auto"/>
        <w:bottom w:val="none" w:sz="0" w:space="0" w:color="auto"/>
        <w:right w:val="none" w:sz="0" w:space="0" w:color="auto"/>
      </w:divBdr>
    </w:div>
    <w:div w:id="679696760">
      <w:marLeft w:val="0"/>
      <w:marRight w:val="0"/>
      <w:marTop w:val="0"/>
      <w:marBottom w:val="0"/>
      <w:divBdr>
        <w:top w:val="none" w:sz="0" w:space="0" w:color="auto"/>
        <w:left w:val="none" w:sz="0" w:space="0" w:color="auto"/>
        <w:bottom w:val="none" w:sz="0" w:space="0" w:color="auto"/>
        <w:right w:val="none" w:sz="0" w:space="0" w:color="auto"/>
      </w:divBdr>
    </w:div>
    <w:div w:id="679696761">
      <w:marLeft w:val="0"/>
      <w:marRight w:val="0"/>
      <w:marTop w:val="0"/>
      <w:marBottom w:val="0"/>
      <w:divBdr>
        <w:top w:val="none" w:sz="0" w:space="0" w:color="auto"/>
        <w:left w:val="none" w:sz="0" w:space="0" w:color="auto"/>
        <w:bottom w:val="none" w:sz="0" w:space="0" w:color="auto"/>
        <w:right w:val="none" w:sz="0" w:space="0" w:color="auto"/>
      </w:divBdr>
    </w:div>
    <w:div w:id="679696762">
      <w:marLeft w:val="0"/>
      <w:marRight w:val="0"/>
      <w:marTop w:val="0"/>
      <w:marBottom w:val="0"/>
      <w:divBdr>
        <w:top w:val="none" w:sz="0" w:space="0" w:color="auto"/>
        <w:left w:val="none" w:sz="0" w:space="0" w:color="auto"/>
        <w:bottom w:val="none" w:sz="0" w:space="0" w:color="auto"/>
        <w:right w:val="none" w:sz="0" w:space="0" w:color="auto"/>
      </w:divBdr>
    </w:div>
    <w:div w:id="679696763">
      <w:marLeft w:val="0"/>
      <w:marRight w:val="0"/>
      <w:marTop w:val="0"/>
      <w:marBottom w:val="0"/>
      <w:divBdr>
        <w:top w:val="none" w:sz="0" w:space="0" w:color="auto"/>
        <w:left w:val="none" w:sz="0" w:space="0" w:color="auto"/>
        <w:bottom w:val="none" w:sz="0" w:space="0" w:color="auto"/>
        <w:right w:val="none" w:sz="0" w:space="0" w:color="auto"/>
      </w:divBdr>
    </w:div>
    <w:div w:id="679696765">
      <w:marLeft w:val="0"/>
      <w:marRight w:val="0"/>
      <w:marTop w:val="0"/>
      <w:marBottom w:val="0"/>
      <w:divBdr>
        <w:top w:val="none" w:sz="0" w:space="0" w:color="auto"/>
        <w:left w:val="none" w:sz="0" w:space="0" w:color="auto"/>
        <w:bottom w:val="none" w:sz="0" w:space="0" w:color="auto"/>
        <w:right w:val="none" w:sz="0" w:space="0" w:color="auto"/>
      </w:divBdr>
    </w:div>
    <w:div w:id="679696766">
      <w:marLeft w:val="0"/>
      <w:marRight w:val="0"/>
      <w:marTop w:val="0"/>
      <w:marBottom w:val="0"/>
      <w:divBdr>
        <w:top w:val="none" w:sz="0" w:space="0" w:color="auto"/>
        <w:left w:val="none" w:sz="0" w:space="0" w:color="auto"/>
        <w:bottom w:val="none" w:sz="0" w:space="0" w:color="auto"/>
        <w:right w:val="none" w:sz="0" w:space="0" w:color="auto"/>
      </w:divBdr>
    </w:div>
    <w:div w:id="679696769">
      <w:marLeft w:val="0"/>
      <w:marRight w:val="0"/>
      <w:marTop w:val="0"/>
      <w:marBottom w:val="0"/>
      <w:divBdr>
        <w:top w:val="none" w:sz="0" w:space="0" w:color="auto"/>
        <w:left w:val="none" w:sz="0" w:space="0" w:color="auto"/>
        <w:bottom w:val="none" w:sz="0" w:space="0" w:color="auto"/>
        <w:right w:val="none" w:sz="0" w:space="0" w:color="auto"/>
      </w:divBdr>
    </w:div>
    <w:div w:id="701251925">
      <w:bodyDiv w:val="1"/>
      <w:marLeft w:val="0"/>
      <w:marRight w:val="0"/>
      <w:marTop w:val="0"/>
      <w:marBottom w:val="0"/>
      <w:divBdr>
        <w:top w:val="none" w:sz="0" w:space="0" w:color="auto"/>
        <w:left w:val="none" w:sz="0" w:space="0" w:color="auto"/>
        <w:bottom w:val="none" w:sz="0" w:space="0" w:color="auto"/>
        <w:right w:val="none" w:sz="0" w:space="0" w:color="auto"/>
      </w:divBdr>
    </w:div>
    <w:div w:id="716589307">
      <w:bodyDiv w:val="1"/>
      <w:marLeft w:val="0"/>
      <w:marRight w:val="0"/>
      <w:marTop w:val="0"/>
      <w:marBottom w:val="0"/>
      <w:divBdr>
        <w:top w:val="none" w:sz="0" w:space="0" w:color="auto"/>
        <w:left w:val="none" w:sz="0" w:space="0" w:color="auto"/>
        <w:bottom w:val="none" w:sz="0" w:space="0" w:color="auto"/>
        <w:right w:val="none" w:sz="0" w:space="0" w:color="auto"/>
      </w:divBdr>
    </w:div>
    <w:div w:id="723331576">
      <w:bodyDiv w:val="1"/>
      <w:marLeft w:val="0"/>
      <w:marRight w:val="0"/>
      <w:marTop w:val="0"/>
      <w:marBottom w:val="0"/>
      <w:divBdr>
        <w:top w:val="none" w:sz="0" w:space="0" w:color="auto"/>
        <w:left w:val="none" w:sz="0" w:space="0" w:color="auto"/>
        <w:bottom w:val="none" w:sz="0" w:space="0" w:color="auto"/>
        <w:right w:val="none" w:sz="0" w:space="0" w:color="auto"/>
      </w:divBdr>
      <w:divsChild>
        <w:div w:id="1355381296">
          <w:marLeft w:val="0"/>
          <w:marRight w:val="0"/>
          <w:marTop w:val="0"/>
          <w:marBottom w:val="0"/>
          <w:divBdr>
            <w:top w:val="none" w:sz="0" w:space="0" w:color="auto"/>
            <w:left w:val="none" w:sz="0" w:space="0" w:color="auto"/>
            <w:bottom w:val="none" w:sz="0" w:space="0" w:color="auto"/>
            <w:right w:val="none" w:sz="0" w:space="0" w:color="auto"/>
          </w:divBdr>
          <w:divsChild>
            <w:div w:id="383070624">
              <w:marLeft w:val="0"/>
              <w:marRight w:val="0"/>
              <w:marTop w:val="0"/>
              <w:marBottom w:val="0"/>
              <w:divBdr>
                <w:top w:val="none" w:sz="0" w:space="0" w:color="auto"/>
                <w:left w:val="none" w:sz="0" w:space="0" w:color="auto"/>
                <w:bottom w:val="none" w:sz="0" w:space="0" w:color="auto"/>
                <w:right w:val="none" w:sz="0" w:space="0" w:color="auto"/>
              </w:divBdr>
              <w:divsChild>
                <w:div w:id="1705059788">
                  <w:marLeft w:val="0"/>
                  <w:marRight w:val="0"/>
                  <w:marTop w:val="0"/>
                  <w:marBottom w:val="0"/>
                  <w:divBdr>
                    <w:top w:val="none" w:sz="0" w:space="0" w:color="auto"/>
                    <w:left w:val="none" w:sz="0" w:space="0" w:color="auto"/>
                    <w:bottom w:val="none" w:sz="0" w:space="0" w:color="auto"/>
                    <w:right w:val="none" w:sz="0" w:space="0" w:color="auto"/>
                  </w:divBdr>
                  <w:divsChild>
                    <w:div w:id="1816868220">
                      <w:marLeft w:val="0"/>
                      <w:marRight w:val="0"/>
                      <w:marTop w:val="0"/>
                      <w:marBottom w:val="0"/>
                      <w:divBdr>
                        <w:top w:val="none" w:sz="0" w:space="0" w:color="auto"/>
                        <w:left w:val="none" w:sz="0" w:space="0" w:color="auto"/>
                        <w:bottom w:val="none" w:sz="0" w:space="0" w:color="auto"/>
                        <w:right w:val="none" w:sz="0" w:space="0" w:color="auto"/>
                      </w:divBdr>
                      <w:divsChild>
                        <w:div w:id="1165558020">
                          <w:marLeft w:val="0"/>
                          <w:marRight w:val="0"/>
                          <w:marTop w:val="0"/>
                          <w:marBottom w:val="0"/>
                          <w:divBdr>
                            <w:top w:val="none" w:sz="0" w:space="0" w:color="auto"/>
                            <w:left w:val="none" w:sz="0" w:space="0" w:color="auto"/>
                            <w:bottom w:val="none" w:sz="0" w:space="0" w:color="auto"/>
                            <w:right w:val="none" w:sz="0" w:space="0" w:color="auto"/>
                          </w:divBdr>
                          <w:divsChild>
                            <w:div w:id="1751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076271">
      <w:bodyDiv w:val="1"/>
      <w:marLeft w:val="0"/>
      <w:marRight w:val="0"/>
      <w:marTop w:val="0"/>
      <w:marBottom w:val="0"/>
      <w:divBdr>
        <w:top w:val="none" w:sz="0" w:space="0" w:color="auto"/>
        <w:left w:val="none" w:sz="0" w:space="0" w:color="auto"/>
        <w:bottom w:val="none" w:sz="0" w:space="0" w:color="auto"/>
        <w:right w:val="none" w:sz="0" w:space="0" w:color="auto"/>
      </w:divBdr>
    </w:div>
    <w:div w:id="739058308">
      <w:bodyDiv w:val="1"/>
      <w:marLeft w:val="0"/>
      <w:marRight w:val="0"/>
      <w:marTop w:val="0"/>
      <w:marBottom w:val="0"/>
      <w:divBdr>
        <w:top w:val="none" w:sz="0" w:space="0" w:color="auto"/>
        <w:left w:val="none" w:sz="0" w:space="0" w:color="auto"/>
        <w:bottom w:val="none" w:sz="0" w:space="0" w:color="auto"/>
        <w:right w:val="none" w:sz="0" w:space="0" w:color="auto"/>
      </w:divBdr>
    </w:div>
    <w:div w:id="748387323">
      <w:bodyDiv w:val="1"/>
      <w:marLeft w:val="0"/>
      <w:marRight w:val="0"/>
      <w:marTop w:val="0"/>
      <w:marBottom w:val="0"/>
      <w:divBdr>
        <w:top w:val="none" w:sz="0" w:space="0" w:color="auto"/>
        <w:left w:val="none" w:sz="0" w:space="0" w:color="auto"/>
        <w:bottom w:val="none" w:sz="0" w:space="0" w:color="auto"/>
        <w:right w:val="none" w:sz="0" w:space="0" w:color="auto"/>
      </w:divBdr>
      <w:divsChild>
        <w:div w:id="1694652650">
          <w:marLeft w:val="0"/>
          <w:marRight w:val="0"/>
          <w:marTop w:val="0"/>
          <w:marBottom w:val="0"/>
          <w:divBdr>
            <w:top w:val="none" w:sz="0" w:space="0" w:color="auto"/>
            <w:left w:val="none" w:sz="0" w:space="0" w:color="auto"/>
            <w:bottom w:val="none" w:sz="0" w:space="0" w:color="auto"/>
            <w:right w:val="none" w:sz="0" w:space="0" w:color="auto"/>
          </w:divBdr>
          <w:divsChild>
            <w:div w:id="1036350581">
              <w:marLeft w:val="0"/>
              <w:marRight w:val="0"/>
              <w:marTop w:val="0"/>
              <w:marBottom w:val="0"/>
              <w:divBdr>
                <w:top w:val="none" w:sz="0" w:space="0" w:color="auto"/>
                <w:left w:val="none" w:sz="0" w:space="0" w:color="auto"/>
                <w:bottom w:val="none" w:sz="0" w:space="0" w:color="auto"/>
                <w:right w:val="none" w:sz="0" w:space="0" w:color="auto"/>
              </w:divBdr>
              <w:divsChild>
                <w:div w:id="53816865">
                  <w:marLeft w:val="0"/>
                  <w:marRight w:val="0"/>
                  <w:marTop w:val="0"/>
                  <w:marBottom w:val="0"/>
                  <w:divBdr>
                    <w:top w:val="none" w:sz="0" w:space="0" w:color="auto"/>
                    <w:left w:val="none" w:sz="0" w:space="0" w:color="auto"/>
                    <w:bottom w:val="none" w:sz="0" w:space="0" w:color="auto"/>
                    <w:right w:val="none" w:sz="0" w:space="0" w:color="auto"/>
                  </w:divBdr>
                  <w:divsChild>
                    <w:div w:id="983505051">
                      <w:marLeft w:val="0"/>
                      <w:marRight w:val="0"/>
                      <w:marTop w:val="0"/>
                      <w:marBottom w:val="0"/>
                      <w:divBdr>
                        <w:top w:val="none" w:sz="0" w:space="0" w:color="auto"/>
                        <w:left w:val="none" w:sz="0" w:space="0" w:color="auto"/>
                        <w:bottom w:val="none" w:sz="0" w:space="0" w:color="auto"/>
                        <w:right w:val="none" w:sz="0" w:space="0" w:color="auto"/>
                      </w:divBdr>
                      <w:divsChild>
                        <w:div w:id="1368482180">
                          <w:marLeft w:val="0"/>
                          <w:marRight w:val="0"/>
                          <w:marTop w:val="0"/>
                          <w:marBottom w:val="0"/>
                          <w:divBdr>
                            <w:top w:val="none" w:sz="0" w:space="0" w:color="auto"/>
                            <w:left w:val="none" w:sz="0" w:space="0" w:color="auto"/>
                            <w:bottom w:val="none" w:sz="0" w:space="0" w:color="auto"/>
                            <w:right w:val="none" w:sz="0" w:space="0" w:color="auto"/>
                          </w:divBdr>
                          <w:divsChild>
                            <w:div w:id="3117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472721">
      <w:bodyDiv w:val="1"/>
      <w:marLeft w:val="0"/>
      <w:marRight w:val="0"/>
      <w:marTop w:val="0"/>
      <w:marBottom w:val="0"/>
      <w:divBdr>
        <w:top w:val="none" w:sz="0" w:space="0" w:color="auto"/>
        <w:left w:val="none" w:sz="0" w:space="0" w:color="auto"/>
        <w:bottom w:val="none" w:sz="0" w:space="0" w:color="auto"/>
        <w:right w:val="none" w:sz="0" w:space="0" w:color="auto"/>
      </w:divBdr>
      <w:divsChild>
        <w:div w:id="729380253">
          <w:marLeft w:val="0"/>
          <w:marRight w:val="0"/>
          <w:marTop w:val="0"/>
          <w:marBottom w:val="0"/>
          <w:divBdr>
            <w:top w:val="none" w:sz="0" w:space="0" w:color="auto"/>
            <w:left w:val="none" w:sz="0" w:space="0" w:color="auto"/>
            <w:bottom w:val="none" w:sz="0" w:space="0" w:color="auto"/>
            <w:right w:val="none" w:sz="0" w:space="0" w:color="auto"/>
          </w:divBdr>
          <w:divsChild>
            <w:div w:id="1720086350">
              <w:marLeft w:val="0"/>
              <w:marRight w:val="0"/>
              <w:marTop w:val="0"/>
              <w:marBottom w:val="0"/>
              <w:divBdr>
                <w:top w:val="none" w:sz="0" w:space="0" w:color="auto"/>
                <w:left w:val="none" w:sz="0" w:space="0" w:color="auto"/>
                <w:bottom w:val="none" w:sz="0" w:space="0" w:color="auto"/>
                <w:right w:val="none" w:sz="0" w:space="0" w:color="auto"/>
              </w:divBdr>
              <w:divsChild>
                <w:div w:id="523642158">
                  <w:marLeft w:val="0"/>
                  <w:marRight w:val="0"/>
                  <w:marTop w:val="0"/>
                  <w:marBottom w:val="0"/>
                  <w:divBdr>
                    <w:top w:val="none" w:sz="0" w:space="0" w:color="auto"/>
                    <w:left w:val="none" w:sz="0" w:space="0" w:color="auto"/>
                    <w:bottom w:val="none" w:sz="0" w:space="0" w:color="auto"/>
                    <w:right w:val="none" w:sz="0" w:space="0" w:color="auto"/>
                  </w:divBdr>
                  <w:divsChild>
                    <w:div w:id="283734201">
                      <w:marLeft w:val="0"/>
                      <w:marRight w:val="0"/>
                      <w:marTop w:val="0"/>
                      <w:marBottom w:val="0"/>
                      <w:divBdr>
                        <w:top w:val="none" w:sz="0" w:space="0" w:color="auto"/>
                        <w:left w:val="none" w:sz="0" w:space="0" w:color="auto"/>
                        <w:bottom w:val="none" w:sz="0" w:space="0" w:color="auto"/>
                        <w:right w:val="none" w:sz="0" w:space="0" w:color="auto"/>
                      </w:divBdr>
                      <w:divsChild>
                        <w:div w:id="406656315">
                          <w:marLeft w:val="0"/>
                          <w:marRight w:val="0"/>
                          <w:marTop w:val="0"/>
                          <w:marBottom w:val="0"/>
                          <w:divBdr>
                            <w:top w:val="none" w:sz="0" w:space="0" w:color="auto"/>
                            <w:left w:val="none" w:sz="0" w:space="0" w:color="auto"/>
                            <w:bottom w:val="none" w:sz="0" w:space="0" w:color="auto"/>
                            <w:right w:val="none" w:sz="0" w:space="0" w:color="auto"/>
                          </w:divBdr>
                          <w:divsChild>
                            <w:div w:id="4221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665893">
      <w:bodyDiv w:val="1"/>
      <w:marLeft w:val="0"/>
      <w:marRight w:val="0"/>
      <w:marTop w:val="0"/>
      <w:marBottom w:val="0"/>
      <w:divBdr>
        <w:top w:val="none" w:sz="0" w:space="0" w:color="auto"/>
        <w:left w:val="none" w:sz="0" w:space="0" w:color="auto"/>
        <w:bottom w:val="none" w:sz="0" w:space="0" w:color="auto"/>
        <w:right w:val="none" w:sz="0" w:space="0" w:color="auto"/>
      </w:divBdr>
    </w:div>
    <w:div w:id="774442493">
      <w:bodyDiv w:val="1"/>
      <w:marLeft w:val="0"/>
      <w:marRight w:val="0"/>
      <w:marTop w:val="0"/>
      <w:marBottom w:val="0"/>
      <w:divBdr>
        <w:top w:val="none" w:sz="0" w:space="0" w:color="auto"/>
        <w:left w:val="none" w:sz="0" w:space="0" w:color="auto"/>
        <w:bottom w:val="none" w:sz="0" w:space="0" w:color="auto"/>
        <w:right w:val="none" w:sz="0" w:space="0" w:color="auto"/>
      </w:divBdr>
    </w:div>
    <w:div w:id="778641517">
      <w:bodyDiv w:val="1"/>
      <w:marLeft w:val="0"/>
      <w:marRight w:val="0"/>
      <w:marTop w:val="0"/>
      <w:marBottom w:val="0"/>
      <w:divBdr>
        <w:top w:val="none" w:sz="0" w:space="0" w:color="auto"/>
        <w:left w:val="none" w:sz="0" w:space="0" w:color="auto"/>
        <w:bottom w:val="none" w:sz="0" w:space="0" w:color="auto"/>
        <w:right w:val="none" w:sz="0" w:space="0" w:color="auto"/>
      </w:divBdr>
    </w:div>
    <w:div w:id="783579543">
      <w:bodyDiv w:val="1"/>
      <w:marLeft w:val="0"/>
      <w:marRight w:val="0"/>
      <w:marTop w:val="0"/>
      <w:marBottom w:val="0"/>
      <w:divBdr>
        <w:top w:val="none" w:sz="0" w:space="0" w:color="auto"/>
        <w:left w:val="none" w:sz="0" w:space="0" w:color="auto"/>
        <w:bottom w:val="none" w:sz="0" w:space="0" w:color="auto"/>
        <w:right w:val="none" w:sz="0" w:space="0" w:color="auto"/>
      </w:divBdr>
    </w:div>
    <w:div w:id="812023418">
      <w:bodyDiv w:val="1"/>
      <w:marLeft w:val="0"/>
      <w:marRight w:val="0"/>
      <w:marTop w:val="0"/>
      <w:marBottom w:val="0"/>
      <w:divBdr>
        <w:top w:val="none" w:sz="0" w:space="0" w:color="auto"/>
        <w:left w:val="none" w:sz="0" w:space="0" w:color="auto"/>
        <w:bottom w:val="none" w:sz="0" w:space="0" w:color="auto"/>
        <w:right w:val="none" w:sz="0" w:space="0" w:color="auto"/>
      </w:divBdr>
    </w:div>
    <w:div w:id="816386173">
      <w:bodyDiv w:val="1"/>
      <w:marLeft w:val="0"/>
      <w:marRight w:val="0"/>
      <w:marTop w:val="0"/>
      <w:marBottom w:val="0"/>
      <w:divBdr>
        <w:top w:val="none" w:sz="0" w:space="0" w:color="auto"/>
        <w:left w:val="none" w:sz="0" w:space="0" w:color="auto"/>
        <w:bottom w:val="none" w:sz="0" w:space="0" w:color="auto"/>
        <w:right w:val="none" w:sz="0" w:space="0" w:color="auto"/>
      </w:divBdr>
    </w:div>
    <w:div w:id="845436628">
      <w:bodyDiv w:val="1"/>
      <w:marLeft w:val="0"/>
      <w:marRight w:val="0"/>
      <w:marTop w:val="0"/>
      <w:marBottom w:val="0"/>
      <w:divBdr>
        <w:top w:val="none" w:sz="0" w:space="0" w:color="auto"/>
        <w:left w:val="none" w:sz="0" w:space="0" w:color="auto"/>
        <w:bottom w:val="none" w:sz="0" w:space="0" w:color="auto"/>
        <w:right w:val="none" w:sz="0" w:space="0" w:color="auto"/>
      </w:divBdr>
      <w:divsChild>
        <w:div w:id="669990430">
          <w:marLeft w:val="0"/>
          <w:marRight w:val="0"/>
          <w:marTop w:val="0"/>
          <w:marBottom w:val="0"/>
          <w:divBdr>
            <w:top w:val="none" w:sz="0" w:space="0" w:color="auto"/>
            <w:left w:val="none" w:sz="0" w:space="0" w:color="auto"/>
            <w:bottom w:val="none" w:sz="0" w:space="0" w:color="auto"/>
            <w:right w:val="none" w:sz="0" w:space="0" w:color="auto"/>
          </w:divBdr>
          <w:divsChild>
            <w:div w:id="2078820518">
              <w:marLeft w:val="0"/>
              <w:marRight w:val="0"/>
              <w:marTop w:val="0"/>
              <w:marBottom w:val="0"/>
              <w:divBdr>
                <w:top w:val="none" w:sz="0" w:space="0" w:color="auto"/>
                <w:left w:val="none" w:sz="0" w:space="0" w:color="auto"/>
                <w:bottom w:val="none" w:sz="0" w:space="0" w:color="auto"/>
                <w:right w:val="none" w:sz="0" w:space="0" w:color="auto"/>
              </w:divBdr>
              <w:divsChild>
                <w:div w:id="1603957558">
                  <w:marLeft w:val="0"/>
                  <w:marRight w:val="0"/>
                  <w:marTop w:val="0"/>
                  <w:marBottom w:val="0"/>
                  <w:divBdr>
                    <w:top w:val="none" w:sz="0" w:space="0" w:color="auto"/>
                    <w:left w:val="none" w:sz="0" w:space="0" w:color="auto"/>
                    <w:bottom w:val="none" w:sz="0" w:space="0" w:color="auto"/>
                    <w:right w:val="none" w:sz="0" w:space="0" w:color="auto"/>
                  </w:divBdr>
                  <w:divsChild>
                    <w:div w:id="754284515">
                      <w:marLeft w:val="0"/>
                      <w:marRight w:val="0"/>
                      <w:marTop w:val="0"/>
                      <w:marBottom w:val="0"/>
                      <w:divBdr>
                        <w:top w:val="none" w:sz="0" w:space="0" w:color="auto"/>
                        <w:left w:val="none" w:sz="0" w:space="0" w:color="auto"/>
                        <w:bottom w:val="none" w:sz="0" w:space="0" w:color="auto"/>
                        <w:right w:val="none" w:sz="0" w:space="0" w:color="auto"/>
                      </w:divBdr>
                      <w:divsChild>
                        <w:div w:id="384530909">
                          <w:marLeft w:val="0"/>
                          <w:marRight w:val="0"/>
                          <w:marTop w:val="0"/>
                          <w:marBottom w:val="0"/>
                          <w:divBdr>
                            <w:top w:val="none" w:sz="0" w:space="0" w:color="auto"/>
                            <w:left w:val="none" w:sz="0" w:space="0" w:color="auto"/>
                            <w:bottom w:val="none" w:sz="0" w:space="0" w:color="auto"/>
                            <w:right w:val="none" w:sz="0" w:space="0" w:color="auto"/>
                          </w:divBdr>
                          <w:divsChild>
                            <w:div w:id="6235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230745">
      <w:bodyDiv w:val="1"/>
      <w:marLeft w:val="0"/>
      <w:marRight w:val="0"/>
      <w:marTop w:val="0"/>
      <w:marBottom w:val="0"/>
      <w:divBdr>
        <w:top w:val="none" w:sz="0" w:space="0" w:color="auto"/>
        <w:left w:val="none" w:sz="0" w:space="0" w:color="auto"/>
        <w:bottom w:val="none" w:sz="0" w:space="0" w:color="auto"/>
        <w:right w:val="none" w:sz="0" w:space="0" w:color="auto"/>
      </w:divBdr>
    </w:div>
    <w:div w:id="854802791">
      <w:bodyDiv w:val="1"/>
      <w:marLeft w:val="0"/>
      <w:marRight w:val="0"/>
      <w:marTop w:val="0"/>
      <w:marBottom w:val="0"/>
      <w:divBdr>
        <w:top w:val="none" w:sz="0" w:space="0" w:color="auto"/>
        <w:left w:val="none" w:sz="0" w:space="0" w:color="auto"/>
        <w:bottom w:val="none" w:sz="0" w:space="0" w:color="auto"/>
        <w:right w:val="none" w:sz="0" w:space="0" w:color="auto"/>
      </w:divBdr>
      <w:divsChild>
        <w:div w:id="173761394">
          <w:marLeft w:val="0"/>
          <w:marRight w:val="0"/>
          <w:marTop w:val="0"/>
          <w:marBottom w:val="0"/>
          <w:divBdr>
            <w:top w:val="none" w:sz="0" w:space="0" w:color="auto"/>
            <w:left w:val="none" w:sz="0" w:space="0" w:color="auto"/>
            <w:bottom w:val="none" w:sz="0" w:space="0" w:color="auto"/>
            <w:right w:val="none" w:sz="0" w:space="0" w:color="auto"/>
          </w:divBdr>
          <w:divsChild>
            <w:div w:id="1747605407">
              <w:marLeft w:val="0"/>
              <w:marRight w:val="0"/>
              <w:marTop w:val="0"/>
              <w:marBottom w:val="0"/>
              <w:divBdr>
                <w:top w:val="none" w:sz="0" w:space="0" w:color="auto"/>
                <w:left w:val="none" w:sz="0" w:space="0" w:color="auto"/>
                <w:bottom w:val="none" w:sz="0" w:space="0" w:color="auto"/>
                <w:right w:val="none" w:sz="0" w:space="0" w:color="auto"/>
              </w:divBdr>
              <w:divsChild>
                <w:div w:id="89006775">
                  <w:marLeft w:val="0"/>
                  <w:marRight w:val="0"/>
                  <w:marTop w:val="0"/>
                  <w:marBottom w:val="0"/>
                  <w:divBdr>
                    <w:top w:val="none" w:sz="0" w:space="0" w:color="auto"/>
                    <w:left w:val="none" w:sz="0" w:space="0" w:color="auto"/>
                    <w:bottom w:val="none" w:sz="0" w:space="0" w:color="auto"/>
                    <w:right w:val="none" w:sz="0" w:space="0" w:color="auto"/>
                  </w:divBdr>
                  <w:divsChild>
                    <w:div w:id="167716693">
                      <w:marLeft w:val="0"/>
                      <w:marRight w:val="0"/>
                      <w:marTop w:val="0"/>
                      <w:marBottom w:val="0"/>
                      <w:divBdr>
                        <w:top w:val="none" w:sz="0" w:space="0" w:color="auto"/>
                        <w:left w:val="none" w:sz="0" w:space="0" w:color="auto"/>
                        <w:bottom w:val="none" w:sz="0" w:space="0" w:color="auto"/>
                        <w:right w:val="none" w:sz="0" w:space="0" w:color="auto"/>
                      </w:divBdr>
                      <w:divsChild>
                        <w:div w:id="1874803379">
                          <w:marLeft w:val="0"/>
                          <w:marRight w:val="0"/>
                          <w:marTop w:val="0"/>
                          <w:marBottom w:val="0"/>
                          <w:divBdr>
                            <w:top w:val="none" w:sz="0" w:space="0" w:color="auto"/>
                            <w:left w:val="none" w:sz="0" w:space="0" w:color="auto"/>
                            <w:bottom w:val="none" w:sz="0" w:space="0" w:color="auto"/>
                            <w:right w:val="none" w:sz="0" w:space="0" w:color="auto"/>
                          </w:divBdr>
                          <w:divsChild>
                            <w:div w:id="10864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969691">
      <w:bodyDiv w:val="1"/>
      <w:marLeft w:val="0"/>
      <w:marRight w:val="0"/>
      <w:marTop w:val="0"/>
      <w:marBottom w:val="0"/>
      <w:divBdr>
        <w:top w:val="none" w:sz="0" w:space="0" w:color="auto"/>
        <w:left w:val="none" w:sz="0" w:space="0" w:color="auto"/>
        <w:bottom w:val="none" w:sz="0" w:space="0" w:color="auto"/>
        <w:right w:val="none" w:sz="0" w:space="0" w:color="auto"/>
      </w:divBdr>
    </w:div>
    <w:div w:id="861287980">
      <w:bodyDiv w:val="1"/>
      <w:marLeft w:val="0"/>
      <w:marRight w:val="0"/>
      <w:marTop w:val="0"/>
      <w:marBottom w:val="0"/>
      <w:divBdr>
        <w:top w:val="none" w:sz="0" w:space="0" w:color="auto"/>
        <w:left w:val="none" w:sz="0" w:space="0" w:color="auto"/>
        <w:bottom w:val="none" w:sz="0" w:space="0" w:color="auto"/>
        <w:right w:val="none" w:sz="0" w:space="0" w:color="auto"/>
      </w:divBdr>
      <w:divsChild>
        <w:div w:id="975840120">
          <w:marLeft w:val="0"/>
          <w:marRight w:val="0"/>
          <w:marTop w:val="0"/>
          <w:marBottom w:val="0"/>
          <w:divBdr>
            <w:top w:val="none" w:sz="0" w:space="0" w:color="auto"/>
            <w:left w:val="none" w:sz="0" w:space="0" w:color="auto"/>
            <w:bottom w:val="none" w:sz="0" w:space="0" w:color="auto"/>
            <w:right w:val="none" w:sz="0" w:space="0" w:color="auto"/>
          </w:divBdr>
          <w:divsChild>
            <w:div w:id="996804096">
              <w:marLeft w:val="0"/>
              <w:marRight w:val="0"/>
              <w:marTop w:val="0"/>
              <w:marBottom w:val="0"/>
              <w:divBdr>
                <w:top w:val="none" w:sz="0" w:space="0" w:color="auto"/>
                <w:left w:val="none" w:sz="0" w:space="0" w:color="auto"/>
                <w:bottom w:val="none" w:sz="0" w:space="0" w:color="auto"/>
                <w:right w:val="none" w:sz="0" w:space="0" w:color="auto"/>
              </w:divBdr>
              <w:divsChild>
                <w:div w:id="520359038">
                  <w:marLeft w:val="0"/>
                  <w:marRight w:val="0"/>
                  <w:marTop w:val="0"/>
                  <w:marBottom w:val="0"/>
                  <w:divBdr>
                    <w:top w:val="none" w:sz="0" w:space="0" w:color="auto"/>
                    <w:left w:val="none" w:sz="0" w:space="0" w:color="auto"/>
                    <w:bottom w:val="none" w:sz="0" w:space="0" w:color="auto"/>
                    <w:right w:val="none" w:sz="0" w:space="0" w:color="auto"/>
                  </w:divBdr>
                  <w:divsChild>
                    <w:div w:id="740248405">
                      <w:marLeft w:val="0"/>
                      <w:marRight w:val="0"/>
                      <w:marTop w:val="0"/>
                      <w:marBottom w:val="0"/>
                      <w:divBdr>
                        <w:top w:val="none" w:sz="0" w:space="0" w:color="auto"/>
                        <w:left w:val="none" w:sz="0" w:space="0" w:color="auto"/>
                        <w:bottom w:val="none" w:sz="0" w:space="0" w:color="auto"/>
                        <w:right w:val="none" w:sz="0" w:space="0" w:color="auto"/>
                      </w:divBdr>
                      <w:divsChild>
                        <w:div w:id="355542900">
                          <w:marLeft w:val="0"/>
                          <w:marRight w:val="0"/>
                          <w:marTop w:val="0"/>
                          <w:marBottom w:val="0"/>
                          <w:divBdr>
                            <w:top w:val="none" w:sz="0" w:space="0" w:color="auto"/>
                            <w:left w:val="none" w:sz="0" w:space="0" w:color="auto"/>
                            <w:bottom w:val="none" w:sz="0" w:space="0" w:color="auto"/>
                            <w:right w:val="none" w:sz="0" w:space="0" w:color="auto"/>
                          </w:divBdr>
                          <w:divsChild>
                            <w:div w:id="8627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285680">
      <w:bodyDiv w:val="1"/>
      <w:marLeft w:val="0"/>
      <w:marRight w:val="0"/>
      <w:marTop w:val="0"/>
      <w:marBottom w:val="0"/>
      <w:divBdr>
        <w:top w:val="none" w:sz="0" w:space="0" w:color="auto"/>
        <w:left w:val="none" w:sz="0" w:space="0" w:color="auto"/>
        <w:bottom w:val="none" w:sz="0" w:space="0" w:color="auto"/>
        <w:right w:val="none" w:sz="0" w:space="0" w:color="auto"/>
      </w:divBdr>
    </w:div>
    <w:div w:id="873542217">
      <w:bodyDiv w:val="1"/>
      <w:marLeft w:val="0"/>
      <w:marRight w:val="0"/>
      <w:marTop w:val="0"/>
      <w:marBottom w:val="0"/>
      <w:divBdr>
        <w:top w:val="none" w:sz="0" w:space="0" w:color="auto"/>
        <w:left w:val="none" w:sz="0" w:space="0" w:color="auto"/>
        <w:bottom w:val="none" w:sz="0" w:space="0" w:color="auto"/>
        <w:right w:val="none" w:sz="0" w:space="0" w:color="auto"/>
      </w:divBdr>
      <w:divsChild>
        <w:div w:id="595796348">
          <w:marLeft w:val="0"/>
          <w:marRight w:val="0"/>
          <w:marTop w:val="0"/>
          <w:marBottom w:val="0"/>
          <w:divBdr>
            <w:top w:val="none" w:sz="0" w:space="0" w:color="auto"/>
            <w:left w:val="none" w:sz="0" w:space="0" w:color="auto"/>
            <w:bottom w:val="none" w:sz="0" w:space="0" w:color="auto"/>
            <w:right w:val="none" w:sz="0" w:space="0" w:color="auto"/>
          </w:divBdr>
          <w:divsChild>
            <w:div w:id="682129661">
              <w:marLeft w:val="0"/>
              <w:marRight w:val="0"/>
              <w:marTop w:val="0"/>
              <w:marBottom w:val="0"/>
              <w:divBdr>
                <w:top w:val="none" w:sz="0" w:space="0" w:color="auto"/>
                <w:left w:val="none" w:sz="0" w:space="0" w:color="auto"/>
                <w:bottom w:val="none" w:sz="0" w:space="0" w:color="auto"/>
                <w:right w:val="none" w:sz="0" w:space="0" w:color="auto"/>
              </w:divBdr>
              <w:divsChild>
                <w:div w:id="246578679">
                  <w:marLeft w:val="0"/>
                  <w:marRight w:val="0"/>
                  <w:marTop w:val="0"/>
                  <w:marBottom w:val="0"/>
                  <w:divBdr>
                    <w:top w:val="none" w:sz="0" w:space="0" w:color="auto"/>
                    <w:left w:val="none" w:sz="0" w:space="0" w:color="auto"/>
                    <w:bottom w:val="none" w:sz="0" w:space="0" w:color="auto"/>
                    <w:right w:val="none" w:sz="0" w:space="0" w:color="auto"/>
                  </w:divBdr>
                  <w:divsChild>
                    <w:div w:id="447697522">
                      <w:marLeft w:val="0"/>
                      <w:marRight w:val="0"/>
                      <w:marTop w:val="0"/>
                      <w:marBottom w:val="0"/>
                      <w:divBdr>
                        <w:top w:val="none" w:sz="0" w:space="0" w:color="auto"/>
                        <w:left w:val="none" w:sz="0" w:space="0" w:color="auto"/>
                        <w:bottom w:val="none" w:sz="0" w:space="0" w:color="auto"/>
                        <w:right w:val="none" w:sz="0" w:space="0" w:color="auto"/>
                      </w:divBdr>
                      <w:divsChild>
                        <w:div w:id="824592076">
                          <w:marLeft w:val="0"/>
                          <w:marRight w:val="0"/>
                          <w:marTop w:val="0"/>
                          <w:marBottom w:val="0"/>
                          <w:divBdr>
                            <w:top w:val="none" w:sz="0" w:space="0" w:color="auto"/>
                            <w:left w:val="none" w:sz="0" w:space="0" w:color="auto"/>
                            <w:bottom w:val="none" w:sz="0" w:space="0" w:color="auto"/>
                            <w:right w:val="none" w:sz="0" w:space="0" w:color="auto"/>
                          </w:divBdr>
                          <w:divsChild>
                            <w:div w:id="21228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0693">
      <w:bodyDiv w:val="1"/>
      <w:marLeft w:val="0"/>
      <w:marRight w:val="0"/>
      <w:marTop w:val="0"/>
      <w:marBottom w:val="0"/>
      <w:divBdr>
        <w:top w:val="none" w:sz="0" w:space="0" w:color="auto"/>
        <w:left w:val="none" w:sz="0" w:space="0" w:color="auto"/>
        <w:bottom w:val="none" w:sz="0" w:space="0" w:color="auto"/>
        <w:right w:val="none" w:sz="0" w:space="0" w:color="auto"/>
      </w:divBdr>
    </w:div>
    <w:div w:id="882863852">
      <w:bodyDiv w:val="1"/>
      <w:marLeft w:val="0"/>
      <w:marRight w:val="0"/>
      <w:marTop w:val="0"/>
      <w:marBottom w:val="0"/>
      <w:divBdr>
        <w:top w:val="none" w:sz="0" w:space="0" w:color="auto"/>
        <w:left w:val="none" w:sz="0" w:space="0" w:color="auto"/>
        <w:bottom w:val="none" w:sz="0" w:space="0" w:color="auto"/>
        <w:right w:val="none" w:sz="0" w:space="0" w:color="auto"/>
      </w:divBdr>
    </w:div>
    <w:div w:id="887183545">
      <w:bodyDiv w:val="1"/>
      <w:marLeft w:val="0"/>
      <w:marRight w:val="0"/>
      <w:marTop w:val="0"/>
      <w:marBottom w:val="0"/>
      <w:divBdr>
        <w:top w:val="none" w:sz="0" w:space="0" w:color="auto"/>
        <w:left w:val="none" w:sz="0" w:space="0" w:color="auto"/>
        <w:bottom w:val="none" w:sz="0" w:space="0" w:color="auto"/>
        <w:right w:val="none" w:sz="0" w:space="0" w:color="auto"/>
      </w:divBdr>
    </w:div>
    <w:div w:id="892666707">
      <w:bodyDiv w:val="1"/>
      <w:marLeft w:val="0"/>
      <w:marRight w:val="0"/>
      <w:marTop w:val="0"/>
      <w:marBottom w:val="0"/>
      <w:divBdr>
        <w:top w:val="none" w:sz="0" w:space="0" w:color="auto"/>
        <w:left w:val="none" w:sz="0" w:space="0" w:color="auto"/>
        <w:bottom w:val="none" w:sz="0" w:space="0" w:color="auto"/>
        <w:right w:val="none" w:sz="0" w:space="0" w:color="auto"/>
      </w:divBdr>
      <w:divsChild>
        <w:div w:id="1641350159">
          <w:marLeft w:val="0"/>
          <w:marRight w:val="0"/>
          <w:marTop w:val="0"/>
          <w:marBottom w:val="0"/>
          <w:divBdr>
            <w:top w:val="none" w:sz="0" w:space="0" w:color="auto"/>
            <w:left w:val="none" w:sz="0" w:space="0" w:color="auto"/>
            <w:bottom w:val="none" w:sz="0" w:space="0" w:color="auto"/>
            <w:right w:val="none" w:sz="0" w:space="0" w:color="auto"/>
          </w:divBdr>
          <w:divsChild>
            <w:div w:id="1180698981">
              <w:marLeft w:val="0"/>
              <w:marRight w:val="0"/>
              <w:marTop w:val="0"/>
              <w:marBottom w:val="0"/>
              <w:divBdr>
                <w:top w:val="none" w:sz="0" w:space="0" w:color="auto"/>
                <w:left w:val="none" w:sz="0" w:space="0" w:color="auto"/>
                <w:bottom w:val="none" w:sz="0" w:space="0" w:color="auto"/>
                <w:right w:val="none" w:sz="0" w:space="0" w:color="auto"/>
              </w:divBdr>
              <w:divsChild>
                <w:div w:id="1054045851">
                  <w:marLeft w:val="0"/>
                  <w:marRight w:val="0"/>
                  <w:marTop w:val="0"/>
                  <w:marBottom w:val="0"/>
                  <w:divBdr>
                    <w:top w:val="none" w:sz="0" w:space="0" w:color="auto"/>
                    <w:left w:val="none" w:sz="0" w:space="0" w:color="auto"/>
                    <w:bottom w:val="none" w:sz="0" w:space="0" w:color="auto"/>
                    <w:right w:val="none" w:sz="0" w:space="0" w:color="auto"/>
                  </w:divBdr>
                  <w:divsChild>
                    <w:div w:id="1886137118">
                      <w:marLeft w:val="0"/>
                      <w:marRight w:val="0"/>
                      <w:marTop w:val="0"/>
                      <w:marBottom w:val="0"/>
                      <w:divBdr>
                        <w:top w:val="none" w:sz="0" w:space="0" w:color="auto"/>
                        <w:left w:val="none" w:sz="0" w:space="0" w:color="auto"/>
                        <w:bottom w:val="none" w:sz="0" w:space="0" w:color="auto"/>
                        <w:right w:val="none" w:sz="0" w:space="0" w:color="auto"/>
                      </w:divBdr>
                      <w:divsChild>
                        <w:div w:id="1644430983">
                          <w:marLeft w:val="0"/>
                          <w:marRight w:val="0"/>
                          <w:marTop w:val="0"/>
                          <w:marBottom w:val="0"/>
                          <w:divBdr>
                            <w:top w:val="none" w:sz="0" w:space="0" w:color="auto"/>
                            <w:left w:val="none" w:sz="0" w:space="0" w:color="auto"/>
                            <w:bottom w:val="none" w:sz="0" w:space="0" w:color="auto"/>
                            <w:right w:val="none" w:sz="0" w:space="0" w:color="auto"/>
                          </w:divBdr>
                          <w:divsChild>
                            <w:div w:id="3545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009989">
      <w:bodyDiv w:val="1"/>
      <w:marLeft w:val="0"/>
      <w:marRight w:val="0"/>
      <w:marTop w:val="0"/>
      <w:marBottom w:val="0"/>
      <w:divBdr>
        <w:top w:val="none" w:sz="0" w:space="0" w:color="auto"/>
        <w:left w:val="none" w:sz="0" w:space="0" w:color="auto"/>
        <w:bottom w:val="none" w:sz="0" w:space="0" w:color="auto"/>
        <w:right w:val="none" w:sz="0" w:space="0" w:color="auto"/>
      </w:divBdr>
    </w:div>
    <w:div w:id="933516091">
      <w:bodyDiv w:val="1"/>
      <w:marLeft w:val="0"/>
      <w:marRight w:val="0"/>
      <w:marTop w:val="0"/>
      <w:marBottom w:val="0"/>
      <w:divBdr>
        <w:top w:val="none" w:sz="0" w:space="0" w:color="auto"/>
        <w:left w:val="none" w:sz="0" w:space="0" w:color="auto"/>
        <w:bottom w:val="none" w:sz="0" w:space="0" w:color="auto"/>
        <w:right w:val="none" w:sz="0" w:space="0" w:color="auto"/>
      </w:divBdr>
    </w:div>
    <w:div w:id="940911548">
      <w:bodyDiv w:val="1"/>
      <w:marLeft w:val="0"/>
      <w:marRight w:val="0"/>
      <w:marTop w:val="0"/>
      <w:marBottom w:val="0"/>
      <w:divBdr>
        <w:top w:val="none" w:sz="0" w:space="0" w:color="auto"/>
        <w:left w:val="none" w:sz="0" w:space="0" w:color="auto"/>
        <w:bottom w:val="none" w:sz="0" w:space="0" w:color="auto"/>
        <w:right w:val="none" w:sz="0" w:space="0" w:color="auto"/>
      </w:divBdr>
    </w:div>
    <w:div w:id="956372403">
      <w:bodyDiv w:val="1"/>
      <w:marLeft w:val="0"/>
      <w:marRight w:val="0"/>
      <w:marTop w:val="0"/>
      <w:marBottom w:val="0"/>
      <w:divBdr>
        <w:top w:val="none" w:sz="0" w:space="0" w:color="auto"/>
        <w:left w:val="none" w:sz="0" w:space="0" w:color="auto"/>
        <w:bottom w:val="none" w:sz="0" w:space="0" w:color="auto"/>
        <w:right w:val="none" w:sz="0" w:space="0" w:color="auto"/>
      </w:divBdr>
      <w:divsChild>
        <w:div w:id="2044474179">
          <w:marLeft w:val="0"/>
          <w:marRight w:val="0"/>
          <w:marTop w:val="0"/>
          <w:marBottom w:val="0"/>
          <w:divBdr>
            <w:top w:val="none" w:sz="0" w:space="0" w:color="auto"/>
            <w:left w:val="none" w:sz="0" w:space="0" w:color="auto"/>
            <w:bottom w:val="none" w:sz="0" w:space="0" w:color="auto"/>
            <w:right w:val="none" w:sz="0" w:space="0" w:color="auto"/>
          </w:divBdr>
          <w:divsChild>
            <w:div w:id="126363390">
              <w:marLeft w:val="0"/>
              <w:marRight w:val="0"/>
              <w:marTop w:val="0"/>
              <w:marBottom w:val="0"/>
              <w:divBdr>
                <w:top w:val="none" w:sz="0" w:space="0" w:color="auto"/>
                <w:left w:val="none" w:sz="0" w:space="0" w:color="auto"/>
                <w:bottom w:val="none" w:sz="0" w:space="0" w:color="auto"/>
                <w:right w:val="none" w:sz="0" w:space="0" w:color="auto"/>
              </w:divBdr>
              <w:divsChild>
                <w:div w:id="1258371340">
                  <w:marLeft w:val="0"/>
                  <w:marRight w:val="0"/>
                  <w:marTop w:val="0"/>
                  <w:marBottom w:val="0"/>
                  <w:divBdr>
                    <w:top w:val="none" w:sz="0" w:space="0" w:color="auto"/>
                    <w:left w:val="none" w:sz="0" w:space="0" w:color="auto"/>
                    <w:bottom w:val="none" w:sz="0" w:space="0" w:color="auto"/>
                    <w:right w:val="none" w:sz="0" w:space="0" w:color="auto"/>
                  </w:divBdr>
                  <w:divsChild>
                    <w:div w:id="443307913">
                      <w:marLeft w:val="0"/>
                      <w:marRight w:val="0"/>
                      <w:marTop w:val="0"/>
                      <w:marBottom w:val="0"/>
                      <w:divBdr>
                        <w:top w:val="none" w:sz="0" w:space="0" w:color="auto"/>
                        <w:left w:val="none" w:sz="0" w:space="0" w:color="auto"/>
                        <w:bottom w:val="none" w:sz="0" w:space="0" w:color="auto"/>
                        <w:right w:val="none" w:sz="0" w:space="0" w:color="auto"/>
                      </w:divBdr>
                      <w:divsChild>
                        <w:div w:id="1387294588">
                          <w:marLeft w:val="0"/>
                          <w:marRight w:val="0"/>
                          <w:marTop w:val="0"/>
                          <w:marBottom w:val="0"/>
                          <w:divBdr>
                            <w:top w:val="none" w:sz="0" w:space="0" w:color="auto"/>
                            <w:left w:val="none" w:sz="0" w:space="0" w:color="auto"/>
                            <w:bottom w:val="none" w:sz="0" w:space="0" w:color="auto"/>
                            <w:right w:val="none" w:sz="0" w:space="0" w:color="auto"/>
                          </w:divBdr>
                          <w:divsChild>
                            <w:div w:id="3541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679069">
      <w:bodyDiv w:val="1"/>
      <w:marLeft w:val="0"/>
      <w:marRight w:val="0"/>
      <w:marTop w:val="0"/>
      <w:marBottom w:val="0"/>
      <w:divBdr>
        <w:top w:val="none" w:sz="0" w:space="0" w:color="auto"/>
        <w:left w:val="none" w:sz="0" w:space="0" w:color="auto"/>
        <w:bottom w:val="none" w:sz="0" w:space="0" w:color="auto"/>
        <w:right w:val="none" w:sz="0" w:space="0" w:color="auto"/>
      </w:divBdr>
    </w:div>
    <w:div w:id="1019967502">
      <w:bodyDiv w:val="1"/>
      <w:marLeft w:val="0"/>
      <w:marRight w:val="0"/>
      <w:marTop w:val="0"/>
      <w:marBottom w:val="0"/>
      <w:divBdr>
        <w:top w:val="none" w:sz="0" w:space="0" w:color="auto"/>
        <w:left w:val="none" w:sz="0" w:space="0" w:color="auto"/>
        <w:bottom w:val="none" w:sz="0" w:space="0" w:color="auto"/>
        <w:right w:val="none" w:sz="0" w:space="0" w:color="auto"/>
      </w:divBdr>
    </w:div>
    <w:div w:id="1060518271">
      <w:bodyDiv w:val="1"/>
      <w:marLeft w:val="0"/>
      <w:marRight w:val="0"/>
      <w:marTop w:val="0"/>
      <w:marBottom w:val="0"/>
      <w:divBdr>
        <w:top w:val="none" w:sz="0" w:space="0" w:color="auto"/>
        <w:left w:val="none" w:sz="0" w:space="0" w:color="auto"/>
        <w:bottom w:val="none" w:sz="0" w:space="0" w:color="auto"/>
        <w:right w:val="none" w:sz="0" w:space="0" w:color="auto"/>
      </w:divBdr>
      <w:divsChild>
        <w:div w:id="2097362502">
          <w:marLeft w:val="0"/>
          <w:marRight w:val="0"/>
          <w:marTop w:val="0"/>
          <w:marBottom w:val="0"/>
          <w:divBdr>
            <w:top w:val="none" w:sz="0" w:space="0" w:color="auto"/>
            <w:left w:val="none" w:sz="0" w:space="0" w:color="auto"/>
            <w:bottom w:val="none" w:sz="0" w:space="0" w:color="auto"/>
            <w:right w:val="none" w:sz="0" w:space="0" w:color="auto"/>
          </w:divBdr>
          <w:divsChild>
            <w:div w:id="76248883">
              <w:marLeft w:val="0"/>
              <w:marRight w:val="0"/>
              <w:marTop w:val="0"/>
              <w:marBottom w:val="0"/>
              <w:divBdr>
                <w:top w:val="none" w:sz="0" w:space="0" w:color="auto"/>
                <w:left w:val="none" w:sz="0" w:space="0" w:color="auto"/>
                <w:bottom w:val="none" w:sz="0" w:space="0" w:color="auto"/>
                <w:right w:val="none" w:sz="0" w:space="0" w:color="auto"/>
              </w:divBdr>
              <w:divsChild>
                <w:div w:id="1987316617">
                  <w:marLeft w:val="0"/>
                  <w:marRight w:val="0"/>
                  <w:marTop w:val="0"/>
                  <w:marBottom w:val="0"/>
                  <w:divBdr>
                    <w:top w:val="none" w:sz="0" w:space="0" w:color="auto"/>
                    <w:left w:val="none" w:sz="0" w:space="0" w:color="auto"/>
                    <w:bottom w:val="none" w:sz="0" w:space="0" w:color="auto"/>
                    <w:right w:val="none" w:sz="0" w:space="0" w:color="auto"/>
                  </w:divBdr>
                  <w:divsChild>
                    <w:div w:id="1249192042">
                      <w:marLeft w:val="0"/>
                      <w:marRight w:val="0"/>
                      <w:marTop w:val="0"/>
                      <w:marBottom w:val="0"/>
                      <w:divBdr>
                        <w:top w:val="none" w:sz="0" w:space="0" w:color="auto"/>
                        <w:left w:val="none" w:sz="0" w:space="0" w:color="auto"/>
                        <w:bottom w:val="none" w:sz="0" w:space="0" w:color="auto"/>
                        <w:right w:val="none" w:sz="0" w:space="0" w:color="auto"/>
                      </w:divBdr>
                      <w:divsChild>
                        <w:div w:id="934754396">
                          <w:marLeft w:val="0"/>
                          <w:marRight w:val="0"/>
                          <w:marTop w:val="0"/>
                          <w:marBottom w:val="0"/>
                          <w:divBdr>
                            <w:top w:val="none" w:sz="0" w:space="0" w:color="auto"/>
                            <w:left w:val="none" w:sz="0" w:space="0" w:color="auto"/>
                            <w:bottom w:val="none" w:sz="0" w:space="0" w:color="auto"/>
                            <w:right w:val="none" w:sz="0" w:space="0" w:color="auto"/>
                          </w:divBdr>
                          <w:divsChild>
                            <w:div w:id="380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2379">
      <w:bodyDiv w:val="1"/>
      <w:marLeft w:val="0"/>
      <w:marRight w:val="0"/>
      <w:marTop w:val="0"/>
      <w:marBottom w:val="0"/>
      <w:divBdr>
        <w:top w:val="none" w:sz="0" w:space="0" w:color="auto"/>
        <w:left w:val="none" w:sz="0" w:space="0" w:color="auto"/>
        <w:bottom w:val="none" w:sz="0" w:space="0" w:color="auto"/>
        <w:right w:val="none" w:sz="0" w:space="0" w:color="auto"/>
      </w:divBdr>
      <w:divsChild>
        <w:div w:id="2053460516">
          <w:marLeft w:val="0"/>
          <w:marRight w:val="0"/>
          <w:marTop w:val="0"/>
          <w:marBottom w:val="0"/>
          <w:divBdr>
            <w:top w:val="none" w:sz="0" w:space="0" w:color="auto"/>
            <w:left w:val="none" w:sz="0" w:space="0" w:color="auto"/>
            <w:bottom w:val="none" w:sz="0" w:space="0" w:color="auto"/>
            <w:right w:val="none" w:sz="0" w:space="0" w:color="auto"/>
          </w:divBdr>
          <w:divsChild>
            <w:div w:id="1533567813">
              <w:marLeft w:val="0"/>
              <w:marRight w:val="0"/>
              <w:marTop w:val="0"/>
              <w:marBottom w:val="0"/>
              <w:divBdr>
                <w:top w:val="none" w:sz="0" w:space="0" w:color="auto"/>
                <w:left w:val="none" w:sz="0" w:space="0" w:color="auto"/>
                <w:bottom w:val="none" w:sz="0" w:space="0" w:color="auto"/>
                <w:right w:val="none" w:sz="0" w:space="0" w:color="auto"/>
              </w:divBdr>
              <w:divsChild>
                <w:div w:id="1231962756">
                  <w:marLeft w:val="0"/>
                  <w:marRight w:val="0"/>
                  <w:marTop w:val="0"/>
                  <w:marBottom w:val="0"/>
                  <w:divBdr>
                    <w:top w:val="none" w:sz="0" w:space="0" w:color="auto"/>
                    <w:left w:val="none" w:sz="0" w:space="0" w:color="auto"/>
                    <w:bottom w:val="none" w:sz="0" w:space="0" w:color="auto"/>
                    <w:right w:val="none" w:sz="0" w:space="0" w:color="auto"/>
                  </w:divBdr>
                  <w:divsChild>
                    <w:div w:id="964701946">
                      <w:marLeft w:val="0"/>
                      <w:marRight w:val="0"/>
                      <w:marTop w:val="0"/>
                      <w:marBottom w:val="0"/>
                      <w:divBdr>
                        <w:top w:val="none" w:sz="0" w:space="0" w:color="auto"/>
                        <w:left w:val="none" w:sz="0" w:space="0" w:color="auto"/>
                        <w:bottom w:val="none" w:sz="0" w:space="0" w:color="auto"/>
                        <w:right w:val="none" w:sz="0" w:space="0" w:color="auto"/>
                      </w:divBdr>
                      <w:divsChild>
                        <w:div w:id="2036349083">
                          <w:marLeft w:val="0"/>
                          <w:marRight w:val="0"/>
                          <w:marTop w:val="0"/>
                          <w:marBottom w:val="0"/>
                          <w:divBdr>
                            <w:top w:val="none" w:sz="0" w:space="0" w:color="auto"/>
                            <w:left w:val="none" w:sz="0" w:space="0" w:color="auto"/>
                            <w:bottom w:val="none" w:sz="0" w:space="0" w:color="auto"/>
                            <w:right w:val="none" w:sz="0" w:space="0" w:color="auto"/>
                          </w:divBdr>
                          <w:divsChild>
                            <w:div w:id="1422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565662">
      <w:bodyDiv w:val="1"/>
      <w:marLeft w:val="0"/>
      <w:marRight w:val="0"/>
      <w:marTop w:val="0"/>
      <w:marBottom w:val="0"/>
      <w:divBdr>
        <w:top w:val="none" w:sz="0" w:space="0" w:color="auto"/>
        <w:left w:val="none" w:sz="0" w:space="0" w:color="auto"/>
        <w:bottom w:val="none" w:sz="0" w:space="0" w:color="auto"/>
        <w:right w:val="none" w:sz="0" w:space="0" w:color="auto"/>
      </w:divBdr>
    </w:div>
    <w:div w:id="1128353286">
      <w:bodyDiv w:val="1"/>
      <w:marLeft w:val="0"/>
      <w:marRight w:val="0"/>
      <w:marTop w:val="0"/>
      <w:marBottom w:val="0"/>
      <w:divBdr>
        <w:top w:val="none" w:sz="0" w:space="0" w:color="auto"/>
        <w:left w:val="none" w:sz="0" w:space="0" w:color="auto"/>
        <w:bottom w:val="none" w:sz="0" w:space="0" w:color="auto"/>
        <w:right w:val="none" w:sz="0" w:space="0" w:color="auto"/>
      </w:divBdr>
      <w:divsChild>
        <w:div w:id="1476293422">
          <w:marLeft w:val="0"/>
          <w:marRight w:val="0"/>
          <w:marTop w:val="0"/>
          <w:marBottom w:val="0"/>
          <w:divBdr>
            <w:top w:val="none" w:sz="0" w:space="0" w:color="auto"/>
            <w:left w:val="none" w:sz="0" w:space="0" w:color="auto"/>
            <w:bottom w:val="none" w:sz="0" w:space="0" w:color="auto"/>
            <w:right w:val="none" w:sz="0" w:space="0" w:color="auto"/>
          </w:divBdr>
          <w:divsChild>
            <w:div w:id="1947082566">
              <w:marLeft w:val="0"/>
              <w:marRight w:val="0"/>
              <w:marTop w:val="0"/>
              <w:marBottom w:val="0"/>
              <w:divBdr>
                <w:top w:val="none" w:sz="0" w:space="0" w:color="auto"/>
                <w:left w:val="none" w:sz="0" w:space="0" w:color="auto"/>
                <w:bottom w:val="none" w:sz="0" w:space="0" w:color="auto"/>
                <w:right w:val="none" w:sz="0" w:space="0" w:color="auto"/>
              </w:divBdr>
              <w:divsChild>
                <w:div w:id="969897845">
                  <w:marLeft w:val="0"/>
                  <w:marRight w:val="0"/>
                  <w:marTop w:val="0"/>
                  <w:marBottom w:val="0"/>
                  <w:divBdr>
                    <w:top w:val="none" w:sz="0" w:space="0" w:color="auto"/>
                    <w:left w:val="none" w:sz="0" w:space="0" w:color="auto"/>
                    <w:bottom w:val="none" w:sz="0" w:space="0" w:color="auto"/>
                    <w:right w:val="none" w:sz="0" w:space="0" w:color="auto"/>
                  </w:divBdr>
                  <w:divsChild>
                    <w:div w:id="1565604683">
                      <w:marLeft w:val="0"/>
                      <w:marRight w:val="0"/>
                      <w:marTop w:val="0"/>
                      <w:marBottom w:val="0"/>
                      <w:divBdr>
                        <w:top w:val="none" w:sz="0" w:space="0" w:color="auto"/>
                        <w:left w:val="none" w:sz="0" w:space="0" w:color="auto"/>
                        <w:bottom w:val="none" w:sz="0" w:space="0" w:color="auto"/>
                        <w:right w:val="none" w:sz="0" w:space="0" w:color="auto"/>
                      </w:divBdr>
                      <w:divsChild>
                        <w:div w:id="919829598">
                          <w:marLeft w:val="0"/>
                          <w:marRight w:val="0"/>
                          <w:marTop w:val="0"/>
                          <w:marBottom w:val="0"/>
                          <w:divBdr>
                            <w:top w:val="none" w:sz="0" w:space="0" w:color="auto"/>
                            <w:left w:val="none" w:sz="0" w:space="0" w:color="auto"/>
                            <w:bottom w:val="none" w:sz="0" w:space="0" w:color="auto"/>
                            <w:right w:val="none" w:sz="0" w:space="0" w:color="auto"/>
                          </w:divBdr>
                          <w:divsChild>
                            <w:div w:id="15656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968949">
      <w:bodyDiv w:val="1"/>
      <w:marLeft w:val="0"/>
      <w:marRight w:val="0"/>
      <w:marTop w:val="0"/>
      <w:marBottom w:val="0"/>
      <w:divBdr>
        <w:top w:val="none" w:sz="0" w:space="0" w:color="auto"/>
        <w:left w:val="none" w:sz="0" w:space="0" w:color="auto"/>
        <w:bottom w:val="none" w:sz="0" w:space="0" w:color="auto"/>
        <w:right w:val="none" w:sz="0" w:space="0" w:color="auto"/>
      </w:divBdr>
    </w:div>
    <w:div w:id="1215502854">
      <w:bodyDiv w:val="1"/>
      <w:marLeft w:val="0"/>
      <w:marRight w:val="0"/>
      <w:marTop w:val="0"/>
      <w:marBottom w:val="0"/>
      <w:divBdr>
        <w:top w:val="none" w:sz="0" w:space="0" w:color="auto"/>
        <w:left w:val="none" w:sz="0" w:space="0" w:color="auto"/>
        <w:bottom w:val="none" w:sz="0" w:space="0" w:color="auto"/>
        <w:right w:val="none" w:sz="0" w:space="0" w:color="auto"/>
      </w:divBdr>
    </w:div>
    <w:div w:id="1233810787">
      <w:bodyDiv w:val="1"/>
      <w:marLeft w:val="0"/>
      <w:marRight w:val="0"/>
      <w:marTop w:val="0"/>
      <w:marBottom w:val="0"/>
      <w:divBdr>
        <w:top w:val="none" w:sz="0" w:space="0" w:color="auto"/>
        <w:left w:val="none" w:sz="0" w:space="0" w:color="auto"/>
        <w:bottom w:val="none" w:sz="0" w:space="0" w:color="auto"/>
        <w:right w:val="none" w:sz="0" w:space="0" w:color="auto"/>
      </w:divBdr>
    </w:div>
    <w:div w:id="1269772095">
      <w:bodyDiv w:val="1"/>
      <w:marLeft w:val="0"/>
      <w:marRight w:val="0"/>
      <w:marTop w:val="0"/>
      <w:marBottom w:val="0"/>
      <w:divBdr>
        <w:top w:val="none" w:sz="0" w:space="0" w:color="auto"/>
        <w:left w:val="none" w:sz="0" w:space="0" w:color="auto"/>
        <w:bottom w:val="none" w:sz="0" w:space="0" w:color="auto"/>
        <w:right w:val="none" w:sz="0" w:space="0" w:color="auto"/>
      </w:divBdr>
    </w:div>
    <w:div w:id="1285767903">
      <w:bodyDiv w:val="1"/>
      <w:marLeft w:val="0"/>
      <w:marRight w:val="0"/>
      <w:marTop w:val="0"/>
      <w:marBottom w:val="0"/>
      <w:divBdr>
        <w:top w:val="none" w:sz="0" w:space="0" w:color="auto"/>
        <w:left w:val="none" w:sz="0" w:space="0" w:color="auto"/>
        <w:bottom w:val="none" w:sz="0" w:space="0" w:color="auto"/>
        <w:right w:val="none" w:sz="0" w:space="0" w:color="auto"/>
      </w:divBdr>
    </w:div>
    <w:div w:id="1289121993">
      <w:bodyDiv w:val="1"/>
      <w:marLeft w:val="0"/>
      <w:marRight w:val="0"/>
      <w:marTop w:val="0"/>
      <w:marBottom w:val="0"/>
      <w:divBdr>
        <w:top w:val="none" w:sz="0" w:space="0" w:color="auto"/>
        <w:left w:val="none" w:sz="0" w:space="0" w:color="auto"/>
        <w:bottom w:val="none" w:sz="0" w:space="0" w:color="auto"/>
        <w:right w:val="none" w:sz="0" w:space="0" w:color="auto"/>
      </w:divBdr>
    </w:div>
    <w:div w:id="1330325131">
      <w:bodyDiv w:val="1"/>
      <w:marLeft w:val="0"/>
      <w:marRight w:val="0"/>
      <w:marTop w:val="0"/>
      <w:marBottom w:val="0"/>
      <w:divBdr>
        <w:top w:val="none" w:sz="0" w:space="0" w:color="auto"/>
        <w:left w:val="none" w:sz="0" w:space="0" w:color="auto"/>
        <w:bottom w:val="none" w:sz="0" w:space="0" w:color="auto"/>
        <w:right w:val="none" w:sz="0" w:space="0" w:color="auto"/>
      </w:divBdr>
    </w:div>
    <w:div w:id="1368407608">
      <w:bodyDiv w:val="1"/>
      <w:marLeft w:val="0"/>
      <w:marRight w:val="0"/>
      <w:marTop w:val="0"/>
      <w:marBottom w:val="0"/>
      <w:divBdr>
        <w:top w:val="none" w:sz="0" w:space="0" w:color="auto"/>
        <w:left w:val="none" w:sz="0" w:space="0" w:color="auto"/>
        <w:bottom w:val="none" w:sz="0" w:space="0" w:color="auto"/>
        <w:right w:val="none" w:sz="0" w:space="0" w:color="auto"/>
      </w:divBdr>
      <w:divsChild>
        <w:div w:id="921138857">
          <w:marLeft w:val="0"/>
          <w:marRight w:val="0"/>
          <w:marTop w:val="0"/>
          <w:marBottom w:val="0"/>
          <w:divBdr>
            <w:top w:val="none" w:sz="0" w:space="0" w:color="auto"/>
            <w:left w:val="none" w:sz="0" w:space="0" w:color="auto"/>
            <w:bottom w:val="none" w:sz="0" w:space="0" w:color="auto"/>
            <w:right w:val="none" w:sz="0" w:space="0" w:color="auto"/>
          </w:divBdr>
          <w:divsChild>
            <w:div w:id="1656059817">
              <w:marLeft w:val="0"/>
              <w:marRight w:val="0"/>
              <w:marTop w:val="0"/>
              <w:marBottom w:val="0"/>
              <w:divBdr>
                <w:top w:val="none" w:sz="0" w:space="0" w:color="auto"/>
                <w:left w:val="none" w:sz="0" w:space="0" w:color="auto"/>
                <w:bottom w:val="none" w:sz="0" w:space="0" w:color="auto"/>
                <w:right w:val="none" w:sz="0" w:space="0" w:color="auto"/>
              </w:divBdr>
              <w:divsChild>
                <w:div w:id="1430930326">
                  <w:marLeft w:val="0"/>
                  <w:marRight w:val="0"/>
                  <w:marTop w:val="0"/>
                  <w:marBottom w:val="0"/>
                  <w:divBdr>
                    <w:top w:val="none" w:sz="0" w:space="0" w:color="auto"/>
                    <w:left w:val="none" w:sz="0" w:space="0" w:color="auto"/>
                    <w:bottom w:val="none" w:sz="0" w:space="0" w:color="auto"/>
                    <w:right w:val="none" w:sz="0" w:space="0" w:color="auto"/>
                  </w:divBdr>
                  <w:divsChild>
                    <w:div w:id="1849438771">
                      <w:marLeft w:val="0"/>
                      <w:marRight w:val="0"/>
                      <w:marTop w:val="0"/>
                      <w:marBottom w:val="0"/>
                      <w:divBdr>
                        <w:top w:val="none" w:sz="0" w:space="0" w:color="auto"/>
                        <w:left w:val="none" w:sz="0" w:space="0" w:color="auto"/>
                        <w:bottom w:val="none" w:sz="0" w:space="0" w:color="auto"/>
                        <w:right w:val="none" w:sz="0" w:space="0" w:color="auto"/>
                      </w:divBdr>
                      <w:divsChild>
                        <w:div w:id="1545174164">
                          <w:marLeft w:val="0"/>
                          <w:marRight w:val="0"/>
                          <w:marTop w:val="0"/>
                          <w:marBottom w:val="0"/>
                          <w:divBdr>
                            <w:top w:val="none" w:sz="0" w:space="0" w:color="auto"/>
                            <w:left w:val="none" w:sz="0" w:space="0" w:color="auto"/>
                            <w:bottom w:val="none" w:sz="0" w:space="0" w:color="auto"/>
                            <w:right w:val="none" w:sz="0" w:space="0" w:color="auto"/>
                          </w:divBdr>
                          <w:divsChild>
                            <w:div w:id="8850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52818">
      <w:bodyDiv w:val="1"/>
      <w:marLeft w:val="0"/>
      <w:marRight w:val="0"/>
      <w:marTop w:val="0"/>
      <w:marBottom w:val="0"/>
      <w:divBdr>
        <w:top w:val="none" w:sz="0" w:space="0" w:color="auto"/>
        <w:left w:val="none" w:sz="0" w:space="0" w:color="auto"/>
        <w:bottom w:val="none" w:sz="0" w:space="0" w:color="auto"/>
        <w:right w:val="none" w:sz="0" w:space="0" w:color="auto"/>
      </w:divBdr>
    </w:div>
    <w:div w:id="1404916726">
      <w:bodyDiv w:val="1"/>
      <w:marLeft w:val="0"/>
      <w:marRight w:val="0"/>
      <w:marTop w:val="0"/>
      <w:marBottom w:val="0"/>
      <w:divBdr>
        <w:top w:val="none" w:sz="0" w:space="0" w:color="auto"/>
        <w:left w:val="none" w:sz="0" w:space="0" w:color="auto"/>
        <w:bottom w:val="none" w:sz="0" w:space="0" w:color="auto"/>
        <w:right w:val="none" w:sz="0" w:space="0" w:color="auto"/>
      </w:divBdr>
    </w:div>
    <w:div w:id="1469057774">
      <w:bodyDiv w:val="1"/>
      <w:marLeft w:val="0"/>
      <w:marRight w:val="0"/>
      <w:marTop w:val="0"/>
      <w:marBottom w:val="0"/>
      <w:divBdr>
        <w:top w:val="none" w:sz="0" w:space="0" w:color="auto"/>
        <w:left w:val="none" w:sz="0" w:space="0" w:color="auto"/>
        <w:bottom w:val="none" w:sz="0" w:space="0" w:color="auto"/>
        <w:right w:val="none" w:sz="0" w:space="0" w:color="auto"/>
      </w:divBdr>
    </w:div>
    <w:div w:id="1545563354">
      <w:bodyDiv w:val="1"/>
      <w:marLeft w:val="0"/>
      <w:marRight w:val="0"/>
      <w:marTop w:val="0"/>
      <w:marBottom w:val="0"/>
      <w:divBdr>
        <w:top w:val="none" w:sz="0" w:space="0" w:color="auto"/>
        <w:left w:val="none" w:sz="0" w:space="0" w:color="auto"/>
        <w:bottom w:val="none" w:sz="0" w:space="0" w:color="auto"/>
        <w:right w:val="none" w:sz="0" w:space="0" w:color="auto"/>
      </w:divBdr>
    </w:div>
    <w:div w:id="1567259002">
      <w:bodyDiv w:val="1"/>
      <w:marLeft w:val="0"/>
      <w:marRight w:val="0"/>
      <w:marTop w:val="0"/>
      <w:marBottom w:val="0"/>
      <w:divBdr>
        <w:top w:val="none" w:sz="0" w:space="0" w:color="auto"/>
        <w:left w:val="none" w:sz="0" w:space="0" w:color="auto"/>
        <w:bottom w:val="none" w:sz="0" w:space="0" w:color="auto"/>
        <w:right w:val="none" w:sz="0" w:space="0" w:color="auto"/>
      </w:divBdr>
    </w:div>
    <w:div w:id="1569264542">
      <w:bodyDiv w:val="1"/>
      <w:marLeft w:val="0"/>
      <w:marRight w:val="0"/>
      <w:marTop w:val="0"/>
      <w:marBottom w:val="0"/>
      <w:divBdr>
        <w:top w:val="none" w:sz="0" w:space="0" w:color="auto"/>
        <w:left w:val="none" w:sz="0" w:space="0" w:color="auto"/>
        <w:bottom w:val="none" w:sz="0" w:space="0" w:color="auto"/>
        <w:right w:val="none" w:sz="0" w:space="0" w:color="auto"/>
      </w:divBdr>
    </w:div>
    <w:div w:id="1587960038">
      <w:bodyDiv w:val="1"/>
      <w:marLeft w:val="0"/>
      <w:marRight w:val="0"/>
      <w:marTop w:val="0"/>
      <w:marBottom w:val="0"/>
      <w:divBdr>
        <w:top w:val="none" w:sz="0" w:space="0" w:color="auto"/>
        <w:left w:val="none" w:sz="0" w:space="0" w:color="auto"/>
        <w:bottom w:val="none" w:sz="0" w:space="0" w:color="auto"/>
        <w:right w:val="none" w:sz="0" w:space="0" w:color="auto"/>
      </w:divBdr>
    </w:div>
    <w:div w:id="1594240901">
      <w:bodyDiv w:val="1"/>
      <w:marLeft w:val="0"/>
      <w:marRight w:val="0"/>
      <w:marTop w:val="0"/>
      <w:marBottom w:val="0"/>
      <w:divBdr>
        <w:top w:val="none" w:sz="0" w:space="0" w:color="auto"/>
        <w:left w:val="none" w:sz="0" w:space="0" w:color="auto"/>
        <w:bottom w:val="none" w:sz="0" w:space="0" w:color="auto"/>
        <w:right w:val="none" w:sz="0" w:space="0" w:color="auto"/>
      </w:divBdr>
    </w:div>
    <w:div w:id="1603142493">
      <w:bodyDiv w:val="1"/>
      <w:marLeft w:val="0"/>
      <w:marRight w:val="0"/>
      <w:marTop w:val="0"/>
      <w:marBottom w:val="0"/>
      <w:divBdr>
        <w:top w:val="none" w:sz="0" w:space="0" w:color="auto"/>
        <w:left w:val="none" w:sz="0" w:space="0" w:color="auto"/>
        <w:bottom w:val="none" w:sz="0" w:space="0" w:color="auto"/>
        <w:right w:val="none" w:sz="0" w:space="0" w:color="auto"/>
      </w:divBdr>
    </w:div>
    <w:div w:id="1640770130">
      <w:bodyDiv w:val="1"/>
      <w:marLeft w:val="0"/>
      <w:marRight w:val="0"/>
      <w:marTop w:val="0"/>
      <w:marBottom w:val="0"/>
      <w:divBdr>
        <w:top w:val="none" w:sz="0" w:space="0" w:color="auto"/>
        <w:left w:val="none" w:sz="0" w:space="0" w:color="auto"/>
        <w:bottom w:val="none" w:sz="0" w:space="0" w:color="auto"/>
        <w:right w:val="none" w:sz="0" w:space="0" w:color="auto"/>
      </w:divBdr>
      <w:divsChild>
        <w:div w:id="1277365969">
          <w:marLeft w:val="0"/>
          <w:marRight w:val="0"/>
          <w:marTop w:val="0"/>
          <w:marBottom w:val="0"/>
          <w:divBdr>
            <w:top w:val="none" w:sz="0" w:space="0" w:color="auto"/>
            <w:left w:val="none" w:sz="0" w:space="0" w:color="auto"/>
            <w:bottom w:val="none" w:sz="0" w:space="0" w:color="auto"/>
            <w:right w:val="none" w:sz="0" w:space="0" w:color="auto"/>
          </w:divBdr>
          <w:divsChild>
            <w:div w:id="1093207452">
              <w:marLeft w:val="0"/>
              <w:marRight w:val="0"/>
              <w:marTop w:val="0"/>
              <w:marBottom w:val="0"/>
              <w:divBdr>
                <w:top w:val="none" w:sz="0" w:space="0" w:color="auto"/>
                <w:left w:val="none" w:sz="0" w:space="0" w:color="auto"/>
                <w:bottom w:val="none" w:sz="0" w:space="0" w:color="auto"/>
                <w:right w:val="none" w:sz="0" w:space="0" w:color="auto"/>
              </w:divBdr>
              <w:divsChild>
                <w:div w:id="953901755">
                  <w:marLeft w:val="0"/>
                  <w:marRight w:val="0"/>
                  <w:marTop w:val="0"/>
                  <w:marBottom w:val="0"/>
                  <w:divBdr>
                    <w:top w:val="none" w:sz="0" w:space="0" w:color="auto"/>
                    <w:left w:val="none" w:sz="0" w:space="0" w:color="auto"/>
                    <w:bottom w:val="none" w:sz="0" w:space="0" w:color="auto"/>
                    <w:right w:val="none" w:sz="0" w:space="0" w:color="auto"/>
                  </w:divBdr>
                  <w:divsChild>
                    <w:div w:id="1401292822">
                      <w:marLeft w:val="0"/>
                      <w:marRight w:val="0"/>
                      <w:marTop w:val="0"/>
                      <w:marBottom w:val="0"/>
                      <w:divBdr>
                        <w:top w:val="none" w:sz="0" w:space="0" w:color="auto"/>
                        <w:left w:val="none" w:sz="0" w:space="0" w:color="auto"/>
                        <w:bottom w:val="none" w:sz="0" w:space="0" w:color="auto"/>
                        <w:right w:val="none" w:sz="0" w:space="0" w:color="auto"/>
                      </w:divBdr>
                      <w:divsChild>
                        <w:div w:id="1873882237">
                          <w:marLeft w:val="0"/>
                          <w:marRight w:val="0"/>
                          <w:marTop w:val="0"/>
                          <w:marBottom w:val="0"/>
                          <w:divBdr>
                            <w:top w:val="none" w:sz="0" w:space="0" w:color="auto"/>
                            <w:left w:val="none" w:sz="0" w:space="0" w:color="auto"/>
                            <w:bottom w:val="none" w:sz="0" w:space="0" w:color="auto"/>
                            <w:right w:val="none" w:sz="0" w:space="0" w:color="auto"/>
                          </w:divBdr>
                          <w:divsChild>
                            <w:div w:id="6665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908635">
      <w:bodyDiv w:val="1"/>
      <w:marLeft w:val="0"/>
      <w:marRight w:val="0"/>
      <w:marTop w:val="0"/>
      <w:marBottom w:val="0"/>
      <w:divBdr>
        <w:top w:val="none" w:sz="0" w:space="0" w:color="auto"/>
        <w:left w:val="none" w:sz="0" w:space="0" w:color="auto"/>
        <w:bottom w:val="none" w:sz="0" w:space="0" w:color="auto"/>
        <w:right w:val="none" w:sz="0" w:space="0" w:color="auto"/>
      </w:divBdr>
    </w:div>
    <w:div w:id="1659187667">
      <w:bodyDiv w:val="1"/>
      <w:marLeft w:val="0"/>
      <w:marRight w:val="0"/>
      <w:marTop w:val="0"/>
      <w:marBottom w:val="0"/>
      <w:divBdr>
        <w:top w:val="none" w:sz="0" w:space="0" w:color="auto"/>
        <w:left w:val="none" w:sz="0" w:space="0" w:color="auto"/>
        <w:bottom w:val="none" w:sz="0" w:space="0" w:color="auto"/>
        <w:right w:val="none" w:sz="0" w:space="0" w:color="auto"/>
      </w:divBdr>
    </w:div>
    <w:div w:id="1669599133">
      <w:bodyDiv w:val="1"/>
      <w:marLeft w:val="0"/>
      <w:marRight w:val="0"/>
      <w:marTop w:val="0"/>
      <w:marBottom w:val="0"/>
      <w:divBdr>
        <w:top w:val="none" w:sz="0" w:space="0" w:color="auto"/>
        <w:left w:val="none" w:sz="0" w:space="0" w:color="auto"/>
        <w:bottom w:val="none" w:sz="0" w:space="0" w:color="auto"/>
        <w:right w:val="none" w:sz="0" w:space="0" w:color="auto"/>
      </w:divBdr>
      <w:divsChild>
        <w:div w:id="1830947997">
          <w:marLeft w:val="0"/>
          <w:marRight w:val="0"/>
          <w:marTop w:val="0"/>
          <w:marBottom w:val="0"/>
          <w:divBdr>
            <w:top w:val="none" w:sz="0" w:space="0" w:color="auto"/>
            <w:left w:val="none" w:sz="0" w:space="0" w:color="auto"/>
            <w:bottom w:val="none" w:sz="0" w:space="0" w:color="auto"/>
            <w:right w:val="none" w:sz="0" w:space="0" w:color="auto"/>
          </w:divBdr>
          <w:divsChild>
            <w:div w:id="282687993">
              <w:marLeft w:val="0"/>
              <w:marRight w:val="0"/>
              <w:marTop w:val="0"/>
              <w:marBottom w:val="0"/>
              <w:divBdr>
                <w:top w:val="none" w:sz="0" w:space="0" w:color="auto"/>
                <w:left w:val="none" w:sz="0" w:space="0" w:color="auto"/>
                <w:bottom w:val="none" w:sz="0" w:space="0" w:color="auto"/>
                <w:right w:val="none" w:sz="0" w:space="0" w:color="auto"/>
              </w:divBdr>
              <w:divsChild>
                <w:div w:id="1760905622">
                  <w:marLeft w:val="0"/>
                  <w:marRight w:val="0"/>
                  <w:marTop w:val="0"/>
                  <w:marBottom w:val="0"/>
                  <w:divBdr>
                    <w:top w:val="none" w:sz="0" w:space="0" w:color="auto"/>
                    <w:left w:val="none" w:sz="0" w:space="0" w:color="auto"/>
                    <w:bottom w:val="none" w:sz="0" w:space="0" w:color="auto"/>
                    <w:right w:val="none" w:sz="0" w:space="0" w:color="auto"/>
                  </w:divBdr>
                  <w:divsChild>
                    <w:div w:id="2021541238">
                      <w:marLeft w:val="0"/>
                      <w:marRight w:val="0"/>
                      <w:marTop w:val="0"/>
                      <w:marBottom w:val="0"/>
                      <w:divBdr>
                        <w:top w:val="none" w:sz="0" w:space="0" w:color="auto"/>
                        <w:left w:val="none" w:sz="0" w:space="0" w:color="auto"/>
                        <w:bottom w:val="none" w:sz="0" w:space="0" w:color="auto"/>
                        <w:right w:val="none" w:sz="0" w:space="0" w:color="auto"/>
                      </w:divBdr>
                      <w:divsChild>
                        <w:div w:id="1996564566">
                          <w:marLeft w:val="0"/>
                          <w:marRight w:val="0"/>
                          <w:marTop w:val="0"/>
                          <w:marBottom w:val="0"/>
                          <w:divBdr>
                            <w:top w:val="none" w:sz="0" w:space="0" w:color="auto"/>
                            <w:left w:val="none" w:sz="0" w:space="0" w:color="auto"/>
                            <w:bottom w:val="none" w:sz="0" w:space="0" w:color="auto"/>
                            <w:right w:val="none" w:sz="0" w:space="0" w:color="auto"/>
                          </w:divBdr>
                          <w:divsChild>
                            <w:div w:id="3805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06404">
      <w:bodyDiv w:val="1"/>
      <w:marLeft w:val="0"/>
      <w:marRight w:val="0"/>
      <w:marTop w:val="0"/>
      <w:marBottom w:val="0"/>
      <w:divBdr>
        <w:top w:val="none" w:sz="0" w:space="0" w:color="auto"/>
        <w:left w:val="none" w:sz="0" w:space="0" w:color="auto"/>
        <w:bottom w:val="none" w:sz="0" w:space="0" w:color="auto"/>
        <w:right w:val="none" w:sz="0" w:space="0" w:color="auto"/>
      </w:divBdr>
    </w:div>
    <w:div w:id="1768965945">
      <w:bodyDiv w:val="1"/>
      <w:marLeft w:val="0"/>
      <w:marRight w:val="0"/>
      <w:marTop w:val="0"/>
      <w:marBottom w:val="0"/>
      <w:divBdr>
        <w:top w:val="none" w:sz="0" w:space="0" w:color="auto"/>
        <w:left w:val="none" w:sz="0" w:space="0" w:color="auto"/>
        <w:bottom w:val="none" w:sz="0" w:space="0" w:color="auto"/>
        <w:right w:val="none" w:sz="0" w:space="0" w:color="auto"/>
      </w:divBdr>
    </w:div>
    <w:div w:id="1793940933">
      <w:bodyDiv w:val="1"/>
      <w:marLeft w:val="0"/>
      <w:marRight w:val="0"/>
      <w:marTop w:val="0"/>
      <w:marBottom w:val="0"/>
      <w:divBdr>
        <w:top w:val="none" w:sz="0" w:space="0" w:color="auto"/>
        <w:left w:val="none" w:sz="0" w:space="0" w:color="auto"/>
        <w:bottom w:val="none" w:sz="0" w:space="0" w:color="auto"/>
        <w:right w:val="none" w:sz="0" w:space="0" w:color="auto"/>
      </w:divBdr>
      <w:divsChild>
        <w:div w:id="564537520">
          <w:marLeft w:val="0"/>
          <w:marRight w:val="0"/>
          <w:marTop w:val="0"/>
          <w:marBottom w:val="0"/>
          <w:divBdr>
            <w:top w:val="none" w:sz="0" w:space="0" w:color="auto"/>
            <w:left w:val="none" w:sz="0" w:space="0" w:color="auto"/>
            <w:bottom w:val="none" w:sz="0" w:space="0" w:color="auto"/>
            <w:right w:val="none" w:sz="0" w:space="0" w:color="auto"/>
          </w:divBdr>
          <w:divsChild>
            <w:div w:id="401414954">
              <w:marLeft w:val="0"/>
              <w:marRight w:val="0"/>
              <w:marTop w:val="0"/>
              <w:marBottom w:val="0"/>
              <w:divBdr>
                <w:top w:val="none" w:sz="0" w:space="0" w:color="auto"/>
                <w:left w:val="none" w:sz="0" w:space="0" w:color="auto"/>
                <w:bottom w:val="none" w:sz="0" w:space="0" w:color="auto"/>
                <w:right w:val="none" w:sz="0" w:space="0" w:color="auto"/>
              </w:divBdr>
              <w:divsChild>
                <w:div w:id="1698509952">
                  <w:marLeft w:val="0"/>
                  <w:marRight w:val="0"/>
                  <w:marTop w:val="0"/>
                  <w:marBottom w:val="0"/>
                  <w:divBdr>
                    <w:top w:val="none" w:sz="0" w:space="0" w:color="auto"/>
                    <w:left w:val="none" w:sz="0" w:space="0" w:color="auto"/>
                    <w:bottom w:val="none" w:sz="0" w:space="0" w:color="auto"/>
                    <w:right w:val="none" w:sz="0" w:space="0" w:color="auto"/>
                  </w:divBdr>
                  <w:divsChild>
                    <w:div w:id="1603101352">
                      <w:marLeft w:val="0"/>
                      <w:marRight w:val="0"/>
                      <w:marTop w:val="0"/>
                      <w:marBottom w:val="0"/>
                      <w:divBdr>
                        <w:top w:val="none" w:sz="0" w:space="0" w:color="auto"/>
                        <w:left w:val="none" w:sz="0" w:space="0" w:color="auto"/>
                        <w:bottom w:val="none" w:sz="0" w:space="0" w:color="auto"/>
                        <w:right w:val="none" w:sz="0" w:space="0" w:color="auto"/>
                      </w:divBdr>
                      <w:divsChild>
                        <w:div w:id="418331234">
                          <w:marLeft w:val="0"/>
                          <w:marRight w:val="0"/>
                          <w:marTop w:val="0"/>
                          <w:marBottom w:val="0"/>
                          <w:divBdr>
                            <w:top w:val="none" w:sz="0" w:space="0" w:color="auto"/>
                            <w:left w:val="none" w:sz="0" w:space="0" w:color="auto"/>
                            <w:bottom w:val="none" w:sz="0" w:space="0" w:color="auto"/>
                            <w:right w:val="none" w:sz="0" w:space="0" w:color="auto"/>
                          </w:divBdr>
                          <w:divsChild>
                            <w:div w:id="5278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59828">
      <w:bodyDiv w:val="1"/>
      <w:marLeft w:val="0"/>
      <w:marRight w:val="0"/>
      <w:marTop w:val="0"/>
      <w:marBottom w:val="0"/>
      <w:divBdr>
        <w:top w:val="none" w:sz="0" w:space="0" w:color="auto"/>
        <w:left w:val="none" w:sz="0" w:space="0" w:color="auto"/>
        <w:bottom w:val="none" w:sz="0" w:space="0" w:color="auto"/>
        <w:right w:val="none" w:sz="0" w:space="0" w:color="auto"/>
      </w:divBdr>
      <w:divsChild>
        <w:div w:id="1001542871">
          <w:marLeft w:val="0"/>
          <w:marRight w:val="0"/>
          <w:marTop w:val="0"/>
          <w:marBottom w:val="0"/>
          <w:divBdr>
            <w:top w:val="none" w:sz="0" w:space="0" w:color="auto"/>
            <w:left w:val="none" w:sz="0" w:space="0" w:color="auto"/>
            <w:bottom w:val="none" w:sz="0" w:space="0" w:color="auto"/>
            <w:right w:val="none" w:sz="0" w:space="0" w:color="auto"/>
          </w:divBdr>
          <w:divsChild>
            <w:div w:id="49153933">
              <w:marLeft w:val="0"/>
              <w:marRight w:val="0"/>
              <w:marTop w:val="0"/>
              <w:marBottom w:val="0"/>
              <w:divBdr>
                <w:top w:val="none" w:sz="0" w:space="0" w:color="auto"/>
                <w:left w:val="none" w:sz="0" w:space="0" w:color="auto"/>
                <w:bottom w:val="none" w:sz="0" w:space="0" w:color="auto"/>
                <w:right w:val="none" w:sz="0" w:space="0" w:color="auto"/>
              </w:divBdr>
              <w:divsChild>
                <w:div w:id="1131482486">
                  <w:marLeft w:val="0"/>
                  <w:marRight w:val="0"/>
                  <w:marTop w:val="0"/>
                  <w:marBottom w:val="0"/>
                  <w:divBdr>
                    <w:top w:val="none" w:sz="0" w:space="0" w:color="auto"/>
                    <w:left w:val="none" w:sz="0" w:space="0" w:color="auto"/>
                    <w:bottom w:val="none" w:sz="0" w:space="0" w:color="auto"/>
                    <w:right w:val="none" w:sz="0" w:space="0" w:color="auto"/>
                  </w:divBdr>
                  <w:divsChild>
                    <w:div w:id="894774614">
                      <w:marLeft w:val="0"/>
                      <w:marRight w:val="0"/>
                      <w:marTop w:val="0"/>
                      <w:marBottom w:val="0"/>
                      <w:divBdr>
                        <w:top w:val="none" w:sz="0" w:space="0" w:color="auto"/>
                        <w:left w:val="none" w:sz="0" w:space="0" w:color="auto"/>
                        <w:bottom w:val="none" w:sz="0" w:space="0" w:color="auto"/>
                        <w:right w:val="none" w:sz="0" w:space="0" w:color="auto"/>
                      </w:divBdr>
                      <w:divsChild>
                        <w:div w:id="275405445">
                          <w:marLeft w:val="0"/>
                          <w:marRight w:val="0"/>
                          <w:marTop w:val="0"/>
                          <w:marBottom w:val="0"/>
                          <w:divBdr>
                            <w:top w:val="none" w:sz="0" w:space="0" w:color="auto"/>
                            <w:left w:val="none" w:sz="0" w:space="0" w:color="auto"/>
                            <w:bottom w:val="none" w:sz="0" w:space="0" w:color="auto"/>
                            <w:right w:val="none" w:sz="0" w:space="0" w:color="auto"/>
                          </w:divBdr>
                          <w:divsChild>
                            <w:div w:id="119472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601756">
      <w:bodyDiv w:val="1"/>
      <w:marLeft w:val="0"/>
      <w:marRight w:val="0"/>
      <w:marTop w:val="0"/>
      <w:marBottom w:val="0"/>
      <w:divBdr>
        <w:top w:val="none" w:sz="0" w:space="0" w:color="auto"/>
        <w:left w:val="none" w:sz="0" w:space="0" w:color="auto"/>
        <w:bottom w:val="none" w:sz="0" w:space="0" w:color="auto"/>
        <w:right w:val="none" w:sz="0" w:space="0" w:color="auto"/>
      </w:divBdr>
    </w:div>
    <w:div w:id="1873566190">
      <w:bodyDiv w:val="1"/>
      <w:marLeft w:val="0"/>
      <w:marRight w:val="0"/>
      <w:marTop w:val="0"/>
      <w:marBottom w:val="0"/>
      <w:divBdr>
        <w:top w:val="none" w:sz="0" w:space="0" w:color="auto"/>
        <w:left w:val="none" w:sz="0" w:space="0" w:color="auto"/>
        <w:bottom w:val="none" w:sz="0" w:space="0" w:color="auto"/>
        <w:right w:val="none" w:sz="0" w:space="0" w:color="auto"/>
      </w:divBdr>
      <w:divsChild>
        <w:div w:id="1477457032">
          <w:marLeft w:val="0"/>
          <w:marRight w:val="0"/>
          <w:marTop w:val="0"/>
          <w:marBottom w:val="0"/>
          <w:divBdr>
            <w:top w:val="none" w:sz="0" w:space="0" w:color="auto"/>
            <w:left w:val="none" w:sz="0" w:space="0" w:color="auto"/>
            <w:bottom w:val="none" w:sz="0" w:space="0" w:color="auto"/>
            <w:right w:val="none" w:sz="0" w:space="0" w:color="auto"/>
          </w:divBdr>
          <w:divsChild>
            <w:div w:id="1954632115">
              <w:marLeft w:val="0"/>
              <w:marRight w:val="0"/>
              <w:marTop w:val="0"/>
              <w:marBottom w:val="0"/>
              <w:divBdr>
                <w:top w:val="none" w:sz="0" w:space="0" w:color="auto"/>
                <w:left w:val="none" w:sz="0" w:space="0" w:color="auto"/>
                <w:bottom w:val="none" w:sz="0" w:space="0" w:color="auto"/>
                <w:right w:val="none" w:sz="0" w:space="0" w:color="auto"/>
              </w:divBdr>
              <w:divsChild>
                <w:div w:id="1687101355">
                  <w:marLeft w:val="0"/>
                  <w:marRight w:val="0"/>
                  <w:marTop w:val="0"/>
                  <w:marBottom w:val="0"/>
                  <w:divBdr>
                    <w:top w:val="none" w:sz="0" w:space="0" w:color="auto"/>
                    <w:left w:val="none" w:sz="0" w:space="0" w:color="auto"/>
                    <w:bottom w:val="none" w:sz="0" w:space="0" w:color="auto"/>
                    <w:right w:val="none" w:sz="0" w:space="0" w:color="auto"/>
                  </w:divBdr>
                  <w:divsChild>
                    <w:div w:id="715351083">
                      <w:marLeft w:val="0"/>
                      <w:marRight w:val="0"/>
                      <w:marTop w:val="0"/>
                      <w:marBottom w:val="0"/>
                      <w:divBdr>
                        <w:top w:val="none" w:sz="0" w:space="0" w:color="auto"/>
                        <w:left w:val="none" w:sz="0" w:space="0" w:color="auto"/>
                        <w:bottom w:val="none" w:sz="0" w:space="0" w:color="auto"/>
                        <w:right w:val="none" w:sz="0" w:space="0" w:color="auto"/>
                      </w:divBdr>
                      <w:divsChild>
                        <w:div w:id="445269134">
                          <w:marLeft w:val="0"/>
                          <w:marRight w:val="0"/>
                          <w:marTop w:val="0"/>
                          <w:marBottom w:val="0"/>
                          <w:divBdr>
                            <w:top w:val="none" w:sz="0" w:space="0" w:color="auto"/>
                            <w:left w:val="none" w:sz="0" w:space="0" w:color="auto"/>
                            <w:bottom w:val="none" w:sz="0" w:space="0" w:color="auto"/>
                            <w:right w:val="none" w:sz="0" w:space="0" w:color="auto"/>
                          </w:divBdr>
                          <w:divsChild>
                            <w:div w:id="16686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934346">
      <w:bodyDiv w:val="1"/>
      <w:marLeft w:val="0"/>
      <w:marRight w:val="0"/>
      <w:marTop w:val="0"/>
      <w:marBottom w:val="0"/>
      <w:divBdr>
        <w:top w:val="none" w:sz="0" w:space="0" w:color="auto"/>
        <w:left w:val="none" w:sz="0" w:space="0" w:color="auto"/>
        <w:bottom w:val="none" w:sz="0" w:space="0" w:color="auto"/>
        <w:right w:val="none" w:sz="0" w:space="0" w:color="auto"/>
      </w:divBdr>
    </w:div>
    <w:div w:id="1896819648">
      <w:bodyDiv w:val="1"/>
      <w:marLeft w:val="0"/>
      <w:marRight w:val="0"/>
      <w:marTop w:val="0"/>
      <w:marBottom w:val="0"/>
      <w:divBdr>
        <w:top w:val="none" w:sz="0" w:space="0" w:color="auto"/>
        <w:left w:val="none" w:sz="0" w:space="0" w:color="auto"/>
        <w:bottom w:val="none" w:sz="0" w:space="0" w:color="auto"/>
        <w:right w:val="none" w:sz="0" w:space="0" w:color="auto"/>
      </w:divBdr>
    </w:div>
    <w:div w:id="1992706597">
      <w:bodyDiv w:val="1"/>
      <w:marLeft w:val="0"/>
      <w:marRight w:val="0"/>
      <w:marTop w:val="0"/>
      <w:marBottom w:val="0"/>
      <w:divBdr>
        <w:top w:val="none" w:sz="0" w:space="0" w:color="auto"/>
        <w:left w:val="none" w:sz="0" w:space="0" w:color="auto"/>
        <w:bottom w:val="none" w:sz="0" w:space="0" w:color="auto"/>
        <w:right w:val="none" w:sz="0" w:space="0" w:color="auto"/>
      </w:divBdr>
      <w:divsChild>
        <w:div w:id="163909172">
          <w:marLeft w:val="0"/>
          <w:marRight w:val="0"/>
          <w:marTop w:val="0"/>
          <w:marBottom w:val="0"/>
          <w:divBdr>
            <w:top w:val="none" w:sz="0" w:space="0" w:color="auto"/>
            <w:left w:val="none" w:sz="0" w:space="0" w:color="auto"/>
            <w:bottom w:val="none" w:sz="0" w:space="0" w:color="auto"/>
            <w:right w:val="none" w:sz="0" w:space="0" w:color="auto"/>
          </w:divBdr>
          <w:divsChild>
            <w:div w:id="1811939885">
              <w:marLeft w:val="0"/>
              <w:marRight w:val="0"/>
              <w:marTop w:val="0"/>
              <w:marBottom w:val="0"/>
              <w:divBdr>
                <w:top w:val="none" w:sz="0" w:space="0" w:color="auto"/>
                <w:left w:val="none" w:sz="0" w:space="0" w:color="auto"/>
                <w:bottom w:val="none" w:sz="0" w:space="0" w:color="auto"/>
                <w:right w:val="none" w:sz="0" w:space="0" w:color="auto"/>
              </w:divBdr>
              <w:divsChild>
                <w:div w:id="494226280">
                  <w:marLeft w:val="0"/>
                  <w:marRight w:val="0"/>
                  <w:marTop w:val="0"/>
                  <w:marBottom w:val="0"/>
                  <w:divBdr>
                    <w:top w:val="none" w:sz="0" w:space="0" w:color="auto"/>
                    <w:left w:val="none" w:sz="0" w:space="0" w:color="auto"/>
                    <w:bottom w:val="none" w:sz="0" w:space="0" w:color="auto"/>
                    <w:right w:val="none" w:sz="0" w:space="0" w:color="auto"/>
                  </w:divBdr>
                  <w:divsChild>
                    <w:div w:id="1024747468">
                      <w:marLeft w:val="0"/>
                      <w:marRight w:val="0"/>
                      <w:marTop w:val="0"/>
                      <w:marBottom w:val="0"/>
                      <w:divBdr>
                        <w:top w:val="none" w:sz="0" w:space="0" w:color="auto"/>
                        <w:left w:val="none" w:sz="0" w:space="0" w:color="auto"/>
                        <w:bottom w:val="none" w:sz="0" w:space="0" w:color="auto"/>
                        <w:right w:val="none" w:sz="0" w:space="0" w:color="auto"/>
                      </w:divBdr>
                      <w:divsChild>
                        <w:div w:id="1461267881">
                          <w:marLeft w:val="0"/>
                          <w:marRight w:val="0"/>
                          <w:marTop w:val="0"/>
                          <w:marBottom w:val="0"/>
                          <w:divBdr>
                            <w:top w:val="none" w:sz="0" w:space="0" w:color="auto"/>
                            <w:left w:val="none" w:sz="0" w:space="0" w:color="auto"/>
                            <w:bottom w:val="none" w:sz="0" w:space="0" w:color="auto"/>
                            <w:right w:val="none" w:sz="0" w:space="0" w:color="auto"/>
                          </w:divBdr>
                          <w:divsChild>
                            <w:div w:id="101673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409014">
      <w:bodyDiv w:val="1"/>
      <w:marLeft w:val="0"/>
      <w:marRight w:val="0"/>
      <w:marTop w:val="0"/>
      <w:marBottom w:val="0"/>
      <w:divBdr>
        <w:top w:val="none" w:sz="0" w:space="0" w:color="auto"/>
        <w:left w:val="none" w:sz="0" w:space="0" w:color="auto"/>
        <w:bottom w:val="none" w:sz="0" w:space="0" w:color="auto"/>
        <w:right w:val="none" w:sz="0" w:space="0" w:color="auto"/>
      </w:divBdr>
    </w:div>
    <w:div w:id="2046562053">
      <w:bodyDiv w:val="1"/>
      <w:marLeft w:val="0"/>
      <w:marRight w:val="0"/>
      <w:marTop w:val="0"/>
      <w:marBottom w:val="0"/>
      <w:divBdr>
        <w:top w:val="none" w:sz="0" w:space="0" w:color="auto"/>
        <w:left w:val="none" w:sz="0" w:space="0" w:color="auto"/>
        <w:bottom w:val="none" w:sz="0" w:space="0" w:color="auto"/>
        <w:right w:val="none" w:sz="0" w:space="0" w:color="auto"/>
      </w:divBdr>
    </w:div>
    <w:div w:id="2056156930">
      <w:bodyDiv w:val="1"/>
      <w:marLeft w:val="0"/>
      <w:marRight w:val="0"/>
      <w:marTop w:val="0"/>
      <w:marBottom w:val="0"/>
      <w:divBdr>
        <w:top w:val="none" w:sz="0" w:space="0" w:color="auto"/>
        <w:left w:val="none" w:sz="0" w:space="0" w:color="auto"/>
        <w:bottom w:val="none" w:sz="0" w:space="0" w:color="auto"/>
        <w:right w:val="none" w:sz="0" w:space="0" w:color="auto"/>
      </w:divBdr>
    </w:div>
    <w:div w:id="2068215035">
      <w:bodyDiv w:val="1"/>
      <w:marLeft w:val="0"/>
      <w:marRight w:val="0"/>
      <w:marTop w:val="0"/>
      <w:marBottom w:val="0"/>
      <w:divBdr>
        <w:top w:val="none" w:sz="0" w:space="0" w:color="auto"/>
        <w:left w:val="none" w:sz="0" w:space="0" w:color="auto"/>
        <w:bottom w:val="none" w:sz="0" w:space="0" w:color="auto"/>
        <w:right w:val="none" w:sz="0" w:space="0" w:color="auto"/>
      </w:divBdr>
    </w:div>
    <w:div w:id="2090035540">
      <w:bodyDiv w:val="1"/>
      <w:marLeft w:val="0"/>
      <w:marRight w:val="0"/>
      <w:marTop w:val="0"/>
      <w:marBottom w:val="0"/>
      <w:divBdr>
        <w:top w:val="none" w:sz="0" w:space="0" w:color="auto"/>
        <w:left w:val="none" w:sz="0" w:space="0" w:color="auto"/>
        <w:bottom w:val="none" w:sz="0" w:space="0" w:color="auto"/>
        <w:right w:val="none" w:sz="0" w:space="0" w:color="auto"/>
      </w:divBdr>
    </w:div>
    <w:div w:id="2100640242">
      <w:bodyDiv w:val="1"/>
      <w:marLeft w:val="0"/>
      <w:marRight w:val="0"/>
      <w:marTop w:val="0"/>
      <w:marBottom w:val="0"/>
      <w:divBdr>
        <w:top w:val="none" w:sz="0" w:space="0" w:color="auto"/>
        <w:left w:val="none" w:sz="0" w:space="0" w:color="auto"/>
        <w:bottom w:val="none" w:sz="0" w:space="0" w:color="auto"/>
        <w:right w:val="none" w:sz="0" w:space="0" w:color="auto"/>
      </w:divBdr>
    </w:div>
    <w:div w:id="2110151653">
      <w:bodyDiv w:val="1"/>
      <w:marLeft w:val="0"/>
      <w:marRight w:val="0"/>
      <w:marTop w:val="0"/>
      <w:marBottom w:val="0"/>
      <w:divBdr>
        <w:top w:val="none" w:sz="0" w:space="0" w:color="auto"/>
        <w:left w:val="none" w:sz="0" w:space="0" w:color="auto"/>
        <w:bottom w:val="none" w:sz="0" w:space="0" w:color="auto"/>
        <w:right w:val="none" w:sz="0" w:space="0" w:color="auto"/>
      </w:divBdr>
    </w:div>
    <w:div w:id="212900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2.xls"/><Relationship Id="rId18" Type="http://schemas.openxmlformats.org/officeDocument/2006/relationships/image" Target="media/image6.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Microsoft_Excel_97-2003_Worksheet6.xls"/><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Excel_97-2003_Worksheet4.xls"/><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Excel_97-2003_Worksheet3.xls"/><Relationship Id="rId23" Type="http://schemas.openxmlformats.org/officeDocument/2006/relationships/oleObject" Target="embeddings/Microsoft_Excel_97-2003_Worksheet7.xls"/><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Microsoft_Excel_97-2003_Worksheet5.xls"/><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7D3CF-E95F-4F54-A9E3-CDF45031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3318</Words>
  <Characters>19583</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Plnění rozpočtu MSK</vt:lpstr>
    </vt:vector>
  </TitlesOfParts>
  <Company>Krajský úřad</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Plnění rozpočtu MSK</dc:title>
  <dc:subject/>
  <dc:creator>metelkova</dc:creator>
  <cp:keywords/>
  <cp:lastModifiedBy>Klučková Pavla</cp:lastModifiedBy>
  <cp:revision>21</cp:revision>
  <cp:lastPrinted>2020-05-12T08:19:00Z</cp:lastPrinted>
  <dcterms:created xsi:type="dcterms:W3CDTF">2020-05-18T05:50:00Z</dcterms:created>
  <dcterms:modified xsi:type="dcterms:W3CDTF">2020-05-20T04:56:00Z</dcterms:modified>
</cp:coreProperties>
</file>