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852" w:rsidRPr="00D51492" w:rsidRDefault="00717947" w:rsidP="00CD73C7">
      <w:pPr>
        <w:jc w:val="center"/>
        <w:rPr>
          <w:rFonts w:ascii="Tahoma" w:hAnsi="Tahoma" w:cs="Tahoma"/>
          <w:b/>
          <w:u w:val="single"/>
        </w:rPr>
      </w:pPr>
      <w:r w:rsidRPr="00D51492">
        <w:rPr>
          <w:rFonts w:ascii="Tahoma" w:hAnsi="Tahoma" w:cs="Tahoma"/>
          <w:b/>
          <w:u w:val="single"/>
        </w:rPr>
        <w:t>Základní parametry</w:t>
      </w:r>
      <w:r w:rsidRPr="00D51492">
        <w:rPr>
          <w:rFonts w:ascii="Tahoma" w:hAnsi="Tahoma" w:cs="Tahoma"/>
          <w:u w:val="single"/>
        </w:rPr>
        <w:t xml:space="preserve"> </w:t>
      </w:r>
      <w:r w:rsidRPr="00D51492">
        <w:rPr>
          <w:rFonts w:ascii="Tahoma" w:hAnsi="Tahoma" w:cs="Tahoma"/>
          <w:b/>
          <w:u w:val="single"/>
        </w:rPr>
        <w:t xml:space="preserve">návrhu rozpočtu </w:t>
      </w:r>
      <w:r w:rsidR="0008162C">
        <w:rPr>
          <w:rFonts w:ascii="Tahoma" w:hAnsi="Tahoma" w:cs="Tahoma"/>
          <w:b/>
          <w:u w:val="single"/>
        </w:rPr>
        <w:t xml:space="preserve">kraje </w:t>
      </w:r>
      <w:r w:rsidRPr="00D51492">
        <w:rPr>
          <w:rFonts w:ascii="Tahoma" w:hAnsi="Tahoma" w:cs="Tahoma"/>
          <w:b/>
          <w:u w:val="single"/>
        </w:rPr>
        <w:t>na rok 20</w:t>
      </w:r>
      <w:r w:rsidR="00193AE9">
        <w:rPr>
          <w:rFonts w:ascii="Tahoma" w:hAnsi="Tahoma" w:cs="Tahoma"/>
          <w:b/>
          <w:u w:val="single"/>
        </w:rPr>
        <w:t>21</w:t>
      </w:r>
    </w:p>
    <w:p w:rsidR="00486C31" w:rsidRDefault="00486C31" w:rsidP="00486C31">
      <w:pPr>
        <w:ind w:left="862"/>
        <w:jc w:val="both"/>
        <w:rPr>
          <w:rFonts w:ascii="Tahoma" w:hAnsi="Tahoma" w:cs="Tahoma"/>
          <w:b/>
          <w:u w:val="single"/>
        </w:rPr>
      </w:pPr>
    </w:p>
    <w:p w:rsidR="00FF298F" w:rsidRDefault="00486C31" w:rsidP="003209EE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</w:t>
      </w:r>
      <w:r w:rsidR="00CD73C7" w:rsidRPr="00CF07E1">
        <w:rPr>
          <w:rFonts w:ascii="Tahoma" w:hAnsi="Tahoma" w:cs="Tahoma"/>
          <w:b/>
          <w:sz w:val="20"/>
          <w:szCs w:val="20"/>
        </w:rPr>
        <w:t>1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CF07E1">
        <w:rPr>
          <w:rFonts w:ascii="Tahoma" w:hAnsi="Tahoma" w:cs="Tahoma"/>
          <w:sz w:val="20"/>
          <w:szCs w:val="20"/>
        </w:rPr>
        <w:t>Bilance rozpočtu 20</w:t>
      </w:r>
      <w:r w:rsidR="00193AE9">
        <w:rPr>
          <w:rFonts w:ascii="Tahoma" w:hAnsi="Tahoma" w:cs="Tahoma"/>
          <w:sz w:val="20"/>
          <w:szCs w:val="20"/>
        </w:rPr>
        <w:t>21</w:t>
      </w:r>
      <w:r w:rsidR="00503E61">
        <w:rPr>
          <w:rFonts w:ascii="Tahoma" w:hAnsi="Tahoma" w:cs="Tahoma"/>
          <w:sz w:val="20"/>
          <w:szCs w:val="20"/>
        </w:rPr>
        <w:t xml:space="preserve"> (v tis. Kč)</w:t>
      </w:r>
    </w:p>
    <w:p w:rsidR="00503E61" w:rsidRDefault="00483361" w:rsidP="003209EE">
      <w:pPr>
        <w:jc w:val="both"/>
        <w:rPr>
          <w:rFonts w:ascii="Tahoma" w:hAnsi="Tahoma" w:cs="Tahoma"/>
          <w:sz w:val="20"/>
          <w:szCs w:val="20"/>
        </w:rPr>
      </w:pPr>
      <w:r w:rsidRPr="00483361">
        <w:rPr>
          <w:noProof/>
        </w:rPr>
        <w:drawing>
          <wp:inline distT="0" distB="0" distL="0" distR="0">
            <wp:extent cx="5759450" cy="4667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61" w:rsidRDefault="00483361" w:rsidP="003209EE">
      <w:pPr>
        <w:jc w:val="both"/>
        <w:rPr>
          <w:rFonts w:ascii="Tahoma" w:hAnsi="Tahoma" w:cs="Tahoma"/>
          <w:sz w:val="20"/>
          <w:szCs w:val="20"/>
        </w:rPr>
      </w:pPr>
    </w:p>
    <w:p w:rsidR="00483361" w:rsidRDefault="00483361" w:rsidP="003209EE">
      <w:pPr>
        <w:jc w:val="both"/>
        <w:rPr>
          <w:rFonts w:ascii="Tahoma" w:hAnsi="Tahoma" w:cs="Tahoma"/>
          <w:sz w:val="20"/>
          <w:szCs w:val="20"/>
        </w:rPr>
      </w:pPr>
    </w:p>
    <w:p w:rsidR="003209EE" w:rsidRPr="003B0533" w:rsidRDefault="003209EE" w:rsidP="003209E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Očekávané PŘÍJMY na rok 20</w:t>
      </w:r>
      <w:r w:rsidR="007D59AA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 – ve výši </w:t>
      </w:r>
      <w:r w:rsidR="00DC40F1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</w:t>
      </w:r>
      <w:r w:rsidR="00483361">
        <w:rPr>
          <w:rFonts w:ascii="Tahoma" w:hAnsi="Tahoma" w:cs="Tahoma"/>
          <w:b/>
        </w:rPr>
        <w:t>231</w:t>
      </w:r>
      <w:r>
        <w:rPr>
          <w:rFonts w:ascii="Tahoma" w:hAnsi="Tahoma" w:cs="Tahoma"/>
          <w:b/>
        </w:rPr>
        <w:t xml:space="preserve"> mil. Kč</w:t>
      </w:r>
    </w:p>
    <w:p w:rsidR="005E56C1" w:rsidRDefault="003209EE" w:rsidP="003209EE">
      <w:pPr>
        <w:pStyle w:val="Bezmezer"/>
      </w:pPr>
      <w:r w:rsidRPr="003B0533">
        <w:t>Příjmy rozpočtu na rok 20</w:t>
      </w:r>
      <w:r w:rsidR="007D59AA">
        <w:t>21</w:t>
      </w:r>
      <w:r w:rsidRPr="003B0533">
        <w:t xml:space="preserve"> jsou oproti roku 20</w:t>
      </w:r>
      <w:r w:rsidR="007D59AA">
        <w:t>20</w:t>
      </w:r>
      <w:r w:rsidRPr="003B0533">
        <w:t xml:space="preserve"> </w:t>
      </w:r>
      <w:r w:rsidRPr="00D2389C">
        <w:t xml:space="preserve">očekávány cca o </w:t>
      </w:r>
      <w:r w:rsidR="00483361">
        <w:t>1</w:t>
      </w:r>
      <w:r w:rsidR="00A96DDC">
        <w:t>.</w:t>
      </w:r>
      <w:r w:rsidR="00483361">
        <w:t>964</w:t>
      </w:r>
      <w:r w:rsidR="00A96DDC">
        <w:t xml:space="preserve"> </w:t>
      </w:r>
      <w:r w:rsidRPr="00D2389C">
        <w:t>m</w:t>
      </w:r>
      <w:r>
        <w:t>i</w:t>
      </w:r>
      <w:r w:rsidRPr="00D2389C">
        <w:t xml:space="preserve">l. Kč nižší, což je způsobeno </w:t>
      </w:r>
      <w:r w:rsidR="002E1EB4">
        <w:t>hlavně významným snížením příjmů ze sdílených daní a poklesem přijatých dotací z akcí spolufinancovaných z EU.</w:t>
      </w:r>
    </w:p>
    <w:p w:rsidR="00A96DDC" w:rsidRPr="00D2389C" w:rsidRDefault="00A96DDC" w:rsidP="003209EE">
      <w:pPr>
        <w:pStyle w:val="Bezmezer"/>
      </w:pPr>
    </w:p>
    <w:p w:rsidR="003209EE" w:rsidRPr="00074940" w:rsidRDefault="003209EE" w:rsidP="003209EE">
      <w:pPr>
        <w:pStyle w:val="Bezmezer"/>
        <w:rPr>
          <w:rFonts w:cs="Tahoma"/>
          <w:szCs w:val="24"/>
        </w:rPr>
      </w:pPr>
      <w:r w:rsidRPr="00074940">
        <w:rPr>
          <w:rFonts w:cs="Tahoma"/>
          <w:szCs w:val="24"/>
          <w:u w:val="single"/>
        </w:rPr>
        <w:t xml:space="preserve">Daňové příjmy </w:t>
      </w:r>
    </w:p>
    <w:p w:rsidR="003209EE" w:rsidRPr="00074940" w:rsidRDefault="000A69DC" w:rsidP="003209EE">
      <w:pPr>
        <w:pStyle w:val="Bezmezer"/>
        <w:numPr>
          <w:ilvl w:val="0"/>
          <w:numId w:val="1"/>
        </w:numPr>
        <w:rPr>
          <w:rFonts w:cs="Tahoma"/>
          <w:szCs w:val="24"/>
        </w:rPr>
      </w:pPr>
      <w:r w:rsidRPr="00074940">
        <w:rPr>
          <w:rFonts w:cs="Tahoma"/>
          <w:szCs w:val="24"/>
        </w:rPr>
        <w:t>p</w:t>
      </w:r>
      <w:r w:rsidR="003209EE" w:rsidRPr="00074940">
        <w:rPr>
          <w:rFonts w:cs="Tahoma"/>
          <w:szCs w:val="24"/>
        </w:rPr>
        <w:t>říjmy ze sdílených daní</w:t>
      </w:r>
      <w:r w:rsidR="003209EE" w:rsidRPr="00074940">
        <w:rPr>
          <w:rFonts w:cs="Tahoma"/>
          <w:b/>
          <w:bCs/>
          <w:szCs w:val="24"/>
        </w:rPr>
        <w:t xml:space="preserve"> </w:t>
      </w:r>
      <w:r w:rsidR="003209EE" w:rsidRPr="00074940">
        <w:rPr>
          <w:rFonts w:cs="Tahoma"/>
          <w:szCs w:val="24"/>
        </w:rPr>
        <w:t>jsou navrženy v roce 20</w:t>
      </w:r>
      <w:r w:rsidR="005E56C1" w:rsidRPr="00074940">
        <w:rPr>
          <w:rFonts w:cs="Tahoma"/>
          <w:szCs w:val="24"/>
        </w:rPr>
        <w:t>21</w:t>
      </w:r>
      <w:r w:rsidR="003209EE" w:rsidRPr="00074940">
        <w:rPr>
          <w:rFonts w:cs="Tahoma"/>
          <w:szCs w:val="24"/>
        </w:rPr>
        <w:t xml:space="preserve"> ve výši </w:t>
      </w:r>
      <w:r w:rsidR="005E56C1" w:rsidRPr="00074940">
        <w:rPr>
          <w:rFonts w:cs="Tahoma"/>
          <w:szCs w:val="24"/>
        </w:rPr>
        <w:t>6.100</w:t>
      </w:r>
      <w:r w:rsidR="003209EE" w:rsidRPr="00074940">
        <w:rPr>
          <w:rFonts w:cs="Tahoma"/>
          <w:szCs w:val="24"/>
        </w:rPr>
        <w:t xml:space="preserve"> mil. Kč, což znamená meziroční </w:t>
      </w:r>
      <w:r w:rsidR="00FE5374" w:rsidRPr="00074940">
        <w:rPr>
          <w:rFonts w:cs="Tahoma"/>
          <w:b/>
          <w:szCs w:val="24"/>
        </w:rPr>
        <w:t xml:space="preserve">pokles </w:t>
      </w:r>
      <w:r w:rsidR="003209EE" w:rsidRPr="00074940">
        <w:rPr>
          <w:rFonts w:cs="Tahoma"/>
          <w:b/>
          <w:szCs w:val="24"/>
        </w:rPr>
        <w:t>o</w:t>
      </w:r>
      <w:r w:rsidR="00FE5374" w:rsidRPr="00074940">
        <w:rPr>
          <w:rFonts w:cs="Tahoma"/>
          <w:b/>
          <w:szCs w:val="24"/>
        </w:rPr>
        <w:t xml:space="preserve"> 1.200</w:t>
      </w:r>
      <w:r w:rsidR="003209EE" w:rsidRPr="00074940">
        <w:rPr>
          <w:rFonts w:cs="Tahoma"/>
          <w:b/>
          <w:szCs w:val="24"/>
        </w:rPr>
        <w:t xml:space="preserve"> mil. Kč</w:t>
      </w:r>
      <w:r w:rsidR="003209EE" w:rsidRPr="00074940">
        <w:rPr>
          <w:rFonts w:cs="Tahoma"/>
          <w:szCs w:val="24"/>
        </w:rPr>
        <w:t xml:space="preserve">, tj. o </w:t>
      </w:r>
      <w:r w:rsidR="00FE5374" w:rsidRPr="00074940">
        <w:rPr>
          <w:rFonts w:cs="Tahoma"/>
          <w:szCs w:val="24"/>
        </w:rPr>
        <w:t>16</w:t>
      </w:r>
      <w:r w:rsidR="003209EE" w:rsidRPr="00074940">
        <w:rPr>
          <w:rFonts w:cs="Tahoma"/>
          <w:szCs w:val="24"/>
        </w:rPr>
        <w:t xml:space="preserve"> % oproti schválenému rozpočtu na rok 20</w:t>
      </w:r>
      <w:r w:rsidR="00626F68">
        <w:rPr>
          <w:rFonts w:cs="Tahoma"/>
          <w:szCs w:val="24"/>
        </w:rPr>
        <w:t>20</w:t>
      </w:r>
      <w:r w:rsidR="003209EE" w:rsidRPr="00074940">
        <w:rPr>
          <w:rFonts w:cs="Tahoma"/>
          <w:szCs w:val="24"/>
        </w:rPr>
        <w:t xml:space="preserve"> (</w:t>
      </w:r>
      <w:r w:rsidR="00FE5374" w:rsidRPr="00074940">
        <w:rPr>
          <w:rFonts w:cs="Tahoma"/>
          <w:szCs w:val="24"/>
        </w:rPr>
        <w:t>7</w:t>
      </w:r>
      <w:r w:rsidR="003209EE" w:rsidRPr="00074940">
        <w:rPr>
          <w:rFonts w:cs="Tahoma"/>
          <w:szCs w:val="24"/>
        </w:rPr>
        <w:t>.300 mil. Kč). Oproti očekávané skutečnosti, která se díky</w:t>
      </w:r>
      <w:r w:rsidR="007810BC" w:rsidRPr="00074940">
        <w:rPr>
          <w:rFonts w:cs="Tahoma"/>
          <w:szCs w:val="24"/>
        </w:rPr>
        <w:t xml:space="preserve"> negativním vlivům vyvolaným</w:t>
      </w:r>
      <w:r w:rsidR="003209EE" w:rsidRPr="00074940">
        <w:rPr>
          <w:rFonts w:cs="Tahoma"/>
          <w:szCs w:val="24"/>
        </w:rPr>
        <w:t xml:space="preserve"> </w:t>
      </w:r>
      <w:r w:rsidR="007810BC" w:rsidRPr="00074940">
        <w:rPr>
          <w:rFonts w:cs="Tahoma"/>
          <w:szCs w:val="24"/>
        </w:rPr>
        <w:t xml:space="preserve">propadem ekonomiky a s tím souvisejícími přijatými opatřeními na podporu ekonomiky, </w:t>
      </w:r>
      <w:r w:rsidR="003209EE" w:rsidRPr="00074940">
        <w:rPr>
          <w:rFonts w:cs="Tahoma"/>
          <w:szCs w:val="24"/>
        </w:rPr>
        <w:t xml:space="preserve">v letošním roce předpokládá na úrovni cca </w:t>
      </w:r>
      <w:r w:rsidR="00FE5374" w:rsidRPr="00074940">
        <w:rPr>
          <w:rFonts w:cs="Tahoma"/>
          <w:szCs w:val="24"/>
        </w:rPr>
        <w:t>5</w:t>
      </w:r>
      <w:r w:rsidR="003209EE" w:rsidRPr="00074940">
        <w:rPr>
          <w:rFonts w:cs="Tahoma"/>
          <w:szCs w:val="24"/>
        </w:rPr>
        <w:t>.</w:t>
      </w:r>
      <w:r w:rsidR="00FE5374" w:rsidRPr="00074940">
        <w:rPr>
          <w:rFonts w:cs="Tahoma"/>
          <w:szCs w:val="24"/>
        </w:rPr>
        <w:t>8</w:t>
      </w:r>
      <w:r w:rsidR="003209EE" w:rsidRPr="00074940">
        <w:rPr>
          <w:rFonts w:cs="Tahoma"/>
          <w:szCs w:val="24"/>
        </w:rPr>
        <w:t>00</w:t>
      </w:r>
      <w:r w:rsidR="00AA797C" w:rsidRPr="00074940">
        <w:rPr>
          <w:rFonts w:cs="Tahoma"/>
          <w:szCs w:val="24"/>
        </w:rPr>
        <w:t> </w:t>
      </w:r>
      <w:r w:rsidR="003209EE" w:rsidRPr="00074940">
        <w:rPr>
          <w:rFonts w:cs="Tahoma"/>
          <w:szCs w:val="24"/>
        </w:rPr>
        <w:t>mil.</w:t>
      </w:r>
      <w:r w:rsidR="00AA797C" w:rsidRPr="00074940">
        <w:rPr>
          <w:rFonts w:cs="Tahoma"/>
          <w:szCs w:val="24"/>
        </w:rPr>
        <w:t> </w:t>
      </w:r>
      <w:r w:rsidR="003209EE" w:rsidRPr="00074940">
        <w:rPr>
          <w:rFonts w:cs="Tahoma"/>
          <w:szCs w:val="24"/>
        </w:rPr>
        <w:t xml:space="preserve">Kč, to představuje navýšení o </w:t>
      </w:r>
      <w:r w:rsidR="00FE5374" w:rsidRPr="00074940">
        <w:rPr>
          <w:rFonts w:cs="Tahoma"/>
          <w:szCs w:val="24"/>
        </w:rPr>
        <w:t>5 % (300 mil. Kč)</w:t>
      </w:r>
      <w:r w:rsidR="003209EE" w:rsidRPr="00074940">
        <w:rPr>
          <w:rFonts w:cs="Tahoma"/>
          <w:szCs w:val="24"/>
        </w:rPr>
        <w:t xml:space="preserve">. Navýšení inkasa bude generováno </w:t>
      </w:r>
      <w:r w:rsidR="00FE5374" w:rsidRPr="00074940">
        <w:rPr>
          <w:rFonts w:cs="Tahoma"/>
          <w:szCs w:val="24"/>
        </w:rPr>
        <w:t xml:space="preserve">očekávaným pozvolným </w:t>
      </w:r>
      <w:r w:rsidR="003209EE" w:rsidRPr="00074940">
        <w:rPr>
          <w:rFonts w:cs="Tahoma"/>
          <w:szCs w:val="24"/>
        </w:rPr>
        <w:t>růstem ekonomiky, který se předpokládá v příštím roce o</w:t>
      </w:r>
      <w:r w:rsidR="00AA797C" w:rsidRPr="00074940">
        <w:rPr>
          <w:rFonts w:cs="Tahoma"/>
          <w:szCs w:val="24"/>
        </w:rPr>
        <w:t> </w:t>
      </w:r>
      <w:r w:rsidR="003209EE" w:rsidRPr="00074940">
        <w:rPr>
          <w:rFonts w:cs="Tahoma"/>
          <w:szCs w:val="24"/>
        </w:rPr>
        <w:t>cca</w:t>
      </w:r>
      <w:r w:rsidR="00AA797C" w:rsidRPr="00074940">
        <w:rPr>
          <w:rFonts w:cs="Tahoma"/>
          <w:szCs w:val="24"/>
        </w:rPr>
        <w:t> </w:t>
      </w:r>
      <w:r w:rsidR="007810BC" w:rsidRPr="00074940">
        <w:rPr>
          <w:rFonts w:cs="Tahoma"/>
          <w:szCs w:val="24"/>
        </w:rPr>
        <w:t>5</w:t>
      </w:r>
      <w:r w:rsidR="00AA797C" w:rsidRPr="00074940">
        <w:rPr>
          <w:rFonts w:cs="Tahoma"/>
          <w:szCs w:val="24"/>
        </w:rPr>
        <w:t> </w:t>
      </w:r>
      <w:r w:rsidR="003209EE" w:rsidRPr="00074940">
        <w:rPr>
          <w:rFonts w:cs="Tahoma"/>
          <w:szCs w:val="24"/>
        </w:rPr>
        <w:t>%.</w:t>
      </w:r>
    </w:p>
    <w:p w:rsidR="00FE5374" w:rsidRPr="005D390C" w:rsidRDefault="00FE5374" w:rsidP="00FE5374">
      <w:pPr>
        <w:pStyle w:val="Bezmezer"/>
        <w:numPr>
          <w:ilvl w:val="0"/>
          <w:numId w:val="1"/>
        </w:numPr>
        <w:rPr>
          <w:rFonts w:cs="Tahoma"/>
          <w:i/>
          <w:szCs w:val="24"/>
        </w:rPr>
      </w:pPr>
      <w:r w:rsidRPr="00074940">
        <w:rPr>
          <w:rFonts w:cs="Tahoma"/>
          <w:szCs w:val="24"/>
        </w:rPr>
        <w:t>další</w:t>
      </w:r>
      <w:r w:rsidR="00174C80">
        <w:rPr>
          <w:rFonts w:cs="Tahoma"/>
          <w:szCs w:val="24"/>
        </w:rPr>
        <w:t>mi</w:t>
      </w:r>
      <w:r w:rsidRPr="00074940">
        <w:rPr>
          <w:rFonts w:cs="Tahoma"/>
          <w:szCs w:val="24"/>
        </w:rPr>
        <w:t xml:space="preserve"> daňov</w:t>
      </w:r>
      <w:r w:rsidR="00174C80">
        <w:rPr>
          <w:rFonts w:cs="Tahoma"/>
          <w:szCs w:val="24"/>
        </w:rPr>
        <w:t>ými</w:t>
      </w:r>
      <w:r w:rsidRPr="00074940">
        <w:rPr>
          <w:rFonts w:cs="Tahoma"/>
          <w:szCs w:val="24"/>
        </w:rPr>
        <w:t xml:space="preserve"> příjmy jsou správní poplatky ve výši</w:t>
      </w:r>
      <w:r w:rsidRPr="005D390C">
        <w:rPr>
          <w:rFonts w:cs="Tahoma"/>
          <w:szCs w:val="24"/>
        </w:rPr>
        <w:t xml:space="preserve"> 1,</w:t>
      </w:r>
      <w:r>
        <w:rPr>
          <w:rFonts w:cs="Tahoma"/>
          <w:szCs w:val="24"/>
        </w:rPr>
        <w:t>67</w:t>
      </w:r>
      <w:r w:rsidRPr="005D390C">
        <w:rPr>
          <w:rFonts w:cs="Tahoma"/>
          <w:szCs w:val="24"/>
        </w:rPr>
        <w:t xml:space="preserve"> mil. Kč</w:t>
      </w:r>
      <w:r>
        <w:rPr>
          <w:rFonts w:cs="Tahoma"/>
          <w:szCs w:val="24"/>
        </w:rPr>
        <w:t xml:space="preserve"> (meziroční snížení o 130 tis. Kč) </w:t>
      </w:r>
      <w:r w:rsidRPr="005D390C">
        <w:rPr>
          <w:rFonts w:cs="Tahoma"/>
          <w:szCs w:val="24"/>
        </w:rPr>
        <w:t>a poplatky za znečišťování ovzduší ve výši 3</w:t>
      </w:r>
      <w:r>
        <w:rPr>
          <w:rFonts w:cs="Tahoma"/>
          <w:szCs w:val="24"/>
        </w:rPr>
        <w:t>,</w:t>
      </w:r>
      <w:r w:rsidRPr="005D390C">
        <w:rPr>
          <w:rFonts w:cs="Tahoma"/>
          <w:szCs w:val="24"/>
        </w:rPr>
        <w:t>5</w:t>
      </w:r>
      <w:r>
        <w:rPr>
          <w:rFonts w:cs="Tahoma"/>
          <w:szCs w:val="24"/>
        </w:rPr>
        <w:t> mil</w:t>
      </w:r>
      <w:r w:rsidRPr="005D390C">
        <w:rPr>
          <w:rFonts w:cs="Tahoma"/>
          <w:szCs w:val="24"/>
        </w:rPr>
        <w:t>. Kč (na základě odst. 14 § 15 zákona č. 201/2012 Sb., o</w:t>
      </w:r>
      <w:r>
        <w:rPr>
          <w:rFonts w:cs="Tahoma"/>
          <w:szCs w:val="24"/>
        </w:rPr>
        <w:t> </w:t>
      </w:r>
      <w:r w:rsidRPr="005D390C">
        <w:rPr>
          <w:rFonts w:cs="Tahoma"/>
          <w:szCs w:val="24"/>
        </w:rPr>
        <w:t xml:space="preserve">ochraně ovzduší, ve znění </w:t>
      </w:r>
      <w:r w:rsidRPr="005D390C">
        <w:rPr>
          <w:rFonts w:cs="Tahoma"/>
          <w:szCs w:val="24"/>
        </w:rPr>
        <w:lastRenderedPageBreak/>
        <w:t>pozdějších předpisů, je od roku 2017 kraj, na jehož území se stacionární zdroj nachází, příjemcem 25 % výnosu z poplatku, jejichž výše se meziročně nemění</w:t>
      </w:r>
      <w:r>
        <w:rPr>
          <w:rFonts w:cs="Tahoma"/>
          <w:szCs w:val="24"/>
        </w:rPr>
        <w:t>)</w:t>
      </w:r>
      <w:r w:rsidRPr="005D390C">
        <w:rPr>
          <w:rFonts w:cs="Tahoma"/>
          <w:szCs w:val="24"/>
        </w:rPr>
        <w:t>.</w:t>
      </w:r>
    </w:p>
    <w:p w:rsidR="00CD73C7" w:rsidRDefault="00CD73C7" w:rsidP="00486C31">
      <w:pPr>
        <w:pStyle w:val="Bezmezer"/>
        <w:ind w:left="720"/>
        <w:rPr>
          <w:rFonts w:cs="Tahoma"/>
          <w:szCs w:val="24"/>
          <w:highlight w:val="yellow"/>
        </w:rPr>
      </w:pPr>
    </w:p>
    <w:p w:rsidR="003209EE" w:rsidRPr="00135B14" w:rsidRDefault="003209EE" w:rsidP="003209EE">
      <w:pPr>
        <w:pStyle w:val="Bezmezer"/>
        <w:rPr>
          <w:rFonts w:cs="Tahoma"/>
          <w:szCs w:val="24"/>
        </w:rPr>
      </w:pPr>
      <w:r w:rsidRPr="00135B14">
        <w:rPr>
          <w:rFonts w:cs="Tahoma"/>
          <w:szCs w:val="24"/>
          <w:u w:val="single"/>
        </w:rPr>
        <w:t>Nedaňové příjmy</w:t>
      </w:r>
      <w:r w:rsidRPr="00135B14">
        <w:rPr>
          <w:rFonts w:cs="Tahoma"/>
          <w:szCs w:val="24"/>
        </w:rPr>
        <w:t xml:space="preserve"> – </w:t>
      </w:r>
      <w:r w:rsidR="00FE5374">
        <w:rPr>
          <w:rFonts w:cs="Tahoma"/>
          <w:szCs w:val="24"/>
        </w:rPr>
        <w:t xml:space="preserve">pokles o </w:t>
      </w:r>
      <w:r w:rsidR="00E73F3C" w:rsidRPr="00483361">
        <w:rPr>
          <w:rFonts w:cs="Tahoma"/>
          <w:szCs w:val="24"/>
        </w:rPr>
        <w:t>8</w:t>
      </w:r>
      <w:r w:rsidR="00FE5374" w:rsidRPr="00483361">
        <w:rPr>
          <w:rFonts w:cs="Tahoma"/>
          <w:szCs w:val="24"/>
        </w:rPr>
        <w:t xml:space="preserve"> </w:t>
      </w:r>
      <w:r w:rsidRPr="00483361">
        <w:rPr>
          <w:rFonts w:cs="Tahoma"/>
          <w:szCs w:val="24"/>
        </w:rPr>
        <w:t>%</w:t>
      </w:r>
    </w:p>
    <w:p w:rsidR="003209EE" w:rsidRDefault="003209EE" w:rsidP="003209EE">
      <w:pPr>
        <w:pStyle w:val="Bezmezer"/>
        <w:rPr>
          <w:rFonts w:cs="Tahoma"/>
          <w:szCs w:val="24"/>
        </w:rPr>
      </w:pPr>
      <w:r w:rsidRPr="00135B14">
        <w:rPr>
          <w:rFonts w:cs="Tahoma"/>
          <w:szCs w:val="24"/>
        </w:rPr>
        <w:t>V roce 20</w:t>
      </w:r>
      <w:r w:rsidR="00FE5374">
        <w:rPr>
          <w:rFonts w:cs="Tahoma"/>
          <w:szCs w:val="24"/>
        </w:rPr>
        <w:t>21</w:t>
      </w:r>
      <w:r w:rsidRPr="00135B14">
        <w:rPr>
          <w:rFonts w:cs="Tahoma"/>
          <w:szCs w:val="24"/>
        </w:rPr>
        <w:t xml:space="preserve"> je plánováno </w:t>
      </w:r>
      <w:r w:rsidR="00FE5374">
        <w:rPr>
          <w:rFonts w:cs="Tahoma"/>
          <w:szCs w:val="24"/>
        </w:rPr>
        <w:t xml:space="preserve">snížení </w:t>
      </w:r>
      <w:r w:rsidRPr="00135B14">
        <w:rPr>
          <w:rFonts w:cs="Tahoma"/>
          <w:szCs w:val="24"/>
        </w:rPr>
        <w:t>nedaňových příjmů oproti roku 20</w:t>
      </w:r>
      <w:r w:rsidR="00FE5374">
        <w:rPr>
          <w:rFonts w:cs="Tahoma"/>
          <w:szCs w:val="24"/>
        </w:rPr>
        <w:t>20</w:t>
      </w:r>
      <w:r w:rsidR="003A6319">
        <w:rPr>
          <w:rFonts w:cs="Tahoma"/>
          <w:szCs w:val="24"/>
        </w:rPr>
        <w:t xml:space="preserve">. </w:t>
      </w:r>
      <w:r w:rsidR="00FE5374">
        <w:rPr>
          <w:rFonts w:cs="Tahoma"/>
          <w:szCs w:val="24"/>
        </w:rPr>
        <w:t>Částečně t</w:t>
      </w:r>
      <w:r w:rsidR="003A6319">
        <w:rPr>
          <w:rFonts w:cs="Tahoma"/>
          <w:szCs w:val="24"/>
        </w:rPr>
        <w:t xml:space="preserve">oto </w:t>
      </w:r>
      <w:r w:rsidR="00FE5374">
        <w:rPr>
          <w:rFonts w:cs="Tahoma"/>
          <w:szCs w:val="24"/>
        </w:rPr>
        <w:t xml:space="preserve">snížení </w:t>
      </w:r>
      <w:r w:rsidRPr="00135B14">
        <w:rPr>
          <w:rFonts w:cs="Tahoma"/>
          <w:szCs w:val="24"/>
        </w:rPr>
        <w:t>nemá vliv</w:t>
      </w:r>
      <w:r w:rsidR="003A6319">
        <w:rPr>
          <w:rFonts w:cs="Tahoma"/>
          <w:szCs w:val="24"/>
        </w:rPr>
        <w:t xml:space="preserve"> na bilanci rozpočtu</w:t>
      </w:r>
      <w:r w:rsidRPr="00135B14">
        <w:rPr>
          <w:rFonts w:cs="Tahoma"/>
          <w:szCs w:val="24"/>
        </w:rPr>
        <w:t xml:space="preserve">, jelikož </w:t>
      </w:r>
      <w:r>
        <w:rPr>
          <w:rFonts w:cs="Tahoma"/>
          <w:szCs w:val="24"/>
        </w:rPr>
        <w:t xml:space="preserve">je </w:t>
      </w:r>
      <w:r w:rsidRPr="00135B14">
        <w:rPr>
          <w:rFonts w:cs="Tahoma"/>
          <w:szCs w:val="24"/>
        </w:rPr>
        <w:t>způsoben</w:t>
      </w:r>
      <w:r w:rsidR="00CC1C05">
        <w:rPr>
          <w:rFonts w:cs="Tahoma"/>
          <w:szCs w:val="24"/>
        </w:rPr>
        <w:t>o</w:t>
      </w:r>
      <w:r w:rsidR="0029468B">
        <w:rPr>
          <w:rFonts w:cs="Tahoma"/>
          <w:szCs w:val="24"/>
        </w:rPr>
        <w:t xml:space="preserve"> příjmy, které jsou ve stejné výši požadovány ve výdajích, a to</w:t>
      </w:r>
      <w:r w:rsidRPr="00135B14">
        <w:rPr>
          <w:rFonts w:cs="Tahoma"/>
          <w:szCs w:val="24"/>
        </w:rPr>
        <w:t>:</w:t>
      </w:r>
    </w:p>
    <w:p w:rsidR="00DC40F1" w:rsidRPr="00483361" w:rsidRDefault="00483361" w:rsidP="00C72904">
      <w:pPr>
        <w:pStyle w:val="Bezmezer"/>
        <w:numPr>
          <w:ilvl w:val="0"/>
          <w:numId w:val="2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vratky </w:t>
      </w:r>
      <w:r w:rsidR="003209EE" w:rsidRPr="00DC40F1">
        <w:rPr>
          <w:rFonts w:cs="Tahoma"/>
          <w:szCs w:val="24"/>
        </w:rPr>
        <w:t>návratn</w:t>
      </w:r>
      <w:r>
        <w:rPr>
          <w:rFonts w:cs="Tahoma"/>
          <w:szCs w:val="24"/>
        </w:rPr>
        <w:t>ých</w:t>
      </w:r>
      <w:r w:rsidR="003209EE" w:rsidRPr="00DC40F1">
        <w:rPr>
          <w:rFonts w:cs="Tahoma"/>
          <w:szCs w:val="24"/>
        </w:rPr>
        <w:t xml:space="preserve"> finanční</w:t>
      </w:r>
      <w:r>
        <w:rPr>
          <w:rFonts w:cs="Tahoma"/>
          <w:szCs w:val="24"/>
        </w:rPr>
        <w:t>ch</w:t>
      </w:r>
      <w:r w:rsidR="003209EE" w:rsidRPr="00DC40F1">
        <w:rPr>
          <w:rFonts w:cs="Tahoma"/>
          <w:szCs w:val="24"/>
        </w:rPr>
        <w:t xml:space="preserve"> výpomoc</w:t>
      </w:r>
      <w:r>
        <w:rPr>
          <w:rFonts w:cs="Tahoma"/>
          <w:szCs w:val="24"/>
        </w:rPr>
        <w:t>í</w:t>
      </w:r>
      <w:r w:rsidR="003209EE" w:rsidRPr="00DC40F1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pro příspěvkové organizace v odvětví sociálních věcí pro překlenutí období, než kraj obdrží a rozdělí dotaci od Ministerstva práce a sociálních </w:t>
      </w:r>
      <w:r w:rsidRPr="00483361">
        <w:rPr>
          <w:rFonts w:cs="Tahoma"/>
          <w:szCs w:val="24"/>
        </w:rPr>
        <w:t>věcí</w:t>
      </w:r>
      <w:r w:rsidR="00DC40F1" w:rsidRPr="00483361">
        <w:rPr>
          <w:rFonts w:cs="Tahoma"/>
        </w:rPr>
        <w:t>,</w:t>
      </w:r>
    </w:p>
    <w:p w:rsidR="003209EE" w:rsidRPr="00AD2A15" w:rsidRDefault="003209EE" w:rsidP="00C72904">
      <w:pPr>
        <w:pStyle w:val="Bezmezer"/>
        <w:numPr>
          <w:ilvl w:val="0"/>
          <w:numId w:val="2"/>
        </w:numPr>
        <w:rPr>
          <w:rFonts w:cs="Tahoma"/>
          <w:szCs w:val="24"/>
        </w:rPr>
      </w:pPr>
      <w:r w:rsidRPr="00AD2A15">
        <w:rPr>
          <w:rFonts w:cs="Tahoma"/>
          <w:szCs w:val="24"/>
        </w:rPr>
        <w:t>příspěv</w:t>
      </w:r>
      <w:r w:rsidR="0029468B" w:rsidRPr="00AD2A15">
        <w:rPr>
          <w:rFonts w:cs="Tahoma"/>
          <w:szCs w:val="24"/>
        </w:rPr>
        <w:t>e</w:t>
      </w:r>
      <w:r w:rsidRPr="00AD2A15">
        <w:rPr>
          <w:rFonts w:cs="Tahoma"/>
          <w:szCs w:val="24"/>
        </w:rPr>
        <w:t xml:space="preserve">k od </w:t>
      </w:r>
      <w:r w:rsidR="00DB7D1B" w:rsidRPr="00AD2A15">
        <w:rPr>
          <w:rFonts w:cs="Tahoma"/>
          <w:szCs w:val="24"/>
        </w:rPr>
        <w:t xml:space="preserve">Hyundai Motor </w:t>
      </w:r>
      <w:proofErr w:type="spellStart"/>
      <w:r w:rsidR="00DB7D1B" w:rsidRPr="00AD2A15">
        <w:rPr>
          <w:rFonts w:cs="Tahoma"/>
          <w:szCs w:val="24"/>
        </w:rPr>
        <w:t>Manufacturing</w:t>
      </w:r>
      <w:proofErr w:type="spellEnd"/>
      <w:r w:rsidR="00DB7D1B" w:rsidRPr="00AD2A15">
        <w:rPr>
          <w:rFonts w:cs="Tahoma"/>
          <w:szCs w:val="24"/>
        </w:rPr>
        <w:t xml:space="preserve"> Czech s. r. o. </w:t>
      </w:r>
      <w:r w:rsidRPr="00AD2A15">
        <w:rPr>
          <w:rFonts w:cs="Tahoma"/>
          <w:szCs w:val="24"/>
        </w:rPr>
        <w:t xml:space="preserve">na zabezpečení úkolů jednotky požární ochrany </w:t>
      </w:r>
      <w:r w:rsidR="0029468B" w:rsidRPr="00AD2A15">
        <w:rPr>
          <w:rFonts w:cs="Tahoma"/>
          <w:szCs w:val="24"/>
        </w:rPr>
        <w:t xml:space="preserve">navýšený </w:t>
      </w:r>
      <w:r w:rsidRPr="00AD2A15">
        <w:rPr>
          <w:rFonts w:cs="Tahoma"/>
          <w:szCs w:val="24"/>
        </w:rPr>
        <w:t xml:space="preserve">o inflaci, </w:t>
      </w:r>
    </w:p>
    <w:p w:rsidR="00DC40F1" w:rsidRPr="00AD2A15" w:rsidRDefault="003209EE" w:rsidP="003209EE">
      <w:pPr>
        <w:pStyle w:val="Bezmezer"/>
        <w:numPr>
          <w:ilvl w:val="0"/>
          <w:numId w:val="2"/>
        </w:numPr>
        <w:rPr>
          <w:rFonts w:cs="Tahoma"/>
          <w:szCs w:val="24"/>
        </w:rPr>
      </w:pPr>
      <w:r w:rsidRPr="00AD2A15">
        <w:rPr>
          <w:rFonts w:cs="Tahoma"/>
          <w:szCs w:val="24"/>
        </w:rPr>
        <w:t>příjm</w:t>
      </w:r>
      <w:r w:rsidR="0029468B" w:rsidRPr="00AD2A15">
        <w:rPr>
          <w:rFonts w:cs="Tahoma"/>
          <w:szCs w:val="24"/>
        </w:rPr>
        <w:t>y</w:t>
      </w:r>
      <w:r w:rsidRPr="00AD2A15">
        <w:rPr>
          <w:rFonts w:cs="Tahoma"/>
          <w:szCs w:val="24"/>
        </w:rPr>
        <w:t xml:space="preserve"> z pronájmu nemocnice v Novém Jičíně </w:t>
      </w:r>
      <w:r w:rsidR="0029468B" w:rsidRPr="00AD2A15">
        <w:rPr>
          <w:rFonts w:cs="Tahoma"/>
          <w:szCs w:val="24"/>
        </w:rPr>
        <w:t xml:space="preserve">navýšené </w:t>
      </w:r>
      <w:r w:rsidRPr="00AD2A15">
        <w:rPr>
          <w:rFonts w:cs="Tahoma"/>
          <w:szCs w:val="24"/>
        </w:rPr>
        <w:t>o inflaci</w:t>
      </w:r>
      <w:r w:rsidR="00DC40F1" w:rsidRPr="00AD2A15">
        <w:rPr>
          <w:rFonts w:cs="Tahoma"/>
          <w:szCs w:val="24"/>
        </w:rPr>
        <w:t>.</w:t>
      </w:r>
    </w:p>
    <w:p w:rsidR="003209EE" w:rsidRPr="00AD2A15" w:rsidRDefault="00DC40F1" w:rsidP="003209EE">
      <w:pPr>
        <w:pStyle w:val="Bezmezer"/>
        <w:numPr>
          <w:ilvl w:val="0"/>
          <w:numId w:val="2"/>
        </w:numPr>
        <w:rPr>
          <w:rFonts w:cs="Tahoma"/>
          <w:szCs w:val="24"/>
        </w:rPr>
      </w:pPr>
      <w:r w:rsidRPr="00AD2A15">
        <w:rPr>
          <w:rFonts w:cs="Tahoma"/>
          <w:szCs w:val="24"/>
        </w:rPr>
        <w:t xml:space="preserve">úroky z prodlení od Regionální rady regionu soudržnosti </w:t>
      </w:r>
      <w:proofErr w:type="spellStart"/>
      <w:r w:rsidRPr="00AD2A15">
        <w:rPr>
          <w:rFonts w:cs="Tahoma"/>
          <w:szCs w:val="24"/>
        </w:rPr>
        <w:t>Moravskoslezsko</w:t>
      </w:r>
      <w:proofErr w:type="spellEnd"/>
      <w:r w:rsidRPr="00AD2A15">
        <w:rPr>
          <w:rFonts w:cs="Tahoma"/>
          <w:szCs w:val="24"/>
        </w:rPr>
        <w:t xml:space="preserve">, </w:t>
      </w:r>
      <w:r w:rsidR="002E1EB4" w:rsidRPr="00AD2A15">
        <w:rPr>
          <w:rFonts w:cs="Tahoma"/>
          <w:szCs w:val="24"/>
        </w:rPr>
        <w:t>na základě vydaných rozhodnutí</w:t>
      </w:r>
    </w:p>
    <w:p w:rsidR="003209EE" w:rsidRPr="00135B14" w:rsidRDefault="003209EE" w:rsidP="003209EE">
      <w:pPr>
        <w:pStyle w:val="Bezmezer"/>
        <w:rPr>
          <w:rFonts w:cs="Tahoma"/>
          <w:szCs w:val="24"/>
        </w:rPr>
      </w:pPr>
    </w:p>
    <w:p w:rsidR="003209EE" w:rsidRPr="00140E2E" w:rsidRDefault="003209EE" w:rsidP="003209EE">
      <w:pPr>
        <w:pStyle w:val="Bezmezer"/>
        <w:rPr>
          <w:rFonts w:cs="Tahoma"/>
          <w:szCs w:val="24"/>
        </w:rPr>
      </w:pPr>
      <w:r w:rsidRPr="002E1EB4">
        <w:rPr>
          <w:rFonts w:cs="Tahoma"/>
          <w:szCs w:val="24"/>
        </w:rPr>
        <w:t>Oproti předchozím</w:t>
      </w:r>
      <w:r w:rsidR="002E1EB4" w:rsidRPr="002E1EB4">
        <w:rPr>
          <w:rFonts w:cs="Tahoma"/>
          <w:szCs w:val="24"/>
        </w:rPr>
        <w:t>u roku v</w:t>
      </w:r>
      <w:r w:rsidR="00DC40F1" w:rsidRPr="002E1EB4">
        <w:rPr>
          <w:rFonts w:cs="Tahoma"/>
          <w:szCs w:val="24"/>
        </w:rPr>
        <w:t xml:space="preserve">šak </w:t>
      </w:r>
      <w:r w:rsidR="0029468B" w:rsidRPr="002E1EB4">
        <w:rPr>
          <w:rFonts w:cs="Tahoma"/>
          <w:szCs w:val="24"/>
        </w:rPr>
        <w:t>klesají</w:t>
      </w:r>
      <w:r w:rsidR="00FB4E68">
        <w:rPr>
          <w:rFonts w:cs="Tahoma"/>
          <w:szCs w:val="24"/>
        </w:rPr>
        <w:t xml:space="preserve"> </w:t>
      </w:r>
      <w:r w:rsidRPr="00DC2DFA">
        <w:rPr>
          <w:rFonts w:cs="Tahoma"/>
          <w:szCs w:val="24"/>
        </w:rPr>
        <w:t>p</w:t>
      </w:r>
      <w:r w:rsidRPr="00140E2E">
        <w:rPr>
          <w:rFonts w:cs="Tahoma"/>
          <w:szCs w:val="24"/>
        </w:rPr>
        <w:t xml:space="preserve">říjmy, </w:t>
      </w:r>
      <w:r w:rsidRPr="003329DA">
        <w:rPr>
          <w:rFonts w:cs="Tahoma"/>
          <w:szCs w:val="24"/>
        </w:rPr>
        <w:t xml:space="preserve">které </w:t>
      </w:r>
      <w:r w:rsidR="002E1EB4" w:rsidRPr="003329DA">
        <w:rPr>
          <w:rFonts w:cs="Tahoma"/>
          <w:szCs w:val="24"/>
        </w:rPr>
        <w:t xml:space="preserve">by měly pozitivní dopad na výdaje, </w:t>
      </w:r>
      <w:r w:rsidRPr="003329DA">
        <w:rPr>
          <w:rFonts w:cs="Tahoma"/>
          <w:szCs w:val="24"/>
        </w:rPr>
        <w:t>např.:</w:t>
      </w:r>
    </w:p>
    <w:p w:rsidR="0029468B" w:rsidRPr="00074940" w:rsidRDefault="003209EE" w:rsidP="0029468B">
      <w:pPr>
        <w:pStyle w:val="Bezmezer"/>
        <w:numPr>
          <w:ilvl w:val="0"/>
          <w:numId w:val="2"/>
        </w:numPr>
        <w:rPr>
          <w:rFonts w:cs="Tahoma"/>
          <w:b/>
          <w:szCs w:val="24"/>
        </w:rPr>
      </w:pPr>
      <w:r w:rsidRPr="00074940">
        <w:rPr>
          <w:rFonts w:cs="Tahoma"/>
          <w:szCs w:val="24"/>
        </w:rPr>
        <w:t>objem příjmů z úroků z úložek na bankovních účtech je snížen o </w:t>
      </w:r>
      <w:r w:rsidR="00DC40F1" w:rsidRPr="00074940">
        <w:rPr>
          <w:rFonts w:cs="Tahoma"/>
          <w:szCs w:val="24"/>
        </w:rPr>
        <w:t>22</w:t>
      </w:r>
      <w:r w:rsidRPr="00074940">
        <w:rPr>
          <w:rFonts w:cs="Tahoma"/>
          <w:szCs w:val="24"/>
        </w:rPr>
        <w:t xml:space="preserve"> mil. </w:t>
      </w:r>
      <w:r w:rsidR="000A69DC" w:rsidRPr="00074940">
        <w:rPr>
          <w:rFonts w:cs="Tahoma"/>
          <w:szCs w:val="24"/>
        </w:rPr>
        <w:t>Kč z důvodu snížení úrokových sazeb bankami, u kterých má kraj uloženy finanční prostředky, a to v návaznosti na snížení základní úrokové sazby Českou národní bankou o 89 %</w:t>
      </w:r>
      <w:r w:rsidRPr="00074940">
        <w:rPr>
          <w:rFonts w:cs="Tahoma"/>
          <w:szCs w:val="24"/>
        </w:rPr>
        <w:t xml:space="preserve">, </w:t>
      </w:r>
    </w:p>
    <w:p w:rsidR="0029468B" w:rsidRPr="0029468B" w:rsidRDefault="0029468B" w:rsidP="0029468B">
      <w:pPr>
        <w:pStyle w:val="Bezmezer"/>
        <w:numPr>
          <w:ilvl w:val="0"/>
          <w:numId w:val="2"/>
        </w:numPr>
        <w:rPr>
          <w:rFonts w:cs="Tahoma"/>
          <w:szCs w:val="24"/>
        </w:rPr>
      </w:pPr>
      <w:r w:rsidRPr="0029468B">
        <w:rPr>
          <w:rFonts w:cs="Tahoma"/>
          <w:szCs w:val="24"/>
        </w:rPr>
        <w:t xml:space="preserve">odvody z fondů investic zřízených příspěvkových organizací. </w:t>
      </w:r>
    </w:p>
    <w:p w:rsidR="003209EE" w:rsidRPr="00CD73C7" w:rsidRDefault="003209EE" w:rsidP="003209EE">
      <w:pPr>
        <w:pStyle w:val="Bezmezer"/>
        <w:rPr>
          <w:rFonts w:cs="Tahoma"/>
          <w:szCs w:val="24"/>
        </w:rPr>
      </w:pPr>
    </w:p>
    <w:p w:rsidR="003209EE" w:rsidRPr="00CD73C7" w:rsidRDefault="003209EE" w:rsidP="003209EE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  <w:u w:val="single"/>
        </w:rPr>
        <w:t xml:space="preserve">Kapitálové příjmy </w:t>
      </w:r>
      <w:r w:rsidRPr="00CD73C7">
        <w:rPr>
          <w:rFonts w:cs="Tahoma"/>
          <w:szCs w:val="24"/>
        </w:rPr>
        <w:t xml:space="preserve">– </w:t>
      </w:r>
      <w:r w:rsidR="00CC1C05" w:rsidRPr="00CD73C7">
        <w:rPr>
          <w:rFonts w:cs="Tahoma"/>
          <w:szCs w:val="24"/>
        </w:rPr>
        <w:t>nárůst</w:t>
      </w:r>
      <w:r w:rsidRPr="00CD73C7">
        <w:rPr>
          <w:rFonts w:cs="Tahoma"/>
          <w:szCs w:val="24"/>
        </w:rPr>
        <w:t xml:space="preserve"> o </w:t>
      </w:r>
      <w:r w:rsidR="00DC40F1">
        <w:rPr>
          <w:rFonts w:cs="Tahoma"/>
          <w:szCs w:val="24"/>
        </w:rPr>
        <w:t>80</w:t>
      </w:r>
      <w:r w:rsidRPr="00CD73C7">
        <w:rPr>
          <w:rFonts w:cs="Tahoma"/>
          <w:szCs w:val="24"/>
        </w:rPr>
        <w:t xml:space="preserve"> %</w:t>
      </w:r>
      <w:r w:rsidRPr="00CD73C7">
        <w:rPr>
          <w:rFonts w:cs="Tahoma"/>
          <w:szCs w:val="24"/>
          <w:u w:val="single"/>
        </w:rPr>
        <w:t xml:space="preserve"> </w:t>
      </w:r>
    </w:p>
    <w:p w:rsidR="00DC40F1" w:rsidRDefault="00CC1C05" w:rsidP="00DC40F1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</w:rPr>
        <w:t>Příjmy jsou</w:t>
      </w:r>
      <w:r w:rsidR="003209EE" w:rsidRPr="00CD73C7">
        <w:rPr>
          <w:rFonts w:cs="Tahoma"/>
          <w:szCs w:val="24"/>
        </w:rPr>
        <w:t xml:space="preserve"> plánovány ve výši </w:t>
      </w:r>
      <w:r w:rsidR="00DC40F1">
        <w:rPr>
          <w:rFonts w:cs="Tahoma"/>
          <w:szCs w:val="24"/>
        </w:rPr>
        <w:t>66</w:t>
      </w:r>
      <w:r w:rsidR="003209EE" w:rsidRPr="00CD73C7">
        <w:rPr>
          <w:rFonts w:cs="Tahoma"/>
          <w:szCs w:val="24"/>
        </w:rPr>
        <w:t xml:space="preserve"> mil. Kč, což </w:t>
      </w:r>
      <w:r w:rsidRPr="00CD73C7">
        <w:rPr>
          <w:rFonts w:cs="Tahoma"/>
          <w:szCs w:val="24"/>
        </w:rPr>
        <w:t>před</w:t>
      </w:r>
      <w:r w:rsidR="003209EE" w:rsidRPr="00CD73C7">
        <w:rPr>
          <w:rFonts w:cs="Tahoma"/>
          <w:szCs w:val="24"/>
        </w:rPr>
        <w:t xml:space="preserve">stavuje </w:t>
      </w:r>
      <w:r w:rsidRPr="00CD73C7">
        <w:rPr>
          <w:rFonts w:cs="Tahoma"/>
          <w:szCs w:val="24"/>
        </w:rPr>
        <w:t>nárůst</w:t>
      </w:r>
      <w:r w:rsidR="003209EE" w:rsidRPr="00CD73C7">
        <w:rPr>
          <w:rFonts w:cs="Tahoma"/>
          <w:szCs w:val="24"/>
        </w:rPr>
        <w:t xml:space="preserve"> oproti schválenému rozpočtu 20</w:t>
      </w:r>
      <w:r w:rsidR="00DC40F1">
        <w:rPr>
          <w:rFonts w:cs="Tahoma"/>
          <w:szCs w:val="24"/>
        </w:rPr>
        <w:t>20</w:t>
      </w:r>
      <w:r w:rsidR="003209EE" w:rsidRPr="00CD73C7">
        <w:rPr>
          <w:rFonts w:cs="Tahoma"/>
          <w:szCs w:val="24"/>
        </w:rPr>
        <w:t xml:space="preserve"> o </w:t>
      </w:r>
      <w:r w:rsidR="00DC40F1">
        <w:rPr>
          <w:rFonts w:cs="Tahoma"/>
          <w:szCs w:val="24"/>
        </w:rPr>
        <w:t>29</w:t>
      </w:r>
      <w:r w:rsidR="003A6319">
        <w:rPr>
          <w:rFonts w:cs="Tahoma"/>
          <w:szCs w:val="24"/>
        </w:rPr>
        <w:t> mil. Kč</w:t>
      </w:r>
      <w:r w:rsidR="00DC40F1">
        <w:rPr>
          <w:rFonts w:cs="Tahoma"/>
          <w:szCs w:val="24"/>
        </w:rPr>
        <w:t xml:space="preserve"> a je způsobeno </w:t>
      </w:r>
      <w:r w:rsidRPr="00E73F3C">
        <w:rPr>
          <w:rFonts w:cs="Tahoma"/>
          <w:szCs w:val="24"/>
        </w:rPr>
        <w:t>zahrnut</w:t>
      </w:r>
      <w:r w:rsidR="00DC40F1" w:rsidRPr="00E73F3C">
        <w:rPr>
          <w:rFonts w:cs="Tahoma"/>
          <w:szCs w:val="24"/>
        </w:rPr>
        <w:t>ím</w:t>
      </w:r>
      <w:r w:rsidRPr="00E73F3C">
        <w:rPr>
          <w:rFonts w:cs="Tahoma"/>
          <w:szCs w:val="24"/>
        </w:rPr>
        <w:t xml:space="preserve"> plánovan</w:t>
      </w:r>
      <w:r w:rsidR="00DC40F1" w:rsidRPr="00E73F3C">
        <w:rPr>
          <w:rFonts w:cs="Tahoma"/>
          <w:szCs w:val="24"/>
        </w:rPr>
        <w:t xml:space="preserve">ého </w:t>
      </w:r>
      <w:r w:rsidRPr="00E73F3C">
        <w:rPr>
          <w:rFonts w:cs="Tahoma"/>
          <w:szCs w:val="24"/>
        </w:rPr>
        <w:t>prodej</w:t>
      </w:r>
      <w:r w:rsidR="00E73F3C" w:rsidRPr="00E73F3C">
        <w:rPr>
          <w:rFonts w:cs="Tahoma"/>
          <w:szCs w:val="24"/>
        </w:rPr>
        <w:t>e</w:t>
      </w:r>
      <w:r w:rsidRPr="00E73F3C">
        <w:rPr>
          <w:rFonts w:cs="Tahoma"/>
          <w:szCs w:val="24"/>
        </w:rPr>
        <w:t xml:space="preserve"> pozemků </w:t>
      </w:r>
      <w:r w:rsidR="00DC40F1" w:rsidRPr="00E73F3C">
        <w:rPr>
          <w:rFonts w:cs="Tahoma"/>
          <w:szCs w:val="24"/>
        </w:rPr>
        <w:t>v rámci Multimodálního logistického centra Mošnov ve výši 47 mil. Kč.</w:t>
      </w:r>
      <w:r w:rsidR="00DC40F1">
        <w:rPr>
          <w:rFonts w:cs="Tahoma"/>
          <w:szCs w:val="24"/>
        </w:rPr>
        <w:t xml:space="preserve"> </w:t>
      </w:r>
    </w:p>
    <w:p w:rsidR="00DC40F1" w:rsidRDefault="00DC40F1" w:rsidP="00DC40F1">
      <w:pPr>
        <w:pStyle w:val="Bezmezer"/>
        <w:ind w:left="720"/>
        <w:rPr>
          <w:rFonts w:cs="Tahoma"/>
          <w:szCs w:val="24"/>
        </w:rPr>
      </w:pPr>
    </w:p>
    <w:p w:rsidR="003209EE" w:rsidRPr="00CD73C7" w:rsidRDefault="003209EE" w:rsidP="003209EE">
      <w:pPr>
        <w:pStyle w:val="Bezmezer"/>
        <w:rPr>
          <w:rFonts w:cs="Tahoma"/>
          <w:szCs w:val="24"/>
          <w:u w:val="single"/>
        </w:rPr>
      </w:pPr>
      <w:r w:rsidRPr="00CD73C7">
        <w:rPr>
          <w:rFonts w:cs="Tahoma"/>
          <w:szCs w:val="24"/>
          <w:u w:val="single"/>
        </w:rPr>
        <w:t>Přijaté dotace</w:t>
      </w:r>
      <w:r w:rsidRPr="00CD73C7">
        <w:rPr>
          <w:rFonts w:cs="Tahoma"/>
          <w:szCs w:val="24"/>
        </w:rPr>
        <w:t xml:space="preserve"> – </w:t>
      </w:r>
      <w:r w:rsidR="003A7890">
        <w:rPr>
          <w:rFonts w:cs="Tahoma"/>
          <w:szCs w:val="24"/>
        </w:rPr>
        <w:t xml:space="preserve">pokles </w:t>
      </w:r>
      <w:r w:rsidR="00DC40F1">
        <w:rPr>
          <w:rFonts w:cs="Tahoma"/>
          <w:szCs w:val="24"/>
        </w:rPr>
        <w:t xml:space="preserve">o </w:t>
      </w:r>
      <w:r w:rsidR="003A7890">
        <w:rPr>
          <w:rFonts w:cs="Tahoma"/>
          <w:szCs w:val="24"/>
        </w:rPr>
        <w:t>34</w:t>
      </w:r>
      <w:r w:rsidRPr="00CD73C7">
        <w:rPr>
          <w:rFonts w:cs="Tahoma"/>
          <w:szCs w:val="24"/>
        </w:rPr>
        <w:t xml:space="preserve"> %</w:t>
      </w:r>
    </w:p>
    <w:p w:rsidR="003209EE" w:rsidRPr="00CD73C7" w:rsidRDefault="003209EE" w:rsidP="003209EE">
      <w:pPr>
        <w:pStyle w:val="Bezmezer"/>
        <w:rPr>
          <w:rFonts w:cs="Tahoma"/>
          <w:szCs w:val="24"/>
        </w:rPr>
      </w:pPr>
      <w:r w:rsidRPr="00CD73C7">
        <w:rPr>
          <w:rFonts w:cs="Tahoma"/>
          <w:szCs w:val="24"/>
        </w:rPr>
        <w:t xml:space="preserve">Jsou zařazeny dotace v celkové výši </w:t>
      </w:r>
      <w:r w:rsidR="003A7890">
        <w:rPr>
          <w:rFonts w:cs="Tahoma"/>
          <w:szCs w:val="24"/>
        </w:rPr>
        <w:t>1.46</w:t>
      </w:r>
      <w:r w:rsidR="003329DA">
        <w:rPr>
          <w:rFonts w:cs="Tahoma"/>
          <w:szCs w:val="24"/>
        </w:rPr>
        <w:t>5</w:t>
      </w:r>
      <w:r w:rsidRPr="00CD73C7">
        <w:rPr>
          <w:rFonts w:cs="Tahoma"/>
          <w:szCs w:val="24"/>
        </w:rPr>
        <w:t xml:space="preserve"> mil. Kč (meziroční </w:t>
      </w:r>
      <w:r w:rsidR="003A7890">
        <w:rPr>
          <w:rFonts w:cs="Tahoma"/>
          <w:szCs w:val="24"/>
        </w:rPr>
        <w:t xml:space="preserve">pokles </w:t>
      </w:r>
      <w:r w:rsidRPr="00CD73C7">
        <w:rPr>
          <w:rFonts w:cs="Tahoma"/>
          <w:szCs w:val="24"/>
        </w:rPr>
        <w:t xml:space="preserve">o </w:t>
      </w:r>
      <w:r w:rsidR="003A7890">
        <w:rPr>
          <w:rFonts w:cs="Tahoma"/>
          <w:szCs w:val="24"/>
        </w:rPr>
        <w:t>76</w:t>
      </w:r>
      <w:r w:rsidR="003329DA">
        <w:rPr>
          <w:rFonts w:cs="Tahoma"/>
          <w:szCs w:val="24"/>
        </w:rPr>
        <w:t>9</w:t>
      </w:r>
      <w:r w:rsidRPr="00CD73C7">
        <w:rPr>
          <w:rFonts w:cs="Tahoma"/>
          <w:szCs w:val="24"/>
        </w:rPr>
        <w:t xml:space="preserve"> m</w:t>
      </w:r>
      <w:r w:rsidR="00DC40F1">
        <w:rPr>
          <w:rFonts w:cs="Tahoma"/>
          <w:szCs w:val="24"/>
        </w:rPr>
        <w:t>i</w:t>
      </w:r>
      <w:r w:rsidRPr="00CD73C7">
        <w:rPr>
          <w:rFonts w:cs="Tahoma"/>
          <w:szCs w:val="24"/>
        </w:rPr>
        <w:t>l. Kč), a to:</w:t>
      </w:r>
    </w:p>
    <w:p w:rsidR="003209EE" w:rsidRPr="00CD73C7" w:rsidRDefault="003209EE" w:rsidP="003209EE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CD73C7">
        <w:rPr>
          <w:rFonts w:cs="Tahoma"/>
          <w:szCs w:val="24"/>
        </w:rPr>
        <w:t xml:space="preserve">dotace související s akcemi realizovanými v rámci </w:t>
      </w:r>
      <w:r w:rsidR="002E1EB4">
        <w:rPr>
          <w:rFonts w:cs="Tahoma"/>
          <w:szCs w:val="24"/>
        </w:rPr>
        <w:t xml:space="preserve">končícího </w:t>
      </w:r>
      <w:r w:rsidRPr="00CD73C7">
        <w:rPr>
          <w:rFonts w:cs="Tahoma"/>
          <w:szCs w:val="24"/>
        </w:rPr>
        <w:t>programového období 20</w:t>
      </w:r>
      <w:r w:rsidR="003A7890">
        <w:rPr>
          <w:rFonts w:cs="Tahoma"/>
          <w:szCs w:val="24"/>
        </w:rPr>
        <w:t>14</w:t>
      </w:r>
      <w:r w:rsidR="003329DA">
        <w:rPr>
          <w:rFonts w:cs="Tahoma"/>
          <w:szCs w:val="24"/>
        </w:rPr>
        <w:t> </w:t>
      </w:r>
      <w:r w:rsidR="003329DA">
        <w:rPr>
          <w:rFonts w:cs="Tahoma"/>
          <w:szCs w:val="24"/>
        </w:rPr>
        <w:noBreakHyphen/>
        <w:t> </w:t>
      </w:r>
      <w:r w:rsidRPr="00CD73C7">
        <w:rPr>
          <w:rFonts w:cs="Tahoma"/>
          <w:szCs w:val="24"/>
        </w:rPr>
        <w:t xml:space="preserve">2020 ve výši </w:t>
      </w:r>
      <w:r w:rsidR="003A7890">
        <w:rPr>
          <w:rFonts w:cs="Tahoma"/>
          <w:szCs w:val="24"/>
        </w:rPr>
        <w:t>7</w:t>
      </w:r>
      <w:r w:rsidR="003329DA">
        <w:rPr>
          <w:rFonts w:cs="Tahoma"/>
          <w:szCs w:val="24"/>
        </w:rPr>
        <w:t>07</w:t>
      </w:r>
      <w:r w:rsidRPr="00CD73C7">
        <w:rPr>
          <w:rFonts w:cs="Tahoma"/>
          <w:szCs w:val="24"/>
        </w:rPr>
        <w:t xml:space="preserve"> mil. Kč,</w:t>
      </w:r>
    </w:p>
    <w:p w:rsidR="003209EE" w:rsidRDefault="003209EE" w:rsidP="003209EE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CD73C7">
        <w:rPr>
          <w:rFonts w:cs="Tahoma"/>
          <w:szCs w:val="24"/>
        </w:rPr>
        <w:t>dotace z Ministerstva financí na výkon přenesené působnosti ve výši 1</w:t>
      </w:r>
      <w:r w:rsidR="00C167E5">
        <w:rPr>
          <w:rFonts w:cs="Tahoma"/>
          <w:szCs w:val="24"/>
        </w:rPr>
        <w:t>64</w:t>
      </w:r>
      <w:r w:rsidRPr="00CD73C7">
        <w:rPr>
          <w:rFonts w:cs="Tahoma"/>
          <w:szCs w:val="24"/>
        </w:rPr>
        <w:t> mil. Kč (tzv. souhrnný finanční vztah), navýšení o 5 %,</w:t>
      </w:r>
    </w:p>
    <w:p w:rsidR="004C3406" w:rsidRDefault="003209EE" w:rsidP="004C3406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CD73C7">
        <w:rPr>
          <w:rFonts w:cs="Tahoma"/>
          <w:szCs w:val="24"/>
        </w:rPr>
        <w:t xml:space="preserve">dotace z Ministerstva dopravy na dofinancování dopravní obslužnosti veřejnou železniční osobní dopravou ve výši </w:t>
      </w:r>
      <w:r w:rsidR="00C167E5">
        <w:rPr>
          <w:rFonts w:cs="Tahoma"/>
          <w:szCs w:val="24"/>
        </w:rPr>
        <w:t>321</w:t>
      </w:r>
      <w:r w:rsidRPr="00CD73C7">
        <w:rPr>
          <w:rFonts w:cs="Tahoma"/>
          <w:szCs w:val="24"/>
        </w:rPr>
        <w:t xml:space="preserve"> mil. Kč </w:t>
      </w:r>
      <w:r w:rsidR="003A6319">
        <w:rPr>
          <w:rFonts w:cs="Tahoma"/>
          <w:szCs w:val="24"/>
        </w:rPr>
        <w:t>(</w:t>
      </w:r>
      <w:r w:rsidRPr="00CD73C7">
        <w:rPr>
          <w:rFonts w:cs="Tahoma"/>
          <w:szCs w:val="24"/>
        </w:rPr>
        <w:t>navýšení o inflaci</w:t>
      </w:r>
      <w:r w:rsidR="003A6319">
        <w:rPr>
          <w:rFonts w:cs="Tahoma"/>
          <w:szCs w:val="24"/>
        </w:rPr>
        <w:t>)</w:t>
      </w:r>
      <w:r w:rsidR="00CC1C05" w:rsidRPr="00CD73C7">
        <w:rPr>
          <w:rFonts w:cs="Tahoma"/>
          <w:szCs w:val="24"/>
        </w:rPr>
        <w:t>,</w:t>
      </w:r>
    </w:p>
    <w:p w:rsidR="004C3406" w:rsidRPr="004C3406" w:rsidRDefault="004C3406" w:rsidP="00C72904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4C3406">
        <w:rPr>
          <w:rFonts w:cs="Tahoma"/>
          <w:szCs w:val="24"/>
        </w:rPr>
        <w:t xml:space="preserve">dotace z Ministerstva práce a sociálních věcí na realizaci akce „Domov pro osoby se zdravotním postižením Harmonie, p. o.“ ve výši 16 mil. Kč, </w:t>
      </w:r>
    </w:p>
    <w:p w:rsidR="004C3406" w:rsidRPr="003329DA" w:rsidRDefault="004C3406" w:rsidP="004C3406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3329DA">
        <w:rPr>
          <w:rFonts w:cs="Tahoma"/>
          <w:szCs w:val="24"/>
        </w:rPr>
        <w:t xml:space="preserve">dotace z Ministerstva životního prostředí </w:t>
      </w:r>
      <w:r w:rsidR="00174C80" w:rsidRPr="003329DA">
        <w:rPr>
          <w:rFonts w:cs="Tahoma"/>
          <w:szCs w:val="24"/>
        </w:rPr>
        <w:t xml:space="preserve">a od obcí </w:t>
      </w:r>
      <w:r w:rsidRPr="003329DA">
        <w:rPr>
          <w:rFonts w:cs="Tahoma"/>
          <w:szCs w:val="24"/>
        </w:rPr>
        <w:t>na kotlíkové dotace</w:t>
      </w:r>
      <w:r w:rsidR="00815DA7" w:rsidRPr="003329DA">
        <w:rPr>
          <w:rFonts w:cs="Tahoma"/>
          <w:szCs w:val="24"/>
        </w:rPr>
        <w:t xml:space="preserve"> v rámci dotačního programu mimo prostředky EU</w:t>
      </w:r>
      <w:r w:rsidRPr="003329DA">
        <w:rPr>
          <w:rFonts w:cs="Tahoma"/>
          <w:szCs w:val="24"/>
        </w:rPr>
        <w:t xml:space="preserve"> ve výši 154 mil. Kč,</w:t>
      </w:r>
    </w:p>
    <w:p w:rsidR="004C3406" w:rsidRDefault="00C167E5" w:rsidP="004C3406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3329DA">
        <w:rPr>
          <w:rFonts w:cs="Tahoma"/>
          <w:szCs w:val="24"/>
        </w:rPr>
        <w:t>příspěvky obcí a krajů na dopravní obslužnost linkovou ve výši</w:t>
      </w:r>
      <w:r w:rsidRPr="004C3406">
        <w:rPr>
          <w:rFonts w:cs="Tahoma"/>
          <w:szCs w:val="24"/>
        </w:rPr>
        <w:t xml:space="preserve"> 69 mil. Kč na základě uzavřených smluv </w:t>
      </w:r>
      <w:r w:rsidRPr="00EE6779">
        <w:t>o poskytnutí finančního příspěvku za účelem za</w:t>
      </w:r>
      <w:r>
        <w:t xml:space="preserve">jištění dopravní obslužnosti </w:t>
      </w:r>
      <w:r w:rsidRPr="00EE6779">
        <w:t>veřejnou linkovou dopravou</w:t>
      </w:r>
      <w:r w:rsidRPr="004C3406">
        <w:rPr>
          <w:rFonts w:cs="Tahoma"/>
          <w:szCs w:val="24"/>
        </w:rPr>
        <w:t>,</w:t>
      </w:r>
    </w:p>
    <w:p w:rsidR="004C3406" w:rsidRDefault="00C167E5" w:rsidP="004C3406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4C3406">
        <w:rPr>
          <w:rFonts w:cs="Tahoma"/>
          <w:szCs w:val="24"/>
        </w:rPr>
        <w:t xml:space="preserve">příspěvek Zlínského kraje na dopravní obslužnost drážní ve výši 5 mil. Kč, </w:t>
      </w:r>
    </w:p>
    <w:p w:rsidR="00C167E5" w:rsidRDefault="00C167E5" w:rsidP="004C3406">
      <w:pPr>
        <w:pStyle w:val="Bezmezer"/>
        <w:numPr>
          <w:ilvl w:val="0"/>
          <w:numId w:val="5"/>
        </w:numPr>
        <w:rPr>
          <w:rFonts w:cs="Tahoma"/>
          <w:szCs w:val="24"/>
        </w:rPr>
      </w:pPr>
      <w:r w:rsidRPr="004C3406">
        <w:rPr>
          <w:rFonts w:cs="Tahoma"/>
          <w:szCs w:val="24"/>
        </w:rPr>
        <w:t xml:space="preserve">dotace od obcí ve výši </w:t>
      </w:r>
      <w:r w:rsidR="004C3406">
        <w:rPr>
          <w:rFonts w:cs="Tahoma"/>
          <w:szCs w:val="24"/>
        </w:rPr>
        <w:t>28</w:t>
      </w:r>
      <w:r w:rsidRPr="004C3406">
        <w:rPr>
          <w:rFonts w:cs="Tahoma"/>
          <w:szCs w:val="24"/>
        </w:rPr>
        <w:t xml:space="preserve"> mil. Kč do Fondu sociálních služeb,</w:t>
      </w:r>
    </w:p>
    <w:p w:rsidR="004C3406" w:rsidRDefault="004C3406" w:rsidP="00C167E5">
      <w:pPr>
        <w:pStyle w:val="Bezmezer"/>
      </w:pPr>
      <w:r>
        <w:lastRenderedPageBreak/>
        <w:t xml:space="preserve">Všechny </w:t>
      </w:r>
      <w:r w:rsidR="00C167E5" w:rsidRPr="00454209">
        <w:t>dotace</w:t>
      </w:r>
      <w:r>
        <w:t>, které jsou plánovány v rámci základních parametrů</w:t>
      </w:r>
      <w:r w:rsidR="00815DA7">
        <w:t>,</w:t>
      </w:r>
      <w:r>
        <w:t xml:space="preserve"> mají </w:t>
      </w:r>
      <w:r w:rsidR="00C167E5" w:rsidRPr="00454209">
        <w:t>rozhodnutí od příslušného ministerstva</w:t>
      </w:r>
      <w:r>
        <w:t xml:space="preserve"> nebo uzavřenou smlouvu</w:t>
      </w:r>
      <w:r w:rsidR="00DA51D1">
        <w:t xml:space="preserve"> (vyjma dotace z MF)</w:t>
      </w:r>
      <w:r>
        <w:t xml:space="preserve">. </w:t>
      </w:r>
    </w:p>
    <w:p w:rsidR="004C3406" w:rsidRDefault="004C3406" w:rsidP="00C167E5">
      <w:pPr>
        <w:pStyle w:val="Bezmezer"/>
      </w:pPr>
    </w:p>
    <w:p w:rsidR="003209EE" w:rsidRDefault="003209EE" w:rsidP="004C3406">
      <w:pPr>
        <w:pStyle w:val="Bezmezer"/>
        <w:rPr>
          <w:rFonts w:cs="Tahoma"/>
          <w:b/>
        </w:rPr>
      </w:pPr>
      <w:r>
        <w:rPr>
          <w:rFonts w:cs="Tahoma"/>
          <w:b/>
        </w:rPr>
        <w:t xml:space="preserve">Plánované </w:t>
      </w:r>
      <w:r w:rsidRPr="00911EB4">
        <w:rPr>
          <w:rFonts w:cs="Tahoma"/>
          <w:b/>
        </w:rPr>
        <w:t>VÝDAJE</w:t>
      </w:r>
      <w:r>
        <w:rPr>
          <w:rFonts w:cs="Tahoma"/>
          <w:b/>
        </w:rPr>
        <w:t xml:space="preserve"> 20</w:t>
      </w:r>
      <w:r w:rsidR="00DA51D1">
        <w:rPr>
          <w:rFonts w:cs="Tahoma"/>
          <w:b/>
        </w:rPr>
        <w:t>21</w:t>
      </w:r>
      <w:r>
        <w:rPr>
          <w:rFonts w:cs="Tahoma"/>
          <w:b/>
        </w:rPr>
        <w:t xml:space="preserve"> – </w:t>
      </w:r>
      <w:r w:rsidR="00A96DDC">
        <w:rPr>
          <w:rFonts w:cs="Tahoma"/>
          <w:b/>
        </w:rPr>
        <w:t xml:space="preserve">ve výši </w:t>
      </w:r>
      <w:r w:rsidR="003329DA">
        <w:rPr>
          <w:rFonts w:cs="Tahoma"/>
          <w:b/>
        </w:rPr>
        <w:t>9</w:t>
      </w:r>
      <w:r w:rsidR="00403C4E">
        <w:rPr>
          <w:rFonts w:cs="Tahoma"/>
          <w:b/>
        </w:rPr>
        <w:t>.</w:t>
      </w:r>
      <w:r w:rsidR="003329DA">
        <w:rPr>
          <w:rFonts w:cs="Tahoma"/>
          <w:b/>
        </w:rPr>
        <w:t>107</w:t>
      </w:r>
      <w:r w:rsidR="00C72904">
        <w:rPr>
          <w:rFonts w:cs="Tahoma"/>
          <w:b/>
        </w:rPr>
        <w:t xml:space="preserve"> </w:t>
      </w:r>
      <w:r>
        <w:rPr>
          <w:rFonts w:cs="Tahoma"/>
          <w:b/>
        </w:rPr>
        <w:t>mil. Kč</w:t>
      </w:r>
    </w:p>
    <w:p w:rsidR="00C72904" w:rsidRPr="00E73F3C" w:rsidRDefault="00A96DDC" w:rsidP="00C7290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V</w:t>
      </w:r>
      <w:r w:rsidR="00717947">
        <w:rPr>
          <w:rFonts w:ascii="Tahoma" w:hAnsi="Tahoma" w:cs="Tahoma"/>
        </w:rPr>
        <w:t xml:space="preserve"> rámci nastavení základních parametrů </w:t>
      </w:r>
      <w:r>
        <w:rPr>
          <w:rFonts w:ascii="Tahoma" w:hAnsi="Tahoma" w:cs="Tahoma"/>
        </w:rPr>
        <w:t xml:space="preserve">je navrhován meziroční </w:t>
      </w:r>
      <w:r w:rsidR="00C72904">
        <w:rPr>
          <w:rFonts w:ascii="Tahoma" w:hAnsi="Tahoma" w:cs="Tahoma"/>
        </w:rPr>
        <w:t xml:space="preserve">pokles </w:t>
      </w:r>
      <w:r w:rsidR="0029468B">
        <w:rPr>
          <w:rFonts w:ascii="Tahoma" w:hAnsi="Tahoma" w:cs="Tahoma"/>
        </w:rPr>
        <w:t xml:space="preserve">celkových </w:t>
      </w:r>
      <w:r>
        <w:rPr>
          <w:rFonts w:ascii="Tahoma" w:hAnsi="Tahoma" w:cs="Tahoma"/>
        </w:rPr>
        <w:t>výdajů o 1</w:t>
      </w:r>
      <w:r w:rsidR="003329DA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%</w:t>
      </w:r>
      <w:r w:rsidR="0029468B">
        <w:rPr>
          <w:rFonts w:ascii="Tahoma" w:hAnsi="Tahoma" w:cs="Tahoma"/>
        </w:rPr>
        <w:t>.</w:t>
      </w:r>
      <w:r w:rsidR="003A6319">
        <w:rPr>
          <w:rFonts w:ascii="Tahoma" w:hAnsi="Tahoma" w:cs="Tahoma"/>
        </w:rPr>
        <w:t xml:space="preserve"> </w:t>
      </w:r>
      <w:r w:rsidR="00C72904">
        <w:rPr>
          <w:rFonts w:ascii="Tahoma" w:hAnsi="Tahoma" w:cs="Tahoma"/>
        </w:rPr>
        <w:t xml:space="preserve">Přičemž </w:t>
      </w:r>
      <w:r w:rsidR="00C72904" w:rsidRPr="00E73F3C">
        <w:rPr>
          <w:rFonts w:ascii="Tahoma" w:hAnsi="Tahoma" w:cs="Tahoma"/>
          <w:b/>
          <w:bCs/>
        </w:rPr>
        <w:t>ve</w:t>
      </w:r>
      <w:r w:rsidR="00C72904" w:rsidRPr="00C72904">
        <w:rPr>
          <w:rFonts w:ascii="Tahoma" w:hAnsi="Tahoma" w:cs="Tahoma"/>
          <w:b/>
          <w:bCs/>
        </w:rPr>
        <w:t xml:space="preserve"> výdajích jsou </w:t>
      </w:r>
      <w:r w:rsidR="00C72904">
        <w:rPr>
          <w:rFonts w:ascii="Tahoma" w:hAnsi="Tahoma" w:cs="Tahoma"/>
          <w:b/>
          <w:bCs/>
        </w:rPr>
        <w:t xml:space="preserve">zahrnuty všechny očekávané </w:t>
      </w:r>
      <w:r w:rsidR="00C72904" w:rsidRPr="00C72904">
        <w:rPr>
          <w:rFonts w:ascii="Tahoma" w:hAnsi="Tahoma" w:cs="Tahoma"/>
          <w:b/>
          <w:bCs/>
        </w:rPr>
        <w:t>mandatorní výdaje</w:t>
      </w:r>
      <w:r w:rsidR="00C72904">
        <w:rPr>
          <w:rFonts w:ascii="Tahoma" w:hAnsi="Tahoma" w:cs="Tahoma"/>
          <w:b/>
          <w:bCs/>
        </w:rPr>
        <w:t xml:space="preserve"> roku 2021</w:t>
      </w:r>
      <w:r w:rsidR="00C72904" w:rsidRPr="00C72904">
        <w:rPr>
          <w:rFonts w:ascii="Tahoma" w:hAnsi="Tahoma" w:cs="Tahoma"/>
          <w:b/>
          <w:bCs/>
        </w:rPr>
        <w:t xml:space="preserve">, což jsou </w:t>
      </w:r>
      <w:r w:rsidR="00C72904" w:rsidRPr="00E73F3C">
        <w:rPr>
          <w:rFonts w:ascii="Tahoma" w:hAnsi="Tahoma" w:cs="Tahoma"/>
          <w:b/>
          <w:bCs/>
        </w:rPr>
        <w:t>výdaje na zajištěn</w:t>
      </w:r>
      <w:r w:rsidR="00E73F3C" w:rsidRPr="00E73F3C">
        <w:rPr>
          <w:rFonts w:ascii="Tahoma" w:hAnsi="Tahoma" w:cs="Tahoma"/>
          <w:b/>
          <w:bCs/>
        </w:rPr>
        <w:t>í</w:t>
      </w:r>
      <w:r w:rsidR="00C72904" w:rsidRPr="00E73F3C">
        <w:rPr>
          <w:rFonts w:ascii="Tahoma" w:hAnsi="Tahoma" w:cs="Tahoma"/>
          <w:b/>
          <w:bCs/>
        </w:rPr>
        <w:t>:</w:t>
      </w:r>
    </w:p>
    <w:p w:rsidR="00C72904" w:rsidRPr="00C72904" w:rsidRDefault="00C72904" w:rsidP="00C72904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C72904">
        <w:rPr>
          <w:rFonts w:ascii="Tahoma" w:hAnsi="Tahoma" w:cs="Tahoma"/>
        </w:rPr>
        <w:t>povinnost</w:t>
      </w:r>
      <w:r w:rsidR="00E73F3C">
        <w:rPr>
          <w:rFonts w:ascii="Tahoma" w:hAnsi="Tahoma" w:cs="Tahoma"/>
        </w:rPr>
        <w:t>í</w:t>
      </w:r>
      <w:r w:rsidRPr="00C72904">
        <w:rPr>
          <w:rFonts w:ascii="Tahoma" w:hAnsi="Tahoma" w:cs="Tahoma"/>
        </w:rPr>
        <w:t xml:space="preserve"> stanoven</w:t>
      </w:r>
      <w:r w:rsidR="00E73F3C">
        <w:rPr>
          <w:rFonts w:ascii="Tahoma" w:hAnsi="Tahoma" w:cs="Tahoma"/>
        </w:rPr>
        <w:t>ých</w:t>
      </w:r>
      <w:r w:rsidRPr="00C72904">
        <w:rPr>
          <w:rFonts w:ascii="Tahoma" w:hAnsi="Tahoma" w:cs="Tahoma"/>
        </w:rPr>
        <w:t xml:space="preserve"> zákonem,</w:t>
      </w:r>
    </w:p>
    <w:p w:rsidR="00C72904" w:rsidRPr="00C72904" w:rsidRDefault="00C72904" w:rsidP="00C72904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C72904">
        <w:rPr>
          <w:rFonts w:ascii="Tahoma" w:hAnsi="Tahoma" w:cs="Tahoma"/>
        </w:rPr>
        <w:t>povinnost</w:t>
      </w:r>
      <w:r w:rsidR="00E73F3C">
        <w:rPr>
          <w:rFonts w:ascii="Tahoma" w:hAnsi="Tahoma" w:cs="Tahoma"/>
        </w:rPr>
        <w:t>í</w:t>
      </w:r>
      <w:r w:rsidRPr="00C72904">
        <w:rPr>
          <w:rFonts w:ascii="Tahoma" w:hAnsi="Tahoma" w:cs="Tahoma"/>
        </w:rPr>
        <w:t xml:space="preserve"> z uzavřen</w:t>
      </w:r>
      <w:r w:rsidR="00E73F3C">
        <w:rPr>
          <w:rFonts w:ascii="Tahoma" w:hAnsi="Tahoma" w:cs="Tahoma"/>
        </w:rPr>
        <w:t>ých</w:t>
      </w:r>
      <w:r w:rsidRPr="00C72904">
        <w:rPr>
          <w:rFonts w:ascii="Tahoma" w:hAnsi="Tahoma" w:cs="Tahoma"/>
        </w:rPr>
        <w:t xml:space="preserve"> smluv,</w:t>
      </w:r>
    </w:p>
    <w:p w:rsidR="00C72904" w:rsidRPr="00C72904" w:rsidRDefault="00C72904" w:rsidP="00C72904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C72904">
        <w:rPr>
          <w:rFonts w:ascii="Tahoma" w:hAnsi="Tahoma" w:cs="Tahoma"/>
        </w:rPr>
        <w:t>zřizovatelsk</w:t>
      </w:r>
      <w:r w:rsidR="00E73F3C">
        <w:rPr>
          <w:rFonts w:ascii="Tahoma" w:hAnsi="Tahoma" w:cs="Tahoma"/>
        </w:rPr>
        <w:t>ých</w:t>
      </w:r>
      <w:r w:rsidRPr="00C72904">
        <w:rPr>
          <w:rFonts w:ascii="Tahoma" w:hAnsi="Tahoma" w:cs="Tahoma"/>
        </w:rPr>
        <w:t xml:space="preserve"> závazk</w:t>
      </w:r>
      <w:r w:rsidR="00E73F3C">
        <w:rPr>
          <w:rFonts w:ascii="Tahoma" w:hAnsi="Tahoma" w:cs="Tahoma"/>
        </w:rPr>
        <w:t>ů</w:t>
      </w:r>
      <w:r w:rsidRPr="00C72904">
        <w:rPr>
          <w:rFonts w:ascii="Tahoma" w:hAnsi="Tahoma" w:cs="Tahoma"/>
        </w:rPr>
        <w:t xml:space="preserve"> (příspěvek na provoz), zakladatelsk</w:t>
      </w:r>
      <w:r w:rsidR="00E73F3C">
        <w:rPr>
          <w:rFonts w:ascii="Tahoma" w:hAnsi="Tahoma" w:cs="Tahoma"/>
        </w:rPr>
        <w:t>ých</w:t>
      </w:r>
      <w:r w:rsidRPr="00C72904">
        <w:rPr>
          <w:rFonts w:ascii="Tahoma" w:hAnsi="Tahoma" w:cs="Tahoma"/>
        </w:rPr>
        <w:t xml:space="preserve"> závazk</w:t>
      </w:r>
      <w:r w:rsidR="00E73F3C">
        <w:rPr>
          <w:rFonts w:ascii="Tahoma" w:hAnsi="Tahoma" w:cs="Tahoma"/>
        </w:rPr>
        <w:t>ů</w:t>
      </w:r>
      <w:r w:rsidRPr="00C72904">
        <w:rPr>
          <w:rFonts w:ascii="Tahoma" w:hAnsi="Tahoma" w:cs="Tahoma"/>
        </w:rPr>
        <w:t xml:space="preserve"> (obchodní společnost kraje) a provoz</w:t>
      </w:r>
      <w:r w:rsidR="00E73F3C">
        <w:rPr>
          <w:rFonts w:ascii="Tahoma" w:hAnsi="Tahoma" w:cs="Tahoma"/>
        </w:rPr>
        <w:t>u</w:t>
      </w:r>
      <w:r w:rsidRPr="00C72904">
        <w:rPr>
          <w:rFonts w:ascii="Tahoma" w:hAnsi="Tahoma" w:cs="Tahoma"/>
        </w:rPr>
        <w:t xml:space="preserve"> krajského úřadu,</w:t>
      </w:r>
    </w:p>
    <w:p w:rsidR="00C72904" w:rsidRPr="00C72904" w:rsidRDefault="00C72904" w:rsidP="00C72904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C72904">
        <w:rPr>
          <w:rFonts w:ascii="Tahoma" w:hAnsi="Tahoma" w:cs="Tahoma"/>
        </w:rPr>
        <w:t>závazk</w:t>
      </w:r>
      <w:r w:rsidR="00E73F3C">
        <w:rPr>
          <w:rFonts w:ascii="Tahoma" w:hAnsi="Tahoma" w:cs="Tahoma"/>
        </w:rPr>
        <w:t>ů</w:t>
      </w:r>
      <w:r w:rsidRPr="00C72904">
        <w:rPr>
          <w:rFonts w:ascii="Tahoma" w:hAnsi="Tahoma" w:cs="Tahoma"/>
        </w:rPr>
        <w:t xml:space="preserve"> schválen</w:t>
      </w:r>
      <w:r w:rsidR="00E73F3C">
        <w:rPr>
          <w:rFonts w:ascii="Tahoma" w:hAnsi="Tahoma" w:cs="Tahoma"/>
        </w:rPr>
        <w:t>ých</w:t>
      </w:r>
      <w:r w:rsidRPr="00C72904">
        <w:rPr>
          <w:rFonts w:ascii="Tahoma" w:hAnsi="Tahoma" w:cs="Tahoma"/>
        </w:rPr>
        <w:t xml:space="preserve"> zastupitelstvem kraje, např. na financování vyhlášené veřejné zakázky, kde se počítá s úhradou výdajů z rozpočtu 2021 nebo poskytnutí dotace,</w:t>
      </w:r>
    </w:p>
    <w:p w:rsidR="00C72904" w:rsidRPr="009F114F" w:rsidRDefault="00C72904" w:rsidP="00EC1191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9F114F">
        <w:rPr>
          <w:rFonts w:ascii="Tahoma" w:hAnsi="Tahoma" w:cs="Tahoma"/>
        </w:rPr>
        <w:t>udržitelnosti projekt</w:t>
      </w:r>
      <w:r w:rsidR="00E73F3C">
        <w:rPr>
          <w:rFonts w:ascii="Tahoma" w:hAnsi="Tahoma" w:cs="Tahoma"/>
        </w:rPr>
        <w:t>ů</w:t>
      </w:r>
      <w:r w:rsidRPr="009F114F">
        <w:rPr>
          <w:rFonts w:ascii="Tahoma" w:hAnsi="Tahoma" w:cs="Tahoma"/>
        </w:rPr>
        <w:t xml:space="preserve"> spolufin</w:t>
      </w:r>
      <w:r w:rsidR="00E73F3C">
        <w:rPr>
          <w:rFonts w:ascii="Tahoma" w:hAnsi="Tahoma" w:cs="Tahoma"/>
        </w:rPr>
        <w:t>ancovaných</w:t>
      </w:r>
      <w:r w:rsidRPr="009F114F">
        <w:rPr>
          <w:rFonts w:ascii="Tahoma" w:hAnsi="Tahoma" w:cs="Tahoma"/>
        </w:rPr>
        <w:t xml:space="preserve"> z EU. </w:t>
      </w:r>
    </w:p>
    <w:p w:rsidR="00C72904" w:rsidRDefault="00C72904" w:rsidP="003209EE">
      <w:pPr>
        <w:jc w:val="both"/>
        <w:rPr>
          <w:rFonts w:ascii="Tahoma" w:hAnsi="Tahoma" w:cs="Tahoma"/>
        </w:rPr>
      </w:pPr>
      <w:r w:rsidRPr="009F114F">
        <w:rPr>
          <w:rFonts w:ascii="Tahoma" w:hAnsi="Tahoma" w:cs="Tahoma"/>
        </w:rPr>
        <w:t xml:space="preserve">A dále jsou v rozpočtu </w:t>
      </w:r>
      <w:r w:rsidR="005A1D07" w:rsidRPr="009F114F">
        <w:rPr>
          <w:rFonts w:ascii="Tahoma" w:hAnsi="Tahoma" w:cs="Tahoma"/>
        </w:rPr>
        <w:t>zařazeny</w:t>
      </w:r>
      <w:r w:rsidR="005A1D07">
        <w:rPr>
          <w:rFonts w:ascii="Tahoma" w:hAnsi="Tahoma" w:cs="Tahoma"/>
        </w:rPr>
        <w:t xml:space="preserve"> </w:t>
      </w:r>
      <w:r w:rsidR="00CC0188">
        <w:rPr>
          <w:rFonts w:ascii="Tahoma" w:hAnsi="Tahoma" w:cs="Tahoma"/>
        </w:rPr>
        <w:t>a</w:t>
      </w:r>
      <w:r w:rsidR="005A1D07">
        <w:rPr>
          <w:rFonts w:ascii="Tahoma" w:hAnsi="Tahoma" w:cs="Tahoma"/>
        </w:rPr>
        <w:t>kc</w:t>
      </w:r>
      <w:r>
        <w:rPr>
          <w:rFonts w:ascii="Tahoma" w:hAnsi="Tahoma" w:cs="Tahoma"/>
        </w:rPr>
        <w:t>e</w:t>
      </w:r>
      <w:r w:rsidR="005A1D07">
        <w:rPr>
          <w:rFonts w:ascii="Tahoma" w:hAnsi="Tahoma" w:cs="Tahoma"/>
        </w:rPr>
        <w:t xml:space="preserve"> spolufinancovan</w:t>
      </w:r>
      <w:r>
        <w:rPr>
          <w:rFonts w:ascii="Tahoma" w:hAnsi="Tahoma" w:cs="Tahoma"/>
        </w:rPr>
        <w:t xml:space="preserve">é </w:t>
      </w:r>
      <w:r w:rsidR="005A1D07">
        <w:rPr>
          <w:rFonts w:ascii="Tahoma" w:hAnsi="Tahoma" w:cs="Tahoma"/>
        </w:rPr>
        <w:t>z EU a výdaj</w:t>
      </w:r>
      <w:r>
        <w:rPr>
          <w:rFonts w:ascii="Tahoma" w:hAnsi="Tahoma" w:cs="Tahoma"/>
        </w:rPr>
        <w:t>e</w:t>
      </w:r>
      <w:r w:rsidR="005A1D07">
        <w:rPr>
          <w:rFonts w:ascii="Tahoma" w:hAnsi="Tahoma" w:cs="Tahoma"/>
        </w:rPr>
        <w:t xml:space="preserve"> na reprodukci majetku kraje</w:t>
      </w:r>
      <w:r>
        <w:rPr>
          <w:rFonts w:ascii="Tahoma" w:hAnsi="Tahoma" w:cs="Tahoma"/>
        </w:rPr>
        <w:t xml:space="preserve">, což </w:t>
      </w:r>
      <w:r w:rsidR="005A1D07">
        <w:rPr>
          <w:rFonts w:ascii="Tahoma" w:hAnsi="Tahoma" w:cs="Tahoma"/>
        </w:rPr>
        <w:t xml:space="preserve">zajistí </w:t>
      </w:r>
      <w:r w:rsidR="00CC0188">
        <w:rPr>
          <w:rFonts w:ascii="Tahoma" w:hAnsi="Tahoma" w:cs="Tahoma"/>
        </w:rPr>
        <w:t xml:space="preserve">základní údržbu majetku kraje a </w:t>
      </w:r>
      <w:r w:rsidR="005A1D07">
        <w:rPr>
          <w:rFonts w:ascii="Tahoma" w:hAnsi="Tahoma" w:cs="Tahoma"/>
        </w:rPr>
        <w:t>jeho příspěvkových organizací</w:t>
      </w:r>
      <w:r w:rsidR="00CC0188" w:rsidRPr="00CC0188">
        <w:rPr>
          <w:rFonts w:ascii="Tahoma" w:hAnsi="Tahoma" w:cs="Tahoma"/>
        </w:rPr>
        <w:t xml:space="preserve"> </w:t>
      </w:r>
      <w:r w:rsidR="00CC0188">
        <w:rPr>
          <w:rFonts w:ascii="Tahoma" w:hAnsi="Tahoma" w:cs="Tahoma"/>
        </w:rPr>
        <w:t>včetně</w:t>
      </w:r>
      <w:r w:rsidR="00CC0188" w:rsidRPr="00CC0188">
        <w:rPr>
          <w:rFonts w:ascii="Tahoma" w:hAnsi="Tahoma" w:cs="Tahoma"/>
        </w:rPr>
        <w:t xml:space="preserve"> </w:t>
      </w:r>
      <w:r w:rsidR="00CC0188">
        <w:rPr>
          <w:rFonts w:ascii="Tahoma" w:hAnsi="Tahoma" w:cs="Tahoma"/>
        </w:rPr>
        <w:t>umožnění dalšího rozvoje kraje</w:t>
      </w:r>
      <w:r w:rsidR="005A1D07">
        <w:rPr>
          <w:rFonts w:ascii="Tahoma" w:hAnsi="Tahoma" w:cs="Tahoma"/>
        </w:rPr>
        <w:t>.</w:t>
      </w:r>
      <w:r w:rsidR="00605739">
        <w:rPr>
          <w:rFonts w:ascii="Tahoma" w:hAnsi="Tahoma" w:cs="Tahoma"/>
        </w:rPr>
        <w:t xml:space="preserve"> </w:t>
      </w:r>
    </w:p>
    <w:p w:rsidR="00C72904" w:rsidRDefault="00C72904" w:rsidP="003209EE">
      <w:pPr>
        <w:jc w:val="both"/>
        <w:rPr>
          <w:rFonts w:ascii="Tahoma" w:hAnsi="Tahoma" w:cs="Tahoma"/>
        </w:rPr>
      </w:pPr>
    </w:p>
    <w:p w:rsidR="003209EE" w:rsidRDefault="00605739" w:rsidP="003209E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rozpočtu kraje j</w:t>
      </w:r>
      <w:r w:rsidR="00C72904">
        <w:rPr>
          <w:rFonts w:ascii="Tahoma" w:hAnsi="Tahoma" w:cs="Tahoma"/>
        </w:rPr>
        <w:t>e p</w:t>
      </w:r>
      <w:r>
        <w:rPr>
          <w:rFonts w:ascii="Tahoma" w:hAnsi="Tahoma" w:cs="Tahoma"/>
        </w:rPr>
        <w:t>lánován</w:t>
      </w:r>
      <w:r w:rsidR="00C72904">
        <w:rPr>
          <w:rFonts w:ascii="Tahoma" w:hAnsi="Tahoma" w:cs="Tahoma"/>
        </w:rPr>
        <w:t xml:space="preserve">a 1 </w:t>
      </w:r>
      <w:r>
        <w:rPr>
          <w:rFonts w:ascii="Tahoma" w:hAnsi="Tahoma" w:cs="Tahoma"/>
        </w:rPr>
        <w:t>rezerv</w:t>
      </w:r>
      <w:r w:rsidR="00C7290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, které </w:t>
      </w:r>
      <w:r w:rsidR="00B85D20">
        <w:rPr>
          <w:rFonts w:ascii="Tahoma" w:hAnsi="Tahoma" w:cs="Tahoma"/>
        </w:rPr>
        <w:t>umožní financování možných rizik rozpočtu nebo mimořádných akcí v průběhu roku 20</w:t>
      </w:r>
      <w:r w:rsidR="00C72904">
        <w:rPr>
          <w:rFonts w:ascii="Tahoma" w:hAnsi="Tahoma" w:cs="Tahoma"/>
        </w:rPr>
        <w:t>21</w:t>
      </w:r>
      <w:r w:rsidR="00B85D20">
        <w:rPr>
          <w:rFonts w:ascii="Tahoma" w:hAnsi="Tahoma" w:cs="Tahoma"/>
        </w:rPr>
        <w:t xml:space="preserve">. </w:t>
      </w:r>
      <w:r w:rsidR="005A1D07">
        <w:rPr>
          <w:rFonts w:ascii="Tahoma" w:hAnsi="Tahoma" w:cs="Tahoma"/>
        </w:rPr>
        <w:t xml:space="preserve">   </w:t>
      </w:r>
    </w:p>
    <w:p w:rsidR="0029468B" w:rsidRDefault="0029468B" w:rsidP="003209EE">
      <w:pPr>
        <w:jc w:val="both"/>
        <w:rPr>
          <w:rFonts w:ascii="Tahoma" w:hAnsi="Tahoma" w:cs="Tahoma"/>
        </w:rPr>
      </w:pPr>
    </w:p>
    <w:p w:rsidR="003209EE" w:rsidRPr="006A57F5" w:rsidRDefault="003209EE" w:rsidP="003209EE">
      <w:pPr>
        <w:pStyle w:val="Bezmezer"/>
        <w:rPr>
          <w:rFonts w:cs="Tahoma"/>
          <w:szCs w:val="24"/>
          <w:u w:val="single"/>
        </w:rPr>
      </w:pPr>
      <w:r w:rsidRPr="006A57F5">
        <w:rPr>
          <w:rFonts w:cs="Tahoma"/>
          <w:szCs w:val="24"/>
          <w:u w:val="single"/>
        </w:rPr>
        <w:t xml:space="preserve">Výdaje na </w:t>
      </w:r>
      <w:r w:rsidR="009F114F" w:rsidRPr="006A57F5">
        <w:rPr>
          <w:rFonts w:cs="Tahoma"/>
          <w:szCs w:val="24"/>
          <w:u w:val="single"/>
        </w:rPr>
        <w:t xml:space="preserve">běžnou </w:t>
      </w:r>
      <w:r w:rsidRPr="006A57F5">
        <w:rPr>
          <w:rFonts w:cs="Tahoma"/>
          <w:szCs w:val="24"/>
          <w:u w:val="single"/>
        </w:rPr>
        <w:t xml:space="preserve">činnost zastupitelstva kraje a krajského úřadu </w:t>
      </w:r>
      <w:r w:rsidRPr="006A57F5">
        <w:rPr>
          <w:rFonts w:cs="Tahoma"/>
          <w:szCs w:val="24"/>
        </w:rPr>
        <w:t xml:space="preserve">– </w:t>
      </w:r>
      <w:r w:rsidR="009F114F" w:rsidRPr="006A57F5">
        <w:rPr>
          <w:rFonts w:cs="Tahoma"/>
          <w:szCs w:val="24"/>
        </w:rPr>
        <w:t>pokles o 5</w:t>
      </w:r>
      <w:r w:rsidRPr="006A57F5">
        <w:rPr>
          <w:rFonts w:cs="Tahoma"/>
          <w:szCs w:val="24"/>
        </w:rPr>
        <w:t xml:space="preserve"> %</w:t>
      </w:r>
    </w:p>
    <w:p w:rsidR="003209EE" w:rsidRPr="006A57F5" w:rsidRDefault="009F114F" w:rsidP="003209EE">
      <w:pPr>
        <w:pStyle w:val="Bezmezer"/>
        <w:rPr>
          <w:rFonts w:cs="Tahoma"/>
          <w:szCs w:val="24"/>
        </w:rPr>
      </w:pPr>
      <w:r w:rsidRPr="006A57F5">
        <w:rPr>
          <w:rFonts w:cs="Tahoma"/>
          <w:szCs w:val="24"/>
        </w:rPr>
        <w:t>M</w:t>
      </w:r>
      <w:r w:rsidR="003209EE" w:rsidRPr="006A57F5">
        <w:rPr>
          <w:rFonts w:cs="Tahoma"/>
          <w:szCs w:val="24"/>
        </w:rPr>
        <w:t>ezi výdaje zařazen</w:t>
      </w:r>
      <w:r w:rsidRPr="006A57F5">
        <w:rPr>
          <w:rFonts w:cs="Tahoma"/>
          <w:szCs w:val="24"/>
        </w:rPr>
        <w:t>y</w:t>
      </w:r>
      <w:r w:rsidR="003209EE" w:rsidRPr="006A57F5">
        <w:rPr>
          <w:rFonts w:cs="Tahoma"/>
          <w:szCs w:val="24"/>
        </w:rPr>
        <w:t>:</w:t>
      </w:r>
    </w:p>
    <w:p w:rsidR="009F114F" w:rsidRPr="006A57F5" w:rsidRDefault="009F114F" w:rsidP="002D553C">
      <w:pPr>
        <w:pStyle w:val="Bezmezer"/>
        <w:numPr>
          <w:ilvl w:val="0"/>
          <w:numId w:val="32"/>
        </w:numPr>
        <w:ind w:left="709" w:hanging="425"/>
      </w:pPr>
      <w:r w:rsidRPr="006A57F5">
        <w:t xml:space="preserve">odměny </w:t>
      </w:r>
      <w:r w:rsidR="002C48D3" w:rsidRPr="006A57F5">
        <w:t xml:space="preserve">členů </w:t>
      </w:r>
      <w:r w:rsidRPr="006A57F5">
        <w:t>zastupitel</w:t>
      </w:r>
      <w:r w:rsidR="002C48D3" w:rsidRPr="006A57F5">
        <w:t xml:space="preserve">stva kraje </w:t>
      </w:r>
      <w:r w:rsidRPr="006A57F5">
        <w:t xml:space="preserve">na základě </w:t>
      </w:r>
      <w:r w:rsidR="002C48D3" w:rsidRPr="006A57F5">
        <w:t>aktuálního nařízení vlády č.</w:t>
      </w:r>
      <w:r w:rsidR="003329DA">
        <w:t> </w:t>
      </w:r>
      <w:r w:rsidR="002C48D3" w:rsidRPr="006A57F5">
        <w:t xml:space="preserve">338/2019 Sb., kterým se mění nařízení vlády č. 318/2017 Sb., o odměnách za výkon funkce členům zastupitelstev, </w:t>
      </w:r>
    </w:p>
    <w:p w:rsidR="009F114F" w:rsidRPr="006A57F5" w:rsidRDefault="009F114F" w:rsidP="002D553C">
      <w:pPr>
        <w:pStyle w:val="Bezmezer"/>
        <w:numPr>
          <w:ilvl w:val="0"/>
          <w:numId w:val="32"/>
        </w:numPr>
        <w:ind w:left="709" w:hanging="425"/>
      </w:pPr>
      <w:r w:rsidRPr="006A57F5">
        <w:t xml:space="preserve">výdaje na platy </w:t>
      </w:r>
      <w:r w:rsidRPr="006A57F5">
        <w:rPr>
          <w:rFonts w:cs="Tahoma"/>
        </w:rPr>
        <w:t>zaměstnanců krajského úřadu na úrovni schváleného rozpočtu 2020</w:t>
      </w:r>
      <w:r w:rsidR="00080576" w:rsidRPr="006A57F5">
        <w:rPr>
          <w:rFonts w:cs="Tahoma"/>
        </w:rPr>
        <w:t>,</w:t>
      </w:r>
    </w:p>
    <w:p w:rsidR="00080576" w:rsidRPr="006A57F5" w:rsidRDefault="009F114F" w:rsidP="002D553C">
      <w:pPr>
        <w:pStyle w:val="Bezmezer"/>
        <w:numPr>
          <w:ilvl w:val="0"/>
          <w:numId w:val="32"/>
        </w:numPr>
        <w:ind w:left="709" w:hanging="425"/>
      </w:pPr>
      <w:r w:rsidRPr="006A57F5">
        <w:rPr>
          <w:rFonts w:cs="Tahoma"/>
        </w:rPr>
        <w:t xml:space="preserve">pokles ostatních </w:t>
      </w:r>
      <w:r w:rsidRPr="006A57F5">
        <w:rPr>
          <w:color w:val="000000" w:themeColor="text1"/>
        </w:rPr>
        <w:t>běžných výdajů na činnost zastupitelstva a krajského úřadu o</w:t>
      </w:r>
      <w:r w:rsidR="003329DA">
        <w:rPr>
          <w:color w:val="000000" w:themeColor="text1"/>
        </w:rPr>
        <w:t> </w:t>
      </w:r>
      <w:r w:rsidRPr="006A57F5">
        <w:rPr>
          <w:color w:val="000000" w:themeColor="text1"/>
        </w:rPr>
        <w:t>21 % (tj. o 30 mil. Kč)</w:t>
      </w:r>
      <w:r w:rsidR="00080576" w:rsidRPr="006A57F5">
        <w:rPr>
          <w:color w:val="000000" w:themeColor="text1"/>
        </w:rPr>
        <w:t>,</w:t>
      </w:r>
    </w:p>
    <w:p w:rsidR="009F114F" w:rsidRPr="006A57F5" w:rsidRDefault="00080576" w:rsidP="002D553C">
      <w:pPr>
        <w:pStyle w:val="Bezmezer"/>
        <w:numPr>
          <w:ilvl w:val="0"/>
          <w:numId w:val="32"/>
        </w:numPr>
        <w:ind w:left="709" w:hanging="425"/>
      </w:pPr>
      <w:r w:rsidRPr="006A57F5">
        <w:t>příděl do Sociálního fondu snížen z 4 % na 3,5 %.</w:t>
      </w:r>
    </w:p>
    <w:p w:rsidR="003209EE" w:rsidRDefault="003209EE" w:rsidP="003209EE">
      <w:pPr>
        <w:pStyle w:val="Bezmezer"/>
        <w:rPr>
          <w:rFonts w:cs="Tahoma"/>
          <w:szCs w:val="24"/>
        </w:rPr>
      </w:pPr>
    </w:p>
    <w:p w:rsidR="003209EE" w:rsidRPr="00237D88" w:rsidRDefault="003209EE" w:rsidP="003209EE">
      <w:pPr>
        <w:pStyle w:val="Bezmezer"/>
        <w:rPr>
          <w:rFonts w:cs="Tahoma"/>
          <w:szCs w:val="24"/>
          <w:u w:val="single"/>
        </w:rPr>
      </w:pPr>
      <w:r w:rsidRPr="00237D88">
        <w:rPr>
          <w:rFonts w:cs="Tahoma"/>
          <w:szCs w:val="24"/>
          <w:u w:val="single"/>
        </w:rPr>
        <w:t>Finance a správa majetku</w:t>
      </w:r>
      <w:r w:rsidRPr="00237D88">
        <w:rPr>
          <w:rFonts w:cs="Tahoma"/>
          <w:szCs w:val="24"/>
        </w:rPr>
        <w:t xml:space="preserve"> – pokles o </w:t>
      </w:r>
      <w:r w:rsidR="003329DA">
        <w:rPr>
          <w:rFonts w:cs="Tahoma"/>
          <w:szCs w:val="24"/>
        </w:rPr>
        <w:t>7</w:t>
      </w:r>
      <w:r w:rsidRPr="00237D88">
        <w:rPr>
          <w:rFonts w:cs="Tahoma"/>
          <w:szCs w:val="24"/>
        </w:rPr>
        <w:t xml:space="preserve"> %</w:t>
      </w:r>
    </w:p>
    <w:p w:rsidR="003209EE" w:rsidRPr="00237D88" w:rsidRDefault="003209EE" w:rsidP="003209EE">
      <w:pPr>
        <w:pStyle w:val="Bezmezer"/>
        <w:rPr>
          <w:rFonts w:cs="Tahoma"/>
          <w:szCs w:val="24"/>
        </w:rPr>
      </w:pPr>
      <w:r w:rsidRPr="00237D88">
        <w:rPr>
          <w:rFonts w:cs="Tahoma"/>
          <w:szCs w:val="24"/>
        </w:rPr>
        <w:t>Zařazen</w:t>
      </w:r>
      <w:r w:rsidR="003853D7">
        <w:rPr>
          <w:rFonts w:cs="Tahoma"/>
          <w:szCs w:val="24"/>
        </w:rPr>
        <w:t>a</w:t>
      </w:r>
      <w:r w:rsidRPr="00237D88">
        <w:rPr>
          <w:rFonts w:cs="Tahoma"/>
          <w:szCs w:val="24"/>
        </w:rPr>
        <w:t xml:space="preserve">: </w:t>
      </w:r>
    </w:p>
    <w:p w:rsidR="003209EE" w:rsidRPr="00237D88" w:rsidRDefault="003209EE" w:rsidP="003209EE">
      <w:pPr>
        <w:pStyle w:val="Bezmezer"/>
        <w:numPr>
          <w:ilvl w:val="0"/>
          <w:numId w:val="6"/>
        </w:numPr>
        <w:rPr>
          <w:rFonts w:cs="Tahoma"/>
          <w:b/>
          <w:szCs w:val="24"/>
        </w:rPr>
      </w:pPr>
      <w:r w:rsidRPr="00237D88">
        <w:rPr>
          <w:rFonts w:cs="Tahoma"/>
          <w:b/>
          <w:szCs w:val="24"/>
        </w:rPr>
        <w:t xml:space="preserve">nespecifikovaná rezerva </w:t>
      </w:r>
      <w:r w:rsidRPr="00237D88">
        <w:rPr>
          <w:rFonts w:cs="Tahoma"/>
          <w:szCs w:val="24"/>
        </w:rPr>
        <w:t>na mimořádné akce a akce s nedořešeným financováním</w:t>
      </w:r>
      <w:r w:rsidRPr="00237D88">
        <w:rPr>
          <w:rFonts w:cs="Tahoma"/>
          <w:b/>
          <w:szCs w:val="24"/>
        </w:rPr>
        <w:t xml:space="preserve"> ve výši </w:t>
      </w:r>
      <w:r w:rsidR="00C72904">
        <w:rPr>
          <w:rFonts w:cs="Tahoma"/>
          <w:b/>
          <w:szCs w:val="24"/>
        </w:rPr>
        <w:t>6</w:t>
      </w:r>
      <w:r w:rsidRPr="00237D88">
        <w:rPr>
          <w:rFonts w:cs="Tahoma"/>
          <w:b/>
          <w:szCs w:val="24"/>
        </w:rPr>
        <w:t xml:space="preserve">0 mil. Kč, </w:t>
      </w:r>
    </w:p>
    <w:p w:rsidR="003209EE" w:rsidRPr="00C25A20" w:rsidRDefault="003209EE" w:rsidP="003209EE">
      <w:pPr>
        <w:pStyle w:val="Bezmezer"/>
        <w:numPr>
          <w:ilvl w:val="0"/>
          <w:numId w:val="6"/>
        </w:numPr>
        <w:rPr>
          <w:rFonts w:cs="Tahoma"/>
          <w:szCs w:val="24"/>
        </w:rPr>
      </w:pPr>
      <w:r w:rsidRPr="00237D88">
        <w:rPr>
          <w:rFonts w:cs="Tahoma"/>
          <w:szCs w:val="24"/>
        </w:rPr>
        <w:t>platb</w:t>
      </w:r>
      <w:r w:rsidR="003853D7">
        <w:rPr>
          <w:rFonts w:cs="Tahoma"/>
          <w:szCs w:val="24"/>
        </w:rPr>
        <w:t>a</w:t>
      </w:r>
      <w:r w:rsidRPr="00237D88">
        <w:rPr>
          <w:rFonts w:cs="Tahoma"/>
          <w:szCs w:val="24"/>
        </w:rPr>
        <w:t xml:space="preserve"> daní ve výši </w:t>
      </w:r>
      <w:r w:rsidR="00080576">
        <w:rPr>
          <w:rFonts w:cs="Tahoma"/>
          <w:szCs w:val="24"/>
        </w:rPr>
        <w:t>78</w:t>
      </w:r>
      <w:r w:rsidRPr="00237D88">
        <w:rPr>
          <w:rFonts w:cs="Tahoma"/>
          <w:szCs w:val="24"/>
        </w:rPr>
        <w:t xml:space="preserve"> mil. Kč </w:t>
      </w:r>
      <w:r w:rsidRPr="00C25A20">
        <w:rPr>
          <w:rFonts w:cs="Tahoma"/>
          <w:szCs w:val="24"/>
        </w:rPr>
        <w:t xml:space="preserve">(meziroční </w:t>
      </w:r>
      <w:r w:rsidR="00080576">
        <w:rPr>
          <w:rFonts w:cs="Tahoma"/>
          <w:szCs w:val="24"/>
        </w:rPr>
        <w:t>nárůst o 22</w:t>
      </w:r>
      <w:r w:rsidRPr="00C25A20">
        <w:rPr>
          <w:rFonts w:cs="Tahoma"/>
          <w:szCs w:val="24"/>
        </w:rPr>
        <w:t xml:space="preserve"> mil. Kč),  </w:t>
      </w:r>
    </w:p>
    <w:p w:rsidR="003209EE" w:rsidRPr="00C25A20" w:rsidRDefault="003209EE" w:rsidP="003209EE">
      <w:pPr>
        <w:pStyle w:val="Bezmezer"/>
        <w:numPr>
          <w:ilvl w:val="0"/>
          <w:numId w:val="6"/>
        </w:numPr>
        <w:rPr>
          <w:rFonts w:cs="Tahoma"/>
          <w:szCs w:val="24"/>
        </w:rPr>
      </w:pPr>
      <w:r w:rsidRPr="00C25A20">
        <w:rPr>
          <w:rFonts w:cs="Tahoma"/>
          <w:szCs w:val="24"/>
        </w:rPr>
        <w:t xml:space="preserve">platba úroků z úvěrů ve výši </w:t>
      </w:r>
      <w:r w:rsidR="00080576">
        <w:rPr>
          <w:rFonts w:cs="Tahoma"/>
          <w:szCs w:val="24"/>
        </w:rPr>
        <w:t>12</w:t>
      </w:r>
      <w:r w:rsidRPr="00C25A20">
        <w:rPr>
          <w:rFonts w:cs="Tahoma"/>
          <w:szCs w:val="24"/>
        </w:rPr>
        <w:t xml:space="preserve"> mil. Kč (meziroční pokles o </w:t>
      </w:r>
      <w:r w:rsidR="00080576">
        <w:rPr>
          <w:rFonts w:cs="Tahoma"/>
          <w:szCs w:val="24"/>
        </w:rPr>
        <w:t>33</w:t>
      </w:r>
      <w:r w:rsidRPr="00C25A20">
        <w:rPr>
          <w:rFonts w:cs="Tahoma"/>
          <w:szCs w:val="24"/>
        </w:rPr>
        <w:t xml:space="preserve"> mil. Kč)</w:t>
      </w:r>
      <w:r>
        <w:rPr>
          <w:rFonts w:cs="Tahoma"/>
          <w:szCs w:val="24"/>
        </w:rPr>
        <w:t>,</w:t>
      </w:r>
    </w:p>
    <w:p w:rsidR="003209EE" w:rsidRDefault="003209EE" w:rsidP="003209EE">
      <w:pPr>
        <w:pStyle w:val="Bezmezer"/>
        <w:numPr>
          <w:ilvl w:val="0"/>
          <w:numId w:val="6"/>
        </w:numPr>
        <w:rPr>
          <w:rFonts w:cs="Tahoma"/>
          <w:szCs w:val="24"/>
        </w:rPr>
      </w:pPr>
      <w:r w:rsidRPr="00237D88">
        <w:rPr>
          <w:rFonts w:cs="Tahoma"/>
          <w:szCs w:val="24"/>
        </w:rPr>
        <w:t>platba pojistného na pojištění nemovitého, movitého majetku, vozidel a</w:t>
      </w:r>
      <w:r w:rsidR="003329DA">
        <w:rPr>
          <w:rFonts w:cs="Tahoma"/>
          <w:szCs w:val="24"/>
        </w:rPr>
        <w:t> </w:t>
      </w:r>
      <w:r w:rsidRPr="00237D88">
        <w:rPr>
          <w:rFonts w:cs="Tahoma"/>
          <w:szCs w:val="24"/>
        </w:rPr>
        <w:t xml:space="preserve">odpovědnosti kraje a jeho organizací ve výši </w:t>
      </w:r>
      <w:r w:rsidR="00080576">
        <w:rPr>
          <w:rFonts w:cs="Tahoma"/>
          <w:szCs w:val="24"/>
        </w:rPr>
        <w:t>5</w:t>
      </w:r>
      <w:r w:rsidR="003329DA">
        <w:rPr>
          <w:rFonts w:cs="Tahoma"/>
          <w:szCs w:val="24"/>
        </w:rPr>
        <w:t>5 </w:t>
      </w:r>
      <w:r w:rsidRPr="00237D88">
        <w:rPr>
          <w:rFonts w:cs="Tahoma"/>
          <w:szCs w:val="24"/>
        </w:rPr>
        <w:t>mil.</w:t>
      </w:r>
      <w:r w:rsidR="00CE7418">
        <w:rPr>
          <w:rFonts w:cs="Tahoma"/>
          <w:szCs w:val="24"/>
        </w:rPr>
        <w:t> </w:t>
      </w:r>
      <w:r w:rsidRPr="00237D88">
        <w:rPr>
          <w:rFonts w:cs="Tahoma"/>
          <w:szCs w:val="24"/>
        </w:rPr>
        <w:t xml:space="preserve">Kč (meziroční </w:t>
      </w:r>
      <w:r w:rsidR="00080576">
        <w:rPr>
          <w:rFonts w:cs="Tahoma"/>
          <w:szCs w:val="24"/>
        </w:rPr>
        <w:t xml:space="preserve">nárůst </w:t>
      </w:r>
      <w:r w:rsidR="003329DA">
        <w:rPr>
          <w:rFonts w:cs="Tahoma"/>
          <w:szCs w:val="24"/>
        </w:rPr>
        <w:t>11</w:t>
      </w:r>
      <w:r w:rsidR="00080576">
        <w:rPr>
          <w:rFonts w:cs="Tahoma"/>
          <w:szCs w:val="24"/>
        </w:rPr>
        <w:t>,5</w:t>
      </w:r>
      <w:r w:rsidR="003329DA">
        <w:rPr>
          <w:rFonts w:cs="Tahoma"/>
          <w:szCs w:val="24"/>
        </w:rPr>
        <w:t> </w:t>
      </w:r>
      <w:r w:rsidR="00080576">
        <w:rPr>
          <w:rFonts w:cs="Tahoma"/>
          <w:szCs w:val="24"/>
        </w:rPr>
        <w:t>mil. Kč – dle předpokládané ceny na základě vyhlášené nové veřejné zakázky</w:t>
      </w:r>
      <w:r w:rsidR="00F5745A">
        <w:rPr>
          <w:rFonts w:cs="Tahoma"/>
          <w:szCs w:val="24"/>
        </w:rPr>
        <w:t>)</w:t>
      </w:r>
      <w:r>
        <w:rPr>
          <w:rFonts w:cs="Tahoma"/>
          <w:szCs w:val="24"/>
        </w:rPr>
        <w:t>,</w:t>
      </w:r>
    </w:p>
    <w:p w:rsidR="00F5745A" w:rsidRDefault="003209EE" w:rsidP="003209EE">
      <w:pPr>
        <w:pStyle w:val="Bezmezer"/>
        <w:numPr>
          <w:ilvl w:val="0"/>
          <w:numId w:val="6"/>
        </w:numPr>
        <w:rPr>
          <w:rFonts w:cs="Tahoma"/>
          <w:szCs w:val="24"/>
        </w:rPr>
      </w:pPr>
      <w:r>
        <w:rPr>
          <w:rFonts w:cs="Tahoma"/>
          <w:szCs w:val="24"/>
        </w:rPr>
        <w:t xml:space="preserve">výdaje související se sdílenými službami ve výši </w:t>
      </w:r>
      <w:r w:rsidR="00080576">
        <w:rPr>
          <w:rFonts w:cs="Tahoma"/>
          <w:szCs w:val="24"/>
        </w:rPr>
        <w:t xml:space="preserve">7 </w:t>
      </w:r>
      <w:r>
        <w:rPr>
          <w:rFonts w:cs="Tahoma"/>
          <w:szCs w:val="24"/>
        </w:rPr>
        <w:t xml:space="preserve">mil. </w:t>
      </w:r>
      <w:r w:rsidRPr="00237D88">
        <w:rPr>
          <w:rFonts w:cs="Tahoma"/>
          <w:szCs w:val="24"/>
        </w:rPr>
        <w:t xml:space="preserve">Kč (meziroční </w:t>
      </w:r>
      <w:r w:rsidR="00080576">
        <w:rPr>
          <w:rFonts w:cs="Tahoma"/>
          <w:szCs w:val="24"/>
        </w:rPr>
        <w:t>pokles</w:t>
      </w:r>
      <w:r w:rsidRPr="00237D88">
        <w:rPr>
          <w:rFonts w:cs="Tahoma"/>
          <w:szCs w:val="24"/>
        </w:rPr>
        <w:t xml:space="preserve"> </w:t>
      </w:r>
      <w:r w:rsidR="00F5745A">
        <w:rPr>
          <w:rFonts w:cs="Tahoma"/>
          <w:szCs w:val="24"/>
        </w:rPr>
        <w:t>o</w:t>
      </w:r>
      <w:r w:rsidR="003329DA">
        <w:rPr>
          <w:rFonts w:cs="Tahoma"/>
          <w:szCs w:val="24"/>
        </w:rPr>
        <w:t> </w:t>
      </w:r>
      <w:r w:rsidR="00F5745A">
        <w:rPr>
          <w:rFonts w:cs="Tahoma"/>
          <w:szCs w:val="24"/>
        </w:rPr>
        <w:t>39</w:t>
      </w:r>
      <w:r w:rsidR="003329DA">
        <w:rPr>
          <w:rFonts w:cs="Tahoma"/>
          <w:szCs w:val="24"/>
        </w:rPr>
        <w:t> </w:t>
      </w:r>
      <w:r w:rsidRPr="00237D88">
        <w:rPr>
          <w:rFonts w:cs="Tahoma"/>
          <w:szCs w:val="24"/>
        </w:rPr>
        <w:t>%)</w:t>
      </w:r>
      <w:r w:rsidR="00F5745A">
        <w:rPr>
          <w:rFonts w:cs="Tahoma"/>
          <w:szCs w:val="24"/>
        </w:rPr>
        <w:t>,</w:t>
      </w:r>
    </w:p>
    <w:p w:rsidR="002E1EB4" w:rsidRDefault="00F5745A" w:rsidP="00F5745A">
      <w:pPr>
        <w:pStyle w:val="Bezmezer"/>
        <w:numPr>
          <w:ilvl w:val="0"/>
          <w:numId w:val="6"/>
        </w:numPr>
        <w:rPr>
          <w:rFonts w:cs="Tahoma"/>
          <w:szCs w:val="24"/>
        </w:rPr>
      </w:pPr>
      <w:r w:rsidRPr="00237D88">
        <w:rPr>
          <w:rFonts w:cs="Tahoma"/>
          <w:szCs w:val="24"/>
        </w:rPr>
        <w:t>dotac</w:t>
      </w:r>
      <w:r>
        <w:rPr>
          <w:rFonts w:cs="Tahoma"/>
          <w:szCs w:val="24"/>
        </w:rPr>
        <w:t>e</w:t>
      </w:r>
      <w:r w:rsidRPr="00237D88">
        <w:rPr>
          <w:rFonts w:cs="Tahoma"/>
          <w:szCs w:val="24"/>
        </w:rPr>
        <w:t xml:space="preserve"> Regionální radě </w:t>
      </w:r>
      <w:r w:rsidR="003329DA">
        <w:rPr>
          <w:rFonts w:cs="Tahoma"/>
          <w:szCs w:val="24"/>
        </w:rPr>
        <w:t>r</w:t>
      </w:r>
      <w:r w:rsidRPr="00237D88">
        <w:rPr>
          <w:rFonts w:cs="Tahoma"/>
          <w:szCs w:val="24"/>
        </w:rPr>
        <w:t xml:space="preserve">egionu soudržnosti NUTS II </w:t>
      </w:r>
      <w:proofErr w:type="spellStart"/>
      <w:r w:rsidRPr="00237D88">
        <w:rPr>
          <w:rFonts w:cs="Tahoma"/>
          <w:szCs w:val="24"/>
        </w:rPr>
        <w:t>Moravskoslezsko</w:t>
      </w:r>
      <w:proofErr w:type="spellEnd"/>
      <w:r w:rsidRPr="00237D88">
        <w:rPr>
          <w:rFonts w:cs="Tahoma"/>
          <w:szCs w:val="24"/>
        </w:rPr>
        <w:t xml:space="preserve"> ve výši </w:t>
      </w:r>
      <w:r>
        <w:rPr>
          <w:rFonts w:cs="Tahoma"/>
          <w:szCs w:val="24"/>
        </w:rPr>
        <w:t>400</w:t>
      </w:r>
      <w:r w:rsidRPr="00237D88">
        <w:rPr>
          <w:rFonts w:cs="Tahoma"/>
          <w:szCs w:val="24"/>
        </w:rPr>
        <w:t xml:space="preserve"> tis. Kč</w:t>
      </w:r>
      <w:r w:rsidR="002E1EB4">
        <w:rPr>
          <w:rFonts w:cs="Tahoma"/>
          <w:szCs w:val="24"/>
        </w:rPr>
        <w:t>,</w:t>
      </w:r>
    </w:p>
    <w:p w:rsidR="003209EE" w:rsidRPr="00F5745A" w:rsidRDefault="003D436B" w:rsidP="00F5745A">
      <w:pPr>
        <w:pStyle w:val="Bezmezer"/>
        <w:numPr>
          <w:ilvl w:val="0"/>
          <w:numId w:val="6"/>
        </w:numPr>
        <w:rPr>
          <w:rFonts w:cs="Tahoma"/>
          <w:szCs w:val="24"/>
        </w:rPr>
      </w:pPr>
      <w:r>
        <w:rPr>
          <w:rFonts w:cs="Tahoma"/>
          <w:szCs w:val="24"/>
        </w:rPr>
        <w:lastRenderedPageBreak/>
        <w:t xml:space="preserve">dotace </w:t>
      </w:r>
      <w:r w:rsidR="002E1EB4" w:rsidRPr="00237D88">
        <w:rPr>
          <w:rFonts w:cs="Tahoma"/>
          <w:szCs w:val="24"/>
        </w:rPr>
        <w:t xml:space="preserve">Regionální radě </w:t>
      </w:r>
      <w:r w:rsidR="003329DA">
        <w:rPr>
          <w:rFonts w:cs="Tahoma"/>
          <w:szCs w:val="24"/>
        </w:rPr>
        <w:t>r</w:t>
      </w:r>
      <w:r w:rsidR="002E1EB4" w:rsidRPr="00237D88">
        <w:rPr>
          <w:rFonts w:cs="Tahoma"/>
          <w:szCs w:val="24"/>
        </w:rPr>
        <w:t xml:space="preserve">egionu soudržnosti NUTS II </w:t>
      </w:r>
      <w:proofErr w:type="spellStart"/>
      <w:r w:rsidR="002E1EB4" w:rsidRPr="00237D88">
        <w:rPr>
          <w:rFonts w:cs="Tahoma"/>
          <w:szCs w:val="24"/>
        </w:rPr>
        <w:t>Moravskoslezsko</w:t>
      </w:r>
      <w:proofErr w:type="spellEnd"/>
      <w:r w:rsidRPr="003D436B">
        <w:t xml:space="preserve"> </w:t>
      </w:r>
      <w:r>
        <w:t xml:space="preserve">na </w:t>
      </w:r>
      <w:r w:rsidRPr="003D436B">
        <w:rPr>
          <w:rFonts w:cs="Tahoma"/>
          <w:szCs w:val="24"/>
        </w:rPr>
        <w:t xml:space="preserve">spolufinancování závazků dle </w:t>
      </w:r>
      <w:r w:rsidR="003329DA">
        <w:rPr>
          <w:rFonts w:cs="Tahoma"/>
          <w:szCs w:val="24"/>
        </w:rPr>
        <w:t>u</w:t>
      </w:r>
      <w:r w:rsidRPr="003D436B">
        <w:rPr>
          <w:rFonts w:cs="Tahoma"/>
          <w:szCs w:val="24"/>
        </w:rPr>
        <w:t xml:space="preserve">snesení </w:t>
      </w:r>
      <w:r w:rsidR="003329DA">
        <w:rPr>
          <w:rFonts w:cs="Tahoma"/>
          <w:szCs w:val="24"/>
        </w:rPr>
        <w:t>v</w:t>
      </w:r>
      <w:r w:rsidRPr="003D436B">
        <w:rPr>
          <w:rFonts w:cs="Tahoma"/>
          <w:szCs w:val="24"/>
        </w:rPr>
        <w:t xml:space="preserve">lády č. 463 ze dne 1. 7. 2019, spočívajících v úrocích a souvisejících nákladech z neoprávněného postupu správce daně v daňových řízeních a úrocích z prodlení a souvisejících nákladech u sporů z veřejnoprávních smluv vzniklých u projektů z Regionálního operačního programu regionu soudržnosti </w:t>
      </w:r>
      <w:proofErr w:type="spellStart"/>
      <w:r w:rsidRPr="003D436B">
        <w:rPr>
          <w:rFonts w:cs="Tahoma"/>
          <w:szCs w:val="24"/>
        </w:rPr>
        <w:t>Moravskoslezsko</w:t>
      </w:r>
      <w:proofErr w:type="spellEnd"/>
      <w:r>
        <w:rPr>
          <w:rFonts w:cs="Tahoma"/>
          <w:szCs w:val="24"/>
        </w:rPr>
        <w:t xml:space="preserve"> ve výši 49.119 tis. Kč.</w:t>
      </w:r>
    </w:p>
    <w:p w:rsidR="00491B20" w:rsidRPr="00237D88" w:rsidRDefault="00491B20" w:rsidP="00491B20">
      <w:pPr>
        <w:pStyle w:val="Bezmezer"/>
        <w:rPr>
          <w:rFonts w:cs="Tahoma"/>
          <w:szCs w:val="24"/>
        </w:rPr>
      </w:pPr>
    </w:p>
    <w:p w:rsidR="003209EE" w:rsidRPr="00237D88" w:rsidRDefault="003209EE" w:rsidP="003209EE">
      <w:pPr>
        <w:pStyle w:val="Bezmezer"/>
        <w:rPr>
          <w:rFonts w:cs="Tahoma"/>
          <w:szCs w:val="24"/>
        </w:rPr>
      </w:pPr>
      <w:r w:rsidRPr="00237D88">
        <w:rPr>
          <w:rFonts w:cs="Tahoma"/>
          <w:szCs w:val="24"/>
          <w:u w:val="single"/>
        </w:rPr>
        <w:t>Samosprávné a jiné činnosti zajišťované prostřednictvím krajského úřadu</w:t>
      </w:r>
      <w:r>
        <w:rPr>
          <w:rFonts w:cs="Tahoma"/>
          <w:szCs w:val="24"/>
          <w:u w:val="single"/>
        </w:rPr>
        <w:t xml:space="preserve"> </w:t>
      </w:r>
      <w:r w:rsidRPr="00237D88">
        <w:rPr>
          <w:rFonts w:cs="Tahoma"/>
          <w:szCs w:val="24"/>
        </w:rPr>
        <w:t xml:space="preserve">– </w:t>
      </w:r>
      <w:r w:rsidR="00D01D94">
        <w:rPr>
          <w:rFonts w:cs="Tahoma"/>
          <w:szCs w:val="24"/>
        </w:rPr>
        <w:t>pokles</w:t>
      </w:r>
      <w:r w:rsidRPr="00237D88">
        <w:rPr>
          <w:rFonts w:cs="Tahoma"/>
          <w:szCs w:val="24"/>
        </w:rPr>
        <w:t xml:space="preserve"> o </w:t>
      </w:r>
      <w:r w:rsidR="00D01D94">
        <w:rPr>
          <w:rFonts w:cs="Tahoma"/>
          <w:szCs w:val="24"/>
        </w:rPr>
        <w:t>1</w:t>
      </w:r>
      <w:r w:rsidR="003329DA">
        <w:rPr>
          <w:rFonts w:cs="Tahoma"/>
          <w:szCs w:val="24"/>
        </w:rPr>
        <w:t>5</w:t>
      </w:r>
      <w:r>
        <w:rPr>
          <w:rFonts w:cs="Tahoma"/>
          <w:szCs w:val="24"/>
        </w:rPr>
        <w:t xml:space="preserve"> % </w:t>
      </w:r>
    </w:p>
    <w:p w:rsidR="00D01D94" w:rsidRDefault="003E04B1" w:rsidP="003209EE">
      <w:pPr>
        <w:pStyle w:val="Bezmezer"/>
        <w:rPr>
          <w:rFonts w:cs="Tahoma"/>
          <w:szCs w:val="24"/>
        </w:rPr>
      </w:pPr>
      <w:r w:rsidRPr="00B56EC4">
        <w:rPr>
          <w:rFonts w:cs="Tahoma"/>
          <w:szCs w:val="24"/>
        </w:rPr>
        <w:t xml:space="preserve">Mandatorní a pravidelné výdaje kraje </w:t>
      </w:r>
      <w:r w:rsidR="00717947">
        <w:rPr>
          <w:rFonts w:cs="Tahoma"/>
          <w:szCs w:val="24"/>
        </w:rPr>
        <w:t xml:space="preserve">byly identifikovány </w:t>
      </w:r>
      <w:r w:rsidRPr="00B56EC4">
        <w:rPr>
          <w:rFonts w:cs="Tahoma"/>
          <w:szCs w:val="24"/>
        </w:rPr>
        <w:t xml:space="preserve">v objemu </w:t>
      </w:r>
      <w:r w:rsidR="00D01D94">
        <w:rPr>
          <w:rFonts w:cs="Tahoma"/>
          <w:szCs w:val="24"/>
        </w:rPr>
        <w:t>2.</w:t>
      </w:r>
      <w:r w:rsidR="003329DA">
        <w:rPr>
          <w:rFonts w:cs="Tahoma"/>
          <w:szCs w:val="24"/>
        </w:rPr>
        <w:t>961</w:t>
      </w:r>
      <w:r w:rsidRPr="007E4D19">
        <w:rPr>
          <w:rFonts w:cs="Tahoma"/>
          <w:szCs w:val="24"/>
        </w:rPr>
        <w:t xml:space="preserve"> mil. Kč.</w:t>
      </w:r>
      <w:r w:rsidR="00F7355C">
        <w:rPr>
          <w:rFonts w:cs="Tahoma"/>
          <w:szCs w:val="24"/>
        </w:rPr>
        <w:t xml:space="preserve"> </w:t>
      </w:r>
      <w:r w:rsidR="00D01D94" w:rsidRPr="002348B2">
        <w:rPr>
          <w:rFonts w:cs="Tahoma"/>
        </w:rPr>
        <w:t>Objemov</w:t>
      </w:r>
      <w:r w:rsidR="00D01D94" w:rsidRPr="00043DC2">
        <w:rPr>
          <w:rFonts w:cs="Tahoma"/>
        </w:rPr>
        <w:t>ě nejvýznamnějším mandatorním výdajem je</w:t>
      </w:r>
      <w:r w:rsidR="00D01D94">
        <w:rPr>
          <w:rFonts w:cs="Tahoma"/>
        </w:rPr>
        <w:t xml:space="preserve"> zajištění</w:t>
      </w:r>
      <w:r w:rsidR="00D01D94" w:rsidRPr="00043DC2">
        <w:rPr>
          <w:rFonts w:cs="Tahoma"/>
        </w:rPr>
        <w:t xml:space="preserve"> dopravní obslužnost</w:t>
      </w:r>
      <w:r w:rsidR="00D01D94">
        <w:rPr>
          <w:rFonts w:cs="Tahoma"/>
        </w:rPr>
        <w:t>i</w:t>
      </w:r>
      <w:r w:rsidR="00D01D94" w:rsidRPr="00043DC2">
        <w:rPr>
          <w:rFonts w:cs="Tahoma"/>
        </w:rPr>
        <w:t xml:space="preserve"> (drážní a linková) ve výši </w:t>
      </w:r>
      <w:r w:rsidR="00D01D94">
        <w:rPr>
          <w:rFonts w:cs="Tahoma"/>
        </w:rPr>
        <w:t>2.116</w:t>
      </w:r>
      <w:r w:rsidR="00D01D94" w:rsidRPr="00043DC2">
        <w:rPr>
          <w:rFonts w:cs="Tahoma"/>
        </w:rPr>
        <w:t xml:space="preserve"> mil. Kč, </w:t>
      </w:r>
      <w:r w:rsidR="00D01D94">
        <w:rPr>
          <w:rFonts w:cs="Tahoma"/>
        </w:rPr>
        <w:t xml:space="preserve">u </w:t>
      </w:r>
      <w:r w:rsidR="00D01D94" w:rsidRPr="00043DC2">
        <w:rPr>
          <w:rFonts w:cs="Tahoma"/>
        </w:rPr>
        <w:t>kte</w:t>
      </w:r>
      <w:r w:rsidR="00D01D94">
        <w:rPr>
          <w:rFonts w:cs="Tahoma"/>
        </w:rPr>
        <w:t>ré</w:t>
      </w:r>
      <w:r w:rsidR="00D01D94" w:rsidRPr="00043DC2">
        <w:rPr>
          <w:rFonts w:cs="Tahoma"/>
        </w:rPr>
        <w:t xml:space="preserve"> </w:t>
      </w:r>
      <w:r w:rsidR="00D01D94">
        <w:rPr>
          <w:rFonts w:cs="Tahoma"/>
        </w:rPr>
        <w:t xml:space="preserve">dochází k </w:t>
      </w:r>
      <w:r w:rsidR="00D01D94" w:rsidRPr="00043DC2">
        <w:rPr>
          <w:rFonts w:cs="Tahoma"/>
        </w:rPr>
        <w:t>meziročn</w:t>
      </w:r>
      <w:r w:rsidR="00D01D94">
        <w:rPr>
          <w:rFonts w:cs="Tahoma"/>
        </w:rPr>
        <w:t>ímu</w:t>
      </w:r>
      <w:r w:rsidR="00D01D94" w:rsidRPr="00043DC2">
        <w:rPr>
          <w:rFonts w:cs="Tahoma"/>
        </w:rPr>
        <w:t xml:space="preserve"> </w:t>
      </w:r>
      <w:r w:rsidR="00D01D94">
        <w:rPr>
          <w:rFonts w:cs="Tahoma"/>
        </w:rPr>
        <w:t xml:space="preserve">navýšení o 9 % (tj. o 177 mil. Kč). </w:t>
      </w:r>
      <w:r w:rsidR="00D01D94" w:rsidRPr="005B3DF9">
        <w:rPr>
          <w:rFonts w:cs="Tahoma"/>
        </w:rPr>
        <w:t xml:space="preserve"> </w:t>
      </w:r>
    </w:p>
    <w:p w:rsidR="00D01D94" w:rsidRDefault="00D01D94" w:rsidP="003209EE">
      <w:pPr>
        <w:pStyle w:val="Bezmezer"/>
        <w:rPr>
          <w:rFonts w:cs="Tahoma"/>
          <w:szCs w:val="24"/>
        </w:rPr>
      </w:pPr>
    </w:p>
    <w:p w:rsidR="00AA7877" w:rsidRDefault="003D436B" w:rsidP="003209EE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>V rámci základních parametrů jsou výz</w:t>
      </w:r>
      <w:r w:rsidR="00F7355C">
        <w:rPr>
          <w:rFonts w:cs="Tahoma"/>
          <w:szCs w:val="24"/>
        </w:rPr>
        <w:t>n</w:t>
      </w:r>
      <w:r>
        <w:rPr>
          <w:rFonts w:cs="Tahoma"/>
          <w:szCs w:val="24"/>
        </w:rPr>
        <w:t>amně omezeny výdaje na indiv</w:t>
      </w:r>
      <w:r w:rsidR="00F7355C">
        <w:rPr>
          <w:rFonts w:cs="Tahoma"/>
          <w:szCs w:val="24"/>
        </w:rPr>
        <w:t>id</w:t>
      </w:r>
      <w:r>
        <w:rPr>
          <w:rFonts w:cs="Tahoma"/>
          <w:szCs w:val="24"/>
        </w:rPr>
        <w:t>uální dotace a dotační programy.</w:t>
      </w:r>
      <w:r w:rsidR="00F7355C">
        <w:rPr>
          <w:rFonts w:cs="Tahoma"/>
          <w:szCs w:val="24"/>
        </w:rPr>
        <w:t xml:space="preserve"> N</w:t>
      </w:r>
      <w:r>
        <w:rPr>
          <w:rFonts w:cs="Tahoma"/>
          <w:szCs w:val="24"/>
        </w:rPr>
        <w:t xml:space="preserve">ové </w:t>
      </w:r>
      <w:r w:rsidR="003209EE" w:rsidRPr="00D01D94">
        <w:rPr>
          <w:rFonts w:cs="Tahoma"/>
          <w:szCs w:val="24"/>
        </w:rPr>
        <w:t>dotační programy</w:t>
      </w:r>
      <w:r>
        <w:rPr>
          <w:rFonts w:cs="Tahoma"/>
          <w:szCs w:val="24"/>
        </w:rPr>
        <w:t xml:space="preserve"> jsou pouze v odvětví životního prostředí, </w:t>
      </w:r>
      <w:r w:rsidR="00F7355C">
        <w:rPr>
          <w:rFonts w:cs="Tahoma"/>
          <w:szCs w:val="24"/>
        </w:rPr>
        <w:t xml:space="preserve">jelikož se jedná o programy, </w:t>
      </w:r>
      <w:r>
        <w:rPr>
          <w:rFonts w:cs="Tahoma"/>
          <w:szCs w:val="24"/>
        </w:rPr>
        <w:t>které jsou financov</w:t>
      </w:r>
      <w:r w:rsidR="003329DA">
        <w:rPr>
          <w:rFonts w:cs="Tahoma"/>
          <w:szCs w:val="24"/>
        </w:rPr>
        <w:t>á</w:t>
      </w:r>
      <w:r w:rsidR="00F7355C">
        <w:rPr>
          <w:rFonts w:cs="Tahoma"/>
          <w:szCs w:val="24"/>
        </w:rPr>
        <w:t>n</w:t>
      </w:r>
      <w:r w:rsidR="003329DA">
        <w:rPr>
          <w:rFonts w:cs="Tahoma"/>
          <w:szCs w:val="24"/>
        </w:rPr>
        <w:t>y</w:t>
      </w:r>
      <w:r w:rsidR="00F7355C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z účelových prostředků (</w:t>
      </w:r>
      <w:r w:rsidR="00B20545">
        <w:rPr>
          <w:rFonts w:cs="Tahoma"/>
          <w:szCs w:val="24"/>
        </w:rPr>
        <w:t>p</w:t>
      </w:r>
      <w:r w:rsidR="00B20545" w:rsidRPr="00B20545">
        <w:rPr>
          <w:rFonts w:cs="Tahoma"/>
          <w:szCs w:val="24"/>
        </w:rPr>
        <w:t>říjmy z</w:t>
      </w:r>
      <w:r w:rsidR="003329DA">
        <w:rPr>
          <w:rFonts w:cs="Tahoma"/>
          <w:szCs w:val="24"/>
        </w:rPr>
        <w:t> </w:t>
      </w:r>
      <w:r w:rsidR="00B20545">
        <w:rPr>
          <w:rFonts w:cs="Tahoma"/>
          <w:szCs w:val="24"/>
        </w:rPr>
        <w:t>poplatků za</w:t>
      </w:r>
      <w:r w:rsidR="00B20545" w:rsidRPr="00B20545">
        <w:rPr>
          <w:rFonts w:cs="Tahoma"/>
          <w:szCs w:val="24"/>
        </w:rPr>
        <w:t xml:space="preserve"> odebrané množství podzemní vody</w:t>
      </w:r>
      <w:r>
        <w:rPr>
          <w:rFonts w:cs="Tahoma"/>
          <w:szCs w:val="24"/>
        </w:rPr>
        <w:t xml:space="preserve">) a Fondu </w:t>
      </w:r>
      <w:r w:rsidR="003329DA">
        <w:rPr>
          <w:rFonts w:cs="Tahoma"/>
          <w:szCs w:val="24"/>
        </w:rPr>
        <w:t>ž</w:t>
      </w:r>
      <w:r>
        <w:rPr>
          <w:rFonts w:cs="Tahoma"/>
          <w:szCs w:val="24"/>
        </w:rPr>
        <w:t xml:space="preserve">ivotního prostředí. </w:t>
      </w:r>
      <w:r w:rsidR="00F7355C">
        <w:rPr>
          <w:rFonts w:cs="Tahoma"/>
          <w:szCs w:val="24"/>
        </w:rPr>
        <w:t>Dále jsou zařazeny prostředky na dofinancování víceletých dotačních programů, které byly vyhlášeny v minulých letech a dobíhá u nich</w:t>
      </w:r>
      <w:r w:rsidR="00FD7981">
        <w:rPr>
          <w:rFonts w:cs="Tahoma"/>
          <w:szCs w:val="24"/>
        </w:rPr>
        <w:t xml:space="preserve"> </w:t>
      </w:r>
      <w:r w:rsidR="00F7355C">
        <w:rPr>
          <w:rFonts w:cs="Tahoma"/>
          <w:szCs w:val="24"/>
        </w:rPr>
        <w:t xml:space="preserve">financování na základě uzavřených dotačních smluv.  </w:t>
      </w:r>
      <w:r>
        <w:rPr>
          <w:rFonts w:cs="Tahoma"/>
          <w:szCs w:val="24"/>
        </w:rPr>
        <w:t xml:space="preserve">  </w:t>
      </w:r>
    </w:p>
    <w:p w:rsidR="007B5E20" w:rsidRDefault="00AA7877" w:rsidP="007B5E20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:rsidR="000817DB" w:rsidRDefault="003209EE" w:rsidP="00641F27">
      <w:pPr>
        <w:pStyle w:val="Bezmezer"/>
        <w:rPr>
          <w:rFonts w:cs="Tahoma"/>
          <w:szCs w:val="24"/>
        </w:rPr>
      </w:pPr>
      <w:r w:rsidRPr="001E0F84">
        <w:rPr>
          <w:rFonts w:cs="Tahoma"/>
          <w:szCs w:val="24"/>
          <w:u w:val="single"/>
        </w:rPr>
        <w:t xml:space="preserve">Příspěvky na provoz příspěvkovým organizacím kraje </w:t>
      </w:r>
      <w:r w:rsidRPr="001E0F84">
        <w:rPr>
          <w:rFonts w:cs="Tahoma"/>
          <w:szCs w:val="24"/>
        </w:rPr>
        <w:t xml:space="preserve">– </w:t>
      </w:r>
      <w:r w:rsidR="00D01D94">
        <w:rPr>
          <w:rFonts w:cs="Tahoma"/>
          <w:szCs w:val="24"/>
        </w:rPr>
        <w:t xml:space="preserve">pokles </w:t>
      </w:r>
      <w:r w:rsidRPr="001E0F84">
        <w:rPr>
          <w:rFonts w:cs="Tahoma"/>
          <w:szCs w:val="24"/>
        </w:rPr>
        <w:t xml:space="preserve">o </w:t>
      </w:r>
      <w:r w:rsidR="00D01D94">
        <w:rPr>
          <w:rFonts w:cs="Tahoma"/>
          <w:szCs w:val="24"/>
        </w:rPr>
        <w:t>16</w:t>
      </w:r>
      <w:r w:rsidRPr="001E0F84">
        <w:rPr>
          <w:rFonts w:cs="Tahoma"/>
          <w:szCs w:val="24"/>
        </w:rPr>
        <w:t xml:space="preserve"> %</w:t>
      </w:r>
    </w:p>
    <w:p w:rsidR="004379D7" w:rsidRDefault="00321159" w:rsidP="00321159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Při </w:t>
      </w:r>
      <w:r w:rsidR="00D01D94">
        <w:rPr>
          <w:rFonts w:cs="Tahoma"/>
          <w:szCs w:val="24"/>
        </w:rPr>
        <w:t>stanovení přís</w:t>
      </w:r>
      <w:r>
        <w:rPr>
          <w:rFonts w:cs="Tahoma"/>
          <w:szCs w:val="24"/>
        </w:rPr>
        <w:t>p</w:t>
      </w:r>
      <w:r w:rsidR="00D01D94">
        <w:rPr>
          <w:rFonts w:cs="Tahoma"/>
          <w:szCs w:val="24"/>
        </w:rPr>
        <w:t xml:space="preserve">ěvku na provoz </w:t>
      </w:r>
      <w:r>
        <w:rPr>
          <w:rFonts w:cs="Tahoma"/>
          <w:szCs w:val="24"/>
        </w:rPr>
        <w:t xml:space="preserve">pro rok 2021 se </w:t>
      </w:r>
      <w:r w:rsidR="00D01D94">
        <w:rPr>
          <w:rFonts w:cs="Tahoma"/>
          <w:szCs w:val="24"/>
        </w:rPr>
        <w:t xml:space="preserve">vycházelo </w:t>
      </w:r>
      <w:r>
        <w:rPr>
          <w:rFonts w:cs="Tahoma"/>
          <w:szCs w:val="24"/>
        </w:rPr>
        <w:t xml:space="preserve">ze záměru provedené revize prostředků příspěvkových organizací v roce 2020. V rámci revize rozpočtu kraje na rok 2020 bylo organizacím stanoveno snížit objem prostředků o 10 %. Proto je neúčelový příspěvek na provoz pro rok 2021 </w:t>
      </w:r>
      <w:r w:rsidR="00D01D94">
        <w:rPr>
          <w:rFonts w:cs="Tahoma"/>
          <w:szCs w:val="24"/>
        </w:rPr>
        <w:t>krácen</w:t>
      </w:r>
      <w:r>
        <w:rPr>
          <w:rFonts w:cs="Tahoma"/>
          <w:szCs w:val="24"/>
        </w:rPr>
        <w:t xml:space="preserve">ý rovněž </w:t>
      </w:r>
      <w:r w:rsidR="00D01D94">
        <w:rPr>
          <w:rFonts w:cs="Tahoma"/>
          <w:szCs w:val="24"/>
        </w:rPr>
        <w:t xml:space="preserve">o 10 % </w:t>
      </w:r>
      <w:r>
        <w:rPr>
          <w:rFonts w:cs="Tahoma"/>
          <w:szCs w:val="24"/>
        </w:rPr>
        <w:t xml:space="preserve">oproti schválenému rozpočtu na rok 2020.  </w:t>
      </w:r>
      <w:r w:rsidR="00D01D94">
        <w:rPr>
          <w:rFonts w:cs="Tahoma"/>
          <w:szCs w:val="24"/>
        </w:rPr>
        <w:t xml:space="preserve">Nad toto krácení jsou zohledněny </w:t>
      </w:r>
      <w:r w:rsidR="003209EE">
        <w:rPr>
          <w:rFonts w:cs="Tahoma"/>
          <w:szCs w:val="24"/>
        </w:rPr>
        <w:t>požadavky na</w:t>
      </w:r>
      <w:r w:rsidR="00FD7981">
        <w:rPr>
          <w:rFonts w:cs="Tahoma"/>
          <w:szCs w:val="24"/>
        </w:rPr>
        <w:t> </w:t>
      </w:r>
      <w:r w:rsidR="003209EE">
        <w:rPr>
          <w:rFonts w:cs="Tahoma"/>
          <w:szCs w:val="24"/>
        </w:rPr>
        <w:t>zajištění udržitelnosti projektů spolufin</w:t>
      </w:r>
      <w:r w:rsidR="00847009">
        <w:rPr>
          <w:rFonts w:cs="Tahoma"/>
          <w:szCs w:val="24"/>
        </w:rPr>
        <w:t>ancovaných</w:t>
      </w:r>
      <w:r w:rsidR="003209EE">
        <w:rPr>
          <w:rFonts w:cs="Tahoma"/>
          <w:szCs w:val="24"/>
        </w:rPr>
        <w:t xml:space="preserve"> z</w:t>
      </w:r>
      <w:r w:rsidR="00847009">
        <w:rPr>
          <w:rFonts w:cs="Tahoma"/>
          <w:szCs w:val="24"/>
        </w:rPr>
        <w:t> evropských finančních zdrojů</w:t>
      </w:r>
      <w:r w:rsidR="00D01D94">
        <w:rPr>
          <w:rFonts w:cs="Tahoma"/>
          <w:szCs w:val="24"/>
        </w:rPr>
        <w:t xml:space="preserve"> a</w:t>
      </w:r>
      <w:r w:rsidR="00FD7981">
        <w:rPr>
          <w:rFonts w:cs="Tahoma"/>
          <w:szCs w:val="24"/>
        </w:rPr>
        <w:t> </w:t>
      </w:r>
      <w:r w:rsidR="00D01D94">
        <w:rPr>
          <w:rFonts w:cs="Tahoma"/>
          <w:szCs w:val="24"/>
        </w:rPr>
        <w:t>zvýšení výdajů na základě plánovaných rozšíření kapacit.</w:t>
      </w:r>
      <w:r w:rsidR="003A2A66">
        <w:rPr>
          <w:rFonts w:cs="Tahoma"/>
          <w:szCs w:val="24"/>
        </w:rPr>
        <w:t xml:space="preserve"> </w:t>
      </w:r>
    </w:p>
    <w:p w:rsidR="004379D7" w:rsidRDefault="004379D7">
      <w:pPr>
        <w:rPr>
          <w:rFonts w:ascii="Tahoma" w:eastAsia="Calibri" w:hAnsi="Tahoma" w:cs="Tahoma"/>
          <w:lang w:eastAsia="en-US"/>
        </w:rPr>
      </w:pPr>
      <w:r>
        <w:rPr>
          <w:rFonts w:cs="Tahoma"/>
        </w:rPr>
        <w:br w:type="page"/>
      </w:r>
    </w:p>
    <w:p w:rsidR="003209EE" w:rsidRDefault="003209EE" w:rsidP="00641F27">
      <w:pPr>
        <w:pStyle w:val="Bezmezer"/>
        <w:rPr>
          <w:rFonts w:cs="Tahoma"/>
          <w:szCs w:val="24"/>
        </w:rPr>
      </w:pPr>
    </w:p>
    <w:p w:rsidR="001D273B" w:rsidRDefault="003A6B88" w:rsidP="003A6B88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</w:t>
      </w:r>
      <w:r w:rsidR="00CF07E1" w:rsidRPr="00CF07E1">
        <w:rPr>
          <w:rFonts w:ascii="Tahoma" w:hAnsi="Tahoma" w:cs="Tahoma"/>
          <w:b/>
          <w:sz w:val="20"/>
          <w:szCs w:val="20"/>
        </w:rPr>
        <w:t>2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CF07E1">
        <w:rPr>
          <w:rFonts w:ascii="Tahoma" w:hAnsi="Tahoma" w:cs="Tahoma"/>
          <w:sz w:val="20"/>
          <w:szCs w:val="20"/>
        </w:rPr>
        <w:t xml:space="preserve">Příspěvek na provoz </w:t>
      </w:r>
      <w:r w:rsidR="002F7396">
        <w:rPr>
          <w:rFonts w:ascii="Tahoma" w:hAnsi="Tahoma" w:cs="Tahoma"/>
          <w:sz w:val="20"/>
          <w:szCs w:val="20"/>
        </w:rPr>
        <w:t>příspěvkový</w:t>
      </w:r>
      <w:r w:rsidR="00FD7981">
        <w:rPr>
          <w:rFonts w:ascii="Tahoma" w:hAnsi="Tahoma" w:cs="Tahoma"/>
          <w:sz w:val="20"/>
          <w:szCs w:val="20"/>
        </w:rPr>
        <w:t>m</w:t>
      </w:r>
      <w:r w:rsidR="002F7396">
        <w:rPr>
          <w:rFonts w:ascii="Tahoma" w:hAnsi="Tahoma" w:cs="Tahoma"/>
          <w:sz w:val="20"/>
          <w:szCs w:val="20"/>
        </w:rPr>
        <w:t xml:space="preserve"> organizací</w:t>
      </w:r>
      <w:r w:rsidR="00FD7981">
        <w:rPr>
          <w:rFonts w:ascii="Tahoma" w:hAnsi="Tahoma" w:cs="Tahoma"/>
          <w:sz w:val="20"/>
          <w:szCs w:val="20"/>
        </w:rPr>
        <w:t>m</w:t>
      </w:r>
      <w:r w:rsidR="002F7396">
        <w:rPr>
          <w:rFonts w:ascii="Tahoma" w:hAnsi="Tahoma" w:cs="Tahoma"/>
          <w:sz w:val="20"/>
          <w:szCs w:val="20"/>
        </w:rPr>
        <w:t xml:space="preserve"> kraje </w:t>
      </w:r>
      <w:r w:rsidR="003A2A66" w:rsidRPr="00CF07E1">
        <w:rPr>
          <w:rFonts w:ascii="Tahoma" w:hAnsi="Tahoma" w:cs="Tahoma"/>
          <w:sz w:val="20"/>
          <w:szCs w:val="20"/>
        </w:rPr>
        <w:t>(</w:t>
      </w:r>
      <w:r w:rsidRPr="00CF07E1">
        <w:rPr>
          <w:rFonts w:ascii="Tahoma" w:hAnsi="Tahoma" w:cs="Tahoma"/>
          <w:sz w:val="20"/>
          <w:szCs w:val="20"/>
        </w:rPr>
        <w:t>v tis.</w:t>
      </w:r>
      <w:r w:rsidR="00503E61">
        <w:rPr>
          <w:rFonts w:ascii="Tahoma" w:hAnsi="Tahoma" w:cs="Tahoma"/>
          <w:sz w:val="20"/>
          <w:szCs w:val="20"/>
        </w:rPr>
        <w:t xml:space="preserve"> </w:t>
      </w:r>
      <w:r w:rsidRPr="00CF07E1">
        <w:rPr>
          <w:rFonts w:ascii="Tahoma" w:hAnsi="Tahoma" w:cs="Tahoma"/>
          <w:sz w:val="20"/>
          <w:szCs w:val="20"/>
        </w:rPr>
        <w:t>Kč</w:t>
      </w:r>
      <w:r w:rsidR="003A2A66" w:rsidRPr="00CF07E1">
        <w:rPr>
          <w:rFonts w:ascii="Tahoma" w:hAnsi="Tahoma" w:cs="Tahoma"/>
          <w:sz w:val="20"/>
          <w:szCs w:val="20"/>
        </w:rPr>
        <w:t>)</w:t>
      </w:r>
    </w:p>
    <w:p w:rsidR="008A02E6" w:rsidRPr="00CF07E1" w:rsidRDefault="00503E61" w:rsidP="003A6B88">
      <w:pPr>
        <w:jc w:val="both"/>
        <w:rPr>
          <w:rFonts w:ascii="Tahoma" w:hAnsi="Tahoma" w:cs="Tahoma"/>
          <w:u w:val="single"/>
        </w:rPr>
      </w:pPr>
      <w:r w:rsidRPr="00503E61">
        <w:rPr>
          <w:noProof/>
        </w:rPr>
        <w:drawing>
          <wp:inline distT="0" distB="0" distL="0" distR="0">
            <wp:extent cx="5800725" cy="4132137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27" cy="413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DC" w:rsidRDefault="00DD46DC" w:rsidP="003209EE">
      <w:pPr>
        <w:pStyle w:val="Bezmezer"/>
        <w:rPr>
          <w:rFonts w:cs="Tahoma"/>
          <w:szCs w:val="24"/>
          <w:u w:val="single"/>
        </w:rPr>
      </w:pPr>
    </w:p>
    <w:p w:rsidR="003209EE" w:rsidRPr="00F50E23" w:rsidRDefault="003209EE" w:rsidP="003209EE">
      <w:pPr>
        <w:pStyle w:val="Bezmezer"/>
        <w:rPr>
          <w:rFonts w:cs="Tahoma"/>
          <w:szCs w:val="24"/>
          <w:u w:val="single"/>
        </w:rPr>
      </w:pPr>
      <w:r w:rsidRPr="00F50E23">
        <w:rPr>
          <w:rFonts w:cs="Tahoma"/>
          <w:szCs w:val="24"/>
          <w:u w:val="single"/>
        </w:rPr>
        <w:t xml:space="preserve">Návratné finanční výpomoci </w:t>
      </w:r>
    </w:p>
    <w:p w:rsidR="0002699A" w:rsidRDefault="0002699A" w:rsidP="003209EE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Zařazeny každoroční návratné finanční výpomoci pro příspěvkové organizace v odvětví sociálních věcí na překlenutí začátku roku v souvislosti </w:t>
      </w:r>
      <w:r w:rsidR="00717947">
        <w:rPr>
          <w:rFonts w:cs="Tahoma"/>
          <w:szCs w:val="24"/>
        </w:rPr>
        <w:t xml:space="preserve">se zpožděním </w:t>
      </w:r>
      <w:r>
        <w:rPr>
          <w:rFonts w:cs="Tahoma"/>
          <w:szCs w:val="24"/>
        </w:rPr>
        <w:t>dotace z</w:t>
      </w:r>
      <w:r w:rsidR="00DD46DC">
        <w:rPr>
          <w:rFonts w:cs="Tahoma"/>
          <w:szCs w:val="24"/>
        </w:rPr>
        <w:t> </w:t>
      </w:r>
      <w:r>
        <w:rPr>
          <w:rFonts w:cs="Tahoma"/>
          <w:szCs w:val="24"/>
        </w:rPr>
        <w:t>M</w:t>
      </w:r>
      <w:r w:rsidR="00DD46DC">
        <w:rPr>
          <w:rFonts w:cs="Tahoma"/>
          <w:szCs w:val="24"/>
        </w:rPr>
        <w:t xml:space="preserve">inisterstva práce a sociálních věcí </w:t>
      </w:r>
      <w:r>
        <w:rPr>
          <w:rFonts w:cs="Tahoma"/>
          <w:szCs w:val="24"/>
        </w:rPr>
        <w:t xml:space="preserve">ve výši </w:t>
      </w:r>
      <w:r w:rsidR="00321159">
        <w:rPr>
          <w:rFonts w:cs="Tahoma"/>
          <w:szCs w:val="24"/>
        </w:rPr>
        <w:t>1</w:t>
      </w:r>
      <w:r w:rsidR="00D966E4">
        <w:rPr>
          <w:rFonts w:cs="Tahoma"/>
          <w:szCs w:val="24"/>
        </w:rPr>
        <w:t>11,5</w:t>
      </w:r>
      <w:r>
        <w:rPr>
          <w:rFonts w:cs="Tahoma"/>
          <w:szCs w:val="24"/>
        </w:rPr>
        <w:t xml:space="preserve"> mil. Kč.</w:t>
      </w:r>
    </w:p>
    <w:p w:rsidR="00D141DD" w:rsidRDefault="00717947" w:rsidP="003209EE">
      <w:pPr>
        <w:pStyle w:val="Bezmezer"/>
        <w:rPr>
          <w:rFonts w:cs="Tahoma"/>
          <w:szCs w:val="24"/>
        </w:rPr>
      </w:pPr>
      <w:r w:rsidRPr="00F7355C">
        <w:rPr>
          <w:rFonts w:cs="Tahoma"/>
          <w:szCs w:val="24"/>
        </w:rPr>
        <w:t>V rámci základních parametrů</w:t>
      </w:r>
      <w:r w:rsidR="0002699A" w:rsidRPr="00F7355C">
        <w:rPr>
          <w:rFonts w:cs="Tahoma"/>
          <w:szCs w:val="24"/>
        </w:rPr>
        <w:t xml:space="preserve"> byly </w:t>
      </w:r>
      <w:r w:rsidR="003C008D" w:rsidRPr="00F7355C">
        <w:rPr>
          <w:rFonts w:cs="Tahoma"/>
          <w:szCs w:val="24"/>
        </w:rPr>
        <w:t xml:space="preserve">dále </w:t>
      </w:r>
      <w:r w:rsidR="0002699A" w:rsidRPr="00F7355C">
        <w:rPr>
          <w:rFonts w:cs="Tahoma"/>
          <w:szCs w:val="24"/>
        </w:rPr>
        <w:t xml:space="preserve">zařazeny </w:t>
      </w:r>
      <w:r w:rsidR="003C008D" w:rsidRPr="00F7355C">
        <w:rPr>
          <w:rFonts w:cs="Tahoma"/>
          <w:szCs w:val="24"/>
        </w:rPr>
        <w:t xml:space="preserve">návratné finanční výpomoci </w:t>
      </w:r>
      <w:r w:rsidR="00506E22" w:rsidRPr="00F7355C">
        <w:rPr>
          <w:rFonts w:cs="Tahoma"/>
          <w:szCs w:val="24"/>
        </w:rPr>
        <w:t xml:space="preserve">ve výši </w:t>
      </w:r>
      <w:r w:rsidR="00321159" w:rsidRPr="00F7355C">
        <w:rPr>
          <w:rFonts w:cs="Tahoma"/>
          <w:szCs w:val="24"/>
        </w:rPr>
        <w:t>29</w:t>
      </w:r>
      <w:r w:rsidR="00506E22" w:rsidRPr="00F7355C">
        <w:rPr>
          <w:rFonts w:cs="Tahoma"/>
          <w:szCs w:val="24"/>
        </w:rPr>
        <w:t xml:space="preserve"> mil. Kč </w:t>
      </w:r>
      <w:r w:rsidR="0002699A" w:rsidRPr="00F7355C">
        <w:rPr>
          <w:rFonts w:cs="Tahoma"/>
          <w:szCs w:val="24"/>
        </w:rPr>
        <w:t>u</w:t>
      </w:r>
      <w:r w:rsidR="003209EE" w:rsidRPr="00F7355C">
        <w:rPr>
          <w:rFonts w:cs="Tahoma"/>
          <w:szCs w:val="24"/>
        </w:rPr>
        <w:t xml:space="preserve">rčené pro příspěvkové organizace </w:t>
      </w:r>
      <w:r w:rsidR="003209EE" w:rsidRPr="00D966E4">
        <w:rPr>
          <w:rFonts w:cs="Tahoma"/>
          <w:szCs w:val="24"/>
        </w:rPr>
        <w:t xml:space="preserve">kraje </w:t>
      </w:r>
      <w:r w:rsidR="00321159" w:rsidRPr="00D966E4">
        <w:rPr>
          <w:rFonts w:cs="Tahoma"/>
          <w:szCs w:val="24"/>
        </w:rPr>
        <w:t xml:space="preserve">v odvětví zdravotnictví </w:t>
      </w:r>
      <w:r w:rsidR="003209EE" w:rsidRPr="00D966E4">
        <w:rPr>
          <w:rFonts w:cs="Tahoma"/>
          <w:szCs w:val="24"/>
        </w:rPr>
        <w:t>pro realizaci akcí spolufinancovaných z</w:t>
      </w:r>
      <w:r w:rsidR="00506E22" w:rsidRPr="00D966E4">
        <w:rPr>
          <w:rFonts w:cs="Tahoma"/>
          <w:szCs w:val="24"/>
        </w:rPr>
        <w:t> </w:t>
      </w:r>
      <w:r w:rsidR="003209EE" w:rsidRPr="00D966E4">
        <w:rPr>
          <w:rFonts w:cs="Tahoma"/>
          <w:szCs w:val="24"/>
        </w:rPr>
        <w:t>EU</w:t>
      </w:r>
      <w:r w:rsidR="00506E22" w:rsidRPr="00D966E4">
        <w:rPr>
          <w:rFonts w:cs="Tahoma"/>
          <w:szCs w:val="24"/>
        </w:rPr>
        <w:t>.</w:t>
      </w:r>
      <w:r w:rsidR="00506E22">
        <w:rPr>
          <w:rFonts w:cs="Tahoma"/>
          <w:szCs w:val="24"/>
        </w:rPr>
        <w:t xml:space="preserve"> </w:t>
      </w:r>
    </w:p>
    <w:p w:rsidR="003209EE" w:rsidRPr="00CD73C7" w:rsidRDefault="003209EE" w:rsidP="003209EE">
      <w:pPr>
        <w:pStyle w:val="Bezmezer"/>
        <w:rPr>
          <w:rFonts w:cs="Tahoma"/>
          <w:szCs w:val="24"/>
        </w:rPr>
      </w:pPr>
    </w:p>
    <w:p w:rsidR="003209EE" w:rsidRDefault="003209EE" w:rsidP="003209EE">
      <w:pPr>
        <w:pStyle w:val="Bezmezer"/>
        <w:rPr>
          <w:rFonts w:cs="Tahoma"/>
          <w:szCs w:val="24"/>
          <w:u w:val="single"/>
        </w:rPr>
      </w:pPr>
      <w:r w:rsidRPr="00A00FFB">
        <w:rPr>
          <w:rFonts w:cs="Tahoma"/>
          <w:szCs w:val="24"/>
          <w:u w:val="single"/>
        </w:rPr>
        <w:t xml:space="preserve">Reprodukce majetku kraje </w:t>
      </w:r>
      <w:r w:rsidRPr="00A00FFB">
        <w:rPr>
          <w:rFonts w:cs="Tahoma"/>
          <w:szCs w:val="24"/>
        </w:rPr>
        <w:t xml:space="preserve">– nárůst o </w:t>
      </w:r>
      <w:r w:rsidR="00321159">
        <w:rPr>
          <w:rFonts w:cs="Tahoma"/>
          <w:szCs w:val="24"/>
        </w:rPr>
        <w:t>13</w:t>
      </w:r>
      <w:r w:rsidRPr="00A00FFB">
        <w:rPr>
          <w:rFonts w:cs="Tahoma"/>
          <w:szCs w:val="24"/>
        </w:rPr>
        <w:t xml:space="preserve"> %</w:t>
      </w:r>
      <w:r w:rsidRPr="00A00FFB">
        <w:rPr>
          <w:rFonts w:cs="Tahoma"/>
          <w:szCs w:val="24"/>
          <w:u w:val="single"/>
        </w:rPr>
        <w:t xml:space="preserve"> </w:t>
      </w:r>
    </w:p>
    <w:p w:rsidR="004379D7" w:rsidRDefault="00113378" w:rsidP="002F7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Návrh rozpočtu v oblasti reprodukce majetku kraje </w:t>
      </w:r>
      <w:r w:rsidR="00C701CC">
        <w:rPr>
          <w:rFonts w:ascii="Tahoma" w:hAnsi="Tahoma" w:cs="Tahoma"/>
        </w:rPr>
        <w:t xml:space="preserve">zohledňuje </w:t>
      </w:r>
      <w:r w:rsidR="00321159">
        <w:rPr>
          <w:rFonts w:ascii="Tahoma" w:hAnsi="Tahoma" w:cs="Tahoma"/>
        </w:rPr>
        <w:t xml:space="preserve">revizi </w:t>
      </w:r>
      <w:r w:rsidR="00C701CC">
        <w:rPr>
          <w:rFonts w:ascii="Tahoma" w:hAnsi="Tahoma" w:cs="Tahoma"/>
        </w:rPr>
        <w:t xml:space="preserve">investičních </w:t>
      </w:r>
      <w:r w:rsidR="00321159">
        <w:rPr>
          <w:rFonts w:ascii="Tahoma" w:hAnsi="Tahoma" w:cs="Tahoma"/>
        </w:rPr>
        <w:t>akcí</w:t>
      </w:r>
      <w:r w:rsidR="00C701CC">
        <w:rPr>
          <w:rFonts w:ascii="Tahoma" w:hAnsi="Tahoma" w:cs="Tahoma"/>
        </w:rPr>
        <w:t xml:space="preserve"> provedenou v roce 2020.</w:t>
      </w:r>
      <w:r w:rsidR="00277C01" w:rsidRPr="00B20545">
        <w:rPr>
          <w:rFonts w:ascii="Tahoma" w:hAnsi="Tahoma" w:cs="Tahoma"/>
        </w:rPr>
        <w:t xml:space="preserve"> </w:t>
      </w:r>
      <w:r w:rsidR="00B20545" w:rsidRPr="00B20545">
        <w:rPr>
          <w:rFonts w:ascii="Tahoma" w:hAnsi="Tahoma" w:cs="Tahoma"/>
        </w:rPr>
        <w:t xml:space="preserve">Akce </w:t>
      </w:r>
      <w:r w:rsidR="006A57F5" w:rsidRPr="006A57F5">
        <w:rPr>
          <w:rFonts w:ascii="Tahoma" w:hAnsi="Tahoma" w:cs="Tahoma"/>
        </w:rPr>
        <w:t xml:space="preserve">jsou </w:t>
      </w:r>
      <w:r w:rsidR="00B20545">
        <w:rPr>
          <w:rFonts w:ascii="Tahoma" w:hAnsi="Tahoma" w:cs="Tahoma"/>
        </w:rPr>
        <w:t xml:space="preserve">navrhovány </w:t>
      </w:r>
      <w:r w:rsidR="006A57F5" w:rsidRPr="006A57F5">
        <w:rPr>
          <w:rFonts w:ascii="Tahoma" w:hAnsi="Tahoma" w:cs="Tahoma"/>
        </w:rPr>
        <w:t>financov</w:t>
      </w:r>
      <w:r w:rsidR="00B20545">
        <w:rPr>
          <w:rFonts w:ascii="Tahoma" w:hAnsi="Tahoma" w:cs="Tahoma"/>
        </w:rPr>
        <w:t xml:space="preserve">at </w:t>
      </w:r>
      <w:r w:rsidR="006A57F5">
        <w:rPr>
          <w:rFonts w:ascii="Tahoma" w:hAnsi="Tahoma" w:cs="Tahoma"/>
        </w:rPr>
        <w:t xml:space="preserve">vícezdrojově. </w:t>
      </w:r>
      <w:r w:rsidR="00B20545">
        <w:rPr>
          <w:rFonts w:ascii="Tahoma" w:hAnsi="Tahoma" w:cs="Tahoma"/>
        </w:rPr>
        <w:t>Vedle vlastních příjmů krytých hlavně příjmy ze sdílených daní budou akce financovány nově přijatý</w:t>
      </w:r>
      <w:r w:rsidR="00D966E4">
        <w:rPr>
          <w:rFonts w:ascii="Tahoma" w:hAnsi="Tahoma" w:cs="Tahoma"/>
        </w:rPr>
        <w:t>m</w:t>
      </w:r>
      <w:r w:rsidR="00B20545">
        <w:rPr>
          <w:rFonts w:ascii="Tahoma" w:hAnsi="Tahoma" w:cs="Tahoma"/>
        </w:rPr>
        <w:t xml:space="preserve"> úvěrem</w:t>
      </w:r>
      <w:r w:rsidR="007B5C0F">
        <w:rPr>
          <w:rFonts w:ascii="Tahoma" w:hAnsi="Tahoma" w:cs="Tahoma"/>
        </w:rPr>
        <w:t>, p</w:t>
      </w:r>
      <w:r w:rsidR="00B20545">
        <w:rPr>
          <w:rFonts w:ascii="Tahoma" w:hAnsi="Tahoma" w:cs="Tahoma"/>
        </w:rPr>
        <w:t xml:space="preserve">řehled </w:t>
      </w:r>
      <w:r w:rsidR="007B5C0F">
        <w:rPr>
          <w:rFonts w:ascii="Tahoma" w:hAnsi="Tahoma" w:cs="Tahoma"/>
        </w:rPr>
        <w:t xml:space="preserve">těchto </w:t>
      </w:r>
      <w:r w:rsidR="00B20545">
        <w:rPr>
          <w:rFonts w:ascii="Tahoma" w:hAnsi="Tahoma" w:cs="Tahoma"/>
        </w:rPr>
        <w:t>akc</w:t>
      </w:r>
      <w:r w:rsidR="00D966E4">
        <w:rPr>
          <w:rFonts w:ascii="Tahoma" w:hAnsi="Tahoma" w:cs="Tahoma"/>
        </w:rPr>
        <w:t>í</w:t>
      </w:r>
      <w:r w:rsidR="00B20545">
        <w:rPr>
          <w:rFonts w:ascii="Tahoma" w:hAnsi="Tahoma" w:cs="Tahoma"/>
        </w:rPr>
        <w:t xml:space="preserve"> je uveden v příloze č. 2 tohoto materiálu. </w:t>
      </w:r>
      <w:r w:rsidR="007B5C0F">
        <w:rPr>
          <w:rFonts w:ascii="Tahoma" w:hAnsi="Tahoma" w:cs="Tahoma"/>
        </w:rPr>
        <w:t xml:space="preserve"> </w:t>
      </w:r>
      <w:r w:rsidR="002F7396">
        <w:rPr>
          <w:rFonts w:ascii="Tahoma" w:hAnsi="Tahoma" w:cs="Tahoma"/>
        </w:rPr>
        <w:t xml:space="preserve">Ze stávajícího úvěru od </w:t>
      </w:r>
      <w:proofErr w:type="spellStart"/>
      <w:r w:rsidR="002F7396" w:rsidRPr="002F7396">
        <w:rPr>
          <w:rFonts w:ascii="Tahoma" w:hAnsi="Tahoma" w:cs="Tahoma"/>
        </w:rPr>
        <w:t>UniCredit</w:t>
      </w:r>
      <w:proofErr w:type="spellEnd"/>
      <w:r w:rsidR="002F7396" w:rsidRPr="002F7396">
        <w:rPr>
          <w:rFonts w:ascii="Tahoma" w:hAnsi="Tahoma" w:cs="Tahoma"/>
        </w:rPr>
        <w:t xml:space="preserve"> Bank Czech Republic and Slovakia, a.s. (dále jen UCB)</w:t>
      </w:r>
      <w:r w:rsidR="002F7396">
        <w:rPr>
          <w:rFonts w:ascii="Tahoma" w:hAnsi="Tahoma" w:cs="Tahoma"/>
        </w:rPr>
        <w:t xml:space="preserve"> budou </w:t>
      </w:r>
      <w:r w:rsidR="004379D7">
        <w:rPr>
          <w:rFonts w:ascii="Tahoma" w:hAnsi="Tahoma" w:cs="Tahoma"/>
        </w:rPr>
        <w:t xml:space="preserve">částečně </w:t>
      </w:r>
      <w:r w:rsidR="002F7396" w:rsidRPr="004379D7">
        <w:rPr>
          <w:rFonts w:ascii="Tahoma" w:hAnsi="Tahoma" w:cs="Tahoma"/>
        </w:rPr>
        <w:t>financovány akce</w:t>
      </w:r>
      <w:r w:rsidR="004379D7" w:rsidRPr="004379D7">
        <w:rPr>
          <w:rFonts w:ascii="Tahoma" w:hAnsi="Tahoma" w:cs="Tahoma"/>
        </w:rPr>
        <w:t xml:space="preserve"> Výstavba domova pro seniory a domova se zvláštním režimem Kopřivnice</w:t>
      </w:r>
      <w:r w:rsidR="004379D7">
        <w:rPr>
          <w:rFonts w:ascii="Tahoma" w:hAnsi="Tahoma" w:cs="Tahoma"/>
        </w:rPr>
        <w:t xml:space="preserve"> a </w:t>
      </w:r>
      <w:r w:rsidR="004379D7" w:rsidRPr="004379D7">
        <w:rPr>
          <w:rFonts w:ascii="Tahoma" w:hAnsi="Tahoma" w:cs="Tahoma"/>
        </w:rPr>
        <w:t>Domov pro osoby se zdravotním postižením Harmonie, p. o.</w:t>
      </w:r>
      <w:r w:rsidR="002F7396">
        <w:rPr>
          <w:rFonts w:ascii="Tahoma" w:hAnsi="Tahoma" w:cs="Tahoma"/>
        </w:rPr>
        <w:t xml:space="preserve">, u kterých je potřeba předfinancování podílu z ISPROFIN. Z </w:t>
      </w:r>
      <w:r w:rsidR="00B20545" w:rsidRPr="002F7396">
        <w:rPr>
          <w:rFonts w:ascii="Tahoma" w:hAnsi="Tahoma" w:cs="Tahoma"/>
        </w:rPr>
        <w:t xml:space="preserve">Fondu pro financování strategických projektů Moravskoslezského kraje </w:t>
      </w:r>
      <w:r w:rsidR="002F7396" w:rsidRPr="002F7396">
        <w:rPr>
          <w:rFonts w:ascii="Tahoma" w:hAnsi="Tahoma" w:cs="Tahoma"/>
        </w:rPr>
        <w:t>budou vyčleněn</w:t>
      </w:r>
      <w:r w:rsidR="00D966E4">
        <w:rPr>
          <w:rFonts w:ascii="Tahoma" w:hAnsi="Tahoma" w:cs="Tahoma"/>
        </w:rPr>
        <w:t>y</w:t>
      </w:r>
      <w:r w:rsidR="002F7396" w:rsidRPr="002F7396">
        <w:rPr>
          <w:rFonts w:ascii="Tahoma" w:hAnsi="Tahoma" w:cs="Tahoma"/>
        </w:rPr>
        <w:t xml:space="preserve"> prostředky ve výši 119 mil. Kč </w:t>
      </w:r>
      <w:r w:rsidR="00B20545" w:rsidRPr="002F7396">
        <w:rPr>
          <w:rFonts w:ascii="Tahoma" w:hAnsi="Tahoma" w:cs="Tahoma"/>
        </w:rPr>
        <w:t>na financování investiční akce Vybudování dílen pro praktické vyučování</w:t>
      </w:r>
      <w:r w:rsidR="00D966E4">
        <w:rPr>
          <w:rFonts w:ascii="Tahoma" w:hAnsi="Tahoma" w:cs="Tahoma"/>
        </w:rPr>
        <w:t xml:space="preserve"> – </w:t>
      </w:r>
      <w:r w:rsidR="00B20545" w:rsidRPr="002F7396">
        <w:rPr>
          <w:rFonts w:ascii="Tahoma" w:hAnsi="Tahoma" w:cs="Tahoma"/>
        </w:rPr>
        <w:t>Střední odborná škola, Frýdek-Místek</w:t>
      </w:r>
      <w:r w:rsidR="002F7396" w:rsidRPr="002F7396">
        <w:rPr>
          <w:rFonts w:ascii="Tahoma" w:hAnsi="Tahoma" w:cs="Tahoma"/>
        </w:rPr>
        <w:t>.</w:t>
      </w:r>
    </w:p>
    <w:p w:rsidR="004379D7" w:rsidRDefault="004379D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6A57F5" w:rsidRDefault="00277C01" w:rsidP="00277C01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>Tab. č. 3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na reprodukci majetku kraje </w:t>
      </w:r>
      <w:r w:rsidRPr="006146F7">
        <w:rPr>
          <w:rFonts w:ascii="Tahoma" w:hAnsi="Tahoma" w:cs="Tahoma"/>
          <w:sz w:val="20"/>
          <w:szCs w:val="20"/>
        </w:rPr>
        <w:t xml:space="preserve">vyjma akcí spolufinancovaných z </w:t>
      </w:r>
      <w:proofErr w:type="spellStart"/>
      <w:r w:rsidRPr="006146F7">
        <w:rPr>
          <w:rFonts w:ascii="Tahoma" w:hAnsi="Tahoma" w:cs="Tahoma"/>
          <w:sz w:val="20"/>
          <w:szCs w:val="20"/>
        </w:rPr>
        <w:t>evr</w:t>
      </w:r>
      <w:proofErr w:type="spellEnd"/>
      <w:r w:rsidRPr="006146F7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6146F7">
        <w:rPr>
          <w:rFonts w:ascii="Tahoma" w:hAnsi="Tahoma" w:cs="Tahoma"/>
          <w:sz w:val="20"/>
          <w:szCs w:val="20"/>
        </w:rPr>
        <w:t>fin</w:t>
      </w:r>
      <w:proofErr w:type="spellEnd"/>
      <w:r w:rsidRPr="006146F7">
        <w:rPr>
          <w:rFonts w:ascii="Tahoma" w:hAnsi="Tahoma" w:cs="Tahoma"/>
          <w:sz w:val="20"/>
          <w:szCs w:val="20"/>
        </w:rPr>
        <w:t>. zdrojů</w:t>
      </w:r>
      <w:r w:rsidRPr="006F1B87">
        <w:rPr>
          <w:rFonts w:ascii="Tahoma" w:eastAsia="Calibri" w:hAnsi="Tahoma" w:cs="Tahoma"/>
          <w:sz w:val="20"/>
          <w:szCs w:val="20"/>
          <w:lang w:eastAsia="en-US"/>
        </w:rPr>
        <w:t xml:space="preserve"> dle odvětví (v tis. Kč)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62"/>
        <w:gridCol w:w="1958"/>
      </w:tblGrid>
      <w:tr w:rsidR="00593A97" w:rsidTr="006F3DDB">
        <w:tc>
          <w:tcPr>
            <w:tcW w:w="3397" w:type="dxa"/>
            <w:vMerge w:val="restart"/>
            <w:vAlign w:val="center"/>
          </w:tcPr>
          <w:p w:rsidR="00593A97" w:rsidRPr="007B5C0F" w:rsidRDefault="00593A97" w:rsidP="00593A9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47502925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kce RMK – typ financování</w:t>
            </w:r>
          </w:p>
        </w:tc>
        <w:tc>
          <w:tcPr>
            <w:tcW w:w="3705" w:type="dxa"/>
            <w:gridSpan w:val="2"/>
            <w:vAlign w:val="center"/>
          </w:tcPr>
          <w:p w:rsidR="00593A97" w:rsidRPr="007B5C0F" w:rsidRDefault="00593A97" w:rsidP="00B205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58" w:type="dxa"/>
            <w:shd w:val="clear" w:color="auto" w:fill="E7E6E6" w:themeFill="background2"/>
            <w:vAlign w:val="center"/>
          </w:tcPr>
          <w:p w:rsidR="00593A97" w:rsidRPr="007B5C0F" w:rsidRDefault="00593A97" w:rsidP="00B205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</w:tr>
      <w:tr w:rsidR="00593A97" w:rsidTr="00593A97">
        <w:tc>
          <w:tcPr>
            <w:tcW w:w="3397" w:type="dxa"/>
            <w:vMerge/>
          </w:tcPr>
          <w:p w:rsidR="00593A97" w:rsidRPr="007B5C0F" w:rsidRDefault="00593A97" w:rsidP="0022749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93A97" w:rsidRPr="007B5C0F" w:rsidRDefault="00593A97" w:rsidP="00B205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schvál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 rozpočet</w:t>
            </w:r>
          </w:p>
        </w:tc>
        <w:tc>
          <w:tcPr>
            <w:tcW w:w="1862" w:type="dxa"/>
            <w:vAlign w:val="center"/>
          </w:tcPr>
          <w:p w:rsidR="00593A97" w:rsidRPr="007B5C0F" w:rsidRDefault="00593A97" w:rsidP="00B205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uprav. rozpočet</w:t>
            </w:r>
          </w:p>
        </w:tc>
        <w:tc>
          <w:tcPr>
            <w:tcW w:w="1958" w:type="dxa"/>
            <w:shd w:val="clear" w:color="auto" w:fill="E7E6E6" w:themeFill="background2"/>
            <w:vAlign w:val="center"/>
          </w:tcPr>
          <w:p w:rsidR="00593A97" w:rsidRPr="007B5C0F" w:rsidRDefault="00593A97" w:rsidP="00B205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návrh rozpočtu</w:t>
            </w:r>
          </w:p>
        </w:tc>
      </w:tr>
      <w:tr w:rsidR="006A57F5" w:rsidTr="00593A97">
        <w:trPr>
          <w:trHeight w:val="251"/>
        </w:trPr>
        <w:tc>
          <w:tcPr>
            <w:tcW w:w="3397" w:type="dxa"/>
          </w:tcPr>
          <w:p w:rsidR="006A57F5" w:rsidRPr="007B5C0F" w:rsidRDefault="006A57F5" w:rsidP="002274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nov</w:t>
            </w:r>
            <w:r w:rsidR="00B20545" w:rsidRPr="007B5C0F">
              <w:rPr>
                <w:rFonts w:ascii="Tahoma" w:hAnsi="Tahoma" w:cs="Tahoma"/>
                <w:sz w:val="20"/>
                <w:szCs w:val="20"/>
              </w:rPr>
              <w:t>ý</w:t>
            </w:r>
            <w:r w:rsidRPr="007B5C0F">
              <w:rPr>
                <w:rFonts w:ascii="Tahoma" w:hAnsi="Tahoma" w:cs="Tahoma"/>
                <w:sz w:val="20"/>
                <w:szCs w:val="20"/>
              </w:rPr>
              <w:t xml:space="preserve"> úvěr</w:t>
            </w:r>
          </w:p>
        </w:tc>
        <w:tc>
          <w:tcPr>
            <w:tcW w:w="1843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958" w:type="dxa"/>
            <w:shd w:val="clear" w:color="auto" w:fill="E7E6E6" w:themeFill="background2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780.43</w:t>
            </w:r>
            <w:r w:rsidR="00D966E4" w:rsidRPr="007B5C0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6A57F5" w:rsidTr="00593A97">
        <w:tc>
          <w:tcPr>
            <w:tcW w:w="3397" w:type="dxa"/>
          </w:tcPr>
          <w:p w:rsidR="006A57F5" w:rsidRPr="007B5C0F" w:rsidRDefault="006A57F5" w:rsidP="002274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úvěr UCB</w:t>
            </w:r>
          </w:p>
        </w:tc>
        <w:tc>
          <w:tcPr>
            <w:tcW w:w="1843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2.500</w:t>
            </w:r>
          </w:p>
        </w:tc>
        <w:tc>
          <w:tcPr>
            <w:tcW w:w="1958" w:type="dxa"/>
            <w:shd w:val="clear" w:color="auto" w:fill="E7E6E6" w:themeFill="background2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76.853</w:t>
            </w:r>
          </w:p>
        </w:tc>
      </w:tr>
      <w:tr w:rsidR="00B20545" w:rsidRPr="00B20545" w:rsidTr="00593A97">
        <w:tc>
          <w:tcPr>
            <w:tcW w:w="3397" w:type="dxa"/>
          </w:tcPr>
          <w:p w:rsidR="006A57F5" w:rsidRPr="007B5C0F" w:rsidRDefault="00D966E4" w:rsidP="002274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f</w:t>
            </w:r>
            <w:r w:rsidR="006A57F5" w:rsidRPr="007B5C0F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Pr="007B5C0F">
              <w:rPr>
                <w:rFonts w:ascii="Tahoma" w:hAnsi="Tahoma" w:cs="Tahoma"/>
                <w:sz w:val="20"/>
                <w:szCs w:val="20"/>
              </w:rPr>
              <w:t>s</w:t>
            </w:r>
            <w:r w:rsidR="00B20545" w:rsidRPr="007B5C0F">
              <w:rPr>
                <w:rFonts w:ascii="Tahoma" w:hAnsi="Tahoma" w:cs="Tahoma"/>
                <w:sz w:val="20"/>
                <w:szCs w:val="20"/>
              </w:rPr>
              <w:t>trateg</w:t>
            </w:r>
            <w:r w:rsidRPr="007B5C0F">
              <w:rPr>
                <w:rFonts w:ascii="Tahoma" w:hAnsi="Tahoma" w:cs="Tahoma"/>
                <w:sz w:val="20"/>
                <w:szCs w:val="20"/>
              </w:rPr>
              <w:t>ických</w:t>
            </w:r>
            <w:r w:rsidR="00B20545" w:rsidRPr="007B5C0F">
              <w:rPr>
                <w:rFonts w:ascii="Tahoma" w:hAnsi="Tahoma" w:cs="Tahoma"/>
                <w:sz w:val="20"/>
                <w:szCs w:val="20"/>
              </w:rPr>
              <w:t xml:space="preserve"> projektů</w:t>
            </w:r>
          </w:p>
        </w:tc>
        <w:tc>
          <w:tcPr>
            <w:tcW w:w="1843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190.000</w:t>
            </w:r>
          </w:p>
        </w:tc>
        <w:tc>
          <w:tcPr>
            <w:tcW w:w="1862" w:type="dxa"/>
            <w:shd w:val="clear" w:color="auto" w:fill="auto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140.881</w:t>
            </w:r>
          </w:p>
        </w:tc>
        <w:tc>
          <w:tcPr>
            <w:tcW w:w="1958" w:type="dxa"/>
            <w:shd w:val="clear" w:color="auto" w:fill="E7E6E6" w:themeFill="background2"/>
          </w:tcPr>
          <w:p w:rsidR="006A57F5" w:rsidRPr="007B5C0F" w:rsidRDefault="00B20545" w:rsidP="00B2054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118.790</w:t>
            </w:r>
          </w:p>
        </w:tc>
      </w:tr>
      <w:tr w:rsidR="006A57F5" w:rsidTr="00593A97">
        <w:tc>
          <w:tcPr>
            <w:tcW w:w="3397" w:type="dxa"/>
          </w:tcPr>
          <w:p w:rsidR="006A57F5" w:rsidRPr="007B5C0F" w:rsidRDefault="002B009A" w:rsidP="006A57F5">
            <w:pPr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d</w:t>
            </w:r>
            <w:r w:rsidR="006A57F5" w:rsidRPr="007B5C0F">
              <w:rPr>
                <w:rFonts w:ascii="Tahoma" w:hAnsi="Tahoma" w:cs="Tahoma"/>
                <w:sz w:val="20"/>
                <w:szCs w:val="20"/>
              </w:rPr>
              <w:t>otační prostředky (ISPROFIN, memorandum)</w:t>
            </w:r>
          </w:p>
        </w:tc>
        <w:tc>
          <w:tcPr>
            <w:tcW w:w="1843" w:type="dxa"/>
          </w:tcPr>
          <w:p w:rsidR="000966FD" w:rsidRPr="007B5C0F" w:rsidRDefault="000966FD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13.965</w:t>
            </w:r>
          </w:p>
        </w:tc>
        <w:tc>
          <w:tcPr>
            <w:tcW w:w="1862" w:type="dxa"/>
          </w:tcPr>
          <w:p w:rsidR="000966FD" w:rsidRPr="007B5C0F" w:rsidRDefault="000966FD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24.918</w:t>
            </w:r>
          </w:p>
        </w:tc>
        <w:tc>
          <w:tcPr>
            <w:tcW w:w="1958" w:type="dxa"/>
            <w:shd w:val="clear" w:color="auto" w:fill="E7E6E6" w:themeFill="background2"/>
          </w:tcPr>
          <w:p w:rsidR="000966FD" w:rsidRPr="007B5C0F" w:rsidRDefault="000966FD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A57F5" w:rsidTr="00593A97">
        <w:tc>
          <w:tcPr>
            <w:tcW w:w="3397" w:type="dxa"/>
          </w:tcPr>
          <w:p w:rsidR="006A57F5" w:rsidRPr="007B5C0F" w:rsidRDefault="00B20545" w:rsidP="0022749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vlastní příjmy kraje</w:t>
            </w:r>
          </w:p>
        </w:tc>
        <w:tc>
          <w:tcPr>
            <w:tcW w:w="1843" w:type="dxa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1.008.505</w:t>
            </w:r>
          </w:p>
        </w:tc>
        <w:tc>
          <w:tcPr>
            <w:tcW w:w="1862" w:type="dxa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1.580.873</w:t>
            </w:r>
          </w:p>
        </w:tc>
        <w:tc>
          <w:tcPr>
            <w:tcW w:w="1958" w:type="dxa"/>
            <w:shd w:val="clear" w:color="auto" w:fill="E7E6E6" w:themeFill="background2"/>
          </w:tcPr>
          <w:p w:rsidR="006A57F5" w:rsidRPr="007B5C0F" w:rsidRDefault="00935201" w:rsidP="00B2054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B5C0F">
              <w:rPr>
                <w:rFonts w:ascii="Tahoma" w:hAnsi="Tahoma" w:cs="Tahoma"/>
                <w:sz w:val="20"/>
                <w:szCs w:val="20"/>
              </w:rPr>
              <w:t>398.39</w:t>
            </w:r>
            <w:r w:rsidR="00D966E4" w:rsidRPr="007B5C0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6A57F5" w:rsidTr="00593A97">
        <w:tc>
          <w:tcPr>
            <w:tcW w:w="3397" w:type="dxa"/>
          </w:tcPr>
          <w:p w:rsidR="006A57F5" w:rsidRPr="007B5C0F" w:rsidRDefault="00B20545" w:rsidP="0022749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="006A57F5"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elkem </w:t>
            </w:r>
          </w:p>
        </w:tc>
        <w:tc>
          <w:tcPr>
            <w:tcW w:w="1843" w:type="dxa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1.212.47</w:t>
            </w:r>
            <w:r w:rsidR="007B5C0F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2" w:type="dxa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1.749.172</w:t>
            </w:r>
          </w:p>
        </w:tc>
        <w:tc>
          <w:tcPr>
            <w:tcW w:w="1958" w:type="dxa"/>
            <w:shd w:val="clear" w:color="auto" w:fill="E7E6E6" w:themeFill="background2"/>
          </w:tcPr>
          <w:p w:rsidR="006A57F5" w:rsidRPr="007B5C0F" w:rsidRDefault="006A57F5" w:rsidP="00B2054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C0F">
              <w:rPr>
                <w:rFonts w:ascii="Tahoma" w:hAnsi="Tahoma" w:cs="Tahoma"/>
                <w:b/>
                <w:bCs/>
                <w:sz w:val="20"/>
                <w:szCs w:val="20"/>
              </w:rPr>
              <w:t>1.374.470</w:t>
            </w:r>
          </w:p>
        </w:tc>
      </w:tr>
      <w:bookmarkEnd w:id="0"/>
    </w:tbl>
    <w:p w:rsidR="006A57F5" w:rsidRPr="006F1B87" w:rsidRDefault="006A57F5" w:rsidP="00277C01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7B5C0F" w:rsidRDefault="007B5C0F" w:rsidP="002F7396">
      <w:pPr>
        <w:jc w:val="both"/>
        <w:rPr>
          <w:rFonts w:ascii="Tahoma" w:hAnsi="Tahoma" w:cs="Tahoma"/>
        </w:rPr>
      </w:pPr>
    </w:p>
    <w:p w:rsidR="002F7396" w:rsidRPr="002F7396" w:rsidRDefault="007B5C0F" w:rsidP="002F7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3 akcí se předpokládá v dalších letech spolufinancování z dotací. Jedná se v </w:t>
      </w:r>
      <w:r w:rsidR="002F7396" w:rsidRPr="00AD2A15">
        <w:rPr>
          <w:rFonts w:ascii="Tahoma" w:hAnsi="Tahoma" w:cs="Tahoma"/>
        </w:rPr>
        <w:t xml:space="preserve">odvětví dopravy a chytrého regionu </w:t>
      </w:r>
      <w:r>
        <w:rPr>
          <w:rFonts w:ascii="Tahoma" w:hAnsi="Tahoma" w:cs="Tahoma"/>
        </w:rPr>
        <w:t xml:space="preserve">o akci </w:t>
      </w:r>
      <w:r w:rsidR="002B009A" w:rsidRPr="00AD2A15">
        <w:rPr>
          <w:rFonts w:ascii="Tahoma" w:hAnsi="Tahoma" w:cs="Tahoma"/>
        </w:rPr>
        <w:t>„</w:t>
      </w:r>
      <w:r w:rsidR="002F7396" w:rsidRPr="00AD2A15">
        <w:rPr>
          <w:rFonts w:ascii="Tahoma" w:hAnsi="Tahoma" w:cs="Tahoma"/>
        </w:rPr>
        <w:t>Vysokorychlostní datová síť</w:t>
      </w:r>
      <w:r w:rsidR="002B009A" w:rsidRPr="00AD2A15">
        <w:rPr>
          <w:rFonts w:ascii="Tahoma" w:hAnsi="Tahoma" w:cs="Tahoma"/>
        </w:rPr>
        <w:t>“</w:t>
      </w:r>
      <w:r w:rsidR="00B72620" w:rsidRPr="00AD2A15">
        <w:rPr>
          <w:rFonts w:ascii="Tahoma" w:hAnsi="Tahoma" w:cs="Tahoma"/>
        </w:rPr>
        <w:t xml:space="preserve"> (</w:t>
      </w:r>
      <w:r w:rsidR="002B009A" w:rsidRPr="00AD2A15">
        <w:rPr>
          <w:rFonts w:ascii="Tahoma" w:hAnsi="Tahoma" w:cs="Tahoma"/>
        </w:rPr>
        <w:t>u </w:t>
      </w:r>
      <w:r w:rsidR="002F7396" w:rsidRPr="00AD2A15">
        <w:rPr>
          <w:rFonts w:ascii="Tahoma" w:hAnsi="Tahoma" w:cs="Tahoma"/>
        </w:rPr>
        <w:t>které Z</w:t>
      </w:r>
      <w:r w:rsidR="002B009A" w:rsidRPr="00AD2A15">
        <w:rPr>
          <w:rFonts w:ascii="Tahoma" w:hAnsi="Tahoma" w:cs="Tahoma"/>
        </w:rPr>
        <w:t>K</w:t>
      </w:r>
      <w:r w:rsidR="002F7396" w:rsidRPr="00AD2A15">
        <w:rPr>
          <w:rFonts w:ascii="Tahoma" w:hAnsi="Tahoma" w:cs="Tahoma"/>
        </w:rPr>
        <w:t xml:space="preserve"> schválil</w:t>
      </w:r>
      <w:r w:rsidR="002B009A" w:rsidRPr="00AD2A15">
        <w:rPr>
          <w:rFonts w:ascii="Tahoma" w:hAnsi="Tahoma" w:cs="Tahoma"/>
        </w:rPr>
        <w:t>o</w:t>
      </w:r>
      <w:r w:rsidR="002F7396" w:rsidRPr="00AD2A15">
        <w:rPr>
          <w:rFonts w:ascii="Tahoma" w:hAnsi="Tahoma" w:cs="Tahoma"/>
        </w:rPr>
        <w:t xml:space="preserve"> závazek financování pouze za před</w:t>
      </w:r>
      <w:r w:rsidR="002B009A" w:rsidRPr="00AD2A15">
        <w:rPr>
          <w:rFonts w:ascii="Tahoma" w:hAnsi="Tahoma" w:cs="Tahoma"/>
        </w:rPr>
        <w:t>po</w:t>
      </w:r>
      <w:r w:rsidR="002F7396" w:rsidRPr="00AD2A15">
        <w:rPr>
          <w:rFonts w:ascii="Tahoma" w:hAnsi="Tahoma" w:cs="Tahoma"/>
        </w:rPr>
        <w:t>kladu získání dot</w:t>
      </w:r>
      <w:bookmarkStart w:id="1" w:name="_GoBack"/>
      <w:bookmarkEnd w:id="1"/>
      <w:r w:rsidR="002F7396" w:rsidRPr="00AD2A15">
        <w:rPr>
          <w:rFonts w:ascii="Tahoma" w:hAnsi="Tahoma" w:cs="Tahoma"/>
        </w:rPr>
        <w:t>ací</w:t>
      </w:r>
      <w:r w:rsidR="00B72620" w:rsidRPr="00AD2A15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, je zařazena ve výši </w:t>
      </w:r>
      <w:proofErr w:type="gramStart"/>
      <w:r w:rsidR="002F7396" w:rsidRPr="00AD2A15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 </w:t>
      </w:r>
      <w:r w:rsidR="004379D7" w:rsidRPr="00AD2A15">
        <w:rPr>
          <w:rFonts w:ascii="Tahoma" w:hAnsi="Tahoma" w:cs="Tahoma"/>
        </w:rPr>
        <w:t>procentního</w:t>
      </w:r>
      <w:proofErr w:type="gramEnd"/>
      <w:r w:rsidR="004379D7" w:rsidRPr="00AD2A15">
        <w:rPr>
          <w:rFonts w:ascii="Tahoma" w:hAnsi="Tahoma" w:cs="Tahoma"/>
        </w:rPr>
        <w:t xml:space="preserve"> </w:t>
      </w:r>
      <w:r w:rsidR="002F7396" w:rsidRPr="00AD2A15">
        <w:rPr>
          <w:rFonts w:ascii="Tahoma" w:hAnsi="Tahoma" w:cs="Tahoma"/>
        </w:rPr>
        <w:t>podílu kraje.</w:t>
      </w:r>
      <w:r>
        <w:rPr>
          <w:rFonts w:ascii="Tahoma" w:hAnsi="Tahoma" w:cs="Tahoma"/>
        </w:rPr>
        <w:t xml:space="preserve"> </w:t>
      </w:r>
      <w:r w:rsidR="002F7396">
        <w:rPr>
          <w:rFonts w:ascii="Tahoma" w:hAnsi="Tahoma" w:cs="Tahoma"/>
        </w:rPr>
        <w:t xml:space="preserve">V odvětví kultury jsou zařazeny 2 významné investiční akce, a to </w:t>
      </w:r>
      <w:r w:rsidR="002F7396" w:rsidRPr="002F7396">
        <w:rPr>
          <w:rFonts w:ascii="Tahoma" w:hAnsi="Tahoma" w:cs="Tahoma"/>
        </w:rPr>
        <w:t>Novostavba Moravskoslezské vědecké knihovny</w:t>
      </w:r>
      <w:r w:rsidR="002B009A">
        <w:rPr>
          <w:rFonts w:ascii="Tahoma" w:hAnsi="Tahoma" w:cs="Tahoma"/>
        </w:rPr>
        <w:t xml:space="preserve"> </w:t>
      </w:r>
      <w:r w:rsidR="002F7396" w:rsidRPr="002F7396">
        <w:rPr>
          <w:rFonts w:ascii="Tahoma" w:hAnsi="Tahoma" w:cs="Tahoma"/>
        </w:rPr>
        <w:t xml:space="preserve">a Přístavba Domu umění </w:t>
      </w:r>
      <w:r w:rsidR="002B009A">
        <w:rPr>
          <w:rFonts w:ascii="Tahoma" w:hAnsi="Tahoma" w:cs="Tahoma"/>
        </w:rPr>
        <w:t xml:space="preserve">– </w:t>
      </w:r>
      <w:r w:rsidR="002F7396" w:rsidRPr="002F7396">
        <w:rPr>
          <w:rFonts w:ascii="Tahoma" w:hAnsi="Tahoma" w:cs="Tahoma"/>
        </w:rPr>
        <w:t xml:space="preserve">Galerie 21. století, </w:t>
      </w:r>
      <w:r>
        <w:rPr>
          <w:rFonts w:ascii="Tahoma" w:hAnsi="Tahoma" w:cs="Tahoma"/>
        </w:rPr>
        <w:t xml:space="preserve">ale </w:t>
      </w:r>
      <w:r w:rsidR="002F7396" w:rsidRPr="002F7396">
        <w:rPr>
          <w:rFonts w:ascii="Tahoma" w:hAnsi="Tahoma" w:cs="Tahoma"/>
        </w:rPr>
        <w:t xml:space="preserve">s předpokladem naplnění uzavřených memorand o financování s Ministerstvem kultury a </w:t>
      </w:r>
      <w:r w:rsidR="002B009A">
        <w:rPr>
          <w:rFonts w:ascii="Tahoma" w:hAnsi="Tahoma" w:cs="Tahoma"/>
        </w:rPr>
        <w:t xml:space="preserve">statutárním </w:t>
      </w:r>
      <w:r w:rsidR="002F7396" w:rsidRPr="002F7396">
        <w:rPr>
          <w:rFonts w:ascii="Tahoma" w:hAnsi="Tahoma" w:cs="Tahoma"/>
        </w:rPr>
        <w:t xml:space="preserve">městem Ostravou. </w:t>
      </w:r>
    </w:p>
    <w:p w:rsidR="002F7396" w:rsidRDefault="002F7396" w:rsidP="002F7396">
      <w:pPr>
        <w:jc w:val="both"/>
        <w:rPr>
          <w:rFonts w:ascii="Tahoma" w:hAnsi="Tahoma" w:cs="Tahoma"/>
        </w:rPr>
      </w:pPr>
    </w:p>
    <w:p w:rsidR="00C701CC" w:rsidRDefault="00C701CC" w:rsidP="00D141DD">
      <w:pPr>
        <w:jc w:val="both"/>
        <w:rPr>
          <w:rFonts w:ascii="Tahoma" w:hAnsi="Tahoma" w:cs="Tahoma"/>
        </w:rPr>
      </w:pPr>
    </w:p>
    <w:p w:rsidR="003209EE" w:rsidRDefault="003209EE" w:rsidP="003209EE">
      <w:pPr>
        <w:pStyle w:val="Bezmezer"/>
        <w:rPr>
          <w:rFonts w:cs="Tahoma"/>
          <w:szCs w:val="24"/>
        </w:rPr>
      </w:pPr>
      <w:r w:rsidRPr="0095700C">
        <w:rPr>
          <w:rFonts w:cs="Tahoma"/>
          <w:szCs w:val="24"/>
          <w:u w:val="single"/>
        </w:rPr>
        <w:t xml:space="preserve">Akce spolufinancované z evropských finančních zdrojů </w:t>
      </w:r>
      <w:r w:rsidRPr="0095700C">
        <w:rPr>
          <w:rFonts w:cs="Tahoma"/>
          <w:szCs w:val="24"/>
        </w:rPr>
        <w:t>–</w:t>
      </w:r>
      <w:r w:rsidR="007E4D1D">
        <w:rPr>
          <w:rFonts w:cs="Tahoma"/>
          <w:szCs w:val="24"/>
        </w:rPr>
        <w:t xml:space="preserve"> </w:t>
      </w:r>
      <w:r w:rsidR="006E2744">
        <w:rPr>
          <w:rFonts w:cs="Tahoma"/>
          <w:szCs w:val="24"/>
        </w:rPr>
        <w:t xml:space="preserve">pokles </w:t>
      </w:r>
      <w:r w:rsidRPr="0095700C">
        <w:rPr>
          <w:rFonts w:cs="Tahoma"/>
          <w:szCs w:val="24"/>
        </w:rPr>
        <w:t xml:space="preserve">o </w:t>
      </w:r>
      <w:r w:rsidR="006E2744">
        <w:rPr>
          <w:rFonts w:cs="Tahoma"/>
          <w:szCs w:val="24"/>
        </w:rPr>
        <w:t>35</w:t>
      </w:r>
      <w:r w:rsidRPr="003A2A66">
        <w:rPr>
          <w:rFonts w:cs="Tahoma"/>
          <w:szCs w:val="24"/>
        </w:rPr>
        <w:t xml:space="preserve"> %</w:t>
      </w:r>
    </w:p>
    <w:p w:rsidR="00CC59AD" w:rsidRDefault="00CC59AD" w:rsidP="00374105">
      <w:pPr>
        <w:pStyle w:val="Bezmezer"/>
        <w:rPr>
          <w:rFonts w:cs="Tahoma"/>
          <w:szCs w:val="24"/>
        </w:rPr>
      </w:pPr>
    </w:p>
    <w:p w:rsidR="00374105" w:rsidRPr="002B009A" w:rsidRDefault="00174C80" w:rsidP="006966FF">
      <w:pPr>
        <w:pStyle w:val="Bezmezer"/>
        <w:rPr>
          <w:rFonts w:cs="Tahoma"/>
          <w:szCs w:val="24"/>
        </w:rPr>
      </w:pPr>
      <w:r w:rsidRPr="002B009A">
        <w:rPr>
          <w:rFonts w:cs="Tahoma"/>
          <w:szCs w:val="24"/>
        </w:rPr>
        <w:t>V rámci programového období 2014</w:t>
      </w:r>
      <w:r w:rsidR="002B009A" w:rsidRPr="002B009A">
        <w:rPr>
          <w:rFonts w:cs="Tahoma"/>
          <w:szCs w:val="24"/>
        </w:rPr>
        <w:t> </w:t>
      </w:r>
      <w:r w:rsidR="002B009A" w:rsidRPr="002B009A">
        <w:rPr>
          <w:rFonts w:cs="Tahoma"/>
          <w:szCs w:val="24"/>
        </w:rPr>
        <w:noBreakHyphen/>
        <w:t> </w:t>
      </w:r>
      <w:r w:rsidRPr="002B009A">
        <w:rPr>
          <w:rFonts w:cs="Tahoma"/>
          <w:szCs w:val="24"/>
        </w:rPr>
        <w:t>2020 kraj realizuje nebo již i zrealizoval celkem 238 projektů v celkovém objemu 11.638 mil. Kč (</w:t>
      </w:r>
      <w:r w:rsidRPr="002B009A">
        <w:t>období realizace 2016</w:t>
      </w:r>
      <w:r w:rsidR="002B009A" w:rsidRPr="002B009A">
        <w:t> </w:t>
      </w:r>
      <w:r w:rsidR="002B009A" w:rsidRPr="002B009A">
        <w:noBreakHyphen/>
        <w:t> </w:t>
      </w:r>
      <w:r w:rsidRPr="002B009A">
        <w:t>2024). Dopad na rozpočet na rok 2021 bude mít 76 projektů v celkovém objemu 1.243 mil. Kč.</w:t>
      </w:r>
    </w:p>
    <w:p w:rsidR="00374105" w:rsidRPr="002B009A" w:rsidRDefault="00374105" w:rsidP="006966FF">
      <w:pPr>
        <w:pStyle w:val="Bezmezer"/>
        <w:rPr>
          <w:rFonts w:cs="Tahoma"/>
          <w:szCs w:val="24"/>
        </w:rPr>
      </w:pPr>
    </w:p>
    <w:p w:rsidR="000F475F" w:rsidRDefault="00A74D51" w:rsidP="000F475F">
      <w:pPr>
        <w:pStyle w:val="Bezmezer"/>
        <w:rPr>
          <w:rFonts w:cs="Tahoma"/>
          <w:szCs w:val="24"/>
        </w:rPr>
      </w:pPr>
      <w:r>
        <w:rPr>
          <w:rFonts w:cs="Tahoma"/>
          <w:szCs w:val="24"/>
        </w:rPr>
        <w:t xml:space="preserve">Dále budou na </w:t>
      </w:r>
      <w:r w:rsidR="003209EE" w:rsidRPr="0095700C">
        <w:rPr>
          <w:rFonts w:cs="Tahoma"/>
          <w:szCs w:val="24"/>
        </w:rPr>
        <w:t>přípravu, příp</w:t>
      </w:r>
      <w:r w:rsidR="003209EE" w:rsidRPr="00C56C35">
        <w:rPr>
          <w:rFonts w:cs="Tahoma"/>
          <w:szCs w:val="24"/>
        </w:rPr>
        <w:t xml:space="preserve">. realizaci dalších projektových námětů </w:t>
      </w:r>
      <w:r>
        <w:rPr>
          <w:rFonts w:cs="Tahoma"/>
          <w:szCs w:val="24"/>
        </w:rPr>
        <w:t>vyčleněny</w:t>
      </w:r>
      <w:r w:rsidR="003209EE" w:rsidRPr="00C56C35">
        <w:rPr>
          <w:rFonts w:cs="Tahoma"/>
          <w:szCs w:val="24"/>
        </w:rPr>
        <w:t xml:space="preserve"> finanční prostředky ve výši</w:t>
      </w:r>
      <w:r w:rsidR="00AB1729">
        <w:rPr>
          <w:rFonts w:cs="Tahoma"/>
          <w:szCs w:val="24"/>
        </w:rPr>
        <w:t> </w:t>
      </w:r>
      <w:r w:rsidR="006E2744">
        <w:rPr>
          <w:rFonts w:cs="Tahoma"/>
          <w:szCs w:val="24"/>
        </w:rPr>
        <w:t xml:space="preserve">30 </w:t>
      </w:r>
      <w:r w:rsidR="003209EE" w:rsidRPr="00C56C35">
        <w:rPr>
          <w:rFonts w:cs="Tahoma"/>
          <w:szCs w:val="24"/>
        </w:rPr>
        <w:t>mil.</w:t>
      </w:r>
      <w:r w:rsidR="00AB1729">
        <w:rPr>
          <w:rFonts w:cs="Tahoma"/>
          <w:szCs w:val="24"/>
        </w:rPr>
        <w:t> </w:t>
      </w:r>
      <w:r w:rsidR="003209EE" w:rsidRPr="00C56C35">
        <w:rPr>
          <w:rFonts w:cs="Tahoma"/>
          <w:szCs w:val="24"/>
        </w:rPr>
        <w:t>Kč a pro</w:t>
      </w:r>
      <w:r w:rsidR="00AD2A15">
        <w:rPr>
          <w:rFonts w:cs="Tahoma"/>
          <w:szCs w:val="24"/>
        </w:rPr>
        <w:t xml:space="preserve"> příspěvkovou organizaci</w:t>
      </w:r>
      <w:r w:rsidR="003209EE" w:rsidRPr="00C56C35">
        <w:rPr>
          <w:rFonts w:cs="Tahoma"/>
          <w:szCs w:val="24"/>
        </w:rPr>
        <w:t xml:space="preserve"> Správ</w:t>
      </w:r>
      <w:r w:rsidR="00AD2A15">
        <w:rPr>
          <w:rFonts w:cs="Tahoma"/>
          <w:szCs w:val="24"/>
        </w:rPr>
        <w:t>a</w:t>
      </w:r>
      <w:r w:rsidR="003209EE" w:rsidRPr="00C56C35">
        <w:rPr>
          <w:rFonts w:cs="Tahoma"/>
          <w:szCs w:val="24"/>
        </w:rPr>
        <w:t xml:space="preserve"> silnic MSK ve výši </w:t>
      </w:r>
      <w:r w:rsidR="006E2744">
        <w:rPr>
          <w:rFonts w:cs="Tahoma"/>
          <w:szCs w:val="24"/>
        </w:rPr>
        <w:t>29</w:t>
      </w:r>
      <w:r w:rsidR="003209EE" w:rsidRPr="00C56C35">
        <w:rPr>
          <w:rFonts w:cs="Tahoma"/>
          <w:szCs w:val="24"/>
        </w:rPr>
        <w:t> mil. Kč.</w:t>
      </w:r>
      <w:r w:rsidR="00AD2A15">
        <w:rPr>
          <w:rFonts w:cs="Tahoma"/>
          <w:szCs w:val="24"/>
        </w:rPr>
        <w:t xml:space="preserve"> Prostředky </w:t>
      </w:r>
      <w:r w:rsidR="000F475F">
        <w:rPr>
          <w:rFonts w:cs="Tahoma"/>
          <w:szCs w:val="24"/>
        </w:rPr>
        <w:t>zajistí možnost p</w:t>
      </w:r>
      <w:r w:rsidR="00AD2A15">
        <w:rPr>
          <w:rFonts w:cs="Tahoma"/>
          <w:szCs w:val="24"/>
        </w:rPr>
        <w:t>ř</w:t>
      </w:r>
      <w:r w:rsidR="000F475F">
        <w:rPr>
          <w:rFonts w:cs="Tahoma"/>
          <w:szCs w:val="24"/>
        </w:rPr>
        <w:t>i</w:t>
      </w:r>
      <w:r w:rsidR="00AD2A15">
        <w:rPr>
          <w:rFonts w:cs="Tahoma"/>
          <w:szCs w:val="24"/>
        </w:rPr>
        <w:t>prav</w:t>
      </w:r>
      <w:r w:rsidR="000F475F">
        <w:rPr>
          <w:rFonts w:cs="Tahoma"/>
          <w:szCs w:val="24"/>
        </w:rPr>
        <w:t>ovat</w:t>
      </w:r>
      <w:r w:rsidR="00AD2A15">
        <w:rPr>
          <w:rFonts w:cs="Tahoma"/>
          <w:szCs w:val="24"/>
        </w:rPr>
        <w:t xml:space="preserve"> projekt</w:t>
      </w:r>
      <w:r w:rsidR="000F475F">
        <w:rPr>
          <w:rFonts w:cs="Tahoma"/>
          <w:szCs w:val="24"/>
        </w:rPr>
        <w:t>y</w:t>
      </w:r>
      <w:r w:rsidR="00AD2A15">
        <w:rPr>
          <w:rFonts w:cs="Tahoma"/>
          <w:szCs w:val="24"/>
        </w:rPr>
        <w:t xml:space="preserve"> v rámci končícího programového období</w:t>
      </w:r>
      <w:r w:rsidR="000F475F">
        <w:rPr>
          <w:rFonts w:cs="Tahoma"/>
          <w:szCs w:val="24"/>
        </w:rPr>
        <w:t xml:space="preserve">. Ale rovněž umožní </w:t>
      </w:r>
      <w:r w:rsidR="000F475F">
        <w:rPr>
          <w:rFonts w:cs="Tahoma"/>
        </w:rPr>
        <w:t>kraji se připravovat pro nadcházející programovém období a využít další příležitosti, které se mu nabízí zejména např.</w:t>
      </w:r>
      <w:r w:rsidR="00EB3ED7">
        <w:rPr>
          <w:rFonts w:cs="Tahoma"/>
        </w:rPr>
        <w:t> </w:t>
      </w:r>
      <w:r w:rsidR="000F475F">
        <w:rPr>
          <w:rFonts w:cs="Tahoma"/>
        </w:rPr>
        <w:t>v</w:t>
      </w:r>
      <w:r w:rsidR="00EB3ED7">
        <w:rPr>
          <w:rFonts w:cs="Tahoma"/>
        </w:rPr>
        <w:t> </w:t>
      </w:r>
      <w:r w:rsidR="000F475F">
        <w:rPr>
          <w:rFonts w:cs="Tahoma"/>
        </w:rPr>
        <w:t>kontextu členství v Evropské platformě pro uhelné regiony v transformaci. </w:t>
      </w:r>
    </w:p>
    <w:p w:rsidR="000F475F" w:rsidRPr="00C56C35" w:rsidRDefault="000F475F" w:rsidP="006966FF">
      <w:pPr>
        <w:pStyle w:val="Bezmezer"/>
        <w:rPr>
          <w:rFonts w:cs="Tahoma"/>
          <w:szCs w:val="24"/>
        </w:rPr>
      </w:pPr>
    </w:p>
    <w:p w:rsidR="006E2744" w:rsidRPr="002B009A" w:rsidRDefault="00174C80" w:rsidP="003209EE">
      <w:pPr>
        <w:pStyle w:val="Bezmezer"/>
        <w:rPr>
          <w:rFonts w:cs="Tahoma"/>
          <w:szCs w:val="24"/>
        </w:rPr>
      </w:pPr>
      <w:r w:rsidRPr="002B009A">
        <w:rPr>
          <w:rFonts w:cs="Tahoma"/>
          <w:szCs w:val="24"/>
        </w:rPr>
        <w:t>Na doplacení 3. kola tzv. kotlíkových dotací je vyčleněna v roce 2021 částka ve výši 18 mil. Kč a 9 mil. Kč v letech 2022 a 2023. Další vyplácení již bude pokračovat v rámci dotačního programu mimo prostředky EU.</w:t>
      </w:r>
    </w:p>
    <w:p w:rsidR="00AD2A15" w:rsidRDefault="00AD2A15">
      <w:pPr>
        <w:rPr>
          <w:rFonts w:ascii="Tahoma" w:eastAsia="Calibri" w:hAnsi="Tahoma" w:cs="Tahoma"/>
          <w:highlight w:val="yellow"/>
          <w:lang w:eastAsia="en-US"/>
        </w:rPr>
      </w:pPr>
      <w:r>
        <w:rPr>
          <w:rFonts w:cs="Tahoma"/>
          <w:highlight w:val="yellow"/>
        </w:rPr>
        <w:br w:type="page"/>
      </w:r>
    </w:p>
    <w:p w:rsidR="00374105" w:rsidRDefault="00374105" w:rsidP="003209EE">
      <w:pPr>
        <w:pStyle w:val="Bezmezer"/>
        <w:rPr>
          <w:rFonts w:cs="Tahoma"/>
          <w:b/>
          <w:szCs w:val="24"/>
        </w:rPr>
      </w:pPr>
      <w:r w:rsidRPr="00DC7DCC">
        <w:rPr>
          <w:rFonts w:cs="Tahoma"/>
          <w:szCs w:val="24"/>
          <w:u w:val="single"/>
        </w:rPr>
        <w:lastRenderedPageBreak/>
        <w:t>VÝDAJE dle odvětvového třídění</w:t>
      </w:r>
    </w:p>
    <w:p w:rsidR="00374105" w:rsidRDefault="00374105" w:rsidP="003209EE">
      <w:pPr>
        <w:pStyle w:val="Bezmezer"/>
        <w:rPr>
          <w:rFonts w:cs="Tahoma"/>
          <w:b/>
          <w:szCs w:val="24"/>
        </w:rPr>
      </w:pPr>
    </w:p>
    <w:p w:rsidR="00AD2A15" w:rsidRDefault="00AD2A15" w:rsidP="00AD2A15">
      <w:pPr>
        <w:jc w:val="both"/>
        <w:rPr>
          <w:rFonts w:cs="Tahoma"/>
          <w:b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t>4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</w:t>
      </w:r>
      <w:r w:rsidRPr="006F1B87">
        <w:rPr>
          <w:rFonts w:ascii="Tahoma" w:eastAsia="Calibri" w:hAnsi="Tahoma" w:cs="Tahoma"/>
          <w:sz w:val="20"/>
          <w:szCs w:val="20"/>
          <w:lang w:eastAsia="en-US"/>
        </w:rPr>
        <w:t>dle odvětví (v tis. Kč)</w:t>
      </w:r>
    </w:p>
    <w:p w:rsidR="00374105" w:rsidRDefault="002B009A" w:rsidP="003209EE">
      <w:pPr>
        <w:pStyle w:val="Bezmezer"/>
        <w:rPr>
          <w:rFonts w:cs="Tahoma"/>
          <w:b/>
          <w:szCs w:val="24"/>
        </w:rPr>
      </w:pPr>
      <w:r w:rsidRPr="002B009A">
        <w:rPr>
          <w:noProof/>
        </w:rPr>
        <w:drawing>
          <wp:inline distT="0" distB="0" distL="0" distR="0">
            <wp:extent cx="4657725" cy="3101826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336" cy="312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9A" w:rsidRDefault="002B009A" w:rsidP="003209EE">
      <w:pPr>
        <w:pStyle w:val="Bezmezer"/>
        <w:rPr>
          <w:rFonts w:cs="Tahoma"/>
          <w:b/>
          <w:szCs w:val="24"/>
        </w:rPr>
      </w:pPr>
    </w:p>
    <w:p w:rsidR="002B009A" w:rsidRDefault="002B009A" w:rsidP="003209EE">
      <w:pPr>
        <w:pStyle w:val="Bezmezer"/>
        <w:rPr>
          <w:rFonts w:cs="Tahoma"/>
          <w:b/>
          <w:szCs w:val="24"/>
        </w:rPr>
      </w:pPr>
    </w:p>
    <w:p w:rsidR="003209EE" w:rsidRPr="00074940" w:rsidRDefault="003209EE" w:rsidP="003209EE">
      <w:pPr>
        <w:jc w:val="both"/>
        <w:rPr>
          <w:rFonts w:ascii="Tahoma" w:hAnsi="Tahoma" w:cs="Tahoma"/>
          <w:b/>
        </w:rPr>
      </w:pPr>
      <w:r w:rsidRPr="00074940">
        <w:rPr>
          <w:rFonts w:ascii="Tahoma" w:hAnsi="Tahoma" w:cs="Tahoma"/>
          <w:b/>
        </w:rPr>
        <w:t>Zajištění FINANCOVÁNÍ</w:t>
      </w:r>
    </w:p>
    <w:p w:rsidR="003209EE" w:rsidRPr="00074940" w:rsidRDefault="003209EE" w:rsidP="003209EE">
      <w:pPr>
        <w:pStyle w:val="Bezmezer"/>
        <w:rPr>
          <w:rFonts w:cs="Tahoma"/>
          <w:szCs w:val="24"/>
        </w:rPr>
      </w:pPr>
    </w:p>
    <w:p w:rsidR="003209EE" w:rsidRPr="00074940" w:rsidRDefault="003209EE" w:rsidP="003209EE">
      <w:pPr>
        <w:pStyle w:val="Bezmezer"/>
        <w:rPr>
          <w:rFonts w:cs="Tahoma"/>
          <w:szCs w:val="24"/>
          <w:u w:val="single"/>
        </w:rPr>
      </w:pPr>
      <w:r w:rsidRPr="00074940">
        <w:rPr>
          <w:rFonts w:cs="Tahoma"/>
          <w:szCs w:val="24"/>
          <w:u w:val="single"/>
        </w:rPr>
        <w:t>Čerpání úvěrů</w:t>
      </w:r>
    </w:p>
    <w:p w:rsidR="00374105" w:rsidRPr="00074940" w:rsidRDefault="00786C80" w:rsidP="00786C80">
      <w:pPr>
        <w:pStyle w:val="Bezmezer"/>
        <w:rPr>
          <w:rFonts w:cs="Tahoma"/>
          <w:b/>
          <w:szCs w:val="24"/>
        </w:rPr>
      </w:pPr>
      <w:r w:rsidRPr="00074940">
        <w:rPr>
          <w:rFonts w:cs="Tahoma"/>
          <w:b/>
          <w:szCs w:val="24"/>
        </w:rPr>
        <w:t>V</w:t>
      </w:r>
      <w:r w:rsidR="00717947" w:rsidRPr="00074940">
        <w:rPr>
          <w:rFonts w:cs="Tahoma"/>
          <w:b/>
          <w:szCs w:val="24"/>
        </w:rPr>
        <w:t xml:space="preserve"> rámci základních parametrů </w:t>
      </w:r>
      <w:r w:rsidRPr="00074940">
        <w:rPr>
          <w:rFonts w:cs="Tahoma"/>
          <w:b/>
          <w:szCs w:val="24"/>
        </w:rPr>
        <w:t xml:space="preserve">je </w:t>
      </w:r>
      <w:r w:rsidR="00A74D51" w:rsidRPr="00074940">
        <w:rPr>
          <w:rFonts w:cs="Tahoma"/>
          <w:b/>
          <w:szCs w:val="24"/>
        </w:rPr>
        <w:t xml:space="preserve">navrženo </w:t>
      </w:r>
      <w:r w:rsidRPr="00074940">
        <w:rPr>
          <w:rFonts w:cs="Tahoma"/>
          <w:b/>
          <w:szCs w:val="24"/>
        </w:rPr>
        <w:t>v roce 20</w:t>
      </w:r>
      <w:r w:rsidR="00374105" w:rsidRPr="00074940">
        <w:rPr>
          <w:rFonts w:cs="Tahoma"/>
          <w:b/>
          <w:szCs w:val="24"/>
        </w:rPr>
        <w:t>21</w:t>
      </w:r>
      <w:r w:rsidRPr="00074940">
        <w:rPr>
          <w:rFonts w:cs="Tahoma"/>
          <w:b/>
          <w:szCs w:val="24"/>
        </w:rPr>
        <w:t xml:space="preserve"> </w:t>
      </w:r>
      <w:r w:rsidR="00374105" w:rsidRPr="00074940">
        <w:rPr>
          <w:rFonts w:cs="Tahoma"/>
          <w:b/>
          <w:szCs w:val="24"/>
        </w:rPr>
        <w:t xml:space="preserve">zapojit nový </w:t>
      </w:r>
      <w:r w:rsidRPr="00074940">
        <w:rPr>
          <w:rFonts w:cs="Tahoma"/>
          <w:b/>
          <w:szCs w:val="24"/>
        </w:rPr>
        <w:t>úvěr</w:t>
      </w:r>
      <w:r w:rsidR="00374105" w:rsidRPr="00074940">
        <w:rPr>
          <w:rFonts w:cs="Tahoma"/>
          <w:b/>
          <w:szCs w:val="24"/>
        </w:rPr>
        <w:t>.</w:t>
      </w:r>
    </w:p>
    <w:p w:rsidR="00297FFC" w:rsidRPr="00074940" w:rsidRDefault="00297FFC" w:rsidP="00786C80">
      <w:pPr>
        <w:pStyle w:val="Bezmezer"/>
        <w:rPr>
          <w:rFonts w:cs="Tahoma"/>
          <w:szCs w:val="24"/>
        </w:rPr>
      </w:pPr>
    </w:p>
    <w:p w:rsidR="00374105" w:rsidRPr="00074940" w:rsidRDefault="00297FFC" w:rsidP="00786C80">
      <w:pPr>
        <w:pStyle w:val="Bezmezer"/>
        <w:rPr>
          <w:rFonts w:cs="Tahoma"/>
          <w:szCs w:val="24"/>
        </w:rPr>
      </w:pPr>
      <w:r w:rsidRPr="00074940">
        <w:rPr>
          <w:rFonts w:cs="Tahoma"/>
          <w:szCs w:val="24"/>
        </w:rPr>
        <w:t>NOVÝ ÚVĚR</w:t>
      </w:r>
    </w:p>
    <w:p w:rsidR="00786C80" w:rsidRPr="00074940" w:rsidRDefault="009E6AFC" w:rsidP="00786C80">
      <w:pPr>
        <w:pStyle w:val="Bezmezer"/>
        <w:rPr>
          <w:rFonts w:cs="Tahoma"/>
          <w:szCs w:val="24"/>
        </w:rPr>
      </w:pPr>
      <w:r w:rsidRPr="00074940">
        <w:rPr>
          <w:rFonts w:cs="Tahoma"/>
          <w:szCs w:val="24"/>
        </w:rPr>
        <w:t>Pro rok 2021 je n</w:t>
      </w:r>
      <w:r w:rsidR="00786C80" w:rsidRPr="00074940">
        <w:rPr>
          <w:rFonts w:cs="Tahoma"/>
          <w:szCs w:val="24"/>
        </w:rPr>
        <w:t>avrženo</w:t>
      </w:r>
      <w:r w:rsidRPr="00074940">
        <w:rPr>
          <w:rFonts w:cs="Tahoma"/>
          <w:szCs w:val="24"/>
        </w:rPr>
        <w:t xml:space="preserve"> je</w:t>
      </w:r>
      <w:r w:rsidR="000A69DC" w:rsidRPr="00074940">
        <w:rPr>
          <w:rFonts w:cs="Tahoma"/>
          <w:szCs w:val="24"/>
        </w:rPr>
        <w:t>j</w:t>
      </w:r>
      <w:r w:rsidRPr="00074940">
        <w:rPr>
          <w:rFonts w:cs="Tahoma"/>
          <w:szCs w:val="24"/>
        </w:rPr>
        <w:t xml:space="preserve"> použít na úhradu</w:t>
      </w:r>
      <w:r w:rsidR="00786C80" w:rsidRPr="00074940">
        <w:rPr>
          <w:rFonts w:cs="Tahoma"/>
          <w:szCs w:val="24"/>
        </w:rPr>
        <w:t>:</w:t>
      </w:r>
    </w:p>
    <w:p w:rsidR="00786C80" w:rsidRPr="00074940" w:rsidRDefault="00786C80" w:rsidP="004E6509">
      <w:pPr>
        <w:pStyle w:val="Bezmezer"/>
        <w:numPr>
          <w:ilvl w:val="0"/>
          <w:numId w:val="36"/>
        </w:numPr>
        <w:tabs>
          <w:tab w:val="right" w:pos="8364"/>
        </w:tabs>
        <w:ind w:right="-995"/>
        <w:rPr>
          <w:rFonts w:cs="Tahoma"/>
          <w:szCs w:val="24"/>
        </w:rPr>
      </w:pPr>
      <w:r w:rsidRPr="00074940">
        <w:rPr>
          <w:rFonts w:cs="Tahoma"/>
          <w:szCs w:val="24"/>
        </w:rPr>
        <w:t xml:space="preserve">akcí </w:t>
      </w:r>
      <w:r w:rsidR="009E6AFC" w:rsidRPr="00074940">
        <w:rPr>
          <w:rFonts w:cs="Tahoma"/>
          <w:szCs w:val="24"/>
        </w:rPr>
        <w:t>reprodukce majetku kraje</w:t>
      </w:r>
      <w:r w:rsidRPr="00074940">
        <w:rPr>
          <w:rFonts w:cs="Tahoma"/>
          <w:szCs w:val="24"/>
        </w:rPr>
        <w:t xml:space="preserve"> </w:t>
      </w:r>
      <w:r w:rsidRPr="00074940">
        <w:rPr>
          <w:rFonts w:cs="Tahoma"/>
          <w:szCs w:val="24"/>
        </w:rPr>
        <w:tab/>
        <w:t>7</w:t>
      </w:r>
      <w:r w:rsidR="002B009A">
        <w:rPr>
          <w:rFonts w:cs="Tahoma"/>
          <w:szCs w:val="24"/>
        </w:rPr>
        <w:t>80</w:t>
      </w:r>
      <w:r w:rsidRPr="00074940">
        <w:rPr>
          <w:rFonts w:cs="Tahoma"/>
          <w:szCs w:val="24"/>
        </w:rPr>
        <w:t xml:space="preserve"> mil. Kč</w:t>
      </w:r>
    </w:p>
    <w:p w:rsidR="00786C80" w:rsidRPr="00074940" w:rsidRDefault="00786C80" w:rsidP="004E6509">
      <w:pPr>
        <w:pStyle w:val="Bezmezer"/>
        <w:numPr>
          <w:ilvl w:val="0"/>
          <w:numId w:val="36"/>
        </w:numPr>
        <w:tabs>
          <w:tab w:val="right" w:pos="8364"/>
        </w:tabs>
        <w:rPr>
          <w:rFonts w:cs="Tahoma"/>
          <w:szCs w:val="24"/>
        </w:rPr>
      </w:pPr>
      <w:r w:rsidRPr="00074940">
        <w:rPr>
          <w:rFonts w:cs="Tahoma"/>
          <w:szCs w:val="24"/>
        </w:rPr>
        <w:t xml:space="preserve">vlastního podílu u akcí </w:t>
      </w:r>
      <w:proofErr w:type="spellStart"/>
      <w:r w:rsidRPr="00074940">
        <w:rPr>
          <w:rFonts w:cs="Tahoma"/>
          <w:szCs w:val="24"/>
        </w:rPr>
        <w:t>spolufin</w:t>
      </w:r>
      <w:proofErr w:type="spellEnd"/>
      <w:r w:rsidRPr="00074940">
        <w:rPr>
          <w:rFonts w:cs="Tahoma"/>
          <w:szCs w:val="24"/>
        </w:rPr>
        <w:t xml:space="preserve">. z evropských zdrojů </w:t>
      </w:r>
      <w:r w:rsidRPr="00074940">
        <w:rPr>
          <w:rFonts w:cs="Tahoma"/>
          <w:szCs w:val="24"/>
        </w:rPr>
        <w:tab/>
      </w:r>
      <w:r w:rsidR="009E6AFC" w:rsidRPr="00074940">
        <w:rPr>
          <w:rFonts w:cs="Tahoma"/>
          <w:szCs w:val="24"/>
        </w:rPr>
        <w:t>113</w:t>
      </w:r>
      <w:r w:rsidRPr="00074940">
        <w:rPr>
          <w:rFonts w:cs="Tahoma"/>
          <w:szCs w:val="24"/>
        </w:rPr>
        <w:t xml:space="preserve"> mil. Kč</w:t>
      </w:r>
    </w:p>
    <w:p w:rsidR="00CF07E1" w:rsidRPr="00074940" w:rsidRDefault="00CF07E1" w:rsidP="003209EE">
      <w:pPr>
        <w:pStyle w:val="Bezmezer"/>
        <w:rPr>
          <w:rFonts w:cs="Tahoma"/>
          <w:szCs w:val="24"/>
          <w:u w:val="single"/>
        </w:rPr>
      </w:pPr>
    </w:p>
    <w:p w:rsidR="009E6AFC" w:rsidRPr="00074940" w:rsidRDefault="009E6AFC" w:rsidP="009E6AFC">
      <w:pPr>
        <w:pStyle w:val="Bezmezer"/>
        <w:rPr>
          <w:rFonts w:cs="Tahoma"/>
          <w:b/>
          <w:szCs w:val="24"/>
        </w:rPr>
      </w:pPr>
      <w:r w:rsidRPr="00074940">
        <w:rPr>
          <w:rFonts w:cs="Tahoma"/>
          <w:bCs/>
          <w:szCs w:val="24"/>
        </w:rPr>
        <w:t>Dále bude max</w:t>
      </w:r>
      <w:r w:rsidR="002B009A">
        <w:rPr>
          <w:rFonts w:cs="Tahoma"/>
          <w:bCs/>
          <w:szCs w:val="24"/>
        </w:rPr>
        <w:t>imálně</w:t>
      </w:r>
      <w:r w:rsidRPr="00074940">
        <w:rPr>
          <w:rFonts w:cs="Tahoma"/>
          <w:bCs/>
          <w:szCs w:val="24"/>
        </w:rPr>
        <w:t xml:space="preserve"> využit nasmlouvaný úvěr</w:t>
      </w:r>
      <w:r w:rsidR="000A69DC" w:rsidRPr="00074940">
        <w:rPr>
          <w:rFonts w:cs="Tahoma"/>
          <w:bCs/>
          <w:szCs w:val="24"/>
        </w:rPr>
        <w:t>ový rámec</w:t>
      </w:r>
      <w:r w:rsidRPr="00074940">
        <w:rPr>
          <w:rFonts w:cs="Tahoma"/>
          <w:bCs/>
          <w:szCs w:val="24"/>
        </w:rPr>
        <w:t xml:space="preserve"> od</w:t>
      </w:r>
      <w:r w:rsidRPr="00074940">
        <w:rPr>
          <w:rFonts w:cs="Tahoma"/>
          <w:b/>
          <w:szCs w:val="24"/>
        </w:rPr>
        <w:t xml:space="preserve"> </w:t>
      </w:r>
      <w:proofErr w:type="spellStart"/>
      <w:r w:rsidRPr="00074940">
        <w:t>UniCredit</w:t>
      </w:r>
      <w:proofErr w:type="spellEnd"/>
      <w:r w:rsidRPr="00074940">
        <w:t xml:space="preserve"> </w:t>
      </w:r>
      <w:r w:rsidRPr="00074940">
        <w:rPr>
          <w:rFonts w:cs="Tahoma"/>
          <w:szCs w:val="24"/>
        </w:rPr>
        <w:t>Bank Czech Republic and Slovakia,</w:t>
      </w:r>
      <w:r w:rsidRPr="00074940">
        <w:t xml:space="preserve"> a.s. </w:t>
      </w:r>
      <w:r w:rsidR="004E6509" w:rsidRPr="00074940">
        <w:t xml:space="preserve">(dále jen UCB) </w:t>
      </w:r>
      <w:r w:rsidR="000A69DC" w:rsidRPr="00074940">
        <w:t>v objemu</w:t>
      </w:r>
      <w:r w:rsidRPr="00074940">
        <w:t xml:space="preserve"> 1 mld. Kč.</w:t>
      </w:r>
    </w:p>
    <w:p w:rsidR="009E6AFC" w:rsidRPr="00074940" w:rsidRDefault="009E6AFC" w:rsidP="009E6AFC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074940">
        <w:t xml:space="preserve">Pro rok 2021 je navržena </w:t>
      </w:r>
      <w:r w:rsidRPr="00074940">
        <w:rPr>
          <w:rFonts w:hint="eastAsia"/>
        </w:rPr>
        <w:t>čá</w:t>
      </w:r>
      <w:r w:rsidRPr="00074940">
        <w:t xml:space="preserve">stka </w:t>
      </w:r>
      <w:r w:rsidRPr="00074940">
        <w:rPr>
          <w:rFonts w:hint="eastAsia"/>
        </w:rPr>
        <w:t>č</w:t>
      </w:r>
      <w:r w:rsidRPr="00074940">
        <w:t xml:space="preserve">erpání </w:t>
      </w:r>
      <w:r w:rsidR="000A69DC" w:rsidRPr="00074940">
        <w:t xml:space="preserve">tohoto </w:t>
      </w:r>
      <w:r w:rsidRPr="00074940">
        <w:t>úv</w:t>
      </w:r>
      <w:r w:rsidRPr="00074940">
        <w:rPr>
          <w:rFonts w:hint="eastAsia"/>
        </w:rPr>
        <w:t>ě</w:t>
      </w:r>
      <w:r w:rsidRPr="00074940">
        <w:t>ru ve výši 9</w:t>
      </w:r>
      <w:r w:rsidR="0062440B">
        <w:t>10</w:t>
      </w:r>
      <w:r w:rsidRPr="00074940">
        <w:t xml:space="preserve"> mil. K</w:t>
      </w:r>
      <w:r w:rsidRPr="00074940">
        <w:rPr>
          <w:rFonts w:hint="eastAsia"/>
        </w:rPr>
        <w:t>č</w:t>
      </w:r>
      <w:r w:rsidRPr="00074940">
        <w:t xml:space="preserve"> (úv</w:t>
      </w:r>
      <w:r w:rsidRPr="00074940">
        <w:rPr>
          <w:rFonts w:hint="eastAsia"/>
        </w:rPr>
        <w:t>ě</w:t>
      </w:r>
      <w:r w:rsidRPr="00074940">
        <w:t xml:space="preserve">r je možné průběžně </w:t>
      </w:r>
      <w:r w:rsidRPr="00074940">
        <w:rPr>
          <w:rFonts w:hint="eastAsia"/>
        </w:rPr>
        <w:t>č</w:t>
      </w:r>
      <w:r w:rsidRPr="00074940">
        <w:t xml:space="preserve">erpat do roku 2023, k úplnému splacení musí dojít do konce roku 2024) </w:t>
      </w:r>
      <w:r w:rsidRPr="00074940">
        <w:rPr>
          <w:rFonts w:cs="Tahoma"/>
          <w:szCs w:val="24"/>
        </w:rPr>
        <w:t>za tímto účelem:</w:t>
      </w:r>
    </w:p>
    <w:p w:rsidR="009E6AFC" w:rsidRPr="00074940" w:rsidRDefault="009E6AFC" w:rsidP="004E6509">
      <w:pPr>
        <w:pStyle w:val="Bezmezer"/>
        <w:numPr>
          <w:ilvl w:val="0"/>
          <w:numId w:val="35"/>
        </w:numPr>
        <w:shd w:val="clear" w:color="auto" w:fill="FFFFFF" w:themeFill="background1"/>
        <w:tabs>
          <w:tab w:val="right" w:pos="8364"/>
        </w:tabs>
        <w:ind w:right="-995"/>
        <w:rPr>
          <w:rFonts w:cs="Tahoma"/>
          <w:szCs w:val="24"/>
        </w:rPr>
      </w:pPr>
      <w:proofErr w:type="spellStart"/>
      <w:r w:rsidRPr="00074940">
        <w:rPr>
          <w:rFonts w:cs="Tahoma"/>
          <w:szCs w:val="24"/>
        </w:rPr>
        <w:t>předfinan</w:t>
      </w:r>
      <w:proofErr w:type="spellEnd"/>
      <w:r w:rsidRPr="00074940">
        <w:rPr>
          <w:rFonts w:cs="Tahoma"/>
          <w:szCs w:val="24"/>
        </w:rPr>
        <w:t xml:space="preserve">. podílu EU u akcí </w:t>
      </w:r>
      <w:proofErr w:type="spellStart"/>
      <w:r w:rsidRPr="00074940">
        <w:rPr>
          <w:rFonts w:cs="Tahoma"/>
          <w:szCs w:val="24"/>
        </w:rPr>
        <w:t>spolufin</w:t>
      </w:r>
      <w:proofErr w:type="spellEnd"/>
      <w:r w:rsidRPr="00074940">
        <w:rPr>
          <w:rFonts w:cs="Tahoma"/>
          <w:szCs w:val="24"/>
        </w:rPr>
        <w:t xml:space="preserve">. z evropských zdrojů </w:t>
      </w:r>
      <w:r w:rsidRPr="00074940">
        <w:rPr>
          <w:rFonts w:cs="Tahoma"/>
          <w:szCs w:val="24"/>
        </w:rPr>
        <w:tab/>
        <w:t>5</w:t>
      </w:r>
      <w:r w:rsidR="0062440B">
        <w:rPr>
          <w:rFonts w:cs="Tahoma"/>
          <w:szCs w:val="24"/>
        </w:rPr>
        <w:t>54</w:t>
      </w:r>
      <w:r w:rsidRPr="00074940">
        <w:rPr>
          <w:rFonts w:cs="Tahoma"/>
          <w:szCs w:val="24"/>
        </w:rPr>
        <w:t xml:space="preserve"> mil. Kč</w:t>
      </w:r>
    </w:p>
    <w:p w:rsidR="009E6AFC" w:rsidRPr="00074940" w:rsidRDefault="009E6AFC" w:rsidP="004E6509">
      <w:pPr>
        <w:pStyle w:val="Bezmezer"/>
        <w:numPr>
          <w:ilvl w:val="0"/>
          <w:numId w:val="35"/>
        </w:numPr>
        <w:shd w:val="clear" w:color="auto" w:fill="FFFFFF" w:themeFill="background1"/>
        <w:tabs>
          <w:tab w:val="right" w:pos="8364"/>
        </w:tabs>
        <w:rPr>
          <w:rFonts w:cs="Tahoma"/>
          <w:szCs w:val="24"/>
        </w:rPr>
      </w:pPr>
      <w:proofErr w:type="spellStart"/>
      <w:r w:rsidRPr="00074940">
        <w:rPr>
          <w:rFonts w:cs="Tahoma"/>
          <w:szCs w:val="24"/>
        </w:rPr>
        <w:t>předfinan</w:t>
      </w:r>
      <w:proofErr w:type="spellEnd"/>
      <w:r w:rsidRPr="00074940">
        <w:rPr>
          <w:rFonts w:cs="Tahoma"/>
          <w:szCs w:val="24"/>
        </w:rPr>
        <w:t xml:space="preserve">. podílu EU u akcí PO </w:t>
      </w:r>
      <w:proofErr w:type="spellStart"/>
      <w:r w:rsidRPr="00074940">
        <w:rPr>
          <w:rFonts w:cs="Tahoma"/>
          <w:szCs w:val="24"/>
        </w:rPr>
        <w:t>spolufin</w:t>
      </w:r>
      <w:proofErr w:type="spellEnd"/>
      <w:r w:rsidRPr="00074940">
        <w:rPr>
          <w:rFonts w:cs="Tahoma"/>
          <w:szCs w:val="24"/>
        </w:rPr>
        <w:t xml:space="preserve">. z evropských zdrojů </w:t>
      </w:r>
      <w:r w:rsidRPr="00074940">
        <w:rPr>
          <w:rFonts w:cs="Tahoma"/>
          <w:szCs w:val="24"/>
        </w:rPr>
        <w:tab/>
        <w:t>29 mil. Kč</w:t>
      </w:r>
    </w:p>
    <w:p w:rsidR="009E6AFC" w:rsidRPr="00074940" w:rsidRDefault="009E6AFC" w:rsidP="004E6509">
      <w:pPr>
        <w:pStyle w:val="Bezmezer"/>
        <w:numPr>
          <w:ilvl w:val="0"/>
          <w:numId w:val="35"/>
        </w:numPr>
        <w:tabs>
          <w:tab w:val="right" w:pos="8364"/>
        </w:tabs>
        <w:rPr>
          <w:rFonts w:cs="Tahoma"/>
          <w:szCs w:val="24"/>
        </w:rPr>
      </w:pPr>
      <w:r w:rsidRPr="00074940">
        <w:rPr>
          <w:rFonts w:cs="Tahoma"/>
          <w:szCs w:val="24"/>
        </w:rPr>
        <w:t xml:space="preserve">úhrada vlastního podílu u akcí </w:t>
      </w:r>
      <w:proofErr w:type="spellStart"/>
      <w:r w:rsidRPr="00074940">
        <w:rPr>
          <w:rFonts w:cs="Tahoma"/>
          <w:szCs w:val="24"/>
        </w:rPr>
        <w:t>spolufin</w:t>
      </w:r>
      <w:proofErr w:type="spellEnd"/>
      <w:r w:rsidRPr="00074940">
        <w:rPr>
          <w:rFonts w:cs="Tahoma"/>
          <w:szCs w:val="24"/>
        </w:rPr>
        <w:t xml:space="preserve">. z evropských zdrojů </w:t>
      </w:r>
      <w:r w:rsidRPr="00074940">
        <w:rPr>
          <w:rFonts w:cs="Tahoma"/>
          <w:szCs w:val="24"/>
        </w:rPr>
        <w:tab/>
        <w:t>250 mil. Kč</w:t>
      </w:r>
    </w:p>
    <w:p w:rsidR="009E6AFC" w:rsidRPr="00074940" w:rsidRDefault="009E6AFC" w:rsidP="004E6509">
      <w:pPr>
        <w:pStyle w:val="Bezmezer"/>
        <w:numPr>
          <w:ilvl w:val="0"/>
          <w:numId w:val="35"/>
        </w:numPr>
        <w:shd w:val="clear" w:color="auto" w:fill="FFFFFF" w:themeFill="background1"/>
        <w:tabs>
          <w:tab w:val="right" w:pos="8364"/>
        </w:tabs>
        <w:ind w:right="-995"/>
        <w:rPr>
          <w:rFonts w:cs="Tahoma"/>
          <w:szCs w:val="24"/>
        </w:rPr>
      </w:pPr>
      <w:proofErr w:type="spellStart"/>
      <w:r w:rsidRPr="00074940">
        <w:rPr>
          <w:rFonts w:cs="Tahoma"/>
          <w:szCs w:val="24"/>
        </w:rPr>
        <w:t>předfinan</w:t>
      </w:r>
      <w:proofErr w:type="spellEnd"/>
      <w:r w:rsidRPr="00074940">
        <w:rPr>
          <w:rFonts w:cs="Tahoma"/>
          <w:szCs w:val="24"/>
        </w:rPr>
        <w:t xml:space="preserve">. ISPROFIN u akcí reprodukce majetku kraje </w:t>
      </w:r>
      <w:r w:rsidRPr="00074940">
        <w:rPr>
          <w:rFonts w:cs="Tahoma"/>
          <w:szCs w:val="24"/>
        </w:rPr>
        <w:tab/>
        <w:t>77 mil. Kč</w:t>
      </w:r>
    </w:p>
    <w:p w:rsidR="002A2664" w:rsidRPr="00074940" w:rsidRDefault="002A2664" w:rsidP="003209EE">
      <w:pPr>
        <w:pStyle w:val="Bezmezer"/>
        <w:rPr>
          <w:rFonts w:cs="Tahoma"/>
          <w:szCs w:val="24"/>
          <w:u w:val="single"/>
        </w:rPr>
      </w:pPr>
    </w:p>
    <w:p w:rsidR="009E6AFC" w:rsidRPr="00074940" w:rsidRDefault="009E6AFC" w:rsidP="003209EE">
      <w:pPr>
        <w:pStyle w:val="Bezmezer"/>
        <w:rPr>
          <w:rFonts w:cs="Tahoma"/>
          <w:szCs w:val="24"/>
          <w:u w:val="single"/>
        </w:rPr>
      </w:pPr>
    </w:p>
    <w:p w:rsidR="009E6AFC" w:rsidRPr="00074940" w:rsidRDefault="009E6AFC" w:rsidP="003209EE">
      <w:pPr>
        <w:pStyle w:val="Bezmezer"/>
        <w:rPr>
          <w:rFonts w:cs="Tahoma"/>
          <w:szCs w:val="24"/>
          <w:u w:val="single"/>
        </w:rPr>
      </w:pPr>
    </w:p>
    <w:p w:rsidR="002A2664" w:rsidRPr="00074940" w:rsidRDefault="002A2664" w:rsidP="002A2664">
      <w:pPr>
        <w:pStyle w:val="Bezmezer"/>
        <w:rPr>
          <w:rFonts w:cs="Tahoma"/>
          <w:szCs w:val="24"/>
          <w:u w:val="single"/>
        </w:rPr>
      </w:pPr>
      <w:r w:rsidRPr="00074940">
        <w:rPr>
          <w:rFonts w:cs="Tahoma"/>
          <w:szCs w:val="24"/>
          <w:u w:val="single"/>
        </w:rPr>
        <w:t>Splátky úvěrů</w:t>
      </w:r>
    </w:p>
    <w:p w:rsidR="002A2664" w:rsidRPr="0044145E" w:rsidRDefault="002A2664" w:rsidP="002A2664">
      <w:pPr>
        <w:pStyle w:val="Bezmezer"/>
        <w:rPr>
          <w:rFonts w:cs="Tahoma"/>
          <w:szCs w:val="24"/>
        </w:rPr>
      </w:pPr>
      <w:r w:rsidRPr="00074940">
        <w:rPr>
          <w:rFonts w:cs="Tahoma"/>
          <w:szCs w:val="24"/>
        </w:rPr>
        <w:t>V roce 20</w:t>
      </w:r>
      <w:r w:rsidR="00374105" w:rsidRPr="00074940">
        <w:rPr>
          <w:rFonts w:cs="Tahoma"/>
          <w:szCs w:val="24"/>
        </w:rPr>
        <w:t>21</w:t>
      </w:r>
      <w:r w:rsidRPr="00074940">
        <w:rPr>
          <w:rFonts w:cs="Tahoma"/>
          <w:szCs w:val="24"/>
        </w:rPr>
        <w:t xml:space="preserve"> je naplánováno dle uzavřených smluv splácení úvěrů </w:t>
      </w:r>
      <w:r w:rsidRPr="0044145E">
        <w:rPr>
          <w:rFonts w:cs="Tahoma"/>
          <w:szCs w:val="24"/>
        </w:rPr>
        <w:t>od:</w:t>
      </w:r>
    </w:p>
    <w:p w:rsidR="004E6509" w:rsidRPr="0044145E" w:rsidRDefault="004E6509" w:rsidP="004E6509">
      <w:pPr>
        <w:pStyle w:val="Bezmezer"/>
        <w:numPr>
          <w:ilvl w:val="0"/>
          <w:numId w:val="37"/>
        </w:numPr>
        <w:shd w:val="clear" w:color="auto" w:fill="FFFFFF" w:themeFill="background1"/>
      </w:pPr>
      <w:r w:rsidRPr="0044145E">
        <w:rPr>
          <w:rFonts w:cs="Tahoma"/>
          <w:szCs w:val="24"/>
        </w:rPr>
        <w:lastRenderedPageBreak/>
        <w:t xml:space="preserve">UCB ve výši 715 mil. Kč </w:t>
      </w:r>
      <w:r w:rsidRPr="0044145E">
        <w:t>v souvislosti s projekty realizovanými v rámci programového období 2014</w:t>
      </w:r>
      <w:r w:rsidR="00BC5AC7" w:rsidRPr="0044145E">
        <w:t> </w:t>
      </w:r>
      <w:r w:rsidR="00BC5AC7" w:rsidRPr="0044145E">
        <w:noBreakHyphen/>
        <w:t> </w:t>
      </w:r>
      <w:r w:rsidRPr="0044145E">
        <w:t>2020</w:t>
      </w:r>
      <w:r w:rsidR="00BC5AC7" w:rsidRPr="0044145E">
        <w:t xml:space="preserve"> a </w:t>
      </w:r>
      <w:r w:rsidR="0044145E" w:rsidRPr="0044145E">
        <w:t xml:space="preserve">akcí </w:t>
      </w:r>
      <w:r w:rsidR="0044145E" w:rsidRPr="0044145E">
        <w:rPr>
          <w:rFonts w:cs="Tahoma"/>
        </w:rPr>
        <w:t>Domov pro osoby se zdravotním postižením Harmonie, p. o. (</w:t>
      </w:r>
      <w:r w:rsidR="0044145E">
        <w:rPr>
          <w:rFonts w:cs="Tahoma"/>
        </w:rPr>
        <w:t xml:space="preserve">z příjmu z </w:t>
      </w:r>
      <w:r w:rsidR="0044145E" w:rsidRPr="0044145E">
        <w:rPr>
          <w:rFonts w:cs="Tahoma"/>
        </w:rPr>
        <w:t>předfinancov</w:t>
      </w:r>
      <w:r w:rsidR="0044145E">
        <w:rPr>
          <w:rFonts w:cs="Tahoma"/>
        </w:rPr>
        <w:t>aného</w:t>
      </w:r>
      <w:r w:rsidR="0044145E" w:rsidRPr="0044145E">
        <w:rPr>
          <w:rFonts w:cs="Tahoma"/>
        </w:rPr>
        <w:t xml:space="preserve"> </w:t>
      </w:r>
      <w:proofErr w:type="spellStart"/>
      <w:r w:rsidR="0044145E" w:rsidRPr="0044145E">
        <w:rPr>
          <w:rFonts w:cs="Tahoma"/>
        </w:rPr>
        <w:t>ISPROFINu</w:t>
      </w:r>
      <w:proofErr w:type="spellEnd"/>
      <w:r w:rsidR="0044145E" w:rsidRPr="0044145E">
        <w:rPr>
          <w:rFonts w:cs="Tahoma"/>
        </w:rPr>
        <w:t>),</w:t>
      </w:r>
    </w:p>
    <w:p w:rsidR="004E6509" w:rsidRPr="0044145E" w:rsidRDefault="002A2664" w:rsidP="004E6509">
      <w:pPr>
        <w:pStyle w:val="Bezmezer"/>
        <w:numPr>
          <w:ilvl w:val="0"/>
          <w:numId w:val="37"/>
        </w:numPr>
        <w:shd w:val="clear" w:color="auto" w:fill="FFFFFF" w:themeFill="background1"/>
      </w:pPr>
      <w:r w:rsidRPr="0044145E">
        <w:rPr>
          <w:rFonts w:cs="Tahoma"/>
          <w:szCs w:val="24"/>
        </w:rPr>
        <w:t xml:space="preserve">Evropské investiční banky </w:t>
      </w:r>
      <w:r w:rsidR="004E6509" w:rsidRPr="0044145E">
        <w:rPr>
          <w:rFonts w:cs="Tahoma"/>
          <w:szCs w:val="24"/>
        </w:rPr>
        <w:t xml:space="preserve">(dále jen EIB) </w:t>
      </w:r>
      <w:r w:rsidRPr="0044145E">
        <w:rPr>
          <w:rFonts w:cs="Tahoma"/>
          <w:szCs w:val="24"/>
        </w:rPr>
        <w:t xml:space="preserve">ve výši </w:t>
      </w:r>
      <w:r w:rsidR="004E6509" w:rsidRPr="0044145E">
        <w:rPr>
          <w:rFonts w:cs="Tahoma"/>
          <w:szCs w:val="24"/>
        </w:rPr>
        <w:t>77</w:t>
      </w:r>
      <w:r w:rsidRPr="0044145E">
        <w:rPr>
          <w:rFonts w:cs="Tahoma"/>
          <w:szCs w:val="24"/>
        </w:rPr>
        <w:t xml:space="preserve"> mil. Kč</w:t>
      </w:r>
      <w:r w:rsidR="004E6509" w:rsidRPr="0044145E">
        <w:rPr>
          <w:rFonts w:cs="Tahoma"/>
          <w:szCs w:val="24"/>
        </w:rPr>
        <w:t xml:space="preserve">, </w:t>
      </w:r>
      <w:r w:rsidR="004E6509" w:rsidRPr="0044145E">
        <w:t>úvěr byl čerpán postupně v letech 2011</w:t>
      </w:r>
      <w:r w:rsidR="00BC5AC7" w:rsidRPr="0044145E">
        <w:t> </w:t>
      </w:r>
      <w:r w:rsidR="00BC5AC7" w:rsidRPr="0044145E">
        <w:noBreakHyphen/>
        <w:t> </w:t>
      </w:r>
      <w:r w:rsidR="004E6509" w:rsidRPr="0044145E">
        <w:t xml:space="preserve">2015 v celkovém objemu 2.000 mil. Kč, splácení probíhá od roku 2016 a doplacení celé výše jistiny úvěru se předpokládá v roce 2025, </w:t>
      </w:r>
    </w:p>
    <w:p w:rsidR="002A2664" w:rsidRPr="0044145E" w:rsidRDefault="004E6509" w:rsidP="004E6509">
      <w:pPr>
        <w:pStyle w:val="Bezmezer"/>
        <w:numPr>
          <w:ilvl w:val="0"/>
          <w:numId w:val="37"/>
        </w:numPr>
        <w:rPr>
          <w:rFonts w:cs="Tahoma"/>
          <w:szCs w:val="24"/>
        </w:rPr>
      </w:pPr>
      <w:r w:rsidRPr="0044145E">
        <w:rPr>
          <w:rFonts w:cs="Tahoma"/>
          <w:szCs w:val="24"/>
        </w:rPr>
        <w:t>UCB ve výši 168</w:t>
      </w:r>
      <w:r w:rsidR="002A2664" w:rsidRPr="0044145E">
        <w:rPr>
          <w:rFonts w:cs="Tahoma"/>
          <w:szCs w:val="24"/>
        </w:rPr>
        <w:t xml:space="preserve"> mil. Kč</w:t>
      </w:r>
      <w:r w:rsidRPr="0044145E">
        <w:rPr>
          <w:rFonts w:cs="Tahoma"/>
          <w:szCs w:val="24"/>
        </w:rPr>
        <w:t xml:space="preserve">, </w:t>
      </w:r>
      <w:r w:rsidRPr="0044145E">
        <w:t>úvěr čerpaný jednorázově v roce 2019 v objemu 1,01</w:t>
      </w:r>
      <w:r w:rsidR="00BC5AC7" w:rsidRPr="0044145E">
        <w:t> </w:t>
      </w:r>
      <w:r w:rsidRPr="0044145E">
        <w:t>mld. Kč na refinancování části jistiny úvěru od EIB z důvodu snížení výdajů na platbu úroků.</w:t>
      </w:r>
      <w:r w:rsidRPr="0044145E">
        <w:rPr>
          <w:rFonts w:cs="Tahoma"/>
          <w:szCs w:val="24"/>
          <w:u w:val="single"/>
        </w:rPr>
        <w:t xml:space="preserve"> </w:t>
      </w:r>
    </w:p>
    <w:p w:rsidR="002A2664" w:rsidRDefault="002A2664" w:rsidP="003209EE">
      <w:pPr>
        <w:pStyle w:val="Bezmezer"/>
        <w:rPr>
          <w:rFonts w:cs="Tahoma"/>
          <w:szCs w:val="24"/>
          <w:u w:val="single"/>
        </w:rPr>
      </w:pPr>
    </w:p>
    <w:p w:rsidR="003209EE" w:rsidRPr="0095700C" w:rsidRDefault="003209EE" w:rsidP="003209EE">
      <w:pPr>
        <w:pStyle w:val="Bezmezer"/>
        <w:rPr>
          <w:rFonts w:cs="Tahoma"/>
          <w:szCs w:val="24"/>
          <w:u w:val="single"/>
        </w:rPr>
      </w:pPr>
      <w:r w:rsidRPr="0095700C">
        <w:rPr>
          <w:rFonts w:cs="Tahoma"/>
          <w:szCs w:val="24"/>
          <w:u w:val="single"/>
        </w:rPr>
        <w:t>Ostatní</w:t>
      </w:r>
    </w:p>
    <w:p w:rsidR="004E6509" w:rsidRPr="004A099A" w:rsidRDefault="004E6509" w:rsidP="004E6509">
      <w:pPr>
        <w:pStyle w:val="Bezmezer"/>
        <w:rPr>
          <w:rFonts w:cs="Tahoma"/>
          <w:szCs w:val="24"/>
        </w:rPr>
      </w:pPr>
      <w:r w:rsidRPr="00143483">
        <w:rPr>
          <w:rFonts w:cs="Tahoma"/>
          <w:szCs w:val="24"/>
        </w:rPr>
        <w:t>Zařazeny úspory rozpočtu kraje na rok 20</w:t>
      </w:r>
      <w:r>
        <w:rPr>
          <w:rFonts w:cs="Tahoma"/>
          <w:szCs w:val="24"/>
        </w:rPr>
        <w:t>20</w:t>
      </w:r>
      <w:r w:rsidRPr="00143483">
        <w:rPr>
          <w:rFonts w:cs="Tahoma"/>
          <w:szCs w:val="24"/>
        </w:rPr>
        <w:t xml:space="preserve"> ve výši </w:t>
      </w:r>
      <w:r>
        <w:rPr>
          <w:rFonts w:cs="Tahoma"/>
          <w:szCs w:val="24"/>
        </w:rPr>
        <w:t>19</w:t>
      </w:r>
      <w:r w:rsidR="00BC5AC7">
        <w:rPr>
          <w:rFonts w:cs="Tahoma"/>
          <w:szCs w:val="24"/>
        </w:rPr>
        <w:t>2</w:t>
      </w:r>
      <w:r w:rsidRPr="004A099A">
        <w:rPr>
          <w:rFonts w:cs="Tahoma"/>
          <w:szCs w:val="24"/>
        </w:rPr>
        <w:t xml:space="preserve"> mil. Kč, a to: </w:t>
      </w:r>
    </w:p>
    <w:p w:rsidR="004E6509" w:rsidRPr="00AD2A15" w:rsidRDefault="004E6509" w:rsidP="00BC5AC7">
      <w:pPr>
        <w:pStyle w:val="Bezmezer"/>
        <w:numPr>
          <w:ilvl w:val="0"/>
          <w:numId w:val="39"/>
        </w:numPr>
        <w:rPr>
          <w:rFonts w:cs="Tahoma"/>
          <w:szCs w:val="24"/>
        </w:rPr>
      </w:pPr>
      <w:r w:rsidRPr="004A099A">
        <w:rPr>
          <w:rFonts w:cs="Tahoma"/>
          <w:szCs w:val="24"/>
        </w:rPr>
        <w:t xml:space="preserve">účelové převody akcí </w:t>
      </w:r>
      <w:r>
        <w:rPr>
          <w:rFonts w:cs="Tahoma"/>
          <w:szCs w:val="24"/>
        </w:rPr>
        <w:t>reprodukce majetku kraje</w:t>
      </w:r>
      <w:r w:rsidRPr="004A099A">
        <w:rPr>
          <w:rFonts w:cs="Tahoma"/>
          <w:szCs w:val="24"/>
        </w:rPr>
        <w:t xml:space="preserve"> z roku 20</w:t>
      </w:r>
      <w:r>
        <w:rPr>
          <w:rFonts w:cs="Tahoma"/>
          <w:szCs w:val="24"/>
        </w:rPr>
        <w:t>20</w:t>
      </w:r>
      <w:r w:rsidRPr="004A099A">
        <w:rPr>
          <w:rFonts w:cs="Tahoma"/>
          <w:szCs w:val="24"/>
        </w:rPr>
        <w:t xml:space="preserve"> ve </w:t>
      </w:r>
      <w:r w:rsidRPr="00113D21">
        <w:rPr>
          <w:rFonts w:cs="Tahoma"/>
          <w:szCs w:val="24"/>
        </w:rPr>
        <w:t xml:space="preserve">výši </w:t>
      </w:r>
      <w:r>
        <w:rPr>
          <w:rFonts w:cs="Tahoma"/>
          <w:szCs w:val="24"/>
        </w:rPr>
        <w:t>7</w:t>
      </w:r>
      <w:r w:rsidR="00BC5AC7">
        <w:rPr>
          <w:rFonts w:cs="Tahoma"/>
          <w:szCs w:val="24"/>
        </w:rPr>
        <w:t>8 </w:t>
      </w:r>
      <w:r w:rsidRPr="00113D21">
        <w:rPr>
          <w:rFonts w:cs="Tahoma"/>
          <w:szCs w:val="24"/>
        </w:rPr>
        <w:t>mil.</w:t>
      </w:r>
      <w:r w:rsidR="00BC5AC7">
        <w:rPr>
          <w:rFonts w:cs="Tahoma"/>
          <w:szCs w:val="24"/>
        </w:rPr>
        <w:t> </w:t>
      </w:r>
      <w:r w:rsidRPr="00113D21">
        <w:rPr>
          <w:rFonts w:cs="Tahoma"/>
          <w:szCs w:val="24"/>
        </w:rPr>
        <w:t xml:space="preserve">Kč, </w:t>
      </w:r>
      <w:r w:rsidRPr="00AD2A15">
        <w:rPr>
          <w:rFonts w:cs="Tahoma"/>
          <w:szCs w:val="24"/>
        </w:rPr>
        <w:t xml:space="preserve">jejichž realizace se přesouvá do roku 2021, </w:t>
      </w:r>
    </w:p>
    <w:p w:rsidR="004E6509" w:rsidRPr="00AD2A15" w:rsidRDefault="004E6509" w:rsidP="00BC5AC7">
      <w:pPr>
        <w:pStyle w:val="Bezmezer"/>
        <w:numPr>
          <w:ilvl w:val="0"/>
          <w:numId w:val="39"/>
        </w:numPr>
        <w:rPr>
          <w:rFonts w:cs="Tahoma"/>
          <w:szCs w:val="24"/>
        </w:rPr>
      </w:pPr>
      <w:r w:rsidRPr="00AD2A15">
        <w:rPr>
          <w:rFonts w:cs="Tahoma"/>
          <w:szCs w:val="24"/>
        </w:rPr>
        <w:t>úspory ve výdajích roku 2020 na základě provedené 3. revize rozpočtu kraje ve výši 114,1 mil. Kč</w:t>
      </w:r>
      <w:r w:rsidR="00AD2A15" w:rsidRPr="00AD2A15">
        <w:rPr>
          <w:rFonts w:cs="Tahoma"/>
          <w:szCs w:val="24"/>
        </w:rPr>
        <w:t>.</w:t>
      </w:r>
    </w:p>
    <w:p w:rsidR="004E6509" w:rsidRDefault="004E6509" w:rsidP="004E6509">
      <w:pPr>
        <w:pStyle w:val="Bezmezer"/>
        <w:rPr>
          <w:rFonts w:cs="Tahoma"/>
          <w:szCs w:val="24"/>
        </w:rPr>
      </w:pPr>
      <w:r w:rsidRPr="00AD2A15">
        <w:rPr>
          <w:rFonts w:cs="Tahoma"/>
          <w:szCs w:val="24"/>
        </w:rPr>
        <w:t xml:space="preserve">V rámci Financování je zařazen příděl do Fondu sociálních služeb ve výši 19 mil. Kč, </w:t>
      </w:r>
      <w:r w:rsidR="00BC5AC7" w:rsidRPr="00AD2A15">
        <w:rPr>
          <w:rFonts w:cs="Tahoma"/>
          <w:szCs w:val="24"/>
        </w:rPr>
        <w:t xml:space="preserve">převod </w:t>
      </w:r>
      <w:r w:rsidR="00B94C1A" w:rsidRPr="00AD2A15">
        <w:rPr>
          <w:rFonts w:cs="Tahoma"/>
          <w:szCs w:val="24"/>
        </w:rPr>
        <w:t xml:space="preserve">příjmů od obcí </w:t>
      </w:r>
      <w:r w:rsidR="00BC5AC7" w:rsidRPr="00AD2A15">
        <w:rPr>
          <w:rFonts w:cs="Tahoma"/>
          <w:szCs w:val="24"/>
        </w:rPr>
        <w:t>do Fondu sociálních služeb ve výši 28 mil. Kč, převod</w:t>
      </w:r>
      <w:r w:rsidRPr="00AD2A15">
        <w:rPr>
          <w:rFonts w:cs="Tahoma"/>
          <w:szCs w:val="24"/>
        </w:rPr>
        <w:t xml:space="preserve"> </w:t>
      </w:r>
      <w:r w:rsidR="00B94C1A" w:rsidRPr="00AD2A15">
        <w:rPr>
          <w:rFonts w:cs="Tahoma"/>
          <w:szCs w:val="24"/>
        </w:rPr>
        <w:t xml:space="preserve">vrácených prostředků </w:t>
      </w:r>
      <w:r w:rsidRPr="00AD2A15">
        <w:rPr>
          <w:rFonts w:cs="Tahoma"/>
          <w:szCs w:val="24"/>
        </w:rPr>
        <w:t>do Fondu návratných finančních zdrojů JESSICA ve výši 15 mil. Kč a zapojení prostředků Fondu životního prostředí ve výši 7,8 mil. Kč, prostředků Fondu strategických projektů ve výši 119 mil. Kč, prostředků</w:t>
      </w:r>
      <w:r w:rsidR="00BC5AC7" w:rsidRPr="00AD2A15">
        <w:rPr>
          <w:rFonts w:cs="Tahoma"/>
          <w:szCs w:val="24"/>
        </w:rPr>
        <w:t xml:space="preserve"> </w:t>
      </w:r>
      <w:r w:rsidRPr="00AD2A15">
        <w:rPr>
          <w:rFonts w:cs="Tahoma"/>
          <w:szCs w:val="24"/>
        </w:rPr>
        <w:t>Zajišťovacího fondu ve výši 0,5</w:t>
      </w:r>
      <w:r w:rsidR="00BC5AC7" w:rsidRPr="00AD2A15">
        <w:rPr>
          <w:rFonts w:cs="Tahoma"/>
          <w:szCs w:val="24"/>
        </w:rPr>
        <w:t> </w:t>
      </w:r>
      <w:r w:rsidRPr="00AD2A15">
        <w:rPr>
          <w:rFonts w:cs="Tahoma"/>
          <w:szCs w:val="24"/>
        </w:rPr>
        <w:t>mil. Kč a prostředků Fondu návratných finančních zdrojů JESSICA ve výši 26 mil. Kč.</w:t>
      </w:r>
    </w:p>
    <w:p w:rsidR="004E6509" w:rsidRDefault="004E6509" w:rsidP="00786C80">
      <w:pPr>
        <w:pStyle w:val="Bezmezer"/>
        <w:rPr>
          <w:rFonts w:cs="Tahoma"/>
          <w:szCs w:val="24"/>
        </w:rPr>
      </w:pPr>
    </w:p>
    <w:p w:rsidR="001D273B" w:rsidRDefault="001D273B" w:rsidP="003209EE">
      <w:pPr>
        <w:pStyle w:val="Bezmezer"/>
        <w:rPr>
          <w:rFonts w:cs="Tahoma"/>
          <w:b/>
          <w:szCs w:val="24"/>
        </w:rPr>
      </w:pPr>
    </w:p>
    <w:p w:rsidR="006A57F5" w:rsidRDefault="006A57F5" w:rsidP="006A57F5">
      <w:pPr>
        <w:pStyle w:val="Bezmezer"/>
        <w:rPr>
          <w:rFonts w:cs="Tahoma"/>
          <w:b/>
          <w:szCs w:val="24"/>
        </w:rPr>
      </w:pPr>
      <w:r w:rsidRPr="006A57F5">
        <w:rPr>
          <w:rFonts w:cs="Tahoma"/>
          <w:b/>
          <w:szCs w:val="24"/>
        </w:rPr>
        <w:t xml:space="preserve">Zadluženost kraje dle </w:t>
      </w:r>
      <w:proofErr w:type="spellStart"/>
      <w:r w:rsidRPr="006A57F5">
        <w:rPr>
          <w:rFonts w:cs="Tahoma"/>
          <w:b/>
          <w:szCs w:val="24"/>
        </w:rPr>
        <w:t>Moody´s</w:t>
      </w:r>
      <w:proofErr w:type="spellEnd"/>
      <w:r w:rsidRPr="006A57F5">
        <w:rPr>
          <w:rFonts w:cs="Tahoma"/>
          <w:b/>
          <w:szCs w:val="24"/>
        </w:rPr>
        <w:t xml:space="preserve"> v roce 2021</w:t>
      </w:r>
      <w:r>
        <w:rPr>
          <w:rFonts w:cs="Tahoma"/>
          <w:b/>
          <w:szCs w:val="24"/>
        </w:rPr>
        <w:t xml:space="preserve"> </w:t>
      </w:r>
      <w:r w:rsidRPr="006A57F5">
        <w:rPr>
          <w:rFonts w:cs="Tahoma"/>
          <w:b/>
          <w:szCs w:val="24"/>
        </w:rPr>
        <w:t>vzroste, na základě</w:t>
      </w:r>
      <w:r>
        <w:rPr>
          <w:rFonts w:cs="Tahoma"/>
          <w:b/>
          <w:szCs w:val="24"/>
        </w:rPr>
        <w:t xml:space="preserve"> </w:t>
      </w:r>
      <w:r w:rsidRPr="006A57F5">
        <w:rPr>
          <w:rFonts w:cs="Tahoma"/>
          <w:b/>
          <w:szCs w:val="24"/>
        </w:rPr>
        <w:t xml:space="preserve">sestavených základních parametrů je </w:t>
      </w:r>
      <w:r w:rsidRPr="00AD2A15">
        <w:rPr>
          <w:rFonts w:cs="Tahoma"/>
          <w:b/>
          <w:szCs w:val="24"/>
        </w:rPr>
        <w:t>očekáván</w:t>
      </w:r>
      <w:r w:rsidR="00432ED4">
        <w:rPr>
          <w:rFonts w:cs="Tahoma"/>
          <w:b/>
          <w:szCs w:val="24"/>
        </w:rPr>
        <w:t xml:space="preserve"> nárůst na</w:t>
      </w:r>
      <w:r w:rsidRPr="00AD2A15">
        <w:rPr>
          <w:rFonts w:cs="Tahoma"/>
          <w:b/>
          <w:szCs w:val="24"/>
        </w:rPr>
        <w:t xml:space="preserve"> cca 10,</w:t>
      </w:r>
      <w:r w:rsidR="00432ED4">
        <w:rPr>
          <w:rFonts w:cs="Tahoma"/>
          <w:b/>
          <w:szCs w:val="24"/>
        </w:rPr>
        <w:t>25 </w:t>
      </w:r>
      <w:r w:rsidRPr="00AD2A15">
        <w:rPr>
          <w:rFonts w:cs="Tahoma"/>
          <w:b/>
          <w:szCs w:val="24"/>
        </w:rPr>
        <w:t>% z letošních 6,</w:t>
      </w:r>
      <w:r w:rsidR="00AD2A15" w:rsidRPr="00AD2A15">
        <w:rPr>
          <w:rFonts w:cs="Tahoma"/>
          <w:b/>
          <w:szCs w:val="24"/>
        </w:rPr>
        <w:t>91</w:t>
      </w:r>
      <w:r w:rsidR="00432ED4">
        <w:rPr>
          <w:rFonts w:cs="Tahoma"/>
          <w:b/>
          <w:szCs w:val="24"/>
        </w:rPr>
        <w:t> </w:t>
      </w:r>
      <w:r w:rsidRPr="00AD2A15">
        <w:rPr>
          <w:rFonts w:cs="Tahoma"/>
          <w:b/>
          <w:szCs w:val="24"/>
        </w:rPr>
        <w:t>%.</w:t>
      </w:r>
    </w:p>
    <w:p w:rsidR="0048700D" w:rsidRPr="0048700D" w:rsidRDefault="0048700D" w:rsidP="006A57F5">
      <w:pPr>
        <w:pStyle w:val="Bezmezer"/>
        <w:jc w:val="left"/>
        <w:rPr>
          <w:rFonts w:cs="Tahoma"/>
          <w:szCs w:val="24"/>
        </w:rPr>
      </w:pPr>
    </w:p>
    <w:sectPr w:rsidR="0048700D" w:rsidRPr="0048700D" w:rsidSect="00814F52"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D84" w:rsidRDefault="00604D84">
      <w:r>
        <w:separator/>
      </w:r>
    </w:p>
  </w:endnote>
  <w:endnote w:type="continuationSeparator" w:id="0">
    <w:p w:rsidR="00604D84" w:rsidRDefault="0060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904" w:rsidRDefault="00C729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2904" w:rsidRDefault="00C729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904" w:rsidRPr="002A696B" w:rsidRDefault="00C72904" w:rsidP="00814F52">
    <w:pPr>
      <w:pStyle w:val="Zpat"/>
      <w:spacing w:line="280" w:lineRule="exact"/>
      <w:jc w:val="center"/>
      <w:rPr>
        <w:rFonts w:ascii="Tahoma" w:hAnsi="Tahoma" w:cs="Tahoma"/>
      </w:rPr>
    </w:pPr>
    <w:r w:rsidRPr="002A696B">
      <w:rPr>
        <w:rStyle w:val="slostrnky"/>
        <w:rFonts w:ascii="Tahoma" w:hAnsi="Tahoma" w:cs="Tahoma"/>
      </w:rPr>
      <w:fldChar w:fldCharType="begin"/>
    </w:r>
    <w:r w:rsidRPr="002A696B">
      <w:rPr>
        <w:rStyle w:val="slostrnky"/>
        <w:rFonts w:ascii="Tahoma" w:hAnsi="Tahoma" w:cs="Tahoma"/>
      </w:rPr>
      <w:instrText xml:space="preserve"> PAGE </w:instrText>
    </w:r>
    <w:r w:rsidRPr="002A696B">
      <w:rPr>
        <w:rStyle w:val="slostrnky"/>
        <w:rFonts w:ascii="Tahoma" w:hAnsi="Tahoma" w:cs="Tahoma"/>
      </w:rPr>
      <w:fldChar w:fldCharType="separate"/>
    </w:r>
    <w:r w:rsidR="000A69DC">
      <w:rPr>
        <w:rStyle w:val="slostrnky"/>
        <w:rFonts w:ascii="Tahoma" w:hAnsi="Tahoma" w:cs="Tahoma"/>
        <w:noProof/>
      </w:rPr>
      <w:t>2</w:t>
    </w:r>
    <w:r w:rsidRPr="002A696B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D84" w:rsidRDefault="00604D84">
      <w:r>
        <w:separator/>
      </w:r>
    </w:p>
  </w:footnote>
  <w:footnote w:type="continuationSeparator" w:id="0">
    <w:p w:rsidR="00604D84" w:rsidRDefault="0060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2904" w:rsidRDefault="00C72904">
    <w:pPr>
      <w:pStyle w:val="Zhlav"/>
    </w:pPr>
    <w:r>
      <w:t>Příloha č. 1</w:t>
    </w:r>
  </w:p>
  <w:p w:rsidR="00C72904" w:rsidRDefault="00C729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7616"/>
    <w:multiLevelType w:val="hybridMultilevel"/>
    <w:tmpl w:val="DDE08B74"/>
    <w:lvl w:ilvl="0" w:tplc="A93CE11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0D20"/>
    <w:multiLevelType w:val="hybridMultilevel"/>
    <w:tmpl w:val="9306F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5D2"/>
    <w:multiLevelType w:val="hybridMultilevel"/>
    <w:tmpl w:val="6342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2BE2"/>
    <w:multiLevelType w:val="hybridMultilevel"/>
    <w:tmpl w:val="E2822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7B1"/>
    <w:multiLevelType w:val="hybridMultilevel"/>
    <w:tmpl w:val="E946A1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66A30"/>
    <w:multiLevelType w:val="hybridMultilevel"/>
    <w:tmpl w:val="B7DAD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398E"/>
    <w:multiLevelType w:val="hybridMultilevel"/>
    <w:tmpl w:val="7C80A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92718"/>
    <w:multiLevelType w:val="hybridMultilevel"/>
    <w:tmpl w:val="5A38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D12FF"/>
    <w:multiLevelType w:val="hybridMultilevel"/>
    <w:tmpl w:val="D99CB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A0E86"/>
    <w:multiLevelType w:val="hybridMultilevel"/>
    <w:tmpl w:val="B51EC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25930"/>
    <w:multiLevelType w:val="hybridMultilevel"/>
    <w:tmpl w:val="9F946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3C63"/>
    <w:multiLevelType w:val="hybridMultilevel"/>
    <w:tmpl w:val="BB5C5C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61CB"/>
    <w:multiLevelType w:val="hybridMultilevel"/>
    <w:tmpl w:val="EC3E9BB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944A0"/>
    <w:multiLevelType w:val="hybridMultilevel"/>
    <w:tmpl w:val="F7980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85"/>
    <w:multiLevelType w:val="hybridMultilevel"/>
    <w:tmpl w:val="7390F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F0CF3"/>
    <w:multiLevelType w:val="hybridMultilevel"/>
    <w:tmpl w:val="CB726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D27C3"/>
    <w:multiLevelType w:val="hybridMultilevel"/>
    <w:tmpl w:val="04441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039A"/>
    <w:multiLevelType w:val="hybridMultilevel"/>
    <w:tmpl w:val="64C07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D6DAC"/>
    <w:multiLevelType w:val="hybridMultilevel"/>
    <w:tmpl w:val="38A0E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61382"/>
    <w:multiLevelType w:val="hybridMultilevel"/>
    <w:tmpl w:val="1B144F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80C0C"/>
    <w:multiLevelType w:val="hybridMultilevel"/>
    <w:tmpl w:val="E8F0045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B8234B"/>
    <w:multiLevelType w:val="hybridMultilevel"/>
    <w:tmpl w:val="42504DB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4B83AA4"/>
    <w:multiLevelType w:val="hybridMultilevel"/>
    <w:tmpl w:val="DA1E6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42B7C"/>
    <w:multiLevelType w:val="hybridMultilevel"/>
    <w:tmpl w:val="FF4E1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7CB"/>
    <w:multiLevelType w:val="hybridMultilevel"/>
    <w:tmpl w:val="A1D4DD38"/>
    <w:lvl w:ilvl="0" w:tplc="F6DE6D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44E07"/>
    <w:multiLevelType w:val="hybridMultilevel"/>
    <w:tmpl w:val="59A6C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500D"/>
    <w:multiLevelType w:val="hybridMultilevel"/>
    <w:tmpl w:val="E49CD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5C43"/>
    <w:multiLevelType w:val="hybridMultilevel"/>
    <w:tmpl w:val="8D9AC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6049"/>
    <w:multiLevelType w:val="hybridMultilevel"/>
    <w:tmpl w:val="456A4350"/>
    <w:lvl w:ilvl="0" w:tplc="B90237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62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CD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EA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F68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06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05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44E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6D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2"/>
  </w:num>
  <w:num w:numId="4">
    <w:abstractNumId w:val="7"/>
  </w:num>
  <w:num w:numId="5">
    <w:abstractNumId w:val="17"/>
  </w:num>
  <w:num w:numId="6">
    <w:abstractNumId w:val="18"/>
  </w:num>
  <w:num w:numId="7">
    <w:abstractNumId w:val="6"/>
  </w:num>
  <w:num w:numId="8">
    <w:abstractNumId w:val="27"/>
  </w:num>
  <w:num w:numId="9">
    <w:abstractNumId w:val="1"/>
  </w:num>
  <w:num w:numId="10">
    <w:abstractNumId w:val="29"/>
  </w:num>
  <w:num w:numId="11">
    <w:abstractNumId w:val="9"/>
  </w:num>
  <w:num w:numId="12">
    <w:abstractNumId w:val="3"/>
  </w:num>
  <w:num w:numId="13">
    <w:abstractNumId w:val="14"/>
  </w:num>
  <w:num w:numId="14">
    <w:abstractNumId w:val="38"/>
  </w:num>
  <w:num w:numId="15">
    <w:abstractNumId w:val="11"/>
  </w:num>
  <w:num w:numId="16">
    <w:abstractNumId w:val="10"/>
  </w:num>
  <w:num w:numId="17">
    <w:abstractNumId w:val="0"/>
  </w:num>
  <w:num w:numId="18">
    <w:abstractNumId w:val="21"/>
  </w:num>
  <w:num w:numId="19">
    <w:abstractNumId w:val="37"/>
  </w:num>
  <w:num w:numId="20">
    <w:abstractNumId w:val="2"/>
  </w:num>
  <w:num w:numId="21">
    <w:abstractNumId w:val="20"/>
  </w:num>
  <w:num w:numId="22">
    <w:abstractNumId w:val="26"/>
  </w:num>
  <w:num w:numId="23">
    <w:abstractNumId w:val="19"/>
  </w:num>
  <w:num w:numId="24">
    <w:abstractNumId w:val="12"/>
  </w:num>
  <w:num w:numId="25">
    <w:abstractNumId w:val="32"/>
  </w:num>
  <w:num w:numId="26">
    <w:abstractNumId w:val="4"/>
  </w:num>
  <w:num w:numId="27">
    <w:abstractNumId w:val="16"/>
  </w:num>
  <w:num w:numId="28">
    <w:abstractNumId w:val="23"/>
  </w:num>
  <w:num w:numId="29">
    <w:abstractNumId w:val="30"/>
  </w:num>
  <w:num w:numId="30">
    <w:abstractNumId w:val="8"/>
  </w:num>
  <w:num w:numId="31">
    <w:abstractNumId w:val="39"/>
  </w:num>
  <w:num w:numId="32">
    <w:abstractNumId w:val="5"/>
  </w:num>
  <w:num w:numId="33">
    <w:abstractNumId w:val="13"/>
  </w:num>
  <w:num w:numId="34">
    <w:abstractNumId w:val="36"/>
  </w:num>
  <w:num w:numId="35">
    <w:abstractNumId w:val="28"/>
  </w:num>
  <w:num w:numId="36">
    <w:abstractNumId w:val="35"/>
  </w:num>
  <w:num w:numId="37">
    <w:abstractNumId w:val="15"/>
  </w:num>
  <w:num w:numId="38">
    <w:abstractNumId w:val="31"/>
  </w:num>
  <w:num w:numId="39">
    <w:abstractNumId w:val="2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19"/>
    <w:rsid w:val="000012C4"/>
    <w:rsid w:val="00004C36"/>
    <w:rsid w:val="0002699A"/>
    <w:rsid w:val="00053822"/>
    <w:rsid w:val="00063371"/>
    <w:rsid w:val="00074940"/>
    <w:rsid w:val="00080576"/>
    <w:rsid w:val="0008162C"/>
    <w:rsid w:val="000817DB"/>
    <w:rsid w:val="000872B3"/>
    <w:rsid w:val="000966FD"/>
    <w:rsid w:val="000A1C18"/>
    <w:rsid w:val="000A69DC"/>
    <w:rsid w:val="000B3D31"/>
    <w:rsid w:val="000B4734"/>
    <w:rsid w:val="000D0107"/>
    <w:rsid w:val="000D65EE"/>
    <w:rsid w:val="000E4231"/>
    <w:rsid w:val="000F1D05"/>
    <w:rsid w:val="000F475F"/>
    <w:rsid w:val="000F7D07"/>
    <w:rsid w:val="00113378"/>
    <w:rsid w:val="001462E5"/>
    <w:rsid w:val="00174C80"/>
    <w:rsid w:val="001919A4"/>
    <w:rsid w:val="001933D4"/>
    <w:rsid w:val="00193AE9"/>
    <w:rsid w:val="00197605"/>
    <w:rsid w:val="001B7B0E"/>
    <w:rsid w:val="001C5EE2"/>
    <w:rsid w:val="001C662F"/>
    <w:rsid w:val="001D273B"/>
    <w:rsid w:val="001D4539"/>
    <w:rsid w:val="001E1840"/>
    <w:rsid w:val="002012DE"/>
    <w:rsid w:val="002063EF"/>
    <w:rsid w:val="00227CDC"/>
    <w:rsid w:val="0025741D"/>
    <w:rsid w:val="00277C01"/>
    <w:rsid w:val="002867CC"/>
    <w:rsid w:val="0029468B"/>
    <w:rsid w:val="00297A9E"/>
    <w:rsid w:val="00297FFC"/>
    <w:rsid w:val="002A2664"/>
    <w:rsid w:val="002B009A"/>
    <w:rsid w:val="002C3F26"/>
    <w:rsid w:val="002C48D3"/>
    <w:rsid w:val="002C5FD7"/>
    <w:rsid w:val="002D553C"/>
    <w:rsid w:val="002E1EB4"/>
    <w:rsid w:val="002E6055"/>
    <w:rsid w:val="002F7396"/>
    <w:rsid w:val="00316A63"/>
    <w:rsid w:val="003209EE"/>
    <w:rsid w:val="00321159"/>
    <w:rsid w:val="0032192C"/>
    <w:rsid w:val="00325DA9"/>
    <w:rsid w:val="003329DA"/>
    <w:rsid w:val="00336B2A"/>
    <w:rsid w:val="00374105"/>
    <w:rsid w:val="003853D7"/>
    <w:rsid w:val="003A2A66"/>
    <w:rsid w:val="003A6319"/>
    <w:rsid w:val="003A6B88"/>
    <w:rsid w:val="003A7890"/>
    <w:rsid w:val="003A7D2C"/>
    <w:rsid w:val="003C008D"/>
    <w:rsid w:val="003D2F37"/>
    <w:rsid w:val="003D436B"/>
    <w:rsid w:val="003E04B1"/>
    <w:rsid w:val="00403C4E"/>
    <w:rsid w:val="00410DC4"/>
    <w:rsid w:val="00425FE8"/>
    <w:rsid w:val="00432ED4"/>
    <w:rsid w:val="004379D7"/>
    <w:rsid w:val="0044145E"/>
    <w:rsid w:val="00480F2E"/>
    <w:rsid w:val="0048141F"/>
    <w:rsid w:val="00483361"/>
    <w:rsid w:val="00486C31"/>
    <w:rsid w:val="0048700D"/>
    <w:rsid w:val="00491B20"/>
    <w:rsid w:val="004C3406"/>
    <w:rsid w:val="004D3BA1"/>
    <w:rsid w:val="004E6509"/>
    <w:rsid w:val="004F69B9"/>
    <w:rsid w:val="00503E61"/>
    <w:rsid w:val="00506E22"/>
    <w:rsid w:val="00507089"/>
    <w:rsid w:val="0050742C"/>
    <w:rsid w:val="00510EB0"/>
    <w:rsid w:val="00543018"/>
    <w:rsid w:val="00557D45"/>
    <w:rsid w:val="00560C7A"/>
    <w:rsid w:val="005770FE"/>
    <w:rsid w:val="00583D01"/>
    <w:rsid w:val="005928A4"/>
    <w:rsid w:val="00593A97"/>
    <w:rsid w:val="005A1D07"/>
    <w:rsid w:val="005A3D98"/>
    <w:rsid w:val="005E116E"/>
    <w:rsid w:val="005E56C1"/>
    <w:rsid w:val="006016CB"/>
    <w:rsid w:val="00604D84"/>
    <w:rsid w:val="00605739"/>
    <w:rsid w:val="006146F7"/>
    <w:rsid w:val="0062440B"/>
    <w:rsid w:val="00626F68"/>
    <w:rsid w:val="0063133A"/>
    <w:rsid w:val="00631545"/>
    <w:rsid w:val="00641F27"/>
    <w:rsid w:val="006563A2"/>
    <w:rsid w:val="006856EC"/>
    <w:rsid w:val="006966FF"/>
    <w:rsid w:val="006A57F5"/>
    <w:rsid w:val="006D002C"/>
    <w:rsid w:val="006E2744"/>
    <w:rsid w:val="006F1B87"/>
    <w:rsid w:val="00716802"/>
    <w:rsid w:val="00717947"/>
    <w:rsid w:val="00736DEB"/>
    <w:rsid w:val="0075495C"/>
    <w:rsid w:val="007810BC"/>
    <w:rsid w:val="00786C80"/>
    <w:rsid w:val="00792D38"/>
    <w:rsid w:val="007B0619"/>
    <w:rsid w:val="007B5C0F"/>
    <w:rsid w:val="007B5E20"/>
    <w:rsid w:val="007D005F"/>
    <w:rsid w:val="007D59AA"/>
    <w:rsid w:val="007E4D19"/>
    <w:rsid w:val="007E4D1D"/>
    <w:rsid w:val="007F570A"/>
    <w:rsid w:val="00814F52"/>
    <w:rsid w:val="00815DA7"/>
    <w:rsid w:val="00816E6A"/>
    <w:rsid w:val="008267A7"/>
    <w:rsid w:val="0083206A"/>
    <w:rsid w:val="0084635B"/>
    <w:rsid w:val="00847009"/>
    <w:rsid w:val="00864ADE"/>
    <w:rsid w:val="00875275"/>
    <w:rsid w:val="00876E83"/>
    <w:rsid w:val="00877B66"/>
    <w:rsid w:val="008A02E6"/>
    <w:rsid w:val="008A37DD"/>
    <w:rsid w:val="008D0668"/>
    <w:rsid w:val="008E2466"/>
    <w:rsid w:val="008F59F8"/>
    <w:rsid w:val="00922D64"/>
    <w:rsid w:val="00935201"/>
    <w:rsid w:val="00950AF7"/>
    <w:rsid w:val="009861D0"/>
    <w:rsid w:val="009A218C"/>
    <w:rsid w:val="009A343C"/>
    <w:rsid w:val="009B49FD"/>
    <w:rsid w:val="009C3CBD"/>
    <w:rsid w:val="009E63A7"/>
    <w:rsid w:val="009E6AFC"/>
    <w:rsid w:val="009F114F"/>
    <w:rsid w:val="00A011EA"/>
    <w:rsid w:val="00A06767"/>
    <w:rsid w:val="00A35CA6"/>
    <w:rsid w:val="00A436A5"/>
    <w:rsid w:val="00A456E9"/>
    <w:rsid w:val="00A615BA"/>
    <w:rsid w:val="00A640D9"/>
    <w:rsid w:val="00A72205"/>
    <w:rsid w:val="00A74D51"/>
    <w:rsid w:val="00A91FD5"/>
    <w:rsid w:val="00A96DDC"/>
    <w:rsid w:val="00AA7877"/>
    <w:rsid w:val="00AA797C"/>
    <w:rsid w:val="00AB1729"/>
    <w:rsid w:val="00AB4215"/>
    <w:rsid w:val="00AD01C0"/>
    <w:rsid w:val="00AD156C"/>
    <w:rsid w:val="00AD2A15"/>
    <w:rsid w:val="00AF6B02"/>
    <w:rsid w:val="00B01558"/>
    <w:rsid w:val="00B12D35"/>
    <w:rsid w:val="00B20545"/>
    <w:rsid w:val="00B353D3"/>
    <w:rsid w:val="00B4421D"/>
    <w:rsid w:val="00B56444"/>
    <w:rsid w:val="00B72620"/>
    <w:rsid w:val="00B85D20"/>
    <w:rsid w:val="00B94C1A"/>
    <w:rsid w:val="00BB4634"/>
    <w:rsid w:val="00BB5BFD"/>
    <w:rsid w:val="00BC5AC7"/>
    <w:rsid w:val="00BD08B5"/>
    <w:rsid w:val="00BD396B"/>
    <w:rsid w:val="00C11F1D"/>
    <w:rsid w:val="00C167E5"/>
    <w:rsid w:val="00C32405"/>
    <w:rsid w:val="00C5239A"/>
    <w:rsid w:val="00C701CC"/>
    <w:rsid w:val="00C72904"/>
    <w:rsid w:val="00C8464E"/>
    <w:rsid w:val="00C8607F"/>
    <w:rsid w:val="00C90129"/>
    <w:rsid w:val="00CA675D"/>
    <w:rsid w:val="00CB3A48"/>
    <w:rsid w:val="00CC0188"/>
    <w:rsid w:val="00CC1C05"/>
    <w:rsid w:val="00CC59AD"/>
    <w:rsid w:val="00CC7478"/>
    <w:rsid w:val="00CD5040"/>
    <w:rsid w:val="00CD73C7"/>
    <w:rsid w:val="00CE7418"/>
    <w:rsid w:val="00CF07E1"/>
    <w:rsid w:val="00D01D94"/>
    <w:rsid w:val="00D03C88"/>
    <w:rsid w:val="00D141DD"/>
    <w:rsid w:val="00D22B6C"/>
    <w:rsid w:val="00D51492"/>
    <w:rsid w:val="00D520D1"/>
    <w:rsid w:val="00D76D8E"/>
    <w:rsid w:val="00D7754D"/>
    <w:rsid w:val="00D80852"/>
    <w:rsid w:val="00D87AB8"/>
    <w:rsid w:val="00D926B9"/>
    <w:rsid w:val="00D92FAA"/>
    <w:rsid w:val="00D966E4"/>
    <w:rsid w:val="00DA069E"/>
    <w:rsid w:val="00DA0DA3"/>
    <w:rsid w:val="00DA51D1"/>
    <w:rsid w:val="00DB6AB6"/>
    <w:rsid w:val="00DB7D1B"/>
    <w:rsid w:val="00DC40F1"/>
    <w:rsid w:val="00DC4695"/>
    <w:rsid w:val="00DD46DC"/>
    <w:rsid w:val="00DE5647"/>
    <w:rsid w:val="00DE7CEB"/>
    <w:rsid w:val="00E071CF"/>
    <w:rsid w:val="00E15DF8"/>
    <w:rsid w:val="00E632B0"/>
    <w:rsid w:val="00E6501C"/>
    <w:rsid w:val="00E73F3C"/>
    <w:rsid w:val="00E75819"/>
    <w:rsid w:val="00E8243B"/>
    <w:rsid w:val="00EA0DC9"/>
    <w:rsid w:val="00EB3ED7"/>
    <w:rsid w:val="00F01DC4"/>
    <w:rsid w:val="00F228EA"/>
    <w:rsid w:val="00F30DD3"/>
    <w:rsid w:val="00F31738"/>
    <w:rsid w:val="00F35F4E"/>
    <w:rsid w:val="00F40D4B"/>
    <w:rsid w:val="00F4263F"/>
    <w:rsid w:val="00F45032"/>
    <w:rsid w:val="00F5745A"/>
    <w:rsid w:val="00F65D4B"/>
    <w:rsid w:val="00F7355C"/>
    <w:rsid w:val="00F851A4"/>
    <w:rsid w:val="00FB23BB"/>
    <w:rsid w:val="00FB4E68"/>
    <w:rsid w:val="00FB5367"/>
    <w:rsid w:val="00FD7981"/>
    <w:rsid w:val="00FE5374"/>
    <w:rsid w:val="00FE77FB"/>
    <w:rsid w:val="00FF298F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7C40"/>
  <w15:chartTrackingRefBased/>
  <w15:docId w15:val="{2F9833D3-DC5C-44C3-BCD4-1E13559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FD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C5FD7"/>
    <w:pPr>
      <w:keepNext/>
      <w:jc w:val="center"/>
      <w:outlineLvl w:val="1"/>
    </w:pPr>
    <w:rPr>
      <w:b/>
      <w:bCs/>
      <w:caps/>
      <w:sz w:val="40"/>
    </w:rPr>
  </w:style>
  <w:style w:type="paragraph" w:styleId="Nadpis6">
    <w:name w:val="heading 6"/>
    <w:basedOn w:val="Normln"/>
    <w:next w:val="Normln"/>
    <w:link w:val="Nadpis6Char"/>
    <w:qFormat/>
    <w:rsid w:val="002C5FD7"/>
    <w:pPr>
      <w:keepNext/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C5FD7"/>
    <w:rPr>
      <w:rFonts w:ascii="Times New Roman" w:eastAsia="Times New Roman" w:hAnsi="Times New Roman" w:cs="Times New Roman"/>
      <w:b/>
      <w:bCs/>
      <w:caps/>
      <w:sz w:val="40"/>
      <w:szCs w:val="24"/>
      <w:lang w:eastAsia="cs-CZ"/>
    </w:rPr>
  </w:style>
  <w:style w:type="character" w:customStyle="1" w:styleId="Nadpis6Char">
    <w:name w:val="Nadpis 6 Char"/>
    <w:link w:val="Nadpis6"/>
    <w:rsid w:val="002C5FD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C5F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5F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C5FD7"/>
  </w:style>
  <w:style w:type="paragraph" w:styleId="Zkladntext3">
    <w:name w:val="Body Text 3"/>
    <w:basedOn w:val="Normln"/>
    <w:link w:val="Zkladntext3Char"/>
    <w:rsid w:val="002C5FD7"/>
    <w:rPr>
      <w:rFonts w:ascii="Tahoma" w:hAnsi="Tahoma"/>
      <w:sz w:val="28"/>
      <w:szCs w:val="20"/>
    </w:rPr>
  </w:style>
  <w:style w:type="character" w:customStyle="1" w:styleId="Zkladntext3Char">
    <w:name w:val="Základní text 3 Char"/>
    <w:link w:val="Zkladntext3"/>
    <w:rsid w:val="002C5FD7"/>
    <w:rPr>
      <w:rFonts w:ascii="Tahoma" w:eastAsia="Times New Roman" w:hAnsi="Tahoma" w:cs="Times New Roman"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4734"/>
    <w:rPr>
      <w:rFonts w:ascii="Tahoma" w:eastAsia="Calibri" w:hAnsi="Tahoma" w:cs="Tahoma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B4734"/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3209EE"/>
    <w:pPr>
      <w:jc w:val="both"/>
    </w:pPr>
    <w:rPr>
      <w:rFonts w:ascii="Tahoma" w:hAnsi="Tahoma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209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3209E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9E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3209EE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AB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6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6319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F475F"/>
    <w:pPr>
      <w:spacing w:before="150" w:after="30"/>
    </w:pPr>
    <w:rPr>
      <w:rFonts w:ascii="Verdana" w:eastAsiaTheme="minorHAnsi" w:hAnsi="Verdan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8</Pages>
  <Words>2067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Karel</dc:creator>
  <cp:keywords/>
  <cp:lastModifiedBy>Valová Jana</cp:lastModifiedBy>
  <cp:revision>63</cp:revision>
  <cp:lastPrinted>2020-08-04T11:52:00Z</cp:lastPrinted>
  <dcterms:created xsi:type="dcterms:W3CDTF">2020-07-27T11:58:00Z</dcterms:created>
  <dcterms:modified xsi:type="dcterms:W3CDTF">2020-08-18T07:14:00Z</dcterms:modified>
</cp:coreProperties>
</file>