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106F1C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F634D5">
        <w:rPr>
          <w:rFonts w:cs="Tahoma"/>
          <w:b/>
          <w:bCs/>
          <w:sz w:val="22"/>
          <w:szCs w:val="22"/>
        </w:rPr>
        <w:t>6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634D5">
        <w:rPr>
          <w:rFonts w:cs="Tahoma"/>
          <w:b/>
          <w:sz w:val="22"/>
          <w:szCs w:val="22"/>
        </w:rPr>
        <w:t>6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 w:rsidR="00F634D5">
        <w:rPr>
          <w:rFonts w:cs="Tahoma"/>
          <w:b/>
          <w:sz w:val="22"/>
          <w:szCs w:val="22"/>
        </w:rPr>
        <w:t>srpna</w:t>
      </w:r>
      <w:r w:rsidR="00FA1187">
        <w:rPr>
          <w:rFonts w:cs="Tahoma"/>
          <w:b/>
          <w:sz w:val="22"/>
          <w:szCs w:val="22"/>
        </w:rPr>
        <w:t xml:space="preserve"> 20</w:t>
      </w:r>
      <w:r w:rsidR="00D9471D">
        <w:rPr>
          <w:rFonts w:cs="Tahoma"/>
          <w:b/>
          <w:sz w:val="22"/>
          <w:szCs w:val="22"/>
        </w:rPr>
        <w:t>20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8737CB">
      <w:pPr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737CB" w:rsidRDefault="008737CB" w:rsidP="008737CB">
      <w:pPr>
        <w:spacing w:line="280" w:lineRule="exact"/>
        <w:rPr>
          <w:rFonts w:cs="Tahoma"/>
          <w:szCs w:val="20"/>
        </w:rPr>
      </w:pPr>
    </w:p>
    <w:p w:rsidR="00CB3B94" w:rsidRDefault="00CB3B94" w:rsidP="00CB3B94">
      <w:pPr>
        <w:pStyle w:val="Bezmezer"/>
        <w:rPr>
          <w:rFonts w:cs="Tahoma"/>
          <w:szCs w:val="20"/>
        </w:rPr>
      </w:pPr>
      <w:r>
        <w:rPr>
          <w:rFonts w:cs="Tahoma"/>
          <w:szCs w:val="20"/>
        </w:rPr>
        <w:t>26/205</w:t>
      </w:r>
    </w:p>
    <w:p w:rsidR="00CB3B94" w:rsidRPr="0051341E" w:rsidRDefault="00CB3B94" w:rsidP="00CB3B94">
      <w:pPr>
        <w:pStyle w:val="Odstavecseseznamem"/>
        <w:numPr>
          <w:ilvl w:val="0"/>
          <w:numId w:val="36"/>
        </w:numPr>
        <w:ind w:left="426"/>
        <w:rPr>
          <w:rFonts w:cs="Tahoma"/>
          <w:b/>
          <w:bCs/>
        </w:rPr>
      </w:pPr>
      <w:r w:rsidRPr="0051341E">
        <w:rPr>
          <w:rFonts w:cs="Tahoma"/>
          <w:b/>
          <w:bCs/>
        </w:rPr>
        <w:t>bere na vědomí</w:t>
      </w:r>
    </w:p>
    <w:p w:rsidR="00CB3B94" w:rsidRPr="0051341E" w:rsidRDefault="00CB3B94" w:rsidP="00CB3B94">
      <w:pPr>
        <w:numPr>
          <w:ilvl w:val="0"/>
          <w:numId w:val="5"/>
        </w:numPr>
        <w:spacing w:line="280" w:lineRule="exact"/>
        <w:ind w:left="709"/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>seznam žadatelů navržených na poskytnutí účelových dotací a zvýšení závazných ukazatelů příspěvku na provoz</w:t>
      </w:r>
    </w:p>
    <w:p w:rsidR="00CB3B94" w:rsidRPr="0051341E" w:rsidRDefault="00CB3B94" w:rsidP="00CB3B94">
      <w:pPr>
        <w:numPr>
          <w:ilvl w:val="0"/>
          <w:numId w:val="5"/>
        </w:numPr>
        <w:spacing w:line="280" w:lineRule="exact"/>
        <w:ind w:left="709"/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>pořadník náhradních žadatelů</w:t>
      </w:r>
    </w:p>
    <w:p w:rsidR="00CB3B94" w:rsidRPr="0051341E" w:rsidRDefault="00CB3B94" w:rsidP="00CB3B94">
      <w:pPr>
        <w:numPr>
          <w:ilvl w:val="0"/>
          <w:numId w:val="5"/>
        </w:numPr>
        <w:spacing w:after="120"/>
        <w:ind w:left="709" w:hanging="357"/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>seznam žadatelů, kterým se poskytnutí účelových dotací a zvýšení závazných ukazatelů příspěvku na provoz nenavrhuje</w:t>
      </w:r>
    </w:p>
    <w:p w:rsidR="00CB3B94" w:rsidRPr="0051341E" w:rsidRDefault="00CB3B94" w:rsidP="00CB3B94">
      <w:pPr>
        <w:pStyle w:val="Odstavecseseznamem"/>
        <w:numPr>
          <w:ilvl w:val="0"/>
          <w:numId w:val="36"/>
        </w:numPr>
        <w:ind w:left="426"/>
        <w:rPr>
          <w:rFonts w:cs="Tahoma"/>
          <w:b/>
          <w:bCs/>
        </w:rPr>
      </w:pPr>
      <w:r w:rsidRPr="0051341E">
        <w:rPr>
          <w:rFonts w:cs="Tahoma"/>
          <w:b/>
          <w:bCs/>
        </w:rPr>
        <w:t>doporučuje</w:t>
      </w:r>
    </w:p>
    <w:p w:rsidR="00CB3B94" w:rsidRPr="0051341E" w:rsidRDefault="00CB3B94" w:rsidP="00CB3B94">
      <w:pPr>
        <w:pStyle w:val="Odstavecseseznamem"/>
        <w:ind w:left="0"/>
        <w:jc w:val="both"/>
        <w:rPr>
          <w:rFonts w:cs="Tahoma"/>
          <w:bCs/>
          <w:kern w:val="28"/>
          <w:szCs w:val="32"/>
        </w:rPr>
      </w:pPr>
      <w:r w:rsidRPr="0051341E">
        <w:rPr>
          <w:rFonts w:cs="Tahoma"/>
          <w:bCs/>
          <w:kern w:val="28"/>
          <w:szCs w:val="32"/>
        </w:rPr>
        <w:t>radě kraje</w:t>
      </w:r>
    </w:p>
    <w:p w:rsidR="00CB3B94" w:rsidRPr="0051341E" w:rsidRDefault="00CB3B94" w:rsidP="00CB3B94">
      <w:pPr>
        <w:spacing w:after="120"/>
        <w:jc w:val="both"/>
        <w:rPr>
          <w:rFonts w:cs="Tahoma"/>
          <w:iCs/>
        </w:rPr>
      </w:pPr>
      <w:r w:rsidRPr="0051341E">
        <w:rPr>
          <w:rFonts w:cs="Tahoma"/>
          <w:iCs/>
        </w:rPr>
        <w:t>udělit výjimku z usnesení rady kraje č. 86/7563 ze dne 20. 4. 2020 z Opatření k řešení ekonomických dopadů COVID-19 na rozpočet kraje na rok 2020 u akce rozpočtu „</w:t>
      </w:r>
      <w:r w:rsidRPr="0051341E">
        <w:rPr>
          <w:rFonts w:cs="Tahoma"/>
        </w:rPr>
        <w:t xml:space="preserve">DP - Podpora aktivit v oblasti prevence rizikových projevů chování u dětí a mládeže“ </w:t>
      </w:r>
      <w:r w:rsidRPr="0051341E">
        <w:rPr>
          <w:rFonts w:cs="Tahoma"/>
          <w:iCs/>
        </w:rPr>
        <w:t>ve výši 2.000.000 Kč</w:t>
      </w:r>
    </w:p>
    <w:p w:rsidR="00CB3B94" w:rsidRPr="0051341E" w:rsidRDefault="00CB3B94" w:rsidP="00CB3B94">
      <w:pPr>
        <w:pStyle w:val="Odstavecseseznamem"/>
        <w:numPr>
          <w:ilvl w:val="0"/>
          <w:numId w:val="36"/>
        </w:numPr>
        <w:ind w:left="426"/>
        <w:rPr>
          <w:rFonts w:cs="Tahoma"/>
          <w:b/>
          <w:bCs/>
        </w:rPr>
      </w:pPr>
      <w:r w:rsidRPr="0051341E">
        <w:rPr>
          <w:rFonts w:cs="Tahoma"/>
          <w:b/>
          <w:bCs/>
        </w:rPr>
        <w:t>doporučuje</w:t>
      </w:r>
    </w:p>
    <w:p w:rsidR="00CB3B94" w:rsidRPr="0051341E" w:rsidRDefault="00CB3B94" w:rsidP="00CB3B94">
      <w:pPr>
        <w:pStyle w:val="Odstavecseseznamem"/>
        <w:ind w:left="0"/>
        <w:jc w:val="both"/>
        <w:rPr>
          <w:rFonts w:cs="Tahoma"/>
          <w:bCs/>
          <w:kern w:val="28"/>
          <w:szCs w:val="32"/>
        </w:rPr>
      </w:pPr>
      <w:r w:rsidRPr="0051341E">
        <w:rPr>
          <w:rFonts w:cs="Tahoma"/>
          <w:bCs/>
          <w:kern w:val="28"/>
          <w:szCs w:val="32"/>
        </w:rPr>
        <w:t>radě kraje</w:t>
      </w:r>
    </w:p>
    <w:p w:rsidR="00CB3B94" w:rsidRPr="0051341E" w:rsidRDefault="00CB3B94" w:rsidP="00CB3B94">
      <w:pPr>
        <w:numPr>
          <w:ilvl w:val="0"/>
          <w:numId w:val="35"/>
        </w:numPr>
        <w:spacing w:line="280" w:lineRule="exact"/>
        <w:ind w:left="709"/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>seznam žadatelů navržených na poskytnutí účelových dotací a zvýšení závazných ukazatelů příspěvku na provoz</w:t>
      </w:r>
    </w:p>
    <w:p w:rsidR="00CB3B94" w:rsidRPr="0051341E" w:rsidRDefault="00CB3B94" w:rsidP="00CB3B94">
      <w:pPr>
        <w:numPr>
          <w:ilvl w:val="0"/>
          <w:numId w:val="35"/>
        </w:numPr>
        <w:spacing w:line="280" w:lineRule="exact"/>
        <w:ind w:left="709"/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>pořadník náhradních žadatelů</w:t>
      </w:r>
    </w:p>
    <w:p w:rsidR="00CB3B94" w:rsidRPr="0051341E" w:rsidRDefault="00CB3B94" w:rsidP="00CB3B94">
      <w:pPr>
        <w:numPr>
          <w:ilvl w:val="0"/>
          <w:numId w:val="35"/>
        </w:numPr>
        <w:spacing w:after="120"/>
        <w:ind w:left="709" w:hanging="357"/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>seznam žadatelů, kterým se poskytnutí účelových dotací a zvýšení závazných ukazatelů příspěvku na provoz nenavrhuje</w:t>
      </w:r>
    </w:p>
    <w:p w:rsidR="00CB3B94" w:rsidRPr="0051341E" w:rsidRDefault="00CB3B94" w:rsidP="00CB3B94">
      <w:pPr>
        <w:pStyle w:val="Odstavecseseznamem"/>
        <w:numPr>
          <w:ilvl w:val="0"/>
          <w:numId w:val="36"/>
        </w:numPr>
        <w:ind w:left="426"/>
        <w:rPr>
          <w:rFonts w:cs="Tahoma"/>
          <w:b/>
          <w:bCs/>
        </w:rPr>
      </w:pPr>
      <w:r w:rsidRPr="0051341E">
        <w:rPr>
          <w:rFonts w:cs="Tahoma"/>
          <w:b/>
          <w:bCs/>
        </w:rPr>
        <w:t>doporučuje</w:t>
      </w:r>
    </w:p>
    <w:p w:rsidR="00CB3B94" w:rsidRPr="0051341E" w:rsidRDefault="00CB3B94" w:rsidP="00CB3B94">
      <w:pPr>
        <w:spacing w:line="280" w:lineRule="exact"/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>zastupitelstvu kraje</w:t>
      </w:r>
    </w:p>
    <w:p w:rsidR="00CB3B94" w:rsidRPr="0051341E" w:rsidRDefault="00CB3B94" w:rsidP="00CB3B94">
      <w:pPr>
        <w:spacing w:line="280" w:lineRule="exact"/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>rozhodnout</w:t>
      </w:r>
    </w:p>
    <w:p w:rsidR="00CB3B94" w:rsidRPr="0051341E" w:rsidRDefault="00CB3B94" w:rsidP="00CB3B94">
      <w:pPr>
        <w:numPr>
          <w:ilvl w:val="0"/>
          <w:numId w:val="37"/>
        </w:numPr>
        <w:spacing w:line="280" w:lineRule="exact"/>
        <w:ind w:left="709"/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>poskytnout účelové dotace z rozpočtu Moravskoslezského kraje na rok 2020 v rámci dotačního programu „Podpora aktivit v oblasti prevence rizikových projevů chování u dětí a mládeže na školní rok 2020/2021“ dle přílohy č. 1 předloženého materiálu a uzavřít s těmito žadateli smlouvu o poskytnutí dotace</w:t>
      </w:r>
    </w:p>
    <w:p w:rsidR="00CB3B94" w:rsidRPr="0051341E" w:rsidRDefault="00CB3B94" w:rsidP="00CB3B94">
      <w:pPr>
        <w:numPr>
          <w:ilvl w:val="0"/>
          <w:numId w:val="37"/>
        </w:numPr>
        <w:spacing w:line="280" w:lineRule="exact"/>
        <w:ind w:left="709"/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>poskytnout účelové dotace z rozpočtu Moravskoslezského kraje na rok 2020 v rámci dotačního programu „Podpora aktivit v oblasti prevence rizikových projevů chování u dětí a mládeže na školní rok 2020/2021“ náhradním žadatelům uvedeným v příloze č. 1 předloženého materiálu postupem podle čl. VI. dotačního programu a uzavřít s těmito žadateli smlouvu o poskytnutí dotace</w:t>
      </w:r>
    </w:p>
    <w:p w:rsidR="00CB3B94" w:rsidRPr="0051341E" w:rsidRDefault="00CB3B94" w:rsidP="00CB3B94">
      <w:pPr>
        <w:numPr>
          <w:ilvl w:val="0"/>
          <w:numId w:val="37"/>
        </w:numPr>
        <w:spacing w:line="280" w:lineRule="exact"/>
        <w:ind w:left="709"/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>neposkytnout účelové dotace z rozpočtu Moravskoslezského kraje na rok 2020 v rámci dotačního programu „Podpora aktivit v oblasti prevence rizikových projevů chování u dětí a mládeže na školní rok 2020/2021“ žadatelům dle přílohy č. 1 předloženého materiálu s odůvodněním dle předloženého materiálu</w:t>
      </w:r>
    </w:p>
    <w:p w:rsidR="00176EDB" w:rsidRPr="006509DF" w:rsidRDefault="00176EDB" w:rsidP="00176EDB">
      <w:bookmarkStart w:id="0" w:name="_GoBack"/>
      <w:bookmarkEnd w:id="0"/>
    </w:p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lastRenderedPageBreak/>
        <w:t>Za správnost výpisu</w:t>
      </w:r>
      <w:r w:rsidR="00ED02C3">
        <w:t xml:space="preserve">: </w:t>
      </w:r>
      <w:r w:rsidR="00106F1C">
        <w:t>Kateřina Kučková</w:t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F634D5">
        <w:rPr>
          <w:rFonts w:cs="Tahoma"/>
          <w:szCs w:val="20"/>
        </w:rPr>
        <w:t>6</w:t>
      </w:r>
      <w:r w:rsidR="00D9471D">
        <w:rPr>
          <w:rFonts w:cs="Tahoma"/>
          <w:szCs w:val="20"/>
        </w:rPr>
        <w:t xml:space="preserve">. </w:t>
      </w:r>
      <w:r w:rsidR="00F634D5">
        <w:rPr>
          <w:rFonts w:cs="Tahoma"/>
          <w:szCs w:val="20"/>
        </w:rPr>
        <w:t>srpna</w:t>
      </w:r>
      <w:r w:rsidR="00106F1C">
        <w:rPr>
          <w:rFonts w:cs="Tahoma"/>
          <w:szCs w:val="20"/>
        </w:rPr>
        <w:t xml:space="preserve"> 20</w:t>
      </w:r>
      <w:r w:rsidR="00D9471D">
        <w:rPr>
          <w:rFonts w:cs="Tahoma"/>
          <w:szCs w:val="20"/>
        </w:rPr>
        <w:t>20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742B34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RNDr.</w:t>
      </w:r>
      <w:r w:rsidR="00BA788B">
        <w:rPr>
          <w:rFonts w:cs="Tahoma"/>
          <w:szCs w:val="20"/>
        </w:rPr>
        <w:t xml:space="preserve"> Jan Veřmiřovský,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34C2"/>
    <w:multiLevelType w:val="hybridMultilevel"/>
    <w:tmpl w:val="BA88A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23602"/>
    <w:multiLevelType w:val="hybridMultilevel"/>
    <w:tmpl w:val="ED36E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C49E0"/>
    <w:multiLevelType w:val="hybridMultilevel"/>
    <w:tmpl w:val="E6EC8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D3F64"/>
    <w:multiLevelType w:val="hybridMultilevel"/>
    <w:tmpl w:val="02B2B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74742"/>
    <w:multiLevelType w:val="hybridMultilevel"/>
    <w:tmpl w:val="C818D0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B79BC"/>
    <w:multiLevelType w:val="hybridMultilevel"/>
    <w:tmpl w:val="3AD43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23F63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16EF5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35DB0"/>
    <w:multiLevelType w:val="hybridMultilevel"/>
    <w:tmpl w:val="C818D0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F5C01"/>
    <w:multiLevelType w:val="hybridMultilevel"/>
    <w:tmpl w:val="953CC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05195"/>
    <w:multiLevelType w:val="hybridMultilevel"/>
    <w:tmpl w:val="144C2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5395C"/>
    <w:multiLevelType w:val="hybridMultilevel"/>
    <w:tmpl w:val="AA94A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72C2E"/>
    <w:multiLevelType w:val="hybridMultilevel"/>
    <w:tmpl w:val="5192B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DB85682"/>
    <w:multiLevelType w:val="hybridMultilevel"/>
    <w:tmpl w:val="19C88E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8"/>
  </w:num>
  <w:num w:numId="3">
    <w:abstractNumId w:val="2"/>
  </w:num>
  <w:num w:numId="4">
    <w:abstractNumId w:val="7"/>
  </w:num>
  <w:num w:numId="5">
    <w:abstractNumId w:val="16"/>
  </w:num>
  <w:num w:numId="6">
    <w:abstractNumId w:val="13"/>
  </w:num>
  <w:num w:numId="7">
    <w:abstractNumId w:val="32"/>
  </w:num>
  <w:num w:numId="8">
    <w:abstractNumId w:val="10"/>
  </w:num>
  <w:num w:numId="9">
    <w:abstractNumId w:val="19"/>
  </w:num>
  <w:num w:numId="10">
    <w:abstractNumId w:val="36"/>
  </w:num>
  <w:num w:numId="11">
    <w:abstractNumId w:val="3"/>
  </w:num>
  <w:num w:numId="12">
    <w:abstractNumId w:val="27"/>
  </w:num>
  <w:num w:numId="13">
    <w:abstractNumId w:val="34"/>
  </w:num>
  <w:num w:numId="14">
    <w:abstractNumId w:val="18"/>
  </w:num>
  <w:num w:numId="15">
    <w:abstractNumId w:val="4"/>
  </w:num>
  <w:num w:numId="16">
    <w:abstractNumId w:val="29"/>
  </w:num>
  <w:num w:numId="17">
    <w:abstractNumId w:val="15"/>
  </w:num>
  <w:num w:numId="18">
    <w:abstractNumId w:val="30"/>
  </w:num>
  <w:num w:numId="19">
    <w:abstractNumId w:val="8"/>
  </w:num>
  <w:num w:numId="20">
    <w:abstractNumId w:val="24"/>
  </w:num>
  <w:num w:numId="21">
    <w:abstractNumId w:val="6"/>
  </w:num>
  <w:num w:numId="22">
    <w:abstractNumId w:val="9"/>
  </w:num>
  <w:num w:numId="23">
    <w:abstractNumId w:val="1"/>
  </w:num>
  <w:num w:numId="24">
    <w:abstractNumId w:val="14"/>
  </w:num>
  <w:num w:numId="25">
    <w:abstractNumId w:val="5"/>
  </w:num>
  <w:num w:numId="26">
    <w:abstractNumId w:val="11"/>
  </w:num>
  <w:num w:numId="27">
    <w:abstractNumId w:val="12"/>
  </w:num>
  <w:num w:numId="28">
    <w:abstractNumId w:val="31"/>
  </w:num>
  <w:num w:numId="29">
    <w:abstractNumId w:val="26"/>
  </w:num>
  <w:num w:numId="30">
    <w:abstractNumId w:val="20"/>
  </w:num>
  <w:num w:numId="31">
    <w:abstractNumId w:val="25"/>
  </w:num>
  <w:num w:numId="32">
    <w:abstractNumId w:val="35"/>
  </w:num>
  <w:num w:numId="33">
    <w:abstractNumId w:val="23"/>
  </w:num>
  <w:num w:numId="34">
    <w:abstractNumId w:val="33"/>
  </w:num>
  <w:num w:numId="35">
    <w:abstractNumId w:val="22"/>
  </w:num>
  <w:num w:numId="36">
    <w:abstractNumId w:val="17"/>
  </w:num>
  <w:num w:numId="37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71625"/>
    <w:rsid w:val="0009000F"/>
    <w:rsid w:val="000E5633"/>
    <w:rsid w:val="000E7722"/>
    <w:rsid w:val="000F2064"/>
    <w:rsid w:val="000F22FE"/>
    <w:rsid w:val="000F24BC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205508"/>
    <w:rsid w:val="002315C9"/>
    <w:rsid w:val="00234FC2"/>
    <w:rsid w:val="002745CD"/>
    <w:rsid w:val="00274A20"/>
    <w:rsid w:val="00274D1A"/>
    <w:rsid w:val="00285715"/>
    <w:rsid w:val="002A330A"/>
    <w:rsid w:val="002B5242"/>
    <w:rsid w:val="002B5BF6"/>
    <w:rsid w:val="002B7950"/>
    <w:rsid w:val="002B798A"/>
    <w:rsid w:val="002D5AD1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3A8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5C6835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0843"/>
    <w:rsid w:val="00845956"/>
    <w:rsid w:val="00857A52"/>
    <w:rsid w:val="0086155F"/>
    <w:rsid w:val="008737CB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36C24"/>
    <w:rsid w:val="00B56E03"/>
    <w:rsid w:val="00B65528"/>
    <w:rsid w:val="00B84FD2"/>
    <w:rsid w:val="00BA507F"/>
    <w:rsid w:val="00BA788B"/>
    <w:rsid w:val="00BB60D3"/>
    <w:rsid w:val="00C01605"/>
    <w:rsid w:val="00C04495"/>
    <w:rsid w:val="00C5569F"/>
    <w:rsid w:val="00C55EAD"/>
    <w:rsid w:val="00C5643A"/>
    <w:rsid w:val="00C64879"/>
    <w:rsid w:val="00C65191"/>
    <w:rsid w:val="00C730A0"/>
    <w:rsid w:val="00C933EC"/>
    <w:rsid w:val="00CB3219"/>
    <w:rsid w:val="00CB3B94"/>
    <w:rsid w:val="00CB442B"/>
    <w:rsid w:val="00CB54C7"/>
    <w:rsid w:val="00D30DCD"/>
    <w:rsid w:val="00D41062"/>
    <w:rsid w:val="00D82FF4"/>
    <w:rsid w:val="00D84DE2"/>
    <w:rsid w:val="00D91804"/>
    <w:rsid w:val="00D9471D"/>
    <w:rsid w:val="00DA5407"/>
    <w:rsid w:val="00DB1616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34D5"/>
    <w:rsid w:val="00F65A57"/>
    <w:rsid w:val="00F71BCC"/>
    <w:rsid w:val="00F72F29"/>
    <w:rsid w:val="00F81E0D"/>
    <w:rsid w:val="00F900F6"/>
    <w:rsid w:val="00F933BE"/>
    <w:rsid w:val="00F9522E"/>
    <w:rsid w:val="00F96A3C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135</cp:revision>
  <cp:lastPrinted>2017-02-20T09:06:00Z</cp:lastPrinted>
  <dcterms:created xsi:type="dcterms:W3CDTF">2017-05-19T07:07:00Z</dcterms:created>
  <dcterms:modified xsi:type="dcterms:W3CDTF">2020-08-04T05:29:00Z</dcterms:modified>
</cp:coreProperties>
</file>