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E2C" w:rsidRPr="00654E2C" w:rsidRDefault="00654E2C" w:rsidP="00654E2C">
      <w:pPr>
        <w:widowControl w:val="0"/>
        <w:jc w:val="center"/>
        <w:rPr>
          <w:rFonts w:ascii="Tahoma" w:eastAsia="Times New Roman" w:hAnsi="Tahoma" w:cs="Tahoma"/>
          <w:b/>
          <w:bCs/>
          <w:caps/>
          <w:sz w:val="36"/>
          <w:szCs w:val="20"/>
          <w:lang w:eastAsia="cs-CZ"/>
        </w:rPr>
      </w:pPr>
      <w:r w:rsidRPr="00654E2C">
        <w:rPr>
          <w:rFonts w:ascii="Tahoma" w:eastAsia="Times New Roman" w:hAnsi="Tahoma" w:cs="Tahoma"/>
          <w:b/>
          <w:bCs/>
          <w:caps/>
          <w:sz w:val="36"/>
          <w:szCs w:val="20"/>
          <w:lang w:eastAsia="cs-CZ"/>
        </w:rPr>
        <w:t xml:space="preserve">Moravskoslezský kraj </w:t>
      </w: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40"/>
          <w:szCs w:val="40"/>
        </w:rPr>
      </w:pPr>
      <w:r w:rsidRPr="0048769D">
        <w:rPr>
          <w:rFonts w:ascii="Tahoma" w:hAnsi="Tahoma" w:cs="Tahoma"/>
          <w:b/>
          <w:sz w:val="40"/>
          <w:szCs w:val="40"/>
        </w:rPr>
        <w:t>Podmínky dotačního Programu na podporu poskytování sociálních služeb a způsobu rozdělení a čerpání dotace</w:t>
      </w:r>
      <w:r w:rsidR="00977A34">
        <w:rPr>
          <w:rFonts w:ascii="Tahoma" w:hAnsi="Tahoma" w:cs="Tahoma"/>
          <w:b/>
          <w:sz w:val="40"/>
          <w:szCs w:val="40"/>
        </w:rPr>
        <w:t xml:space="preserve"> </w:t>
      </w:r>
      <w:r w:rsidRPr="0048769D">
        <w:rPr>
          <w:rFonts w:ascii="Tahoma" w:hAnsi="Tahoma" w:cs="Tahoma"/>
          <w:b/>
          <w:sz w:val="40"/>
          <w:szCs w:val="40"/>
        </w:rPr>
        <w:t>z kapitoly 313 – MPSV</w:t>
      </w:r>
      <w:r w:rsidR="00977A34">
        <w:rPr>
          <w:rFonts w:ascii="Tahoma" w:hAnsi="Tahoma" w:cs="Tahoma"/>
          <w:b/>
          <w:sz w:val="40"/>
          <w:szCs w:val="40"/>
        </w:rPr>
        <w:t xml:space="preserve"> státního rozpočtu</w:t>
      </w:r>
    </w:p>
    <w:p w:rsid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28"/>
          <w:szCs w:val="28"/>
        </w:rPr>
      </w:pPr>
      <w:r w:rsidRPr="00654E2C">
        <w:rPr>
          <w:rFonts w:ascii="Tahoma" w:hAnsi="Tahoma" w:cs="Tahoma"/>
          <w:b/>
          <w:sz w:val="28"/>
          <w:szCs w:val="28"/>
        </w:rPr>
        <w:t xml:space="preserve">Dodatek č. </w:t>
      </w:r>
      <w:r w:rsidR="00DF3E67">
        <w:rPr>
          <w:rFonts w:ascii="Tahoma" w:hAnsi="Tahoma" w:cs="Tahoma"/>
          <w:b/>
          <w:sz w:val="28"/>
          <w:szCs w:val="28"/>
        </w:rPr>
        <w:t>5</w:t>
      </w: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Default="00654E2C" w:rsidP="00654E2C">
      <w:pPr>
        <w:jc w:val="center"/>
        <w:rPr>
          <w:rFonts w:ascii="Tahoma" w:hAnsi="Tahoma" w:cs="Tahoma"/>
          <w:b/>
          <w:sz w:val="40"/>
          <w:szCs w:val="40"/>
        </w:rPr>
      </w:pPr>
    </w:p>
    <w:p w:rsid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17CD9" w:rsidRDefault="00654E2C" w:rsidP="00654E2C">
      <w:pPr>
        <w:pStyle w:val="Nadpis6"/>
        <w:spacing w:before="0" w:after="0"/>
        <w:jc w:val="center"/>
        <w:rPr>
          <w:rFonts w:ascii="Tahoma" w:hAnsi="Tahoma" w:cs="Tahoma"/>
          <w:b w:val="0"/>
          <w:sz w:val="20"/>
          <w:szCs w:val="20"/>
        </w:rPr>
      </w:pPr>
      <w:r w:rsidRPr="00617CD9">
        <w:rPr>
          <w:rFonts w:ascii="Tahoma" w:hAnsi="Tahoma" w:cs="Tahoma"/>
          <w:b w:val="0"/>
          <w:sz w:val="20"/>
          <w:szCs w:val="20"/>
        </w:rPr>
        <w:t xml:space="preserve">Schváleno usnesením zastupitelstva kraje č. ……… ze dne </w:t>
      </w:r>
      <w:r w:rsidR="00765D23">
        <w:rPr>
          <w:rFonts w:ascii="Tahoma" w:hAnsi="Tahoma" w:cs="Tahoma"/>
          <w:b w:val="0"/>
          <w:sz w:val="20"/>
          <w:szCs w:val="20"/>
        </w:rPr>
        <w:t xml:space="preserve">3. </w:t>
      </w:r>
      <w:r w:rsidR="00DF3E67">
        <w:rPr>
          <w:rFonts w:ascii="Tahoma" w:hAnsi="Tahoma" w:cs="Tahoma"/>
          <w:b w:val="0"/>
          <w:sz w:val="20"/>
          <w:szCs w:val="20"/>
        </w:rPr>
        <w:t>9</w:t>
      </w:r>
      <w:r w:rsidR="00765D23">
        <w:rPr>
          <w:rFonts w:ascii="Tahoma" w:hAnsi="Tahoma" w:cs="Tahoma"/>
          <w:b w:val="0"/>
          <w:sz w:val="20"/>
          <w:szCs w:val="20"/>
        </w:rPr>
        <w:t>. 20</w:t>
      </w:r>
      <w:r w:rsidR="00DF3E67">
        <w:rPr>
          <w:rFonts w:ascii="Tahoma" w:hAnsi="Tahoma" w:cs="Tahoma"/>
          <w:b w:val="0"/>
          <w:sz w:val="20"/>
          <w:szCs w:val="20"/>
        </w:rPr>
        <w:t>20</w:t>
      </w:r>
    </w:p>
    <w:p w:rsidR="00654E2C" w:rsidRPr="00617CD9" w:rsidRDefault="00654E2C" w:rsidP="00654E2C">
      <w:pPr>
        <w:pStyle w:val="Nadpis6"/>
        <w:spacing w:before="0" w:after="0"/>
        <w:jc w:val="center"/>
        <w:rPr>
          <w:rFonts w:ascii="Tahoma" w:hAnsi="Tahoma" w:cs="Tahoma"/>
          <w:b w:val="0"/>
          <w:sz w:val="20"/>
          <w:szCs w:val="20"/>
        </w:rPr>
      </w:pPr>
      <w:r w:rsidRPr="00617CD9">
        <w:rPr>
          <w:rFonts w:ascii="Tahoma" w:hAnsi="Tahoma" w:cs="Tahoma"/>
          <w:b w:val="0"/>
          <w:sz w:val="20"/>
          <w:szCs w:val="20"/>
        </w:rPr>
        <w:t>s účinností ode dne</w:t>
      </w:r>
      <w:r w:rsidRPr="00617CD9">
        <w:rPr>
          <w:rFonts w:ascii="Tahoma" w:hAnsi="Tahoma" w:cs="Tahoma"/>
          <w:b w:val="0"/>
          <w:color w:val="000000" w:themeColor="text1"/>
          <w:sz w:val="20"/>
          <w:szCs w:val="20"/>
        </w:rPr>
        <w:t xml:space="preserve"> </w:t>
      </w:r>
      <w:r w:rsidR="00DF3E67">
        <w:rPr>
          <w:rFonts w:ascii="Tahoma" w:hAnsi="Tahoma" w:cs="Tahoma"/>
          <w:b w:val="0"/>
          <w:color w:val="000000" w:themeColor="text1"/>
          <w:sz w:val="20"/>
          <w:szCs w:val="20"/>
        </w:rPr>
        <w:t>3</w:t>
      </w:r>
      <w:r w:rsidR="00765D23">
        <w:rPr>
          <w:rFonts w:ascii="Tahoma" w:hAnsi="Tahoma" w:cs="Tahoma"/>
          <w:b w:val="0"/>
          <w:color w:val="000000" w:themeColor="text1"/>
          <w:sz w:val="20"/>
          <w:szCs w:val="20"/>
        </w:rPr>
        <w:t xml:space="preserve">. </w:t>
      </w:r>
      <w:r w:rsidR="00DF3E67">
        <w:rPr>
          <w:rFonts w:ascii="Tahoma" w:hAnsi="Tahoma" w:cs="Tahoma"/>
          <w:b w:val="0"/>
          <w:color w:val="000000" w:themeColor="text1"/>
          <w:sz w:val="20"/>
          <w:szCs w:val="20"/>
        </w:rPr>
        <w:t>9</w:t>
      </w:r>
      <w:r w:rsidR="00765D23">
        <w:rPr>
          <w:rFonts w:ascii="Tahoma" w:hAnsi="Tahoma" w:cs="Tahoma"/>
          <w:b w:val="0"/>
          <w:color w:val="000000" w:themeColor="text1"/>
          <w:sz w:val="20"/>
          <w:szCs w:val="20"/>
        </w:rPr>
        <w:t>. 20</w:t>
      </w:r>
      <w:r w:rsidR="00DF3E67">
        <w:rPr>
          <w:rFonts w:ascii="Tahoma" w:hAnsi="Tahoma" w:cs="Tahoma"/>
          <w:b w:val="0"/>
          <w:color w:val="000000" w:themeColor="text1"/>
          <w:sz w:val="20"/>
          <w:szCs w:val="20"/>
        </w:rPr>
        <w:t>20</w:t>
      </w:r>
    </w:p>
    <w:p w:rsidR="00654E2C" w:rsidRPr="00617CD9" w:rsidRDefault="00654E2C" w:rsidP="00654E2C">
      <w:pPr>
        <w:pStyle w:val="Nzev"/>
        <w:rPr>
          <w:rFonts w:ascii="Tahoma" w:hAnsi="Tahoma" w:cs="Tahoma"/>
          <w:spacing w:val="20"/>
          <w:sz w:val="20"/>
          <w:szCs w:val="20"/>
        </w:rPr>
      </w:pPr>
      <w:r w:rsidRPr="00617CD9">
        <w:rPr>
          <w:rFonts w:ascii="Tahoma" w:hAnsi="Tahoma" w:cs="Tahoma"/>
          <w:sz w:val="20"/>
          <w:szCs w:val="20"/>
        </w:rPr>
        <w:br w:type="page"/>
      </w:r>
    </w:p>
    <w:p w:rsidR="00654E2C" w:rsidRPr="0048769D" w:rsidRDefault="00654E2C" w:rsidP="00654E2C">
      <w:pPr>
        <w:jc w:val="center"/>
        <w:rPr>
          <w:rFonts w:ascii="Tahoma" w:hAnsi="Tahoma" w:cs="Tahoma"/>
          <w:sz w:val="20"/>
          <w:szCs w:val="20"/>
        </w:rPr>
      </w:pPr>
      <w:r w:rsidRPr="0048769D">
        <w:rPr>
          <w:rFonts w:ascii="Tahoma" w:hAnsi="Tahoma" w:cs="Tahoma"/>
          <w:b/>
          <w:sz w:val="20"/>
          <w:szCs w:val="20"/>
        </w:rPr>
        <w:lastRenderedPageBreak/>
        <w:t>Podmínky dotačního Programu na podporu poskytování sociálních služeb a</w:t>
      </w:r>
      <w:r w:rsidR="00D94C82" w:rsidRPr="0048769D">
        <w:rPr>
          <w:rFonts w:ascii="Tahoma" w:hAnsi="Tahoma" w:cs="Tahoma"/>
          <w:b/>
          <w:sz w:val="20"/>
          <w:szCs w:val="20"/>
        </w:rPr>
        <w:t> </w:t>
      </w:r>
      <w:r w:rsidRPr="0048769D">
        <w:rPr>
          <w:rFonts w:ascii="Tahoma" w:hAnsi="Tahoma" w:cs="Tahoma"/>
          <w:b/>
          <w:sz w:val="20"/>
          <w:szCs w:val="20"/>
        </w:rPr>
        <w:t>způsobu rozdělení a čerpání dotace</w:t>
      </w:r>
      <w:r w:rsidR="00977A34">
        <w:rPr>
          <w:rFonts w:ascii="Tahoma" w:hAnsi="Tahoma" w:cs="Tahoma"/>
          <w:b/>
          <w:sz w:val="20"/>
          <w:szCs w:val="20"/>
        </w:rPr>
        <w:t xml:space="preserve"> </w:t>
      </w:r>
      <w:r w:rsidRPr="0048769D">
        <w:rPr>
          <w:rFonts w:ascii="Tahoma" w:hAnsi="Tahoma" w:cs="Tahoma"/>
          <w:b/>
          <w:sz w:val="20"/>
          <w:szCs w:val="20"/>
        </w:rPr>
        <w:t>z kapitoly 313 – MPSV</w:t>
      </w:r>
      <w:r w:rsidR="00977A34">
        <w:rPr>
          <w:rFonts w:ascii="Tahoma" w:hAnsi="Tahoma" w:cs="Tahoma"/>
          <w:b/>
          <w:sz w:val="20"/>
          <w:szCs w:val="20"/>
        </w:rPr>
        <w:t xml:space="preserve"> státního rozpočtu</w:t>
      </w:r>
    </w:p>
    <w:p w:rsidR="00654E2C" w:rsidRPr="00617CD9" w:rsidRDefault="00654E2C" w:rsidP="00654E2C">
      <w:pPr>
        <w:pStyle w:val="Nadpis1"/>
        <w:rPr>
          <w:rFonts w:ascii="Tahoma" w:hAnsi="Tahoma" w:cs="Tahoma"/>
          <w:b w:val="0"/>
          <w:bCs w:val="0"/>
          <w:sz w:val="20"/>
          <w:szCs w:val="20"/>
        </w:rPr>
      </w:pPr>
      <w:r w:rsidRPr="0048769D">
        <w:rPr>
          <w:rFonts w:ascii="Tahoma" w:hAnsi="Tahoma" w:cs="Tahoma"/>
          <w:b w:val="0"/>
          <w:bCs w:val="0"/>
          <w:sz w:val="20"/>
          <w:szCs w:val="20"/>
        </w:rPr>
        <w:t xml:space="preserve">Dodatek č. </w:t>
      </w:r>
      <w:r w:rsidR="0048769D">
        <w:rPr>
          <w:rFonts w:ascii="Tahoma" w:hAnsi="Tahoma" w:cs="Tahoma"/>
          <w:b w:val="0"/>
          <w:bCs w:val="0"/>
          <w:sz w:val="20"/>
          <w:szCs w:val="20"/>
        </w:rPr>
        <w:t>5</w:t>
      </w:r>
    </w:p>
    <w:p w:rsidR="00654E2C" w:rsidRPr="00617CD9" w:rsidRDefault="00654E2C" w:rsidP="00654E2C">
      <w:pPr>
        <w:jc w:val="center"/>
        <w:rPr>
          <w:rFonts w:ascii="Tahoma" w:hAnsi="Tahoma" w:cs="Tahoma"/>
          <w:sz w:val="20"/>
          <w:szCs w:val="20"/>
        </w:rPr>
      </w:pPr>
    </w:p>
    <w:p w:rsidR="00654E2C" w:rsidRPr="00617CD9" w:rsidRDefault="00654E2C" w:rsidP="00654E2C">
      <w:pPr>
        <w:pStyle w:val="Nadpis3"/>
        <w:rPr>
          <w:rFonts w:ascii="Tahoma" w:hAnsi="Tahoma" w:cs="Tahoma"/>
          <w:sz w:val="20"/>
          <w:szCs w:val="20"/>
        </w:rPr>
      </w:pPr>
      <w:r w:rsidRPr="00617CD9">
        <w:rPr>
          <w:rFonts w:ascii="Tahoma" w:hAnsi="Tahoma" w:cs="Tahoma"/>
          <w:sz w:val="20"/>
          <w:szCs w:val="20"/>
        </w:rPr>
        <w:t>Čl. I</w:t>
      </w:r>
    </w:p>
    <w:p w:rsidR="00654E2C" w:rsidRPr="00617CD9" w:rsidRDefault="00654E2C" w:rsidP="00654E2C">
      <w:pPr>
        <w:jc w:val="center"/>
        <w:rPr>
          <w:rFonts w:ascii="Tahoma" w:hAnsi="Tahoma" w:cs="Tahoma"/>
          <w:b/>
          <w:sz w:val="20"/>
          <w:szCs w:val="20"/>
        </w:rPr>
      </w:pPr>
    </w:p>
    <w:tbl>
      <w:tblPr>
        <w:tblW w:w="9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95"/>
        <w:gridCol w:w="421"/>
        <w:gridCol w:w="722"/>
        <w:gridCol w:w="142"/>
        <w:gridCol w:w="7218"/>
      </w:tblGrid>
      <w:tr w:rsidR="00654E2C" w:rsidRPr="00617CD9" w:rsidTr="000414D7">
        <w:trPr>
          <w:cantSplit/>
        </w:trPr>
        <w:tc>
          <w:tcPr>
            <w:tcW w:w="9198" w:type="dxa"/>
            <w:gridSpan w:val="5"/>
            <w:hideMark/>
          </w:tcPr>
          <w:p w:rsidR="00654E2C" w:rsidRPr="00617CD9" w:rsidRDefault="00654E2C" w:rsidP="00996BB3">
            <w:pPr>
              <w:spacing w:after="0"/>
              <w:jc w:val="both"/>
              <w:rPr>
                <w:rFonts w:ascii="Tahoma" w:hAnsi="Tahoma" w:cs="Tahoma"/>
                <w:b/>
                <w:bCs/>
                <w:sz w:val="20"/>
                <w:szCs w:val="20"/>
              </w:rPr>
            </w:pPr>
            <w:r w:rsidRPr="00617CD9">
              <w:rPr>
                <w:rFonts w:ascii="Tahoma" w:hAnsi="Tahoma" w:cs="Tahoma"/>
                <w:sz w:val="20"/>
                <w:szCs w:val="20"/>
              </w:rPr>
              <w:t xml:space="preserve">Podmínky dotačního Programu na podporu poskytování sociálních služeb a způsobu rozdělení a čerpání dotace z kapitoly 313 – MPSV </w:t>
            </w:r>
            <w:r w:rsidR="00977A34">
              <w:rPr>
                <w:rFonts w:ascii="Tahoma" w:hAnsi="Tahoma" w:cs="Tahoma"/>
                <w:sz w:val="20"/>
                <w:szCs w:val="20"/>
              </w:rPr>
              <w:t xml:space="preserve">státního rozpočtu </w:t>
            </w:r>
            <w:r w:rsidRPr="00617CD9">
              <w:rPr>
                <w:rFonts w:ascii="Tahoma" w:hAnsi="Tahoma" w:cs="Tahoma"/>
                <w:sz w:val="20"/>
                <w:szCs w:val="20"/>
              </w:rPr>
              <w:t xml:space="preserve">se mění </w:t>
            </w:r>
            <w:r w:rsidRPr="00617CD9">
              <w:rPr>
                <w:rFonts w:ascii="Tahoma" w:hAnsi="Tahoma" w:cs="Tahoma"/>
                <w:bCs/>
                <w:sz w:val="20"/>
                <w:szCs w:val="20"/>
              </w:rPr>
              <w:t>takto:</w:t>
            </w:r>
          </w:p>
        </w:tc>
      </w:tr>
      <w:tr w:rsidR="00197D24" w:rsidRPr="00617CD9" w:rsidTr="00197D24">
        <w:trPr>
          <w:cantSplit/>
        </w:trPr>
        <w:tc>
          <w:tcPr>
            <w:tcW w:w="695" w:type="dxa"/>
          </w:tcPr>
          <w:p w:rsidR="00197D24" w:rsidRPr="00617CD9" w:rsidRDefault="00197D24" w:rsidP="00BC3C5B">
            <w:pPr>
              <w:spacing w:after="0"/>
              <w:rPr>
                <w:rFonts w:ascii="Tahoma" w:hAnsi="Tahoma" w:cs="Tahoma"/>
                <w:sz w:val="20"/>
                <w:szCs w:val="20"/>
              </w:rPr>
            </w:pPr>
            <w:r>
              <w:rPr>
                <w:rFonts w:ascii="Tahoma" w:hAnsi="Tahoma" w:cs="Tahoma"/>
                <w:sz w:val="20"/>
                <w:szCs w:val="20"/>
              </w:rPr>
              <w:t xml:space="preserve"> (1)</w:t>
            </w:r>
          </w:p>
        </w:tc>
        <w:tc>
          <w:tcPr>
            <w:tcW w:w="8503" w:type="dxa"/>
            <w:gridSpan w:val="4"/>
          </w:tcPr>
          <w:p w:rsidR="00197D24" w:rsidRPr="0048769D" w:rsidRDefault="00197D24" w:rsidP="00AD0D66">
            <w:pPr>
              <w:spacing w:after="0"/>
              <w:jc w:val="both"/>
              <w:rPr>
                <w:rFonts w:ascii="Tahoma" w:hAnsi="Tahoma" w:cs="Tahoma"/>
                <w:sz w:val="20"/>
                <w:szCs w:val="20"/>
              </w:rPr>
            </w:pPr>
            <w:r w:rsidRPr="0048769D">
              <w:rPr>
                <w:rFonts w:ascii="Tahoma" w:hAnsi="Tahoma" w:cs="Tahoma"/>
                <w:sz w:val="20"/>
                <w:szCs w:val="20"/>
              </w:rPr>
              <w:t>Původní název</w:t>
            </w:r>
            <w:r w:rsidR="0048769D" w:rsidRPr="0048769D">
              <w:rPr>
                <w:rFonts w:ascii="Tahoma" w:hAnsi="Tahoma" w:cs="Tahoma"/>
                <w:sz w:val="20"/>
                <w:szCs w:val="20"/>
              </w:rPr>
              <w:t xml:space="preserve"> dotačního programu:</w:t>
            </w:r>
            <w:r w:rsidRPr="0048769D">
              <w:rPr>
                <w:rFonts w:ascii="Tahoma" w:hAnsi="Tahoma" w:cs="Tahoma"/>
                <w:sz w:val="20"/>
                <w:szCs w:val="20"/>
              </w:rPr>
              <w:t xml:space="preserve"> „Podmínky dotačního Programu na podporu poskytování sociálních služeb a</w:t>
            </w:r>
            <w:r w:rsidR="00953CF1" w:rsidRPr="0048769D">
              <w:rPr>
                <w:rFonts w:ascii="Tahoma" w:hAnsi="Tahoma" w:cs="Tahoma"/>
                <w:sz w:val="20"/>
                <w:szCs w:val="20"/>
              </w:rPr>
              <w:t> </w:t>
            </w:r>
            <w:r w:rsidRPr="0048769D">
              <w:rPr>
                <w:rFonts w:ascii="Tahoma" w:hAnsi="Tahoma" w:cs="Tahoma"/>
                <w:sz w:val="20"/>
                <w:szCs w:val="20"/>
              </w:rPr>
              <w:t>způsobu rozdělení a čerpání dotace z kapitoly 313 – MPSV státního rozpočtu“ se</w:t>
            </w:r>
            <w:r w:rsidR="00953CF1" w:rsidRPr="0048769D">
              <w:rPr>
                <w:rFonts w:ascii="Tahoma" w:hAnsi="Tahoma" w:cs="Tahoma"/>
                <w:sz w:val="20"/>
                <w:szCs w:val="20"/>
              </w:rPr>
              <w:t> </w:t>
            </w:r>
            <w:r w:rsidRPr="0048769D">
              <w:rPr>
                <w:rFonts w:ascii="Tahoma" w:hAnsi="Tahoma" w:cs="Tahoma"/>
                <w:sz w:val="20"/>
                <w:szCs w:val="20"/>
              </w:rPr>
              <w:t>mění a nově zní: „Podmínky dotačního Programu na podporu poskytování sociálních služeb financovan</w:t>
            </w:r>
            <w:r w:rsidR="00953CF1" w:rsidRPr="0048769D">
              <w:rPr>
                <w:rFonts w:ascii="Tahoma" w:hAnsi="Tahoma" w:cs="Tahoma"/>
                <w:sz w:val="20"/>
                <w:szCs w:val="20"/>
              </w:rPr>
              <w:t>ého</w:t>
            </w:r>
            <w:r w:rsidRPr="0048769D">
              <w:rPr>
                <w:rFonts w:ascii="Tahoma" w:hAnsi="Tahoma" w:cs="Tahoma"/>
                <w:sz w:val="20"/>
                <w:szCs w:val="20"/>
              </w:rPr>
              <w:t xml:space="preserve"> z kapitoly 313 – MPSV státního rozpočtu“.</w:t>
            </w:r>
          </w:p>
        </w:tc>
      </w:tr>
      <w:tr w:rsidR="00197D24" w:rsidRPr="00617CD9" w:rsidTr="00197D24">
        <w:trPr>
          <w:cantSplit/>
        </w:trPr>
        <w:tc>
          <w:tcPr>
            <w:tcW w:w="695" w:type="dxa"/>
          </w:tcPr>
          <w:p w:rsidR="00197D24" w:rsidRDefault="00197D24" w:rsidP="00BC3C5B">
            <w:pPr>
              <w:spacing w:after="0"/>
              <w:rPr>
                <w:rFonts w:ascii="Tahoma" w:hAnsi="Tahoma" w:cs="Tahoma"/>
                <w:sz w:val="20"/>
                <w:szCs w:val="20"/>
              </w:rPr>
            </w:pPr>
            <w:r>
              <w:rPr>
                <w:rFonts w:ascii="Tahoma" w:hAnsi="Tahoma" w:cs="Tahoma"/>
                <w:sz w:val="20"/>
                <w:szCs w:val="20"/>
              </w:rPr>
              <w:t xml:space="preserve"> (2)</w:t>
            </w:r>
          </w:p>
        </w:tc>
        <w:tc>
          <w:tcPr>
            <w:tcW w:w="8503" w:type="dxa"/>
            <w:gridSpan w:val="4"/>
          </w:tcPr>
          <w:p w:rsidR="00197D24" w:rsidRDefault="00197D24" w:rsidP="00AD0D66">
            <w:pPr>
              <w:spacing w:after="0"/>
              <w:jc w:val="both"/>
              <w:rPr>
                <w:rFonts w:ascii="Tahoma" w:hAnsi="Tahoma" w:cs="Tahoma"/>
                <w:sz w:val="20"/>
                <w:szCs w:val="20"/>
              </w:rPr>
            </w:pPr>
            <w:r w:rsidRPr="00197D24">
              <w:rPr>
                <w:rFonts w:ascii="Tahoma" w:hAnsi="Tahoma" w:cs="Tahoma"/>
                <w:sz w:val="20"/>
                <w:szCs w:val="20"/>
              </w:rPr>
              <w:t>V celém textu se pojem „</w:t>
            </w:r>
            <w:r>
              <w:rPr>
                <w:rFonts w:ascii="Tahoma" w:hAnsi="Tahoma" w:cs="Tahoma"/>
                <w:sz w:val="20"/>
                <w:szCs w:val="20"/>
              </w:rPr>
              <w:t>Krajská základní síť</w:t>
            </w:r>
            <w:r w:rsidRPr="00197D24">
              <w:rPr>
                <w:rFonts w:ascii="Tahoma" w:hAnsi="Tahoma" w:cs="Tahoma"/>
                <w:sz w:val="20"/>
                <w:szCs w:val="20"/>
              </w:rPr>
              <w:t>“ nahrazuje pojmem „</w:t>
            </w:r>
            <w:r>
              <w:rPr>
                <w:rFonts w:ascii="Tahoma" w:hAnsi="Tahoma" w:cs="Tahoma"/>
                <w:sz w:val="20"/>
                <w:szCs w:val="20"/>
              </w:rPr>
              <w:t>Krajská síť sociálních služeb se statutem základní</w:t>
            </w:r>
            <w:r w:rsidRPr="00197D24">
              <w:rPr>
                <w:rFonts w:ascii="Tahoma" w:hAnsi="Tahoma" w:cs="Tahoma"/>
                <w:sz w:val="20"/>
                <w:szCs w:val="20"/>
              </w:rPr>
              <w:t>“.</w:t>
            </w:r>
          </w:p>
        </w:tc>
      </w:tr>
      <w:tr w:rsidR="00C93661" w:rsidRPr="00617CD9" w:rsidTr="00197D24">
        <w:trPr>
          <w:cantSplit/>
        </w:trPr>
        <w:tc>
          <w:tcPr>
            <w:tcW w:w="695" w:type="dxa"/>
          </w:tcPr>
          <w:p w:rsidR="00C93661" w:rsidRDefault="00C93661" w:rsidP="00BC3C5B">
            <w:pPr>
              <w:spacing w:after="0"/>
              <w:rPr>
                <w:rFonts w:ascii="Tahoma" w:hAnsi="Tahoma" w:cs="Tahoma"/>
                <w:sz w:val="20"/>
                <w:szCs w:val="20"/>
              </w:rPr>
            </w:pPr>
            <w:r>
              <w:rPr>
                <w:rFonts w:ascii="Tahoma" w:hAnsi="Tahoma" w:cs="Tahoma"/>
                <w:sz w:val="20"/>
                <w:szCs w:val="20"/>
              </w:rPr>
              <w:t xml:space="preserve"> (3)</w:t>
            </w:r>
          </w:p>
        </w:tc>
        <w:tc>
          <w:tcPr>
            <w:tcW w:w="8503" w:type="dxa"/>
            <w:gridSpan w:val="4"/>
          </w:tcPr>
          <w:p w:rsidR="00C93661" w:rsidRPr="00197D24" w:rsidRDefault="00C93661" w:rsidP="00AD0D66">
            <w:pPr>
              <w:spacing w:after="0"/>
              <w:jc w:val="both"/>
              <w:rPr>
                <w:rFonts w:ascii="Tahoma" w:hAnsi="Tahoma" w:cs="Tahoma"/>
                <w:sz w:val="20"/>
                <w:szCs w:val="20"/>
              </w:rPr>
            </w:pPr>
            <w:r w:rsidRPr="00C93661">
              <w:rPr>
                <w:rFonts w:ascii="Tahoma" w:hAnsi="Tahoma" w:cs="Tahoma"/>
                <w:sz w:val="20"/>
                <w:szCs w:val="20"/>
              </w:rPr>
              <w:t xml:space="preserve">V celém textu se pojem „Krajská </w:t>
            </w:r>
            <w:r>
              <w:rPr>
                <w:rFonts w:ascii="Tahoma" w:hAnsi="Tahoma" w:cs="Tahoma"/>
                <w:sz w:val="20"/>
                <w:szCs w:val="20"/>
              </w:rPr>
              <w:t>optimální</w:t>
            </w:r>
            <w:r w:rsidRPr="00C93661">
              <w:rPr>
                <w:rFonts w:ascii="Tahoma" w:hAnsi="Tahoma" w:cs="Tahoma"/>
                <w:sz w:val="20"/>
                <w:szCs w:val="20"/>
              </w:rPr>
              <w:t xml:space="preserve"> síť“ nahrazuje pojmem „Krajská síť sociálních služeb se statutem </w:t>
            </w:r>
            <w:r>
              <w:rPr>
                <w:rFonts w:ascii="Tahoma" w:hAnsi="Tahoma" w:cs="Tahoma"/>
                <w:sz w:val="20"/>
                <w:szCs w:val="20"/>
              </w:rPr>
              <w:t>optimální</w:t>
            </w:r>
            <w:r w:rsidRPr="00C93661">
              <w:rPr>
                <w:rFonts w:ascii="Tahoma" w:hAnsi="Tahoma" w:cs="Tahoma"/>
                <w:sz w:val="20"/>
                <w:szCs w:val="20"/>
              </w:rPr>
              <w:t>“.</w:t>
            </w:r>
          </w:p>
        </w:tc>
      </w:tr>
      <w:tr w:rsidR="007B7495" w:rsidRPr="00617CD9" w:rsidTr="000414D7">
        <w:tc>
          <w:tcPr>
            <w:tcW w:w="695" w:type="dxa"/>
          </w:tcPr>
          <w:p w:rsidR="007B7495" w:rsidRPr="00617CD9" w:rsidRDefault="00AA4C6B" w:rsidP="00AA4C6B">
            <w:pPr>
              <w:pStyle w:val="Zkladntext"/>
              <w:spacing w:line="280" w:lineRule="exact"/>
              <w:rPr>
                <w:rFonts w:ascii="Tahoma" w:hAnsi="Tahoma" w:cs="Tahoma"/>
                <w:sz w:val="20"/>
              </w:rPr>
            </w:pPr>
            <w:r>
              <w:rPr>
                <w:rFonts w:ascii="Tahoma" w:hAnsi="Tahoma" w:cs="Tahoma"/>
                <w:sz w:val="20"/>
              </w:rPr>
              <w:t xml:space="preserve"> </w:t>
            </w:r>
            <w:r w:rsidR="007B7495" w:rsidRPr="00617CD9">
              <w:rPr>
                <w:rFonts w:ascii="Tahoma" w:hAnsi="Tahoma" w:cs="Tahoma"/>
                <w:sz w:val="20"/>
              </w:rPr>
              <w:t>(</w:t>
            </w:r>
            <w:r w:rsidR="00C93661">
              <w:rPr>
                <w:rFonts w:ascii="Tahoma" w:hAnsi="Tahoma" w:cs="Tahoma"/>
                <w:sz w:val="20"/>
              </w:rPr>
              <w:t>4</w:t>
            </w:r>
            <w:r w:rsidR="007B7495" w:rsidRPr="00617CD9">
              <w:rPr>
                <w:rFonts w:ascii="Tahoma" w:hAnsi="Tahoma" w:cs="Tahoma"/>
                <w:sz w:val="20"/>
              </w:rPr>
              <w:t>)</w:t>
            </w:r>
          </w:p>
        </w:tc>
        <w:tc>
          <w:tcPr>
            <w:tcW w:w="8503" w:type="dxa"/>
            <w:gridSpan w:val="4"/>
          </w:tcPr>
          <w:p w:rsidR="007B7495" w:rsidRPr="00617CD9" w:rsidRDefault="00AD0D66" w:rsidP="000414D7">
            <w:pPr>
              <w:pStyle w:val="Zkladntext"/>
              <w:spacing w:line="280" w:lineRule="exact"/>
              <w:rPr>
                <w:rFonts w:ascii="Tahoma" w:hAnsi="Tahoma" w:cs="Tahoma"/>
                <w:sz w:val="20"/>
              </w:rPr>
            </w:pPr>
            <w:r>
              <w:rPr>
                <w:rFonts w:ascii="Tahoma" w:hAnsi="Tahoma" w:cs="Tahoma"/>
                <w:sz w:val="20"/>
              </w:rPr>
              <w:t>V č</w:t>
            </w:r>
            <w:r w:rsidR="00BE5B55" w:rsidRPr="00617CD9">
              <w:rPr>
                <w:rFonts w:ascii="Tahoma" w:hAnsi="Tahoma" w:cs="Tahoma"/>
                <w:sz w:val="20"/>
              </w:rPr>
              <w:t>l.</w:t>
            </w:r>
            <w:r w:rsidR="007B7495" w:rsidRPr="00617CD9">
              <w:rPr>
                <w:rFonts w:ascii="Tahoma" w:hAnsi="Tahoma" w:cs="Tahoma"/>
                <w:sz w:val="20"/>
              </w:rPr>
              <w:t xml:space="preserve"> I. „</w:t>
            </w:r>
            <w:r>
              <w:rPr>
                <w:rFonts w:ascii="Tahoma" w:hAnsi="Tahoma" w:cs="Tahoma"/>
                <w:b/>
                <w:sz w:val="20"/>
              </w:rPr>
              <w:t>Vymezení pojm</w:t>
            </w:r>
            <w:r w:rsidR="006310E0">
              <w:rPr>
                <w:rFonts w:ascii="Tahoma" w:hAnsi="Tahoma" w:cs="Tahoma"/>
                <w:b/>
                <w:sz w:val="20"/>
              </w:rPr>
              <w:t>ů</w:t>
            </w:r>
            <w:r w:rsidR="007B7495" w:rsidRPr="00617CD9">
              <w:rPr>
                <w:rFonts w:ascii="Tahoma" w:hAnsi="Tahoma" w:cs="Tahoma"/>
                <w:b/>
                <w:sz w:val="20"/>
              </w:rPr>
              <w:t>“</w:t>
            </w:r>
            <w:r w:rsidR="00BE5B55" w:rsidRPr="00617CD9">
              <w:rPr>
                <w:rFonts w:ascii="Tahoma" w:hAnsi="Tahoma" w:cs="Tahoma"/>
                <w:b/>
                <w:sz w:val="20"/>
              </w:rPr>
              <w:t xml:space="preserve"> </w:t>
            </w:r>
            <w:r w:rsidR="00BE5B55" w:rsidRPr="00617CD9">
              <w:rPr>
                <w:rFonts w:ascii="Tahoma" w:hAnsi="Tahoma" w:cs="Tahoma"/>
                <w:sz w:val="20"/>
              </w:rPr>
              <w:t>se</w:t>
            </w:r>
            <w:r>
              <w:rPr>
                <w:rFonts w:ascii="Tahoma" w:hAnsi="Tahoma" w:cs="Tahoma"/>
                <w:sz w:val="20"/>
              </w:rPr>
              <w:t xml:space="preserve">: </w:t>
            </w:r>
          </w:p>
        </w:tc>
      </w:tr>
      <w:tr w:rsidR="00197D24" w:rsidRPr="00617CD9" w:rsidTr="00197D24">
        <w:tc>
          <w:tcPr>
            <w:tcW w:w="695" w:type="dxa"/>
          </w:tcPr>
          <w:p w:rsidR="00197D24" w:rsidRDefault="00197D24" w:rsidP="00AA4C6B">
            <w:pPr>
              <w:pStyle w:val="Zkladntext"/>
              <w:spacing w:line="280" w:lineRule="exact"/>
              <w:rPr>
                <w:rFonts w:ascii="Tahoma" w:hAnsi="Tahoma" w:cs="Tahoma"/>
                <w:sz w:val="20"/>
              </w:rPr>
            </w:pPr>
          </w:p>
        </w:tc>
        <w:tc>
          <w:tcPr>
            <w:tcW w:w="421" w:type="dxa"/>
          </w:tcPr>
          <w:p w:rsidR="00197D24" w:rsidRDefault="00197D24" w:rsidP="000414D7">
            <w:pPr>
              <w:pStyle w:val="Zkladntext"/>
              <w:spacing w:line="280" w:lineRule="exact"/>
              <w:rPr>
                <w:rFonts w:ascii="Tahoma" w:hAnsi="Tahoma" w:cs="Tahoma"/>
                <w:sz w:val="20"/>
              </w:rPr>
            </w:pPr>
            <w:r>
              <w:rPr>
                <w:rFonts w:ascii="Tahoma" w:hAnsi="Tahoma" w:cs="Tahoma"/>
                <w:sz w:val="20"/>
              </w:rPr>
              <w:t>a)</w:t>
            </w:r>
          </w:p>
        </w:tc>
        <w:tc>
          <w:tcPr>
            <w:tcW w:w="8082" w:type="dxa"/>
            <w:gridSpan w:val="3"/>
          </w:tcPr>
          <w:p w:rsidR="00197D24" w:rsidRDefault="00197D24" w:rsidP="000414D7">
            <w:pPr>
              <w:pStyle w:val="Zkladntext"/>
              <w:spacing w:line="280" w:lineRule="exact"/>
              <w:rPr>
                <w:rFonts w:ascii="Tahoma" w:hAnsi="Tahoma" w:cs="Tahoma"/>
                <w:sz w:val="20"/>
              </w:rPr>
            </w:pPr>
            <w:r>
              <w:rPr>
                <w:rFonts w:ascii="Tahoma" w:hAnsi="Tahoma" w:cs="Tahoma"/>
                <w:sz w:val="20"/>
              </w:rPr>
              <w:t xml:space="preserve"> v bodu 1 mění: „§ 28 odst. 12 zákona o rozpočtových pravidlech“ na: </w:t>
            </w:r>
            <w:r w:rsidRPr="00AD0D66">
              <w:rPr>
                <w:rFonts w:ascii="Tahoma" w:hAnsi="Tahoma" w:cs="Tahoma"/>
                <w:sz w:val="20"/>
              </w:rPr>
              <w:t>„§ 28 odst. 1</w:t>
            </w:r>
            <w:r w:rsidR="006310E0">
              <w:rPr>
                <w:rFonts w:ascii="Tahoma" w:hAnsi="Tahoma" w:cs="Tahoma"/>
                <w:sz w:val="20"/>
              </w:rPr>
              <w:t>5</w:t>
            </w:r>
            <w:r w:rsidRPr="00AD0D66">
              <w:rPr>
                <w:rFonts w:ascii="Tahoma" w:hAnsi="Tahoma" w:cs="Tahoma"/>
                <w:sz w:val="20"/>
              </w:rPr>
              <w:t xml:space="preserve"> zákona o rozpočtových pravidlech</w:t>
            </w:r>
            <w:r>
              <w:rPr>
                <w:rFonts w:ascii="Tahoma" w:hAnsi="Tahoma" w:cs="Tahoma"/>
                <w:sz w:val="20"/>
              </w:rPr>
              <w:t>“</w:t>
            </w:r>
          </w:p>
        </w:tc>
      </w:tr>
      <w:tr w:rsidR="006310E0" w:rsidRPr="00617CD9" w:rsidTr="00197D24">
        <w:tc>
          <w:tcPr>
            <w:tcW w:w="695" w:type="dxa"/>
          </w:tcPr>
          <w:p w:rsidR="006310E0" w:rsidRDefault="006310E0" w:rsidP="00AA4C6B">
            <w:pPr>
              <w:pStyle w:val="Zkladntext"/>
              <w:spacing w:line="280" w:lineRule="exact"/>
              <w:rPr>
                <w:rFonts w:ascii="Tahoma" w:hAnsi="Tahoma" w:cs="Tahoma"/>
                <w:sz w:val="20"/>
              </w:rPr>
            </w:pPr>
          </w:p>
        </w:tc>
        <w:tc>
          <w:tcPr>
            <w:tcW w:w="421" w:type="dxa"/>
          </w:tcPr>
          <w:p w:rsidR="006310E0" w:rsidRDefault="006310E0" w:rsidP="000414D7">
            <w:pPr>
              <w:pStyle w:val="Zkladntext"/>
              <w:spacing w:line="280" w:lineRule="exact"/>
              <w:rPr>
                <w:rFonts w:ascii="Tahoma" w:hAnsi="Tahoma" w:cs="Tahoma"/>
                <w:sz w:val="20"/>
              </w:rPr>
            </w:pPr>
            <w:r>
              <w:rPr>
                <w:rFonts w:ascii="Tahoma" w:hAnsi="Tahoma" w:cs="Tahoma"/>
                <w:sz w:val="20"/>
              </w:rPr>
              <w:t>b)</w:t>
            </w:r>
          </w:p>
        </w:tc>
        <w:tc>
          <w:tcPr>
            <w:tcW w:w="8082" w:type="dxa"/>
            <w:gridSpan w:val="3"/>
          </w:tcPr>
          <w:p w:rsidR="006310E0" w:rsidRDefault="006310E0" w:rsidP="000414D7">
            <w:pPr>
              <w:pStyle w:val="Zkladntext"/>
              <w:spacing w:line="280" w:lineRule="exact"/>
              <w:rPr>
                <w:rFonts w:ascii="Tahoma" w:hAnsi="Tahoma" w:cs="Tahoma"/>
                <w:sz w:val="20"/>
              </w:rPr>
            </w:pPr>
            <w:r>
              <w:rPr>
                <w:rFonts w:ascii="Tahoma" w:hAnsi="Tahoma" w:cs="Tahoma"/>
                <w:sz w:val="20"/>
              </w:rPr>
              <w:t xml:space="preserve">bod 7 mění a nově zní: </w:t>
            </w:r>
          </w:p>
        </w:tc>
      </w:tr>
      <w:tr w:rsidR="006310E0" w:rsidRPr="00617CD9" w:rsidTr="006310E0">
        <w:tc>
          <w:tcPr>
            <w:tcW w:w="695" w:type="dxa"/>
          </w:tcPr>
          <w:p w:rsidR="006310E0" w:rsidRDefault="006310E0" w:rsidP="00AA4C6B">
            <w:pPr>
              <w:pStyle w:val="Zkladntext"/>
              <w:spacing w:line="280" w:lineRule="exact"/>
              <w:rPr>
                <w:rFonts w:ascii="Tahoma" w:hAnsi="Tahoma" w:cs="Tahoma"/>
                <w:sz w:val="20"/>
              </w:rPr>
            </w:pPr>
          </w:p>
        </w:tc>
        <w:tc>
          <w:tcPr>
            <w:tcW w:w="421" w:type="dxa"/>
          </w:tcPr>
          <w:p w:rsidR="006310E0" w:rsidRDefault="006310E0" w:rsidP="000414D7">
            <w:pPr>
              <w:pStyle w:val="Zkladntext"/>
              <w:spacing w:line="280" w:lineRule="exact"/>
              <w:rPr>
                <w:rFonts w:ascii="Tahoma" w:hAnsi="Tahoma" w:cs="Tahoma"/>
                <w:sz w:val="20"/>
              </w:rPr>
            </w:pPr>
          </w:p>
        </w:tc>
        <w:tc>
          <w:tcPr>
            <w:tcW w:w="722" w:type="dxa"/>
          </w:tcPr>
          <w:p w:rsidR="006310E0" w:rsidRDefault="006310E0" w:rsidP="000414D7">
            <w:pPr>
              <w:pStyle w:val="Zkladntext"/>
              <w:spacing w:line="280" w:lineRule="exact"/>
              <w:rPr>
                <w:rFonts w:ascii="Tahoma" w:hAnsi="Tahoma" w:cs="Tahoma"/>
                <w:sz w:val="20"/>
              </w:rPr>
            </w:pPr>
            <w:r>
              <w:rPr>
                <w:rFonts w:ascii="Tahoma" w:hAnsi="Tahoma" w:cs="Tahoma"/>
                <w:sz w:val="20"/>
              </w:rPr>
              <w:t xml:space="preserve"> „7</w:t>
            </w:r>
          </w:p>
        </w:tc>
        <w:tc>
          <w:tcPr>
            <w:tcW w:w="7360" w:type="dxa"/>
            <w:gridSpan w:val="2"/>
          </w:tcPr>
          <w:p w:rsidR="006310E0" w:rsidRDefault="006310E0" w:rsidP="000414D7">
            <w:pPr>
              <w:pStyle w:val="Zkladntext"/>
              <w:spacing w:line="280" w:lineRule="exact"/>
              <w:rPr>
                <w:rFonts w:ascii="Tahoma" w:hAnsi="Tahoma" w:cs="Tahoma"/>
                <w:sz w:val="20"/>
              </w:rPr>
            </w:pPr>
            <w:r w:rsidRPr="006310E0">
              <w:rPr>
                <w:rFonts w:ascii="Tahoma" w:hAnsi="Tahoma" w:cs="Tahoma"/>
                <w:sz w:val="20"/>
              </w:rPr>
              <w:t>Žádostí o dotaci se rozumí žádost poskytovatele sociálních služeb o dotaci v rámci Programu, kterou poskytovatel podává prostřednictvím určené internetové aplikace, s výjimkou žádosti podané dle článku VI odst. 3 a čl. XI, příp. jiným předem stanoveným způsobem. Aby byla žádost způsobilá posouzení, musí být vyplněny všechny určené části žádosti.</w:t>
            </w:r>
          </w:p>
        </w:tc>
      </w:tr>
      <w:tr w:rsidR="00197D24" w:rsidRPr="00617CD9" w:rsidTr="00197D24">
        <w:tc>
          <w:tcPr>
            <w:tcW w:w="695" w:type="dxa"/>
          </w:tcPr>
          <w:p w:rsidR="00197D24" w:rsidRDefault="00197D24" w:rsidP="00AA4C6B">
            <w:pPr>
              <w:pStyle w:val="Zkladntext"/>
              <w:spacing w:line="280" w:lineRule="exact"/>
              <w:rPr>
                <w:rFonts w:ascii="Tahoma" w:hAnsi="Tahoma" w:cs="Tahoma"/>
                <w:sz w:val="20"/>
              </w:rPr>
            </w:pPr>
          </w:p>
        </w:tc>
        <w:tc>
          <w:tcPr>
            <w:tcW w:w="421" w:type="dxa"/>
          </w:tcPr>
          <w:p w:rsidR="00197D24" w:rsidRDefault="006310E0" w:rsidP="000414D7">
            <w:pPr>
              <w:pStyle w:val="Zkladntext"/>
              <w:spacing w:line="280" w:lineRule="exact"/>
              <w:rPr>
                <w:rFonts w:ascii="Tahoma" w:hAnsi="Tahoma" w:cs="Tahoma"/>
                <w:sz w:val="20"/>
              </w:rPr>
            </w:pPr>
            <w:r>
              <w:rPr>
                <w:rFonts w:ascii="Tahoma" w:hAnsi="Tahoma" w:cs="Tahoma"/>
                <w:sz w:val="20"/>
              </w:rPr>
              <w:t>c</w:t>
            </w:r>
            <w:r w:rsidR="00197D24">
              <w:rPr>
                <w:rFonts w:ascii="Tahoma" w:hAnsi="Tahoma" w:cs="Tahoma"/>
                <w:sz w:val="20"/>
              </w:rPr>
              <w:t>)</w:t>
            </w:r>
          </w:p>
        </w:tc>
        <w:tc>
          <w:tcPr>
            <w:tcW w:w="8082" w:type="dxa"/>
            <w:gridSpan w:val="3"/>
          </w:tcPr>
          <w:p w:rsidR="00197D24" w:rsidRDefault="00197D24" w:rsidP="000414D7">
            <w:pPr>
              <w:pStyle w:val="Zkladntext"/>
              <w:spacing w:line="280" w:lineRule="exact"/>
              <w:rPr>
                <w:rFonts w:ascii="Tahoma" w:hAnsi="Tahoma" w:cs="Tahoma"/>
                <w:sz w:val="20"/>
              </w:rPr>
            </w:pPr>
            <w:r>
              <w:rPr>
                <w:rFonts w:ascii="Tahoma" w:hAnsi="Tahoma" w:cs="Tahoma"/>
                <w:sz w:val="20"/>
              </w:rPr>
              <w:t>bod 13 mění a nově zní:</w:t>
            </w:r>
          </w:p>
        </w:tc>
      </w:tr>
      <w:tr w:rsidR="00B130C5" w:rsidRPr="00617CD9" w:rsidTr="00F73250">
        <w:tc>
          <w:tcPr>
            <w:tcW w:w="695" w:type="dxa"/>
          </w:tcPr>
          <w:p w:rsidR="00B81798" w:rsidRPr="00617CD9" w:rsidRDefault="00B81798" w:rsidP="00076D3D">
            <w:pPr>
              <w:pStyle w:val="Zkladntext"/>
              <w:spacing w:line="280" w:lineRule="exact"/>
              <w:rPr>
                <w:rFonts w:ascii="Tahoma" w:hAnsi="Tahoma" w:cs="Tahoma"/>
                <w:sz w:val="20"/>
              </w:rPr>
            </w:pPr>
          </w:p>
        </w:tc>
        <w:tc>
          <w:tcPr>
            <w:tcW w:w="421" w:type="dxa"/>
          </w:tcPr>
          <w:p w:rsidR="00B81798" w:rsidRPr="00617CD9" w:rsidRDefault="00B81798" w:rsidP="00076D3D">
            <w:pPr>
              <w:pStyle w:val="Zkladntext"/>
              <w:spacing w:line="280" w:lineRule="exact"/>
              <w:rPr>
                <w:rFonts w:ascii="Tahoma" w:hAnsi="Tahoma" w:cs="Tahoma"/>
                <w:sz w:val="20"/>
              </w:rPr>
            </w:pPr>
          </w:p>
        </w:tc>
        <w:tc>
          <w:tcPr>
            <w:tcW w:w="722" w:type="dxa"/>
            <w:hideMark/>
          </w:tcPr>
          <w:p w:rsidR="00B81798" w:rsidRPr="00617CD9" w:rsidRDefault="00B81798" w:rsidP="00BE5B55">
            <w:pPr>
              <w:pStyle w:val="Zkladntext"/>
              <w:spacing w:line="280" w:lineRule="exact"/>
              <w:rPr>
                <w:rFonts w:ascii="Tahoma" w:hAnsi="Tahoma" w:cs="Tahoma"/>
                <w:sz w:val="20"/>
              </w:rPr>
            </w:pPr>
            <w:r w:rsidRPr="00617CD9">
              <w:rPr>
                <w:rFonts w:ascii="Tahoma" w:hAnsi="Tahoma" w:cs="Tahoma"/>
                <w:sz w:val="20"/>
              </w:rPr>
              <w:t>„</w:t>
            </w:r>
            <w:r w:rsidR="00197D24">
              <w:rPr>
                <w:rFonts w:ascii="Tahoma" w:hAnsi="Tahoma" w:cs="Tahoma"/>
                <w:sz w:val="20"/>
              </w:rPr>
              <w:t>13</w:t>
            </w:r>
          </w:p>
        </w:tc>
        <w:tc>
          <w:tcPr>
            <w:tcW w:w="7360" w:type="dxa"/>
            <w:gridSpan w:val="2"/>
            <w:hideMark/>
          </w:tcPr>
          <w:p w:rsidR="00B81798" w:rsidRPr="00617CD9" w:rsidRDefault="00197D24" w:rsidP="00BE5B55">
            <w:pPr>
              <w:pStyle w:val="Zkladntext"/>
              <w:spacing w:line="280" w:lineRule="exact"/>
              <w:rPr>
                <w:rFonts w:ascii="Tahoma" w:hAnsi="Tahoma" w:cs="Tahoma"/>
                <w:sz w:val="20"/>
              </w:rPr>
            </w:pPr>
            <w:r w:rsidRPr="00197D24">
              <w:rPr>
                <w:rFonts w:ascii="Tahoma" w:hAnsi="Tahoma" w:cs="Tahoma"/>
                <w:sz w:val="20"/>
              </w:rPr>
              <w:t>Střednědobým plánem rozvoje sociálních služeb se rozumí Střednědobý plán rozvoje sociálních služeb v Moravskoslezském kraji na léta 2015 – 2020 (dále jen „SPRSS MSK“), schválený dne 11. 9. 2014 usnesením zastupitelstva kraje č.</w:t>
            </w:r>
            <w:r w:rsidR="00F73250">
              <w:rPr>
                <w:rFonts w:ascii="Tahoma" w:hAnsi="Tahoma" w:cs="Tahoma"/>
                <w:sz w:val="20"/>
              </w:rPr>
              <w:t> </w:t>
            </w:r>
            <w:r w:rsidRPr="00197D24">
              <w:rPr>
                <w:rFonts w:ascii="Tahoma" w:hAnsi="Tahoma" w:cs="Tahoma"/>
                <w:sz w:val="20"/>
              </w:rPr>
              <w:t>11/946, kterým jsou deklarovány priority v rozvoji sociálních služeb na území kraje, a to v souladu s ustanoveními § 3 písm. h) a § 95 zákona o sociálních službách, popř. schválený Střednědobý plán rozvoje sociálních služeb v</w:t>
            </w:r>
            <w:r w:rsidR="00F73250">
              <w:rPr>
                <w:rFonts w:ascii="Tahoma" w:hAnsi="Tahoma" w:cs="Tahoma"/>
                <w:sz w:val="20"/>
              </w:rPr>
              <w:t> </w:t>
            </w:r>
            <w:r w:rsidRPr="00197D24">
              <w:rPr>
                <w:rFonts w:ascii="Tahoma" w:hAnsi="Tahoma" w:cs="Tahoma"/>
                <w:sz w:val="20"/>
              </w:rPr>
              <w:t>Moravskoslezském kraji na další období.</w:t>
            </w:r>
          </w:p>
        </w:tc>
      </w:tr>
      <w:tr w:rsidR="00197D24" w:rsidRPr="00617CD9" w:rsidTr="00B552F6">
        <w:tc>
          <w:tcPr>
            <w:tcW w:w="695" w:type="dxa"/>
          </w:tcPr>
          <w:p w:rsidR="00197D24" w:rsidRPr="00617CD9" w:rsidRDefault="00197D24" w:rsidP="00076D3D">
            <w:pPr>
              <w:pStyle w:val="Zkladntext"/>
              <w:spacing w:line="280" w:lineRule="exact"/>
              <w:rPr>
                <w:rFonts w:ascii="Tahoma" w:hAnsi="Tahoma" w:cs="Tahoma"/>
                <w:sz w:val="20"/>
              </w:rPr>
            </w:pPr>
          </w:p>
        </w:tc>
        <w:tc>
          <w:tcPr>
            <w:tcW w:w="421" w:type="dxa"/>
          </w:tcPr>
          <w:p w:rsidR="00197D24" w:rsidRPr="00617CD9" w:rsidRDefault="006310E0" w:rsidP="00076D3D">
            <w:pPr>
              <w:pStyle w:val="Zkladntext"/>
              <w:spacing w:line="280" w:lineRule="exact"/>
              <w:rPr>
                <w:rFonts w:ascii="Tahoma" w:hAnsi="Tahoma" w:cs="Tahoma"/>
                <w:sz w:val="20"/>
              </w:rPr>
            </w:pPr>
            <w:r>
              <w:rPr>
                <w:rFonts w:ascii="Tahoma" w:hAnsi="Tahoma" w:cs="Tahoma"/>
                <w:sz w:val="20"/>
              </w:rPr>
              <w:t>d</w:t>
            </w:r>
            <w:r w:rsidR="00197D24">
              <w:rPr>
                <w:rFonts w:ascii="Tahoma" w:hAnsi="Tahoma" w:cs="Tahoma"/>
                <w:sz w:val="20"/>
              </w:rPr>
              <w:t>)</w:t>
            </w:r>
          </w:p>
        </w:tc>
        <w:tc>
          <w:tcPr>
            <w:tcW w:w="8082" w:type="dxa"/>
            <w:gridSpan w:val="3"/>
          </w:tcPr>
          <w:p w:rsidR="00197D24" w:rsidRPr="00197D24" w:rsidRDefault="00197D24" w:rsidP="00BE5B55">
            <w:pPr>
              <w:pStyle w:val="Zkladntext"/>
              <w:spacing w:line="280" w:lineRule="exact"/>
              <w:rPr>
                <w:rFonts w:ascii="Tahoma" w:hAnsi="Tahoma" w:cs="Tahoma"/>
                <w:sz w:val="20"/>
              </w:rPr>
            </w:pPr>
            <w:r>
              <w:rPr>
                <w:rFonts w:ascii="Tahoma" w:hAnsi="Tahoma" w:cs="Tahoma"/>
                <w:sz w:val="20"/>
              </w:rPr>
              <w:t xml:space="preserve">bod 26 mění a nově zní: </w:t>
            </w:r>
          </w:p>
        </w:tc>
      </w:tr>
      <w:tr w:rsidR="00B130C5" w:rsidRPr="00617CD9" w:rsidTr="00F73250">
        <w:tc>
          <w:tcPr>
            <w:tcW w:w="695" w:type="dxa"/>
          </w:tcPr>
          <w:p w:rsidR="00F73250" w:rsidRPr="00617CD9" w:rsidRDefault="00F73250" w:rsidP="00076D3D">
            <w:pPr>
              <w:pStyle w:val="Zkladntext"/>
              <w:spacing w:line="280" w:lineRule="exact"/>
              <w:rPr>
                <w:rFonts w:ascii="Tahoma" w:hAnsi="Tahoma" w:cs="Tahoma"/>
                <w:sz w:val="20"/>
              </w:rPr>
            </w:pPr>
          </w:p>
        </w:tc>
        <w:tc>
          <w:tcPr>
            <w:tcW w:w="421" w:type="dxa"/>
          </w:tcPr>
          <w:p w:rsidR="00F73250" w:rsidRDefault="00F73250" w:rsidP="00076D3D">
            <w:pPr>
              <w:pStyle w:val="Zkladntext"/>
              <w:spacing w:line="280" w:lineRule="exact"/>
              <w:rPr>
                <w:rFonts w:ascii="Tahoma" w:hAnsi="Tahoma" w:cs="Tahoma"/>
                <w:sz w:val="20"/>
              </w:rPr>
            </w:pPr>
          </w:p>
        </w:tc>
        <w:tc>
          <w:tcPr>
            <w:tcW w:w="722" w:type="dxa"/>
          </w:tcPr>
          <w:p w:rsidR="00F73250" w:rsidRDefault="00F73250" w:rsidP="00BE5B55">
            <w:pPr>
              <w:pStyle w:val="Zkladntext"/>
              <w:spacing w:line="280" w:lineRule="exact"/>
              <w:rPr>
                <w:rFonts w:ascii="Tahoma" w:hAnsi="Tahoma" w:cs="Tahoma"/>
                <w:sz w:val="20"/>
              </w:rPr>
            </w:pPr>
            <w:r w:rsidRPr="00F73250">
              <w:rPr>
                <w:rFonts w:ascii="Tahoma" w:hAnsi="Tahoma" w:cs="Tahoma"/>
                <w:sz w:val="20"/>
              </w:rPr>
              <w:t>„</w:t>
            </w:r>
            <w:r>
              <w:rPr>
                <w:rFonts w:ascii="Tahoma" w:hAnsi="Tahoma" w:cs="Tahoma"/>
                <w:sz w:val="20"/>
              </w:rPr>
              <w:t>26</w:t>
            </w:r>
          </w:p>
        </w:tc>
        <w:tc>
          <w:tcPr>
            <w:tcW w:w="7360" w:type="dxa"/>
            <w:gridSpan w:val="2"/>
          </w:tcPr>
          <w:p w:rsidR="00F73250" w:rsidRDefault="00F73250" w:rsidP="00BE5B55">
            <w:pPr>
              <w:pStyle w:val="Zkladntext"/>
              <w:spacing w:line="280" w:lineRule="exact"/>
              <w:rPr>
                <w:rFonts w:ascii="Tahoma" w:hAnsi="Tahoma" w:cs="Tahoma"/>
                <w:sz w:val="20"/>
              </w:rPr>
            </w:pPr>
            <w:r w:rsidRPr="00F73250">
              <w:rPr>
                <w:rFonts w:ascii="Tahoma" w:hAnsi="Tahoma" w:cs="Tahoma"/>
                <w:sz w:val="20"/>
              </w:rPr>
              <w:t>Smlouvou o závazku se rozumí smlouva o závazku veřejné služby a vyrovnávací platbě za jeho výkon, kterou se sociální služby zařazené v Krajské síti sociálních služeb pověřují výkonem závazku veřejné služby, resp. výkonem služby v</w:t>
            </w:r>
            <w:r>
              <w:rPr>
                <w:rFonts w:ascii="Tahoma" w:hAnsi="Tahoma" w:cs="Tahoma"/>
                <w:sz w:val="20"/>
              </w:rPr>
              <w:t> </w:t>
            </w:r>
            <w:r w:rsidRPr="00F73250">
              <w:rPr>
                <w:rFonts w:ascii="Tahoma" w:hAnsi="Tahoma" w:cs="Tahoma"/>
                <w:sz w:val="20"/>
              </w:rPr>
              <w:t>obecném hospodářském zájmu dle Rozhodnutí</w:t>
            </w:r>
            <w:r w:rsidR="00977A34">
              <w:rPr>
                <w:rFonts w:ascii="Tahoma" w:hAnsi="Tahoma" w:cs="Tahoma"/>
                <w:sz w:val="20"/>
              </w:rPr>
              <w:t xml:space="preserve"> Komise</w:t>
            </w:r>
            <w:r w:rsidRPr="00F73250">
              <w:rPr>
                <w:rFonts w:ascii="Tahoma" w:hAnsi="Tahoma" w:cs="Tahoma"/>
                <w:sz w:val="20"/>
              </w:rPr>
              <w:t>.</w:t>
            </w:r>
          </w:p>
        </w:tc>
      </w:tr>
      <w:tr w:rsidR="00F73250" w:rsidRPr="00617CD9" w:rsidTr="00274D05">
        <w:trPr>
          <w:trHeight w:val="358"/>
        </w:trPr>
        <w:tc>
          <w:tcPr>
            <w:tcW w:w="695" w:type="dxa"/>
          </w:tcPr>
          <w:p w:rsidR="00F73250" w:rsidRPr="00617CD9" w:rsidRDefault="00F73250" w:rsidP="00076D3D">
            <w:pPr>
              <w:pStyle w:val="Zkladntext"/>
              <w:spacing w:line="280" w:lineRule="exact"/>
              <w:rPr>
                <w:rFonts w:ascii="Tahoma" w:hAnsi="Tahoma" w:cs="Tahoma"/>
                <w:sz w:val="20"/>
              </w:rPr>
            </w:pPr>
          </w:p>
        </w:tc>
        <w:tc>
          <w:tcPr>
            <w:tcW w:w="421" w:type="dxa"/>
          </w:tcPr>
          <w:p w:rsidR="00F73250" w:rsidRDefault="006310E0" w:rsidP="00076D3D">
            <w:pPr>
              <w:pStyle w:val="Zkladntext"/>
              <w:spacing w:line="280" w:lineRule="exact"/>
              <w:rPr>
                <w:rFonts w:ascii="Tahoma" w:hAnsi="Tahoma" w:cs="Tahoma"/>
                <w:sz w:val="20"/>
              </w:rPr>
            </w:pPr>
            <w:r>
              <w:rPr>
                <w:rFonts w:ascii="Tahoma" w:hAnsi="Tahoma" w:cs="Tahoma"/>
                <w:sz w:val="20"/>
              </w:rPr>
              <w:t>e</w:t>
            </w:r>
            <w:r w:rsidR="00F73250">
              <w:rPr>
                <w:rFonts w:ascii="Tahoma" w:hAnsi="Tahoma" w:cs="Tahoma"/>
                <w:sz w:val="20"/>
              </w:rPr>
              <w:t>)</w:t>
            </w:r>
          </w:p>
        </w:tc>
        <w:tc>
          <w:tcPr>
            <w:tcW w:w="8082" w:type="dxa"/>
            <w:gridSpan w:val="3"/>
          </w:tcPr>
          <w:p w:rsidR="00F73250" w:rsidRPr="00F73250" w:rsidRDefault="00F73250" w:rsidP="00BE5B55">
            <w:pPr>
              <w:pStyle w:val="Zkladntext"/>
              <w:spacing w:line="280" w:lineRule="exact"/>
              <w:rPr>
                <w:rFonts w:ascii="Tahoma" w:hAnsi="Tahoma" w:cs="Tahoma"/>
                <w:sz w:val="20"/>
              </w:rPr>
            </w:pPr>
            <w:r w:rsidRPr="00F73250">
              <w:rPr>
                <w:rFonts w:ascii="Tahoma" w:hAnsi="Tahoma" w:cs="Tahoma"/>
                <w:sz w:val="20"/>
              </w:rPr>
              <w:t xml:space="preserve">bod </w:t>
            </w:r>
            <w:r>
              <w:rPr>
                <w:rFonts w:ascii="Tahoma" w:hAnsi="Tahoma" w:cs="Tahoma"/>
                <w:sz w:val="20"/>
              </w:rPr>
              <w:t>27</w:t>
            </w:r>
            <w:r w:rsidRPr="00F73250">
              <w:rPr>
                <w:rFonts w:ascii="Tahoma" w:hAnsi="Tahoma" w:cs="Tahoma"/>
                <w:sz w:val="20"/>
              </w:rPr>
              <w:t xml:space="preserve"> </w:t>
            </w:r>
            <w:r w:rsidR="00274D05">
              <w:rPr>
                <w:rFonts w:ascii="Tahoma" w:hAnsi="Tahoma" w:cs="Tahoma"/>
                <w:sz w:val="20"/>
              </w:rPr>
              <w:t>se zrušuje</w:t>
            </w:r>
          </w:p>
        </w:tc>
      </w:tr>
      <w:tr w:rsidR="00274D05" w:rsidRPr="00617CD9" w:rsidTr="000D3178">
        <w:tc>
          <w:tcPr>
            <w:tcW w:w="695" w:type="dxa"/>
          </w:tcPr>
          <w:p w:rsidR="00274D05" w:rsidRPr="00617CD9" w:rsidRDefault="00274D05" w:rsidP="00076D3D">
            <w:pPr>
              <w:pStyle w:val="Zkladntext"/>
              <w:spacing w:line="280" w:lineRule="exact"/>
              <w:rPr>
                <w:rFonts w:ascii="Tahoma" w:hAnsi="Tahoma" w:cs="Tahoma"/>
                <w:sz w:val="20"/>
              </w:rPr>
            </w:pPr>
          </w:p>
        </w:tc>
        <w:tc>
          <w:tcPr>
            <w:tcW w:w="421" w:type="dxa"/>
          </w:tcPr>
          <w:p w:rsidR="00274D05" w:rsidRDefault="006310E0" w:rsidP="00076D3D">
            <w:pPr>
              <w:pStyle w:val="Zkladntext"/>
              <w:spacing w:line="280" w:lineRule="exact"/>
              <w:rPr>
                <w:rFonts w:ascii="Tahoma" w:hAnsi="Tahoma" w:cs="Tahoma"/>
                <w:sz w:val="20"/>
              </w:rPr>
            </w:pPr>
            <w:r>
              <w:rPr>
                <w:rFonts w:ascii="Tahoma" w:hAnsi="Tahoma" w:cs="Tahoma"/>
                <w:sz w:val="20"/>
              </w:rPr>
              <w:t>f</w:t>
            </w:r>
            <w:r w:rsidR="00274D05">
              <w:rPr>
                <w:rFonts w:ascii="Tahoma" w:hAnsi="Tahoma" w:cs="Tahoma"/>
                <w:sz w:val="20"/>
              </w:rPr>
              <w:t>)</w:t>
            </w:r>
          </w:p>
        </w:tc>
        <w:tc>
          <w:tcPr>
            <w:tcW w:w="8082" w:type="dxa"/>
            <w:gridSpan w:val="3"/>
          </w:tcPr>
          <w:p w:rsidR="00274D05" w:rsidRPr="00F73250" w:rsidRDefault="00274D05" w:rsidP="00BE5B55">
            <w:pPr>
              <w:pStyle w:val="Zkladntext"/>
              <w:spacing w:line="280" w:lineRule="exact"/>
              <w:rPr>
                <w:rFonts w:ascii="Tahoma" w:hAnsi="Tahoma" w:cs="Tahoma"/>
                <w:sz w:val="20"/>
              </w:rPr>
            </w:pPr>
            <w:r>
              <w:rPr>
                <w:rFonts w:ascii="Tahoma" w:hAnsi="Tahoma" w:cs="Tahoma"/>
                <w:sz w:val="20"/>
              </w:rPr>
              <w:t>dosavadní body 28 a 29 se nově označují body 27 a 28</w:t>
            </w:r>
          </w:p>
        </w:tc>
      </w:tr>
      <w:tr w:rsidR="00274D05" w:rsidRPr="00617CD9" w:rsidTr="000D3178">
        <w:tc>
          <w:tcPr>
            <w:tcW w:w="695" w:type="dxa"/>
          </w:tcPr>
          <w:p w:rsidR="00274D05" w:rsidRPr="00617CD9" w:rsidRDefault="00274D05" w:rsidP="00076D3D">
            <w:pPr>
              <w:pStyle w:val="Zkladntext"/>
              <w:spacing w:line="280" w:lineRule="exact"/>
              <w:rPr>
                <w:rFonts w:ascii="Tahoma" w:hAnsi="Tahoma" w:cs="Tahoma"/>
                <w:sz w:val="20"/>
              </w:rPr>
            </w:pPr>
          </w:p>
        </w:tc>
        <w:tc>
          <w:tcPr>
            <w:tcW w:w="421" w:type="dxa"/>
          </w:tcPr>
          <w:p w:rsidR="00274D05" w:rsidRDefault="006310E0" w:rsidP="00076D3D">
            <w:pPr>
              <w:pStyle w:val="Zkladntext"/>
              <w:spacing w:line="280" w:lineRule="exact"/>
              <w:rPr>
                <w:rFonts w:ascii="Tahoma" w:hAnsi="Tahoma" w:cs="Tahoma"/>
                <w:sz w:val="20"/>
              </w:rPr>
            </w:pPr>
            <w:r>
              <w:rPr>
                <w:rFonts w:ascii="Tahoma" w:hAnsi="Tahoma" w:cs="Tahoma"/>
                <w:sz w:val="20"/>
              </w:rPr>
              <w:t>g</w:t>
            </w:r>
            <w:r w:rsidR="00274D05">
              <w:rPr>
                <w:rFonts w:ascii="Tahoma" w:hAnsi="Tahoma" w:cs="Tahoma"/>
                <w:sz w:val="20"/>
              </w:rPr>
              <w:t>)</w:t>
            </w:r>
          </w:p>
        </w:tc>
        <w:tc>
          <w:tcPr>
            <w:tcW w:w="8082" w:type="dxa"/>
            <w:gridSpan w:val="3"/>
          </w:tcPr>
          <w:p w:rsidR="00274D05" w:rsidRDefault="00274D05" w:rsidP="00BE5B55">
            <w:pPr>
              <w:pStyle w:val="Zkladntext"/>
              <w:spacing w:line="280" w:lineRule="exact"/>
              <w:rPr>
                <w:rFonts w:ascii="Tahoma" w:hAnsi="Tahoma" w:cs="Tahoma"/>
                <w:sz w:val="20"/>
              </w:rPr>
            </w:pPr>
            <w:r>
              <w:rPr>
                <w:rFonts w:ascii="Tahoma" w:hAnsi="Tahoma" w:cs="Tahoma"/>
                <w:sz w:val="20"/>
              </w:rPr>
              <w:t xml:space="preserve">bod 27 se mění a nově zní: </w:t>
            </w:r>
          </w:p>
        </w:tc>
      </w:tr>
      <w:tr w:rsidR="00B130C5" w:rsidRPr="00617CD9" w:rsidTr="00274D05">
        <w:tc>
          <w:tcPr>
            <w:tcW w:w="695" w:type="dxa"/>
          </w:tcPr>
          <w:p w:rsidR="00274D05" w:rsidRPr="00617CD9" w:rsidRDefault="00274D05" w:rsidP="00274D05">
            <w:pPr>
              <w:pStyle w:val="Zkladntext"/>
              <w:spacing w:line="280" w:lineRule="exact"/>
              <w:rPr>
                <w:rFonts w:ascii="Tahoma" w:hAnsi="Tahoma" w:cs="Tahoma"/>
                <w:sz w:val="20"/>
              </w:rPr>
            </w:pPr>
          </w:p>
        </w:tc>
        <w:tc>
          <w:tcPr>
            <w:tcW w:w="421" w:type="dxa"/>
          </w:tcPr>
          <w:p w:rsidR="00274D05" w:rsidRDefault="00274D05" w:rsidP="00274D05">
            <w:pPr>
              <w:pStyle w:val="Zkladntext"/>
              <w:spacing w:line="280" w:lineRule="exact"/>
              <w:rPr>
                <w:rFonts w:ascii="Tahoma" w:hAnsi="Tahoma" w:cs="Tahoma"/>
                <w:sz w:val="20"/>
              </w:rPr>
            </w:pPr>
          </w:p>
        </w:tc>
        <w:tc>
          <w:tcPr>
            <w:tcW w:w="722" w:type="dxa"/>
          </w:tcPr>
          <w:p w:rsidR="00274D05" w:rsidRDefault="00274D05" w:rsidP="00274D05">
            <w:pPr>
              <w:pStyle w:val="Zkladntext"/>
              <w:spacing w:line="280" w:lineRule="exact"/>
              <w:rPr>
                <w:rFonts w:ascii="Tahoma" w:hAnsi="Tahoma" w:cs="Tahoma"/>
                <w:sz w:val="20"/>
              </w:rPr>
            </w:pPr>
            <w:r w:rsidRPr="00F73250">
              <w:rPr>
                <w:rFonts w:ascii="Tahoma" w:hAnsi="Tahoma" w:cs="Tahoma"/>
                <w:sz w:val="20"/>
              </w:rPr>
              <w:t>„</w:t>
            </w:r>
            <w:r>
              <w:rPr>
                <w:rFonts w:ascii="Tahoma" w:hAnsi="Tahoma" w:cs="Tahoma"/>
                <w:sz w:val="20"/>
              </w:rPr>
              <w:t>27</w:t>
            </w:r>
          </w:p>
        </w:tc>
        <w:tc>
          <w:tcPr>
            <w:tcW w:w="7360" w:type="dxa"/>
            <w:gridSpan w:val="2"/>
          </w:tcPr>
          <w:p w:rsidR="00274D05" w:rsidRDefault="00274D05" w:rsidP="00274D05">
            <w:pPr>
              <w:pStyle w:val="Zkladntext"/>
              <w:spacing w:line="280" w:lineRule="exact"/>
              <w:rPr>
                <w:rFonts w:ascii="Tahoma" w:hAnsi="Tahoma" w:cs="Tahoma"/>
                <w:sz w:val="20"/>
              </w:rPr>
            </w:pPr>
            <w:r w:rsidRPr="00274D05">
              <w:rPr>
                <w:rFonts w:ascii="Tahoma" w:hAnsi="Tahoma" w:cs="Tahoma"/>
                <w:sz w:val="20"/>
              </w:rPr>
              <w:t>Krajskou síť sociálních služeb poskytovaných na území MSK tvoří registrované sociální služby financované z dotačních programů kraje nebo prostřednictvím externích peněžních prostředků (např. prostředky ESF, prostředky Dotačního řízení MPSV v oblasti poskytování sociálních služeb s nadregionální a celostátní působností).</w:t>
            </w:r>
          </w:p>
        </w:tc>
      </w:tr>
      <w:tr w:rsidR="00274D05" w:rsidRPr="00617CD9" w:rsidTr="00D33BCA">
        <w:tc>
          <w:tcPr>
            <w:tcW w:w="695" w:type="dxa"/>
          </w:tcPr>
          <w:p w:rsidR="00274D05" w:rsidRPr="00617CD9" w:rsidRDefault="00274D05" w:rsidP="00274D05">
            <w:pPr>
              <w:pStyle w:val="Zkladntext"/>
              <w:spacing w:line="280" w:lineRule="exact"/>
              <w:rPr>
                <w:rFonts w:ascii="Tahoma" w:hAnsi="Tahoma" w:cs="Tahoma"/>
                <w:sz w:val="20"/>
              </w:rPr>
            </w:pPr>
          </w:p>
        </w:tc>
        <w:tc>
          <w:tcPr>
            <w:tcW w:w="421" w:type="dxa"/>
          </w:tcPr>
          <w:p w:rsidR="00274D05" w:rsidRDefault="006310E0" w:rsidP="00274D05">
            <w:pPr>
              <w:pStyle w:val="Zkladntext"/>
              <w:spacing w:line="280" w:lineRule="exact"/>
              <w:rPr>
                <w:rFonts w:ascii="Tahoma" w:hAnsi="Tahoma" w:cs="Tahoma"/>
                <w:sz w:val="20"/>
              </w:rPr>
            </w:pPr>
            <w:r>
              <w:rPr>
                <w:rFonts w:ascii="Tahoma" w:hAnsi="Tahoma" w:cs="Tahoma"/>
                <w:sz w:val="20"/>
              </w:rPr>
              <w:t>h</w:t>
            </w:r>
            <w:r w:rsidR="00274D05">
              <w:rPr>
                <w:rFonts w:ascii="Tahoma" w:hAnsi="Tahoma" w:cs="Tahoma"/>
                <w:sz w:val="20"/>
              </w:rPr>
              <w:t>)</w:t>
            </w:r>
          </w:p>
        </w:tc>
        <w:tc>
          <w:tcPr>
            <w:tcW w:w="8082" w:type="dxa"/>
            <w:gridSpan w:val="3"/>
          </w:tcPr>
          <w:p w:rsidR="00274D05" w:rsidRPr="00274D05" w:rsidRDefault="00274D05" w:rsidP="00274D05">
            <w:pPr>
              <w:pStyle w:val="Zkladntext"/>
              <w:spacing w:line="280" w:lineRule="exact"/>
              <w:rPr>
                <w:rFonts w:ascii="Tahoma" w:hAnsi="Tahoma" w:cs="Tahoma"/>
                <w:sz w:val="20"/>
              </w:rPr>
            </w:pPr>
            <w:r>
              <w:rPr>
                <w:rFonts w:ascii="Tahoma" w:hAnsi="Tahoma" w:cs="Tahoma"/>
                <w:sz w:val="20"/>
              </w:rPr>
              <w:t xml:space="preserve">bod 28 se mění a nově zní: </w:t>
            </w:r>
          </w:p>
        </w:tc>
      </w:tr>
      <w:tr w:rsidR="00B130C5" w:rsidRPr="00617CD9" w:rsidTr="00274D05">
        <w:tc>
          <w:tcPr>
            <w:tcW w:w="695" w:type="dxa"/>
          </w:tcPr>
          <w:p w:rsidR="00274D05" w:rsidRPr="00617CD9" w:rsidRDefault="00274D05" w:rsidP="00274D05">
            <w:pPr>
              <w:pStyle w:val="Zkladntext"/>
              <w:spacing w:line="280" w:lineRule="exact"/>
              <w:rPr>
                <w:rFonts w:ascii="Tahoma" w:hAnsi="Tahoma" w:cs="Tahoma"/>
                <w:sz w:val="20"/>
              </w:rPr>
            </w:pPr>
          </w:p>
        </w:tc>
        <w:tc>
          <w:tcPr>
            <w:tcW w:w="421" w:type="dxa"/>
          </w:tcPr>
          <w:p w:rsidR="00274D05" w:rsidRDefault="00274D05" w:rsidP="00274D05">
            <w:pPr>
              <w:pStyle w:val="Zkladntext"/>
              <w:spacing w:line="280" w:lineRule="exact"/>
              <w:rPr>
                <w:rFonts w:ascii="Tahoma" w:hAnsi="Tahoma" w:cs="Tahoma"/>
                <w:sz w:val="20"/>
              </w:rPr>
            </w:pPr>
          </w:p>
        </w:tc>
        <w:tc>
          <w:tcPr>
            <w:tcW w:w="722" w:type="dxa"/>
          </w:tcPr>
          <w:p w:rsidR="00274D05" w:rsidRDefault="00274D05" w:rsidP="00274D05">
            <w:pPr>
              <w:pStyle w:val="Zkladntext"/>
              <w:spacing w:line="280" w:lineRule="exact"/>
              <w:rPr>
                <w:rFonts w:ascii="Tahoma" w:hAnsi="Tahoma" w:cs="Tahoma"/>
                <w:sz w:val="20"/>
              </w:rPr>
            </w:pPr>
            <w:r w:rsidRPr="00274D05">
              <w:rPr>
                <w:rFonts w:ascii="Tahoma" w:hAnsi="Tahoma" w:cs="Tahoma"/>
                <w:sz w:val="20"/>
              </w:rPr>
              <w:t>„2</w:t>
            </w:r>
            <w:r>
              <w:rPr>
                <w:rFonts w:ascii="Tahoma" w:hAnsi="Tahoma" w:cs="Tahoma"/>
                <w:sz w:val="20"/>
              </w:rPr>
              <w:t>8</w:t>
            </w:r>
          </w:p>
        </w:tc>
        <w:tc>
          <w:tcPr>
            <w:tcW w:w="7360" w:type="dxa"/>
            <w:gridSpan w:val="2"/>
          </w:tcPr>
          <w:p w:rsidR="00274D05" w:rsidRDefault="00274D05" w:rsidP="00274D05">
            <w:pPr>
              <w:pStyle w:val="Zkladntext"/>
              <w:spacing w:line="280" w:lineRule="exact"/>
              <w:rPr>
                <w:rFonts w:ascii="Tahoma" w:hAnsi="Tahoma" w:cs="Tahoma"/>
                <w:sz w:val="20"/>
              </w:rPr>
            </w:pPr>
            <w:r w:rsidRPr="00274D05">
              <w:rPr>
                <w:rFonts w:ascii="Tahoma" w:hAnsi="Tahoma" w:cs="Tahoma"/>
                <w:sz w:val="20"/>
              </w:rPr>
              <w:t>Prováděcí dokument k Metodice aktualizace Krajské sítě sociálních služeb v</w:t>
            </w:r>
            <w:r>
              <w:rPr>
                <w:rFonts w:ascii="Tahoma" w:hAnsi="Tahoma" w:cs="Tahoma"/>
                <w:sz w:val="20"/>
              </w:rPr>
              <w:t> </w:t>
            </w:r>
            <w:r w:rsidRPr="00274D05">
              <w:rPr>
                <w:rFonts w:ascii="Tahoma" w:hAnsi="Tahoma" w:cs="Tahoma"/>
                <w:sz w:val="20"/>
              </w:rPr>
              <w:t>Moravskoslezském kraji upravuje postup při vstupu, změnách a výstupu z Krajské sítě sociálních služeb.</w:t>
            </w:r>
          </w:p>
        </w:tc>
      </w:tr>
      <w:tr w:rsidR="00274D05" w:rsidRPr="00617CD9" w:rsidTr="000414D7">
        <w:tc>
          <w:tcPr>
            <w:tcW w:w="695" w:type="dxa"/>
          </w:tcPr>
          <w:p w:rsidR="00274D05" w:rsidRPr="00617CD9" w:rsidRDefault="00274D05" w:rsidP="00274D05">
            <w:pPr>
              <w:pStyle w:val="Zkladntext"/>
              <w:spacing w:line="280" w:lineRule="exact"/>
              <w:rPr>
                <w:rFonts w:ascii="Tahoma" w:hAnsi="Tahoma" w:cs="Tahoma"/>
                <w:sz w:val="20"/>
              </w:rPr>
            </w:pPr>
            <w:r>
              <w:rPr>
                <w:rFonts w:ascii="Tahoma" w:hAnsi="Tahoma" w:cs="Tahoma"/>
                <w:sz w:val="20"/>
              </w:rPr>
              <w:t xml:space="preserve">  </w:t>
            </w:r>
            <w:r w:rsidRPr="00617CD9">
              <w:rPr>
                <w:rFonts w:ascii="Tahoma" w:hAnsi="Tahoma" w:cs="Tahoma"/>
                <w:sz w:val="20"/>
              </w:rPr>
              <w:t>(</w:t>
            </w:r>
            <w:r w:rsidR="00C93661">
              <w:rPr>
                <w:rFonts w:ascii="Tahoma" w:hAnsi="Tahoma" w:cs="Tahoma"/>
                <w:sz w:val="20"/>
              </w:rPr>
              <w:t>5</w:t>
            </w:r>
            <w:r w:rsidRPr="00617CD9">
              <w:rPr>
                <w:rFonts w:ascii="Tahoma" w:hAnsi="Tahoma" w:cs="Tahoma"/>
                <w:sz w:val="20"/>
              </w:rPr>
              <w:t>)</w:t>
            </w:r>
          </w:p>
        </w:tc>
        <w:tc>
          <w:tcPr>
            <w:tcW w:w="8503" w:type="dxa"/>
            <w:gridSpan w:val="4"/>
          </w:tcPr>
          <w:p w:rsidR="00274D05" w:rsidRPr="00617CD9" w:rsidRDefault="006310E0" w:rsidP="00274D05">
            <w:pPr>
              <w:pStyle w:val="Zkladntext"/>
              <w:spacing w:line="280" w:lineRule="exact"/>
              <w:rPr>
                <w:rFonts w:ascii="Tahoma" w:hAnsi="Tahoma" w:cs="Tahoma"/>
                <w:color w:val="000000"/>
                <w:sz w:val="20"/>
              </w:rPr>
            </w:pPr>
            <w:r>
              <w:rPr>
                <w:rFonts w:ascii="Tahoma" w:hAnsi="Tahoma" w:cs="Tahoma"/>
                <w:color w:val="000000"/>
                <w:sz w:val="20"/>
              </w:rPr>
              <w:t>č</w:t>
            </w:r>
            <w:r w:rsidR="00274D05">
              <w:rPr>
                <w:rFonts w:ascii="Tahoma" w:hAnsi="Tahoma" w:cs="Tahoma"/>
                <w:color w:val="000000"/>
                <w:sz w:val="20"/>
              </w:rPr>
              <w:t xml:space="preserve">l. II </w:t>
            </w:r>
            <w:r w:rsidR="00274D05" w:rsidRPr="00274D05">
              <w:rPr>
                <w:rFonts w:ascii="Tahoma" w:hAnsi="Tahoma" w:cs="Tahoma"/>
                <w:b/>
                <w:bCs/>
                <w:color w:val="000000"/>
                <w:sz w:val="20"/>
              </w:rPr>
              <w:t>„Cíle a priority programu (účel poskytnutí dotace)“</w:t>
            </w:r>
            <w:r w:rsidR="00274D05">
              <w:rPr>
                <w:rFonts w:ascii="Tahoma" w:hAnsi="Tahoma" w:cs="Tahoma"/>
                <w:color w:val="000000"/>
                <w:sz w:val="20"/>
              </w:rPr>
              <w:t xml:space="preserve"> se mění a nově zní: </w:t>
            </w:r>
          </w:p>
        </w:tc>
      </w:tr>
      <w:tr w:rsidR="00B130C5" w:rsidRPr="00617CD9" w:rsidTr="00DA3B00">
        <w:tc>
          <w:tcPr>
            <w:tcW w:w="695" w:type="dxa"/>
          </w:tcPr>
          <w:p w:rsidR="00DA3B00" w:rsidRDefault="00DA3B00" w:rsidP="00274D05">
            <w:pPr>
              <w:pStyle w:val="Zkladntext"/>
              <w:spacing w:line="280" w:lineRule="exact"/>
              <w:rPr>
                <w:rFonts w:ascii="Tahoma" w:hAnsi="Tahoma" w:cs="Tahoma"/>
                <w:sz w:val="20"/>
              </w:rPr>
            </w:pPr>
          </w:p>
        </w:tc>
        <w:tc>
          <w:tcPr>
            <w:tcW w:w="421" w:type="dxa"/>
          </w:tcPr>
          <w:p w:rsidR="00DA3B00" w:rsidRDefault="00DA3B00" w:rsidP="00274D05">
            <w:pPr>
              <w:pStyle w:val="Zkladntext"/>
              <w:spacing w:line="280" w:lineRule="exact"/>
              <w:rPr>
                <w:rFonts w:ascii="Tahoma" w:hAnsi="Tahoma" w:cs="Tahoma"/>
                <w:color w:val="000000"/>
                <w:sz w:val="20"/>
              </w:rPr>
            </w:pPr>
            <w:r>
              <w:rPr>
                <w:rFonts w:ascii="Tahoma" w:hAnsi="Tahoma" w:cs="Tahoma"/>
                <w:color w:val="000000"/>
                <w:sz w:val="20"/>
              </w:rPr>
              <w:t>a)</w:t>
            </w:r>
          </w:p>
        </w:tc>
        <w:tc>
          <w:tcPr>
            <w:tcW w:w="722" w:type="dxa"/>
          </w:tcPr>
          <w:p w:rsidR="00DA3B00" w:rsidRDefault="00DA3B00" w:rsidP="00274D05">
            <w:pPr>
              <w:pStyle w:val="Zkladntext"/>
              <w:spacing w:line="280" w:lineRule="exact"/>
              <w:rPr>
                <w:rFonts w:ascii="Tahoma" w:hAnsi="Tahoma" w:cs="Tahoma"/>
                <w:color w:val="000000"/>
                <w:sz w:val="20"/>
              </w:rPr>
            </w:pPr>
            <w:r>
              <w:rPr>
                <w:rFonts w:ascii="Tahoma" w:hAnsi="Tahoma" w:cs="Tahoma"/>
                <w:color w:val="000000"/>
                <w:sz w:val="20"/>
              </w:rPr>
              <w:t>„</w:t>
            </w:r>
            <w:r w:rsidR="006310E0">
              <w:rPr>
                <w:rFonts w:ascii="Tahoma" w:hAnsi="Tahoma" w:cs="Tahoma"/>
                <w:color w:val="000000"/>
                <w:sz w:val="20"/>
              </w:rPr>
              <w:t>č</w:t>
            </w:r>
            <w:r>
              <w:rPr>
                <w:rFonts w:ascii="Tahoma" w:hAnsi="Tahoma" w:cs="Tahoma"/>
                <w:color w:val="000000"/>
                <w:sz w:val="20"/>
              </w:rPr>
              <w:t>l. II</w:t>
            </w:r>
          </w:p>
        </w:tc>
        <w:tc>
          <w:tcPr>
            <w:tcW w:w="7360" w:type="dxa"/>
            <w:gridSpan w:val="2"/>
          </w:tcPr>
          <w:p w:rsidR="00DA3B00" w:rsidRPr="00DA3B00" w:rsidRDefault="00DA3B00" w:rsidP="00DA3B00">
            <w:pPr>
              <w:pStyle w:val="Zkladntext"/>
              <w:spacing w:line="280" w:lineRule="exact"/>
              <w:rPr>
                <w:rFonts w:ascii="Tahoma" w:hAnsi="Tahoma" w:cs="Tahoma"/>
                <w:color w:val="000000"/>
                <w:sz w:val="20"/>
              </w:rPr>
            </w:pPr>
            <w:r w:rsidRPr="00DA3B00">
              <w:rPr>
                <w:rFonts w:ascii="Tahoma" w:hAnsi="Tahoma" w:cs="Tahoma"/>
                <w:color w:val="000000"/>
                <w:sz w:val="20"/>
              </w:rPr>
              <w:t>Účelem realizace dotačního programu je finanční podpora poskytovatelů registrovaných sociálních služeb, jejichž potřebnost je vyjádřena v SPRSS MSK. Podporováno bude poskytování sociálních služeb, které jsou součástí Krajské sítě sociálních služeb se statusem „základní“ a jsou ze strany kraje pověřeny k výkonu služby v obecném hospodářském zájmu prostřednictvím Smlouvy o závazku.</w:t>
            </w:r>
          </w:p>
          <w:p w:rsidR="00DA3B00" w:rsidRDefault="00DA3B00" w:rsidP="00DA3B00">
            <w:pPr>
              <w:pStyle w:val="Zkladntext"/>
              <w:spacing w:line="280" w:lineRule="exact"/>
              <w:rPr>
                <w:rFonts w:ascii="Tahoma" w:hAnsi="Tahoma" w:cs="Tahoma"/>
                <w:color w:val="000000"/>
                <w:sz w:val="20"/>
              </w:rPr>
            </w:pPr>
            <w:r w:rsidRPr="00DA3B00">
              <w:rPr>
                <w:rFonts w:ascii="Tahoma" w:hAnsi="Tahoma" w:cs="Tahoma"/>
                <w:color w:val="000000"/>
                <w:sz w:val="20"/>
              </w:rPr>
              <w:t>Zdrojem dotačního programu jsou peněžní prostředky alokované ze státního rozpočtu a přiznané poskytovateli dotace na základě Rozhodnutí o poskytnutí dotace z kapitoly 313 – MPSV státního rozpočtu na příslušný kalendářní rok.</w:t>
            </w:r>
          </w:p>
        </w:tc>
      </w:tr>
      <w:tr w:rsidR="00274D05" w:rsidRPr="00617CD9" w:rsidTr="000414D7">
        <w:tc>
          <w:tcPr>
            <w:tcW w:w="695" w:type="dxa"/>
          </w:tcPr>
          <w:p w:rsidR="00274D05" w:rsidRPr="00617CD9" w:rsidRDefault="00DA3B00" w:rsidP="00274D05">
            <w:pPr>
              <w:pStyle w:val="Zkladntext"/>
              <w:spacing w:line="280" w:lineRule="exact"/>
              <w:jc w:val="center"/>
              <w:rPr>
                <w:rFonts w:ascii="Tahoma" w:hAnsi="Tahoma" w:cs="Tahoma"/>
                <w:sz w:val="20"/>
              </w:rPr>
            </w:pPr>
            <w:r>
              <w:rPr>
                <w:rFonts w:ascii="Tahoma" w:hAnsi="Tahoma" w:cs="Tahoma"/>
                <w:sz w:val="20"/>
              </w:rPr>
              <w:t>(</w:t>
            </w:r>
            <w:r w:rsidR="00C93661">
              <w:rPr>
                <w:rFonts w:ascii="Tahoma" w:hAnsi="Tahoma" w:cs="Tahoma"/>
                <w:sz w:val="20"/>
              </w:rPr>
              <w:t>6</w:t>
            </w:r>
            <w:r>
              <w:rPr>
                <w:rFonts w:ascii="Tahoma" w:hAnsi="Tahoma" w:cs="Tahoma"/>
                <w:sz w:val="20"/>
              </w:rPr>
              <w:t>)</w:t>
            </w:r>
          </w:p>
        </w:tc>
        <w:tc>
          <w:tcPr>
            <w:tcW w:w="421" w:type="dxa"/>
          </w:tcPr>
          <w:p w:rsidR="00274D05" w:rsidRPr="00617CD9" w:rsidRDefault="00274D05" w:rsidP="00274D05">
            <w:pPr>
              <w:pStyle w:val="Zkladntext"/>
              <w:spacing w:line="280" w:lineRule="exact"/>
              <w:rPr>
                <w:rFonts w:ascii="Tahoma" w:hAnsi="Tahoma" w:cs="Tahoma"/>
                <w:sz w:val="20"/>
              </w:rPr>
            </w:pPr>
          </w:p>
        </w:tc>
        <w:tc>
          <w:tcPr>
            <w:tcW w:w="8082" w:type="dxa"/>
            <w:gridSpan w:val="3"/>
          </w:tcPr>
          <w:p w:rsidR="00DA3B00" w:rsidRPr="00617CD9" w:rsidRDefault="006310E0" w:rsidP="00274D05">
            <w:pPr>
              <w:pStyle w:val="Zkladntext"/>
              <w:spacing w:line="280" w:lineRule="exact"/>
              <w:rPr>
                <w:rFonts w:ascii="Tahoma" w:hAnsi="Tahoma" w:cs="Tahoma"/>
                <w:sz w:val="20"/>
              </w:rPr>
            </w:pPr>
            <w:r>
              <w:rPr>
                <w:rFonts w:ascii="Tahoma" w:hAnsi="Tahoma" w:cs="Tahoma"/>
                <w:sz w:val="20"/>
              </w:rPr>
              <w:t>č</w:t>
            </w:r>
            <w:r w:rsidR="00DA3B00">
              <w:rPr>
                <w:rFonts w:ascii="Tahoma" w:hAnsi="Tahoma" w:cs="Tahoma"/>
                <w:sz w:val="20"/>
              </w:rPr>
              <w:t xml:space="preserve">l. IV. </w:t>
            </w:r>
            <w:r w:rsidR="00DA3B00" w:rsidRPr="00DA3B00">
              <w:rPr>
                <w:rFonts w:ascii="Tahoma" w:hAnsi="Tahoma" w:cs="Tahoma"/>
                <w:b/>
                <w:bCs/>
                <w:sz w:val="20"/>
              </w:rPr>
              <w:t>„Podmínky pro poskytování dotací“</w:t>
            </w:r>
            <w:r w:rsidR="00DA3B00">
              <w:rPr>
                <w:rFonts w:ascii="Tahoma" w:hAnsi="Tahoma" w:cs="Tahoma"/>
                <w:sz w:val="20"/>
              </w:rPr>
              <w:t xml:space="preserve"> se: </w:t>
            </w:r>
          </w:p>
        </w:tc>
      </w:tr>
      <w:tr w:rsidR="00DA3B00" w:rsidRPr="00617CD9" w:rsidTr="000414D7">
        <w:tc>
          <w:tcPr>
            <w:tcW w:w="695" w:type="dxa"/>
          </w:tcPr>
          <w:p w:rsidR="00DA3B00" w:rsidRDefault="00DA3B00" w:rsidP="00274D05">
            <w:pPr>
              <w:pStyle w:val="Zkladntext"/>
              <w:spacing w:line="280" w:lineRule="exact"/>
              <w:jc w:val="center"/>
              <w:rPr>
                <w:rFonts w:ascii="Tahoma" w:hAnsi="Tahoma" w:cs="Tahoma"/>
                <w:sz w:val="20"/>
              </w:rPr>
            </w:pPr>
          </w:p>
        </w:tc>
        <w:tc>
          <w:tcPr>
            <w:tcW w:w="421" w:type="dxa"/>
          </w:tcPr>
          <w:p w:rsidR="00DA3B00" w:rsidRPr="00617CD9" w:rsidRDefault="00C93661" w:rsidP="00274D05">
            <w:pPr>
              <w:pStyle w:val="Zkladntext"/>
              <w:spacing w:line="280" w:lineRule="exact"/>
              <w:rPr>
                <w:rFonts w:ascii="Tahoma" w:hAnsi="Tahoma" w:cs="Tahoma"/>
                <w:sz w:val="20"/>
              </w:rPr>
            </w:pPr>
            <w:r>
              <w:rPr>
                <w:rFonts w:ascii="Tahoma" w:hAnsi="Tahoma" w:cs="Tahoma"/>
                <w:sz w:val="20"/>
              </w:rPr>
              <w:t>a)</w:t>
            </w:r>
          </w:p>
        </w:tc>
        <w:tc>
          <w:tcPr>
            <w:tcW w:w="8082" w:type="dxa"/>
            <w:gridSpan w:val="3"/>
          </w:tcPr>
          <w:p w:rsidR="00DA3B00" w:rsidRDefault="00C93661" w:rsidP="00274D05">
            <w:pPr>
              <w:pStyle w:val="Zkladntext"/>
              <w:spacing w:line="280" w:lineRule="exact"/>
              <w:rPr>
                <w:rFonts w:ascii="Tahoma" w:hAnsi="Tahoma" w:cs="Tahoma"/>
                <w:sz w:val="20"/>
              </w:rPr>
            </w:pPr>
            <w:r>
              <w:rPr>
                <w:rFonts w:ascii="Tahoma" w:hAnsi="Tahoma" w:cs="Tahoma"/>
                <w:sz w:val="20"/>
              </w:rPr>
              <w:t>v bodě 1 pojem: „běžných výdajů“ nahrazuje pojmem: „běžných nákladů“</w:t>
            </w:r>
          </w:p>
        </w:tc>
      </w:tr>
      <w:tr w:rsidR="00C93661" w:rsidRPr="00617CD9" w:rsidTr="008258C2">
        <w:tc>
          <w:tcPr>
            <w:tcW w:w="695" w:type="dxa"/>
          </w:tcPr>
          <w:p w:rsidR="00C93661" w:rsidRPr="00617CD9" w:rsidRDefault="00C93661" w:rsidP="00274D05">
            <w:pPr>
              <w:pStyle w:val="Zkladntext"/>
              <w:spacing w:line="280" w:lineRule="exact"/>
              <w:jc w:val="center"/>
              <w:rPr>
                <w:rFonts w:ascii="Tahoma" w:hAnsi="Tahoma" w:cs="Tahoma"/>
                <w:sz w:val="20"/>
              </w:rPr>
            </w:pPr>
          </w:p>
        </w:tc>
        <w:tc>
          <w:tcPr>
            <w:tcW w:w="421" w:type="dxa"/>
          </w:tcPr>
          <w:p w:rsidR="00C93661" w:rsidRPr="00617CD9" w:rsidRDefault="00A41A99" w:rsidP="00C93661">
            <w:pPr>
              <w:pStyle w:val="Zkladntext"/>
              <w:spacing w:line="280" w:lineRule="exact"/>
              <w:rPr>
                <w:rFonts w:ascii="Tahoma" w:hAnsi="Tahoma" w:cs="Tahoma"/>
                <w:sz w:val="20"/>
              </w:rPr>
            </w:pPr>
            <w:r>
              <w:rPr>
                <w:rFonts w:ascii="Tahoma" w:hAnsi="Tahoma" w:cs="Tahoma"/>
                <w:sz w:val="20"/>
              </w:rPr>
              <w:t>b)</w:t>
            </w:r>
          </w:p>
        </w:tc>
        <w:tc>
          <w:tcPr>
            <w:tcW w:w="8082" w:type="dxa"/>
            <w:gridSpan w:val="3"/>
          </w:tcPr>
          <w:p w:rsidR="00C93661" w:rsidRPr="00617CD9" w:rsidRDefault="00C93661" w:rsidP="00274D05">
            <w:pPr>
              <w:pStyle w:val="Zkladntext"/>
              <w:spacing w:line="280" w:lineRule="exact"/>
              <w:rPr>
                <w:rFonts w:ascii="Tahoma" w:hAnsi="Tahoma" w:cs="Tahoma"/>
                <w:sz w:val="20"/>
              </w:rPr>
            </w:pPr>
            <w:r>
              <w:rPr>
                <w:rFonts w:ascii="Tahoma" w:hAnsi="Tahoma" w:cs="Tahoma"/>
                <w:sz w:val="20"/>
              </w:rPr>
              <w:t xml:space="preserve">bod 3 mění a nově zní: </w:t>
            </w:r>
          </w:p>
        </w:tc>
      </w:tr>
      <w:tr w:rsidR="00B130C5" w:rsidRPr="00617CD9" w:rsidTr="00C93661">
        <w:tc>
          <w:tcPr>
            <w:tcW w:w="695" w:type="dxa"/>
          </w:tcPr>
          <w:p w:rsidR="00C93661" w:rsidRPr="00617CD9" w:rsidRDefault="00C93661" w:rsidP="00274D05">
            <w:pPr>
              <w:pStyle w:val="Zkladntext"/>
              <w:spacing w:line="280" w:lineRule="exact"/>
              <w:jc w:val="center"/>
              <w:rPr>
                <w:rFonts w:ascii="Tahoma" w:hAnsi="Tahoma" w:cs="Tahoma"/>
                <w:sz w:val="20"/>
              </w:rPr>
            </w:pPr>
          </w:p>
        </w:tc>
        <w:tc>
          <w:tcPr>
            <w:tcW w:w="421" w:type="dxa"/>
          </w:tcPr>
          <w:p w:rsidR="00C93661" w:rsidRDefault="00C93661" w:rsidP="00274D05">
            <w:pPr>
              <w:pStyle w:val="Zkladntext"/>
              <w:spacing w:line="280" w:lineRule="exact"/>
              <w:jc w:val="center"/>
              <w:rPr>
                <w:rFonts w:ascii="Tahoma" w:hAnsi="Tahoma" w:cs="Tahoma"/>
                <w:sz w:val="20"/>
              </w:rPr>
            </w:pPr>
          </w:p>
        </w:tc>
        <w:tc>
          <w:tcPr>
            <w:tcW w:w="722" w:type="dxa"/>
          </w:tcPr>
          <w:p w:rsidR="00C93661" w:rsidRDefault="00C93661" w:rsidP="00274D05">
            <w:pPr>
              <w:pStyle w:val="Zkladntext"/>
              <w:spacing w:line="280" w:lineRule="exact"/>
              <w:rPr>
                <w:rFonts w:ascii="Tahoma" w:hAnsi="Tahoma" w:cs="Tahoma"/>
                <w:sz w:val="20"/>
              </w:rPr>
            </w:pPr>
            <w:r>
              <w:rPr>
                <w:rFonts w:ascii="Tahoma" w:hAnsi="Tahoma" w:cs="Tahoma"/>
                <w:sz w:val="20"/>
              </w:rPr>
              <w:t>„3</w:t>
            </w:r>
          </w:p>
        </w:tc>
        <w:tc>
          <w:tcPr>
            <w:tcW w:w="7360" w:type="dxa"/>
            <w:gridSpan w:val="2"/>
          </w:tcPr>
          <w:p w:rsidR="00C93661" w:rsidRDefault="00C93661" w:rsidP="00274D05">
            <w:pPr>
              <w:pStyle w:val="Zkladntext"/>
              <w:spacing w:line="280" w:lineRule="exact"/>
              <w:rPr>
                <w:rFonts w:ascii="Tahoma" w:hAnsi="Tahoma" w:cs="Tahoma"/>
                <w:sz w:val="20"/>
              </w:rPr>
            </w:pPr>
            <w:r w:rsidRPr="00C93661">
              <w:rPr>
                <w:rFonts w:ascii="Tahoma" w:hAnsi="Tahoma" w:cs="Tahoma"/>
                <w:sz w:val="20"/>
              </w:rPr>
              <w:t>Žádost se podává zaokrouhlena na celé tisícikoruny u každé sociální služby.</w:t>
            </w:r>
          </w:p>
        </w:tc>
      </w:tr>
      <w:tr w:rsidR="00274D05" w:rsidRPr="00617CD9" w:rsidTr="000414D7">
        <w:tc>
          <w:tcPr>
            <w:tcW w:w="695" w:type="dxa"/>
          </w:tcPr>
          <w:p w:rsidR="00274D05" w:rsidRPr="00617CD9" w:rsidRDefault="00274D05" w:rsidP="00274D05">
            <w:pPr>
              <w:pStyle w:val="Zkladntext"/>
              <w:spacing w:line="280" w:lineRule="exact"/>
              <w:jc w:val="center"/>
              <w:rPr>
                <w:rFonts w:ascii="Tahoma" w:hAnsi="Tahoma" w:cs="Tahoma"/>
                <w:sz w:val="20"/>
              </w:rPr>
            </w:pPr>
            <w:r w:rsidRPr="00617CD9">
              <w:rPr>
                <w:rFonts w:ascii="Tahoma" w:hAnsi="Tahoma" w:cs="Tahoma"/>
                <w:sz w:val="20"/>
              </w:rPr>
              <w:t>(</w:t>
            </w:r>
            <w:r w:rsidR="00C93661">
              <w:rPr>
                <w:rFonts w:ascii="Tahoma" w:hAnsi="Tahoma" w:cs="Tahoma"/>
                <w:sz w:val="20"/>
              </w:rPr>
              <w:t>7</w:t>
            </w:r>
            <w:r w:rsidRPr="00617CD9">
              <w:rPr>
                <w:rFonts w:ascii="Tahoma" w:hAnsi="Tahoma" w:cs="Tahoma"/>
                <w:sz w:val="20"/>
              </w:rPr>
              <w:t>)</w:t>
            </w:r>
          </w:p>
        </w:tc>
        <w:tc>
          <w:tcPr>
            <w:tcW w:w="8503" w:type="dxa"/>
            <w:gridSpan w:val="4"/>
          </w:tcPr>
          <w:p w:rsidR="00274D05" w:rsidRPr="00617CD9" w:rsidRDefault="00274D05" w:rsidP="00274D05">
            <w:pPr>
              <w:pStyle w:val="Zkladntext"/>
              <w:spacing w:line="280" w:lineRule="exact"/>
              <w:rPr>
                <w:rFonts w:ascii="Tahoma" w:hAnsi="Tahoma" w:cs="Tahoma"/>
                <w:sz w:val="20"/>
              </w:rPr>
            </w:pPr>
            <w:r w:rsidRPr="00617CD9">
              <w:rPr>
                <w:rFonts w:ascii="Tahoma" w:hAnsi="Tahoma" w:cs="Tahoma"/>
                <w:sz w:val="20"/>
              </w:rPr>
              <w:t xml:space="preserve">V čl. </w:t>
            </w:r>
            <w:r w:rsidR="00A41A99">
              <w:rPr>
                <w:rFonts w:ascii="Tahoma" w:hAnsi="Tahoma" w:cs="Tahoma"/>
                <w:sz w:val="20"/>
              </w:rPr>
              <w:t>V.</w:t>
            </w:r>
            <w:r w:rsidRPr="00617CD9">
              <w:rPr>
                <w:rFonts w:ascii="Tahoma" w:hAnsi="Tahoma" w:cs="Tahoma"/>
                <w:sz w:val="20"/>
              </w:rPr>
              <w:t xml:space="preserve"> „</w:t>
            </w:r>
            <w:r w:rsidR="00A41A99">
              <w:rPr>
                <w:rFonts w:ascii="Tahoma" w:hAnsi="Tahoma" w:cs="Tahoma"/>
                <w:b/>
                <w:sz w:val="20"/>
              </w:rPr>
              <w:t>Uznatelné a neuznatelné náklady služby</w:t>
            </w:r>
            <w:r w:rsidRPr="00617CD9">
              <w:rPr>
                <w:rFonts w:ascii="Tahoma" w:hAnsi="Tahoma" w:cs="Tahoma"/>
                <w:sz w:val="20"/>
              </w:rPr>
              <w:t>“</w:t>
            </w:r>
            <w:r w:rsidRPr="00617CD9">
              <w:rPr>
                <w:rFonts w:ascii="Tahoma" w:hAnsi="Tahoma" w:cs="Tahoma"/>
                <w:b/>
                <w:sz w:val="20"/>
              </w:rPr>
              <w:t xml:space="preserve"> </w:t>
            </w:r>
            <w:r w:rsidRPr="00617CD9">
              <w:rPr>
                <w:rFonts w:ascii="Tahoma" w:hAnsi="Tahoma" w:cs="Tahoma"/>
                <w:sz w:val="20"/>
              </w:rPr>
              <w:t>se:</w:t>
            </w:r>
          </w:p>
        </w:tc>
      </w:tr>
      <w:tr w:rsidR="00274D05" w:rsidRPr="00617CD9" w:rsidTr="000414D7">
        <w:trPr>
          <w:trHeight w:val="121"/>
        </w:trPr>
        <w:tc>
          <w:tcPr>
            <w:tcW w:w="695" w:type="dxa"/>
          </w:tcPr>
          <w:p w:rsidR="00274D05" w:rsidRPr="00617CD9" w:rsidRDefault="00274D05" w:rsidP="00274D05">
            <w:pPr>
              <w:pStyle w:val="Zkladntext"/>
              <w:spacing w:line="280" w:lineRule="exact"/>
              <w:jc w:val="center"/>
              <w:rPr>
                <w:rFonts w:ascii="Tahoma" w:hAnsi="Tahoma" w:cs="Tahoma"/>
                <w:sz w:val="20"/>
              </w:rPr>
            </w:pPr>
            <w:r w:rsidRPr="00617CD9">
              <w:rPr>
                <w:rFonts w:ascii="Tahoma" w:hAnsi="Tahoma" w:cs="Tahoma"/>
                <w:sz w:val="20"/>
              </w:rPr>
              <w:t xml:space="preserve">   </w:t>
            </w:r>
          </w:p>
        </w:tc>
        <w:tc>
          <w:tcPr>
            <w:tcW w:w="421" w:type="dxa"/>
          </w:tcPr>
          <w:p w:rsidR="00274D05" w:rsidRPr="00617CD9" w:rsidRDefault="00274D05" w:rsidP="00274D05">
            <w:pPr>
              <w:pStyle w:val="Zkladntext"/>
              <w:spacing w:line="280" w:lineRule="exact"/>
              <w:rPr>
                <w:rFonts w:ascii="Tahoma" w:hAnsi="Tahoma" w:cs="Tahoma"/>
                <w:sz w:val="20"/>
              </w:rPr>
            </w:pPr>
            <w:r w:rsidRPr="00617CD9">
              <w:rPr>
                <w:rFonts w:ascii="Tahoma" w:hAnsi="Tahoma" w:cs="Tahoma"/>
                <w:sz w:val="20"/>
              </w:rPr>
              <w:t>a)</w:t>
            </w:r>
          </w:p>
        </w:tc>
        <w:tc>
          <w:tcPr>
            <w:tcW w:w="8082" w:type="dxa"/>
            <w:gridSpan w:val="3"/>
          </w:tcPr>
          <w:p w:rsidR="00274D05" w:rsidRPr="00617CD9" w:rsidRDefault="00966F63" w:rsidP="00274D05">
            <w:pPr>
              <w:pStyle w:val="Zkladntext"/>
              <w:spacing w:line="280" w:lineRule="exact"/>
              <w:rPr>
                <w:rFonts w:ascii="Tahoma" w:hAnsi="Tahoma" w:cs="Tahoma"/>
                <w:sz w:val="20"/>
              </w:rPr>
            </w:pPr>
            <w:r>
              <w:rPr>
                <w:rFonts w:ascii="Tahoma" w:hAnsi="Tahoma" w:cs="Tahoma"/>
                <w:sz w:val="20"/>
              </w:rPr>
              <w:t>b</w:t>
            </w:r>
            <w:r w:rsidR="00A41A99">
              <w:rPr>
                <w:rFonts w:ascii="Tahoma" w:hAnsi="Tahoma" w:cs="Tahoma"/>
                <w:sz w:val="20"/>
              </w:rPr>
              <w:t xml:space="preserve">od 2 písm. </w:t>
            </w:r>
            <w:proofErr w:type="spellStart"/>
            <w:r w:rsidR="00A41A99">
              <w:rPr>
                <w:rFonts w:ascii="Tahoma" w:hAnsi="Tahoma" w:cs="Tahoma"/>
                <w:sz w:val="20"/>
              </w:rPr>
              <w:t>bd</w:t>
            </w:r>
            <w:proofErr w:type="spellEnd"/>
            <w:r w:rsidR="00A41A99">
              <w:rPr>
                <w:rFonts w:ascii="Tahoma" w:hAnsi="Tahoma" w:cs="Tahoma"/>
                <w:sz w:val="20"/>
              </w:rPr>
              <w:t xml:space="preserve">) mění a nově zní: </w:t>
            </w:r>
          </w:p>
        </w:tc>
      </w:tr>
      <w:tr w:rsidR="00B130C5" w:rsidRPr="00617CD9" w:rsidTr="00F73250">
        <w:trPr>
          <w:trHeight w:val="81"/>
        </w:trPr>
        <w:tc>
          <w:tcPr>
            <w:tcW w:w="1116" w:type="dxa"/>
            <w:gridSpan w:val="2"/>
          </w:tcPr>
          <w:p w:rsidR="00274D05" w:rsidRPr="00617CD9" w:rsidRDefault="00274D05" w:rsidP="00274D05">
            <w:pPr>
              <w:pStyle w:val="Zkladntext"/>
              <w:spacing w:line="280" w:lineRule="exact"/>
              <w:rPr>
                <w:rFonts w:ascii="Tahoma" w:hAnsi="Tahoma" w:cs="Tahoma"/>
                <w:sz w:val="20"/>
              </w:rPr>
            </w:pPr>
          </w:p>
        </w:tc>
        <w:tc>
          <w:tcPr>
            <w:tcW w:w="722" w:type="dxa"/>
          </w:tcPr>
          <w:p w:rsidR="00274D05" w:rsidRPr="00617CD9" w:rsidRDefault="00274D05" w:rsidP="00274D05">
            <w:pPr>
              <w:pStyle w:val="Zkladntext"/>
              <w:spacing w:line="280" w:lineRule="exact"/>
              <w:rPr>
                <w:rFonts w:ascii="Tahoma" w:hAnsi="Tahoma" w:cs="Tahoma"/>
                <w:sz w:val="20"/>
              </w:rPr>
            </w:pPr>
            <w:r w:rsidRPr="00617CD9">
              <w:rPr>
                <w:rFonts w:ascii="Tahoma" w:hAnsi="Tahoma" w:cs="Tahoma"/>
                <w:sz w:val="20"/>
              </w:rPr>
              <w:t>„</w:t>
            </w:r>
            <w:proofErr w:type="spellStart"/>
            <w:r w:rsidRPr="00617CD9">
              <w:rPr>
                <w:rFonts w:ascii="Tahoma" w:hAnsi="Tahoma" w:cs="Tahoma"/>
                <w:sz w:val="20"/>
              </w:rPr>
              <w:t>b</w:t>
            </w:r>
            <w:r w:rsidR="00A41A99">
              <w:rPr>
                <w:rFonts w:ascii="Tahoma" w:hAnsi="Tahoma" w:cs="Tahoma"/>
                <w:sz w:val="20"/>
              </w:rPr>
              <w:t>d</w:t>
            </w:r>
            <w:proofErr w:type="spellEnd"/>
            <w:r w:rsidR="00A41A99">
              <w:rPr>
                <w:rFonts w:ascii="Tahoma" w:hAnsi="Tahoma" w:cs="Tahoma"/>
                <w:sz w:val="20"/>
              </w:rPr>
              <w:t>)</w:t>
            </w:r>
          </w:p>
        </w:tc>
        <w:tc>
          <w:tcPr>
            <w:tcW w:w="7360" w:type="dxa"/>
            <w:gridSpan w:val="2"/>
          </w:tcPr>
          <w:p w:rsidR="00A41A99" w:rsidRPr="00A41A99" w:rsidRDefault="00A41A99" w:rsidP="00A41A99">
            <w:pPr>
              <w:pStyle w:val="Zkladntext"/>
              <w:spacing w:line="280" w:lineRule="exact"/>
              <w:rPr>
                <w:rFonts w:ascii="Tahoma" w:hAnsi="Tahoma" w:cs="Tahoma"/>
                <w:sz w:val="20"/>
              </w:rPr>
            </w:pPr>
            <w:r w:rsidRPr="00A41A99">
              <w:rPr>
                <w:rFonts w:ascii="Tahoma" w:hAnsi="Tahoma" w:cs="Tahoma"/>
                <w:sz w:val="20"/>
              </w:rPr>
              <w:t>služby:</w:t>
            </w:r>
          </w:p>
          <w:p w:rsidR="00A41A99" w:rsidRPr="00A41A99" w:rsidRDefault="00A41A99" w:rsidP="00A41A99">
            <w:pPr>
              <w:pStyle w:val="Zkladntext"/>
              <w:spacing w:line="280" w:lineRule="exact"/>
              <w:rPr>
                <w:rFonts w:ascii="Tahoma" w:hAnsi="Tahoma" w:cs="Tahoma"/>
                <w:sz w:val="20"/>
              </w:rPr>
            </w:pPr>
            <w:r w:rsidRPr="00A41A99">
              <w:rPr>
                <w:rFonts w:ascii="Tahoma" w:hAnsi="Tahoma" w:cs="Tahoma"/>
                <w:sz w:val="20"/>
              </w:rPr>
              <w:t>•</w:t>
            </w:r>
            <w:r w:rsidRPr="00A41A99">
              <w:rPr>
                <w:rFonts w:ascii="Tahoma" w:hAnsi="Tahoma" w:cs="Tahoma"/>
                <w:sz w:val="20"/>
              </w:rPr>
              <w:tab/>
              <w:t>energie (včetně zálohových plateb),</w:t>
            </w:r>
          </w:p>
          <w:p w:rsidR="00A41A99" w:rsidRPr="00A41A99" w:rsidRDefault="00A41A99" w:rsidP="00A41A99">
            <w:pPr>
              <w:pStyle w:val="Zkladntext"/>
              <w:spacing w:line="280" w:lineRule="exact"/>
              <w:rPr>
                <w:rFonts w:ascii="Tahoma" w:hAnsi="Tahoma" w:cs="Tahoma"/>
                <w:sz w:val="20"/>
              </w:rPr>
            </w:pPr>
            <w:r w:rsidRPr="00A41A99">
              <w:rPr>
                <w:rFonts w:ascii="Tahoma" w:hAnsi="Tahoma" w:cs="Tahoma"/>
                <w:sz w:val="20"/>
              </w:rPr>
              <w:t>•</w:t>
            </w:r>
            <w:r w:rsidRPr="00A41A99">
              <w:rPr>
                <w:rFonts w:ascii="Tahoma" w:hAnsi="Tahoma" w:cs="Tahoma"/>
                <w:sz w:val="20"/>
              </w:rPr>
              <w:tab/>
              <w:t>telefony, internet, poštovné, ostatní spoje,</w:t>
            </w:r>
          </w:p>
          <w:p w:rsidR="00A41A99" w:rsidRPr="00A41A99" w:rsidRDefault="00A41A99" w:rsidP="00A41A99">
            <w:pPr>
              <w:pStyle w:val="Zkladntext"/>
              <w:spacing w:line="280" w:lineRule="exact"/>
              <w:rPr>
                <w:rFonts w:ascii="Tahoma" w:hAnsi="Tahoma" w:cs="Tahoma"/>
                <w:sz w:val="20"/>
              </w:rPr>
            </w:pPr>
            <w:r w:rsidRPr="00A41A99">
              <w:rPr>
                <w:rFonts w:ascii="Tahoma" w:hAnsi="Tahoma" w:cs="Tahoma"/>
                <w:sz w:val="20"/>
              </w:rPr>
              <w:t>•</w:t>
            </w:r>
            <w:r w:rsidRPr="00A41A99">
              <w:rPr>
                <w:rFonts w:ascii="Tahoma" w:hAnsi="Tahoma" w:cs="Tahoma"/>
                <w:sz w:val="20"/>
              </w:rPr>
              <w:tab/>
              <w:t xml:space="preserve">nájemné (obvyklé v místě a čase; u pobytových služeb maximálně do výše odpovídající úhradám za poskytnutí ubytování stanoveným Vyhláškou), </w:t>
            </w:r>
          </w:p>
          <w:p w:rsidR="00A41A99" w:rsidRPr="00A41A99" w:rsidRDefault="00A41A99" w:rsidP="00A41A99">
            <w:pPr>
              <w:pStyle w:val="Zkladntext"/>
              <w:spacing w:line="280" w:lineRule="exact"/>
              <w:rPr>
                <w:rFonts w:ascii="Tahoma" w:hAnsi="Tahoma" w:cs="Tahoma"/>
                <w:sz w:val="20"/>
              </w:rPr>
            </w:pPr>
            <w:r w:rsidRPr="00A41A99">
              <w:rPr>
                <w:rFonts w:ascii="Tahoma" w:hAnsi="Tahoma" w:cs="Tahoma"/>
                <w:sz w:val="20"/>
              </w:rPr>
              <w:t>•</w:t>
            </w:r>
            <w:r w:rsidRPr="00A41A99">
              <w:rPr>
                <w:rFonts w:ascii="Tahoma" w:hAnsi="Tahoma" w:cs="Tahoma"/>
                <w:sz w:val="20"/>
              </w:rPr>
              <w:tab/>
              <w:t>právní a ekonomické služby, s výjimkou účetního auditu,</w:t>
            </w:r>
          </w:p>
          <w:p w:rsidR="00A41A99" w:rsidRPr="00A41A99" w:rsidRDefault="00A41A99" w:rsidP="00A41A99">
            <w:pPr>
              <w:pStyle w:val="Zkladntext"/>
              <w:spacing w:line="280" w:lineRule="exact"/>
              <w:rPr>
                <w:rFonts w:ascii="Tahoma" w:hAnsi="Tahoma" w:cs="Tahoma"/>
                <w:sz w:val="20"/>
              </w:rPr>
            </w:pPr>
            <w:r w:rsidRPr="00A41A99">
              <w:rPr>
                <w:rFonts w:ascii="Tahoma" w:hAnsi="Tahoma" w:cs="Tahoma"/>
                <w:sz w:val="20"/>
              </w:rPr>
              <w:t>•</w:t>
            </w:r>
            <w:r w:rsidRPr="00A41A99">
              <w:rPr>
                <w:rFonts w:ascii="Tahoma" w:hAnsi="Tahoma" w:cs="Tahoma"/>
                <w:sz w:val="20"/>
              </w:rPr>
              <w:tab/>
              <w:t>opravy a udržování,</w:t>
            </w:r>
          </w:p>
          <w:p w:rsidR="00A41A99" w:rsidRPr="00A41A99" w:rsidRDefault="00A41A99" w:rsidP="00A41A99">
            <w:pPr>
              <w:pStyle w:val="Zkladntext"/>
              <w:spacing w:line="280" w:lineRule="exact"/>
              <w:rPr>
                <w:rFonts w:ascii="Tahoma" w:hAnsi="Tahoma" w:cs="Tahoma"/>
                <w:sz w:val="20"/>
              </w:rPr>
            </w:pPr>
            <w:r w:rsidRPr="00A41A99">
              <w:rPr>
                <w:rFonts w:ascii="Tahoma" w:hAnsi="Tahoma" w:cs="Tahoma"/>
                <w:sz w:val="20"/>
              </w:rPr>
              <w:t>•</w:t>
            </w:r>
            <w:r w:rsidRPr="00A41A99">
              <w:rPr>
                <w:rFonts w:ascii="Tahoma" w:hAnsi="Tahoma" w:cs="Tahoma"/>
                <w:sz w:val="20"/>
              </w:rPr>
              <w:tab/>
              <w:t>školení a kurzy v oblasti dalšího vzdělávání sociálních pracovníků a pracovníků v sociálních službách zaměřené na obnovení, upevnění a doplnění kvalifikace a v oblasti vzdělávání vedoucích sociálních pracovníků, povinná školení dle zákona č. 262/2006 Sb., zákoník práce, ve znění pozdějších předpisů,</w:t>
            </w:r>
          </w:p>
          <w:p w:rsidR="00A41A99" w:rsidRPr="00A41A99" w:rsidRDefault="00A41A99" w:rsidP="00A41A99">
            <w:pPr>
              <w:pStyle w:val="Zkladntext"/>
              <w:spacing w:line="280" w:lineRule="exact"/>
              <w:rPr>
                <w:rFonts w:ascii="Tahoma" w:hAnsi="Tahoma" w:cs="Tahoma"/>
                <w:sz w:val="20"/>
              </w:rPr>
            </w:pPr>
            <w:r w:rsidRPr="00A41A99">
              <w:rPr>
                <w:rFonts w:ascii="Tahoma" w:hAnsi="Tahoma" w:cs="Tahoma"/>
                <w:sz w:val="20"/>
              </w:rPr>
              <w:t>•</w:t>
            </w:r>
            <w:r w:rsidRPr="00A41A99">
              <w:rPr>
                <w:rFonts w:ascii="Tahoma" w:hAnsi="Tahoma" w:cs="Tahoma"/>
                <w:sz w:val="20"/>
              </w:rPr>
              <w:tab/>
              <w:t>cestovní náhrady v souvislosti s poskytováním sociální služby, případně v souvislosti s účastí zaměstnanců žadatele na školeních a kurzech podle předchozího bodu. Výdaje na pracovní cesty zahrnují jízdní výdaje, výdaje na ubytování, stravné a nutné vedlejší výdaje zaměstnanců žadatele za předpokladu, že náhrady vyplacené zaměstnancům jsou stanoveny v souladu se zákonem č. 262/2006 Sb., zákoník práce, ve znění pozdějších předpisů, s výjimkou základní náhrady při použití soukromého vozidla zaměstnance příjemce dotace (tzv. amortizace),</w:t>
            </w:r>
          </w:p>
          <w:p w:rsidR="00A41A99" w:rsidRPr="00A41A99" w:rsidRDefault="00A41A99" w:rsidP="00A41A99">
            <w:pPr>
              <w:pStyle w:val="Zkladntext"/>
              <w:spacing w:line="280" w:lineRule="exact"/>
              <w:rPr>
                <w:rFonts w:ascii="Tahoma" w:hAnsi="Tahoma" w:cs="Tahoma"/>
                <w:sz w:val="20"/>
              </w:rPr>
            </w:pPr>
            <w:r w:rsidRPr="00A41A99">
              <w:rPr>
                <w:rFonts w:ascii="Tahoma" w:hAnsi="Tahoma" w:cs="Tahoma"/>
                <w:sz w:val="20"/>
              </w:rPr>
              <w:t>•</w:t>
            </w:r>
            <w:r w:rsidRPr="00A41A99">
              <w:rPr>
                <w:rFonts w:ascii="Tahoma" w:hAnsi="Tahoma" w:cs="Tahoma"/>
                <w:sz w:val="20"/>
              </w:rPr>
              <w:tab/>
              <w:t xml:space="preserve">ostatní služby, jestliže souvisejí s poskytováním základních činností sociální služby </w:t>
            </w:r>
          </w:p>
          <w:p w:rsidR="00274D05" w:rsidRPr="00617CD9" w:rsidRDefault="00A41A99" w:rsidP="00A41A99">
            <w:pPr>
              <w:pStyle w:val="Zkladntext"/>
              <w:spacing w:line="280" w:lineRule="exact"/>
              <w:rPr>
                <w:rFonts w:ascii="Tahoma" w:hAnsi="Tahoma" w:cs="Tahoma"/>
                <w:sz w:val="20"/>
              </w:rPr>
            </w:pPr>
            <w:r w:rsidRPr="00A41A99">
              <w:rPr>
                <w:rFonts w:ascii="Tahoma" w:hAnsi="Tahoma" w:cs="Tahoma"/>
                <w:sz w:val="20"/>
              </w:rPr>
              <w:t>(např. pojištění - sociální služby, majetku, odpovědnosti; supervize, povinné revize</w:t>
            </w:r>
          </w:p>
        </w:tc>
      </w:tr>
      <w:tr w:rsidR="00274D05" w:rsidRPr="00617CD9" w:rsidTr="000414D7">
        <w:tc>
          <w:tcPr>
            <w:tcW w:w="695" w:type="dxa"/>
          </w:tcPr>
          <w:p w:rsidR="00274D05" w:rsidRPr="00617CD9" w:rsidRDefault="00274D05" w:rsidP="00274D05">
            <w:pPr>
              <w:pStyle w:val="Zkladntext"/>
              <w:spacing w:line="280" w:lineRule="exact"/>
              <w:rPr>
                <w:rFonts w:ascii="Tahoma" w:hAnsi="Tahoma" w:cs="Tahoma"/>
                <w:sz w:val="20"/>
              </w:rPr>
            </w:pPr>
            <w:r>
              <w:rPr>
                <w:rFonts w:ascii="Tahoma" w:hAnsi="Tahoma" w:cs="Tahoma"/>
                <w:sz w:val="20"/>
              </w:rPr>
              <w:t xml:space="preserve">  </w:t>
            </w:r>
            <w:r w:rsidRPr="00617CD9">
              <w:rPr>
                <w:rFonts w:ascii="Tahoma" w:hAnsi="Tahoma" w:cs="Tahoma"/>
                <w:sz w:val="20"/>
              </w:rPr>
              <w:t>(</w:t>
            </w:r>
            <w:r w:rsidR="00CB24B4">
              <w:rPr>
                <w:rFonts w:ascii="Tahoma" w:hAnsi="Tahoma" w:cs="Tahoma"/>
                <w:sz w:val="20"/>
              </w:rPr>
              <w:t>8</w:t>
            </w:r>
            <w:r w:rsidRPr="00617CD9">
              <w:rPr>
                <w:rFonts w:ascii="Tahoma" w:hAnsi="Tahoma" w:cs="Tahoma"/>
                <w:sz w:val="20"/>
              </w:rPr>
              <w:t>)</w:t>
            </w:r>
          </w:p>
        </w:tc>
        <w:tc>
          <w:tcPr>
            <w:tcW w:w="8503" w:type="dxa"/>
            <w:gridSpan w:val="4"/>
          </w:tcPr>
          <w:p w:rsidR="00274D05" w:rsidRPr="00617CD9" w:rsidRDefault="00274D05" w:rsidP="00274D05">
            <w:pPr>
              <w:pStyle w:val="Zkladntext"/>
              <w:spacing w:line="280" w:lineRule="exact"/>
              <w:rPr>
                <w:rFonts w:ascii="Tahoma" w:hAnsi="Tahoma" w:cs="Tahoma"/>
                <w:sz w:val="20"/>
              </w:rPr>
            </w:pPr>
            <w:r w:rsidRPr="00617CD9">
              <w:rPr>
                <w:rFonts w:ascii="Tahoma" w:hAnsi="Tahoma" w:cs="Tahoma"/>
                <w:sz w:val="20"/>
              </w:rPr>
              <w:t xml:space="preserve">V čl. </w:t>
            </w:r>
            <w:r w:rsidR="00A41A99">
              <w:rPr>
                <w:rFonts w:ascii="Tahoma" w:hAnsi="Tahoma" w:cs="Tahoma"/>
                <w:sz w:val="20"/>
              </w:rPr>
              <w:t>VI</w:t>
            </w:r>
            <w:r w:rsidRPr="00617CD9">
              <w:rPr>
                <w:rFonts w:ascii="Tahoma" w:hAnsi="Tahoma" w:cs="Tahoma"/>
                <w:sz w:val="20"/>
              </w:rPr>
              <w:t>. „</w:t>
            </w:r>
            <w:r w:rsidR="00A41A99">
              <w:rPr>
                <w:rFonts w:ascii="Tahoma" w:hAnsi="Tahoma" w:cs="Tahoma"/>
                <w:b/>
                <w:sz w:val="20"/>
              </w:rPr>
              <w:t>Podmínky použití dotace</w:t>
            </w:r>
            <w:r w:rsidRPr="00617CD9">
              <w:rPr>
                <w:rFonts w:ascii="Tahoma" w:hAnsi="Tahoma" w:cs="Tahoma"/>
                <w:sz w:val="20"/>
              </w:rPr>
              <w:t>“</w:t>
            </w:r>
            <w:r w:rsidR="00A41A99">
              <w:rPr>
                <w:rFonts w:ascii="Tahoma" w:hAnsi="Tahoma" w:cs="Tahoma"/>
                <w:sz w:val="20"/>
              </w:rPr>
              <w:t xml:space="preserve"> se: </w:t>
            </w:r>
          </w:p>
        </w:tc>
      </w:tr>
      <w:tr w:rsidR="00274D05" w:rsidRPr="00617CD9" w:rsidTr="000414D7">
        <w:tc>
          <w:tcPr>
            <w:tcW w:w="695" w:type="dxa"/>
          </w:tcPr>
          <w:p w:rsidR="00274D05" w:rsidRPr="00617CD9" w:rsidRDefault="00274D05" w:rsidP="00274D05">
            <w:pPr>
              <w:pStyle w:val="Zkladntext"/>
              <w:spacing w:line="280" w:lineRule="exact"/>
              <w:rPr>
                <w:rFonts w:ascii="Tahoma" w:hAnsi="Tahoma" w:cs="Tahoma"/>
                <w:sz w:val="20"/>
              </w:rPr>
            </w:pPr>
          </w:p>
        </w:tc>
        <w:tc>
          <w:tcPr>
            <w:tcW w:w="421" w:type="dxa"/>
          </w:tcPr>
          <w:p w:rsidR="00274D05" w:rsidRPr="00617CD9" w:rsidRDefault="00274D05" w:rsidP="00274D05">
            <w:pPr>
              <w:pStyle w:val="Zkladntext"/>
              <w:spacing w:line="280" w:lineRule="exact"/>
              <w:rPr>
                <w:rFonts w:ascii="Tahoma" w:hAnsi="Tahoma" w:cs="Tahoma"/>
                <w:sz w:val="20"/>
              </w:rPr>
            </w:pPr>
            <w:r w:rsidRPr="00617CD9">
              <w:rPr>
                <w:rFonts w:ascii="Tahoma" w:hAnsi="Tahoma" w:cs="Tahoma"/>
                <w:sz w:val="20"/>
              </w:rPr>
              <w:t>a)</w:t>
            </w:r>
          </w:p>
        </w:tc>
        <w:tc>
          <w:tcPr>
            <w:tcW w:w="8082" w:type="dxa"/>
            <w:gridSpan w:val="3"/>
          </w:tcPr>
          <w:p w:rsidR="00274D05" w:rsidRPr="00617CD9" w:rsidRDefault="00274D05" w:rsidP="00977A34">
            <w:pPr>
              <w:pStyle w:val="Zkladntext"/>
              <w:spacing w:line="280" w:lineRule="exact"/>
              <w:rPr>
                <w:rFonts w:ascii="Tahoma" w:hAnsi="Tahoma" w:cs="Tahoma"/>
                <w:sz w:val="20"/>
              </w:rPr>
            </w:pPr>
            <w:r w:rsidRPr="00617CD9">
              <w:rPr>
                <w:rFonts w:ascii="Tahoma" w:hAnsi="Tahoma" w:cs="Tahoma"/>
                <w:sz w:val="20"/>
              </w:rPr>
              <w:t xml:space="preserve">odstavec </w:t>
            </w:r>
            <w:r w:rsidR="00CB24B4">
              <w:rPr>
                <w:rFonts w:ascii="Tahoma" w:hAnsi="Tahoma" w:cs="Tahoma"/>
                <w:sz w:val="20"/>
              </w:rPr>
              <w:t>3</w:t>
            </w:r>
            <w:r w:rsidRPr="00617CD9">
              <w:rPr>
                <w:rFonts w:ascii="Tahoma" w:hAnsi="Tahoma" w:cs="Tahoma"/>
                <w:sz w:val="20"/>
              </w:rPr>
              <w:t xml:space="preserve"> mění a nově zní: </w:t>
            </w:r>
          </w:p>
        </w:tc>
      </w:tr>
      <w:tr w:rsidR="00B130C5" w:rsidRPr="00617CD9" w:rsidTr="00F73250">
        <w:tc>
          <w:tcPr>
            <w:tcW w:w="1116" w:type="dxa"/>
            <w:gridSpan w:val="2"/>
          </w:tcPr>
          <w:p w:rsidR="00274D05" w:rsidRPr="00617CD9" w:rsidRDefault="00274D05" w:rsidP="00274D05">
            <w:pPr>
              <w:pStyle w:val="Zkladntext"/>
              <w:spacing w:line="280" w:lineRule="exact"/>
              <w:rPr>
                <w:rFonts w:ascii="Tahoma" w:hAnsi="Tahoma" w:cs="Tahoma"/>
                <w:sz w:val="20"/>
              </w:rPr>
            </w:pPr>
          </w:p>
        </w:tc>
        <w:tc>
          <w:tcPr>
            <w:tcW w:w="722" w:type="dxa"/>
          </w:tcPr>
          <w:p w:rsidR="00274D05" w:rsidRPr="00617CD9" w:rsidRDefault="00274D05" w:rsidP="00274D05">
            <w:pPr>
              <w:pStyle w:val="Zkladntext"/>
              <w:spacing w:line="280" w:lineRule="exact"/>
              <w:rPr>
                <w:rFonts w:ascii="Tahoma" w:hAnsi="Tahoma" w:cs="Tahoma"/>
                <w:sz w:val="20"/>
              </w:rPr>
            </w:pPr>
            <w:r w:rsidRPr="00617CD9">
              <w:rPr>
                <w:rFonts w:ascii="Tahoma" w:hAnsi="Tahoma" w:cs="Tahoma"/>
                <w:sz w:val="20"/>
              </w:rPr>
              <w:t>„</w:t>
            </w:r>
            <w:r w:rsidR="00CB24B4">
              <w:rPr>
                <w:rFonts w:ascii="Tahoma" w:hAnsi="Tahoma" w:cs="Tahoma"/>
                <w:sz w:val="20"/>
              </w:rPr>
              <w:t>3</w:t>
            </w:r>
          </w:p>
        </w:tc>
        <w:tc>
          <w:tcPr>
            <w:tcW w:w="7360" w:type="dxa"/>
            <w:gridSpan w:val="2"/>
          </w:tcPr>
          <w:p w:rsidR="00274D05" w:rsidRPr="00617CD9" w:rsidRDefault="00CB24B4" w:rsidP="00274D05">
            <w:pPr>
              <w:pStyle w:val="Zkladntext"/>
              <w:spacing w:line="280" w:lineRule="exact"/>
              <w:rPr>
                <w:rFonts w:ascii="Tahoma" w:hAnsi="Tahoma" w:cs="Tahoma"/>
                <w:sz w:val="20"/>
              </w:rPr>
            </w:pPr>
            <w:r w:rsidRPr="00CB24B4">
              <w:rPr>
                <w:rFonts w:ascii="Tahoma" w:hAnsi="Tahoma" w:cs="Tahoma"/>
                <w:sz w:val="20"/>
              </w:rPr>
              <w:t>O převodu dotace mezi jednotlivými sociálními službami rozhoduje zastupitelstvo kraje na základě písemné žádosti žadatele, a to v souladu s Podmínkami. Stejný postup se uplatní u převodu dotace v případě sloučení či rozdělení sociálních služeb. Převod dotace při nezměněné kapacitě služby je možný pouze do výše jejího optimálního návrhu.</w:t>
            </w:r>
          </w:p>
        </w:tc>
      </w:tr>
      <w:tr w:rsidR="00966F63" w:rsidRPr="00617CD9" w:rsidTr="009B5C83">
        <w:tc>
          <w:tcPr>
            <w:tcW w:w="695" w:type="dxa"/>
          </w:tcPr>
          <w:p w:rsidR="00966F63" w:rsidRPr="00617CD9" w:rsidRDefault="00966F63" w:rsidP="00274D05">
            <w:pPr>
              <w:pStyle w:val="Zkladntext"/>
              <w:spacing w:line="280" w:lineRule="exact"/>
              <w:rPr>
                <w:rFonts w:ascii="Tahoma" w:hAnsi="Tahoma" w:cs="Tahoma"/>
                <w:sz w:val="20"/>
              </w:rPr>
            </w:pPr>
          </w:p>
        </w:tc>
        <w:tc>
          <w:tcPr>
            <w:tcW w:w="421" w:type="dxa"/>
          </w:tcPr>
          <w:p w:rsidR="00966F63" w:rsidRPr="00617CD9" w:rsidRDefault="00966F63" w:rsidP="00274D05">
            <w:pPr>
              <w:pStyle w:val="Zkladntext"/>
              <w:spacing w:line="280" w:lineRule="exact"/>
              <w:rPr>
                <w:rFonts w:ascii="Tahoma" w:hAnsi="Tahoma" w:cs="Tahoma"/>
                <w:sz w:val="20"/>
              </w:rPr>
            </w:pPr>
            <w:r>
              <w:rPr>
                <w:rFonts w:ascii="Tahoma" w:hAnsi="Tahoma" w:cs="Tahoma"/>
                <w:sz w:val="20"/>
              </w:rPr>
              <w:t>b)</w:t>
            </w:r>
          </w:p>
        </w:tc>
        <w:tc>
          <w:tcPr>
            <w:tcW w:w="8082" w:type="dxa"/>
            <w:gridSpan w:val="3"/>
          </w:tcPr>
          <w:p w:rsidR="00966F63" w:rsidRPr="00CB24B4" w:rsidRDefault="00966F63" w:rsidP="00274D05">
            <w:pPr>
              <w:pStyle w:val="Zkladntext"/>
              <w:spacing w:line="280" w:lineRule="exact"/>
              <w:rPr>
                <w:rFonts w:ascii="Tahoma" w:hAnsi="Tahoma" w:cs="Tahoma"/>
                <w:sz w:val="20"/>
              </w:rPr>
            </w:pPr>
            <w:r>
              <w:rPr>
                <w:rFonts w:ascii="Tahoma" w:hAnsi="Tahoma" w:cs="Tahoma"/>
                <w:sz w:val="20"/>
              </w:rPr>
              <w:t xml:space="preserve">odstavec 4 mění a nově zní: </w:t>
            </w:r>
          </w:p>
        </w:tc>
      </w:tr>
      <w:tr w:rsidR="00B130C5" w:rsidRPr="00617CD9" w:rsidTr="00CB24B4">
        <w:tc>
          <w:tcPr>
            <w:tcW w:w="695" w:type="dxa"/>
          </w:tcPr>
          <w:p w:rsidR="00CB24B4" w:rsidRPr="00617CD9" w:rsidRDefault="00CB24B4" w:rsidP="00274D05">
            <w:pPr>
              <w:pStyle w:val="Zkladntext"/>
              <w:spacing w:line="280" w:lineRule="exact"/>
              <w:rPr>
                <w:rFonts w:ascii="Tahoma" w:hAnsi="Tahoma" w:cs="Tahoma"/>
                <w:sz w:val="20"/>
              </w:rPr>
            </w:pPr>
          </w:p>
        </w:tc>
        <w:tc>
          <w:tcPr>
            <w:tcW w:w="421" w:type="dxa"/>
          </w:tcPr>
          <w:p w:rsidR="00CB24B4" w:rsidRPr="00617CD9" w:rsidRDefault="00CB24B4" w:rsidP="00274D05">
            <w:pPr>
              <w:pStyle w:val="Zkladntext"/>
              <w:spacing w:line="280" w:lineRule="exact"/>
              <w:rPr>
                <w:rFonts w:ascii="Tahoma" w:hAnsi="Tahoma" w:cs="Tahoma"/>
                <w:sz w:val="20"/>
              </w:rPr>
            </w:pPr>
          </w:p>
        </w:tc>
        <w:tc>
          <w:tcPr>
            <w:tcW w:w="722" w:type="dxa"/>
          </w:tcPr>
          <w:p w:rsidR="00CB24B4" w:rsidRPr="00617CD9" w:rsidRDefault="00CB24B4" w:rsidP="00274D05">
            <w:pPr>
              <w:pStyle w:val="Zkladntext"/>
              <w:spacing w:line="280" w:lineRule="exact"/>
              <w:rPr>
                <w:rFonts w:ascii="Tahoma" w:hAnsi="Tahoma" w:cs="Tahoma"/>
                <w:sz w:val="20"/>
              </w:rPr>
            </w:pPr>
            <w:r>
              <w:rPr>
                <w:rFonts w:ascii="Tahoma" w:hAnsi="Tahoma" w:cs="Tahoma"/>
                <w:sz w:val="20"/>
              </w:rPr>
              <w:t>„4</w:t>
            </w:r>
          </w:p>
        </w:tc>
        <w:tc>
          <w:tcPr>
            <w:tcW w:w="7360" w:type="dxa"/>
            <w:gridSpan w:val="2"/>
          </w:tcPr>
          <w:p w:rsidR="00CB24B4" w:rsidRPr="00CB24B4" w:rsidRDefault="00CB24B4" w:rsidP="00CB24B4">
            <w:pPr>
              <w:pStyle w:val="Zkladntext"/>
              <w:spacing w:line="280" w:lineRule="exact"/>
              <w:rPr>
                <w:rFonts w:ascii="Tahoma" w:hAnsi="Tahoma" w:cs="Tahoma"/>
                <w:sz w:val="20"/>
              </w:rPr>
            </w:pPr>
            <w:r w:rsidRPr="00CB24B4">
              <w:rPr>
                <w:rFonts w:ascii="Tahoma" w:hAnsi="Tahoma" w:cs="Tahoma"/>
                <w:sz w:val="20"/>
              </w:rPr>
              <w:t xml:space="preserve">Příjemce dotace je povinen naplnit kapacitu zařazenou v Krajské síti sociálních služeb se statusem „základní“. </w:t>
            </w:r>
          </w:p>
          <w:p w:rsidR="00CB24B4" w:rsidRPr="00CB24B4" w:rsidRDefault="00CB24B4" w:rsidP="00CB24B4">
            <w:pPr>
              <w:pStyle w:val="Zkladntext"/>
              <w:spacing w:line="280" w:lineRule="exact"/>
              <w:rPr>
                <w:rFonts w:ascii="Tahoma" w:hAnsi="Tahoma" w:cs="Tahoma"/>
                <w:sz w:val="20"/>
              </w:rPr>
            </w:pPr>
            <w:r w:rsidRPr="00CB24B4">
              <w:rPr>
                <w:rFonts w:ascii="Tahoma" w:hAnsi="Tahoma" w:cs="Tahoma"/>
                <w:sz w:val="20"/>
              </w:rPr>
              <w:lastRenderedPageBreak/>
              <w:t>a)</w:t>
            </w:r>
            <w:r w:rsidRPr="00CB24B4">
              <w:rPr>
                <w:rFonts w:ascii="Tahoma" w:hAnsi="Tahoma" w:cs="Tahoma"/>
                <w:sz w:val="20"/>
              </w:rPr>
              <w:tab/>
              <w:t xml:space="preserve">U terénní a ambulantní formy poskytování sociálních služeb se za naplněnou kapacitu považuje minimálně 80 % přepočtených úvazků v přímé péči v průměru za kalendářní rok (zaokrouhleno matematicky na 1 desetinné místo). </w:t>
            </w:r>
          </w:p>
          <w:p w:rsidR="00CB24B4" w:rsidRPr="00CB24B4" w:rsidRDefault="00CB24B4" w:rsidP="00CB24B4">
            <w:pPr>
              <w:pStyle w:val="Zkladntext"/>
              <w:spacing w:line="280" w:lineRule="exact"/>
              <w:rPr>
                <w:rFonts w:ascii="Tahoma" w:hAnsi="Tahoma" w:cs="Tahoma"/>
                <w:sz w:val="20"/>
              </w:rPr>
            </w:pPr>
            <w:r w:rsidRPr="00CB24B4">
              <w:rPr>
                <w:rFonts w:ascii="Tahoma" w:hAnsi="Tahoma" w:cs="Tahoma"/>
                <w:sz w:val="20"/>
              </w:rPr>
              <w:t>b)</w:t>
            </w:r>
            <w:r w:rsidRPr="00CB24B4">
              <w:rPr>
                <w:rFonts w:ascii="Tahoma" w:hAnsi="Tahoma" w:cs="Tahoma"/>
                <w:sz w:val="20"/>
              </w:rPr>
              <w:tab/>
              <w:t xml:space="preserve">Kapacita služeb poskytovaných v pobytové formě musí být naplněna v plném rozsahu lůžek (100 %) zařazených do Krajské sítě sociálních služeb se statusem „základní“. </w:t>
            </w:r>
          </w:p>
          <w:p w:rsidR="00CB24B4" w:rsidRPr="00CB24B4" w:rsidRDefault="00CB24B4" w:rsidP="00CB24B4">
            <w:pPr>
              <w:pStyle w:val="Zkladntext"/>
              <w:spacing w:line="280" w:lineRule="exact"/>
              <w:rPr>
                <w:rFonts w:ascii="Tahoma" w:hAnsi="Tahoma" w:cs="Tahoma"/>
                <w:sz w:val="20"/>
              </w:rPr>
            </w:pPr>
            <w:r w:rsidRPr="00CB24B4">
              <w:rPr>
                <w:rFonts w:ascii="Tahoma" w:hAnsi="Tahoma" w:cs="Tahoma"/>
                <w:sz w:val="20"/>
              </w:rPr>
              <w:t xml:space="preserve">V případě, že u sociálních služeb poskytovaných v pobytové formě nastane provozní omezení poskytování sociální služby po dobu nezbytně nutnou k provedení např. opravy, přestavby, stavební úpravy, výmalby apod., maximálně však po dobu 60 kalendářních dnů, je poskytovatel sociální služby povinen minimálně 10 pracovních dnů před zahájením omezení provozu ohlásit tuto skutečnost písemně odboru sociálních věcí KÚ MSK.  V případě, že do 7 pracovních dnů ode dne doručení oznámení neobdrží příjemce dotace negativní stanovisko odboru sociálních věcí KÚ MSK, má se za to, že omezení provozu není v rozporu s Podmínkami. Toto omezení nebude považováno za nenaplnění kapacity Krajské sítě sociálních služeb se statusem „základní“ a nebude mít vliv na poskytnutou dotaci (dotace nebude krácena).  </w:t>
            </w:r>
          </w:p>
          <w:p w:rsidR="00CB24B4" w:rsidRPr="00CB24B4" w:rsidRDefault="00CB24B4" w:rsidP="00CB24B4">
            <w:pPr>
              <w:pStyle w:val="Zkladntext"/>
              <w:spacing w:line="280" w:lineRule="exact"/>
              <w:rPr>
                <w:rFonts w:ascii="Tahoma" w:hAnsi="Tahoma" w:cs="Tahoma"/>
                <w:sz w:val="20"/>
              </w:rPr>
            </w:pPr>
            <w:r w:rsidRPr="00CB24B4">
              <w:rPr>
                <w:rFonts w:ascii="Tahoma" w:hAnsi="Tahoma" w:cs="Tahoma"/>
                <w:sz w:val="20"/>
              </w:rPr>
              <w:t>V případě, že u sociálních služeb poskytovaných v pobytové formě nastane provozní omezení poskytování sociální služby z důvodu závažné a přechodné překážky provozního charakteru, kterou nelze předvídat např. havárie, živelná pohroma apod., je poskytovatel povinen ohlásit nejpozději</w:t>
            </w:r>
            <w:bookmarkStart w:id="0" w:name="_GoBack"/>
            <w:bookmarkEnd w:id="0"/>
            <w:r w:rsidRPr="00CB24B4">
              <w:rPr>
                <w:rFonts w:ascii="Tahoma" w:hAnsi="Tahoma" w:cs="Tahoma"/>
                <w:sz w:val="20"/>
              </w:rPr>
              <w:t xml:space="preserve"> do 10 </w:t>
            </w:r>
            <w:r w:rsidR="00CB2842">
              <w:rPr>
                <w:rFonts w:ascii="Tahoma" w:hAnsi="Tahoma" w:cs="Tahoma"/>
                <w:sz w:val="20"/>
              </w:rPr>
              <w:t>pracovních</w:t>
            </w:r>
            <w:r w:rsidRPr="00CB24B4">
              <w:rPr>
                <w:rFonts w:ascii="Tahoma" w:hAnsi="Tahoma" w:cs="Tahoma"/>
                <w:sz w:val="20"/>
              </w:rPr>
              <w:t xml:space="preserve"> dnů ode dne rozhodné události tuto skutečnost písemně odboru sociálních věcí KÚ MSK. Toto omezení, trvající po nezbytně nutnou dobu k odstranění následků události, maximálně však po dobu 60 kalendářních dnů, nebude považováno za nenaplnění kapacity Krajské sítě sociálních služeb se statusem „základní“ a nebude mít vliv na poskytnutou dotaci (dotace nebude krácena).</w:t>
            </w:r>
          </w:p>
        </w:tc>
      </w:tr>
      <w:tr w:rsidR="00CB24B4" w:rsidRPr="00617CD9" w:rsidTr="00F434DC">
        <w:tc>
          <w:tcPr>
            <w:tcW w:w="695" w:type="dxa"/>
          </w:tcPr>
          <w:p w:rsidR="00CB24B4" w:rsidRDefault="00CB24B4" w:rsidP="00274D05">
            <w:pPr>
              <w:pStyle w:val="Zkladntext"/>
              <w:spacing w:line="280" w:lineRule="exact"/>
              <w:rPr>
                <w:rFonts w:ascii="Tahoma" w:hAnsi="Tahoma" w:cs="Tahoma"/>
                <w:sz w:val="20"/>
              </w:rPr>
            </w:pPr>
            <w:r>
              <w:rPr>
                <w:rFonts w:ascii="Tahoma" w:hAnsi="Tahoma" w:cs="Tahoma"/>
                <w:sz w:val="20"/>
              </w:rPr>
              <w:lastRenderedPageBreak/>
              <w:t xml:space="preserve">  (9)</w:t>
            </w:r>
          </w:p>
        </w:tc>
        <w:tc>
          <w:tcPr>
            <w:tcW w:w="8503" w:type="dxa"/>
            <w:gridSpan w:val="4"/>
          </w:tcPr>
          <w:p w:rsidR="00CB24B4" w:rsidRPr="00CB24B4" w:rsidRDefault="00CB24B4" w:rsidP="00CB24B4">
            <w:pPr>
              <w:pStyle w:val="Zkladntext"/>
              <w:spacing w:line="280" w:lineRule="exact"/>
              <w:rPr>
                <w:rFonts w:ascii="Tahoma" w:hAnsi="Tahoma" w:cs="Tahoma"/>
                <w:sz w:val="20"/>
              </w:rPr>
            </w:pPr>
            <w:r>
              <w:rPr>
                <w:rFonts w:ascii="Tahoma" w:hAnsi="Tahoma" w:cs="Tahoma"/>
                <w:sz w:val="20"/>
              </w:rPr>
              <w:t xml:space="preserve">V </w:t>
            </w:r>
            <w:r w:rsidR="00AF7EE2">
              <w:rPr>
                <w:rFonts w:ascii="Tahoma" w:hAnsi="Tahoma" w:cs="Tahoma"/>
                <w:sz w:val="20"/>
              </w:rPr>
              <w:t>č</w:t>
            </w:r>
            <w:r>
              <w:rPr>
                <w:rFonts w:ascii="Tahoma" w:hAnsi="Tahoma" w:cs="Tahoma"/>
                <w:sz w:val="20"/>
              </w:rPr>
              <w:t xml:space="preserve">l. VIII. </w:t>
            </w:r>
            <w:r w:rsidRPr="00CB24B4">
              <w:rPr>
                <w:rFonts w:ascii="Tahoma" w:hAnsi="Tahoma" w:cs="Tahoma"/>
                <w:b/>
                <w:bCs/>
                <w:sz w:val="20"/>
              </w:rPr>
              <w:t>„Popis způsobu rozdělení a čerpání dotace“</w:t>
            </w:r>
            <w:r>
              <w:rPr>
                <w:rFonts w:ascii="Tahoma" w:hAnsi="Tahoma" w:cs="Tahoma"/>
                <w:b/>
                <w:bCs/>
                <w:sz w:val="20"/>
              </w:rPr>
              <w:t xml:space="preserve"> </w:t>
            </w:r>
            <w:r w:rsidRPr="00CB24B4">
              <w:rPr>
                <w:rFonts w:ascii="Tahoma" w:hAnsi="Tahoma" w:cs="Tahoma"/>
                <w:sz w:val="20"/>
              </w:rPr>
              <w:t>se</w:t>
            </w:r>
          </w:p>
        </w:tc>
      </w:tr>
      <w:tr w:rsidR="00CB24B4" w:rsidRPr="00617CD9" w:rsidTr="00F434DC">
        <w:tc>
          <w:tcPr>
            <w:tcW w:w="695" w:type="dxa"/>
          </w:tcPr>
          <w:p w:rsidR="00CB24B4" w:rsidRDefault="00CB24B4" w:rsidP="00274D05">
            <w:pPr>
              <w:pStyle w:val="Zkladntext"/>
              <w:spacing w:line="280" w:lineRule="exact"/>
              <w:rPr>
                <w:rFonts w:ascii="Tahoma" w:hAnsi="Tahoma" w:cs="Tahoma"/>
                <w:sz w:val="20"/>
              </w:rPr>
            </w:pPr>
          </w:p>
        </w:tc>
        <w:tc>
          <w:tcPr>
            <w:tcW w:w="8503" w:type="dxa"/>
            <w:gridSpan w:val="4"/>
          </w:tcPr>
          <w:p w:rsidR="00CB24B4" w:rsidRDefault="00CB24B4" w:rsidP="00CB24B4">
            <w:pPr>
              <w:pStyle w:val="Zkladntext"/>
              <w:spacing w:line="280" w:lineRule="exact"/>
              <w:rPr>
                <w:rFonts w:ascii="Tahoma" w:hAnsi="Tahoma" w:cs="Tahoma"/>
                <w:sz w:val="20"/>
              </w:rPr>
            </w:pPr>
            <w:r>
              <w:rPr>
                <w:rFonts w:ascii="Tahoma" w:hAnsi="Tahoma" w:cs="Tahoma"/>
                <w:sz w:val="20"/>
              </w:rPr>
              <w:t>odst. 2 písm. a) mění a nově zn</w:t>
            </w:r>
            <w:r w:rsidR="00281061">
              <w:rPr>
                <w:rFonts w:ascii="Tahoma" w:hAnsi="Tahoma" w:cs="Tahoma"/>
                <w:sz w:val="20"/>
              </w:rPr>
              <w:t xml:space="preserve">í: </w:t>
            </w:r>
          </w:p>
        </w:tc>
      </w:tr>
      <w:tr w:rsidR="00B130C5" w:rsidRPr="00617CD9" w:rsidTr="00281061">
        <w:tc>
          <w:tcPr>
            <w:tcW w:w="695" w:type="dxa"/>
          </w:tcPr>
          <w:p w:rsidR="00281061" w:rsidRDefault="00281061" w:rsidP="00274D05">
            <w:pPr>
              <w:pStyle w:val="Zkladntext"/>
              <w:spacing w:line="280" w:lineRule="exact"/>
              <w:rPr>
                <w:rFonts w:ascii="Tahoma" w:hAnsi="Tahoma" w:cs="Tahoma"/>
                <w:sz w:val="20"/>
              </w:rPr>
            </w:pPr>
          </w:p>
        </w:tc>
        <w:tc>
          <w:tcPr>
            <w:tcW w:w="421" w:type="dxa"/>
          </w:tcPr>
          <w:p w:rsidR="00281061" w:rsidRDefault="00281061" w:rsidP="00281061">
            <w:pPr>
              <w:pStyle w:val="Zkladntext"/>
              <w:spacing w:line="280" w:lineRule="exact"/>
              <w:rPr>
                <w:rFonts w:ascii="Tahoma" w:hAnsi="Tahoma" w:cs="Tahoma"/>
                <w:sz w:val="20"/>
              </w:rPr>
            </w:pPr>
            <w:r>
              <w:rPr>
                <w:rFonts w:ascii="Tahoma" w:hAnsi="Tahoma" w:cs="Tahoma"/>
                <w:sz w:val="20"/>
              </w:rPr>
              <w:t>a)</w:t>
            </w:r>
          </w:p>
        </w:tc>
        <w:tc>
          <w:tcPr>
            <w:tcW w:w="722" w:type="dxa"/>
          </w:tcPr>
          <w:p w:rsidR="00281061" w:rsidRDefault="00281061" w:rsidP="00CB24B4">
            <w:pPr>
              <w:pStyle w:val="Zkladntext"/>
              <w:spacing w:line="280" w:lineRule="exact"/>
              <w:rPr>
                <w:rFonts w:ascii="Tahoma" w:hAnsi="Tahoma" w:cs="Tahoma"/>
                <w:sz w:val="20"/>
              </w:rPr>
            </w:pPr>
            <w:r>
              <w:rPr>
                <w:rFonts w:ascii="Tahoma" w:hAnsi="Tahoma" w:cs="Tahoma"/>
                <w:sz w:val="20"/>
              </w:rPr>
              <w:t>„a)</w:t>
            </w:r>
          </w:p>
        </w:tc>
        <w:tc>
          <w:tcPr>
            <w:tcW w:w="7360" w:type="dxa"/>
            <w:gridSpan w:val="2"/>
          </w:tcPr>
          <w:p w:rsidR="00281061" w:rsidRPr="00281061" w:rsidRDefault="00281061" w:rsidP="00281061">
            <w:pPr>
              <w:pStyle w:val="Zkladntext"/>
              <w:spacing w:line="280" w:lineRule="exact"/>
              <w:rPr>
                <w:rFonts w:ascii="Tahoma" w:hAnsi="Tahoma" w:cs="Tahoma"/>
                <w:sz w:val="20"/>
              </w:rPr>
            </w:pPr>
            <w:r w:rsidRPr="00281061">
              <w:rPr>
                <w:rFonts w:ascii="Tahoma" w:hAnsi="Tahoma" w:cs="Tahoma"/>
                <w:sz w:val="20"/>
              </w:rPr>
              <w:t>a)</w:t>
            </w:r>
            <w:r w:rsidRPr="00281061">
              <w:rPr>
                <w:rFonts w:ascii="Tahoma" w:hAnsi="Tahoma" w:cs="Tahoma"/>
                <w:sz w:val="20"/>
              </w:rPr>
              <w:tab/>
              <w:t>Kontrola souladu kapacit uvedených v žádosti s kapacitami v Krajské síti sociálních služeb</w:t>
            </w:r>
          </w:p>
          <w:p w:rsidR="00281061" w:rsidRPr="00281061" w:rsidRDefault="00281061" w:rsidP="00281061">
            <w:pPr>
              <w:pStyle w:val="Zkladntext"/>
              <w:spacing w:line="280" w:lineRule="exact"/>
              <w:rPr>
                <w:rFonts w:ascii="Tahoma" w:hAnsi="Tahoma" w:cs="Tahoma"/>
                <w:sz w:val="20"/>
              </w:rPr>
            </w:pPr>
          </w:p>
          <w:p w:rsidR="00281061" w:rsidRPr="00281061" w:rsidRDefault="00281061" w:rsidP="00281061">
            <w:pPr>
              <w:pStyle w:val="Zkladntext"/>
              <w:spacing w:line="280" w:lineRule="exact"/>
              <w:rPr>
                <w:rFonts w:ascii="Tahoma" w:hAnsi="Tahoma" w:cs="Tahoma"/>
                <w:sz w:val="20"/>
              </w:rPr>
            </w:pPr>
            <w:r w:rsidRPr="00281061">
              <w:rPr>
                <w:rFonts w:ascii="Tahoma" w:hAnsi="Tahoma" w:cs="Tahoma"/>
                <w:sz w:val="20"/>
              </w:rPr>
              <w:t xml:space="preserve">Při meziročních změnách kapacity v Krajské síti sociálních služeb se statusem „základní“ může být optimální i reálný návrh dotace individuálně stanoven s ohledem na důvody úpravy kapacit v síti. K financování navýšené kapacity je přistupováno stejně jako k financování nových služeb. </w:t>
            </w:r>
          </w:p>
          <w:p w:rsidR="00281061" w:rsidRPr="00281061" w:rsidRDefault="00281061" w:rsidP="00281061">
            <w:pPr>
              <w:pStyle w:val="Zkladntext"/>
              <w:spacing w:line="280" w:lineRule="exact"/>
              <w:rPr>
                <w:rFonts w:ascii="Tahoma" w:hAnsi="Tahoma" w:cs="Tahoma"/>
                <w:sz w:val="20"/>
              </w:rPr>
            </w:pPr>
          </w:p>
          <w:p w:rsidR="00281061" w:rsidRPr="00281061" w:rsidRDefault="00281061" w:rsidP="00281061">
            <w:pPr>
              <w:pStyle w:val="Zkladntext"/>
              <w:spacing w:line="280" w:lineRule="exact"/>
              <w:rPr>
                <w:rFonts w:ascii="Tahoma" w:hAnsi="Tahoma" w:cs="Tahoma"/>
                <w:sz w:val="20"/>
              </w:rPr>
            </w:pPr>
            <w:r w:rsidRPr="00281061">
              <w:rPr>
                <w:rFonts w:ascii="Tahoma" w:hAnsi="Tahoma" w:cs="Tahoma"/>
                <w:sz w:val="20"/>
              </w:rPr>
              <w:t xml:space="preserve">Jestliže bude požadována dotace na kapacitu vyšší, než je kapacita zařazená v Krajské síti sociálních služeb se statusem „základní“, může být optimální a reálný návrh dotace poměrově zkrácen. </w:t>
            </w:r>
          </w:p>
          <w:p w:rsidR="00281061" w:rsidRPr="00281061" w:rsidRDefault="00281061" w:rsidP="00281061">
            <w:pPr>
              <w:pStyle w:val="Zkladntext"/>
              <w:spacing w:line="280" w:lineRule="exact"/>
              <w:rPr>
                <w:rFonts w:ascii="Tahoma" w:hAnsi="Tahoma" w:cs="Tahoma"/>
                <w:sz w:val="20"/>
              </w:rPr>
            </w:pPr>
          </w:p>
          <w:p w:rsidR="00281061" w:rsidRPr="00281061" w:rsidRDefault="00281061" w:rsidP="00281061">
            <w:pPr>
              <w:pStyle w:val="Zkladntext"/>
              <w:spacing w:line="280" w:lineRule="exact"/>
              <w:rPr>
                <w:rFonts w:ascii="Tahoma" w:hAnsi="Tahoma" w:cs="Tahoma"/>
                <w:sz w:val="20"/>
              </w:rPr>
            </w:pPr>
            <w:r w:rsidRPr="00281061">
              <w:rPr>
                <w:rFonts w:ascii="Tahoma" w:hAnsi="Tahoma" w:cs="Tahoma"/>
                <w:sz w:val="20"/>
              </w:rPr>
              <w:t>Jestliže bude požadována dotace na kapacitu nižší, než je kapacita zařazená v Krajské síti sociálních služeb se statusem „základní“, bude stanoven optimální a reálný návrh dotace dle níže uvedeného postupu. Příjemce dotace je povinen zabezpečit sociální službu v kapacitě stanovené v Krajské síti sociálních služeb se statusem „základní“.</w:t>
            </w:r>
          </w:p>
          <w:p w:rsidR="00281061" w:rsidRPr="00281061" w:rsidRDefault="00281061" w:rsidP="00281061">
            <w:pPr>
              <w:pStyle w:val="Zkladntext"/>
              <w:spacing w:line="280" w:lineRule="exact"/>
              <w:rPr>
                <w:rFonts w:ascii="Tahoma" w:hAnsi="Tahoma" w:cs="Tahoma"/>
                <w:sz w:val="20"/>
              </w:rPr>
            </w:pPr>
          </w:p>
          <w:p w:rsidR="00281061" w:rsidRPr="00281061" w:rsidRDefault="00281061" w:rsidP="00281061">
            <w:pPr>
              <w:pStyle w:val="Zkladntext"/>
              <w:spacing w:line="280" w:lineRule="exact"/>
              <w:rPr>
                <w:rFonts w:ascii="Tahoma" w:hAnsi="Tahoma" w:cs="Tahoma"/>
                <w:sz w:val="20"/>
              </w:rPr>
            </w:pPr>
            <w:r w:rsidRPr="00281061">
              <w:rPr>
                <w:rFonts w:ascii="Tahoma" w:hAnsi="Tahoma" w:cs="Tahoma"/>
                <w:sz w:val="20"/>
              </w:rPr>
              <w:t>V případě nejasností může být žadatel o dotaci jednou vyzván k vysvětlení, popř. k opravě žádosti. Jestliže v požadovaném termínu nepředloží opravenou žádost, může být žádost vyřazena z hodnocení a optimální i reálný návrh dotace bude 0.</w:t>
            </w:r>
          </w:p>
          <w:p w:rsidR="00281061" w:rsidRPr="00281061" w:rsidRDefault="00281061" w:rsidP="00281061">
            <w:pPr>
              <w:pStyle w:val="Zkladntext"/>
              <w:spacing w:line="280" w:lineRule="exact"/>
              <w:rPr>
                <w:rFonts w:ascii="Tahoma" w:hAnsi="Tahoma" w:cs="Tahoma"/>
                <w:sz w:val="20"/>
              </w:rPr>
            </w:pPr>
            <w:r w:rsidRPr="00281061">
              <w:rPr>
                <w:rFonts w:ascii="Tahoma" w:hAnsi="Tahoma" w:cs="Tahoma"/>
                <w:sz w:val="20"/>
              </w:rPr>
              <w:lastRenderedPageBreak/>
              <w:t xml:space="preserve"> </w:t>
            </w:r>
          </w:p>
          <w:p w:rsidR="00281061" w:rsidRPr="00281061" w:rsidRDefault="00281061" w:rsidP="00281061">
            <w:pPr>
              <w:pStyle w:val="Zkladntext"/>
              <w:spacing w:line="280" w:lineRule="exact"/>
              <w:rPr>
                <w:rFonts w:ascii="Tahoma" w:hAnsi="Tahoma" w:cs="Tahoma"/>
                <w:sz w:val="20"/>
              </w:rPr>
            </w:pPr>
            <w:r w:rsidRPr="00281061">
              <w:rPr>
                <w:rFonts w:ascii="Tahoma" w:hAnsi="Tahoma" w:cs="Tahoma"/>
                <w:sz w:val="20"/>
              </w:rPr>
              <w:t>Jestliže sociální služba není poskytována po celý rok, může být návrh dotace poměrově krácen.</w:t>
            </w:r>
          </w:p>
          <w:p w:rsidR="00281061" w:rsidRPr="00281061" w:rsidRDefault="00281061" w:rsidP="00281061">
            <w:pPr>
              <w:pStyle w:val="Zkladntext"/>
              <w:spacing w:line="280" w:lineRule="exact"/>
              <w:rPr>
                <w:rFonts w:ascii="Tahoma" w:hAnsi="Tahoma" w:cs="Tahoma"/>
                <w:sz w:val="20"/>
              </w:rPr>
            </w:pPr>
          </w:p>
          <w:p w:rsidR="00281061" w:rsidRPr="00281061" w:rsidRDefault="00281061" w:rsidP="00281061">
            <w:pPr>
              <w:pStyle w:val="Zkladntext"/>
              <w:spacing w:line="280" w:lineRule="exact"/>
              <w:rPr>
                <w:rFonts w:ascii="Tahoma" w:hAnsi="Tahoma" w:cs="Tahoma"/>
                <w:sz w:val="20"/>
              </w:rPr>
            </w:pPr>
            <w:r w:rsidRPr="00281061">
              <w:rPr>
                <w:rFonts w:ascii="Tahoma" w:hAnsi="Tahoma" w:cs="Tahoma"/>
                <w:sz w:val="20"/>
              </w:rPr>
              <w:t xml:space="preserve">U pobytových služeb procházejících procesem humanizace nebo transformace bude při snížení kapacity sociální služby optimální i reálný návrh podpory sociální služby posouzen individuálně. </w:t>
            </w:r>
          </w:p>
          <w:p w:rsidR="00281061" w:rsidRDefault="00281061" w:rsidP="00CB24B4">
            <w:pPr>
              <w:pStyle w:val="Zkladntext"/>
              <w:spacing w:line="280" w:lineRule="exact"/>
              <w:rPr>
                <w:rFonts w:ascii="Tahoma" w:hAnsi="Tahoma" w:cs="Tahoma"/>
                <w:sz w:val="20"/>
              </w:rPr>
            </w:pPr>
          </w:p>
        </w:tc>
      </w:tr>
      <w:tr w:rsidR="00281061" w:rsidRPr="00617CD9" w:rsidTr="006B331D">
        <w:tc>
          <w:tcPr>
            <w:tcW w:w="695" w:type="dxa"/>
          </w:tcPr>
          <w:p w:rsidR="00281061" w:rsidRDefault="00281061" w:rsidP="00274D05">
            <w:pPr>
              <w:pStyle w:val="Zkladntext"/>
              <w:spacing w:line="280" w:lineRule="exact"/>
              <w:rPr>
                <w:rFonts w:ascii="Tahoma" w:hAnsi="Tahoma" w:cs="Tahoma"/>
                <w:sz w:val="20"/>
              </w:rPr>
            </w:pPr>
            <w:r>
              <w:rPr>
                <w:rFonts w:ascii="Tahoma" w:hAnsi="Tahoma" w:cs="Tahoma"/>
                <w:sz w:val="20"/>
              </w:rPr>
              <w:lastRenderedPageBreak/>
              <w:t xml:space="preserve">  </w:t>
            </w:r>
          </w:p>
        </w:tc>
        <w:tc>
          <w:tcPr>
            <w:tcW w:w="421" w:type="dxa"/>
          </w:tcPr>
          <w:p w:rsidR="00281061" w:rsidRDefault="00281061" w:rsidP="00281061">
            <w:pPr>
              <w:pStyle w:val="Zkladntext"/>
              <w:spacing w:line="280" w:lineRule="exact"/>
              <w:rPr>
                <w:rFonts w:ascii="Tahoma" w:hAnsi="Tahoma" w:cs="Tahoma"/>
                <w:sz w:val="20"/>
              </w:rPr>
            </w:pPr>
            <w:r>
              <w:rPr>
                <w:rFonts w:ascii="Tahoma" w:hAnsi="Tahoma" w:cs="Tahoma"/>
                <w:sz w:val="20"/>
              </w:rPr>
              <w:t>b)</w:t>
            </w:r>
          </w:p>
        </w:tc>
        <w:tc>
          <w:tcPr>
            <w:tcW w:w="8082" w:type="dxa"/>
            <w:gridSpan w:val="3"/>
          </w:tcPr>
          <w:p w:rsidR="00281061" w:rsidRPr="00281061" w:rsidRDefault="00281061" w:rsidP="00281061">
            <w:pPr>
              <w:pStyle w:val="Zkladntext"/>
              <w:spacing w:line="280" w:lineRule="exact"/>
              <w:rPr>
                <w:rFonts w:ascii="Tahoma" w:hAnsi="Tahoma" w:cs="Tahoma"/>
                <w:sz w:val="20"/>
              </w:rPr>
            </w:pPr>
            <w:r>
              <w:rPr>
                <w:rFonts w:ascii="Tahoma" w:hAnsi="Tahoma" w:cs="Tahoma"/>
                <w:sz w:val="20"/>
              </w:rPr>
              <w:t xml:space="preserve">odst. 5 písm. b) mění a nově zní: </w:t>
            </w:r>
          </w:p>
        </w:tc>
      </w:tr>
      <w:tr w:rsidR="00281061" w:rsidRPr="00617CD9" w:rsidTr="00281061">
        <w:tc>
          <w:tcPr>
            <w:tcW w:w="695" w:type="dxa"/>
          </w:tcPr>
          <w:p w:rsidR="00281061" w:rsidRDefault="00281061" w:rsidP="00274D05">
            <w:pPr>
              <w:pStyle w:val="Zkladntext"/>
              <w:spacing w:line="280" w:lineRule="exact"/>
              <w:rPr>
                <w:rFonts w:ascii="Tahoma" w:hAnsi="Tahoma" w:cs="Tahoma"/>
                <w:sz w:val="20"/>
              </w:rPr>
            </w:pPr>
          </w:p>
        </w:tc>
        <w:tc>
          <w:tcPr>
            <w:tcW w:w="421" w:type="dxa"/>
          </w:tcPr>
          <w:p w:rsidR="00281061" w:rsidRDefault="00281061" w:rsidP="00281061">
            <w:pPr>
              <w:pStyle w:val="Zkladntext"/>
              <w:spacing w:line="280" w:lineRule="exact"/>
              <w:rPr>
                <w:rFonts w:ascii="Tahoma" w:hAnsi="Tahoma" w:cs="Tahoma"/>
                <w:sz w:val="20"/>
              </w:rPr>
            </w:pPr>
          </w:p>
        </w:tc>
        <w:tc>
          <w:tcPr>
            <w:tcW w:w="722" w:type="dxa"/>
          </w:tcPr>
          <w:p w:rsidR="00281061" w:rsidRDefault="00281061" w:rsidP="00281061">
            <w:pPr>
              <w:pStyle w:val="Zkladntext"/>
              <w:spacing w:line="280" w:lineRule="exact"/>
              <w:rPr>
                <w:rFonts w:ascii="Tahoma" w:hAnsi="Tahoma" w:cs="Tahoma"/>
                <w:sz w:val="20"/>
              </w:rPr>
            </w:pPr>
            <w:r>
              <w:rPr>
                <w:rFonts w:ascii="Tahoma" w:hAnsi="Tahoma" w:cs="Tahoma"/>
                <w:sz w:val="20"/>
              </w:rPr>
              <w:t>„b)</w:t>
            </w:r>
          </w:p>
        </w:tc>
        <w:tc>
          <w:tcPr>
            <w:tcW w:w="7360" w:type="dxa"/>
            <w:gridSpan w:val="2"/>
          </w:tcPr>
          <w:p w:rsidR="00281061" w:rsidRDefault="00281061" w:rsidP="00281061">
            <w:pPr>
              <w:pStyle w:val="Zkladntext"/>
              <w:spacing w:line="280" w:lineRule="exact"/>
              <w:rPr>
                <w:rFonts w:ascii="Tahoma" w:hAnsi="Tahoma" w:cs="Tahoma"/>
                <w:sz w:val="20"/>
              </w:rPr>
            </w:pPr>
            <w:r w:rsidRPr="00281061">
              <w:rPr>
                <w:rFonts w:ascii="Tahoma" w:hAnsi="Tahoma" w:cs="Tahoma"/>
                <w:sz w:val="20"/>
              </w:rPr>
              <w:t>Pro každý druh služeb bude vypočtena průměrná výše dotace na úvazek v přímé péči/lůžko (přepočtený náklad na úvazek v přímé péči/lůžko násobený průměrným procentem dotace v daném druhu služeb – viz výše; výpočet pro stávající služby). Pro konkrétní službu bude následně průměrná výše dotace na úvazek v přímé péči/lůžko násobena počtem úvazků v přímé péči/lůžek uvedeném v Krajské síti se statusem „základní síti“ pro dané období. Takto vypočtená částka může být snížena v závislosti na výši peněžních prostředků pro daný kalendářní rok.</w:t>
            </w:r>
          </w:p>
        </w:tc>
      </w:tr>
      <w:tr w:rsidR="00966F63" w:rsidRPr="00617CD9" w:rsidTr="00C13748">
        <w:tc>
          <w:tcPr>
            <w:tcW w:w="695" w:type="dxa"/>
          </w:tcPr>
          <w:p w:rsidR="00966F63" w:rsidRDefault="00966F63" w:rsidP="00274D05">
            <w:pPr>
              <w:pStyle w:val="Zkladntext"/>
              <w:spacing w:line="280" w:lineRule="exact"/>
              <w:rPr>
                <w:rFonts w:ascii="Tahoma" w:hAnsi="Tahoma" w:cs="Tahoma"/>
                <w:sz w:val="20"/>
              </w:rPr>
            </w:pPr>
          </w:p>
        </w:tc>
        <w:tc>
          <w:tcPr>
            <w:tcW w:w="421" w:type="dxa"/>
          </w:tcPr>
          <w:p w:rsidR="00966F63" w:rsidRDefault="00966F63" w:rsidP="00281061">
            <w:pPr>
              <w:pStyle w:val="Zkladntext"/>
              <w:spacing w:line="280" w:lineRule="exact"/>
              <w:rPr>
                <w:rFonts w:ascii="Tahoma" w:hAnsi="Tahoma" w:cs="Tahoma"/>
                <w:sz w:val="20"/>
              </w:rPr>
            </w:pPr>
            <w:r>
              <w:rPr>
                <w:rFonts w:ascii="Tahoma" w:hAnsi="Tahoma" w:cs="Tahoma"/>
                <w:sz w:val="20"/>
              </w:rPr>
              <w:t>c)</w:t>
            </w:r>
          </w:p>
        </w:tc>
        <w:tc>
          <w:tcPr>
            <w:tcW w:w="8082" w:type="dxa"/>
            <w:gridSpan w:val="3"/>
          </w:tcPr>
          <w:p w:rsidR="00966F63" w:rsidRPr="00281061" w:rsidRDefault="00966F63" w:rsidP="00281061">
            <w:pPr>
              <w:pStyle w:val="Zkladntext"/>
              <w:spacing w:line="280" w:lineRule="exact"/>
              <w:rPr>
                <w:rFonts w:ascii="Tahoma" w:hAnsi="Tahoma" w:cs="Tahoma"/>
                <w:sz w:val="20"/>
              </w:rPr>
            </w:pPr>
            <w:r>
              <w:rPr>
                <w:rFonts w:ascii="Tahoma" w:hAnsi="Tahoma" w:cs="Tahoma"/>
                <w:sz w:val="20"/>
              </w:rPr>
              <w:t xml:space="preserve">odst. 6 mění a nově zní: </w:t>
            </w:r>
          </w:p>
        </w:tc>
      </w:tr>
      <w:tr w:rsidR="00966F63" w:rsidRPr="00617CD9" w:rsidTr="00966F63">
        <w:tc>
          <w:tcPr>
            <w:tcW w:w="695" w:type="dxa"/>
          </w:tcPr>
          <w:p w:rsidR="00966F63" w:rsidRDefault="00966F63" w:rsidP="00274D05">
            <w:pPr>
              <w:pStyle w:val="Zkladntext"/>
              <w:spacing w:line="280" w:lineRule="exact"/>
              <w:rPr>
                <w:rFonts w:ascii="Tahoma" w:hAnsi="Tahoma" w:cs="Tahoma"/>
                <w:sz w:val="20"/>
              </w:rPr>
            </w:pPr>
          </w:p>
        </w:tc>
        <w:tc>
          <w:tcPr>
            <w:tcW w:w="421" w:type="dxa"/>
          </w:tcPr>
          <w:p w:rsidR="00966F63" w:rsidRDefault="00966F63" w:rsidP="00281061">
            <w:pPr>
              <w:pStyle w:val="Zkladntext"/>
              <w:spacing w:line="280" w:lineRule="exact"/>
              <w:rPr>
                <w:rFonts w:ascii="Tahoma" w:hAnsi="Tahoma" w:cs="Tahoma"/>
                <w:sz w:val="20"/>
              </w:rPr>
            </w:pPr>
          </w:p>
        </w:tc>
        <w:tc>
          <w:tcPr>
            <w:tcW w:w="722" w:type="dxa"/>
          </w:tcPr>
          <w:p w:rsidR="00966F63" w:rsidRDefault="00966F63" w:rsidP="00281061">
            <w:pPr>
              <w:pStyle w:val="Zkladntext"/>
              <w:spacing w:line="280" w:lineRule="exact"/>
              <w:rPr>
                <w:rFonts w:ascii="Tahoma" w:hAnsi="Tahoma" w:cs="Tahoma"/>
                <w:sz w:val="20"/>
              </w:rPr>
            </w:pPr>
            <w:r>
              <w:rPr>
                <w:rFonts w:ascii="Tahoma" w:hAnsi="Tahoma" w:cs="Tahoma"/>
                <w:sz w:val="20"/>
              </w:rPr>
              <w:t>„6</w:t>
            </w:r>
          </w:p>
        </w:tc>
        <w:tc>
          <w:tcPr>
            <w:tcW w:w="7360" w:type="dxa"/>
            <w:gridSpan w:val="2"/>
          </w:tcPr>
          <w:p w:rsidR="00966F63" w:rsidRDefault="00966F63" w:rsidP="00281061">
            <w:pPr>
              <w:pStyle w:val="Zkladntext"/>
              <w:spacing w:line="280" w:lineRule="exact"/>
              <w:rPr>
                <w:rFonts w:ascii="Tahoma" w:hAnsi="Tahoma" w:cs="Tahoma"/>
                <w:sz w:val="20"/>
              </w:rPr>
            </w:pPr>
            <w:r w:rsidRPr="00966F63">
              <w:rPr>
                <w:rFonts w:ascii="Tahoma" w:hAnsi="Tahoma" w:cs="Tahoma"/>
                <w:sz w:val="20"/>
              </w:rPr>
              <w:t>Každá sociální služba bude posouzena individuálně a budou zohledněny specifické potřeby dané služby generované ze znalosti místních podmínek (zejména mimořádné sociální události, havarijní stav materiálně-technického zabezpečení sociálních služeb, regionální specifikace a jiné neočekávané události) a významný pokles peněžních prostředků určených pro financování kapacit v Krajské síti sociálních služeb se statusem „základní“ z důvodu předchozího financování z jiných zdrojů (např. Operační program Zaměstnanost). Individuální posouzení bude provedeno u sociálních služeb vyhlášených prioritami Ministerstva práce a</w:t>
            </w:r>
            <w:r>
              <w:rPr>
                <w:rFonts w:ascii="Tahoma" w:hAnsi="Tahoma" w:cs="Tahoma"/>
                <w:sz w:val="20"/>
              </w:rPr>
              <w:t> </w:t>
            </w:r>
            <w:r w:rsidRPr="00966F63">
              <w:rPr>
                <w:rFonts w:ascii="Tahoma" w:hAnsi="Tahoma" w:cs="Tahoma"/>
                <w:sz w:val="20"/>
              </w:rPr>
              <w:t>sociálních věcí nebo u priorit stanovených MSK.</w:t>
            </w:r>
          </w:p>
        </w:tc>
      </w:tr>
      <w:tr w:rsidR="00281061" w:rsidRPr="00617CD9" w:rsidTr="00B34004">
        <w:tc>
          <w:tcPr>
            <w:tcW w:w="695" w:type="dxa"/>
          </w:tcPr>
          <w:p w:rsidR="00281061" w:rsidRDefault="00281061" w:rsidP="00274D05">
            <w:pPr>
              <w:pStyle w:val="Zkladntext"/>
              <w:spacing w:line="280" w:lineRule="exact"/>
              <w:rPr>
                <w:rFonts w:ascii="Tahoma" w:hAnsi="Tahoma" w:cs="Tahoma"/>
                <w:sz w:val="20"/>
              </w:rPr>
            </w:pPr>
            <w:r>
              <w:rPr>
                <w:rFonts w:ascii="Tahoma" w:hAnsi="Tahoma" w:cs="Tahoma"/>
                <w:sz w:val="20"/>
              </w:rPr>
              <w:t xml:space="preserve"> (10)</w:t>
            </w:r>
          </w:p>
        </w:tc>
        <w:tc>
          <w:tcPr>
            <w:tcW w:w="8503" w:type="dxa"/>
            <w:gridSpan w:val="4"/>
          </w:tcPr>
          <w:p w:rsidR="00281061" w:rsidRPr="00281061" w:rsidRDefault="00281061" w:rsidP="00281061">
            <w:pPr>
              <w:pStyle w:val="Zkladntext"/>
              <w:spacing w:line="280" w:lineRule="exact"/>
              <w:rPr>
                <w:rFonts w:ascii="Tahoma" w:hAnsi="Tahoma" w:cs="Tahoma"/>
                <w:sz w:val="20"/>
              </w:rPr>
            </w:pPr>
            <w:r>
              <w:rPr>
                <w:rFonts w:ascii="Tahoma" w:hAnsi="Tahoma" w:cs="Tahoma"/>
                <w:sz w:val="20"/>
              </w:rPr>
              <w:t xml:space="preserve">V </w:t>
            </w:r>
            <w:r w:rsidR="00966F63">
              <w:rPr>
                <w:rFonts w:ascii="Tahoma" w:hAnsi="Tahoma" w:cs="Tahoma"/>
                <w:sz w:val="20"/>
              </w:rPr>
              <w:t>č</w:t>
            </w:r>
            <w:r>
              <w:rPr>
                <w:rFonts w:ascii="Tahoma" w:hAnsi="Tahoma" w:cs="Tahoma"/>
                <w:sz w:val="20"/>
              </w:rPr>
              <w:t xml:space="preserve">l. X </w:t>
            </w:r>
            <w:r w:rsidRPr="00281061">
              <w:rPr>
                <w:rFonts w:ascii="Tahoma" w:hAnsi="Tahoma" w:cs="Tahoma"/>
                <w:b/>
                <w:bCs/>
                <w:sz w:val="20"/>
              </w:rPr>
              <w:t>„Stanovení způsobu dočerpání peněžních prostředků“</w:t>
            </w:r>
            <w:r>
              <w:rPr>
                <w:rFonts w:ascii="Tahoma" w:hAnsi="Tahoma" w:cs="Tahoma"/>
                <w:b/>
                <w:bCs/>
                <w:sz w:val="20"/>
              </w:rPr>
              <w:t xml:space="preserve"> </w:t>
            </w:r>
            <w:r>
              <w:rPr>
                <w:rFonts w:ascii="Tahoma" w:hAnsi="Tahoma" w:cs="Tahoma"/>
                <w:sz w:val="20"/>
              </w:rPr>
              <w:t>se</w:t>
            </w:r>
          </w:p>
        </w:tc>
      </w:tr>
      <w:tr w:rsidR="00281061" w:rsidRPr="00617CD9" w:rsidTr="00281061">
        <w:tc>
          <w:tcPr>
            <w:tcW w:w="695" w:type="dxa"/>
          </w:tcPr>
          <w:p w:rsidR="00281061" w:rsidRDefault="00281061" w:rsidP="00274D05">
            <w:pPr>
              <w:pStyle w:val="Zkladntext"/>
              <w:spacing w:line="280" w:lineRule="exact"/>
              <w:rPr>
                <w:rFonts w:ascii="Tahoma" w:hAnsi="Tahoma" w:cs="Tahoma"/>
                <w:sz w:val="20"/>
              </w:rPr>
            </w:pPr>
          </w:p>
        </w:tc>
        <w:tc>
          <w:tcPr>
            <w:tcW w:w="421" w:type="dxa"/>
          </w:tcPr>
          <w:p w:rsidR="00281061" w:rsidRDefault="00B130C5" w:rsidP="00281061">
            <w:pPr>
              <w:pStyle w:val="Zkladntext"/>
              <w:spacing w:line="280" w:lineRule="exact"/>
              <w:rPr>
                <w:rFonts w:ascii="Tahoma" w:hAnsi="Tahoma" w:cs="Tahoma"/>
                <w:sz w:val="20"/>
              </w:rPr>
            </w:pPr>
            <w:r>
              <w:rPr>
                <w:rFonts w:ascii="Tahoma" w:hAnsi="Tahoma" w:cs="Tahoma"/>
                <w:sz w:val="20"/>
              </w:rPr>
              <w:t>a)</w:t>
            </w:r>
          </w:p>
        </w:tc>
        <w:tc>
          <w:tcPr>
            <w:tcW w:w="8082" w:type="dxa"/>
            <w:gridSpan w:val="3"/>
          </w:tcPr>
          <w:p w:rsidR="00281061" w:rsidRDefault="00B130C5" w:rsidP="00281061">
            <w:pPr>
              <w:pStyle w:val="Zkladntext"/>
              <w:spacing w:line="280" w:lineRule="exact"/>
              <w:rPr>
                <w:rFonts w:ascii="Tahoma" w:hAnsi="Tahoma" w:cs="Tahoma"/>
                <w:sz w:val="20"/>
              </w:rPr>
            </w:pPr>
            <w:r>
              <w:rPr>
                <w:rFonts w:ascii="Tahoma" w:hAnsi="Tahoma" w:cs="Tahoma"/>
                <w:sz w:val="20"/>
              </w:rPr>
              <w:t xml:space="preserve">odst. 1 písm. a) mění a nově zní: </w:t>
            </w:r>
          </w:p>
        </w:tc>
      </w:tr>
      <w:tr w:rsidR="00B130C5" w:rsidRPr="00617CD9" w:rsidTr="00B130C5">
        <w:tc>
          <w:tcPr>
            <w:tcW w:w="695" w:type="dxa"/>
          </w:tcPr>
          <w:p w:rsidR="00B130C5" w:rsidRDefault="00B130C5" w:rsidP="00274D05">
            <w:pPr>
              <w:pStyle w:val="Zkladntext"/>
              <w:spacing w:line="280" w:lineRule="exact"/>
              <w:rPr>
                <w:rFonts w:ascii="Tahoma" w:hAnsi="Tahoma" w:cs="Tahoma"/>
                <w:sz w:val="20"/>
              </w:rPr>
            </w:pPr>
          </w:p>
        </w:tc>
        <w:tc>
          <w:tcPr>
            <w:tcW w:w="421" w:type="dxa"/>
          </w:tcPr>
          <w:p w:rsidR="00B130C5" w:rsidRDefault="00B130C5" w:rsidP="00281061">
            <w:pPr>
              <w:pStyle w:val="Zkladntext"/>
              <w:spacing w:line="280" w:lineRule="exact"/>
              <w:rPr>
                <w:rFonts w:ascii="Tahoma" w:hAnsi="Tahoma" w:cs="Tahoma"/>
                <w:sz w:val="20"/>
              </w:rPr>
            </w:pPr>
          </w:p>
        </w:tc>
        <w:tc>
          <w:tcPr>
            <w:tcW w:w="722" w:type="dxa"/>
          </w:tcPr>
          <w:p w:rsidR="00B130C5" w:rsidRDefault="00B130C5" w:rsidP="00281061">
            <w:pPr>
              <w:pStyle w:val="Zkladntext"/>
              <w:spacing w:line="280" w:lineRule="exact"/>
              <w:rPr>
                <w:rFonts w:ascii="Tahoma" w:hAnsi="Tahoma" w:cs="Tahoma"/>
                <w:sz w:val="20"/>
              </w:rPr>
            </w:pPr>
            <w:r>
              <w:rPr>
                <w:rFonts w:ascii="Tahoma" w:hAnsi="Tahoma" w:cs="Tahoma"/>
                <w:sz w:val="20"/>
              </w:rPr>
              <w:t>„a)</w:t>
            </w:r>
          </w:p>
        </w:tc>
        <w:tc>
          <w:tcPr>
            <w:tcW w:w="7360" w:type="dxa"/>
            <w:gridSpan w:val="2"/>
          </w:tcPr>
          <w:p w:rsidR="00B130C5" w:rsidRPr="00B130C5" w:rsidRDefault="00B130C5" w:rsidP="00B130C5">
            <w:pPr>
              <w:pStyle w:val="Zkladntext"/>
              <w:spacing w:line="280" w:lineRule="exact"/>
              <w:rPr>
                <w:rFonts w:ascii="Tahoma" w:hAnsi="Tahoma" w:cs="Tahoma"/>
                <w:sz w:val="20"/>
              </w:rPr>
            </w:pPr>
            <w:r w:rsidRPr="00B130C5">
              <w:rPr>
                <w:rFonts w:ascii="Tahoma" w:hAnsi="Tahoma" w:cs="Tahoma"/>
                <w:sz w:val="20"/>
              </w:rPr>
              <w:t xml:space="preserve">Žádost o dofinancování - je oprávněn podat poskytovatel sociální služby, který požádal o poskytnutí dotace dle článku VII a byl mu stanoven optimální návrh dotace. Požadavek na dofinancování nesmí spolu s již přiznaným reálným návrhem podpory sociální služby překročit optimální návrh dotace dle článku VIII odst. 4, nebude-li při stanovení způsobu dočerpání peněžních prostředků určeno jinak. </w:t>
            </w:r>
          </w:p>
          <w:p w:rsidR="00B130C5" w:rsidRDefault="00B130C5" w:rsidP="00B130C5">
            <w:pPr>
              <w:pStyle w:val="Zkladntext"/>
              <w:spacing w:line="280" w:lineRule="exact"/>
              <w:rPr>
                <w:rFonts w:ascii="Tahoma" w:hAnsi="Tahoma" w:cs="Tahoma"/>
                <w:sz w:val="20"/>
              </w:rPr>
            </w:pPr>
            <w:r w:rsidRPr="00B130C5">
              <w:rPr>
                <w:rFonts w:ascii="Tahoma" w:hAnsi="Tahoma" w:cs="Tahoma"/>
                <w:sz w:val="20"/>
              </w:rPr>
              <w:t>V případě, že předložená žádost o dofinancování bude obsahovat požadavek přesahující s již přiznaným reálným návrhem podpory sociální služby optimální návrh dotace, nebude žádost vyřazena, ale dofinancování bude poskytnuto maximálně do výše optimálního návrhu dotace.</w:t>
            </w:r>
          </w:p>
        </w:tc>
      </w:tr>
      <w:tr w:rsidR="00C71885" w:rsidRPr="00617CD9" w:rsidTr="00632639">
        <w:tc>
          <w:tcPr>
            <w:tcW w:w="695" w:type="dxa"/>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 (11)</w:t>
            </w:r>
          </w:p>
        </w:tc>
        <w:tc>
          <w:tcPr>
            <w:tcW w:w="8503" w:type="dxa"/>
            <w:gridSpan w:val="4"/>
          </w:tcPr>
          <w:p w:rsidR="00C71885" w:rsidRPr="00B130C5" w:rsidRDefault="00C71885" w:rsidP="00C71885">
            <w:pPr>
              <w:pStyle w:val="Zkladntext"/>
              <w:spacing w:line="280" w:lineRule="exact"/>
              <w:rPr>
                <w:rFonts w:ascii="Tahoma" w:hAnsi="Tahoma" w:cs="Tahoma"/>
                <w:sz w:val="20"/>
              </w:rPr>
            </w:pPr>
            <w:r w:rsidRPr="00C71885">
              <w:rPr>
                <w:rFonts w:ascii="Tahoma" w:hAnsi="Tahoma" w:cs="Tahoma"/>
                <w:sz w:val="20"/>
              </w:rPr>
              <w:t xml:space="preserve">Původní název </w:t>
            </w:r>
            <w:r>
              <w:rPr>
                <w:rFonts w:ascii="Tahoma" w:hAnsi="Tahoma" w:cs="Tahoma"/>
                <w:sz w:val="20"/>
              </w:rPr>
              <w:t>čl. XI</w:t>
            </w:r>
            <w:r w:rsidRPr="00C71885">
              <w:rPr>
                <w:rFonts w:ascii="Tahoma" w:hAnsi="Tahoma" w:cs="Tahoma"/>
                <w:sz w:val="20"/>
              </w:rPr>
              <w:t>: „Postup při převzetí poskytování sociální služby jiným poskytovatelem“ se</w:t>
            </w:r>
            <w:r>
              <w:rPr>
                <w:rFonts w:ascii="Tahoma" w:hAnsi="Tahoma" w:cs="Tahoma"/>
                <w:sz w:val="20"/>
              </w:rPr>
              <w:t> </w:t>
            </w:r>
            <w:r w:rsidRPr="00C71885">
              <w:rPr>
                <w:rFonts w:ascii="Tahoma" w:hAnsi="Tahoma" w:cs="Tahoma"/>
                <w:sz w:val="20"/>
              </w:rPr>
              <w:t>mění a nově zní: „Postup při převzetí poskytování podpořené sociální služby v rámci Programu jiným poskytovatelem“.</w:t>
            </w:r>
          </w:p>
        </w:tc>
      </w:tr>
      <w:tr w:rsidR="00C71885" w:rsidRPr="00617CD9" w:rsidTr="00632639">
        <w:tc>
          <w:tcPr>
            <w:tcW w:w="695" w:type="dxa"/>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 (12)</w:t>
            </w:r>
          </w:p>
        </w:tc>
        <w:tc>
          <w:tcPr>
            <w:tcW w:w="8503" w:type="dxa"/>
            <w:gridSpan w:val="4"/>
          </w:tcPr>
          <w:p w:rsidR="00C71885" w:rsidRPr="00C71885" w:rsidRDefault="00C71885" w:rsidP="00C71885">
            <w:pPr>
              <w:pStyle w:val="Zkladntext"/>
              <w:spacing w:line="280" w:lineRule="exact"/>
              <w:rPr>
                <w:rFonts w:ascii="Tahoma" w:hAnsi="Tahoma" w:cs="Tahoma"/>
                <w:sz w:val="20"/>
              </w:rPr>
            </w:pPr>
            <w:r>
              <w:rPr>
                <w:rFonts w:ascii="Tahoma" w:hAnsi="Tahoma" w:cs="Tahoma"/>
                <w:sz w:val="20"/>
              </w:rPr>
              <w:t xml:space="preserve">V čl. XI </w:t>
            </w:r>
            <w:r w:rsidRPr="00C71885">
              <w:rPr>
                <w:rFonts w:ascii="Tahoma" w:hAnsi="Tahoma" w:cs="Tahoma"/>
                <w:b/>
                <w:bCs/>
                <w:sz w:val="20"/>
              </w:rPr>
              <w:t>„Postup při převzetí poskytování podpořené sociální služby v rámci Programu jiným poskytovatelem“</w:t>
            </w:r>
            <w:r>
              <w:rPr>
                <w:rFonts w:ascii="Tahoma" w:hAnsi="Tahoma" w:cs="Tahoma"/>
                <w:b/>
                <w:bCs/>
                <w:sz w:val="20"/>
              </w:rPr>
              <w:t xml:space="preserve"> </w:t>
            </w:r>
            <w:r w:rsidRPr="00C71885">
              <w:rPr>
                <w:rFonts w:ascii="Tahoma" w:hAnsi="Tahoma" w:cs="Tahoma"/>
                <w:sz w:val="20"/>
              </w:rPr>
              <w:t>se</w:t>
            </w:r>
          </w:p>
        </w:tc>
      </w:tr>
      <w:tr w:rsidR="00C71885" w:rsidRPr="00617CD9" w:rsidTr="00C71885">
        <w:tc>
          <w:tcPr>
            <w:tcW w:w="695" w:type="dxa"/>
          </w:tcPr>
          <w:p w:rsidR="00C71885" w:rsidRDefault="00C71885" w:rsidP="00C71885">
            <w:pPr>
              <w:pStyle w:val="Zkladntext"/>
              <w:spacing w:line="280" w:lineRule="exact"/>
              <w:rPr>
                <w:rFonts w:ascii="Tahoma" w:hAnsi="Tahoma" w:cs="Tahoma"/>
                <w:sz w:val="20"/>
              </w:rPr>
            </w:pPr>
          </w:p>
        </w:tc>
        <w:tc>
          <w:tcPr>
            <w:tcW w:w="421" w:type="dxa"/>
          </w:tcPr>
          <w:p w:rsidR="00C71885" w:rsidRDefault="00C71885" w:rsidP="00C71885">
            <w:pPr>
              <w:pStyle w:val="Zkladntext"/>
              <w:spacing w:line="280" w:lineRule="exact"/>
              <w:rPr>
                <w:rFonts w:ascii="Tahoma" w:hAnsi="Tahoma" w:cs="Tahoma"/>
                <w:sz w:val="20"/>
              </w:rPr>
            </w:pPr>
            <w:r>
              <w:rPr>
                <w:rFonts w:ascii="Tahoma" w:hAnsi="Tahoma" w:cs="Tahoma"/>
                <w:sz w:val="20"/>
              </w:rPr>
              <w:t>a)</w:t>
            </w:r>
          </w:p>
        </w:tc>
        <w:tc>
          <w:tcPr>
            <w:tcW w:w="8082" w:type="dxa"/>
            <w:gridSpan w:val="3"/>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Odst. 1 písm. b) mění a nově zní: </w:t>
            </w:r>
          </w:p>
        </w:tc>
      </w:tr>
      <w:tr w:rsidR="00C71885" w:rsidRPr="00617CD9" w:rsidTr="00C71885">
        <w:tc>
          <w:tcPr>
            <w:tcW w:w="695" w:type="dxa"/>
          </w:tcPr>
          <w:p w:rsidR="00C71885" w:rsidRDefault="00C71885" w:rsidP="00C71885">
            <w:pPr>
              <w:pStyle w:val="Zkladntext"/>
              <w:spacing w:line="280" w:lineRule="exact"/>
              <w:rPr>
                <w:rFonts w:ascii="Tahoma" w:hAnsi="Tahoma" w:cs="Tahoma"/>
                <w:sz w:val="20"/>
              </w:rPr>
            </w:pPr>
          </w:p>
        </w:tc>
        <w:tc>
          <w:tcPr>
            <w:tcW w:w="421" w:type="dxa"/>
          </w:tcPr>
          <w:p w:rsidR="00C71885" w:rsidRDefault="00C71885" w:rsidP="00C71885">
            <w:pPr>
              <w:pStyle w:val="Zkladntext"/>
              <w:spacing w:line="280" w:lineRule="exact"/>
              <w:rPr>
                <w:rFonts w:ascii="Tahoma" w:hAnsi="Tahoma" w:cs="Tahoma"/>
                <w:sz w:val="20"/>
              </w:rPr>
            </w:pPr>
          </w:p>
        </w:tc>
        <w:tc>
          <w:tcPr>
            <w:tcW w:w="864" w:type="dxa"/>
            <w:gridSpan w:val="2"/>
          </w:tcPr>
          <w:p w:rsidR="00C71885" w:rsidRDefault="00C71885" w:rsidP="00C71885">
            <w:pPr>
              <w:pStyle w:val="Zkladntext"/>
              <w:spacing w:line="280" w:lineRule="exact"/>
              <w:rPr>
                <w:rFonts w:ascii="Tahoma" w:hAnsi="Tahoma" w:cs="Tahoma"/>
                <w:sz w:val="20"/>
              </w:rPr>
            </w:pPr>
            <w:r>
              <w:rPr>
                <w:rFonts w:ascii="Tahoma" w:hAnsi="Tahoma" w:cs="Tahoma"/>
                <w:sz w:val="20"/>
              </w:rPr>
              <w:t>„b)</w:t>
            </w:r>
          </w:p>
        </w:tc>
        <w:tc>
          <w:tcPr>
            <w:tcW w:w="7218" w:type="dxa"/>
          </w:tcPr>
          <w:p w:rsidR="00C71885" w:rsidRDefault="00C71885" w:rsidP="00C71885">
            <w:pPr>
              <w:pStyle w:val="Zkladntext"/>
              <w:spacing w:line="280" w:lineRule="exact"/>
              <w:rPr>
                <w:rFonts w:ascii="Tahoma" w:hAnsi="Tahoma" w:cs="Tahoma"/>
                <w:sz w:val="20"/>
              </w:rPr>
            </w:pPr>
            <w:r w:rsidRPr="00C71885">
              <w:rPr>
                <w:rFonts w:ascii="Tahoma" w:hAnsi="Tahoma" w:cs="Tahoma"/>
                <w:sz w:val="20"/>
              </w:rPr>
              <w:t>Poskytovatel sociální služby, který poskytování ukončené sociální služby převezme, požádá písemně o poskytnutí poměrné části dotace dle počtu měsíců a převzaté kapacity, která byla poskytnuta původnímu poskytovateli</w:t>
            </w:r>
            <w:r>
              <w:rPr>
                <w:rFonts w:ascii="Tahoma" w:hAnsi="Tahoma" w:cs="Tahoma"/>
                <w:sz w:val="20"/>
              </w:rPr>
              <w:t>.</w:t>
            </w:r>
          </w:p>
        </w:tc>
      </w:tr>
      <w:tr w:rsidR="00C71885" w:rsidRPr="00617CD9" w:rsidTr="00E82A93">
        <w:tc>
          <w:tcPr>
            <w:tcW w:w="695" w:type="dxa"/>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 (13) </w:t>
            </w:r>
          </w:p>
        </w:tc>
        <w:tc>
          <w:tcPr>
            <w:tcW w:w="8503" w:type="dxa"/>
            <w:gridSpan w:val="4"/>
          </w:tcPr>
          <w:p w:rsidR="00C71885" w:rsidRPr="00B130C5" w:rsidRDefault="00C71885" w:rsidP="00C71885">
            <w:pPr>
              <w:pStyle w:val="Zkladntext"/>
              <w:spacing w:line="280" w:lineRule="exact"/>
              <w:rPr>
                <w:rFonts w:ascii="Tahoma" w:hAnsi="Tahoma" w:cs="Tahoma"/>
                <w:sz w:val="20"/>
              </w:rPr>
            </w:pPr>
            <w:r>
              <w:rPr>
                <w:rFonts w:ascii="Tahoma" w:hAnsi="Tahoma" w:cs="Tahoma"/>
                <w:sz w:val="20"/>
              </w:rPr>
              <w:t xml:space="preserve">V čl. XII. </w:t>
            </w:r>
            <w:r w:rsidRPr="00B130C5">
              <w:rPr>
                <w:rFonts w:ascii="Tahoma" w:hAnsi="Tahoma" w:cs="Tahoma"/>
                <w:b/>
                <w:bCs/>
                <w:sz w:val="20"/>
              </w:rPr>
              <w:t>„Finanční vypořádání“</w:t>
            </w:r>
            <w:r>
              <w:rPr>
                <w:rFonts w:ascii="Tahoma" w:hAnsi="Tahoma" w:cs="Tahoma"/>
                <w:b/>
                <w:bCs/>
                <w:sz w:val="20"/>
              </w:rPr>
              <w:t xml:space="preserve"> </w:t>
            </w:r>
            <w:r>
              <w:rPr>
                <w:rFonts w:ascii="Tahoma" w:hAnsi="Tahoma" w:cs="Tahoma"/>
                <w:sz w:val="20"/>
              </w:rPr>
              <w:t xml:space="preserve">se: </w:t>
            </w:r>
          </w:p>
        </w:tc>
      </w:tr>
      <w:tr w:rsidR="00C71885" w:rsidRPr="00617CD9" w:rsidTr="00B130C5">
        <w:tc>
          <w:tcPr>
            <w:tcW w:w="695" w:type="dxa"/>
          </w:tcPr>
          <w:p w:rsidR="00C71885" w:rsidRDefault="00C71885" w:rsidP="00C71885">
            <w:pPr>
              <w:pStyle w:val="Zkladntext"/>
              <w:spacing w:line="280" w:lineRule="exact"/>
              <w:rPr>
                <w:rFonts w:ascii="Tahoma" w:hAnsi="Tahoma" w:cs="Tahoma"/>
                <w:sz w:val="20"/>
              </w:rPr>
            </w:pPr>
          </w:p>
        </w:tc>
        <w:tc>
          <w:tcPr>
            <w:tcW w:w="421" w:type="dxa"/>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a) </w:t>
            </w:r>
          </w:p>
        </w:tc>
        <w:tc>
          <w:tcPr>
            <w:tcW w:w="8082" w:type="dxa"/>
            <w:gridSpan w:val="3"/>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odst. 2 mění a nově zní: </w:t>
            </w:r>
          </w:p>
        </w:tc>
      </w:tr>
      <w:tr w:rsidR="00C71885" w:rsidRPr="00617CD9" w:rsidTr="00B130C5">
        <w:tc>
          <w:tcPr>
            <w:tcW w:w="695" w:type="dxa"/>
          </w:tcPr>
          <w:p w:rsidR="00C71885" w:rsidRDefault="00C71885" w:rsidP="00C71885">
            <w:pPr>
              <w:pStyle w:val="Zkladntext"/>
              <w:spacing w:line="280" w:lineRule="exact"/>
              <w:rPr>
                <w:rFonts w:ascii="Tahoma" w:hAnsi="Tahoma" w:cs="Tahoma"/>
                <w:sz w:val="20"/>
              </w:rPr>
            </w:pPr>
          </w:p>
        </w:tc>
        <w:tc>
          <w:tcPr>
            <w:tcW w:w="421" w:type="dxa"/>
          </w:tcPr>
          <w:p w:rsidR="00C71885" w:rsidRDefault="00C71885" w:rsidP="00C71885">
            <w:pPr>
              <w:pStyle w:val="Zkladntext"/>
              <w:spacing w:line="280" w:lineRule="exact"/>
              <w:rPr>
                <w:rFonts w:ascii="Tahoma" w:hAnsi="Tahoma" w:cs="Tahoma"/>
                <w:sz w:val="20"/>
              </w:rPr>
            </w:pPr>
          </w:p>
        </w:tc>
        <w:tc>
          <w:tcPr>
            <w:tcW w:w="722" w:type="dxa"/>
          </w:tcPr>
          <w:p w:rsidR="00C71885" w:rsidRDefault="00C71885" w:rsidP="00C71885">
            <w:pPr>
              <w:pStyle w:val="Zkladntext"/>
              <w:spacing w:line="280" w:lineRule="exact"/>
              <w:rPr>
                <w:rFonts w:ascii="Tahoma" w:hAnsi="Tahoma" w:cs="Tahoma"/>
                <w:sz w:val="20"/>
              </w:rPr>
            </w:pPr>
            <w:r>
              <w:rPr>
                <w:rFonts w:ascii="Tahoma" w:hAnsi="Tahoma" w:cs="Tahoma"/>
                <w:sz w:val="20"/>
              </w:rPr>
              <w:t>„2</w:t>
            </w:r>
          </w:p>
        </w:tc>
        <w:tc>
          <w:tcPr>
            <w:tcW w:w="7360" w:type="dxa"/>
            <w:gridSpan w:val="2"/>
          </w:tcPr>
          <w:p w:rsidR="00C71885" w:rsidRDefault="00C71885" w:rsidP="00C71885">
            <w:pPr>
              <w:pStyle w:val="Zkladntext"/>
              <w:spacing w:line="280" w:lineRule="exact"/>
              <w:rPr>
                <w:rFonts w:ascii="Tahoma" w:hAnsi="Tahoma" w:cs="Tahoma"/>
                <w:sz w:val="20"/>
              </w:rPr>
            </w:pPr>
            <w:r w:rsidRPr="00B130C5">
              <w:rPr>
                <w:rFonts w:ascii="Tahoma" w:hAnsi="Tahoma" w:cs="Tahoma"/>
                <w:sz w:val="20"/>
              </w:rPr>
              <w:t>V případě, že příjemce dotace realizaci sociální služby nezahájí, přeruší, předčasně ukončí, nebo bude vydáno rozhodnutí o zrušení registrace dle § 82 odstavce 3</w:t>
            </w:r>
            <w:r>
              <w:rPr>
                <w:rFonts w:ascii="Tahoma" w:hAnsi="Tahoma" w:cs="Tahoma"/>
                <w:sz w:val="20"/>
              </w:rPr>
              <w:t> </w:t>
            </w:r>
            <w:r w:rsidRPr="00B130C5">
              <w:rPr>
                <w:rFonts w:ascii="Tahoma" w:hAnsi="Tahoma" w:cs="Tahoma"/>
                <w:sz w:val="20"/>
              </w:rPr>
              <w:t>zákona o sociálních službách, případně bude snížena kapacita sociální služby v</w:t>
            </w:r>
            <w:r>
              <w:rPr>
                <w:rFonts w:ascii="Tahoma" w:hAnsi="Tahoma" w:cs="Tahoma"/>
                <w:sz w:val="20"/>
              </w:rPr>
              <w:t> </w:t>
            </w:r>
            <w:r w:rsidRPr="00B130C5">
              <w:rPr>
                <w:rFonts w:ascii="Tahoma" w:hAnsi="Tahoma" w:cs="Tahoma"/>
                <w:sz w:val="20"/>
              </w:rPr>
              <w:t>průběhu roku v Krajské síti se statusem „základní“ je povinen v souladu s</w:t>
            </w:r>
            <w:r>
              <w:rPr>
                <w:rFonts w:ascii="Tahoma" w:hAnsi="Tahoma" w:cs="Tahoma"/>
                <w:sz w:val="20"/>
              </w:rPr>
              <w:t> </w:t>
            </w:r>
            <w:r w:rsidRPr="00B130C5">
              <w:rPr>
                <w:rFonts w:ascii="Tahoma" w:hAnsi="Tahoma" w:cs="Tahoma"/>
                <w:sz w:val="20"/>
              </w:rPr>
              <w:t>ustanoveními smlouvy ohlásit tuto skutečnost administrátorovi a následně vrátit dotaci nebo poměrnou část vyplacené dotace (dle počtu měsíců, ve kterých služba nebyla realizována) zpět na účet poskytovatele v termínu stanoveném Smlouvou. Rozhodným okamžikem vrácení peněžních prostředků dotace zpět na účet poskytovatele je den jejich odepsání z účtu příjemce.</w:t>
            </w:r>
          </w:p>
        </w:tc>
      </w:tr>
      <w:tr w:rsidR="00C71885" w:rsidRPr="00617CD9" w:rsidTr="009A1475">
        <w:tc>
          <w:tcPr>
            <w:tcW w:w="695" w:type="dxa"/>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 (14)</w:t>
            </w:r>
          </w:p>
        </w:tc>
        <w:tc>
          <w:tcPr>
            <w:tcW w:w="8503" w:type="dxa"/>
            <w:gridSpan w:val="4"/>
          </w:tcPr>
          <w:p w:rsidR="00C71885" w:rsidRPr="00B130C5" w:rsidRDefault="00C71885" w:rsidP="00C71885">
            <w:pPr>
              <w:pStyle w:val="Zkladntext"/>
              <w:spacing w:line="280" w:lineRule="exact"/>
              <w:rPr>
                <w:rFonts w:ascii="Tahoma" w:hAnsi="Tahoma" w:cs="Tahoma"/>
                <w:sz w:val="20"/>
              </w:rPr>
            </w:pPr>
            <w:r>
              <w:rPr>
                <w:rFonts w:ascii="Tahoma" w:hAnsi="Tahoma" w:cs="Tahoma"/>
                <w:sz w:val="20"/>
              </w:rPr>
              <w:t xml:space="preserve">V čl.  XIII. </w:t>
            </w:r>
            <w:r w:rsidRPr="00A97345">
              <w:rPr>
                <w:rFonts w:ascii="Tahoma" w:hAnsi="Tahoma" w:cs="Tahoma"/>
                <w:b/>
                <w:bCs/>
                <w:sz w:val="20"/>
              </w:rPr>
              <w:t>„Vyrovnávací platba“</w:t>
            </w:r>
            <w:r>
              <w:rPr>
                <w:rFonts w:ascii="Tahoma" w:hAnsi="Tahoma" w:cs="Tahoma"/>
                <w:sz w:val="20"/>
              </w:rPr>
              <w:t xml:space="preserve"> se: </w:t>
            </w:r>
          </w:p>
        </w:tc>
      </w:tr>
      <w:tr w:rsidR="00C71885" w:rsidRPr="00617CD9" w:rsidTr="00A97345">
        <w:tc>
          <w:tcPr>
            <w:tcW w:w="695" w:type="dxa"/>
          </w:tcPr>
          <w:p w:rsidR="00C71885" w:rsidRDefault="00C71885" w:rsidP="00C71885">
            <w:pPr>
              <w:pStyle w:val="Zkladntext"/>
              <w:spacing w:line="280" w:lineRule="exact"/>
              <w:rPr>
                <w:rFonts w:ascii="Tahoma" w:hAnsi="Tahoma" w:cs="Tahoma"/>
                <w:sz w:val="20"/>
              </w:rPr>
            </w:pPr>
          </w:p>
        </w:tc>
        <w:tc>
          <w:tcPr>
            <w:tcW w:w="421" w:type="dxa"/>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a) </w:t>
            </w:r>
          </w:p>
        </w:tc>
        <w:tc>
          <w:tcPr>
            <w:tcW w:w="8082" w:type="dxa"/>
            <w:gridSpan w:val="3"/>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odst. 6 mění a nově zní: </w:t>
            </w:r>
          </w:p>
        </w:tc>
      </w:tr>
      <w:tr w:rsidR="00C71885" w:rsidRPr="00617CD9" w:rsidTr="00A97345">
        <w:tc>
          <w:tcPr>
            <w:tcW w:w="695" w:type="dxa"/>
          </w:tcPr>
          <w:p w:rsidR="00C71885" w:rsidRDefault="00C71885" w:rsidP="00C71885">
            <w:pPr>
              <w:pStyle w:val="Zkladntext"/>
              <w:spacing w:line="280" w:lineRule="exact"/>
              <w:rPr>
                <w:rFonts w:ascii="Tahoma" w:hAnsi="Tahoma" w:cs="Tahoma"/>
                <w:sz w:val="20"/>
              </w:rPr>
            </w:pPr>
          </w:p>
        </w:tc>
        <w:tc>
          <w:tcPr>
            <w:tcW w:w="421" w:type="dxa"/>
          </w:tcPr>
          <w:p w:rsidR="00C71885" w:rsidRDefault="00C71885" w:rsidP="00C71885">
            <w:pPr>
              <w:pStyle w:val="Zkladntext"/>
              <w:spacing w:line="280" w:lineRule="exact"/>
              <w:rPr>
                <w:rFonts w:ascii="Tahoma" w:hAnsi="Tahoma" w:cs="Tahoma"/>
                <w:sz w:val="20"/>
              </w:rPr>
            </w:pPr>
          </w:p>
        </w:tc>
        <w:tc>
          <w:tcPr>
            <w:tcW w:w="722" w:type="dxa"/>
          </w:tcPr>
          <w:p w:rsidR="00C71885" w:rsidRDefault="00C71885" w:rsidP="00C71885">
            <w:pPr>
              <w:pStyle w:val="Zkladntext"/>
              <w:spacing w:line="280" w:lineRule="exact"/>
              <w:rPr>
                <w:rFonts w:ascii="Tahoma" w:hAnsi="Tahoma" w:cs="Tahoma"/>
                <w:sz w:val="20"/>
              </w:rPr>
            </w:pPr>
            <w:r>
              <w:rPr>
                <w:rFonts w:ascii="Tahoma" w:hAnsi="Tahoma" w:cs="Tahoma"/>
                <w:sz w:val="20"/>
              </w:rPr>
              <w:t>„6</w:t>
            </w:r>
          </w:p>
        </w:tc>
        <w:tc>
          <w:tcPr>
            <w:tcW w:w="7360" w:type="dxa"/>
            <w:gridSpan w:val="2"/>
          </w:tcPr>
          <w:p w:rsidR="00C71885" w:rsidRDefault="00C71885" w:rsidP="00C71885">
            <w:pPr>
              <w:pStyle w:val="Zkladntext"/>
              <w:spacing w:line="280" w:lineRule="exact"/>
              <w:rPr>
                <w:rFonts w:ascii="Tahoma" w:hAnsi="Tahoma" w:cs="Tahoma"/>
                <w:sz w:val="20"/>
              </w:rPr>
            </w:pPr>
            <w:r w:rsidRPr="00A97345">
              <w:rPr>
                <w:rFonts w:ascii="Tahoma" w:hAnsi="Tahoma" w:cs="Tahoma"/>
                <w:sz w:val="20"/>
              </w:rPr>
              <w:t>V případě, že příjemce dotace realizaci sociální služby nezahájí, přeruší, předčasně ukončí, nebo bude vydáno rozhodnutí o zrušení registrace dle § 82 odstavce 3</w:t>
            </w:r>
            <w:r>
              <w:rPr>
                <w:rFonts w:ascii="Tahoma" w:hAnsi="Tahoma" w:cs="Tahoma"/>
                <w:sz w:val="20"/>
              </w:rPr>
              <w:t> </w:t>
            </w:r>
            <w:r w:rsidRPr="00A97345">
              <w:rPr>
                <w:rFonts w:ascii="Tahoma" w:hAnsi="Tahoma" w:cs="Tahoma"/>
                <w:sz w:val="20"/>
              </w:rPr>
              <w:t>zákona o sociálních službách, případně bude snížena kapacita sociální služby v</w:t>
            </w:r>
            <w:r>
              <w:rPr>
                <w:rFonts w:ascii="Tahoma" w:hAnsi="Tahoma" w:cs="Tahoma"/>
                <w:sz w:val="20"/>
              </w:rPr>
              <w:t> </w:t>
            </w:r>
            <w:r w:rsidRPr="00A97345">
              <w:rPr>
                <w:rFonts w:ascii="Tahoma" w:hAnsi="Tahoma" w:cs="Tahoma"/>
                <w:sz w:val="20"/>
              </w:rPr>
              <w:t>průběhu roku v Krajské síti, je povinen v souladu s ustanoveními smlouvy ohlásit tuto skutečnost administrátorovi a následně bude orgánům kraje předložen návrh na snížení maximální výše oprávněných provozních nákladů o poměrnou část (dle počtu měsíců, ve kterých služba nebyla realizována). O ponechání vyšší než poměrné části maximální výše oprávněných provozních nákladů, rozhoduje rada kraje na základě odůvodněné žádosti příjemce dotace.</w:t>
            </w:r>
          </w:p>
        </w:tc>
      </w:tr>
      <w:tr w:rsidR="00C71885" w:rsidRPr="00617CD9" w:rsidTr="00965E1E">
        <w:tc>
          <w:tcPr>
            <w:tcW w:w="695" w:type="dxa"/>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 (15)</w:t>
            </w:r>
          </w:p>
        </w:tc>
        <w:tc>
          <w:tcPr>
            <w:tcW w:w="8503" w:type="dxa"/>
            <w:gridSpan w:val="4"/>
          </w:tcPr>
          <w:p w:rsidR="00C71885" w:rsidRPr="00A97345" w:rsidRDefault="00C71885" w:rsidP="00C71885">
            <w:pPr>
              <w:pStyle w:val="Zkladntext"/>
              <w:spacing w:line="280" w:lineRule="exact"/>
              <w:rPr>
                <w:rFonts w:ascii="Tahoma" w:hAnsi="Tahoma" w:cs="Tahoma"/>
                <w:sz w:val="20"/>
              </w:rPr>
            </w:pPr>
            <w:r>
              <w:rPr>
                <w:rFonts w:ascii="Tahoma" w:hAnsi="Tahoma" w:cs="Tahoma"/>
                <w:sz w:val="20"/>
              </w:rPr>
              <w:t xml:space="preserve">V čl. XVI. </w:t>
            </w:r>
            <w:r w:rsidRPr="00CB3ACC">
              <w:rPr>
                <w:rFonts w:ascii="Tahoma" w:hAnsi="Tahoma" w:cs="Tahoma"/>
                <w:b/>
                <w:bCs/>
                <w:sz w:val="20"/>
              </w:rPr>
              <w:t>„Působnost rady kraje“</w:t>
            </w:r>
            <w:r>
              <w:rPr>
                <w:rFonts w:ascii="Tahoma" w:hAnsi="Tahoma" w:cs="Tahoma"/>
                <w:b/>
                <w:bCs/>
                <w:sz w:val="20"/>
              </w:rPr>
              <w:t xml:space="preserve"> </w:t>
            </w:r>
            <w:r w:rsidRPr="00CB3ACC">
              <w:rPr>
                <w:rFonts w:ascii="Tahoma" w:hAnsi="Tahoma" w:cs="Tahoma"/>
                <w:sz w:val="20"/>
              </w:rPr>
              <w:t>se:</w:t>
            </w:r>
          </w:p>
        </w:tc>
      </w:tr>
      <w:tr w:rsidR="00C71885" w:rsidRPr="00617CD9" w:rsidTr="00D211DD">
        <w:tc>
          <w:tcPr>
            <w:tcW w:w="695" w:type="dxa"/>
          </w:tcPr>
          <w:p w:rsidR="00C71885" w:rsidRDefault="00C71885" w:rsidP="00C71885">
            <w:pPr>
              <w:pStyle w:val="Zkladntext"/>
              <w:spacing w:line="280" w:lineRule="exact"/>
              <w:rPr>
                <w:rFonts w:ascii="Tahoma" w:hAnsi="Tahoma" w:cs="Tahoma"/>
                <w:sz w:val="20"/>
              </w:rPr>
            </w:pPr>
          </w:p>
        </w:tc>
        <w:tc>
          <w:tcPr>
            <w:tcW w:w="421" w:type="dxa"/>
          </w:tcPr>
          <w:p w:rsidR="00C71885" w:rsidRDefault="00C71885" w:rsidP="00C71885">
            <w:pPr>
              <w:pStyle w:val="Zkladntext"/>
              <w:spacing w:line="280" w:lineRule="exact"/>
              <w:rPr>
                <w:rFonts w:ascii="Tahoma" w:hAnsi="Tahoma" w:cs="Tahoma"/>
                <w:sz w:val="20"/>
              </w:rPr>
            </w:pPr>
            <w:r>
              <w:rPr>
                <w:rFonts w:ascii="Tahoma" w:hAnsi="Tahoma" w:cs="Tahoma"/>
                <w:sz w:val="20"/>
              </w:rPr>
              <w:t>a)</w:t>
            </w:r>
          </w:p>
        </w:tc>
        <w:tc>
          <w:tcPr>
            <w:tcW w:w="8082" w:type="dxa"/>
            <w:gridSpan w:val="3"/>
          </w:tcPr>
          <w:p w:rsidR="00C71885" w:rsidRDefault="00C71885" w:rsidP="00C71885">
            <w:pPr>
              <w:pStyle w:val="Zkladntext"/>
              <w:spacing w:line="280" w:lineRule="exact"/>
              <w:rPr>
                <w:rFonts w:ascii="Tahoma" w:hAnsi="Tahoma" w:cs="Tahoma"/>
                <w:sz w:val="20"/>
              </w:rPr>
            </w:pPr>
            <w:r>
              <w:rPr>
                <w:rFonts w:ascii="Tahoma" w:hAnsi="Tahoma" w:cs="Tahoma"/>
                <w:sz w:val="20"/>
              </w:rPr>
              <w:t>v odst. 2 zrušuje písm. b)</w:t>
            </w:r>
          </w:p>
        </w:tc>
      </w:tr>
      <w:tr w:rsidR="00C71885" w:rsidRPr="00617CD9" w:rsidTr="00D211DD">
        <w:tc>
          <w:tcPr>
            <w:tcW w:w="695" w:type="dxa"/>
          </w:tcPr>
          <w:p w:rsidR="00C71885" w:rsidRDefault="00C71885" w:rsidP="00C71885">
            <w:pPr>
              <w:pStyle w:val="Zkladntext"/>
              <w:spacing w:line="280" w:lineRule="exact"/>
              <w:rPr>
                <w:rFonts w:ascii="Tahoma" w:hAnsi="Tahoma" w:cs="Tahoma"/>
                <w:sz w:val="20"/>
              </w:rPr>
            </w:pPr>
          </w:p>
        </w:tc>
        <w:tc>
          <w:tcPr>
            <w:tcW w:w="421" w:type="dxa"/>
          </w:tcPr>
          <w:p w:rsidR="00C71885" w:rsidRDefault="00C71885" w:rsidP="00C71885">
            <w:pPr>
              <w:pStyle w:val="Zkladntext"/>
              <w:spacing w:line="280" w:lineRule="exact"/>
              <w:rPr>
                <w:rFonts w:ascii="Tahoma" w:hAnsi="Tahoma" w:cs="Tahoma"/>
                <w:sz w:val="20"/>
              </w:rPr>
            </w:pPr>
            <w:r>
              <w:rPr>
                <w:rFonts w:ascii="Tahoma" w:hAnsi="Tahoma" w:cs="Tahoma"/>
                <w:sz w:val="20"/>
              </w:rPr>
              <w:t xml:space="preserve">b) </w:t>
            </w:r>
          </w:p>
        </w:tc>
        <w:tc>
          <w:tcPr>
            <w:tcW w:w="8082" w:type="dxa"/>
            <w:gridSpan w:val="3"/>
          </w:tcPr>
          <w:p w:rsidR="00C71885" w:rsidRDefault="00C71885" w:rsidP="00C71885">
            <w:pPr>
              <w:pStyle w:val="Zkladntext"/>
              <w:spacing w:line="280" w:lineRule="exact"/>
              <w:rPr>
                <w:rFonts w:ascii="Tahoma" w:hAnsi="Tahoma" w:cs="Tahoma"/>
                <w:sz w:val="20"/>
              </w:rPr>
            </w:pPr>
            <w:r>
              <w:rPr>
                <w:rFonts w:ascii="Tahoma" w:hAnsi="Tahoma" w:cs="Tahoma"/>
                <w:sz w:val="20"/>
              </w:rPr>
              <w:t>dosavadní odst. 2 písm. c) nově označuje jako odst. 2 písm. b)</w:t>
            </w:r>
          </w:p>
        </w:tc>
      </w:tr>
      <w:tr w:rsidR="00C71885" w:rsidRPr="00617CD9" w:rsidTr="000414D7">
        <w:tc>
          <w:tcPr>
            <w:tcW w:w="695" w:type="dxa"/>
          </w:tcPr>
          <w:p w:rsidR="00C71885" w:rsidRPr="00617CD9" w:rsidRDefault="00C71885" w:rsidP="00C71885">
            <w:pPr>
              <w:spacing w:after="0"/>
              <w:jc w:val="both"/>
              <w:rPr>
                <w:rFonts w:ascii="Tahoma" w:hAnsi="Tahoma" w:cs="Tahoma"/>
                <w:sz w:val="20"/>
                <w:szCs w:val="20"/>
              </w:rPr>
            </w:pPr>
            <w:r w:rsidRPr="00617CD9">
              <w:rPr>
                <w:rFonts w:ascii="Tahoma" w:hAnsi="Tahoma" w:cs="Tahoma"/>
                <w:sz w:val="20"/>
                <w:szCs w:val="20"/>
              </w:rPr>
              <w:t xml:space="preserve"> (</w:t>
            </w:r>
            <w:r>
              <w:rPr>
                <w:rFonts w:ascii="Tahoma" w:hAnsi="Tahoma" w:cs="Tahoma"/>
                <w:sz w:val="20"/>
                <w:szCs w:val="20"/>
              </w:rPr>
              <w:t>16</w:t>
            </w:r>
            <w:r w:rsidRPr="00617CD9">
              <w:rPr>
                <w:rFonts w:ascii="Tahoma" w:hAnsi="Tahoma" w:cs="Tahoma"/>
                <w:sz w:val="20"/>
                <w:szCs w:val="20"/>
              </w:rPr>
              <w:t>)</w:t>
            </w:r>
          </w:p>
        </w:tc>
        <w:tc>
          <w:tcPr>
            <w:tcW w:w="8503" w:type="dxa"/>
            <w:gridSpan w:val="4"/>
          </w:tcPr>
          <w:p w:rsidR="00C71885" w:rsidRPr="00617CD9" w:rsidRDefault="00C71885" w:rsidP="00C71885">
            <w:pPr>
              <w:spacing w:after="0"/>
              <w:jc w:val="both"/>
              <w:rPr>
                <w:rFonts w:ascii="Tahoma" w:hAnsi="Tahoma" w:cs="Tahoma"/>
                <w:sz w:val="20"/>
                <w:szCs w:val="20"/>
              </w:rPr>
            </w:pPr>
            <w:r w:rsidRPr="00617CD9">
              <w:rPr>
                <w:rFonts w:ascii="Tahoma" w:hAnsi="Tahoma" w:cs="Tahoma"/>
                <w:sz w:val="20"/>
                <w:szCs w:val="20"/>
              </w:rPr>
              <w:t>V čl. XX. „</w:t>
            </w:r>
            <w:r w:rsidRPr="00617CD9">
              <w:rPr>
                <w:rFonts w:ascii="Tahoma" w:hAnsi="Tahoma" w:cs="Tahoma"/>
                <w:b/>
                <w:sz w:val="20"/>
                <w:szCs w:val="20"/>
              </w:rPr>
              <w:t>Účinnost</w:t>
            </w:r>
            <w:r w:rsidRPr="00617CD9">
              <w:rPr>
                <w:rFonts w:ascii="Tahoma" w:hAnsi="Tahoma" w:cs="Tahoma"/>
                <w:sz w:val="20"/>
                <w:szCs w:val="20"/>
              </w:rPr>
              <w:t>“ se:</w:t>
            </w:r>
          </w:p>
        </w:tc>
      </w:tr>
      <w:tr w:rsidR="00C71885" w:rsidRPr="00617CD9" w:rsidTr="000414D7">
        <w:tc>
          <w:tcPr>
            <w:tcW w:w="695" w:type="dxa"/>
          </w:tcPr>
          <w:p w:rsidR="00C71885" w:rsidRPr="00617CD9" w:rsidRDefault="00C71885" w:rsidP="00C71885">
            <w:pPr>
              <w:spacing w:after="0"/>
              <w:jc w:val="both"/>
              <w:rPr>
                <w:rFonts w:ascii="Tahoma" w:hAnsi="Tahoma" w:cs="Tahoma"/>
                <w:sz w:val="20"/>
                <w:szCs w:val="20"/>
              </w:rPr>
            </w:pPr>
          </w:p>
        </w:tc>
        <w:tc>
          <w:tcPr>
            <w:tcW w:w="421" w:type="dxa"/>
          </w:tcPr>
          <w:p w:rsidR="00C71885" w:rsidRPr="00617CD9" w:rsidRDefault="00C71885" w:rsidP="00C71885">
            <w:pPr>
              <w:spacing w:after="0"/>
              <w:jc w:val="both"/>
              <w:rPr>
                <w:rFonts w:ascii="Tahoma" w:hAnsi="Tahoma" w:cs="Tahoma"/>
                <w:sz w:val="20"/>
                <w:szCs w:val="20"/>
              </w:rPr>
            </w:pPr>
            <w:r w:rsidRPr="00617CD9">
              <w:rPr>
                <w:rFonts w:ascii="Tahoma" w:hAnsi="Tahoma" w:cs="Tahoma"/>
                <w:sz w:val="20"/>
                <w:szCs w:val="20"/>
              </w:rPr>
              <w:t>a)</w:t>
            </w:r>
          </w:p>
        </w:tc>
        <w:tc>
          <w:tcPr>
            <w:tcW w:w="8082" w:type="dxa"/>
            <w:gridSpan w:val="3"/>
          </w:tcPr>
          <w:p w:rsidR="00C71885" w:rsidRPr="00617CD9" w:rsidRDefault="00C71885" w:rsidP="00C71885">
            <w:pPr>
              <w:spacing w:after="0"/>
              <w:jc w:val="both"/>
              <w:rPr>
                <w:rFonts w:ascii="Tahoma" w:hAnsi="Tahoma" w:cs="Tahoma"/>
                <w:sz w:val="20"/>
                <w:szCs w:val="20"/>
              </w:rPr>
            </w:pPr>
            <w:r w:rsidRPr="00617CD9">
              <w:rPr>
                <w:rFonts w:ascii="Tahoma" w:hAnsi="Tahoma" w:cs="Tahoma"/>
                <w:sz w:val="20"/>
                <w:szCs w:val="20"/>
              </w:rPr>
              <w:t xml:space="preserve">za odstavec </w:t>
            </w:r>
            <w:r>
              <w:rPr>
                <w:rFonts w:ascii="Tahoma" w:hAnsi="Tahoma" w:cs="Tahoma"/>
                <w:sz w:val="20"/>
                <w:szCs w:val="20"/>
              </w:rPr>
              <w:t>5</w:t>
            </w:r>
            <w:r w:rsidRPr="00617CD9">
              <w:rPr>
                <w:rFonts w:ascii="Tahoma" w:hAnsi="Tahoma" w:cs="Tahoma"/>
                <w:sz w:val="20"/>
                <w:szCs w:val="20"/>
              </w:rPr>
              <w:t xml:space="preserve"> vkládá nový odstavec </w:t>
            </w:r>
            <w:r>
              <w:rPr>
                <w:rFonts w:ascii="Tahoma" w:hAnsi="Tahoma" w:cs="Tahoma"/>
                <w:sz w:val="20"/>
                <w:szCs w:val="20"/>
              </w:rPr>
              <w:t>6</w:t>
            </w:r>
            <w:r w:rsidRPr="00617CD9">
              <w:rPr>
                <w:rFonts w:ascii="Tahoma" w:hAnsi="Tahoma" w:cs="Tahoma"/>
                <w:sz w:val="20"/>
                <w:szCs w:val="20"/>
              </w:rPr>
              <w:t xml:space="preserve">, který zní: </w:t>
            </w:r>
          </w:p>
        </w:tc>
      </w:tr>
      <w:tr w:rsidR="00C71885" w:rsidRPr="00617CD9" w:rsidTr="00F73250">
        <w:tc>
          <w:tcPr>
            <w:tcW w:w="695" w:type="dxa"/>
          </w:tcPr>
          <w:p w:rsidR="00C71885" w:rsidRPr="00617CD9" w:rsidRDefault="00C71885" w:rsidP="00C71885">
            <w:pPr>
              <w:spacing w:after="0"/>
              <w:jc w:val="both"/>
              <w:rPr>
                <w:rFonts w:ascii="Tahoma" w:hAnsi="Tahoma" w:cs="Tahoma"/>
                <w:sz w:val="20"/>
                <w:szCs w:val="20"/>
              </w:rPr>
            </w:pPr>
          </w:p>
        </w:tc>
        <w:tc>
          <w:tcPr>
            <w:tcW w:w="421" w:type="dxa"/>
          </w:tcPr>
          <w:p w:rsidR="00C71885" w:rsidRPr="00617CD9" w:rsidRDefault="00C71885" w:rsidP="00C71885">
            <w:pPr>
              <w:spacing w:after="0"/>
              <w:jc w:val="both"/>
              <w:rPr>
                <w:rFonts w:ascii="Tahoma" w:hAnsi="Tahoma" w:cs="Tahoma"/>
                <w:sz w:val="20"/>
                <w:szCs w:val="20"/>
              </w:rPr>
            </w:pPr>
          </w:p>
        </w:tc>
        <w:tc>
          <w:tcPr>
            <w:tcW w:w="722" w:type="dxa"/>
          </w:tcPr>
          <w:p w:rsidR="00C71885" w:rsidRPr="00617CD9" w:rsidRDefault="00C71885" w:rsidP="00C71885">
            <w:pPr>
              <w:spacing w:after="0"/>
              <w:jc w:val="both"/>
              <w:rPr>
                <w:rFonts w:ascii="Tahoma" w:hAnsi="Tahoma" w:cs="Tahoma"/>
                <w:sz w:val="20"/>
                <w:szCs w:val="20"/>
              </w:rPr>
            </w:pPr>
            <w:r w:rsidRPr="00617CD9">
              <w:rPr>
                <w:rFonts w:ascii="Tahoma" w:hAnsi="Tahoma" w:cs="Tahoma"/>
                <w:sz w:val="20"/>
                <w:szCs w:val="20"/>
              </w:rPr>
              <w:t>„</w:t>
            </w:r>
            <w:r>
              <w:rPr>
                <w:rFonts w:ascii="Tahoma" w:hAnsi="Tahoma" w:cs="Tahoma"/>
                <w:sz w:val="20"/>
                <w:szCs w:val="20"/>
              </w:rPr>
              <w:t>6</w:t>
            </w:r>
          </w:p>
        </w:tc>
        <w:tc>
          <w:tcPr>
            <w:tcW w:w="7360" w:type="dxa"/>
            <w:gridSpan w:val="2"/>
          </w:tcPr>
          <w:p w:rsidR="00C71885" w:rsidRPr="00617CD9" w:rsidRDefault="00C71885" w:rsidP="00C71885">
            <w:pPr>
              <w:spacing w:after="0"/>
              <w:jc w:val="both"/>
              <w:rPr>
                <w:rFonts w:ascii="Tahoma" w:hAnsi="Tahoma" w:cs="Tahoma"/>
                <w:sz w:val="20"/>
                <w:szCs w:val="20"/>
              </w:rPr>
            </w:pPr>
            <w:r w:rsidRPr="00617CD9">
              <w:rPr>
                <w:rFonts w:ascii="Tahoma" w:hAnsi="Tahoma" w:cs="Tahoma"/>
                <w:sz w:val="20"/>
                <w:szCs w:val="20"/>
              </w:rPr>
              <w:t xml:space="preserve">Dodatek č. </w:t>
            </w:r>
            <w:r>
              <w:rPr>
                <w:rFonts w:ascii="Tahoma" w:hAnsi="Tahoma" w:cs="Tahoma"/>
                <w:sz w:val="20"/>
                <w:szCs w:val="20"/>
              </w:rPr>
              <w:t>5</w:t>
            </w:r>
            <w:r w:rsidRPr="00617CD9">
              <w:rPr>
                <w:rFonts w:ascii="Tahoma" w:hAnsi="Tahoma" w:cs="Tahoma"/>
                <w:sz w:val="20"/>
                <w:szCs w:val="20"/>
              </w:rPr>
              <w:t xml:space="preserve"> Podmínek byl schválen usnesením Zastupitelstva Moravskoslezského kraje č. ……… ze dne </w:t>
            </w:r>
            <w:r>
              <w:rPr>
                <w:rFonts w:ascii="Tahoma" w:hAnsi="Tahoma" w:cs="Tahoma"/>
                <w:sz w:val="20"/>
                <w:szCs w:val="20"/>
              </w:rPr>
              <w:t xml:space="preserve">3. 9. 2020 </w:t>
            </w:r>
            <w:r w:rsidRPr="00617CD9">
              <w:rPr>
                <w:rFonts w:ascii="Tahoma" w:hAnsi="Tahoma" w:cs="Tahoma"/>
                <w:sz w:val="20"/>
                <w:szCs w:val="20"/>
              </w:rPr>
              <w:t>a nabývá účinnosti ode dne</w:t>
            </w:r>
            <w:r>
              <w:rPr>
                <w:rFonts w:ascii="Tahoma" w:hAnsi="Tahoma" w:cs="Tahoma"/>
                <w:sz w:val="20"/>
                <w:szCs w:val="20"/>
              </w:rPr>
              <w:t xml:space="preserve"> 3. 9. 2020</w:t>
            </w:r>
            <w:r w:rsidRPr="00617CD9">
              <w:rPr>
                <w:rFonts w:ascii="Tahoma" w:hAnsi="Tahoma" w:cs="Tahoma"/>
                <w:sz w:val="20"/>
                <w:szCs w:val="20"/>
              </w:rPr>
              <w:t>“.</w:t>
            </w:r>
          </w:p>
        </w:tc>
      </w:tr>
      <w:tr w:rsidR="00C71885" w:rsidRPr="00617CD9" w:rsidTr="000414D7">
        <w:tc>
          <w:tcPr>
            <w:tcW w:w="695" w:type="dxa"/>
          </w:tcPr>
          <w:p w:rsidR="00C71885" w:rsidRPr="00617CD9" w:rsidRDefault="00C71885" w:rsidP="00C71885">
            <w:pPr>
              <w:pStyle w:val="Zkladntext"/>
              <w:spacing w:line="280" w:lineRule="exact"/>
              <w:jc w:val="center"/>
              <w:rPr>
                <w:rFonts w:ascii="Tahoma" w:hAnsi="Tahoma" w:cs="Tahoma"/>
                <w:sz w:val="20"/>
              </w:rPr>
            </w:pPr>
            <w:r w:rsidRPr="00617CD9">
              <w:rPr>
                <w:rFonts w:ascii="Tahoma" w:hAnsi="Tahoma" w:cs="Tahoma"/>
                <w:sz w:val="20"/>
              </w:rPr>
              <w:t>(</w:t>
            </w:r>
            <w:r>
              <w:rPr>
                <w:rFonts w:ascii="Tahoma" w:hAnsi="Tahoma" w:cs="Tahoma"/>
                <w:sz w:val="20"/>
              </w:rPr>
              <w:t>17</w:t>
            </w:r>
            <w:r w:rsidRPr="00617CD9">
              <w:rPr>
                <w:rFonts w:ascii="Tahoma" w:hAnsi="Tahoma" w:cs="Tahoma"/>
                <w:sz w:val="20"/>
              </w:rPr>
              <w:t>)</w:t>
            </w:r>
          </w:p>
        </w:tc>
        <w:tc>
          <w:tcPr>
            <w:tcW w:w="8503" w:type="dxa"/>
            <w:gridSpan w:val="4"/>
          </w:tcPr>
          <w:p w:rsidR="00C71885" w:rsidRPr="00617CD9" w:rsidRDefault="00C71885" w:rsidP="00C71885">
            <w:pPr>
              <w:spacing w:after="0" w:line="276" w:lineRule="auto"/>
              <w:jc w:val="both"/>
              <w:rPr>
                <w:rFonts w:ascii="Tahoma" w:eastAsia="Calibri" w:hAnsi="Tahoma" w:cs="Tahoma"/>
                <w:b/>
                <w:sz w:val="20"/>
                <w:szCs w:val="20"/>
              </w:rPr>
            </w:pPr>
            <w:r w:rsidRPr="00CB3ACC">
              <w:rPr>
                <w:rFonts w:ascii="Tahoma" w:hAnsi="Tahoma" w:cs="Tahoma"/>
                <w:sz w:val="20"/>
                <w:szCs w:val="20"/>
              </w:rPr>
              <w:t xml:space="preserve">Příloha č. 1 Podmínek </w:t>
            </w:r>
            <w:r w:rsidRPr="00CB3ACC">
              <w:rPr>
                <w:rFonts w:ascii="Tahoma" w:hAnsi="Tahoma" w:cs="Tahoma"/>
                <w:b/>
                <w:bCs/>
                <w:sz w:val="20"/>
                <w:szCs w:val="20"/>
              </w:rPr>
              <w:t>„Mechanismus posuzování veřejné podpory a výpočtu vyrovnávací platby k financování sociálních služeb v Moravskoslezském kraji“</w:t>
            </w:r>
            <w:r w:rsidRPr="00CB3ACC">
              <w:rPr>
                <w:rFonts w:ascii="Tahoma" w:hAnsi="Tahoma" w:cs="Tahoma"/>
                <w:sz w:val="20"/>
                <w:szCs w:val="20"/>
              </w:rPr>
              <w:t xml:space="preserve"> se nahrazuje novou přílohou, která je nedílnou součástí tohoto dodatku.</w:t>
            </w:r>
          </w:p>
        </w:tc>
      </w:tr>
    </w:tbl>
    <w:p w:rsidR="00654E2C" w:rsidRPr="00617CD9" w:rsidRDefault="00654E2C" w:rsidP="00654E2C">
      <w:pPr>
        <w:jc w:val="center"/>
        <w:rPr>
          <w:rFonts w:ascii="Tahoma" w:hAnsi="Tahoma" w:cs="Tahoma"/>
          <w:b/>
          <w:sz w:val="20"/>
          <w:szCs w:val="20"/>
        </w:rPr>
      </w:pPr>
    </w:p>
    <w:p w:rsidR="0088411A" w:rsidRPr="00617CD9" w:rsidRDefault="0088411A" w:rsidP="00654E2C">
      <w:pPr>
        <w:pStyle w:val="Nadpis3"/>
        <w:rPr>
          <w:rFonts w:ascii="Tahoma" w:hAnsi="Tahoma" w:cs="Tahoma"/>
          <w:sz w:val="20"/>
          <w:szCs w:val="20"/>
        </w:rPr>
      </w:pPr>
    </w:p>
    <w:p w:rsidR="00654E2C" w:rsidRPr="00617CD9" w:rsidRDefault="00654E2C" w:rsidP="00654E2C">
      <w:pPr>
        <w:pStyle w:val="Nadpis3"/>
        <w:rPr>
          <w:rFonts w:ascii="Tahoma" w:eastAsia="Arial Unicode MS" w:hAnsi="Tahoma" w:cs="Tahoma"/>
          <w:b w:val="0"/>
          <w:bCs w:val="0"/>
          <w:sz w:val="20"/>
          <w:szCs w:val="20"/>
        </w:rPr>
      </w:pPr>
      <w:r w:rsidRPr="00617CD9">
        <w:rPr>
          <w:rFonts w:ascii="Tahoma" w:hAnsi="Tahoma" w:cs="Tahoma"/>
          <w:sz w:val="20"/>
          <w:szCs w:val="20"/>
        </w:rPr>
        <w:t>Čl. II</w:t>
      </w:r>
    </w:p>
    <w:p w:rsidR="00654E2C" w:rsidRPr="00617CD9" w:rsidRDefault="00654E2C" w:rsidP="00654E2C">
      <w:pPr>
        <w:pStyle w:val="Nadpis3"/>
        <w:rPr>
          <w:rFonts w:ascii="Tahoma" w:hAnsi="Tahoma" w:cs="Tahoma"/>
          <w:sz w:val="20"/>
          <w:szCs w:val="20"/>
        </w:rPr>
      </w:pPr>
      <w:r w:rsidRPr="00617CD9">
        <w:rPr>
          <w:rFonts w:ascii="Tahoma" w:hAnsi="Tahoma" w:cs="Tahoma"/>
          <w:sz w:val="20"/>
          <w:szCs w:val="20"/>
        </w:rPr>
        <w:t>Účinnost</w:t>
      </w:r>
    </w:p>
    <w:p w:rsidR="00654E2C" w:rsidRPr="00617CD9" w:rsidRDefault="00654E2C" w:rsidP="00654E2C">
      <w:pPr>
        <w:rPr>
          <w:rFonts w:ascii="Tahoma" w:hAnsi="Tahoma" w:cs="Tahoma"/>
          <w:sz w:val="20"/>
          <w:szCs w:val="20"/>
        </w:rPr>
      </w:pPr>
    </w:p>
    <w:tbl>
      <w:tblPr>
        <w:tblW w:w="0" w:type="auto"/>
        <w:tblCellMar>
          <w:left w:w="70" w:type="dxa"/>
          <w:right w:w="70" w:type="dxa"/>
        </w:tblCellMar>
        <w:tblLook w:val="0000" w:firstRow="0" w:lastRow="0" w:firstColumn="0" w:lastColumn="0" w:noHBand="0" w:noVBand="0"/>
      </w:tblPr>
      <w:tblGrid>
        <w:gridCol w:w="9072"/>
      </w:tblGrid>
      <w:tr w:rsidR="00654E2C" w:rsidRPr="00617CD9" w:rsidTr="00076D3D">
        <w:trPr>
          <w:cantSplit/>
        </w:trPr>
        <w:tc>
          <w:tcPr>
            <w:tcW w:w="9210" w:type="dxa"/>
          </w:tcPr>
          <w:p w:rsidR="00654E2C" w:rsidRPr="00617CD9" w:rsidRDefault="00654E2C" w:rsidP="00CB3ACC">
            <w:pPr>
              <w:pStyle w:val="Zkladntext"/>
              <w:rPr>
                <w:rFonts w:ascii="Tahoma" w:hAnsi="Tahoma" w:cs="Tahoma"/>
                <w:sz w:val="20"/>
              </w:rPr>
            </w:pPr>
            <w:r w:rsidRPr="00617CD9">
              <w:rPr>
                <w:rFonts w:ascii="Tahoma" w:hAnsi="Tahoma" w:cs="Tahoma"/>
                <w:sz w:val="20"/>
              </w:rPr>
              <w:t xml:space="preserve">Dodatek č. </w:t>
            </w:r>
            <w:r w:rsidR="00CB3ACC">
              <w:rPr>
                <w:rFonts w:ascii="Tahoma" w:hAnsi="Tahoma" w:cs="Tahoma"/>
                <w:sz w:val="20"/>
              </w:rPr>
              <w:t>5</w:t>
            </w:r>
            <w:r w:rsidRPr="00617CD9">
              <w:rPr>
                <w:rFonts w:ascii="Tahoma" w:hAnsi="Tahoma" w:cs="Tahoma"/>
                <w:sz w:val="20"/>
              </w:rPr>
              <w:t xml:space="preserve"> Podmínek dotačního Programu na podporu poskytování sociálních služeb </w:t>
            </w:r>
            <w:r w:rsidR="00977A34">
              <w:rPr>
                <w:rFonts w:ascii="Tahoma" w:hAnsi="Tahoma" w:cs="Tahoma"/>
                <w:sz w:val="20"/>
              </w:rPr>
              <w:t xml:space="preserve">a způsobu rozdělení a čerpání dotace </w:t>
            </w:r>
            <w:r w:rsidRPr="00617CD9">
              <w:rPr>
                <w:rFonts w:ascii="Tahoma" w:hAnsi="Tahoma" w:cs="Tahoma"/>
                <w:sz w:val="20"/>
              </w:rPr>
              <w:t xml:space="preserve">z kapitoly 313 – MPSV </w:t>
            </w:r>
            <w:r w:rsidR="00977A34">
              <w:rPr>
                <w:rFonts w:ascii="Tahoma" w:hAnsi="Tahoma" w:cs="Tahoma"/>
                <w:sz w:val="20"/>
              </w:rPr>
              <w:t xml:space="preserve">státního rozpočtu </w:t>
            </w:r>
            <w:r w:rsidRPr="00617CD9">
              <w:rPr>
                <w:rFonts w:ascii="Tahoma" w:hAnsi="Tahoma" w:cs="Tahoma"/>
                <w:sz w:val="20"/>
              </w:rPr>
              <w:t xml:space="preserve">schválilo zastupitelstvo </w:t>
            </w:r>
            <w:r w:rsidR="00C46DE8" w:rsidRPr="00617CD9">
              <w:rPr>
                <w:rFonts w:ascii="Tahoma" w:hAnsi="Tahoma" w:cs="Tahoma"/>
                <w:sz w:val="20"/>
              </w:rPr>
              <w:t xml:space="preserve">kraje usnesením …………. </w:t>
            </w:r>
            <w:r w:rsidR="00CB3ACC" w:rsidRPr="00CB3ACC">
              <w:rPr>
                <w:rFonts w:ascii="Tahoma" w:hAnsi="Tahoma" w:cs="Tahoma"/>
                <w:sz w:val="20"/>
              </w:rPr>
              <w:t>ze dne 3. 9. 2020</w:t>
            </w:r>
            <w:r w:rsidR="00CB3ACC">
              <w:rPr>
                <w:rFonts w:ascii="Tahoma" w:hAnsi="Tahoma" w:cs="Tahoma"/>
                <w:sz w:val="20"/>
              </w:rPr>
              <w:t xml:space="preserve"> </w:t>
            </w:r>
            <w:r w:rsidR="00CB3ACC" w:rsidRPr="00CB3ACC">
              <w:rPr>
                <w:rFonts w:ascii="Tahoma" w:hAnsi="Tahoma" w:cs="Tahoma"/>
                <w:sz w:val="20"/>
              </w:rPr>
              <w:t>s účinností ode dne 3. 9. 2020</w:t>
            </w:r>
            <w:r w:rsidR="00CB3ACC">
              <w:rPr>
                <w:rFonts w:ascii="Tahoma" w:hAnsi="Tahoma" w:cs="Tahoma"/>
                <w:sz w:val="20"/>
              </w:rPr>
              <w:t>.</w:t>
            </w:r>
          </w:p>
        </w:tc>
      </w:tr>
    </w:tbl>
    <w:p w:rsidR="00654E2C" w:rsidRDefault="00654E2C" w:rsidP="00617CD9">
      <w:pPr>
        <w:pStyle w:val="Zkladntext"/>
        <w:rPr>
          <w:rFonts w:ascii="Tahoma" w:hAnsi="Tahoma" w:cs="Tahoma"/>
          <w:sz w:val="20"/>
        </w:rPr>
      </w:pPr>
      <w:r w:rsidRPr="00617CD9">
        <w:rPr>
          <w:rFonts w:ascii="Tahoma" w:hAnsi="Tahoma" w:cs="Tahoma"/>
          <w:sz w:val="20"/>
        </w:rPr>
        <w:t xml:space="preserve"> </w:t>
      </w:r>
    </w:p>
    <w:p w:rsidR="00953CF1" w:rsidRPr="00617CD9" w:rsidRDefault="00953CF1" w:rsidP="00617CD9">
      <w:pPr>
        <w:pStyle w:val="Zkladntext"/>
        <w:rPr>
          <w:rFonts w:ascii="Tahoma" w:hAnsi="Tahoma" w:cs="Tahoma"/>
          <w:sz w:val="20"/>
        </w:rPr>
      </w:pPr>
    </w:p>
    <w:p w:rsidR="00654E2C" w:rsidRDefault="00654E2C" w:rsidP="00654E2C">
      <w:pPr>
        <w:pStyle w:val="Zkladntext"/>
        <w:rPr>
          <w:rFonts w:ascii="Tahoma" w:hAnsi="Tahoma" w:cs="Tahoma"/>
          <w:sz w:val="20"/>
        </w:rPr>
      </w:pPr>
      <w:r w:rsidRPr="00617CD9">
        <w:rPr>
          <w:rFonts w:ascii="Tahoma" w:hAnsi="Tahoma" w:cs="Tahoma"/>
          <w:sz w:val="20"/>
          <w:u w:val="single"/>
        </w:rPr>
        <w:t>Zpracoval</w:t>
      </w:r>
      <w:r w:rsidRPr="00617CD9">
        <w:rPr>
          <w:rFonts w:ascii="Tahoma" w:hAnsi="Tahoma" w:cs="Tahoma"/>
          <w:sz w:val="20"/>
        </w:rPr>
        <w:t>: odbor sociálních věcí</w:t>
      </w:r>
    </w:p>
    <w:p w:rsidR="00CB3ACC" w:rsidRDefault="00CB3ACC" w:rsidP="00654E2C">
      <w:pPr>
        <w:pStyle w:val="Zkladntext"/>
        <w:rPr>
          <w:rFonts w:ascii="Tahoma" w:hAnsi="Tahoma" w:cs="Tahoma"/>
          <w:sz w:val="20"/>
        </w:rPr>
      </w:pPr>
    </w:p>
    <w:p w:rsidR="00CB3ACC" w:rsidRDefault="00CB3ACC" w:rsidP="00654E2C">
      <w:pPr>
        <w:pStyle w:val="Zkladntext"/>
        <w:rPr>
          <w:rFonts w:ascii="Tahoma" w:hAnsi="Tahoma" w:cs="Tahoma"/>
          <w:sz w:val="20"/>
        </w:rPr>
      </w:pPr>
    </w:p>
    <w:p w:rsidR="00CB3ACC" w:rsidRDefault="00CB3ACC" w:rsidP="00654E2C">
      <w:pPr>
        <w:pStyle w:val="Zkladntext"/>
        <w:rPr>
          <w:rFonts w:ascii="Tahoma" w:hAnsi="Tahoma" w:cs="Tahoma"/>
          <w:sz w:val="20"/>
        </w:rPr>
      </w:pPr>
    </w:p>
    <w:p w:rsidR="00CB3ACC" w:rsidRDefault="00CB3ACC" w:rsidP="00654E2C">
      <w:pPr>
        <w:pStyle w:val="Zkladntext"/>
        <w:rPr>
          <w:rFonts w:ascii="Tahoma" w:hAnsi="Tahoma" w:cs="Tahoma"/>
          <w:sz w:val="20"/>
        </w:rPr>
      </w:pPr>
    </w:p>
    <w:p w:rsidR="00CB3ACC" w:rsidRDefault="00CB3ACC" w:rsidP="00654E2C">
      <w:pPr>
        <w:pStyle w:val="Zkladntext"/>
        <w:rPr>
          <w:rFonts w:ascii="Tahoma" w:hAnsi="Tahoma" w:cs="Tahoma"/>
          <w:sz w:val="20"/>
        </w:rPr>
      </w:pPr>
    </w:p>
    <w:p w:rsidR="00CB3ACC" w:rsidRDefault="00CB3ACC" w:rsidP="00654E2C">
      <w:pPr>
        <w:pStyle w:val="Zkladntext"/>
        <w:rPr>
          <w:rFonts w:ascii="Tahoma" w:hAnsi="Tahoma" w:cs="Tahoma"/>
          <w:sz w:val="20"/>
        </w:rPr>
      </w:pPr>
    </w:p>
    <w:p w:rsidR="00CB3ACC" w:rsidRDefault="00CB3ACC" w:rsidP="00654E2C">
      <w:pPr>
        <w:pStyle w:val="Zkladntext"/>
        <w:rPr>
          <w:rFonts w:ascii="Tahoma" w:hAnsi="Tahoma" w:cs="Tahoma"/>
          <w:sz w:val="20"/>
        </w:rPr>
      </w:pPr>
    </w:p>
    <w:p w:rsidR="00CB3ACC" w:rsidRDefault="00CB3ACC" w:rsidP="00654E2C">
      <w:pPr>
        <w:pStyle w:val="Zkladntext"/>
        <w:rPr>
          <w:rFonts w:ascii="Tahoma" w:hAnsi="Tahoma" w:cs="Tahoma"/>
          <w:sz w:val="20"/>
        </w:rPr>
      </w:pPr>
    </w:p>
    <w:p w:rsidR="00CB3ACC" w:rsidRDefault="00CB3ACC" w:rsidP="00654E2C">
      <w:pPr>
        <w:pStyle w:val="Zkladntext"/>
        <w:rPr>
          <w:rFonts w:ascii="Tahoma" w:hAnsi="Tahoma" w:cs="Tahoma"/>
          <w:sz w:val="20"/>
        </w:rPr>
      </w:pPr>
    </w:p>
    <w:p w:rsidR="00CB3ACC" w:rsidRDefault="00CB3ACC" w:rsidP="00654E2C">
      <w:pPr>
        <w:pStyle w:val="Zkladntext"/>
        <w:rPr>
          <w:rFonts w:ascii="Tahoma" w:hAnsi="Tahoma" w:cs="Tahoma"/>
          <w:sz w:val="20"/>
        </w:rPr>
      </w:pPr>
    </w:p>
    <w:p w:rsidR="00CB3ACC" w:rsidRPr="003B2F27" w:rsidRDefault="00CB3ACC" w:rsidP="00CB3ACC">
      <w:pPr>
        <w:suppressAutoHyphens/>
        <w:spacing w:after="0" w:line="240" w:lineRule="auto"/>
        <w:jc w:val="right"/>
        <w:rPr>
          <w:rFonts w:eastAsia="Calibri" w:cs="Tahoma"/>
          <w:b/>
          <w:color w:val="000000"/>
          <w:szCs w:val="20"/>
        </w:rPr>
      </w:pPr>
      <w:r w:rsidRPr="003B2F27">
        <w:rPr>
          <w:rFonts w:eastAsia="Calibri" w:cs="Tahoma"/>
          <w:b/>
          <w:color w:val="000000"/>
          <w:szCs w:val="20"/>
        </w:rPr>
        <w:lastRenderedPageBreak/>
        <w:t>Příloha č. 1 Podmínek</w:t>
      </w:r>
    </w:p>
    <w:p w:rsidR="00CB3ACC" w:rsidRDefault="00CB3ACC" w:rsidP="00CB3ACC">
      <w:pPr>
        <w:spacing w:line="276" w:lineRule="auto"/>
        <w:jc w:val="center"/>
        <w:rPr>
          <w:rFonts w:eastAsia="Calibri" w:cs="Tahoma"/>
          <w:b/>
          <w:color w:val="000000"/>
          <w:szCs w:val="20"/>
        </w:rPr>
      </w:pPr>
    </w:p>
    <w:p w:rsidR="00CB3ACC" w:rsidRPr="00953CF1" w:rsidRDefault="00CB3ACC" w:rsidP="00CB3ACC">
      <w:pPr>
        <w:spacing w:line="276" w:lineRule="auto"/>
        <w:jc w:val="center"/>
        <w:rPr>
          <w:rFonts w:ascii="Tahoma" w:eastAsia="Calibri" w:hAnsi="Tahoma" w:cs="Tahoma"/>
          <w:b/>
          <w:color w:val="000000"/>
          <w:sz w:val="20"/>
          <w:szCs w:val="20"/>
        </w:rPr>
      </w:pPr>
      <w:r w:rsidRPr="00953CF1">
        <w:rPr>
          <w:rFonts w:ascii="Tahoma" w:eastAsia="Calibri" w:hAnsi="Tahoma" w:cs="Tahoma"/>
          <w:b/>
          <w:color w:val="000000"/>
          <w:sz w:val="20"/>
          <w:szCs w:val="20"/>
        </w:rPr>
        <w:t>Mechanismus posuzování veřejné podpory a výpočtu vyrovnávací platby k financování sociálních služeb v Moravskoslezském kraji</w:t>
      </w:r>
    </w:p>
    <w:p w:rsidR="00CB3ACC" w:rsidRPr="00953CF1" w:rsidRDefault="00CB3ACC" w:rsidP="00CB3ACC">
      <w:pPr>
        <w:spacing w:after="0" w:line="276" w:lineRule="auto"/>
        <w:jc w:val="center"/>
        <w:rPr>
          <w:rFonts w:ascii="Tahoma" w:eastAsia="Calibri" w:hAnsi="Tahoma" w:cs="Tahoma"/>
          <w:b/>
          <w:color w:val="000000"/>
          <w:sz w:val="20"/>
          <w:szCs w:val="20"/>
        </w:rPr>
      </w:pP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w:t>
      </w:r>
      <w:proofErr w:type="spellStart"/>
      <w:r w:rsidRPr="00953CF1">
        <w:rPr>
          <w:rFonts w:ascii="Tahoma" w:eastAsia="Calibri" w:hAnsi="Tahoma" w:cs="Tahoma"/>
          <w:color w:val="000000"/>
          <w:sz w:val="20"/>
          <w:szCs w:val="20"/>
        </w:rPr>
        <w:t>TEh</w:t>
      </w:r>
      <w:proofErr w:type="spellEnd"/>
      <w:r w:rsidRPr="00953CF1">
        <w:rPr>
          <w:rFonts w:ascii="Tahoma" w:eastAsia="Calibri" w:hAnsi="Tahoma" w:cs="Tahoma"/>
          <w:color w:val="000000"/>
          <w:sz w:val="20"/>
          <w:szCs w:val="20"/>
        </w:rPr>
        <w:t xml:space="preserve">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w:t>
      </w:r>
      <w:proofErr w:type="spellStart"/>
      <w:r w:rsidRPr="00953CF1">
        <w:rPr>
          <w:rFonts w:ascii="Tahoma" w:eastAsia="Calibri" w:hAnsi="Tahoma" w:cs="Tahoma"/>
          <w:color w:val="000000"/>
          <w:sz w:val="20"/>
          <w:szCs w:val="20"/>
        </w:rPr>
        <w:t>ko</w:t>
      </w:r>
      <w:proofErr w:type="spellEnd"/>
      <w:r w:rsidRPr="00953CF1">
        <w:rPr>
          <w:rFonts w:ascii="Tahoma" w:eastAsia="Calibri" w:hAnsi="Tahoma" w:cs="Tahoma"/>
          <w:color w:val="000000"/>
          <w:sz w:val="20"/>
          <w:szCs w:val="20"/>
        </w:rPr>
        <w:t>)financovány z veřejných zdrojů. Způsob podpory z veřejných zdrojů je možný v zásadě třemi způsoby: prostřednictvím veřejné zakázky s otevřeným zadávacím řízením, v režimu „de minimis“ (případně „de minimis“ pro služby v obecném hospodářském zájmu) a formou vyrovnávací platby. V případě veřejné zakázky a podpory v režimu „de minimis“ se nejedná o veřejnou podporu (není narušeno konkurenční prostředí na trzích). V případě vyrovnávací platby se jedná o veřejnou podporu slučitelnou se společným trhem EU, jejíž výše není za splnění dále stanovených podmínek omezena.</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Účelem výpočtu a vypořádání vyrovnávací platby je zabezpečení kontinuálního poskytování sociálních služeb a zároveň zamezení jejich nadměrného financování z veřejných rozpočtů (se zohledněním vícezdrojového financování sociálních služeb, jak z veřejných, tak i ze soukromých zdrojů).</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Dle Rozhodnutí Komise výše vyrovnávací platby nesmí přesáhnout rozsah nezbytný k pokrytí čistých nákladů vynaložených při plnění závazku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Předpokladem pro systém financování prostřednictvím vyrovnávací platby je vymezená Krajská 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 Konkrétní postup pro vypořádání vyrovnávací platby a případný odvod nadměrné vyrovnávací platby bude stanoven při vyhlášení Programu na příslušný rok a bude součástí ustanovení smlouvy o poskytnutí dotace z rozpočtu Moravskoslezského kraje.</w:t>
      </w:r>
    </w:p>
    <w:p w:rsidR="00CB3ACC" w:rsidRPr="00953CF1" w:rsidRDefault="00CB3ACC" w:rsidP="00CB3ACC">
      <w:pPr>
        <w:keepNext/>
        <w:keepLines/>
        <w:numPr>
          <w:ilvl w:val="0"/>
          <w:numId w:val="8"/>
        </w:numPr>
        <w:spacing w:before="120" w:after="120" w:line="276" w:lineRule="auto"/>
        <w:ind w:left="284" w:hanging="284"/>
        <w:outlineLvl w:val="0"/>
        <w:rPr>
          <w:rFonts w:ascii="Tahoma" w:eastAsia="Times New Roman" w:hAnsi="Tahoma" w:cs="Tahoma"/>
          <w:b/>
          <w:bCs/>
          <w:color w:val="000000"/>
          <w:sz w:val="20"/>
          <w:szCs w:val="20"/>
        </w:rPr>
      </w:pPr>
      <w:r w:rsidRPr="00953CF1">
        <w:rPr>
          <w:rFonts w:ascii="Tahoma" w:eastAsia="Times New Roman" w:hAnsi="Tahoma" w:cs="Tahoma"/>
          <w:b/>
          <w:bCs/>
          <w:color w:val="000000"/>
          <w:sz w:val="20"/>
          <w:szCs w:val="20"/>
        </w:rPr>
        <w:t>Provozní náklady služby</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 xml:space="preserve">Dle pravidel EU musí být stanovena pro každou pověřenou sociální službu maximální výše vyrovnávací platby. Maximální výši vyrovnávací platby představuje maximální výše oprávněných provozních nákladů, která je stanovena pro daný dotační rok za účelem zabezpečení adekvátního poskytování sociální služby. Stanovení těchto nákladů slouží k jednotnému nediskriminujícímu výpočtu pro všechny poskytovatele sociálních služeb bez ohledu na jejich právní formu. </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 xml:space="preserve">Náklady uznatelnými pro výpočet vyrovnávací platby se rozumí veškeré náklady na poskytování sociálních služeb, kterými byl poskytovatel pověřen v rámci závazku veřejné služby. Pokud tedy </w:t>
      </w:r>
      <w:r w:rsidRPr="00953CF1">
        <w:rPr>
          <w:rFonts w:ascii="Tahoma" w:eastAsia="Calibri" w:hAnsi="Tahoma" w:cs="Tahoma"/>
          <w:color w:val="000000"/>
          <w:sz w:val="20"/>
          <w:szCs w:val="20"/>
        </w:rPr>
        <w:lastRenderedPageBreak/>
        <w:t xml:space="preserve">poskytovatel vykonává i jiné činnosti (nad rámec pověření), náklady spojené s touto činností se při výpočtu vyrovnávací platby neuplatní. </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 xml:space="preserve">Konkrétní částky maximální výše oprávněných provozních nákladů pro jednotlivé druhy služeb stanoví rada kraje při vyhlášení Programu na daný rok. Náklady jsou stanoveny na jednotku služby, přičemž u pobytových služeb se jedná o lůžko, u terénních a ambulantních o přepočtený úvazek pracovníka v přímé péči (v případě služeb s kombinovanou formou poskytování se jednotka služby stanoví dle převažující formy poskytování sociální služby uvedené v Krajské síti, tj. dle počtu úvazků v přímé péči u ambulantní nebo terénní formy a dle počtu lůžek u pobytové formy poskytování sociální služby). Při výpočtu maximální výše oprávněných provozních nákladů se vychází z kapacit stanovených </w:t>
      </w:r>
      <w:r w:rsidRPr="00953CF1">
        <w:rPr>
          <w:rFonts w:ascii="Tahoma" w:eastAsia="Calibri" w:hAnsi="Tahoma" w:cs="Tahoma"/>
          <w:sz w:val="20"/>
          <w:szCs w:val="20"/>
        </w:rPr>
        <w:t>v Krajské síti sociálních služeb</w:t>
      </w:r>
      <w:r w:rsidRPr="00953CF1">
        <w:rPr>
          <w:rFonts w:ascii="Tahoma" w:eastAsia="Calibri" w:hAnsi="Tahoma" w:cs="Tahoma"/>
          <w:color w:val="000000"/>
          <w:sz w:val="20"/>
          <w:szCs w:val="20"/>
        </w:rPr>
        <w:t>, přičemž přepočtené úvazky uvedené v </w:t>
      </w:r>
      <w:r w:rsidRPr="00953CF1">
        <w:rPr>
          <w:rFonts w:ascii="Tahoma" w:eastAsia="Calibri" w:hAnsi="Tahoma" w:cs="Tahoma"/>
          <w:sz w:val="20"/>
          <w:szCs w:val="20"/>
        </w:rPr>
        <w:t>Krajské síti sociálních služeb se násobí koeficientem 1,2 z důvodu možného naplnění schválené kapacity sítě na</w:t>
      </w:r>
      <w:r w:rsidRPr="00953CF1">
        <w:rPr>
          <w:rFonts w:ascii="Tahoma" w:eastAsia="Calibri" w:hAnsi="Tahoma" w:cs="Tahoma"/>
          <w:color w:val="000000"/>
          <w:sz w:val="20"/>
          <w:szCs w:val="20"/>
        </w:rPr>
        <w:t xml:space="preserve"> 120 %.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2"/>
        <w:gridCol w:w="4463"/>
      </w:tblGrid>
      <w:tr w:rsidR="00CB3ACC" w:rsidRPr="00953CF1" w:rsidTr="003604A3">
        <w:trPr>
          <w:trHeight w:val="600"/>
        </w:trPr>
        <w:tc>
          <w:tcPr>
            <w:tcW w:w="2519" w:type="pct"/>
            <w:shd w:val="clear" w:color="000000" w:fill="D9D9D9"/>
            <w:vAlign w:val="center"/>
            <w:hideMark/>
          </w:tcPr>
          <w:p w:rsidR="00CB3ACC" w:rsidRPr="00953CF1" w:rsidRDefault="00CB3ACC" w:rsidP="003604A3">
            <w:pPr>
              <w:jc w:val="center"/>
              <w:rPr>
                <w:rFonts w:ascii="Tahoma" w:eastAsia="Times New Roman" w:hAnsi="Tahoma" w:cs="Tahoma"/>
                <w:b/>
                <w:bCs/>
                <w:color w:val="000000"/>
                <w:sz w:val="20"/>
                <w:szCs w:val="20"/>
                <w:lang w:eastAsia="cs-CZ"/>
              </w:rPr>
            </w:pPr>
            <w:r w:rsidRPr="00953CF1">
              <w:rPr>
                <w:rFonts w:ascii="Tahoma" w:eastAsia="Calibri" w:hAnsi="Tahoma" w:cs="Tahoma"/>
                <w:color w:val="000000"/>
                <w:sz w:val="20"/>
                <w:szCs w:val="20"/>
              </w:rPr>
              <w:t xml:space="preserve"> </w:t>
            </w:r>
            <w:r w:rsidRPr="00953CF1">
              <w:rPr>
                <w:rFonts w:ascii="Tahoma" w:eastAsia="Times New Roman" w:hAnsi="Tahoma" w:cs="Tahoma"/>
                <w:b/>
                <w:bCs/>
                <w:color w:val="000000"/>
                <w:sz w:val="20"/>
                <w:szCs w:val="20"/>
                <w:lang w:eastAsia="cs-CZ"/>
              </w:rPr>
              <w:t>Druh služby</w:t>
            </w:r>
          </w:p>
        </w:tc>
        <w:tc>
          <w:tcPr>
            <w:tcW w:w="2481" w:type="pct"/>
            <w:shd w:val="clear" w:color="000000" w:fill="D9D9D9"/>
            <w:vAlign w:val="center"/>
            <w:hideMark/>
          </w:tcPr>
          <w:p w:rsidR="00CB3ACC" w:rsidRPr="00953CF1" w:rsidRDefault="00CB3ACC" w:rsidP="003604A3">
            <w:pPr>
              <w:jc w:val="center"/>
              <w:rPr>
                <w:rFonts w:ascii="Tahoma" w:eastAsia="Times New Roman" w:hAnsi="Tahoma" w:cs="Tahoma"/>
                <w:b/>
                <w:bCs/>
                <w:color w:val="000000"/>
                <w:sz w:val="20"/>
                <w:szCs w:val="20"/>
                <w:lang w:eastAsia="cs-CZ"/>
              </w:rPr>
            </w:pPr>
            <w:r w:rsidRPr="00953CF1">
              <w:rPr>
                <w:rFonts w:ascii="Tahoma" w:eastAsia="Times New Roman" w:hAnsi="Tahoma" w:cs="Tahoma"/>
                <w:b/>
                <w:bCs/>
                <w:color w:val="000000"/>
                <w:sz w:val="20"/>
                <w:szCs w:val="20"/>
                <w:lang w:eastAsia="cs-CZ"/>
              </w:rPr>
              <w:t xml:space="preserve">Jednotka pro stanovení maximální výše oprávněných provozních nákladů </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Azylové domy</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lůžek</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Centra denních služeb</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Denní stacionáře</w:t>
            </w:r>
          </w:p>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 </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Domovy pro osoby se zdravotním postižením</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lůžek</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Domovy pro seniory</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lůžek</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Domovy se zvláštním režimem</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lůžek</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Domy na půl cesty</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lůžek</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Chráněné bydlení</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lůžek</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Intervenční centra</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Kontaktní centra</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150"/>
        </w:trPr>
        <w:tc>
          <w:tcPr>
            <w:tcW w:w="2519" w:type="pct"/>
            <w:vMerge w:val="restar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Krizová pomoc</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pobytové – dle počtu lůžek</w:t>
            </w:r>
          </w:p>
        </w:tc>
      </w:tr>
      <w:tr w:rsidR="00CB3ACC" w:rsidRPr="00953CF1" w:rsidTr="003604A3">
        <w:trPr>
          <w:trHeight w:val="150"/>
        </w:trPr>
        <w:tc>
          <w:tcPr>
            <w:tcW w:w="2519" w:type="pct"/>
            <w:vMerge/>
            <w:shd w:val="clear" w:color="auto" w:fill="auto"/>
            <w:noWrap/>
            <w:vAlign w:val="center"/>
          </w:tcPr>
          <w:p w:rsidR="00CB3ACC" w:rsidRPr="00953CF1" w:rsidRDefault="00CB3ACC" w:rsidP="003604A3">
            <w:pPr>
              <w:rPr>
                <w:rFonts w:ascii="Tahoma" w:eastAsia="Times New Roman" w:hAnsi="Tahoma" w:cs="Tahoma"/>
                <w:color w:val="000000"/>
                <w:sz w:val="20"/>
                <w:szCs w:val="20"/>
                <w:lang w:eastAsia="cs-CZ"/>
              </w:rPr>
            </w:pPr>
          </w:p>
        </w:tc>
        <w:tc>
          <w:tcPr>
            <w:tcW w:w="2481" w:type="pct"/>
            <w:shd w:val="clear" w:color="auto" w:fill="auto"/>
            <w:noWrap/>
            <w:vAlign w:val="center"/>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ambulantní/terénní – 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Nízkoprahová denní centra</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Nízkoprahová zařízení pro děti a mládež</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Noclehárny</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Odborné sociální poradenství</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vMerge w:val="restar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Odlehčovací služby</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pobytové – počet lůžek</w:t>
            </w:r>
          </w:p>
        </w:tc>
      </w:tr>
      <w:tr w:rsidR="00CB3ACC" w:rsidRPr="00953CF1" w:rsidTr="003604A3">
        <w:trPr>
          <w:trHeight w:val="300"/>
        </w:trPr>
        <w:tc>
          <w:tcPr>
            <w:tcW w:w="2519" w:type="pct"/>
            <w:vMerge/>
            <w:shd w:val="clear" w:color="auto" w:fill="auto"/>
            <w:noWrap/>
            <w:vAlign w:val="center"/>
          </w:tcPr>
          <w:p w:rsidR="00CB3ACC" w:rsidRPr="00953CF1" w:rsidRDefault="00CB3ACC" w:rsidP="003604A3">
            <w:pPr>
              <w:rPr>
                <w:rFonts w:ascii="Tahoma" w:eastAsia="Times New Roman" w:hAnsi="Tahoma" w:cs="Tahoma"/>
                <w:color w:val="000000"/>
                <w:sz w:val="20"/>
                <w:szCs w:val="20"/>
                <w:lang w:eastAsia="cs-CZ"/>
              </w:rPr>
            </w:pP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ambulantní/terénní – 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Osobní asistence</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Pečovatelská služba</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lastRenderedPageBreak/>
              <w:t>Podpora samostatného bydlení</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Průvodcovské a předčitatelské služby</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Raná péče</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vMerge w:val="restar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Služby následné péče</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pobytové – počet lůžek</w:t>
            </w:r>
          </w:p>
        </w:tc>
      </w:tr>
      <w:tr w:rsidR="00CB3ACC" w:rsidRPr="00953CF1" w:rsidTr="003604A3">
        <w:trPr>
          <w:trHeight w:val="300"/>
        </w:trPr>
        <w:tc>
          <w:tcPr>
            <w:tcW w:w="2519" w:type="pct"/>
            <w:vMerge/>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ambulantní/terénní – 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Sociálně aktivizační služby pro rodiny s dětmi</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Sociálně aktivizační služby pro seniory a osoby se zdravotním postižením</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Sociálně terapeutické dílny</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150"/>
        </w:trPr>
        <w:tc>
          <w:tcPr>
            <w:tcW w:w="2519" w:type="pct"/>
            <w:vMerge w:val="restar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Sociální rehabilitace</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pobytové – počet lůžek</w:t>
            </w:r>
          </w:p>
        </w:tc>
      </w:tr>
      <w:tr w:rsidR="00CB3ACC" w:rsidRPr="00953CF1" w:rsidTr="003604A3">
        <w:trPr>
          <w:trHeight w:val="150"/>
        </w:trPr>
        <w:tc>
          <w:tcPr>
            <w:tcW w:w="2519" w:type="pct"/>
            <w:vMerge/>
            <w:shd w:val="clear" w:color="auto" w:fill="auto"/>
            <w:noWrap/>
            <w:vAlign w:val="center"/>
          </w:tcPr>
          <w:p w:rsidR="00CB3ACC" w:rsidRPr="00953CF1" w:rsidRDefault="00CB3ACC" w:rsidP="003604A3">
            <w:pPr>
              <w:rPr>
                <w:rFonts w:ascii="Tahoma" w:eastAsia="Times New Roman" w:hAnsi="Tahoma" w:cs="Tahoma"/>
                <w:color w:val="000000"/>
                <w:sz w:val="20"/>
                <w:szCs w:val="20"/>
                <w:lang w:eastAsia="cs-CZ"/>
              </w:rPr>
            </w:pPr>
          </w:p>
        </w:tc>
        <w:tc>
          <w:tcPr>
            <w:tcW w:w="2481" w:type="pct"/>
            <w:shd w:val="clear" w:color="auto" w:fill="auto"/>
            <w:noWrap/>
            <w:vAlign w:val="center"/>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ambulantní/terénní – 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Sociální služby poskytované ve zdravotnických zařízeních lůžkové péče</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lůžek</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Telefonická krizová pomoc</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Terapeutické komunity</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lůžek</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Terénní programy</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Tísňová péče</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Tlumočnické služby</w:t>
            </w:r>
          </w:p>
        </w:tc>
        <w:tc>
          <w:tcPr>
            <w:tcW w:w="2481" w:type="pct"/>
            <w:shd w:val="clear" w:color="auto" w:fill="auto"/>
            <w:noWrap/>
            <w:hideMark/>
          </w:tcPr>
          <w:p w:rsidR="00CB3ACC" w:rsidRPr="00953CF1" w:rsidRDefault="00CB3ACC" w:rsidP="003604A3">
            <w:pPr>
              <w:rPr>
                <w:rFonts w:ascii="Tahoma" w:hAnsi="Tahoma" w:cs="Tahoma"/>
                <w:sz w:val="20"/>
                <w:szCs w:val="20"/>
              </w:rPr>
            </w:pPr>
            <w:r w:rsidRPr="00953CF1">
              <w:rPr>
                <w:rFonts w:ascii="Tahoma" w:eastAsia="Times New Roman" w:hAnsi="Tahoma" w:cs="Tahoma"/>
                <w:color w:val="000000"/>
                <w:sz w:val="20"/>
                <w:szCs w:val="20"/>
                <w:lang w:eastAsia="cs-CZ"/>
              </w:rPr>
              <w:t>počet přepočtených úvazků v přímé péči</w:t>
            </w:r>
          </w:p>
        </w:tc>
      </w:tr>
      <w:tr w:rsidR="00CB3ACC" w:rsidRPr="00953CF1" w:rsidTr="003604A3">
        <w:trPr>
          <w:trHeight w:val="300"/>
        </w:trPr>
        <w:tc>
          <w:tcPr>
            <w:tcW w:w="2519"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Týdenní stacionáře</w:t>
            </w:r>
          </w:p>
        </w:tc>
        <w:tc>
          <w:tcPr>
            <w:tcW w:w="2481" w:type="pct"/>
            <w:shd w:val="clear" w:color="auto" w:fill="auto"/>
            <w:noWrap/>
            <w:vAlign w:val="center"/>
            <w:hideMark/>
          </w:tcPr>
          <w:p w:rsidR="00CB3ACC" w:rsidRPr="00953CF1" w:rsidRDefault="00CB3ACC" w:rsidP="003604A3">
            <w:pPr>
              <w:rPr>
                <w:rFonts w:ascii="Tahoma" w:eastAsia="Times New Roman" w:hAnsi="Tahoma" w:cs="Tahoma"/>
                <w:color w:val="000000"/>
                <w:sz w:val="20"/>
                <w:szCs w:val="20"/>
                <w:lang w:eastAsia="cs-CZ"/>
              </w:rPr>
            </w:pPr>
            <w:r w:rsidRPr="00953CF1">
              <w:rPr>
                <w:rFonts w:ascii="Tahoma" w:eastAsia="Times New Roman" w:hAnsi="Tahoma" w:cs="Tahoma"/>
                <w:color w:val="000000"/>
                <w:sz w:val="20"/>
                <w:szCs w:val="20"/>
                <w:lang w:eastAsia="cs-CZ"/>
              </w:rPr>
              <w:t>počet lůžek</w:t>
            </w:r>
          </w:p>
        </w:tc>
      </w:tr>
    </w:tbl>
    <w:p w:rsidR="00CB3ACC" w:rsidRPr="00953CF1" w:rsidRDefault="00CB3ACC" w:rsidP="00CB3ACC">
      <w:pPr>
        <w:spacing w:before="240" w:after="120" w:line="276" w:lineRule="auto"/>
        <w:jc w:val="both"/>
        <w:rPr>
          <w:rFonts w:ascii="Tahoma" w:hAnsi="Tahoma" w:cs="Tahoma"/>
          <w:color w:val="000000"/>
          <w:sz w:val="20"/>
          <w:szCs w:val="20"/>
          <w:lang w:eastAsia="cs-CZ"/>
        </w:rPr>
      </w:pPr>
      <w:r w:rsidRPr="00953CF1">
        <w:rPr>
          <w:rFonts w:ascii="Tahoma" w:eastAsia="Calibri" w:hAnsi="Tahoma" w:cs="Tahoma"/>
          <w:color w:val="000000"/>
          <w:sz w:val="20"/>
          <w:szCs w:val="20"/>
        </w:rPr>
        <w:t xml:space="preserve">Provozní náklady jsou náklady, které jsou nezbytné pro poskytování základních druhů a forem sociálních služeb v rozsahu stanoveném základními činnostmi u jednotlivých druhů sociálních služeb </w:t>
      </w:r>
      <w:r w:rsidRPr="00953CF1">
        <w:rPr>
          <w:rFonts w:ascii="Tahoma" w:eastAsia="Calibri" w:hAnsi="Tahoma" w:cs="Tahoma"/>
          <w:color w:val="000000"/>
          <w:sz w:val="20"/>
          <w:szCs w:val="20"/>
        </w:rPr>
        <w:br/>
        <w:t xml:space="preserve">a které svou výší nepřesahují obvyklou výši v daném čase a místě. Bližší specifikaci (zejména </w:t>
      </w:r>
      <w:r w:rsidRPr="00953CF1">
        <w:rPr>
          <w:rFonts w:ascii="Tahoma" w:eastAsia="Calibri" w:hAnsi="Tahoma" w:cs="Tahoma"/>
          <w:color w:val="000000"/>
          <w:sz w:val="20"/>
          <w:szCs w:val="20"/>
        </w:rPr>
        <w:br/>
        <w:t>pro položku mzdových nákladů) stanoví rada kraje při vyhlášení Programu na daný rok. Pokud jsou u sociální služby vykazovány náklady na správní režii, mohou tyto náklady činit max. 15 % celkových skutečných nákladů služby, uvedených v Přehledu hospodaření sociální služby. N</w:t>
      </w:r>
      <w:r w:rsidRPr="00953CF1">
        <w:rPr>
          <w:rFonts w:ascii="Tahoma" w:hAnsi="Tahoma" w:cs="Tahoma"/>
          <w:color w:val="000000"/>
          <w:sz w:val="20"/>
          <w:szCs w:val="20"/>
          <w:lang w:eastAsia="cs-CZ"/>
        </w:rPr>
        <w:t>ájemné je uznatelným nákladem pro vyrovnávací platbu ve výši obvyklé v místě a čase; u pobytových služeb maximálně do výše odpovídající úhradám za poskytnutí ubytování stanoveným Vyhláškou.</w:t>
      </w:r>
    </w:p>
    <w:p w:rsidR="00CB3ACC" w:rsidRPr="00953CF1" w:rsidRDefault="00CB3ACC" w:rsidP="00CB3ACC">
      <w:pPr>
        <w:spacing w:after="200" w:line="276" w:lineRule="auto"/>
        <w:jc w:val="both"/>
        <w:rPr>
          <w:rFonts w:ascii="Tahoma" w:hAnsi="Tahoma" w:cs="Tahoma"/>
          <w:color w:val="000000"/>
          <w:sz w:val="20"/>
          <w:szCs w:val="20"/>
          <w:lang w:eastAsia="cs-CZ"/>
        </w:rPr>
      </w:pPr>
      <w:r w:rsidRPr="00953CF1">
        <w:rPr>
          <w:rFonts w:ascii="Tahoma" w:hAnsi="Tahoma" w:cs="Tahoma"/>
          <w:color w:val="000000"/>
          <w:sz w:val="20"/>
          <w:szCs w:val="20"/>
          <w:lang w:eastAsia="cs-CZ"/>
        </w:rPr>
        <w:t xml:space="preserve">Odvody za porušení rozpočtové kázně, vč. penále, a úhrady na základě výzev k vrácení dotace dle ustanovení § 22 zákona č. 250/2000 Sb., o rozpočtových pravidlech územních rozpočtů, ve znění pozdějších předpisů, jsou považovány za náklady nesouvisející s poskytováním základních činností u jednotlivých druhů sociálních služeb a jsou neuznatelné pro posouzení vyrovnávací platby. Neuznatelným nákladem je rovněž nadměrná vyrovnávací platba za předchozí období. </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 xml:space="preserve">V případě, že náklady sociální služby převyšují maximální výši oprávněných provozních nákladů vypočtenou dle výše uvedeného postupu, může zastupitelstvo kraje na základě individuálního zdůvodnění a posouzení stanovit v rámci řádného kola dotačního řízení maximální oprávněné náklady vyšší. V průběhu roku může individuální navýšení maximální výše oprávněných provozních nákladů </w:t>
      </w:r>
      <w:r w:rsidRPr="00953CF1">
        <w:rPr>
          <w:rFonts w:ascii="Tahoma" w:eastAsia="Calibri" w:hAnsi="Tahoma" w:cs="Tahoma"/>
          <w:color w:val="000000"/>
          <w:sz w:val="20"/>
          <w:szCs w:val="20"/>
        </w:rPr>
        <w:lastRenderedPageBreak/>
        <w:t>schválit rada kraje na základě žádosti poskytovatele sociálních služeb s následným uzavřením dodatku ke smlouvě.</w:t>
      </w:r>
    </w:p>
    <w:p w:rsidR="00CB3ACC" w:rsidRPr="00953CF1" w:rsidRDefault="00CB3ACC" w:rsidP="00CB3ACC">
      <w:pPr>
        <w:keepNext/>
        <w:keepLines/>
        <w:numPr>
          <w:ilvl w:val="0"/>
          <w:numId w:val="8"/>
        </w:numPr>
        <w:spacing w:before="480" w:after="120" w:line="276" w:lineRule="auto"/>
        <w:ind w:left="284" w:hanging="284"/>
        <w:outlineLvl w:val="0"/>
        <w:rPr>
          <w:rFonts w:ascii="Tahoma" w:eastAsia="Times New Roman" w:hAnsi="Tahoma" w:cs="Tahoma"/>
          <w:b/>
          <w:bCs/>
          <w:color w:val="000000"/>
          <w:sz w:val="20"/>
          <w:szCs w:val="20"/>
        </w:rPr>
      </w:pPr>
      <w:r w:rsidRPr="00953CF1">
        <w:rPr>
          <w:rFonts w:ascii="Tahoma" w:eastAsia="Times New Roman" w:hAnsi="Tahoma" w:cs="Tahoma"/>
          <w:b/>
          <w:bCs/>
          <w:color w:val="000000"/>
          <w:sz w:val="20"/>
          <w:szCs w:val="20"/>
        </w:rPr>
        <w:t>Investice</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 xml:space="preserve">Do posuzování vyrovnávací platby vstupují investice realizované v daném dotačním roce (rozhodující je datum zařazení investice do užívání). </w:t>
      </w:r>
    </w:p>
    <w:p w:rsidR="00CB3ACC" w:rsidRPr="00953CF1" w:rsidRDefault="00CB3ACC" w:rsidP="00CB3ACC">
      <w:pPr>
        <w:spacing w:after="12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Investice budou považovány za uznatelné, pokud bude jejich realizace následně promítnuta do:</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snížení provozních nákladů (úspory spojené s provedenou investicí)</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zvýšení kapacity služby (počet lůžek u pobytových služeb, počet přepočtených úvazků pracovníků u ambulantních a terénních služeb)</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nárůstu personálního zabezpečení služby, příp. zvýšení mzdového ohodnocení pracovníků (max. do výše přípustného limitu mzdových nákladů)</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jiného zdůvodněného zvýšení kvality poskytované služby</w:t>
      </w:r>
    </w:p>
    <w:p w:rsidR="00CB3ACC" w:rsidRPr="00953CF1" w:rsidRDefault="00CB3ACC" w:rsidP="00CB3ACC">
      <w:pPr>
        <w:spacing w:after="200" w:line="276" w:lineRule="auto"/>
        <w:contextualSpacing/>
        <w:jc w:val="both"/>
        <w:rPr>
          <w:rFonts w:ascii="Tahoma" w:eastAsia="Calibri" w:hAnsi="Tahoma" w:cs="Tahoma"/>
          <w:color w:val="000000"/>
          <w:sz w:val="20"/>
          <w:szCs w:val="20"/>
        </w:rPr>
      </w:pPr>
    </w:p>
    <w:p w:rsidR="00CB3ACC" w:rsidRPr="00953CF1" w:rsidRDefault="00CB3ACC" w:rsidP="00CB3ACC">
      <w:p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Do nákladů investice vstupují formou odpisů, přičemž za uznatelný je považován odpis, který:</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plyne z investice zařazené do užívání před pověřením poskytování služby v obecném hospodářském zájmu s výpočtem vyrovnávací platby (před nabytím účinnosti Smlouvy o</w:t>
      </w:r>
      <w:r w:rsidR="00953CF1">
        <w:rPr>
          <w:rFonts w:ascii="Tahoma" w:eastAsia="Calibri" w:hAnsi="Tahoma" w:cs="Tahoma"/>
          <w:color w:val="000000"/>
          <w:sz w:val="20"/>
          <w:szCs w:val="20"/>
        </w:rPr>
        <w:t> </w:t>
      </w:r>
      <w:r w:rsidRPr="00953CF1">
        <w:rPr>
          <w:rFonts w:ascii="Tahoma" w:eastAsia="Calibri" w:hAnsi="Tahoma" w:cs="Tahoma"/>
          <w:color w:val="000000"/>
          <w:sz w:val="20"/>
          <w:szCs w:val="20"/>
        </w:rPr>
        <w:t>závazku veřejné služby a vyrovnávací platbě za jeho výkon, příp. jejího dodatku, nebo nabytím účinnosti jiného právního aktu, kterým je poskytovatel pověřen poskytováním služby v obecném hospodářském zájmu s výpočtem vyrovnávací platby),</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plyne z investice zařazené do užívání po pověření (viz předchozí bod), ale financované z jiných zdrojů než veřejných rozpočtů (např. soukromý dárce, vlastní zdroje organizace).</w:t>
      </w:r>
    </w:p>
    <w:p w:rsidR="00CB3ACC" w:rsidRPr="00953CF1" w:rsidRDefault="00CB3ACC" w:rsidP="00CB3ACC">
      <w:pPr>
        <w:spacing w:after="200" w:line="276" w:lineRule="auto"/>
        <w:contextualSpacing/>
        <w:jc w:val="both"/>
        <w:rPr>
          <w:rFonts w:ascii="Tahoma" w:eastAsia="Calibri" w:hAnsi="Tahoma" w:cs="Tahoma"/>
          <w:color w:val="000000"/>
          <w:sz w:val="20"/>
          <w:szCs w:val="20"/>
        </w:rPr>
      </w:pPr>
    </w:p>
    <w:p w:rsidR="00CB3ACC" w:rsidRPr="00953CF1" w:rsidRDefault="00CB3ACC" w:rsidP="00CB3ACC">
      <w:pPr>
        <w:keepNext/>
        <w:keepLines/>
        <w:numPr>
          <w:ilvl w:val="0"/>
          <w:numId w:val="8"/>
        </w:numPr>
        <w:spacing w:before="480" w:after="120" w:line="276" w:lineRule="auto"/>
        <w:ind w:left="284" w:hanging="284"/>
        <w:outlineLvl w:val="0"/>
        <w:rPr>
          <w:rFonts w:ascii="Tahoma" w:eastAsia="Times New Roman" w:hAnsi="Tahoma" w:cs="Tahoma"/>
          <w:b/>
          <w:bCs/>
          <w:color w:val="000000"/>
          <w:sz w:val="20"/>
          <w:szCs w:val="20"/>
        </w:rPr>
      </w:pPr>
      <w:r w:rsidRPr="00953CF1">
        <w:rPr>
          <w:rFonts w:ascii="Tahoma" w:eastAsia="Times New Roman" w:hAnsi="Tahoma" w:cs="Tahoma"/>
          <w:b/>
          <w:bCs/>
          <w:color w:val="000000"/>
          <w:sz w:val="20"/>
          <w:szCs w:val="20"/>
        </w:rPr>
        <w:t xml:space="preserve">Nefinanční podpora </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V rámci vyrovnávací platby musí být posouzeny i poskytnuté podpory nefinanční povahy. Jedná se např. o:</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pronájem nemovitosti za symbolický příspěvek (výhoda pro poskytovatele sociální služby ve formě nájmu za nižší cenu, než jaká je v tržních podmínkách) či umožnění bezplatného využití,</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pronájem movité věci za symbolický příspěvek, či umožnění bezplatného využití (např. automobilu),</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bezplatné školení či školení za symbolickou částku,</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bezúročné návratné finanční výpomoci (půjčky),</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darování movité či nemovité věci,</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úhrada služeb za poskytovatele sociální služby (např. za energie, nájem),</w:t>
      </w:r>
    </w:p>
    <w:p w:rsidR="00CB3ACC" w:rsidRPr="00953CF1" w:rsidRDefault="00CB3ACC" w:rsidP="00CB3ACC">
      <w:pPr>
        <w:numPr>
          <w:ilvl w:val="0"/>
          <w:numId w:val="10"/>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jiné zvýhodnění, zvláštní či výlučná práva přiznaná poskytovateli sociálních služeb dle Rozhodnutí.</w:t>
      </w:r>
    </w:p>
    <w:p w:rsidR="00CB3ACC" w:rsidRPr="00953CF1" w:rsidRDefault="00CB3ACC" w:rsidP="00CB3ACC">
      <w:pPr>
        <w:spacing w:before="240"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Do režimu vyrovnávací platby musí být tato nefinanční podpora zařazena, a to ve výši, která odpovídá rozdílu mezi objemem peněžních prostředků, který by poskytovatel musel vynaložit za získání předmětné služby (materiálu, nemovitosti atp.) za tržních podmínek v místě a čase obvyklých a objemem peněžních prostředků, které vynaložil při poskytované veřejné podpoře (např. symbolická částka, zvýhodněná částka, nebo zcela bezplatně).</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 xml:space="preserve">Tato nefinanční podpora je považována z hlediska vyrovnávací platby za uznatelnou, je-li plně využita pro účely registrované sociální služby zařazené do Krajské sítě, pověřené výkonem služby v obecném hospodářském zájmu. Nesmí být zároveň využita i pro komerční účely, či jiné aktivity poskytovatele sociální služby (např. nelze považovat za uznatelnou nefinanční podporu, pokud v části darované </w:t>
      </w:r>
      <w:r w:rsidRPr="00953CF1">
        <w:rPr>
          <w:rFonts w:ascii="Tahoma" w:eastAsia="Calibri" w:hAnsi="Tahoma" w:cs="Tahoma"/>
          <w:color w:val="000000"/>
          <w:sz w:val="20"/>
          <w:szCs w:val="20"/>
        </w:rPr>
        <w:lastRenderedPageBreak/>
        <w:t>nemovitosti je poskytována sociální služba zařazená v Krajské síti a část je využívána k vzdělávání jiných osob, jako konferenční prostory, k provozování jiných aktivit než služby zařazené v Krajské síti sociálních služeb apod.).</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 xml:space="preserve">Nefinanční podpora musí být připojena k výpočtu vyrovnávací platby a vykazována při posouzení vyrovnávací platby dle odst. 4. Přílohy č. 1 Podmínek. Jedná-li se o nefinanční podporu </w:t>
      </w:r>
      <w:r w:rsidRPr="00953CF1">
        <w:rPr>
          <w:rFonts w:ascii="Tahoma" w:eastAsia="Calibri" w:hAnsi="Tahoma" w:cs="Tahoma"/>
          <w:b/>
          <w:color w:val="000000"/>
          <w:sz w:val="20"/>
          <w:szCs w:val="20"/>
        </w:rPr>
        <w:t>investiční povahy</w:t>
      </w:r>
      <w:r w:rsidRPr="00953CF1">
        <w:rPr>
          <w:rFonts w:ascii="Tahoma" w:eastAsia="Calibri" w:hAnsi="Tahoma" w:cs="Tahoma"/>
          <w:color w:val="000000"/>
          <w:sz w:val="20"/>
          <w:szCs w:val="20"/>
        </w:rPr>
        <w:t xml:space="preserve">, nebude její výše limitována, bude posuzována její uznatelnost obdobně jako investiční náklady služby dle odst. 2 Přílohy č. 1 Podmínek. Jedná-li se o nefinanční podporu </w:t>
      </w:r>
      <w:r w:rsidRPr="00953CF1">
        <w:rPr>
          <w:rFonts w:ascii="Tahoma" w:eastAsia="Calibri" w:hAnsi="Tahoma" w:cs="Tahoma"/>
          <w:b/>
          <w:color w:val="000000"/>
          <w:sz w:val="20"/>
          <w:szCs w:val="20"/>
        </w:rPr>
        <w:t>provozní povahy</w:t>
      </w:r>
      <w:r w:rsidRPr="00953CF1">
        <w:rPr>
          <w:rFonts w:ascii="Tahoma" w:eastAsia="Calibri" w:hAnsi="Tahoma" w:cs="Tahoma"/>
          <w:color w:val="000000"/>
          <w:sz w:val="20"/>
          <w:szCs w:val="20"/>
        </w:rPr>
        <w:t xml:space="preserve">, bude finanční vyjádření této nefinanční podpory vstupovat do posouzení provozních nákladů sociální služby dle odst. 1 Přílohy č. 1 Podmínek,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 </w:t>
      </w:r>
    </w:p>
    <w:p w:rsidR="00CB3ACC" w:rsidRPr="00953CF1" w:rsidRDefault="00CB3ACC" w:rsidP="00CB3ACC">
      <w:pPr>
        <w:keepNext/>
        <w:keepLines/>
        <w:numPr>
          <w:ilvl w:val="0"/>
          <w:numId w:val="8"/>
        </w:numPr>
        <w:spacing w:before="480" w:after="120" w:line="276" w:lineRule="auto"/>
        <w:ind w:left="284" w:hanging="284"/>
        <w:outlineLvl w:val="0"/>
        <w:rPr>
          <w:rFonts w:ascii="Tahoma" w:eastAsia="Times New Roman" w:hAnsi="Tahoma" w:cs="Tahoma"/>
          <w:b/>
          <w:bCs/>
          <w:color w:val="000000"/>
          <w:sz w:val="20"/>
          <w:szCs w:val="20"/>
        </w:rPr>
      </w:pPr>
      <w:r w:rsidRPr="00953CF1">
        <w:rPr>
          <w:rFonts w:ascii="Tahoma" w:eastAsia="Times New Roman" w:hAnsi="Tahoma" w:cs="Tahoma"/>
          <w:b/>
          <w:bCs/>
          <w:color w:val="000000"/>
          <w:sz w:val="20"/>
          <w:szCs w:val="20"/>
        </w:rPr>
        <w:t>Vyrovnávací platba</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Finanční objem maximální výše oprávněných provozních nákladů stanovený dle výše popsaného mechanismu bude maximální hodnotou vyrovnávací platby pro konkrétní službu na dotační rok, na který se vypočítává. Stanovení této hodnoty bude součástí smlouvy, popř. smlouvy o závazku. Výpočet maximální výše oprávněných provozních nákladů je prováděn za služby, kterými je poskytovatel pověřen v rámci závazku veřejné služby, v rozsahu parametrů Krajské sítě. V průběhu roku je poskytovatel povinen vést oddělené účetnictví v členění za každou registrovanou službu v rozsahu daném Smlouvou o závazku veřejné služby a vyrovnávací platbě za jeho výkon (potažmo v rozsahu zařazeném do Krajské sítě) od jiných činností poskytovatele, a to tak, aby do nákladů vykazovaných za danou službu byly vykazovány veškeré náklady s ní související (např. i náklady týkající se centrály/ústředí).</w:t>
      </w: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Po ukončení dotačního roku jsou porovnávány skutečné výnosy (zdroje) a skutečné náklady sociální služby, jejímž poskytováním byl poskytovatel pověřen v rámci závazku veřejné služby. Rozdíl mezi skutečnými uznatelnými náklady a výnosy (zdroji) v jednotlivých službách může být:</w:t>
      </w:r>
    </w:p>
    <w:p w:rsidR="00CB3ACC" w:rsidRPr="00953CF1" w:rsidRDefault="00CB3ACC" w:rsidP="00CB3ACC">
      <w:pPr>
        <w:numPr>
          <w:ilvl w:val="0"/>
          <w:numId w:val="9"/>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nulový – skutečné náklady související s poskytováním služby jsou ve stejné výši jako skutečné výnosy (zdroje) služby, nejedná se o nadměrnou vyrovnávací platbu,</w:t>
      </w:r>
    </w:p>
    <w:p w:rsidR="00CB3ACC" w:rsidRPr="00953CF1" w:rsidRDefault="00CB3ACC" w:rsidP="00CB3ACC">
      <w:pPr>
        <w:numPr>
          <w:ilvl w:val="0"/>
          <w:numId w:val="9"/>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záporný – skutečné náklady související s poskytováním služby jsou vyšší než skutečné výnosy (zdroje) služby, nejedná se o nadměrnou vyrovnávací platbu,</w:t>
      </w:r>
    </w:p>
    <w:p w:rsidR="00CB3ACC" w:rsidRPr="00953CF1" w:rsidRDefault="00CB3ACC" w:rsidP="00CB3ACC">
      <w:pPr>
        <w:numPr>
          <w:ilvl w:val="0"/>
          <w:numId w:val="9"/>
        </w:numPr>
        <w:spacing w:after="200" w:line="276" w:lineRule="auto"/>
        <w:contextualSpacing/>
        <w:jc w:val="both"/>
        <w:rPr>
          <w:rFonts w:ascii="Tahoma" w:eastAsia="Calibri" w:hAnsi="Tahoma" w:cs="Tahoma"/>
          <w:color w:val="000000"/>
          <w:sz w:val="20"/>
          <w:szCs w:val="20"/>
        </w:rPr>
      </w:pPr>
      <w:r w:rsidRPr="00953CF1">
        <w:rPr>
          <w:rFonts w:ascii="Tahoma" w:eastAsia="Calibri" w:hAnsi="Tahoma" w:cs="Tahoma"/>
          <w:color w:val="000000"/>
          <w:sz w:val="20"/>
          <w:szCs w:val="20"/>
        </w:rPr>
        <w:t>kladný – skutečné náklady související s poskytováním služby jsou nižší než skutečné výnosy (zdroje) služby, může se jednat o nadměrnou vyrovnávací platbu – dále viz níže.</w:t>
      </w:r>
    </w:p>
    <w:p w:rsidR="00CB3ACC" w:rsidRPr="00953CF1" w:rsidRDefault="00CB3ACC" w:rsidP="00CB3ACC">
      <w:pPr>
        <w:spacing w:after="200" w:line="276" w:lineRule="auto"/>
        <w:ind w:left="720"/>
        <w:contextualSpacing/>
        <w:jc w:val="both"/>
        <w:rPr>
          <w:rFonts w:ascii="Tahoma" w:eastAsia="Calibri" w:hAnsi="Tahoma" w:cs="Tahoma"/>
          <w:color w:val="000000"/>
          <w:sz w:val="20"/>
          <w:szCs w:val="20"/>
        </w:rPr>
      </w:pPr>
    </w:p>
    <w:p w:rsidR="00CB3ACC" w:rsidRPr="00953CF1" w:rsidRDefault="00CB3ACC" w:rsidP="00CB3ACC">
      <w:pPr>
        <w:spacing w:after="200" w:line="276" w:lineRule="auto"/>
        <w:jc w:val="both"/>
        <w:rPr>
          <w:rFonts w:ascii="Tahoma" w:eastAsia="Calibri" w:hAnsi="Tahoma" w:cs="Tahoma"/>
          <w:color w:val="000000"/>
          <w:sz w:val="20"/>
          <w:szCs w:val="20"/>
        </w:rPr>
      </w:pPr>
      <w:r w:rsidRPr="00953CF1">
        <w:rPr>
          <w:rFonts w:ascii="Tahoma" w:eastAsia="Calibri" w:hAnsi="Tahoma" w:cs="Tahoma"/>
          <w:color w:val="000000"/>
          <w:sz w:val="20"/>
          <w:szCs w:val="20"/>
        </w:rPr>
        <w:t>Rozdíl mezi skutečnými uznatelnými náklady a výnosy (zdroji) jednotlivých služeb jsou následně posuzovány společně v rámci jednoho pověřovacího aktu (za jednoho poskytovatele). V případě, že je výsledek hospodaření služeb kladný</w:t>
      </w:r>
      <w:r w:rsidRPr="00953CF1">
        <w:rPr>
          <w:rFonts w:ascii="Tahoma" w:hAnsi="Tahoma" w:cs="Tahoma"/>
          <w:color w:val="000000"/>
          <w:sz w:val="20"/>
          <w:szCs w:val="20"/>
        </w:rPr>
        <w:t xml:space="preserve"> </w:t>
      </w:r>
      <w:r w:rsidRPr="00953CF1">
        <w:rPr>
          <w:rFonts w:ascii="Tahoma" w:eastAsia="Calibri" w:hAnsi="Tahoma" w:cs="Tahoma"/>
          <w:color w:val="000000"/>
          <w:sz w:val="20"/>
          <w:szCs w:val="20"/>
        </w:rPr>
        <w:t>i v rámci společného posouzení, jedná se o nadměrnou vyrovnávací platbu a poskytovatel je povinen rozdíl vrátit zpět do rozpočtu pověřovatele, tzn. Moravskoslezského kraje; vrácená nadměrná vyrovnávací platba bude zdrojem Fondu sociálních služeb.</w:t>
      </w:r>
    </w:p>
    <w:p w:rsidR="00D0317D" w:rsidRPr="00152F20" w:rsidRDefault="00CB3ACC" w:rsidP="006F080D">
      <w:pPr>
        <w:spacing w:after="200" w:line="276" w:lineRule="auto"/>
        <w:jc w:val="both"/>
        <w:rPr>
          <w:rFonts w:ascii="Tahoma" w:eastAsia="Calibri" w:hAnsi="Tahoma" w:cs="Tahoma"/>
          <w:b/>
          <w:sz w:val="20"/>
          <w:szCs w:val="20"/>
        </w:rPr>
      </w:pPr>
      <w:r w:rsidRPr="00953CF1">
        <w:rPr>
          <w:rFonts w:ascii="Tahoma" w:eastAsia="Calibri" w:hAnsi="Tahoma" w:cs="Tahoma"/>
          <w:color w:val="000000"/>
          <w:sz w:val="20"/>
          <w:szCs w:val="20"/>
        </w:rPr>
        <w:t xml:space="preserve">Posouzení nadměrné vyrovnávací platby bude prováděno administrátorem vždy po ukončení dotačního roku a po provedení účetní závěrky poskytovatelem. Poskytovatel sociální služby je povinen zaslat podklady pro závěrečné vyúčtování vyrovnávací platby v termínech a způsobem stanoveným radou kraje při vyhlášení Programu na příslušný rok. </w:t>
      </w:r>
    </w:p>
    <w:sectPr w:rsidR="00D0317D" w:rsidRPr="00152F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47B" w:rsidRDefault="002D047B" w:rsidP="00894A72">
      <w:pPr>
        <w:spacing w:after="0" w:line="240" w:lineRule="auto"/>
      </w:pPr>
      <w:r>
        <w:separator/>
      </w:r>
    </w:p>
  </w:endnote>
  <w:endnote w:type="continuationSeparator" w:id="0">
    <w:p w:rsidR="002D047B" w:rsidRDefault="002D047B" w:rsidP="0089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47B" w:rsidRDefault="002D047B" w:rsidP="00894A72">
      <w:pPr>
        <w:spacing w:after="0" w:line="240" w:lineRule="auto"/>
      </w:pPr>
      <w:r>
        <w:separator/>
      </w:r>
    </w:p>
  </w:footnote>
  <w:footnote w:type="continuationSeparator" w:id="0">
    <w:p w:rsidR="002D047B" w:rsidRDefault="002D047B" w:rsidP="00894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1F83"/>
    <w:multiLevelType w:val="hybridMultilevel"/>
    <w:tmpl w:val="324CE15E"/>
    <w:lvl w:ilvl="0" w:tplc="04050019">
      <w:start w:val="1"/>
      <w:numFmt w:val="lowerLetter"/>
      <w:lvlText w:val="%1."/>
      <w:lvlJc w:val="left"/>
      <w:pPr>
        <w:ind w:left="1069" w:hanging="360"/>
      </w:pPr>
      <w:rPr>
        <w:rFonts w:hint="default"/>
      </w:rPr>
    </w:lvl>
    <w:lvl w:ilvl="1" w:tplc="68C831BA">
      <w:numFmt w:val="bullet"/>
      <w:lvlText w:val="•"/>
      <w:lvlJc w:val="left"/>
      <w:pPr>
        <w:ind w:left="1789" w:hanging="360"/>
      </w:pPr>
      <w:rPr>
        <w:rFonts w:ascii="Tahoma" w:eastAsia="Droid Sans" w:hAnsi="Tahoma" w:cs="Tahoma"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0B469F9"/>
    <w:multiLevelType w:val="hybridMultilevel"/>
    <w:tmpl w:val="D12411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0E2FB7"/>
    <w:multiLevelType w:val="hybridMultilevel"/>
    <w:tmpl w:val="762AB1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360236A4"/>
    <w:multiLevelType w:val="hybridMultilevel"/>
    <w:tmpl w:val="60D08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D6C51"/>
    <w:multiLevelType w:val="hybridMultilevel"/>
    <w:tmpl w:val="4546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553B9E"/>
    <w:multiLevelType w:val="hybridMultilevel"/>
    <w:tmpl w:val="4B36BF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981B4F"/>
    <w:multiLevelType w:val="multilevel"/>
    <w:tmpl w:val="DD7A4B7A"/>
    <w:lvl w:ilvl="0">
      <w:start w:val="1"/>
      <w:numFmt w:val="decimal"/>
      <w:lvlText w:val="%1."/>
      <w:lvlJc w:val="left"/>
      <w:pPr>
        <w:ind w:left="432" w:hanging="432"/>
      </w:pPr>
      <w:rPr>
        <w:rFonts w:hint="default"/>
        <w:color w:val="auto"/>
        <w:kern w:val="20"/>
        <w:sz w:val="20"/>
        <w:szCs w:val="20"/>
      </w:rPr>
    </w:lvl>
    <w:lvl w:ilvl="1">
      <w:start w:val="1"/>
      <w:numFmt w:val="upperRoman"/>
      <w:suff w:val="nothing"/>
      <w:lvlText w:val="%2. "/>
      <w:lvlJc w:val="left"/>
      <w:pPr>
        <w:ind w:left="1002"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0" w15:restartNumberingAfterBreak="0">
    <w:nsid w:val="6A48219B"/>
    <w:multiLevelType w:val="hybridMultilevel"/>
    <w:tmpl w:val="E1BA48D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ED06CC"/>
    <w:multiLevelType w:val="hybridMultilevel"/>
    <w:tmpl w:val="F1F014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5"/>
  </w:num>
  <w:num w:numId="5">
    <w:abstractNumId w:val="9"/>
  </w:num>
  <w:num w:numId="6">
    <w:abstractNumId w:val="11"/>
  </w:num>
  <w:num w:numId="7">
    <w:abstractNumId w:val="10"/>
  </w:num>
  <w:num w:numId="8">
    <w:abstractNumId w:val="7"/>
  </w:num>
  <w:num w:numId="9">
    <w:abstractNumId w:val="6"/>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2C"/>
    <w:rsid w:val="00004D3E"/>
    <w:rsid w:val="00014849"/>
    <w:rsid w:val="00020149"/>
    <w:rsid w:val="000201C9"/>
    <w:rsid w:val="00021B4C"/>
    <w:rsid w:val="000414D7"/>
    <w:rsid w:val="00056F12"/>
    <w:rsid w:val="00070B03"/>
    <w:rsid w:val="00070DDF"/>
    <w:rsid w:val="00076D3D"/>
    <w:rsid w:val="000A3980"/>
    <w:rsid w:val="000A70E8"/>
    <w:rsid w:val="000B1AA5"/>
    <w:rsid w:val="000C7708"/>
    <w:rsid w:val="000E1308"/>
    <w:rsid w:val="00127A15"/>
    <w:rsid w:val="001437BF"/>
    <w:rsid w:val="00152F20"/>
    <w:rsid w:val="001644F7"/>
    <w:rsid w:val="001656DA"/>
    <w:rsid w:val="00197D24"/>
    <w:rsid w:val="001C3A0F"/>
    <w:rsid w:val="00225278"/>
    <w:rsid w:val="002338D9"/>
    <w:rsid w:val="00240437"/>
    <w:rsid w:val="00240848"/>
    <w:rsid w:val="002600F4"/>
    <w:rsid w:val="00272DD9"/>
    <w:rsid w:val="00273A49"/>
    <w:rsid w:val="00274D05"/>
    <w:rsid w:val="00280E84"/>
    <w:rsid w:val="00281061"/>
    <w:rsid w:val="00295EB6"/>
    <w:rsid w:val="002A77EC"/>
    <w:rsid w:val="002B1884"/>
    <w:rsid w:val="002C343A"/>
    <w:rsid w:val="002D047B"/>
    <w:rsid w:val="002D058B"/>
    <w:rsid w:val="002E0B15"/>
    <w:rsid w:val="002F325B"/>
    <w:rsid w:val="00303DBF"/>
    <w:rsid w:val="003231C3"/>
    <w:rsid w:val="003A3D15"/>
    <w:rsid w:val="003B1DB6"/>
    <w:rsid w:val="003B537D"/>
    <w:rsid w:val="003B6876"/>
    <w:rsid w:val="003E5432"/>
    <w:rsid w:val="004117A4"/>
    <w:rsid w:val="00414FF7"/>
    <w:rsid w:val="00422EB0"/>
    <w:rsid w:val="00424884"/>
    <w:rsid w:val="004277CB"/>
    <w:rsid w:val="00433436"/>
    <w:rsid w:val="004839E0"/>
    <w:rsid w:val="0048769D"/>
    <w:rsid w:val="00491FFD"/>
    <w:rsid w:val="00496232"/>
    <w:rsid w:val="004B2DAE"/>
    <w:rsid w:val="004B736C"/>
    <w:rsid w:val="004D73C5"/>
    <w:rsid w:val="004E1E09"/>
    <w:rsid w:val="004F22FB"/>
    <w:rsid w:val="0050309B"/>
    <w:rsid w:val="00504410"/>
    <w:rsid w:val="00511143"/>
    <w:rsid w:val="00555C6B"/>
    <w:rsid w:val="00556914"/>
    <w:rsid w:val="005670D7"/>
    <w:rsid w:val="00583E28"/>
    <w:rsid w:val="005962AD"/>
    <w:rsid w:val="005B6F8C"/>
    <w:rsid w:val="005D5244"/>
    <w:rsid w:val="005D5E18"/>
    <w:rsid w:val="0061240B"/>
    <w:rsid w:val="0061751D"/>
    <w:rsid w:val="00617CD9"/>
    <w:rsid w:val="0062780C"/>
    <w:rsid w:val="006310E0"/>
    <w:rsid w:val="00637415"/>
    <w:rsid w:val="00645BC1"/>
    <w:rsid w:val="006524EF"/>
    <w:rsid w:val="00654E2C"/>
    <w:rsid w:val="006677EC"/>
    <w:rsid w:val="00671281"/>
    <w:rsid w:val="006A06E2"/>
    <w:rsid w:val="006B4C96"/>
    <w:rsid w:val="006C5AA5"/>
    <w:rsid w:val="006D7C0E"/>
    <w:rsid w:val="006E355A"/>
    <w:rsid w:val="006E5F71"/>
    <w:rsid w:val="006F080D"/>
    <w:rsid w:val="00704E70"/>
    <w:rsid w:val="00706E2F"/>
    <w:rsid w:val="00707690"/>
    <w:rsid w:val="0071280F"/>
    <w:rsid w:val="00724457"/>
    <w:rsid w:val="00732C19"/>
    <w:rsid w:val="00756C78"/>
    <w:rsid w:val="00765D23"/>
    <w:rsid w:val="00767346"/>
    <w:rsid w:val="00786035"/>
    <w:rsid w:val="007B7495"/>
    <w:rsid w:val="007D0547"/>
    <w:rsid w:val="007F4922"/>
    <w:rsid w:val="00803816"/>
    <w:rsid w:val="00807026"/>
    <w:rsid w:val="00813D88"/>
    <w:rsid w:val="00837BA6"/>
    <w:rsid w:val="008511B9"/>
    <w:rsid w:val="00861FE3"/>
    <w:rsid w:val="0086771E"/>
    <w:rsid w:val="0088411A"/>
    <w:rsid w:val="008855F4"/>
    <w:rsid w:val="00894A72"/>
    <w:rsid w:val="008B13D1"/>
    <w:rsid w:val="008C5E65"/>
    <w:rsid w:val="008C6764"/>
    <w:rsid w:val="0092392C"/>
    <w:rsid w:val="00925636"/>
    <w:rsid w:val="00934440"/>
    <w:rsid w:val="00953CF1"/>
    <w:rsid w:val="009579B4"/>
    <w:rsid w:val="00966F63"/>
    <w:rsid w:val="0097030F"/>
    <w:rsid w:val="009713F4"/>
    <w:rsid w:val="00972ED4"/>
    <w:rsid w:val="00976A21"/>
    <w:rsid w:val="00977A34"/>
    <w:rsid w:val="0098472A"/>
    <w:rsid w:val="00994092"/>
    <w:rsid w:val="00995065"/>
    <w:rsid w:val="00996BB3"/>
    <w:rsid w:val="009A5DED"/>
    <w:rsid w:val="009C7563"/>
    <w:rsid w:val="009E238D"/>
    <w:rsid w:val="009E5E12"/>
    <w:rsid w:val="009F596C"/>
    <w:rsid w:val="00A00FDA"/>
    <w:rsid w:val="00A0180D"/>
    <w:rsid w:val="00A14844"/>
    <w:rsid w:val="00A1595F"/>
    <w:rsid w:val="00A41A99"/>
    <w:rsid w:val="00A572E8"/>
    <w:rsid w:val="00A81CF8"/>
    <w:rsid w:val="00A97345"/>
    <w:rsid w:val="00AA00EF"/>
    <w:rsid w:val="00AA4C6B"/>
    <w:rsid w:val="00AD0D66"/>
    <w:rsid w:val="00AD1617"/>
    <w:rsid w:val="00AD68B7"/>
    <w:rsid w:val="00AD747A"/>
    <w:rsid w:val="00AE3564"/>
    <w:rsid w:val="00AF7EE2"/>
    <w:rsid w:val="00B130C5"/>
    <w:rsid w:val="00B14A31"/>
    <w:rsid w:val="00B4148D"/>
    <w:rsid w:val="00B56729"/>
    <w:rsid w:val="00B60962"/>
    <w:rsid w:val="00B64811"/>
    <w:rsid w:val="00B64EF2"/>
    <w:rsid w:val="00B81798"/>
    <w:rsid w:val="00B83CE3"/>
    <w:rsid w:val="00B910AB"/>
    <w:rsid w:val="00BC3C5B"/>
    <w:rsid w:val="00BE2B6C"/>
    <w:rsid w:val="00BE4C88"/>
    <w:rsid w:val="00BE5B55"/>
    <w:rsid w:val="00C0228D"/>
    <w:rsid w:val="00C35101"/>
    <w:rsid w:val="00C41015"/>
    <w:rsid w:val="00C46DE8"/>
    <w:rsid w:val="00C71885"/>
    <w:rsid w:val="00C83E71"/>
    <w:rsid w:val="00C877E2"/>
    <w:rsid w:val="00C92927"/>
    <w:rsid w:val="00C93661"/>
    <w:rsid w:val="00CA5F16"/>
    <w:rsid w:val="00CB24B4"/>
    <w:rsid w:val="00CB2842"/>
    <w:rsid w:val="00CB3ACC"/>
    <w:rsid w:val="00CC3C1E"/>
    <w:rsid w:val="00CD1051"/>
    <w:rsid w:val="00D0317D"/>
    <w:rsid w:val="00D209DA"/>
    <w:rsid w:val="00D25F76"/>
    <w:rsid w:val="00D44DCD"/>
    <w:rsid w:val="00D618E0"/>
    <w:rsid w:val="00D6512F"/>
    <w:rsid w:val="00D93CE6"/>
    <w:rsid w:val="00D94C82"/>
    <w:rsid w:val="00DA3B00"/>
    <w:rsid w:val="00DD3FAC"/>
    <w:rsid w:val="00DD6C7E"/>
    <w:rsid w:val="00DE6107"/>
    <w:rsid w:val="00DF05B3"/>
    <w:rsid w:val="00DF3E67"/>
    <w:rsid w:val="00E027A6"/>
    <w:rsid w:val="00E34BC6"/>
    <w:rsid w:val="00E66838"/>
    <w:rsid w:val="00E9775A"/>
    <w:rsid w:val="00EA0CBA"/>
    <w:rsid w:val="00F20329"/>
    <w:rsid w:val="00F51E78"/>
    <w:rsid w:val="00F545B7"/>
    <w:rsid w:val="00F54914"/>
    <w:rsid w:val="00F60E6A"/>
    <w:rsid w:val="00F73250"/>
    <w:rsid w:val="00F7781D"/>
    <w:rsid w:val="00F91675"/>
    <w:rsid w:val="00F9536C"/>
    <w:rsid w:val="00FB2874"/>
    <w:rsid w:val="00FB43DC"/>
    <w:rsid w:val="00FB50AC"/>
    <w:rsid w:val="00FB5E20"/>
    <w:rsid w:val="00FC5B26"/>
    <w:rsid w:val="00FD6EE9"/>
    <w:rsid w:val="00FE14EA"/>
    <w:rsid w:val="00FF7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7F26"/>
  <w15:chartTrackingRefBased/>
  <w15:docId w15:val="{8C595ADC-E86B-4B63-BF7E-639D063B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B43DC"/>
  </w:style>
  <w:style w:type="paragraph" w:styleId="Nadpis1">
    <w:name w:val="heading 1"/>
    <w:basedOn w:val="Normln"/>
    <w:next w:val="Normln"/>
    <w:link w:val="Nadpis1Char"/>
    <w:qFormat/>
    <w:rsid w:val="00654E2C"/>
    <w:pPr>
      <w:keepNext/>
      <w:spacing w:after="0" w:line="240" w:lineRule="auto"/>
      <w:jc w:val="center"/>
      <w:outlineLvl w:val="0"/>
    </w:pPr>
    <w:rPr>
      <w:rFonts w:ascii="Times New Roman" w:eastAsia="Times New Roman" w:hAnsi="Times New Roman" w:cs="Times New Roman"/>
      <w:b/>
      <w:bCs/>
      <w:caps/>
      <w:sz w:val="36"/>
      <w:szCs w:val="24"/>
      <w:lang w:eastAsia="cs-CZ"/>
    </w:rPr>
  </w:style>
  <w:style w:type="paragraph" w:styleId="Nadpis3">
    <w:name w:val="heading 3"/>
    <w:basedOn w:val="Normln"/>
    <w:next w:val="Normln"/>
    <w:link w:val="Nadpis3Char"/>
    <w:semiHidden/>
    <w:unhideWhenUsed/>
    <w:qFormat/>
    <w:rsid w:val="00654E2C"/>
    <w:pPr>
      <w:keepNext/>
      <w:spacing w:after="0" w:line="240" w:lineRule="auto"/>
      <w:jc w:val="center"/>
      <w:outlineLvl w:val="2"/>
    </w:pPr>
    <w:rPr>
      <w:rFonts w:ascii="Times New Roman" w:eastAsia="Times New Roman" w:hAnsi="Times New Roman" w:cs="Times New Roman"/>
      <w:b/>
      <w:bCs/>
      <w:sz w:val="28"/>
      <w:szCs w:val="24"/>
      <w:lang w:eastAsia="cs-CZ"/>
    </w:rPr>
  </w:style>
  <w:style w:type="paragraph" w:styleId="Nadpis6">
    <w:name w:val="heading 6"/>
    <w:basedOn w:val="Normln"/>
    <w:next w:val="Normln"/>
    <w:link w:val="Nadpis6Char"/>
    <w:qFormat/>
    <w:rsid w:val="00654E2C"/>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54E2C"/>
    <w:rPr>
      <w:rFonts w:ascii="Times New Roman" w:eastAsia="Times New Roman" w:hAnsi="Times New Roman" w:cs="Times New Roman"/>
      <w:b/>
      <w:bCs/>
      <w:caps/>
      <w:sz w:val="36"/>
      <w:szCs w:val="24"/>
      <w:lang w:eastAsia="cs-CZ"/>
    </w:rPr>
  </w:style>
  <w:style w:type="character" w:customStyle="1" w:styleId="Nadpis3Char">
    <w:name w:val="Nadpis 3 Char"/>
    <w:basedOn w:val="Standardnpsmoodstavce"/>
    <w:link w:val="Nadpis3"/>
    <w:semiHidden/>
    <w:rsid w:val="00654E2C"/>
    <w:rPr>
      <w:rFonts w:ascii="Times New Roman" w:eastAsia="Times New Roman" w:hAnsi="Times New Roman" w:cs="Times New Roman"/>
      <w:b/>
      <w:bCs/>
      <w:sz w:val="28"/>
      <w:szCs w:val="24"/>
      <w:lang w:eastAsia="cs-CZ"/>
    </w:rPr>
  </w:style>
  <w:style w:type="paragraph" w:styleId="Nzev">
    <w:name w:val="Title"/>
    <w:basedOn w:val="Normln"/>
    <w:link w:val="NzevChar"/>
    <w:qFormat/>
    <w:rsid w:val="00654E2C"/>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654E2C"/>
    <w:rPr>
      <w:rFonts w:ascii="Times New Roman" w:eastAsia="Times New Roman" w:hAnsi="Times New Roman" w:cs="Times New Roman"/>
      <w:b/>
      <w:bCs/>
      <w:sz w:val="28"/>
      <w:szCs w:val="24"/>
      <w:lang w:eastAsia="cs-CZ"/>
    </w:rPr>
  </w:style>
  <w:style w:type="paragraph" w:styleId="Zkladntext">
    <w:name w:val="Body Text"/>
    <w:basedOn w:val="Normln"/>
    <w:link w:val="ZkladntextChar"/>
    <w:unhideWhenUsed/>
    <w:rsid w:val="00654E2C"/>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654E2C"/>
    <w:rPr>
      <w:rFonts w:ascii="Times New Roman" w:eastAsia="Times New Roman" w:hAnsi="Times New Roman" w:cs="Times New Roman"/>
      <w:sz w:val="24"/>
      <w:szCs w:val="20"/>
      <w:lang w:eastAsia="cs-CZ"/>
    </w:rPr>
  </w:style>
  <w:style w:type="character" w:styleId="Siln">
    <w:name w:val="Strong"/>
    <w:basedOn w:val="Standardnpsmoodstavce"/>
    <w:qFormat/>
    <w:rsid w:val="00654E2C"/>
    <w:rPr>
      <w:b/>
      <w:bCs/>
    </w:rPr>
  </w:style>
  <w:style w:type="character" w:customStyle="1" w:styleId="Nadpis6Char">
    <w:name w:val="Nadpis 6 Char"/>
    <w:basedOn w:val="Standardnpsmoodstavce"/>
    <w:link w:val="Nadpis6"/>
    <w:rsid w:val="00654E2C"/>
    <w:rPr>
      <w:rFonts w:ascii="Times New Roman" w:eastAsia="Times New Roman" w:hAnsi="Times New Roman" w:cs="Times New Roman"/>
      <w:b/>
      <w:bCs/>
      <w:lang w:eastAsia="cs-CZ"/>
    </w:rPr>
  </w:style>
  <w:style w:type="paragraph" w:styleId="Textbubliny">
    <w:name w:val="Balloon Text"/>
    <w:basedOn w:val="Normln"/>
    <w:link w:val="TextbublinyChar"/>
    <w:uiPriority w:val="99"/>
    <w:semiHidden/>
    <w:unhideWhenUsed/>
    <w:rsid w:val="00E97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775A"/>
    <w:rPr>
      <w:rFonts w:ascii="Segoe UI" w:hAnsi="Segoe UI" w:cs="Segoe UI"/>
      <w:sz w:val="18"/>
      <w:szCs w:val="18"/>
    </w:rPr>
  </w:style>
  <w:style w:type="paragraph" w:styleId="Bezmezer">
    <w:name w:val="No Spacing"/>
    <w:uiPriority w:val="1"/>
    <w:qFormat/>
    <w:rsid w:val="00004D3E"/>
    <w:pPr>
      <w:suppressAutoHyphens/>
      <w:spacing w:after="0" w:line="240" w:lineRule="auto"/>
    </w:pPr>
    <w:rPr>
      <w:rFonts w:ascii="Tahoma" w:eastAsia="Droid Sans" w:hAnsi="Tahoma" w:cs="Mangal"/>
      <w:kern w:val="1"/>
      <w:sz w:val="20"/>
      <w:szCs w:val="24"/>
      <w:lang w:eastAsia="zh-CN" w:bidi="hi-IN"/>
    </w:rPr>
  </w:style>
  <w:style w:type="paragraph" w:styleId="Textpoznpodarou">
    <w:name w:val="footnote text"/>
    <w:basedOn w:val="Normln"/>
    <w:link w:val="TextpoznpodarouChar"/>
    <w:uiPriority w:val="99"/>
    <w:semiHidden/>
    <w:unhideWhenUsed/>
    <w:rsid w:val="00894A72"/>
    <w:pPr>
      <w:spacing w:after="0" w:line="240"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semiHidden/>
    <w:rsid w:val="00894A72"/>
    <w:rPr>
      <w:rFonts w:ascii="Calibri" w:eastAsia="Calibri" w:hAnsi="Calibri" w:cs="Times New Roman"/>
      <w:sz w:val="20"/>
      <w:szCs w:val="20"/>
      <w:lang w:val="x-none"/>
    </w:rPr>
  </w:style>
  <w:style w:type="character" w:styleId="Znakapoznpodarou">
    <w:name w:val="footnote reference"/>
    <w:uiPriority w:val="99"/>
    <w:semiHidden/>
    <w:unhideWhenUsed/>
    <w:rsid w:val="00894A72"/>
    <w:rPr>
      <w:vertAlign w:val="superscript"/>
    </w:rPr>
  </w:style>
  <w:style w:type="paragraph" w:styleId="Zhlav">
    <w:name w:val="header"/>
    <w:basedOn w:val="Normln"/>
    <w:link w:val="ZhlavChar"/>
    <w:uiPriority w:val="99"/>
    <w:unhideWhenUsed/>
    <w:rsid w:val="00DD3F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3FAC"/>
  </w:style>
  <w:style w:type="paragraph" w:styleId="Zpat">
    <w:name w:val="footer"/>
    <w:basedOn w:val="Normln"/>
    <w:link w:val="ZpatChar"/>
    <w:uiPriority w:val="99"/>
    <w:unhideWhenUsed/>
    <w:rsid w:val="00DD3FAC"/>
    <w:pPr>
      <w:tabs>
        <w:tab w:val="center" w:pos="4536"/>
        <w:tab w:val="right" w:pos="9072"/>
      </w:tabs>
      <w:spacing w:after="0" w:line="240" w:lineRule="auto"/>
    </w:pPr>
  </w:style>
  <w:style w:type="character" w:customStyle="1" w:styleId="ZpatChar">
    <w:name w:val="Zápatí Char"/>
    <w:basedOn w:val="Standardnpsmoodstavce"/>
    <w:link w:val="Zpat"/>
    <w:uiPriority w:val="99"/>
    <w:rsid w:val="00DD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358">
      <w:bodyDiv w:val="1"/>
      <w:marLeft w:val="0"/>
      <w:marRight w:val="0"/>
      <w:marTop w:val="0"/>
      <w:marBottom w:val="0"/>
      <w:divBdr>
        <w:top w:val="none" w:sz="0" w:space="0" w:color="auto"/>
        <w:left w:val="none" w:sz="0" w:space="0" w:color="auto"/>
        <w:bottom w:val="none" w:sz="0" w:space="0" w:color="auto"/>
        <w:right w:val="none" w:sz="0" w:space="0" w:color="auto"/>
      </w:divBdr>
    </w:div>
    <w:div w:id="140124633">
      <w:bodyDiv w:val="1"/>
      <w:marLeft w:val="0"/>
      <w:marRight w:val="0"/>
      <w:marTop w:val="0"/>
      <w:marBottom w:val="0"/>
      <w:divBdr>
        <w:top w:val="none" w:sz="0" w:space="0" w:color="auto"/>
        <w:left w:val="none" w:sz="0" w:space="0" w:color="auto"/>
        <w:bottom w:val="none" w:sz="0" w:space="0" w:color="auto"/>
        <w:right w:val="none" w:sz="0" w:space="0" w:color="auto"/>
      </w:divBdr>
    </w:div>
    <w:div w:id="235866488">
      <w:bodyDiv w:val="1"/>
      <w:marLeft w:val="0"/>
      <w:marRight w:val="0"/>
      <w:marTop w:val="0"/>
      <w:marBottom w:val="0"/>
      <w:divBdr>
        <w:top w:val="none" w:sz="0" w:space="0" w:color="auto"/>
        <w:left w:val="none" w:sz="0" w:space="0" w:color="auto"/>
        <w:bottom w:val="none" w:sz="0" w:space="0" w:color="auto"/>
        <w:right w:val="none" w:sz="0" w:space="0" w:color="auto"/>
      </w:divBdr>
    </w:div>
    <w:div w:id="454523988">
      <w:bodyDiv w:val="1"/>
      <w:marLeft w:val="0"/>
      <w:marRight w:val="0"/>
      <w:marTop w:val="0"/>
      <w:marBottom w:val="0"/>
      <w:divBdr>
        <w:top w:val="none" w:sz="0" w:space="0" w:color="auto"/>
        <w:left w:val="none" w:sz="0" w:space="0" w:color="auto"/>
        <w:bottom w:val="none" w:sz="0" w:space="0" w:color="auto"/>
        <w:right w:val="none" w:sz="0" w:space="0" w:color="auto"/>
      </w:divBdr>
    </w:div>
    <w:div w:id="14779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4307</Words>
  <Characters>25412</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Hořínek Michal</dc:creator>
  <cp:keywords/>
  <dc:description/>
  <cp:lastModifiedBy>Kociánová Zuzana</cp:lastModifiedBy>
  <cp:revision>7</cp:revision>
  <cp:lastPrinted>2017-05-19T10:36:00Z</cp:lastPrinted>
  <dcterms:created xsi:type="dcterms:W3CDTF">2020-08-06T12:15:00Z</dcterms:created>
  <dcterms:modified xsi:type="dcterms:W3CDTF">2020-08-10T07:40:00Z</dcterms:modified>
</cp:coreProperties>
</file>