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CA9" w14:textId="77777777" w:rsidR="00B36698" w:rsidRP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4C32D959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162435C6" w14:textId="77777777"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1AAFD424" w14:textId="77777777" w:rsidR="004D5BCC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666A3B7F" w14:textId="77777777" w:rsidR="004D5BCC" w:rsidRPr="00FE0118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062FB7DD" w14:textId="1A41A123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9E5E93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14796FD9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4D5BCC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3BB6D1A2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6F94F530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408F1B43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D15B7AD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</w:t>
      </w:r>
      <w:proofErr w:type="gramStart"/>
      <w:r w:rsidRPr="00824FEA">
        <w:rPr>
          <w:rFonts w:ascii="Tahoma" w:hAnsi="Tahoma" w:cs="Tahoma"/>
          <w:sz w:val="20"/>
          <w:szCs w:val="20"/>
        </w:rPr>
        <w:t xml:space="preserve">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824FEA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04872105" w14:textId="3B0E3F2A" w:rsidR="004067D0" w:rsidRPr="007213DD" w:rsidRDefault="00533164" w:rsidP="004067D0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color w:val="00B050"/>
          <w:sz w:val="20"/>
          <w:szCs w:val="20"/>
        </w:rPr>
      </w:pPr>
      <w:r w:rsidRPr="004067D0">
        <w:rPr>
          <w:rFonts w:ascii="Tahoma" w:hAnsi="Tahoma" w:cs="Tahoma"/>
          <w:sz w:val="20"/>
          <w:szCs w:val="20"/>
        </w:rPr>
        <w:t xml:space="preserve">V Čl. IV. odst. 1 smlouvy se částka </w:t>
      </w:r>
      <w:r w:rsidR="00B76DF3" w:rsidRPr="004067D0">
        <w:rPr>
          <w:rFonts w:ascii="Tahoma" w:hAnsi="Tahoma" w:cs="Tahoma"/>
          <w:sz w:val="20"/>
          <w:szCs w:val="20"/>
        </w:rPr>
        <w:t>dotace</w:t>
      </w:r>
      <w:r w:rsidR="004D5BCC">
        <w:rPr>
          <w:rFonts w:ascii="Tahoma" w:hAnsi="Tahoma" w:cs="Tahoma"/>
          <w:sz w:val="20"/>
          <w:szCs w:val="20"/>
        </w:rPr>
        <w:t xml:space="preserve"> </w:t>
      </w:r>
      <w:r w:rsidR="00A00111">
        <w:rPr>
          <w:rFonts w:ascii="Tahoma" w:hAnsi="Tahoma" w:cs="Tahoma"/>
          <w:sz w:val="20"/>
          <w:szCs w:val="20"/>
        </w:rPr>
        <w:t>„</w:t>
      </w:r>
      <w:r w:rsidR="004D5BCC" w:rsidRPr="004067D0">
        <w:rPr>
          <w:rFonts w:ascii="Tahoma" w:hAnsi="Tahoma" w:cs="Tahoma"/>
          <w:sz w:val="20"/>
          <w:szCs w:val="20"/>
        </w:rPr>
        <w:t xml:space="preserve">Kč </w:t>
      </w:r>
      <w:r w:rsidRPr="004067D0">
        <w:rPr>
          <w:rFonts w:ascii="Tahoma" w:hAnsi="Tahoma" w:cs="Tahoma"/>
          <w:sz w:val="20"/>
          <w:szCs w:val="20"/>
        </w:rPr>
        <w:t xml:space="preserve">……. (slovy ………. korun českých)“ nahrazuje částkou </w:t>
      </w:r>
      <w:r w:rsidR="009D23B9">
        <w:rPr>
          <w:rFonts w:ascii="Tahoma" w:hAnsi="Tahoma" w:cs="Tahoma"/>
          <w:sz w:val="20"/>
          <w:szCs w:val="20"/>
        </w:rPr>
        <w:t>„</w:t>
      </w:r>
      <w:r w:rsidR="004D5BCC" w:rsidRPr="004067D0">
        <w:rPr>
          <w:rFonts w:ascii="Tahoma" w:hAnsi="Tahoma" w:cs="Tahoma"/>
          <w:sz w:val="20"/>
          <w:szCs w:val="20"/>
        </w:rPr>
        <w:t>Kč</w:t>
      </w:r>
      <w:proofErr w:type="gramStart"/>
      <w:r w:rsidR="004D5BCC" w:rsidRPr="004067D0">
        <w:rPr>
          <w:rFonts w:ascii="Tahoma" w:hAnsi="Tahoma" w:cs="Tahoma"/>
          <w:sz w:val="20"/>
          <w:szCs w:val="20"/>
        </w:rPr>
        <w:t xml:space="preserve"> </w:t>
      </w:r>
      <w:r w:rsidRPr="004067D0">
        <w:rPr>
          <w:rFonts w:ascii="Tahoma" w:hAnsi="Tahoma" w:cs="Tahoma"/>
          <w:sz w:val="20"/>
          <w:szCs w:val="20"/>
        </w:rPr>
        <w:t>…</w:t>
      </w:r>
      <w:r w:rsidR="006A7848" w:rsidRPr="004067D0">
        <w:rPr>
          <w:rFonts w:ascii="Tahoma" w:hAnsi="Tahoma" w:cs="Tahoma"/>
          <w:sz w:val="20"/>
          <w:szCs w:val="20"/>
        </w:rPr>
        <w:t>.</w:t>
      </w:r>
      <w:proofErr w:type="gramEnd"/>
      <w:r w:rsidR="006A7848" w:rsidRPr="004067D0">
        <w:rPr>
          <w:rFonts w:ascii="Tahoma" w:hAnsi="Tahoma" w:cs="Tahoma"/>
          <w:sz w:val="20"/>
          <w:szCs w:val="20"/>
        </w:rPr>
        <w:t>.</w:t>
      </w:r>
      <w:r w:rsidRPr="004067D0">
        <w:rPr>
          <w:rFonts w:ascii="Tahoma" w:hAnsi="Tahoma" w:cs="Tahoma"/>
          <w:sz w:val="20"/>
          <w:szCs w:val="20"/>
        </w:rPr>
        <w:t xml:space="preserve">… (slovy </w:t>
      </w:r>
      <w:r w:rsidR="006A7848" w:rsidRPr="004067D0">
        <w:rPr>
          <w:rFonts w:ascii="Tahoma" w:hAnsi="Tahoma" w:cs="Tahoma"/>
          <w:sz w:val="20"/>
          <w:szCs w:val="20"/>
        </w:rPr>
        <w:t xml:space="preserve">………. </w:t>
      </w:r>
      <w:r w:rsidRPr="004067D0">
        <w:rPr>
          <w:rFonts w:ascii="Tahoma" w:hAnsi="Tahoma" w:cs="Tahoma"/>
          <w:sz w:val="20"/>
          <w:szCs w:val="20"/>
        </w:rPr>
        <w:t>korun českých)“</w:t>
      </w:r>
      <w:r w:rsidR="00B76DF3" w:rsidRPr="004067D0">
        <w:rPr>
          <w:rFonts w:ascii="Tahoma" w:hAnsi="Tahoma" w:cs="Tahoma"/>
          <w:sz w:val="20"/>
          <w:szCs w:val="20"/>
        </w:rPr>
        <w:t xml:space="preserve">. </w:t>
      </w:r>
      <w:r w:rsidR="004D5BCC" w:rsidRPr="001C464E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Uvede se celková částka včetně dofinancování za všechny </w:t>
      </w:r>
      <w:r w:rsidR="004D5BCC" w:rsidRPr="00ED1537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sociální služby. </w:t>
      </w:r>
    </w:p>
    <w:p w14:paraId="5DFB4391" w14:textId="7CFAE922" w:rsidR="007D364B" w:rsidRPr="00CE7B49" w:rsidRDefault="007D364B" w:rsidP="007D364B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>V Čl. V. odst. 1 smlouvy se nahrazuje text „ve dv</w:t>
      </w:r>
      <w:r>
        <w:rPr>
          <w:rFonts w:ascii="Tahoma" w:hAnsi="Tahoma" w:cs="Tahoma"/>
          <w:sz w:val="20"/>
          <w:szCs w:val="20"/>
        </w:rPr>
        <w:t>ou splátkách“ textem „ve čtyřech</w:t>
      </w:r>
      <w:r w:rsidRPr="00613AA2">
        <w:rPr>
          <w:rFonts w:ascii="Tahoma" w:hAnsi="Tahoma" w:cs="Tahoma"/>
          <w:sz w:val="20"/>
          <w:szCs w:val="20"/>
        </w:rPr>
        <w:t xml:space="preserve"> splátkách“</w:t>
      </w:r>
      <w:r>
        <w:rPr>
          <w:rFonts w:ascii="Tahoma" w:hAnsi="Tahoma" w:cs="Tahoma"/>
          <w:sz w:val="20"/>
          <w:szCs w:val="20"/>
        </w:rPr>
        <w:t xml:space="preserve"> a doplňuje se písm. c) a d) ve znění: </w:t>
      </w:r>
    </w:p>
    <w:p w14:paraId="0B5BFB54" w14:textId="77777777" w:rsidR="007D364B" w:rsidRDefault="007D364B" w:rsidP="007D364B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„c) </w:t>
      </w:r>
      <w:r>
        <w:rPr>
          <w:rFonts w:ascii="Tahoma" w:hAnsi="Tahoma" w:cs="Tahoma"/>
          <w:sz w:val="20"/>
          <w:szCs w:val="20"/>
        </w:rPr>
        <w:tab/>
      </w:r>
      <w:r w:rsidRPr="00CE7B49">
        <w:rPr>
          <w:rFonts w:ascii="Tahoma" w:hAnsi="Tahoma" w:cs="Tahoma"/>
          <w:sz w:val="20"/>
          <w:szCs w:val="20"/>
        </w:rPr>
        <w:t xml:space="preserve">třetí splátka ve výši </w:t>
      </w:r>
      <w:r>
        <w:rPr>
          <w:rFonts w:ascii="Tahoma" w:hAnsi="Tahoma" w:cs="Tahoma"/>
          <w:sz w:val="20"/>
          <w:szCs w:val="20"/>
        </w:rPr>
        <w:t xml:space="preserve">Kč 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 xml:space="preserve">. (slovy ……… korun českých), bude na účet příjemce převedena nejpozději </w:t>
      </w:r>
      <w:r w:rsidRPr="00613AA2">
        <w:rPr>
          <w:rFonts w:ascii="Tahoma" w:hAnsi="Tahoma" w:cs="Tahoma"/>
          <w:sz w:val="20"/>
          <w:szCs w:val="20"/>
        </w:rPr>
        <w:t xml:space="preserve">do 30 dnů ode dne nabytí účinnosti dodatku č. …...,“.  </w:t>
      </w:r>
      <w:r w:rsidRPr="007D364B">
        <w:rPr>
          <w:rFonts w:ascii="Tahoma" w:hAnsi="Tahoma" w:cs="Tahoma"/>
          <w:i/>
          <w:color w:val="548DD4" w:themeColor="text2" w:themeTint="99"/>
          <w:sz w:val="20"/>
          <w:szCs w:val="20"/>
        </w:rPr>
        <w:t>(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smlouvy)</w:t>
      </w:r>
    </w:p>
    <w:p w14:paraId="62C57D56" w14:textId="58417DAB" w:rsidR="007D364B" w:rsidRPr="00613AA2" w:rsidRDefault="007D364B" w:rsidP="007D364B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>„d)</w:t>
      </w:r>
      <w:r>
        <w:rPr>
          <w:rFonts w:ascii="Tahoma" w:hAnsi="Tahoma" w:cs="Tahoma"/>
          <w:sz w:val="20"/>
          <w:szCs w:val="20"/>
        </w:rPr>
        <w:tab/>
      </w:r>
      <w:r w:rsidRPr="00613AA2">
        <w:rPr>
          <w:rFonts w:ascii="Tahoma" w:hAnsi="Tahoma" w:cs="Tahoma"/>
          <w:sz w:val="20"/>
          <w:szCs w:val="20"/>
        </w:rPr>
        <w:t>čtvrtá splátka ve výši zbývající nevyplacené částky dotace dle čl. IV této smlouvy, bude na</w:t>
      </w:r>
      <w:r>
        <w:rPr>
          <w:rFonts w:ascii="Tahoma" w:hAnsi="Tahoma" w:cs="Tahoma"/>
          <w:sz w:val="20"/>
          <w:szCs w:val="20"/>
        </w:rPr>
        <w:t> </w:t>
      </w:r>
      <w:r w:rsidRPr="00613AA2">
        <w:rPr>
          <w:rFonts w:ascii="Tahoma" w:hAnsi="Tahoma" w:cs="Tahoma"/>
          <w:sz w:val="20"/>
          <w:szCs w:val="20"/>
        </w:rPr>
        <w:t xml:space="preserve">účet příjemce převedena nejpozději do </w:t>
      </w:r>
      <w:r w:rsidR="007E6628">
        <w:rPr>
          <w:rFonts w:ascii="Tahoma" w:hAnsi="Tahoma" w:cs="Tahoma"/>
          <w:sz w:val="20"/>
          <w:szCs w:val="20"/>
        </w:rPr>
        <w:t>6</w:t>
      </w:r>
      <w:r w:rsidRPr="00613AA2">
        <w:rPr>
          <w:rFonts w:ascii="Tahoma" w:hAnsi="Tahoma" w:cs="Tahoma"/>
          <w:sz w:val="20"/>
          <w:szCs w:val="20"/>
        </w:rPr>
        <w:t>0 dnů ode dne nabytí účinnosti dodatku č. …... za</w:t>
      </w:r>
      <w:r>
        <w:rPr>
          <w:rFonts w:ascii="Tahoma" w:hAnsi="Tahoma" w:cs="Tahoma"/>
          <w:sz w:val="20"/>
          <w:szCs w:val="20"/>
        </w:rPr>
        <w:t> </w:t>
      </w:r>
      <w:r w:rsidRPr="00613AA2">
        <w:rPr>
          <w:rFonts w:ascii="Tahoma" w:hAnsi="Tahoma" w:cs="Tahoma"/>
          <w:sz w:val="20"/>
          <w:szCs w:val="20"/>
        </w:rPr>
        <w:t xml:space="preserve">podmínky, že poskytovatel obdrží finanční prostředky na základě Dodatku č. </w:t>
      </w:r>
      <w:r>
        <w:rPr>
          <w:rFonts w:ascii="Tahoma" w:hAnsi="Tahoma" w:cs="Tahoma"/>
          <w:sz w:val="20"/>
          <w:szCs w:val="20"/>
        </w:rPr>
        <w:t>1</w:t>
      </w:r>
      <w:r w:rsidRPr="00613AA2">
        <w:rPr>
          <w:rFonts w:ascii="Tahoma" w:hAnsi="Tahoma" w:cs="Tahoma"/>
          <w:sz w:val="20"/>
          <w:szCs w:val="20"/>
        </w:rPr>
        <w:t xml:space="preserve"> k Rozhodnutí o poskytnutí dotace z kapitoly 313 - MPSV státního rozpočtu na rok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 xml:space="preserve">.  </w:t>
      </w:r>
      <w:r w:rsidRPr="00613AA2">
        <w:rPr>
          <w:rFonts w:ascii="Tahoma" w:hAnsi="Tahoma" w:cs="Tahoma"/>
          <w:bCs/>
          <w:sz w:val="20"/>
        </w:rPr>
        <w:t>V případě, že ke</w:t>
      </w:r>
      <w:r>
        <w:rPr>
          <w:rFonts w:ascii="Tahoma" w:hAnsi="Tahoma" w:cs="Tahoma"/>
          <w:bCs/>
          <w:sz w:val="20"/>
        </w:rPr>
        <w:t> </w:t>
      </w:r>
      <w:r w:rsidRPr="00613AA2">
        <w:rPr>
          <w:rFonts w:ascii="Tahoma" w:hAnsi="Tahoma" w:cs="Tahoma"/>
          <w:bCs/>
          <w:sz w:val="20"/>
        </w:rPr>
        <w:t>dni nabytí účinnosti Dodatku č. …… poskytovatel neobdrží splátku dotace z kapitoly 313 – MPSV státního rozpočtu na r. 20</w:t>
      </w:r>
      <w:r>
        <w:rPr>
          <w:rFonts w:ascii="Tahoma" w:hAnsi="Tahoma" w:cs="Tahoma"/>
          <w:bCs/>
          <w:sz w:val="20"/>
        </w:rPr>
        <w:t>20</w:t>
      </w:r>
      <w:r w:rsidRPr="00613AA2">
        <w:rPr>
          <w:rFonts w:ascii="Tahoma" w:hAnsi="Tahoma" w:cs="Tahoma"/>
          <w:bCs/>
          <w:sz w:val="20"/>
        </w:rPr>
        <w:t xml:space="preserve">, bude splátka dotace poskytnuta příjemci nejpozději do </w:t>
      </w:r>
      <w:r w:rsidR="007E6628">
        <w:rPr>
          <w:rFonts w:ascii="Tahoma" w:hAnsi="Tahoma" w:cs="Tahoma"/>
          <w:bCs/>
          <w:sz w:val="20"/>
        </w:rPr>
        <w:t>6</w:t>
      </w:r>
      <w:r w:rsidRPr="00613AA2">
        <w:rPr>
          <w:rFonts w:ascii="Tahoma" w:hAnsi="Tahoma" w:cs="Tahoma"/>
          <w:bCs/>
          <w:sz w:val="20"/>
        </w:rPr>
        <w:t xml:space="preserve">0 dnů ode dne, kdy poskytovatel obdrží splátku dotace ze státního rozpočtu. </w:t>
      </w:r>
    </w:p>
    <w:p w14:paraId="4D663272" w14:textId="76C23CA2" w:rsidR="007D364B" w:rsidRPr="00613AA2" w:rsidRDefault="007D364B" w:rsidP="007D364B">
      <w:pPr>
        <w:pStyle w:val="Odstavecseseznamem"/>
        <w:spacing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613AA2">
        <w:rPr>
          <w:rFonts w:ascii="Tahoma" w:hAnsi="Tahoma" w:cs="Tahoma"/>
          <w:bCs/>
          <w:sz w:val="20"/>
        </w:rPr>
        <w:lastRenderedPageBreak/>
        <w:t xml:space="preserve">V případě, že poskytovatel </w:t>
      </w:r>
      <w:r w:rsidRPr="00613AA2">
        <w:rPr>
          <w:rFonts w:ascii="Tahoma" w:hAnsi="Tahoma" w:cs="Tahoma"/>
          <w:sz w:val="20"/>
          <w:szCs w:val="20"/>
        </w:rPr>
        <w:t xml:space="preserve">finanční prostředky na základě Dodatku č. </w:t>
      </w:r>
      <w:r>
        <w:rPr>
          <w:rFonts w:ascii="Tahoma" w:hAnsi="Tahoma" w:cs="Tahoma"/>
          <w:sz w:val="20"/>
          <w:szCs w:val="20"/>
        </w:rPr>
        <w:t>1</w:t>
      </w:r>
      <w:r w:rsidRPr="00613AA2">
        <w:rPr>
          <w:rFonts w:ascii="Tahoma" w:hAnsi="Tahoma" w:cs="Tahoma"/>
          <w:sz w:val="20"/>
          <w:szCs w:val="20"/>
        </w:rPr>
        <w:t xml:space="preserve"> k Rozhodnutí o</w:t>
      </w:r>
      <w:r>
        <w:rPr>
          <w:rFonts w:ascii="Tahoma" w:hAnsi="Tahoma" w:cs="Tahoma"/>
          <w:sz w:val="20"/>
          <w:szCs w:val="20"/>
        </w:rPr>
        <w:t> </w:t>
      </w:r>
      <w:r w:rsidRPr="00613AA2">
        <w:rPr>
          <w:rFonts w:ascii="Tahoma" w:hAnsi="Tahoma" w:cs="Tahoma"/>
          <w:sz w:val="20"/>
          <w:szCs w:val="20"/>
        </w:rPr>
        <w:t>poskytnutí dotace z kapitoly 313 - MPSV státního rozpočtu na rok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 xml:space="preserve"> neobdrží v termínu do </w:t>
      </w:r>
      <w:r w:rsidR="001A7CC3">
        <w:rPr>
          <w:rFonts w:ascii="Tahoma" w:hAnsi="Tahoma" w:cs="Tahoma"/>
          <w:sz w:val="20"/>
          <w:szCs w:val="20"/>
        </w:rPr>
        <w:t>18</w:t>
      </w:r>
      <w:r w:rsidRPr="00613AA2">
        <w:rPr>
          <w:rFonts w:ascii="Tahoma" w:hAnsi="Tahoma" w:cs="Tahoma"/>
          <w:sz w:val="20"/>
          <w:szCs w:val="20"/>
        </w:rPr>
        <w:t>. 12.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>, nebude čtvrtá splátka příjemci poskytnuta a celková výše dotace dle čl. IV smlouvy se úměrně sníží. V případě, že poskytnuté finanční prostředky na základě Dodatku č. </w:t>
      </w:r>
      <w:r>
        <w:rPr>
          <w:rFonts w:ascii="Tahoma" w:hAnsi="Tahoma" w:cs="Tahoma"/>
          <w:sz w:val="20"/>
          <w:szCs w:val="20"/>
        </w:rPr>
        <w:t>1</w:t>
      </w:r>
      <w:r w:rsidRPr="00613AA2">
        <w:rPr>
          <w:rFonts w:ascii="Tahoma" w:hAnsi="Tahoma" w:cs="Tahoma"/>
          <w:sz w:val="20"/>
          <w:szCs w:val="20"/>
        </w:rPr>
        <w:t xml:space="preserve"> k Rozhodnutí o poskytnutí dotace z kapitoly 313 - MPSV státního rozpočtu na rok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 xml:space="preserve"> budou nižší, než předpokládá smlouva, bude výše čtvrté splátky dotace poměrně krácena dle vzorce </w:t>
      </w:r>
    </w:p>
    <w:tbl>
      <w:tblPr>
        <w:tblStyle w:val="Mkatabulky"/>
        <w:tblW w:w="7938" w:type="dxa"/>
        <w:tblInd w:w="1418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7D364B" w14:paraId="266B1378" w14:textId="77777777" w:rsidTr="007D335E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AA0FF6" w14:textId="77777777" w:rsidR="007D364B" w:rsidRDefault="007D364B" w:rsidP="007D335E">
            <w:pPr>
              <w:ind w:left="1418" w:hanging="1418"/>
              <w:jc w:val="both"/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Skutečně přidělené finanční prostředky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33452" w14:textId="47E3E7C9" w:rsidR="007D364B" w:rsidRDefault="007D364B" w:rsidP="007D335E">
            <w:pPr>
              <w:ind w:left="176" w:hanging="17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 Schválená výše finančních prostředků dofinancování dle Dodatku č. 1</w:t>
            </w:r>
            <w:r w:rsidR="003843CF">
              <w:rPr>
                <w:rFonts w:ascii="Tahoma" w:hAnsi="Tahoma" w:cs="Tahoma"/>
                <w:sz w:val="20"/>
                <w:szCs w:val="20"/>
              </w:rPr>
              <w:t xml:space="preserve"> k</w:t>
            </w:r>
            <w:r>
              <w:rPr>
                <w:rFonts w:ascii="Tahoma" w:hAnsi="Tahoma" w:cs="Tahoma"/>
                <w:sz w:val="20"/>
                <w:szCs w:val="20"/>
              </w:rPr>
              <w:t xml:space="preserve"> Rozhodnutí,</w:t>
            </w:r>
          </w:p>
        </w:tc>
      </w:tr>
      <w:tr w:rsidR="007D364B" w14:paraId="014D13AD" w14:textId="77777777" w:rsidTr="007D335E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D6A8CC" w14:textId="6ADC3335" w:rsidR="007D364B" w:rsidRDefault="003843CF" w:rsidP="007D3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321.443.758 </w:t>
            </w:r>
            <w:r w:rsidR="007D364B"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6A1E1" w14:textId="77777777" w:rsidR="007D364B" w:rsidRDefault="007D364B" w:rsidP="007D335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4F88CA6" w14:textId="3992A35B" w:rsidR="007D364B" w:rsidRPr="00117E15" w:rsidRDefault="007D364B" w:rsidP="007D364B">
      <w:pPr>
        <w:pStyle w:val="Odstavecseseznamem"/>
        <w:spacing w:before="120" w:line="240" w:lineRule="auto"/>
        <w:ind w:left="851"/>
        <w:contextualSpacing w:val="0"/>
        <w:jc w:val="both"/>
        <w:rPr>
          <w:rFonts w:ascii="Tahoma" w:hAnsi="Tahoma" w:cs="Tahoma"/>
          <w:b/>
          <w:iCs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 xml:space="preserve">snížená částka bude zaokrouhlena matematicky na celé </w:t>
      </w:r>
      <w:r>
        <w:rPr>
          <w:rFonts w:ascii="Tahoma" w:hAnsi="Tahoma" w:cs="Tahoma"/>
          <w:sz w:val="20"/>
          <w:szCs w:val="20"/>
        </w:rPr>
        <w:t>deseti</w:t>
      </w:r>
      <w:r w:rsidRPr="00613AA2">
        <w:rPr>
          <w:rFonts w:ascii="Tahoma" w:hAnsi="Tahoma" w:cs="Tahoma"/>
          <w:sz w:val="20"/>
          <w:szCs w:val="20"/>
        </w:rPr>
        <w:t xml:space="preserve">koruny dolů a celková výše dotace dle čl. IV smlouvy se úměrně sníží.“. </w:t>
      </w:r>
      <w:bookmarkStart w:id="1" w:name="_Hlk48746146"/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(</w:t>
      </w:r>
      <w:r w:rsid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>Č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íslo dodatku bude doplněno dle příslušné smlouvy</w:t>
      </w: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. </w:t>
      </w:r>
      <w:r w:rsidRP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>Toto ustanovení písm. d</w:t>
      </w:r>
      <w:proofErr w:type="gramStart"/>
      <w:r w:rsidRP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>)  se</w:t>
      </w:r>
      <w:proofErr w:type="gramEnd"/>
      <w:r w:rsidRP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nepoužije v případě, že příjemci je celá částka v rámci dofinancování vyplacena již ve 3. splátce.</w:t>
      </w:r>
      <w:r w:rsid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>)</w:t>
      </w:r>
      <w:bookmarkEnd w:id="1"/>
    </w:p>
    <w:p w14:paraId="16A0B932" w14:textId="44B801EE" w:rsidR="007E0DB9" w:rsidRPr="00613AA2" w:rsidRDefault="007E0DB9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VARIANTA PRO PŘÍSPĚVKOV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É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ORGANIZAC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E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OBCE</w:t>
      </w:r>
    </w:p>
    <w:p w14:paraId="5F171C40" w14:textId="77777777" w:rsidR="007D364B" w:rsidRPr="00CE7B49" w:rsidRDefault="007D364B" w:rsidP="007D364B">
      <w:pPr>
        <w:pStyle w:val="Odstavecseseznamem"/>
        <w:numPr>
          <w:ilvl w:val="0"/>
          <w:numId w:val="14"/>
        </w:numPr>
        <w:spacing w:line="240" w:lineRule="auto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>V Čl. V. odst. 1 smlouvy se nahrazuje text „ve dv</w:t>
      </w:r>
      <w:r>
        <w:rPr>
          <w:rFonts w:ascii="Tahoma" w:hAnsi="Tahoma" w:cs="Tahoma"/>
          <w:sz w:val="20"/>
          <w:szCs w:val="20"/>
        </w:rPr>
        <w:t>ou splátkách“ textem „ve čtyřech</w:t>
      </w:r>
      <w:r w:rsidRPr="00613AA2">
        <w:rPr>
          <w:rFonts w:ascii="Tahoma" w:hAnsi="Tahoma" w:cs="Tahoma"/>
          <w:sz w:val="20"/>
          <w:szCs w:val="20"/>
        </w:rPr>
        <w:t xml:space="preserve"> splátkách“</w:t>
      </w:r>
      <w:r>
        <w:rPr>
          <w:rFonts w:ascii="Tahoma" w:hAnsi="Tahoma" w:cs="Tahoma"/>
          <w:sz w:val="20"/>
          <w:szCs w:val="20"/>
        </w:rPr>
        <w:t xml:space="preserve"> a doplňuje se písm. c) a d) ve znění: </w:t>
      </w:r>
    </w:p>
    <w:p w14:paraId="14A3BAFD" w14:textId="77777777" w:rsidR="007D364B" w:rsidRDefault="007D364B" w:rsidP="007D364B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„c) </w:t>
      </w:r>
      <w:r>
        <w:rPr>
          <w:rFonts w:ascii="Tahoma" w:hAnsi="Tahoma" w:cs="Tahoma"/>
          <w:sz w:val="20"/>
          <w:szCs w:val="20"/>
        </w:rPr>
        <w:tab/>
      </w:r>
      <w:r w:rsidRPr="00CE7B49">
        <w:rPr>
          <w:rFonts w:ascii="Tahoma" w:hAnsi="Tahoma" w:cs="Tahoma"/>
          <w:sz w:val="20"/>
          <w:szCs w:val="20"/>
        </w:rPr>
        <w:t xml:space="preserve">třetí splátka ve výši </w:t>
      </w:r>
      <w:r>
        <w:rPr>
          <w:rFonts w:ascii="Tahoma" w:hAnsi="Tahoma" w:cs="Tahoma"/>
          <w:sz w:val="20"/>
          <w:szCs w:val="20"/>
        </w:rPr>
        <w:t xml:space="preserve">Kč 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 xml:space="preserve">. (slovy ……… korun českých), bude na účet příjemce převedena nejpozději </w:t>
      </w:r>
      <w:r w:rsidRPr="00613AA2">
        <w:rPr>
          <w:rFonts w:ascii="Tahoma" w:hAnsi="Tahoma" w:cs="Tahoma"/>
          <w:sz w:val="20"/>
          <w:szCs w:val="20"/>
        </w:rPr>
        <w:t xml:space="preserve">do 30 dnů ode dne nabytí účinnosti dodatku č. …...,“.  </w:t>
      </w:r>
      <w:r w:rsidRPr="007D364B">
        <w:rPr>
          <w:rFonts w:ascii="Tahoma" w:hAnsi="Tahoma" w:cs="Tahoma"/>
          <w:i/>
          <w:color w:val="548DD4" w:themeColor="text2" w:themeTint="99"/>
          <w:sz w:val="20"/>
          <w:szCs w:val="20"/>
        </w:rPr>
        <w:t>(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smlouvy)</w:t>
      </w:r>
    </w:p>
    <w:p w14:paraId="6849396D" w14:textId="26764BE2" w:rsidR="007D364B" w:rsidRPr="00613AA2" w:rsidRDefault="007D364B" w:rsidP="007D364B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>„d)</w:t>
      </w:r>
      <w:r>
        <w:rPr>
          <w:rFonts w:ascii="Tahoma" w:hAnsi="Tahoma" w:cs="Tahoma"/>
          <w:sz w:val="20"/>
          <w:szCs w:val="20"/>
        </w:rPr>
        <w:tab/>
      </w:r>
      <w:r w:rsidRPr="00613AA2">
        <w:rPr>
          <w:rFonts w:ascii="Tahoma" w:hAnsi="Tahoma" w:cs="Tahoma"/>
          <w:sz w:val="20"/>
          <w:szCs w:val="20"/>
        </w:rPr>
        <w:t>čtvrtá splátka ve výši zbývající nevyplacené částky dotace dle čl. IV této smlouvy, bude na</w:t>
      </w:r>
      <w:r>
        <w:rPr>
          <w:rFonts w:ascii="Tahoma" w:hAnsi="Tahoma" w:cs="Tahoma"/>
          <w:sz w:val="20"/>
          <w:szCs w:val="20"/>
        </w:rPr>
        <w:t> </w:t>
      </w:r>
      <w:r w:rsidRPr="00613AA2">
        <w:rPr>
          <w:rFonts w:ascii="Tahoma" w:hAnsi="Tahoma" w:cs="Tahoma"/>
          <w:sz w:val="20"/>
          <w:szCs w:val="20"/>
        </w:rPr>
        <w:t xml:space="preserve">účet příjemce převedena nejpozději do </w:t>
      </w:r>
      <w:r w:rsidR="007E6628">
        <w:rPr>
          <w:rFonts w:ascii="Tahoma" w:hAnsi="Tahoma" w:cs="Tahoma"/>
          <w:sz w:val="20"/>
          <w:szCs w:val="20"/>
        </w:rPr>
        <w:t>6</w:t>
      </w:r>
      <w:r w:rsidRPr="00613AA2">
        <w:rPr>
          <w:rFonts w:ascii="Tahoma" w:hAnsi="Tahoma" w:cs="Tahoma"/>
          <w:sz w:val="20"/>
          <w:szCs w:val="20"/>
        </w:rPr>
        <w:t>0 dnů ode dne nabytí účinnosti dodatku č. …... za</w:t>
      </w:r>
      <w:r>
        <w:rPr>
          <w:rFonts w:ascii="Tahoma" w:hAnsi="Tahoma" w:cs="Tahoma"/>
          <w:sz w:val="20"/>
          <w:szCs w:val="20"/>
        </w:rPr>
        <w:t> </w:t>
      </w:r>
      <w:r w:rsidRPr="00613AA2">
        <w:rPr>
          <w:rFonts w:ascii="Tahoma" w:hAnsi="Tahoma" w:cs="Tahoma"/>
          <w:sz w:val="20"/>
          <w:szCs w:val="20"/>
        </w:rPr>
        <w:t xml:space="preserve">podmínky, že poskytovatel obdrží finanční prostředky na základě Dodatku č. </w:t>
      </w:r>
      <w:r>
        <w:rPr>
          <w:rFonts w:ascii="Tahoma" w:hAnsi="Tahoma" w:cs="Tahoma"/>
          <w:sz w:val="20"/>
          <w:szCs w:val="20"/>
        </w:rPr>
        <w:t>1</w:t>
      </w:r>
      <w:r w:rsidRPr="00613AA2">
        <w:rPr>
          <w:rFonts w:ascii="Tahoma" w:hAnsi="Tahoma" w:cs="Tahoma"/>
          <w:sz w:val="20"/>
          <w:szCs w:val="20"/>
        </w:rPr>
        <w:t xml:space="preserve"> k Rozhodnutí o poskytnutí dotace z kapitoly 313 - MPSV státního rozpočtu na rok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 xml:space="preserve">.  </w:t>
      </w:r>
      <w:r w:rsidRPr="00613AA2">
        <w:rPr>
          <w:rFonts w:ascii="Tahoma" w:hAnsi="Tahoma" w:cs="Tahoma"/>
          <w:bCs/>
          <w:sz w:val="20"/>
        </w:rPr>
        <w:t>V případě, že ke</w:t>
      </w:r>
      <w:r>
        <w:rPr>
          <w:rFonts w:ascii="Tahoma" w:hAnsi="Tahoma" w:cs="Tahoma"/>
          <w:bCs/>
          <w:sz w:val="20"/>
        </w:rPr>
        <w:t> </w:t>
      </w:r>
      <w:r w:rsidRPr="00613AA2">
        <w:rPr>
          <w:rFonts w:ascii="Tahoma" w:hAnsi="Tahoma" w:cs="Tahoma"/>
          <w:bCs/>
          <w:sz w:val="20"/>
        </w:rPr>
        <w:t>dni nabytí účinnosti Dodatku č. …… poskytovatel neobdrží splátku dotace z kapitoly 313 – MPSV státního rozpočtu na r. 20</w:t>
      </w:r>
      <w:r>
        <w:rPr>
          <w:rFonts w:ascii="Tahoma" w:hAnsi="Tahoma" w:cs="Tahoma"/>
          <w:bCs/>
          <w:sz w:val="20"/>
        </w:rPr>
        <w:t>20</w:t>
      </w:r>
      <w:r w:rsidRPr="00613AA2">
        <w:rPr>
          <w:rFonts w:ascii="Tahoma" w:hAnsi="Tahoma" w:cs="Tahoma"/>
          <w:bCs/>
          <w:sz w:val="20"/>
        </w:rPr>
        <w:t xml:space="preserve">, bude splátka dotace poskytnuta příjemci nejpozději do </w:t>
      </w:r>
      <w:r w:rsidR="007E6628">
        <w:rPr>
          <w:rFonts w:ascii="Tahoma" w:hAnsi="Tahoma" w:cs="Tahoma"/>
          <w:bCs/>
          <w:sz w:val="20"/>
        </w:rPr>
        <w:t>6</w:t>
      </w:r>
      <w:r w:rsidRPr="00613AA2">
        <w:rPr>
          <w:rFonts w:ascii="Tahoma" w:hAnsi="Tahoma" w:cs="Tahoma"/>
          <w:bCs/>
          <w:sz w:val="20"/>
        </w:rPr>
        <w:t xml:space="preserve">0 dnů ode dne, kdy poskytovatel obdrží splátku dotace ze státního rozpočtu. </w:t>
      </w:r>
    </w:p>
    <w:p w14:paraId="5C2CE94E" w14:textId="59E19C1F" w:rsidR="007D364B" w:rsidRPr="00613AA2" w:rsidRDefault="007D364B" w:rsidP="007D364B">
      <w:pPr>
        <w:pStyle w:val="Odstavecseseznamem"/>
        <w:spacing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613AA2">
        <w:rPr>
          <w:rFonts w:ascii="Tahoma" w:hAnsi="Tahoma" w:cs="Tahoma"/>
          <w:bCs/>
          <w:sz w:val="20"/>
        </w:rPr>
        <w:t xml:space="preserve">V případě, že poskytovatel </w:t>
      </w:r>
      <w:r w:rsidRPr="00613AA2">
        <w:rPr>
          <w:rFonts w:ascii="Tahoma" w:hAnsi="Tahoma" w:cs="Tahoma"/>
          <w:sz w:val="20"/>
          <w:szCs w:val="20"/>
        </w:rPr>
        <w:t xml:space="preserve">finanční prostředky na základě Dodatku č. </w:t>
      </w:r>
      <w:r>
        <w:rPr>
          <w:rFonts w:ascii="Tahoma" w:hAnsi="Tahoma" w:cs="Tahoma"/>
          <w:sz w:val="20"/>
          <w:szCs w:val="20"/>
        </w:rPr>
        <w:t>1</w:t>
      </w:r>
      <w:r w:rsidRPr="00613AA2">
        <w:rPr>
          <w:rFonts w:ascii="Tahoma" w:hAnsi="Tahoma" w:cs="Tahoma"/>
          <w:sz w:val="20"/>
          <w:szCs w:val="20"/>
        </w:rPr>
        <w:t xml:space="preserve"> k Rozhodnutí o</w:t>
      </w:r>
      <w:r>
        <w:rPr>
          <w:rFonts w:ascii="Tahoma" w:hAnsi="Tahoma" w:cs="Tahoma"/>
          <w:sz w:val="20"/>
          <w:szCs w:val="20"/>
        </w:rPr>
        <w:t> </w:t>
      </w:r>
      <w:r w:rsidRPr="00613AA2">
        <w:rPr>
          <w:rFonts w:ascii="Tahoma" w:hAnsi="Tahoma" w:cs="Tahoma"/>
          <w:sz w:val="20"/>
          <w:szCs w:val="20"/>
        </w:rPr>
        <w:t>poskytnutí dotace z kapitoly 313 - MPSV státního rozpočtu na rok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 xml:space="preserve"> neobdrží v termínu do </w:t>
      </w:r>
      <w:r w:rsidR="00DD40C7">
        <w:rPr>
          <w:rFonts w:ascii="Tahoma" w:hAnsi="Tahoma" w:cs="Tahoma"/>
          <w:sz w:val="20"/>
          <w:szCs w:val="20"/>
        </w:rPr>
        <w:t>18</w:t>
      </w:r>
      <w:r w:rsidRPr="00613AA2">
        <w:rPr>
          <w:rFonts w:ascii="Tahoma" w:hAnsi="Tahoma" w:cs="Tahoma"/>
          <w:sz w:val="20"/>
          <w:szCs w:val="20"/>
        </w:rPr>
        <w:t>. 12.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>, nebude čtvrtá splátka příjemci poskytnuta a celková výše dotace dle čl. IV smlouvy se úměrně sníží. V případě, že poskytnuté finanční prostředky na základě Dodatku č. </w:t>
      </w:r>
      <w:r>
        <w:rPr>
          <w:rFonts w:ascii="Tahoma" w:hAnsi="Tahoma" w:cs="Tahoma"/>
          <w:sz w:val="20"/>
          <w:szCs w:val="20"/>
        </w:rPr>
        <w:t>1</w:t>
      </w:r>
      <w:r w:rsidRPr="00613AA2">
        <w:rPr>
          <w:rFonts w:ascii="Tahoma" w:hAnsi="Tahoma" w:cs="Tahoma"/>
          <w:sz w:val="20"/>
          <w:szCs w:val="20"/>
        </w:rPr>
        <w:t xml:space="preserve"> k Rozhodnutí o poskytnutí dotace z kapitoly 313 - MPSV státního rozpočtu na rok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 xml:space="preserve"> budou nižší, než předpokládá smlouva, bude výše čtvrté splátky dotace poměrně krácena dle vzorce </w:t>
      </w:r>
    </w:p>
    <w:tbl>
      <w:tblPr>
        <w:tblStyle w:val="Mkatabulky"/>
        <w:tblW w:w="7938" w:type="dxa"/>
        <w:tblInd w:w="1418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7D364B" w14:paraId="14358EF8" w14:textId="77777777" w:rsidTr="007D335E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FF45F4" w14:textId="77777777" w:rsidR="007D364B" w:rsidRDefault="007D364B" w:rsidP="007D335E">
            <w:pPr>
              <w:ind w:left="1418" w:hanging="1418"/>
              <w:jc w:val="both"/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Skutečně přidělené finanční prostředky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B7BB4" w14:textId="5A77B6AD" w:rsidR="007D364B" w:rsidRDefault="007D364B" w:rsidP="007D335E">
            <w:pPr>
              <w:ind w:left="176" w:hanging="17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X Schválená výše finančních prostředků dofinancování dle Dodatku č.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3843CF">
              <w:rPr>
                <w:rFonts w:ascii="Tahoma" w:hAnsi="Tahoma" w:cs="Tahoma"/>
                <w:sz w:val="20"/>
                <w:szCs w:val="20"/>
              </w:rPr>
              <w:t xml:space="preserve"> k</w:t>
            </w:r>
            <w:proofErr w:type="gramEnd"/>
            <w:r w:rsidR="00384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Rozhodnutí,</w:t>
            </w:r>
          </w:p>
        </w:tc>
      </w:tr>
      <w:tr w:rsidR="007D364B" w14:paraId="428B8B1D" w14:textId="77777777" w:rsidTr="007D335E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BA8D31" w14:textId="4E5F060E" w:rsidR="007D364B" w:rsidRDefault="003843CF" w:rsidP="007D3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321.443.758 </w:t>
            </w:r>
            <w:r w:rsidR="007D364B"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78D7B" w14:textId="77777777" w:rsidR="007D364B" w:rsidRDefault="007D364B" w:rsidP="007D335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64B2CB" w14:textId="727FBB06" w:rsidR="007D364B" w:rsidRDefault="007D364B" w:rsidP="007D364B">
      <w:pPr>
        <w:pStyle w:val="Odstavecseseznamem"/>
        <w:spacing w:before="120" w:line="240" w:lineRule="auto"/>
        <w:ind w:left="851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 xml:space="preserve">snížená částka bude zaokrouhlena matematicky na celé </w:t>
      </w:r>
      <w:r>
        <w:rPr>
          <w:rFonts w:ascii="Tahoma" w:hAnsi="Tahoma" w:cs="Tahoma"/>
          <w:sz w:val="20"/>
          <w:szCs w:val="20"/>
        </w:rPr>
        <w:t>deseti</w:t>
      </w:r>
      <w:r w:rsidRPr="00613AA2">
        <w:rPr>
          <w:rFonts w:ascii="Tahoma" w:hAnsi="Tahoma" w:cs="Tahoma"/>
          <w:sz w:val="20"/>
          <w:szCs w:val="20"/>
        </w:rPr>
        <w:t xml:space="preserve">koruny dolů a celková výše dotace dle čl. IV smlouvy se úměrně sníží.“. </w:t>
      </w:r>
      <w:r w:rsidR="001A7CC3"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(</w:t>
      </w:r>
      <w:r w:rsid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>Č</w:t>
      </w:r>
      <w:r w:rsidR="001A7CC3"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íslo dodatku bude doplněno dle příslušné smlouvy</w:t>
      </w:r>
      <w:r w:rsid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. </w:t>
      </w:r>
      <w:r w:rsidR="001A7CC3" w:rsidRP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>Toto ustanovení písm. d</w:t>
      </w:r>
      <w:proofErr w:type="gramStart"/>
      <w:r w:rsidR="001A7CC3" w:rsidRP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>)  se</w:t>
      </w:r>
      <w:proofErr w:type="gramEnd"/>
      <w:r w:rsidR="001A7CC3" w:rsidRP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nepoužije v případě, že příjemci je celá částka v rámci dofinancování vyplacena již ve 3. splátce.</w:t>
      </w:r>
      <w:r w:rsid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>)</w:t>
      </w:r>
    </w:p>
    <w:p w14:paraId="6A7A4A40" w14:textId="77777777" w:rsidR="007D364B" w:rsidRPr="00117E15" w:rsidRDefault="007D364B" w:rsidP="007D364B">
      <w:pPr>
        <w:pStyle w:val="Odstavecseseznamem"/>
        <w:spacing w:before="120" w:line="240" w:lineRule="auto"/>
        <w:ind w:left="851"/>
        <w:contextualSpacing w:val="0"/>
        <w:jc w:val="both"/>
        <w:rPr>
          <w:rFonts w:ascii="Tahoma" w:hAnsi="Tahoma" w:cs="Tahoma"/>
          <w:b/>
          <w:iCs/>
          <w:sz w:val="20"/>
          <w:szCs w:val="20"/>
        </w:rPr>
      </w:pPr>
    </w:p>
    <w:p w14:paraId="2482CC36" w14:textId="0B558C3F" w:rsidR="009E6289" w:rsidRPr="000819B5" w:rsidRDefault="009D23B9" w:rsidP="007D364B">
      <w:pPr>
        <w:numPr>
          <w:ilvl w:val="0"/>
          <w:numId w:val="14"/>
        </w:numPr>
        <w:spacing w:before="120" w:line="240" w:lineRule="auto"/>
        <w:contextualSpacing/>
        <w:jc w:val="both"/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  <w:u w:val="single"/>
        </w:rPr>
        <w:t xml:space="preserve">V Čl. VII. odst. 2 smlouvy se částka </w:t>
      </w:r>
      <w:r w:rsidRPr="006534A1">
        <w:rPr>
          <w:rFonts w:ascii="Tahoma" w:hAnsi="Tahoma" w:cs="Tahoma"/>
          <w:sz w:val="20"/>
          <w:u w:val="single"/>
        </w:rPr>
        <w:t>maximáln</w:t>
      </w:r>
      <w:r w:rsidR="009E5E93">
        <w:rPr>
          <w:rFonts w:ascii="Tahoma" w:hAnsi="Tahoma" w:cs="Tahoma"/>
          <w:sz w:val="20"/>
          <w:u w:val="single"/>
        </w:rPr>
        <w:t>í výše</w:t>
      </w:r>
      <w:r w:rsidRPr="006534A1">
        <w:rPr>
          <w:rFonts w:ascii="Tahoma" w:hAnsi="Tahoma" w:cs="Tahoma"/>
          <w:sz w:val="20"/>
          <w:u w:val="single"/>
        </w:rPr>
        <w:t xml:space="preserve"> oprávněných provozních nákladů </w:t>
      </w:r>
      <w:r>
        <w:rPr>
          <w:rFonts w:ascii="Tahoma" w:hAnsi="Tahoma" w:cs="Tahoma"/>
          <w:sz w:val="20"/>
          <w:u w:val="single"/>
        </w:rPr>
        <w:t xml:space="preserve">„Kč </w:t>
      </w:r>
      <w:r w:rsidRPr="006534A1">
        <w:rPr>
          <w:rFonts w:ascii="Tahoma" w:hAnsi="Tahoma" w:cs="Tahoma"/>
          <w:sz w:val="20"/>
          <w:szCs w:val="20"/>
          <w:u w:val="single"/>
        </w:rPr>
        <w:t>……</w:t>
      </w:r>
      <w:r w:rsidRPr="006534A1">
        <w:rPr>
          <w:rFonts w:ascii="Tahoma" w:hAnsi="Tahoma" w:cs="Tahoma"/>
          <w:sz w:val="20"/>
          <w:u w:val="single"/>
        </w:rPr>
        <w:t xml:space="preserve"> (slovy ………</w:t>
      </w:r>
      <w:proofErr w:type="gramStart"/>
      <w:r w:rsidRPr="006534A1">
        <w:rPr>
          <w:rFonts w:ascii="Tahoma" w:hAnsi="Tahoma" w:cs="Tahoma"/>
          <w:sz w:val="20"/>
          <w:u w:val="single"/>
        </w:rPr>
        <w:t>…….</w:t>
      </w:r>
      <w:proofErr w:type="gramEnd"/>
      <w:r w:rsidRPr="006534A1">
        <w:rPr>
          <w:rFonts w:ascii="Tahoma" w:hAnsi="Tahoma" w:cs="Tahoma"/>
          <w:sz w:val="20"/>
          <w:u w:val="single"/>
        </w:rPr>
        <w:t>. korun českých</w:t>
      </w:r>
      <w:r w:rsidRPr="006534A1">
        <w:rPr>
          <w:rFonts w:ascii="Tahoma" w:hAnsi="Tahoma" w:cs="Tahoma"/>
          <w:sz w:val="20"/>
          <w:szCs w:val="20"/>
          <w:u w:val="single"/>
        </w:rPr>
        <w:t xml:space="preserve">)" nahrazuje částkou </w:t>
      </w:r>
      <w:r>
        <w:rPr>
          <w:rFonts w:ascii="Tahoma" w:hAnsi="Tahoma" w:cs="Tahoma"/>
          <w:sz w:val="20"/>
          <w:szCs w:val="20"/>
          <w:u w:val="single"/>
        </w:rPr>
        <w:t>„Kč</w:t>
      </w:r>
      <w:r w:rsidRPr="006534A1">
        <w:rPr>
          <w:rFonts w:ascii="Tahoma" w:hAnsi="Tahoma" w:cs="Tahoma"/>
          <w:sz w:val="20"/>
          <w:szCs w:val="20"/>
          <w:u w:val="single"/>
        </w:rPr>
        <w:t>……… (slovy …………… korun českých).</w:t>
      </w:r>
      <w:r w:rsidR="0071300E">
        <w:rPr>
          <w:rFonts w:ascii="Tahoma" w:hAnsi="Tahoma" w:cs="Tahoma"/>
          <w:sz w:val="20"/>
          <w:szCs w:val="20"/>
          <w:u w:val="single"/>
        </w:rPr>
        <w:t>“</w:t>
      </w:r>
      <w:r w:rsidRPr="006534A1">
        <w:rPr>
          <w:rFonts w:ascii="Tahoma" w:hAnsi="Tahoma" w:cs="Tahoma"/>
          <w:sz w:val="20"/>
          <w:szCs w:val="20"/>
          <w:u w:val="single"/>
        </w:rPr>
        <w:t xml:space="preserve"> </w:t>
      </w:r>
      <w:r w:rsidR="009E6289" w:rsidRPr="000819B5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>Uvede se v případě změny částky maximáln</w:t>
      </w:r>
      <w:r w:rsidR="0071300E" w:rsidRPr="000819B5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>í výše</w:t>
      </w:r>
      <w:r w:rsidR="009E6289" w:rsidRPr="000819B5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 xml:space="preserve"> oprávněných provozních nákladů.</w:t>
      </w:r>
    </w:p>
    <w:p w14:paraId="1ED1A36B" w14:textId="77777777" w:rsidR="009E6289" w:rsidRPr="000819B5" w:rsidRDefault="009E6289" w:rsidP="009E6289">
      <w:pPr>
        <w:spacing w:before="120" w:line="240" w:lineRule="auto"/>
        <w:ind w:left="360"/>
        <w:contextualSpacing/>
        <w:jc w:val="both"/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</w:pPr>
    </w:p>
    <w:p w14:paraId="19444CFB" w14:textId="73514189" w:rsidR="00A13FA0" w:rsidRPr="009D23B9" w:rsidRDefault="00B76DF3" w:rsidP="007D364B">
      <w:pPr>
        <w:numPr>
          <w:ilvl w:val="0"/>
          <w:numId w:val="14"/>
        </w:numPr>
        <w:spacing w:before="120" w:line="240" w:lineRule="auto"/>
        <w:contextualSpacing/>
        <w:jc w:val="both"/>
        <w:rPr>
          <w:rFonts w:ascii="Tahoma" w:hAnsi="Tahoma" w:cs="Tahoma"/>
          <w:b/>
          <w:i/>
          <w:color w:val="00B05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příloze </w:t>
      </w:r>
      <w:r w:rsidR="00FE79BD" w:rsidRPr="00B76DF3">
        <w:rPr>
          <w:rFonts w:ascii="Tahoma" w:hAnsi="Tahoma" w:cs="Tahoma"/>
          <w:sz w:val="20"/>
          <w:szCs w:val="20"/>
        </w:rPr>
        <w:t xml:space="preserve">č. 1 </w:t>
      </w:r>
      <w:r w:rsidR="00B734F8" w:rsidRPr="00B76DF3">
        <w:rPr>
          <w:rFonts w:ascii="Tahoma" w:hAnsi="Tahoma" w:cs="Tahoma"/>
          <w:sz w:val="20"/>
          <w:szCs w:val="20"/>
        </w:rPr>
        <w:t xml:space="preserve">smlouvy </w:t>
      </w:r>
      <w:r w:rsidR="003349E0">
        <w:rPr>
          <w:rFonts w:ascii="Tahoma" w:hAnsi="Tahoma" w:cs="Tahoma"/>
          <w:sz w:val="20"/>
          <w:szCs w:val="20"/>
        </w:rPr>
        <w:t xml:space="preserve">se </w:t>
      </w:r>
      <w:r w:rsidR="00A13FA0" w:rsidRPr="00B76DF3">
        <w:rPr>
          <w:rFonts w:ascii="Tahoma" w:hAnsi="Tahoma" w:cs="Tahoma"/>
          <w:sz w:val="20"/>
          <w:szCs w:val="20"/>
        </w:rPr>
        <w:t>„</w:t>
      </w:r>
      <w:r w:rsidR="00FA5AF2" w:rsidRPr="00B76DF3">
        <w:rPr>
          <w:rFonts w:ascii="Tahoma" w:hAnsi="Tahoma" w:cs="Tahoma"/>
          <w:sz w:val="20"/>
          <w:szCs w:val="20"/>
        </w:rPr>
        <w:t>S</w:t>
      </w:r>
      <w:r w:rsidR="00A13FA0" w:rsidRPr="00B76DF3">
        <w:rPr>
          <w:rFonts w:ascii="Tahoma" w:hAnsi="Tahoma" w:cs="Tahoma"/>
          <w:sz w:val="20"/>
          <w:szCs w:val="20"/>
        </w:rPr>
        <w:t xml:space="preserve">eznam podpořených služeb“ </w:t>
      </w:r>
      <w:r w:rsidR="00B734F8" w:rsidRPr="00B76DF3">
        <w:rPr>
          <w:rFonts w:ascii="Tahoma" w:hAnsi="Tahoma" w:cs="Tahoma"/>
          <w:sz w:val="20"/>
          <w:szCs w:val="20"/>
        </w:rPr>
        <w:t>nahrazuje novým zněním</w:t>
      </w:r>
      <w:r w:rsidR="009D23B9">
        <w:rPr>
          <w:rFonts w:ascii="Tahoma" w:hAnsi="Tahoma" w:cs="Tahoma"/>
          <w:sz w:val="20"/>
          <w:szCs w:val="20"/>
        </w:rPr>
        <w:t xml:space="preserve">, </w:t>
      </w:r>
      <w:r w:rsidR="009D23B9" w:rsidRPr="00327116">
        <w:rPr>
          <w:rFonts w:ascii="Tahoma" w:hAnsi="Tahoma" w:cs="Tahoma"/>
          <w:sz w:val="20"/>
          <w:szCs w:val="20"/>
        </w:rPr>
        <w:t xml:space="preserve">mění se </w:t>
      </w:r>
      <w:r w:rsidR="009D23B9" w:rsidRPr="009E5E93">
        <w:rPr>
          <w:rFonts w:ascii="Tahoma" w:hAnsi="Tahoma" w:cs="Tahoma"/>
          <w:i/>
          <w:sz w:val="20"/>
          <w:szCs w:val="20"/>
        </w:rPr>
        <w:t xml:space="preserve">maximální výše oprávněných provozních nákladů sociální služby </w:t>
      </w:r>
      <w:proofErr w:type="spellStart"/>
      <w:r w:rsidR="009D23B9" w:rsidRPr="009E5E93">
        <w:rPr>
          <w:rFonts w:ascii="Tahoma" w:hAnsi="Tahoma" w:cs="Tahoma"/>
          <w:i/>
          <w:sz w:val="20"/>
          <w:szCs w:val="20"/>
        </w:rPr>
        <w:t>reg</w:t>
      </w:r>
      <w:proofErr w:type="spellEnd"/>
      <w:r w:rsidR="009D23B9" w:rsidRPr="009E5E93">
        <w:rPr>
          <w:rFonts w:ascii="Tahoma" w:hAnsi="Tahoma" w:cs="Tahoma"/>
          <w:i/>
          <w:sz w:val="20"/>
          <w:szCs w:val="20"/>
        </w:rPr>
        <w:t xml:space="preserve">. č. </w:t>
      </w:r>
      <w:proofErr w:type="spellStart"/>
      <w:r w:rsidR="009D23B9" w:rsidRPr="009E5E93">
        <w:rPr>
          <w:rFonts w:ascii="Tahoma" w:hAnsi="Tahoma" w:cs="Tahoma"/>
          <w:i/>
          <w:sz w:val="20"/>
          <w:szCs w:val="20"/>
        </w:rPr>
        <w:t>xxxxxxx</w:t>
      </w:r>
      <w:proofErr w:type="spellEnd"/>
      <w:r w:rsidR="00511D1E" w:rsidRPr="00327116">
        <w:rPr>
          <w:rFonts w:ascii="Tahoma" w:hAnsi="Tahoma" w:cs="Tahoma"/>
          <w:sz w:val="20"/>
          <w:szCs w:val="20"/>
        </w:rPr>
        <w:t xml:space="preserve"> </w:t>
      </w:r>
      <w:r w:rsidR="009D23B9" w:rsidRPr="00327116">
        <w:rPr>
          <w:rFonts w:ascii="Tahoma" w:hAnsi="Tahoma" w:cs="Tahoma"/>
          <w:sz w:val="20"/>
          <w:szCs w:val="20"/>
        </w:rPr>
        <w:t xml:space="preserve">a </w:t>
      </w:r>
      <w:r w:rsidR="009D23B9" w:rsidRPr="0071300E">
        <w:rPr>
          <w:rFonts w:ascii="Tahoma" w:hAnsi="Tahoma" w:cs="Tahoma"/>
          <w:i/>
          <w:color w:val="000000" w:themeColor="text1"/>
          <w:sz w:val="20"/>
          <w:szCs w:val="20"/>
        </w:rPr>
        <w:t xml:space="preserve">nákladový limit osobních nákladů/provozních nákladů sociální služby </w:t>
      </w:r>
      <w:proofErr w:type="spellStart"/>
      <w:r w:rsidR="009D23B9" w:rsidRPr="0071300E">
        <w:rPr>
          <w:rFonts w:ascii="Tahoma" w:hAnsi="Tahoma" w:cs="Tahoma"/>
          <w:i/>
          <w:color w:val="000000" w:themeColor="text1"/>
          <w:sz w:val="20"/>
          <w:szCs w:val="20"/>
        </w:rPr>
        <w:t>reg</w:t>
      </w:r>
      <w:proofErr w:type="spellEnd"/>
      <w:r w:rsidR="009D23B9" w:rsidRPr="0071300E">
        <w:rPr>
          <w:rFonts w:ascii="Tahoma" w:hAnsi="Tahoma" w:cs="Tahoma"/>
          <w:i/>
          <w:color w:val="000000" w:themeColor="text1"/>
          <w:sz w:val="20"/>
          <w:szCs w:val="20"/>
        </w:rPr>
        <w:t xml:space="preserve">. č. </w:t>
      </w:r>
      <w:proofErr w:type="spellStart"/>
      <w:r w:rsidR="009D23B9" w:rsidRPr="0071300E">
        <w:rPr>
          <w:rFonts w:ascii="Tahoma" w:hAnsi="Tahoma" w:cs="Tahoma"/>
          <w:i/>
          <w:color w:val="000000" w:themeColor="text1"/>
          <w:sz w:val="20"/>
          <w:szCs w:val="20"/>
        </w:rPr>
        <w:t>xxxxxxx</w:t>
      </w:r>
      <w:proofErr w:type="spellEnd"/>
      <w:r w:rsidR="009D23B9" w:rsidRPr="00327116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="009D23B9" w:rsidRPr="000819B5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 xml:space="preserve">Uvede se </w:t>
      </w:r>
      <w:r w:rsidR="00994241" w:rsidRPr="000819B5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>příslušná změna.</w:t>
      </w:r>
      <w:r w:rsidR="00994241">
        <w:rPr>
          <w:rFonts w:ascii="Tahoma" w:hAnsi="Tahoma" w:cs="Tahoma"/>
          <w:i/>
          <w:color w:val="00B050"/>
          <w:sz w:val="20"/>
          <w:szCs w:val="20"/>
        </w:rPr>
        <w:t xml:space="preserve"> </w:t>
      </w:r>
    </w:p>
    <w:p w14:paraId="6BAF9990" w14:textId="2BC912FD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4AA32039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08FA2EF2" w14:textId="77777777"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55270DA7" w14:textId="4A5FEEA3" w:rsidR="00B734F8" w:rsidRPr="00FC4876" w:rsidRDefault="00B734F8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A74823">
        <w:rPr>
          <w:rFonts w:ascii="Tahoma" w:hAnsi="Tahoma" w:cs="Tahoma"/>
          <w:sz w:val="20"/>
          <w:szCs w:val="20"/>
        </w:rPr>
        <w:t>.</w:t>
      </w:r>
    </w:p>
    <w:p w14:paraId="7A0331C2" w14:textId="77777777" w:rsidR="00A07ECF" w:rsidRPr="00FE0118" w:rsidRDefault="00A07ECF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A5D9F87" w14:textId="77777777" w:rsidR="007E0DB9" w:rsidRPr="007E0DB9" w:rsidRDefault="007E0DB9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7E0DB9">
        <w:rPr>
          <w:rFonts w:ascii="Tahoma" w:hAnsi="Tahoma" w:cs="Tahoma"/>
          <w:sz w:val="20"/>
          <w:szCs w:val="20"/>
        </w:rPr>
        <w:t xml:space="preserve">Tento dodatek nabývá platnosti a účinnosti dnem, kdy vyjádření souhlasu s obsahem návrhu dojde druhé smluvní straně, </w:t>
      </w:r>
      <w:r w:rsidRPr="007E0DB9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</w:t>
      </w:r>
      <w:r w:rsidRPr="007E0DB9">
        <w:rPr>
          <w:rFonts w:ascii="Tahoma" w:hAnsi="Tahoma" w:cs="Tahoma"/>
          <w:sz w:val="20"/>
          <w:szCs w:val="20"/>
        </w:rPr>
        <w:t>.</w:t>
      </w:r>
    </w:p>
    <w:p w14:paraId="336F7D98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Smluvní strany se dohodly, že pokud se na t</w:t>
      </w:r>
      <w:r>
        <w:rPr>
          <w:rFonts w:ascii="Tahoma" w:hAnsi="Tahoma" w:cs="Tahoma"/>
          <w:sz w:val="20"/>
          <w:szCs w:val="20"/>
        </w:rPr>
        <w:t>ento dodatek</w:t>
      </w:r>
      <w:r w:rsidRPr="00E87E7A">
        <w:rPr>
          <w:rFonts w:ascii="Tahoma" w:hAnsi="Tahoma" w:cs="Tahoma"/>
          <w:sz w:val="20"/>
          <w:szCs w:val="20"/>
        </w:rPr>
        <w:t xml:space="preserve"> vztahuje povinnost uveřejnění v registru smluv ve smyslu zákona o registru smluv, provede uveřejnění v souladu se zákonem poskytovatel.</w:t>
      </w:r>
    </w:p>
    <w:p w14:paraId="5731F9B9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33460F51" w14:textId="77777777" w:rsidR="00A74823" w:rsidRPr="00903C00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21C6597D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omto dodatku</w:t>
      </w:r>
      <w:r w:rsidRPr="00E87E7A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87E7A">
        <w:rPr>
          <w:rFonts w:ascii="Tahoma" w:hAnsi="Tahoma" w:cs="Tahoma"/>
          <w:sz w:val="20"/>
          <w:szCs w:val="20"/>
        </w:rPr>
        <w:t xml:space="preserve"> 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5163D9B0" w14:textId="77777777" w:rsidR="00A74823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7EA32780" w14:textId="77777777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>uzavření tohoto dodatku rozhodlo zastupitelstvo kraje</w:t>
      </w:r>
      <w:r w:rsidRPr="00A81C6E">
        <w:rPr>
          <w:rFonts w:ascii="Tahoma" w:hAnsi="Tahoma" w:cs="Tahoma"/>
          <w:sz w:val="20"/>
          <w:szCs w:val="20"/>
        </w:rPr>
        <w:t xml:space="preserve"> svým usnesením č. </w:t>
      </w:r>
      <w:r>
        <w:rPr>
          <w:rFonts w:ascii="Tahoma" w:hAnsi="Tahoma" w:cs="Tahoma"/>
          <w:sz w:val="20"/>
          <w:szCs w:val="20"/>
        </w:rPr>
        <w:t xml:space="preserve">…………… </w:t>
      </w:r>
      <w:r w:rsidRPr="00A81C6E">
        <w:rPr>
          <w:rFonts w:ascii="Tahoma" w:hAnsi="Tahoma" w:cs="Tahoma"/>
          <w:sz w:val="20"/>
          <w:szCs w:val="20"/>
        </w:rPr>
        <w:t xml:space="preserve">ze dne </w:t>
      </w:r>
      <w:r>
        <w:rPr>
          <w:rFonts w:ascii="Tahoma" w:hAnsi="Tahoma" w:cs="Tahoma"/>
          <w:sz w:val="20"/>
          <w:szCs w:val="20"/>
        </w:rPr>
        <w:t xml:space="preserve">…………….   </w:t>
      </w:r>
    </w:p>
    <w:p w14:paraId="542F4F49" w14:textId="77777777" w:rsidR="00A74823" w:rsidRPr="00A74823" w:rsidRDefault="00A74823" w:rsidP="00A74823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3601920A" w14:textId="77777777" w:rsidR="00A74823" w:rsidRDefault="00A74823" w:rsidP="00A7482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3F3F0670" w14:textId="5BAB9ECB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</w:t>
      </w:r>
      <w:proofErr w:type="gramStart"/>
      <w:r>
        <w:rPr>
          <w:rFonts w:ascii="Tahoma" w:hAnsi="Tahoma" w:cs="Tahoma"/>
          <w:sz w:val="20"/>
        </w:rPr>
        <w:t xml:space="preserve"> ....</w:t>
      </w:r>
      <w:proofErr w:type="gramEnd"/>
      <w:r w:rsidR="007D7107">
        <w:rPr>
          <w:rFonts w:ascii="Tahoma" w:hAnsi="Tahoma" w:cs="Tahoma"/>
          <w:sz w:val="20"/>
          <w:szCs w:val="20"/>
        </w:rPr>
        <w:t>…………….</w:t>
      </w:r>
    </w:p>
    <w:p w14:paraId="6FE6BC85" w14:textId="77777777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4D3C66DE" w14:textId="4E4A8123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…….</w:t>
      </w:r>
      <w:proofErr w:type="gramEnd"/>
      <w:r w:rsidR="00B303E0" w:rsidRPr="00FE0118">
        <w:rPr>
          <w:rFonts w:ascii="Tahoma" w:hAnsi="Tahoma" w:cs="Tahoma"/>
          <w:sz w:val="20"/>
          <w:szCs w:val="20"/>
        </w:rPr>
        <w:t>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1433196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29D2004A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E8B0FD4" w14:textId="669FD454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15FBBDAA" w14:textId="77777777" w:rsidR="000819B5" w:rsidRDefault="000819B5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  <w:sectPr w:rsidR="000819B5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A18750" w14:textId="11369FFE" w:rsidR="000819B5" w:rsidRDefault="00136C9E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36C9E">
        <w:rPr>
          <w:noProof/>
        </w:rPr>
        <w:lastRenderedPageBreak/>
        <w:drawing>
          <wp:inline distT="0" distB="0" distL="0" distR="0" wp14:anchorId="2DD15B71" wp14:editId="6D0B9C16">
            <wp:extent cx="8891270" cy="5396865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9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F45BB" w14:textId="0D9B8CE7" w:rsidR="00865D96" w:rsidRPr="00606370" w:rsidRDefault="00865D96" w:rsidP="000819B5">
      <w:pPr>
        <w:rPr>
          <w:rFonts w:ascii="Tahoma" w:hAnsi="Tahoma" w:cs="Tahoma"/>
          <w:sz w:val="20"/>
          <w:szCs w:val="20"/>
        </w:rPr>
      </w:pPr>
    </w:p>
    <w:sectPr w:rsidR="00865D96" w:rsidRPr="00606370" w:rsidSect="000819B5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C482A" w14:textId="77777777" w:rsidR="007805FD" w:rsidRDefault="007805FD" w:rsidP="00606370">
      <w:pPr>
        <w:spacing w:after="0" w:line="240" w:lineRule="auto"/>
      </w:pPr>
      <w:r>
        <w:separator/>
      </w:r>
    </w:p>
  </w:endnote>
  <w:endnote w:type="continuationSeparator" w:id="0">
    <w:p w14:paraId="48332838" w14:textId="77777777" w:rsidR="007805FD" w:rsidRDefault="007805FD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9956591"/>
      <w:docPartObj>
        <w:docPartGallery w:val="Page Numbers (Bottom of Page)"/>
        <w:docPartUnique/>
      </w:docPartObj>
    </w:sdtPr>
    <w:sdtEndPr/>
    <w:sdtContent>
      <w:p w14:paraId="28D2D215" w14:textId="77777777"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DB7CCB">
          <w:rPr>
            <w:noProof/>
          </w:rPr>
          <w:t>3</w:t>
        </w:r>
        <w:r>
          <w:fldChar w:fldCharType="end"/>
        </w:r>
      </w:p>
    </w:sdtContent>
  </w:sdt>
  <w:p w14:paraId="3AD226DA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BA9B" w14:textId="77777777" w:rsidR="00FD24AE" w:rsidRDefault="00FD24AE">
    <w:pPr>
      <w:pStyle w:val="Zpat"/>
      <w:jc w:val="center"/>
    </w:pP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7885" w14:textId="77777777" w:rsidR="007805FD" w:rsidRDefault="007805FD" w:rsidP="00606370">
      <w:pPr>
        <w:spacing w:after="0" w:line="240" w:lineRule="auto"/>
      </w:pPr>
      <w:r>
        <w:separator/>
      </w:r>
    </w:p>
  </w:footnote>
  <w:footnote w:type="continuationSeparator" w:id="0">
    <w:p w14:paraId="12467E7D" w14:textId="77777777" w:rsidR="007805FD" w:rsidRDefault="007805FD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4471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ED2"/>
    <w:multiLevelType w:val="hybridMultilevel"/>
    <w:tmpl w:val="C74ADC72"/>
    <w:lvl w:ilvl="0" w:tplc="5F4EA4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B0687"/>
    <w:multiLevelType w:val="hybridMultilevel"/>
    <w:tmpl w:val="0A9697BA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B30C7F"/>
    <w:multiLevelType w:val="hybridMultilevel"/>
    <w:tmpl w:val="66A8A6F0"/>
    <w:lvl w:ilvl="0" w:tplc="9C90AB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F647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763618"/>
    <w:multiLevelType w:val="hybridMultilevel"/>
    <w:tmpl w:val="4A5C0B14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9E2730"/>
    <w:multiLevelType w:val="hybridMultilevel"/>
    <w:tmpl w:val="CD2A6848"/>
    <w:lvl w:ilvl="0" w:tplc="3F3C466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B444E"/>
    <w:multiLevelType w:val="hybridMultilevel"/>
    <w:tmpl w:val="2D2EBB52"/>
    <w:lvl w:ilvl="0" w:tplc="A34AE0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606F"/>
    <w:multiLevelType w:val="hybridMultilevel"/>
    <w:tmpl w:val="D0E47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19B5"/>
    <w:rsid w:val="0008279E"/>
    <w:rsid w:val="0008396A"/>
    <w:rsid w:val="00084249"/>
    <w:rsid w:val="00085023"/>
    <w:rsid w:val="000A06BA"/>
    <w:rsid w:val="000C36A8"/>
    <w:rsid w:val="000C4CBF"/>
    <w:rsid w:val="00117719"/>
    <w:rsid w:val="00121AB2"/>
    <w:rsid w:val="00132A21"/>
    <w:rsid w:val="001330D9"/>
    <w:rsid w:val="00136C9E"/>
    <w:rsid w:val="00164508"/>
    <w:rsid w:val="001705DE"/>
    <w:rsid w:val="00174C0F"/>
    <w:rsid w:val="00176C76"/>
    <w:rsid w:val="00180F01"/>
    <w:rsid w:val="00197EBF"/>
    <w:rsid w:val="001A3BB2"/>
    <w:rsid w:val="001A4E10"/>
    <w:rsid w:val="001A75D1"/>
    <w:rsid w:val="001A7CC3"/>
    <w:rsid w:val="001C0A33"/>
    <w:rsid w:val="001C464E"/>
    <w:rsid w:val="001E739B"/>
    <w:rsid w:val="001F11D8"/>
    <w:rsid w:val="002020B0"/>
    <w:rsid w:val="002054B4"/>
    <w:rsid w:val="0021175A"/>
    <w:rsid w:val="002378E9"/>
    <w:rsid w:val="0024731A"/>
    <w:rsid w:val="0028627D"/>
    <w:rsid w:val="00291DAA"/>
    <w:rsid w:val="00292344"/>
    <w:rsid w:val="002A668A"/>
    <w:rsid w:val="002B2BC2"/>
    <w:rsid w:val="002E66D9"/>
    <w:rsid w:val="00310590"/>
    <w:rsid w:val="00326153"/>
    <w:rsid w:val="00326644"/>
    <w:rsid w:val="00327116"/>
    <w:rsid w:val="003305E7"/>
    <w:rsid w:val="003349E0"/>
    <w:rsid w:val="00336652"/>
    <w:rsid w:val="00363095"/>
    <w:rsid w:val="003644C3"/>
    <w:rsid w:val="003711BE"/>
    <w:rsid w:val="003759EA"/>
    <w:rsid w:val="003843CF"/>
    <w:rsid w:val="003A2DFF"/>
    <w:rsid w:val="003A7A98"/>
    <w:rsid w:val="003C43D3"/>
    <w:rsid w:val="003D32B7"/>
    <w:rsid w:val="003F4A57"/>
    <w:rsid w:val="00400F57"/>
    <w:rsid w:val="0040294F"/>
    <w:rsid w:val="004067D0"/>
    <w:rsid w:val="0041127D"/>
    <w:rsid w:val="00416720"/>
    <w:rsid w:val="004571CF"/>
    <w:rsid w:val="00462D23"/>
    <w:rsid w:val="004836E3"/>
    <w:rsid w:val="00483B63"/>
    <w:rsid w:val="004860FE"/>
    <w:rsid w:val="004927AC"/>
    <w:rsid w:val="004B0ADD"/>
    <w:rsid w:val="004B7DD8"/>
    <w:rsid w:val="004C6CC7"/>
    <w:rsid w:val="004C73F6"/>
    <w:rsid w:val="004D5BCC"/>
    <w:rsid w:val="004F25A0"/>
    <w:rsid w:val="004F74F7"/>
    <w:rsid w:val="00500676"/>
    <w:rsid w:val="00510AAF"/>
    <w:rsid w:val="00511D1E"/>
    <w:rsid w:val="005255FA"/>
    <w:rsid w:val="00530F94"/>
    <w:rsid w:val="00533164"/>
    <w:rsid w:val="00536939"/>
    <w:rsid w:val="00550405"/>
    <w:rsid w:val="00562BBC"/>
    <w:rsid w:val="00567635"/>
    <w:rsid w:val="005A22DF"/>
    <w:rsid w:val="005B21F3"/>
    <w:rsid w:val="005C21EC"/>
    <w:rsid w:val="005C30A2"/>
    <w:rsid w:val="005C679E"/>
    <w:rsid w:val="005D6665"/>
    <w:rsid w:val="005D740A"/>
    <w:rsid w:val="005F40E4"/>
    <w:rsid w:val="0060219C"/>
    <w:rsid w:val="00606370"/>
    <w:rsid w:val="00610990"/>
    <w:rsid w:val="00613AA2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5839"/>
    <w:rsid w:val="006A0005"/>
    <w:rsid w:val="006A7848"/>
    <w:rsid w:val="006D37EA"/>
    <w:rsid w:val="006E4E3B"/>
    <w:rsid w:val="006E748D"/>
    <w:rsid w:val="006F7F48"/>
    <w:rsid w:val="00700576"/>
    <w:rsid w:val="00700675"/>
    <w:rsid w:val="007104E3"/>
    <w:rsid w:val="0071300E"/>
    <w:rsid w:val="007213DD"/>
    <w:rsid w:val="0075434C"/>
    <w:rsid w:val="007579B7"/>
    <w:rsid w:val="0076707B"/>
    <w:rsid w:val="00780129"/>
    <w:rsid w:val="007805FD"/>
    <w:rsid w:val="007832A8"/>
    <w:rsid w:val="00796F4D"/>
    <w:rsid w:val="007A4199"/>
    <w:rsid w:val="007B0EDD"/>
    <w:rsid w:val="007B5A4D"/>
    <w:rsid w:val="007C0466"/>
    <w:rsid w:val="007C4AF7"/>
    <w:rsid w:val="007C4F89"/>
    <w:rsid w:val="007C561B"/>
    <w:rsid w:val="007D061B"/>
    <w:rsid w:val="007D2B84"/>
    <w:rsid w:val="007D364B"/>
    <w:rsid w:val="007D4541"/>
    <w:rsid w:val="007D480A"/>
    <w:rsid w:val="007D7107"/>
    <w:rsid w:val="007E0DB9"/>
    <w:rsid w:val="007E6628"/>
    <w:rsid w:val="008237C8"/>
    <w:rsid w:val="00824FEA"/>
    <w:rsid w:val="00847333"/>
    <w:rsid w:val="00865D96"/>
    <w:rsid w:val="008977A7"/>
    <w:rsid w:val="008A7603"/>
    <w:rsid w:val="008B42C0"/>
    <w:rsid w:val="008C10B7"/>
    <w:rsid w:val="008D1C24"/>
    <w:rsid w:val="008E6D38"/>
    <w:rsid w:val="008E6D4F"/>
    <w:rsid w:val="008F1FCD"/>
    <w:rsid w:val="008F5211"/>
    <w:rsid w:val="0090023A"/>
    <w:rsid w:val="00922C5E"/>
    <w:rsid w:val="00924476"/>
    <w:rsid w:val="00931457"/>
    <w:rsid w:val="009626FE"/>
    <w:rsid w:val="00971A6E"/>
    <w:rsid w:val="0098181F"/>
    <w:rsid w:val="00987266"/>
    <w:rsid w:val="00994241"/>
    <w:rsid w:val="009A339A"/>
    <w:rsid w:val="009C1AFF"/>
    <w:rsid w:val="009D23B9"/>
    <w:rsid w:val="009D7748"/>
    <w:rsid w:val="009E5E93"/>
    <w:rsid w:val="009E6289"/>
    <w:rsid w:val="009F40B7"/>
    <w:rsid w:val="009F76D5"/>
    <w:rsid w:val="00A00111"/>
    <w:rsid w:val="00A02F92"/>
    <w:rsid w:val="00A07ECF"/>
    <w:rsid w:val="00A13FA0"/>
    <w:rsid w:val="00A36B89"/>
    <w:rsid w:val="00A444CB"/>
    <w:rsid w:val="00A668F5"/>
    <w:rsid w:val="00A67598"/>
    <w:rsid w:val="00A74823"/>
    <w:rsid w:val="00A81C6E"/>
    <w:rsid w:val="00A91127"/>
    <w:rsid w:val="00AA0563"/>
    <w:rsid w:val="00AB4B5D"/>
    <w:rsid w:val="00AD165A"/>
    <w:rsid w:val="00AE7D88"/>
    <w:rsid w:val="00AF49D2"/>
    <w:rsid w:val="00B01F96"/>
    <w:rsid w:val="00B14CC5"/>
    <w:rsid w:val="00B261C5"/>
    <w:rsid w:val="00B303E0"/>
    <w:rsid w:val="00B3102E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2E48"/>
    <w:rsid w:val="00CD5A6B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B5251"/>
    <w:rsid w:val="00DB7CCB"/>
    <w:rsid w:val="00DC7A26"/>
    <w:rsid w:val="00DD26DB"/>
    <w:rsid w:val="00DD40C7"/>
    <w:rsid w:val="00DE2624"/>
    <w:rsid w:val="00E05D92"/>
    <w:rsid w:val="00E2164A"/>
    <w:rsid w:val="00E26AC9"/>
    <w:rsid w:val="00E34C88"/>
    <w:rsid w:val="00E6257B"/>
    <w:rsid w:val="00EC2196"/>
    <w:rsid w:val="00EC6C3D"/>
    <w:rsid w:val="00ED1537"/>
    <w:rsid w:val="00ED239E"/>
    <w:rsid w:val="00ED3EAE"/>
    <w:rsid w:val="00F04252"/>
    <w:rsid w:val="00F2322E"/>
    <w:rsid w:val="00F3471C"/>
    <w:rsid w:val="00F3590E"/>
    <w:rsid w:val="00F72ED0"/>
    <w:rsid w:val="00F760CF"/>
    <w:rsid w:val="00F76EB3"/>
    <w:rsid w:val="00F81BAB"/>
    <w:rsid w:val="00F84A8F"/>
    <w:rsid w:val="00FA13AB"/>
    <w:rsid w:val="00FA5AF2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E209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2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74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E759-CFA4-4F31-B7E1-ED1FD3F9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1225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Kociánová Zuzana</cp:lastModifiedBy>
  <cp:revision>12</cp:revision>
  <cp:lastPrinted>2019-08-20T06:07:00Z</cp:lastPrinted>
  <dcterms:created xsi:type="dcterms:W3CDTF">2020-07-07T06:04:00Z</dcterms:created>
  <dcterms:modified xsi:type="dcterms:W3CDTF">2020-08-24T14:52:00Z</dcterms:modified>
</cp:coreProperties>
</file>