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6B4412" w14:textId="29A299DB" w:rsidR="009669F3" w:rsidRPr="00CB53E5" w:rsidRDefault="00BB7B24" w:rsidP="009669F3">
      <w:pPr>
        <w:rPr>
          <w:b/>
          <w:i/>
          <w:color w:val="00A499"/>
          <w:sz w:val="32"/>
          <w:szCs w:val="32"/>
        </w:rPr>
      </w:pPr>
      <w:r w:rsidRPr="00CB53E5">
        <w:rPr>
          <w:b/>
          <w:i/>
          <w:color w:val="00A499"/>
          <w:sz w:val="32"/>
          <w:szCs w:val="32"/>
        </w:rPr>
        <w:t>Popis aktivit</w:t>
      </w:r>
      <w:r w:rsidR="004B2C9C" w:rsidRPr="00CB53E5">
        <w:rPr>
          <w:b/>
          <w:i/>
          <w:color w:val="00A499"/>
          <w:sz w:val="32"/>
          <w:szCs w:val="32"/>
        </w:rPr>
        <w:t xml:space="preserve"> Centra podpory inovací VŠB </w:t>
      </w:r>
      <w:r w:rsidR="009669F3" w:rsidRPr="00CB53E5">
        <w:rPr>
          <w:b/>
          <w:i/>
          <w:color w:val="00A499"/>
          <w:sz w:val="32"/>
          <w:szCs w:val="32"/>
        </w:rPr>
        <w:t>–</w:t>
      </w:r>
      <w:r w:rsidR="004B2C9C" w:rsidRPr="00CB53E5">
        <w:rPr>
          <w:b/>
          <w:i/>
          <w:color w:val="00A499"/>
          <w:sz w:val="32"/>
          <w:szCs w:val="32"/>
        </w:rPr>
        <w:t xml:space="preserve"> TUO</w:t>
      </w:r>
      <w:r w:rsidR="009669F3" w:rsidRPr="00CB53E5">
        <w:rPr>
          <w:b/>
          <w:i/>
          <w:color w:val="00A499"/>
          <w:sz w:val="32"/>
          <w:szCs w:val="32"/>
        </w:rPr>
        <w:t xml:space="preserve"> směrem k podpoře rozvoje podnikání Moravskoslezského kraje</w:t>
      </w:r>
    </w:p>
    <w:p w14:paraId="32C4C302" w14:textId="246F687C" w:rsidR="00BB7B24" w:rsidRPr="005E56E8" w:rsidRDefault="00E422A1" w:rsidP="009669F3">
      <w:pPr>
        <w:rPr>
          <w:b/>
          <w:color w:val="00A499"/>
          <w:sz w:val="28"/>
          <w:szCs w:val="28"/>
        </w:rPr>
      </w:pPr>
      <w:r w:rsidRPr="005E56E8">
        <w:rPr>
          <w:b/>
          <w:color w:val="00A499"/>
          <w:sz w:val="28"/>
          <w:szCs w:val="28"/>
        </w:rPr>
        <w:t xml:space="preserve">Program </w:t>
      </w:r>
      <w:r w:rsidR="000B604C" w:rsidRPr="005E56E8">
        <w:rPr>
          <w:b/>
          <w:color w:val="00A499"/>
          <w:sz w:val="28"/>
          <w:szCs w:val="28"/>
        </w:rPr>
        <w:t>GREEN LIGHT</w:t>
      </w:r>
      <w:r w:rsidRPr="005E56E8">
        <w:rPr>
          <w:b/>
          <w:color w:val="00A499"/>
          <w:sz w:val="28"/>
          <w:szCs w:val="28"/>
        </w:rPr>
        <w:t xml:space="preserve"> </w:t>
      </w:r>
    </w:p>
    <w:p w14:paraId="73BD491E" w14:textId="09CC9355" w:rsidR="00593055" w:rsidRDefault="00593055" w:rsidP="009669F3">
      <w:pPr>
        <w:jc w:val="both"/>
      </w:pPr>
      <w:r>
        <w:t>GREEN LIGHT</w:t>
      </w:r>
      <w:r w:rsidR="006D2BBF">
        <w:t xml:space="preserve"> (dále jen „GL“)</w:t>
      </w:r>
      <w:r>
        <w:t xml:space="preserve"> je program pro podporu rozvoje podnikání, který už osmým rokem realizuje Centrum podpory inovací VŠB-TUO</w:t>
      </w:r>
      <w:r w:rsidR="006D2BBF">
        <w:t xml:space="preserve"> (dále jen „CPI“). Jeho hlavním cílem je motivovat a podpořit zájemce o rozvoj podnikatelského nápadu směrem k jeho uskutečnění a přetvoření do skutečného businessu s platícími zákazníky. CPI při realizaci programu spolupracuje s řadou externích partnerů, kteří zapojeným projektům poskytují služby odborného charakteru, konzultace</w:t>
      </w:r>
      <w:r w:rsidR="009753B2">
        <w:t>,</w:t>
      </w:r>
      <w:r w:rsidR="006D2BBF">
        <w:t xml:space="preserve"> případně finanční a materiální podporu. Díky specializovaným službám a zázemí, které program GREEN LIGHT poskytuje, jsou podporovány zajímavé a realizovatelné podnikatelské nápady. Tím dochází ke kvalitnímu urychlení startu podnikání.</w:t>
      </w:r>
    </w:p>
    <w:p w14:paraId="24464B64" w14:textId="16CDF829" w:rsidR="00396DB1" w:rsidRPr="00011BAC" w:rsidRDefault="00396DB1" w:rsidP="00396DB1">
      <w:pPr>
        <w:jc w:val="both"/>
      </w:pPr>
      <w:r>
        <w:t>G</w:t>
      </w:r>
      <w:r w:rsidR="00011BAC">
        <w:t>L</w:t>
      </w:r>
      <w:r>
        <w:t xml:space="preserve"> tvoří až šestiměsíční program </w:t>
      </w:r>
      <w:r w:rsidRPr="005E56E8">
        <w:rPr>
          <w:b/>
          <w:color w:val="00A499"/>
        </w:rPr>
        <w:t>Start</w:t>
      </w:r>
      <w:r>
        <w:t xml:space="preserve"> pro zájemce o podnikání mající vlastní nápad, který chtějí dále rozvíjet. Navazující program </w:t>
      </w:r>
      <w:r w:rsidRPr="005E56E8">
        <w:rPr>
          <w:b/>
          <w:color w:val="00A499"/>
        </w:rPr>
        <w:t>Akcelerátor</w:t>
      </w:r>
      <w:r>
        <w:t xml:space="preserve"> je pokračujícím programem pro zájemce s ověřeným produktem, u kterých je očekáván vstup na trh a přechod ke skutečnému businessu, tedy k platícím zákazníkům. Na závěr Akcelerátoru se vybrané projekty utkají o přízeň porotců, investorů a publika v</w:t>
      </w:r>
      <w:r w:rsidR="00011BAC">
        <w:t> </w:t>
      </w:r>
      <w:r>
        <w:t>oblíbené</w:t>
      </w:r>
      <w:r w:rsidR="00011BAC">
        <w:t xml:space="preserve"> GL</w:t>
      </w:r>
      <w:r>
        <w:t xml:space="preserve"> </w:t>
      </w:r>
      <w:r w:rsidRPr="005E56E8">
        <w:rPr>
          <w:b/>
          <w:caps/>
          <w:color w:val="00A499"/>
        </w:rPr>
        <w:t>Startup Show</w:t>
      </w:r>
      <w:r>
        <w:t xml:space="preserve">. </w:t>
      </w:r>
      <w:r w:rsidR="00D654EF">
        <w:t xml:space="preserve">Součástí uvedené akce je </w:t>
      </w:r>
      <w:r w:rsidR="00011BAC" w:rsidRPr="00011BAC">
        <w:rPr>
          <w:b/>
          <w:color w:val="00A499"/>
        </w:rPr>
        <w:t>„</w:t>
      </w:r>
      <w:proofErr w:type="spellStart"/>
      <w:r w:rsidR="00D654EF" w:rsidRPr="00011BAC">
        <w:rPr>
          <w:b/>
          <w:color w:val="00A499"/>
        </w:rPr>
        <w:t>in</w:t>
      </w:r>
      <w:r w:rsidR="00D654EF">
        <w:rPr>
          <w:b/>
          <w:color w:val="00A499"/>
        </w:rPr>
        <w:t>veSTORE</w:t>
      </w:r>
      <w:proofErr w:type="spellEnd"/>
      <w:r w:rsidR="00011BAC">
        <w:rPr>
          <w:b/>
          <w:color w:val="00A499"/>
        </w:rPr>
        <w:t>“</w:t>
      </w:r>
      <w:r w:rsidR="00011BAC">
        <w:t xml:space="preserve">, uzavřené setkání širokého portfolia investorů z celé ČR se zajímavými projekty z Moravskoslezského kraje. Nabídka pro zapojení projektů je pravidelně představována a nabízena například členům startup </w:t>
      </w:r>
      <w:proofErr w:type="spellStart"/>
      <w:r w:rsidR="00011BAC">
        <w:t>community</w:t>
      </w:r>
      <w:proofErr w:type="spellEnd"/>
      <w:r w:rsidR="00011BAC">
        <w:t xml:space="preserve">, která je formalizovaná pod záštitou Moravskoslezského </w:t>
      </w:r>
      <w:r w:rsidR="0010362D">
        <w:t>inovačního centra</w:t>
      </w:r>
      <w:r w:rsidR="00011BAC">
        <w:t>.</w:t>
      </w:r>
    </w:p>
    <w:p w14:paraId="65CA12CB" w14:textId="2FDC0A82" w:rsidR="00011BAC" w:rsidRDefault="00011BAC" w:rsidP="00011BAC">
      <w:pPr>
        <w:jc w:val="both"/>
      </w:pPr>
      <w:r>
        <w:t>Celková organizace programu je zajišťována CPI, odborná stránka realizace pak interními a externími mentory s podnikatelskými zkušenostmi a desítkami externích odborníků podle zaměření a potřeb jednotlivých projektů. Napojení na tyto odborníky je zajišťováno přímo CPI vlastními kontakty či ve spolupráci s partnery. V této souvislosti je zapotřebí zdůraznit, že tento program je integrální součástí podpůrného inovačního ekosystému vytvářeného v rámci Moravskoslezského kraje. Svým obsahem výrazně cílí převážně na absolventy vysokých škol v kraji a veřejnost do 40 let věku, na studenty pak zejména jako členy podnikatelských týmů či nositele nápadu v programu GL Start.</w:t>
      </w:r>
    </w:p>
    <w:p w14:paraId="156DC350" w14:textId="43AEE631" w:rsidR="00BB7B24" w:rsidRDefault="00011BAC" w:rsidP="004C3FAE">
      <w:pPr>
        <w:jc w:val="both"/>
      </w:pPr>
      <w:r>
        <w:t xml:space="preserve">Programu se mohou zúčastnit jak nepodnikající fyzické osoby, tak podnikající fyzické či právnické osoby, pokud jsou v počátku svého podnikání, nebo přicházejí s novým nápadem, který má potenciál stát se dalším podnikáním. Poskytované služby jsou realizovány ve veřejném zájmu za účelem podpory rozvoje podnikání v Moravskoslezském kraji. S ohledem na skutečnost, že jsou poskytovány ve fázi před či krátce po zahájení podnikání, lze konstatovat, že tyto služby nejsou poskytovány běžnou komerční sférou. Se všemi účastníky je uzavřen smluvní vztah, ve kterém je poskytovaná podpora ošetřena tzv. ustanovením o poskytnutí podpory v režimu de minimis (relevantní u podnikajících subjektů). Očekává se, že ze získané dotace Moravskoslezského kraje bude minimálně </w:t>
      </w:r>
      <w:r w:rsidR="00D8411F">
        <w:t>25</w:t>
      </w:r>
      <w:r>
        <w:t xml:space="preserve"> % přeneseno formou podpory de minimis na účastníky programu GL.</w:t>
      </w:r>
      <w:r w:rsidR="00E422A1">
        <w:t xml:space="preserve"> </w:t>
      </w:r>
    </w:p>
    <w:p w14:paraId="27C1B394" w14:textId="3494A788" w:rsidR="00CB53E5" w:rsidRDefault="00CB53E5" w:rsidP="004C3FAE">
      <w:pPr>
        <w:jc w:val="both"/>
      </w:pPr>
      <w:r>
        <w:t xml:space="preserve">Získané peněžní prostředky budou použity zejména na </w:t>
      </w:r>
      <w:r w:rsidRPr="00CB53E5">
        <w:t>osobní náklady a odborné služby k zajištění aktivit programu</w:t>
      </w:r>
      <w:r>
        <w:t xml:space="preserve"> </w:t>
      </w:r>
      <w:r w:rsidRPr="00CB53E5">
        <w:t>(včetně odborných mentorů) sloužící</w:t>
      </w:r>
      <w:r>
        <w:t>ho</w:t>
      </w:r>
      <w:r w:rsidRPr="00CB53E5">
        <w:t xml:space="preserve"> k podpoře rozjezdu podnikání, propagac</w:t>
      </w:r>
      <w:r>
        <w:t>i</w:t>
      </w:r>
      <w:r w:rsidRPr="00CB53E5">
        <w:t xml:space="preserve"> aktivit, zajištění organizačních záležitostí, odměny a ceny soutěžícím, nepřím</w:t>
      </w:r>
      <w:r>
        <w:t>ou</w:t>
      </w:r>
      <w:r w:rsidRPr="00CB53E5">
        <w:t xml:space="preserve"> podpor</w:t>
      </w:r>
      <w:r>
        <w:t>u</w:t>
      </w:r>
      <w:r w:rsidRPr="00CB53E5">
        <w:t xml:space="preserve"> klientů formou podpory publicity dílčích projektů, provozní náklady, náklady na nájemné pro realizaci aktivit, nákupy techniky a jiných souvisejících prostředků pro realizaci aktivit, nákupy realizačních a testovacích nástrojů a metodik pro realizaci aktivit (zejména SW, licence), odborná školení pro klíčové pracovníky realizačního týmu, cestovné pro tuzemské i zahraniční cesty pro odborný tým či účastníky programů</w:t>
      </w:r>
      <w:r>
        <w:t xml:space="preserve"> nebo</w:t>
      </w:r>
      <w:r w:rsidRPr="00CB53E5">
        <w:t xml:space="preserve"> osobní náklady realizačního a expertního týmu.</w:t>
      </w:r>
    </w:p>
    <w:p w14:paraId="559ABDB5" w14:textId="560A7C3E" w:rsidR="00D8411F" w:rsidRDefault="00281BCF" w:rsidP="004C3FAE">
      <w:pPr>
        <w:jc w:val="both"/>
      </w:pPr>
      <w:r>
        <w:t>V</w:t>
      </w:r>
      <w:r w:rsidR="000950D3">
        <w:t xml:space="preserve"> současné době byly </w:t>
      </w:r>
      <w:r w:rsidR="00CB53E5">
        <w:t xml:space="preserve">také </w:t>
      </w:r>
      <w:r w:rsidR="000950D3">
        <w:t xml:space="preserve">zahájeny úvahy o zpoplatnění programu GL pro účastníky. Tyto úvahy vycházejí na jedné straně z vlastních zkušeností s vedením programu zdarma, na straně druhé pak ze sdílených zkušeností </w:t>
      </w:r>
      <w:r w:rsidR="000950D3">
        <w:lastRenderedPageBreak/>
        <w:t>podobných programů z celé České republiky. Zpoplatnění programu by v dlouhodobém časovém horizontu mohlo vést ke snížení potřeby financování programu GL ze strany Moravskoslezského kraje.</w:t>
      </w:r>
    </w:p>
    <w:sectPr w:rsidR="00D8411F" w:rsidSect="004B2C9C">
      <w:headerReference w:type="even" r:id="rId11"/>
      <w:headerReference w:type="default" r:id="rId12"/>
      <w:footerReference w:type="even" r:id="rId13"/>
      <w:footerReference w:type="default" r:id="rId14"/>
      <w:headerReference w:type="first" r:id="rId15"/>
      <w:footerReference w:type="first" r:id="rId16"/>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1B0A52" w14:textId="77777777" w:rsidR="00CF6BAA" w:rsidRDefault="00CF6BAA" w:rsidP="004B2C9C">
      <w:pPr>
        <w:spacing w:after="0" w:line="240" w:lineRule="auto"/>
      </w:pPr>
      <w:r>
        <w:separator/>
      </w:r>
    </w:p>
  </w:endnote>
  <w:endnote w:type="continuationSeparator" w:id="0">
    <w:p w14:paraId="3382674D" w14:textId="77777777" w:rsidR="00CF6BAA" w:rsidRDefault="00CF6BAA" w:rsidP="004B2C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846EF8" w14:textId="77777777" w:rsidR="00CA1C60" w:rsidRDefault="00CA1C6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F5CEE7" w14:textId="77777777" w:rsidR="00CA1C60" w:rsidRDefault="00CA1C60">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008D34" w14:textId="77777777" w:rsidR="00CA1C60" w:rsidRDefault="00CA1C6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8F5186" w14:textId="77777777" w:rsidR="00CF6BAA" w:rsidRDefault="00CF6BAA" w:rsidP="004B2C9C">
      <w:pPr>
        <w:spacing w:after="0" w:line="240" w:lineRule="auto"/>
      </w:pPr>
      <w:r>
        <w:separator/>
      </w:r>
    </w:p>
  </w:footnote>
  <w:footnote w:type="continuationSeparator" w:id="0">
    <w:p w14:paraId="5BD0653B" w14:textId="77777777" w:rsidR="00CF6BAA" w:rsidRDefault="00CF6BAA" w:rsidP="004B2C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8FBD77" w14:textId="77777777" w:rsidR="00CA1C60" w:rsidRDefault="00CA1C60">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B66535" w14:textId="4B13C507" w:rsidR="005E56E8" w:rsidRDefault="005E56E8">
    <w:pPr>
      <w:pStyle w:val="Zhlav"/>
      <w:rPr>
        <w:b/>
        <w:color w:val="00A499"/>
        <w:sz w:val="24"/>
      </w:rPr>
    </w:pPr>
    <w:r w:rsidRPr="002338C2">
      <w:rPr>
        <w:b/>
        <w:noProof/>
        <w:color w:val="00A499"/>
        <w:sz w:val="24"/>
        <w:lang w:eastAsia="cs-CZ"/>
      </w:rPr>
      <w:drawing>
        <wp:anchor distT="0" distB="0" distL="114300" distR="114300" simplePos="0" relativeHeight="251658240" behindDoc="0" locked="0" layoutInCell="1" allowOverlap="1" wp14:anchorId="7ACFA27C" wp14:editId="031F1809">
          <wp:simplePos x="0" y="0"/>
          <wp:positionH relativeFrom="margin">
            <wp:align>right</wp:align>
          </wp:positionH>
          <wp:positionV relativeFrom="paragraph">
            <wp:posOffset>-99060</wp:posOffset>
          </wp:positionV>
          <wp:extent cx="1440180" cy="560549"/>
          <wp:effectExtent l="0" t="0" r="0" b="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PI -CZ.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40180" cy="560549"/>
                  </a:xfrm>
                  <a:prstGeom prst="rect">
                    <a:avLst/>
                  </a:prstGeom>
                </pic:spPr>
              </pic:pic>
            </a:graphicData>
          </a:graphic>
          <wp14:sizeRelH relativeFrom="page">
            <wp14:pctWidth>0</wp14:pctWidth>
          </wp14:sizeRelH>
          <wp14:sizeRelV relativeFrom="page">
            <wp14:pctHeight>0</wp14:pctHeight>
          </wp14:sizeRelV>
        </wp:anchor>
      </w:drawing>
    </w:r>
  </w:p>
  <w:p w14:paraId="507A7848" w14:textId="77777777" w:rsidR="00CA1C60" w:rsidRPr="002338C2" w:rsidRDefault="00CA1C60">
    <w:pPr>
      <w:pStyle w:val="Zhlav"/>
      <w:rPr>
        <w:b/>
        <w:color w:val="00A499"/>
      </w:rPr>
    </w:pPr>
    <w:bookmarkStart w:id="0" w:name="_GoBack"/>
    <w:bookmarkEnd w:id="0"/>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A22091" w14:textId="77777777" w:rsidR="00CA1C60" w:rsidRDefault="00CA1C6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167094"/>
    <w:multiLevelType w:val="hybridMultilevel"/>
    <w:tmpl w:val="F378ED1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5A8F"/>
    <w:rsid w:val="00011BAC"/>
    <w:rsid w:val="000950D3"/>
    <w:rsid w:val="000B604C"/>
    <w:rsid w:val="0010362D"/>
    <w:rsid w:val="00223519"/>
    <w:rsid w:val="002338C2"/>
    <w:rsid w:val="00245E3C"/>
    <w:rsid w:val="00272F53"/>
    <w:rsid w:val="00281BCF"/>
    <w:rsid w:val="00396DB1"/>
    <w:rsid w:val="003978F4"/>
    <w:rsid w:val="003B64B7"/>
    <w:rsid w:val="00485AC4"/>
    <w:rsid w:val="004B2C9C"/>
    <w:rsid w:val="004C3FAE"/>
    <w:rsid w:val="00593055"/>
    <w:rsid w:val="005E56E8"/>
    <w:rsid w:val="00604734"/>
    <w:rsid w:val="00617ACE"/>
    <w:rsid w:val="006260A8"/>
    <w:rsid w:val="00645A8F"/>
    <w:rsid w:val="006D2BBF"/>
    <w:rsid w:val="007F238E"/>
    <w:rsid w:val="00800BAA"/>
    <w:rsid w:val="00845E22"/>
    <w:rsid w:val="00930A1E"/>
    <w:rsid w:val="009669F3"/>
    <w:rsid w:val="00967353"/>
    <w:rsid w:val="009753B2"/>
    <w:rsid w:val="00A369E8"/>
    <w:rsid w:val="00A9740C"/>
    <w:rsid w:val="00BB7B24"/>
    <w:rsid w:val="00C54691"/>
    <w:rsid w:val="00C73E93"/>
    <w:rsid w:val="00CA1C60"/>
    <w:rsid w:val="00CB53E5"/>
    <w:rsid w:val="00CF6BAA"/>
    <w:rsid w:val="00D23F92"/>
    <w:rsid w:val="00D654EF"/>
    <w:rsid w:val="00D8411F"/>
    <w:rsid w:val="00E422A1"/>
    <w:rsid w:val="00E459A2"/>
    <w:rsid w:val="00E45FAC"/>
    <w:rsid w:val="00E745AF"/>
    <w:rsid w:val="00EA0BEF"/>
    <w:rsid w:val="00FA5C9B"/>
    <w:rsid w:val="00FE1D1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5572FF"/>
  <w15:chartTrackingRefBased/>
  <w15:docId w15:val="{061E5CF2-3C39-4C5F-9D9D-02E57FE5A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E422A1"/>
    <w:pPr>
      <w:ind w:left="720"/>
      <w:contextualSpacing/>
    </w:pPr>
  </w:style>
  <w:style w:type="paragraph" w:styleId="Zhlav">
    <w:name w:val="header"/>
    <w:basedOn w:val="Normln"/>
    <w:link w:val="ZhlavChar"/>
    <w:uiPriority w:val="99"/>
    <w:unhideWhenUsed/>
    <w:rsid w:val="004B2C9C"/>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B2C9C"/>
  </w:style>
  <w:style w:type="paragraph" w:styleId="Zpat">
    <w:name w:val="footer"/>
    <w:basedOn w:val="Normln"/>
    <w:link w:val="ZpatChar"/>
    <w:uiPriority w:val="99"/>
    <w:unhideWhenUsed/>
    <w:rsid w:val="004B2C9C"/>
    <w:pPr>
      <w:tabs>
        <w:tab w:val="center" w:pos="4536"/>
        <w:tab w:val="right" w:pos="9072"/>
      </w:tabs>
      <w:spacing w:after="0" w:line="240" w:lineRule="auto"/>
    </w:pPr>
  </w:style>
  <w:style w:type="character" w:customStyle="1" w:styleId="ZpatChar">
    <w:name w:val="Zápatí Char"/>
    <w:basedOn w:val="Standardnpsmoodstavce"/>
    <w:link w:val="Zpat"/>
    <w:uiPriority w:val="99"/>
    <w:rsid w:val="004B2C9C"/>
  </w:style>
  <w:style w:type="paragraph" w:styleId="Textbubliny">
    <w:name w:val="Balloon Text"/>
    <w:basedOn w:val="Normln"/>
    <w:link w:val="TextbublinyChar"/>
    <w:uiPriority w:val="99"/>
    <w:semiHidden/>
    <w:unhideWhenUsed/>
    <w:rsid w:val="000B604C"/>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B604C"/>
    <w:rPr>
      <w:rFonts w:ascii="Segoe UI" w:hAnsi="Segoe UI" w:cs="Segoe UI"/>
      <w:sz w:val="18"/>
      <w:szCs w:val="18"/>
    </w:rPr>
  </w:style>
  <w:style w:type="character" w:styleId="Odkaznakoment">
    <w:name w:val="annotation reference"/>
    <w:basedOn w:val="Standardnpsmoodstavce"/>
    <w:uiPriority w:val="99"/>
    <w:semiHidden/>
    <w:unhideWhenUsed/>
    <w:rsid w:val="00A369E8"/>
    <w:rPr>
      <w:sz w:val="16"/>
      <w:szCs w:val="16"/>
    </w:rPr>
  </w:style>
  <w:style w:type="paragraph" w:styleId="Textkomente">
    <w:name w:val="annotation text"/>
    <w:basedOn w:val="Normln"/>
    <w:link w:val="TextkomenteChar"/>
    <w:uiPriority w:val="99"/>
    <w:semiHidden/>
    <w:unhideWhenUsed/>
    <w:rsid w:val="00A369E8"/>
    <w:pPr>
      <w:spacing w:line="240" w:lineRule="auto"/>
    </w:pPr>
    <w:rPr>
      <w:sz w:val="20"/>
      <w:szCs w:val="20"/>
    </w:rPr>
  </w:style>
  <w:style w:type="character" w:customStyle="1" w:styleId="TextkomenteChar">
    <w:name w:val="Text komentáře Char"/>
    <w:basedOn w:val="Standardnpsmoodstavce"/>
    <w:link w:val="Textkomente"/>
    <w:uiPriority w:val="99"/>
    <w:semiHidden/>
    <w:rsid w:val="00A369E8"/>
    <w:rPr>
      <w:sz w:val="20"/>
      <w:szCs w:val="20"/>
    </w:rPr>
  </w:style>
  <w:style w:type="paragraph" w:styleId="Pedmtkomente">
    <w:name w:val="annotation subject"/>
    <w:basedOn w:val="Textkomente"/>
    <w:next w:val="Textkomente"/>
    <w:link w:val="PedmtkomenteChar"/>
    <w:uiPriority w:val="99"/>
    <w:semiHidden/>
    <w:unhideWhenUsed/>
    <w:rsid w:val="00A369E8"/>
    <w:rPr>
      <w:b/>
      <w:bCs/>
    </w:rPr>
  </w:style>
  <w:style w:type="character" w:customStyle="1" w:styleId="PedmtkomenteChar">
    <w:name w:val="Předmět komentáře Char"/>
    <w:basedOn w:val="TextkomenteChar"/>
    <w:link w:val="Pedmtkomente"/>
    <w:uiPriority w:val="99"/>
    <w:semiHidden/>
    <w:rsid w:val="00A369E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2260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Osoba xmlns="4e814504-3df3-4c02-9439-1378c406411d">
      <UserInfo>
        <DisplayName/>
        <AccountId xsi:nil="true"/>
        <AccountType/>
      </UserInfo>
    </Osoba>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DFF9396F0CC283419F7FC60F8D3F62EB" ma:contentTypeVersion="13" ma:contentTypeDescription="Vytvoří nový dokument" ma:contentTypeScope="" ma:versionID="75321535ea6d15367969e30590debca5">
  <xsd:schema xmlns:xsd="http://www.w3.org/2001/XMLSchema" xmlns:xs="http://www.w3.org/2001/XMLSchema" xmlns:p="http://schemas.microsoft.com/office/2006/metadata/properties" xmlns:ns2="05d1bcc0-d21a-44dc-9ed5-2a4b93fc614d" xmlns:ns3="4e814504-3df3-4c02-9439-1378c406411d" targetNamespace="http://schemas.microsoft.com/office/2006/metadata/properties" ma:root="true" ma:fieldsID="35ed9d623e9a59fbfa4ef38ace1d7496" ns2:_="" ns3:_="">
    <xsd:import namespace="05d1bcc0-d21a-44dc-9ed5-2a4b93fc614d"/>
    <xsd:import namespace="4e814504-3df3-4c02-9439-1378c406411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Osoba"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d1bcc0-d21a-44dc-9ed5-2a4b93fc614d" elementFormDefault="qualified">
    <xsd:import namespace="http://schemas.microsoft.com/office/2006/documentManagement/types"/>
    <xsd:import namespace="http://schemas.microsoft.com/office/infopath/2007/PartnerControls"/>
    <xsd:element name="SharedWithUsers" ma:index="8" nillable="true" ma:displayName="Sdílí se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e814504-3df3-4c02-9439-1378c406411d"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Osoba" ma:index="16" nillable="true" ma:displayName="Osoba" ma:format="Dropdown" ma:list="UserInfo" ma:SharePointGroup="0" ma:internalName="Osoba">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AEF213-CE1C-4B5F-B3EE-38E478B0487A}">
  <ds:schemaRefs>
    <ds:schemaRef ds:uri="http://schemas.microsoft.com/office/2006/metadata/properties"/>
    <ds:schemaRef ds:uri="http://schemas.microsoft.com/office/infopath/2007/PartnerControls"/>
    <ds:schemaRef ds:uri="4e814504-3df3-4c02-9439-1378c406411d"/>
  </ds:schemaRefs>
</ds:datastoreItem>
</file>

<file path=customXml/itemProps2.xml><?xml version="1.0" encoding="utf-8"?>
<ds:datastoreItem xmlns:ds="http://schemas.openxmlformats.org/officeDocument/2006/customXml" ds:itemID="{C4E9754C-BACE-40A3-9871-F67D3E3DC0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d1bcc0-d21a-44dc-9ed5-2a4b93fc614d"/>
    <ds:schemaRef ds:uri="4e814504-3df3-4c02-9439-1378c40641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9FD189F-96B0-4401-9BA8-4E8CD13A2E17}">
  <ds:schemaRefs>
    <ds:schemaRef ds:uri="http://schemas.microsoft.com/sharepoint/v3/contenttype/forms"/>
  </ds:schemaRefs>
</ds:datastoreItem>
</file>

<file path=customXml/itemProps4.xml><?xml version="1.0" encoding="utf-8"?>
<ds:datastoreItem xmlns:ds="http://schemas.openxmlformats.org/officeDocument/2006/customXml" ds:itemID="{495944D8-2277-4C64-B737-E226DF91CC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611</Words>
  <Characters>3608</Characters>
  <Application>Microsoft Office Word</Application>
  <DocSecurity>0</DocSecurity>
  <Lines>30</Lines>
  <Paragraphs>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Simonikova Andrea</dc:creator>
  <cp:keywords/>
  <dc:description/>
  <cp:lastModifiedBy>Mazurová Veronika</cp:lastModifiedBy>
  <cp:revision>2</cp:revision>
  <dcterms:created xsi:type="dcterms:W3CDTF">2021-02-23T11:19:00Z</dcterms:created>
  <dcterms:modified xsi:type="dcterms:W3CDTF">2021-02-23T11:19:00Z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0x010100DFF9396F0CC283419F7FC60F8D3F62EB</vt:lpwstr>
  </property>
</Properties>
</file>