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FB" w:rsidRPr="0098332C" w:rsidRDefault="00A10951">
      <w:pPr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 xml:space="preserve">Dodatek č. </w:t>
      </w:r>
      <w:r w:rsidR="00FE6EA1" w:rsidRPr="0098332C">
        <w:rPr>
          <w:rFonts w:ascii="Tahoma" w:hAnsi="Tahoma" w:cs="Tahoma"/>
          <w:b/>
          <w:sz w:val="22"/>
          <w:szCs w:val="22"/>
        </w:rPr>
        <w:t>2</w:t>
      </w:r>
      <w:r w:rsidRPr="0098332C">
        <w:rPr>
          <w:rFonts w:ascii="Tahoma" w:hAnsi="Tahoma" w:cs="Tahoma"/>
          <w:b/>
          <w:sz w:val="22"/>
          <w:szCs w:val="22"/>
        </w:rPr>
        <w:t xml:space="preserve"> ke </w:t>
      </w:r>
      <w:r w:rsidR="00C57E4A" w:rsidRPr="0098332C">
        <w:rPr>
          <w:rFonts w:ascii="Tahoma" w:hAnsi="Tahoma" w:cs="Tahoma"/>
          <w:b/>
          <w:sz w:val="22"/>
          <w:szCs w:val="22"/>
        </w:rPr>
        <w:t>Smlouv</w:t>
      </w:r>
      <w:r w:rsidRPr="0098332C">
        <w:rPr>
          <w:rFonts w:ascii="Tahoma" w:hAnsi="Tahoma" w:cs="Tahoma"/>
          <w:b/>
          <w:sz w:val="22"/>
          <w:szCs w:val="22"/>
        </w:rPr>
        <w:t>ě</w:t>
      </w:r>
      <w:r w:rsidR="0098332C">
        <w:rPr>
          <w:rFonts w:ascii="Tahoma" w:hAnsi="Tahoma" w:cs="Tahoma"/>
          <w:b/>
          <w:sz w:val="22"/>
          <w:szCs w:val="22"/>
        </w:rPr>
        <w:br/>
      </w:r>
      <w:r w:rsidR="00C57E4A" w:rsidRPr="0098332C">
        <w:rPr>
          <w:rFonts w:ascii="Tahoma" w:hAnsi="Tahoma" w:cs="Tahoma"/>
          <w:b/>
          <w:sz w:val="22"/>
          <w:szCs w:val="22"/>
        </w:rPr>
        <w:t>o</w:t>
      </w:r>
      <w:r w:rsidR="0098332C">
        <w:rPr>
          <w:rFonts w:ascii="Tahoma" w:hAnsi="Tahoma" w:cs="Tahoma"/>
          <w:b/>
          <w:sz w:val="22"/>
          <w:szCs w:val="22"/>
        </w:rPr>
        <w:t> </w:t>
      </w:r>
      <w:r w:rsidR="00C57E4A" w:rsidRPr="0098332C">
        <w:rPr>
          <w:rFonts w:ascii="Tahoma" w:hAnsi="Tahoma" w:cs="Tahoma"/>
          <w:b/>
          <w:sz w:val="22"/>
          <w:szCs w:val="22"/>
        </w:rPr>
        <w:t>závazku veřejné služby</w:t>
      </w:r>
      <w:r w:rsidR="00F052BE" w:rsidRPr="0098332C">
        <w:rPr>
          <w:rFonts w:ascii="Tahoma" w:hAnsi="Tahoma" w:cs="Tahoma"/>
          <w:b/>
          <w:sz w:val="22"/>
          <w:szCs w:val="22"/>
        </w:rPr>
        <w:t xml:space="preserve"> a vyrovnávací platbě za jeho výkon</w:t>
      </w:r>
    </w:p>
    <w:p w:rsidR="003B1DFB" w:rsidRPr="0098332C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I.</w:t>
      </w:r>
      <w:r w:rsidR="0098332C">
        <w:rPr>
          <w:rFonts w:ascii="Tahoma" w:hAnsi="Tahoma" w:cs="Tahoma"/>
          <w:b/>
          <w:sz w:val="22"/>
          <w:szCs w:val="22"/>
        </w:rPr>
        <w:br/>
      </w:r>
      <w:r w:rsidRPr="0098332C">
        <w:rPr>
          <w:rFonts w:ascii="Tahoma" w:hAnsi="Tahoma" w:cs="Tahoma"/>
          <w:b/>
          <w:sz w:val="22"/>
          <w:szCs w:val="22"/>
        </w:rPr>
        <w:t>Smluvní strany</w:t>
      </w:r>
    </w:p>
    <w:p w:rsidR="003B1DFB" w:rsidRPr="0098332C" w:rsidRDefault="00F817AA" w:rsidP="0098332C">
      <w:pPr>
        <w:pStyle w:val="Odstavecseseznamem"/>
        <w:numPr>
          <w:ilvl w:val="0"/>
          <w:numId w:val="49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Moravskoslezský kraj</w:t>
      </w:r>
    </w:p>
    <w:p w:rsidR="003B1DFB" w:rsidRPr="0098332C" w:rsidRDefault="002E7A9D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se sídlem</w:t>
      </w:r>
      <w:r w:rsidR="009814CE"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  <w:r w:rsidR="009814CE" w:rsidRPr="0098332C">
        <w:rPr>
          <w:rFonts w:ascii="Tahoma" w:hAnsi="Tahoma" w:cs="Tahoma"/>
          <w:sz w:val="22"/>
          <w:szCs w:val="22"/>
        </w:rPr>
        <w:t xml:space="preserve">28. </w:t>
      </w:r>
      <w:r w:rsidR="00BD6DD4" w:rsidRPr="0098332C">
        <w:rPr>
          <w:rFonts w:ascii="Tahoma" w:hAnsi="Tahoma" w:cs="Tahoma"/>
          <w:sz w:val="22"/>
          <w:szCs w:val="22"/>
        </w:rPr>
        <w:t>ř</w:t>
      </w:r>
      <w:r w:rsidR="009814CE" w:rsidRPr="0098332C">
        <w:rPr>
          <w:rFonts w:ascii="Tahoma" w:hAnsi="Tahoma" w:cs="Tahoma"/>
          <w:sz w:val="22"/>
          <w:szCs w:val="22"/>
        </w:rPr>
        <w:t>íjna 117, 702</w:t>
      </w:r>
      <w:r w:rsidR="0098332C">
        <w:rPr>
          <w:rFonts w:ascii="Tahoma" w:hAnsi="Tahoma" w:cs="Tahoma"/>
          <w:sz w:val="22"/>
          <w:szCs w:val="22"/>
        </w:rPr>
        <w:t> </w:t>
      </w:r>
      <w:r w:rsidR="009814CE" w:rsidRPr="0098332C">
        <w:rPr>
          <w:rFonts w:ascii="Tahoma" w:hAnsi="Tahoma" w:cs="Tahoma"/>
          <w:sz w:val="22"/>
          <w:szCs w:val="22"/>
        </w:rPr>
        <w:t>18 Ostrava</w:t>
      </w:r>
    </w:p>
    <w:p w:rsidR="002E7A9D" w:rsidRPr="0098332C" w:rsidRDefault="009814CE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z</w:t>
      </w:r>
      <w:r w:rsidR="002E7A9D" w:rsidRPr="0098332C">
        <w:rPr>
          <w:rFonts w:ascii="Tahoma" w:hAnsi="Tahoma" w:cs="Tahoma"/>
          <w:sz w:val="22"/>
          <w:szCs w:val="22"/>
        </w:rPr>
        <w:t>astoupen</w:t>
      </w:r>
      <w:r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</w:p>
    <w:p w:rsidR="00BD6DD4" w:rsidRPr="0098332C" w:rsidRDefault="00BD6DD4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IČ:</w:t>
      </w:r>
      <w:r w:rsidRPr="0098332C">
        <w:rPr>
          <w:rFonts w:ascii="Tahoma" w:hAnsi="Tahoma" w:cs="Tahoma"/>
          <w:sz w:val="22"/>
          <w:szCs w:val="22"/>
        </w:rPr>
        <w:tab/>
        <w:t>70890692</w:t>
      </w:r>
    </w:p>
    <w:p w:rsidR="009A7B90" w:rsidRPr="0098332C" w:rsidRDefault="002E7A9D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bankovní spojení</w:t>
      </w:r>
      <w:r w:rsidR="00F817AA"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  <w:r w:rsidR="009A7B90" w:rsidRPr="0098332C">
        <w:rPr>
          <w:rFonts w:ascii="Tahoma" w:hAnsi="Tahoma" w:cs="Tahoma"/>
          <w:sz w:val="22"/>
          <w:szCs w:val="22"/>
        </w:rPr>
        <w:t>Česká spořitelna, a.s.</w:t>
      </w:r>
    </w:p>
    <w:p w:rsidR="009A7B90" w:rsidRPr="0098332C" w:rsidRDefault="009A7B90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číslo účtu:</w:t>
      </w:r>
      <w:r w:rsidRPr="0098332C">
        <w:rPr>
          <w:rFonts w:ascii="Tahoma" w:hAnsi="Tahoma" w:cs="Tahoma"/>
          <w:sz w:val="22"/>
          <w:szCs w:val="22"/>
        </w:rPr>
        <w:tab/>
        <w:t>60185-1650676349/0800</w:t>
      </w:r>
    </w:p>
    <w:p w:rsidR="003B1DFB" w:rsidRPr="0098332C" w:rsidRDefault="00C57E4A" w:rsidP="0098332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(dále jen „</w:t>
      </w:r>
      <w:r w:rsidR="00F817AA" w:rsidRPr="0098332C">
        <w:rPr>
          <w:rFonts w:ascii="Tahoma" w:hAnsi="Tahoma" w:cs="Tahoma"/>
          <w:sz w:val="22"/>
          <w:szCs w:val="22"/>
        </w:rPr>
        <w:t>Kraj</w:t>
      </w:r>
      <w:r w:rsidRPr="0098332C">
        <w:rPr>
          <w:rFonts w:ascii="Tahoma" w:hAnsi="Tahoma" w:cs="Tahoma"/>
          <w:sz w:val="22"/>
          <w:szCs w:val="22"/>
        </w:rPr>
        <w:t>“)</w:t>
      </w:r>
    </w:p>
    <w:p w:rsidR="008364AF" w:rsidRPr="0098332C" w:rsidRDefault="00505D33" w:rsidP="0098332C">
      <w:pPr>
        <w:pStyle w:val="Odstavecseseznamem"/>
        <w:numPr>
          <w:ilvl w:val="0"/>
          <w:numId w:val="49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Bílovecká nemocnice, a.s.</w:t>
      </w:r>
    </w:p>
    <w:p w:rsidR="009814CE" w:rsidRPr="0098332C" w:rsidRDefault="00321DAC" w:rsidP="0098332C">
      <w:pPr>
        <w:tabs>
          <w:tab w:val="left" w:pos="2552"/>
        </w:tabs>
        <w:ind w:left="357"/>
        <w:rPr>
          <w:rFonts w:ascii="Tahoma" w:hAnsi="Tahoma" w:cs="Tahoma"/>
          <w:b/>
          <w:bCs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se sídlem</w:t>
      </w:r>
      <w:r w:rsidR="009814CE"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  <w:r w:rsidR="00505D33" w:rsidRPr="0098332C">
        <w:rPr>
          <w:rFonts w:ascii="Tahoma" w:hAnsi="Tahoma" w:cs="Tahoma"/>
          <w:sz w:val="22"/>
          <w:szCs w:val="22"/>
        </w:rPr>
        <w:t xml:space="preserve">17. </w:t>
      </w:r>
      <w:r w:rsidR="00084867" w:rsidRPr="0098332C">
        <w:rPr>
          <w:rFonts w:ascii="Tahoma" w:hAnsi="Tahoma" w:cs="Tahoma"/>
          <w:sz w:val="22"/>
          <w:szCs w:val="22"/>
        </w:rPr>
        <w:t>l</w:t>
      </w:r>
      <w:r w:rsidR="00505D33" w:rsidRPr="0098332C">
        <w:rPr>
          <w:rFonts w:ascii="Tahoma" w:hAnsi="Tahoma" w:cs="Tahoma"/>
          <w:sz w:val="22"/>
          <w:szCs w:val="22"/>
        </w:rPr>
        <w:t>istopadu 238/57, 743 01 Bílovec</w:t>
      </w:r>
    </w:p>
    <w:p w:rsidR="007266E7" w:rsidRPr="0098332C" w:rsidRDefault="0098332C" w:rsidP="0098332C">
      <w:pPr>
        <w:tabs>
          <w:tab w:val="left" w:pos="2552"/>
        </w:tabs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</w:t>
      </w:r>
      <w:r w:rsidR="007266E7" w:rsidRPr="0098332C">
        <w:rPr>
          <w:rFonts w:ascii="Tahoma" w:hAnsi="Tahoma" w:cs="Tahoma"/>
          <w:sz w:val="22"/>
          <w:szCs w:val="22"/>
        </w:rPr>
        <w:t>:</w:t>
      </w:r>
      <w:r w:rsidR="007266E7" w:rsidRPr="0098332C">
        <w:rPr>
          <w:rFonts w:ascii="Tahoma" w:hAnsi="Tahoma" w:cs="Tahoma"/>
          <w:sz w:val="22"/>
          <w:szCs w:val="22"/>
        </w:rPr>
        <w:tab/>
        <w:t>Bc. Vratislavou Krnáčovou, předsed</w:t>
      </w:r>
      <w:r w:rsidR="00945CDC" w:rsidRPr="0098332C">
        <w:rPr>
          <w:rFonts w:ascii="Tahoma" w:hAnsi="Tahoma" w:cs="Tahoma"/>
          <w:sz w:val="22"/>
          <w:szCs w:val="22"/>
        </w:rPr>
        <w:t>kyní</w:t>
      </w:r>
      <w:r>
        <w:rPr>
          <w:rFonts w:ascii="Tahoma" w:hAnsi="Tahoma" w:cs="Tahoma"/>
          <w:sz w:val="22"/>
          <w:szCs w:val="22"/>
        </w:rPr>
        <w:t xml:space="preserve"> představenstva a</w:t>
      </w:r>
    </w:p>
    <w:p w:rsidR="007266E7" w:rsidRPr="0098332C" w:rsidRDefault="002A7D8D" w:rsidP="0098332C">
      <w:pPr>
        <w:ind w:left="2552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Ing. Tomášem Stejskalem</w:t>
      </w:r>
      <w:r w:rsidR="007266E7" w:rsidRPr="0098332C">
        <w:rPr>
          <w:rFonts w:ascii="Tahoma" w:hAnsi="Tahoma" w:cs="Tahoma"/>
          <w:sz w:val="22"/>
          <w:szCs w:val="22"/>
        </w:rPr>
        <w:t>, místopředsedou představenstva</w:t>
      </w:r>
    </w:p>
    <w:p w:rsidR="007266E7" w:rsidRPr="0098332C" w:rsidRDefault="0098332C" w:rsidP="0098332C">
      <w:pPr>
        <w:tabs>
          <w:tab w:val="left" w:pos="2552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</w:r>
      <w:r w:rsidR="007266E7" w:rsidRPr="0098332C">
        <w:rPr>
          <w:rFonts w:ascii="Tahoma" w:hAnsi="Tahoma" w:cs="Tahoma"/>
          <w:sz w:val="22"/>
          <w:szCs w:val="22"/>
        </w:rPr>
        <w:t>26865858</w:t>
      </w:r>
    </w:p>
    <w:p w:rsidR="007266E7" w:rsidRPr="0098332C" w:rsidRDefault="007266E7" w:rsidP="0098332C">
      <w:pPr>
        <w:tabs>
          <w:tab w:val="left" w:pos="2552"/>
        </w:tabs>
        <w:ind w:left="357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bankovní spojení:</w:t>
      </w:r>
      <w:r w:rsidRPr="0098332C">
        <w:rPr>
          <w:rFonts w:ascii="Tahoma" w:hAnsi="Tahoma" w:cs="Tahoma"/>
          <w:sz w:val="22"/>
          <w:szCs w:val="22"/>
        </w:rPr>
        <w:tab/>
        <w:t>Komerční banka, a.s.</w:t>
      </w:r>
    </w:p>
    <w:p w:rsidR="00BD6DD4" w:rsidRPr="0098332C" w:rsidRDefault="007266E7" w:rsidP="0098332C">
      <w:pPr>
        <w:tabs>
          <w:tab w:val="left" w:pos="2552"/>
        </w:tabs>
        <w:ind w:left="357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číslo účtu:</w:t>
      </w:r>
      <w:r w:rsidRPr="0098332C">
        <w:rPr>
          <w:rFonts w:ascii="Tahoma" w:hAnsi="Tahoma" w:cs="Tahoma"/>
          <w:sz w:val="22"/>
          <w:szCs w:val="22"/>
        </w:rPr>
        <w:tab/>
        <w:t>35-3952570207/0100</w:t>
      </w:r>
    </w:p>
    <w:p w:rsidR="003B1DFB" w:rsidRPr="0098332C" w:rsidRDefault="00C57E4A" w:rsidP="0098332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(dále jen „</w:t>
      </w:r>
      <w:r w:rsidR="004A72B8" w:rsidRPr="0098332C">
        <w:rPr>
          <w:rFonts w:ascii="Tahoma" w:hAnsi="Tahoma" w:cs="Tahoma"/>
          <w:sz w:val="22"/>
          <w:szCs w:val="22"/>
        </w:rPr>
        <w:t>příjemce</w:t>
      </w:r>
      <w:r w:rsidRPr="0098332C">
        <w:rPr>
          <w:rFonts w:ascii="Tahoma" w:hAnsi="Tahoma" w:cs="Tahoma"/>
          <w:sz w:val="22"/>
          <w:szCs w:val="22"/>
        </w:rPr>
        <w:t>“)</w:t>
      </w:r>
    </w:p>
    <w:p w:rsidR="003B1DFB" w:rsidRPr="0098332C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II.</w:t>
      </w:r>
      <w:r w:rsidR="0098332C">
        <w:rPr>
          <w:rFonts w:ascii="Tahoma" w:hAnsi="Tahoma" w:cs="Tahoma"/>
          <w:b/>
          <w:sz w:val="22"/>
          <w:szCs w:val="22"/>
        </w:rPr>
        <w:br/>
        <w:t xml:space="preserve">Základní ustanovení, </w:t>
      </w:r>
      <w:r w:rsidRPr="0098332C">
        <w:rPr>
          <w:rFonts w:ascii="Tahoma" w:hAnsi="Tahoma" w:cs="Tahoma"/>
          <w:b/>
          <w:sz w:val="22"/>
          <w:szCs w:val="22"/>
        </w:rPr>
        <w:t xml:space="preserve">Předmět </w:t>
      </w:r>
      <w:r w:rsidR="00A10951" w:rsidRPr="0098332C">
        <w:rPr>
          <w:rFonts w:ascii="Tahoma" w:hAnsi="Tahoma" w:cs="Tahoma"/>
          <w:b/>
          <w:sz w:val="22"/>
          <w:szCs w:val="22"/>
        </w:rPr>
        <w:t>do</w:t>
      </w:r>
      <w:r w:rsidR="00CC5FE1" w:rsidRPr="0098332C">
        <w:rPr>
          <w:rFonts w:ascii="Tahoma" w:hAnsi="Tahoma" w:cs="Tahoma"/>
          <w:b/>
          <w:sz w:val="22"/>
          <w:szCs w:val="22"/>
        </w:rPr>
        <w:t>datku</w:t>
      </w:r>
    </w:p>
    <w:p w:rsidR="0098332C" w:rsidRDefault="0098332C" w:rsidP="0098332C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</w:t>
      </w:r>
      <w:r w:rsidR="00F34D04">
        <w:rPr>
          <w:rFonts w:ascii="Tahoma" w:hAnsi="Tahoma" w:cs="Tahoma"/>
          <w:sz w:val="22"/>
          <w:szCs w:val="22"/>
        </w:rPr>
        <w:t xml:space="preserve">30. 12. 2014 </w:t>
      </w:r>
      <w:r>
        <w:rPr>
          <w:rFonts w:ascii="Tahoma" w:hAnsi="Tahoma" w:cs="Tahoma"/>
          <w:sz w:val="22"/>
          <w:szCs w:val="22"/>
        </w:rPr>
        <w:t xml:space="preserve">Smlouvu </w:t>
      </w:r>
      <w:r w:rsidRPr="0098332C">
        <w:rPr>
          <w:rFonts w:ascii="Tahoma" w:hAnsi="Tahoma" w:cs="Tahoma"/>
          <w:sz w:val="22"/>
          <w:szCs w:val="22"/>
        </w:rPr>
        <w:t>o závazku veřejné služby a vyrovnávací platbě za jeho výkon</w:t>
      </w:r>
      <w:r>
        <w:rPr>
          <w:rFonts w:ascii="Tahoma" w:hAnsi="Tahoma" w:cs="Tahoma"/>
          <w:sz w:val="22"/>
          <w:szCs w:val="22"/>
        </w:rPr>
        <w:t>, ev. </w:t>
      </w:r>
      <w:r w:rsidRPr="0098332C">
        <w:rPr>
          <w:rFonts w:ascii="Tahoma" w:hAnsi="Tahoma" w:cs="Tahoma"/>
          <w:sz w:val="22"/>
          <w:szCs w:val="22"/>
        </w:rPr>
        <w:t>č.</w:t>
      </w:r>
      <w:r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 xml:space="preserve">03569/2014/ZDR, </w:t>
      </w:r>
      <w:r>
        <w:rPr>
          <w:rFonts w:ascii="Tahoma" w:hAnsi="Tahoma" w:cs="Tahoma"/>
          <w:sz w:val="22"/>
          <w:szCs w:val="22"/>
        </w:rPr>
        <w:t>(dále jen „Smlouva“)</w:t>
      </w:r>
      <w:r w:rsidR="004946C0">
        <w:rPr>
          <w:rFonts w:ascii="Tahoma" w:hAnsi="Tahoma" w:cs="Tahoma"/>
          <w:sz w:val="22"/>
          <w:szCs w:val="22"/>
        </w:rPr>
        <w:t>; dne 30. 12. 2015 byl ke Smlouvě uzavřen dodatek č. 1</w:t>
      </w:r>
      <w:r>
        <w:rPr>
          <w:rFonts w:ascii="Tahoma" w:hAnsi="Tahoma" w:cs="Tahoma"/>
          <w:sz w:val="22"/>
          <w:szCs w:val="22"/>
        </w:rPr>
        <w:t>.</w:t>
      </w:r>
    </w:p>
    <w:p w:rsidR="00A10951" w:rsidRPr="0098332C" w:rsidRDefault="00C57E4A" w:rsidP="00594C8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Předmětem t</w:t>
      </w:r>
      <w:r w:rsidR="00A10951" w:rsidRPr="0098332C">
        <w:rPr>
          <w:rFonts w:ascii="Tahoma" w:hAnsi="Tahoma" w:cs="Tahoma"/>
          <w:sz w:val="22"/>
          <w:szCs w:val="22"/>
        </w:rPr>
        <w:t xml:space="preserve">ohoto dodatku </w:t>
      </w:r>
      <w:r w:rsidRPr="0098332C">
        <w:rPr>
          <w:rFonts w:ascii="Tahoma" w:hAnsi="Tahoma" w:cs="Tahoma"/>
          <w:sz w:val="22"/>
          <w:szCs w:val="22"/>
        </w:rPr>
        <w:t xml:space="preserve">je </w:t>
      </w:r>
      <w:r w:rsidR="00A10951" w:rsidRPr="0098332C">
        <w:rPr>
          <w:rFonts w:ascii="Tahoma" w:hAnsi="Tahoma" w:cs="Tahoma"/>
          <w:sz w:val="22"/>
          <w:szCs w:val="22"/>
        </w:rPr>
        <w:t>úprava podmínek poskytování služeb</w:t>
      </w:r>
      <w:r w:rsidRPr="0098332C">
        <w:rPr>
          <w:rFonts w:ascii="Tahoma" w:hAnsi="Tahoma" w:cs="Tahoma"/>
          <w:sz w:val="22"/>
          <w:szCs w:val="22"/>
        </w:rPr>
        <w:t xml:space="preserve">, které </w:t>
      </w:r>
      <w:r w:rsidR="004A72B8" w:rsidRPr="0098332C">
        <w:rPr>
          <w:rFonts w:ascii="Tahoma" w:hAnsi="Tahoma" w:cs="Tahoma"/>
          <w:sz w:val="22"/>
          <w:szCs w:val="22"/>
        </w:rPr>
        <w:t xml:space="preserve">příjemce </w:t>
      </w:r>
      <w:r w:rsidRPr="0098332C">
        <w:rPr>
          <w:rFonts w:ascii="Tahoma" w:hAnsi="Tahoma" w:cs="Tahoma"/>
          <w:sz w:val="22"/>
          <w:szCs w:val="22"/>
        </w:rPr>
        <w:t>vykonáv</w:t>
      </w:r>
      <w:r w:rsidR="00A10951" w:rsidRPr="0098332C">
        <w:rPr>
          <w:rFonts w:ascii="Tahoma" w:hAnsi="Tahoma" w:cs="Tahoma"/>
          <w:sz w:val="22"/>
          <w:szCs w:val="22"/>
        </w:rPr>
        <w:t>á</w:t>
      </w:r>
      <w:r w:rsidRPr="0098332C">
        <w:rPr>
          <w:rFonts w:ascii="Tahoma" w:hAnsi="Tahoma" w:cs="Tahoma"/>
          <w:sz w:val="22"/>
          <w:szCs w:val="22"/>
        </w:rPr>
        <w:t xml:space="preserve"> z pověření </w:t>
      </w:r>
      <w:r w:rsidR="00B23F2F" w:rsidRPr="0098332C">
        <w:rPr>
          <w:rFonts w:ascii="Tahoma" w:hAnsi="Tahoma" w:cs="Tahoma"/>
          <w:sz w:val="22"/>
          <w:szCs w:val="22"/>
        </w:rPr>
        <w:t xml:space="preserve">Kraje </w:t>
      </w:r>
      <w:r w:rsidR="00A10951" w:rsidRPr="0098332C">
        <w:rPr>
          <w:rFonts w:ascii="Tahoma" w:hAnsi="Tahoma" w:cs="Tahoma"/>
          <w:sz w:val="22"/>
          <w:szCs w:val="22"/>
        </w:rPr>
        <w:t xml:space="preserve">na základě Smlouvy </w:t>
      </w:r>
      <w:r w:rsidRPr="0098332C">
        <w:rPr>
          <w:rFonts w:ascii="Tahoma" w:hAnsi="Tahoma" w:cs="Tahoma"/>
          <w:sz w:val="22"/>
          <w:szCs w:val="22"/>
        </w:rPr>
        <w:t>v režimu závazku veřejné služby</w:t>
      </w:r>
      <w:r w:rsidR="00792ACE" w:rsidRPr="0098332C">
        <w:rPr>
          <w:rFonts w:ascii="Tahoma" w:hAnsi="Tahoma" w:cs="Tahoma"/>
          <w:sz w:val="22"/>
          <w:szCs w:val="22"/>
        </w:rPr>
        <w:t xml:space="preserve"> dle</w:t>
      </w:r>
      <w:r w:rsidR="0098332C" w:rsidRPr="0098332C">
        <w:rPr>
          <w:rFonts w:ascii="Tahoma" w:hAnsi="Tahoma" w:cs="Tahoma"/>
          <w:sz w:val="22"/>
          <w:szCs w:val="22"/>
        </w:rPr>
        <w:t> Rozhodnutí Komise č. </w:t>
      </w:r>
      <w:r w:rsidR="00792ACE" w:rsidRPr="0098332C">
        <w:rPr>
          <w:rFonts w:ascii="Tahoma" w:hAnsi="Tahoma" w:cs="Tahoma"/>
          <w:sz w:val="22"/>
          <w:szCs w:val="22"/>
        </w:rPr>
        <w:t>2012/21/EU ze</w:t>
      </w:r>
      <w:r w:rsidR="0098332C" w:rsidRPr="0098332C">
        <w:rPr>
          <w:rFonts w:ascii="Tahoma" w:hAnsi="Tahoma" w:cs="Tahoma"/>
          <w:sz w:val="22"/>
          <w:szCs w:val="22"/>
        </w:rPr>
        <w:t> dne 20. prosince 2011 o </w:t>
      </w:r>
      <w:r w:rsidR="00792ACE" w:rsidRPr="0098332C">
        <w:rPr>
          <w:rFonts w:ascii="Tahoma" w:hAnsi="Tahoma" w:cs="Tahoma"/>
          <w:sz w:val="22"/>
          <w:szCs w:val="22"/>
        </w:rPr>
        <w:t>použití čl.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106 odst.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2 Smlouvy o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fungování Evropské unie na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státní podporu ve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formě vyrovnávací platby za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Rozhodnutí Komise č. 2012/21/EU)</w:t>
      </w:r>
      <w:r w:rsidR="0098332C" w:rsidRPr="0098332C">
        <w:rPr>
          <w:rFonts w:ascii="Tahoma" w:hAnsi="Tahoma" w:cs="Tahoma"/>
          <w:sz w:val="22"/>
          <w:szCs w:val="22"/>
        </w:rPr>
        <w:t>.</w:t>
      </w:r>
    </w:p>
    <w:p w:rsidR="00A10951" w:rsidRPr="0098332C" w:rsidRDefault="00A10951" w:rsidP="0098332C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Smluvní strany se dohodly, že upraví a upřesní </w:t>
      </w:r>
      <w:r w:rsidR="000A5AC7" w:rsidRPr="0098332C">
        <w:rPr>
          <w:rFonts w:ascii="Tahoma" w:hAnsi="Tahoma" w:cs="Tahoma"/>
          <w:sz w:val="22"/>
          <w:szCs w:val="22"/>
        </w:rPr>
        <w:t xml:space="preserve">mechanizmus výpočtu vyrovnávací platby </w:t>
      </w:r>
      <w:r w:rsidRPr="0098332C">
        <w:rPr>
          <w:rFonts w:ascii="Tahoma" w:hAnsi="Tahoma" w:cs="Tahoma"/>
          <w:sz w:val="22"/>
          <w:szCs w:val="22"/>
        </w:rPr>
        <w:t>a</w:t>
      </w:r>
      <w:r w:rsidR="000A0DAD">
        <w:rPr>
          <w:rFonts w:ascii="Tahoma" w:hAnsi="Tahoma" w:cs="Tahoma"/>
          <w:sz w:val="22"/>
          <w:szCs w:val="22"/>
        </w:rPr>
        <w:t> </w:t>
      </w:r>
      <w:r w:rsidR="000A5AC7" w:rsidRPr="0098332C">
        <w:rPr>
          <w:rFonts w:ascii="Tahoma" w:hAnsi="Tahoma" w:cs="Tahoma"/>
          <w:sz w:val="22"/>
          <w:szCs w:val="22"/>
        </w:rPr>
        <w:t>upraví stanovení</w:t>
      </w:r>
      <w:r w:rsidRPr="0098332C">
        <w:rPr>
          <w:rFonts w:ascii="Tahoma" w:hAnsi="Tahoma" w:cs="Tahoma"/>
          <w:sz w:val="22"/>
          <w:szCs w:val="22"/>
        </w:rPr>
        <w:t xml:space="preserve"> přiměřeného zisku za podmínek upravených v tomto dodatku.</w:t>
      </w:r>
    </w:p>
    <w:p w:rsidR="003B1DFB" w:rsidRPr="000A0DAD" w:rsidRDefault="00C57E4A" w:rsidP="000A0DAD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III</w:t>
      </w:r>
      <w:r w:rsidR="000A0DAD">
        <w:rPr>
          <w:rFonts w:ascii="Tahoma" w:hAnsi="Tahoma" w:cs="Tahoma"/>
          <w:sz w:val="22"/>
          <w:szCs w:val="22"/>
        </w:rPr>
        <w:t>.</w:t>
      </w:r>
      <w:r w:rsidR="000A0DAD">
        <w:rPr>
          <w:rFonts w:ascii="Tahoma" w:hAnsi="Tahoma" w:cs="Tahoma"/>
          <w:sz w:val="22"/>
          <w:szCs w:val="22"/>
        </w:rPr>
        <w:br/>
      </w:r>
      <w:r w:rsidR="00A10951" w:rsidRPr="000A0DAD">
        <w:rPr>
          <w:rFonts w:ascii="Tahoma" w:hAnsi="Tahoma" w:cs="Tahoma"/>
          <w:b/>
          <w:sz w:val="22"/>
          <w:szCs w:val="22"/>
        </w:rPr>
        <w:t>Úprava p</w:t>
      </w:r>
      <w:r w:rsidRPr="000A0DAD">
        <w:rPr>
          <w:rFonts w:ascii="Tahoma" w:hAnsi="Tahoma" w:cs="Tahoma"/>
          <w:b/>
          <w:sz w:val="22"/>
          <w:szCs w:val="22"/>
        </w:rPr>
        <w:t>ověření</w:t>
      </w:r>
    </w:p>
    <w:p w:rsidR="00A10951" w:rsidRPr="0098332C" w:rsidRDefault="000A0DAD" w:rsidP="000A0DAD">
      <w:pPr>
        <w:numPr>
          <w:ilvl w:val="6"/>
          <w:numId w:val="34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94714" w:rsidRPr="0098332C">
        <w:rPr>
          <w:rFonts w:ascii="Tahoma" w:hAnsi="Tahoma" w:cs="Tahoma"/>
          <w:sz w:val="22"/>
          <w:szCs w:val="22"/>
        </w:rPr>
        <w:t>lán</w:t>
      </w:r>
      <w:r>
        <w:rPr>
          <w:rFonts w:ascii="Tahoma" w:hAnsi="Tahoma" w:cs="Tahoma"/>
          <w:sz w:val="22"/>
          <w:szCs w:val="22"/>
        </w:rPr>
        <w:t>e</w:t>
      </w:r>
      <w:r w:rsidR="00494714" w:rsidRPr="0098332C">
        <w:rPr>
          <w:rFonts w:ascii="Tahoma" w:hAnsi="Tahoma" w:cs="Tahoma"/>
          <w:sz w:val="22"/>
          <w:szCs w:val="22"/>
        </w:rPr>
        <w:t>k V</w:t>
      </w:r>
      <w:r w:rsidR="00E00750" w:rsidRPr="0098332C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odst. 1 Smlouvy se mění a zní:</w:t>
      </w:r>
    </w:p>
    <w:p w:rsidR="0039282A" w:rsidRPr="0098332C" w:rsidRDefault="007D4269" w:rsidP="000A0DAD">
      <w:pPr>
        <w:tabs>
          <w:tab w:val="left" w:pos="811"/>
        </w:tabs>
        <w:spacing w:before="120"/>
        <w:ind w:left="811" w:hanging="45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„</w:t>
      </w:r>
      <w:r w:rsidR="000A0DAD">
        <w:rPr>
          <w:rFonts w:ascii="Tahoma" w:hAnsi="Tahoma" w:cs="Tahoma"/>
          <w:sz w:val="22"/>
          <w:szCs w:val="22"/>
        </w:rPr>
        <w:t>1.</w:t>
      </w:r>
      <w:r w:rsidR="00D51FB1" w:rsidRPr="0098332C">
        <w:rPr>
          <w:rFonts w:ascii="Tahoma" w:hAnsi="Tahoma" w:cs="Tahoma"/>
          <w:sz w:val="22"/>
          <w:szCs w:val="22"/>
        </w:rPr>
        <w:tab/>
      </w:r>
      <w:r w:rsidR="0039282A" w:rsidRPr="0098332C">
        <w:rPr>
          <w:rFonts w:ascii="Tahoma" w:hAnsi="Tahoma" w:cs="Tahoma"/>
          <w:sz w:val="22"/>
          <w:szCs w:val="22"/>
        </w:rPr>
        <w:t>Výše vyrovnávací platby nepřesáhne výši čistých nákladů vynaložených při plnění služeb vymezených v Příloze č. I této smlouvy</w:t>
      </w:r>
      <w:r w:rsidR="000A0DAD">
        <w:rPr>
          <w:rFonts w:ascii="Tahoma" w:hAnsi="Tahoma" w:cs="Tahoma"/>
          <w:sz w:val="22"/>
          <w:szCs w:val="22"/>
        </w:rPr>
        <w:t xml:space="preserve">. </w:t>
      </w:r>
      <w:r w:rsidR="0039282A" w:rsidRPr="0098332C">
        <w:rPr>
          <w:rFonts w:ascii="Tahoma" w:hAnsi="Tahoma" w:cs="Tahoma"/>
          <w:sz w:val="22"/>
          <w:szCs w:val="22"/>
        </w:rPr>
        <w:t>Čisté náklady budou vypočítány jako rozdíl mezi náklady, které příjemci prokazatelně vzniknou v souvislosti s výkonem služeb v režimu závazku veřejné služby a budou uznány Krajem</w:t>
      </w:r>
      <w:r w:rsidR="00EB7344" w:rsidRPr="0098332C">
        <w:rPr>
          <w:rFonts w:ascii="Tahoma" w:hAnsi="Tahoma" w:cs="Tahoma"/>
          <w:sz w:val="22"/>
          <w:szCs w:val="22"/>
        </w:rPr>
        <w:t xml:space="preserve"> </w:t>
      </w:r>
      <w:r w:rsidR="0039282A" w:rsidRPr="0098332C">
        <w:rPr>
          <w:rFonts w:ascii="Tahoma" w:hAnsi="Tahoma" w:cs="Tahoma"/>
          <w:sz w:val="22"/>
          <w:szCs w:val="22"/>
        </w:rPr>
        <w:t>a prokazatelnými příjmy z takových služeb. V případě, že příjemce obdrží v souvislosti s výkonem služeb v režimu závazku veřejné služby jiné veřejné prostředky, a</w:t>
      </w:r>
      <w:r w:rsidR="000A0DAD">
        <w:rPr>
          <w:rFonts w:ascii="Tahoma" w:hAnsi="Tahoma" w:cs="Tahoma"/>
          <w:sz w:val="22"/>
          <w:szCs w:val="22"/>
        </w:rPr>
        <w:t> </w:t>
      </w:r>
      <w:r w:rsidR="0039282A" w:rsidRPr="0098332C">
        <w:rPr>
          <w:rFonts w:ascii="Tahoma" w:hAnsi="Tahoma" w:cs="Tahoma"/>
          <w:sz w:val="22"/>
          <w:szCs w:val="22"/>
        </w:rPr>
        <w:t>to v jakékoliv formě, bude o jejich výši financování ze strany Kraje sníženo. Tuto skutečnost je příjemce povinen Kraji písemně sdělit</w:t>
      </w:r>
      <w:r w:rsidR="005B4E95" w:rsidRPr="0098332C">
        <w:rPr>
          <w:rFonts w:ascii="Tahoma" w:hAnsi="Tahoma" w:cs="Tahoma"/>
          <w:sz w:val="22"/>
          <w:szCs w:val="22"/>
        </w:rPr>
        <w:t>“.</w:t>
      </w:r>
    </w:p>
    <w:p w:rsidR="005B4E95" w:rsidRPr="000A0DAD" w:rsidRDefault="000A0DAD" w:rsidP="000A0DAD">
      <w:pPr>
        <w:keepNext/>
        <w:numPr>
          <w:ilvl w:val="6"/>
          <w:numId w:val="34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Článek </w:t>
      </w:r>
      <w:r w:rsidR="005B4E95" w:rsidRPr="000A0DAD">
        <w:rPr>
          <w:rFonts w:ascii="Tahoma" w:hAnsi="Tahoma" w:cs="Tahoma"/>
          <w:sz w:val="22"/>
          <w:szCs w:val="22"/>
        </w:rPr>
        <w:t>V</w:t>
      </w:r>
      <w:r w:rsidR="00E00750" w:rsidRPr="000A0DAD">
        <w:rPr>
          <w:rFonts w:ascii="Tahoma" w:hAnsi="Tahoma" w:cs="Tahoma"/>
          <w:sz w:val="22"/>
          <w:szCs w:val="22"/>
        </w:rPr>
        <w:t>I</w:t>
      </w:r>
      <w:r w:rsidR="005B4E95" w:rsidRPr="000A0DAD">
        <w:rPr>
          <w:rFonts w:ascii="Tahoma" w:hAnsi="Tahoma" w:cs="Tahoma"/>
          <w:sz w:val="22"/>
          <w:szCs w:val="22"/>
        </w:rPr>
        <w:t xml:space="preserve"> odst</w:t>
      </w:r>
      <w:r>
        <w:rPr>
          <w:rFonts w:ascii="Tahoma" w:hAnsi="Tahoma" w:cs="Tahoma"/>
          <w:sz w:val="22"/>
          <w:szCs w:val="22"/>
        </w:rPr>
        <w:t>.</w:t>
      </w:r>
      <w:r w:rsidR="005B4E95" w:rsidRPr="000A0DAD">
        <w:rPr>
          <w:rFonts w:ascii="Tahoma" w:hAnsi="Tahoma" w:cs="Tahoma"/>
          <w:sz w:val="22"/>
          <w:szCs w:val="22"/>
        </w:rPr>
        <w:t xml:space="preserve"> </w:t>
      </w:r>
      <w:r w:rsidR="00880DF5" w:rsidRPr="000A0DAD">
        <w:rPr>
          <w:rFonts w:ascii="Tahoma" w:hAnsi="Tahoma" w:cs="Tahoma"/>
          <w:sz w:val="22"/>
          <w:szCs w:val="22"/>
        </w:rPr>
        <w:t xml:space="preserve">2 </w:t>
      </w:r>
      <w:r>
        <w:rPr>
          <w:rFonts w:ascii="Tahoma" w:hAnsi="Tahoma" w:cs="Tahoma"/>
          <w:sz w:val="22"/>
          <w:szCs w:val="22"/>
        </w:rPr>
        <w:t>Smlouvy se mění a zní</w:t>
      </w:r>
      <w:r w:rsidR="005B4E95" w:rsidRPr="000A0DAD">
        <w:rPr>
          <w:rFonts w:ascii="Tahoma" w:hAnsi="Tahoma" w:cs="Tahoma"/>
          <w:sz w:val="22"/>
          <w:szCs w:val="22"/>
        </w:rPr>
        <w:t>:</w:t>
      </w:r>
    </w:p>
    <w:p w:rsidR="00FE6EA1" w:rsidRPr="000A0DAD" w:rsidRDefault="00684AAB" w:rsidP="000A0DAD">
      <w:pPr>
        <w:tabs>
          <w:tab w:val="left" w:pos="811"/>
        </w:tabs>
        <w:spacing w:before="120"/>
        <w:ind w:left="811" w:hanging="454"/>
        <w:jc w:val="both"/>
        <w:rPr>
          <w:rFonts w:ascii="Tahoma" w:hAnsi="Tahoma" w:cs="Tahoma"/>
          <w:sz w:val="22"/>
          <w:szCs w:val="22"/>
        </w:rPr>
      </w:pPr>
      <w:r w:rsidRPr="000A0DAD">
        <w:rPr>
          <w:rFonts w:ascii="Tahoma" w:hAnsi="Tahoma" w:cs="Tahoma"/>
          <w:sz w:val="22"/>
          <w:szCs w:val="22"/>
        </w:rPr>
        <w:t xml:space="preserve">„2. </w:t>
      </w:r>
      <w:r w:rsidRPr="000A0DAD">
        <w:rPr>
          <w:rFonts w:ascii="Tahoma" w:hAnsi="Tahoma" w:cs="Tahoma"/>
          <w:sz w:val="22"/>
          <w:szCs w:val="22"/>
        </w:rPr>
        <w:tab/>
      </w:r>
      <w:r w:rsidR="00FE6EA1" w:rsidRPr="000A0DAD">
        <w:rPr>
          <w:rFonts w:ascii="Tahoma" w:hAnsi="Tahoma" w:cs="Tahoma"/>
          <w:sz w:val="22"/>
          <w:szCs w:val="22"/>
        </w:rPr>
        <w:t>Mechanizmus posuzování vyrovnávací platby je uv</w:t>
      </w:r>
      <w:r w:rsidR="000A0DAD">
        <w:rPr>
          <w:rFonts w:ascii="Tahoma" w:hAnsi="Tahoma" w:cs="Tahoma"/>
          <w:sz w:val="22"/>
          <w:szCs w:val="22"/>
        </w:rPr>
        <w:t xml:space="preserve">eden v příloze </w:t>
      </w:r>
      <w:r w:rsidR="00E90321">
        <w:rPr>
          <w:rFonts w:ascii="Tahoma" w:hAnsi="Tahoma" w:cs="Tahoma"/>
          <w:sz w:val="22"/>
          <w:szCs w:val="22"/>
        </w:rPr>
        <w:t>č. II</w:t>
      </w:r>
      <w:r w:rsidR="000A0DAD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A0DAD">
        <w:rPr>
          <w:rFonts w:ascii="Tahoma" w:hAnsi="Tahoma" w:cs="Tahoma"/>
          <w:sz w:val="22"/>
          <w:szCs w:val="22"/>
        </w:rPr>
        <w:t>této</w:t>
      </w:r>
      <w:proofErr w:type="gramEnd"/>
      <w:r w:rsidR="000A0DAD">
        <w:rPr>
          <w:rFonts w:ascii="Tahoma" w:hAnsi="Tahoma" w:cs="Tahoma"/>
          <w:sz w:val="22"/>
          <w:szCs w:val="22"/>
        </w:rPr>
        <w:t xml:space="preserve"> smlouvy.“</w:t>
      </w:r>
    </w:p>
    <w:p w:rsidR="003B1DFB" w:rsidRPr="0098332C" w:rsidRDefault="00EB7344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IV</w:t>
      </w:r>
      <w:r w:rsidR="00C57E4A" w:rsidRPr="0098332C">
        <w:rPr>
          <w:rFonts w:ascii="Tahoma" w:hAnsi="Tahoma" w:cs="Tahoma"/>
          <w:b/>
          <w:sz w:val="22"/>
          <w:szCs w:val="22"/>
        </w:rPr>
        <w:t>.</w:t>
      </w:r>
      <w:r w:rsidR="000A0DAD">
        <w:rPr>
          <w:rFonts w:ascii="Tahoma" w:hAnsi="Tahoma" w:cs="Tahoma"/>
          <w:b/>
          <w:sz w:val="22"/>
          <w:szCs w:val="22"/>
        </w:rPr>
        <w:br/>
        <w:t>Závěrečná ustanovení</w:t>
      </w:r>
    </w:p>
    <w:p w:rsidR="00D51FB1" w:rsidRPr="0098332C" w:rsidRDefault="00D51FB1" w:rsidP="000A0DAD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Ustanovení </w:t>
      </w:r>
      <w:r w:rsidR="000A0DAD">
        <w:rPr>
          <w:rFonts w:ascii="Tahoma" w:hAnsi="Tahoma" w:cs="Tahoma"/>
          <w:sz w:val="22"/>
          <w:szCs w:val="22"/>
        </w:rPr>
        <w:t>S</w:t>
      </w:r>
      <w:r w:rsidRPr="0098332C">
        <w:rPr>
          <w:rFonts w:ascii="Tahoma" w:hAnsi="Tahoma" w:cs="Tahoma"/>
          <w:sz w:val="22"/>
          <w:szCs w:val="22"/>
        </w:rPr>
        <w:t>mlouvy tímto dodatkem neupravená zůstávají v platnosti beze změny.</w:t>
      </w:r>
    </w:p>
    <w:p w:rsidR="00D51FB1" w:rsidRPr="0098332C" w:rsidRDefault="00D51FB1" w:rsidP="000A0DAD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Tento dodatek je vyhotoven ve čtyřech stejnopisech s platností originálu, z nichž tři obdrží Kraj a jeden příjemce.</w:t>
      </w:r>
    </w:p>
    <w:p w:rsidR="00D51FB1" w:rsidRPr="0098332C" w:rsidRDefault="00D51FB1" w:rsidP="000A0DAD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D51FB1" w:rsidRPr="000A0DAD" w:rsidRDefault="00D51FB1" w:rsidP="000A0DAD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Tento dodatek nabývá platnosti </w:t>
      </w:r>
      <w:r w:rsidR="00684AAB" w:rsidRPr="0098332C">
        <w:rPr>
          <w:rFonts w:ascii="Tahoma" w:hAnsi="Tahoma" w:cs="Tahoma"/>
          <w:sz w:val="22"/>
          <w:szCs w:val="22"/>
        </w:rPr>
        <w:t xml:space="preserve">a účinnosti </w:t>
      </w:r>
      <w:r w:rsidRPr="0098332C">
        <w:rPr>
          <w:rFonts w:ascii="Tahoma" w:hAnsi="Tahoma" w:cs="Tahoma"/>
          <w:sz w:val="22"/>
          <w:szCs w:val="22"/>
        </w:rPr>
        <w:t>dnem podpisu oběma smluvními stranami</w:t>
      </w:r>
      <w:r w:rsidR="00D718D8" w:rsidRPr="0098332C">
        <w:rPr>
          <w:rFonts w:ascii="Tahoma" w:hAnsi="Tahoma" w:cs="Tahoma"/>
          <w:sz w:val="22"/>
          <w:szCs w:val="22"/>
        </w:rPr>
        <w:t>. Mechani</w:t>
      </w:r>
      <w:r w:rsidR="000A0DAD">
        <w:rPr>
          <w:rFonts w:ascii="Tahoma" w:hAnsi="Tahoma" w:cs="Tahoma"/>
          <w:sz w:val="22"/>
          <w:szCs w:val="22"/>
        </w:rPr>
        <w:t>z</w:t>
      </w:r>
      <w:r w:rsidR="00D718D8" w:rsidRPr="0098332C">
        <w:rPr>
          <w:rFonts w:ascii="Tahoma" w:hAnsi="Tahoma" w:cs="Tahoma"/>
          <w:sz w:val="22"/>
          <w:szCs w:val="22"/>
        </w:rPr>
        <w:t>mus posuzování vyrovnávací platby dle přílohy tohoto dodatku se uplatní již pro</w:t>
      </w:r>
      <w:r w:rsidR="000A0DAD">
        <w:rPr>
          <w:rFonts w:ascii="Tahoma" w:hAnsi="Tahoma" w:cs="Tahoma"/>
          <w:sz w:val="22"/>
          <w:szCs w:val="22"/>
        </w:rPr>
        <w:t> </w:t>
      </w:r>
      <w:r w:rsidR="00D718D8" w:rsidRPr="0098332C">
        <w:rPr>
          <w:rFonts w:ascii="Tahoma" w:hAnsi="Tahoma" w:cs="Tahoma"/>
          <w:sz w:val="22"/>
          <w:szCs w:val="22"/>
        </w:rPr>
        <w:t>účetní rok 2016</w:t>
      </w:r>
      <w:r w:rsidR="000A0DAD">
        <w:rPr>
          <w:rFonts w:ascii="Tahoma" w:hAnsi="Tahoma" w:cs="Tahoma"/>
          <w:sz w:val="22"/>
          <w:szCs w:val="22"/>
        </w:rPr>
        <w:t>.</w:t>
      </w:r>
    </w:p>
    <w:p w:rsidR="00F90438" w:rsidRPr="0098332C" w:rsidRDefault="00F90438" w:rsidP="000A0DAD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Nedílnou sou</w:t>
      </w:r>
      <w:r w:rsidR="000A0DAD">
        <w:rPr>
          <w:rFonts w:ascii="Tahoma" w:hAnsi="Tahoma" w:cs="Tahoma"/>
          <w:sz w:val="22"/>
          <w:szCs w:val="22"/>
        </w:rPr>
        <w:t>částí tohoto dodatku je Příloha</w:t>
      </w:r>
      <w:r w:rsidRPr="0098332C">
        <w:rPr>
          <w:rFonts w:ascii="Tahoma" w:hAnsi="Tahoma" w:cs="Tahoma"/>
          <w:sz w:val="22"/>
          <w:szCs w:val="22"/>
        </w:rPr>
        <w:t xml:space="preserve">: </w:t>
      </w:r>
      <w:r w:rsidR="00FE6EA1" w:rsidRPr="0098332C">
        <w:rPr>
          <w:rFonts w:ascii="Tahoma" w:hAnsi="Tahoma" w:cs="Tahoma"/>
          <w:sz w:val="22"/>
          <w:szCs w:val="22"/>
        </w:rPr>
        <w:t>Mechanizmus posuzování vyrovnávací platby</w:t>
      </w:r>
      <w:r w:rsidR="00E90321">
        <w:rPr>
          <w:rFonts w:ascii="Tahoma" w:hAnsi="Tahoma" w:cs="Tahoma"/>
          <w:sz w:val="22"/>
          <w:szCs w:val="22"/>
        </w:rPr>
        <w:t>, která se stává Přílohou č. II Smlouvy</w:t>
      </w:r>
      <w:r w:rsidR="00FE6EA1" w:rsidRPr="0098332C">
        <w:rPr>
          <w:rFonts w:ascii="Tahoma" w:hAnsi="Tahoma" w:cs="Tahoma"/>
          <w:sz w:val="22"/>
          <w:szCs w:val="22"/>
        </w:rPr>
        <w:t>.</w:t>
      </w:r>
    </w:p>
    <w:p w:rsidR="000A0DAD" w:rsidRDefault="00D51FB1" w:rsidP="000A0DAD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0A0DAD">
        <w:rPr>
          <w:rFonts w:ascii="Tahoma" w:hAnsi="Tahoma" w:cs="Tahoma"/>
          <w:sz w:val="22"/>
          <w:szCs w:val="22"/>
        </w:rPr>
        <w:t>, ve znění pozdějších předpisů:</w:t>
      </w:r>
    </w:p>
    <w:p w:rsidR="00D51FB1" w:rsidRPr="0098332C" w:rsidRDefault="00D51FB1" w:rsidP="000A0DAD">
      <w:pPr>
        <w:pStyle w:val="Odstavecseseznamem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O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uzavření tohoto dodatku rozhodlo zastupitelstvo kraje svým usnesením č.</w:t>
      </w:r>
      <w:r w:rsidR="000A0DAD">
        <w:rPr>
          <w:rFonts w:ascii="Tahoma" w:hAnsi="Tahoma" w:cs="Tahoma"/>
          <w:sz w:val="22"/>
          <w:szCs w:val="22"/>
        </w:rPr>
        <w:t> ………………</w:t>
      </w:r>
      <w:r w:rsidR="00507B4B" w:rsidRPr="0098332C">
        <w:rPr>
          <w:rFonts w:ascii="Tahoma" w:hAnsi="Tahoma" w:cs="Tahoma"/>
          <w:sz w:val="22"/>
          <w:szCs w:val="22"/>
        </w:rPr>
        <w:t xml:space="preserve"> </w:t>
      </w:r>
      <w:r w:rsidRPr="0098332C">
        <w:rPr>
          <w:rFonts w:ascii="Tahoma" w:hAnsi="Tahoma" w:cs="Tahoma"/>
          <w:sz w:val="22"/>
          <w:szCs w:val="22"/>
        </w:rPr>
        <w:t>ze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dne</w:t>
      </w:r>
      <w:r w:rsidR="000A0DAD">
        <w:rPr>
          <w:rFonts w:ascii="Tahoma" w:hAnsi="Tahoma" w:cs="Tahoma"/>
          <w:sz w:val="22"/>
          <w:szCs w:val="22"/>
        </w:rPr>
        <w:t> </w:t>
      </w:r>
      <w:r w:rsidR="00FE6EA1" w:rsidRPr="0098332C">
        <w:rPr>
          <w:rFonts w:ascii="Tahoma" w:hAnsi="Tahoma" w:cs="Tahoma"/>
          <w:sz w:val="22"/>
          <w:szCs w:val="22"/>
        </w:rPr>
        <w:t>…………</w:t>
      </w:r>
      <w:r w:rsidR="000A0DAD">
        <w:rPr>
          <w:rFonts w:ascii="Tahoma" w:hAnsi="Tahoma" w:cs="Tahoma"/>
          <w:sz w:val="22"/>
          <w:szCs w:val="22"/>
        </w:rPr>
        <w:t>……</w:t>
      </w:r>
    </w:p>
    <w:p w:rsidR="003B1DFB" w:rsidRPr="0098332C" w:rsidRDefault="00C57E4A" w:rsidP="000A0DAD">
      <w:pPr>
        <w:keepNext/>
        <w:keepLines/>
        <w:tabs>
          <w:tab w:val="left" w:pos="6096"/>
        </w:tabs>
        <w:spacing w:before="60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</w:t>
      </w:r>
      <w:r w:rsidR="005B3CA8" w:rsidRPr="0098332C">
        <w:rPr>
          <w:rFonts w:ascii="Tahoma" w:hAnsi="Tahoma" w:cs="Tahoma"/>
          <w:sz w:val="22"/>
          <w:szCs w:val="22"/>
        </w:rPr>
        <w:t xml:space="preserve"> Ostravě </w:t>
      </w:r>
      <w:r w:rsidRPr="0098332C">
        <w:rPr>
          <w:rFonts w:ascii="Tahoma" w:hAnsi="Tahoma" w:cs="Tahoma"/>
          <w:sz w:val="22"/>
          <w:szCs w:val="22"/>
        </w:rPr>
        <w:t>dne ………………</w:t>
      </w:r>
      <w:r w:rsidRPr="0098332C">
        <w:rPr>
          <w:rFonts w:ascii="Tahoma" w:hAnsi="Tahoma" w:cs="Tahoma"/>
          <w:sz w:val="22"/>
          <w:szCs w:val="22"/>
        </w:rPr>
        <w:tab/>
        <w:t>V</w:t>
      </w:r>
      <w:r w:rsidR="005B3CA8" w:rsidRPr="0098332C">
        <w:rPr>
          <w:rFonts w:ascii="Tahoma" w:hAnsi="Tahoma" w:cs="Tahoma"/>
          <w:sz w:val="22"/>
          <w:szCs w:val="22"/>
        </w:rPr>
        <w:t> </w:t>
      </w:r>
      <w:r w:rsidR="005A3188" w:rsidRPr="0098332C">
        <w:rPr>
          <w:rFonts w:ascii="Tahoma" w:hAnsi="Tahoma" w:cs="Tahoma"/>
          <w:sz w:val="22"/>
          <w:szCs w:val="22"/>
        </w:rPr>
        <w:t>…………</w:t>
      </w:r>
      <w:r w:rsidR="000A0DAD">
        <w:rPr>
          <w:rFonts w:ascii="Tahoma" w:hAnsi="Tahoma" w:cs="Tahoma"/>
          <w:sz w:val="22"/>
          <w:szCs w:val="22"/>
        </w:rPr>
        <w:t>……</w:t>
      </w:r>
      <w:r w:rsidR="005B3CA8" w:rsidRPr="0098332C">
        <w:rPr>
          <w:rFonts w:ascii="Tahoma" w:hAnsi="Tahoma" w:cs="Tahoma"/>
          <w:sz w:val="22"/>
          <w:szCs w:val="22"/>
        </w:rPr>
        <w:t xml:space="preserve"> </w:t>
      </w:r>
      <w:r w:rsidRPr="0098332C">
        <w:rPr>
          <w:rFonts w:ascii="Tahoma" w:hAnsi="Tahoma" w:cs="Tahoma"/>
          <w:sz w:val="22"/>
          <w:szCs w:val="22"/>
        </w:rPr>
        <w:t>dne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………………</w:t>
      </w:r>
    </w:p>
    <w:p w:rsidR="003B1DFB" w:rsidRPr="0098332C" w:rsidRDefault="00C57E4A" w:rsidP="00DD183C">
      <w:pPr>
        <w:keepNext/>
        <w:tabs>
          <w:tab w:val="left" w:pos="6096"/>
        </w:tabs>
        <w:spacing w:before="96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……………………………………</w:t>
      </w:r>
      <w:r w:rsidR="00DD183C">
        <w:rPr>
          <w:rFonts w:ascii="Tahoma" w:hAnsi="Tahoma" w:cs="Tahoma"/>
          <w:sz w:val="22"/>
          <w:szCs w:val="22"/>
        </w:rPr>
        <w:tab/>
        <w:t>…………………………………………</w:t>
      </w:r>
    </w:p>
    <w:p w:rsidR="001F71CF" w:rsidRDefault="009814CE" w:rsidP="00DD183C">
      <w:pPr>
        <w:pStyle w:val="Odstavecseseznamem"/>
        <w:tabs>
          <w:tab w:val="left" w:pos="6946"/>
        </w:tabs>
        <w:ind w:left="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za </w:t>
      </w:r>
      <w:r w:rsidR="005B3CA8" w:rsidRPr="0098332C">
        <w:rPr>
          <w:rFonts w:ascii="Tahoma" w:hAnsi="Tahoma" w:cs="Tahoma"/>
          <w:sz w:val="22"/>
          <w:szCs w:val="22"/>
        </w:rPr>
        <w:t>Moravskoslezský kraj</w:t>
      </w:r>
      <w:r w:rsidR="00C57E4A" w:rsidRPr="0098332C">
        <w:rPr>
          <w:rFonts w:ascii="Tahoma" w:hAnsi="Tahoma" w:cs="Tahoma"/>
          <w:sz w:val="22"/>
          <w:szCs w:val="22"/>
        </w:rPr>
        <w:tab/>
      </w:r>
      <w:r w:rsidRPr="0098332C">
        <w:rPr>
          <w:rFonts w:ascii="Tahoma" w:hAnsi="Tahoma" w:cs="Tahoma"/>
          <w:sz w:val="22"/>
          <w:szCs w:val="22"/>
        </w:rPr>
        <w:t>za příjemce</w:t>
      </w:r>
    </w:p>
    <w:p w:rsidR="00DD183C" w:rsidRPr="0098332C" w:rsidRDefault="00DD183C" w:rsidP="00DD183C">
      <w:pPr>
        <w:pStyle w:val="Odstavecseseznamem"/>
        <w:tabs>
          <w:tab w:val="left" w:pos="6946"/>
        </w:tabs>
        <w:ind w:left="57"/>
        <w:jc w:val="both"/>
        <w:rPr>
          <w:rFonts w:ascii="Tahoma" w:hAnsi="Tahoma" w:cs="Tahoma"/>
          <w:sz w:val="22"/>
          <w:szCs w:val="22"/>
        </w:rPr>
      </w:pPr>
    </w:p>
    <w:p w:rsidR="00DD183C" w:rsidRDefault="00DD183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0A5AC7" w:rsidRPr="0098332C" w:rsidRDefault="000A5AC7" w:rsidP="00DD183C">
      <w:pPr>
        <w:tabs>
          <w:tab w:val="center" w:pos="1980"/>
          <w:tab w:val="center" w:pos="7020"/>
        </w:tabs>
        <w:jc w:val="both"/>
        <w:rPr>
          <w:rFonts w:ascii="Tahoma" w:hAnsi="Tahoma" w:cs="Tahoma"/>
          <w:bCs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lastRenderedPageBreak/>
        <w:t xml:space="preserve">Příloha </w:t>
      </w:r>
      <w:r w:rsidR="00DD183C">
        <w:rPr>
          <w:rFonts w:ascii="Tahoma" w:hAnsi="Tahoma" w:cs="Tahoma"/>
          <w:sz w:val="22"/>
          <w:szCs w:val="22"/>
        </w:rPr>
        <w:t>k Dodatku č. 2 ke Smlouvě o závazku veřejné služby a vyrovnávací platbě za jeho výkon</w:t>
      </w:r>
    </w:p>
    <w:p w:rsidR="000A5AC7" w:rsidRPr="0098332C" w:rsidRDefault="00B4539E" w:rsidP="00DD183C">
      <w:pPr>
        <w:pStyle w:val="Zkladntext"/>
        <w:tabs>
          <w:tab w:val="left" w:pos="0"/>
        </w:tabs>
        <w:spacing w:before="240"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 xml:space="preserve">Mechanizmus posuzování vyrovnávací platby </w:t>
      </w:r>
      <w:r w:rsidR="000A5AC7" w:rsidRPr="0098332C">
        <w:rPr>
          <w:rFonts w:ascii="Tahoma" w:hAnsi="Tahoma" w:cs="Tahoma"/>
          <w:b/>
          <w:sz w:val="22"/>
          <w:szCs w:val="22"/>
        </w:rPr>
        <w:t>v rámci závazku veřejné služby dle</w:t>
      </w:r>
      <w:r w:rsidR="00DD183C">
        <w:rPr>
          <w:rFonts w:ascii="Tahoma" w:hAnsi="Tahoma" w:cs="Tahoma"/>
          <w:b/>
          <w:sz w:val="22"/>
          <w:szCs w:val="22"/>
        </w:rPr>
        <w:t> </w:t>
      </w:r>
      <w:r w:rsidR="000A5AC7" w:rsidRPr="0098332C">
        <w:rPr>
          <w:rFonts w:ascii="Tahoma" w:hAnsi="Tahoma" w:cs="Tahoma"/>
          <w:b/>
          <w:sz w:val="22"/>
          <w:szCs w:val="22"/>
        </w:rPr>
        <w:t>Rozhodnutí Komise č. 2012</w:t>
      </w:r>
      <w:r w:rsidR="00DD183C">
        <w:rPr>
          <w:rFonts w:ascii="Tahoma" w:hAnsi="Tahoma" w:cs="Tahoma"/>
          <w:b/>
          <w:sz w:val="22"/>
          <w:szCs w:val="22"/>
        </w:rPr>
        <w:t>/21/EU ze dne 20. prosince 2011</w:t>
      </w:r>
    </w:p>
    <w:p w:rsidR="000A5AC7" w:rsidRPr="0098332C" w:rsidRDefault="000A5AC7" w:rsidP="002A07D3">
      <w:pPr>
        <w:pStyle w:val="Textkomente"/>
        <w:spacing w:before="240" w:line="276" w:lineRule="auto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Účelem výpočtu a vypořádání vyrovnávací platby je zabezpečení kontinuálního poskytování zdravotních služeb a zároveň zamezení jejich nadměrného financování z veřejných rozpočtů (se zohledněním vícezdrojového financování zdravotních služeb, jak z veřejných, tak i</w:t>
      </w:r>
      <w:r w:rsidR="00DD183C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ze</w:t>
      </w:r>
      <w:r w:rsidR="00DD183C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soukromých zdrojů). Dle Rozhodnutí Komise č. 2012/21/EU ze dne 20. prosince 2011 výše vyrovnávací platby nesmí přesáhnout rozsah nezbytný k pokrytí čistých nákladů vynaložených při plnění závazků veřejné služby. Bližší postup pro výpočet</w:t>
      </w:r>
      <w:r w:rsidR="00DD183C">
        <w:rPr>
          <w:rFonts w:ascii="Tahoma" w:hAnsi="Tahoma" w:cs="Tahoma"/>
          <w:sz w:val="22"/>
          <w:szCs w:val="22"/>
        </w:rPr>
        <w:t xml:space="preserve"> vyrovnávací platby je uveden v </w:t>
      </w:r>
      <w:r w:rsidRPr="0098332C">
        <w:rPr>
          <w:rFonts w:ascii="Tahoma" w:hAnsi="Tahoma" w:cs="Tahoma"/>
          <w:sz w:val="22"/>
          <w:szCs w:val="22"/>
        </w:rPr>
        <w:t>následující části přílohy.</w:t>
      </w:r>
    </w:p>
    <w:p w:rsidR="000A5AC7" w:rsidRPr="0098332C" w:rsidRDefault="000A5AC7" w:rsidP="00DD183C">
      <w:pPr>
        <w:pStyle w:val="Odstavecseseznamem"/>
        <w:numPr>
          <w:ilvl w:val="0"/>
          <w:numId w:val="4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8332C">
        <w:rPr>
          <w:rFonts w:ascii="Tahoma" w:hAnsi="Tahoma" w:cs="Tahoma"/>
          <w:b/>
          <w:sz w:val="22"/>
          <w:szCs w:val="22"/>
          <w:u w:val="single"/>
        </w:rPr>
        <w:t>Obecná ustanovení</w:t>
      </w:r>
    </w:p>
    <w:p w:rsidR="000A5AC7" w:rsidRPr="0098332C" w:rsidRDefault="000A5AC7" w:rsidP="00DD183C">
      <w:pPr>
        <w:pStyle w:val="Odstavecseseznamem"/>
        <w:numPr>
          <w:ilvl w:val="0"/>
          <w:numId w:val="4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Vyrovnávací platbu lze poskytnout organizaci jen na ty činnosti, které jsou vymezené v pověření závazkem veřejné služby dle Smlouvy o závazku veřejné služby a</w:t>
      </w:r>
      <w:r w:rsidR="00DD183C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vyrovnávací platbě za jeho výkon (dále také „činnosti“).</w:t>
      </w:r>
    </w:p>
    <w:p w:rsidR="000A5AC7" w:rsidRPr="0098332C" w:rsidRDefault="000A5AC7" w:rsidP="00DD183C">
      <w:pPr>
        <w:pStyle w:val="Odstavecseseznamem"/>
        <w:numPr>
          <w:ilvl w:val="0"/>
          <w:numId w:val="4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Účetnictví organizace musí být vedeno způsobem, který jednoznačně oddělí náklady a</w:t>
      </w:r>
      <w:r w:rsidR="00DD183C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výnosy činností, které zakládají možnost vyrovnávací platby spojené s plněním závazku veřejn</w:t>
      </w:r>
      <w:r w:rsidR="00586245" w:rsidRPr="0098332C">
        <w:rPr>
          <w:rFonts w:ascii="Tahoma" w:hAnsi="Tahoma" w:cs="Tahoma"/>
          <w:sz w:val="22"/>
          <w:szCs w:val="22"/>
        </w:rPr>
        <w:t>é služby, od ostatních činností</w:t>
      </w:r>
      <w:r w:rsidRPr="0098332C">
        <w:rPr>
          <w:rFonts w:ascii="Tahoma" w:hAnsi="Tahoma" w:cs="Tahoma"/>
          <w:sz w:val="22"/>
          <w:szCs w:val="22"/>
        </w:rPr>
        <w:t>. Na takové činnosti nemůže být vyrovnávací platba vztahována.</w:t>
      </w:r>
    </w:p>
    <w:p w:rsidR="000A5AC7" w:rsidRPr="0098332C" w:rsidRDefault="000A5AC7" w:rsidP="00DD183C">
      <w:pPr>
        <w:pStyle w:val="Odstavecseseznamem"/>
        <w:numPr>
          <w:ilvl w:val="0"/>
          <w:numId w:val="4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Příslušné orgány kraje mohou stanovit na každý rok strop pro vyrovnávací platbu jak provozního tak investičního charakteru, který vyjadřuje skutečnou výši, kterou organizace může obdržet a který může být nižší, než je výše maximální povolené vyrovnávací platby. Při stanovení tohoto stropu vyrovnávací platby vychází kraj z</w:t>
      </w:r>
      <w:r w:rsidR="00DD183C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možností rozpočtu. Vyrovnávací platba může být stanovena i v nulové výši.</w:t>
      </w:r>
    </w:p>
    <w:p w:rsidR="000A5AC7" w:rsidRPr="0098332C" w:rsidRDefault="000A5AC7" w:rsidP="00DD183C">
      <w:pPr>
        <w:pStyle w:val="Odstavecseseznamem"/>
        <w:numPr>
          <w:ilvl w:val="0"/>
          <w:numId w:val="4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Za každý kalendářní rok bude ze strany zřizovatele prováděna kontrola skutečných nákladů a výnosů u činností, vyplývajících z plnění závazku veřejné služby, a</w:t>
      </w:r>
      <w:r w:rsidR="00DD183C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 xml:space="preserve">prověřována oprávněnost výše nárokované vyrovnávací platby za daný </w:t>
      </w:r>
      <w:r w:rsidR="00DD183C">
        <w:rPr>
          <w:rFonts w:ascii="Tahoma" w:hAnsi="Tahoma" w:cs="Tahoma"/>
          <w:sz w:val="22"/>
          <w:szCs w:val="22"/>
        </w:rPr>
        <w:t>kalendářní rok.</w:t>
      </w:r>
    </w:p>
    <w:p w:rsidR="000A5AC7" w:rsidRPr="0098332C" w:rsidRDefault="000A5AC7" w:rsidP="00DD183C">
      <w:pPr>
        <w:pStyle w:val="Odstavecseseznamem"/>
        <w:numPr>
          <w:ilvl w:val="0"/>
          <w:numId w:val="4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Vyúčtování vyrovnávací platby bude zřizovateli předloženo nejpozději do 31. 5. následujícího roku.</w:t>
      </w:r>
    </w:p>
    <w:p w:rsidR="000A5AC7" w:rsidRPr="0098332C" w:rsidRDefault="000A5AC7" w:rsidP="00DD183C">
      <w:pPr>
        <w:pStyle w:val="Odstavecseseznamem"/>
        <w:numPr>
          <w:ilvl w:val="0"/>
          <w:numId w:val="4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eastAsia="Calibri" w:hAnsi="Tahoma" w:cs="Tahoma"/>
          <w:sz w:val="22"/>
          <w:szCs w:val="22"/>
        </w:rPr>
        <w:t xml:space="preserve">Rozdíly mezi skutečnými uznatelnými náklady a zdroji jednotlivých služeb jsou následně </w:t>
      </w:r>
      <w:r w:rsidRPr="00DD183C">
        <w:rPr>
          <w:rFonts w:ascii="Tahoma" w:hAnsi="Tahoma" w:cs="Tahoma"/>
          <w:sz w:val="22"/>
          <w:szCs w:val="22"/>
        </w:rPr>
        <w:t>posuzovány</w:t>
      </w:r>
      <w:r w:rsidRPr="0098332C">
        <w:rPr>
          <w:rFonts w:ascii="Tahoma" w:eastAsia="Calibri" w:hAnsi="Tahoma" w:cs="Tahoma"/>
          <w:sz w:val="22"/>
          <w:szCs w:val="22"/>
        </w:rPr>
        <w:t xml:space="preserve"> společně v rámci jednoho pověřovacího aktu (za jednoho poskytovatele). V případě, že je rozdíl mezi náklady a zdroji kladný i v rámci společného posouzení, jedná se o nadměrnou vyrovnávací platbu a poskytovatel je povinen rozdíl vrátit zpět do rozpočtu pověřovatele, tzn. Moravskoslezského kraje.</w:t>
      </w:r>
    </w:p>
    <w:p w:rsidR="000A5AC7" w:rsidRPr="0098332C" w:rsidRDefault="000A5AC7" w:rsidP="00DD183C">
      <w:pPr>
        <w:pStyle w:val="Odstavecseseznamem"/>
        <w:numPr>
          <w:ilvl w:val="0"/>
          <w:numId w:val="4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8332C">
        <w:rPr>
          <w:rFonts w:ascii="Tahoma" w:hAnsi="Tahoma" w:cs="Tahoma"/>
          <w:b/>
          <w:sz w:val="22"/>
          <w:szCs w:val="22"/>
          <w:u w:val="single"/>
        </w:rPr>
        <w:t xml:space="preserve">Provozní část </w:t>
      </w:r>
    </w:p>
    <w:p w:rsidR="000A5AC7" w:rsidRPr="0098332C" w:rsidRDefault="000A5AC7" w:rsidP="00DD183C">
      <w:pPr>
        <w:pStyle w:val="Odstavecseseznamem"/>
        <w:numPr>
          <w:ilvl w:val="0"/>
          <w:numId w:val="4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Východiskem pro stanovení výše vyrovnávací platby za příslušný kalendářní rok je zpracovaný plán hospodaření nemocnice v </w:t>
      </w:r>
      <w:r w:rsidR="00DD183C">
        <w:rPr>
          <w:rFonts w:ascii="Tahoma" w:hAnsi="Tahoma" w:cs="Tahoma"/>
          <w:sz w:val="22"/>
          <w:szCs w:val="22"/>
        </w:rPr>
        <w:t>rozsahu závazku veřejné služby.</w:t>
      </w:r>
    </w:p>
    <w:p w:rsidR="000A5AC7" w:rsidRPr="0098332C" w:rsidRDefault="000A5AC7" w:rsidP="00DD183C">
      <w:pPr>
        <w:pStyle w:val="Odstavecseseznamem"/>
        <w:numPr>
          <w:ilvl w:val="0"/>
          <w:numId w:val="4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Kalkulačním podkladem každé organizace je plánovaný Výkaz zisku a ztráty (VZZ) vztažený na</w:t>
      </w:r>
      <w:r w:rsidR="00DD183C">
        <w:rPr>
          <w:rFonts w:ascii="Tahoma" w:hAnsi="Tahoma" w:cs="Tahoma"/>
          <w:sz w:val="22"/>
          <w:szCs w:val="22"/>
        </w:rPr>
        <w:t xml:space="preserve"> plnění závazku veřejné služby.</w:t>
      </w:r>
    </w:p>
    <w:p w:rsidR="000A5AC7" w:rsidRPr="0098332C" w:rsidRDefault="000A5AC7" w:rsidP="00DD183C">
      <w:pPr>
        <w:pStyle w:val="Odstavecseseznamem"/>
        <w:numPr>
          <w:ilvl w:val="0"/>
          <w:numId w:val="4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Kalkulační vzorec a náplň položek pro výpočet vyrovnávac</w:t>
      </w:r>
      <w:r w:rsidR="00DD183C">
        <w:rPr>
          <w:rFonts w:ascii="Tahoma" w:hAnsi="Tahoma" w:cs="Tahoma"/>
          <w:sz w:val="22"/>
          <w:szCs w:val="22"/>
        </w:rPr>
        <w:t>í platby provozního charakteru:</w:t>
      </w:r>
    </w:p>
    <w:p w:rsidR="000A5AC7" w:rsidRPr="0098332C" w:rsidRDefault="000A5AC7" w:rsidP="00DD183C">
      <w:pPr>
        <w:spacing w:before="120" w:after="12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lastRenderedPageBreak/>
        <w:t>VPP = NČ - VČ</w:t>
      </w:r>
    </w:p>
    <w:p w:rsidR="000A5AC7" w:rsidRPr="0098332C" w:rsidRDefault="000A5AC7" w:rsidP="00DD183C">
      <w:pPr>
        <w:ind w:left="71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kde:</w:t>
      </w:r>
    </w:p>
    <w:p w:rsidR="000A5AC7" w:rsidRPr="0098332C" w:rsidRDefault="000A5AC7" w:rsidP="00DD183C">
      <w:pPr>
        <w:tabs>
          <w:tab w:val="left" w:pos="1701"/>
        </w:tabs>
        <w:spacing w:before="120"/>
        <w:ind w:left="71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VPP</w:t>
      </w:r>
      <w:r w:rsidRPr="0098332C">
        <w:rPr>
          <w:rFonts w:ascii="Tahoma" w:hAnsi="Tahoma" w:cs="Tahoma"/>
          <w:sz w:val="22"/>
          <w:szCs w:val="22"/>
        </w:rPr>
        <w:tab/>
        <w:t>maximální povolená vyrovnávací platba pro provozní část</w:t>
      </w:r>
    </w:p>
    <w:p w:rsidR="000A5AC7" w:rsidRPr="0098332C" w:rsidRDefault="000A5AC7" w:rsidP="00DD183C">
      <w:pPr>
        <w:tabs>
          <w:tab w:val="left" w:pos="1701"/>
        </w:tabs>
        <w:ind w:left="71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NČ</w:t>
      </w:r>
      <w:r w:rsidRPr="0098332C">
        <w:rPr>
          <w:rFonts w:ascii="Tahoma" w:hAnsi="Tahoma" w:cs="Tahoma"/>
          <w:sz w:val="22"/>
          <w:szCs w:val="22"/>
        </w:rPr>
        <w:tab/>
        <w:t>náklady z činností v rámci závazku veřejné služby</w:t>
      </w:r>
    </w:p>
    <w:p w:rsidR="000A5AC7" w:rsidRPr="0098332C" w:rsidRDefault="000A5AC7" w:rsidP="00DD183C">
      <w:pPr>
        <w:tabs>
          <w:tab w:val="left" w:pos="1701"/>
        </w:tabs>
        <w:ind w:left="71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VČ</w:t>
      </w:r>
      <w:r w:rsidRPr="0098332C">
        <w:rPr>
          <w:rFonts w:ascii="Tahoma" w:hAnsi="Tahoma" w:cs="Tahoma"/>
          <w:sz w:val="22"/>
          <w:szCs w:val="22"/>
        </w:rPr>
        <w:tab/>
        <w:t>výnosy z činností v rámci závazku veřejné služby</w:t>
      </w:r>
    </w:p>
    <w:p w:rsidR="000A5AC7" w:rsidRPr="0098332C" w:rsidRDefault="000A5AC7" w:rsidP="00DD183C">
      <w:pPr>
        <w:spacing w:before="120"/>
        <w:ind w:left="71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Náplň výše uvedených položek:</w:t>
      </w:r>
    </w:p>
    <w:p w:rsidR="000A5AC7" w:rsidRPr="0098332C" w:rsidRDefault="000A5AC7" w:rsidP="00DD183C">
      <w:pPr>
        <w:spacing w:before="120"/>
        <w:ind w:left="71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 xml:space="preserve">Náklady z činností v rámci závazku veřejné služby. </w:t>
      </w:r>
      <w:r w:rsidRPr="0098332C">
        <w:rPr>
          <w:rFonts w:ascii="Tahoma" w:hAnsi="Tahoma" w:cs="Tahoma"/>
          <w:sz w:val="22"/>
          <w:szCs w:val="22"/>
        </w:rPr>
        <w:t>Do nákladů činnosti jsou zahrnuty ty nákladové položky, které se vztahují k plnění závazku veřejné služby. Do</w:t>
      </w:r>
      <w:r w:rsidR="00DD183C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výpočtu vyrovnávací platby lze zahrnovat pouze náklady vzniklé od okamžiku pověření. Náklady činnosti zahrnují zejména spotřeb</w:t>
      </w:r>
      <w:r w:rsidR="00DD183C">
        <w:rPr>
          <w:rFonts w:ascii="Tahoma" w:hAnsi="Tahoma" w:cs="Tahoma"/>
          <w:sz w:val="22"/>
          <w:szCs w:val="22"/>
        </w:rPr>
        <w:t>u materiálu, osobní náklady ad.</w:t>
      </w:r>
    </w:p>
    <w:p w:rsidR="000A5AC7" w:rsidRDefault="000A5AC7" w:rsidP="00DD183C">
      <w:pPr>
        <w:spacing w:before="120"/>
        <w:ind w:left="714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Výnosy z činností v rámci závazku veřejné služby</w:t>
      </w:r>
      <w:r w:rsidRPr="0098332C">
        <w:rPr>
          <w:rFonts w:ascii="Tahoma" w:hAnsi="Tahoma" w:cs="Tahoma"/>
          <w:sz w:val="22"/>
          <w:szCs w:val="22"/>
        </w:rPr>
        <w:t xml:space="preserve"> se rozumí veškeré výnosy z poskytování služeb v rámci závazku veřejné služby. Zahrnují zejména tržby za vlastní v</w:t>
      </w:r>
      <w:r w:rsidR="00DD183C">
        <w:rPr>
          <w:rFonts w:ascii="Tahoma" w:hAnsi="Tahoma" w:cs="Tahoma"/>
          <w:sz w:val="22"/>
          <w:szCs w:val="22"/>
        </w:rPr>
        <w:t>ýkony a za zboží, aktivace, ad.</w:t>
      </w:r>
      <w:r w:rsidR="00563C56">
        <w:rPr>
          <w:rFonts w:ascii="Tahoma" w:hAnsi="Tahoma" w:cs="Tahoma"/>
          <w:sz w:val="22"/>
          <w:szCs w:val="22"/>
        </w:rPr>
        <w:t xml:space="preserve"> </w:t>
      </w:r>
      <w:r w:rsidR="00563C56" w:rsidRPr="00375F95">
        <w:rPr>
          <w:rFonts w:ascii="Tahoma" w:hAnsi="Tahoma" w:cs="Tahoma"/>
          <w:sz w:val="22"/>
          <w:szCs w:val="22"/>
        </w:rPr>
        <w:t>Do výnosů se pro účely výpočtu vyrovnávací platby za</w:t>
      </w:r>
      <w:r w:rsidR="008347F4" w:rsidRPr="00375F95">
        <w:rPr>
          <w:rFonts w:ascii="Tahoma" w:hAnsi="Tahoma" w:cs="Tahoma"/>
          <w:sz w:val="22"/>
          <w:szCs w:val="22"/>
        </w:rPr>
        <w:t xml:space="preserve">počítává </w:t>
      </w:r>
      <w:r w:rsidR="00563C56" w:rsidRPr="00375F95">
        <w:rPr>
          <w:rFonts w:ascii="Tahoma" w:hAnsi="Tahoma" w:cs="Tahoma"/>
          <w:sz w:val="22"/>
          <w:szCs w:val="22"/>
        </w:rPr>
        <w:t>i navýšení základního kapitálu.</w:t>
      </w:r>
      <w:bookmarkStart w:id="0" w:name="_GoBack"/>
      <w:bookmarkEnd w:id="0"/>
    </w:p>
    <w:p w:rsidR="00563C56" w:rsidRPr="00563C56" w:rsidRDefault="00563C56" w:rsidP="00563C56">
      <w:pPr>
        <w:tabs>
          <w:tab w:val="left" w:pos="714"/>
        </w:tabs>
        <w:spacing w:before="60" w:line="276" w:lineRule="auto"/>
        <w:ind w:left="357"/>
        <w:jc w:val="both"/>
        <w:rPr>
          <w:rFonts w:ascii="Tahoma" w:hAnsi="Tahoma" w:cs="Tahoma"/>
          <w:sz w:val="22"/>
          <w:szCs w:val="22"/>
        </w:rPr>
      </w:pPr>
    </w:p>
    <w:p w:rsidR="000A5AC7" w:rsidRPr="0098332C" w:rsidRDefault="000A5AC7" w:rsidP="00DD183C">
      <w:pPr>
        <w:pStyle w:val="Odstavecseseznamem"/>
        <w:numPr>
          <w:ilvl w:val="0"/>
          <w:numId w:val="4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Na základě plánové kalkulace v rozsahu VZZ za příslušný kalendářní rok dle výše uvedeného lze přistoupit k úhradě zálohových plateb </w:t>
      </w:r>
      <w:r w:rsidR="00DD183C">
        <w:rPr>
          <w:rFonts w:ascii="Tahoma" w:hAnsi="Tahoma" w:cs="Tahoma"/>
          <w:sz w:val="22"/>
          <w:szCs w:val="22"/>
        </w:rPr>
        <w:t>v průběhu kalendářního roku.</w:t>
      </w:r>
    </w:p>
    <w:p w:rsidR="000A5AC7" w:rsidRPr="0098332C" w:rsidRDefault="000A5AC7" w:rsidP="00DD183C">
      <w:pPr>
        <w:pStyle w:val="Odstavecseseznamem"/>
        <w:numPr>
          <w:ilvl w:val="0"/>
          <w:numId w:val="4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K vyúčtování vyrovnávací platby dochází na základě skutečného vyhodnocení hospodaření organizace dle VZZ za příslušný kalendářní rok ve stejné struktuře položek, v jaké byla sestavena kalkulace pláno</w:t>
      </w:r>
      <w:r w:rsidR="00DD183C">
        <w:rPr>
          <w:rFonts w:ascii="Tahoma" w:hAnsi="Tahoma" w:cs="Tahoma"/>
          <w:sz w:val="22"/>
          <w:szCs w:val="22"/>
        </w:rPr>
        <w:t>vá.</w:t>
      </w:r>
    </w:p>
    <w:p w:rsidR="000A5AC7" w:rsidRPr="0098332C" w:rsidRDefault="000A5AC7" w:rsidP="00DD183C">
      <w:pPr>
        <w:pStyle w:val="Odstavecseseznamem"/>
        <w:numPr>
          <w:ilvl w:val="0"/>
          <w:numId w:val="46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Příslušné orgány kraje mohou stanovit účel, na který bude vyrovnávací platba provozního charakteru použita.</w:t>
      </w:r>
    </w:p>
    <w:p w:rsidR="000A5AC7" w:rsidRPr="0098332C" w:rsidRDefault="000A5AC7" w:rsidP="00DD183C">
      <w:pPr>
        <w:pStyle w:val="Odstavecseseznamem"/>
        <w:numPr>
          <w:ilvl w:val="0"/>
          <w:numId w:val="4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8332C">
        <w:rPr>
          <w:rFonts w:ascii="Tahoma" w:hAnsi="Tahoma" w:cs="Tahoma"/>
          <w:b/>
          <w:sz w:val="22"/>
          <w:szCs w:val="22"/>
          <w:u w:val="single"/>
        </w:rPr>
        <w:t xml:space="preserve">Investiční část </w:t>
      </w:r>
    </w:p>
    <w:p w:rsidR="000A5AC7" w:rsidRPr="0098332C" w:rsidRDefault="000A5AC7" w:rsidP="00DD183C">
      <w:pPr>
        <w:pStyle w:val="Odstavecseseznamem"/>
        <w:numPr>
          <w:ilvl w:val="0"/>
          <w:numId w:val="47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Finanční podpora investičního charakteru vychází z potřebnosti investic na příslušný kalendářní rok, z finančních plánů </w:t>
      </w:r>
      <w:r w:rsidR="00DD183C">
        <w:rPr>
          <w:rFonts w:ascii="Tahoma" w:hAnsi="Tahoma" w:cs="Tahoma"/>
          <w:sz w:val="22"/>
          <w:szCs w:val="22"/>
        </w:rPr>
        <w:t>organizace pro investiční část.</w:t>
      </w:r>
    </w:p>
    <w:p w:rsidR="000A5AC7" w:rsidRPr="0098332C" w:rsidRDefault="000A5AC7" w:rsidP="00DD183C">
      <w:pPr>
        <w:pStyle w:val="Odstavecseseznamem"/>
        <w:numPr>
          <w:ilvl w:val="0"/>
          <w:numId w:val="47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Pro stanovení potřebnosti investic organizace vyhotoví minimálně na každý rok plán investic.</w:t>
      </w:r>
    </w:p>
    <w:p w:rsidR="000A5AC7" w:rsidRPr="0098332C" w:rsidRDefault="000A5AC7" w:rsidP="00DD183C">
      <w:pPr>
        <w:pStyle w:val="Odstavecseseznamem"/>
        <w:numPr>
          <w:ilvl w:val="0"/>
          <w:numId w:val="47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Při stanovení oprávněné podpory investičního charakteru musí být oddělen případný komerční podíl na investici. V případě účelu investice</w:t>
      </w:r>
      <w:r w:rsidR="00586245" w:rsidRPr="0098332C">
        <w:rPr>
          <w:rFonts w:ascii="Tahoma" w:hAnsi="Tahoma" w:cs="Tahoma"/>
          <w:sz w:val="22"/>
          <w:szCs w:val="22"/>
        </w:rPr>
        <w:t xml:space="preserve"> mimo rozsah závazku veřejné služby</w:t>
      </w:r>
      <w:r w:rsidRPr="0098332C">
        <w:rPr>
          <w:rFonts w:ascii="Tahoma" w:hAnsi="Tahoma" w:cs="Tahoma"/>
          <w:sz w:val="22"/>
          <w:szCs w:val="22"/>
        </w:rPr>
        <w:t xml:space="preserve"> nárok na podporu nenáleží, tato investice musí být kryta výhradně vlastními zdroji.</w:t>
      </w:r>
    </w:p>
    <w:p w:rsidR="000A5AC7" w:rsidRPr="0098332C" w:rsidRDefault="000A5AC7" w:rsidP="00DD183C">
      <w:pPr>
        <w:pStyle w:val="Odstavecseseznamem"/>
        <w:numPr>
          <w:ilvl w:val="0"/>
          <w:numId w:val="47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eastAsia="Calibri" w:hAnsi="Tahoma" w:cs="Tahoma"/>
          <w:sz w:val="22"/>
          <w:szCs w:val="22"/>
        </w:rPr>
        <w:t>Náklady spojené s investicemi mohou být zohledněny, pokud jsou nezbytné pro provozování služeb obecného hospodářského zájmu.</w:t>
      </w:r>
    </w:p>
    <w:p w:rsidR="000A5AC7" w:rsidRPr="0098332C" w:rsidRDefault="000A5AC7" w:rsidP="00DD183C">
      <w:pPr>
        <w:pStyle w:val="Odstavecseseznamem"/>
        <w:numPr>
          <w:ilvl w:val="0"/>
          <w:numId w:val="4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8332C">
        <w:rPr>
          <w:rFonts w:ascii="Tahoma" w:hAnsi="Tahoma" w:cs="Tahoma"/>
          <w:b/>
          <w:sz w:val="22"/>
          <w:szCs w:val="22"/>
          <w:u w:val="single"/>
        </w:rPr>
        <w:t>Nefinanční podpora</w:t>
      </w:r>
    </w:p>
    <w:p w:rsidR="000A5AC7" w:rsidRPr="0098332C" w:rsidRDefault="000A5AC7" w:rsidP="00DD183C">
      <w:pPr>
        <w:pStyle w:val="Odstavecseseznamem"/>
        <w:numPr>
          <w:ilvl w:val="0"/>
          <w:numId w:val="44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eastAsia="Calibri" w:hAnsi="Tahoma" w:cs="Tahoma"/>
          <w:sz w:val="22"/>
          <w:szCs w:val="22"/>
        </w:rPr>
      </w:pPr>
      <w:r w:rsidRPr="0098332C">
        <w:rPr>
          <w:rFonts w:ascii="Tahoma" w:eastAsia="Calibri" w:hAnsi="Tahoma" w:cs="Tahoma"/>
          <w:sz w:val="22"/>
          <w:szCs w:val="22"/>
        </w:rPr>
        <w:t>V rámci vyrovnávací platby musí být posouzeny i poskytnuté podpory nefinanční povahy. Jedná se např. o:</w:t>
      </w:r>
    </w:p>
    <w:p w:rsidR="000A5AC7" w:rsidRPr="0098332C" w:rsidRDefault="000A5AC7" w:rsidP="00DD183C">
      <w:pPr>
        <w:numPr>
          <w:ilvl w:val="0"/>
          <w:numId w:val="42"/>
        </w:numPr>
        <w:tabs>
          <w:tab w:val="left" w:pos="1072"/>
        </w:tabs>
        <w:spacing w:before="60" w:line="276" w:lineRule="auto"/>
        <w:ind w:left="1071" w:hanging="357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98332C">
        <w:rPr>
          <w:rFonts w:ascii="Tahoma" w:eastAsia="Calibri" w:hAnsi="Tahoma" w:cs="Tahoma"/>
          <w:color w:val="000000"/>
          <w:sz w:val="22"/>
          <w:szCs w:val="22"/>
        </w:rPr>
        <w:t>Pronájem nemovitosti za symbolický příspěvek (výhoda pro poskytovatele zdravotní služby ve formě nájmu za nižší cenu, než jaká je v tržních podmínkách) či umožnění bezplatného využití,</w:t>
      </w:r>
    </w:p>
    <w:p w:rsidR="000A5AC7" w:rsidRPr="0098332C" w:rsidRDefault="000A5AC7" w:rsidP="00DD183C">
      <w:pPr>
        <w:numPr>
          <w:ilvl w:val="0"/>
          <w:numId w:val="42"/>
        </w:numPr>
        <w:tabs>
          <w:tab w:val="left" w:pos="1072"/>
        </w:tabs>
        <w:spacing w:before="60" w:line="276" w:lineRule="auto"/>
        <w:ind w:left="1071" w:hanging="357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98332C">
        <w:rPr>
          <w:rFonts w:ascii="Tahoma" w:eastAsia="Calibri" w:hAnsi="Tahoma" w:cs="Tahoma"/>
          <w:color w:val="000000"/>
          <w:sz w:val="22"/>
          <w:szCs w:val="22"/>
        </w:rPr>
        <w:t>Pronájem movité věci za symbolický příspěvek, či umožnění bezplatného využití (např. automobilu),</w:t>
      </w:r>
    </w:p>
    <w:p w:rsidR="000A5AC7" w:rsidRPr="0098332C" w:rsidRDefault="000A5AC7" w:rsidP="00DD183C">
      <w:pPr>
        <w:numPr>
          <w:ilvl w:val="0"/>
          <w:numId w:val="42"/>
        </w:numPr>
        <w:tabs>
          <w:tab w:val="left" w:pos="1072"/>
        </w:tabs>
        <w:spacing w:before="60" w:line="276" w:lineRule="auto"/>
        <w:ind w:left="1071" w:hanging="357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98332C">
        <w:rPr>
          <w:rFonts w:ascii="Tahoma" w:eastAsia="Calibri" w:hAnsi="Tahoma" w:cs="Tahoma"/>
          <w:color w:val="000000"/>
          <w:sz w:val="22"/>
          <w:szCs w:val="22"/>
        </w:rPr>
        <w:lastRenderedPageBreak/>
        <w:t>Bezplatné školení či školení za symbolickou částku,</w:t>
      </w:r>
    </w:p>
    <w:p w:rsidR="000A5AC7" w:rsidRPr="0098332C" w:rsidRDefault="000A5AC7" w:rsidP="00DD183C">
      <w:pPr>
        <w:numPr>
          <w:ilvl w:val="0"/>
          <w:numId w:val="42"/>
        </w:numPr>
        <w:tabs>
          <w:tab w:val="left" w:pos="1072"/>
        </w:tabs>
        <w:spacing w:before="60" w:line="276" w:lineRule="auto"/>
        <w:ind w:left="1071" w:hanging="357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98332C">
        <w:rPr>
          <w:rFonts w:ascii="Tahoma" w:eastAsia="Calibri" w:hAnsi="Tahoma" w:cs="Tahoma"/>
          <w:color w:val="000000"/>
          <w:sz w:val="22"/>
          <w:szCs w:val="22"/>
        </w:rPr>
        <w:t>Bezúročné návratné finanční výpomoci (půjčky),</w:t>
      </w:r>
    </w:p>
    <w:p w:rsidR="000A5AC7" w:rsidRPr="0098332C" w:rsidRDefault="000A5AC7" w:rsidP="00DD183C">
      <w:pPr>
        <w:numPr>
          <w:ilvl w:val="0"/>
          <w:numId w:val="42"/>
        </w:numPr>
        <w:tabs>
          <w:tab w:val="left" w:pos="1072"/>
        </w:tabs>
        <w:spacing w:before="60" w:line="276" w:lineRule="auto"/>
        <w:ind w:left="1071" w:hanging="357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98332C">
        <w:rPr>
          <w:rFonts w:ascii="Tahoma" w:eastAsia="Calibri" w:hAnsi="Tahoma" w:cs="Tahoma"/>
          <w:color w:val="000000"/>
          <w:sz w:val="22"/>
          <w:szCs w:val="22"/>
        </w:rPr>
        <w:t>Darování movité či nemovité věci,</w:t>
      </w:r>
    </w:p>
    <w:p w:rsidR="000A5AC7" w:rsidRPr="0098332C" w:rsidRDefault="000A5AC7" w:rsidP="00DD183C">
      <w:pPr>
        <w:numPr>
          <w:ilvl w:val="0"/>
          <w:numId w:val="42"/>
        </w:numPr>
        <w:tabs>
          <w:tab w:val="left" w:pos="1072"/>
        </w:tabs>
        <w:spacing w:before="60" w:line="276" w:lineRule="auto"/>
        <w:ind w:left="1071" w:hanging="357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98332C">
        <w:rPr>
          <w:rFonts w:ascii="Tahoma" w:eastAsia="Calibri" w:hAnsi="Tahoma" w:cs="Tahoma"/>
          <w:color w:val="000000"/>
          <w:sz w:val="22"/>
          <w:szCs w:val="22"/>
        </w:rPr>
        <w:t>Úhrada služeb za poskytovatele zdravotní služby (např. za energie, nájem),</w:t>
      </w:r>
    </w:p>
    <w:p w:rsidR="000A5AC7" w:rsidRPr="0098332C" w:rsidRDefault="000A5AC7" w:rsidP="00DD183C">
      <w:pPr>
        <w:numPr>
          <w:ilvl w:val="0"/>
          <w:numId w:val="42"/>
        </w:numPr>
        <w:tabs>
          <w:tab w:val="left" w:pos="1072"/>
        </w:tabs>
        <w:spacing w:before="60" w:line="276" w:lineRule="auto"/>
        <w:ind w:left="1071" w:hanging="357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98332C">
        <w:rPr>
          <w:rFonts w:ascii="Tahoma" w:eastAsia="Calibri" w:hAnsi="Tahoma" w:cs="Tahoma"/>
          <w:color w:val="000000"/>
          <w:sz w:val="22"/>
          <w:szCs w:val="22"/>
        </w:rPr>
        <w:t>Jiné zvýhodnění, zvláštní či výlučná práva přiznaná poskytovateli zdravotních služeb dle Rozhodnutí.</w:t>
      </w:r>
    </w:p>
    <w:p w:rsidR="000A5AC7" w:rsidRPr="0098332C" w:rsidRDefault="000A5AC7" w:rsidP="00DD183C">
      <w:pPr>
        <w:pStyle w:val="Odstavecseseznamem"/>
        <w:numPr>
          <w:ilvl w:val="0"/>
          <w:numId w:val="44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eastAsia="Calibri" w:hAnsi="Tahoma" w:cs="Tahoma"/>
          <w:sz w:val="22"/>
          <w:szCs w:val="22"/>
        </w:rPr>
      </w:pPr>
      <w:r w:rsidRPr="0098332C">
        <w:rPr>
          <w:rFonts w:ascii="Tahoma" w:eastAsia="Calibri" w:hAnsi="Tahoma" w:cs="Tahoma"/>
          <w:sz w:val="22"/>
          <w:szCs w:val="22"/>
        </w:rPr>
        <w:t>Do režimu vyrovnávací platby musí být tato nefinanční podpora zařazena a to ve výši, která odpovídá rozdílu mezi objemem finančních prostředků, který by poskytovatel musel vynaložit za získání předmětné služby (materiálu, nemovitosti atp.) za tržních podmínek v místě a čase obvyklých a objemem finančních prostředků, které vynaložil při poskytované veřejné podpoře (např. symbolická částka, zvýhodněná částka, nebo zcela bezplatně).</w:t>
      </w:r>
    </w:p>
    <w:p w:rsidR="000A5AC7" w:rsidRPr="0098332C" w:rsidRDefault="000A5AC7" w:rsidP="00DD183C">
      <w:pPr>
        <w:pStyle w:val="Odstavecseseznamem"/>
        <w:numPr>
          <w:ilvl w:val="0"/>
          <w:numId w:val="44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eastAsia="Calibri" w:hAnsi="Tahoma" w:cs="Tahoma"/>
          <w:sz w:val="22"/>
          <w:szCs w:val="22"/>
        </w:rPr>
      </w:pPr>
      <w:r w:rsidRPr="0098332C">
        <w:rPr>
          <w:rFonts w:ascii="Tahoma" w:eastAsia="Calibri" w:hAnsi="Tahoma" w:cs="Tahoma"/>
          <w:sz w:val="22"/>
          <w:szCs w:val="22"/>
        </w:rPr>
        <w:t>Tato nefinanční podpora je považována za oprávněnou, je-li plně využita pro provozování služeb vymezených v pověření. Nesmí být zároveň využita i jiné aktivity poskytovatele (např. nelze považovat za oprávněnou podporu, pokud v části darované nemovitosti je poskytována či využívána ke školení jiných osob, jako konferenční prostory, k provozování jiných aktivit než služby vymezené v pověření).</w:t>
      </w:r>
    </w:p>
    <w:p w:rsidR="000A5AC7" w:rsidRPr="0098332C" w:rsidRDefault="000A5AC7" w:rsidP="00DD183C">
      <w:pPr>
        <w:pStyle w:val="Odstavecseseznamem"/>
        <w:numPr>
          <w:ilvl w:val="0"/>
          <w:numId w:val="44"/>
        </w:numPr>
        <w:tabs>
          <w:tab w:val="left" w:pos="714"/>
        </w:tabs>
        <w:spacing w:before="12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eastAsia="Calibri" w:hAnsi="Tahoma" w:cs="Tahoma"/>
          <w:sz w:val="22"/>
          <w:szCs w:val="22"/>
        </w:rPr>
        <w:t>Oprávněná nefinanční podpora musí být připojena k výpočtu vyrovnávací platby a</w:t>
      </w:r>
      <w:r w:rsidR="00DD183C">
        <w:rPr>
          <w:rFonts w:ascii="Tahoma" w:eastAsia="Calibri" w:hAnsi="Tahoma" w:cs="Tahoma"/>
          <w:sz w:val="22"/>
          <w:szCs w:val="22"/>
        </w:rPr>
        <w:t> </w:t>
      </w:r>
      <w:r w:rsidRPr="0098332C">
        <w:rPr>
          <w:rFonts w:ascii="Tahoma" w:eastAsia="Calibri" w:hAnsi="Tahoma" w:cs="Tahoma"/>
          <w:sz w:val="22"/>
          <w:szCs w:val="22"/>
        </w:rPr>
        <w:t xml:space="preserve">vykazována při posouzení vyrovnávací platby. Jedná-li se o nefinanční podporu </w:t>
      </w:r>
      <w:r w:rsidRPr="0098332C">
        <w:rPr>
          <w:rFonts w:ascii="Tahoma" w:eastAsia="Calibri" w:hAnsi="Tahoma" w:cs="Tahoma"/>
          <w:b/>
          <w:sz w:val="22"/>
          <w:szCs w:val="22"/>
        </w:rPr>
        <w:t>investiční povahy</w:t>
      </w:r>
      <w:r w:rsidRPr="0098332C">
        <w:rPr>
          <w:rFonts w:ascii="Tahoma" w:eastAsia="Calibri" w:hAnsi="Tahoma" w:cs="Tahoma"/>
          <w:sz w:val="22"/>
          <w:szCs w:val="22"/>
        </w:rPr>
        <w:t xml:space="preserve">, bude posuzována její oprávněnost obdobně jako u investičních nákladů služby dle bodu 3 této přílohy. Jedná-li se o nefinanční podporu </w:t>
      </w:r>
      <w:r w:rsidRPr="0098332C">
        <w:rPr>
          <w:rFonts w:ascii="Tahoma" w:eastAsia="Calibri" w:hAnsi="Tahoma" w:cs="Tahoma"/>
          <w:b/>
          <w:sz w:val="22"/>
          <w:szCs w:val="22"/>
        </w:rPr>
        <w:t>provozní povahy</w:t>
      </w:r>
      <w:r w:rsidRPr="0098332C">
        <w:rPr>
          <w:rFonts w:ascii="Tahoma" w:eastAsia="Calibri" w:hAnsi="Tahoma" w:cs="Tahoma"/>
          <w:sz w:val="22"/>
          <w:szCs w:val="22"/>
        </w:rPr>
        <w:t xml:space="preserve">, bude posuzována její oprávněnost obdobně jako u provozních nákladů </w:t>
      </w:r>
      <w:r w:rsidR="00DD183C">
        <w:rPr>
          <w:rFonts w:ascii="Tahoma" w:eastAsia="Calibri" w:hAnsi="Tahoma" w:cs="Tahoma"/>
          <w:sz w:val="22"/>
          <w:szCs w:val="22"/>
        </w:rPr>
        <w:t>služby dle bodu 2 této přílohy.</w:t>
      </w:r>
    </w:p>
    <w:sectPr w:rsidR="000A5AC7" w:rsidRPr="0098332C" w:rsidSect="003B1DF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689" w:rsidRDefault="00235689">
      <w:r>
        <w:separator/>
      </w:r>
    </w:p>
  </w:endnote>
  <w:endnote w:type="continuationSeparator" w:id="0">
    <w:p w:rsidR="00235689" w:rsidRDefault="0023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F95">
      <w:rPr>
        <w:rStyle w:val="slostrnky"/>
        <w:noProof/>
      </w:rPr>
      <w:t>5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689" w:rsidRDefault="00235689">
      <w:r>
        <w:separator/>
      </w:r>
    </w:p>
  </w:footnote>
  <w:footnote w:type="continuationSeparator" w:id="0">
    <w:p w:rsidR="00235689" w:rsidRDefault="0023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EC7F52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1186B"/>
    <w:multiLevelType w:val="hybridMultilevel"/>
    <w:tmpl w:val="F8268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9E2937"/>
    <w:multiLevelType w:val="hybridMultilevel"/>
    <w:tmpl w:val="964663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1884DC0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2BD3"/>
    <w:multiLevelType w:val="hybridMultilevel"/>
    <w:tmpl w:val="F11A32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0083EB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5D6777"/>
    <w:multiLevelType w:val="hybridMultilevel"/>
    <w:tmpl w:val="0C78A32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1884DC0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342AA"/>
    <w:multiLevelType w:val="hybridMultilevel"/>
    <w:tmpl w:val="63146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A0C26"/>
    <w:multiLevelType w:val="hybridMultilevel"/>
    <w:tmpl w:val="1278C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B368A"/>
    <w:multiLevelType w:val="hybridMultilevel"/>
    <w:tmpl w:val="A16071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1884DC0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F44507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3573C8"/>
    <w:multiLevelType w:val="hybridMultilevel"/>
    <w:tmpl w:val="5F628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D60F6"/>
    <w:multiLevelType w:val="hybridMultilevel"/>
    <w:tmpl w:val="50146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31E6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3BD215B6"/>
    <w:multiLevelType w:val="multilevel"/>
    <w:tmpl w:val="331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20B6262"/>
    <w:multiLevelType w:val="hybridMultilevel"/>
    <w:tmpl w:val="8B2A5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E0EFB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C1210F4"/>
    <w:multiLevelType w:val="hybridMultilevel"/>
    <w:tmpl w:val="71F2C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58C29B6"/>
    <w:multiLevelType w:val="hybridMultilevel"/>
    <w:tmpl w:val="328C6DF2"/>
    <w:lvl w:ilvl="0" w:tplc="7AD84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A1E0842"/>
    <w:multiLevelType w:val="hybridMultilevel"/>
    <w:tmpl w:val="69C881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996B6E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04B77F6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4CA59F8"/>
    <w:multiLevelType w:val="hybridMultilevel"/>
    <w:tmpl w:val="82EC2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8F319E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CB22F46"/>
    <w:multiLevelType w:val="hybridMultilevel"/>
    <w:tmpl w:val="0BA878CC"/>
    <w:lvl w:ilvl="0" w:tplc="9530D1B0">
      <w:start w:val="3"/>
      <w:numFmt w:val="bullet"/>
      <w:lvlText w:val="-"/>
      <w:lvlJc w:val="left"/>
      <w:pPr>
        <w:ind w:left="420" w:hanging="360"/>
      </w:pPr>
      <w:rPr>
        <w:rFonts w:ascii="Tahoma" w:eastAsiaTheme="minorEastAsia" w:hAnsi="Tahoma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224FF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5"/>
  </w:num>
  <w:num w:numId="3">
    <w:abstractNumId w:val="32"/>
  </w:num>
  <w:num w:numId="4">
    <w:abstractNumId w:val="9"/>
  </w:num>
  <w:num w:numId="5">
    <w:abstractNumId w:val="35"/>
  </w:num>
  <w:num w:numId="6">
    <w:abstractNumId w:val="22"/>
  </w:num>
  <w:num w:numId="7">
    <w:abstractNumId w:val="24"/>
  </w:num>
  <w:num w:numId="8">
    <w:abstractNumId w:val="3"/>
  </w:num>
  <w:num w:numId="9">
    <w:abstractNumId w:val="6"/>
  </w:num>
  <w:num w:numId="10">
    <w:abstractNumId w:val="44"/>
  </w:num>
  <w:num w:numId="11">
    <w:abstractNumId w:val="40"/>
  </w:num>
  <w:num w:numId="12">
    <w:abstractNumId w:val="16"/>
  </w:num>
  <w:num w:numId="13">
    <w:abstractNumId w:val="23"/>
  </w:num>
  <w:num w:numId="14">
    <w:abstractNumId w:val="17"/>
  </w:num>
  <w:num w:numId="15">
    <w:abstractNumId w:val="36"/>
  </w:num>
  <w:num w:numId="16">
    <w:abstractNumId w:val="7"/>
  </w:num>
  <w:num w:numId="17">
    <w:abstractNumId w:val="39"/>
  </w:num>
  <w:num w:numId="18">
    <w:abstractNumId w:val="0"/>
  </w:num>
  <w:num w:numId="19">
    <w:abstractNumId w:val="30"/>
  </w:num>
  <w:num w:numId="20">
    <w:abstractNumId w:val="28"/>
  </w:num>
  <w:num w:numId="21">
    <w:abstractNumId w:val="46"/>
  </w:num>
  <w:num w:numId="22">
    <w:abstractNumId w:val="21"/>
  </w:num>
  <w:num w:numId="23">
    <w:abstractNumId w:val="42"/>
  </w:num>
  <w:num w:numId="24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0"/>
  </w:num>
  <w:num w:numId="26">
    <w:abstractNumId w:val="18"/>
  </w:num>
  <w:num w:numId="27">
    <w:abstractNumId w:val="37"/>
  </w:num>
  <w:num w:numId="28">
    <w:abstractNumId w:val="11"/>
  </w:num>
  <w:num w:numId="29">
    <w:abstractNumId w:val="34"/>
  </w:num>
  <w:num w:numId="30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"/>
  </w:num>
  <w:num w:numId="36">
    <w:abstractNumId w:val="5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5"/>
  </w:num>
  <w:num w:numId="41">
    <w:abstractNumId w:val="20"/>
  </w:num>
  <w:num w:numId="42">
    <w:abstractNumId w:val="12"/>
  </w:num>
  <w:num w:numId="43">
    <w:abstractNumId w:val="29"/>
  </w:num>
  <w:num w:numId="44">
    <w:abstractNumId w:val="19"/>
  </w:num>
  <w:num w:numId="45">
    <w:abstractNumId w:val="8"/>
  </w:num>
  <w:num w:numId="46">
    <w:abstractNumId w:val="14"/>
  </w:num>
  <w:num w:numId="47">
    <w:abstractNumId w:val="4"/>
  </w:num>
  <w:num w:numId="48">
    <w:abstractNumId w:val="38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26C"/>
    <w:rsid w:val="00002D74"/>
    <w:rsid w:val="000051AA"/>
    <w:rsid w:val="00015320"/>
    <w:rsid w:val="0002595A"/>
    <w:rsid w:val="000338F8"/>
    <w:rsid w:val="00034D56"/>
    <w:rsid w:val="000449A0"/>
    <w:rsid w:val="00052FBC"/>
    <w:rsid w:val="00057617"/>
    <w:rsid w:val="000679E6"/>
    <w:rsid w:val="00074965"/>
    <w:rsid w:val="00084867"/>
    <w:rsid w:val="000929B0"/>
    <w:rsid w:val="00095050"/>
    <w:rsid w:val="00097A7F"/>
    <w:rsid w:val="000A0DAD"/>
    <w:rsid w:val="000A3C1D"/>
    <w:rsid w:val="000A5AC7"/>
    <w:rsid w:val="000B500B"/>
    <w:rsid w:val="000C133E"/>
    <w:rsid w:val="000C42B4"/>
    <w:rsid w:val="000C52C6"/>
    <w:rsid w:val="000D172C"/>
    <w:rsid w:val="000F044D"/>
    <w:rsid w:val="000F1268"/>
    <w:rsid w:val="000F6143"/>
    <w:rsid w:val="0010636B"/>
    <w:rsid w:val="001208DB"/>
    <w:rsid w:val="00131CC4"/>
    <w:rsid w:val="001373D1"/>
    <w:rsid w:val="001522D5"/>
    <w:rsid w:val="001717E6"/>
    <w:rsid w:val="00191538"/>
    <w:rsid w:val="00192BAB"/>
    <w:rsid w:val="00197309"/>
    <w:rsid w:val="001B6D9A"/>
    <w:rsid w:val="001C06FB"/>
    <w:rsid w:val="001D19C1"/>
    <w:rsid w:val="001D4787"/>
    <w:rsid w:val="001F0041"/>
    <w:rsid w:val="001F71CF"/>
    <w:rsid w:val="00205C64"/>
    <w:rsid w:val="00213BD5"/>
    <w:rsid w:val="00225517"/>
    <w:rsid w:val="0023229F"/>
    <w:rsid w:val="00235689"/>
    <w:rsid w:val="00237CE9"/>
    <w:rsid w:val="0024574F"/>
    <w:rsid w:val="002523AB"/>
    <w:rsid w:val="00275BCF"/>
    <w:rsid w:val="002820BD"/>
    <w:rsid w:val="00286662"/>
    <w:rsid w:val="00294433"/>
    <w:rsid w:val="002A07D3"/>
    <w:rsid w:val="002A22BC"/>
    <w:rsid w:val="002A272E"/>
    <w:rsid w:val="002A7D8D"/>
    <w:rsid w:val="002B2F91"/>
    <w:rsid w:val="002D4BC6"/>
    <w:rsid w:val="002D591D"/>
    <w:rsid w:val="002E110F"/>
    <w:rsid w:val="002E7A9D"/>
    <w:rsid w:val="002F21DE"/>
    <w:rsid w:val="002F2AD7"/>
    <w:rsid w:val="00300875"/>
    <w:rsid w:val="003053DC"/>
    <w:rsid w:val="003068E2"/>
    <w:rsid w:val="00315060"/>
    <w:rsid w:val="00321DAC"/>
    <w:rsid w:val="00322FEE"/>
    <w:rsid w:val="00326D97"/>
    <w:rsid w:val="00337235"/>
    <w:rsid w:val="0034264D"/>
    <w:rsid w:val="0034395B"/>
    <w:rsid w:val="00347E63"/>
    <w:rsid w:val="003519D4"/>
    <w:rsid w:val="00352E5F"/>
    <w:rsid w:val="00365673"/>
    <w:rsid w:val="00375F95"/>
    <w:rsid w:val="0038174E"/>
    <w:rsid w:val="0039282A"/>
    <w:rsid w:val="003942D6"/>
    <w:rsid w:val="003A08EF"/>
    <w:rsid w:val="003A2B74"/>
    <w:rsid w:val="003B1DFB"/>
    <w:rsid w:val="003B3A56"/>
    <w:rsid w:val="003C0624"/>
    <w:rsid w:val="003D20D6"/>
    <w:rsid w:val="003F1CB9"/>
    <w:rsid w:val="003F2122"/>
    <w:rsid w:val="0040378C"/>
    <w:rsid w:val="00436A22"/>
    <w:rsid w:val="0044242A"/>
    <w:rsid w:val="004724F2"/>
    <w:rsid w:val="00480C3E"/>
    <w:rsid w:val="00481CC2"/>
    <w:rsid w:val="004946C0"/>
    <w:rsid w:val="00494714"/>
    <w:rsid w:val="00496CF1"/>
    <w:rsid w:val="00497B3F"/>
    <w:rsid w:val="004A72B8"/>
    <w:rsid w:val="004B15DB"/>
    <w:rsid w:val="004B1FEF"/>
    <w:rsid w:val="004D54E9"/>
    <w:rsid w:val="004E2F57"/>
    <w:rsid w:val="00505D33"/>
    <w:rsid w:val="0050627A"/>
    <w:rsid w:val="00507B4B"/>
    <w:rsid w:val="005143CE"/>
    <w:rsid w:val="00525769"/>
    <w:rsid w:val="0053369C"/>
    <w:rsid w:val="005365C0"/>
    <w:rsid w:val="00544254"/>
    <w:rsid w:val="005453AA"/>
    <w:rsid w:val="00547CC4"/>
    <w:rsid w:val="00563C56"/>
    <w:rsid w:val="00575710"/>
    <w:rsid w:val="00577818"/>
    <w:rsid w:val="00586245"/>
    <w:rsid w:val="00586C0F"/>
    <w:rsid w:val="0059788D"/>
    <w:rsid w:val="005A0E3B"/>
    <w:rsid w:val="005A3188"/>
    <w:rsid w:val="005A66CE"/>
    <w:rsid w:val="005B3CA8"/>
    <w:rsid w:val="005B4E95"/>
    <w:rsid w:val="005B52DC"/>
    <w:rsid w:val="005B62A5"/>
    <w:rsid w:val="005D1ED0"/>
    <w:rsid w:val="0060077D"/>
    <w:rsid w:val="00603A2B"/>
    <w:rsid w:val="00617E4A"/>
    <w:rsid w:val="00621E31"/>
    <w:rsid w:val="00634532"/>
    <w:rsid w:val="00637F5E"/>
    <w:rsid w:val="00647950"/>
    <w:rsid w:val="00647DC0"/>
    <w:rsid w:val="0065506A"/>
    <w:rsid w:val="00663D3A"/>
    <w:rsid w:val="006700AD"/>
    <w:rsid w:val="006752AF"/>
    <w:rsid w:val="0068241A"/>
    <w:rsid w:val="00684AAB"/>
    <w:rsid w:val="00696EA4"/>
    <w:rsid w:val="006A1D26"/>
    <w:rsid w:val="006A404A"/>
    <w:rsid w:val="006C0933"/>
    <w:rsid w:val="006C1580"/>
    <w:rsid w:val="006C30F5"/>
    <w:rsid w:val="006C5659"/>
    <w:rsid w:val="006D02CA"/>
    <w:rsid w:val="006E1D57"/>
    <w:rsid w:val="006F5831"/>
    <w:rsid w:val="006F717F"/>
    <w:rsid w:val="006F78AC"/>
    <w:rsid w:val="0072182E"/>
    <w:rsid w:val="00721A85"/>
    <w:rsid w:val="007266E7"/>
    <w:rsid w:val="007366AC"/>
    <w:rsid w:val="00742BD0"/>
    <w:rsid w:val="00744B63"/>
    <w:rsid w:val="007744C8"/>
    <w:rsid w:val="00775A1B"/>
    <w:rsid w:val="00781B16"/>
    <w:rsid w:val="00792ACE"/>
    <w:rsid w:val="007B36A1"/>
    <w:rsid w:val="007C01A0"/>
    <w:rsid w:val="007C3BC1"/>
    <w:rsid w:val="007D4269"/>
    <w:rsid w:val="007D7076"/>
    <w:rsid w:val="007E54A0"/>
    <w:rsid w:val="007E6A66"/>
    <w:rsid w:val="008018A1"/>
    <w:rsid w:val="0083179E"/>
    <w:rsid w:val="008347F4"/>
    <w:rsid w:val="008364AF"/>
    <w:rsid w:val="00837FCD"/>
    <w:rsid w:val="008505BB"/>
    <w:rsid w:val="0085259B"/>
    <w:rsid w:val="008575E0"/>
    <w:rsid w:val="0086053A"/>
    <w:rsid w:val="00870BAA"/>
    <w:rsid w:val="00880DF5"/>
    <w:rsid w:val="008B4BE9"/>
    <w:rsid w:val="008E1366"/>
    <w:rsid w:val="008F7E22"/>
    <w:rsid w:val="00901642"/>
    <w:rsid w:val="009205A5"/>
    <w:rsid w:val="00933F20"/>
    <w:rsid w:val="00945CDC"/>
    <w:rsid w:val="00953C3C"/>
    <w:rsid w:val="00964ABF"/>
    <w:rsid w:val="00965635"/>
    <w:rsid w:val="00975FB1"/>
    <w:rsid w:val="009814CE"/>
    <w:rsid w:val="0098332C"/>
    <w:rsid w:val="00986430"/>
    <w:rsid w:val="00992085"/>
    <w:rsid w:val="009A0E0C"/>
    <w:rsid w:val="009A7B90"/>
    <w:rsid w:val="009B4D95"/>
    <w:rsid w:val="009C4C4B"/>
    <w:rsid w:val="009D3B19"/>
    <w:rsid w:val="009D40D6"/>
    <w:rsid w:val="009E11D4"/>
    <w:rsid w:val="009E6BC5"/>
    <w:rsid w:val="009F0781"/>
    <w:rsid w:val="009F290C"/>
    <w:rsid w:val="009F6116"/>
    <w:rsid w:val="00A04ED3"/>
    <w:rsid w:val="00A06C53"/>
    <w:rsid w:val="00A10951"/>
    <w:rsid w:val="00A536CA"/>
    <w:rsid w:val="00A563FD"/>
    <w:rsid w:val="00A76580"/>
    <w:rsid w:val="00A96D22"/>
    <w:rsid w:val="00AB525E"/>
    <w:rsid w:val="00AC45FE"/>
    <w:rsid w:val="00AC501D"/>
    <w:rsid w:val="00AD042A"/>
    <w:rsid w:val="00AD0BAD"/>
    <w:rsid w:val="00AD2712"/>
    <w:rsid w:val="00AE0935"/>
    <w:rsid w:val="00AE0AD2"/>
    <w:rsid w:val="00B17021"/>
    <w:rsid w:val="00B173F0"/>
    <w:rsid w:val="00B23F2F"/>
    <w:rsid w:val="00B24F2E"/>
    <w:rsid w:val="00B2521E"/>
    <w:rsid w:val="00B40D8C"/>
    <w:rsid w:val="00B4107D"/>
    <w:rsid w:val="00B43B0A"/>
    <w:rsid w:val="00B44026"/>
    <w:rsid w:val="00B4539E"/>
    <w:rsid w:val="00B47935"/>
    <w:rsid w:val="00B529F3"/>
    <w:rsid w:val="00B62292"/>
    <w:rsid w:val="00B75E27"/>
    <w:rsid w:val="00B84DC9"/>
    <w:rsid w:val="00B868FF"/>
    <w:rsid w:val="00B95EBE"/>
    <w:rsid w:val="00BA417F"/>
    <w:rsid w:val="00BB3D46"/>
    <w:rsid w:val="00BC3E83"/>
    <w:rsid w:val="00BD49EF"/>
    <w:rsid w:val="00BD6DD4"/>
    <w:rsid w:val="00BE0912"/>
    <w:rsid w:val="00BF0651"/>
    <w:rsid w:val="00BF0B6F"/>
    <w:rsid w:val="00C0087B"/>
    <w:rsid w:val="00C01424"/>
    <w:rsid w:val="00C21A6A"/>
    <w:rsid w:val="00C22993"/>
    <w:rsid w:val="00C37901"/>
    <w:rsid w:val="00C41C3E"/>
    <w:rsid w:val="00C42C51"/>
    <w:rsid w:val="00C43D03"/>
    <w:rsid w:val="00C5020A"/>
    <w:rsid w:val="00C57E4A"/>
    <w:rsid w:val="00C71F90"/>
    <w:rsid w:val="00C73BB8"/>
    <w:rsid w:val="00C839B1"/>
    <w:rsid w:val="00C901A3"/>
    <w:rsid w:val="00CB0C01"/>
    <w:rsid w:val="00CB4D4D"/>
    <w:rsid w:val="00CC3231"/>
    <w:rsid w:val="00CC5FE1"/>
    <w:rsid w:val="00CE063D"/>
    <w:rsid w:val="00CE1FD0"/>
    <w:rsid w:val="00CE3E1F"/>
    <w:rsid w:val="00CF08B7"/>
    <w:rsid w:val="00D04F9A"/>
    <w:rsid w:val="00D111C1"/>
    <w:rsid w:val="00D17D43"/>
    <w:rsid w:val="00D2693B"/>
    <w:rsid w:val="00D35EBE"/>
    <w:rsid w:val="00D477D4"/>
    <w:rsid w:val="00D51FB1"/>
    <w:rsid w:val="00D540A1"/>
    <w:rsid w:val="00D6223E"/>
    <w:rsid w:val="00D63402"/>
    <w:rsid w:val="00D65681"/>
    <w:rsid w:val="00D718D8"/>
    <w:rsid w:val="00D86E5E"/>
    <w:rsid w:val="00D9560E"/>
    <w:rsid w:val="00DA3AF3"/>
    <w:rsid w:val="00DA659B"/>
    <w:rsid w:val="00DB3B16"/>
    <w:rsid w:val="00DB660D"/>
    <w:rsid w:val="00DC04B5"/>
    <w:rsid w:val="00DC711B"/>
    <w:rsid w:val="00DD183C"/>
    <w:rsid w:val="00DD2E32"/>
    <w:rsid w:val="00DD3489"/>
    <w:rsid w:val="00DD7BD1"/>
    <w:rsid w:val="00DE361F"/>
    <w:rsid w:val="00E00750"/>
    <w:rsid w:val="00E03EDA"/>
    <w:rsid w:val="00E05DAA"/>
    <w:rsid w:val="00E07330"/>
    <w:rsid w:val="00E077D8"/>
    <w:rsid w:val="00E16F32"/>
    <w:rsid w:val="00E17E69"/>
    <w:rsid w:val="00E23581"/>
    <w:rsid w:val="00E260EE"/>
    <w:rsid w:val="00E32D38"/>
    <w:rsid w:val="00E61655"/>
    <w:rsid w:val="00E647A2"/>
    <w:rsid w:val="00E651F1"/>
    <w:rsid w:val="00E763C2"/>
    <w:rsid w:val="00E84F02"/>
    <w:rsid w:val="00E87C8B"/>
    <w:rsid w:val="00E90321"/>
    <w:rsid w:val="00E919EC"/>
    <w:rsid w:val="00E93606"/>
    <w:rsid w:val="00E96F4A"/>
    <w:rsid w:val="00EB7344"/>
    <w:rsid w:val="00EC2F9B"/>
    <w:rsid w:val="00EC6CD0"/>
    <w:rsid w:val="00EC7837"/>
    <w:rsid w:val="00ED0041"/>
    <w:rsid w:val="00ED7A86"/>
    <w:rsid w:val="00EE6EB6"/>
    <w:rsid w:val="00F02348"/>
    <w:rsid w:val="00F052BE"/>
    <w:rsid w:val="00F13F8A"/>
    <w:rsid w:val="00F34352"/>
    <w:rsid w:val="00F34D04"/>
    <w:rsid w:val="00F36609"/>
    <w:rsid w:val="00F41452"/>
    <w:rsid w:val="00F44CA2"/>
    <w:rsid w:val="00F46747"/>
    <w:rsid w:val="00F542A0"/>
    <w:rsid w:val="00F61D03"/>
    <w:rsid w:val="00F67C04"/>
    <w:rsid w:val="00F71111"/>
    <w:rsid w:val="00F817AA"/>
    <w:rsid w:val="00F866F8"/>
    <w:rsid w:val="00F90438"/>
    <w:rsid w:val="00F92B94"/>
    <w:rsid w:val="00FA0F12"/>
    <w:rsid w:val="00FC0A08"/>
    <w:rsid w:val="00FC41BF"/>
    <w:rsid w:val="00FD4752"/>
    <w:rsid w:val="00FE0E22"/>
    <w:rsid w:val="00FE65D9"/>
    <w:rsid w:val="00FE6EA1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CAA16-29F1-45EB-A556-6985C3B4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7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72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2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B8"/>
    <w:rPr>
      <w:b/>
      <w:bCs/>
    </w:rPr>
  </w:style>
  <w:style w:type="paragraph" w:styleId="Podtitul">
    <w:name w:val="Subtitle"/>
    <w:basedOn w:val="Normln"/>
    <w:link w:val="PodtitulChar"/>
    <w:qFormat/>
    <w:rsid w:val="009814CE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9814CE"/>
    <w:rPr>
      <w:b/>
      <w:bCs/>
      <w:sz w:val="32"/>
      <w:szCs w:val="32"/>
    </w:rPr>
  </w:style>
  <w:style w:type="paragraph" w:styleId="Zhlav">
    <w:name w:val="header"/>
    <w:basedOn w:val="Normln"/>
    <w:link w:val="ZhlavChar"/>
    <w:semiHidden/>
    <w:unhideWhenUsed/>
    <w:rsid w:val="007D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D70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D2B9A-A39D-4652-AF25-84EF20DB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10083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Holková Lenka</cp:lastModifiedBy>
  <cp:revision>2</cp:revision>
  <cp:lastPrinted>2007-03-01T13:36:00Z</cp:lastPrinted>
  <dcterms:created xsi:type="dcterms:W3CDTF">2016-08-25T09:20:00Z</dcterms:created>
  <dcterms:modified xsi:type="dcterms:W3CDTF">2016-08-25T09:20:00Z</dcterms:modified>
</cp:coreProperties>
</file>