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E71D" w14:textId="77777777" w:rsidR="006C252D" w:rsidRDefault="006C252D">
      <w:pPr>
        <w:rPr>
          <w:rFonts w:ascii="Segoe UI" w:hAnsi="Segoe UI" w:cs="Segoe UI"/>
          <w:b/>
          <w:color w:val="000000" w:themeColor="text1"/>
          <w:sz w:val="32"/>
          <w:szCs w:val="32"/>
        </w:rPr>
      </w:pPr>
    </w:p>
    <w:p w14:paraId="490A40BE" w14:textId="14142D18" w:rsidR="00AD041B" w:rsidRDefault="00186F60">
      <w:pPr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Časový plán </w:t>
      </w:r>
      <w:r w:rsidR="00A24A57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Moravskoslezského kraje </w:t>
      </w:r>
      <w:r w:rsidR="008C6497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pro </w:t>
      </w:r>
      <w:r w:rsidR="00A24A57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provádění </w:t>
      </w:r>
      <w:r>
        <w:rPr>
          <w:rFonts w:ascii="Segoe UI" w:hAnsi="Segoe UI" w:cs="Segoe UI"/>
          <w:b/>
          <w:color w:val="000000" w:themeColor="text1"/>
          <w:sz w:val="32"/>
          <w:szCs w:val="32"/>
        </w:rPr>
        <w:t>opatření uvedených v</w:t>
      </w:r>
      <w:r w:rsidR="00186D38">
        <w:rPr>
          <w:rFonts w:ascii="Segoe UI" w:hAnsi="Segoe UI" w:cs="Segoe UI"/>
          <w:b/>
          <w:color w:val="000000" w:themeColor="text1"/>
          <w:sz w:val="32"/>
          <w:szCs w:val="32"/>
        </w:rPr>
        <w:t> </w:t>
      </w:r>
      <w:r w:rsidR="00A24A57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Programu </w:t>
      </w:r>
      <w:r w:rsidR="00186D38">
        <w:rPr>
          <w:rFonts w:ascii="Segoe UI" w:hAnsi="Segoe UI" w:cs="Segoe UI"/>
          <w:b/>
          <w:color w:val="000000" w:themeColor="text1"/>
          <w:sz w:val="32"/>
          <w:szCs w:val="32"/>
        </w:rPr>
        <w:t>zlepš</w:t>
      </w:r>
      <w:r w:rsidR="00C467C0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ování </w:t>
      </w:r>
      <w:r w:rsidR="00186D38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kvality ovzduší </w:t>
      </w:r>
      <w:r>
        <w:rPr>
          <w:rFonts w:ascii="Segoe UI" w:hAnsi="Segoe UI" w:cs="Segoe UI"/>
          <w:b/>
          <w:color w:val="000000" w:themeColor="text1"/>
          <w:sz w:val="32"/>
          <w:szCs w:val="32"/>
        </w:rPr>
        <w:t xml:space="preserve">aglomerace </w:t>
      </w:r>
      <w:r w:rsidRPr="007D7AB2">
        <w:rPr>
          <w:rFonts w:ascii="Segoe UI" w:hAnsi="Segoe UI" w:cs="Segoe UI"/>
          <w:b/>
          <w:color w:val="000000" w:themeColor="text1"/>
          <w:sz w:val="32"/>
          <w:szCs w:val="32"/>
        </w:rPr>
        <w:t>Ostrava/Karviná/Frýdek-Místek –</w:t>
      </w:r>
      <w:r w:rsidR="006F7FE8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</w:t>
      </w:r>
      <w:r w:rsidRPr="007D7AB2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CZ08A: Aktualizace 2020 a v </w:t>
      </w:r>
      <w:r w:rsidR="00A24A57">
        <w:rPr>
          <w:rFonts w:ascii="Segoe UI" w:hAnsi="Segoe UI" w:cs="Segoe UI"/>
          <w:b/>
          <w:color w:val="000000" w:themeColor="text1"/>
          <w:sz w:val="32"/>
          <w:szCs w:val="32"/>
        </w:rPr>
        <w:t>Programu zlepš</w:t>
      </w:r>
      <w:r w:rsidR="00464CEB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ování </w:t>
      </w:r>
      <w:bookmarkStart w:id="0" w:name="_GoBack"/>
      <w:bookmarkEnd w:id="0"/>
      <w:r w:rsidR="00A24A57">
        <w:rPr>
          <w:rFonts w:ascii="Segoe UI" w:hAnsi="Segoe UI" w:cs="Segoe UI"/>
          <w:b/>
          <w:color w:val="000000" w:themeColor="text1"/>
          <w:sz w:val="32"/>
          <w:szCs w:val="32"/>
        </w:rPr>
        <w:t>kvality ovzduší</w:t>
      </w:r>
      <w:r w:rsidRPr="007D7AB2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zóna Moravskoslezsko –</w:t>
      </w:r>
      <w:r w:rsidR="006F7FE8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 </w:t>
      </w:r>
      <w:r w:rsidRPr="007D7AB2">
        <w:rPr>
          <w:rFonts w:ascii="Segoe UI" w:hAnsi="Segoe UI" w:cs="Segoe UI"/>
          <w:b/>
          <w:color w:val="000000" w:themeColor="text1"/>
          <w:sz w:val="32"/>
          <w:szCs w:val="32"/>
        </w:rPr>
        <w:t>CZ08Z: Aktualizace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137"/>
        <w:gridCol w:w="1548"/>
        <w:gridCol w:w="2410"/>
        <w:gridCol w:w="6234"/>
        <w:gridCol w:w="2696"/>
        <w:gridCol w:w="1842"/>
        <w:gridCol w:w="2145"/>
      </w:tblGrid>
      <w:tr w:rsidR="00AD041B" w14:paraId="77C9E93F" w14:textId="77777777" w:rsidTr="005837C0">
        <w:trPr>
          <w:trHeight w:val="598"/>
          <w:tblHeader/>
        </w:trPr>
        <w:tc>
          <w:tcPr>
            <w:tcW w:w="346" w:type="pct"/>
            <w:vMerge w:val="restart"/>
            <w:shd w:val="clear" w:color="auto" w:fill="D6E3BC"/>
            <w:vAlign w:val="center"/>
          </w:tcPr>
          <w:p w14:paraId="45E8371D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Kód opatření dle PZKO</w:t>
            </w:r>
            <w:r>
              <w:rPr>
                <w:rStyle w:val="Znakapoznpodarou"/>
                <w:rFonts w:cs="Segoe UI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523" w:type="pct"/>
            <w:vMerge w:val="restart"/>
            <w:shd w:val="clear" w:color="auto" w:fill="D6E3BC"/>
            <w:vAlign w:val="center"/>
          </w:tcPr>
          <w:p w14:paraId="78971EFC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Název opatření dle PZKO</w:t>
            </w:r>
          </w:p>
        </w:tc>
        <w:tc>
          <w:tcPr>
            <w:tcW w:w="379" w:type="pct"/>
            <w:vMerge w:val="restart"/>
            <w:shd w:val="clear" w:color="auto" w:fill="D6E3BC"/>
            <w:vAlign w:val="center"/>
          </w:tcPr>
          <w:p w14:paraId="588CA660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Gesce dle PZKO</w:t>
            </w:r>
          </w:p>
        </w:tc>
        <w:tc>
          <w:tcPr>
            <w:tcW w:w="2776" w:type="pct"/>
            <w:gridSpan w:val="3"/>
            <w:shd w:val="clear" w:color="auto" w:fill="D6E3BC"/>
            <w:vAlign w:val="center"/>
          </w:tcPr>
          <w:p w14:paraId="26D7A26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Způsob naplnění opatření</w:t>
            </w:r>
          </w:p>
        </w:tc>
        <w:tc>
          <w:tcPr>
            <w:tcW w:w="451" w:type="pct"/>
            <w:vMerge w:val="restart"/>
            <w:shd w:val="clear" w:color="auto" w:fill="D6E3BC"/>
            <w:vAlign w:val="center"/>
          </w:tcPr>
          <w:p w14:paraId="397DB749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Náklady, zdroje financování</w:t>
            </w:r>
          </w:p>
        </w:tc>
        <w:tc>
          <w:tcPr>
            <w:tcW w:w="525" w:type="pct"/>
            <w:vMerge w:val="restart"/>
            <w:shd w:val="clear" w:color="auto" w:fill="D6E3BC"/>
            <w:vAlign w:val="center"/>
          </w:tcPr>
          <w:p w14:paraId="26ED47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Termín splnění</w:t>
            </w:r>
          </w:p>
        </w:tc>
      </w:tr>
      <w:tr w:rsidR="00AD041B" w14:paraId="28E464A2" w14:textId="77777777" w:rsidTr="005837C0">
        <w:trPr>
          <w:trHeight w:val="597"/>
          <w:tblHeader/>
        </w:trPr>
        <w:tc>
          <w:tcPr>
            <w:tcW w:w="346" w:type="pct"/>
            <w:vMerge/>
            <w:shd w:val="clear" w:color="auto" w:fill="auto"/>
          </w:tcPr>
          <w:p w14:paraId="180607B5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D6E3BC"/>
          </w:tcPr>
          <w:p w14:paraId="3A625AEF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D6E3BC"/>
          </w:tcPr>
          <w:p w14:paraId="6A4754CB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shd w:val="clear" w:color="auto" w:fill="D6E3BC"/>
            <w:vAlign w:val="center"/>
          </w:tcPr>
          <w:p w14:paraId="4D8CE502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Aktivita</w:t>
            </w:r>
          </w:p>
        </w:tc>
        <w:tc>
          <w:tcPr>
            <w:tcW w:w="1526" w:type="pct"/>
            <w:shd w:val="clear" w:color="auto" w:fill="D6E3BC"/>
            <w:vAlign w:val="center"/>
          </w:tcPr>
          <w:p w14:paraId="313A61D5" w14:textId="77777777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Dílčí kroky</w:t>
            </w:r>
          </w:p>
        </w:tc>
        <w:tc>
          <w:tcPr>
            <w:tcW w:w="660" w:type="pct"/>
            <w:shd w:val="clear" w:color="auto" w:fill="D6E3BC"/>
            <w:vAlign w:val="center"/>
          </w:tcPr>
          <w:p w14:paraId="27C7F5A2" w14:textId="42F44364" w:rsidR="00AD041B" w:rsidRDefault="003616F6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 w:themeColor="text1"/>
                <w:sz w:val="18"/>
                <w:szCs w:val="18"/>
              </w:rPr>
              <w:t>Interní gesce</w:t>
            </w:r>
          </w:p>
        </w:tc>
        <w:tc>
          <w:tcPr>
            <w:tcW w:w="451" w:type="pct"/>
            <w:vMerge/>
            <w:shd w:val="clear" w:color="auto" w:fill="auto"/>
          </w:tcPr>
          <w:p w14:paraId="3D2705BE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14:paraId="1D142537" w14:textId="77777777" w:rsidR="00AD041B" w:rsidRDefault="00AD041B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</w:tr>
      <w:tr w:rsidR="003F3773" w14:paraId="724CF079" w14:textId="77777777" w:rsidTr="006F2BE3">
        <w:trPr>
          <w:trHeight w:val="2939"/>
        </w:trPr>
        <w:tc>
          <w:tcPr>
            <w:tcW w:w="346" w:type="pct"/>
            <w:vMerge w:val="restart"/>
            <w:shd w:val="clear" w:color="auto" w:fill="auto"/>
          </w:tcPr>
          <w:p w14:paraId="69082AC2" w14:textId="77777777" w:rsidR="003F3773" w:rsidRPr="00507746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>PZKO_2020_1</w:t>
            </w:r>
          </w:p>
          <w:p w14:paraId="795D4251" w14:textId="15B0BF3E" w:rsidR="003F3773" w:rsidRPr="00507746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/>
                <w:sz w:val="18"/>
                <w:szCs w:val="18"/>
              </w:rPr>
            </w:pPr>
          </w:p>
          <w:p w14:paraId="67583F86" w14:textId="4039F51E" w:rsidR="003F3773" w:rsidRPr="00507746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 w:val="restart"/>
            <w:shd w:val="clear" w:color="auto" w:fill="auto"/>
          </w:tcPr>
          <w:p w14:paraId="3F89E9DF" w14:textId="0F7CDD0A" w:rsidR="003F3773" w:rsidRDefault="003F3773" w:rsidP="00114257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2D46D3">
              <w:rPr>
                <w:rFonts w:cs="Segoe UI"/>
                <w:b/>
                <w:color w:val="000000"/>
                <w:sz w:val="18"/>
                <w:szCs w:val="18"/>
              </w:rPr>
              <w:t>Účinná kontrola plnění požadavků kladených na provozovatele spalovacích zdrojů zákonem o ochraně ovzduší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28DDE2F6" w14:textId="1070DBBE" w:rsidR="003F3773" w:rsidRPr="00507746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07746">
              <w:rPr>
                <w:rFonts w:cs="Segoe UI"/>
                <w:b/>
                <w:bCs/>
                <w:iCs/>
                <w:color w:val="000000" w:themeColor="text1"/>
                <w:sz w:val="18"/>
                <w:szCs w:val="18"/>
              </w:rPr>
              <w:t xml:space="preserve">Moravskoslezský kraj </w:t>
            </w:r>
          </w:p>
        </w:tc>
        <w:tc>
          <w:tcPr>
            <w:tcW w:w="590" w:type="pct"/>
            <w:vMerge w:val="restart"/>
            <w:shd w:val="clear" w:color="auto" w:fill="auto"/>
          </w:tcPr>
          <w:p w14:paraId="7849B574" w14:textId="2FCA2766" w:rsidR="003F3773" w:rsidRPr="0065771D" w:rsidRDefault="003F3773" w:rsidP="00186F60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 w:rsidRPr="0065771D">
              <w:rPr>
                <w:b/>
                <w:sz w:val="18"/>
                <w:szCs w:val="18"/>
                <w:lang w:eastAsia="cs-CZ"/>
              </w:rPr>
              <w:t xml:space="preserve">Finanční podpora </w:t>
            </w:r>
          </w:p>
          <w:p w14:paraId="3EC311BC" w14:textId="77777777" w:rsidR="003F3773" w:rsidRPr="0065771D" w:rsidRDefault="003F3773" w:rsidP="00186F60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  <w:p w14:paraId="0A2810AA" w14:textId="2F37F899" w:rsidR="003F377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 w:rsidRPr="0065771D">
              <w:rPr>
                <w:b/>
                <w:sz w:val="18"/>
                <w:szCs w:val="18"/>
                <w:lang w:eastAsia="cs-CZ"/>
              </w:rPr>
              <w:t>P</w:t>
            </w:r>
            <w:r w:rsidR="00BA2CA5">
              <w:rPr>
                <w:b/>
                <w:sz w:val="18"/>
                <w:szCs w:val="18"/>
                <w:lang w:eastAsia="cs-CZ"/>
              </w:rPr>
              <w:t xml:space="preserve">rověření </w:t>
            </w:r>
            <w:r w:rsidR="004B6A7C">
              <w:rPr>
                <w:b/>
                <w:sz w:val="18"/>
                <w:szCs w:val="18"/>
                <w:lang w:eastAsia="cs-CZ"/>
              </w:rPr>
              <w:t xml:space="preserve">možnosti </w:t>
            </w:r>
            <w:r w:rsidR="00BA2CA5" w:rsidRPr="005837C0">
              <w:rPr>
                <w:b/>
                <w:sz w:val="18"/>
                <w:szCs w:val="18"/>
                <w:lang w:eastAsia="cs-CZ"/>
              </w:rPr>
              <w:t>p</w:t>
            </w:r>
            <w:r w:rsidRPr="005837C0">
              <w:rPr>
                <w:b/>
                <w:sz w:val="18"/>
                <w:szCs w:val="18"/>
                <w:lang w:eastAsia="cs-CZ"/>
              </w:rPr>
              <w:t>oskytov</w:t>
            </w:r>
            <w:r w:rsidR="005F1717" w:rsidRPr="005837C0">
              <w:rPr>
                <w:b/>
                <w:sz w:val="18"/>
                <w:szCs w:val="18"/>
                <w:lang w:eastAsia="cs-CZ"/>
              </w:rPr>
              <w:t>ání</w:t>
            </w:r>
            <w:r w:rsidRPr="005837C0">
              <w:rPr>
                <w:b/>
                <w:sz w:val="18"/>
                <w:szCs w:val="18"/>
                <w:lang w:eastAsia="cs-CZ"/>
              </w:rPr>
              <w:t xml:space="preserve"> finanční podpor</w:t>
            </w:r>
            <w:r w:rsidR="005F1717" w:rsidRPr="005837C0">
              <w:rPr>
                <w:b/>
                <w:sz w:val="18"/>
                <w:szCs w:val="18"/>
                <w:lang w:eastAsia="cs-CZ"/>
              </w:rPr>
              <w:t>y</w:t>
            </w:r>
            <w:r w:rsidRPr="0065771D">
              <w:rPr>
                <w:b/>
                <w:sz w:val="18"/>
                <w:szCs w:val="18"/>
                <w:lang w:eastAsia="cs-CZ"/>
              </w:rPr>
              <w:t xml:space="preserve"> formou dotací či nízkoúročených nebo bezúročných půjček ze svých finančních zdrojů k motivaci instalace akumulačních nádrží</w:t>
            </w:r>
            <w:r>
              <w:rPr>
                <w:b/>
                <w:sz w:val="18"/>
                <w:szCs w:val="18"/>
                <w:lang w:eastAsia="cs-CZ"/>
              </w:rPr>
              <w:t xml:space="preserve"> </w:t>
            </w:r>
          </w:p>
          <w:p w14:paraId="6358ADC3" w14:textId="54AAD1D4" w:rsidR="003F3773" w:rsidRPr="00943DD6" w:rsidRDefault="003F3773" w:rsidP="00186F60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526" w:type="pct"/>
            <w:shd w:val="clear" w:color="auto" w:fill="auto"/>
          </w:tcPr>
          <w:p w14:paraId="14767EB3" w14:textId="77777777" w:rsidR="003F377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Analýza situace v </w:t>
            </w:r>
            <w:r>
              <w:rPr>
                <w:rFonts w:cs="Segoe UI"/>
                <w:b/>
                <w:color w:val="000000"/>
                <w:sz w:val="18"/>
                <w:szCs w:val="18"/>
              </w:rPr>
              <w:t>kraji</w:t>
            </w: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 xml:space="preserve"> </w:t>
            </w:r>
          </w:p>
          <w:p w14:paraId="0782FADE" w14:textId="30D02504" w:rsidR="004B6A7C" w:rsidRDefault="003F3773" w:rsidP="00A24E46">
            <w:pPr>
              <w:pStyle w:val="Bezmezer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S o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>hledem na současnou situaci s pandemií COVID a snižující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>ch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 xml:space="preserve"> se 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>příjmů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 xml:space="preserve"> do rozpočtů krajů, rovněž na vysokou finanční náročnost nového dotačního programu na rozpočet kraje, včetně administrativní náročnosti, </w:t>
            </w:r>
            <w:r w:rsidR="004B6A7C">
              <w:rPr>
                <w:rFonts w:cs="Segoe UI"/>
                <w:color w:val="000000"/>
                <w:sz w:val="18"/>
                <w:szCs w:val="18"/>
              </w:rPr>
              <w:t xml:space="preserve">nebude 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>nový dotační program vyhlašov</w:t>
            </w:r>
            <w:r w:rsidR="004B6A7C">
              <w:rPr>
                <w:rFonts w:cs="Segoe UI"/>
                <w:color w:val="000000"/>
                <w:sz w:val="18"/>
                <w:szCs w:val="18"/>
              </w:rPr>
              <w:t>án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 xml:space="preserve">. </w:t>
            </w:r>
          </w:p>
          <w:p w14:paraId="38CBEE8C" w14:textId="54FCF655" w:rsidR="00BA2CA5" w:rsidRDefault="003F3773" w:rsidP="00A24E46">
            <w:pPr>
              <w:pStyle w:val="Bezmezer"/>
              <w:rPr>
                <w:rFonts w:cs="Segoe UI"/>
                <w:color w:val="000000"/>
                <w:sz w:val="18"/>
                <w:szCs w:val="18"/>
              </w:rPr>
            </w:pPr>
            <w:r w:rsidRPr="00A24E46">
              <w:rPr>
                <w:rFonts w:cs="Segoe UI"/>
                <w:color w:val="000000"/>
                <w:sz w:val="18"/>
                <w:szCs w:val="18"/>
              </w:rPr>
              <w:t>Níže uvádíme orientační náklady na nový dotační program. Pokud bychom uvažovali jen s cca 10 tis. žádostmi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(v kraji je dle ČSÚ cca </w:t>
            </w:r>
            <w:r w:rsidRPr="007B7D04">
              <w:rPr>
                <w:rFonts w:cs="Segoe UI"/>
                <w:color w:val="000000"/>
                <w:sz w:val="18"/>
                <w:szCs w:val="18"/>
              </w:rPr>
              <w:t>107 tis. domácností, které využívající k vytápění tuhá paliva v kombinaci s biomasou, nebo zemním plynem, nebo elektřinou nebo jiným obnovitelným zdrojem energie</w:t>
            </w:r>
            <w:r>
              <w:rPr>
                <w:rFonts w:cs="Segoe UI"/>
                <w:color w:val="000000"/>
                <w:sz w:val="18"/>
                <w:szCs w:val="18"/>
              </w:rPr>
              <w:t>)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 xml:space="preserve">, pak celková alokace z rozpočtu kraje na nový dotační program by se pohybovala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min. 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>ve výši 500 mil. Kč</w:t>
            </w:r>
            <w:r w:rsidR="008327CD">
              <w:rPr>
                <w:rFonts w:cs="Segoe UI"/>
                <w:color w:val="000000"/>
                <w:sz w:val="18"/>
                <w:szCs w:val="18"/>
              </w:rPr>
              <w:t>, spíše až 1 mld. Kč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>.</w:t>
            </w:r>
          </w:p>
          <w:p w14:paraId="735F5C64" w14:textId="5B2F66D5" w:rsidR="003F3773" w:rsidRPr="00A24E46" w:rsidRDefault="00BA2CA5" w:rsidP="00A24E46">
            <w:pPr>
              <w:pStyle w:val="Bezmezer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Aby byl dotační program úspěšný a pro potencionální žadatele motivační, musela by finanční podpora dosahovat minimálně 80</w:t>
            </w:r>
            <w:r w:rsidR="00A4449A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egoe UI"/>
                <w:color w:val="000000"/>
                <w:sz w:val="18"/>
                <w:szCs w:val="18"/>
              </w:rPr>
              <w:t>% nákladů na dodatečnou instalaci akumulačních nádob:</w:t>
            </w:r>
            <w:r w:rsidR="003F3773" w:rsidRPr="00A24E46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  <w:p w14:paraId="2C684FE1" w14:textId="5B6F5517" w:rsidR="003F3773" w:rsidRPr="00A24E46" w:rsidRDefault="003F3773" w:rsidP="00A24E46">
            <w:pPr>
              <w:pStyle w:val="Bezmezer"/>
              <w:numPr>
                <w:ilvl w:val="0"/>
                <w:numId w:val="10"/>
              </w:numPr>
              <w:rPr>
                <w:rFonts w:cs="Segoe UI"/>
                <w:color w:val="000000"/>
                <w:sz w:val="18"/>
                <w:szCs w:val="18"/>
              </w:rPr>
            </w:pPr>
            <w:r w:rsidRPr="00A24E46">
              <w:rPr>
                <w:rFonts w:cs="Segoe UI"/>
                <w:color w:val="000000"/>
                <w:sz w:val="18"/>
                <w:szCs w:val="18"/>
              </w:rPr>
              <w:t>akumulační nádoba, včetně instalace: cca 30 tis. Kč</w:t>
            </w:r>
          </w:p>
          <w:p w14:paraId="38CD45C7" w14:textId="391EC6F4" w:rsidR="003F3773" w:rsidRPr="00A24E46" w:rsidRDefault="003F3773" w:rsidP="00A24E46">
            <w:pPr>
              <w:pStyle w:val="Bezmezer"/>
              <w:numPr>
                <w:ilvl w:val="0"/>
                <w:numId w:val="10"/>
              </w:numPr>
              <w:rPr>
                <w:rFonts w:cs="Segoe UI"/>
                <w:color w:val="000000"/>
                <w:sz w:val="18"/>
                <w:szCs w:val="18"/>
              </w:rPr>
            </w:pPr>
            <w:r w:rsidRPr="00A24E46">
              <w:rPr>
                <w:rFonts w:cs="Segoe UI"/>
                <w:color w:val="000000"/>
                <w:sz w:val="18"/>
                <w:szCs w:val="18"/>
              </w:rPr>
              <w:t>propojení akumulační nádoby, kotle a otopné soustavy: cca 10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až 60 </w:t>
            </w:r>
            <w:r w:rsidRPr="00A24E46">
              <w:rPr>
                <w:rFonts w:cs="Segoe UI"/>
                <w:color w:val="000000"/>
                <w:sz w:val="18"/>
                <w:szCs w:val="18"/>
              </w:rPr>
              <w:t>tis Kč</w:t>
            </w:r>
          </w:p>
          <w:p w14:paraId="5C0F0D18" w14:textId="51D36F55" w:rsidR="00BA2CA5" w:rsidRPr="00BA2CA5" w:rsidRDefault="003F3773" w:rsidP="00BA2CA5">
            <w:pPr>
              <w:pStyle w:val="Bezmezer"/>
              <w:numPr>
                <w:ilvl w:val="0"/>
                <w:numId w:val="10"/>
              </w:numPr>
              <w:rPr>
                <w:rFonts w:cs="Segoe UI"/>
                <w:color w:val="000000"/>
                <w:sz w:val="18"/>
                <w:szCs w:val="18"/>
              </w:rPr>
            </w:pPr>
            <w:r w:rsidRPr="00A24E46">
              <w:rPr>
                <w:rFonts w:cs="Segoe UI"/>
                <w:color w:val="000000"/>
                <w:sz w:val="18"/>
                <w:szCs w:val="18"/>
              </w:rPr>
              <w:t>měření emisí na výduchu z kotle k ověření emisních limitů: cca 10 tis. Kč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0" w:type="pct"/>
            <w:shd w:val="clear" w:color="auto" w:fill="auto"/>
          </w:tcPr>
          <w:p w14:paraId="646622EC" w14:textId="337C73FD" w:rsidR="003F377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  <w:r w:rsidR="00CF5B42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a zemědělství </w:t>
            </w:r>
          </w:p>
          <w:p w14:paraId="48764A34" w14:textId="77777777" w:rsidR="003F3773" w:rsidRPr="004775D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14:paraId="7D0989B9" w14:textId="7DBD032F" w:rsidR="003F3773" w:rsidRPr="004775D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71F5806E" w14:textId="61AF24E8" w:rsidR="003F3773" w:rsidRPr="004775D3" w:rsidRDefault="003F3773" w:rsidP="00186F60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3F3773" w14:paraId="70CB5C6D" w14:textId="77777777" w:rsidTr="003B5AD3">
        <w:trPr>
          <w:trHeight w:val="1179"/>
        </w:trPr>
        <w:tc>
          <w:tcPr>
            <w:tcW w:w="346" w:type="pct"/>
            <w:vMerge/>
            <w:shd w:val="clear" w:color="auto" w:fill="auto"/>
          </w:tcPr>
          <w:p w14:paraId="42685E0E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38ED104F" w14:textId="77777777" w:rsidR="003F3773" w:rsidRPr="002D46D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9977CA4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43958688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07EB051B" w14:textId="77777777" w:rsidR="003F3773" w:rsidRPr="0049679D" w:rsidRDefault="003F3773" w:rsidP="003B5AD3">
            <w:pPr>
              <w:pStyle w:val="Bezmezer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49679D">
              <w:rPr>
                <w:rFonts w:cs="Segoe UI"/>
                <w:b/>
                <w:bCs/>
                <w:color w:val="000000"/>
                <w:sz w:val="18"/>
                <w:szCs w:val="18"/>
              </w:rPr>
              <w:t xml:space="preserve">Identifikace možných finančních prostředků </w:t>
            </w:r>
          </w:p>
          <w:p w14:paraId="5A56D90F" w14:textId="3C28D0A9" w:rsidR="003F3773" w:rsidRPr="00085DD5" w:rsidRDefault="00A4449A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 xml:space="preserve">Celková alokace dotačního programu by musela dosahovat </w:t>
            </w:r>
            <w:r w:rsidR="003F3773" w:rsidRPr="005837C0">
              <w:rPr>
                <w:rFonts w:cs="Segoe UI"/>
                <w:color w:val="000000"/>
                <w:sz w:val="18"/>
                <w:szCs w:val="18"/>
              </w:rPr>
              <w:t xml:space="preserve">výše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0,5 - </w:t>
            </w:r>
            <w:r w:rsidR="003F3773" w:rsidRPr="005837C0">
              <w:rPr>
                <w:rFonts w:cs="Segoe UI"/>
                <w:color w:val="000000"/>
                <w:sz w:val="18"/>
                <w:szCs w:val="18"/>
              </w:rPr>
              <w:t>1 mld. Kč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egoe UI"/>
                <w:color w:val="000000"/>
                <w:sz w:val="18"/>
                <w:szCs w:val="18"/>
              </w:rPr>
              <w:t>přičemž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 xml:space="preserve"> celkov</w:t>
            </w:r>
            <w:r>
              <w:rPr>
                <w:rFonts w:cs="Segoe UI"/>
                <w:color w:val="000000"/>
                <w:sz w:val="18"/>
                <w:szCs w:val="18"/>
              </w:rPr>
              <w:t>é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 xml:space="preserve"> příjm</w:t>
            </w:r>
            <w:r>
              <w:rPr>
                <w:rFonts w:cs="Segoe UI"/>
                <w:color w:val="000000"/>
                <w:sz w:val="18"/>
                <w:szCs w:val="18"/>
              </w:rPr>
              <w:t>y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 xml:space="preserve"> do rozpočtu kraje v roce 2021 </w:t>
            </w:r>
            <w:r>
              <w:rPr>
                <w:rFonts w:cs="Segoe UI"/>
                <w:color w:val="000000"/>
                <w:sz w:val="18"/>
                <w:szCs w:val="18"/>
              </w:rPr>
              <w:t>čin</w:t>
            </w:r>
            <w:r w:rsidR="00460552">
              <w:rPr>
                <w:rFonts w:cs="Segoe UI"/>
                <w:color w:val="000000"/>
                <w:sz w:val="18"/>
                <w:szCs w:val="18"/>
              </w:rPr>
              <w:t>í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460552">
              <w:rPr>
                <w:rFonts w:cs="Segoe UI"/>
                <w:color w:val="000000"/>
                <w:sz w:val="18"/>
                <w:szCs w:val="18"/>
              </w:rPr>
              <w:t xml:space="preserve">cca 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>8,6 mld Kč</w:t>
            </w:r>
            <w:r w:rsidR="003F3773" w:rsidRPr="005837C0">
              <w:rPr>
                <w:rFonts w:cs="Segoe UI"/>
                <w:color w:val="000000"/>
                <w:sz w:val="18"/>
                <w:szCs w:val="18"/>
              </w:rPr>
              <w:t>.</w:t>
            </w:r>
            <w:r w:rsidR="003F3773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025196">
              <w:rPr>
                <w:rFonts w:cs="Segoe UI"/>
                <w:color w:val="000000"/>
                <w:sz w:val="18"/>
                <w:szCs w:val="18"/>
              </w:rPr>
              <w:t xml:space="preserve">I za předpokladu nižší procentuální podpory ze strany kraje se pořád jedná o vysoké nároky na rozpočet kraje, které není možné pokrýt z výnosů poplatků za znečišťování ovzduší. </w:t>
            </w:r>
            <w:r w:rsidR="003F3773">
              <w:rPr>
                <w:rFonts w:cs="Segoe UI"/>
                <w:color w:val="000000"/>
                <w:sz w:val="18"/>
                <w:szCs w:val="18"/>
              </w:rPr>
              <w:t>Prostředky z výnosů z poplatků za znečišťování ovzduší se ročně pohybují ve výši cca 10 mil Kč. Schválen</w:t>
            </w:r>
            <w:r w:rsidR="00BA2CA5">
              <w:rPr>
                <w:rFonts w:cs="Segoe UI"/>
                <w:color w:val="000000"/>
                <w:sz w:val="18"/>
                <w:szCs w:val="18"/>
              </w:rPr>
              <w:t>ý rozpočet kraje pro rok 2021 výdaje na vyhlášení dotačního programu nezahrnuje.</w:t>
            </w:r>
          </w:p>
        </w:tc>
        <w:tc>
          <w:tcPr>
            <w:tcW w:w="660" w:type="pct"/>
            <w:shd w:val="clear" w:color="auto" w:fill="auto"/>
          </w:tcPr>
          <w:p w14:paraId="6E4D31C7" w14:textId="4B787983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</w:t>
            </w:r>
            <w:r w:rsidR="00CF5B42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a zemědělství </w:t>
            </w:r>
          </w:p>
          <w:p w14:paraId="50D2037E" w14:textId="2EA0EA6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14:paraId="23DCD9F5" w14:textId="334362C1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 </w:t>
            </w:r>
          </w:p>
        </w:tc>
        <w:tc>
          <w:tcPr>
            <w:tcW w:w="525" w:type="pct"/>
            <w:shd w:val="clear" w:color="auto" w:fill="auto"/>
          </w:tcPr>
          <w:p w14:paraId="6AA25608" w14:textId="3B3055D6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3F3773" w14:paraId="33F26855" w14:textId="77777777" w:rsidTr="006F2BE3">
        <w:trPr>
          <w:trHeight w:val="913"/>
        </w:trPr>
        <w:tc>
          <w:tcPr>
            <w:tcW w:w="346" w:type="pct"/>
            <w:vMerge/>
            <w:shd w:val="clear" w:color="auto" w:fill="auto"/>
          </w:tcPr>
          <w:p w14:paraId="1D55590C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6E45D488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07F767E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47422FAD" w14:textId="6C2E19F6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i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Finanční podpora</w:t>
            </w:r>
          </w:p>
          <w:p w14:paraId="1C6A4E2B" w14:textId="77777777" w:rsidR="003F3773" w:rsidRPr="00943DD6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  <w:p w14:paraId="4FF12242" w14:textId="6D9F4035" w:rsidR="003F3773" w:rsidRPr="00FD1A30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P</w:t>
            </w:r>
            <w:r w:rsidRPr="00943DD6">
              <w:rPr>
                <w:b/>
                <w:sz w:val="18"/>
                <w:szCs w:val="18"/>
                <w:lang w:eastAsia="cs-CZ"/>
              </w:rPr>
              <w:t>oskytov</w:t>
            </w:r>
            <w:r w:rsidR="00886FA9">
              <w:rPr>
                <w:b/>
                <w:sz w:val="18"/>
                <w:szCs w:val="18"/>
                <w:lang w:eastAsia="cs-CZ"/>
              </w:rPr>
              <w:t>ání</w:t>
            </w:r>
            <w:r w:rsidRPr="00943DD6">
              <w:rPr>
                <w:b/>
                <w:sz w:val="18"/>
                <w:szCs w:val="18"/>
                <w:lang w:eastAsia="cs-CZ"/>
              </w:rPr>
              <w:t xml:space="preserve"> dotac</w:t>
            </w:r>
            <w:r w:rsidR="00886FA9">
              <w:rPr>
                <w:b/>
                <w:sz w:val="18"/>
                <w:szCs w:val="18"/>
                <w:lang w:eastAsia="cs-CZ"/>
              </w:rPr>
              <w:t>í</w:t>
            </w:r>
            <w:r w:rsidRPr="00943DD6">
              <w:rPr>
                <w:b/>
                <w:sz w:val="18"/>
                <w:szCs w:val="18"/>
                <w:lang w:eastAsia="cs-CZ"/>
              </w:rPr>
              <w:t xml:space="preserve"> pro výměnu stávajících zastaralých kotlů v rámci svého území</w:t>
            </w:r>
            <w:r w:rsidRPr="00FD1A30">
              <w:rPr>
                <w:b/>
                <w:sz w:val="18"/>
                <w:szCs w:val="18"/>
                <w:lang w:eastAsia="cs-CZ"/>
              </w:rPr>
              <w:t xml:space="preserve"> </w:t>
            </w:r>
          </w:p>
          <w:p w14:paraId="395AFF7C" w14:textId="042CBB5D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pct"/>
            <w:shd w:val="clear" w:color="auto" w:fill="auto"/>
          </w:tcPr>
          <w:p w14:paraId="22DA9693" w14:textId="44F3657B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Analýza situace v </w:t>
            </w:r>
            <w:r>
              <w:rPr>
                <w:rFonts w:cs="Segoe UI"/>
                <w:b/>
                <w:color w:val="000000"/>
                <w:sz w:val="18"/>
                <w:szCs w:val="18"/>
              </w:rPr>
              <w:t>kraji</w:t>
            </w:r>
          </w:p>
          <w:p w14:paraId="730812B5" w14:textId="27D515EA" w:rsidR="003F3773" w:rsidRPr="0049679D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5F1717">
              <w:rPr>
                <w:rFonts w:cs="Segoe UI"/>
                <w:color w:val="000000"/>
                <w:sz w:val="18"/>
                <w:szCs w:val="18"/>
              </w:rPr>
              <w:t>Kraj tuto aktivitu plnil i v minulosti, a to formou navýšení podpory o 7.500 Kč u všech předložených a schválených projektů nepodnikajících fyzických osob v rámci dosavadních výzev k podávání žádostí o kotlíkové dotace. V případě budoucích výzev k podávání žádostí o kotlíkové dotace je v zájmu jednotného přístupu k občanům kraje žádoucí zachovat tuto podporu i nadále.</w:t>
            </w:r>
            <w:r w:rsidRPr="0049679D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14:paraId="455BD5F6" w14:textId="5980B35F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životního prostředí </w:t>
            </w:r>
            <w:r w:rsidR="00CF5B42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a zemědělství 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ve spolupráci s odborem regionálního rozvoje a cestovního ruchu</w:t>
            </w:r>
          </w:p>
          <w:p w14:paraId="20C2BBF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14:paraId="69B23F22" w14:textId="6B805C78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762CE8F8" w14:textId="04D9C4CE" w:rsidR="003F3773" w:rsidRPr="001E28E1" w:rsidRDefault="00CF5B42" w:rsidP="003B5AD3">
            <w:pPr>
              <w:rPr>
                <w:rFonts w:cs="Segoe UI"/>
                <w:color w:val="000000"/>
                <w:sz w:val="18"/>
                <w:szCs w:val="18"/>
                <w:highlight w:val="yellow"/>
              </w:rPr>
            </w:pPr>
            <w:r w:rsidRPr="00460552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3F3773" w14:paraId="7EDC04FC" w14:textId="77777777" w:rsidTr="006F2BE3">
        <w:trPr>
          <w:trHeight w:val="923"/>
        </w:trPr>
        <w:tc>
          <w:tcPr>
            <w:tcW w:w="346" w:type="pct"/>
            <w:vMerge/>
            <w:shd w:val="clear" w:color="auto" w:fill="auto"/>
          </w:tcPr>
          <w:p w14:paraId="759950A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15B722D5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2DC0000D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9CEAED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pct"/>
            <w:shd w:val="clear" w:color="auto" w:fill="auto"/>
          </w:tcPr>
          <w:p w14:paraId="3BC5D294" w14:textId="5D70842A" w:rsidR="003F3773" w:rsidRPr="0049679D" w:rsidRDefault="003F3773" w:rsidP="003B5AD3">
            <w:pPr>
              <w:pStyle w:val="Bezmezer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49679D">
              <w:rPr>
                <w:rFonts w:cs="Segoe UI"/>
                <w:b/>
                <w:bCs/>
                <w:color w:val="000000"/>
                <w:sz w:val="18"/>
                <w:szCs w:val="18"/>
              </w:rPr>
              <w:t xml:space="preserve">Identifikace možných finančních prostředků </w:t>
            </w:r>
          </w:p>
          <w:p w14:paraId="49155554" w14:textId="14E0B817" w:rsidR="003F3773" w:rsidRPr="0049679D" w:rsidRDefault="003F3773" w:rsidP="003B5AD3">
            <w:pPr>
              <w:pStyle w:val="Bezmezer"/>
              <w:rPr>
                <w:b/>
              </w:rPr>
            </w:pPr>
            <w:r w:rsidRPr="0049679D">
              <w:rPr>
                <w:rFonts w:cs="Segoe UI"/>
                <w:color w:val="000000"/>
                <w:sz w:val="18"/>
                <w:szCs w:val="18"/>
              </w:rPr>
              <w:t xml:space="preserve">Předpokládané finanční nároky na rozpočet kraje se mohou pohybovat v rámci jedné </w:t>
            </w:r>
            <w:r w:rsidRPr="001474D9">
              <w:rPr>
                <w:rFonts w:cs="Segoe UI"/>
                <w:color w:val="000000"/>
                <w:sz w:val="18"/>
                <w:szCs w:val="18"/>
              </w:rPr>
              <w:t xml:space="preserve">výzvy ve výši cca 75 mil. Kč, tj. při počtu 10 tis. žádostí. Lze využít prostředky z výnosů z poplatků za znečišťování ovzduší, které se ročně pohybují ve výši cca 10 mil Kč. </w:t>
            </w:r>
            <w:r w:rsidRPr="005837C0">
              <w:rPr>
                <w:rFonts w:cs="Segoe UI"/>
                <w:color w:val="000000"/>
                <w:sz w:val="18"/>
                <w:szCs w:val="18"/>
              </w:rPr>
              <w:t>Přesto je nutné počítat s dopadem na samotný rozpočet kraje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>, přičemž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>r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 xml:space="preserve">ozpočet kraje </w:t>
            </w:r>
            <w:r w:rsidR="001474D9" w:rsidRPr="005837C0">
              <w:rPr>
                <w:rFonts w:cs="Segoe UI"/>
                <w:color w:val="000000"/>
                <w:sz w:val="18"/>
                <w:szCs w:val="18"/>
              </w:rPr>
              <w:t xml:space="preserve">na rok 2022 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>bud</w:t>
            </w:r>
            <w:r w:rsidR="001474D9" w:rsidRPr="005837C0">
              <w:rPr>
                <w:rFonts w:cs="Segoe UI"/>
                <w:color w:val="000000"/>
                <w:sz w:val="18"/>
                <w:szCs w:val="18"/>
              </w:rPr>
              <w:t>e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1474D9" w:rsidRPr="005837C0">
              <w:rPr>
                <w:rFonts w:cs="Segoe UI"/>
                <w:color w:val="000000"/>
                <w:sz w:val="18"/>
                <w:szCs w:val="18"/>
              </w:rPr>
              <w:t>schválen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="001474D9" w:rsidRPr="005837C0">
              <w:rPr>
                <w:rFonts w:cs="Segoe UI"/>
                <w:color w:val="000000"/>
                <w:sz w:val="18"/>
                <w:szCs w:val="18"/>
              </w:rPr>
              <w:t>zastupitelstvem</w:t>
            </w:r>
            <w:r w:rsidR="00975E39" w:rsidRPr="005837C0">
              <w:rPr>
                <w:rFonts w:cs="Segoe UI"/>
                <w:color w:val="000000"/>
                <w:sz w:val="18"/>
                <w:szCs w:val="18"/>
              </w:rPr>
              <w:t xml:space="preserve"> kraje nejpozději do konce roku 202</w:t>
            </w:r>
            <w:r w:rsidR="001474D9" w:rsidRPr="001474D9">
              <w:rPr>
                <w:rFonts w:cs="Segoe UI"/>
                <w:color w:val="000000"/>
                <w:sz w:val="18"/>
                <w:szCs w:val="18"/>
              </w:rPr>
              <w:t>1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60" w:type="pct"/>
            <w:shd w:val="clear" w:color="auto" w:fill="auto"/>
          </w:tcPr>
          <w:p w14:paraId="445F59EA" w14:textId="6BE74DFE" w:rsidR="003F3773" w:rsidRPr="0049679D" w:rsidRDefault="00916AED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 w:rsidDel="00916AED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190942C6" w14:textId="74589C3E" w:rsidR="003F3773" w:rsidRDefault="003F3773" w:rsidP="003B5AD3">
            <w:pPr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 </w:t>
            </w:r>
          </w:p>
        </w:tc>
        <w:tc>
          <w:tcPr>
            <w:tcW w:w="525" w:type="pct"/>
            <w:shd w:val="clear" w:color="auto" w:fill="auto"/>
          </w:tcPr>
          <w:p w14:paraId="13535477" w14:textId="10E59719" w:rsidR="003F3773" w:rsidRPr="001E28E1" w:rsidRDefault="005B5AE6" w:rsidP="003B5AD3">
            <w:pPr>
              <w:rPr>
                <w:rFonts w:cs="Segoe UI"/>
                <w:color w:val="000000"/>
                <w:sz w:val="18"/>
                <w:szCs w:val="18"/>
                <w:highlight w:val="yellow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Nejpozději do </w:t>
            </w:r>
            <w:r w:rsidRPr="001474D9">
              <w:rPr>
                <w:rFonts w:cs="Segoe UI"/>
                <w:b/>
                <w:i/>
                <w:color w:val="000000"/>
                <w:sz w:val="18"/>
                <w:szCs w:val="18"/>
              </w:rPr>
              <w:t>konce roku 202</w:t>
            </w:r>
            <w:r w:rsidR="001474D9" w:rsidRPr="005837C0">
              <w:rPr>
                <w:rFonts w:cs="Segoe UI"/>
                <w:b/>
                <w:i/>
                <w:color w:val="000000"/>
                <w:sz w:val="18"/>
                <w:szCs w:val="18"/>
              </w:rPr>
              <w:t>1</w:t>
            </w:r>
          </w:p>
        </w:tc>
      </w:tr>
      <w:tr w:rsidR="003F3773" w14:paraId="0620663E" w14:textId="77777777" w:rsidTr="006F2BE3">
        <w:trPr>
          <w:trHeight w:val="567"/>
        </w:trPr>
        <w:tc>
          <w:tcPr>
            <w:tcW w:w="346" w:type="pct"/>
            <w:vMerge/>
            <w:shd w:val="clear" w:color="auto" w:fill="auto"/>
          </w:tcPr>
          <w:p w14:paraId="59B83AB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BB28D54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BE47E1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67C74459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26" w:type="pct"/>
            <w:shd w:val="clear" w:color="auto" w:fill="auto"/>
          </w:tcPr>
          <w:p w14:paraId="7A089F36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Předložení materiálu ke schválení radě/zastupitelstvu</w:t>
            </w:r>
          </w:p>
          <w:p w14:paraId="62960969" w14:textId="16F5F8E5" w:rsidR="003F3773" w:rsidRPr="0049679D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49679D">
              <w:rPr>
                <w:rFonts w:cs="Segoe UI"/>
                <w:color w:val="000000"/>
                <w:sz w:val="18"/>
                <w:szCs w:val="18"/>
              </w:rPr>
              <w:t xml:space="preserve">Otevření další výzvy k podávání žádostí o kotlíkové dotace je podle MŽP předběžně plánováno na jaro případně léto roku 2022, financování z rozpočtu kraje by tedy bylo nárokováno nejdříve z rozpočtu roku 2022 s tím, že celková </w:t>
            </w:r>
            <w:r w:rsidRPr="0049679D">
              <w:rPr>
                <w:rFonts w:cs="Segoe UI"/>
                <w:color w:val="000000"/>
                <w:sz w:val="18"/>
                <w:szCs w:val="18"/>
              </w:rPr>
              <w:lastRenderedPageBreak/>
              <w:t>požadovaná částka se bude odvíjet od garantované alokace dotačního programu v návaznosti na počet úspěšných žadatelů.</w:t>
            </w:r>
          </w:p>
        </w:tc>
        <w:tc>
          <w:tcPr>
            <w:tcW w:w="660" w:type="pct"/>
            <w:shd w:val="clear" w:color="auto" w:fill="auto"/>
          </w:tcPr>
          <w:p w14:paraId="1680C315" w14:textId="01E1413E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lastRenderedPageBreak/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</w:p>
        </w:tc>
        <w:tc>
          <w:tcPr>
            <w:tcW w:w="451" w:type="pct"/>
            <w:shd w:val="clear" w:color="auto" w:fill="auto"/>
          </w:tcPr>
          <w:p w14:paraId="64C8C53C" w14:textId="4888ED9C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 </w:t>
            </w:r>
          </w:p>
        </w:tc>
        <w:tc>
          <w:tcPr>
            <w:tcW w:w="525" w:type="pct"/>
            <w:shd w:val="clear" w:color="auto" w:fill="auto"/>
          </w:tcPr>
          <w:p w14:paraId="05436904" w14:textId="4E7DF557" w:rsidR="003F3773" w:rsidRPr="006433BB" w:rsidRDefault="003F3773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Nejpozději do konce </w:t>
            </w:r>
            <w:r w:rsidR="0005159F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roku 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2022</w:t>
            </w:r>
          </w:p>
        </w:tc>
      </w:tr>
      <w:tr w:rsidR="003F3773" w14:paraId="101CB280" w14:textId="77777777" w:rsidTr="006F2BE3">
        <w:trPr>
          <w:trHeight w:val="753"/>
        </w:trPr>
        <w:tc>
          <w:tcPr>
            <w:tcW w:w="346" w:type="pct"/>
            <w:vMerge/>
            <w:shd w:val="clear" w:color="auto" w:fill="auto"/>
          </w:tcPr>
          <w:p w14:paraId="23FF1D4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D142FCD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A7A859E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964D67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pct"/>
            <w:shd w:val="clear" w:color="auto" w:fill="auto"/>
          </w:tcPr>
          <w:p w14:paraId="224B2EDF" w14:textId="70677B3E" w:rsidR="00447E49" w:rsidRPr="006C252D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5837C0">
              <w:rPr>
                <w:rFonts w:cs="Segoe UI"/>
                <w:b/>
                <w:color w:val="000000"/>
                <w:sz w:val="18"/>
                <w:szCs w:val="18"/>
              </w:rPr>
              <w:t>Spuštění programu</w:t>
            </w:r>
          </w:p>
          <w:p w14:paraId="1C8370F0" w14:textId="430B33F1" w:rsidR="003F3773" w:rsidRPr="00F11B54" w:rsidRDefault="00447E49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5837C0">
              <w:rPr>
                <w:rFonts w:cs="Segoe UI"/>
                <w:color w:val="000000"/>
                <w:sz w:val="18"/>
                <w:szCs w:val="18"/>
              </w:rPr>
              <w:t xml:space="preserve">Zveřejnění programu na úřední desce. </w:t>
            </w:r>
            <w:r w:rsidR="003F3773" w:rsidRPr="005837C0">
              <w:rPr>
                <w:rFonts w:cs="Segoe UI"/>
                <w:color w:val="000000"/>
                <w:sz w:val="18"/>
                <w:szCs w:val="18"/>
              </w:rPr>
              <w:t xml:space="preserve">Propagace programu začne od vyhlášení výzvy SFŽP pro kraje. </w:t>
            </w:r>
            <w:r w:rsidR="008B0406">
              <w:rPr>
                <w:rFonts w:cs="Segoe UI"/>
                <w:color w:val="000000"/>
                <w:sz w:val="18"/>
                <w:szCs w:val="18"/>
              </w:rPr>
              <w:t xml:space="preserve">Předpokládá se využívání standartních prostředků medializace </w:t>
            </w:r>
            <w:r w:rsidR="008B0406" w:rsidRPr="00F11B54">
              <w:rPr>
                <w:rFonts w:cs="Segoe UI"/>
                <w:color w:val="000000"/>
                <w:sz w:val="18"/>
                <w:szCs w:val="18"/>
              </w:rPr>
              <w:t xml:space="preserve">(lokální tisk, </w:t>
            </w:r>
            <w:r w:rsidR="008B0406">
              <w:rPr>
                <w:rFonts w:cs="Segoe UI"/>
                <w:color w:val="000000"/>
                <w:sz w:val="18"/>
                <w:szCs w:val="18"/>
              </w:rPr>
              <w:t>letáky, brožury, webové stránky,</w:t>
            </w:r>
            <w:r w:rsidR="008B0406" w:rsidRPr="00F11B54">
              <w:rPr>
                <w:rFonts w:cs="Segoe UI"/>
                <w:color w:val="000000"/>
                <w:sz w:val="18"/>
                <w:szCs w:val="18"/>
              </w:rPr>
              <w:t xml:space="preserve"> apod.)</w:t>
            </w:r>
          </w:p>
        </w:tc>
        <w:tc>
          <w:tcPr>
            <w:tcW w:w="660" w:type="pct"/>
            <w:shd w:val="clear" w:color="auto" w:fill="auto"/>
          </w:tcPr>
          <w:p w14:paraId="353497ED" w14:textId="783B08E8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3DB532A5" w14:textId="27C0579F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 a OPŽP</w:t>
            </w:r>
          </w:p>
        </w:tc>
        <w:tc>
          <w:tcPr>
            <w:tcW w:w="525" w:type="pct"/>
            <w:shd w:val="clear" w:color="auto" w:fill="auto"/>
          </w:tcPr>
          <w:p w14:paraId="6B64ABB8" w14:textId="186FE94F" w:rsidR="003F3773" w:rsidRPr="006433BB" w:rsidRDefault="00C22E03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Po dobu </w:t>
            </w:r>
            <w:r w:rsidR="003F3773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vyhlášení výzvy kotlíkové dotace </w:t>
            </w:r>
          </w:p>
        </w:tc>
      </w:tr>
      <w:tr w:rsidR="003F3773" w14:paraId="373B1346" w14:textId="77777777" w:rsidTr="006F2BE3">
        <w:trPr>
          <w:trHeight w:val="992"/>
        </w:trPr>
        <w:tc>
          <w:tcPr>
            <w:tcW w:w="346" w:type="pct"/>
            <w:vMerge/>
            <w:shd w:val="clear" w:color="auto" w:fill="auto"/>
          </w:tcPr>
          <w:p w14:paraId="4F2800E2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4CB6B58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185F6E5D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019A999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526" w:type="pct"/>
            <w:shd w:val="clear" w:color="auto" w:fill="auto"/>
          </w:tcPr>
          <w:p w14:paraId="5BF9CF45" w14:textId="6DA19719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 xml:space="preserve">Asistence při podání žádosti o dotaci poskytované na vyšší úrovni </w:t>
            </w:r>
          </w:p>
          <w:p w14:paraId="138C14D2" w14:textId="2A81975D" w:rsidR="003F3773" w:rsidRPr="00C329B1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C329B1">
              <w:rPr>
                <w:rFonts w:cs="Segoe UI"/>
                <w:color w:val="000000"/>
                <w:sz w:val="18"/>
                <w:szCs w:val="18"/>
              </w:rPr>
              <w:t xml:space="preserve">Poskytování pomoci při vyplňování žádosti o poskytnutí dotace (např. </w:t>
            </w:r>
            <w:r>
              <w:rPr>
                <w:rFonts w:cs="Segoe UI"/>
                <w:color w:val="000000"/>
                <w:sz w:val="18"/>
                <w:szCs w:val="18"/>
              </w:rPr>
              <w:t>kotlíková kancelář, kotlíková telefonní linka, kotlíkový email</w:t>
            </w:r>
            <w:r w:rsidRPr="00C329B1">
              <w:rPr>
                <w:rFonts w:cs="Segoe UI"/>
                <w:color w:val="000000"/>
                <w:sz w:val="18"/>
                <w:szCs w:val="18"/>
              </w:rPr>
              <w:t>).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Zaměstnanci krajského úřadu budou osobně nápomocni při vyplňování žádosti o dotaci. </w:t>
            </w:r>
            <w:r w:rsidRPr="00C329B1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14:paraId="000785A6" w14:textId="6917A5CF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3B9EDE1D" w14:textId="625DCC23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 a OPŽP</w:t>
            </w:r>
          </w:p>
        </w:tc>
        <w:tc>
          <w:tcPr>
            <w:tcW w:w="525" w:type="pct"/>
            <w:shd w:val="clear" w:color="auto" w:fill="auto"/>
          </w:tcPr>
          <w:p w14:paraId="58BBC9D7" w14:textId="3D6542A2" w:rsidR="003F3773" w:rsidRPr="006433BB" w:rsidRDefault="00447E49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Po dobu podávání žádostí dle podmínek výzvy</w:t>
            </w:r>
            <w:r w:rsidR="00C22E03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kotlíkové dotace</w:t>
            </w:r>
          </w:p>
        </w:tc>
      </w:tr>
      <w:tr w:rsidR="003F3773" w14:paraId="1F7C5216" w14:textId="77777777" w:rsidTr="006F2BE3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3D916544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DE6AE5C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5BBABED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14:paraId="7B7A8032" w14:textId="756619C0" w:rsidR="003F3773" w:rsidRPr="00FD1A30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Finanční podpora</w:t>
            </w:r>
          </w:p>
          <w:p w14:paraId="259509F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  <w:p w14:paraId="6BBF9F40" w14:textId="06965642" w:rsidR="003F3773" w:rsidRPr="009E0528" w:rsidRDefault="00886FA9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 w:rsidRPr="00B05BD7">
              <w:rPr>
                <w:b/>
                <w:sz w:val="18"/>
                <w:szCs w:val="18"/>
                <w:lang w:eastAsia="cs-CZ"/>
              </w:rPr>
              <w:t>Odstraňov</w:t>
            </w:r>
            <w:r w:rsidRPr="001E28E1">
              <w:rPr>
                <w:b/>
                <w:sz w:val="18"/>
                <w:szCs w:val="18"/>
                <w:lang w:eastAsia="cs-CZ"/>
              </w:rPr>
              <w:t>ání</w:t>
            </w:r>
            <w:r w:rsidRPr="00B05BD7">
              <w:rPr>
                <w:b/>
                <w:sz w:val="18"/>
                <w:szCs w:val="18"/>
                <w:lang w:eastAsia="cs-CZ"/>
              </w:rPr>
              <w:t xml:space="preserve"> </w:t>
            </w:r>
            <w:r w:rsidR="003F3773" w:rsidRPr="00B05BD7">
              <w:rPr>
                <w:b/>
                <w:sz w:val="18"/>
                <w:szCs w:val="18"/>
                <w:lang w:eastAsia="cs-CZ"/>
              </w:rPr>
              <w:t xml:space="preserve">bariér pro zapojení nízkopříjmových </w:t>
            </w:r>
            <w:r w:rsidR="003F3773" w:rsidRPr="001E17ED">
              <w:rPr>
                <w:b/>
                <w:sz w:val="18"/>
                <w:szCs w:val="18"/>
                <w:lang w:eastAsia="cs-CZ"/>
              </w:rPr>
              <w:t>skupin</w:t>
            </w:r>
            <w:r w:rsidR="00DE2184" w:rsidRPr="001E17ED">
              <w:rPr>
                <w:b/>
                <w:sz w:val="18"/>
                <w:szCs w:val="18"/>
                <w:lang w:eastAsia="cs-CZ"/>
              </w:rPr>
              <w:t xml:space="preserve"> p</w:t>
            </w:r>
            <w:r w:rsidR="00DE2184" w:rsidRPr="005837C0">
              <w:rPr>
                <w:b/>
                <w:sz w:val="18"/>
                <w:szCs w:val="18"/>
                <w:lang w:eastAsia="cs-CZ"/>
              </w:rPr>
              <w:t>ředfinancováním příspěvků měst a obcí včetně</w:t>
            </w:r>
            <w:r w:rsidR="00DE2184">
              <w:rPr>
                <w:b/>
                <w:sz w:val="18"/>
                <w:szCs w:val="18"/>
                <w:lang w:eastAsia="cs-CZ"/>
              </w:rPr>
              <w:t xml:space="preserve"> </w:t>
            </w:r>
            <w:r w:rsidR="003F3773" w:rsidRPr="00B05BD7">
              <w:rPr>
                <w:b/>
                <w:sz w:val="18"/>
                <w:szCs w:val="18"/>
                <w:lang w:eastAsia="cs-CZ"/>
              </w:rPr>
              <w:t>asistenc</w:t>
            </w:r>
            <w:r w:rsidR="00B05BD7">
              <w:rPr>
                <w:b/>
                <w:sz w:val="18"/>
                <w:szCs w:val="18"/>
                <w:lang w:eastAsia="cs-CZ"/>
              </w:rPr>
              <w:t>e</w:t>
            </w:r>
            <w:r w:rsidR="003F3773" w:rsidRPr="00B05BD7">
              <w:rPr>
                <w:b/>
                <w:sz w:val="18"/>
                <w:szCs w:val="18"/>
                <w:lang w:eastAsia="cs-CZ"/>
              </w:rPr>
              <w:t xml:space="preserve"> možným žadatelům</w:t>
            </w:r>
          </w:p>
        </w:tc>
        <w:tc>
          <w:tcPr>
            <w:tcW w:w="1526" w:type="pct"/>
            <w:shd w:val="clear" w:color="auto" w:fill="auto"/>
          </w:tcPr>
          <w:p w14:paraId="5C06B149" w14:textId="1FD47241" w:rsidR="003F3773" w:rsidRPr="009E052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9E0528">
              <w:rPr>
                <w:rFonts w:cs="Segoe UI"/>
                <w:b/>
                <w:bCs/>
                <w:color w:val="000000"/>
                <w:sz w:val="18"/>
                <w:szCs w:val="18"/>
              </w:rPr>
              <w:t>Analýza situace v</w:t>
            </w:r>
            <w:r w:rsidR="00C96129">
              <w:rPr>
                <w:rFonts w:cs="Segoe UI"/>
                <w:b/>
                <w:bCs/>
                <w:color w:val="000000"/>
                <w:sz w:val="18"/>
                <w:szCs w:val="18"/>
              </w:rPr>
              <w:t> </w:t>
            </w:r>
            <w:r w:rsidRPr="009E0528">
              <w:rPr>
                <w:rFonts w:cs="Segoe UI"/>
                <w:b/>
                <w:bCs/>
                <w:color w:val="000000"/>
                <w:sz w:val="18"/>
                <w:szCs w:val="18"/>
              </w:rPr>
              <w:t>kraji</w:t>
            </w:r>
          </w:p>
          <w:p w14:paraId="314D59A1" w14:textId="7FD1E3B3" w:rsidR="003F3773" w:rsidRPr="009E052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1474D9">
              <w:rPr>
                <w:rFonts w:cs="Segoe UI"/>
                <w:color w:val="000000"/>
                <w:sz w:val="18"/>
                <w:szCs w:val="18"/>
              </w:rPr>
              <w:t xml:space="preserve">Zacílení na jednotlivé skupiny obyvatel </w:t>
            </w:r>
            <w:r w:rsidR="0065771D" w:rsidRPr="001474D9">
              <w:rPr>
                <w:rFonts w:cs="Segoe UI"/>
                <w:color w:val="000000"/>
                <w:sz w:val="18"/>
                <w:szCs w:val="18"/>
              </w:rPr>
              <w:t xml:space="preserve">může být </w:t>
            </w:r>
            <w:r w:rsidRPr="001474D9">
              <w:rPr>
                <w:rFonts w:cs="Segoe UI"/>
                <w:color w:val="000000"/>
                <w:sz w:val="18"/>
                <w:szCs w:val="18"/>
              </w:rPr>
              <w:t xml:space="preserve">realizováno pomocí </w:t>
            </w:r>
            <w:r w:rsidRPr="005837C0">
              <w:rPr>
                <w:rFonts w:cs="Segoe UI"/>
                <w:color w:val="000000"/>
                <w:sz w:val="18"/>
                <w:szCs w:val="18"/>
              </w:rPr>
              <w:t>finančních příspěvků obcí</w:t>
            </w:r>
            <w:r w:rsidRPr="001474D9">
              <w:rPr>
                <w:rFonts w:cs="Segoe UI"/>
                <w:color w:val="000000"/>
                <w:sz w:val="18"/>
                <w:szCs w:val="18"/>
              </w:rPr>
              <w:t>, které mohou cíleněji zaměřit svůj příspěvek na finanční potřebu občanů ve své území působnosti. Moravskoslezský kraj bude administrovat případný příspěvek obcí, tj. zjednoduší administrativní zátěž pro občany a obce. Jedná se o praxi již zavedenou v rámci</w:t>
            </w:r>
            <w:r w:rsidRPr="009E0528">
              <w:rPr>
                <w:rFonts w:cs="Segoe UI"/>
                <w:color w:val="000000"/>
                <w:sz w:val="18"/>
                <w:szCs w:val="18"/>
              </w:rPr>
              <w:t xml:space="preserve"> předchozích výzev kotlíkových dotací, která se pro zjednodušení financování dotace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obcí </w:t>
            </w:r>
            <w:r w:rsidRPr="009E0528">
              <w:rPr>
                <w:rFonts w:cs="Segoe UI"/>
                <w:color w:val="000000"/>
                <w:sz w:val="18"/>
                <w:szCs w:val="18"/>
              </w:rPr>
              <w:t xml:space="preserve">pro občany osvědčila. V případě budoucích výzev k podávání žádostí o kotlíkové dotace je žádoucí tento postup zachovat. </w:t>
            </w:r>
          </w:p>
        </w:tc>
        <w:tc>
          <w:tcPr>
            <w:tcW w:w="660" w:type="pct"/>
            <w:shd w:val="clear" w:color="auto" w:fill="auto"/>
          </w:tcPr>
          <w:p w14:paraId="7F74473B" w14:textId="22767504" w:rsidR="003F3773" w:rsidRPr="009E052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životního prostředí </w:t>
            </w:r>
            <w:r w:rsidR="00CF5B42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a zemědělství 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ve spolupráci s odborem regionálního rozvoje a cestovního ruchu</w:t>
            </w:r>
          </w:p>
        </w:tc>
        <w:tc>
          <w:tcPr>
            <w:tcW w:w="451" w:type="pct"/>
            <w:shd w:val="clear" w:color="auto" w:fill="auto"/>
          </w:tcPr>
          <w:p w14:paraId="2ADDA928" w14:textId="6FB6BE2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 </w:t>
            </w:r>
          </w:p>
        </w:tc>
        <w:tc>
          <w:tcPr>
            <w:tcW w:w="525" w:type="pct"/>
            <w:shd w:val="clear" w:color="auto" w:fill="auto"/>
          </w:tcPr>
          <w:p w14:paraId="14AF2DCA" w14:textId="342FE8F4" w:rsidR="003F3773" w:rsidRPr="00460552" w:rsidRDefault="00CF5B42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460552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3F3773" w14:paraId="62383CDD" w14:textId="77777777" w:rsidTr="006F2BE3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411CB1E9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4E204E6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DE2A97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B8B559A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747C7C45" w14:textId="66B84871" w:rsidR="003F3773" w:rsidRPr="009E0528" w:rsidRDefault="003F3773" w:rsidP="003B5AD3">
            <w:pPr>
              <w:pStyle w:val="Bezmezer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9E0528">
              <w:rPr>
                <w:rFonts w:cs="Segoe UI"/>
                <w:b/>
                <w:bCs/>
                <w:color w:val="000000"/>
                <w:sz w:val="18"/>
                <w:szCs w:val="18"/>
              </w:rPr>
              <w:t xml:space="preserve">Identifikace možných finančních prostředků </w:t>
            </w:r>
          </w:p>
          <w:p w14:paraId="1B5FD109" w14:textId="6055915E" w:rsidR="003F3773" w:rsidRPr="009E0528" w:rsidRDefault="003F3773" w:rsidP="003B5AD3">
            <w:pPr>
              <w:pStyle w:val="Bezmezer"/>
              <w:rPr>
                <w:rFonts w:cs="Segoe UI"/>
                <w:color w:val="000000"/>
                <w:sz w:val="18"/>
                <w:szCs w:val="18"/>
              </w:rPr>
            </w:pPr>
            <w:r w:rsidRPr="009E0528">
              <w:rPr>
                <w:rFonts w:cs="Segoe UI"/>
                <w:color w:val="000000"/>
                <w:sz w:val="18"/>
                <w:szCs w:val="18"/>
              </w:rPr>
              <w:t>Nároky na rozpočet kraje zde vznikají, a to jako předfinancování příspěvků jednotlivých měst a obcí. Předfinancované příspěvky měst a obcí se po vyúčtování dotace vracejí zpět do rozpočtu kraje.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Samotná výše příspěvku bude závislá na finančních možnostech měst a obcí (schvalováno v orgánech měst a obcí). </w:t>
            </w:r>
          </w:p>
        </w:tc>
        <w:tc>
          <w:tcPr>
            <w:tcW w:w="660" w:type="pct"/>
            <w:shd w:val="clear" w:color="auto" w:fill="auto"/>
          </w:tcPr>
          <w:p w14:paraId="45E302D0" w14:textId="44C25540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30EFB669" w14:textId="32194A61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 </w:t>
            </w:r>
          </w:p>
        </w:tc>
        <w:tc>
          <w:tcPr>
            <w:tcW w:w="525" w:type="pct"/>
            <w:shd w:val="clear" w:color="auto" w:fill="auto"/>
          </w:tcPr>
          <w:p w14:paraId="7735B39B" w14:textId="2D089B1A" w:rsidR="003F3773" w:rsidRPr="00460552" w:rsidRDefault="00CF5B42" w:rsidP="003B5AD3">
            <w:pP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 w:rsidRPr="00460552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Do 6 měsíců od vydání PZKO</w:t>
            </w:r>
          </w:p>
        </w:tc>
      </w:tr>
      <w:tr w:rsidR="003F3773" w14:paraId="1789A26B" w14:textId="77777777" w:rsidTr="006F2BE3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1EC028B4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4CE64679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392A7BEE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2DE1297C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4CFC7796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Předložení materiálu ke schválení radě/zastupitelstvu</w:t>
            </w:r>
          </w:p>
          <w:p w14:paraId="32015396" w14:textId="5AC8E5CA" w:rsidR="003F3773" w:rsidRPr="009E052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Z</w:t>
            </w:r>
            <w:r w:rsidRPr="001504D7">
              <w:rPr>
                <w:rFonts w:cs="Segoe UI"/>
                <w:color w:val="000000"/>
                <w:sz w:val="18"/>
                <w:szCs w:val="18"/>
              </w:rPr>
              <w:t xml:space="preserve">ačlenění finanční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příspěvků měst a obcí bude realizováno současně při projednávání materiálu kotlíkové dotace v orgánech kraje, případně bude po tomto materiálu následovat. </w:t>
            </w:r>
          </w:p>
        </w:tc>
        <w:tc>
          <w:tcPr>
            <w:tcW w:w="660" w:type="pct"/>
            <w:shd w:val="clear" w:color="auto" w:fill="auto"/>
          </w:tcPr>
          <w:p w14:paraId="77F07DA7" w14:textId="258F547B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6011598A" w14:textId="0F474AED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14A4F64D" w14:textId="372F81CA" w:rsidR="003F3773" w:rsidRDefault="003F3773" w:rsidP="003B5AD3">
            <w:pP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 w:rsidRPr="006433BB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Nejpozději do konce </w:t>
            </w:r>
            <w:r w:rsidR="005F1197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roku 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2022</w:t>
            </w:r>
          </w:p>
        </w:tc>
      </w:tr>
      <w:tr w:rsidR="003F3773" w14:paraId="5AAF6BA6" w14:textId="77777777" w:rsidTr="006F2BE3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46A5CC0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61918B93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27A46E7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6A2F239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7770E3E3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85DD5">
              <w:rPr>
                <w:rFonts w:cs="Segoe UI"/>
                <w:b/>
                <w:color w:val="000000"/>
                <w:sz w:val="18"/>
                <w:szCs w:val="18"/>
              </w:rPr>
              <w:t>Spuštění programu</w:t>
            </w:r>
          </w:p>
          <w:p w14:paraId="2D767AC8" w14:textId="3F73FA11" w:rsidR="003F3773" w:rsidRPr="00085DD5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Spuštění programu bude závislé na schválení programu v orgánech kraje. P</w:t>
            </w:r>
            <w:r w:rsidRPr="00F11B54">
              <w:rPr>
                <w:rFonts w:cs="Segoe UI"/>
                <w:color w:val="000000"/>
                <w:sz w:val="18"/>
                <w:szCs w:val="18"/>
              </w:rPr>
              <w:t xml:space="preserve">ropagace </w:t>
            </w:r>
            <w:r w:rsidR="00C96129">
              <w:rPr>
                <w:rFonts w:cs="Segoe UI"/>
                <w:color w:val="000000"/>
                <w:sz w:val="18"/>
                <w:szCs w:val="18"/>
              </w:rPr>
              <w:t xml:space="preserve">výzvy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začne od </w:t>
            </w:r>
            <w:r w:rsidR="00C96129">
              <w:rPr>
                <w:rFonts w:cs="Segoe UI"/>
                <w:color w:val="000000"/>
                <w:sz w:val="18"/>
                <w:szCs w:val="18"/>
              </w:rPr>
              <w:t xml:space="preserve">schválení dotačního programu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v orgánech kraje. </w:t>
            </w:r>
            <w:r w:rsidR="001474D9">
              <w:rPr>
                <w:rFonts w:cs="Segoe UI"/>
                <w:color w:val="000000"/>
                <w:sz w:val="18"/>
                <w:szCs w:val="18"/>
              </w:rPr>
              <w:t xml:space="preserve">Předpokládá se </w:t>
            </w:r>
            <w:r w:rsidR="0065771D">
              <w:rPr>
                <w:rFonts w:cs="Segoe UI"/>
                <w:color w:val="000000"/>
                <w:sz w:val="18"/>
                <w:szCs w:val="18"/>
              </w:rPr>
              <w:t xml:space="preserve">využívání </w:t>
            </w:r>
            <w:r>
              <w:rPr>
                <w:rFonts w:cs="Segoe UI"/>
                <w:color w:val="000000"/>
                <w:sz w:val="18"/>
                <w:szCs w:val="18"/>
              </w:rPr>
              <w:t>standartní</w:t>
            </w:r>
            <w:r w:rsidR="0065771D">
              <w:rPr>
                <w:rFonts w:cs="Segoe UI"/>
                <w:color w:val="000000"/>
                <w:sz w:val="18"/>
                <w:szCs w:val="18"/>
              </w:rPr>
              <w:t>ch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prostředk</w:t>
            </w:r>
            <w:r w:rsidR="0065771D">
              <w:rPr>
                <w:rFonts w:cs="Segoe UI"/>
                <w:color w:val="000000"/>
                <w:sz w:val="18"/>
                <w:szCs w:val="18"/>
              </w:rPr>
              <w:t>ů medializace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  <w:r w:rsidRPr="00F11B54">
              <w:rPr>
                <w:rFonts w:cs="Segoe UI"/>
                <w:color w:val="000000"/>
                <w:sz w:val="18"/>
                <w:szCs w:val="18"/>
              </w:rPr>
              <w:t xml:space="preserve">(lokální tisk, </w:t>
            </w:r>
            <w:r>
              <w:rPr>
                <w:rFonts w:cs="Segoe UI"/>
                <w:color w:val="000000"/>
                <w:sz w:val="18"/>
                <w:szCs w:val="18"/>
              </w:rPr>
              <w:t>letáky, brožury, webové stránky,</w:t>
            </w:r>
            <w:r w:rsidRPr="00F11B54">
              <w:rPr>
                <w:rFonts w:cs="Segoe UI"/>
                <w:color w:val="000000"/>
                <w:sz w:val="18"/>
                <w:szCs w:val="18"/>
              </w:rPr>
              <w:t xml:space="preserve"> apod.)</w:t>
            </w:r>
          </w:p>
        </w:tc>
        <w:tc>
          <w:tcPr>
            <w:tcW w:w="660" w:type="pct"/>
            <w:shd w:val="clear" w:color="auto" w:fill="auto"/>
          </w:tcPr>
          <w:p w14:paraId="35511356" w14:textId="13365751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025FAB6E" w14:textId="3145A4CF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2B403EA1" w14:textId="7FA0327D" w:rsidR="003F3773" w:rsidRDefault="00C22E03" w:rsidP="003B5AD3">
            <w:pP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Po dobu </w:t>
            </w:r>
            <w:r w:rsidR="003F3773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vyhlášení výzvy kotlíkové dotace </w:t>
            </w:r>
          </w:p>
        </w:tc>
      </w:tr>
      <w:tr w:rsidR="003F3773" w14:paraId="03257E35" w14:textId="77777777" w:rsidTr="003F3773">
        <w:trPr>
          <w:trHeight w:val="1069"/>
        </w:trPr>
        <w:tc>
          <w:tcPr>
            <w:tcW w:w="346" w:type="pct"/>
            <w:vMerge/>
            <w:shd w:val="clear" w:color="auto" w:fill="auto"/>
          </w:tcPr>
          <w:p w14:paraId="01A91C30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4FAB0CB7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7013B9EC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3FD07830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1B3D5926" w14:textId="57D05EF5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color w:val="000000"/>
                <w:sz w:val="18"/>
                <w:szCs w:val="18"/>
              </w:rPr>
              <w:t xml:space="preserve">Asistence při podání žádosti o dotaci poskytované na vyšší úrovni </w:t>
            </w:r>
          </w:p>
          <w:p w14:paraId="3B9FA12E" w14:textId="5F4D3611" w:rsidR="003F3773" w:rsidRPr="00085DD5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C329B1">
              <w:rPr>
                <w:rFonts w:cs="Segoe UI"/>
                <w:color w:val="000000"/>
                <w:sz w:val="18"/>
                <w:szCs w:val="18"/>
              </w:rPr>
              <w:t xml:space="preserve">Poskytování pomoci při vyplňování žádosti o poskytnutí dotace (např. </w:t>
            </w:r>
            <w:r>
              <w:rPr>
                <w:rFonts w:cs="Segoe UI"/>
                <w:color w:val="000000"/>
                <w:sz w:val="18"/>
                <w:szCs w:val="18"/>
              </w:rPr>
              <w:t>kotlíková kancelář, kotlíková telefonní linka, kotlíkový email</w:t>
            </w:r>
            <w:r w:rsidRPr="00C329B1">
              <w:rPr>
                <w:rFonts w:cs="Segoe UI"/>
                <w:color w:val="000000"/>
                <w:sz w:val="18"/>
                <w:szCs w:val="18"/>
              </w:rPr>
              <w:t>).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Zaměstnanci krajského úřadu budou osobně nápomocni při vyplňování žádosti o dotaci. </w:t>
            </w:r>
            <w:r w:rsidR="00C96129">
              <w:rPr>
                <w:rFonts w:cs="Segoe UI"/>
                <w:color w:val="000000"/>
                <w:sz w:val="18"/>
                <w:szCs w:val="18"/>
              </w:rPr>
              <w:t>Zaměstnanci krajského úřadu provádějí školení pro zaměstnance obcí a měst kraje, kteří následně poskytují informace a pomoc žadatelům o dotaci</w:t>
            </w:r>
            <w:r w:rsidR="00AD5A1F">
              <w:rPr>
                <w:rFonts w:cs="Segoe UI"/>
                <w:color w:val="000000"/>
                <w:sz w:val="18"/>
                <w:szCs w:val="18"/>
              </w:rPr>
              <w:t xml:space="preserve"> na místních úřadech.</w:t>
            </w:r>
          </w:p>
        </w:tc>
        <w:tc>
          <w:tcPr>
            <w:tcW w:w="660" w:type="pct"/>
            <w:shd w:val="clear" w:color="auto" w:fill="auto"/>
          </w:tcPr>
          <w:p w14:paraId="75F73015" w14:textId="26C0744D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regionálního rozvoje</w:t>
            </w:r>
            <w:r>
              <w:rPr>
                <w:rFonts w:cs="Segoe UI"/>
                <w:i/>
                <w:color w:val="000000"/>
                <w:sz w:val="18"/>
                <w:szCs w:val="18"/>
              </w:rPr>
              <w:t xml:space="preserve"> a cestovního ruchu</w:t>
            </w: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14:paraId="26FC95AF" w14:textId="035CCB4F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kraje, měst a obcí</w:t>
            </w:r>
          </w:p>
        </w:tc>
        <w:tc>
          <w:tcPr>
            <w:tcW w:w="525" w:type="pct"/>
            <w:shd w:val="clear" w:color="auto" w:fill="auto"/>
          </w:tcPr>
          <w:p w14:paraId="43071E62" w14:textId="3FBDD700" w:rsidR="003F3773" w:rsidRPr="006433BB" w:rsidRDefault="00447E49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/>
                <w:sz w:val="18"/>
                <w:szCs w:val="18"/>
              </w:rPr>
              <w:t>Po dobu podávání žádostí dle podmínek výzvy</w:t>
            </w:r>
          </w:p>
        </w:tc>
      </w:tr>
      <w:tr w:rsidR="003F3773" w14:paraId="777B190F" w14:textId="77777777" w:rsidTr="00EF6832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55328EA8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F97B7B3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A6EFA62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nil"/>
            </w:tcBorders>
            <w:shd w:val="clear" w:color="auto" w:fill="auto"/>
          </w:tcPr>
          <w:p w14:paraId="1E886FD3" w14:textId="026B8B09" w:rsidR="003F3773" w:rsidRPr="00FB6B2B" w:rsidRDefault="000E08BE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O</w:t>
            </w:r>
            <w:r w:rsidR="003F3773" w:rsidRPr="00FB6B2B">
              <w:rPr>
                <w:b/>
                <w:sz w:val="18"/>
                <w:szCs w:val="18"/>
                <w:lang w:eastAsia="cs-CZ"/>
              </w:rPr>
              <w:t>bměn</w:t>
            </w:r>
            <w:r>
              <w:rPr>
                <w:b/>
                <w:sz w:val="18"/>
                <w:szCs w:val="18"/>
                <w:lang w:eastAsia="cs-CZ"/>
              </w:rPr>
              <w:t>a</w:t>
            </w:r>
            <w:r w:rsidR="003F3773" w:rsidRPr="00FB6B2B">
              <w:rPr>
                <w:b/>
                <w:sz w:val="18"/>
                <w:szCs w:val="18"/>
                <w:lang w:eastAsia="cs-CZ"/>
              </w:rPr>
              <w:t xml:space="preserve"> spalovacích stacionárních zdrojů provozovaných v objektech, které</w:t>
            </w:r>
            <w:r w:rsidR="00E61BEC">
              <w:rPr>
                <w:b/>
                <w:sz w:val="18"/>
                <w:szCs w:val="18"/>
                <w:lang w:eastAsia="cs-CZ"/>
              </w:rPr>
              <w:t xml:space="preserve"> kraj</w:t>
            </w:r>
            <w:r w:rsidR="003F3773" w:rsidRPr="00FB6B2B">
              <w:rPr>
                <w:b/>
                <w:sz w:val="18"/>
                <w:szCs w:val="18"/>
                <w:lang w:eastAsia="cs-CZ"/>
              </w:rPr>
              <w:t xml:space="preserve"> spravuje, a to z titulu vlastnického či jiného majetkového práva, pro které lze rovněž využít státem poskytovanou finanční podporu</w:t>
            </w:r>
          </w:p>
        </w:tc>
        <w:tc>
          <w:tcPr>
            <w:tcW w:w="1526" w:type="pct"/>
            <w:shd w:val="clear" w:color="auto" w:fill="auto"/>
          </w:tcPr>
          <w:p w14:paraId="5D422019" w14:textId="77777777" w:rsidR="003F3773" w:rsidRPr="00FB6B2B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FB6B2B">
              <w:rPr>
                <w:rFonts w:cs="Segoe UI"/>
                <w:b/>
                <w:color w:val="000000"/>
                <w:sz w:val="18"/>
                <w:szCs w:val="18"/>
              </w:rPr>
              <w:t>Analýza situace v kraji</w:t>
            </w:r>
          </w:p>
          <w:p w14:paraId="7336AC8B" w14:textId="05F771BD" w:rsidR="003F3773" w:rsidRPr="00FB6B2B" w:rsidRDefault="003501EB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1E28E1">
              <w:rPr>
                <w:rFonts w:cs="Segoe UI"/>
                <w:color w:val="000000"/>
                <w:sz w:val="18"/>
                <w:szCs w:val="18"/>
              </w:rPr>
              <w:t>Obměna spalovacích stacionárních zdrojů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je prováděna průběžně</w:t>
            </w:r>
            <w:r w:rsidRPr="00D104AD">
              <w:rPr>
                <w:rFonts w:cs="Segoe UI"/>
                <w:color w:val="000000"/>
                <w:sz w:val="18"/>
                <w:szCs w:val="18"/>
              </w:rPr>
              <w:t xml:space="preserve"> formou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náhrady za ekologičtější nízkoemisní nebo bezemisní obnoviteln</w:t>
            </w:r>
            <w:r>
              <w:rPr>
                <w:rFonts w:cs="Segoe UI"/>
                <w:color w:val="000000"/>
                <w:sz w:val="18"/>
                <w:szCs w:val="18"/>
              </w:rPr>
              <w:t>é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zdroj</w:t>
            </w:r>
            <w:r>
              <w:rPr>
                <w:rFonts w:cs="Segoe UI"/>
                <w:color w:val="000000"/>
                <w:sz w:val="18"/>
                <w:szCs w:val="18"/>
              </w:rPr>
              <w:t>e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energie (např. instalace 80 ks solárních panelů na střeše budovy krajského úřadu pro ohřev vody). </w:t>
            </w:r>
            <w:r>
              <w:rPr>
                <w:rFonts w:cs="Segoe UI"/>
                <w:color w:val="000000"/>
                <w:sz w:val="18"/>
                <w:szCs w:val="18"/>
              </w:rPr>
              <w:t>Odbor životního prostředí a zemědělství monitoruje aktuální stav legislativy ve vztahu k nutné výměně spalovacích zdrojů, Moravskoslezské energetické centrum, p.o. průběžně identifikuje spalovací zdroje vhodné k výměně z důvodu úspor energie, CO</w:t>
            </w:r>
            <w:r>
              <w:rPr>
                <w:rFonts w:cs="Segoe UI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a v návaznosti na související energetické projekty vedoucí ke snížení uhlíkové stopy. Oba subjekty pak předávají informace odboru 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energetiky, průmyslu a chytrého regionu,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který je koordinuje směrem k příspěvkovým organizacím a odboru investic a majetku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. </w:t>
            </w:r>
            <w:r w:rsidR="003F3773" w:rsidRPr="00FB6B2B">
              <w:rPr>
                <w:rFonts w:cs="Segoe UI"/>
                <w:color w:val="000000"/>
                <w:sz w:val="18"/>
                <w:szCs w:val="18"/>
              </w:rPr>
              <w:t>Snížení spotřeby energií a současně i snižování emisí u objektů v majetku kraje dochází rovněž díky zaveden</w:t>
            </w:r>
            <w:r w:rsidR="00D104AD">
              <w:rPr>
                <w:rFonts w:cs="Segoe UI"/>
                <w:color w:val="000000"/>
                <w:sz w:val="18"/>
                <w:szCs w:val="18"/>
              </w:rPr>
              <w:t>ím</w:t>
            </w:r>
            <w:r w:rsidR="003F3773" w:rsidRPr="00FB6B2B">
              <w:rPr>
                <w:rFonts w:cs="Segoe UI"/>
                <w:color w:val="000000"/>
                <w:sz w:val="18"/>
                <w:szCs w:val="18"/>
              </w:rPr>
              <w:t xml:space="preserve"> systému energetického managementu v souladu s požadavky ČSN EN ISO 50001.</w:t>
            </w:r>
          </w:p>
        </w:tc>
        <w:tc>
          <w:tcPr>
            <w:tcW w:w="660" w:type="pct"/>
            <w:shd w:val="clear" w:color="auto" w:fill="auto"/>
          </w:tcPr>
          <w:p w14:paraId="138647DC" w14:textId="661622A1" w:rsidR="003F3773" w:rsidRPr="00FB6B2B" w:rsidRDefault="003501EB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životního prostředí a zemědělství ve spolupráci s </w:t>
            </w: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>odbor</w:t>
            </w: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em</w:t>
            </w: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energetiky, průmyslu a chytrého regionu </w:t>
            </w:r>
            <w:r w:rsidRPr="00E45749">
              <w:rPr>
                <w:rFonts w:cs="Segoe UI"/>
                <w:iCs/>
                <w:color w:val="000000" w:themeColor="text1"/>
                <w:sz w:val="18"/>
                <w:szCs w:val="18"/>
              </w:rPr>
              <w:t>a</w:t>
            </w:r>
            <w:r>
              <w:rPr>
                <w:rFonts w:cs="Segoe UI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Moravskoslezsk</w:t>
            </w:r>
            <w:r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energetick</w:t>
            </w:r>
            <w:r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centr</w:t>
            </w:r>
            <w:r>
              <w:rPr>
                <w:rFonts w:cs="Segoe UI"/>
                <w:color w:val="000000"/>
                <w:sz w:val="18"/>
                <w:szCs w:val="18"/>
              </w:rPr>
              <w:t>em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, p.o.</w:t>
            </w:r>
          </w:p>
        </w:tc>
        <w:tc>
          <w:tcPr>
            <w:tcW w:w="451" w:type="pct"/>
            <w:shd w:val="clear" w:color="auto" w:fill="auto"/>
          </w:tcPr>
          <w:p w14:paraId="149EA1BC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  <w:p w14:paraId="217F8409" w14:textId="12527D62" w:rsidR="009C00DD" w:rsidRPr="00FB6B2B" w:rsidRDefault="009C00DD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Finanční podpora státu</w:t>
            </w:r>
          </w:p>
        </w:tc>
        <w:tc>
          <w:tcPr>
            <w:tcW w:w="525" w:type="pct"/>
            <w:shd w:val="clear" w:color="auto" w:fill="auto"/>
          </w:tcPr>
          <w:p w14:paraId="33F92131" w14:textId="75F31576" w:rsidR="003F3773" w:rsidRPr="001E28E1" w:rsidRDefault="005B5AE6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  <w:highlight w:val="yellow"/>
              </w:rPr>
            </w:pPr>
            <w:r w:rsidRPr="00D76D36">
              <w:rPr>
                <w:rFonts w:cs="Segoe UI"/>
                <w:b/>
                <w:i/>
                <w:color w:val="000000"/>
                <w:sz w:val="18"/>
                <w:szCs w:val="18"/>
              </w:rPr>
              <w:t>Průběžně</w:t>
            </w:r>
          </w:p>
        </w:tc>
      </w:tr>
      <w:tr w:rsidR="003F3773" w14:paraId="7E691DDF" w14:textId="77777777" w:rsidTr="00EF6832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0C5DC75B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4B59F5E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46AF7A3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54EF879C" w14:textId="77777777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216D2152" w14:textId="77777777" w:rsidR="003F3773" w:rsidRPr="00FB6B2B" w:rsidRDefault="003F3773" w:rsidP="003B5AD3">
            <w:pPr>
              <w:pStyle w:val="Bezmezer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FB6B2B">
              <w:rPr>
                <w:rFonts w:cs="Segoe UI"/>
                <w:b/>
                <w:bCs/>
                <w:color w:val="000000"/>
                <w:sz w:val="18"/>
                <w:szCs w:val="18"/>
              </w:rPr>
              <w:t xml:space="preserve">Identifikace možných finančních prostředků </w:t>
            </w:r>
          </w:p>
          <w:p w14:paraId="04325566" w14:textId="5551FBD2" w:rsidR="003F3773" w:rsidRPr="00FB6B2B" w:rsidRDefault="003501EB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FB6B2B">
              <w:rPr>
                <w:rFonts w:cs="Segoe UI"/>
                <w:color w:val="000000"/>
                <w:sz w:val="18"/>
                <w:szCs w:val="18"/>
              </w:rPr>
              <w:t>Nároky na financování jsou v rámci rozpočtu kraje vznášeny průběžně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(také na základě požadavků dotčené příspěvkové organizace kraje)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, v závislosti na připravenost konkrétní dané investice do majetku kraje.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Analýza možného čerpání finančních prostředků mimo rozpočet kraje je v gesci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Moravskoslezsk</w:t>
            </w:r>
            <w:r>
              <w:rPr>
                <w:rFonts w:cs="Segoe UI"/>
                <w:color w:val="000000"/>
                <w:sz w:val="18"/>
                <w:szCs w:val="18"/>
              </w:rPr>
              <w:t>ého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energetick</w:t>
            </w:r>
            <w:r>
              <w:rPr>
                <w:rFonts w:cs="Segoe UI"/>
                <w:color w:val="000000"/>
                <w:sz w:val="18"/>
                <w:szCs w:val="18"/>
              </w:rPr>
              <w:t>ého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centr</w:t>
            </w:r>
            <w:r>
              <w:rPr>
                <w:rFonts w:cs="Segoe UI"/>
                <w:color w:val="000000"/>
                <w:sz w:val="18"/>
                <w:szCs w:val="18"/>
              </w:rPr>
              <w:t>a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, p.o. </w:t>
            </w:r>
            <w:r w:rsidR="003F3773" w:rsidRPr="00FB6B2B">
              <w:rPr>
                <w:rFonts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14:paraId="1A02E8D9" w14:textId="453679EF" w:rsidR="003F3773" w:rsidRPr="00FB6B2B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</w:t>
            </w:r>
            <w:r w:rsidR="003501EB">
              <w:rPr>
                <w:rFonts w:cs="Segoe UI"/>
                <w:i/>
                <w:color w:val="000000" w:themeColor="text1"/>
                <w:sz w:val="18"/>
                <w:szCs w:val="18"/>
              </w:rPr>
              <w:t>investiční a majetkový</w:t>
            </w: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ve spolupráci s 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Moravskoslezsk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energetick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 xml:space="preserve"> centr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em</w:t>
            </w:r>
            <w:r w:rsidRPr="00FB6B2B">
              <w:rPr>
                <w:rFonts w:cs="Segoe UI"/>
                <w:color w:val="000000"/>
                <w:sz w:val="18"/>
                <w:szCs w:val="18"/>
              </w:rPr>
              <w:t>, p.o.</w:t>
            </w:r>
          </w:p>
        </w:tc>
        <w:tc>
          <w:tcPr>
            <w:tcW w:w="451" w:type="pct"/>
            <w:shd w:val="clear" w:color="auto" w:fill="auto"/>
          </w:tcPr>
          <w:p w14:paraId="7CAB888C" w14:textId="5EE7F195" w:rsidR="003F3773" w:rsidRPr="00FB6B2B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FB6B2B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Finanční zdroje kraje, dotační tituly státu </w:t>
            </w:r>
          </w:p>
        </w:tc>
        <w:tc>
          <w:tcPr>
            <w:tcW w:w="525" w:type="pct"/>
            <w:shd w:val="clear" w:color="auto" w:fill="auto"/>
          </w:tcPr>
          <w:p w14:paraId="5BA25A25" w14:textId="3F60A1BC" w:rsidR="003F3773" w:rsidRPr="00FB6B2B" w:rsidRDefault="005B5AE6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b/>
                <w:i/>
                <w:color w:val="000000"/>
                <w:sz w:val="18"/>
                <w:szCs w:val="18"/>
              </w:rPr>
              <w:t>Průběžně</w:t>
            </w:r>
          </w:p>
        </w:tc>
      </w:tr>
      <w:tr w:rsidR="003F3773" w14:paraId="0CDFA522" w14:textId="77777777" w:rsidTr="00EF6832">
        <w:trPr>
          <w:trHeight w:val="1102"/>
        </w:trPr>
        <w:tc>
          <w:tcPr>
            <w:tcW w:w="346" w:type="pct"/>
            <w:vMerge/>
            <w:shd w:val="clear" w:color="auto" w:fill="auto"/>
          </w:tcPr>
          <w:p w14:paraId="35071684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6BF79380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13E295A1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14:paraId="76930C57" w14:textId="77777777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64EC2589" w14:textId="77777777" w:rsidR="003F3773" w:rsidRPr="00D76D36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b/>
                <w:color w:val="000000"/>
                <w:sz w:val="18"/>
                <w:szCs w:val="18"/>
              </w:rPr>
              <w:t>Předložení materiálu ke schválení radě/zastupitelstvu</w:t>
            </w:r>
          </w:p>
          <w:p w14:paraId="024D510F" w14:textId="55F0AD13" w:rsidR="003F3773" w:rsidRPr="00D76D36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color w:val="000000"/>
                <w:sz w:val="18"/>
                <w:szCs w:val="18"/>
              </w:rPr>
              <w:t xml:space="preserve">S ohledem na připravenost konkrétní dané </w:t>
            </w:r>
            <w:r w:rsidR="003501EB">
              <w:rPr>
                <w:rFonts w:cs="Segoe UI"/>
                <w:color w:val="000000"/>
                <w:sz w:val="18"/>
                <w:szCs w:val="18"/>
              </w:rPr>
              <w:t xml:space="preserve">hmotné </w:t>
            </w:r>
            <w:r w:rsidRPr="00D76D36">
              <w:rPr>
                <w:rFonts w:cs="Segoe UI"/>
                <w:color w:val="000000"/>
                <w:sz w:val="18"/>
                <w:szCs w:val="18"/>
              </w:rPr>
              <w:t xml:space="preserve">investice do majetku kraje, jsou </w:t>
            </w:r>
            <w:r w:rsidR="003501EB">
              <w:rPr>
                <w:rFonts w:cs="Segoe UI"/>
                <w:color w:val="000000"/>
                <w:sz w:val="18"/>
                <w:szCs w:val="18"/>
              </w:rPr>
              <w:t>schvalovány především v rámci rozpočtu kraje na daný rok a střednědobého výhledu.</w:t>
            </w:r>
          </w:p>
        </w:tc>
        <w:tc>
          <w:tcPr>
            <w:tcW w:w="660" w:type="pct"/>
            <w:shd w:val="clear" w:color="auto" w:fill="auto"/>
          </w:tcPr>
          <w:p w14:paraId="6B2B4BD8" w14:textId="0D2C9749" w:rsidR="003F3773" w:rsidRPr="00D76D36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</w:t>
            </w:r>
            <w:r w:rsidR="003501EB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investiční a majetkový </w:t>
            </w: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ve spolupráci s </w:t>
            </w:r>
            <w:r w:rsidRPr="00D76D36">
              <w:rPr>
                <w:rFonts w:cs="Segoe UI"/>
                <w:color w:val="000000"/>
                <w:sz w:val="18"/>
                <w:szCs w:val="18"/>
              </w:rPr>
              <w:t>Moravskoslezsk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D76D36">
              <w:rPr>
                <w:rFonts w:cs="Segoe UI"/>
                <w:color w:val="000000"/>
                <w:sz w:val="18"/>
                <w:szCs w:val="18"/>
              </w:rPr>
              <w:t xml:space="preserve"> energetick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ým</w:t>
            </w:r>
            <w:r w:rsidRPr="00D76D36">
              <w:rPr>
                <w:rFonts w:cs="Segoe UI"/>
                <w:color w:val="000000"/>
                <w:sz w:val="18"/>
                <w:szCs w:val="18"/>
              </w:rPr>
              <w:t xml:space="preserve"> centr</w:t>
            </w:r>
            <w:r w:rsidR="000E08BE">
              <w:rPr>
                <w:rFonts w:cs="Segoe UI"/>
                <w:color w:val="000000"/>
                <w:sz w:val="18"/>
                <w:szCs w:val="18"/>
              </w:rPr>
              <w:t>em</w:t>
            </w:r>
            <w:r w:rsidRPr="00D76D36">
              <w:rPr>
                <w:rFonts w:cs="Segoe UI"/>
                <w:color w:val="000000"/>
                <w:sz w:val="18"/>
                <w:szCs w:val="18"/>
              </w:rPr>
              <w:t>, p.o.</w:t>
            </w:r>
          </w:p>
        </w:tc>
        <w:tc>
          <w:tcPr>
            <w:tcW w:w="451" w:type="pct"/>
            <w:shd w:val="clear" w:color="auto" w:fill="auto"/>
          </w:tcPr>
          <w:p w14:paraId="77097B6E" w14:textId="1645AC14" w:rsidR="003F3773" w:rsidRPr="00D76D36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kraje, dotační tituly státu</w:t>
            </w:r>
          </w:p>
        </w:tc>
        <w:tc>
          <w:tcPr>
            <w:tcW w:w="525" w:type="pct"/>
            <w:shd w:val="clear" w:color="auto" w:fill="auto"/>
          </w:tcPr>
          <w:p w14:paraId="41D11356" w14:textId="0D5EB950" w:rsidR="003F3773" w:rsidRPr="00D76D36" w:rsidRDefault="003F3773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b/>
                <w:i/>
                <w:color w:val="000000"/>
                <w:sz w:val="18"/>
                <w:szCs w:val="18"/>
              </w:rPr>
              <w:t xml:space="preserve">Průběžně </w:t>
            </w:r>
          </w:p>
        </w:tc>
      </w:tr>
      <w:tr w:rsidR="003F3773" w14:paraId="4B70A138" w14:textId="77777777" w:rsidTr="00EF6832">
        <w:trPr>
          <w:trHeight w:val="992"/>
        </w:trPr>
        <w:tc>
          <w:tcPr>
            <w:tcW w:w="346" w:type="pct"/>
            <w:vMerge/>
            <w:shd w:val="clear" w:color="auto" w:fill="auto"/>
          </w:tcPr>
          <w:p w14:paraId="396308DA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2757623F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5E60D690" w14:textId="77777777" w:rsidR="003F3773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shd w:val="clear" w:color="auto" w:fill="auto"/>
          </w:tcPr>
          <w:p w14:paraId="44143DAF" w14:textId="77777777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b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526" w:type="pct"/>
            <w:shd w:val="clear" w:color="auto" w:fill="auto"/>
          </w:tcPr>
          <w:p w14:paraId="03806F7A" w14:textId="7A8E328D" w:rsidR="003F3773" w:rsidRPr="0005448D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5448D">
              <w:rPr>
                <w:rFonts w:cs="Segoe UI"/>
                <w:b/>
                <w:color w:val="000000"/>
                <w:sz w:val="18"/>
                <w:szCs w:val="18"/>
              </w:rPr>
              <w:t>Spuštění dané akce</w:t>
            </w:r>
          </w:p>
          <w:p w14:paraId="578F4794" w14:textId="53D1DC6B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  <w:highlight w:val="yellow"/>
              </w:rPr>
            </w:pPr>
            <w:r w:rsidRPr="0005448D">
              <w:rPr>
                <w:rFonts w:cs="Segoe UI"/>
                <w:color w:val="000000"/>
                <w:sz w:val="18"/>
                <w:szCs w:val="18"/>
              </w:rPr>
              <w:t>Spuštění dané akce (investice) bude závislé na připravenost konkrétní dané investice do majetku kraje.</w:t>
            </w:r>
          </w:p>
        </w:tc>
        <w:tc>
          <w:tcPr>
            <w:tcW w:w="660" w:type="pct"/>
            <w:shd w:val="clear" w:color="auto" w:fill="auto"/>
          </w:tcPr>
          <w:p w14:paraId="2EB9CCE9" w14:textId="105393CC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  <w:highlight w:val="yellow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</w:t>
            </w:r>
            <w:r w:rsidR="00C0427E" w:rsidRPr="005837C0">
              <w:rPr>
                <w:rFonts w:cs="Segoe UI"/>
                <w:i/>
                <w:color w:val="000000" w:themeColor="text1"/>
                <w:sz w:val="18"/>
                <w:szCs w:val="18"/>
              </w:rPr>
              <w:t>investi</w:t>
            </w:r>
            <w:r w:rsidR="003501EB">
              <w:rPr>
                <w:rFonts w:cs="Segoe UI"/>
                <w:i/>
                <w:color w:val="000000" w:themeColor="text1"/>
                <w:sz w:val="18"/>
                <w:szCs w:val="18"/>
              </w:rPr>
              <w:t>ční</w:t>
            </w:r>
            <w:r w:rsidR="00C0427E" w:rsidRPr="005837C0"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 a majetk</w:t>
            </w:r>
            <w:r w:rsidR="003501EB">
              <w:rPr>
                <w:rFonts w:cs="Segoe UI"/>
                <w:i/>
                <w:color w:val="000000" w:themeColor="text1"/>
                <w:sz w:val="18"/>
                <w:szCs w:val="18"/>
              </w:rPr>
              <w:t>ový ve spolupráci s dotčenou příspěvkovou organizací kraje</w:t>
            </w:r>
          </w:p>
        </w:tc>
        <w:tc>
          <w:tcPr>
            <w:tcW w:w="451" w:type="pct"/>
            <w:shd w:val="clear" w:color="auto" w:fill="auto"/>
          </w:tcPr>
          <w:p w14:paraId="28F6DFD0" w14:textId="5C056ECE" w:rsidR="003F3773" w:rsidRPr="00ED3978" w:rsidRDefault="003F3773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  <w:highlight w:val="yellow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kraje, dotační tituly státu</w:t>
            </w:r>
          </w:p>
        </w:tc>
        <w:tc>
          <w:tcPr>
            <w:tcW w:w="525" w:type="pct"/>
            <w:shd w:val="clear" w:color="auto" w:fill="auto"/>
          </w:tcPr>
          <w:p w14:paraId="21F4E7E3" w14:textId="7F0CC67D" w:rsidR="003F3773" w:rsidRPr="00ED3978" w:rsidRDefault="003F3773" w:rsidP="003B5AD3">
            <w:pPr>
              <w:rPr>
                <w:rFonts w:cs="Segoe UI"/>
                <w:b/>
                <w:i/>
                <w:color w:val="000000"/>
                <w:sz w:val="18"/>
                <w:szCs w:val="18"/>
                <w:highlight w:val="yellow"/>
              </w:rPr>
            </w:pPr>
            <w:r w:rsidRPr="00D76D36">
              <w:rPr>
                <w:rFonts w:cs="Segoe UI"/>
                <w:b/>
                <w:i/>
                <w:color w:val="000000"/>
                <w:sz w:val="18"/>
                <w:szCs w:val="18"/>
              </w:rPr>
              <w:t>Průběžně</w:t>
            </w:r>
          </w:p>
        </w:tc>
      </w:tr>
      <w:tr w:rsidR="00816952" w14:paraId="6503D781" w14:textId="77777777" w:rsidTr="006F2BE3">
        <w:trPr>
          <w:trHeight w:val="504"/>
        </w:trPr>
        <w:tc>
          <w:tcPr>
            <w:tcW w:w="346" w:type="pct"/>
            <w:vMerge w:val="restart"/>
            <w:shd w:val="clear" w:color="auto" w:fill="auto"/>
          </w:tcPr>
          <w:p w14:paraId="588B74A8" w14:textId="15480467" w:rsidR="00816952" w:rsidRPr="00507746" w:rsidRDefault="00816952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/>
                <w:sz w:val="18"/>
                <w:szCs w:val="18"/>
              </w:rPr>
              <w:t>PZKO_2020_2</w:t>
            </w:r>
          </w:p>
        </w:tc>
        <w:tc>
          <w:tcPr>
            <w:tcW w:w="523" w:type="pct"/>
            <w:vMerge w:val="restart"/>
            <w:shd w:val="clear" w:color="auto" w:fill="auto"/>
          </w:tcPr>
          <w:p w14:paraId="7907471D" w14:textId="16E4382C" w:rsidR="00816952" w:rsidRPr="00024A5D" w:rsidRDefault="00816952" w:rsidP="003B5AD3">
            <w:pPr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  <w:r w:rsidRPr="00024A5D">
              <w:rPr>
                <w:rFonts w:cs="Segoe UI"/>
                <w:b/>
                <w:color w:val="000000"/>
                <w:sz w:val="18"/>
                <w:szCs w:val="18"/>
              </w:rPr>
              <w:t>Zvýšení povědomí provozovatelů o vlivu spalování pevných paliv na kvalitu ovzduší, významu správné údržby a obsluhy zdrojů a volby spalovaného paliva</w:t>
            </w:r>
          </w:p>
        </w:tc>
        <w:tc>
          <w:tcPr>
            <w:tcW w:w="379" w:type="pct"/>
            <w:vMerge w:val="restart"/>
            <w:shd w:val="clear" w:color="auto" w:fill="auto"/>
          </w:tcPr>
          <w:p w14:paraId="27402DEE" w14:textId="4C537D67" w:rsidR="00816952" w:rsidRPr="00507746" w:rsidRDefault="00816952" w:rsidP="003B5AD3">
            <w:pPr>
              <w:spacing w:after="0" w:line="240" w:lineRule="auto"/>
              <w:rPr>
                <w:rFonts w:cs="Segoe UI"/>
                <w:b/>
                <w:bCs/>
                <w:iCs/>
                <w:color w:val="000000"/>
                <w:sz w:val="18"/>
                <w:szCs w:val="18"/>
              </w:rPr>
            </w:pPr>
            <w:r w:rsidRPr="00507746">
              <w:rPr>
                <w:rFonts w:cs="Segoe UI"/>
                <w:b/>
                <w:bCs/>
                <w:iCs/>
                <w:color w:val="000000" w:themeColor="text1"/>
                <w:sz w:val="18"/>
                <w:szCs w:val="18"/>
              </w:rPr>
              <w:t>Moravskoslezský kraj</w:t>
            </w:r>
          </w:p>
        </w:tc>
        <w:tc>
          <w:tcPr>
            <w:tcW w:w="590" w:type="pct"/>
            <w:shd w:val="clear" w:color="auto" w:fill="auto"/>
          </w:tcPr>
          <w:p w14:paraId="5AF99D92" w14:textId="3FAA98F1" w:rsidR="00816952" w:rsidRPr="00507746" w:rsidRDefault="00816952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 xml:space="preserve">Osvěta </w:t>
            </w:r>
          </w:p>
          <w:p w14:paraId="21BF30AF" w14:textId="77777777" w:rsidR="00816952" w:rsidRPr="00507746" w:rsidRDefault="00816952" w:rsidP="003B5AD3">
            <w:pPr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</w:p>
          <w:p w14:paraId="642EC9D1" w14:textId="21CF1E03" w:rsidR="00816952" w:rsidRPr="00507746" w:rsidRDefault="00816952" w:rsidP="003B5AD3">
            <w:pPr>
              <w:spacing w:after="0" w:line="240" w:lineRule="auto"/>
              <w:rPr>
                <w:rFonts w:cs="Segoe UI"/>
                <w:iCs/>
                <w:color w:val="000000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>Edukativní a osvětová kampaň o správném/špatném topení v rámci výstavy INFOTHERMA</w:t>
            </w:r>
          </w:p>
        </w:tc>
        <w:tc>
          <w:tcPr>
            <w:tcW w:w="1526" w:type="pct"/>
            <w:shd w:val="clear" w:color="auto" w:fill="auto"/>
          </w:tcPr>
          <w:p w14:paraId="72014644" w14:textId="3355DC21" w:rsidR="00816952" w:rsidRPr="00232447" w:rsidRDefault="00816952" w:rsidP="003B5A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Za ú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>čast</w:t>
            </w:r>
            <w:r>
              <w:rPr>
                <w:rFonts w:cs="Segoe UI"/>
                <w:color w:val="000000"/>
                <w:sz w:val="18"/>
                <w:szCs w:val="18"/>
              </w:rPr>
              <w:t>i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 xml:space="preserve"> zástupců kraje ve spolupráci s odborníky Vysoké školy báňské - </w:t>
            </w:r>
            <w:r>
              <w:rPr>
                <w:rFonts w:cs="Segoe UI"/>
                <w:color w:val="000000"/>
                <w:sz w:val="18"/>
                <w:szCs w:val="18"/>
              </w:rPr>
              <w:t>T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>echnické univerzity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Ostrava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 xml:space="preserve">, je na výstavě INFOTHERMA </w:t>
            </w:r>
            <w:r>
              <w:rPr>
                <w:rFonts w:cs="Segoe UI"/>
                <w:color w:val="000000"/>
                <w:sz w:val="18"/>
                <w:szCs w:val="18"/>
              </w:rPr>
              <w:t>realizována edukativní a osvětová kampaň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 xml:space="preserve">, která se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v minulosti již 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 xml:space="preserve">osvědčila. Formou pochopitelnou pro širokou veřejnost všech věkových kategorií jsou každoročně, s výjimkou období pandemie, podávány informace o nesprávném i správném způsobu obsluhy zejména domácích kotlů, vhodném i nevhodném výběru paliv apod. Výhodou je rovněž skutečnost, že výstavu navštěvují občané, kteří mají zájem nejen se něco nového dozvědět o vytápění, ale mají rovněž zájem o různé finanční podpory na výměnu starých nevyhovujících kotlů, což společný stánek krajského úřadu a Vysoké školy báňské - Technické univerzity 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Ostrava </w:t>
            </w:r>
            <w:r w:rsidRPr="00232447">
              <w:rPr>
                <w:rFonts w:cs="Segoe UI"/>
                <w:color w:val="000000"/>
                <w:sz w:val="18"/>
                <w:szCs w:val="18"/>
              </w:rPr>
              <w:t>zajišťuje.</w:t>
            </w:r>
          </w:p>
        </w:tc>
        <w:tc>
          <w:tcPr>
            <w:tcW w:w="660" w:type="pct"/>
            <w:shd w:val="clear" w:color="auto" w:fill="auto"/>
          </w:tcPr>
          <w:p w14:paraId="47358846" w14:textId="2B5A2EDB" w:rsidR="00816952" w:rsidRDefault="00816952" w:rsidP="00BD568E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 a zemědělství ve spolupráci s odborem regionálního rozvoje a cestovního ruchu</w:t>
            </w:r>
          </w:p>
          <w:p w14:paraId="35F19BC2" w14:textId="7A42E4B0" w:rsidR="00816952" w:rsidRPr="00232447" w:rsidRDefault="00816952" w:rsidP="003B5A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14:paraId="10F14177" w14:textId="16CD1D23" w:rsidR="00816952" w:rsidRPr="00232447" w:rsidRDefault="00816952" w:rsidP="003B5AD3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1269197F" w14:textId="7FEAB99F" w:rsidR="00816952" w:rsidRPr="00232447" w:rsidRDefault="00816952" w:rsidP="003B5AD3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Každoročně v lednu/únoru</w:t>
            </w:r>
            <w:r w:rsidRPr="00232447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16952" w14:paraId="5BB4DF46" w14:textId="77777777" w:rsidTr="006F2BE3">
        <w:trPr>
          <w:trHeight w:val="504"/>
        </w:trPr>
        <w:tc>
          <w:tcPr>
            <w:tcW w:w="346" w:type="pct"/>
            <w:vMerge/>
            <w:shd w:val="clear" w:color="auto" w:fill="auto"/>
          </w:tcPr>
          <w:p w14:paraId="6BC199C2" w14:textId="729FEF4B" w:rsidR="00816952" w:rsidRDefault="00816952" w:rsidP="00BD568E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7D34995D" w14:textId="0D4030E1" w:rsidR="00816952" w:rsidRDefault="00816952" w:rsidP="00BD568E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65EC8895" w14:textId="4FF1E08C" w:rsidR="00816952" w:rsidRDefault="00816952" w:rsidP="00BD568E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shd w:val="clear" w:color="auto" w:fill="auto"/>
          </w:tcPr>
          <w:p w14:paraId="1EE13E38" w14:textId="77777777" w:rsidR="00816952" w:rsidRPr="00507746" w:rsidRDefault="00816952" w:rsidP="00BD568E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 xml:space="preserve">Osvěta </w:t>
            </w:r>
          </w:p>
          <w:p w14:paraId="421CA8FC" w14:textId="77777777" w:rsidR="00816952" w:rsidRPr="00507746" w:rsidRDefault="00816952" w:rsidP="00BD568E">
            <w:pPr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</w:p>
          <w:p w14:paraId="3E40A973" w14:textId="32DC821D" w:rsidR="00816952" w:rsidRPr="00507746" w:rsidRDefault="00816952" w:rsidP="00BD568E">
            <w:pPr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 xml:space="preserve">Webové stránky lokalnitopeniste.cz </w:t>
            </w:r>
          </w:p>
        </w:tc>
        <w:tc>
          <w:tcPr>
            <w:tcW w:w="1526" w:type="pct"/>
            <w:shd w:val="clear" w:color="auto" w:fill="auto"/>
          </w:tcPr>
          <w:p w14:paraId="51B17B24" w14:textId="79F3AD28" w:rsidR="00816952" w:rsidRPr="00BD568E" w:rsidRDefault="00816952" w:rsidP="005837C0">
            <w:pPr>
              <w:pStyle w:val="Bezmezer"/>
              <w:rPr>
                <w:rFonts w:ascii="Tahoma" w:hAnsi="Tahoma"/>
                <w:i/>
                <w:iCs/>
                <w:lang w:eastAsia="cs-CZ"/>
              </w:rPr>
            </w:pPr>
            <w:r w:rsidRPr="005837C0">
              <w:rPr>
                <w:rFonts w:cs="Segoe UI"/>
                <w:color w:val="000000"/>
                <w:sz w:val="18"/>
                <w:szCs w:val="18"/>
              </w:rPr>
              <w:t>Webové stránky lokalnitopeniste.cz byly zřízeny krajem za účelem poskytování informací široké veřejnosti o správném i nesprávném způsobu vytápění domácností, o dotačních možnostech financování obměny kotlů, jednotlivých výzvách k podávání žádostí v rámci kotlíkových dotací a slouží jako informační portfolio v oblasti malé energetiky.</w:t>
            </w:r>
            <w:r w:rsidRPr="00BD568E"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14:paraId="24317644" w14:textId="77777777" w:rsidR="00816952" w:rsidRDefault="00816952" w:rsidP="00BD568E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>odbor životního prostředí ve spolupráci s odborem regionálního rozvoje a cestovního ruchu</w:t>
            </w:r>
          </w:p>
          <w:p w14:paraId="20CDF02B" w14:textId="77196480" w:rsidR="00816952" w:rsidRDefault="00816952" w:rsidP="00BD568E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14:paraId="17835E2A" w14:textId="2753A006" w:rsidR="00816952" w:rsidRDefault="00816952" w:rsidP="00BD568E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25C0421B" w14:textId="674186B9" w:rsidR="00816952" w:rsidRDefault="00816952" w:rsidP="00BD568E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Průběžně </w:t>
            </w:r>
            <w:r w:rsidRPr="00232447"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16952" w14:paraId="101B75F7" w14:textId="77777777" w:rsidTr="006F2BE3">
        <w:trPr>
          <w:trHeight w:val="504"/>
        </w:trPr>
        <w:tc>
          <w:tcPr>
            <w:tcW w:w="346" w:type="pct"/>
            <w:vMerge/>
            <w:shd w:val="clear" w:color="auto" w:fill="auto"/>
          </w:tcPr>
          <w:p w14:paraId="4B6ABFBB" w14:textId="77777777" w:rsidR="00816952" w:rsidRDefault="00816952" w:rsidP="00CF5B42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594A56ED" w14:textId="77777777" w:rsidR="00816952" w:rsidRDefault="00816952" w:rsidP="00CF5B42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14:paraId="13F5B4D1" w14:textId="77777777" w:rsidR="00816952" w:rsidRDefault="00816952" w:rsidP="00CF5B42">
            <w:pPr>
              <w:spacing w:after="0" w:line="240" w:lineRule="auto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shd w:val="clear" w:color="auto" w:fill="auto"/>
          </w:tcPr>
          <w:p w14:paraId="530AA310" w14:textId="77777777" w:rsidR="00816952" w:rsidRPr="00507746" w:rsidRDefault="00816952" w:rsidP="00CF5B42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>Osvěta</w:t>
            </w:r>
          </w:p>
          <w:p w14:paraId="5F6CC2CF" w14:textId="77777777" w:rsidR="00816952" w:rsidRPr="00507746" w:rsidRDefault="00816952" w:rsidP="00CF5B42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</w:p>
          <w:p w14:paraId="54266CEC" w14:textId="53C582E3" w:rsidR="00816952" w:rsidRPr="00507746" w:rsidRDefault="00816952" w:rsidP="00CF5B42">
            <w:pPr>
              <w:tabs>
                <w:tab w:val="center" w:pos="7088"/>
              </w:tabs>
              <w:spacing w:after="0" w:line="240" w:lineRule="auto"/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</w:pPr>
            <w:r w:rsidRPr="00507746">
              <w:rPr>
                <w:rFonts w:cs="Segoe UI"/>
                <w:b/>
                <w:iCs/>
                <w:color w:val="000000" w:themeColor="text1"/>
                <w:sz w:val="18"/>
                <w:szCs w:val="18"/>
              </w:rPr>
              <w:t>Distribuce edukativních materiálů z projektu LIFE „Zlepšenie implementácie programov na zlepšenie kvality ovzdušia na Slovensku posilnením kapacít a kompetencií regionálnych a miestnych orgánov a podporou opatrení v oblasti kvality ovzdušia“ na všechny obce v kraji</w:t>
            </w:r>
          </w:p>
        </w:tc>
        <w:tc>
          <w:tcPr>
            <w:tcW w:w="1526" w:type="pct"/>
            <w:shd w:val="clear" w:color="auto" w:fill="auto"/>
          </w:tcPr>
          <w:p w14:paraId="612D8003" w14:textId="081FA2FD" w:rsidR="00816952" w:rsidRPr="005837C0" w:rsidRDefault="00816952" w:rsidP="00CF5B42">
            <w:pPr>
              <w:pStyle w:val="Bezmezer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 xml:space="preserve">V rámci projektu bude mimo jiné vytvořeno </w:t>
            </w:r>
            <w:r w:rsidRPr="009721FC">
              <w:rPr>
                <w:rFonts w:cs="Segoe UI"/>
                <w:color w:val="000000"/>
                <w:sz w:val="18"/>
                <w:szCs w:val="18"/>
              </w:rPr>
              <w:t>11 videospotů</w:t>
            </w:r>
            <w:r>
              <w:rPr>
                <w:rFonts w:cs="Segoe UI"/>
                <w:color w:val="000000"/>
                <w:sz w:val="18"/>
                <w:szCs w:val="18"/>
              </w:rPr>
              <w:t xml:space="preserve"> a desítky doprovodných informačních materiálů </w:t>
            </w:r>
            <w:r w:rsidRPr="009721FC">
              <w:rPr>
                <w:rFonts w:cs="Segoe UI"/>
                <w:color w:val="000000"/>
                <w:sz w:val="18"/>
                <w:szCs w:val="18"/>
              </w:rPr>
              <w:t>s cílem zvýšit informovanost uživatelů spalovacích zařízení na pevná paliva</w:t>
            </w:r>
            <w:r>
              <w:rPr>
                <w:rFonts w:cs="Segoe UI"/>
                <w:color w:val="000000"/>
                <w:sz w:val="18"/>
                <w:szCs w:val="18"/>
              </w:rPr>
              <w:t>, tj. zásady správného vytápění v lokálních zdrojích tepla na tuhá paliva</w:t>
            </w:r>
            <w:r w:rsidRPr="009721FC">
              <w:rPr>
                <w:rFonts w:cs="Segoe UI"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egoe UI"/>
                <w:color w:val="000000"/>
                <w:sz w:val="18"/>
                <w:szCs w:val="18"/>
              </w:rPr>
              <w:t>Tyto materiály budou distribuovány v rámci porad s obcemi, nebo přímo zasílány do datových schránek na představitelé měst a obcí k místnímu využití.</w:t>
            </w:r>
          </w:p>
        </w:tc>
        <w:tc>
          <w:tcPr>
            <w:tcW w:w="660" w:type="pct"/>
            <w:shd w:val="clear" w:color="auto" w:fill="auto"/>
          </w:tcPr>
          <w:p w14:paraId="2994CA9C" w14:textId="5BCC0AD2" w:rsidR="00816952" w:rsidRDefault="00816952" w:rsidP="00CF5B42">
            <w:pPr>
              <w:tabs>
                <w:tab w:val="center" w:pos="7088"/>
              </w:tabs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i/>
                <w:color w:val="000000" w:themeColor="text1"/>
                <w:sz w:val="18"/>
                <w:szCs w:val="18"/>
              </w:rPr>
              <w:t xml:space="preserve">odbor životního prostředí a zemědělství </w:t>
            </w:r>
          </w:p>
        </w:tc>
        <w:tc>
          <w:tcPr>
            <w:tcW w:w="451" w:type="pct"/>
            <w:shd w:val="clear" w:color="auto" w:fill="auto"/>
          </w:tcPr>
          <w:p w14:paraId="4C2D7C24" w14:textId="1FE3FEAE" w:rsidR="00816952" w:rsidRPr="00D76D36" w:rsidRDefault="00816952" w:rsidP="00CF5B42">
            <w:pPr>
              <w:spacing w:after="0" w:line="240" w:lineRule="auto"/>
              <w:rPr>
                <w:rFonts w:cs="Segoe UI"/>
                <w:i/>
                <w:color w:val="000000" w:themeColor="text1"/>
                <w:sz w:val="18"/>
                <w:szCs w:val="18"/>
              </w:rPr>
            </w:pPr>
            <w:r w:rsidRPr="00D76D36">
              <w:rPr>
                <w:rFonts w:cs="Segoe UI"/>
                <w:i/>
                <w:color w:val="000000" w:themeColor="text1"/>
                <w:sz w:val="18"/>
                <w:szCs w:val="18"/>
              </w:rPr>
              <w:t>Finanční zdroje kraje</w:t>
            </w:r>
          </w:p>
        </w:tc>
        <w:tc>
          <w:tcPr>
            <w:tcW w:w="525" w:type="pct"/>
            <w:shd w:val="clear" w:color="auto" w:fill="auto"/>
          </w:tcPr>
          <w:p w14:paraId="08005722" w14:textId="3B525680" w:rsidR="00816952" w:rsidRDefault="00816952" w:rsidP="00CF5B42">
            <w:pPr>
              <w:spacing w:after="0" w:line="240" w:lineRule="auto"/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="Segoe UI"/>
                <w:b/>
                <w:i/>
                <w:color w:val="000000" w:themeColor="text1"/>
                <w:sz w:val="18"/>
                <w:szCs w:val="18"/>
              </w:rPr>
              <w:t>po dobu průběhu projektu (ukončení projektu 2027)</w:t>
            </w:r>
          </w:p>
        </w:tc>
      </w:tr>
    </w:tbl>
    <w:p w14:paraId="5F6F5CCF" w14:textId="77777777" w:rsidR="00AD041B" w:rsidRDefault="00AD041B">
      <w:pPr>
        <w:tabs>
          <w:tab w:val="center" w:pos="7088"/>
        </w:tabs>
        <w:spacing w:after="120" w:line="360" w:lineRule="auto"/>
        <w:rPr>
          <w:rFonts w:ascii="Segoe UI" w:hAnsi="Segoe UI" w:cs="Segoe UI"/>
          <w:b/>
          <w:color w:val="000000"/>
          <w:sz w:val="20"/>
          <w:szCs w:val="20"/>
        </w:rPr>
      </w:pPr>
    </w:p>
    <w:sectPr w:rsidR="00AD041B" w:rsidSect="00C50AD5">
      <w:headerReference w:type="default" r:id="rId8"/>
      <w:footerReference w:type="default" r:id="rId9"/>
      <w:pgSz w:w="23811" w:h="16838" w:orient="landscape" w:code="8"/>
      <w:pgMar w:top="1417" w:right="1674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EAE6" w14:textId="77777777" w:rsidR="006C2E17" w:rsidRDefault="006C2E17">
      <w:pPr>
        <w:spacing w:after="0" w:line="240" w:lineRule="auto"/>
      </w:pPr>
      <w:r>
        <w:separator/>
      </w:r>
    </w:p>
  </w:endnote>
  <w:endnote w:type="continuationSeparator" w:id="0">
    <w:p w14:paraId="4331FC53" w14:textId="77777777" w:rsidR="006C2E17" w:rsidRDefault="006C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13B8" w14:textId="77777777" w:rsidR="00EF6832" w:rsidRDefault="00EF6832">
    <w:pPr>
      <w:rPr>
        <w:rStyle w:val="slostrnky"/>
        <w:sz w:val="16"/>
      </w:rPr>
    </w:pPr>
  </w:p>
  <w:p w14:paraId="29473F62" w14:textId="0A463049" w:rsidR="00EF6832" w:rsidRDefault="00EF6832">
    <w:pPr>
      <w:rPr>
        <w:rStyle w:val="slostrnky"/>
        <w:sz w:val="16"/>
      </w:rPr>
    </w:pPr>
  </w:p>
  <w:p w14:paraId="2D574C4C" w14:textId="77777777" w:rsidR="00EF6832" w:rsidRDefault="00EF6832">
    <w:pPr>
      <w:jc w:val="center"/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5</w:t>
    </w:r>
    <w:r>
      <w:rPr>
        <w:rStyle w:val="slostrnky"/>
        <w:sz w:val="16"/>
      </w:rPr>
      <w:fldChar w:fldCharType="end"/>
    </w:r>
  </w:p>
  <w:p w14:paraId="0916D435" w14:textId="77777777" w:rsidR="00EF6832" w:rsidRDefault="00EF6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B169" w14:textId="77777777" w:rsidR="006C2E17" w:rsidRDefault="006C2E17">
      <w:pPr>
        <w:spacing w:after="0" w:line="240" w:lineRule="auto"/>
      </w:pPr>
      <w:r>
        <w:separator/>
      </w:r>
    </w:p>
  </w:footnote>
  <w:footnote w:type="continuationSeparator" w:id="0">
    <w:p w14:paraId="4B403F71" w14:textId="77777777" w:rsidR="006C2E17" w:rsidRDefault="006C2E17">
      <w:pPr>
        <w:spacing w:after="0" w:line="240" w:lineRule="auto"/>
      </w:pPr>
      <w:r>
        <w:continuationSeparator/>
      </w:r>
    </w:p>
  </w:footnote>
  <w:footnote w:id="1">
    <w:p w14:paraId="60A84D93" w14:textId="77777777" w:rsidR="00EF6832" w:rsidRDefault="00EF6832">
      <w:pPr>
        <w:pStyle w:val="Textpoznpodarou"/>
        <w:rPr>
          <w:rFonts w:ascii="Segoe UI" w:hAnsi="Segoe UI" w:cs="Segoe UI"/>
          <w:color w:val="000000"/>
          <w:sz w:val="16"/>
          <w:szCs w:val="16"/>
        </w:rPr>
      </w:pPr>
      <w:r>
        <w:rPr>
          <w:rStyle w:val="Znakapoznpodarou"/>
          <w:rFonts w:ascii="Segoe UI" w:eastAsia="MS Mincho" w:hAnsi="Segoe UI" w:cs="Segoe UI"/>
          <w:color w:val="000000" w:themeColor="text1"/>
          <w:sz w:val="16"/>
          <w:szCs w:val="16"/>
        </w:rPr>
        <w:footnoteRef/>
      </w:r>
      <w:r>
        <w:rPr>
          <w:rFonts w:ascii="Segoe UI" w:hAnsi="Segoe UI" w:cs="Segoe UI"/>
          <w:color w:val="000000" w:themeColor="text1"/>
          <w:sz w:val="16"/>
          <w:szCs w:val="16"/>
        </w:rPr>
        <w:t xml:space="preserve"> PZKO = program zlepšování kvality ovzduší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D5E9F" w14:textId="0DE7A233" w:rsidR="00EF6832" w:rsidRDefault="00EF6832">
    <w:pPr>
      <w:pStyle w:val="Zhlav"/>
      <w:spacing w:before="100" w:beforeAutospacing="1"/>
      <w:rPr>
        <w:rFonts w:ascii="Segoe UI" w:hAnsi="Segoe UI" w:cs="Segoe UI"/>
        <w:i/>
        <w:sz w:val="16"/>
        <w:szCs w:val="16"/>
      </w:rPr>
    </w:pPr>
    <w:r>
      <w:t xml:space="preserve">    </w:t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8"/>
        <w:szCs w:val="18"/>
      </w:rPr>
      <w:t>Příloha č. 1</w:t>
    </w:r>
  </w:p>
  <w:p w14:paraId="3AC3C285" w14:textId="77777777" w:rsidR="00EF6832" w:rsidRDefault="00EF6832">
    <w:pPr>
      <w:pStyle w:val="Zhlav"/>
      <w:tabs>
        <w:tab w:val="left" w:pos="517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6FD6"/>
    <w:multiLevelType w:val="hybridMultilevel"/>
    <w:tmpl w:val="E5B605F4"/>
    <w:lvl w:ilvl="0" w:tplc="6A080E1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6EF8"/>
    <w:multiLevelType w:val="hybridMultilevel"/>
    <w:tmpl w:val="F698C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96F"/>
    <w:multiLevelType w:val="hybridMultilevel"/>
    <w:tmpl w:val="D302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6D5"/>
    <w:multiLevelType w:val="hybridMultilevel"/>
    <w:tmpl w:val="A23E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5121"/>
    <w:multiLevelType w:val="multilevel"/>
    <w:tmpl w:val="35F8FA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CE46F6"/>
    <w:multiLevelType w:val="hybridMultilevel"/>
    <w:tmpl w:val="6EAC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0FB"/>
    <w:multiLevelType w:val="hybridMultilevel"/>
    <w:tmpl w:val="453EC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A5903"/>
    <w:multiLevelType w:val="hybridMultilevel"/>
    <w:tmpl w:val="28DE3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F433B"/>
    <w:multiLevelType w:val="hybridMultilevel"/>
    <w:tmpl w:val="B7C47ECE"/>
    <w:lvl w:ilvl="0" w:tplc="2A066E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2488"/>
    <w:multiLevelType w:val="hybridMultilevel"/>
    <w:tmpl w:val="05DAE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1B"/>
    <w:rsid w:val="00001D8B"/>
    <w:rsid w:val="00024A5D"/>
    <w:rsid w:val="00025196"/>
    <w:rsid w:val="0005159F"/>
    <w:rsid w:val="0005448D"/>
    <w:rsid w:val="00076DF2"/>
    <w:rsid w:val="00081913"/>
    <w:rsid w:val="00085DD5"/>
    <w:rsid w:val="000A67AE"/>
    <w:rsid w:val="000B3056"/>
    <w:rsid w:val="000E08BE"/>
    <w:rsid w:val="00114257"/>
    <w:rsid w:val="00115B03"/>
    <w:rsid w:val="00122993"/>
    <w:rsid w:val="00141F52"/>
    <w:rsid w:val="001474D9"/>
    <w:rsid w:val="001504D7"/>
    <w:rsid w:val="0016265E"/>
    <w:rsid w:val="001666E9"/>
    <w:rsid w:val="001720AA"/>
    <w:rsid w:val="00176BD3"/>
    <w:rsid w:val="00186D38"/>
    <w:rsid w:val="00186F60"/>
    <w:rsid w:val="001A50BC"/>
    <w:rsid w:val="001B0B31"/>
    <w:rsid w:val="001C30A8"/>
    <w:rsid w:val="001E17ED"/>
    <w:rsid w:val="001E28E1"/>
    <w:rsid w:val="001E6663"/>
    <w:rsid w:val="00232447"/>
    <w:rsid w:val="00233C8B"/>
    <w:rsid w:val="00246AE3"/>
    <w:rsid w:val="00252BA4"/>
    <w:rsid w:val="002824F0"/>
    <w:rsid w:val="00282C9D"/>
    <w:rsid w:val="00290EF7"/>
    <w:rsid w:val="002A165B"/>
    <w:rsid w:val="002D46D3"/>
    <w:rsid w:val="002F24CC"/>
    <w:rsid w:val="002F626F"/>
    <w:rsid w:val="003501EB"/>
    <w:rsid w:val="003616F6"/>
    <w:rsid w:val="00362A39"/>
    <w:rsid w:val="00392F56"/>
    <w:rsid w:val="00397C0D"/>
    <w:rsid w:val="003B18FC"/>
    <w:rsid w:val="003B4AF9"/>
    <w:rsid w:val="003B5AD3"/>
    <w:rsid w:val="003C416D"/>
    <w:rsid w:val="003F2A81"/>
    <w:rsid w:val="003F3773"/>
    <w:rsid w:val="004002FB"/>
    <w:rsid w:val="00407F32"/>
    <w:rsid w:val="004338DE"/>
    <w:rsid w:val="00447E49"/>
    <w:rsid w:val="00460552"/>
    <w:rsid w:val="00464CEB"/>
    <w:rsid w:val="004775D3"/>
    <w:rsid w:val="0049679D"/>
    <w:rsid w:val="004A2E52"/>
    <w:rsid w:val="004B6A7C"/>
    <w:rsid w:val="004C439E"/>
    <w:rsid w:val="00507746"/>
    <w:rsid w:val="00546671"/>
    <w:rsid w:val="005837C0"/>
    <w:rsid w:val="005B5AE6"/>
    <w:rsid w:val="005D059B"/>
    <w:rsid w:val="005F1197"/>
    <w:rsid w:val="005F1717"/>
    <w:rsid w:val="00601770"/>
    <w:rsid w:val="006433BB"/>
    <w:rsid w:val="0065771D"/>
    <w:rsid w:val="00672448"/>
    <w:rsid w:val="006B0E7B"/>
    <w:rsid w:val="006C252D"/>
    <w:rsid w:val="006C2E17"/>
    <w:rsid w:val="006D332F"/>
    <w:rsid w:val="006F2BE3"/>
    <w:rsid w:val="006F7FE8"/>
    <w:rsid w:val="00734727"/>
    <w:rsid w:val="0073641E"/>
    <w:rsid w:val="00745219"/>
    <w:rsid w:val="007A7851"/>
    <w:rsid w:val="007B7D04"/>
    <w:rsid w:val="007D3146"/>
    <w:rsid w:val="00816952"/>
    <w:rsid w:val="00821FB4"/>
    <w:rsid w:val="00823E6B"/>
    <w:rsid w:val="008327CD"/>
    <w:rsid w:val="00842F12"/>
    <w:rsid w:val="00886FA9"/>
    <w:rsid w:val="00897691"/>
    <w:rsid w:val="008A7EFB"/>
    <w:rsid w:val="008B0406"/>
    <w:rsid w:val="008C60A2"/>
    <w:rsid w:val="008C6497"/>
    <w:rsid w:val="008F6CEB"/>
    <w:rsid w:val="009073DC"/>
    <w:rsid w:val="00916AED"/>
    <w:rsid w:val="00943DD6"/>
    <w:rsid w:val="0097216A"/>
    <w:rsid w:val="00975E39"/>
    <w:rsid w:val="009A71F4"/>
    <w:rsid w:val="009C00DD"/>
    <w:rsid w:val="009E0528"/>
    <w:rsid w:val="009F3618"/>
    <w:rsid w:val="00A24A57"/>
    <w:rsid w:val="00A24E46"/>
    <w:rsid w:val="00A4449A"/>
    <w:rsid w:val="00A662A8"/>
    <w:rsid w:val="00A70821"/>
    <w:rsid w:val="00AB02EE"/>
    <w:rsid w:val="00AD041B"/>
    <w:rsid w:val="00AD5A1F"/>
    <w:rsid w:val="00B05BD7"/>
    <w:rsid w:val="00B05F77"/>
    <w:rsid w:val="00B1275E"/>
    <w:rsid w:val="00B34C66"/>
    <w:rsid w:val="00B40A26"/>
    <w:rsid w:val="00B64D8C"/>
    <w:rsid w:val="00BA2CA5"/>
    <w:rsid w:val="00BA7CCF"/>
    <w:rsid w:val="00BB30F8"/>
    <w:rsid w:val="00BD4268"/>
    <w:rsid w:val="00BD568E"/>
    <w:rsid w:val="00BD5D7F"/>
    <w:rsid w:val="00BE5530"/>
    <w:rsid w:val="00C0427E"/>
    <w:rsid w:val="00C22E03"/>
    <w:rsid w:val="00C329B1"/>
    <w:rsid w:val="00C467C0"/>
    <w:rsid w:val="00C50AD5"/>
    <w:rsid w:val="00C74F82"/>
    <w:rsid w:val="00C776C5"/>
    <w:rsid w:val="00C96129"/>
    <w:rsid w:val="00C96CBF"/>
    <w:rsid w:val="00CA0C25"/>
    <w:rsid w:val="00CA4EBB"/>
    <w:rsid w:val="00CC16B0"/>
    <w:rsid w:val="00CE3632"/>
    <w:rsid w:val="00CE3891"/>
    <w:rsid w:val="00CF5B42"/>
    <w:rsid w:val="00D104AD"/>
    <w:rsid w:val="00D10F9D"/>
    <w:rsid w:val="00D32BCD"/>
    <w:rsid w:val="00D33B99"/>
    <w:rsid w:val="00D50FEF"/>
    <w:rsid w:val="00D76D36"/>
    <w:rsid w:val="00DC2C4E"/>
    <w:rsid w:val="00DD36C5"/>
    <w:rsid w:val="00DE2184"/>
    <w:rsid w:val="00DF523B"/>
    <w:rsid w:val="00E04855"/>
    <w:rsid w:val="00E32750"/>
    <w:rsid w:val="00E37696"/>
    <w:rsid w:val="00E529A6"/>
    <w:rsid w:val="00E607F7"/>
    <w:rsid w:val="00E61BEC"/>
    <w:rsid w:val="00E87777"/>
    <w:rsid w:val="00EA7CDE"/>
    <w:rsid w:val="00EC0297"/>
    <w:rsid w:val="00ED3978"/>
    <w:rsid w:val="00EF6832"/>
    <w:rsid w:val="00F11B54"/>
    <w:rsid w:val="00F12F76"/>
    <w:rsid w:val="00F257FD"/>
    <w:rsid w:val="00F30FEE"/>
    <w:rsid w:val="00F3243B"/>
    <w:rsid w:val="00F5643A"/>
    <w:rsid w:val="00F56C74"/>
    <w:rsid w:val="00F64A23"/>
    <w:rsid w:val="00F72222"/>
    <w:rsid w:val="00FB6B2B"/>
    <w:rsid w:val="00FC0AB6"/>
    <w:rsid w:val="00FC3A3C"/>
    <w:rsid w:val="00FC5A95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D101"/>
  <w15:docId w15:val="{A73C3355-A28C-45B9-96E1-E7BD7C09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numPr>
        <w:numId w:val="1"/>
      </w:numPr>
      <w:spacing w:after="120" w:line="288" w:lineRule="auto"/>
      <w:outlineLvl w:val="0"/>
    </w:pPr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="Segoe UI" w:eastAsia="Cambria" w:hAnsi="Segoe UI" w:cs="Segoe UI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Segoe U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clanek">
    <w:name w:val="clanek"/>
    <w:pPr>
      <w:widowControl w:val="0"/>
      <w:spacing w:after="56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u w:val="single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="Cambria" w:hAnsi="Segoe UI" w:cs="Segoe UI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paragraph" w:customStyle="1" w:styleId="CharChar">
    <w:name w:val="Char Char"/>
    <w:basedOn w:val="Normln"/>
    <w:rsid w:val="008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5B35-F909-4FDC-9280-1C19A3FE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1845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Rychtarikova Simona</dc:creator>
  <cp:lastModifiedBy>Bruštík Marek</cp:lastModifiedBy>
  <cp:revision>6</cp:revision>
  <dcterms:created xsi:type="dcterms:W3CDTF">2021-05-04T10:38:00Z</dcterms:created>
  <dcterms:modified xsi:type="dcterms:W3CDTF">2021-05-04T10:44:00Z</dcterms:modified>
</cp:coreProperties>
</file>