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vertAnchor="text" w:tblpX="5757" w:tblpY="-698"/>
        <w:tblOverlap w:val="never"/>
        <w:tblW w:w="3888" w:type="dxa"/>
        <w:tblInd w:w="0" w:type="dxa"/>
        <w:tblCellMar>
          <w:top w:w="56" w:type="dxa"/>
          <w:left w:w="14" w:type="dxa"/>
          <w:bottom w:w="0" w:type="dxa"/>
          <w:right w:w="33" w:type="dxa"/>
        </w:tblCellMar>
        <w:tblLook w:val="04A0" w:firstRow="1" w:lastRow="0" w:firstColumn="1" w:lastColumn="0" w:noHBand="0" w:noVBand="1"/>
      </w:tblPr>
      <w:tblGrid>
        <w:gridCol w:w="1594"/>
        <w:gridCol w:w="1156"/>
        <w:gridCol w:w="1138"/>
      </w:tblGrid>
      <w:tr w:rsidR="009F53FD">
        <w:trPr>
          <w:trHeight w:val="77"/>
        </w:trPr>
        <w:tc>
          <w:tcPr>
            <w:tcW w:w="3888" w:type="dxa"/>
            <w:gridSpan w:val="3"/>
            <w:tcBorders>
              <w:top w:val="nil"/>
              <w:left w:val="single" w:sz="2" w:space="0" w:color="000000"/>
              <w:bottom w:val="single" w:sz="2" w:space="0" w:color="000000"/>
              <w:right w:val="nil"/>
            </w:tcBorders>
          </w:tcPr>
          <w:p w:rsidR="009F53FD" w:rsidRDefault="009F53FD">
            <w:pPr>
              <w:spacing w:after="160" w:line="259" w:lineRule="auto"/>
              <w:ind w:left="0" w:firstLine="0"/>
              <w:jc w:val="left"/>
            </w:pPr>
          </w:p>
        </w:tc>
      </w:tr>
      <w:tr w:rsidR="009F53FD">
        <w:trPr>
          <w:trHeight w:val="316"/>
        </w:trPr>
        <w:tc>
          <w:tcPr>
            <w:tcW w:w="3888" w:type="dxa"/>
            <w:gridSpan w:val="3"/>
            <w:tcBorders>
              <w:top w:val="single" w:sz="2" w:space="0" w:color="000000"/>
              <w:left w:val="single" w:sz="2" w:space="0" w:color="000000"/>
              <w:bottom w:val="nil"/>
              <w:right w:val="single" w:sz="2" w:space="0" w:color="000000"/>
            </w:tcBorders>
          </w:tcPr>
          <w:p w:rsidR="009F53FD" w:rsidRDefault="00643A07">
            <w:pPr>
              <w:spacing w:after="0" w:line="259" w:lineRule="auto"/>
              <w:ind w:left="39" w:firstLine="0"/>
            </w:pPr>
            <w:proofErr w:type="spellStart"/>
            <w:r>
              <w:rPr>
                <w:rFonts w:ascii="Times New Roman" w:eastAsia="Times New Roman" w:hAnsi="Times New Roman" w:cs="Times New Roman"/>
                <w:sz w:val="18"/>
              </w:rPr>
              <w:t>MORAVSKOS</w:t>
            </w:r>
            <w:r>
              <w:rPr>
                <w:rFonts w:ascii="Times New Roman" w:eastAsia="Times New Roman" w:hAnsi="Times New Roman" w:cs="Times New Roman"/>
                <w:sz w:val="18"/>
                <w:u w:val="single" w:color="000000"/>
              </w:rPr>
              <w:t>VÉŽÉkÝ</w:t>
            </w:r>
            <w:proofErr w:type="spellEnd"/>
            <w:r>
              <w:rPr>
                <w:rFonts w:ascii="Times New Roman" w:eastAsia="Times New Roman" w:hAnsi="Times New Roman" w:cs="Times New Roman"/>
                <w:sz w:val="18"/>
                <w:u w:val="single" w:color="000000"/>
              </w:rPr>
              <w:t xml:space="preserve"> KR</w:t>
            </w:r>
            <w:r>
              <w:rPr>
                <w:rFonts w:ascii="Times New Roman" w:eastAsia="Times New Roman" w:hAnsi="Times New Roman" w:cs="Times New Roman"/>
                <w:sz w:val="18"/>
              </w:rPr>
              <w:t>AJ • KRAJSKÝ ÚŘAD</w:t>
            </w:r>
          </w:p>
        </w:tc>
      </w:tr>
      <w:tr w:rsidR="009F53FD">
        <w:trPr>
          <w:trHeight w:val="313"/>
        </w:trPr>
        <w:tc>
          <w:tcPr>
            <w:tcW w:w="3888" w:type="dxa"/>
            <w:gridSpan w:val="3"/>
            <w:tcBorders>
              <w:top w:val="nil"/>
              <w:left w:val="single" w:sz="2" w:space="0" w:color="000000"/>
              <w:bottom w:val="single" w:sz="2" w:space="0" w:color="000000"/>
              <w:right w:val="single" w:sz="2" w:space="0" w:color="000000"/>
            </w:tcBorders>
          </w:tcPr>
          <w:p w:rsidR="009F53FD" w:rsidRDefault="00643A07">
            <w:pPr>
              <w:spacing w:after="0" w:line="259" w:lineRule="auto"/>
              <w:ind w:left="46" w:firstLine="0"/>
              <w:jc w:val="center"/>
            </w:pPr>
            <w:proofErr w:type="spellStart"/>
            <w:r>
              <w:rPr>
                <w:rFonts w:ascii="Times New Roman" w:eastAsia="Times New Roman" w:hAnsi="Times New Roman" w:cs="Times New Roman"/>
              </w:rPr>
              <w:t>dlSLO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šMLôttVY</w:t>
            </w:r>
            <w:proofErr w:type="spellEnd"/>
            <w:r>
              <w:rPr>
                <w:rFonts w:ascii="Times New Roman" w:eastAsia="Times New Roman" w:hAnsi="Times New Roman" w:cs="Times New Roman"/>
              </w:rPr>
              <w:t xml:space="preserve"> (DODATKU)</w:t>
            </w:r>
          </w:p>
        </w:tc>
      </w:tr>
      <w:tr w:rsidR="009F53FD">
        <w:trPr>
          <w:trHeight w:val="685"/>
        </w:trPr>
        <w:tc>
          <w:tcPr>
            <w:tcW w:w="1594" w:type="dxa"/>
            <w:tcBorders>
              <w:top w:val="single" w:sz="2" w:space="0" w:color="000000"/>
              <w:left w:val="single" w:sz="2" w:space="0" w:color="000000"/>
              <w:bottom w:val="single" w:sz="2" w:space="0" w:color="000000"/>
              <w:right w:val="single" w:sz="2" w:space="0" w:color="000000"/>
            </w:tcBorders>
          </w:tcPr>
          <w:p w:rsidR="009F53FD" w:rsidRDefault="00643A07">
            <w:pPr>
              <w:spacing w:after="0" w:line="259" w:lineRule="auto"/>
              <w:ind w:left="17" w:firstLine="0"/>
              <w:jc w:val="left"/>
            </w:pPr>
            <w:r>
              <w:rPr>
                <w:noProof/>
              </w:rPr>
              <w:drawing>
                <wp:inline distT="0" distB="0" distL="0" distR="0">
                  <wp:extent cx="909827" cy="384048"/>
                  <wp:effectExtent l="0" t="0" r="0" b="0"/>
                  <wp:docPr id="7265" name="Picture 7265"/>
                  <wp:cNvGraphicFramePr/>
                  <a:graphic xmlns:a="http://schemas.openxmlformats.org/drawingml/2006/main">
                    <a:graphicData uri="http://schemas.openxmlformats.org/drawingml/2006/picture">
                      <pic:pic xmlns:pic="http://schemas.openxmlformats.org/drawingml/2006/picture">
                        <pic:nvPicPr>
                          <pic:cNvPr id="7265" name="Picture 7265"/>
                          <pic:cNvPicPr/>
                        </pic:nvPicPr>
                        <pic:blipFill>
                          <a:blip r:embed="rId7"/>
                          <a:stretch>
                            <a:fillRect/>
                          </a:stretch>
                        </pic:blipFill>
                        <pic:spPr>
                          <a:xfrm>
                            <a:off x="0" y="0"/>
                            <a:ext cx="909827" cy="384048"/>
                          </a:xfrm>
                          <a:prstGeom prst="rect">
                            <a:avLst/>
                          </a:prstGeom>
                        </pic:spPr>
                      </pic:pic>
                    </a:graphicData>
                  </a:graphic>
                </wp:inline>
              </w:drawing>
            </w:r>
          </w:p>
        </w:tc>
        <w:tc>
          <w:tcPr>
            <w:tcW w:w="1157" w:type="dxa"/>
            <w:tcBorders>
              <w:top w:val="single" w:sz="2" w:space="0" w:color="000000"/>
              <w:left w:val="single" w:sz="2" w:space="0" w:color="000000"/>
              <w:bottom w:val="single" w:sz="2" w:space="0" w:color="000000"/>
              <w:right w:val="single" w:sz="2" w:space="0" w:color="000000"/>
            </w:tcBorders>
          </w:tcPr>
          <w:p w:rsidR="009F53FD" w:rsidRDefault="00643A07">
            <w:pPr>
              <w:spacing w:after="0" w:line="259" w:lineRule="auto"/>
              <w:ind w:left="0" w:firstLine="0"/>
              <w:jc w:val="left"/>
            </w:pPr>
            <w:r>
              <w:rPr>
                <w:noProof/>
              </w:rPr>
              <w:drawing>
                <wp:inline distT="0" distB="0" distL="0" distR="0">
                  <wp:extent cx="612648" cy="374904"/>
                  <wp:effectExtent l="0" t="0" r="0" b="0"/>
                  <wp:docPr id="7164" name="Picture 7164"/>
                  <wp:cNvGraphicFramePr/>
                  <a:graphic xmlns:a="http://schemas.openxmlformats.org/drawingml/2006/main">
                    <a:graphicData uri="http://schemas.openxmlformats.org/drawingml/2006/picture">
                      <pic:pic xmlns:pic="http://schemas.openxmlformats.org/drawingml/2006/picture">
                        <pic:nvPicPr>
                          <pic:cNvPr id="7164" name="Picture 7164"/>
                          <pic:cNvPicPr/>
                        </pic:nvPicPr>
                        <pic:blipFill>
                          <a:blip r:embed="rId8"/>
                          <a:stretch>
                            <a:fillRect/>
                          </a:stretch>
                        </pic:blipFill>
                        <pic:spPr>
                          <a:xfrm>
                            <a:off x="0" y="0"/>
                            <a:ext cx="612648" cy="374904"/>
                          </a:xfrm>
                          <a:prstGeom prst="rect">
                            <a:avLst/>
                          </a:prstGeom>
                        </pic:spPr>
                      </pic:pic>
                    </a:graphicData>
                  </a:graphic>
                </wp:inline>
              </w:drawing>
            </w:r>
          </w:p>
        </w:tc>
        <w:tc>
          <w:tcPr>
            <w:tcW w:w="1138" w:type="dxa"/>
            <w:tcBorders>
              <w:top w:val="single" w:sz="2" w:space="0" w:color="000000"/>
              <w:left w:val="single" w:sz="2" w:space="0" w:color="000000"/>
              <w:bottom w:val="single" w:sz="2" w:space="0" w:color="000000"/>
              <w:right w:val="single" w:sz="2" w:space="0" w:color="000000"/>
            </w:tcBorders>
            <w:vAlign w:val="center"/>
          </w:tcPr>
          <w:p w:rsidR="009F53FD" w:rsidRDefault="00643A07">
            <w:pPr>
              <w:spacing w:after="0" w:line="259" w:lineRule="auto"/>
              <w:ind w:left="219" w:firstLine="0"/>
              <w:jc w:val="left"/>
            </w:pPr>
            <w:r>
              <w:rPr>
                <w:rFonts w:ascii="Times New Roman" w:eastAsia="Times New Roman" w:hAnsi="Times New Roman" w:cs="Times New Roman"/>
                <w:sz w:val="34"/>
              </w:rPr>
              <w:t>REC/</w:t>
            </w:r>
          </w:p>
          <w:p w:rsidR="009F53FD" w:rsidRDefault="00643A07">
            <w:pPr>
              <w:spacing w:after="0" w:line="259" w:lineRule="auto"/>
              <w:ind w:left="3" w:firstLine="0"/>
              <w:jc w:val="left"/>
            </w:pPr>
            <w:r>
              <w:rPr>
                <w:noProof/>
              </w:rPr>
              <w:drawing>
                <wp:inline distT="0" distB="0" distL="0" distR="0">
                  <wp:extent cx="685800" cy="132588"/>
                  <wp:effectExtent l="0" t="0" r="0" b="0"/>
                  <wp:docPr id="7201" name="Picture 7201"/>
                  <wp:cNvGraphicFramePr/>
                  <a:graphic xmlns:a="http://schemas.openxmlformats.org/drawingml/2006/main">
                    <a:graphicData uri="http://schemas.openxmlformats.org/drawingml/2006/picture">
                      <pic:pic xmlns:pic="http://schemas.openxmlformats.org/drawingml/2006/picture">
                        <pic:nvPicPr>
                          <pic:cNvPr id="7201" name="Picture 7201"/>
                          <pic:cNvPicPr/>
                        </pic:nvPicPr>
                        <pic:blipFill>
                          <a:blip r:embed="rId9"/>
                          <a:stretch>
                            <a:fillRect/>
                          </a:stretch>
                        </pic:blipFill>
                        <pic:spPr>
                          <a:xfrm>
                            <a:off x="0" y="0"/>
                            <a:ext cx="685800" cy="132588"/>
                          </a:xfrm>
                          <a:prstGeom prst="rect">
                            <a:avLst/>
                          </a:prstGeom>
                        </pic:spPr>
                      </pic:pic>
                    </a:graphicData>
                  </a:graphic>
                </wp:inline>
              </w:drawing>
            </w:r>
          </w:p>
        </w:tc>
      </w:tr>
    </w:tbl>
    <w:p w:rsidR="009F53FD" w:rsidRDefault="00643A07">
      <w:pPr>
        <w:spacing w:after="57" w:line="259" w:lineRule="auto"/>
        <w:ind w:left="1418" w:right="828" w:firstLine="0"/>
        <w:jc w:val="left"/>
      </w:pPr>
      <w:r>
        <w:rPr>
          <w:rFonts w:ascii="Times New Roman" w:eastAsia="Times New Roman" w:hAnsi="Times New Roman" w:cs="Times New Roman"/>
          <w:sz w:val="30"/>
        </w:rPr>
        <w:t>KUMSP@OZGT85</w:t>
      </w:r>
    </w:p>
    <w:p w:rsidR="009F53FD" w:rsidRDefault="00643A07">
      <w:pPr>
        <w:spacing w:after="263" w:line="216" w:lineRule="auto"/>
        <w:ind w:left="1490" w:right="1390" w:firstLine="0"/>
        <w:jc w:val="center"/>
      </w:pPr>
      <w:r>
        <w:rPr>
          <w:rFonts w:ascii="Times New Roman" w:eastAsia="Times New Roman" w:hAnsi="Times New Roman" w:cs="Times New Roman"/>
          <w:sz w:val="28"/>
        </w:rPr>
        <w:t>SMLOUVA o poskytnutí dotace z rozpočtu Moravskoslezského kraje</w:t>
      </w:r>
    </w:p>
    <w:p w:rsidR="009F53FD" w:rsidRDefault="00643A07">
      <w:pPr>
        <w:spacing w:after="0" w:line="259" w:lineRule="auto"/>
        <w:ind w:left="86" w:firstLine="0"/>
        <w:jc w:val="center"/>
      </w:pPr>
      <w:r>
        <w:rPr>
          <w:rFonts w:ascii="Times New Roman" w:eastAsia="Times New Roman" w:hAnsi="Times New Roman" w:cs="Times New Roman"/>
          <w:sz w:val="26"/>
        </w:rPr>
        <w:t>1.</w:t>
      </w:r>
    </w:p>
    <w:p w:rsidR="009F53FD" w:rsidRDefault="00643A07">
      <w:pPr>
        <w:pStyle w:val="Nadpis1"/>
        <w:spacing w:after="225"/>
      </w:pPr>
      <w:r>
        <w:t>Smluvní strany</w:t>
      </w:r>
    </w:p>
    <w:p w:rsidR="009F53FD" w:rsidRDefault="00643A07">
      <w:pPr>
        <w:numPr>
          <w:ilvl w:val="0"/>
          <w:numId w:val="1"/>
        </w:numPr>
        <w:spacing w:after="0" w:line="259" w:lineRule="auto"/>
        <w:ind w:hanging="353"/>
        <w:jc w:val="left"/>
      </w:pPr>
      <w:r>
        <w:rPr>
          <w:rFonts w:ascii="Times New Roman" w:eastAsia="Times New Roman" w:hAnsi="Times New Roman" w:cs="Times New Roman"/>
          <w:sz w:val="26"/>
        </w:rPr>
        <w:t>Moravskoslezský kraj</w:t>
      </w:r>
    </w:p>
    <w:tbl>
      <w:tblPr>
        <w:tblStyle w:val="TableGrid"/>
        <w:tblW w:w="4824" w:type="dxa"/>
        <w:tblInd w:w="396" w:type="dxa"/>
        <w:tblCellMar>
          <w:top w:w="0" w:type="dxa"/>
          <w:left w:w="0" w:type="dxa"/>
          <w:bottom w:w="0" w:type="dxa"/>
          <w:right w:w="0" w:type="dxa"/>
        </w:tblCellMar>
        <w:tblLook w:val="04A0" w:firstRow="1" w:lastRow="0" w:firstColumn="1" w:lastColumn="0" w:noHBand="0" w:noVBand="1"/>
      </w:tblPr>
      <w:tblGrid>
        <w:gridCol w:w="1800"/>
        <w:gridCol w:w="3024"/>
      </w:tblGrid>
      <w:tr w:rsidR="009F53FD">
        <w:trPr>
          <w:trHeight w:val="967"/>
        </w:trPr>
        <w:tc>
          <w:tcPr>
            <w:tcW w:w="1800" w:type="dxa"/>
            <w:tcBorders>
              <w:top w:val="nil"/>
              <w:left w:val="nil"/>
              <w:bottom w:val="nil"/>
              <w:right w:val="nil"/>
            </w:tcBorders>
          </w:tcPr>
          <w:p w:rsidR="009F53FD" w:rsidRDefault="00643A07">
            <w:pPr>
              <w:spacing w:after="0" w:line="259" w:lineRule="auto"/>
              <w:ind w:left="0" w:firstLine="29"/>
              <w:jc w:val="left"/>
            </w:pPr>
            <w:r>
              <w:rPr>
                <w:rFonts w:ascii="Times New Roman" w:eastAsia="Times New Roman" w:hAnsi="Times New Roman" w:cs="Times New Roman"/>
              </w:rPr>
              <w:t xml:space="preserve">se sídlem: </w:t>
            </w:r>
            <w:r>
              <w:rPr>
                <w:noProof/>
              </w:rPr>
              <w:drawing>
                <wp:inline distT="0" distB="0" distL="0" distR="0">
                  <wp:extent cx="4572" cy="4572"/>
                  <wp:effectExtent l="0" t="0" r="0" b="0"/>
                  <wp:docPr id="7327" name="Picture 7327"/>
                  <wp:cNvGraphicFramePr/>
                  <a:graphic xmlns:a="http://schemas.openxmlformats.org/drawingml/2006/main">
                    <a:graphicData uri="http://schemas.openxmlformats.org/drawingml/2006/picture">
                      <pic:pic xmlns:pic="http://schemas.openxmlformats.org/drawingml/2006/picture">
                        <pic:nvPicPr>
                          <pic:cNvPr id="7327" name="Picture 7327"/>
                          <pic:cNvPicPr/>
                        </pic:nvPicPr>
                        <pic:blipFill>
                          <a:blip r:embed="rId10"/>
                          <a:stretch>
                            <a:fillRect/>
                          </a:stretch>
                        </pic:blipFill>
                        <pic:spPr>
                          <a:xfrm>
                            <a:off x="0" y="0"/>
                            <a:ext cx="4572" cy="4572"/>
                          </a:xfrm>
                          <a:prstGeom prst="rect">
                            <a:avLst/>
                          </a:prstGeom>
                        </pic:spPr>
                      </pic:pic>
                    </a:graphicData>
                  </a:graphic>
                </wp:inline>
              </w:drawing>
            </w:r>
            <w:r>
              <w:rPr>
                <w:rFonts w:ascii="Times New Roman" w:eastAsia="Times New Roman" w:hAnsi="Times New Roman" w:cs="Times New Roman"/>
              </w:rPr>
              <w:t>zastoupen:</w:t>
            </w:r>
          </w:p>
        </w:tc>
        <w:tc>
          <w:tcPr>
            <w:tcW w:w="3024" w:type="dxa"/>
            <w:tcBorders>
              <w:top w:val="nil"/>
              <w:left w:val="nil"/>
              <w:bottom w:val="nil"/>
              <w:right w:val="nil"/>
            </w:tcBorders>
          </w:tcPr>
          <w:p w:rsidR="009F53FD" w:rsidRDefault="00643A07">
            <w:pPr>
              <w:spacing w:after="172" w:line="259" w:lineRule="auto"/>
              <w:ind w:left="0" w:firstLine="0"/>
              <w:jc w:val="right"/>
            </w:pPr>
            <w:r>
              <w:rPr>
                <w:rFonts w:ascii="Times New Roman" w:eastAsia="Times New Roman" w:hAnsi="Times New Roman" w:cs="Times New Roman"/>
              </w:rPr>
              <w:t>28. října 117, 702 18 Ostrava</w:t>
            </w:r>
          </w:p>
          <w:p w:rsidR="009F53FD" w:rsidRDefault="00643A07">
            <w:pPr>
              <w:spacing w:after="0" w:line="259" w:lineRule="auto"/>
              <w:ind w:left="176" w:right="112" w:firstLine="0"/>
              <w:jc w:val="center"/>
            </w:pPr>
            <w:r>
              <w:rPr>
                <w:rFonts w:ascii="Times New Roman" w:eastAsia="Times New Roman" w:hAnsi="Times New Roman" w:cs="Times New Roman"/>
              </w:rPr>
              <w:t>Janem Krkoškou náměstkem hejtmana kraje</w:t>
            </w:r>
          </w:p>
        </w:tc>
      </w:tr>
      <w:tr w:rsidR="009F53FD">
        <w:trPr>
          <w:trHeight w:val="223"/>
        </w:trPr>
        <w:tc>
          <w:tcPr>
            <w:tcW w:w="1800" w:type="dxa"/>
            <w:tcBorders>
              <w:top w:val="nil"/>
              <w:left w:val="nil"/>
              <w:bottom w:val="nil"/>
              <w:right w:val="nil"/>
            </w:tcBorders>
          </w:tcPr>
          <w:p w:rsidR="009F53FD" w:rsidRDefault="00643A07">
            <w:pPr>
              <w:spacing w:after="0" w:line="259" w:lineRule="auto"/>
              <w:ind w:left="29" w:firstLine="0"/>
              <w:jc w:val="left"/>
            </w:pPr>
            <w:r>
              <w:rPr>
                <w:rFonts w:ascii="Courier New" w:eastAsia="Courier New" w:hAnsi="Courier New" w:cs="Courier New"/>
                <w:sz w:val="18"/>
              </w:rPr>
              <w:t>IČO:</w:t>
            </w:r>
          </w:p>
        </w:tc>
        <w:tc>
          <w:tcPr>
            <w:tcW w:w="3024" w:type="dxa"/>
            <w:tcBorders>
              <w:top w:val="nil"/>
              <w:left w:val="nil"/>
              <w:bottom w:val="nil"/>
              <w:right w:val="nil"/>
            </w:tcBorders>
          </w:tcPr>
          <w:p w:rsidR="009F53FD" w:rsidRDefault="00643A07">
            <w:pPr>
              <w:spacing w:after="0" w:line="259" w:lineRule="auto"/>
              <w:ind w:left="432" w:firstLine="0"/>
              <w:jc w:val="left"/>
            </w:pPr>
            <w:r>
              <w:rPr>
                <w:rFonts w:ascii="Times New Roman" w:eastAsia="Times New Roman" w:hAnsi="Times New Roman" w:cs="Times New Roman"/>
              </w:rPr>
              <w:t>70890692</w:t>
            </w:r>
          </w:p>
        </w:tc>
      </w:tr>
      <w:tr w:rsidR="009F53FD">
        <w:trPr>
          <w:trHeight w:val="243"/>
        </w:trPr>
        <w:tc>
          <w:tcPr>
            <w:tcW w:w="1800" w:type="dxa"/>
            <w:tcBorders>
              <w:top w:val="nil"/>
              <w:left w:val="nil"/>
              <w:bottom w:val="nil"/>
              <w:right w:val="nil"/>
            </w:tcBorders>
          </w:tcPr>
          <w:p w:rsidR="009F53FD" w:rsidRDefault="00643A07">
            <w:pPr>
              <w:spacing w:after="0" w:line="259" w:lineRule="auto"/>
              <w:ind w:left="29" w:firstLine="0"/>
              <w:jc w:val="left"/>
            </w:pPr>
            <w:r>
              <w:rPr>
                <w:rFonts w:ascii="Times New Roman" w:eastAsia="Times New Roman" w:hAnsi="Times New Roman" w:cs="Times New Roman"/>
                <w:sz w:val="26"/>
              </w:rPr>
              <w:t>DIČ:</w:t>
            </w:r>
          </w:p>
        </w:tc>
        <w:tc>
          <w:tcPr>
            <w:tcW w:w="3024" w:type="dxa"/>
            <w:tcBorders>
              <w:top w:val="nil"/>
              <w:left w:val="nil"/>
              <w:bottom w:val="nil"/>
              <w:right w:val="nil"/>
            </w:tcBorders>
          </w:tcPr>
          <w:p w:rsidR="009F53FD" w:rsidRDefault="00643A07">
            <w:pPr>
              <w:spacing w:after="0" w:line="259" w:lineRule="auto"/>
              <w:ind w:left="425" w:firstLine="0"/>
              <w:jc w:val="left"/>
            </w:pPr>
            <w:r>
              <w:rPr>
                <w:rFonts w:ascii="Times New Roman" w:eastAsia="Times New Roman" w:hAnsi="Times New Roman" w:cs="Times New Roman"/>
              </w:rPr>
              <w:t>CZ70890692</w:t>
            </w:r>
          </w:p>
        </w:tc>
      </w:tr>
      <w:tr w:rsidR="009F53FD">
        <w:trPr>
          <w:trHeight w:val="257"/>
        </w:trPr>
        <w:tc>
          <w:tcPr>
            <w:tcW w:w="1800" w:type="dxa"/>
            <w:tcBorders>
              <w:top w:val="nil"/>
              <w:left w:val="nil"/>
              <w:bottom w:val="nil"/>
              <w:right w:val="nil"/>
            </w:tcBorders>
          </w:tcPr>
          <w:p w:rsidR="009F53FD" w:rsidRDefault="00643A07">
            <w:pPr>
              <w:spacing w:after="0" w:line="259" w:lineRule="auto"/>
              <w:ind w:left="29" w:firstLine="0"/>
              <w:jc w:val="left"/>
            </w:pPr>
            <w:r>
              <w:rPr>
                <w:rFonts w:ascii="Times New Roman" w:eastAsia="Times New Roman" w:hAnsi="Times New Roman" w:cs="Times New Roman"/>
              </w:rPr>
              <w:t>bankovní spojení:</w:t>
            </w:r>
          </w:p>
        </w:tc>
        <w:tc>
          <w:tcPr>
            <w:tcW w:w="3024" w:type="dxa"/>
            <w:tcBorders>
              <w:top w:val="nil"/>
              <w:left w:val="nil"/>
              <w:bottom w:val="nil"/>
              <w:right w:val="nil"/>
            </w:tcBorders>
          </w:tcPr>
          <w:p w:rsidR="009F53FD" w:rsidRDefault="00643A07">
            <w:pPr>
              <w:spacing w:after="0" w:line="259" w:lineRule="auto"/>
              <w:ind w:left="425" w:firstLine="0"/>
              <w:jc w:val="left"/>
            </w:pPr>
            <w:r>
              <w:rPr>
                <w:rFonts w:ascii="Times New Roman" w:eastAsia="Times New Roman" w:hAnsi="Times New Roman" w:cs="Times New Roman"/>
              </w:rPr>
              <w:t>Česká spořitelna, a.s.</w:t>
            </w:r>
          </w:p>
        </w:tc>
      </w:tr>
      <w:tr w:rsidR="009F53FD">
        <w:trPr>
          <w:trHeight w:val="225"/>
        </w:trPr>
        <w:tc>
          <w:tcPr>
            <w:tcW w:w="1800" w:type="dxa"/>
            <w:tcBorders>
              <w:top w:val="nil"/>
              <w:left w:val="nil"/>
              <w:bottom w:val="nil"/>
              <w:right w:val="nil"/>
            </w:tcBorders>
          </w:tcPr>
          <w:p w:rsidR="009F53FD" w:rsidRDefault="00643A07">
            <w:pPr>
              <w:spacing w:after="0" w:line="259" w:lineRule="auto"/>
              <w:ind w:left="14" w:firstLine="0"/>
              <w:jc w:val="left"/>
            </w:pPr>
            <w:r>
              <w:rPr>
                <w:rFonts w:ascii="Times New Roman" w:eastAsia="Times New Roman" w:hAnsi="Times New Roman" w:cs="Times New Roman"/>
              </w:rPr>
              <w:t>číslo účtu:</w:t>
            </w:r>
          </w:p>
        </w:tc>
        <w:tc>
          <w:tcPr>
            <w:tcW w:w="3024" w:type="dxa"/>
            <w:tcBorders>
              <w:top w:val="nil"/>
              <w:left w:val="nil"/>
              <w:bottom w:val="nil"/>
              <w:right w:val="nil"/>
            </w:tcBorders>
          </w:tcPr>
          <w:p w:rsidR="009F53FD" w:rsidRDefault="00643A07">
            <w:pPr>
              <w:spacing w:after="0" w:line="259" w:lineRule="auto"/>
              <w:ind w:left="439" w:firstLine="0"/>
              <w:jc w:val="left"/>
            </w:pPr>
            <w:r>
              <w:rPr>
                <w:rFonts w:ascii="Times New Roman" w:eastAsia="Times New Roman" w:hAnsi="Times New Roman" w:cs="Times New Roman"/>
              </w:rPr>
              <w:t>1650676349/0800</w:t>
            </w:r>
          </w:p>
        </w:tc>
      </w:tr>
    </w:tbl>
    <w:p w:rsidR="009F53FD" w:rsidRDefault="00643A07">
      <w:pPr>
        <w:spacing w:after="233" w:line="232" w:lineRule="auto"/>
        <w:ind w:left="35" w:right="6473" w:firstLine="367"/>
      </w:pPr>
      <w:r>
        <w:rPr>
          <w:rFonts w:ascii="Times New Roman" w:eastAsia="Times New Roman" w:hAnsi="Times New Roman" w:cs="Times New Roman"/>
        </w:rPr>
        <w:t>(dále jen „poskytovatel") a</w:t>
      </w:r>
    </w:p>
    <w:p w:rsidR="009F53FD" w:rsidRDefault="00643A07">
      <w:pPr>
        <w:numPr>
          <w:ilvl w:val="0"/>
          <w:numId w:val="1"/>
        </w:numPr>
        <w:spacing w:after="0" w:line="259" w:lineRule="auto"/>
        <w:ind w:hanging="353"/>
        <w:jc w:val="left"/>
      </w:pPr>
      <w:r>
        <w:rPr>
          <w:noProof/>
        </w:rPr>
        <w:drawing>
          <wp:anchor distT="0" distB="0" distL="114300" distR="114300" simplePos="0" relativeHeight="251658240" behindDoc="0" locked="0" layoutInCell="1" allowOverlap="0">
            <wp:simplePos x="0" y="0"/>
            <wp:positionH relativeFrom="page">
              <wp:posOffset>1623060</wp:posOffset>
            </wp:positionH>
            <wp:positionV relativeFrom="page">
              <wp:posOffset>246888</wp:posOffset>
            </wp:positionV>
            <wp:extent cx="1641348" cy="306324"/>
            <wp:effectExtent l="0" t="0" r="0" b="0"/>
            <wp:wrapTopAndBottom/>
            <wp:docPr id="7424" name="Picture 7424"/>
            <wp:cNvGraphicFramePr/>
            <a:graphic xmlns:a="http://schemas.openxmlformats.org/drawingml/2006/main">
              <a:graphicData uri="http://schemas.openxmlformats.org/drawingml/2006/picture">
                <pic:pic xmlns:pic="http://schemas.openxmlformats.org/drawingml/2006/picture">
                  <pic:nvPicPr>
                    <pic:cNvPr id="7424" name="Picture 7424"/>
                    <pic:cNvPicPr/>
                  </pic:nvPicPr>
                  <pic:blipFill>
                    <a:blip r:embed="rId11"/>
                    <a:stretch>
                      <a:fillRect/>
                    </a:stretch>
                  </pic:blipFill>
                  <pic:spPr>
                    <a:xfrm>
                      <a:off x="0" y="0"/>
                      <a:ext cx="1641348" cy="306324"/>
                    </a:xfrm>
                    <a:prstGeom prst="rect">
                      <a:avLst/>
                    </a:prstGeom>
                  </pic:spPr>
                </pic:pic>
              </a:graphicData>
            </a:graphic>
          </wp:anchor>
        </w:drawing>
      </w:r>
      <w:r>
        <w:rPr>
          <w:rFonts w:ascii="Times New Roman" w:eastAsia="Times New Roman" w:hAnsi="Times New Roman" w:cs="Times New Roman"/>
          <w:sz w:val="26"/>
        </w:rPr>
        <w:t>Obec Olbramice</w:t>
      </w:r>
    </w:p>
    <w:tbl>
      <w:tblPr>
        <w:tblStyle w:val="TableGrid"/>
        <w:tblW w:w="5184" w:type="dxa"/>
        <w:tblInd w:w="396" w:type="dxa"/>
        <w:tblCellMar>
          <w:top w:w="0" w:type="dxa"/>
          <w:left w:w="0" w:type="dxa"/>
          <w:bottom w:w="0" w:type="dxa"/>
          <w:right w:w="0" w:type="dxa"/>
        </w:tblCellMar>
        <w:tblLook w:val="04A0" w:firstRow="1" w:lastRow="0" w:firstColumn="1" w:lastColumn="0" w:noHBand="0" w:noVBand="1"/>
      </w:tblPr>
      <w:tblGrid>
        <w:gridCol w:w="2203"/>
        <w:gridCol w:w="2981"/>
      </w:tblGrid>
      <w:tr w:rsidR="009F53FD">
        <w:trPr>
          <w:trHeight w:val="247"/>
        </w:trPr>
        <w:tc>
          <w:tcPr>
            <w:tcW w:w="2203" w:type="dxa"/>
            <w:tcBorders>
              <w:top w:val="nil"/>
              <w:left w:val="nil"/>
              <w:bottom w:val="nil"/>
              <w:right w:val="nil"/>
            </w:tcBorders>
          </w:tcPr>
          <w:p w:rsidR="009F53FD" w:rsidRDefault="00643A07">
            <w:pPr>
              <w:spacing w:after="0" w:line="259" w:lineRule="auto"/>
              <w:ind w:left="14" w:firstLine="0"/>
              <w:jc w:val="left"/>
            </w:pPr>
            <w:r>
              <w:rPr>
                <w:rFonts w:ascii="Times New Roman" w:eastAsia="Times New Roman" w:hAnsi="Times New Roman" w:cs="Times New Roman"/>
              </w:rPr>
              <w:t>se sídlem:</w:t>
            </w:r>
          </w:p>
        </w:tc>
        <w:tc>
          <w:tcPr>
            <w:tcW w:w="2981" w:type="dxa"/>
            <w:tcBorders>
              <w:top w:val="nil"/>
              <w:left w:val="nil"/>
              <w:bottom w:val="nil"/>
              <w:right w:val="nil"/>
            </w:tcBorders>
          </w:tcPr>
          <w:p w:rsidR="009F53FD" w:rsidRDefault="00643A07">
            <w:pPr>
              <w:spacing w:after="0" w:line="259" w:lineRule="auto"/>
              <w:ind w:left="14" w:firstLine="0"/>
            </w:pPr>
            <w:r>
              <w:rPr>
                <w:rFonts w:ascii="Times New Roman" w:eastAsia="Times New Roman" w:hAnsi="Times New Roman" w:cs="Times New Roman"/>
              </w:rPr>
              <w:t>Prostorná 132, 742 83 Olbramice</w:t>
            </w:r>
          </w:p>
        </w:tc>
      </w:tr>
      <w:tr w:rsidR="009F53FD">
        <w:trPr>
          <w:trHeight w:val="234"/>
        </w:trPr>
        <w:tc>
          <w:tcPr>
            <w:tcW w:w="2203" w:type="dxa"/>
            <w:tcBorders>
              <w:top w:val="nil"/>
              <w:left w:val="nil"/>
              <w:bottom w:val="nil"/>
              <w:right w:val="nil"/>
            </w:tcBorders>
          </w:tcPr>
          <w:p w:rsidR="009F53FD" w:rsidRDefault="00643A07">
            <w:pPr>
              <w:spacing w:after="0" w:line="259" w:lineRule="auto"/>
              <w:ind w:left="7" w:firstLine="0"/>
              <w:jc w:val="left"/>
            </w:pPr>
            <w:r>
              <w:rPr>
                <w:rFonts w:ascii="Times New Roman" w:eastAsia="Times New Roman" w:hAnsi="Times New Roman" w:cs="Times New Roman"/>
              </w:rPr>
              <w:t>zastoupen:</w:t>
            </w:r>
          </w:p>
        </w:tc>
        <w:tc>
          <w:tcPr>
            <w:tcW w:w="2981" w:type="dxa"/>
            <w:tcBorders>
              <w:top w:val="nil"/>
              <w:left w:val="nil"/>
              <w:bottom w:val="nil"/>
              <w:right w:val="nil"/>
            </w:tcBorders>
          </w:tcPr>
          <w:p w:rsidR="009F53FD" w:rsidRDefault="00643A07">
            <w:pPr>
              <w:spacing w:after="0" w:line="259" w:lineRule="auto"/>
              <w:ind w:left="7" w:firstLine="0"/>
            </w:pPr>
            <w:r>
              <w:rPr>
                <w:rFonts w:ascii="Times New Roman" w:eastAsia="Times New Roman" w:hAnsi="Times New Roman" w:cs="Times New Roman"/>
              </w:rPr>
              <w:t>Ing. Ladislavem Bártou, starostou</w:t>
            </w:r>
          </w:p>
        </w:tc>
      </w:tr>
      <w:tr w:rsidR="009F53FD">
        <w:trPr>
          <w:trHeight w:val="463"/>
        </w:trPr>
        <w:tc>
          <w:tcPr>
            <w:tcW w:w="2203" w:type="dxa"/>
            <w:tcBorders>
              <w:top w:val="nil"/>
              <w:left w:val="nil"/>
              <w:bottom w:val="nil"/>
              <w:right w:val="nil"/>
            </w:tcBorders>
          </w:tcPr>
          <w:p w:rsidR="009F53FD" w:rsidRDefault="00643A07">
            <w:pPr>
              <w:spacing w:after="0" w:line="259" w:lineRule="auto"/>
              <w:ind w:left="7" w:firstLine="0"/>
              <w:jc w:val="left"/>
            </w:pPr>
            <w:r>
              <w:rPr>
                <w:rFonts w:ascii="Times New Roman" w:eastAsia="Times New Roman" w:hAnsi="Times New Roman" w:cs="Times New Roman"/>
                <w:sz w:val="20"/>
              </w:rPr>
              <w:t>IČO:</w:t>
            </w:r>
          </w:p>
          <w:p w:rsidR="009F53FD" w:rsidRDefault="00643A07">
            <w:pPr>
              <w:spacing w:after="0" w:line="259" w:lineRule="auto"/>
              <w:ind w:left="14" w:firstLine="0"/>
              <w:jc w:val="left"/>
            </w:pPr>
            <w:r>
              <w:rPr>
                <w:rFonts w:ascii="Times New Roman" w:eastAsia="Times New Roman" w:hAnsi="Times New Roman" w:cs="Times New Roman"/>
                <w:sz w:val="26"/>
              </w:rPr>
              <w:t>DIČ:</w:t>
            </w:r>
          </w:p>
        </w:tc>
        <w:tc>
          <w:tcPr>
            <w:tcW w:w="2981" w:type="dxa"/>
            <w:tcBorders>
              <w:top w:val="nil"/>
              <w:left w:val="nil"/>
              <w:bottom w:val="nil"/>
              <w:right w:val="nil"/>
            </w:tcBorders>
          </w:tcPr>
          <w:p w:rsidR="009F53FD" w:rsidRDefault="00643A07">
            <w:pPr>
              <w:spacing w:after="0" w:line="259" w:lineRule="auto"/>
              <w:ind w:left="7" w:firstLine="0"/>
              <w:jc w:val="left"/>
            </w:pPr>
            <w:r>
              <w:rPr>
                <w:rFonts w:ascii="Times New Roman" w:eastAsia="Times New Roman" w:hAnsi="Times New Roman" w:cs="Times New Roman"/>
              </w:rPr>
              <w:t>60798416</w:t>
            </w:r>
          </w:p>
        </w:tc>
      </w:tr>
      <w:tr w:rsidR="009F53FD">
        <w:trPr>
          <w:trHeight w:val="262"/>
        </w:trPr>
        <w:tc>
          <w:tcPr>
            <w:tcW w:w="2203" w:type="dxa"/>
            <w:tcBorders>
              <w:top w:val="nil"/>
              <w:left w:val="nil"/>
              <w:bottom w:val="nil"/>
              <w:right w:val="nil"/>
            </w:tcBorders>
          </w:tcPr>
          <w:p w:rsidR="009F53FD" w:rsidRDefault="00643A07">
            <w:pPr>
              <w:spacing w:after="0" w:line="259" w:lineRule="auto"/>
              <w:ind w:left="14" w:firstLine="0"/>
              <w:jc w:val="left"/>
            </w:pPr>
            <w:r>
              <w:rPr>
                <w:rFonts w:ascii="Times New Roman" w:eastAsia="Times New Roman" w:hAnsi="Times New Roman" w:cs="Times New Roman"/>
              </w:rPr>
              <w:t>bankovní spojení:</w:t>
            </w:r>
          </w:p>
        </w:tc>
        <w:tc>
          <w:tcPr>
            <w:tcW w:w="2981" w:type="dxa"/>
            <w:tcBorders>
              <w:top w:val="nil"/>
              <w:left w:val="nil"/>
              <w:bottom w:val="nil"/>
              <w:right w:val="nil"/>
            </w:tcBorders>
          </w:tcPr>
          <w:p w:rsidR="009F53FD" w:rsidRDefault="00643A07">
            <w:pPr>
              <w:spacing w:after="0" w:line="259" w:lineRule="auto"/>
              <w:ind w:left="0" w:firstLine="0"/>
              <w:jc w:val="left"/>
            </w:pPr>
            <w:r>
              <w:rPr>
                <w:rFonts w:ascii="Times New Roman" w:eastAsia="Times New Roman" w:hAnsi="Times New Roman" w:cs="Times New Roman"/>
              </w:rPr>
              <w:t>Česká spořitelna a.s.</w:t>
            </w:r>
          </w:p>
        </w:tc>
      </w:tr>
      <w:tr w:rsidR="009F53FD">
        <w:trPr>
          <w:trHeight w:val="579"/>
        </w:trPr>
        <w:tc>
          <w:tcPr>
            <w:tcW w:w="2203" w:type="dxa"/>
            <w:tcBorders>
              <w:top w:val="nil"/>
              <w:left w:val="nil"/>
              <w:bottom w:val="nil"/>
              <w:right w:val="nil"/>
            </w:tcBorders>
          </w:tcPr>
          <w:p w:rsidR="009F53FD" w:rsidRDefault="00643A07">
            <w:pPr>
              <w:spacing w:after="97" w:line="259" w:lineRule="auto"/>
              <w:ind w:left="0" w:firstLine="0"/>
              <w:jc w:val="left"/>
            </w:pPr>
            <w:r>
              <w:rPr>
                <w:rFonts w:ascii="Times New Roman" w:eastAsia="Times New Roman" w:hAnsi="Times New Roman" w:cs="Times New Roman"/>
              </w:rPr>
              <w:t>číslo účtu:</w:t>
            </w:r>
          </w:p>
          <w:p w:rsidR="009F53FD" w:rsidRDefault="00643A07">
            <w:pPr>
              <w:spacing w:after="0" w:line="259" w:lineRule="auto"/>
              <w:ind w:left="7" w:firstLine="0"/>
              <w:jc w:val="left"/>
            </w:pPr>
            <w:r>
              <w:rPr>
                <w:rFonts w:ascii="Times New Roman" w:eastAsia="Times New Roman" w:hAnsi="Times New Roman" w:cs="Times New Roman"/>
              </w:rPr>
              <w:t>(dále jen „příjemce")</w:t>
            </w:r>
          </w:p>
        </w:tc>
        <w:tc>
          <w:tcPr>
            <w:tcW w:w="2981" w:type="dxa"/>
            <w:tcBorders>
              <w:top w:val="nil"/>
              <w:left w:val="nil"/>
              <w:bottom w:val="nil"/>
              <w:right w:val="nil"/>
            </w:tcBorders>
          </w:tcPr>
          <w:p w:rsidR="009F53FD" w:rsidRDefault="00643A07">
            <w:pPr>
              <w:spacing w:after="0" w:line="259" w:lineRule="auto"/>
              <w:ind w:left="14" w:firstLine="0"/>
              <w:jc w:val="left"/>
            </w:pPr>
            <w:r>
              <w:rPr>
                <w:rFonts w:ascii="Times New Roman" w:eastAsia="Times New Roman" w:hAnsi="Times New Roman" w:cs="Times New Roman"/>
              </w:rPr>
              <w:t>1764774369/0800</w:t>
            </w:r>
          </w:p>
        </w:tc>
      </w:tr>
    </w:tbl>
    <w:p w:rsidR="009F53FD" w:rsidRDefault="00643A07">
      <w:pPr>
        <w:spacing w:after="0" w:line="259" w:lineRule="auto"/>
        <w:ind w:left="10" w:right="7" w:hanging="10"/>
        <w:jc w:val="center"/>
      </w:pPr>
      <w:r>
        <w:rPr>
          <w:rFonts w:ascii="Times New Roman" w:eastAsia="Times New Roman" w:hAnsi="Times New Roman" w:cs="Times New Roman"/>
        </w:rPr>
        <w:t>11.</w:t>
      </w:r>
    </w:p>
    <w:p w:rsidR="009F53FD" w:rsidRDefault="00643A07">
      <w:pPr>
        <w:pStyle w:val="Nadpis1"/>
        <w:ind w:right="101"/>
      </w:pPr>
      <w:r>
        <w:t>Základní ustanovení</w:t>
      </w:r>
    </w:p>
    <w:p w:rsidR="009F53FD" w:rsidRDefault="00643A07">
      <w:pPr>
        <w:numPr>
          <w:ilvl w:val="0"/>
          <w:numId w:val="2"/>
        </w:numPr>
        <w:spacing w:after="162" w:line="232" w:lineRule="auto"/>
        <w:ind w:left="383" w:right="50" w:hanging="348"/>
      </w:pPr>
      <w:r>
        <w:rPr>
          <w:rFonts w:ascii="Times New Roman" w:eastAsia="Times New Roman" w:hAnsi="Times New Roman" w:cs="Times New Roman"/>
        </w:rPr>
        <w:t xml:space="preserve">Tato smlouva je veřejnoprávní smlouvou uzavřenou dle S </w:t>
      </w:r>
      <w:proofErr w:type="gramStart"/>
      <w:r>
        <w:rPr>
          <w:rFonts w:ascii="Times New Roman" w:eastAsia="Times New Roman" w:hAnsi="Times New Roman" w:cs="Times New Roman"/>
        </w:rPr>
        <w:t>10a</w:t>
      </w:r>
      <w:proofErr w:type="gramEnd"/>
      <w:r>
        <w:rPr>
          <w:rFonts w:ascii="Times New Roman" w:eastAsia="Times New Roman" w:hAnsi="Times New Roman" w:cs="Times New Roman"/>
        </w:rPr>
        <w:t xml:space="preserve"> odst. 5 zákona č. 250/2000 Sb., o rozpočtových pravidlech územních rozpočtů, ve znění pozdějších předpisů (dále jen „zákon č. 250/2000 Sb.”).</w:t>
      </w:r>
    </w:p>
    <w:p w:rsidR="009F53FD" w:rsidRDefault="00643A07">
      <w:pPr>
        <w:numPr>
          <w:ilvl w:val="0"/>
          <w:numId w:val="2"/>
        </w:numPr>
        <w:spacing w:after="113" w:line="232" w:lineRule="auto"/>
        <w:ind w:left="383" w:right="50" w:hanging="348"/>
      </w:pPr>
      <w:r>
        <w:rPr>
          <w:rFonts w:ascii="Times New Roman" w:eastAsia="Times New Roman" w:hAnsi="Times New Roman" w:cs="Times New Roman"/>
        </w:rPr>
        <w:t xml:space="preserve">Dotace je ve smyslu zákona č. 320/2001 Sb., o finanční </w:t>
      </w:r>
      <w:r>
        <w:rPr>
          <w:rFonts w:ascii="Times New Roman" w:eastAsia="Times New Roman" w:hAnsi="Times New Roman" w:cs="Times New Roman"/>
        </w:rPr>
        <w:t>kontrole ve veřejné správě a o změně některých zákonů (zákon o finanční kontrole), ve znění pozdějších předpisů (dále jen „zákon o finanční kontrole"), veřejnou finanční podporou a vztahují se na ni ustanovení tohoto zákona.</w:t>
      </w:r>
    </w:p>
    <w:p w:rsidR="009F53FD" w:rsidRDefault="00643A07">
      <w:pPr>
        <w:numPr>
          <w:ilvl w:val="0"/>
          <w:numId w:val="2"/>
        </w:numPr>
        <w:spacing w:after="144" w:line="232" w:lineRule="auto"/>
        <w:ind w:left="383" w:right="50" w:hanging="348"/>
      </w:pPr>
      <w:r>
        <w:rPr>
          <w:rFonts w:ascii="Times New Roman" w:eastAsia="Times New Roman" w:hAnsi="Times New Roman" w:cs="Times New Roman"/>
        </w:rPr>
        <w:t>Smluvní strany prohlašují, že p</w:t>
      </w:r>
      <w:r>
        <w:rPr>
          <w:rFonts w:ascii="Times New Roman" w:eastAsia="Times New Roman" w:hAnsi="Times New Roman" w:cs="Times New Roman"/>
        </w:rPr>
        <w:t xml:space="preserve">ro právní vztah založený touto smlouvou jsou stejně jako ustanovení této smlouvy právně závazná ustanovení obsažená ve vyhlášeném dotačním programu </w:t>
      </w:r>
      <w:r>
        <w:rPr>
          <w:noProof/>
        </w:rPr>
        <w:drawing>
          <wp:inline distT="0" distB="0" distL="0" distR="0">
            <wp:extent cx="13716" cy="41148"/>
            <wp:effectExtent l="0" t="0" r="0" b="0"/>
            <wp:docPr id="7328" name="Picture 7328"/>
            <wp:cNvGraphicFramePr/>
            <a:graphic xmlns:a="http://schemas.openxmlformats.org/drawingml/2006/main">
              <a:graphicData uri="http://schemas.openxmlformats.org/drawingml/2006/picture">
                <pic:pic xmlns:pic="http://schemas.openxmlformats.org/drawingml/2006/picture">
                  <pic:nvPicPr>
                    <pic:cNvPr id="7328" name="Picture 7328"/>
                    <pic:cNvPicPr/>
                  </pic:nvPicPr>
                  <pic:blipFill>
                    <a:blip r:embed="rId12"/>
                    <a:stretch>
                      <a:fillRect/>
                    </a:stretch>
                  </pic:blipFill>
                  <pic:spPr>
                    <a:xfrm>
                      <a:off x="0" y="0"/>
                      <a:ext cx="13716" cy="41148"/>
                    </a:xfrm>
                    <a:prstGeom prst="rect">
                      <a:avLst/>
                    </a:prstGeom>
                  </pic:spPr>
                </pic:pic>
              </a:graphicData>
            </a:graphic>
          </wp:inline>
        </w:drawing>
      </w:r>
      <w:r>
        <w:rPr>
          <w:rFonts w:ascii="Times New Roman" w:eastAsia="Times New Roman" w:hAnsi="Times New Roman" w:cs="Times New Roman"/>
        </w:rPr>
        <w:t>,Podpora obnovy a rozvoje venkova Moravskoslezského kraje 2021" (dále jen „Dotační program"), o jehož vyhlá</w:t>
      </w:r>
      <w:r>
        <w:rPr>
          <w:rFonts w:ascii="Times New Roman" w:eastAsia="Times New Roman" w:hAnsi="Times New Roman" w:cs="Times New Roman"/>
        </w:rPr>
        <w:t>šení rozhodla rada kraje svým usnesením č. 96/8478 ze dne 21. 9. 2020.</w:t>
      </w:r>
    </w:p>
    <w:p w:rsidR="009F53FD" w:rsidRDefault="00643A07">
      <w:pPr>
        <w:numPr>
          <w:ilvl w:val="0"/>
          <w:numId w:val="2"/>
        </w:numPr>
        <w:spacing w:after="329" w:line="232" w:lineRule="auto"/>
        <w:ind w:left="383" w:right="50" w:hanging="348"/>
      </w:pPr>
      <w:r>
        <w:rPr>
          <w:rFonts w:ascii="Times New Roman" w:eastAsia="Times New Roman" w:hAnsi="Times New Roman" w:cs="Times New Roman"/>
        </w:rPr>
        <w:t>Neoprávněné použití dotace nebo zadržení peněžních prostředků poskytnutých z rozpočtu poskytovatele je porušením rozpočtové kázně podle S 22 zákona č. 250/2000 Sb. V případě porušení ro</w:t>
      </w:r>
      <w:r>
        <w:rPr>
          <w:rFonts w:ascii="Times New Roman" w:eastAsia="Times New Roman" w:hAnsi="Times New Roman" w:cs="Times New Roman"/>
        </w:rPr>
        <w:t>zpočtové kázně bude postupováno dle zákona č. 250/2000 Sb.</w:t>
      </w:r>
    </w:p>
    <w:p w:rsidR="009F53FD" w:rsidRDefault="00643A07">
      <w:pPr>
        <w:spacing w:after="0" w:line="259" w:lineRule="auto"/>
        <w:ind w:left="10" w:right="65" w:hanging="10"/>
        <w:jc w:val="center"/>
      </w:pPr>
      <w:r>
        <w:rPr>
          <w:rFonts w:ascii="Times New Roman" w:eastAsia="Times New Roman" w:hAnsi="Times New Roman" w:cs="Times New Roman"/>
        </w:rPr>
        <w:t>111.</w:t>
      </w:r>
    </w:p>
    <w:p w:rsidR="009F53FD" w:rsidRDefault="00643A07">
      <w:pPr>
        <w:pStyle w:val="Nadpis1"/>
        <w:ind w:right="151"/>
      </w:pPr>
      <w:r>
        <w:t>Předmět smlouvy</w:t>
      </w:r>
    </w:p>
    <w:p w:rsidR="009F53FD" w:rsidRDefault="00643A07">
      <w:pPr>
        <w:spacing w:after="113" w:line="232" w:lineRule="auto"/>
        <w:ind w:left="383" w:right="50" w:hanging="348"/>
      </w:pPr>
      <w:r>
        <w:rPr>
          <w:rFonts w:ascii="Times New Roman" w:eastAsia="Times New Roman" w:hAnsi="Times New Roman" w:cs="Times New Roman"/>
        </w:rPr>
        <w:t>1. Předmětem této smlouvy je závazek poskytovatele poskytnout příjemci podle dále sjednaných podmínek účelově určenou dotaci a závazek příjemce tuto dotaci přijmout a užít v so</w:t>
      </w:r>
      <w:r>
        <w:rPr>
          <w:rFonts w:ascii="Times New Roman" w:eastAsia="Times New Roman" w:hAnsi="Times New Roman" w:cs="Times New Roman"/>
        </w:rPr>
        <w:t>uladu s jejím účelovým určením a za podmínek stanovených touto smlouvou.</w:t>
      </w:r>
    </w:p>
    <w:p w:rsidR="009A115A" w:rsidRDefault="009A115A">
      <w:pPr>
        <w:spacing w:after="0" w:line="259" w:lineRule="auto"/>
        <w:ind w:left="0" w:right="7" w:firstLine="0"/>
        <w:jc w:val="center"/>
        <w:rPr>
          <w:sz w:val="32"/>
        </w:rPr>
      </w:pPr>
    </w:p>
    <w:p w:rsidR="009A115A" w:rsidRDefault="009A115A">
      <w:pPr>
        <w:spacing w:after="0" w:line="259" w:lineRule="auto"/>
        <w:ind w:left="0" w:right="7" w:firstLine="0"/>
        <w:jc w:val="center"/>
        <w:rPr>
          <w:sz w:val="32"/>
        </w:rPr>
      </w:pPr>
    </w:p>
    <w:p w:rsidR="009F53FD" w:rsidRDefault="00643A07">
      <w:pPr>
        <w:spacing w:after="0" w:line="259" w:lineRule="auto"/>
        <w:ind w:left="0" w:right="7" w:firstLine="0"/>
        <w:jc w:val="center"/>
      </w:pPr>
      <w:r>
        <w:rPr>
          <w:sz w:val="32"/>
        </w:rPr>
        <w:t>IV.</w:t>
      </w:r>
    </w:p>
    <w:p w:rsidR="009F53FD" w:rsidRDefault="00643A07">
      <w:pPr>
        <w:spacing w:after="0" w:line="259" w:lineRule="auto"/>
        <w:ind w:left="10" w:right="7" w:hanging="10"/>
        <w:jc w:val="center"/>
      </w:pPr>
      <w:r>
        <w:rPr>
          <w:sz w:val="26"/>
        </w:rPr>
        <w:t>Účelové určení a výše dotace</w:t>
      </w:r>
    </w:p>
    <w:p w:rsidR="009F53FD" w:rsidRDefault="00643A07">
      <w:pPr>
        <w:numPr>
          <w:ilvl w:val="0"/>
          <w:numId w:val="3"/>
        </w:numPr>
        <w:spacing w:after="62" w:line="220" w:lineRule="auto"/>
        <w:ind w:right="28" w:hanging="367"/>
      </w:pPr>
      <w:r>
        <w:t xml:space="preserve">Poskytovatel podle této smlouvy poskytne příjemci investiční dotaci v maximální výši 22,39 % celkových skutečně vynaložených uznatelných nákladů na realizaci projektu „Rekonstrukce veřejného prostranství před budovou KD a </w:t>
      </w:r>
      <w:proofErr w:type="spellStart"/>
      <w:r>
        <w:t>Oú</w:t>
      </w:r>
      <w:proofErr w:type="spellEnd"/>
      <w:r>
        <w:t xml:space="preserve"> Olbramice” (dále jen „projekt”)</w:t>
      </w:r>
      <w:r>
        <w:t xml:space="preserve">, maximálně však ve výši </w:t>
      </w:r>
      <w:proofErr w:type="gramStart"/>
      <w:r>
        <w:t>400.000,--</w:t>
      </w:r>
      <w:proofErr w:type="gramEnd"/>
      <w:r>
        <w:t xml:space="preserve"> Kč (slovy </w:t>
      </w:r>
      <w:proofErr w:type="spellStart"/>
      <w:r>
        <w:t>čtyřista</w:t>
      </w:r>
      <w:proofErr w:type="spellEnd"/>
      <w:r>
        <w:t xml:space="preserve"> tisíc korun českých), účelově určenou k úhradě uznatelných nákladů projektu vymezených v čl. VI této smlouvy.</w:t>
      </w:r>
    </w:p>
    <w:p w:rsidR="009F53FD" w:rsidRDefault="00643A07">
      <w:pPr>
        <w:numPr>
          <w:ilvl w:val="0"/>
          <w:numId w:val="3"/>
        </w:numPr>
        <w:spacing w:after="22" w:line="220" w:lineRule="auto"/>
        <w:ind w:right="28" w:hanging="367"/>
      </w:pPr>
      <w:r>
        <w:t>Konečná výše dotace bude stanovena s ohledem na skutečnou výši celkových uznatelných náklad</w:t>
      </w:r>
      <w:r>
        <w:t>ů uvedených a doložených v rámci závěrečného vyúčtování.</w:t>
      </w:r>
    </w:p>
    <w:p w:rsidR="009F53FD" w:rsidRDefault="00643A07">
      <w:pPr>
        <w:spacing w:after="62" w:line="220" w:lineRule="auto"/>
        <w:ind w:left="395" w:right="28" w:firstLine="7"/>
      </w:pPr>
      <w:r>
        <w:t xml:space="preserve">Pokud budou celkové skutečné uznatelné náklady projektu nižší než celkové předpokládané uznatelné náklady, procentní </w:t>
      </w:r>
      <w:proofErr w:type="spellStart"/>
      <w:r>
        <w:t>podll</w:t>
      </w:r>
      <w:proofErr w:type="spellEnd"/>
      <w:r>
        <w:t xml:space="preserve"> dotace na těchto nákladech se nemění, to znamená, že příjemce obdrží tolik p</w:t>
      </w:r>
      <w:r>
        <w:t>rocent celkových skutečných uznatelných nákladů, kolik je uvedeno v odstavci 1 tohoto článku smlouvy, a konečná výše dotace se úměrně sníží.</w:t>
      </w:r>
    </w:p>
    <w:p w:rsidR="009F53FD" w:rsidRDefault="00643A07">
      <w:pPr>
        <w:spacing w:after="141" w:line="220" w:lineRule="auto"/>
        <w:ind w:left="395" w:right="28" w:firstLine="7"/>
      </w:pPr>
      <w:r>
        <w:t>Pokud celkové skutečné uznatelné náklady projektu překročí celkové předpokládané uznatelné náklady, konečná výše do</w:t>
      </w:r>
      <w:r>
        <w:t>tace se nezvyšuje a příjemce obdrží částku uvedenou v odstavci 1 tohoto článku smlouvy.</w:t>
      </w:r>
    </w:p>
    <w:p w:rsidR="009F53FD" w:rsidRDefault="00643A07">
      <w:pPr>
        <w:numPr>
          <w:ilvl w:val="0"/>
          <w:numId w:val="3"/>
        </w:numPr>
        <w:spacing w:after="552" w:line="220" w:lineRule="auto"/>
        <w:ind w:right="28" w:hanging="367"/>
      </w:pPr>
      <w:r>
        <w:t>Účelem poskytnutí dotace je podpora realizace projektu příjemcem za podmínek stanovených v této smlouvě.</w:t>
      </w:r>
    </w:p>
    <w:p w:rsidR="009A115A" w:rsidRDefault="009A115A">
      <w:pPr>
        <w:spacing w:after="46" w:line="259" w:lineRule="auto"/>
        <w:ind w:left="10" w:right="7" w:hanging="10"/>
        <w:jc w:val="center"/>
        <w:rPr>
          <w:sz w:val="26"/>
        </w:rPr>
      </w:pPr>
      <w:r>
        <w:rPr>
          <w:sz w:val="26"/>
        </w:rPr>
        <w:t>V.</w:t>
      </w:r>
    </w:p>
    <w:p w:rsidR="009F53FD" w:rsidRDefault="00643A07">
      <w:pPr>
        <w:spacing w:after="46" w:line="259" w:lineRule="auto"/>
        <w:ind w:left="10" w:right="7" w:hanging="10"/>
        <w:jc w:val="center"/>
      </w:pPr>
      <w:r>
        <w:rPr>
          <w:sz w:val="26"/>
        </w:rPr>
        <w:t>Závazky smluvních stran</w:t>
      </w:r>
    </w:p>
    <w:p w:rsidR="009F53FD" w:rsidRDefault="00643A07">
      <w:pPr>
        <w:numPr>
          <w:ilvl w:val="0"/>
          <w:numId w:val="4"/>
        </w:numPr>
        <w:spacing w:after="129" w:line="220" w:lineRule="auto"/>
        <w:ind w:left="417" w:right="28" w:hanging="367"/>
      </w:pPr>
      <w:r>
        <w:t xml:space="preserve">Poskytovatel se zavazuje poskytnout příjemci dotaci na projekt převodem na účet příjemce uvedený v čl. I této smlouvy ve dvou splátkách. První splátka ve výši 80 % maximální částky dotace dle čl. IV odst. 1 této smlouvy, tedy </w:t>
      </w:r>
      <w:proofErr w:type="gramStart"/>
      <w:r>
        <w:t>320.000,--</w:t>
      </w:r>
      <w:proofErr w:type="gramEnd"/>
      <w:r>
        <w:t xml:space="preserve"> Kč (slovy </w:t>
      </w:r>
      <w:proofErr w:type="spellStart"/>
      <w:r>
        <w:t>třistadva</w:t>
      </w:r>
      <w:r>
        <w:t>cet</w:t>
      </w:r>
      <w:proofErr w:type="spellEnd"/>
      <w:r>
        <w:t xml:space="preserve"> tisíc korun českých), bude na účet příjemce převedena do 30 dnů od nabytí účinnosti této smlouvy. Druhá splátka bude na účet příjemce převedena do 60 dnů ode dne předložení bezchybného závěrečného vyúčtování; výše splátky bude stanovena v souladu s čl.</w:t>
      </w:r>
      <w:r>
        <w:t xml:space="preserve"> IV odst. 2 této smlouvy. V případě, že bude bezchybné závěrečné vyúčtování předloženo v průběhu roku 2021, začne lhůta pro vyplacení druhé splátky dotace běžet 1. 1. 2022.</w:t>
      </w:r>
    </w:p>
    <w:p w:rsidR="009F53FD" w:rsidRDefault="00643A07">
      <w:pPr>
        <w:numPr>
          <w:ilvl w:val="0"/>
          <w:numId w:val="4"/>
        </w:numPr>
        <w:spacing w:after="36" w:line="220" w:lineRule="auto"/>
        <w:ind w:left="417" w:right="28" w:hanging="367"/>
      </w:pPr>
      <w:r>
        <w:t>Příjemce se zavazuje při použití peněžních prostředků splnit tyto podmínky:</w:t>
      </w:r>
      <w:r>
        <w:rPr>
          <w:noProof/>
        </w:rPr>
        <w:drawing>
          <wp:inline distT="0" distB="0" distL="0" distR="0">
            <wp:extent cx="4572" cy="4573"/>
            <wp:effectExtent l="0" t="0" r="0" b="0"/>
            <wp:docPr id="10693" name="Picture 10693"/>
            <wp:cNvGraphicFramePr/>
            <a:graphic xmlns:a="http://schemas.openxmlformats.org/drawingml/2006/main">
              <a:graphicData uri="http://schemas.openxmlformats.org/drawingml/2006/picture">
                <pic:pic xmlns:pic="http://schemas.openxmlformats.org/drawingml/2006/picture">
                  <pic:nvPicPr>
                    <pic:cNvPr id="10693" name="Picture 10693"/>
                    <pic:cNvPicPr/>
                  </pic:nvPicPr>
                  <pic:blipFill>
                    <a:blip r:embed="rId13"/>
                    <a:stretch>
                      <a:fillRect/>
                    </a:stretch>
                  </pic:blipFill>
                  <pic:spPr>
                    <a:xfrm>
                      <a:off x="0" y="0"/>
                      <a:ext cx="4572" cy="4573"/>
                    </a:xfrm>
                    <a:prstGeom prst="rect">
                      <a:avLst/>
                    </a:prstGeom>
                  </pic:spPr>
                </pic:pic>
              </a:graphicData>
            </a:graphic>
          </wp:inline>
        </w:drawing>
      </w:r>
    </w:p>
    <w:p w:rsidR="009F53FD" w:rsidRDefault="00643A07">
      <w:pPr>
        <w:numPr>
          <w:ilvl w:val="1"/>
          <w:numId w:val="4"/>
        </w:numPr>
        <w:spacing w:after="0" w:line="220" w:lineRule="auto"/>
        <w:ind w:left="769" w:right="15" w:hanging="374"/>
      </w:pPr>
      <w:r>
        <w:t xml:space="preserve">řídit </w:t>
      </w:r>
      <w:r>
        <w:t>se při použití poskytnuté dotace touto smlouvou, podmínkami uvedenými v Dotačním programu a právními předpisy,</w:t>
      </w:r>
    </w:p>
    <w:p w:rsidR="009F53FD" w:rsidRDefault="00643A07">
      <w:pPr>
        <w:numPr>
          <w:ilvl w:val="1"/>
          <w:numId w:val="4"/>
        </w:numPr>
        <w:spacing w:after="0" w:line="220" w:lineRule="auto"/>
        <w:ind w:left="769" w:right="15" w:hanging="374"/>
      </w:pPr>
      <w:r>
        <w:t>použít poskytnutou dotaci v souladu s jejím účelovým určením dle čl. IV této smlouvy a pouze k úhradě uznatelných nákladů vymezených v čl. VI tét</w:t>
      </w:r>
      <w:r>
        <w:t>o smlouvy,</w:t>
      </w:r>
    </w:p>
    <w:p w:rsidR="009F53FD" w:rsidRDefault="00643A07">
      <w:pPr>
        <w:numPr>
          <w:ilvl w:val="1"/>
          <w:numId w:val="4"/>
        </w:numPr>
        <w:spacing w:after="62" w:line="220" w:lineRule="auto"/>
        <w:ind w:left="769" w:right="15" w:hanging="374"/>
      </w:pPr>
      <w:r>
        <w:t>nepřekročit stanovený procentní podíl poskytovatele na skutečně vynaložených uznatelných nákladech projektu,</w:t>
      </w:r>
    </w:p>
    <w:p w:rsidR="009F53FD" w:rsidRDefault="00643A07">
      <w:pPr>
        <w:numPr>
          <w:ilvl w:val="1"/>
          <w:numId w:val="4"/>
        </w:numPr>
        <w:spacing w:after="62" w:line="220" w:lineRule="auto"/>
        <w:ind w:left="769" w:right="15" w:hanging="374"/>
      </w:pPr>
      <w:r>
        <w:t>dodržet nákladový rozpočet, který tvoří přílohu č. 1 této smlouvy a je její nedílnou součástí. Od tohoto nákladového rozpočtu je možno s</w:t>
      </w:r>
      <w:r>
        <w:t>e odchýlit jen následujícím způsobem:</w:t>
      </w:r>
    </w:p>
    <w:p w:rsidR="009F53FD" w:rsidRDefault="00643A07">
      <w:pPr>
        <w:spacing w:after="62" w:line="220" w:lineRule="auto"/>
        <w:ind w:left="1138" w:right="28" w:firstLine="0"/>
      </w:pPr>
      <w:r>
        <w:rPr>
          <w:noProof/>
        </w:rPr>
        <w:drawing>
          <wp:inline distT="0" distB="0" distL="0" distR="0">
            <wp:extent cx="36576" cy="13717"/>
            <wp:effectExtent l="0" t="0" r="0" b="0"/>
            <wp:docPr id="10694" name="Picture 10694"/>
            <wp:cNvGraphicFramePr/>
            <a:graphic xmlns:a="http://schemas.openxmlformats.org/drawingml/2006/main">
              <a:graphicData uri="http://schemas.openxmlformats.org/drawingml/2006/picture">
                <pic:pic xmlns:pic="http://schemas.openxmlformats.org/drawingml/2006/picture">
                  <pic:nvPicPr>
                    <pic:cNvPr id="10694" name="Picture 10694"/>
                    <pic:cNvPicPr/>
                  </pic:nvPicPr>
                  <pic:blipFill>
                    <a:blip r:embed="rId14"/>
                    <a:stretch>
                      <a:fillRect/>
                    </a:stretch>
                  </pic:blipFill>
                  <pic:spPr>
                    <a:xfrm>
                      <a:off x="0" y="0"/>
                      <a:ext cx="36576" cy="13717"/>
                    </a:xfrm>
                    <a:prstGeom prst="rect">
                      <a:avLst/>
                    </a:prstGeom>
                  </pic:spPr>
                </pic:pic>
              </a:graphicData>
            </a:graphic>
          </wp:inline>
        </w:drawing>
      </w:r>
      <w:r>
        <w:t xml:space="preserve"> bez omezení provádět vzájemné finanční úpravy jednotlivých nákladových položek v rámci jednoho druhu uznatelného nákladu za předpokladu, Že bude dodržena stanovená výše příslušného druhu uznatelného nákladu, stanoven</w:t>
      </w:r>
      <w:r>
        <w:t xml:space="preserve">ý procentuální podíl dotace na celkových uznatelných nákladech projektu a změny nebudou mít vliv na stanovené účelové určení, </w:t>
      </w:r>
      <w:r>
        <w:rPr>
          <w:noProof/>
        </w:rPr>
        <w:drawing>
          <wp:inline distT="0" distB="0" distL="0" distR="0">
            <wp:extent cx="36576" cy="13715"/>
            <wp:effectExtent l="0" t="0" r="0" b="0"/>
            <wp:docPr id="10695" name="Picture 10695"/>
            <wp:cNvGraphicFramePr/>
            <a:graphic xmlns:a="http://schemas.openxmlformats.org/drawingml/2006/main">
              <a:graphicData uri="http://schemas.openxmlformats.org/drawingml/2006/picture">
                <pic:pic xmlns:pic="http://schemas.openxmlformats.org/drawingml/2006/picture">
                  <pic:nvPicPr>
                    <pic:cNvPr id="10695" name="Picture 10695"/>
                    <pic:cNvPicPr/>
                  </pic:nvPicPr>
                  <pic:blipFill>
                    <a:blip r:embed="rId15"/>
                    <a:stretch>
                      <a:fillRect/>
                    </a:stretch>
                  </pic:blipFill>
                  <pic:spPr>
                    <a:xfrm>
                      <a:off x="0" y="0"/>
                      <a:ext cx="36576" cy="13715"/>
                    </a:xfrm>
                    <a:prstGeom prst="rect">
                      <a:avLst/>
                    </a:prstGeom>
                  </pic:spPr>
                </pic:pic>
              </a:graphicData>
            </a:graphic>
          </wp:inline>
        </w:drawing>
      </w:r>
      <w:r>
        <w:t xml:space="preserve"> vzájemnými finančními úpravami jednotlivých nákladových druhů navýšit jednotlivý druh uznatelných nákladů (uvedený v nákladovém rozpočtu projektu) maximálně 0 10 % z částky dotace přiznané na tento nákladový druh za předpokladu, že bude dodržena celková v</w:t>
      </w:r>
      <w:r>
        <w:t>ýše poskytnuté dotace, stanovený procentuální podíl dotace na celkových uznatelných nákladech projektu a provedené změny nebudou mít vliv na účelové určení; na snižování uznatelných nákladů v jednotlivých nákladových druzích se omezení nevztahuje,</w:t>
      </w:r>
    </w:p>
    <w:p w:rsidR="009F53FD" w:rsidRDefault="00643A07">
      <w:pPr>
        <w:numPr>
          <w:ilvl w:val="1"/>
          <w:numId w:val="4"/>
        </w:numPr>
        <w:spacing w:after="56"/>
        <w:ind w:left="769" w:right="15" w:hanging="374"/>
      </w:pPr>
      <w:r>
        <w:t>vrátit n</w:t>
      </w:r>
      <w:r>
        <w:t xml:space="preserve">evyčerpané finanční prostředky poskytnuté dotace, jsou-li vyšší než 10 Kč, zpět na účet poskytovatele do 7 kalendářních dnů ode dne předložení závěrečného vyúčtování, nejpozději </w:t>
      </w:r>
      <w:r>
        <w:t>však do 7 kalendářních dnů od termínu stanoveného pro předložení závěrečného v</w:t>
      </w:r>
      <w:r>
        <w:t xml:space="preserve">yúčtování. </w:t>
      </w:r>
      <w:r>
        <w:lastRenderedPageBreak/>
        <w:t>Rozhodným okamžikem vrácení nevyčerpaných finančních prostředků dotace zpět na účet poskytovatele je den jejich odepsání z účtu příjemce,</w:t>
      </w:r>
    </w:p>
    <w:p w:rsidR="009F53FD" w:rsidRDefault="00643A07">
      <w:pPr>
        <w:numPr>
          <w:ilvl w:val="1"/>
          <w:numId w:val="4"/>
        </w:numPr>
        <w:spacing w:after="1"/>
        <w:ind w:left="769" w:right="15" w:hanging="374"/>
      </w:pPr>
      <w:r>
        <w:t>v případě, že realizaci projektu nezahájí nebo ji přeruší z důvodu, že projekt nebude dále uskutečňovat, do</w:t>
      </w:r>
      <w:r>
        <w:t xml:space="preserve"> 7 kalendářních dnů ohlásit tuto skutečnost administrátorovi písemně nebo ústně do písemného protokolu a následně vrátit dotaci zpět na účet poskytovatele v plně poskytnuté výši do 7 kalendářních dnů ode dne ohlášení, nejpozději však do 7 kalendářních dnů </w:t>
      </w:r>
      <w:r>
        <w:t>ode dne, kdy byl toto ohlášení povinen učinit. Rozhodným okamžikem vrácení finančních prostředků dotace zpět na účet poskytovatele je den jejich odepsání z účtu příjemce,</w:t>
      </w:r>
    </w:p>
    <w:p w:rsidR="009F53FD" w:rsidRDefault="00643A07">
      <w:pPr>
        <w:numPr>
          <w:ilvl w:val="1"/>
          <w:numId w:val="4"/>
        </w:numPr>
        <w:ind w:left="769" w:right="15" w:hanging="374"/>
      </w:pPr>
      <w:r>
        <w:t>nepřevést poskytnutou dotaci na jiný právní subjekt.</w:t>
      </w:r>
    </w:p>
    <w:p w:rsidR="009F53FD" w:rsidRDefault="00643A07">
      <w:pPr>
        <w:numPr>
          <w:ilvl w:val="0"/>
          <w:numId w:val="4"/>
        </w:numPr>
        <w:spacing w:after="30"/>
        <w:ind w:left="417" w:right="28" w:hanging="367"/>
      </w:pPr>
      <w:r>
        <w:t>Příjemce se zavazuje dodržet tyto podmínky související s účelem, na nějž byla dotace poskytnuta:</w:t>
      </w:r>
    </w:p>
    <w:p w:rsidR="009F53FD" w:rsidRDefault="00643A07">
      <w:pPr>
        <w:numPr>
          <w:ilvl w:val="1"/>
          <w:numId w:val="4"/>
        </w:numPr>
        <w:spacing w:after="27"/>
        <w:ind w:left="769" w:right="15" w:hanging="374"/>
      </w:pPr>
      <w:r>
        <w:t>řídit se při vyúčtování poskytnuté dotace touto smlouvou, podmínkami uvedenými v Dotačním programu a právními předpisy,</w:t>
      </w:r>
    </w:p>
    <w:p w:rsidR="009F53FD" w:rsidRDefault="00643A07">
      <w:pPr>
        <w:numPr>
          <w:ilvl w:val="1"/>
          <w:numId w:val="4"/>
        </w:numPr>
        <w:spacing w:after="54"/>
        <w:ind w:left="769" w:right="15" w:hanging="374"/>
      </w:pPr>
      <w:r>
        <w:t>zrealizovat projekt vlastním jménem, na</w:t>
      </w:r>
      <w:r>
        <w:t xml:space="preserve"> vlastní účet a na vlastní odpovědnost a naplnit účelové určení dle čl. IV této smlouvy,</w:t>
      </w:r>
    </w:p>
    <w:p w:rsidR="009F53FD" w:rsidRDefault="00643A07">
      <w:pPr>
        <w:numPr>
          <w:ilvl w:val="1"/>
          <w:numId w:val="4"/>
        </w:numPr>
        <w:spacing w:after="43"/>
        <w:ind w:left="769" w:right="15" w:hanging="374"/>
      </w:pPr>
      <w:r>
        <w:t>dosáhnout stanoveného účelu, tedy zrealizovat projekt, nejpozději do 31. 12. 2021,</w:t>
      </w:r>
    </w:p>
    <w:p w:rsidR="009F53FD" w:rsidRDefault="00643A07">
      <w:pPr>
        <w:numPr>
          <w:ilvl w:val="1"/>
          <w:numId w:val="4"/>
        </w:numPr>
        <w:spacing w:after="46"/>
        <w:ind w:left="769" w:right="15" w:hanging="374"/>
      </w:pPr>
      <w:r>
        <w:t xml:space="preserve">vést oddělenou účetní evidenci celého realizovaného projektu dle zákona č. 563/1991 </w:t>
      </w:r>
      <w:r>
        <w:t xml:space="preserve">Sb., o účetnictví, ve znění pozdějších předpisů (dále jen „zákon o </w:t>
      </w:r>
      <w:proofErr w:type="spellStart"/>
      <w:r>
        <w:t>účetnictvř</w:t>
      </w:r>
      <w:proofErr w:type="spellEnd"/>
      <w:r>
        <w:t>), a to v členění na náklady financované z prostředků dotace a náklady financované z jiných zdrojů. Tato evidence musí být podložena účetními doklady ve smyslu zákona o účetnictví</w:t>
      </w:r>
      <w:r>
        <w:t>. Cestné prohlášení příjemce o vynaložení peněžních prostředků v rámci uznatelných nákladů realizovaného projektu není považováno za účetní doklad. Povinnost dle tohoto ustanovení se nevztahuje na příjemce, kteří nemají povinnost vést účetnictví dle zákona</w:t>
      </w:r>
      <w:r>
        <w:t xml:space="preserve"> o účetnictví nebo vedou jednoduché účetnictví dle zákona o účetnictví,</w:t>
      </w:r>
      <w:r>
        <w:rPr>
          <w:noProof/>
        </w:rPr>
        <w:drawing>
          <wp:inline distT="0" distB="0" distL="0" distR="0">
            <wp:extent cx="9144" cy="9144"/>
            <wp:effectExtent l="0" t="0" r="0" b="0"/>
            <wp:docPr id="14182" name="Picture 14182"/>
            <wp:cNvGraphicFramePr/>
            <a:graphic xmlns:a="http://schemas.openxmlformats.org/drawingml/2006/main">
              <a:graphicData uri="http://schemas.openxmlformats.org/drawingml/2006/picture">
                <pic:pic xmlns:pic="http://schemas.openxmlformats.org/drawingml/2006/picture">
                  <pic:nvPicPr>
                    <pic:cNvPr id="14182" name="Picture 14182"/>
                    <pic:cNvPicPr/>
                  </pic:nvPicPr>
                  <pic:blipFill>
                    <a:blip r:embed="rId16"/>
                    <a:stretch>
                      <a:fillRect/>
                    </a:stretch>
                  </pic:blipFill>
                  <pic:spPr>
                    <a:xfrm>
                      <a:off x="0" y="0"/>
                      <a:ext cx="9144" cy="9144"/>
                    </a:xfrm>
                    <a:prstGeom prst="rect">
                      <a:avLst/>
                    </a:prstGeom>
                  </pic:spPr>
                </pic:pic>
              </a:graphicData>
            </a:graphic>
          </wp:inline>
        </w:drawing>
      </w:r>
    </w:p>
    <w:p w:rsidR="009F53FD" w:rsidRDefault="00643A07">
      <w:pPr>
        <w:numPr>
          <w:ilvl w:val="1"/>
          <w:numId w:val="4"/>
        </w:numPr>
        <w:spacing w:after="57"/>
        <w:ind w:left="769" w:right="15" w:hanging="374"/>
      </w:pPr>
      <w:r>
        <w:t>označit originály všech účetních dokladů vztahujících se k projektu názvem projektu, nebo jiným označením, které projekt jasně identifikuje, u dokladů, k jejichž úhradě byla nebo má b</w:t>
      </w:r>
      <w:r>
        <w:t>ýt použita dotace, pak navíc uvést formulaci „Financováno z rozpočtu MSK", číslo smlouvy a výši použité dotace v Kč,</w:t>
      </w:r>
    </w:p>
    <w:p w:rsidR="009F53FD" w:rsidRDefault="00643A07">
      <w:pPr>
        <w:numPr>
          <w:ilvl w:val="1"/>
          <w:numId w:val="4"/>
        </w:numPr>
        <w:ind w:left="769" w:right="15" w:hanging="374"/>
      </w:pPr>
      <w:r>
        <w:t>na požádání umožnit poskytovateli nahlédnutí do všech účetních dokladů týkajících se projektu,</w:t>
      </w:r>
    </w:p>
    <w:p w:rsidR="009F53FD" w:rsidRDefault="00643A07">
      <w:pPr>
        <w:numPr>
          <w:ilvl w:val="1"/>
          <w:numId w:val="4"/>
        </w:numPr>
        <w:ind w:left="769" w:right="15" w:hanging="374"/>
      </w:pPr>
      <w:r>
        <w:t>předložit poskytovateli závěrečné vyúčtování</w:t>
      </w:r>
      <w:r>
        <w:t xml:space="preserve"> celého realizovaného projektu, jež je finančním vypořádáním ve smyslu S </w:t>
      </w:r>
      <w:proofErr w:type="gramStart"/>
      <w:r>
        <w:t>10a</w:t>
      </w:r>
      <w:proofErr w:type="gramEnd"/>
      <w:r>
        <w:t xml:space="preserve"> odst. 1 písm. d) zákona č. 250/2000 Sb., nejpozději do 20. 1. 2022. Závěrečné vyúčtování se považuje za předložené poskytovateli dnem jeho předání k přepravě provozovateli poštovn</w:t>
      </w:r>
      <w:r>
        <w:t>ích služeb nebo podáním na podatelně krajského úřadu,</w:t>
      </w:r>
    </w:p>
    <w:p w:rsidR="009F53FD" w:rsidRDefault="00643A07">
      <w:pPr>
        <w:numPr>
          <w:ilvl w:val="1"/>
          <w:numId w:val="4"/>
        </w:numPr>
        <w:ind w:left="769" w:right="15" w:hanging="374"/>
      </w:pPr>
      <w:r>
        <w:t xml:space="preserve">předložit poskytovateli závěrečné vyúčtování celého realizovaného projektu dle písm. g) tohoto odstavce smlouvy na předepsaných formulářích, úplné a bezchybné, včetně </w:t>
      </w:r>
      <w:r>
        <w:rPr>
          <w:noProof/>
        </w:rPr>
        <w:drawing>
          <wp:inline distT="0" distB="0" distL="0" distR="0">
            <wp:extent cx="36576" cy="13716"/>
            <wp:effectExtent l="0" t="0" r="0" b="0"/>
            <wp:docPr id="14183" name="Picture 14183"/>
            <wp:cNvGraphicFramePr/>
            <a:graphic xmlns:a="http://schemas.openxmlformats.org/drawingml/2006/main">
              <a:graphicData uri="http://schemas.openxmlformats.org/drawingml/2006/picture">
                <pic:pic xmlns:pic="http://schemas.openxmlformats.org/drawingml/2006/picture">
                  <pic:nvPicPr>
                    <pic:cNvPr id="14183" name="Picture 14183"/>
                    <pic:cNvPicPr/>
                  </pic:nvPicPr>
                  <pic:blipFill>
                    <a:blip r:embed="rId17"/>
                    <a:stretch>
                      <a:fillRect/>
                    </a:stretch>
                  </pic:blipFill>
                  <pic:spPr>
                    <a:xfrm>
                      <a:off x="0" y="0"/>
                      <a:ext cx="36576" cy="13716"/>
                    </a:xfrm>
                    <a:prstGeom prst="rect">
                      <a:avLst/>
                    </a:prstGeom>
                  </pic:spPr>
                </pic:pic>
              </a:graphicData>
            </a:graphic>
          </wp:inline>
        </w:drawing>
      </w:r>
      <w:r>
        <w:t xml:space="preserve"> závěrečné zprávy jako slovního po</w:t>
      </w:r>
      <w:r>
        <w:t xml:space="preserve">pisu realizace projektu s uvedením jeho výstupů a celkového zhodnocení, </w:t>
      </w:r>
      <w:r>
        <w:rPr>
          <w:noProof/>
        </w:rPr>
        <w:drawing>
          <wp:inline distT="0" distB="0" distL="0" distR="0">
            <wp:extent cx="32004" cy="18289"/>
            <wp:effectExtent l="0" t="0" r="0" b="0"/>
            <wp:docPr id="14184" name="Picture 14184"/>
            <wp:cNvGraphicFramePr/>
            <a:graphic xmlns:a="http://schemas.openxmlformats.org/drawingml/2006/main">
              <a:graphicData uri="http://schemas.openxmlformats.org/drawingml/2006/picture">
                <pic:pic xmlns:pic="http://schemas.openxmlformats.org/drawingml/2006/picture">
                  <pic:nvPicPr>
                    <pic:cNvPr id="14184" name="Picture 14184"/>
                    <pic:cNvPicPr/>
                  </pic:nvPicPr>
                  <pic:blipFill>
                    <a:blip r:embed="rId18"/>
                    <a:stretch>
                      <a:fillRect/>
                    </a:stretch>
                  </pic:blipFill>
                  <pic:spPr>
                    <a:xfrm>
                      <a:off x="0" y="0"/>
                      <a:ext cx="32004" cy="18289"/>
                    </a:xfrm>
                    <a:prstGeom prst="rect">
                      <a:avLst/>
                    </a:prstGeom>
                  </pic:spPr>
                </pic:pic>
              </a:graphicData>
            </a:graphic>
          </wp:inline>
        </w:drawing>
      </w:r>
      <w:r>
        <w:t xml:space="preserve"> seznamu účetních dokladů vztahujících se k uznatelným nákladům projektu včetně uvedení obsahu jednotlivých účetních dokladů, </w:t>
      </w:r>
      <w:r>
        <w:rPr>
          <w:noProof/>
        </w:rPr>
        <w:drawing>
          <wp:inline distT="0" distB="0" distL="0" distR="0">
            <wp:extent cx="36576" cy="18288"/>
            <wp:effectExtent l="0" t="0" r="0" b="0"/>
            <wp:docPr id="14185" name="Picture 14185"/>
            <wp:cNvGraphicFramePr/>
            <a:graphic xmlns:a="http://schemas.openxmlformats.org/drawingml/2006/main">
              <a:graphicData uri="http://schemas.openxmlformats.org/drawingml/2006/picture">
                <pic:pic xmlns:pic="http://schemas.openxmlformats.org/drawingml/2006/picture">
                  <pic:nvPicPr>
                    <pic:cNvPr id="14185" name="Picture 14185"/>
                    <pic:cNvPicPr/>
                  </pic:nvPicPr>
                  <pic:blipFill>
                    <a:blip r:embed="rId19"/>
                    <a:stretch>
                      <a:fillRect/>
                    </a:stretch>
                  </pic:blipFill>
                  <pic:spPr>
                    <a:xfrm>
                      <a:off x="0" y="0"/>
                      <a:ext cx="36576" cy="18288"/>
                    </a:xfrm>
                    <a:prstGeom prst="rect">
                      <a:avLst/>
                    </a:prstGeom>
                  </pic:spPr>
                </pic:pic>
              </a:graphicData>
            </a:graphic>
          </wp:inline>
        </w:drawing>
      </w:r>
      <w:r>
        <w:t xml:space="preserve"> kopií účetních dokladů týkajících se dotace včetně dokl</w:t>
      </w:r>
      <w:r>
        <w:t xml:space="preserve">adů o jejich úhradě (v případě nesrovnalostí může být příjemce vyzván k předložení kopií účetních dokladů týkajících se ostatních uznatelných nákladů projektu), </w:t>
      </w:r>
      <w:r>
        <w:rPr>
          <w:noProof/>
        </w:rPr>
        <w:drawing>
          <wp:inline distT="0" distB="0" distL="0" distR="0">
            <wp:extent cx="54864" cy="27432"/>
            <wp:effectExtent l="0" t="0" r="0" b="0"/>
            <wp:docPr id="50645" name="Picture 50645"/>
            <wp:cNvGraphicFramePr/>
            <a:graphic xmlns:a="http://schemas.openxmlformats.org/drawingml/2006/main">
              <a:graphicData uri="http://schemas.openxmlformats.org/drawingml/2006/picture">
                <pic:pic xmlns:pic="http://schemas.openxmlformats.org/drawingml/2006/picture">
                  <pic:nvPicPr>
                    <pic:cNvPr id="50645" name="Picture 50645"/>
                    <pic:cNvPicPr/>
                  </pic:nvPicPr>
                  <pic:blipFill>
                    <a:blip r:embed="rId20"/>
                    <a:stretch>
                      <a:fillRect/>
                    </a:stretch>
                  </pic:blipFill>
                  <pic:spPr>
                    <a:xfrm>
                      <a:off x="0" y="0"/>
                      <a:ext cx="54864" cy="27432"/>
                    </a:xfrm>
                    <a:prstGeom prst="rect">
                      <a:avLst/>
                    </a:prstGeom>
                  </pic:spPr>
                </pic:pic>
              </a:graphicData>
            </a:graphic>
          </wp:inline>
        </w:drawing>
      </w:r>
      <w:r>
        <w:t xml:space="preserve">dokladů prokazujících způsob prezentace Moravskoslezského kraje dle čl. VII této smlouvy, </w:t>
      </w:r>
      <w:r>
        <w:rPr>
          <w:noProof/>
        </w:rPr>
        <w:drawing>
          <wp:inline distT="0" distB="0" distL="0" distR="0">
            <wp:extent cx="32004" cy="13716"/>
            <wp:effectExtent l="0" t="0" r="0" b="0"/>
            <wp:docPr id="14189" name="Picture 14189"/>
            <wp:cNvGraphicFramePr/>
            <a:graphic xmlns:a="http://schemas.openxmlformats.org/drawingml/2006/main">
              <a:graphicData uri="http://schemas.openxmlformats.org/drawingml/2006/picture">
                <pic:pic xmlns:pic="http://schemas.openxmlformats.org/drawingml/2006/picture">
                  <pic:nvPicPr>
                    <pic:cNvPr id="14189" name="Picture 14189"/>
                    <pic:cNvPicPr/>
                  </pic:nvPicPr>
                  <pic:blipFill>
                    <a:blip r:embed="rId21"/>
                    <a:stretch>
                      <a:fillRect/>
                    </a:stretch>
                  </pic:blipFill>
                  <pic:spPr>
                    <a:xfrm>
                      <a:off x="0" y="0"/>
                      <a:ext cx="32004" cy="13716"/>
                    </a:xfrm>
                    <a:prstGeom prst="rect">
                      <a:avLst/>
                    </a:prstGeom>
                  </pic:spPr>
                </pic:pic>
              </a:graphicData>
            </a:graphic>
          </wp:inline>
        </w:drawing>
      </w:r>
      <w:r>
        <w:t xml:space="preserve"> vy</w:t>
      </w:r>
      <w:r>
        <w:t xml:space="preserve">tištěné fotografie (minimálně 1 ks) stavu po realizaci projektu, </w:t>
      </w:r>
      <w:r>
        <w:rPr>
          <w:noProof/>
        </w:rPr>
        <w:drawing>
          <wp:inline distT="0" distB="0" distL="0" distR="0">
            <wp:extent cx="36576" cy="13715"/>
            <wp:effectExtent l="0" t="0" r="0" b="0"/>
            <wp:docPr id="14190" name="Picture 14190"/>
            <wp:cNvGraphicFramePr/>
            <a:graphic xmlns:a="http://schemas.openxmlformats.org/drawingml/2006/main">
              <a:graphicData uri="http://schemas.openxmlformats.org/drawingml/2006/picture">
                <pic:pic xmlns:pic="http://schemas.openxmlformats.org/drawingml/2006/picture">
                  <pic:nvPicPr>
                    <pic:cNvPr id="14190" name="Picture 14190"/>
                    <pic:cNvPicPr/>
                  </pic:nvPicPr>
                  <pic:blipFill>
                    <a:blip r:embed="rId22"/>
                    <a:stretch>
                      <a:fillRect/>
                    </a:stretch>
                  </pic:blipFill>
                  <pic:spPr>
                    <a:xfrm>
                      <a:off x="0" y="0"/>
                      <a:ext cx="36576" cy="13715"/>
                    </a:xfrm>
                    <a:prstGeom prst="rect">
                      <a:avLst/>
                    </a:prstGeom>
                  </pic:spPr>
                </pic:pic>
              </a:graphicData>
            </a:graphic>
          </wp:inline>
        </w:drawing>
      </w:r>
      <w:r>
        <w:t xml:space="preserve"> čestného prohlášení příjemce o úplnosti, správnosti a pravdivosti závěrečného vyúčtování,</w:t>
      </w:r>
    </w:p>
    <w:p w:rsidR="009F53FD" w:rsidRDefault="00643A07">
      <w:pPr>
        <w:numPr>
          <w:ilvl w:val="1"/>
          <w:numId w:val="4"/>
        </w:numPr>
        <w:spacing w:after="55"/>
        <w:ind w:left="769" w:right="15" w:hanging="374"/>
      </w:pPr>
      <w:r>
        <w:t>řádně v souladu s právními předpisy uschovat originály všech účetních dokladů vztahujících se k pro</w:t>
      </w:r>
      <w:r>
        <w:t>jektu,</w:t>
      </w:r>
    </w:p>
    <w:p w:rsidR="009F53FD" w:rsidRDefault="00643A07">
      <w:pPr>
        <w:numPr>
          <w:ilvl w:val="1"/>
          <w:numId w:val="4"/>
        </w:numPr>
        <w:spacing w:after="20"/>
        <w:ind w:left="769" w:right="15" w:hanging="374"/>
      </w:pPr>
      <w:r>
        <w:t xml:space="preserve">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w:t>
      </w:r>
      <w:r>
        <w:t xml:space="preserve">realizace </w:t>
      </w:r>
      <w:r>
        <w:t>činnosti na místě a předložit při kontrole všechny potřebné účetní a jiné doklady. Kontrola na místě bude dle pokynu poskytovatele provedena v sídle příjemce, v místě realizace projektu nebo v sídle poskytovatele,</w:t>
      </w:r>
    </w:p>
    <w:p w:rsidR="009F53FD" w:rsidRDefault="00643A07">
      <w:pPr>
        <w:numPr>
          <w:ilvl w:val="1"/>
          <w:numId w:val="4"/>
        </w:numPr>
        <w:spacing w:after="43" w:line="216" w:lineRule="auto"/>
        <w:ind w:left="769" w:right="15" w:hanging="374"/>
      </w:pPr>
      <w:r>
        <w:t>při peněžních operacích dle této</w:t>
      </w:r>
      <w:r>
        <w:t xml:space="preserve"> smlouvy převádět peněžní prostředky na účet poskytovatele uvedený v čl. I této smlouvy a při těchto peněžních operacích vždy uvádět variabilní symbol 2160110606, </w:t>
      </w:r>
      <w:r>
        <w:rPr>
          <w:noProof/>
        </w:rPr>
        <w:drawing>
          <wp:inline distT="0" distB="0" distL="0" distR="0">
            <wp:extent cx="68580" cy="128016"/>
            <wp:effectExtent l="0" t="0" r="0" b="0"/>
            <wp:docPr id="50648" name="Picture 50648"/>
            <wp:cNvGraphicFramePr/>
            <a:graphic xmlns:a="http://schemas.openxmlformats.org/drawingml/2006/main">
              <a:graphicData uri="http://schemas.openxmlformats.org/drawingml/2006/picture">
                <pic:pic xmlns:pic="http://schemas.openxmlformats.org/drawingml/2006/picture">
                  <pic:nvPicPr>
                    <pic:cNvPr id="50648" name="Picture 50648"/>
                    <pic:cNvPicPr/>
                  </pic:nvPicPr>
                  <pic:blipFill>
                    <a:blip r:embed="rId23"/>
                    <a:stretch>
                      <a:fillRect/>
                    </a:stretch>
                  </pic:blipFill>
                  <pic:spPr>
                    <a:xfrm>
                      <a:off x="0" y="0"/>
                      <a:ext cx="68580" cy="128016"/>
                    </a:xfrm>
                    <a:prstGeom prst="rect">
                      <a:avLst/>
                    </a:prstGeom>
                  </pic:spPr>
                </pic:pic>
              </a:graphicData>
            </a:graphic>
          </wp:inline>
        </w:drawing>
      </w:r>
      <w:r>
        <w:t>nepřevést realizaci projektu na jiný právní subjekt,</w:t>
      </w:r>
    </w:p>
    <w:p w:rsidR="009F53FD" w:rsidRDefault="00643A07">
      <w:pPr>
        <w:numPr>
          <w:ilvl w:val="1"/>
          <w:numId w:val="5"/>
        </w:numPr>
        <w:spacing w:after="43" w:line="216" w:lineRule="auto"/>
        <w:ind w:right="35" w:hanging="367"/>
      </w:pPr>
      <w:r>
        <w:lastRenderedPageBreak/>
        <w:t>po dobu 5 let od ukončení realizace pro</w:t>
      </w:r>
      <w:r>
        <w:t>jektu nezcizit majetek pořízený nebo technicky zhodnocený z prostředků získaných z dotace poskytnuté na základě této smlouvy,</w:t>
      </w:r>
    </w:p>
    <w:p w:rsidR="009F53FD" w:rsidRDefault="00643A07">
      <w:pPr>
        <w:numPr>
          <w:ilvl w:val="1"/>
          <w:numId w:val="5"/>
        </w:numPr>
        <w:spacing w:after="43" w:line="216" w:lineRule="auto"/>
        <w:ind w:right="35" w:hanging="367"/>
      </w:pPr>
      <w:r>
        <w:t>neprodleně, nejpozději však do 7 kalendářních dnů, informovat poskytovatele o všech změnách souvisejících s čerpáním poskytnuté do</w:t>
      </w:r>
      <w:r>
        <w:t xml:space="preserve">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w:t>
      </w:r>
      <w:r>
        <w:t>nutno uzavírat ke smlouvě dodatek,</w:t>
      </w:r>
    </w:p>
    <w:p w:rsidR="009F53FD" w:rsidRDefault="00643A07">
      <w:pPr>
        <w:numPr>
          <w:ilvl w:val="1"/>
          <w:numId w:val="5"/>
        </w:numPr>
        <w:spacing w:after="4" w:line="216" w:lineRule="auto"/>
        <w:ind w:right="35" w:hanging="367"/>
      </w:pPr>
      <w:r>
        <w:t>neprodleně, nejpozději však do 7 kalendářních dnů, informovat poskytovatele o vlastní přeměně (sloučení obcí, připojení obce, oddělení části obce) a o tom, na který subjekt přejdou práva a povinnosti z této smlouvy,</w:t>
      </w:r>
    </w:p>
    <w:p w:rsidR="009F53FD" w:rsidRDefault="00643A07">
      <w:pPr>
        <w:numPr>
          <w:ilvl w:val="1"/>
          <w:numId w:val="5"/>
        </w:numPr>
        <w:spacing w:after="43" w:line="216" w:lineRule="auto"/>
        <w:ind w:right="35" w:hanging="367"/>
      </w:pPr>
      <w:r>
        <w:t>dodrž</w:t>
      </w:r>
      <w:r>
        <w:t>ovat podmínky povinné publicity stanovené v čl. VII této smlouvy.</w:t>
      </w:r>
    </w:p>
    <w:p w:rsidR="009F53FD" w:rsidRDefault="00643A07">
      <w:pPr>
        <w:numPr>
          <w:ilvl w:val="0"/>
          <w:numId w:val="4"/>
        </w:numPr>
        <w:spacing w:after="88" w:line="216" w:lineRule="auto"/>
        <w:ind w:left="417" w:right="28" w:hanging="367"/>
      </w:pPr>
      <w:r>
        <w:t xml:space="preserve">Porušení podmínek uvedených v odst. 3 písm. g), h), k), n), o) a p) je považováno za porušení méně závažné ve smyslu </w:t>
      </w:r>
      <w:proofErr w:type="spellStart"/>
      <w:r>
        <w:t>ust</w:t>
      </w:r>
      <w:proofErr w:type="spellEnd"/>
      <w:r>
        <w:t xml:space="preserve">. S </w:t>
      </w:r>
      <w:proofErr w:type="gramStart"/>
      <w:r>
        <w:t>10a</w:t>
      </w:r>
      <w:proofErr w:type="gramEnd"/>
      <w:r>
        <w:t xml:space="preserve"> odst. 6 zákona č. 250/2000 Sb. Odvod za tato porušení rozpočto</w:t>
      </w:r>
      <w:r>
        <w:t>vé kázně se stanoví následujícím způsobem:</w:t>
      </w:r>
    </w:p>
    <w:p w:rsidR="009F53FD" w:rsidRDefault="00643A07">
      <w:pPr>
        <w:numPr>
          <w:ilvl w:val="1"/>
          <w:numId w:val="4"/>
        </w:numPr>
        <w:spacing w:after="43" w:line="216" w:lineRule="auto"/>
        <w:ind w:left="769" w:right="15" w:hanging="374"/>
      </w:pPr>
      <w:r>
        <w:t>Předložení vyúčtování podle odst. 3 písm. g) po stanovené lhůtě:</w:t>
      </w:r>
    </w:p>
    <w:tbl>
      <w:tblPr>
        <w:tblStyle w:val="TableGrid"/>
        <w:tblW w:w="8719" w:type="dxa"/>
        <w:tblInd w:w="410" w:type="dxa"/>
        <w:tblCellMar>
          <w:top w:w="0" w:type="dxa"/>
          <w:left w:w="0" w:type="dxa"/>
          <w:bottom w:w="0" w:type="dxa"/>
          <w:right w:w="0" w:type="dxa"/>
        </w:tblCellMar>
        <w:tblLook w:val="04A0" w:firstRow="1" w:lastRow="0" w:firstColumn="1" w:lastColumn="0" w:noHBand="0" w:noVBand="1"/>
      </w:tblPr>
      <w:tblGrid>
        <w:gridCol w:w="8705"/>
        <w:gridCol w:w="14"/>
      </w:tblGrid>
      <w:tr w:rsidR="009F53FD">
        <w:trPr>
          <w:trHeight w:val="2570"/>
        </w:trPr>
        <w:tc>
          <w:tcPr>
            <w:tcW w:w="8705" w:type="dxa"/>
            <w:tcBorders>
              <w:top w:val="nil"/>
              <w:left w:val="nil"/>
              <w:bottom w:val="nil"/>
              <w:right w:val="nil"/>
            </w:tcBorders>
          </w:tcPr>
          <w:p w:rsidR="009F53FD" w:rsidRDefault="009F53FD">
            <w:pPr>
              <w:spacing w:after="0" w:line="259" w:lineRule="auto"/>
              <w:ind w:left="-1807" w:right="7" w:firstLine="0"/>
              <w:jc w:val="left"/>
            </w:pPr>
          </w:p>
          <w:tbl>
            <w:tblPr>
              <w:tblStyle w:val="TableGrid"/>
              <w:tblW w:w="8698" w:type="dxa"/>
              <w:tblInd w:w="0" w:type="dxa"/>
              <w:tblCellMar>
                <w:top w:w="5" w:type="dxa"/>
                <w:left w:w="0" w:type="dxa"/>
                <w:bottom w:w="0" w:type="dxa"/>
                <w:right w:w="0" w:type="dxa"/>
              </w:tblCellMar>
              <w:tblLook w:val="04A0" w:firstRow="1" w:lastRow="0" w:firstColumn="1" w:lastColumn="0" w:noHBand="0" w:noVBand="1"/>
            </w:tblPr>
            <w:tblGrid>
              <w:gridCol w:w="352"/>
              <w:gridCol w:w="4522"/>
              <w:gridCol w:w="310"/>
              <w:gridCol w:w="1332"/>
              <w:gridCol w:w="2182"/>
            </w:tblGrid>
            <w:tr w:rsidR="009F53FD">
              <w:trPr>
                <w:trHeight w:val="866"/>
              </w:trPr>
              <w:tc>
                <w:tcPr>
                  <w:tcW w:w="353" w:type="dxa"/>
                  <w:tcBorders>
                    <w:top w:val="nil"/>
                    <w:left w:val="nil"/>
                    <w:bottom w:val="nil"/>
                    <w:right w:val="nil"/>
                  </w:tcBorders>
                </w:tcPr>
                <w:p w:rsidR="009F53FD" w:rsidRDefault="009F53FD">
                  <w:pPr>
                    <w:spacing w:after="160" w:line="259" w:lineRule="auto"/>
                    <w:ind w:left="0" w:firstLine="0"/>
                    <w:jc w:val="left"/>
                  </w:pPr>
                </w:p>
              </w:tc>
              <w:tc>
                <w:tcPr>
                  <w:tcW w:w="4522" w:type="dxa"/>
                  <w:tcBorders>
                    <w:top w:val="nil"/>
                    <w:left w:val="nil"/>
                    <w:bottom w:val="nil"/>
                    <w:right w:val="nil"/>
                  </w:tcBorders>
                </w:tcPr>
                <w:p w:rsidR="009F53FD" w:rsidRDefault="00643A07">
                  <w:pPr>
                    <w:spacing w:after="0" w:line="259" w:lineRule="auto"/>
                    <w:ind w:left="7" w:right="1886" w:firstLine="0"/>
                    <w:jc w:val="left"/>
                  </w:pPr>
                  <w:r>
                    <w:t>do 7 kalendářních dnů od 8 do 15 kalendářních dnů od 16 do 30 kalendářních dnů</w:t>
                  </w:r>
                </w:p>
              </w:tc>
              <w:tc>
                <w:tcPr>
                  <w:tcW w:w="310" w:type="dxa"/>
                  <w:tcBorders>
                    <w:top w:val="nil"/>
                    <w:left w:val="nil"/>
                    <w:bottom w:val="nil"/>
                    <w:right w:val="nil"/>
                  </w:tcBorders>
                </w:tcPr>
                <w:p w:rsidR="009F53FD" w:rsidRDefault="009F53FD">
                  <w:pPr>
                    <w:spacing w:after="160" w:line="259" w:lineRule="auto"/>
                    <w:ind w:left="0" w:firstLine="0"/>
                    <w:jc w:val="left"/>
                  </w:pPr>
                </w:p>
              </w:tc>
              <w:tc>
                <w:tcPr>
                  <w:tcW w:w="1332" w:type="dxa"/>
                  <w:tcBorders>
                    <w:top w:val="nil"/>
                    <w:left w:val="nil"/>
                    <w:bottom w:val="nil"/>
                    <w:right w:val="nil"/>
                  </w:tcBorders>
                </w:tcPr>
                <w:p w:rsidR="009F53FD" w:rsidRDefault="009F53FD">
                  <w:pPr>
                    <w:spacing w:after="160" w:line="259" w:lineRule="auto"/>
                    <w:ind w:left="0" w:firstLine="0"/>
                    <w:jc w:val="left"/>
                  </w:pPr>
                </w:p>
              </w:tc>
              <w:tc>
                <w:tcPr>
                  <w:tcW w:w="2182" w:type="dxa"/>
                  <w:tcBorders>
                    <w:top w:val="nil"/>
                    <w:left w:val="nil"/>
                    <w:bottom w:val="nil"/>
                    <w:right w:val="nil"/>
                  </w:tcBorders>
                </w:tcPr>
                <w:p w:rsidR="009F53FD" w:rsidRDefault="00643A07">
                  <w:pPr>
                    <w:spacing w:after="0" w:line="259" w:lineRule="auto"/>
                    <w:ind w:left="0" w:firstLine="0"/>
                    <w:jc w:val="right"/>
                  </w:pPr>
                  <w:r>
                    <w:t>1.500 Kč,</w:t>
                  </w:r>
                </w:p>
                <w:p w:rsidR="009F53FD" w:rsidRDefault="00643A07">
                  <w:pPr>
                    <w:spacing w:after="0" w:line="259" w:lineRule="auto"/>
                    <w:ind w:left="0" w:firstLine="0"/>
                    <w:jc w:val="right"/>
                  </w:pPr>
                  <w:r>
                    <w:t>3.000 Kč,</w:t>
                  </w:r>
                </w:p>
                <w:p w:rsidR="009F53FD" w:rsidRDefault="00643A07">
                  <w:pPr>
                    <w:spacing w:after="0" w:line="259" w:lineRule="auto"/>
                    <w:ind w:left="0" w:firstLine="0"/>
                    <w:jc w:val="right"/>
                  </w:pPr>
                  <w:r>
                    <w:t>5.000 Kč,</w:t>
                  </w:r>
                </w:p>
              </w:tc>
            </w:tr>
            <w:tr w:rsidR="009F53FD">
              <w:trPr>
                <w:trHeight w:val="543"/>
              </w:trPr>
              <w:tc>
                <w:tcPr>
                  <w:tcW w:w="353" w:type="dxa"/>
                  <w:tcBorders>
                    <w:top w:val="nil"/>
                    <w:left w:val="nil"/>
                    <w:bottom w:val="nil"/>
                    <w:right w:val="nil"/>
                  </w:tcBorders>
                </w:tcPr>
                <w:p w:rsidR="009F53FD" w:rsidRDefault="00643A07">
                  <w:pPr>
                    <w:spacing w:after="0" w:line="259" w:lineRule="auto"/>
                    <w:ind w:left="7" w:firstLine="0"/>
                    <w:jc w:val="left"/>
                  </w:pPr>
                  <w:r>
                    <w:rPr>
                      <w:sz w:val="24"/>
                    </w:rPr>
                    <w:t>b)</w:t>
                  </w:r>
                </w:p>
              </w:tc>
              <w:tc>
                <w:tcPr>
                  <w:tcW w:w="4522" w:type="dxa"/>
                  <w:tcBorders>
                    <w:top w:val="nil"/>
                    <w:left w:val="nil"/>
                    <w:bottom w:val="nil"/>
                    <w:right w:val="nil"/>
                  </w:tcBorders>
                </w:tcPr>
                <w:p w:rsidR="009F53FD" w:rsidRDefault="00643A07">
                  <w:pPr>
                    <w:spacing w:after="0" w:line="259" w:lineRule="auto"/>
                    <w:ind w:left="0" w:firstLine="22"/>
                  </w:pPr>
                  <w:r>
                    <w:t>Porušení podmínky stanovené v odst. 3 písm. závěrečného vyúčtování</w:t>
                  </w:r>
                </w:p>
              </w:tc>
              <w:tc>
                <w:tcPr>
                  <w:tcW w:w="310" w:type="dxa"/>
                  <w:tcBorders>
                    <w:top w:val="nil"/>
                    <w:left w:val="nil"/>
                    <w:bottom w:val="nil"/>
                    <w:right w:val="nil"/>
                  </w:tcBorders>
                </w:tcPr>
                <w:p w:rsidR="009F53FD" w:rsidRDefault="00643A07">
                  <w:pPr>
                    <w:spacing w:after="0" w:line="259" w:lineRule="auto"/>
                    <w:ind w:left="0" w:firstLine="0"/>
                    <w:jc w:val="left"/>
                  </w:pPr>
                  <w:r>
                    <w:rPr>
                      <w:sz w:val="26"/>
                    </w:rPr>
                    <w:t>h)</w:t>
                  </w:r>
                </w:p>
              </w:tc>
              <w:tc>
                <w:tcPr>
                  <w:tcW w:w="1332" w:type="dxa"/>
                  <w:tcBorders>
                    <w:top w:val="nil"/>
                    <w:left w:val="nil"/>
                    <w:bottom w:val="nil"/>
                    <w:right w:val="nil"/>
                  </w:tcBorders>
                </w:tcPr>
                <w:p w:rsidR="009F53FD" w:rsidRDefault="00643A07">
                  <w:pPr>
                    <w:spacing w:after="0" w:line="259" w:lineRule="auto"/>
                    <w:ind w:left="0" w:firstLine="0"/>
                    <w:jc w:val="left"/>
                  </w:pPr>
                  <w:r>
                    <w:t>spočívající ve</w:t>
                  </w:r>
                </w:p>
              </w:tc>
              <w:tc>
                <w:tcPr>
                  <w:tcW w:w="2182" w:type="dxa"/>
                  <w:tcBorders>
                    <w:top w:val="nil"/>
                    <w:left w:val="nil"/>
                    <w:bottom w:val="nil"/>
                    <w:right w:val="nil"/>
                  </w:tcBorders>
                </w:tcPr>
                <w:p w:rsidR="009F53FD" w:rsidRDefault="00643A07">
                  <w:pPr>
                    <w:spacing w:after="0" w:line="259" w:lineRule="auto"/>
                    <w:ind w:left="29" w:firstLine="0"/>
                  </w:pPr>
                  <w:r>
                    <w:t>formálních nedostatcích</w:t>
                  </w:r>
                </w:p>
                <w:p w:rsidR="009F53FD" w:rsidRDefault="00643A07">
                  <w:pPr>
                    <w:spacing w:after="0" w:line="259" w:lineRule="auto"/>
                    <w:ind w:left="0" w:firstLine="0"/>
                  </w:pPr>
                  <w:r>
                    <w:t>10 % poskytnuté dotace,</w:t>
                  </w:r>
                </w:p>
              </w:tc>
            </w:tr>
            <w:tr w:rsidR="009F53FD">
              <w:trPr>
                <w:trHeight w:val="300"/>
              </w:trPr>
              <w:tc>
                <w:tcPr>
                  <w:tcW w:w="353" w:type="dxa"/>
                  <w:tcBorders>
                    <w:top w:val="nil"/>
                    <w:left w:val="nil"/>
                    <w:bottom w:val="nil"/>
                    <w:right w:val="nil"/>
                  </w:tcBorders>
                </w:tcPr>
                <w:p w:rsidR="009F53FD" w:rsidRDefault="00643A07">
                  <w:pPr>
                    <w:spacing w:after="0" w:line="259" w:lineRule="auto"/>
                    <w:ind w:left="0" w:firstLine="0"/>
                    <w:jc w:val="left"/>
                  </w:pPr>
                  <w:r>
                    <w:rPr>
                      <w:sz w:val="26"/>
                    </w:rPr>
                    <w:t>c)</w:t>
                  </w:r>
                </w:p>
              </w:tc>
              <w:tc>
                <w:tcPr>
                  <w:tcW w:w="4522" w:type="dxa"/>
                  <w:tcBorders>
                    <w:top w:val="nil"/>
                    <w:left w:val="nil"/>
                    <w:bottom w:val="nil"/>
                    <w:right w:val="nil"/>
                  </w:tcBorders>
                </w:tcPr>
                <w:p w:rsidR="009F53FD" w:rsidRDefault="00643A07">
                  <w:pPr>
                    <w:spacing w:after="0" w:line="259" w:lineRule="auto"/>
                    <w:ind w:left="22" w:firstLine="0"/>
                    <w:jc w:val="left"/>
                  </w:pPr>
                  <w:r>
                    <w:t>Porušení podmínky stanovené v odst. 3 písm. k)</w:t>
                  </w:r>
                </w:p>
              </w:tc>
              <w:tc>
                <w:tcPr>
                  <w:tcW w:w="310" w:type="dxa"/>
                  <w:tcBorders>
                    <w:top w:val="nil"/>
                    <w:left w:val="nil"/>
                    <w:bottom w:val="nil"/>
                    <w:right w:val="nil"/>
                  </w:tcBorders>
                </w:tcPr>
                <w:p w:rsidR="009F53FD" w:rsidRDefault="009F53FD">
                  <w:pPr>
                    <w:spacing w:after="160" w:line="259" w:lineRule="auto"/>
                    <w:ind w:left="0" w:firstLine="0"/>
                    <w:jc w:val="left"/>
                  </w:pPr>
                </w:p>
              </w:tc>
              <w:tc>
                <w:tcPr>
                  <w:tcW w:w="1332" w:type="dxa"/>
                  <w:tcBorders>
                    <w:top w:val="nil"/>
                    <w:left w:val="nil"/>
                    <w:bottom w:val="nil"/>
                    <w:right w:val="nil"/>
                  </w:tcBorders>
                </w:tcPr>
                <w:p w:rsidR="009F53FD" w:rsidRDefault="009F53FD">
                  <w:pPr>
                    <w:spacing w:after="160" w:line="259" w:lineRule="auto"/>
                    <w:ind w:left="0" w:firstLine="0"/>
                    <w:jc w:val="left"/>
                  </w:pPr>
                </w:p>
              </w:tc>
              <w:tc>
                <w:tcPr>
                  <w:tcW w:w="2182" w:type="dxa"/>
                  <w:tcBorders>
                    <w:top w:val="nil"/>
                    <w:left w:val="nil"/>
                    <w:bottom w:val="nil"/>
                    <w:right w:val="nil"/>
                  </w:tcBorders>
                </w:tcPr>
                <w:p w:rsidR="009F53FD" w:rsidRDefault="00643A07">
                  <w:pPr>
                    <w:spacing w:after="0" w:line="259" w:lineRule="auto"/>
                    <w:ind w:left="94" w:firstLine="0"/>
                    <w:jc w:val="left"/>
                  </w:pPr>
                  <w:r>
                    <w:t>5 % poskytnuté dotace,</w:t>
                  </w:r>
                </w:p>
              </w:tc>
            </w:tr>
            <w:tr w:rsidR="009F53FD">
              <w:trPr>
                <w:trHeight w:val="300"/>
              </w:trPr>
              <w:tc>
                <w:tcPr>
                  <w:tcW w:w="353" w:type="dxa"/>
                  <w:tcBorders>
                    <w:top w:val="nil"/>
                    <w:left w:val="nil"/>
                    <w:bottom w:val="nil"/>
                    <w:right w:val="nil"/>
                  </w:tcBorders>
                </w:tcPr>
                <w:p w:rsidR="009F53FD" w:rsidRDefault="00643A07">
                  <w:pPr>
                    <w:spacing w:after="0" w:line="259" w:lineRule="auto"/>
                    <w:ind w:left="0" w:firstLine="0"/>
                    <w:jc w:val="left"/>
                  </w:pPr>
                  <w:r>
                    <w:rPr>
                      <w:sz w:val="26"/>
                    </w:rPr>
                    <w:t>d)</w:t>
                  </w:r>
                </w:p>
              </w:tc>
              <w:tc>
                <w:tcPr>
                  <w:tcW w:w="4522" w:type="dxa"/>
                  <w:tcBorders>
                    <w:top w:val="nil"/>
                    <w:left w:val="nil"/>
                    <w:bottom w:val="nil"/>
                    <w:right w:val="nil"/>
                  </w:tcBorders>
                </w:tcPr>
                <w:p w:rsidR="009F53FD" w:rsidRDefault="00643A07">
                  <w:pPr>
                    <w:spacing w:after="0" w:line="259" w:lineRule="auto"/>
                    <w:ind w:left="22" w:firstLine="0"/>
                    <w:jc w:val="left"/>
                  </w:pPr>
                  <w:r>
                    <w:t>Porušení podmínky stanovené v odst. 3 písm. n)</w:t>
                  </w:r>
                </w:p>
              </w:tc>
              <w:tc>
                <w:tcPr>
                  <w:tcW w:w="310" w:type="dxa"/>
                  <w:tcBorders>
                    <w:top w:val="nil"/>
                    <w:left w:val="nil"/>
                    <w:bottom w:val="nil"/>
                    <w:right w:val="nil"/>
                  </w:tcBorders>
                </w:tcPr>
                <w:p w:rsidR="009F53FD" w:rsidRDefault="009F53FD">
                  <w:pPr>
                    <w:spacing w:after="160" w:line="259" w:lineRule="auto"/>
                    <w:ind w:left="0" w:firstLine="0"/>
                    <w:jc w:val="left"/>
                  </w:pPr>
                </w:p>
              </w:tc>
              <w:tc>
                <w:tcPr>
                  <w:tcW w:w="1332" w:type="dxa"/>
                  <w:tcBorders>
                    <w:top w:val="nil"/>
                    <w:left w:val="nil"/>
                    <w:bottom w:val="nil"/>
                    <w:right w:val="nil"/>
                  </w:tcBorders>
                </w:tcPr>
                <w:p w:rsidR="009F53FD" w:rsidRDefault="009F53FD">
                  <w:pPr>
                    <w:spacing w:after="160" w:line="259" w:lineRule="auto"/>
                    <w:ind w:left="0" w:firstLine="0"/>
                    <w:jc w:val="left"/>
                  </w:pPr>
                </w:p>
              </w:tc>
              <w:tc>
                <w:tcPr>
                  <w:tcW w:w="2182" w:type="dxa"/>
                  <w:tcBorders>
                    <w:top w:val="nil"/>
                    <w:left w:val="nil"/>
                    <w:bottom w:val="nil"/>
                    <w:right w:val="nil"/>
                  </w:tcBorders>
                </w:tcPr>
                <w:p w:rsidR="009F53FD" w:rsidRDefault="00643A07">
                  <w:pPr>
                    <w:spacing w:after="0" w:line="259" w:lineRule="auto"/>
                    <w:ind w:left="94" w:firstLine="0"/>
                    <w:jc w:val="left"/>
                  </w:pPr>
                  <w:r>
                    <w:t>2 % poskytnuté dotace,</w:t>
                  </w:r>
                </w:p>
              </w:tc>
            </w:tr>
            <w:tr w:rsidR="009F53FD">
              <w:trPr>
                <w:trHeight w:val="298"/>
              </w:trPr>
              <w:tc>
                <w:tcPr>
                  <w:tcW w:w="353" w:type="dxa"/>
                  <w:tcBorders>
                    <w:top w:val="nil"/>
                    <w:left w:val="nil"/>
                    <w:bottom w:val="nil"/>
                    <w:right w:val="nil"/>
                  </w:tcBorders>
                </w:tcPr>
                <w:p w:rsidR="009F53FD" w:rsidRDefault="00643A07">
                  <w:pPr>
                    <w:spacing w:after="0" w:line="259" w:lineRule="auto"/>
                    <w:ind w:left="0" w:firstLine="0"/>
                    <w:jc w:val="left"/>
                  </w:pPr>
                  <w:r>
                    <w:rPr>
                      <w:sz w:val="26"/>
                    </w:rPr>
                    <w:t>e)</w:t>
                  </w:r>
                </w:p>
              </w:tc>
              <w:tc>
                <w:tcPr>
                  <w:tcW w:w="4522" w:type="dxa"/>
                  <w:tcBorders>
                    <w:top w:val="nil"/>
                    <w:left w:val="nil"/>
                    <w:bottom w:val="nil"/>
                    <w:right w:val="nil"/>
                  </w:tcBorders>
                </w:tcPr>
                <w:p w:rsidR="009F53FD" w:rsidRDefault="00643A07">
                  <w:pPr>
                    <w:spacing w:after="0" w:line="259" w:lineRule="auto"/>
                    <w:ind w:left="22" w:firstLine="0"/>
                    <w:jc w:val="left"/>
                  </w:pPr>
                  <w:r>
                    <w:t>Porušení podmínky stanovené v odst. 3 písm. o)</w:t>
                  </w:r>
                </w:p>
              </w:tc>
              <w:tc>
                <w:tcPr>
                  <w:tcW w:w="310" w:type="dxa"/>
                  <w:tcBorders>
                    <w:top w:val="nil"/>
                    <w:left w:val="nil"/>
                    <w:bottom w:val="nil"/>
                    <w:right w:val="nil"/>
                  </w:tcBorders>
                </w:tcPr>
                <w:p w:rsidR="009F53FD" w:rsidRDefault="009F53FD">
                  <w:pPr>
                    <w:spacing w:after="160" w:line="259" w:lineRule="auto"/>
                    <w:ind w:left="0" w:firstLine="0"/>
                    <w:jc w:val="left"/>
                  </w:pPr>
                </w:p>
              </w:tc>
              <w:tc>
                <w:tcPr>
                  <w:tcW w:w="1332" w:type="dxa"/>
                  <w:tcBorders>
                    <w:top w:val="nil"/>
                    <w:left w:val="nil"/>
                    <w:bottom w:val="nil"/>
                    <w:right w:val="nil"/>
                  </w:tcBorders>
                </w:tcPr>
                <w:p w:rsidR="009F53FD" w:rsidRDefault="009F53FD">
                  <w:pPr>
                    <w:spacing w:after="160" w:line="259" w:lineRule="auto"/>
                    <w:ind w:left="0" w:firstLine="0"/>
                    <w:jc w:val="left"/>
                  </w:pPr>
                </w:p>
              </w:tc>
              <w:tc>
                <w:tcPr>
                  <w:tcW w:w="2182" w:type="dxa"/>
                  <w:tcBorders>
                    <w:top w:val="nil"/>
                    <w:left w:val="nil"/>
                    <w:bottom w:val="nil"/>
                    <w:right w:val="nil"/>
                  </w:tcBorders>
                </w:tcPr>
                <w:p w:rsidR="009F53FD" w:rsidRDefault="00643A07">
                  <w:pPr>
                    <w:spacing w:after="0" w:line="259" w:lineRule="auto"/>
                    <w:ind w:left="0" w:firstLine="0"/>
                  </w:pPr>
                  <w:r>
                    <w:t>10 % poskytnuté dotace,</w:t>
                  </w:r>
                </w:p>
              </w:tc>
            </w:tr>
            <w:tr w:rsidR="009F53FD">
              <w:trPr>
                <w:trHeight w:val="263"/>
              </w:trPr>
              <w:tc>
                <w:tcPr>
                  <w:tcW w:w="353" w:type="dxa"/>
                  <w:tcBorders>
                    <w:top w:val="nil"/>
                    <w:left w:val="nil"/>
                    <w:bottom w:val="nil"/>
                    <w:right w:val="nil"/>
                  </w:tcBorders>
                </w:tcPr>
                <w:p w:rsidR="009F53FD" w:rsidRDefault="00643A07">
                  <w:pPr>
                    <w:spacing w:after="0" w:line="259" w:lineRule="auto"/>
                    <w:ind w:left="0" w:firstLine="0"/>
                    <w:jc w:val="left"/>
                  </w:pPr>
                  <w:r>
                    <w:t>f)</w:t>
                  </w:r>
                </w:p>
              </w:tc>
              <w:tc>
                <w:tcPr>
                  <w:tcW w:w="6163" w:type="dxa"/>
                  <w:gridSpan w:val="3"/>
                  <w:tcBorders>
                    <w:top w:val="nil"/>
                    <w:left w:val="nil"/>
                    <w:bottom w:val="nil"/>
                    <w:right w:val="nil"/>
                  </w:tcBorders>
                </w:tcPr>
                <w:p w:rsidR="009F53FD" w:rsidRDefault="00643A07">
                  <w:pPr>
                    <w:spacing w:after="0" w:line="259" w:lineRule="auto"/>
                    <w:ind w:left="7" w:firstLine="0"/>
                    <w:jc w:val="left"/>
                  </w:pPr>
                  <w:r>
                    <w:t>Porušení každé podmínky, na niž se odkazuje v odst. 3 písm. p)</w:t>
                  </w:r>
                </w:p>
              </w:tc>
              <w:tc>
                <w:tcPr>
                  <w:tcW w:w="2182" w:type="dxa"/>
                  <w:tcBorders>
                    <w:top w:val="nil"/>
                    <w:left w:val="nil"/>
                    <w:bottom w:val="nil"/>
                    <w:right w:val="nil"/>
                  </w:tcBorders>
                </w:tcPr>
                <w:p w:rsidR="009F53FD" w:rsidRDefault="00643A07">
                  <w:pPr>
                    <w:spacing w:after="0" w:line="259" w:lineRule="auto"/>
                    <w:ind w:left="101" w:firstLine="0"/>
                    <w:jc w:val="left"/>
                  </w:pPr>
                  <w:r>
                    <w:t>5 % poskytnuté dotace.</w:t>
                  </w:r>
                </w:p>
              </w:tc>
            </w:tr>
          </w:tbl>
          <w:p w:rsidR="009F53FD" w:rsidRDefault="009F53FD">
            <w:pPr>
              <w:spacing w:after="160" w:line="259" w:lineRule="auto"/>
              <w:ind w:left="0" w:firstLine="0"/>
              <w:jc w:val="left"/>
            </w:pPr>
          </w:p>
        </w:tc>
        <w:tc>
          <w:tcPr>
            <w:tcW w:w="14" w:type="dxa"/>
            <w:tcBorders>
              <w:top w:val="nil"/>
              <w:left w:val="nil"/>
              <w:bottom w:val="nil"/>
              <w:right w:val="nil"/>
            </w:tcBorders>
            <w:vAlign w:val="bottom"/>
          </w:tcPr>
          <w:p w:rsidR="009F53FD" w:rsidRDefault="00643A07">
            <w:pPr>
              <w:spacing w:after="0" w:line="259" w:lineRule="auto"/>
              <w:ind w:left="7" w:firstLine="0"/>
              <w:jc w:val="left"/>
            </w:pPr>
            <w:r>
              <w:rPr>
                <w:noProof/>
              </w:rPr>
              <w:drawing>
                <wp:inline distT="0" distB="0" distL="0" distR="0">
                  <wp:extent cx="4572" cy="4573"/>
                  <wp:effectExtent l="0" t="0" r="0" b="0"/>
                  <wp:docPr id="17701" name="Picture 17701"/>
                  <wp:cNvGraphicFramePr/>
                  <a:graphic xmlns:a="http://schemas.openxmlformats.org/drawingml/2006/main">
                    <a:graphicData uri="http://schemas.openxmlformats.org/drawingml/2006/picture">
                      <pic:pic xmlns:pic="http://schemas.openxmlformats.org/drawingml/2006/picture">
                        <pic:nvPicPr>
                          <pic:cNvPr id="17701" name="Picture 17701"/>
                          <pic:cNvPicPr/>
                        </pic:nvPicPr>
                        <pic:blipFill>
                          <a:blip r:embed="rId24"/>
                          <a:stretch>
                            <a:fillRect/>
                          </a:stretch>
                        </pic:blipFill>
                        <pic:spPr>
                          <a:xfrm>
                            <a:off x="0" y="0"/>
                            <a:ext cx="4572" cy="4573"/>
                          </a:xfrm>
                          <a:prstGeom prst="rect">
                            <a:avLst/>
                          </a:prstGeom>
                        </pic:spPr>
                      </pic:pic>
                    </a:graphicData>
                  </a:graphic>
                </wp:inline>
              </w:drawing>
            </w:r>
          </w:p>
        </w:tc>
      </w:tr>
    </w:tbl>
    <w:p w:rsidR="009A115A" w:rsidRDefault="009A115A">
      <w:pPr>
        <w:spacing w:after="50" w:line="259" w:lineRule="auto"/>
        <w:ind w:left="60" w:right="22" w:hanging="10"/>
        <w:jc w:val="center"/>
        <w:rPr>
          <w:sz w:val="26"/>
        </w:rPr>
      </w:pPr>
      <w:r>
        <w:rPr>
          <w:sz w:val="26"/>
        </w:rPr>
        <w:t>VI.</w:t>
      </w:r>
      <w:bookmarkStart w:id="0" w:name="_GoBack"/>
      <w:bookmarkEnd w:id="0"/>
    </w:p>
    <w:p w:rsidR="009F53FD" w:rsidRDefault="00643A07">
      <w:pPr>
        <w:spacing w:after="50" w:line="259" w:lineRule="auto"/>
        <w:ind w:left="60" w:right="22" w:hanging="10"/>
        <w:jc w:val="center"/>
      </w:pPr>
      <w:r>
        <w:rPr>
          <w:sz w:val="26"/>
        </w:rPr>
        <w:t>Uznatelný náklad</w:t>
      </w:r>
    </w:p>
    <w:p w:rsidR="009F53FD" w:rsidRDefault="00643A07">
      <w:pPr>
        <w:numPr>
          <w:ilvl w:val="0"/>
          <w:numId w:val="6"/>
        </w:numPr>
        <w:spacing w:after="43" w:line="216" w:lineRule="auto"/>
        <w:ind w:right="35" w:hanging="360"/>
      </w:pPr>
      <w:r>
        <w:t>„Uznatelným nákladem*' je náklad, který splňuje všechny níže uvedené podmínky:</w:t>
      </w:r>
    </w:p>
    <w:p w:rsidR="009F53FD" w:rsidRDefault="00643A07">
      <w:pPr>
        <w:numPr>
          <w:ilvl w:val="1"/>
          <w:numId w:val="6"/>
        </w:numPr>
        <w:spacing w:after="43" w:line="216" w:lineRule="auto"/>
        <w:ind w:right="35" w:hanging="360"/>
      </w:pPr>
      <w:r>
        <w:t>vznikl a byl příjemcem uhrazen v období realizace projektu, tj. v období od 1. 1. 2021 do 31. 12. 2021,</w:t>
      </w:r>
    </w:p>
    <w:p w:rsidR="009F53FD" w:rsidRDefault="00643A07">
      <w:pPr>
        <w:numPr>
          <w:ilvl w:val="1"/>
          <w:numId w:val="6"/>
        </w:numPr>
        <w:spacing w:after="0" w:line="216" w:lineRule="auto"/>
        <w:ind w:right="35" w:hanging="360"/>
      </w:pPr>
      <w:r>
        <w:t>byl vynaložen v souladu s účelovým určením dle čl. IV této smlouvy, ostat</w:t>
      </w:r>
      <w:r>
        <w:t>ními podmínkami této smlouvy a podmínkami Dotačního programu,</w:t>
      </w:r>
    </w:p>
    <w:p w:rsidR="009F53FD" w:rsidRDefault="00643A07">
      <w:pPr>
        <w:numPr>
          <w:ilvl w:val="1"/>
          <w:numId w:val="6"/>
        </w:numPr>
        <w:spacing w:after="43" w:line="216" w:lineRule="auto"/>
        <w:ind w:right="35" w:hanging="360"/>
      </w:pPr>
      <w:r>
        <w:t>vyhovuje zásadám účelnosti, efektivnosti a hospodárnosti dle zákona o finanční kontrole a</w:t>
      </w:r>
    </w:p>
    <w:p w:rsidR="009F53FD" w:rsidRDefault="00643A07">
      <w:pPr>
        <w:numPr>
          <w:ilvl w:val="1"/>
          <w:numId w:val="6"/>
        </w:numPr>
        <w:spacing w:after="79" w:line="216" w:lineRule="auto"/>
        <w:ind w:right="35" w:hanging="360"/>
      </w:pPr>
      <w:r>
        <w:t>je uveden v nákladovém rozpočtu projektu, který je přílohou č. 1 této smlouvy.</w:t>
      </w:r>
    </w:p>
    <w:p w:rsidR="009F53FD" w:rsidRDefault="00643A07">
      <w:pPr>
        <w:numPr>
          <w:ilvl w:val="0"/>
          <w:numId w:val="6"/>
        </w:numPr>
        <w:spacing w:after="136" w:line="216" w:lineRule="auto"/>
        <w:ind w:right="35" w:hanging="360"/>
      </w:pPr>
      <w:r>
        <w:t>Daň z přidané hodnoty vzt</w:t>
      </w:r>
      <w:r>
        <w:t>ahující se k uznatelným nákladům je uznatelným nákladem, pokud příjemce není plátcem této daně nebo pokud mu nevzniká nárok na odpočet této daně.</w:t>
      </w:r>
    </w:p>
    <w:p w:rsidR="009F53FD" w:rsidRDefault="00643A07">
      <w:pPr>
        <w:numPr>
          <w:ilvl w:val="0"/>
          <w:numId w:val="6"/>
        </w:numPr>
        <w:spacing w:after="330" w:line="216" w:lineRule="auto"/>
        <w:ind w:right="35" w:hanging="360"/>
      </w:pPr>
      <w:r>
        <w:t>Všechny ostatní náklady vynaložené příjemcem jsou považovány za náklady neuznatelné.</w:t>
      </w:r>
    </w:p>
    <w:p w:rsidR="009F53FD" w:rsidRDefault="00643A07">
      <w:pPr>
        <w:spacing w:after="0" w:line="259" w:lineRule="auto"/>
        <w:ind w:left="36" w:firstLine="0"/>
        <w:jc w:val="center"/>
      </w:pPr>
      <w:r>
        <w:rPr>
          <w:sz w:val="32"/>
        </w:rPr>
        <w:t>VII.</w:t>
      </w:r>
    </w:p>
    <w:p w:rsidR="009F53FD" w:rsidRDefault="00643A07">
      <w:pPr>
        <w:spacing w:after="50" w:line="259" w:lineRule="auto"/>
        <w:ind w:left="60" w:hanging="10"/>
        <w:jc w:val="center"/>
      </w:pPr>
      <w:r>
        <w:rPr>
          <w:sz w:val="26"/>
        </w:rPr>
        <w:t>Povinná publicita</w:t>
      </w:r>
    </w:p>
    <w:p w:rsidR="009F53FD" w:rsidRDefault="00643A07">
      <w:pPr>
        <w:numPr>
          <w:ilvl w:val="0"/>
          <w:numId w:val="7"/>
        </w:numPr>
        <w:spacing w:after="77" w:line="216" w:lineRule="auto"/>
        <w:ind w:right="15"/>
      </w:pPr>
      <w:r>
        <w:t xml:space="preserve">Příjemce bere na vědomí, že poskytovatel je oprávněn zveřejnit jeho název, IČO, sídlo, účel poskytnuté dotace a výši poskytnuté dotace. Poskytovatel uděluje příjemci souhlas s </w:t>
      </w:r>
      <w:proofErr w:type="spellStart"/>
      <w:r>
        <w:t>uzłvanłm</w:t>
      </w:r>
      <w:proofErr w:type="spellEnd"/>
      <w:r>
        <w:t xml:space="preserve"> loga Moravskoslezského kraje pro účely a v rozsahu této smlouvy. Podmín</w:t>
      </w:r>
      <w:r>
        <w:t>ky užití loga jsou uvedeny v Manuálu jednotného vizuálního stylu Moravskoslezského kraje, který je dostupný na:</w:t>
      </w:r>
    </w:p>
    <w:p w:rsidR="009F53FD" w:rsidRDefault="00643A07">
      <w:pPr>
        <w:spacing w:after="130" w:line="259" w:lineRule="auto"/>
        <w:ind w:left="432" w:firstLine="0"/>
        <w:jc w:val="left"/>
      </w:pPr>
      <w:r>
        <w:rPr>
          <w:u w:val="single" w:color="000000"/>
        </w:rPr>
        <w:t>https://www.msk.cz/assets/verejnost/manual.pdf</w:t>
      </w:r>
      <w:r>
        <w:t>.</w:t>
      </w:r>
    </w:p>
    <w:p w:rsidR="009F53FD" w:rsidRDefault="00643A07">
      <w:pPr>
        <w:numPr>
          <w:ilvl w:val="0"/>
          <w:numId w:val="7"/>
        </w:numPr>
        <w:spacing w:after="0"/>
        <w:ind w:right="15"/>
      </w:pPr>
      <w:r>
        <w:t>Příjemce se zavazuje k tomu, že v průběhu realizace projektu bude prokazatelným a vhodným způsob</w:t>
      </w:r>
      <w:r>
        <w:t>em prezentovat Moravskoslezský kraj, a to v tomto rozsahu:</w:t>
      </w:r>
    </w:p>
    <w:p w:rsidR="009F53FD" w:rsidRDefault="00643A07">
      <w:pPr>
        <w:spacing w:after="0"/>
        <w:ind w:left="395" w:right="15" w:firstLine="29"/>
      </w:pPr>
      <w:r>
        <w:rPr>
          <w:noProof/>
        </w:rPr>
        <w:lastRenderedPageBreak/>
        <w:drawing>
          <wp:inline distT="0" distB="0" distL="0" distR="0">
            <wp:extent cx="50292" cy="50292"/>
            <wp:effectExtent l="0" t="0" r="0" b="0"/>
            <wp:docPr id="20968" name="Picture 20968"/>
            <wp:cNvGraphicFramePr/>
            <a:graphic xmlns:a="http://schemas.openxmlformats.org/drawingml/2006/main">
              <a:graphicData uri="http://schemas.openxmlformats.org/drawingml/2006/picture">
                <pic:pic xmlns:pic="http://schemas.openxmlformats.org/drawingml/2006/picture">
                  <pic:nvPicPr>
                    <pic:cNvPr id="20968" name="Picture 20968"/>
                    <pic:cNvPicPr/>
                  </pic:nvPicPr>
                  <pic:blipFill>
                    <a:blip r:embed="rId25"/>
                    <a:stretch>
                      <a:fillRect/>
                    </a:stretch>
                  </pic:blipFill>
                  <pic:spPr>
                    <a:xfrm>
                      <a:off x="0" y="0"/>
                      <a:ext cx="50292" cy="50292"/>
                    </a:xfrm>
                    <a:prstGeom prst="rect">
                      <a:avLst/>
                    </a:prstGeom>
                  </pic:spPr>
                </pic:pic>
              </a:graphicData>
            </a:graphic>
          </wp:inline>
        </w:drawing>
      </w:r>
      <w:r>
        <w:t xml:space="preserve"> na svých webových stránkách, jsou-li zřízeny, umístit logo Moravskoslezského kraje buď v sekci partneři, nebo přímo u podporovaného projektu, </w:t>
      </w:r>
      <w:r>
        <w:rPr>
          <w:noProof/>
        </w:rPr>
        <w:drawing>
          <wp:inline distT="0" distB="0" distL="0" distR="0">
            <wp:extent cx="50292" cy="50292"/>
            <wp:effectExtent l="0" t="0" r="0" b="0"/>
            <wp:docPr id="20969" name="Picture 20969"/>
            <wp:cNvGraphicFramePr/>
            <a:graphic xmlns:a="http://schemas.openxmlformats.org/drawingml/2006/main">
              <a:graphicData uri="http://schemas.openxmlformats.org/drawingml/2006/picture">
                <pic:pic xmlns:pic="http://schemas.openxmlformats.org/drawingml/2006/picture">
                  <pic:nvPicPr>
                    <pic:cNvPr id="20969" name="Picture 20969"/>
                    <pic:cNvPicPr/>
                  </pic:nvPicPr>
                  <pic:blipFill>
                    <a:blip r:embed="rId26"/>
                    <a:stretch>
                      <a:fillRect/>
                    </a:stretch>
                  </pic:blipFill>
                  <pic:spPr>
                    <a:xfrm>
                      <a:off x="0" y="0"/>
                      <a:ext cx="50292" cy="50292"/>
                    </a:xfrm>
                    <a:prstGeom prst="rect">
                      <a:avLst/>
                    </a:prstGeom>
                  </pic:spPr>
                </pic:pic>
              </a:graphicData>
            </a:graphic>
          </wp:inline>
        </w:drawing>
      </w:r>
      <w:r>
        <w:t xml:space="preserve"> informovat veřejnost o poskytnutí dotace Moravskosl</w:t>
      </w:r>
      <w:r>
        <w:t xml:space="preserve">ezským krajem na svých webových stránkách s odkazem) na webové stránky konkrétního projektu, jsou-li tyto stránky zřízeny, </w:t>
      </w:r>
      <w:r>
        <w:rPr>
          <w:noProof/>
        </w:rPr>
        <w:drawing>
          <wp:inline distT="0" distB="0" distL="0" distR="0">
            <wp:extent cx="68580" cy="50292"/>
            <wp:effectExtent l="0" t="0" r="0" b="0"/>
            <wp:docPr id="50652" name="Picture 50652"/>
            <wp:cNvGraphicFramePr/>
            <a:graphic xmlns:a="http://schemas.openxmlformats.org/drawingml/2006/main">
              <a:graphicData uri="http://schemas.openxmlformats.org/drawingml/2006/picture">
                <pic:pic xmlns:pic="http://schemas.openxmlformats.org/drawingml/2006/picture">
                  <pic:nvPicPr>
                    <pic:cNvPr id="50652" name="Picture 50652"/>
                    <pic:cNvPicPr/>
                  </pic:nvPicPr>
                  <pic:blipFill>
                    <a:blip r:embed="rId27"/>
                    <a:stretch>
                      <a:fillRect/>
                    </a:stretch>
                  </pic:blipFill>
                  <pic:spPr>
                    <a:xfrm>
                      <a:off x="0" y="0"/>
                      <a:ext cx="68580" cy="50292"/>
                    </a:xfrm>
                    <a:prstGeom prst="rect">
                      <a:avLst/>
                    </a:prstGeom>
                  </pic:spPr>
                </pic:pic>
              </a:graphicData>
            </a:graphic>
          </wp:inline>
        </w:drawing>
      </w:r>
      <w:r>
        <w:t>na svých profilech sociálních sítí, jsou-li zřízeny, uveřejnit vhodným způsobem informaci, že Moravskoslezský kraj poskytl dotaci na</w:t>
      </w:r>
      <w:r>
        <w:t xml:space="preserve"> realizaci projektu, </w:t>
      </w:r>
      <w:r>
        <w:rPr>
          <w:noProof/>
        </w:rPr>
        <w:drawing>
          <wp:inline distT="0" distB="0" distL="0" distR="0">
            <wp:extent cx="50292" cy="50292"/>
            <wp:effectExtent l="0" t="0" r="0" b="0"/>
            <wp:docPr id="20972" name="Picture 20972"/>
            <wp:cNvGraphicFramePr/>
            <a:graphic xmlns:a="http://schemas.openxmlformats.org/drawingml/2006/main">
              <a:graphicData uri="http://schemas.openxmlformats.org/drawingml/2006/picture">
                <pic:pic xmlns:pic="http://schemas.openxmlformats.org/drawingml/2006/picture">
                  <pic:nvPicPr>
                    <pic:cNvPr id="20972" name="Picture 20972"/>
                    <pic:cNvPicPr/>
                  </pic:nvPicPr>
                  <pic:blipFill>
                    <a:blip r:embed="rId28"/>
                    <a:stretch>
                      <a:fillRect/>
                    </a:stretch>
                  </pic:blipFill>
                  <pic:spPr>
                    <a:xfrm>
                      <a:off x="0" y="0"/>
                      <a:ext cx="50292" cy="50292"/>
                    </a:xfrm>
                    <a:prstGeom prst="rect">
                      <a:avLst/>
                    </a:prstGeom>
                  </pic:spPr>
                </pic:pic>
              </a:graphicData>
            </a:graphic>
          </wp:inline>
        </w:drawing>
      </w:r>
      <w:r>
        <w:t xml:space="preserve"> na všech pozvánkách, plakátech, poutačích, billboardech, ve spotech, katalozích a podobných nosičích reklamy použít logo Moravskoslezského kraje, </w:t>
      </w:r>
      <w:r>
        <w:rPr>
          <w:noProof/>
        </w:rPr>
        <w:drawing>
          <wp:inline distT="0" distB="0" distL="0" distR="0">
            <wp:extent cx="54864" cy="50292"/>
            <wp:effectExtent l="0" t="0" r="0" b="0"/>
            <wp:docPr id="20973" name="Picture 20973"/>
            <wp:cNvGraphicFramePr/>
            <a:graphic xmlns:a="http://schemas.openxmlformats.org/drawingml/2006/main">
              <a:graphicData uri="http://schemas.openxmlformats.org/drawingml/2006/picture">
                <pic:pic xmlns:pic="http://schemas.openxmlformats.org/drawingml/2006/picture">
                  <pic:nvPicPr>
                    <pic:cNvPr id="20973" name="Picture 20973"/>
                    <pic:cNvPicPr/>
                  </pic:nvPicPr>
                  <pic:blipFill>
                    <a:blip r:embed="rId29"/>
                    <a:stretch>
                      <a:fillRect/>
                    </a:stretch>
                  </pic:blipFill>
                  <pic:spPr>
                    <a:xfrm>
                      <a:off x="0" y="0"/>
                      <a:ext cx="54864" cy="50292"/>
                    </a:xfrm>
                    <a:prstGeom prst="rect">
                      <a:avLst/>
                    </a:prstGeom>
                  </pic:spPr>
                </pic:pic>
              </a:graphicData>
            </a:graphic>
          </wp:inline>
        </w:drawing>
      </w:r>
      <w:r>
        <w:t xml:space="preserve"> s administrátorem v dostatečném předstihu dohodnout zapůjčení bannerů nebo </w:t>
      </w:r>
      <w:proofErr w:type="spellStart"/>
      <w:r>
        <w:t>roll-upů</w:t>
      </w:r>
      <w:proofErr w:type="spellEnd"/>
      <w:r>
        <w:t xml:space="preserve"> k</w:t>
      </w:r>
      <w:r>
        <w:t xml:space="preserve"> propagaci Moravskoslezského kraje přímo na místě realizace projektu, </w:t>
      </w:r>
      <w:r>
        <w:rPr>
          <w:noProof/>
        </w:rPr>
        <w:drawing>
          <wp:inline distT="0" distB="0" distL="0" distR="0">
            <wp:extent cx="50292" cy="50292"/>
            <wp:effectExtent l="0" t="0" r="0" b="0"/>
            <wp:docPr id="20974" name="Picture 20974"/>
            <wp:cNvGraphicFramePr/>
            <a:graphic xmlns:a="http://schemas.openxmlformats.org/drawingml/2006/main">
              <a:graphicData uri="http://schemas.openxmlformats.org/drawingml/2006/picture">
                <pic:pic xmlns:pic="http://schemas.openxmlformats.org/drawingml/2006/picture">
                  <pic:nvPicPr>
                    <pic:cNvPr id="20974" name="Picture 20974"/>
                    <pic:cNvPicPr/>
                  </pic:nvPicPr>
                  <pic:blipFill>
                    <a:blip r:embed="rId30"/>
                    <a:stretch>
                      <a:fillRect/>
                    </a:stretch>
                  </pic:blipFill>
                  <pic:spPr>
                    <a:xfrm>
                      <a:off x="0" y="0"/>
                      <a:ext cx="50292" cy="50292"/>
                    </a:xfrm>
                    <a:prstGeom prst="rect">
                      <a:avLst/>
                    </a:prstGeom>
                  </pic:spPr>
                </pic:pic>
              </a:graphicData>
            </a:graphic>
          </wp:inline>
        </w:drawing>
      </w:r>
      <w:r>
        <w:t xml:space="preserve"> instalovat v prostorách realizace projektu logo Moravskoslezského kraje a informaci o tom, že daný projekt byl financován/spolufinancován z rozpočtu Moravskoslezského kraje, a to formo</w:t>
      </w:r>
      <w:r>
        <w:t xml:space="preserve">u informační cedule, </w:t>
      </w:r>
      <w:r>
        <w:rPr>
          <w:noProof/>
        </w:rPr>
        <w:drawing>
          <wp:inline distT="0" distB="0" distL="0" distR="0">
            <wp:extent cx="50292" cy="50292"/>
            <wp:effectExtent l="0" t="0" r="0" b="0"/>
            <wp:docPr id="20975" name="Picture 20975"/>
            <wp:cNvGraphicFramePr/>
            <a:graphic xmlns:a="http://schemas.openxmlformats.org/drawingml/2006/main">
              <a:graphicData uri="http://schemas.openxmlformats.org/drawingml/2006/picture">
                <pic:pic xmlns:pic="http://schemas.openxmlformats.org/drawingml/2006/picture">
                  <pic:nvPicPr>
                    <pic:cNvPr id="20975" name="Picture 20975"/>
                    <pic:cNvPicPr/>
                  </pic:nvPicPr>
                  <pic:blipFill>
                    <a:blip r:embed="rId31"/>
                    <a:stretch>
                      <a:fillRect/>
                    </a:stretch>
                  </pic:blipFill>
                  <pic:spPr>
                    <a:xfrm>
                      <a:off x="0" y="0"/>
                      <a:ext cx="50292" cy="50292"/>
                    </a:xfrm>
                    <a:prstGeom prst="rect">
                      <a:avLst/>
                    </a:prstGeom>
                  </pic:spPr>
                </pic:pic>
              </a:graphicData>
            </a:graphic>
          </wp:inline>
        </w:drawing>
      </w:r>
      <w:r>
        <w:t xml:space="preserve"> vydat tiskovou zprávu (případně v rámci tiskové konference informovat) o podpoře projektu Moravskoslezským krajem (např. na svých webových stránkách, na svých profilech sociálních sítí, v tisku apod.), zveřejňovat na všech tiskových </w:t>
      </w:r>
      <w:r>
        <w:t xml:space="preserve">materiálech souvisejících s projektem logo Moravskoslezského kraje, </w:t>
      </w:r>
      <w:r>
        <w:rPr>
          <w:noProof/>
        </w:rPr>
        <w:drawing>
          <wp:inline distT="0" distB="0" distL="0" distR="0">
            <wp:extent cx="50292" cy="50292"/>
            <wp:effectExtent l="0" t="0" r="0" b="0"/>
            <wp:docPr id="20976" name="Picture 20976"/>
            <wp:cNvGraphicFramePr/>
            <a:graphic xmlns:a="http://schemas.openxmlformats.org/drawingml/2006/main">
              <a:graphicData uri="http://schemas.openxmlformats.org/drawingml/2006/picture">
                <pic:pic xmlns:pic="http://schemas.openxmlformats.org/drawingml/2006/picture">
                  <pic:nvPicPr>
                    <pic:cNvPr id="20976" name="Picture 20976"/>
                    <pic:cNvPicPr/>
                  </pic:nvPicPr>
                  <pic:blipFill>
                    <a:blip r:embed="rId32"/>
                    <a:stretch>
                      <a:fillRect/>
                    </a:stretch>
                  </pic:blipFill>
                  <pic:spPr>
                    <a:xfrm>
                      <a:off x="0" y="0"/>
                      <a:ext cx="50292" cy="50292"/>
                    </a:xfrm>
                    <a:prstGeom prst="rect">
                      <a:avLst/>
                    </a:prstGeom>
                  </pic:spPr>
                </pic:pic>
              </a:graphicData>
            </a:graphic>
          </wp:inline>
        </w:drawing>
      </w:r>
      <w:r>
        <w:t xml:space="preserve"> v rámci veřejných akcí, tiskových zpráv, tiskových konferencí týkajících se podpořeného projektu uvést vždy Moravskoslezský kraj jako poskytovatele dotace a uvést logo</w:t>
      </w:r>
    </w:p>
    <w:p w:rsidR="009F53FD" w:rsidRDefault="00643A07">
      <w:pPr>
        <w:spacing w:after="162"/>
        <w:ind w:left="395" w:right="2052" w:firstLine="374"/>
      </w:pPr>
      <w:r>
        <w:t xml:space="preserve">Moravskoslezského </w:t>
      </w:r>
      <w:r>
        <w:t xml:space="preserve">kraje, </w:t>
      </w:r>
      <w:r>
        <w:rPr>
          <w:noProof/>
        </w:rPr>
        <w:drawing>
          <wp:inline distT="0" distB="0" distL="0" distR="0">
            <wp:extent cx="68580" cy="54864"/>
            <wp:effectExtent l="0" t="0" r="0" b="0"/>
            <wp:docPr id="50654" name="Picture 50654"/>
            <wp:cNvGraphicFramePr/>
            <a:graphic xmlns:a="http://schemas.openxmlformats.org/drawingml/2006/main">
              <a:graphicData uri="http://schemas.openxmlformats.org/drawingml/2006/picture">
                <pic:pic xmlns:pic="http://schemas.openxmlformats.org/drawingml/2006/picture">
                  <pic:nvPicPr>
                    <pic:cNvPr id="50654" name="Picture 50654"/>
                    <pic:cNvPicPr/>
                  </pic:nvPicPr>
                  <pic:blipFill>
                    <a:blip r:embed="rId33"/>
                    <a:stretch>
                      <a:fillRect/>
                    </a:stretch>
                  </pic:blipFill>
                  <pic:spPr>
                    <a:xfrm>
                      <a:off x="0" y="0"/>
                      <a:ext cx="68580" cy="54864"/>
                    </a:xfrm>
                    <a:prstGeom prst="rect">
                      <a:avLst/>
                    </a:prstGeom>
                  </pic:spPr>
                </pic:pic>
              </a:graphicData>
            </a:graphic>
          </wp:inline>
        </w:drawing>
      </w:r>
      <w:r>
        <w:t xml:space="preserve">umožnit účast zástupců Moravskoslezského kraje na aktivitách projektu, </w:t>
      </w:r>
      <w:r>
        <w:rPr>
          <w:noProof/>
        </w:rPr>
        <w:drawing>
          <wp:inline distT="0" distB="0" distL="0" distR="0">
            <wp:extent cx="50292" cy="50292"/>
            <wp:effectExtent l="0" t="0" r="0" b="0"/>
            <wp:docPr id="20979" name="Picture 20979"/>
            <wp:cNvGraphicFramePr/>
            <a:graphic xmlns:a="http://schemas.openxmlformats.org/drawingml/2006/main">
              <a:graphicData uri="http://schemas.openxmlformats.org/drawingml/2006/picture">
                <pic:pic xmlns:pic="http://schemas.openxmlformats.org/drawingml/2006/picture">
                  <pic:nvPicPr>
                    <pic:cNvPr id="20979" name="Picture 20979"/>
                    <pic:cNvPicPr/>
                  </pic:nvPicPr>
                  <pic:blipFill>
                    <a:blip r:embed="rId34"/>
                    <a:stretch>
                      <a:fillRect/>
                    </a:stretch>
                  </pic:blipFill>
                  <pic:spPr>
                    <a:xfrm>
                      <a:off x="0" y="0"/>
                      <a:ext cx="50292" cy="50292"/>
                    </a:xfrm>
                    <a:prstGeom prst="rect">
                      <a:avLst/>
                    </a:prstGeom>
                  </pic:spPr>
                </pic:pic>
              </a:graphicData>
            </a:graphic>
          </wp:inline>
        </w:drawing>
      </w:r>
      <w:r>
        <w:t xml:space="preserve"> zajistit fotodokumentaci povinné publicity projektu.</w:t>
      </w:r>
    </w:p>
    <w:p w:rsidR="009F53FD" w:rsidRDefault="00643A07">
      <w:pPr>
        <w:numPr>
          <w:ilvl w:val="0"/>
          <w:numId w:val="7"/>
        </w:numPr>
        <w:spacing w:after="138"/>
        <w:ind w:right="15"/>
      </w:pPr>
      <w:r>
        <w:t>V případě, že příjemce bude vytvářet plakát propagující projekt, zašle jej v elektronické podobě administrátorovi. Příjemc</w:t>
      </w:r>
      <w:r>
        <w:t>e je rovněž povinen v případě, že bude za účelem propagace projektu vytvářet video spot, poskytnout poskytovateli tento video spot a umožnit poskytovateli využití tohoto video spotu za účelem propagace projektu poskytovatelem.</w:t>
      </w:r>
    </w:p>
    <w:p w:rsidR="009F53FD" w:rsidRDefault="00643A07">
      <w:pPr>
        <w:numPr>
          <w:ilvl w:val="0"/>
          <w:numId w:val="7"/>
        </w:numPr>
        <w:ind w:right="15"/>
      </w:pPr>
      <w:r>
        <w:t>Všechny formy, rozsah a způso</w:t>
      </w:r>
      <w:r>
        <w:t>by prezentace Moravskoslezského kraje je před jejich realizací příjemce dotace povinen v dostatečném časovém předstihu konzultovat s administrátorem.</w:t>
      </w:r>
    </w:p>
    <w:p w:rsidR="009F53FD" w:rsidRDefault="00643A07">
      <w:pPr>
        <w:numPr>
          <w:ilvl w:val="0"/>
          <w:numId w:val="7"/>
        </w:numPr>
        <w:spacing w:after="365"/>
        <w:ind w:right="15"/>
      </w:pPr>
      <w:r>
        <w:t>Veškeré náklady, které příjemce vynaloží na splnění povinností stanovených v tomto článku smlouvy, jsou neuznatelnými náklady.</w:t>
      </w:r>
    </w:p>
    <w:p w:rsidR="009F53FD" w:rsidRDefault="00643A07">
      <w:pPr>
        <w:spacing w:after="0" w:line="259" w:lineRule="auto"/>
        <w:ind w:left="0" w:right="50" w:firstLine="0"/>
        <w:jc w:val="center"/>
      </w:pPr>
      <w:r>
        <w:rPr>
          <w:sz w:val="34"/>
        </w:rPr>
        <w:t>VIII.</w:t>
      </w:r>
    </w:p>
    <w:p w:rsidR="009F53FD" w:rsidRDefault="00643A07">
      <w:pPr>
        <w:spacing w:after="87" w:line="259" w:lineRule="auto"/>
        <w:ind w:left="0" w:right="7" w:firstLine="0"/>
        <w:jc w:val="center"/>
      </w:pPr>
      <w:r>
        <w:rPr>
          <w:sz w:val="26"/>
        </w:rPr>
        <w:t>Závěrečná ustanovení</w:t>
      </w:r>
      <w:r>
        <w:rPr>
          <w:noProof/>
        </w:rPr>
        <w:drawing>
          <wp:inline distT="0" distB="0" distL="0" distR="0">
            <wp:extent cx="4572" cy="4572"/>
            <wp:effectExtent l="0" t="0" r="0" b="0"/>
            <wp:docPr id="20980" name="Picture 20980"/>
            <wp:cNvGraphicFramePr/>
            <a:graphic xmlns:a="http://schemas.openxmlformats.org/drawingml/2006/main">
              <a:graphicData uri="http://schemas.openxmlformats.org/drawingml/2006/picture">
                <pic:pic xmlns:pic="http://schemas.openxmlformats.org/drawingml/2006/picture">
                  <pic:nvPicPr>
                    <pic:cNvPr id="20980" name="Picture 20980"/>
                    <pic:cNvPicPr/>
                  </pic:nvPicPr>
                  <pic:blipFill>
                    <a:blip r:embed="rId35"/>
                    <a:stretch>
                      <a:fillRect/>
                    </a:stretch>
                  </pic:blipFill>
                  <pic:spPr>
                    <a:xfrm>
                      <a:off x="0" y="0"/>
                      <a:ext cx="4572" cy="4572"/>
                    </a:xfrm>
                    <a:prstGeom prst="rect">
                      <a:avLst/>
                    </a:prstGeom>
                  </pic:spPr>
                </pic:pic>
              </a:graphicData>
            </a:graphic>
          </wp:inline>
        </w:drawing>
      </w:r>
    </w:p>
    <w:p w:rsidR="009F53FD" w:rsidRDefault="00643A07">
      <w:pPr>
        <w:numPr>
          <w:ilvl w:val="0"/>
          <w:numId w:val="8"/>
        </w:numPr>
        <w:spacing w:after="121"/>
        <w:ind w:left="381" w:right="15" w:hanging="367"/>
      </w:pPr>
      <w: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rsidR="009F53FD" w:rsidRDefault="00643A07">
      <w:pPr>
        <w:numPr>
          <w:ilvl w:val="0"/>
          <w:numId w:val="8"/>
        </w:numPr>
        <w:spacing w:after="149"/>
        <w:ind w:left="381" w:right="15" w:hanging="367"/>
      </w:pPr>
      <w:r>
        <w:t>Poskytov</w:t>
      </w:r>
      <w:r>
        <w:t>atel není oprávněn tuto smlouvu vypovědět:</w:t>
      </w:r>
    </w:p>
    <w:p w:rsidR="009F53FD" w:rsidRDefault="00643A07">
      <w:pPr>
        <w:numPr>
          <w:ilvl w:val="1"/>
          <w:numId w:val="8"/>
        </w:numPr>
        <w:ind w:left="749" w:right="15"/>
      </w:pPr>
      <w:r>
        <w:t>poruší-li příjemce rozpočtovou kázeň porušením některé z podmínek uvedených v čl. V odst. 2 této smlouvy, nepřesáhne-li výše neoprávněně použitých nebo zadržených peněžních prostředků 50 % peněžních prostředků pos</w:t>
      </w:r>
      <w:r>
        <w:t>kytnutých ke dni porušení rozpočtové kázně, nebo</w:t>
      </w:r>
    </w:p>
    <w:p w:rsidR="009F53FD" w:rsidRDefault="00643A07">
      <w:pPr>
        <w:numPr>
          <w:ilvl w:val="1"/>
          <w:numId w:val="8"/>
        </w:numPr>
        <w:spacing w:after="167"/>
        <w:ind w:left="749" w:right="15"/>
      </w:pPr>
      <w:r>
        <w:t>poruší-li příjemce rozpočtovou kázeň porušením některé z podmínek uvedených v čl. V odst. 3 této smlouvy, jedná-li se o méně závažné porušení podmínky, za něž je v čl. V odst. 4 této smlouvy stanoven nižší o</w:t>
      </w:r>
      <w:r>
        <w:t>dvod.</w:t>
      </w:r>
    </w:p>
    <w:p w:rsidR="009F53FD" w:rsidRDefault="00643A07">
      <w:pPr>
        <w:numPr>
          <w:ilvl w:val="0"/>
          <w:numId w:val="8"/>
        </w:numPr>
        <w:ind w:left="381" w:right="15" w:hanging="367"/>
      </w:pPr>
      <w:r>
        <w:t>Případné změny a doplňky této smlouvy budou smluvní strany řešit písemnými, vzestupně číslovanými dodatky k této smlouvě, které budou výslovně za dodatky této smlouvy označeny.</w:t>
      </w:r>
    </w:p>
    <w:p w:rsidR="009F53FD" w:rsidRDefault="00643A07">
      <w:pPr>
        <w:numPr>
          <w:ilvl w:val="0"/>
          <w:numId w:val="8"/>
        </w:numPr>
        <w:ind w:left="381" w:right="15" w:hanging="367"/>
      </w:pPr>
      <w:r>
        <w:t>Tato smlouva se vyhotovuje ve třech stejnopisech s platností originálu, z</w:t>
      </w:r>
      <w:r>
        <w:t xml:space="preserve"> nichž dva obdrží poskytovatel a jeden příjemce.</w:t>
      </w:r>
    </w:p>
    <w:p w:rsidR="009F53FD" w:rsidRDefault="00643A07">
      <w:pPr>
        <w:numPr>
          <w:ilvl w:val="0"/>
          <w:numId w:val="8"/>
        </w:numPr>
        <w:spacing w:after="76"/>
        <w:ind w:left="381" w:right="15" w:hanging="367"/>
      </w:pPr>
      <w:r>
        <w:t>Tato smlouva nabývá platnosti a účinnosti dnem, kdy vyjádření souhlasu s obsahem návrhu dojde druhé smluvní straně, pokud z odst. 6 tohoto článku nevyplývá něco jiného.</w:t>
      </w:r>
    </w:p>
    <w:p w:rsidR="009F53FD" w:rsidRDefault="00643A07">
      <w:pPr>
        <w:ind w:left="392" w:right="15"/>
      </w:pPr>
      <w:r>
        <w:t>6, Má-li být tato smlouva povinně uveř</w:t>
      </w:r>
      <w:r>
        <w:t>ejněna v registru smluv dle zákona č. 340/2015 Sb., o zvláštních podmínkách účinnosti některých smluv, uveřejňování těchto smluv a o registru smluv (zákon o registru smluv), ve znění pozdějších předpisů (dále jen „zákon o registru smluv”), provede její uve</w:t>
      </w:r>
      <w:r>
        <w:t>řejnění v souladu se zákonem poskytovatel. V takovém případě nabývá smlouva účinnosti dnem jejího uveřejnění v registru smluv.</w:t>
      </w:r>
    </w:p>
    <w:p w:rsidR="009F53FD" w:rsidRDefault="00643A07">
      <w:pPr>
        <w:numPr>
          <w:ilvl w:val="0"/>
          <w:numId w:val="9"/>
        </w:numPr>
        <w:ind w:right="15"/>
      </w:pPr>
      <w:r>
        <w:lastRenderedPageBreak/>
        <w:t>V případě, kdy nebude tato smlouva uveřejněna dle odst. 6 tohoto článku smlouvy, bere příjemce na vědomí a výslovně souhlasí s tí</w:t>
      </w:r>
      <w:r>
        <w:t>m, že smlouva včetně případných dodatků bude zveřejněna na oficiálních webových stránkách Moravskoslezského kraje. Smlouva bude zveřejněna po anonymizaci provedené v souladu s platnými právními předpisy.</w:t>
      </w:r>
    </w:p>
    <w:p w:rsidR="009F53FD" w:rsidRDefault="00643A07">
      <w:pPr>
        <w:numPr>
          <w:ilvl w:val="0"/>
          <w:numId w:val="9"/>
        </w:numPr>
        <w:spacing w:after="144"/>
        <w:ind w:right="15"/>
      </w:pPr>
      <w:r>
        <w:t>Nedílnou součástí této smlouvy je nákladový rozpočet</w:t>
      </w:r>
      <w:r>
        <w:t xml:space="preserve"> projektu, který tvoří přílohu č. 1 této smlouvy.</w:t>
      </w:r>
    </w:p>
    <w:p w:rsidR="009F53FD" w:rsidRDefault="00643A07">
      <w:pPr>
        <w:numPr>
          <w:ilvl w:val="0"/>
          <w:numId w:val="9"/>
        </w:numPr>
        <w:ind w:right="15"/>
      </w:pPr>
      <w:r>
        <w:t>Osobní údaje obsažené v této smlouvě budou poskytovatelem zpracovávány pouze pro účely plnění práv a povinností vyplývajících z této smlouvy; k jiným účelům nebudou tyto osobní údaje poskytovatelem použity.</w:t>
      </w:r>
      <w:r>
        <w:t xml:space="preserve"> Poskytovatel při zpracovávání osobních údajů dodržuje platné právní předpisy. Podrobné informace o ochraně osobních údajů jsou dostupné na oficiálních webových stránkách Moravskoslezského kraje </w:t>
      </w:r>
      <w:r>
        <w:rPr>
          <w:u w:val="single" w:color="000000"/>
        </w:rPr>
        <w:t>www.msk.cz</w:t>
      </w:r>
      <w:r>
        <w:t>.</w:t>
      </w:r>
    </w:p>
    <w:p w:rsidR="009F53FD" w:rsidRDefault="00643A07">
      <w:pPr>
        <w:numPr>
          <w:ilvl w:val="0"/>
          <w:numId w:val="9"/>
        </w:numPr>
        <w:spacing w:after="71"/>
        <w:ind w:right="15"/>
      </w:pPr>
      <w:r>
        <w:t>Smluvní strany shodně prohlašují, že si smlouvu p</w:t>
      </w:r>
      <w:r>
        <w:t>řed jejím podpisem přečetly, že byla uzavřena po vzájemném projednání podle jejich pravé a svobodné vůle, určitě, vážně a srozumitelně a že se dohodly o celém jejím obsahu, což stvrzují svými podpisy.</w:t>
      </w:r>
    </w:p>
    <w:p w:rsidR="009F53FD" w:rsidRDefault="00643A07">
      <w:pPr>
        <w:numPr>
          <w:ilvl w:val="0"/>
          <w:numId w:val="9"/>
        </w:numPr>
        <w:ind w:right="15"/>
      </w:pPr>
      <w:r>
        <w:t>Doložka platnosti právního jednání dle S 23 zákona č. 129/2000 Sb., o krajích (krajské zřízení), ve znění pozdějších předpisů:</w:t>
      </w:r>
    </w:p>
    <w:p w:rsidR="009F53FD" w:rsidRDefault="00643A07">
      <w:pPr>
        <w:numPr>
          <w:ilvl w:val="1"/>
          <w:numId w:val="9"/>
        </w:numPr>
        <w:ind w:right="15" w:firstLine="0"/>
      </w:pPr>
      <w:r>
        <w:t>poskytnutí dotace a uzavření této smlouvy rozhodlo zastupitelstvo kraje svým usnesením č. 3/201 ze dne 17. 3. 2021.</w:t>
      </w:r>
    </w:p>
    <w:p w:rsidR="009F53FD" w:rsidRDefault="00643A07">
      <w:pPr>
        <w:numPr>
          <w:ilvl w:val="0"/>
          <w:numId w:val="9"/>
        </w:numPr>
        <w:ind w:right="15"/>
      </w:pPr>
      <w:r>
        <w:t>Doložka platn</w:t>
      </w:r>
      <w:r>
        <w:t>osti právního jednání dle S 41 zákona č. 128/2000 Sb., o obcích (obecní zřízení), ve znění pozdějších předpisů:</w:t>
      </w:r>
    </w:p>
    <w:p w:rsidR="009F53FD" w:rsidRDefault="00643A07">
      <w:pPr>
        <w:numPr>
          <w:ilvl w:val="1"/>
          <w:numId w:val="9"/>
        </w:numPr>
        <w:spacing w:after="183"/>
        <w:ind w:right="15" w:firstLine="0"/>
      </w:pPr>
      <w:r>
        <w:t>přijetí dotace a uzavření této smlouvy rozhodlo zastupitelstvo obce svým usnesením č. 15/55.1 ze dne 29.3.2021.</w:t>
      </w:r>
    </w:p>
    <w:p w:rsidR="009F53FD" w:rsidRDefault="00643A07">
      <w:pPr>
        <w:spacing w:after="0" w:line="259" w:lineRule="auto"/>
        <w:ind w:left="1709" w:firstLine="0"/>
        <w:jc w:val="left"/>
      </w:pPr>
      <w:proofErr w:type="gramStart"/>
      <w:r>
        <w:rPr>
          <w:sz w:val="24"/>
        </w:rPr>
        <w:t>03 .</w:t>
      </w:r>
      <w:proofErr w:type="gramEnd"/>
      <w:r>
        <w:rPr>
          <w:sz w:val="24"/>
        </w:rPr>
        <w:t>05. 2021</w:t>
      </w:r>
    </w:p>
    <w:p w:rsidR="009F53FD" w:rsidRDefault="00643A07">
      <w:pPr>
        <w:tabs>
          <w:tab w:val="center" w:pos="7424"/>
        </w:tabs>
        <w:spacing w:after="405"/>
        <w:ind w:left="0" w:firstLine="0"/>
        <w:jc w:val="left"/>
      </w:pPr>
      <w:r>
        <w:t>V Ostravě dne</w:t>
      </w:r>
      <w:r>
        <w:tab/>
        <w:t>V Olb</w:t>
      </w:r>
      <w:r>
        <w:t>ramicích dne 14.4.2021</w:t>
      </w:r>
    </w:p>
    <w:p w:rsidR="009F53FD" w:rsidRDefault="00643A07">
      <w:pPr>
        <w:spacing w:after="0" w:line="259" w:lineRule="auto"/>
        <w:ind w:left="2493" w:firstLine="0"/>
        <w:jc w:val="center"/>
      </w:pPr>
      <w:r>
        <w:rPr>
          <w:noProof/>
        </w:rPr>
        <w:drawing>
          <wp:anchor distT="0" distB="0" distL="114300" distR="114300" simplePos="0" relativeHeight="251659264" behindDoc="0" locked="0" layoutInCell="1" allowOverlap="0">
            <wp:simplePos x="0" y="0"/>
            <wp:positionH relativeFrom="column">
              <wp:posOffset>-66193</wp:posOffset>
            </wp:positionH>
            <wp:positionV relativeFrom="paragraph">
              <wp:posOffset>-303734</wp:posOffset>
            </wp:positionV>
            <wp:extent cx="2472981" cy="980478"/>
            <wp:effectExtent l="0" t="0" r="0" b="0"/>
            <wp:wrapSquare wrapText="bothSides"/>
            <wp:docPr id="50656" name="Picture 50656"/>
            <wp:cNvGraphicFramePr/>
            <a:graphic xmlns:a="http://schemas.openxmlformats.org/drawingml/2006/main">
              <a:graphicData uri="http://schemas.openxmlformats.org/drawingml/2006/picture">
                <pic:pic xmlns:pic="http://schemas.openxmlformats.org/drawingml/2006/picture">
                  <pic:nvPicPr>
                    <pic:cNvPr id="50656" name="Picture 50656"/>
                    <pic:cNvPicPr/>
                  </pic:nvPicPr>
                  <pic:blipFill>
                    <a:blip r:embed="rId36"/>
                    <a:stretch>
                      <a:fillRect/>
                    </a:stretch>
                  </pic:blipFill>
                  <pic:spPr>
                    <a:xfrm>
                      <a:off x="0" y="0"/>
                      <a:ext cx="2472981" cy="980478"/>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column">
              <wp:posOffset>3925752</wp:posOffset>
            </wp:positionH>
            <wp:positionV relativeFrom="paragraph">
              <wp:posOffset>-277091</wp:posOffset>
            </wp:positionV>
            <wp:extent cx="1694844" cy="975149"/>
            <wp:effectExtent l="0" t="0" r="0" b="0"/>
            <wp:wrapSquare wrapText="bothSides"/>
            <wp:docPr id="25889" name="Picture 25889"/>
            <wp:cNvGraphicFramePr/>
            <a:graphic xmlns:a="http://schemas.openxmlformats.org/drawingml/2006/main">
              <a:graphicData uri="http://schemas.openxmlformats.org/drawingml/2006/picture">
                <pic:pic xmlns:pic="http://schemas.openxmlformats.org/drawingml/2006/picture">
                  <pic:nvPicPr>
                    <pic:cNvPr id="25889" name="Picture 25889"/>
                    <pic:cNvPicPr/>
                  </pic:nvPicPr>
                  <pic:blipFill>
                    <a:blip r:embed="rId37"/>
                    <a:stretch>
                      <a:fillRect/>
                    </a:stretch>
                  </pic:blipFill>
                  <pic:spPr>
                    <a:xfrm>
                      <a:off x="0" y="0"/>
                      <a:ext cx="1694844" cy="975149"/>
                    </a:xfrm>
                    <a:prstGeom prst="rect">
                      <a:avLst/>
                    </a:prstGeom>
                  </pic:spPr>
                </pic:pic>
              </a:graphicData>
            </a:graphic>
          </wp:anchor>
        </w:drawing>
      </w:r>
      <w:r>
        <w:rPr>
          <w:sz w:val="28"/>
        </w:rPr>
        <w:t xml:space="preserve">Obec </w:t>
      </w:r>
      <w:proofErr w:type="spellStart"/>
      <w:r>
        <w:rPr>
          <w:sz w:val="28"/>
        </w:rPr>
        <w:t>Olbrami</w:t>
      </w:r>
      <w:proofErr w:type="spellEnd"/>
    </w:p>
    <w:p w:rsidR="009F53FD" w:rsidRDefault="00643A07">
      <w:pPr>
        <w:spacing w:after="0" w:line="265" w:lineRule="auto"/>
        <w:ind w:left="1332" w:right="-1322" w:hanging="10"/>
        <w:jc w:val="center"/>
      </w:pPr>
      <w:r>
        <w:t>Prostorná č. 13</w:t>
      </w:r>
    </w:p>
    <w:p w:rsidR="009F53FD" w:rsidRDefault="00643A07">
      <w:pPr>
        <w:spacing w:after="672" w:line="265" w:lineRule="auto"/>
        <w:ind w:left="1332" w:right="-1272" w:hanging="10"/>
        <w:jc w:val="center"/>
      </w:pPr>
      <w:r>
        <w:t xml:space="preserve">742 83 </w:t>
      </w:r>
      <w:proofErr w:type="spellStart"/>
      <w:r>
        <w:t>Olbrami</w:t>
      </w:r>
      <w:proofErr w:type="spellEnd"/>
    </w:p>
    <w:p w:rsidR="009F53FD" w:rsidRDefault="00643A07">
      <w:pPr>
        <w:ind w:left="693" w:right="181" w:firstLine="285"/>
      </w:pPr>
      <w:r>
        <w:t>Jan Krkoška Ing. Ladislav Bárta, starosta obce na základě pověření hejtmana kraje</w:t>
      </w:r>
    </w:p>
    <w:p w:rsidR="009F53FD" w:rsidRDefault="00643A07">
      <w:pPr>
        <w:spacing w:after="0" w:line="259" w:lineRule="auto"/>
        <w:ind w:left="399" w:firstLine="0"/>
        <w:jc w:val="left"/>
      </w:pPr>
      <w:r>
        <w:rPr>
          <w:noProof/>
        </w:rPr>
        <w:drawing>
          <wp:inline distT="0" distB="0" distL="0" distR="0">
            <wp:extent cx="1316436" cy="1310856"/>
            <wp:effectExtent l="0" t="0" r="0" b="0"/>
            <wp:docPr id="25890" name="Picture 25890"/>
            <wp:cNvGraphicFramePr/>
            <a:graphic xmlns:a="http://schemas.openxmlformats.org/drawingml/2006/main">
              <a:graphicData uri="http://schemas.openxmlformats.org/drawingml/2006/picture">
                <pic:pic xmlns:pic="http://schemas.openxmlformats.org/drawingml/2006/picture">
                  <pic:nvPicPr>
                    <pic:cNvPr id="25890" name="Picture 25890"/>
                    <pic:cNvPicPr/>
                  </pic:nvPicPr>
                  <pic:blipFill>
                    <a:blip r:embed="rId38"/>
                    <a:stretch>
                      <a:fillRect/>
                    </a:stretch>
                  </pic:blipFill>
                  <pic:spPr>
                    <a:xfrm>
                      <a:off x="0" y="0"/>
                      <a:ext cx="1316436" cy="1310856"/>
                    </a:xfrm>
                    <a:prstGeom prst="rect">
                      <a:avLst/>
                    </a:prstGeom>
                  </pic:spPr>
                </pic:pic>
              </a:graphicData>
            </a:graphic>
          </wp:inline>
        </w:drawing>
      </w:r>
    </w:p>
    <w:p w:rsidR="009F53FD" w:rsidRDefault="009F53FD">
      <w:pPr>
        <w:sectPr w:rsidR="009F53FD">
          <w:footerReference w:type="even" r:id="rId39"/>
          <w:footerReference w:type="default" r:id="rId40"/>
          <w:footerReference w:type="first" r:id="rId41"/>
          <w:pgSz w:w="11902" w:h="16834"/>
          <w:pgMar w:top="194" w:right="1346" w:bottom="1515" w:left="1397" w:header="708" w:footer="871" w:gutter="0"/>
          <w:cols w:space="708"/>
        </w:sectPr>
      </w:pPr>
    </w:p>
    <w:p w:rsidR="009F53FD" w:rsidRDefault="00643A07">
      <w:pPr>
        <w:spacing w:after="0" w:line="259" w:lineRule="auto"/>
        <w:ind w:left="-583" w:firstLine="0"/>
        <w:jc w:val="left"/>
      </w:pPr>
      <w:r>
        <w:rPr>
          <w:noProof/>
        </w:rPr>
        <w:lastRenderedPageBreak/>
        <w:drawing>
          <wp:inline distT="0" distB="0" distL="0" distR="0">
            <wp:extent cx="6085332" cy="9957815"/>
            <wp:effectExtent l="0" t="0" r="0" b="0"/>
            <wp:docPr id="50658" name="Picture 50658"/>
            <wp:cNvGraphicFramePr/>
            <a:graphic xmlns:a="http://schemas.openxmlformats.org/drawingml/2006/main">
              <a:graphicData uri="http://schemas.openxmlformats.org/drawingml/2006/picture">
                <pic:pic xmlns:pic="http://schemas.openxmlformats.org/drawingml/2006/picture">
                  <pic:nvPicPr>
                    <pic:cNvPr id="50658" name="Picture 50658"/>
                    <pic:cNvPicPr/>
                  </pic:nvPicPr>
                  <pic:blipFill>
                    <a:blip r:embed="rId42"/>
                    <a:stretch>
                      <a:fillRect/>
                    </a:stretch>
                  </pic:blipFill>
                  <pic:spPr>
                    <a:xfrm>
                      <a:off x="0" y="0"/>
                      <a:ext cx="6085332" cy="9957815"/>
                    </a:xfrm>
                    <a:prstGeom prst="rect">
                      <a:avLst/>
                    </a:prstGeom>
                  </pic:spPr>
                </pic:pic>
              </a:graphicData>
            </a:graphic>
          </wp:inline>
        </w:drawing>
      </w:r>
    </w:p>
    <w:p w:rsidR="009F53FD" w:rsidRDefault="00643A07">
      <w:pPr>
        <w:spacing w:after="0" w:line="259" w:lineRule="auto"/>
        <w:ind w:left="-634" w:right="-651" w:firstLine="0"/>
        <w:jc w:val="left"/>
      </w:pPr>
      <w:r>
        <w:rPr>
          <w:noProof/>
        </w:rPr>
        <w:lastRenderedPageBreak/>
        <w:drawing>
          <wp:inline distT="0" distB="0" distL="0" distR="0">
            <wp:extent cx="6544874" cy="8861598"/>
            <wp:effectExtent l="0" t="0" r="0" b="0"/>
            <wp:docPr id="50660" name="Picture 50660"/>
            <wp:cNvGraphicFramePr/>
            <a:graphic xmlns:a="http://schemas.openxmlformats.org/drawingml/2006/main">
              <a:graphicData uri="http://schemas.openxmlformats.org/drawingml/2006/picture">
                <pic:pic xmlns:pic="http://schemas.openxmlformats.org/drawingml/2006/picture">
                  <pic:nvPicPr>
                    <pic:cNvPr id="50660" name="Picture 50660"/>
                    <pic:cNvPicPr/>
                  </pic:nvPicPr>
                  <pic:blipFill>
                    <a:blip r:embed="rId43"/>
                    <a:stretch>
                      <a:fillRect/>
                    </a:stretch>
                  </pic:blipFill>
                  <pic:spPr>
                    <a:xfrm>
                      <a:off x="0" y="0"/>
                      <a:ext cx="6544874" cy="8861598"/>
                    </a:xfrm>
                    <a:prstGeom prst="rect">
                      <a:avLst/>
                    </a:prstGeom>
                  </pic:spPr>
                </pic:pic>
              </a:graphicData>
            </a:graphic>
          </wp:inline>
        </w:drawing>
      </w:r>
    </w:p>
    <w:p w:rsidR="009F53FD" w:rsidRDefault="009F53FD">
      <w:pPr>
        <w:sectPr w:rsidR="009F53FD">
          <w:footerReference w:type="even" r:id="rId44"/>
          <w:footerReference w:type="default" r:id="rId45"/>
          <w:footerReference w:type="first" r:id="rId46"/>
          <w:pgSz w:w="11902" w:h="16834"/>
          <w:pgMar w:top="446" w:right="1440" w:bottom="706" w:left="1440" w:header="708" w:footer="708" w:gutter="0"/>
          <w:cols w:space="708"/>
        </w:sectPr>
      </w:pPr>
    </w:p>
    <w:p w:rsidR="009F53FD" w:rsidRDefault="00643A07">
      <w:pPr>
        <w:spacing w:after="0" w:line="259" w:lineRule="auto"/>
        <w:ind w:left="-1440" w:right="10462" w:firstLine="0"/>
        <w:jc w:val="left"/>
      </w:pPr>
      <w:r>
        <w:rPr>
          <w:noProof/>
        </w:rPr>
        <w:lastRenderedPageBreak/>
        <w:drawing>
          <wp:anchor distT="0" distB="0" distL="114300" distR="114300" simplePos="0" relativeHeight="251661312" behindDoc="0" locked="0" layoutInCell="1" allowOverlap="0">
            <wp:simplePos x="0" y="0"/>
            <wp:positionH relativeFrom="page">
              <wp:posOffset>0</wp:posOffset>
            </wp:positionH>
            <wp:positionV relativeFrom="page">
              <wp:posOffset>0</wp:posOffset>
            </wp:positionV>
            <wp:extent cx="7557516" cy="10689336"/>
            <wp:effectExtent l="0" t="0" r="0" b="0"/>
            <wp:wrapTopAndBottom/>
            <wp:docPr id="4974" name="Picture 4974"/>
            <wp:cNvGraphicFramePr/>
            <a:graphic xmlns:a="http://schemas.openxmlformats.org/drawingml/2006/main">
              <a:graphicData uri="http://schemas.openxmlformats.org/drawingml/2006/picture">
                <pic:pic xmlns:pic="http://schemas.openxmlformats.org/drawingml/2006/picture">
                  <pic:nvPicPr>
                    <pic:cNvPr id="4974" name="Picture 4974"/>
                    <pic:cNvPicPr/>
                  </pic:nvPicPr>
                  <pic:blipFill>
                    <a:blip r:embed="rId47"/>
                    <a:stretch>
                      <a:fillRect/>
                    </a:stretch>
                  </pic:blipFill>
                  <pic:spPr>
                    <a:xfrm>
                      <a:off x="0" y="0"/>
                      <a:ext cx="7557516" cy="10689336"/>
                    </a:xfrm>
                    <a:prstGeom prst="rect">
                      <a:avLst/>
                    </a:prstGeom>
                  </pic:spPr>
                </pic:pic>
              </a:graphicData>
            </a:graphic>
          </wp:anchor>
        </w:drawing>
      </w:r>
    </w:p>
    <w:sectPr w:rsidR="009F53FD">
      <w:footerReference w:type="even" r:id="rId48"/>
      <w:footerReference w:type="default" r:id="rId49"/>
      <w:footerReference w:type="first" r:id="rId50"/>
      <w:pgSz w:w="11902" w:h="16834"/>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A07" w:rsidRDefault="00643A07">
      <w:pPr>
        <w:spacing w:after="0" w:line="240" w:lineRule="auto"/>
      </w:pPr>
      <w:r>
        <w:separator/>
      </w:r>
    </w:p>
  </w:endnote>
  <w:endnote w:type="continuationSeparator" w:id="0">
    <w:p w:rsidR="00643A07" w:rsidRDefault="00643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643A07">
    <w:pPr>
      <w:spacing w:after="0" w:line="259" w:lineRule="auto"/>
      <w:ind w:left="0" w:right="101" w:firstLine="0"/>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643A07">
    <w:pPr>
      <w:spacing w:after="0" w:line="259" w:lineRule="auto"/>
      <w:ind w:left="0" w:right="101" w:firstLine="0"/>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643A07">
    <w:pPr>
      <w:spacing w:after="0" w:line="259" w:lineRule="auto"/>
      <w:ind w:left="0" w:right="101" w:firstLine="0"/>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9F53FD">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9F53FD">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9F53FD">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9F53FD">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9F53FD">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FD" w:rsidRDefault="009F53FD">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A07" w:rsidRDefault="00643A07">
      <w:pPr>
        <w:spacing w:after="0" w:line="240" w:lineRule="auto"/>
      </w:pPr>
      <w:r>
        <w:separator/>
      </w:r>
    </w:p>
  </w:footnote>
  <w:footnote w:type="continuationSeparator" w:id="0">
    <w:p w:rsidR="00643A07" w:rsidRDefault="00643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B064B"/>
    <w:multiLevelType w:val="hybridMultilevel"/>
    <w:tmpl w:val="2876B120"/>
    <w:lvl w:ilvl="0" w:tplc="84C27172">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FAE33C">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0A06BA">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00479A">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967CF6">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B4420A">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32F6DA">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625A62">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475D4">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C7624D"/>
    <w:multiLevelType w:val="hybridMultilevel"/>
    <w:tmpl w:val="E888549C"/>
    <w:lvl w:ilvl="0" w:tplc="7D885C64">
      <w:start w:val="1"/>
      <w:numFmt w:val="decimal"/>
      <w:lvlText w:val="%1."/>
      <w:lvlJc w:val="left"/>
      <w:pPr>
        <w:ind w:left="3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F2AE10">
      <w:start w:val="1"/>
      <w:numFmt w:val="lowerLetter"/>
      <w:lvlText w:val="%2"/>
      <w:lvlJc w:val="left"/>
      <w:pPr>
        <w:ind w:left="1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4E46428">
      <w:start w:val="1"/>
      <w:numFmt w:val="lowerRoman"/>
      <w:lvlText w:val="%3"/>
      <w:lvlJc w:val="left"/>
      <w:pPr>
        <w:ind w:left="1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50BAAE">
      <w:start w:val="1"/>
      <w:numFmt w:val="decimal"/>
      <w:lvlText w:val="%4"/>
      <w:lvlJc w:val="left"/>
      <w:pPr>
        <w:ind w:left="2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54ABF08">
      <w:start w:val="1"/>
      <w:numFmt w:val="lowerLetter"/>
      <w:lvlText w:val="%5"/>
      <w:lvlJc w:val="left"/>
      <w:pPr>
        <w:ind w:left="3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B67AA2">
      <w:start w:val="1"/>
      <w:numFmt w:val="lowerRoman"/>
      <w:lvlText w:val="%6"/>
      <w:lvlJc w:val="left"/>
      <w:pPr>
        <w:ind w:left="3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4418DE">
      <w:start w:val="1"/>
      <w:numFmt w:val="decimal"/>
      <w:lvlText w:val="%7"/>
      <w:lvlJc w:val="left"/>
      <w:pPr>
        <w:ind w:left="4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8EF650">
      <w:start w:val="1"/>
      <w:numFmt w:val="lowerLetter"/>
      <w:lvlText w:val="%8"/>
      <w:lvlJc w:val="left"/>
      <w:pPr>
        <w:ind w:left="5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6A43D02">
      <w:start w:val="1"/>
      <w:numFmt w:val="lowerRoman"/>
      <w:lvlText w:val="%9"/>
      <w:lvlJc w:val="left"/>
      <w:pPr>
        <w:ind w:left="6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7ED43B0"/>
    <w:multiLevelType w:val="hybridMultilevel"/>
    <w:tmpl w:val="CD92EBA6"/>
    <w:lvl w:ilvl="0" w:tplc="FA2296E4">
      <w:start w:val="1"/>
      <w:numFmt w:val="decimal"/>
      <w:lvlText w:val="%1."/>
      <w:lvlJc w:val="left"/>
      <w:pPr>
        <w:ind w:left="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5CC846">
      <w:start w:val="1"/>
      <w:numFmt w:val="lowerLetter"/>
      <w:lvlText w:val="%2)"/>
      <w:lvlJc w:val="left"/>
      <w:pPr>
        <w:ind w:left="7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17AD9C0">
      <w:start w:val="1"/>
      <w:numFmt w:val="lowerRoman"/>
      <w:lvlText w:val="%3"/>
      <w:lvlJc w:val="left"/>
      <w:pPr>
        <w:ind w:left="14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FD8E74A">
      <w:start w:val="1"/>
      <w:numFmt w:val="decimal"/>
      <w:lvlText w:val="%4"/>
      <w:lvlJc w:val="left"/>
      <w:pPr>
        <w:ind w:left="21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BFEA3E4">
      <w:start w:val="1"/>
      <w:numFmt w:val="lowerLetter"/>
      <w:lvlText w:val="%5"/>
      <w:lvlJc w:val="left"/>
      <w:pPr>
        <w:ind w:left="28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D0809B0">
      <w:start w:val="1"/>
      <w:numFmt w:val="lowerRoman"/>
      <w:lvlText w:val="%6"/>
      <w:lvlJc w:val="left"/>
      <w:pPr>
        <w:ind w:left="36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1841B0C">
      <w:start w:val="1"/>
      <w:numFmt w:val="decimal"/>
      <w:lvlText w:val="%7"/>
      <w:lvlJc w:val="left"/>
      <w:pPr>
        <w:ind w:left="43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986A60A">
      <w:start w:val="1"/>
      <w:numFmt w:val="lowerLetter"/>
      <w:lvlText w:val="%8"/>
      <w:lvlJc w:val="left"/>
      <w:pPr>
        <w:ind w:left="50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168AD6">
      <w:start w:val="1"/>
      <w:numFmt w:val="lowerRoman"/>
      <w:lvlText w:val="%9"/>
      <w:lvlJc w:val="left"/>
      <w:pPr>
        <w:ind w:left="57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C726573"/>
    <w:multiLevelType w:val="hybridMultilevel"/>
    <w:tmpl w:val="7F64A2C6"/>
    <w:lvl w:ilvl="0" w:tplc="172AF5FC">
      <w:start w:val="1"/>
      <w:numFmt w:val="decimal"/>
      <w:lvlText w:val="%1."/>
      <w:lvlJc w:val="left"/>
      <w:pPr>
        <w:ind w:left="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1A2B3E2">
      <w:start w:val="1"/>
      <w:numFmt w:val="lowerLetter"/>
      <w:lvlText w:val="%2"/>
      <w:lvlJc w:val="left"/>
      <w:pPr>
        <w:ind w:left="1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59A485E">
      <w:start w:val="1"/>
      <w:numFmt w:val="lowerRoman"/>
      <w:lvlText w:val="%3"/>
      <w:lvlJc w:val="left"/>
      <w:pPr>
        <w:ind w:left="1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28E410">
      <w:start w:val="1"/>
      <w:numFmt w:val="decimal"/>
      <w:lvlText w:val="%4"/>
      <w:lvlJc w:val="left"/>
      <w:pPr>
        <w:ind w:left="2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14260DE">
      <w:start w:val="1"/>
      <w:numFmt w:val="lowerLetter"/>
      <w:lvlText w:val="%5"/>
      <w:lvlJc w:val="left"/>
      <w:pPr>
        <w:ind w:left="3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9565E90">
      <w:start w:val="1"/>
      <w:numFmt w:val="lowerRoman"/>
      <w:lvlText w:val="%6"/>
      <w:lvlJc w:val="left"/>
      <w:pPr>
        <w:ind w:left="4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994B59E">
      <w:start w:val="1"/>
      <w:numFmt w:val="decimal"/>
      <w:lvlText w:val="%7"/>
      <w:lvlJc w:val="left"/>
      <w:pPr>
        <w:ind w:left="4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C427102">
      <w:start w:val="1"/>
      <w:numFmt w:val="lowerLetter"/>
      <w:lvlText w:val="%8"/>
      <w:lvlJc w:val="left"/>
      <w:pPr>
        <w:ind w:left="5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1ECAD84">
      <w:start w:val="1"/>
      <w:numFmt w:val="lowerRoman"/>
      <w:lvlText w:val="%9"/>
      <w:lvlJc w:val="left"/>
      <w:pPr>
        <w:ind w:left="6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559500F0"/>
    <w:multiLevelType w:val="hybridMultilevel"/>
    <w:tmpl w:val="2C2E2F0E"/>
    <w:lvl w:ilvl="0" w:tplc="9110AFB2">
      <w:start w:val="1"/>
      <w:numFmt w:val="decimal"/>
      <w:lvlText w:val="%1."/>
      <w:lvlJc w:val="left"/>
      <w:pPr>
        <w:ind w:left="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08C8D08">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6C26FA">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34DF0E">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70BD82">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102630">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0FADAB8">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E21948">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300AE6">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997EE0"/>
    <w:multiLevelType w:val="hybridMultilevel"/>
    <w:tmpl w:val="72105908"/>
    <w:lvl w:ilvl="0" w:tplc="EE2EFD5C">
      <w:start w:val="7"/>
      <w:numFmt w:val="decimal"/>
      <w:lvlText w:val="%1."/>
      <w:lvlJc w:val="left"/>
      <w:pPr>
        <w:ind w:left="4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9C2151E">
      <w:start w:val="15"/>
      <w:numFmt w:val="upperLetter"/>
      <w:lvlText w:val="%2"/>
      <w:lvlJc w:val="left"/>
      <w:pPr>
        <w:ind w:left="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220BA2">
      <w:start w:val="1"/>
      <w:numFmt w:val="lowerRoman"/>
      <w:lvlText w:val="%3"/>
      <w:lvlJc w:val="left"/>
      <w:pPr>
        <w:ind w:left="14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80BDEA">
      <w:start w:val="1"/>
      <w:numFmt w:val="decimal"/>
      <w:lvlText w:val="%4"/>
      <w:lvlJc w:val="left"/>
      <w:pPr>
        <w:ind w:left="21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C664B6">
      <w:start w:val="1"/>
      <w:numFmt w:val="lowerLetter"/>
      <w:lvlText w:val="%5"/>
      <w:lvlJc w:val="left"/>
      <w:pPr>
        <w:ind w:left="28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103238">
      <w:start w:val="1"/>
      <w:numFmt w:val="lowerRoman"/>
      <w:lvlText w:val="%6"/>
      <w:lvlJc w:val="left"/>
      <w:pPr>
        <w:ind w:left="36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A82C68">
      <w:start w:val="1"/>
      <w:numFmt w:val="decimal"/>
      <w:lvlText w:val="%7"/>
      <w:lvlJc w:val="left"/>
      <w:pPr>
        <w:ind w:left="43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022E5E">
      <w:start w:val="1"/>
      <w:numFmt w:val="lowerLetter"/>
      <w:lvlText w:val="%8"/>
      <w:lvlJc w:val="left"/>
      <w:pPr>
        <w:ind w:left="5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22474A">
      <w:start w:val="1"/>
      <w:numFmt w:val="lowerRoman"/>
      <w:lvlText w:val="%9"/>
      <w:lvlJc w:val="left"/>
      <w:pPr>
        <w:ind w:left="5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F6289E"/>
    <w:multiLevelType w:val="hybridMultilevel"/>
    <w:tmpl w:val="C9E01EE2"/>
    <w:lvl w:ilvl="0" w:tplc="404ACF28">
      <w:start w:val="1"/>
      <w:numFmt w:val="decimal"/>
      <w:lvlText w:val="%1."/>
      <w:lvlJc w:val="left"/>
      <w:pPr>
        <w:ind w:left="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109CD6">
      <w:start w:val="1"/>
      <w:numFmt w:val="lowerLetter"/>
      <w:lvlText w:val="%2)"/>
      <w:lvlJc w:val="left"/>
      <w:pPr>
        <w:ind w:left="7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E981DB6">
      <w:start w:val="1"/>
      <w:numFmt w:val="lowerRoman"/>
      <w:lvlText w:val="%3"/>
      <w:lvlJc w:val="left"/>
      <w:pPr>
        <w:ind w:left="14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75E051E">
      <w:start w:val="1"/>
      <w:numFmt w:val="decimal"/>
      <w:lvlText w:val="%4"/>
      <w:lvlJc w:val="left"/>
      <w:pPr>
        <w:ind w:left="21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DB0FBE4">
      <w:start w:val="1"/>
      <w:numFmt w:val="lowerLetter"/>
      <w:lvlText w:val="%5"/>
      <w:lvlJc w:val="left"/>
      <w:pPr>
        <w:ind w:left="28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766E23E">
      <w:start w:val="1"/>
      <w:numFmt w:val="lowerRoman"/>
      <w:lvlText w:val="%6"/>
      <w:lvlJc w:val="left"/>
      <w:pPr>
        <w:ind w:left="36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AD0C618">
      <w:start w:val="1"/>
      <w:numFmt w:val="decimal"/>
      <w:lvlText w:val="%7"/>
      <w:lvlJc w:val="left"/>
      <w:pPr>
        <w:ind w:left="43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F74FD88">
      <w:start w:val="1"/>
      <w:numFmt w:val="lowerLetter"/>
      <w:lvlText w:val="%8"/>
      <w:lvlJc w:val="left"/>
      <w:pPr>
        <w:ind w:left="50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8A2409A">
      <w:start w:val="1"/>
      <w:numFmt w:val="lowerRoman"/>
      <w:lvlText w:val="%9"/>
      <w:lvlJc w:val="left"/>
      <w:pPr>
        <w:ind w:left="57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5BC3376"/>
    <w:multiLevelType w:val="hybridMultilevel"/>
    <w:tmpl w:val="C1BAA84C"/>
    <w:lvl w:ilvl="0" w:tplc="D7B4CBF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9C81AFE">
      <w:start w:val="13"/>
      <w:numFmt w:val="lowerLetter"/>
      <w:lvlText w:val="%2)"/>
      <w:lvlJc w:val="left"/>
      <w:pPr>
        <w:ind w:left="7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04CC6A">
      <w:start w:val="1"/>
      <w:numFmt w:val="lowerRoman"/>
      <w:lvlText w:val="%3"/>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AEA4F4">
      <w:start w:val="1"/>
      <w:numFmt w:val="decimal"/>
      <w:lvlText w:val="%4"/>
      <w:lvlJc w:val="left"/>
      <w:pPr>
        <w:ind w:left="21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9C9526">
      <w:start w:val="1"/>
      <w:numFmt w:val="lowerLetter"/>
      <w:lvlText w:val="%5"/>
      <w:lvlJc w:val="left"/>
      <w:pPr>
        <w:ind w:left="2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E40ABE">
      <w:start w:val="1"/>
      <w:numFmt w:val="lowerRoman"/>
      <w:lvlText w:val="%6"/>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D44D67C">
      <w:start w:val="1"/>
      <w:numFmt w:val="decimal"/>
      <w:lvlText w:val="%7"/>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FC8E0EC">
      <w:start w:val="1"/>
      <w:numFmt w:val="lowerLetter"/>
      <w:lvlText w:val="%8"/>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C4A732">
      <w:start w:val="1"/>
      <w:numFmt w:val="lowerRoman"/>
      <w:lvlText w:val="%9"/>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071542"/>
    <w:multiLevelType w:val="hybridMultilevel"/>
    <w:tmpl w:val="5AD29726"/>
    <w:lvl w:ilvl="0" w:tplc="35AC8C98">
      <w:start w:val="1"/>
      <w:numFmt w:val="decimal"/>
      <w:lvlText w:val="%1."/>
      <w:lvlJc w:val="left"/>
      <w:pPr>
        <w:ind w:left="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CE25C56">
      <w:start w:val="1"/>
      <w:numFmt w:val="lowerLetter"/>
      <w:lvlText w:val="%2)"/>
      <w:lvlJc w:val="left"/>
      <w:pPr>
        <w:ind w:left="7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DF29626">
      <w:start w:val="1"/>
      <w:numFmt w:val="lowerRoman"/>
      <w:lvlText w:val="%3"/>
      <w:lvlJc w:val="left"/>
      <w:pPr>
        <w:ind w:left="14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DE8335A">
      <w:start w:val="1"/>
      <w:numFmt w:val="decimal"/>
      <w:lvlText w:val="%4"/>
      <w:lvlJc w:val="left"/>
      <w:pPr>
        <w:ind w:left="21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848A1728">
      <w:start w:val="1"/>
      <w:numFmt w:val="lowerLetter"/>
      <w:lvlText w:val="%5"/>
      <w:lvlJc w:val="left"/>
      <w:pPr>
        <w:ind w:left="28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742D3F2">
      <w:start w:val="1"/>
      <w:numFmt w:val="lowerRoman"/>
      <w:lvlText w:val="%6"/>
      <w:lvlJc w:val="left"/>
      <w:pPr>
        <w:ind w:left="36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69CC71E">
      <w:start w:val="1"/>
      <w:numFmt w:val="decimal"/>
      <w:lvlText w:val="%7"/>
      <w:lvlJc w:val="left"/>
      <w:pPr>
        <w:ind w:left="43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3A63EF2">
      <w:start w:val="1"/>
      <w:numFmt w:val="lowerLetter"/>
      <w:lvlText w:val="%8"/>
      <w:lvlJc w:val="left"/>
      <w:pPr>
        <w:ind w:left="50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DA0B48E">
      <w:start w:val="1"/>
      <w:numFmt w:val="lowerRoman"/>
      <w:lvlText w:val="%9"/>
      <w:lvlJc w:val="left"/>
      <w:pPr>
        <w:ind w:left="57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abstractNumId w:val="3"/>
  </w:num>
  <w:num w:numId="2">
    <w:abstractNumId w:val="0"/>
  </w:num>
  <w:num w:numId="3">
    <w:abstractNumId w:val="4"/>
  </w:num>
  <w:num w:numId="4">
    <w:abstractNumId w:val="2"/>
  </w:num>
  <w:num w:numId="5">
    <w:abstractNumId w:val="7"/>
  </w:num>
  <w:num w:numId="6">
    <w:abstractNumId w:val="8"/>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3FD"/>
    <w:rsid w:val="00643A07"/>
    <w:rsid w:val="009A115A"/>
    <w:rsid w:val="009F53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7904"/>
  <w15:docId w15:val="{60378BDA-ED6A-40CD-9155-8D58E4C8C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pPr>
      <w:spacing w:after="96" w:line="226" w:lineRule="auto"/>
      <w:ind w:left="764" w:hanging="354"/>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95"/>
      <w:ind w:left="104" w:hanging="10"/>
      <w:jc w:val="center"/>
      <w:outlineLvl w:val="0"/>
    </w:pPr>
    <w:rPr>
      <w:rFonts w:ascii="Times New Roman" w:eastAsia="Times New Roman" w:hAnsi="Times New Roman" w:cs="Times New Roman"/>
      <w:color w:val="000000"/>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footer" Target="footer1.xml"/><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3.jpg"/><Relationship Id="rId47" Type="http://schemas.openxmlformats.org/officeDocument/2006/relationships/image" Target="media/image35.jpg"/><Relationship Id="rId50" Type="http://schemas.openxmlformats.org/officeDocument/2006/relationships/footer" Target="footer9.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footer" Target="footer2.xml"/><Relationship Id="rId45"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footer" Target="footer8.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footer" Target="footer4.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4.jpg"/><Relationship Id="rId48" Type="http://schemas.openxmlformats.org/officeDocument/2006/relationships/footer" Target="footer7.xml"/><Relationship Id="rId8" Type="http://schemas.openxmlformats.org/officeDocument/2006/relationships/image" Target="media/image2.jp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footer" Target="footer6.xml"/><Relationship Id="rId20" Type="http://schemas.openxmlformats.org/officeDocument/2006/relationships/image" Target="media/image14.jp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2730</Words>
  <Characters>16111</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Bartošková Jana</dc:creator>
  <cp:keywords/>
  <cp:lastModifiedBy>Bartošková Jana</cp:lastModifiedBy>
  <cp:revision>2</cp:revision>
  <dcterms:created xsi:type="dcterms:W3CDTF">2021-10-11T14:14:00Z</dcterms:created>
  <dcterms:modified xsi:type="dcterms:W3CDTF">2021-10-11T14:14:00Z</dcterms:modified>
</cp:coreProperties>
</file>