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4CA2589" w14:textId="77777777" w:rsidR="00B834D8" w:rsidRPr="0052441D" w:rsidRDefault="00AD31FF" w:rsidP="009826DA">
      <w:pPr>
        <w:pStyle w:val="Nadpis1"/>
        <w:jc w:val="center"/>
        <w:rPr>
          <w:rFonts w:cs="Open Sans"/>
          <w:sz w:val="36"/>
          <w:szCs w:val="36"/>
        </w:rPr>
      </w:pPr>
      <w:r w:rsidRPr="0052441D">
        <w:rPr>
          <w:rFonts w:cs="Open Sans"/>
          <w:sz w:val="36"/>
          <w:szCs w:val="36"/>
        </w:rPr>
        <w:t xml:space="preserve">Smlouva o </w:t>
      </w:r>
      <w:r w:rsidR="0052441D" w:rsidRPr="0052441D">
        <w:rPr>
          <w:rFonts w:cs="Open Sans"/>
          <w:sz w:val="36"/>
          <w:szCs w:val="36"/>
        </w:rPr>
        <w:t>poskytnutí vyrovnávací platby za poskytování služeb v obecném hospodářském zájmu</w:t>
      </w:r>
    </w:p>
    <w:p w14:paraId="7A0EB83B" w14:textId="77777777" w:rsidR="00B834D8" w:rsidRPr="00C931A5" w:rsidRDefault="003A44FE" w:rsidP="00C931A5">
      <w:pPr>
        <w:jc w:val="center"/>
        <w:rPr>
          <w:rFonts w:cs="Open Sans"/>
        </w:rPr>
      </w:pPr>
      <w:r w:rsidRPr="00C931A5">
        <w:rPr>
          <w:rFonts w:cs="Open Sans"/>
        </w:rPr>
        <w:t>kterou níže uvedeného dne, měsíce a roku spolu uzavřeli</w:t>
      </w:r>
      <w:r w:rsidR="00B834D8" w:rsidRPr="00C931A5">
        <w:rPr>
          <w:rFonts w:cs="Open Sans"/>
        </w:rPr>
        <w:t>:</w:t>
      </w:r>
    </w:p>
    <w:p w14:paraId="21BEA9DE" w14:textId="77777777" w:rsidR="00B834D8" w:rsidRPr="00B74EB2" w:rsidRDefault="00C311ED" w:rsidP="00B240FC">
      <w:pPr>
        <w:spacing w:before="0" w:after="0"/>
        <w:jc w:val="both"/>
        <w:rPr>
          <w:rFonts w:cs="Open Sans"/>
          <w:szCs w:val="24"/>
        </w:rPr>
      </w:pPr>
      <w:r>
        <w:rPr>
          <w:rFonts w:cs="Open Sans"/>
          <w:b/>
          <w:bCs/>
          <w:szCs w:val="24"/>
        </w:rPr>
        <w:br/>
      </w:r>
    </w:p>
    <w:p w14:paraId="2A877BFF" w14:textId="77777777" w:rsidR="009826DA" w:rsidRPr="00B74EB2" w:rsidRDefault="009826DA" w:rsidP="009826DA">
      <w:pPr>
        <w:spacing w:after="0"/>
        <w:jc w:val="both"/>
        <w:rPr>
          <w:rFonts w:cs="Open Sans"/>
          <w:b/>
          <w:szCs w:val="24"/>
        </w:rPr>
      </w:pPr>
      <w:r w:rsidRPr="00B74EB2">
        <w:rPr>
          <w:rFonts w:cs="Open Sans"/>
          <w:b/>
          <w:szCs w:val="24"/>
        </w:rPr>
        <w:t>Moravskoslezský kraj</w:t>
      </w:r>
    </w:p>
    <w:p w14:paraId="2AACB104" w14:textId="77777777" w:rsidR="00190F6D" w:rsidRPr="00B74EB2" w:rsidRDefault="00AD31FF" w:rsidP="009826DA">
      <w:pPr>
        <w:spacing w:before="0" w:after="0"/>
        <w:jc w:val="both"/>
        <w:rPr>
          <w:rFonts w:cs="Open Sans"/>
          <w:szCs w:val="24"/>
        </w:rPr>
      </w:pPr>
      <w:r w:rsidRPr="00B74EB2">
        <w:rPr>
          <w:rFonts w:cs="Open Sans"/>
          <w:szCs w:val="24"/>
        </w:rPr>
        <w:t xml:space="preserve">se sídlem </w:t>
      </w:r>
      <w:r w:rsidR="009826DA" w:rsidRPr="00B74EB2">
        <w:rPr>
          <w:rFonts w:cs="Open Sans"/>
          <w:szCs w:val="24"/>
        </w:rPr>
        <w:t>28. října 117, 702 18 Ostrava</w:t>
      </w:r>
      <w:r w:rsidRPr="00B74EB2">
        <w:rPr>
          <w:rFonts w:cs="Open Sans"/>
          <w:szCs w:val="24"/>
        </w:rPr>
        <w:br/>
        <w:t xml:space="preserve">IČO: </w:t>
      </w:r>
      <w:r w:rsidR="009826DA" w:rsidRPr="00B74EB2">
        <w:rPr>
          <w:rFonts w:cs="Open Sans"/>
          <w:szCs w:val="24"/>
        </w:rPr>
        <w:t>70890692</w:t>
      </w:r>
      <w:r w:rsidR="00621D66" w:rsidRPr="00B74EB2">
        <w:rPr>
          <w:rFonts w:cs="Open Sans"/>
          <w:szCs w:val="24"/>
        </w:rPr>
        <w:t>,</w:t>
      </w:r>
      <w:r w:rsidRPr="00B74EB2">
        <w:rPr>
          <w:rFonts w:cs="Open Sans"/>
          <w:szCs w:val="24"/>
        </w:rPr>
        <w:br/>
      </w:r>
      <w:r w:rsidR="009826DA" w:rsidRPr="00B74EB2">
        <w:rPr>
          <w:rFonts w:cs="Open Sans"/>
          <w:szCs w:val="24"/>
        </w:rPr>
        <w:t>DIČ: CZ70890692</w:t>
      </w:r>
    </w:p>
    <w:p w14:paraId="3E0FB5F4" w14:textId="77777777" w:rsidR="0067790B" w:rsidRPr="00B74EB2" w:rsidRDefault="009826DA" w:rsidP="0067790B">
      <w:pPr>
        <w:spacing w:before="0" w:after="0"/>
        <w:jc w:val="both"/>
        <w:rPr>
          <w:rFonts w:cs="Open Sans"/>
          <w:szCs w:val="24"/>
        </w:rPr>
      </w:pPr>
      <w:r w:rsidRPr="00B74EB2">
        <w:rPr>
          <w:rFonts w:cs="Open Sans"/>
          <w:szCs w:val="24"/>
        </w:rPr>
        <w:t xml:space="preserve">bankovní spojení: </w:t>
      </w:r>
      <w:r w:rsidR="0067790B">
        <w:rPr>
          <w:rFonts w:cs="Open Sans"/>
          <w:szCs w:val="24"/>
        </w:rPr>
        <w:t>Česká spořitelna, a.s.</w:t>
      </w:r>
    </w:p>
    <w:p w14:paraId="7BC420C3" w14:textId="77777777" w:rsidR="0067790B" w:rsidRPr="00B74EB2" w:rsidRDefault="009826DA" w:rsidP="0067790B">
      <w:pPr>
        <w:spacing w:before="0" w:after="0"/>
        <w:jc w:val="both"/>
        <w:rPr>
          <w:rFonts w:cs="Open Sans"/>
          <w:szCs w:val="24"/>
        </w:rPr>
      </w:pPr>
      <w:r w:rsidRPr="00B74EB2">
        <w:rPr>
          <w:rFonts w:cs="Open Sans"/>
          <w:szCs w:val="24"/>
        </w:rPr>
        <w:t xml:space="preserve">dotační výdajový účet: </w:t>
      </w:r>
      <w:r w:rsidR="0067790B">
        <w:rPr>
          <w:rFonts w:cs="Open Sans"/>
          <w:szCs w:val="24"/>
        </w:rPr>
        <w:t>1650676349/0800</w:t>
      </w:r>
    </w:p>
    <w:p w14:paraId="2E29D1DA" w14:textId="77777777" w:rsidR="009826DA" w:rsidRPr="00B74EB2" w:rsidRDefault="009826DA" w:rsidP="009826DA">
      <w:pPr>
        <w:spacing w:before="0" w:after="0"/>
        <w:jc w:val="both"/>
        <w:rPr>
          <w:rFonts w:cs="Open Sans"/>
          <w:szCs w:val="24"/>
        </w:rPr>
      </w:pPr>
      <w:r w:rsidRPr="00B74EB2">
        <w:rPr>
          <w:rFonts w:cs="Open Sans"/>
          <w:szCs w:val="24"/>
        </w:rPr>
        <w:t>e-mail:</w:t>
      </w:r>
      <w:r w:rsidR="0067790B">
        <w:rPr>
          <w:rFonts w:cs="Open Sans"/>
          <w:szCs w:val="24"/>
        </w:rPr>
        <w:t xml:space="preserve"> martin.radvan@msk.cz</w:t>
      </w:r>
    </w:p>
    <w:p w14:paraId="15645929" w14:textId="77777777" w:rsidR="00AD31FF" w:rsidRPr="00B74EB2" w:rsidRDefault="00AD31FF" w:rsidP="00C931A5">
      <w:pPr>
        <w:jc w:val="both"/>
        <w:rPr>
          <w:rFonts w:cs="Open Sans"/>
          <w:szCs w:val="24"/>
        </w:rPr>
      </w:pPr>
      <w:r w:rsidRPr="00B74EB2">
        <w:rPr>
          <w:rFonts w:cs="Open Sans"/>
        </w:rPr>
        <w:t xml:space="preserve">zastoupen </w:t>
      </w:r>
      <w:r w:rsidR="009826DA" w:rsidRPr="00B74EB2">
        <w:rPr>
          <w:rFonts w:cs="Open Sans"/>
        </w:rPr>
        <w:t>prof. Ing. Ivo Vondrákem, CSc., hejtmanem</w:t>
      </w:r>
      <w:r w:rsidR="00B74EB2">
        <w:rPr>
          <w:rFonts w:cs="Open Sans"/>
        </w:rPr>
        <w:t xml:space="preserve"> kraje</w:t>
      </w:r>
    </w:p>
    <w:p w14:paraId="45BD3FE1" w14:textId="77777777" w:rsidR="009826DA" w:rsidRPr="00B74EB2" w:rsidRDefault="009826DA" w:rsidP="00C931A5">
      <w:pPr>
        <w:jc w:val="both"/>
        <w:rPr>
          <w:rFonts w:cs="Open Sans"/>
          <w:szCs w:val="24"/>
        </w:rPr>
      </w:pPr>
      <w:r w:rsidRPr="00B74EB2">
        <w:rPr>
          <w:rFonts w:cs="Open Sans"/>
          <w:szCs w:val="24"/>
        </w:rPr>
        <w:t xml:space="preserve">kontaktní osoba: </w:t>
      </w:r>
      <w:r w:rsidR="0067790B">
        <w:rPr>
          <w:rFonts w:cs="Open Sans"/>
          <w:szCs w:val="24"/>
        </w:rPr>
        <w:t>Mgr. Martin Radvan, LL.M.</w:t>
      </w:r>
    </w:p>
    <w:p w14:paraId="0848673E" w14:textId="77777777" w:rsidR="009826DA" w:rsidRPr="00B74EB2" w:rsidRDefault="00B834D8" w:rsidP="00C931A5">
      <w:pPr>
        <w:jc w:val="both"/>
        <w:rPr>
          <w:rFonts w:cs="Open Sans"/>
          <w:bCs/>
          <w:szCs w:val="24"/>
        </w:rPr>
      </w:pPr>
      <w:r w:rsidRPr="00B74EB2">
        <w:rPr>
          <w:rFonts w:cs="Open Sans"/>
          <w:szCs w:val="24"/>
        </w:rPr>
        <w:t xml:space="preserve">(na straně druhé jako </w:t>
      </w:r>
      <w:r w:rsidRPr="00B74EB2">
        <w:rPr>
          <w:rFonts w:cs="Open Sans"/>
          <w:bCs/>
          <w:szCs w:val="24"/>
        </w:rPr>
        <w:t>„</w:t>
      </w:r>
      <w:r w:rsidR="009826DA" w:rsidRPr="00B74EB2">
        <w:rPr>
          <w:rFonts w:cs="Open Sans"/>
          <w:b/>
          <w:szCs w:val="24"/>
        </w:rPr>
        <w:t>Kraj</w:t>
      </w:r>
      <w:r w:rsidRPr="00B74EB2">
        <w:rPr>
          <w:rFonts w:cs="Open Sans"/>
          <w:bCs/>
          <w:szCs w:val="24"/>
        </w:rPr>
        <w:t>“)</w:t>
      </w:r>
    </w:p>
    <w:p w14:paraId="5CAD7A75" w14:textId="77777777" w:rsidR="0067790B" w:rsidRDefault="0067790B" w:rsidP="00C931A5">
      <w:pPr>
        <w:jc w:val="both"/>
        <w:rPr>
          <w:rFonts w:cs="Open Sans"/>
          <w:szCs w:val="24"/>
        </w:rPr>
      </w:pPr>
      <w:r>
        <w:rPr>
          <w:rFonts w:cs="Open Sans"/>
          <w:szCs w:val="24"/>
        </w:rPr>
        <w:t>a</w:t>
      </w:r>
    </w:p>
    <w:p w14:paraId="063FB88B" w14:textId="77777777" w:rsidR="0067790B" w:rsidRPr="0052441D" w:rsidRDefault="0067790B" w:rsidP="0067790B">
      <w:pPr>
        <w:spacing w:before="0" w:after="0"/>
        <w:jc w:val="both"/>
        <w:rPr>
          <w:rFonts w:cs="Open Sans"/>
          <w:b/>
          <w:bCs/>
          <w:szCs w:val="24"/>
        </w:rPr>
      </w:pPr>
      <w:r w:rsidRPr="0052441D">
        <w:rPr>
          <w:rFonts w:cs="Open Sans"/>
          <w:b/>
          <w:bCs/>
          <w:szCs w:val="24"/>
        </w:rPr>
        <w:t xml:space="preserve">Moravskoslezské inovační centrum Ostrava, a.s., </w:t>
      </w:r>
    </w:p>
    <w:p w14:paraId="55975E66" w14:textId="77777777" w:rsidR="0067790B" w:rsidRPr="0052441D" w:rsidRDefault="0067790B" w:rsidP="0067790B">
      <w:pPr>
        <w:spacing w:before="0" w:after="0"/>
        <w:jc w:val="both"/>
        <w:rPr>
          <w:rFonts w:cs="Open Sans"/>
          <w:bCs/>
          <w:szCs w:val="24"/>
        </w:rPr>
      </w:pPr>
      <w:r w:rsidRPr="0052441D">
        <w:rPr>
          <w:rFonts w:cs="Open Sans"/>
          <w:bCs/>
          <w:szCs w:val="24"/>
        </w:rPr>
        <w:t xml:space="preserve">se sídlem Technologická 372/2, 708 00 Ostrava – Pustkovec, </w:t>
      </w:r>
    </w:p>
    <w:p w14:paraId="2B0D47D9" w14:textId="77777777" w:rsidR="0067790B" w:rsidRDefault="0067790B" w:rsidP="0067790B">
      <w:pPr>
        <w:spacing w:before="0" w:after="0"/>
        <w:jc w:val="both"/>
        <w:rPr>
          <w:rFonts w:cs="Open Sans"/>
          <w:bCs/>
          <w:szCs w:val="24"/>
        </w:rPr>
      </w:pPr>
      <w:r w:rsidRPr="0052441D">
        <w:rPr>
          <w:rFonts w:cs="Open Sans"/>
          <w:bCs/>
          <w:szCs w:val="24"/>
        </w:rPr>
        <w:t>IČO: 25379631</w:t>
      </w:r>
      <w:r>
        <w:rPr>
          <w:rFonts w:cs="Open Sans"/>
          <w:bCs/>
          <w:szCs w:val="24"/>
        </w:rPr>
        <w:t>,</w:t>
      </w:r>
    </w:p>
    <w:p w14:paraId="378A0CAD" w14:textId="77777777" w:rsidR="0067790B" w:rsidRPr="00B74EB2" w:rsidRDefault="0067790B" w:rsidP="0067790B">
      <w:pPr>
        <w:spacing w:before="0" w:after="0"/>
        <w:jc w:val="both"/>
        <w:rPr>
          <w:rFonts w:cs="Open Sans"/>
          <w:szCs w:val="24"/>
        </w:rPr>
      </w:pPr>
      <w:r>
        <w:rPr>
          <w:rFonts w:cs="Open Sans"/>
          <w:bCs/>
          <w:szCs w:val="24"/>
        </w:rPr>
        <w:t>DIČ: CZ</w:t>
      </w:r>
      <w:r w:rsidRPr="0052441D">
        <w:rPr>
          <w:rFonts w:cs="Open Sans"/>
          <w:bCs/>
          <w:szCs w:val="24"/>
        </w:rPr>
        <w:t>25379631</w:t>
      </w:r>
      <w:r>
        <w:rPr>
          <w:rFonts w:cs="Open Sans"/>
          <w:bCs/>
          <w:szCs w:val="24"/>
        </w:rPr>
        <w:t>,</w:t>
      </w:r>
      <w:r w:rsidRPr="0052441D">
        <w:rPr>
          <w:rFonts w:cs="Open Sans"/>
          <w:szCs w:val="24"/>
        </w:rPr>
        <w:br/>
      </w:r>
      <w:r w:rsidRPr="00B74EB2">
        <w:rPr>
          <w:rFonts w:cs="Open Sans"/>
          <w:szCs w:val="24"/>
        </w:rPr>
        <w:t>společnost je zapsána v obchodním rejstříku vedeném Krajským soudem v Ostravě, oddíl B, vložka 1686,</w:t>
      </w:r>
    </w:p>
    <w:p w14:paraId="46150F35" w14:textId="77777777" w:rsidR="0067790B" w:rsidRPr="00B74EB2" w:rsidRDefault="0067790B" w:rsidP="0067790B">
      <w:pPr>
        <w:spacing w:before="0" w:after="0"/>
        <w:jc w:val="both"/>
        <w:rPr>
          <w:rFonts w:cs="Open Sans"/>
          <w:szCs w:val="24"/>
        </w:rPr>
      </w:pPr>
      <w:r w:rsidRPr="00B74EB2">
        <w:rPr>
          <w:rFonts w:cs="Open Sans"/>
          <w:szCs w:val="24"/>
        </w:rPr>
        <w:t xml:space="preserve">bankovní spojení: </w:t>
      </w:r>
      <w:r>
        <w:rPr>
          <w:rFonts w:cs="Open Sans"/>
          <w:szCs w:val="24"/>
        </w:rPr>
        <w:t>Raiffaisenbank, a.s.</w:t>
      </w:r>
    </w:p>
    <w:p w14:paraId="30F52D3C" w14:textId="77777777" w:rsidR="0067790B" w:rsidRPr="00B74EB2" w:rsidRDefault="0067790B" w:rsidP="0067790B">
      <w:pPr>
        <w:spacing w:before="0" w:after="0"/>
        <w:jc w:val="both"/>
        <w:rPr>
          <w:rFonts w:cs="Open Sans"/>
          <w:szCs w:val="24"/>
        </w:rPr>
      </w:pPr>
      <w:r w:rsidRPr="00B74EB2">
        <w:rPr>
          <w:rFonts w:cs="Open Sans"/>
          <w:szCs w:val="24"/>
        </w:rPr>
        <w:t xml:space="preserve">č. účtu: </w:t>
      </w:r>
      <w:r>
        <w:rPr>
          <w:rFonts w:cs="Open Sans"/>
          <w:szCs w:val="24"/>
        </w:rPr>
        <w:t>5268368052/5500</w:t>
      </w:r>
    </w:p>
    <w:p w14:paraId="48D52D7D" w14:textId="77777777" w:rsidR="0067790B" w:rsidRPr="00B74EB2" w:rsidRDefault="0067790B" w:rsidP="0067790B">
      <w:pPr>
        <w:spacing w:before="0" w:after="0"/>
        <w:jc w:val="both"/>
        <w:rPr>
          <w:rFonts w:cs="Open Sans"/>
          <w:szCs w:val="24"/>
        </w:rPr>
      </w:pPr>
      <w:r w:rsidRPr="00B74EB2">
        <w:rPr>
          <w:rFonts w:cs="Open Sans"/>
          <w:szCs w:val="24"/>
        </w:rPr>
        <w:t xml:space="preserve">e-mail: </w:t>
      </w:r>
      <w:r>
        <w:rPr>
          <w:rFonts w:cs="Open Sans"/>
          <w:szCs w:val="24"/>
        </w:rPr>
        <w:t>adela.hradilova@ms-ic.cz</w:t>
      </w:r>
    </w:p>
    <w:p w14:paraId="353EF452" w14:textId="77777777" w:rsidR="0067790B" w:rsidRPr="00B74EB2" w:rsidRDefault="0067790B" w:rsidP="0067790B">
      <w:pPr>
        <w:jc w:val="both"/>
        <w:rPr>
          <w:rFonts w:cs="Open Sans"/>
          <w:szCs w:val="24"/>
        </w:rPr>
      </w:pPr>
      <w:r w:rsidRPr="00B74EB2">
        <w:rPr>
          <w:rFonts w:cs="Open Sans"/>
        </w:rPr>
        <w:t xml:space="preserve">zastoupen </w:t>
      </w:r>
      <w:r w:rsidRPr="00B74EB2">
        <w:rPr>
          <w:rFonts w:cs="Open Sans"/>
          <w:szCs w:val="24"/>
        </w:rPr>
        <w:t>Ing. Pavlem Csankem, předsedou představenstva</w:t>
      </w:r>
    </w:p>
    <w:p w14:paraId="4B2FB472" w14:textId="77777777" w:rsidR="0067790B" w:rsidRPr="00B74EB2" w:rsidRDefault="0067790B" w:rsidP="0067790B">
      <w:pPr>
        <w:jc w:val="both"/>
        <w:rPr>
          <w:rFonts w:cs="Open Sans"/>
          <w:szCs w:val="24"/>
        </w:rPr>
      </w:pPr>
      <w:r w:rsidRPr="00B74EB2">
        <w:rPr>
          <w:rFonts w:cs="Open Sans"/>
          <w:szCs w:val="24"/>
        </w:rPr>
        <w:t>(na straně jedné jako „</w:t>
      </w:r>
      <w:r w:rsidRPr="00B74EB2">
        <w:rPr>
          <w:rFonts w:cs="Open Sans"/>
          <w:b/>
          <w:szCs w:val="24"/>
        </w:rPr>
        <w:t>MSIC</w:t>
      </w:r>
      <w:r w:rsidRPr="00B74EB2">
        <w:rPr>
          <w:rFonts w:cs="Open Sans"/>
          <w:szCs w:val="24"/>
        </w:rPr>
        <w:t>“)</w:t>
      </w:r>
    </w:p>
    <w:p w14:paraId="002A5E46" w14:textId="77777777" w:rsidR="0067790B" w:rsidRDefault="0067790B" w:rsidP="00C931A5">
      <w:pPr>
        <w:jc w:val="both"/>
        <w:rPr>
          <w:rFonts w:cs="Open Sans"/>
          <w:szCs w:val="24"/>
        </w:rPr>
      </w:pPr>
    </w:p>
    <w:p w14:paraId="746F4345" w14:textId="77777777" w:rsidR="00B834D8" w:rsidRPr="00C931A5" w:rsidRDefault="0067790B" w:rsidP="00C931A5">
      <w:pPr>
        <w:jc w:val="both"/>
        <w:rPr>
          <w:rFonts w:cs="Open Sans"/>
          <w:bCs/>
          <w:szCs w:val="24"/>
        </w:rPr>
      </w:pPr>
      <w:r w:rsidRPr="00B74EB2" w:rsidDel="0067790B">
        <w:rPr>
          <w:rFonts w:cs="Open Sans"/>
          <w:szCs w:val="24"/>
        </w:rPr>
        <w:t xml:space="preserve"> </w:t>
      </w:r>
      <w:r w:rsidR="00B834D8" w:rsidRPr="00C931A5">
        <w:rPr>
          <w:rFonts w:cs="Open Sans"/>
          <w:bCs/>
          <w:szCs w:val="24"/>
        </w:rPr>
        <w:t>(dále též jako</w:t>
      </w:r>
      <w:r w:rsidR="00B834D8" w:rsidRPr="00C931A5">
        <w:rPr>
          <w:rFonts w:cs="Open Sans"/>
          <w:b/>
          <w:bCs/>
          <w:szCs w:val="24"/>
        </w:rPr>
        <w:t xml:space="preserve"> „smluvní strany“</w:t>
      </w:r>
      <w:r w:rsidR="00B834D8" w:rsidRPr="00C931A5">
        <w:rPr>
          <w:rFonts w:cs="Open Sans"/>
          <w:bCs/>
          <w:szCs w:val="24"/>
        </w:rPr>
        <w:t>)</w:t>
      </w:r>
    </w:p>
    <w:p w14:paraId="6B74B5D6" w14:textId="77777777" w:rsidR="00352A06" w:rsidRPr="00352A06" w:rsidRDefault="00352A06" w:rsidP="00352A06"/>
    <w:p w14:paraId="7770C00F" w14:textId="77777777" w:rsidR="00AD31FF" w:rsidRPr="00352A06" w:rsidRDefault="00C670D7" w:rsidP="00E26495">
      <w:pPr>
        <w:pStyle w:val="Nadpis2"/>
        <w:numPr>
          <w:ilvl w:val="0"/>
          <w:numId w:val="2"/>
        </w:numPr>
        <w:jc w:val="center"/>
        <w:rPr>
          <w:rFonts w:cs="Open Sans"/>
        </w:rPr>
      </w:pPr>
      <w:r w:rsidRPr="00352A06">
        <w:rPr>
          <w:rFonts w:cs="Open Sans"/>
        </w:rPr>
        <w:t>Předmět smlouvy</w:t>
      </w:r>
    </w:p>
    <w:p w14:paraId="3B850040" w14:textId="77777777" w:rsidR="00C670D7" w:rsidRPr="0092060D" w:rsidRDefault="00D93085" w:rsidP="00B240FC">
      <w:pPr>
        <w:pStyle w:val="Odstavecseseznamem"/>
        <w:numPr>
          <w:ilvl w:val="6"/>
          <w:numId w:val="2"/>
        </w:numPr>
        <w:ind w:left="709" w:hanging="709"/>
        <w:jc w:val="both"/>
        <w:rPr>
          <w:rFonts w:cs="Open Sans"/>
        </w:rPr>
      </w:pPr>
      <w:r w:rsidRPr="0092060D">
        <w:rPr>
          <w:rFonts w:cs="Open Sans"/>
        </w:rPr>
        <w:t>Předmětem této smlouvy je vymezení služeb, které bude MSIC vykonávat z pověření Kraje</w:t>
      </w:r>
      <w:r w:rsidR="00C829A5">
        <w:rPr>
          <w:rFonts w:cs="Open Sans"/>
        </w:rPr>
        <w:t>,</w:t>
      </w:r>
      <w:r w:rsidRPr="0092060D">
        <w:rPr>
          <w:rFonts w:cs="Open Sans"/>
          <w:bCs/>
        </w:rPr>
        <w:t xml:space="preserve"> v režimu závazku veřejné služby, stanovení </w:t>
      </w:r>
      <w:r w:rsidR="00F80C20" w:rsidRPr="0092060D">
        <w:rPr>
          <w:rFonts w:cs="Open Sans"/>
          <w:bCs/>
        </w:rPr>
        <w:t xml:space="preserve">a poskytnutí </w:t>
      </w:r>
      <w:r w:rsidRPr="0092060D">
        <w:rPr>
          <w:rFonts w:cs="Open Sans"/>
          <w:bCs/>
        </w:rPr>
        <w:t xml:space="preserve">vyrovnávací platby za výkon těchto služeb, jakožto i úprava otázek souvisejících. </w:t>
      </w:r>
    </w:p>
    <w:p w14:paraId="78677A61" w14:textId="77777777" w:rsidR="00C931A5" w:rsidRPr="00C931A5" w:rsidRDefault="00C931A5" w:rsidP="00C931A5">
      <w:pPr>
        <w:pStyle w:val="Odstavecseseznamem"/>
        <w:ind w:left="0"/>
        <w:jc w:val="both"/>
        <w:rPr>
          <w:rFonts w:cs="Open Sans"/>
        </w:rPr>
      </w:pPr>
    </w:p>
    <w:p w14:paraId="34CEC0FE" w14:textId="77777777" w:rsidR="00C670D7" w:rsidRPr="00C931A5" w:rsidRDefault="00D93085" w:rsidP="00E26495">
      <w:pPr>
        <w:pStyle w:val="Nadpis2"/>
        <w:numPr>
          <w:ilvl w:val="0"/>
          <w:numId w:val="2"/>
        </w:numPr>
        <w:jc w:val="center"/>
        <w:rPr>
          <w:rFonts w:cs="Open Sans"/>
        </w:rPr>
      </w:pPr>
      <w:r>
        <w:rPr>
          <w:rFonts w:cs="Open Sans"/>
        </w:rPr>
        <w:t>Pověření</w:t>
      </w:r>
    </w:p>
    <w:p w14:paraId="7ACE9D85" w14:textId="77777777" w:rsidR="00C670D7" w:rsidRDefault="00D93085" w:rsidP="00B240FC">
      <w:pPr>
        <w:pStyle w:val="Odstavecseseznamem"/>
        <w:numPr>
          <w:ilvl w:val="0"/>
          <w:numId w:val="45"/>
        </w:numPr>
        <w:ind w:left="709" w:hanging="709"/>
        <w:jc w:val="both"/>
        <w:rPr>
          <w:rFonts w:cs="Open Sans"/>
        </w:rPr>
      </w:pPr>
      <w:r w:rsidRPr="006C2412">
        <w:rPr>
          <w:rFonts w:cs="Open Sans"/>
        </w:rPr>
        <w:t>Kraj s cílem posílit hospodářský roz</w:t>
      </w:r>
      <w:r w:rsidR="006760D8" w:rsidRPr="006C2412">
        <w:rPr>
          <w:rFonts w:cs="Open Sans"/>
        </w:rPr>
        <w:t>voj a stabilitu regionu pověřuj</w:t>
      </w:r>
      <w:r w:rsidR="00C829A5">
        <w:rPr>
          <w:rFonts w:cs="Open Sans"/>
        </w:rPr>
        <w:t>e</w:t>
      </w:r>
      <w:r w:rsidRPr="006C2412">
        <w:rPr>
          <w:rFonts w:cs="Open Sans"/>
        </w:rPr>
        <w:t xml:space="preserve"> MSIC výkonem služeb uvedených v</w:t>
      </w:r>
      <w:r w:rsidR="002931C9">
        <w:rPr>
          <w:rFonts w:cs="Open Sans"/>
        </w:rPr>
        <w:t> </w:t>
      </w:r>
      <w:r w:rsidR="002D7516">
        <w:rPr>
          <w:rFonts w:cs="Open Sans"/>
        </w:rPr>
        <w:t>čl</w:t>
      </w:r>
      <w:r w:rsidR="002931C9">
        <w:rPr>
          <w:rFonts w:cs="Open Sans"/>
        </w:rPr>
        <w:t>.</w:t>
      </w:r>
      <w:r w:rsidR="00C829A5">
        <w:rPr>
          <w:rFonts w:cs="Open Sans"/>
        </w:rPr>
        <w:t xml:space="preserve"> </w:t>
      </w:r>
      <w:r w:rsidR="00231755">
        <w:rPr>
          <w:rFonts w:cs="Open Sans"/>
        </w:rPr>
        <w:t xml:space="preserve">IV.6 </w:t>
      </w:r>
      <w:r w:rsidR="00DF3C0A">
        <w:rPr>
          <w:rFonts w:cs="Open Sans"/>
        </w:rPr>
        <w:t>a</w:t>
      </w:r>
      <w:r w:rsidR="00231755">
        <w:rPr>
          <w:rFonts w:cs="Open Sans"/>
        </w:rPr>
        <w:t xml:space="preserve"> v </w:t>
      </w:r>
      <w:r w:rsidRPr="006C2412">
        <w:rPr>
          <w:rFonts w:cs="Open Sans"/>
        </w:rPr>
        <w:t xml:space="preserve">Příloze č. </w:t>
      </w:r>
      <w:r w:rsidR="00206406">
        <w:rPr>
          <w:rFonts w:cs="Open Sans"/>
        </w:rPr>
        <w:t>I</w:t>
      </w:r>
      <w:r w:rsidR="0043177C" w:rsidRPr="006C2412">
        <w:rPr>
          <w:rFonts w:cs="Open Sans"/>
        </w:rPr>
        <w:t>.</w:t>
      </w:r>
      <w:r w:rsidR="00DF3C0A">
        <w:rPr>
          <w:rFonts w:cs="Open Sans"/>
        </w:rPr>
        <w:t xml:space="preserve"> </w:t>
      </w:r>
      <w:r w:rsidR="007F5107">
        <w:rPr>
          <w:rFonts w:cs="Open Sans"/>
        </w:rPr>
        <w:t>t</w:t>
      </w:r>
      <w:r w:rsidR="00DF3C0A">
        <w:rPr>
          <w:rFonts w:cs="Open Sans"/>
        </w:rPr>
        <w:t>éto smlouvy.</w:t>
      </w:r>
      <w:r w:rsidR="0043177C" w:rsidRPr="006C2412">
        <w:rPr>
          <w:rFonts w:cs="Open Sans"/>
        </w:rPr>
        <w:t xml:space="preserve"> </w:t>
      </w:r>
      <w:r w:rsidR="00231755">
        <w:rPr>
          <w:rFonts w:cs="Open Sans"/>
        </w:rPr>
        <w:t>Tyto s</w:t>
      </w:r>
      <w:r w:rsidR="00C67CB0" w:rsidRPr="006C2412">
        <w:rPr>
          <w:rFonts w:cs="Open Sans"/>
        </w:rPr>
        <w:t>lužby budou vykonávány v režimu závazku veřejné služby.</w:t>
      </w:r>
      <w:r w:rsidR="00C67CB0">
        <w:rPr>
          <w:rFonts w:cs="Open Sans"/>
        </w:rPr>
        <w:t xml:space="preserve"> </w:t>
      </w:r>
    </w:p>
    <w:p w14:paraId="637E01EF" w14:textId="77777777" w:rsidR="00C670D7" w:rsidRPr="00231755" w:rsidRDefault="00C67CB0" w:rsidP="00B240FC">
      <w:pPr>
        <w:pStyle w:val="Odstavecseseznamem"/>
        <w:numPr>
          <w:ilvl w:val="0"/>
          <w:numId w:val="45"/>
        </w:numPr>
        <w:ind w:left="709" w:hanging="709"/>
        <w:jc w:val="both"/>
        <w:rPr>
          <w:rFonts w:cs="Open Sans"/>
        </w:rPr>
      </w:pPr>
      <w:r w:rsidRPr="00231755">
        <w:rPr>
          <w:rFonts w:cs="Open Sans"/>
        </w:rPr>
        <w:lastRenderedPageBreak/>
        <w:t>MSIC pověření přijímá a zavazuje se, že bude služby dle této smlouvy realizovat na svou vlastní zodpovědnost, v maximální možné kvalitě a v souladu s právními předpisy a podmínkami této smlouvy.</w:t>
      </w:r>
    </w:p>
    <w:p w14:paraId="741D0929" w14:textId="77777777" w:rsidR="00C670D7" w:rsidRPr="00C931A5" w:rsidRDefault="00C670D7" w:rsidP="00C931A5">
      <w:pPr>
        <w:jc w:val="both"/>
        <w:rPr>
          <w:rFonts w:cs="Open Sans"/>
        </w:rPr>
      </w:pPr>
    </w:p>
    <w:p w14:paraId="18F553D9" w14:textId="77777777" w:rsidR="003A44FE" w:rsidRPr="00AB61EC" w:rsidRDefault="00C67CB0" w:rsidP="00D85CD4">
      <w:pPr>
        <w:pStyle w:val="Nadpis2"/>
        <w:numPr>
          <w:ilvl w:val="0"/>
          <w:numId w:val="2"/>
        </w:numPr>
        <w:jc w:val="center"/>
        <w:rPr>
          <w:rFonts w:cs="Open Sans"/>
        </w:rPr>
      </w:pPr>
      <w:r>
        <w:rPr>
          <w:rFonts w:cs="Open Sans"/>
        </w:rPr>
        <w:t>Doba trvání, místo výkonu závazku</w:t>
      </w:r>
    </w:p>
    <w:p w14:paraId="169E5951" w14:textId="77777777" w:rsidR="00C931A5" w:rsidRPr="00D85CD4" w:rsidRDefault="00C67CB0" w:rsidP="00D85CD4">
      <w:pPr>
        <w:pStyle w:val="Odstavecseseznamem"/>
        <w:numPr>
          <w:ilvl w:val="1"/>
          <w:numId w:val="2"/>
        </w:numPr>
        <w:ind w:hanging="710"/>
        <w:jc w:val="both"/>
        <w:rPr>
          <w:rFonts w:cs="Open Sans"/>
        </w:rPr>
      </w:pPr>
      <w:r w:rsidRPr="00D85CD4">
        <w:rPr>
          <w:rFonts w:cs="Open Sans"/>
        </w:rPr>
        <w:t xml:space="preserve">Závazek veřejné služby bude vykonáván od </w:t>
      </w:r>
      <w:r w:rsidR="0067790B" w:rsidRPr="00D85CD4">
        <w:rPr>
          <w:rFonts w:cs="Open Sans"/>
        </w:rPr>
        <w:t>1. 1. 2022</w:t>
      </w:r>
      <w:r w:rsidR="002E4FB2" w:rsidRPr="00D85CD4">
        <w:rPr>
          <w:rFonts w:cs="Open Sans"/>
        </w:rPr>
        <w:t xml:space="preserve"> </w:t>
      </w:r>
      <w:r w:rsidR="0067790B" w:rsidRPr="00D85CD4">
        <w:rPr>
          <w:rFonts w:cs="Open Sans"/>
        </w:rPr>
        <w:t xml:space="preserve">do </w:t>
      </w:r>
      <w:r w:rsidR="002E4FB2" w:rsidRPr="00D85CD4">
        <w:rPr>
          <w:rFonts w:cs="Open Sans"/>
        </w:rPr>
        <w:t>31. 12. 202</w:t>
      </w:r>
      <w:r w:rsidR="0067790B" w:rsidRPr="00D85CD4">
        <w:rPr>
          <w:rFonts w:cs="Open Sans"/>
        </w:rPr>
        <w:t>5</w:t>
      </w:r>
      <w:r w:rsidR="002E4FB2" w:rsidRPr="00D85CD4">
        <w:rPr>
          <w:rFonts w:cs="Open Sans"/>
        </w:rPr>
        <w:t>.</w:t>
      </w:r>
    </w:p>
    <w:p w14:paraId="53D535B7" w14:textId="77777777" w:rsidR="00536D05" w:rsidRPr="00536D05" w:rsidRDefault="00C67CB0" w:rsidP="00D85CD4">
      <w:pPr>
        <w:pStyle w:val="Odstavecseseznamem"/>
        <w:numPr>
          <w:ilvl w:val="1"/>
          <w:numId w:val="2"/>
        </w:numPr>
        <w:ind w:left="709" w:hanging="709"/>
        <w:jc w:val="both"/>
        <w:rPr>
          <w:rFonts w:cs="Open Sans"/>
        </w:rPr>
      </w:pPr>
      <w:r>
        <w:rPr>
          <w:rFonts w:cs="Open Sans"/>
        </w:rPr>
        <w:t xml:space="preserve">Závazek bude vykonáván s dopadem na </w:t>
      </w:r>
      <w:r w:rsidR="00073139">
        <w:rPr>
          <w:rFonts w:cs="Open Sans"/>
        </w:rPr>
        <w:t xml:space="preserve">území </w:t>
      </w:r>
      <w:r>
        <w:rPr>
          <w:rFonts w:cs="Open Sans"/>
        </w:rPr>
        <w:t>Moravskoslezského kraje.</w:t>
      </w:r>
    </w:p>
    <w:p w14:paraId="357A9DA6" w14:textId="77777777" w:rsidR="003A44FE" w:rsidRPr="00C931A5" w:rsidRDefault="003A44FE" w:rsidP="00C931A5">
      <w:pPr>
        <w:jc w:val="both"/>
        <w:rPr>
          <w:rFonts w:cs="Open Sans"/>
        </w:rPr>
      </w:pPr>
    </w:p>
    <w:p w14:paraId="3BFEBFEC" w14:textId="77777777" w:rsidR="00536D05" w:rsidRDefault="00536D05" w:rsidP="00D85CD4">
      <w:pPr>
        <w:pStyle w:val="Nadpis2"/>
        <w:numPr>
          <w:ilvl w:val="0"/>
          <w:numId w:val="2"/>
        </w:numPr>
        <w:jc w:val="center"/>
        <w:rPr>
          <w:rFonts w:cs="Open Sans"/>
        </w:rPr>
      </w:pPr>
      <w:r>
        <w:rPr>
          <w:rFonts w:cs="Open Sans"/>
        </w:rPr>
        <w:t>Vyrovnávací platba</w:t>
      </w:r>
    </w:p>
    <w:p w14:paraId="371599AD" w14:textId="77777777" w:rsidR="00536D05" w:rsidRDefault="00A6015F" w:rsidP="00B240FC">
      <w:pPr>
        <w:pStyle w:val="Odstavecseseznamem"/>
        <w:numPr>
          <w:ilvl w:val="0"/>
          <w:numId w:val="3"/>
        </w:numPr>
        <w:ind w:hanging="720"/>
        <w:jc w:val="both"/>
      </w:pPr>
      <w:r>
        <w:t>MSIC byl pověřen Krajem k výkonu veřejné služby v obecném hospodářském zájmu a vzal na sebe závazek poskytnout tuto službu na základě pověření specifikovaného v čl.</w:t>
      </w:r>
      <w:r w:rsidR="00073139">
        <w:t xml:space="preserve"> </w:t>
      </w:r>
      <w:r>
        <w:t xml:space="preserve">II této smlouvy. </w:t>
      </w:r>
      <w:r w:rsidR="00536D05">
        <w:t xml:space="preserve">Za výkon služeb v režimu závazku veřejné služby </w:t>
      </w:r>
      <w:r w:rsidR="008A4B13">
        <w:t>bude</w:t>
      </w:r>
      <w:r w:rsidR="00536D05">
        <w:t xml:space="preserve"> MSIC </w:t>
      </w:r>
      <w:r w:rsidR="008A4B13">
        <w:t xml:space="preserve">poskytována </w:t>
      </w:r>
      <w:r w:rsidR="00536D05">
        <w:t xml:space="preserve">vyrovnávací platba </w:t>
      </w:r>
      <w:r w:rsidR="00536D05" w:rsidRPr="00962084">
        <w:t>formou</w:t>
      </w:r>
      <w:r w:rsidR="00962084">
        <w:t xml:space="preserve"> </w:t>
      </w:r>
      <w:r w:rsidR="00536D05" w:rsidRPr="00962084">
        <w:t>dotace</w:t>
      </w:r>
      <w:r w:rsidR="00536D05">
        <w:t xml:space="preserve"> </w:t>
      </w:r>
      <w:r w:rsidR="008E5B9A">
        <w:t xml:space="preserve">na žádost </w:t>
      </w:r>
      <w:r w:rsidR="00962084">
        <w:t>ve smyslu zákona č. 250/2000 Sb., o</w:t>
      </w:r>
      <w:r w:rsidR="00A76432">
        <w:t> </w:t>
      </w:r>
      <w:r w:rsidR="00962084">
        <w:t>rozpočtových pravidlech územních rozpočtů, ve znění pozdějších předpisů (dále jen „RPÚR“) (dále jen „vyrovnávací platba“)</w:t>
      </w:r>
      <w:r w:rsidR="00536D05">
        <w:t xml:space="preserve">. </w:t>
      </w:r>
    </w:p>
    <w:p w14:paraId="52B54CA0" w14:textId="77777777" w:rsidR="00536D05" w:rsidRDefault="00536D05" w:rsidP="00D85CD4">
      <w:pPr>
        <w:pStyle w:val="Odstavecseseznamem"/>
        <w:numPr>
          <w:ilvl w:val="0"/>
          <w:numId w:val="3"/>
        </w:numPr>
        <w:ind w:left="709" w:hanging="709"/>
        <w:jc w:val="both"/>
      </w:pPr>
      <w:r>
        <w:t xml:space="preserve">Vyrovnávací platba je ve smyslu zákona č. 320/2001 Sb., o finanční kontrole ve veřejné správě, a o změně některých zákonů (zákon o finanční kontrole), ve znění pozdějších předpisů, veřejnou finanční podporou a vztahují se na ní všechna ustanovení tohoto zákona. </w:t>
      </w:r>
    </w:p>
    <w:p w14:paraId="10497A9B" w14:textId="77777777" w:rsidR="00536D05" w:rsidRPr="00E40E6D" w:rsidRDefault="00962084" w:rsidP="00D85CD4">
      <w:pPr>
        <w:pStyle w:val="Odstavecseseznamem"/>
        <w:numPr>
          <w:ilvl w:val="0"/>
          <w:numId w:val="3"/>
        </w:numPr>
        <w:ind w:left="709" w:hanging="709"/>
        <w:jc w:val="both"/>
      </w:pPr>
      <w:r>
        <w:t>Smluvní strany</w:t>
      </w:r>
      <w:r w:rsidR="00536D05">
        <w:t xml:space="preserve"> berou na vědomí, že vyrovnávací platba je poskytována v souladu s rozhodnutím Komise ze dne 20. </w:t>
      </w:r>
      <w:r w:rsidR="008E5B9A">
        <w:t>12.</w:t>
      </w:r>
      <w:r w:rsidR="00536D05">
        <w:t xml:space="preserve"> 2012, o použití čl. 106 odst. 2 Smlouvy o fungování Evropské unie na státní podpory ve formě vyrovnávací platby za závazek veřejné služby poskytované určitým podnikům pověřeným poskytováním služeb obecného hospodářského zájmu (č. 2012/21/EU) (dále jen „Rozhodnutí Komise č. 2012/21/EU“), a proto je vyňata z povinnosti ohlašování </w:t>
      </w:r>
      <w:r w:rsidR="00536D05" w:rsidRPr="00E40E6D">
        <w:t xml:space="preserve">(notifikace) veřejné podpory před jejím poskytnutím. </w:t>
      </w:r>
    </w:p>
    <w:p w14:paraId="6DF15609" w14:textId="77777777" w:rsidR="008A4B13" w:rsidRPr="003035C8" w:rsidRDefault="005005A9" w:rsidP="00D85CD4">
      <w:pPr>
        <w:pStyle w:val="Odstavecseseznamem"/>
        <w:numPr>
          <w:ilvl w:val="0"/>
          <w:numId w:val="3"/>
        </w:numPr>
        <w:ind w:left="709" w:hanging="709"/>
        <w:jc w:val="both"/>
      </w:pPr>
      <w:r w:rsidRPr="00E40E6D">
        <w:t>MSIC bere na vědomí, že Kraj</w:t>
      </w:r>
      <w:r w:rsidR="008F088B">
        <w:t xml:space="preserve"> </w:t>
      </w:r>
      <w:r w:rsidR="00536D05" w:rsidRPr="00E40E6D">
        <w:t>j</w:t>
      </w:r>
      <w:r w:rsidR="004C5256">
        <w:t>e</w:t>
      </w:r>
      <w:r w:rsidR="00536D05" w:rsidRPr="00E40E6D">
        <w:t xml:space="preserve"> povin</w:t>
      </w:r>
      <w:r w:rsidR="004C5256">
        <w:t>e</w:t>
      </w:r>
      <w:r w:rsidR="00536D05" w:rsidRPr="00E40E6D">
        <w:t>n průběžně ověřovat naplnění podmínek Rozhodnutí Komise č. 2012/21/EU, a je srozuměn s tím, že v případě jejich nenaplnění</w:t>
      </w:r>
      <w:r w:rsidR="003233E7" w:rsidRPr="00E40E6D">
        <w:t xml:space="preserve"> bude Kraj postupovat podle příslušných předpisů pro oblast veřejné podpory. V takové</w:t>
      </w:r>
      <w:r w:rsidRPr="00E40E6D">
        <w:t xml:space="preserve">m případě MSIC poskytne Kraji </w:t>
      </w:r>
      <w:r w:rsidR="003233E7" w:rsidRPr="00E40E6D">
        <w:t>potřebnou součinnost</w:t>
      </w:r>
      <w:r w:rsidR="00503DDB">
        <w:t xml:space="preserve">, zejména při úpravě </w:t>
      </w:r>
      <w:r w:rsidR="00273D4B">
        <w:t>rozsahu služeb vyk</w:t>
      </w:r>
      <w:r w:rsidR="007E5B5A">
        <w:t xml:space="preserve">onávaných </w:t>
      </w:r>
      <w:r w:rsidR="003C5190" w:rsidRPr="003035C8">
        <w:rPr>
          <w:rFonts w:cs="Open Sans"/>
        </w:rPr>
        <w:t>v režimu závazku veřejné služby</w:t>
      </w:r>
      <w:r w:rsidR="003C5190" w:rsidRPr="003035C8">
        <w:t xml:space="preserve"> </w:t>
      </w:r>
      <w:r w:rsidR="007E5B5A" w:rsidRPr="003035C8">
        <w:t>dle této smlouvy</w:t>
      </w:r>
      <w:r w:rsidR="003233E7" w:rsidRPr="003035C8">
        <w:t xml:space="preserve">. </w:t>
      </w:r>
    </w:p>
    <w:p w14:paraId="5E7E8D48" w14:textId="77777777" w:rsidR="00B661CB" w:rsidRPr="003035C8" w:rsidRDefault="00172982" w:rsidP="00D85CD4">
      <w:pPr>
        <w:pStyle w:val="Odstavecseseznamem"/>
        <w:numPr>
          <w:ilvl w:val="0"/>
          <w:numId w:val="3"/>
        </w:numPr>
        <w:ind w:left="709" w:hanging="709"/>
        <w:jc w:val="both"/>
      </w:pPr>
      <w:r w:rsidRPr="003035C8">
        <w:t xml:space="preserve">MSIC bere na vědomí, že </w:t>
      </w:r>
      <w:r w:rsidR="003C7755" w:rsidRPr="003035C8">
        <w:t xml:space="preserve">pokud bude </w:t>
      </w:r>
      <w:r w:rsidRPr="003035C8">
        <w:t>vedle</w:t>
      </w:r>
      <w:r w:rsidR="003C7755" w:rsidRPr="003035C8">
        <w:t xml:space="preserve"> Kraje pověřen závazkem veřejné služby </w:t>
      </w:r>
      <w:r w:rsidR="000F2B5E" w:rsidRPr="003035C8">
        <w:t xml:space="preserve">také </w:t>
      </w:r>
      <w:r w:rsidR="003C7755" w:rsidRPr="003035C8">
        <w:t>jiným pověřovatelem</w:t>
      </w:r>
      <w:r w:rsidR="00B80614" w:rsidRPr="003035C8">
        <w:t>, b</w:t>
      </w:r>
      <w:r w:rsidR="000F2B5E" w:rsidRPr="003035C8">
        <w:t>u</w:t>
      </w:r>
      <w:r w:rsidR="00B80614" w:rsidRPr="003035C8">
        <w:t>de Kraj s tímto pověřovatelem</w:t>
      </w:r>
      <w:r w:rsidR="006F60AB" w:rsidRPr="003035C8">
        <w:t xml:space="preserve"> spolupracovat a poskytovat si vzájemnou součinnost, </w:t>
      </w:r>
      <w:r w:rsidR="000F2B5E" w:rsidRPr="003035C8">
        <w:t>a t</w:t>
      </w:r>
      <w:r w:rsidR="00437B95" w:rsidRPr="003035C8">
        <w:t>o</w:t>
      </w:r>
      <w:r w:rsidR="000F2B5E" w:rsidRPr="003035C8">
        <w:t xml:space="preserve"> </w:t>
      </w:r>
      <w:r w:rsidR="006F60AB" w:rsidRPr="003035C8">
        <w:t>zejména</w:t>
      </w:r>
      <w:r w:rsidR="000F2B5E" w:rsidRPr="003035C8">
        <w:t xml:space="preserve"> při hodnocení existence nadměrné platby a při jiných úkonech mající vliv na výši vyrovnávací platby.</w:t>
      </w:r>
    </w:p>
    <w:p w14:paraId="37FEE04B" w14:textId="77777777" w:rsidR="009A2BA5" w:rsidRDefault="009A2BA5" w:rsidP="00CA3BB0">
      <w:pPr>
        <w:pStyle w:val="Odstavecseseznamem"/>
        <w:numPr>
          <w:ilvl w:val="0"/>
          <w:numId w:val="3"/>
        </w:numPr>
        <w:ind w:left="709" w:hanging="709"/>
        <w:jc w:val="both"/>
      </w:pPr>
      <w:r>
        <w:t>Vyrovnávací platba bude po celou dobu trvání</w:t>
      </w:r>
      <w:r w:rsidR="000F2B5E">
        <w:t xml:space="preserve"> pověření dle této smlouvy</w:t>
      </w:r>
      <w:r>
        <w:t xml:space="preserve"> použita na tyto aktivity:</w:t>
      </w:r>
    </w:p>
    <w:p w14:paraId="47EF6E9E" w14:textId="77777777" w:rsidR="009A2BA5" w:rsidRDefault="009A2BA5" w:rsidP="009A2BA5">
      <w:pPr>
        <w:pStyle w:val="Odstavecseseznamem"/>
        <w:ind w:left="851"/>
        <w:jc w:val="both"/>
      </w:pPr>
      <w:r>
        <w:t>a)</w:t>
      </w:r>
      <w:r>
        <w:tab/>
        <w:t>řízení a implementace RIS MSK</w:t>
      </w:r>
    </w:p>
    <w:p w14:paraId="47738747" w14:textId="77777777" w:rsidR="009A2BA5" w:rsidRDefault="009A2BA5" w:rsidP="009A2BA5">
      <w:pPr>
        <w:pStyle w:val="Odstavecseseznamem"/>
        <w:ind w:left="851"/>
        <w:jc w:val="both"/>
      </w:pPr>
      <w:r>
        <w:t xml:space="preserve">MSIC koordinuje implementační strukturu RIS MSK, funguje jako sekretariát Rady pro inovace a jednotlivých pracovních skupin a jejich podskupin – PS Podreg, PS TAM, PS MSK Digital, PS ENVITech, PS SMARAGD. Dále MSIC zajišťuje pravidelnou aktualizaci RIS MSK, akčního plánu RIS MSK. MSIC je v pravidelném kontaktu s národními (MPO, MŠMT, TAČR, CzechInvest atd.) i evropskými institucemi (EK atd.) a podílí se na přípravě programů a nástrojů na podporu rozvoje podnikavosti, podnikání, digitalizace a udržitelnosti. MSIC také připravuje návrhy a podmínky nových programů pro podporu podnikání, podnikavosti, inovací, digitalizace, udržitelnosti pro MSK. Součástí přípravy jsou mikroekonomické analýzy, </w:t>
      </w:r>
      <w:r>
        <w:lastRenderedPageBreak/>
        <w:t>specializovaná setkání odborníků, tvorba cílených databází firem a expertů, pilotní ověření a také vyhodnocení pilotáží. Nedílnou součástí je také vyhodnocování dopadů realizovaných intervencí. Dále bude MSIC v souladu se schválenou vizí pracovat na přípravě a rozvoji brandu RIS MSK a rozvoji mezinárodní spolupráce včetně zapojení do mezinárodních projektů a inspiračních misí.</w:t>
      </w:r>
    </w:p>
    <w:p w14:paraId="36198D81" w14:textId="77777777" w:rsidR="009A2BA5" w:rsidRDefault="009A2BA5" w:rsidP="009A2BA5">
      <w:pPr>
        <w:pStyle w:val="Odstavecseseznamem"/>
        <w:ind w:left="851"/>
        <w:jc w:val="both"/>
      </w:pPr>
      <w:r>
        <w:t>b)</w:t>
      </w:r>
      <w:r>
        <w:tab/>
        <w:t>1to1 inovační služby pro firmy</w:t>
      </w:r>
    </w:p>
    <w:p w14:paraId="0D56581F" w14:textId="77777777" w:rsidR="009A2BA5" w:rsidRDefault="009A2BA5" w:rsidP="009A2BA5">
      <w:pPr>
        <w:pStyle w:val="Odstavecseseznamem"/>
        <w:ind w:left="851"/>
        <w:jc w:val="both"/>
      </w:pPr>
      <w:r>
        <w:t>V rámci tohoto segmentu se MSIC zavazuje poskytovat individuální služby pro firmy (rozjezdy i zralé firmy), které budou v převážné většině poskytovány prostřednictvím expertů či specialistů. V oblastech PODREG (Podnikavý region) půjde především o služby typu individuálních konzultací pro rozjezdy, MSIC Expand, MSIC Impact, MSIC Impuls, grantové poradenství; v oblasti TAM (Talent Attraction Management) půjde primárně o</w:t>
      </w:r>
      <w:r w:rsidR="00A76432">
        <w:t> </w:t>
      </w:r>
      <w:r>
        <w:t>soft-landing pro zahraniční start-upy a relokační servis pro startupy a high-tech firmy; v oblasti ENVI Tech půjde především o služby typu cirkulárních skenů a voucherů; v oblasti MSK Digital půjde především o služby typu digiAudit, digiUp, Stavební dozor digitalizace a Cyber-security audit.</w:t>
      </w:r>
    </w:p>
    <w:p w14:paraId="447F50F6" w14:textId="77777777" w:rsidR="009A2BA5" w:rsidRDefault="009A2BA5" w:rsidP="009A2BA5">
      <w:pPr>
        <w:pStyle w:val="Odstavecseseznamem"/>
        <w:ind w:left="851"/>
        <w:jc w:val="both"/>
      </w:pPr>
      <w:r>
        <w:t>c)</w:t>
      </w:r>
      <w:r>
        <w:tab/>
        <w:t>Společné služby a aktivity pro rozvoj firem</w:t>
      </w:r>
    </w:p>
    <w:p w14:paraId="6351D3F1" w14:textId="77777777" w:rsidR="009A2BA5" w:rsidRDefault="009A2BA5" w:rsidP="00B240FC">
      <w:pPr>
        <w:pStyle w:val="Odstavecseseznamem"/>
        <w:ind w:left="851"/>
        <w:jc w:val="both"/>
      </w:pPr>
      <w:r>
        <w:t>Půjde primárně o matchmakingové akce a rozvojové aktivity pro firmy (rozjezdy i zralé firmy), experty a specialisty MSIC. Dále se společné aktivity týkají rozvoje a implementace schválených projektů jako např. Ostrava Expat centrum, Cool Valley Café a dotačního programu kraje na podporu podnikání a inovací.</w:t>
      </w:r>
    </w:p>
    <w:p w14:paraId="553CB7F0" w14:textId="77777777" w:rsidR="009A2BA5" w:rsidRDefault="009A2BA5" w:rsidP="00CA3BB0">
      <w:pPr>
        <w:pStyle w:val="Odstavecseseznamem"/>
        <w:numPr>
          <w:ilvl w:val="0"/>
          <w:numId w:val="3"/>
        </w:numPr>
        <w:ind w:left="709" w:hanging="709"/>
        <w:jc w:val="both"/>
      </w:pPr>
      <w:r>
        <w:t>V</w:t>
      </w:r>
      <w:r w:rsidR="008F088B">
        <w:t xml:space="preserve">ýše uvedené aktivity jsou podrobně specifikovány </w:t>
      </w:r>
      <w:r>
        <w:t xml:space="preserve">v Příloze č. </w:t>
      </w:r>
      <w:r w:rsidR="00B52E05">
        <w:t>I</w:t>
      </w:r>
      <w:r>
        <w:t xml:space="preserve"> této smlouvy</w:t>
      </w:r>
      <w:r w:rsidR="00876F94">
        <w:t xml:space="preserve"> a můžou být </w:t>
      </w:r>
      <w:r w:rsidR="0092060D">
        <w:t>v průběhu trvání smlouvy</w:t>
      </w:r>
      <w:r w:rsidR="000F2B5E">
        <w:t xml:space="preserve"> </w:t>
      </w:r>
      <w:r w:rsidR="00F27642">
        <w:t xml:space="preserve">Krajem </w:t>
      </w:r>
      <w:r w:rsidR="00876F94">
        <w:t>měněny</w:t>
      </w:r>
      <w:r w:rsidR="00CD5620">
        <w:t xml:space="preserve"> </w:t>
      </w:r>
      <w:r w:rsidR="0092060D">
        <w:t>dle aktuálních potřeb Kraje</w:t>
      </w:r>
      <w:r w:rsidR="008F088B">
        <w:t>.</w:t>
      </w:r>
    </w:p>
    <w:p w14:paraId="156967E7" w14:textId="77777777" w:rsidR="00B661CB" w:rsidRDefault="00B661CB" w:rsidP="00B240FC">
      <w:pPr>
        <w:pStyle w:val="Nadpis2"/>
        <w:numPr>
          <w:ilvl w:val="0"/>
          <w:numId w:val="2"/>
        </w:numPr>
        <w:jc w:val="center"/>
        <w:rPr>
          <w:rFonts w:cs="Open Sans"/>
        </w:rPr>
      </w:pPr>
      <w:r>
        <w:rPr>
          <w:rFonts w:cs="Open Sans"/>
        </w:rPr>
        <w:t>Výpočet vyrovnávací platby</w:t>
      </w:r>
    </w:p>
    <w:p w14:paraId="07C3CA1C" w14:textId="77777777" w:rsidR="00B661CB" w:rsidRPr="003035C8" w:rsidRDefault="00B661CB" w:rsidP="003B5C1F">
      <w:pPr>
        <w:pStyle w:val="Odstavecseseznamem"/>
        <w:numPr>
          <w:ilvl w:val="6"/>
          <w:numId w:val="2"/>
        </w:numPr>
        <w:ind w:left="709" w:hanging="709"/>
        <w:jc w:val="both"/>
        <w:rPr>
          <w:rFonts w:cs="Open Sans"/>
        </w:rPr>
      </w:pPr>
      <w:r w:rsidRPr="00094515">
        <w:t xml:space="preserve">V případě, že MSIC obdrží ve výše uvedeném období </w:t>
      </w:r>
      <w:r w:rsidRPr="003035C8">
        <w:t>v souvislosti s výkonem služeb v režimu závazku veřejné služby vymezených v</w:t>
      </w:r>
      <w:r w:rsidR="002931C9" w:rsidRPr="003035C8">
        <w:t> čl.</w:t>
      </w:r>
      <w:r w:rsidR="0092060D" w:rsidRPr="003035C8">
        <w:t xml:space="preserve"> IV</w:t>
      </w:r>
      <w:r w:rsidR="002931C9" w:rsidRPr="003035C8">
        <w:t>.</w:t>
      </w:r>
      <w:r w:rsidR="0092060D" w:rsidRPr="003035C8">
        <w:t>6</w:t>
      </w:r>
      <w:r w:rsidR="00354617" w:rsidRPr="003035C8">
        <w:t xml:space="preserve"> a </w:t>
      </w:r>
      <w:r w:rsidR="0092060D" w:rsidRPr="003035C8">
        <w:t xml:space="preserve">v </w:t>
      </w:r>
      <w:r w:rsidRPr="003035C8">
        <w:t xml:space="preserve">Příloze č. I této smlouvy jakékoli jiné veřejné prostředky, </w:t>
      </w:r>
      <w:r w:rsidR="00EE518C" w:rsidRPr="003035C8">
        <w:t>mim</w:t>
      </w:r>
      <w:r w:rsidR="00354617" w:rsidRPr="003035C8">
        <w:t xml:space="preserve">o </w:t>
      </w:r>
      <w:r w:rsidR="00B2101E" w:rsidRPr="003035C8">
        <w:t>prostředky z rozpočtu Kraje</w:t>
      </w:r>
      <w:r w:rsidR="00480CAB" w:rsidRPr="003035C8">
        <w:t xml:space="preserve"> a statutárního města Ostravy</w:t>
      </w:r>
      <w:r w:rsidR="00B2101E" w:rsidRPr="003035C8">
        <w:t xml:space="preserve">, </w:t>
      </w:r>
      <w:r w:rsidR="00844B70" w:rsidRPr="003035C8">
        <w:t xml:space="preserve">může být </w:t>
      </w:r>
      <w:r w:rsidRPr="003035C8">
        <w:t>o jejich výši vyrovnávací platba Kraje snížena.</w:t>
      </w:r>
    </w:p>
    <w:p w14:paraId="7D2D48B1" w14:textId="77777777" w:rsidR="00B661CB" w:rsidRDefault="00B661CB" w:rsidP="00B240FC">
      <w:pPr>
        <w:pStyle w:val="Odstavecseseznamem"/>
        <w:numPr>
          <w:ilvl w:val="1"/>
          <w:numId w:val="2"/>
        </w:numPr>
        <w:ind w:hanging="710"/>
        <w:jc w:val="both"/>
      </w:pPr>
      <w:r>
        <w:t xml:space="preserve">Příslušné náklady a výnosy musí být vyúčtovány a promítnuty v účetnictví MSIC, a to nejpozději do konce období, na které se vztahuje pověření dle článku III. této smlouvy. MSIC potvrzuje, že dle svých možností učiní veškerá opatření, aby vyrovnávací platba byla co nejnižší. </w:t>
      </w:r>
    </w:p>
    <w:p w14:paraId="4D4ABB2A" w14:textId="77777777" w:rsidR="00B661CB" w:rsidRPr="003035C8" w:rsidRDefault="00B661CB" w:rsidP="00B240FC">
      <w:pPr>
        <w:pStyle w:val="Odstavecseseznamem"/>
        <w:numPr>
          <w:ilvl w:val="1"/>
          <w:numId w:val="2"/>
        </w:numPr>
        <w:ind w:left="709" w:hanging="709"/>
        <w:jc w:val="both"/>
      </w:pPr>
      <w:r>
        <w:t>Kraj je oprávněn požadovat po MSIC zdůvodnění nákladů a výnosů vzniklých v souvislosti s výkonem služeb v režimu závazku veřejné služby. Výnosy vzniklé v souvislosti s výkonem služeb v režimu závazku veřejné služby nesmí být ze strany MSIC bezdůvodně snižovány. Do neuznatelných nákladů patří zejména peněžní a věcné dary ze strany MSIC, případně placené pokuty a penále v důsledku neplnění smluvních či daňových povinností MSIC, úhrada úvěrů a zápůjček, náhrada škod a manka, náklady (výdaje) na právní spory, plnění sociálního charakteru zaměstnancům, na které však neexistuje právní nárok (např. doplňkové penzijní připojištění apod.), daň silniční, daň z nemovitých věcí, daň z nabytí nemovitých věcí, úroky z prodlení a kurzové ztráty,</w:t>
      </w:r>
      <w:r w:rsidRPr="00034BCA">
        <w:t xml:space="preserve"> a dále ta část celkových nákladů na mzdy v souvislosti s výkonem služeb v režimu závazku veřejné </w:t>
      </w:r>
      <w:r w:rsidRPr="00B74EB2">
        <w:t>služby, která převyšuje náklady na mzdy</w:t>
      </w:r>
      <w:r w:rsidR="00AC4782">
        <w:t xml:space="preserve"> </w:t>
      </w:r>
      <w:r w:rsidRPr="00B74EB2">
        <w:t>vynaložené běžným, řádně řízeným podnikem. Náklady</w:t>
      </w:r>
      <w:r w:rsidRPr="00034BCA">
        <w:t xml:space="preserve"> běžného, řádně řízeného podniku na mzdy (včetně zákonných odvodů) nepřesahují hodinovou sazbu rovnou 1/168 </w:t>
      </w:r>
      <w:r w:rsidR="003318D0">
        <w:t>1,6ti</w:t>
      </w:r>
      <w:r w:rsidRPr="00034BCA">
        <w:t xml:space="preserve">násobku průměrné hrubé měsíční nominální mzdy v ČR za předcházející 4 čtvrtletí (k datu předložení průběžné zprávy) zveřejněné ČSÚ, zvýšené o zákonné odvody zaměstnavatele. Dále pro odstranění případných nejasností v oblasti uznatelnosti nákladů a výnosů při výkonu závazku veřejné </w:t>
      </w:r>
      <w:r w:rsidRPr="003035C8">
        <w:t>služby vytvoří MSIC vnitřní předpis, a to za součinnosti Kraje.</w:t>
      </w:r>
    </w:p>
    <w:p w14:paraId="46FB26AE" w14:textId="77777777" w:rsidR="00B661CB" w:rsidRDefault="00B661CB" w:rsidP="00B240FC">
      <w:pPr>
        <w:pStyle w:val="Odstavecseseznamem"/>
        <w:numPr>
          <w:ilvl w:val="1"/>
          <w:numId w:val="2"/>
        </w:numPr>
        <w:ind w:hanging="710"/>
        <w:jc w:val="both"/>
      </w:pPr>
      <w:r>
        <w:lastRenderedPageBreak/>
        <w:t>Všechny náklady musí být kalkulovány bez daně z přidané hodnoty (dále jen „DPH“) v případě, kdy MSIC má nárok na jejich odpočet. Výjimkou jsou pouze takové náklady, u</w:t>
      </w:r>
      <w:r w:rsidR="00A76432">
        <w:t> </w:t>
      </w:r>
      <w:r>
        <w:t>nichž MSIC nemůže uplatnit odpočet DPH na vstupu podle zákona č. 235/2004 Sb., o dani z přidané hodnoty, ve znění pozdějších předpisů. V takovém případě může MSIC vyrovnávací platbu využít i na finanční krytí takové DPH, která je účtována jako náklad.</w:t>
      </w:r>
    </w:p>
    <w:p w14:paraId="2C07B4AF" w14:textId="77777777" w:rsidR="00B661CB" w:rsidRPr="00034BCA" w:rsidRDefault="00B661CB" w:rsidP="00B240FC">
      <w:pPr>
        <w:pStyle w:val="Odstavecseseznamem"/>
        <w:numPr>
          <w:ilvl w:val="1"/>
          <w:numId w:val="2"/>
        </w:numPr>
        <w:ind w:left="709" w:hanging="709"/>
        <w:jc w:val="both"/>
      </w:pPr>
      <w:r>
        <w:t xml:space="preserve">Vyrovnávací platba ze strany Kraje ve výši </w:t>
      </w:r>
      <w:r w:rsidR="003035C8">
        <w:t>54</w:t>
      </w:r>
      <w:r w:rsidR="00F04115">
        <w:t> </w:t>
      </w:r>
      <w:r w:rsidR="003035C8">
        <w:t>900</w:t>
      </w:r>
      <w:r w:rsidR="00F04115">
        <w:t xml:space="preserve"> </w:t>
      </w:r>
      <w:r w:rsidR="003035C8">
        <w:t>000</w:t>
      </w:r>
      <w:r>
        <w:t xml:space="preserve">,- Kč (slovy: </w:t>
      </w:r>
      <w:r w:rsidR="003035C8">
        <w:t>padesát</w:t>
      </w:r>
      <w:r w:rsidR="00F04115">
        <w:t xml:space="preserve"> </w:t>
      </w:r>
      <w:r w:rsidR="003035C8">
        <w:t>čtyři</w:t>
      </w:r>
      <w:r w:rsidR="00F04115">
        <w:t xml:space="preserve"> </w:t>
      </w:r>
      <w:r w:rsidR="003035C8">
        <w:t>mil</w:t>
      </w:r>
      <w:r w:rsidR="00F04115">
        <w:t xml:space="preserve">ionů devět set tisíc </w:t>
      </w:r>
      <w:r>
        <w:t xml:space="preserve">korun českých) bude hrazena zálohově a poukázána bankovním převodem na účet MSIC uvedený v záhlaví této smlouvy v zálohových splátkách </w:t>
      </w:r>
      <w:r w:rsidRPr="00034BCA">
        <w:t xml:space="preserve">takto: </w:t>
      </w:r>
    </w:p>
    <w:p w14:paraId="3EAB5E63" w14:textId="77777777" w:rsidR="00B661CB" w:rsidRPr="00034BCA" w:rsidRDefault="00B661CB" w:rsidP="00B661CB">
      <w:pPr>
        <w:pStyle w:val="Odstavecseseznamem"/>
        <w:numPr>
          <w:ilvl w:val="0"/>
          <w:numId w:val="40"/>
        </w:numPr>
        <w:jc w:val="both"/>
      </w:pPr>
      <w:r w:rsidRPr="00034BCA">
        <w:t xml:space="preserve">první záloha ve výši </w:t>
      </w:r>
      <w:r w:rsidR="00F04115">
        <w:t>18 900 000</w:t>
      </w:r>
      <w:r w:rsidRPr="00034BCA">
        <w:t xml:space="preserve">,- Kč bude uhrazena do </w:t>
      </w:r>
      <w:r w:rsidR="002D7516">
        <w:t>31. 1. 2022</w:t>
      </w:r>
      <w:r w:rsidRPr="00034BCA">
        <w:t>;</w:t>
      </w:r>
    </w:p>
    <w:p w14:paraId="4F50DA60" w14:textId="77777777" w:rsidR="00B661CB" w:rsidRPr="00034BCA" w:rsidRDefault="00B661CB" w:rsidP="00B661CB">
      <w:pPr>
        <w:pStyle w:val="Odstavecseseznamem"/>
        <w:numPr>
          <w:ilvl w:val="0"/>
          <w:numId w:val="40"/>
        </w:numPr>
        <w:jc w:val="both"/>
      </w:pPr>
      <w:r w:rsidRPr="00034BCA">
        <w:t xml:space="preserve">druhá záloha ve výši </w:t>
      </w:r>
      <w:r w:rsidR="00F04115">
        <w:t>12 000 000</w:t>
      </w:r>
      <w:r w:rsidRPr="00034BCA">
        <w:t>,- Kč bude uhrazena do 31. 1. 20</w:t>
      </w:r>
      <w:r w:rsidR="002D7516">
        <w:t>23</w:t>
      </w:r>
      <w:r w:rsidRPr="00034BCA">
        <w:t>;</w:t>
      </w:r>
    </w:p>
    <w:p w14:paraId="6BD6699E" w14:textId="77777777" w:rsidR="00B661CB" w:rsidRPr="00034BCA" w:rsidRDefault="00B661CB" w:rsidP="00B661CB">
      <w:pPr>
        <w:pStyle w:val="Odstavecseseznamem"/>
        <w:numPr>
          <w:ilvl w:val="0"/>
          <w:numId w:val="40"/>
        </w:numPr>
        <w:jc w:val="both"/>
      </w:pPr>
      <w:r w:rsidRPr="00034BCA">
        <w:t xml:space="preserve">třetí záloha ve výši </w:t>
      </w:r>
      <w:r w:rsidR="00F04115">
        <w:t>12 000 000</w:t>
      </w:r>
      <w:r w:rsidRPr="00034BCA">
        <w:t>,- Kč bude uhrazena do 31. 1. 202</w:t>
      </w:r>
      <w:r w:rsidR="002D7516">
        <w:t>4</w:t>
      </w:r>
      <w:r w:rsidRPr="00034BCA">
        <w:t>;</w:t>
      </w:r>
    </w:p>
    <w:p w14:paraId="1B9EBCF3" w14:textId="77777777" w:rsidR="00B661CB" w:rsidRDefault="00B661CB" w:rsidP="00B661CB">
      <w:pPr>
        <w:pStyle w:val="Odstavecseseznamem"/>
        <w:numPr>
          <w:ilvl w:val="0"/>
          <w:numId w:val="40"/>
        </w:numPr>
        <w:jc w:val="both"/>
      </w:pPr>
      <w:r w:rsidRPr="00034BCA">
        <w:t xml:space="preserve">čtvrtá záloha ve výši </w:t>
      </w:r>
      <w:r w:rsidR="00F04115">
        <w:t>12 000 000</w:t>
      </w:r>
      <w:r w:rsidRPr="00034BCA">
        <w:t>,- Kč</w:t>
      </w:r>
      <w:r>
        <w:t xml:space="preserve"> bude uhrazena do 31. 1. 202</w:t>
      </w:r>
      <w:r w:rsidR="002D7516">
        <w:t>5</w:t>
      </w:r>
      <w:r>
        <w:t>.</w:t>
      </w:r>
    </w:p>
    <w:p w14:paraId="33C37525" w14:textId="5D2EE751" w:rsidR="00B608FD" w:rsidRDefault="00A6015F" w:rsidP="00B240FC">
      <w:pPr>
        <w:pStyle w:val="Odstavecseseznamem"/>
        <w:numPr>
          <w:ilvl w:val="1"/>
          <w:numId w:val="2"/>
        </w:numPr>
        <w:ind w:hanging="710"/>
        <w:jc w:val="both"/>
      </w:pPr>
      <w:r w:rsidRPr="00A6015F">
        <w:t>MSIC je povin</w:t>
      </w:r>
      <w:r w:rsidR="00AE24E4">
        <w:t>no</w:t>
      </w:r>
      <w:r w:rsidRPr="00A6015F">
        <w:t xml:space="preserve"> předložit Kraji po skončení každého kalendářního roku trvání smlouvy a to nejpozději do 31.</w:t>
      </w:r>
      <w:r>
        <w:t xml:space="preserve"> </w:t>
      </w:r>
      <w:r w:rsidRPr="00A6015F">
        <w:t>3. následujícího kalendářního roku</w:t>
      </w:r>
      <w:r w:rsidRPr="00D81A49">
        <w:t>, průběžnou zprávu</w:t>
      </w:r>
      <w:r w:rsidRPr="00815D12">
        <w:t xml:space="preserve"> včetně finančního </w:t>
      </w:r>
      <w:r w:rsidR="00E768C8" w:rsidRPr="00815D12">
        <w:t xml:space="preserve"> vyúčtování čerpání vyrovnávací platby </w:t>
      </w:r>
      <w:r w:rsidR="00250877" w:rsidRPr="00D81A49">
        <w:t>ve formě</w:t>
      </w:r>
      <w:r w:rsidR="008F088B" w:rsidRPr="00D81A49">
        <w:t>, uveden</w:t>
      </w:r>
      <w:r w:rsidR="00250877" w:rsidRPr="00D81A49">
        <w:t>é</w:t>
      </w:r>
      <w:r w:rsidR="008F088B" w:rsidRPr="00D81A49">
        <w:t xml:space="preserve"> v</w:t>
      </w:r>
      <w:r w:rsidR="00250877" w:rsidRPr="00D81A49">
        <w:t xml:space="preserve"> Příloze č. </w:t>
      </w:r>
      <w:r w:rsidR="00597AB3" w:rsidRPr="00D81A49">
        <w:t>II</w:t>
      </w:r>
      <w:r w:rsidR="00250877" w:rsidRPr="00D81A49">
        <w:t xml:space="preserve"> této smlouvy </w:t>
      </w:r>
      <w:r w:rsidR="00E768C8" w:rsidRPr="00D81A49">
        <w:t xml:space="preserve"> prokazující její čerpání</w:t>
      </w:r>
      <w:r w:rsidRPr="00D81A49">
        <w:t xml:space="preserve"> za dobu trvání daného kalendářního roku, jež je finančním vypořádáním ve smyslu § 10a písm. d) RPÚR. Ve stejné lhůtě je MSIC povin</w:t>
      </w:r>
      <w:r w:rsidR="00AE24E4">
        <w:t>no</w:t>
      </w:r>
      <w:r w:rsidRPr="00D81A49">
        <w:t xml:space="preserve"> vrátit převodem na v záhlaví uvedený účet Kraje příslušn</w:t>
      </w:r>
      <w:r w:rsidR="00250877" w:rsidRPr="00D81A49">
        <w:t>ou</w:t>
      </w:r>
      <w:r w:rsidRPr="00D81A49">
        <w:t xml:space="preserve"> nevyčerpan</w:t>
      </w:r>
      <w:r w:rsidR="00250877" w:rsidRPr="00D81A49">
        <w:t>ou</w:t>
      </w:r>
      <w:r w:rsidRPr="00D81A49">
        <w:t xml:space="preserve"> část poskytnut</w:t>
      </w:r>
      <w:r w:rsidR="00250877" w:rsidRPr="00D81A49">
        <w:t>é zálohové vyrovnávací platby</w:t>
      </w:r>
      <w:r w:rsidRPr="00D81A49">
        <w:t xml:space="preserve"> za daný kalendářní rok. V</w:t>
      </w:r>
      <w:r w:rsidRPr="00A6015F">
        <w:t xml:space="preserve"> případě porušení povinnosti MSIC dle předcházející věty jsou takto nevrácené prostředky považovány za zadržené prostředky ve smyslu § 22 odst. 3 RPÚR. </w:t>
      </w:r>
    </w:p>
    <w:p w14:paraId="6C71CF20" w14:textId="3DD1585F" w:rsidR="00A6015F" w:rsidRPr="001D2C64" w:rsidRDefault="00A6015F" w:rsidP="00B240FC">
      <w:pPr>
        <w:pStyle w:val="Odstavecseseznamem"/>
        <w:numPr>
          <w:ilvl w:val="1"/>
          <w:numId w:val="2"/>
        </w:numPr>
        <w:ind w:hanging="710"/>
        <w:jc w:val="both"/>
      </w:pPr>
      <w:r w:rsidRPr="00A6015F">
        <w:t>Po ukončení smlouvy je MSIC povin</w:t>
      </w:r>
      <w:r w:rsidR="00AE24E4">
        <w:t>no</w:t>
      </w:r>
      <w:r w:rsidRPr="00A6015F">
        <w:t xml:space="preserve"> předložit závěrečnou zprávu včetně finančního vyúčtování za poslední kalendářní rok trvání smlouvy a to nejpozději do 31. 3. 2026. Ve stejné lhůtě je MSIC povin</w:t>
      </w:r>
      <w:r w:rsidR="00AE24E4">
        <w:t>no</w:t>
      </w:r>
      <w:r w:rsidRPr="00A6015F">
        <w:t xml:space="preserve"> vrátit převodem na v záhlaví uvedený účet Kraje příslušn</w:t>
      </w:r>
      <w:r w:rsidR="00250877">
        <w:t>ou</w:t>
      </w:r>
      <w:r w:rsidRPr="00A6015F">
        <w:t xml:space="preserve"> nevyčerpan</w:t>
      </w:r>
      <w:r w:rsidR="00250877">
        <w:t>ou</w:t>
      </w:r>
      <w:r w:rsidRPr="00A6015F">
        <w:t xml:space="preserve"> část poskytnutých prostředků vyrovnávací platby za daný kalendářní rok, případně za předchozí roky trvání smlouvy.</w:t>
      </w:r>
    </w:p>
    <w:p w14:paraId="6523F1CA" w14:textId="4E222E40" w:rsidR="00B661CB" w:rsidRDefault="00B661CB" w:rsidP="00B240FC">
      <w:pPr>
        <w:pStyle w:val="Odstavecseseznamem"/>
        <w:numPr>
          <w:ilvl w:val="1"/>
          <w:numId w:val="2"/>
        </w:numPr>
        <w:ind w:hanging="710"/>
        <w:jc w:val="both"/>
      </w:pPr>
      <w:r>
        <w:t xml:space="preserve">Výše záloh dle čl. </w:t>
      </w:r>
      <w:r w:rsidR="002A41AB">
        <w:t>V</w:t>
      </w:r>
      <w:r>
        <w:t xml:space="preserve">.5 písm. b. až d.  této smlouvy se může na základě dohody Kraje a MSIC měnit, avšak celková výše vyrovnávací platby nesmí být překročena. MSIC je oprávněn Kraj požádat o změnu zálohové platby prostřednictvím dodatku k této smlouvě mezi smluvními stranami, a to vždy nejméně 4 měsíce před koncem termínu úhrady takové zálohové platby. Kraj je povinen poskytnout MSIC při uzavírání dodatku součinnost, ledaže má důvodné obavy, že změna zálohových plateb nepovede k naplnění účelu této smlouvy a řádnému poskytování služeb, k jakým se MSIC zavázal v čl. </w:t>
      </w:r>
      <w:r w:rsidR="00AB0221">
        <w:t>IV.6 písm. a. až c.</w:t>
      </w:r>
      <w:r w:rsidR="00250877">
        <w:t>, případně v</w:t>
      </w:r>
      <w:r w:rsidR="00A76432">
        <w:t> </w:t>
      </w:r>
      <w:r w:rsidR="00AB0221">
        <w:t xml:space="preserve">Příloze č. </w:t>
      </w:r>
      <w:r w:rsidR="00CB10CC">
        <w:t>I</w:t>
      </w:r>
      <w:r>
        <w:t xml:space="preserve"> této smlouvy. </w:t>
      </w:r>
    </w:p>
    <w:p w14:paraId="2EFFB344" w14:textId="10551F4D" w:rsidR="00B661CB" w:rsidRDefault="00B661CB" w:rsidP="00B240FC">
      <w:pPr>
        <w:pStyle w:val="Odstavecseseznamem"/>
        <w:numPr>
          <w:ilvl w:val="1"/>
          <w:numId w:val="2"/>
        </w:numPr>
        <w:ind w:left="709" w:hanging="710"/>
        <w:jc w:val="both"/>
      </w:pPr>
      <w:r>
        <w:t xml:space="preserve">V případě, že se jedná o změnu zálohové platby dle čl. </w:t>
      </w:r>
      <w:r w:rsidR="00AB0221">
        <w:t>V</w:t>
      </w:r>
      <w:r>
        <w:t>.5 písm. b nebo c této smlouvy spočívající ve zvýšení či snížení zálohové platby o maximálně 10 % vůči původní výši zálohové platby, je MSIC oprávněn učinit jednostranné písemné prohlášení vůči Kraji, kterým oznámí takovou změnu výše zálohové platby. Tato změna musí být Kraji doručena nejméně 4 měsíce před koncem termínu úhrady takové zálohové platby a je účinná ode dne jejího doručení na adresu Kraje uvedenou v záhlaví této smlouvy. Tato změna se nepovažuje za změnu smlouvy, ke které je nutné uzavírat dodatek mezi smluvními stranami. V případě, že provedenou změnou dojde ke zvýšení zálohové platby, bude o</w:t>
      </w:r>
      <w:r w:rsidR="00A76432">
        <w:t> </w:t>
      </w:r>
      <w:r>
        <w:t xml:space="preserve">stejnou částku snížena následující zálohová platba dle čl. </w:t>
      </w:r>
      <w:r w:rsidR="00AB0221">
        <w:t>V</w:t>
      </w:r>
      <w:r>
        <w:t xml:space="preserve">.5 této smlouvy, pokud provedenou změnou však dojde ke snížení zálohové platby, bude o stejnou částku následující zálohová platba dle čl. </w:t>
      </w:r>
      <w:r w:rsidR="00AB0221">
        <w:t>V</w:t>
      </w:r>
      <w:r>
        <w:t xml:space="preserve">.5 této smlouvy navýšena. Celkové množství finančních prostředků, jež se Kraj zavázal MSIC poskytnout dle čl. </w:t>
      </w:r>
      <w:r w:rsidR="00AB0221">
        <w:t>V</w:t>
      </w:r>
      <w:r>
        <w:t>.5 této smlouvy, se nemění.</w:t>
      </w:r>
    </w:p>
    <w:p w14:paraId="228D0C39" w14:textId="2C9E7C7B" w:rsidR="00B661CB" w:rsidRDefault="00B661CB" w:rsidP="00B240FC">
      <w:pPr>
        <w:pStyle w:val="Odstavecseseznamem"/>
        <w:numPr>
          <w:ilvl w:val="1"/>
          <w:numId w:val="2"/>
        </w:numPr>
        <w:ind w:hanging="710"/>
        <w:jc w:val="both"/>
      </w:pPr>
      <w:r>
        <w:lastRenderedPageBreak/>
        <w:t>V případě, že nastane situace, kdy v rámci činnosti MSIC specifikované v</w:t>
      </w:r>
      <w:r w:rsidR="007F5107">
        <w:t xml:space="preserve"> čl. </w:t>
      </w:r>
      <w:r w:rsidR="00AB0221">
        <w:t xml:space="preserve">IV.6 </w:t>
      </w:r>
      <w:r w:rsidR="00041CE7">
        <w:t xml:space="preserve">a </w:t>
      </w:r>
      <w:r w:rsidR="00AB0221">
        <w:t>v</w:t>
      </w:r>
      <w:r>
        <w:t xml:space="preserve"> Příloze č. I této smlouvy hrozí MSIC škoda, a k nápravě této situace a dalšímu výkonu činnosti nemá MSIC dostatek finančních prostředků, je Kraj oprávněn vyplatit MSIC mimořádnou zálohu ve výši, jaká je nutná pro další výkon činnosti MSIC (dále jen „mimořádná splátka“). Mimořádná splátka se započítává do celkového množství finančních prostředků, jež se Kraj zavázal MSIC poskytnout a jsou o ni rovnoměrně sníženy veškeré zálohy dle čl. </w:t>
      </w:r>
      <w:r w:rsidR="00AB0221">
        <w:t>V</w:t>
      </w:r>
      <w:r>
        <w:t xml:space="preserve">.5 této smlouvy, které nebyly ke dni úhrady mimořádné splátky uhrazeny.  </w:t>
      </w:r>
    </w:p>
    <w:p w14:paraId="181ABC5A" w14:textId="571A344D" w:rsidR="00B661CB" w:rsidRDefault="00B661CB" w:rsidP="00B240FC">
      <w:pPr>
        <w:pStyle w:val="Odstavecseseznamem"/>
        <w:numPr>
          <w:ilvl w:val="1"/>
          <w:numId w:val="2"/>
        </w:numPr>
        <w:ind w:hanging="710"/>
        <w:jc w:val="both"/>
      </w:pPr>
      <w:r>
        <w:t xml:space="preserve">Pokud budou prokazatelné a Krajem uznané náklady MSIC vzniklé v souvislosti s výkonem služeb v režimu závazku veřejné služby po odečtení Krajem uznaných výnosů z takových služeb nižší než poskytnutá výše vyrovnávací platby (dále jen „nadměrná platba“), je MSIC povinno tuto nadměrnou platbu vrátit, a to způsobem a v termínu určeném v čl. </w:t>
      </w:r>
      <w:r w:rsidR="00B23A5F" w:rsidRPr="00EA4121">
        <w:t>V</w:t>
      </w:r>
      <w:r>
        <w:t>.6 této smlouvy</w:t>
      </w:r>
      <w:r w:rsidR="00263889">
        <w:t>, pokud nestanoví</w:t>
      </w:r>
      <w:r w:rsidR="004B6C44">
        <w:t xml:space="preserve"> Kraj</w:t>
      </w:r>
      <w:r w:rsidR="0090003B">
        <w:t xml:space="preserve"> v konkrétním případě jinak</w:t>
      </w:r>
      <w:r>
        <w:t xml:space="preserve">. </w:t>
      </w:r>
    </w:p>
    <w:p w14:paraId="54B893C6" w14:textId="77777777" w:rsidR="00536D05" w:rsidRPr="00E40E6D" w:rsidRDefault="00B661CB" w:rsidP="00B240FC">
      <w:pPr>
        <w:pStyle w:val="Odstavecseseznamem"/>
        <w:numPr>
          <w:ilvl w:val="1"/>
          <w:numId w:val="2"/>
        </w:numPr>
        <w:ind w:hanging="710"/>
        <w:jc w:val="both"/>
      </w:pPr>
      <w:r>
        <w:t>Pokud budou prokazatelné a Krajem uznané náklady MSIC vzniklé v souvislosti s výkonem služeb v režimu závazku veřejné služby po odečtení Krajem uznaných výnosů z takových služeb vyšší než poskytnutá výše vyrovnávací platby, uhradí MSIC částku tohoto překročení z vlastních nebo jiných zdrojů.</w:t>
      </w:r>
      <w:r w:rsidR="00C311ED">
        <w:br/>
      </w:r>
    </w:p>
    <w:p w14:paraId="4809ECEB" w14:textId="77777777" w:rsidR="005943DB" w:rsidRPr="008E5B9A" w:rsidRDefault="005943DB" w:rsidP="00B240FC">
      <w:pPr>
        <w:pStyle w:val="Nadpis2"/>
        <w:numPr>
          <w:ilvl w:val="0"/>
          <w:numId w:val="2"/>
        </w:numPr>
        <w:jc w:val="center"/>
      </w:pPr>
      <w:r w:rsidRPr="008E5B9A">
        <w:t>Další podmínky, práva a povinnosti</w:t>
      </w:r>
    </w:p>
    <w:p w14:paraId="3FD2D2FB" w14:textId="77777777" w:rsidR="00D2795C" w:rsidRDefault="00D2795C" w:rsidP="00B240FC">
      <w:pPr>
        <w:pStyle w:val="Odstavecseseznamem"/>
        <w:numPr>
          <w:ilvl w:val="0"/>
          <w:numId w:val="29"/>
        </w:numPr>
        <w:ind w:hanging="720"/>
        <w:jc w:val="both"/>
      </w:pPr>
      <w:r>
        <w:t>Pro výpočet výše vyrovnávací platby lze užít pouze náklady a výnosy vzniklé v průběhu období dle čl. III.1 této smlouvy.</w:t>
      </w:r>
      <w:r w:rsidRPr="00D2795C">
        <w:t xml:space="preserve"> </w:t>
      </w:r>
      <w:r>
        <w:t xml:space="preserve"> MSIC je povinen předkládat </w:t>
      </w:r>
      <w:r w:rsidRPr="00A6015F">
        <w:t xml:space="preserve">vyúčtování čerpání vyrovnávací platby </w:t>
      </w:r>
      <w:r>
        <w:t xml:space="preserve">průběžně </w:t>
      </w:r>
      <w:r w:rsidRPr="00A6015F">
        <w:t xml:space="preserve">za </w:t>
      </w:r>
      <w:r>
        <w:t>každý</w:t>
      </w:r>
      <w:r w:rsidRPr="00A6015F">
        <w:t xml:space="preserve"> kalendářní rok</w:t>
      </w:r>
      <w:r>
        <w:t xml:space="preserve"> trvání smlouvy.</w:t>
      </w:r>
    </w:p>
    <w:p w14:paraId="15F4B855" w14:textId="77777777" w:rsidR="00D2795C" w:rsidRDefault="00D2795C" w:rsidP="00D2795C">
      <w:pPr>
        <w:pStyle w:val="Odstavecseseznamem"/>
        <w:numPr>
          <w:ilvl w:val="0"/>
          <w:numId w:val="29"/>
        </w:numPr>
        <w:ind w:left="709" w:hanging="709"/>
        <w:jc w:val="both"/>
      </w:pPr>
      <w:r>
        <w:t>Je-li MSIC veřejným zadavatelem nebo splní-li definici zadavatele podle platného a</w:t>
      </w:r>
      <w:r w:rsidR="00A76432">
        <w:t> </w:t>
      </w:r>
      <w:r>
        <w:t>účinného zákona o zadávání veřejných zakázek, je povinno postupovat podle takového zákona.</w:t>
      </w:r>
    </w:p>
    <w:p w14:paraId="685063DA" w14:textId="77777777" w:rsidR="00D2795C" w:rsidRDefault="00D2795C" w:rsidP="00D2795C">
      <w:pPr>
        <w:pStyle w:val="Odstavecseseznamem"/>
        <w:numPr>
          <w:ilvl w:val="0"/>
          <w:numId w:val="29"/>
        </w:numPr>
        <w:ind w:left="709" w:hanging="709"/>
        <w:jc w:val="both"/>
      </w:pPr>
      <w:r>
        <w:t xml:space="preserve">MSIC zajistí ve svém účetnictví nebo daňové evidenci, v souladu s obecně platnými předpisy, zejména zákonem č. 563/1991 Sb., o účetnictví, ve znění pozdějších předpisů, oddělené vykazování nákladů a výnosů vzniklých v souvislosti s výkonem služeb vymezených </w:t>
      </w:r>
      <w:r w:rsidR="00E768C8">
        <w:t xml:space="preserve">čl. IV.6 </w:t>
      </w:r>
      <w:r w:rsidR="00180C67">
        <w:t xml:space="preserve">a </w:t>
      </w:r>
      <w:r>
        <w:t>v Příloze č. I této smlouvy a oddělené vykazování těchto nákladů a</w:t>
      </w:r>
      <w:r w:rsidR="00A76432">
        <w:t> </w:t>
      </w:r>
      <w:r>
        <w:t xml:space="preserve">výnosů financovaných Krajem. </w:t>
      </w:r>
    </w:p>
    <w:p w14:paraId="6F138D44" w14:textId="77777777" w:rsidR="00D2795C" w:rsidRDefault="00D2795C" w:rsidP="00D2795C">
      <w:pPr>
        <w:pStyle w:val="Odstavecseseznamem"/>
        <w:numPr>
          <w:ilvl w:val="0"/>
          <w:numId w:val="29"/>
        </w:numPr>
        <w:ind w:left="709" w:hanging="709"/>
        <w:jc w:val="both"/>
      </w:pPr>
      <w:r>
        <w:t>MSIC je povinno předložit Kraji předběžnou zprávu o plnění služeb vymezených v </w:t>
      </w:r>
      <w:r w:rsidR="00E768C8">
        <w:t>čl. IV.6</w:t>
      </w:r>
      <w:r w:rsidR="00E50189">
        <w:t xml:space="preserve"> a</w:t>
      </w:r>
      <w:r w:rsidR="00E768C8">
        <w:t xml:space="preserve"> v </w:t>
      </w:r>
      <w:r>
        <w:t>Příloze č. I (dále jen „</w:t>
      </w:r>
      <w:r w:rsidRPr="00F04115">
        <w:rPr>
          <w:b/>
          <w:bCs/>
        </w:rPr>
        <w:t>předběžná zpráva</w:t>
      </w:r>
      <w:r>
        <w:t xml:space="preserve">“), jejíž součástí bude předběžné vyúčtování čerpání vyrovnávací platby včetně hrubého odhadu dalších nákladů a výnosů v rámci kalendářního roku, ve kterém má být průběžná zpráva předkládána. Předběžná zpráva bude předložena nejpozději do 31. 10. v každém kalendářním roce </w:t>
      </w:r>
      <w:r w:rsidRPr="00206406">
        <w:t xml:space="preserve">kontaktním osobám a kdykoli po uplynutí této lhůty na vyžádání kontrolnímu orgánu </w:t>
      </w:r>
      <w:r>
        <w:t>Kraje</w:t>
      </w:r>
      <w:r w:rsidRPr="00206406">
        <w:t>.  V případě nepředložení p</w:t>
      </w:r>
      <w:r>
        <w:t>ředběžné</w:t>
      </w:r>
      <w:r w:rsidRPr="00206406">
        <w:t xml:space="preserve"> zprávy</w:t>
      </w:r>
      <w:r>
        <w:t xml:space="preserve"> v termínu stanoveném v tomto článku vyhrazuje si Kraj právo posunout termín splatnosti další splátky zálohy vyrovnávací platby o tolik dní, o kolik je MSIC v prodlení s předložením předběžné zprávy. </w:t>
      </w:r>
    </w:p>
    <w:p w14:paraId="5C1F5932" w14:textId="77777777" w:rsidR="00D2795C" w:rsidRDefault="00D2795C" w:rsidP="00D2795C">
      <w:pPr>
        <w:pStyle w:val="Odstavecseseznamem"/>
        <w:ind w:left="851"/>
        <w:jc w:val="both"/>
      </w:pPr>
      <w:r>
        <w:t>Předběžná zpráva bude obsahovat nejméně následující informace a údaje v přiměřené míře podrobnosti:</w:t>
      </w:r>
    </w:p>
    <w:p w14:paraId="39ADB7CB" w14:textId="77777777" w:rsidR="00D2795C" w:rsidRDefault="00D2795C" w:rsidP="00D2795C">
      <w:pPr>
        <w:pStyle w:val="Odstavecseseznamem"/>
        <w:numPr>
          <w:ilvl w:val="0"/>
          <w:numId w:val="32"/>
        </w:numPr>
        <w:spacing w:before="0" w:after="0"/>
        <w:ind w:left="1701" w:hanging="708"/>
        <w:jc w:val="both"/>
      </w:pPr>
      <w:r>
        <w:t>stručný popis dosud realizovaných a plánovaných služeb v režimu závazku veřejné služby dle této smlouvy za daný kalendářní rok;</w:t>
      </w:r>
    </w:p>
    <w:p w14:paraId="5870BE69" w14:textId="77777777" w:rsidR="00D2795C" w:rsidRDefault="00D2795C" w:rsidP="00D2795C">
      <w:pPr>
        <w:pStyle w:val="Odstavecseseznamem"/>
        <w:numPr>
          <w:ilvl w:val="0"/>
          <w:numId w:val="32"/>
        </w:numPr>
        <w:spacing w:before="0" w:after="0"/>
        <w:ind w:left="1701" w:hanging="709"/>
        <w:jc w:val="both"/>
      </w:pPr>
      <w:r>
        <w:t>předběžné vyúčtování dosavadního čerpání vyrovnávací platby za aktuální kalendářní rok;</w:t>
      </w:r>
    </w:p>
    <w:p w14:paraId="7845AFE9" w14:textId="77777777" w:rsidR="00D2795C" w:rsidRDefault="00D2795C" w:rsidP="00D2795C">
      <w:pPr>
        <w:pStyle w:val="Odstavecseseznamem"/>
        <w:numPr>
          <w:ilvl w:val="0"/>
          <w:numId w:val="32"/>
        </w:numPr>
        <w:spacing w:before="0" w:after="0"/>
        <w:ind w:left="1701" w:hanging="709"/>
        <w:jc w:val="both"/>
      </w:pPr>
      <w:r>
        <w:t>hrubý odhad dalších nákladů a výnosů MSIC do konce kalendářního roku;</w:t>
      </w:r>
    </w:p>
    <w:p w14:paraId="247A81D2" w14:textId="77777777" w:rsidR="00D2795C" w:rsidRDefault="00D2795C" w:rsidP="00D2795C">
      <w:pPr>
        <w:pStyle w:val="Odstavecseseznamem"/>
        <w:numPr>
          <w:ilvl w:val="0"/>
          <w:numId w:val="32"/>
        </w:numPr>
        <w:spacing w:before="0" w:after="0"/>
        <w:ind w:left="1701" w:hanging="709"/>
        <w:jc w:val="both"/>
      </w:pPr>
      <w:r w:rsidRPr="00356E44">
        <w:lastRenderedPageBreak/>
        <w:t>zpřesňující plán činností a služeb vykonávaných MSIC ve prospěch pověřovatel</w:t>
      </w:r>
      <w:r w:rsidR="00250877">
        <w:t>e</w:t>
      </w:r>
      <w:r w:rsidRPr="00356E44">
        <w:t xml:space="preserve"> pro následující kalendářní rok </w:t>
      </w:r>
      <w:r w:rsidR="00250877">
        <w:t>aktualizací P</w:t>
      </w:r>
      <w:r w:rsidRPr="00356E44">
        <w:t>říloh</w:t>
      </w:r>
      <w:r w:rsidR="00250877">
        <w:t>y</w:t>
      </w:r>
      <w:r w:rsidRPr="00356E44">
        <w:t xml:space="preserve"> č.</w:t>
      </w:r>
      <w:r w:rsidR="00752E1B">
        <w:t xml:space="preserve"> I</w:t>
      </w:r>
      <w:r w:rsidRPr="00356E44">
        <w:t xml:space="preserve"> této smlouvy</w:t>
      </w:r>
      <w:r>
        <w:t>.</w:t>
      </w:r>
    </w:p>
    <w:p w14:paraId="0AD318A7" w14:textId="77777777" w:rsidR="008E50E4" w:rsidRPr="00F3393B" w:rsidRDefault="00490289" w:rsidP="00D54276">
      <w:pPr>
        <w:pStyle w:val="Odstavecseseznamem"/>
        <w:numPr>
          <w:ilvl w:val="0"/>
          <w:numId w:val="29"/>
        </w:numPr>
        <w:ind w:left="709" w:hanging="709"/>
        <w:jc w:val="both"/>
      </w:pPr>
      <w:r w:rsidRPr="00F3393B">
        <w:t>MSIC je povinnost předložit Kraji do 2</w:t>
      </w:r>
      <w:r w:rsidR="005C1960" w:rsidRPr="00F3393B">
        <w:t>5</w:t>
      </w:r>
      <w:r w:rsidRPr="00F3393B">
        <w:t>. 1</w:t>
      </w:r>
      <w:r w:rsidR="005C1960" w:rsidRPr="00F3393B">
        <w:t>.</w:t>
      </w:r>
      <w:r w:rsidR="00EE6F29" w:rsidRPr="00F3393B">
        <w:t xml:space="preserve"> každého</w:t>
      </w:r>
      <w:r w:rsidR="005C1960" w:rsidRPr="00F3393B">
        <w:t xml:space="preserve"> kalend</w:t>
      </w:r>
      <w:r w:rsidR="00EE6F29" w:rsidRPr="00F3393B">
        <w:t xml:space="preserve">ářního roku </w:t>
      </w:r>
      <w:r w:rsidR="00EE6F29" w:rsidRPr="00F3393B">
        <w:rPr>
          <w:lang w:eastAsia="en-US"/>
        </w:rPr>
        <w:t>předběžné vyúčtování ke dni 31.</w:t>
      </w:r>
      <w:r w:rsidR="00F3393B">
        <w:rPr>
          <w:lang w:eastAsia="en-US"/>
        </w:rPr>
        <w:t xml:space="preserve"> </w:t>
      </w:r>
      <w:r w:rsidR="00EE6F29" w:rsidRPr="00F3393B">
        <w:rPr>
          <w:lang w:eastAsia="en-US"/>
        </w:rPr>
        <w:t>12.</w:t>
      </w:r>
      <w:r w:rsidR="003D1E8A" w:rsidRPr="00F3393B">
        <w:rPr>
          <w:lang w:eastAsia="en-US"/>
        </w:rPr>
        <w:t xml:space="preserve"> předcházejícího kalendářního roku.</w:t>
      </w:r>
      <w:r w:rsidR="009F4472" w:rsidRPr="00F3393B">
        <w:rPr>
          <w:lang w:eastAsia="en-US"/>
        </w:rPr>
        <w:t xml:space="preserve"> Předběžné vyúčtování </w:t>
      </w:r>
      <w:r w:rsidR="00CA7F67" w:rsidRPr="00F3393B">
        <w:rPr>
          <w:lang w:eastAsia="en-US"/>
        </w:rPr>
        <w:t xml:space="preserve">bude obsahovat </w:t>
      </w:r>
      <w:r w:rsidRPr="00F3393B">
        <w:t xml:space="preserve">průběžné vyúčtování dosavadního čerpání vyrovnávací platby za předcházející kalendářní rok s potvrzením pravdivosti a správnosti </w:t>
      </w:r>
      <w:r w:rsidR="00306219" w:rsidRPr="00F3393B">
        <w:t xml:space="preserve">tohoto </w:t>
      </w:r>
      <w:r w:rsidRPr="00F3393B">
        <w:t>průběžného vyúčtování</w:t>
      </w:r>
      <w:r w:rsidR="00135DB6" w:rsidRPr="00F3393B">
        <w:t>.</w:t>
      </w:r>
      <w:r w:rsidR="00306219" w:rsidRPr="00F3393B">
        <w:t xml:space="preserve"> </w:t>
      </w:r>
    </w:p>
    <w:p w14:paraId="5F657D75" w14:textId="77777777" w:rsidR="00D2795C" w:rsidRPr="00F04115" w:rsidRDefault="00D2795C" w:rsidP="00D54276">
      <w:pPr>
        <w:pStyle w:val="Odstavecseseznamem"/>
        <w:numPr>
          <w:ilvl w:val="0"/>
          <w:numId w:val="29"/>
        </w:numPr>
        <w:ind w:left="709" w:hanging="709"/>
        <w:jc w:val="both"/>
      </w:pPr>
      <w:r>
        <w:t xml:space="preserve">MSIC je povinno předložit Kraji do 31. 3. </w:t>
      </w:r>
      <w:r w:rsidR="00E768C8">
        <w:t xml:space="preserve">každého </w:t>
      </w:r>
      <w:r>
        <w:t>kalendářního roku průběžnou zprávu o</w:t>
      </w:r>
      <w:r w:rsidR="00A76432">
        <w:t> </w:t>
      </w:r>
      <w:r>
        <w:t>plnění služeb vymezených v </w:t>
      </w:r>
      <w:r w:rsidR="00E768C8">
        <w:t>čl. IV.6</w:t>
      </w:r>
      <w:r w:rsidR="00E50189">
        <w:t xml:space="preserve"> a</w:t>
      </w:r>
      <w:r w:rsidR="00E768C8">
        <w:t xml:space="preserve"> v </w:t>
      </w:r>
      <w:r>
        <w:t>Příloze č. I (dále jen „</w:t>
      </w:r>
      <w:r w:rsidRPr="00F04115">
        <w:rPr>
          <w:b/>
          <w:bCs/>
        </w:rPr>
        <w:t>průběžná zpráva</w:t>
      </w:r>
      <w:r>
        <w:t xml:space="preserve">“), jejíž součástí bude </w:t>
      </w:r>
      <w:r w:rsidR="00E768C8">
        <w:t xml:space="preserve">finanční </w:t>
      </w:r>
      <w:r>
        <w:t xml:space="preserve">vyúčtování čerpání vyrovnávací platby za předcházející kalendářní rok. MSIC doloží vyúčtování </w:t>
      </w:r>
      <w:r w:rsidRPr="00F04115">
        <w:t xml:space="preserve">čerpání vyrovnávací platby za předcházející kalendářní rok </w:t>
      </w:r>
      <w:r w:rsidR="00250877" w:rsidRPr="00F04115">
        <w:t xml:space="preserve">ve formě, uvedené v Příloze č. </w:t>
      </w:r>
      <w:r w:rsidR="0092750D" w:rsidRPr="00F04115">
        <w:t>II</w:t>
      </w:r>
      <w:r w:rsidR="00250877" w:rsidRPr="00F04115">
        <w:t xml:space="preserve"> této smlouvy</w:t>
      </w:r>
      <w:r w:rsidRPr="00F04115">
        <w:t>.</w:t>
      </w:r>
      <w:r w:rsidR="00844B94" w:rsidRPr="00F04115">
        <w:t xml:space="preserve"> Kraj je povinen průběžnou zprávu zkontrolovat a zaslat MSIC </w:t>
      </w:r>
      <w:r w:rsidR="00FC251C" w:rsidRPr="00F04115">
        <w:t xml:space="preserve">vyjádření </w:t>
      </w:r>
      <w:r w:rsidR="00844B94" w:rsidRPr="00F04115">
        <w:t>do 3 měsíců ode dne předložení průběžné zprávy, kterým Kraj uzná nebo neuzná prokazatelné náklady a výnosy služeb poskytovaných MSIC v</w:t>
      </w:r>
      <w:r w:rsidR="00EE5007" w:rsidRPr="00F04115">
        <w:t xml:space="preserve"> </w:t>
      </w:r>
      <w:r w:rsidR="00844B94" w:rsidRPr="00F04115">
        <w:t>režimu závazku veřejné služby za předcházející kalendářní rok.</w:t>
      </w:r>
    </w:p>
    <w:p w14:paraId="538AD396" w14:textId="77777777" w:rsidR="00D2795C" w:rsidRDefault="00D2795C" w:rsidP="00D2795C">
      <w:pPr>
        <w:pStyle w:val="Odstavecseseznamem"/>
        <w:ind w:left="851"/>
        <w:jc w:val="both"/>
      </w:pPr>
      <w:r>
        <w:t>Průběžná zpráva bude obsahovat nejméně následující informace a údaje v příměrné míře podrobnosti:</w:t>
      </w:r>
    </w:p>
    <w:p w14:paraId="0FE3F26B" w14:textId="77777777" w:rsidR="00D2795C" w:rsidRDefault="00D2795C" w:rsidP="00D2795C">
      <w:pPr>
        <w:pStyle w:val="Odstavecseseznamem"/>
        <w:numPr>
          <w:ilvl w:val="1"/>
          <w:numId w:val="33"/>
        </w:numPr>
        <w:spacing w:before="0" w:after="0"/>
        <w:ind w:left="1701" w:hanging="708"/>
        <w:jc w:val="both"/>
      </w:pPr>
      <w:r>
        <w:t>stručný popis realizovaných služeb v režimu závazku veřejné služby dle této smlouvy za předcházející kalendářní rok,</w:t>
      </w:r>
    </w:p>
    <w:p w14:paraId="36D7ACF1" w14:textId="77777777" w:rsidR="00D2795C" w:rsidRDefault="00D2795C" w:rsidP="00D2795C">
      <w:pPr>
        <w:pStyle w:val="Odstavecseseznamem"/>
        <w:numPr>
          <w:ilvl w:val="1"/>
          <w:numId w:val="33"/>
        </w:numPr>
        <w:spacing w:before="0" w:after="0"/>
        <w:ind w:left="1701" w:hanging="709"/>
        <w:jc w:val="both"/>
      </w:pPr>
      <w:r>
        <w:t>vyhodnocení průběžného plnění těchto služeb,</w:t>
      </w:r>
    </w:p>
    <w:p w14:paraId="0B126AA0" w14:textId="77777777" w:rsidR="00D2795C" w:rsidRPr="00EA4121" w:rsidRDefault="00D2795C" w:rsidP="00D2795C">
      <w:pPr>
        <w:pStyle w:val="Odstavecseseznamem"/>
        <w:numPr>
          <w:ilvl w:val="1"/>
          <w:numId w:val="33"/>
        </w:numPr>
        <w:spacing w:before="0" w:after="0"/>
        <w:ind w:left="1701" w:hanging="709"/>
        <w:jc w:val="both"/>
      </w:pPr>
      <w:r>
        <w:t xml:space="preserve">průběžné vyúčtování dosavadního čerpání vyrovnávací platby za předcházející </w:t>
      </w:r>
      <w:r w:rsidRPr="003F62F3">
        <w:t xml:space="preserve">kalendářní </w:t>
      </w:r>
      <w:r>
        <w:t xml:space="preserve">rok </w:t>
      </w:r>
      <w:r w:rsidRPr="003F62F3">
        <w:t xml:space="preserve">s potvrzením pravdivosti a správnosti průběžného vyúčtování v </w:t>
      </w:r>
      <w:r w:rsidRPr="00EA4121">
        <w:t>souladu s</w:t>
      </w:r>
      <w:r w:rsidR="00BC7AA4" w:rsidRPr="00EA4121">
        <w:t xml:space="preserve"> Přílohou č. II </w:t>
      </w:r>
      <w:r w:rsidRPr="00EA4121">
        <w:t>této smlouvy.</w:t>
      </w:r>
    </w:p>
    <w:p w14:paraId="5C914421" w14:textId="77777777" w:rsidR="00D2795C" w:rsidRPr="00EA4121" w:rsidRDefault="00D2795C" w:rsidP="00D54276">
      <w:pPr>
        <w:pStyle w:val="Odstavecseseznamem"/>
        <w:numPr>
          <w:ilvl w:val="0"/>
          <w:numId w:val="29"/>
        </w:numPr>
        <w:ind w:left="709" w:hanging="709"/>
        <w:jc w:val="both"/>
      </w:pPr>
      <w:r w:rsidRPr="00EA4121">
        <w:t xml:space="preserve">MSIC je povinno předložit Kraji nejpozději do dvou měsíců ode dne skončení pověření dle článku III.1 této smlouvy či ode dne skončení této smlouvy finanční vyúčtování čerpání vyrovnávací platby jako součást závěrečné zprávy. Ve stejné lhůtě je MSIC povinno vrátit převodem na účet Kraje uvedený v záhlaví této smlouvy případnou nadměrnou platbu. MSIC doloží finanční vyúčtování čerpání vyrovnávací platby </w:t>
      </w:r>
      <w:r w:rsidR="00B51DBE" w:rsidRPr="00EA4121">
        <w:t>ve formě, uvedené v Příloze č.</w:t>
      </w:r>
      <w:r w:rsidR="00A76432" w:rsidRPr="00EA4121">
        <w:t> </w:t>
      </w:r>
      <w:r w:rsidR="00926128" w:rsidRPr="00EA4121">
        <w:t>II</w:t>
      </w:r>
      <w:r w:rsidR="00B51DBE" w:rsidRPr="00EA4121">
        <w:t xml:space="preserve"> této smlouvy</w:t>
      </w:r>
      <w:r w:rsidRPr="00EA4121">
        <w:t xml:space="preserve">. </w:t>
      </w:r>
    </w:p>
    <w:p w14:paraId="4BEF952E" w14:textId="77777777" w:rsidR="00D2795C" w:rsidRPr="00EA4121" w:rsidRDefault="00D2795C" w:rsidP="00D2795C">
      <w:pPr>
        <w:pStyle w:val="Odstavecseseznamem"/>
        <w:ind w:left="851"/>
        <w:jc w:val="both"/>
      </w:pPr>
      <w:r w:rsidRPr="00EA4121">
        <w:t>Závěrečná zpráva bude obsahovat:</w:t>
      </w:r>
    </w:p>
    <w:p w14:paraId="413AF4D4" w14:textId="77777777" w:rsidR="00D2795C" w:rsidRPr="00EA4121" w:rsidRDefault="00D2795C" w:rsidP="00D2795C">
      <w:pPr>
        <w:pStyle w:val="Odstavecseseznamem"/>
        <w:numPr>
          <w:ilvl w:val="0"/>
          <w:numId w:val="34"/>
        </w:numPr>
        <w:tabs>
          <w:tab w:val="left" w:pos="1701"/>
        </w:tabs>
        <w:ind w:left="1701" w:hanging="708"/>
        <w:contextualSpacing/>
        <w:jc w:val="both"/>
      </w:pPr>
      <w:r w:rsidRPr="00EA4121">
        <w:t>podrobný popis činností realizovaných v režimu závazku veřejné služby dle této smlouvy na dané období,</w:t>
      </w:r>
    </w:p>
    <w:p w14:paraId="0DCF512B" w14:textId="77777777" w:rsidR="00D2795C" w:rsidRPr="00EA4121" w:rsidRDefault="00D2795C" w:rsidP="00D2795C">
      <w:pPr>
        <w:pStyle w:val="Odstavecseseznamem"/>
        <w:numPr>
          <w:ilvl w:val="0"/>
          <w:numId w:val="34"/>
        </w:numPr>
        <w:ind w:left="1701" w:hanging="709"/>
        <w:contextualSpacing/>
        <w:jc w:val="both"/>
      </w:pPr>
      <w:r w:rsidRPr="00EA4121">
        <w:t>celkové vyhodnocení splnění účelu,</w:t>
      </w:r>
    </w:p>
    <w:p w14:paraId="6569A487" w14:textId="77777777" w:rsidR="00D2795C" w:rsidRPr="00EA4121" w:rsidRDefault="00D2795C" w:rsidP="00D2795C">
      <w:pPr>
        <w:pStyle w:val="Odstavecseseznamem"/>
        <w:numPr>
          <w:ilvl w:val="0"/>
          <w:numId w:val="34"/>
        </w:numPr>
        <w:ind w:left="1701" w:hanging="709"/>
        <w:jc w:val="both"/>
      </w:pPr>
      <w:r w:rsidRPr="00EA4121">
        <w:t>finanční vyúčtování čerpání vyrovnávací platby podle této smlouvy s potvrzením pravdivosti a správnosti finančního vyúčtování v souladu s</w:t>
      </w:r>
      <w:r w:rsidR="00BC7AA4" w:rsidRPr="00EA4121">
        <w:t xml:space="preserve"> Přílohou č. II </w:t>
      </w:r>
      <w:r w:rsidRPr="00EA4121">
        <w:t>této smlouvy.</w:t>
      </w:r>
    </w:p>
    <w:p w14:paraId="20D9BAF1" w14:textId="77777777" w:rsidR="00D2795C" w:rsidRDefault="00D2795C" w:rsidP="00D54276">
      <w:pPr>
        <w:pStyle w:val="Odstavecseseznamem"/>
        <w:numPr>
          <w:ilvl w:val="0"/>
          <w:numId w:val="29"/>
        </w:numPr>
        <w:ind w:left="709" w:hanging="709"/>
        <w:jc w:val="both"/>
      </w:pPr>
      <w:r>
        <w:t>MSIC je povinno průběžn</w:t>
      </w:r>
      <w:r w:rsidR="009E57A3">
        <w:t>ě</w:t>
      </w:r>
      <w:r>
        <w:t xml:space="preserve"> informovat Kraj o všech změnách, které by mohly při vymáhání zadržených nebo neoprávněně použitých prostředků vyrovnávací platby zhoršit jeho pozici věřitele nebo dobytnost jeho pohledávky. Zejména je MSIC povinno oznámit Kraji do 15 dnů ode dne, kdy došlo k události, skutečnosti, které mají nebo mohou mít za následek zánik, transformaci, sloučení, změnu statutárního zástupce apod., či změnu vlastnického vztahu k majetku, na nějž se vyrovnávací platba poskytuje. </w:t>
      </w:r>
      <w:r w:rsidRPr="00EF1E34">
        <w:t>V případě, že dochází u MSIC k</w:t>
      </w:r>
      <w:r w:rsidR="00A76432">
        <w:t> </w:t>
      </w:r>
      <w:r w:rsidRPr="00EF1E34">
        <w:t xml:space="preserve">zániku s likvidací, je MSIC povinen </w:t>
      </w:r>
      <w:r>
        <w:t xml:space="preserve">Kraji </w:t>
      </w:r>
      <w:r w:rsidRPr="00EF1E34">
        <w:t>vrátit nevyčerpanou část vyrovnávací platby</w:t>
      </w:r>
      <w:r>
        <w:t>, kterou mu</w:t>
      </w:r>
      <w:r w:rsidRPr="00EF1E34">
        <w:t xml:space="preserve"> Kraj</w:t>
      </w:r>
      <w:r>
        <w:t xml:space="preserve"> poskytl</w:t>
      </w:r>
      <w:r w:rsidRPr="00EF1E34">
        <w:t xml:space="preserve">, a to nejpozději do zahájení likvidace MSIC. V případě porušení povinnosti MSIC dle tohoto odstavce, se taková nevrácená část nevyčerpané části vyrovnávací platby považuje za zadržené peněžní prostředky ve smyslu § 22 odst. 3 </w:t>
      </w:r>
      <w:r>
        <w:t>RPÚR</w:t>
      </w:r>
      <w:r w:rsidRPr="00EF1E34">
        <w:t>.</w:t>
      </w:r>
    </w:p>
    <w:p w14:paraId="5BE5789B" w14:textId="77777777" w:rsidR="00D2795C" w:rsidRDefault="00D2795C" w:rsidP="00D54276">
      <w:pPr>
        <w:pStyle w:val="Odstavecseseznamem"/>
        <w:numPr>
          <w:ilvl w:val="0"/>
          <w:numId w:val="29"/>
        </w:numPr>
        <w:ind w:left="709" w:hanging="709"/>
        <w:jc w:val="both"/>
      </w:pPr>
      <w:r>
        <w:lastRenderedPageBreak/>
        <w:t xml:space="preserve">MSIC je povinno po dobu deseti </w:t>
      </w:r>
      <w:r w:rsidRPr="00682465">
        <w:t>let od prvního dne následujícího kalendářního roku</w:t>
      </w:r>
      <w:r>
        <w:t xml:space="preserve"> po kalendářním roce, v němž uplynula doba pověření dle čl. III.1 této smlouvy archivovat následující podkladové materiály:</w:t>
      </w:r>
    </w:p>
    <w:p w14:paraId="0D50AFF9" w14:textId="77777777" w:rsidR="00D2795C" w:rsidRDefault="00D2795C" w:rsidP="00D2795C">
      <w:pPr>
        <w:pStyle w:val="Odstavecseseznamem"/>
        <w:numPr>
          <w:ilvl w:val="0"/>
          <w:numId w:val="35"/>
        </w:numPr>
        <w:ind w:left="1701" w:hanging="708"/>
        <w:contextualSpacing/>
        <w:jc w:val="both"/>
      </w:pPr>
      <w:r>
        <w:t>žádost o poskytnutí vyrovnávací platby včetně příloh,</w:t>
      </w:r>
    </w:p>
    <w:p w14:paraId="6B7B98E1" w14:textId="77777777" w:rsidR="00D2795C" w:rsidRDefault="00D2795C" w:rsidP="00D2795C">
      <w:pPr>
        <w:pStyle w:val="Odstavecseseznamem"/>
        <w:numPr>
          <w:ilvl w:val="0"/>
          <w:numId w:val="35"/>
        </w:numPr>
        <w:ind w:left="1701" w:hanging="709"/>
        <w:contextualSpacing/>
        <w:jc w:val="both"/>
      </w:pPr>
      <w:r>
        <w:t>tuto smlouvu,</w:t>
      </w:r>
    </w:p>
    <w:p w14:paraId="7FA4DD21" w14:textId="77777777" w:rsidR="00D2795C" w:rsidRDefault="00D2795C" w:rsidP="00D2795C">
      <w:pPr>
        <w:pStyle w:val="Odstavecseseznamem"/>
        <w:numPr>
          <w:ilvl w:val="0"/>
          <w:numId w:val="35"/>
        </w:numPr>
        <w:ind w:left="1701" w:hanging="709"/>
        <w:contextualSpacing/>
        <w:jc w:val="both"/>
      </w:pPr>
      <w:r>
        <w:t>originály dokladů, prokazujících čerpání vyrovnávací platby,</w:t>
      </w:r>
    </w:p>
    <w:p w14:paraId="72C442AE" w14:textId="77777777" w:rsidR="00D2795C" w:rsidRDefault="00D2795C" w:rsidP="00D2795C">
      <w:pPr>
        <w:pStyle w:val="Odstavecseseznamem"/>
        <w:numPr>
          <w:ilvl w:val="0"/>
          <w:numId w:val="35"/>
        </w:numPr>
        <w:ind w:left="1701" w:hanging="709"/>
        <w:contextualSpacing/>
        <w:jc w:val="both"/>
      </w:pPr>
      <w:r>
        <w:t>dokumentaci o zadání veřejné zakázky, je-li zadávána,</w:t>
      </w:r>
    </w:p>
    <w:p w14:paraId="6E3F0B9D" w14:textId="77777777" w:rsidR="00D2795C" w:rsidRDefault="00D2795C" w:rsidP="00D2795C">
      <w:pPr>
        <w:pStyle w:val="Odstavecseseznamem"/>
        <w:numPr>
          <w:ilvl w:val="0"/>
          <w:numId w:val="35"/>
        </w:numPr>
        <w:spacing w:before="0"/>
        <w:ind w:left="1701" w:hanging="709"/>
        <w:jc w:val="both"/>
      </w:pPr>
      <w:r>
        <w:t>předběžné a průběžné zprávy a závěrečnou zprávu včetně finančního vyúčtování čerpání vyrovnávací platby.</w:t>
      </w:r>
    </w:p>
    <w:p w14:paraId="03AD705D" w14:textId="77777777" w:rsidR="00D2795C" w:rsidRDefault="00D2795C" w:rsidP="00B240FC">
      <w:pPr>
        <w:pStyle w:val="Odstavecseseznamem"/>
        <w:numPr>
          <w:ilvl w:val="0"/>
          <w:numId w:val="29"/>
        </w:numPr>
        <w:ind w:left="709" w:hanging="709"/>
        <w:jc w:val="both"/>
      </w:pPr>
      <w:r>
        <w:t>MSIC je povinno poskytnout Kraji součinnost pro plnění všech povinností vyplývajících z pravidel pro veřejnou podporu vůči Úřadu pro ochranu hospodářské soutěže a Evropské komisi.</w:t>
      </w:r>
    </w:p>
    <w:p w14:paraId="2FBC49AC" w14:textId="77777777" w:rsidR="00A763D1" w:rsidRDefault="005943DB" w:rsidP="00B240FC">
      <w:pPr>
        <w:pStyle w:val="Odstavecseseznamem"/>
        <w:numPr>
          <w:ilvl w:val="0"/>
          <w:numId w:val="29"/>
        </w:numPr>
        <w:ind w:hanging="720"/>
        <w:jc w:val="both"/>
      </w:pPr>
      <w:r w:rsidRPr="005943DB">
        <w:t xml:space="preserve">MSIC se zavazuje, že při prezentaci své činnosti bude uvádět Kraj jako poskytovatele finančních prostředků. </w:t>
      </w:r>
    </w:p>
    <w:p w14:paraId="65631390" w14:textId="77777777" w:rsidR="005943DB" w:rsidRPr="005943DB" w:rsidRDefault="00A763D1" w:rsidP="00B240FC">
      <w:pPr>
        <w:pStyle w:val="Odstavecseseznamem"/>
        <w:numPr>
          <w:ilvl w:val="0"/>
          <w:numId w:val="29"/>
        </w:numPr>
        <w:ind w:left="709" w:hanging="709"/>
        <w:jc w:val="both"/>
      </w:pPr>
      <w:r w:rsidRPr="008E5B9A">
        <w:t>Kraj jako držitel výhradní licence k užití loga Kraje a výlučný vlastník práva užívat logo Kraje jako ochrannou známku pro chráněné výrobky a služby tímto poskytuje MSIC bezúplatně nevýhradní a časově, místně i množstevně neomezené oprávnění</w:t>
      </w:r>
      <w:r w:rsidR="006E61BA">
        <w:t xml:space="preserve"> užít</w:t>
      </w:r>
      <w:r w:rsidRPr="008E5B9A">
        <w:t xml:space="preserve"> logo Kraje za účelem dle </w:t>
      </w:r>
      <w:r w:rsidR="002443EE">
        <w:t>čl.</w:t>
      </w:r>
      <w:r w:rsidRPr="008E5B9A">
        <w:t xml:space="preserve"> </w:t>
      </w:r>
      <w:r w:rsidR="000B6CBB" w:rsidRPr="008E5B9A">
        <w:t>V</w:t>
      </w:r>
      <w:r w:rsidR="00055264">
        <w:t>I</w:t>
      </w:r>
      <w:r w:rsidR="000B6CBB" w:rsidRPr="008E5B9A">
        <w:t>.1</w:t>
      </w:r>
      <w:r w:rsidR="00055264">
        <w:t>0</w:t>
      </w:r>
      <w:r w:rsidRPr="008E5B9A">
        <w:t xml:space="preserve">. Kraj se zároveň zavazuje udělit souhlas s použitím znaku Kraje za účelem dle </w:t>
      </w:r>
      <w:r w:rsidR="00FC3842">
        <w:t>čl.</w:t>
      </w:r>
      <w:r w:rsidRPr="008E5B9A">
        <w:t xml:space="preserve"> </w:t>
      </w:r>
      <w:r w:rsidR="000B6CBB" w:rsidRPr="008E5B9A">
        <w:t>V</w:t>
      </w:r>
      <w:r w:rsidR="008F246F">
        <w:t>I</w:t>
      </w:r>
      <w:r w:rsidR="000B6CBB" w:rsidRPr="008E5B9A">
        <w:t>.1</w:t>
      </w:r>
      <w:r w:rsidR="008F246F">
        <w:t>0</w:t>
      </w:r>
      <w:r w:rsidRPr="008E5B9A">
        <w:t>. MSIC je povinen při použití loga a znaku Kraje dodržovat zásady pro jejich použití stanovené</w:t>
      </w:r>
      <w:r w:rsidRPr="00A763D1">
        <w:t xml:space="preserve"> v příslušných manuálech zveřejněných na internetových stránkách Kraje a řídit se také dalšími pokyny Kraje pro užití loga a znaku Kraje.</w:t>
      </w:r>
    </w:p>
    <w:p w14:paraId="24F2717A" w14:textId="77777777" w:rsidR="00933992" w:rsidRDefault="005943DB" w:rsidP="00B240FC">
      <w:pPr>
        <w:pStyle w:val="Odstavecseseznamem"/>
        <w:numPr>
          <w:ilvl w:val="0"/>
          <w:numId w:val="29"/>
        </w:numPr>
        <w:ind w:hanging="720"/>
        <w:jc w:val="both"/>
      </w:pPr>
      <w:r w:rsidRPr="005943DB">
        <w:t xml:space="preserve">MSIC se zavazuje, že jak při realizaci služeb vymezených v </w:t>
      </w:r>
      <w:r w:rsidR="00D54276">
        <w:t xml:space="preserve">čl. IV.6 písm. a až c, </w:t>
      </w:r>
      <w:r w:rsidR="00B51DBE">
        <w:t xml:space="preserve">případně </w:t>
      </w:r>
      <w:r w:rsidR="00D54276">
        <w:t>v</w:t>
      </w:r>
      <w:r w:rsidR="00A76432">
        <w:t> </w:t>
      </w:r>
      <w:r w:rsidRPr="005943DB">
        <w:t>Příloze č. I této smlouvy, tak po jejich ukončení, bude dbát dobrého jména Kraje a služby v režimu závazku veřejné služby bude realizovat v</w:t>
      </w:r>
      <w:r w:rsidR="00A76432">
        <w:t> </w:t>
      </w:r>
      <w:r w:rsidRPr="005943DB">
        <w:t>souladu s právními předpisy.</w:t>
      </w:r>
    </w:p>
    <w:p w14:paraId="03F819F5" w14:textId="77777777" w:rsidR="009C6055" w:rsidRPr="001D2C64" w:rsidRDefault="00933992" w:rsidP="00B240FC">
      <w:pPr>
        <w:pStyle w:val="Odstavecseseznamem"/>
        <w:numPr>
          <w:ilvl w:val="0"/>
          <w:numId w:val="29"/>
        </w:numPr>
        <w:ind w:hanging="720"/>
        <w:jc w:val="both"/>
      </w:pPr>
      <w:r w:rsidRPr="00635393">
        <w:t>V případech, kdy MSIC rozhoduje o poskytnutí podpory konečným příjemcům v rámci realizovaných služeb</w:t>
      </w:r>
      <w:r w:rsidR="005C344B" w:rsidRPr="00635393">
        <w:t xml:space="preserve"> dle této </w:t>
      </w:r>
      <w:r w:rsidR="005C344B" w:rsidRPr="00AC4782">
        <w:t xml:space="preserve">smlouvy, umožní </w:t>
      </w:r>
      <w:r w:rsidR="00A60263" w:rsidRPr="00AC4782">
        <w:t>pověřenému</w:t>
      </w:r>
      <w:r w:rsidR="00631431" w:rsidRPr="00AC4782">
        <w:t xml:space="preserve"> </w:t>
      </w:r>
      <w:r w:rsidR="005C344B" w:rsidRPr="00AC4782">
        <w:t>zástupc</w:t>
      </w:r>
      <w:r w:rsidR="00EE3F86" w:rsidRPr="00AC4782">
        <w:t xml:space="preserve">i </w:t>
      </w:r>
      <w:r w:rsidR="005C344B" w:rsidRPr="00AC4782">
        <w:t xml:space="preserve">Kraje </w:t>
      </w:r>
      <w:r w:rsidR="00652B41" w:rsidRPr="00AC4782">
        <w:t xml:space="preserve">účast v pozici pozorovatele </w:t>
      </w:r>
      <w:r w:rsidR="00EB705A" w:rsidRPr="00AC4782">
        <w:t xml:space="preserve">v rámci </w:t>
      </w:r>
      <w:r w:rsidR="007F560F" w:rsidRPr="00AC4782">
        <w:t>procesu</w:t>
      </w:r>
      <w:r w:rsidR="00C96311" w:rsidRPr="00AC4782">
        <w:t xml:space="preserve"> schvalování</w:t>
      </w:r>
      <w:r w:rsidR="00631431" w:rsidRPr="00AC4782">
        <w:t xml:space="preserve"> těchto podpor konečným příjemcům.</w:t>
      </w:r>
      <w:r w:rsidR="001D0F79" w:rsidRPr="00AC4782">
        <w:t xml:space="preserve"> Podmínkou účasti zástupce kraje v pozici pozorovatele je písemný souhlas tohoto zástupce s</w:t>
      </w:r>
      <w:r w:rsidR="00BC1FF0" w:rsidRPr="00AC4782">
        <w:t>e smlouvou o mlčenlivosti</w:t>
      </w:r>
      <w:r w:rsidR="001D0F79" w:rsidRPr="00AC4782">
        <w:t>.</w:t>
      </w:r>
      <w:r w:rsidR="00C311ED">
        <w:br/>
      </w:r>
    </w:p>
    <w:p w14:paraId="60088E2A" w14:textId="77777777" w:rsidR="009C6055" w:rsidRDefault="009C6055" w:rsidP="009C6055">
      <w:pPr>
        <w:pStyle w:val="Nadpis2"/>
        <w:numPr>
          <w:ilvl w:val="0"/>
          <w:numId w:val="2"/>
        </w:numPr>
        <w:jc w:val="center"/>
        <w:rPr>
          <w:rFonts w:cs="Open Sans"/>
        </w:rPr>
      </w:pPr>
      <w:r>
        <w:rPr>
          <w:rFonts w:cs="Open Sans"/>
        </w:rPr>
        <w:t>Kontrola</w:t>
      </w:r>
    </w:p>
    <w:p w14:paraId="4342CA02" w14:textId="77777777" w:rsidR="009C6055" w:rsidRDefault="009C6055" w:rsidP="00B240FC">
      <w:pPr>
        <w:pStyle w:val="Odstavecseseznamem"/>
        <w:numPr>
          <w:ilvl w:val="0"/>
          <w:numId w:val="30"/>
        </w:numPr>
        <w:ind w:hanging="720"/>
        <w:jc w:val="both"/>
      </w:pPr>
      <w:r>
        <w:t>Příslušné orgány Kraje jsou oprávněny v souladu se zvláštním právním předpisem, zákonem č. 320/2001 Sb., o finanční kontrole ve veřejné správě a o změně některých zákonů (zákon o finanční kontrole), ve znění pozdějších předpisů, zákonem č. 129/2000 Sb., o krajích (krajské zřízení), ve znění pozdějších předpisů, RPÚR, kdykoli kontrolovat dodržení podmínek, za kterých byla vyrovnávací platba poskytnuta, zejména zda nedochází k nadměrné kompenzaci či zda je vyrovnávací platb</w:t>
      </w:r>
      <w:r w:rsidR="00F254B1">
        <w:t>a</w:t>
      </w:r>
      <w:r>
        <w:t xml:space="preserve"> užívána v souladu s účelem dotace. Příslušné orgány Kraje jsou oprávněny v souladu s právními předpisy kdykoli kontrolovat, zda je poskytování vyrovnávacího příspěvku činěno v souladu s </w:t>
      </w:r>
      <w:r w:rsidRPr="00BA2044">
        <w:t>Rozhodnutí Komise č. 2012/21/EU</w:t>
      </w:r>
      <w:r>
        <w:t>.</w:t>
      </w:r>
    </w:p>
    <w:p w14:paraId="744C8604" w14:textId="1D9BFB1A" w:rsidR="009C6055" w:rsidRPr="00635393" w:rsidRDefault="009C6055" w:rsidP="0019128E">
      <w:pPr>
        <w:pStyle w:val="Odstavecseseznamem"/>
        <w:numPr>
          <w:ilvl w:val="0"/>
          <w:numId w:val="30"/>
        </w:numPr>
        <w:ind w:hanging="720"/>
        <w:jc w:val="both"/>
      </w:pPr>
      <w:r>
        <w:t xml:space="preserve">MSIC je povinno poskytnout součinnost při </w:t>
      </w:r>
      <w:r w:rsidRPr="00635393">
        <w:t xml:space="preserve">výkonu kontrolní činnosti dle </w:t>
      </w:r>
      <w:r w:rsidR="00FC3842" w:rsidRPr="00635393">
        <w:t>čl.</w:t>
      </w:r>
      <w:r w:rsidRPr="00635393">
        <w:t xml:space="preserve"> V</w:t>
      </w:r>
      <w:r w:rsidR="002A41AB">
        <w:t>II</w:t>
      </w:r>
      <w:r w:rsidRPr="00635393">
        <w:t>.1 této smlouvy, zejména předložit k</w:t>
      </w:r>
      <w:r w:rsidRPr="00DB146A">
        <w:t xml:space="preserve">ontrolnímu orgánu Kraje kdykoliv k nahlédnutí originály všech účetních dokladů souvisejících s vyrovnávací platbou. </w:t>
      </w:r>
      <w:r w:rsidR="0019128E" w:rsidRPr="00635393">
        <w:t>Vzhledem ke zjednodušenému vykazování vyrovnávací platby proběhne kontrola na místě minimálně 1x v každém kalendářním roce trvání této smlouvy</w:t>
      </w:r>
      <w:r w:rsidR="00245302" w:rsidRPr="00635393">
        <w:t>.</w:t>
      </w:r>
    </w:p>
    <w:p w14:paraId="36BE38BF" w14:textId="77777777" w:rsidR="009C6055" w:rsidRDefault="009C6055" w:rsidP="009C6055">
      <w:pPr>
        <w:pStyle w:val="Odstavecseseznamem"/>
        <w:numPr>
          <w:ilvl w:val="0"/>
          <w:numId w:val="30"/>
        </w:numPr>
        <w:ind w:left="709" w:hanging="709"/>
        <w:jc w:val="both"/>
      </w:pPr>
      <w:r>
        <w:lastRenderedPageBreak/>
        <w:t xml:space="preserve">MSIC je povinno umožnit příslušným orgánům Kraje provést kontrolu, jak v průběhu, tak i po ukončení výkonu služeb v režimu závazku veřejné služby dle této smlouvy, a to ještě po dobu deseti </w:t>
      </w:r>
      <w:r w:rsidRPr="00682465">
        <w:t>let od prvního dne následujícího kalendářního roku</w:t>
      </w:r>
      <w:r>
        <w:t xml:space="preserve"> po kalendářním roce, v němž uplynula doba pověření dle čl. III.1 této smlouvy</w:t>
      </w:r>
      <w:r w:rsidRPr="00682465">
        <w:t>.</w:t>
      </w:r>
    </w:p>
    <w:p w14:paraId="3A93C371" w14:textId="77777777" w:rsidR="009C6055" w:rsidRDefault="009C6055" w:rsidP="009C6055">
      <w:pPr>
        <w:pStyle w:val="Odstavecseseznamem"/>
        <w:numPr>
          <w:ilvl w:val="0"/>
          <w:numId w:val="30"/>
        </w:numPr>
        <w:ind w:left="709" w:hanging="709"/>
        <w:jc w:val="both"/>
      </w:pPr>
      <w:r>
        <w:t>Za dodržení účelu, na který byla vyrovnávací platba poskytnuta, a za pravdivost i správnost průběžných zpráv včetně průběžného vyúčtování vyrovnávací platby a závěrečné zprávy včetně finančního vyúčtování čerpání vyrovnávací platby odpovídá osoba oprávněná jednat jménem MSIC, která tuto skutečnost na vyúčtování písemně potvrdí, a to na každém listu vyúčtování.</w:t>
      </w:r>
    </w:p>
    <w:p w14:paraId="51BD878A" w14:textId="77777777" w:rsidR="009C6055" w:rsidRDefault="009C6055" w:rsidP="00B240FC">
      <w:pPr>
        <w:pStyle w:val="Odstavecseseznamem"/>
        <w:ind w:left="709"/>
        <w:jc w:val="both"/>
      </w:pPr>
    </w:p>
    <w:p w14:paraId="6F058987" w14:textId="77777777" w:rsidR="009C6055" w:rsidRDefault="009C6055" w:rsidP="009C6055">
      <w:pPr>
        <w:pStyle w:val="Nadpis2"/>
        <w:numPr>
          <w:ilvl w:val="0"/>
          <w:numId w:val="2"/>
        </w:numPr>
        <w:jc w:val="center"/>
        <w:rPr>
          <w:rFonts w:cs="Open Sans"/>
        </w:rPr>
      </w:pPr>
      <w:r>
        <w:rPr>
          <w:rFonts w:cs="Open Sans"/>
        </w:rPr>
        <w:t>Důsledky porušení povinností MSIC</w:t>
      </w:r>
    </w:p>
    <w:p w14:paraId="4279FC6D" w14:textId="77777777" w:rsidR="009C6055" w:rsidRDefault="009C6055" w:rsidP="00B240FC">
      <w:pPr>
        <w:pStyle w:val="Odstavecseseznamem"/>
        <w:numPr>
          <w:ilvl w:val="0"/>
          <w:numId w:val="31"/>
        </w:numPr>
        <w:ind w:hanging="720"/>
        <w:jc w:val="both"/>
      </w:pPr>
      <w:r>
        <w:t>Pokud se MSIC dopustí porušení rozpočtové kázně, je povinno provést odvod, který odpovídá částce neoprávněně použitých nebo zadržených prostředků Kraje. Porušením rozpočtové kázně je každé neoprávněné použití nebo zadržení peněžních prostředků poskytnutých z rozpočtu Kraje definované v § 22 zákona č. 250/2000 Sb., o rozpočtových pravidlech územních rozpočtů, ve znění pozdějších předpisů.</w:t>
      </w:r>
    </w:p>
    <w:p w14:paraId="5CD5A927" w14:textId="77777777" w:rsidR="009C6055" w:rsidRPr="00DB146A" w:rsidRDefault="009C6055" w:rsidP="00255A66">
      <w:pPr>
        <w:pStyle w:val="Odstavecseseznamem"/>
        <w:numPr>
          <w:ilvl w:val="0"/>
          <w:numId w:val="31"/>
        </w:numPr>
        <w:ind w:left="709" w:hanging="709"/>
        <w:jc w:val="both"/>
      </w:pPr>
      <w:r>
        <w:t>Odlišně od odstavce 1</w:t>
      </w:r>
      <w:r w:rsidR="00A05C5E">
        <w:t xml:space="preserve"> tohoto článku VIII</w:t>
      </w:r>
      <w:r>
        <w:t xml:space="preserve"> se ujednává v souladu s § 10a odst. 6 zákona č. 250/2000 Sb., o</w:t>
      </w:r>
      <w:r w:rsidR="00890C12">
        <w:t> </w:t>
      </w:r>
      <w:r>
        <w:t xml:space="preserve">rozpočtových pravidlech </w:t>
      </w:r>
      <w:r w:rsidRPr="00635393">
        <w:t>územních rozpočtů, ve znění pozdějších předpisů, že v případě, že MSIC poruší některou z podmínek uvedených v čl. V</w:t>
      </w:r>
      <w:r w:rsidR="00C821CF" w:rsidRPr="00635393">
        <w:t>I</w:t>
      </w:r>
      <w:r w:rsidRPr="00635393">
        <w:t xml:space="preserve">.4 až </w:t>
      </w:r>
      <w:r w:rsidR="00555B71" w:rsidRPr="00635393">
        <w:t>VI.</w:t>
      </w:r>
      <w:r w:rsidR="00852AAF">
        <w:t>8</w:t>
      </w:r>
      <w:r w:rsidRPr="00635393">
        <w:t xml:space="preserve"> a </w:t>
      </w:r>
      <w:r w:rsidR="00555B71" w:rsidRPr="00635393">
        <w:t>VI.</w:t>
      </w:r>
      <w:r w:rsidRPr="00635393">
        <w:t>1</w:t>
      </w:r>
      <w:r w:rsidR="00DD45A3">
        <w:t>1</w:t>
      </w:r>
      <w:r w:rsidRPr="00635393">
        <w:t xml:space="preserve"> až </w:t>
      </w:r>
      <w:r w:rsidR="00555B71" w:rsidRPr="00635393">
        <w:t>VI.</w:t>
      </w:r>
      <w:r w:rsidRPr="00635393">
        <w:t>1</w:t>
      </w:r>
      <w:r w:rsidR="00DD45A3">
        <w:t>3</w:t>
      </w:r>
      <w:r w:rsidRPr="00635393">
        <w:t xml:space="preserve"> této smlouvy</w:t>
      </w:r>
      <w:r w:rsidRPr="00DB146A">
        <w:t xml:space="preserve">, bude takové porušení podmínky považováno za méně závažné porušení rozpočtové kázně. Odvod za tato porušení rozpočtové kázně se stanoví v následující výši: </w:t>
      </w:r>
    </w:p>
    <w:p w14:paraId="0BC728EB" w14:textId="77777777" w:rsidR="009C6055" w:rsidRDefault="009C6055" w:rsidP="009C6055">
      <w:pPr>
        <w:pStyle w:val="Odstavecseseznamem"/>
        <w:numPr>
          <w:ilvl w:val="0"/>
          <w:numId w:val="36"/>
        </w:numPr>
        <w:ind w:left="1418" w:hanging="425"/>
        <w:jc w:val="both"/>
      </w:pPr>
      <w:r w:rsidRPr="00DB146A">
        <w:t xml:space="preserve">0 až 2 % z poskytnuté zálohy vyrovnávací platby na příslušný kalendářní rok, v souvislosti s jejímž použitím došlo k porušení rozpočtové kázně, v případě předložení řádné a úplné předběžné zprávy dle čl. </w:t>
      </w:r>
      <w:r w:rsidR="005123D9" w:rsidRPr="00635393">
        <w:t>V</w:t>
      </w:r>
      <w:r w:rsidR="00E302EB" w:rsidRPr="00635393">
        <w:t>I</w:t>
      </w:r>
      <w:r w:rsidRPr="00635393">
        <w:t>.4 této smlouvy více než 15 dnů po stanovené lhůtě;</w:t>
      </w:r>
    </w:p>
    <w:p w14:paraId="72797A7D" w14:textId="77777777" w:rsidR="00E2406F" w:rsidRPr="00F3393B" w:rsidRDefault="00E2406F" w:rsidP="009C6055">
      <w:pPr>
        <w:pStyle w:val="Odstavecseseznamem"/>
        <w:numPr>
          <w:ilvl w:val="0"/>
          <w:numId w:val="36"/>
        </w:numPr>
        <w:ind w:left="1418" w:hanging="425"/>
        <w:jc w:val="both"/>
      </w:pPr>
      <w:r w:rsidRPr="00F3393B">
        <w:t>0 až 2 % z poskytnuté zálohy vyrovnávací platby na příslušný kalendářní rok, v souvislosti s jejímž použitím došlo k porušení rozpočtové kázně, v případě předložení předběžné</w:t>
      </w:r>
      <w:r w:rsidR="00FD61EC" w:rsidRPr="00F3393B">
        <w:t>ho vyúčtování</w:t>
      </w:r>
      <w:r w:rsidR="00EA4C36" w:rsidRPr="00F3393B">
        <w:t xml:space="preserve"> </w:t>
      </w:r>
      <w:r w:rsidR="007A51D6" w:rsidRPr="00F3393B">
        <w:t>dle čl. VI.</w:t>
      </w:r>
      <w:r w:rsidR="002E0EAA" w:rsidRPr="00F3393B">
        <w:t>5</w:t>
      </w:r>
      <w:r w:rsidR="007A51D6" w:rsidRPr="00F3393B">
        <w:t xml:space="preserve"> této smlouvy více než </w:t>
      </w:r>
      <w:r w:rsidR="002E0EAA" w:rsidRPr="00F3393B">
        <w:t xml:space="preserve">5 </w:t>
      </w:r>
      <w:r w:rsidR="007A51D6" w:rsidRPr="00F3393B">
        <w:t>dnů po stanovené lhůtě,</w:t>
      </w:r>
    </w:p>
    <w:p w14:paraId="395CF350" w14:textId="77777777" w:rsidR="009C6055" w:rsidRPr="00635393" w:rsidRDefault="009C6055" w:rsidP="009C6055">
      <w:pPr>
        <w:pStyle w:val="Odstavecseseznamem"/>
        <w:numPr>
          <w:ilvl w:val="0"/>
          <w:numId w:val="36"/>
        </w:numPr>
        <w:ind w:left="1418"/>
        <w:jc w:val="both"/>
      </w:pPr>
      <w:r w:rsidRPr="00DB146A">
        <w:t xml:space="preserve">0 až 5 % z poskytnuté zálohy vyrovnávací platby na příslušný kalendářní rok, v souvislosti s jejímž použitím došlo k porušení rozpočtové kázně, v případě předložení řádné a úplné průběžné zprávy </w:t>
      </w:r>
      <w:r w:rsidRPr="00635393">
        <w:t xml:space="preserve">dle čl. </w:t>
      </w:r>
      <w:r w:rsidR="005123D9" w:rsidRPr="00635393">
        <w:t>V</w:t>
      </w:r>
      <w:r w:rsidR="005A1C87" w:rsidRPr="00635393">
        <w:t>I</w:t>
      </w:r>
      <w:r w:rsidRPr="00635393">
        <w:t>.</w:t>
      </w:r>
      <w:r w:rsidR="002E0EAA">
        <w:t>6</w:t>
      </w:r>
      <w:r w:rsidRPr="00635393">
        <w:t xml:space="preserve"> této smlouvy více než 2 měsíce po stanovené lhůtě;</w:t>
      </w:r>
    </w:p>
    <w:p w14:paraId="3DEF1F1A" w14:textId="77777777" w:rsidR="009C6055" w:rsidRPr="00635393" w:rsidRDefault="009C6055" w:rsidP="009C6055">
      <w:pPr>
        <w:pStyle w:val="Odstavecseseznamem"/>
        <w:numPr>
          <w:ilvl w:val="0"/>
          <w:numId w:val="36"/>
        </w:numPr>
        <w:ind w:left="1418"/>
        <w:jc w:val="both"/>
      </w:pPr>
      <w:r w:rsidRPr="00DB146A">
        <w:t xml:space="preserve">0 až 10 % z poskytnuté zálohy vyrovnávací platby na příslušný kalendářní rok, v souvislosti s jejímž použitím došlo k porušení rozpočtové kázně, v případě předložení řádné a úplné závěrečné zprávy </w:t>
      </w:r>
      <w:r w:rsidRPr="00635393">
        <w:t xml:space="preserve">dle čl. </w:t>
      </w:r>
      <w:r w:rsidR="005123D9" w:rsidRPr="00635393">
        <w:t>V</w:t>
      </w:r>
      <w:r w:rsidR="005A1C87" w:rsidRPr="00635393">
        <w:t>I</w:t>
      </w:r>
      <w:r w:rsidRPr="00635393">
        <w:t>.</w:t>
      </w:r>
      <w:r w:rsidR="002E0EAA">
        <w:t>7</w:t>
      </w:r>
      <w:r w:rsidRPr="00635393">
        <w:t xml:space="preserve"> této smlouvy více než 30 dnů po stanovené lhůtě;</w:t>
      </w:r>
    </w:p>
    <w:p w14:paraId="1988F686" w14:textId="77777777" w:rsidR="009C6055" w:rsidRPr="00635393" w:rsidRDefault="009C6055" w:rsidP="009C6055">
      <w:pPr>
        <w:pStyle w:val="Odstavecseseznamem"/>
        <w:numPr>
          <w:ilvl w:val="0"/>
          <w:numId w:val="36"/>
        </w:numPr>
        <w:ind w:left="1418"/>
        <w:jc w:val="both"/>
      </w:pPr>
      <w:r w:rsidRPr="00DB146A">
        <w:t>0 až 5 % z poskytnuté zálohy vyrovnávací platby na příslušný kalendářní rok, v souvislosti s jejímž použitím došlo k porušení rozpočtové kázně, v případě prodlení při plnění povinnosti dle čl</w:t>
      </w:r>
      <w:r w:rsidRPr="00635393">
        <w:t xml:space="preserve">. </w:t>
      </w:r>
      <w:r w:rsidR="005123D9" w:rsidRPr="00635393">
        <w:t>V</w:t>
      </w:r>
      <w:r w:rsidR="005A1C87" w:rsidRPr="00635393">
        <w:t>I</w:t>
      </w:r>
      <w:r w:rsidRPr="00635393">
        <w:t>.</w:t>
      </w:r>
      <w:r w:rsidR="002E0EAA">
        <w:t>8</w:t>
      </w:r>
      <w:r w:rsidRPr="00635393">
        <w:t xml:space="preserve"> této smlouvy delšího 15 dnů;</w:t>
      </w:r>
    </w:p>
    <w:p w14:paraId="3666307F" w14:textId="77777777" w:rsidR="009C6055" w:rsidRPr="00635393" w:rsidRDefault="009C6055" w:rsidP="009C6055">
      <w:pPr>
        <w:pStyle w:val="Odstavecseseznamem"/>
        <w:numPr>
          <w:ilvl w:val="0"/>
          <w:numId w:val="36"/>
        </w:numPr>
        <w:ind w:left="1418"/>
        <w:jc w:val="both"/>
      </w:pPr>
      <w:r w:rsidRPr="00DB146A">
        <w:t xml:space="preserve">0 až 5 % z poskytnuté zálohy vyrovnávací platby na příslušný kalendářní rok, v souvislosti s jejímž použitím došlo k porušení rozpočtové kázně, v případě porušení kterékoliv povinnosti stanovené v čl. </w:t>
      </w:r>
      <w:r w:rsidRPr="00635393">
        <w:t>V</w:t>
      </w:r>
      <w:r w:rsidR="005C31C8" w:rsidRPr="00635393">
        <w:t>I.</w:t>
      </w:r>
      <w:r w:rsidR="005123D9" w:rsidRPr="00635393">
        <w:t>1</w:t>
      </w:r>
      <w:r w:rsidR="00DD45A3">
        <w:t>1</w:t>
      </w:r>
      <w:r w:rsidR="005123D9" w:rsidRPr="00635393">
        <w:t xml:space="preserve"> až </w:t>
      </w:r>
      <w:r w:rsidR="005C31C8" w:rsidRPr="00635393">
        <w:t>VI.</w:t>
      </w:r>
      <w:r w:rsidR="005123D9" w:rsidRPr="00635393">
        <w:t>1</w:t>
      </w:r>
      <w:r w:rsidR="00DD45A3">
        <w:t>3</w:t>
      </w:r>
      <w:r w:rsidRPr="00635393">
        <w:t xml:space="preserve"> této smlouvy.</w:t>
      </w:r>
    </w:p>
    <w:p w14:paraId="095F4C5C" w14:textId="77777777" w:rsidR="009C6055" w:rsidRDefault="009C6055" w:rsidP="009C6055">
      <w:pPr>
        <w:pStyle w:val="Odstavecseseznamem"/>
        <w:ind w:left="851"/>
        <w:jc w:val="both"/>
      </w:pPr>
      <w:r w:rsidRPr="008632A4">
        <w:t xml:space="preserve">Pokud povaha porušení podmínky představující méně závažné porušení rozpočtové kázně umožňuje nápravu v náhradní lhůtě, lze uložit odvod za toto méně závažné porušení </w:t>
      </w:r>
      <w:r w:rsidRPr="008632A4">
        <w:lastRenderedPageBreak/>
        <w:t>rozpočtové kázně až po marném uplynutí dodatečné lhůty</w:t>
      </w:r>
      <w:r>
        <w:t xml:space="preserve"> stanovené Krajem ve výzvě k provedení konkrétního opatření k nápravě</w:t>
      </w:r>
      <w:r w:rsidRPr="008632A4">
        <w:t xml:space="preserve"> </w:t>
      </w:r>
      <w:r>
        <w:t>ve smyslu § 22 odst. 6 RPÚR</w:t>
      </w:r>
      <w:r w:rsidRPr="008632A4">
        <w:t>.</w:t>
      </w:r>
    </w:p>
    <w:p w14:paraId="28011F32" w14:textId="77777777" w:rsidR="009C6055" w:rsidRDefault="009C6055" w:rsidP="009C6055">
      <w:pPr>
        <w:pStyle w:val="Odstavecseseznamem"/>
        <w:numPr>
          <w:ilvl w:val="0"/>
          <w:numId w:val="31"/>
        </w:numPr>
        <w:ind w:left="851" w:hanging="851"/>
        <w:jc w:val="both"/>
      </w:pPr>
      <w:r>
        <w:t xml:space="preserve">Kraj je oprávněn v případě, že zjistí porušení podmínek této smlouvy ze strany MSIC či pojme podezření na porušení rozpočtové kázně ze strany MSIC, pozastavit na nezbytně nutnou dobu uvolňování finančních prostředků. O pozastavení uvolňování finančních prostředků je Kraj povinen informovat bezodkladně písemně </w:t>
      </w:r>
      <w:r w:rsidR="00094792">
        <w:t>MSIC</w:t>
      </w:r>
      <w:r>
        <w:t>.</w:t>
      </w:r>
    </w:p>
    <w:p w14:paraId="4E16765D" w14:textId="77777777" w:rsidR="009C6055" w:rsidRPr="00CE1397" w:rsidRDefault="009C6055" w:rsidP="00B240FC">
      <w:pPr>
        <w:pStyle w:val="Odstavecseseznamem"/>
        <w:numPr>
          <w:ilvl w:val="0"/>
          <w:numId w:val="31"/>
        </w:numPr>
        <w:suppressAutoHyphens w:val="0"/>
        <w:spacing w:before="0" w:after="0" w:line="240" w:lineRule="auto"/>
        <w:ind w:left="851" w:hanging="851"/>
        <w:jc w:val="both"/>
        <w:rPr>
          <w:rFonts w:cs="Open Sans"/>
        </w:rPr>
      </w:pPr>
      <w:r>
        <w:t>Veškeré platby jako důsledky porušení závazků provede MSIC formou bezhotovostního převodu na účet Kraje, v termínu a na číslo účtu, které Kraj písemně oznámí MSIC.</w:t>
      </w:r>
    </w:p>
    <w:p w14:paraId="4EC7A646" w14:textId="77777777" w:rsidR="005943DB" w:rsidRPr="00260511" w:rsidRDefault="005943DB" w:rsidP="00B240FC">
      <w:pPr>
        <w:pStyle w:val="Nadpis2"/>
        <w:numPr>
          <w:ilvl w:val="0"/>
          <w:numId w:val="2"/>
        </w:numPr>
        <w:ind w:left="709" w:firstLine="1908"/>
        <w:rPr>
          <w:rFonts w:cs="Open Sans"/>
        </w:rPr>
      </w:pPr>
      <w:r>
        <w:rPr>
          <w:rFonts w:cs="Open Sans"/>
        </w:rPr>
        <w:t>Doba trvání smlouvy a ukončení smlouvy</w:t>
      </w:r>
    </w:p>
    <w:p w14:paraId="5C42B920" w14:textId="77777777" w:rsidR="005943DB" w:rsidRPr="008E5B9A" w:rsidRDefault="005943DB" w:rsidP="00B240FC">
      <w:pPr>
        <w:pStyle w:val="Odstavecseseznamem"/>
        <w:numPr>
          <w:ilvl w:val="1"/>
          <w:numId w:val="23"/>
        </w:numPr>
        <w:ind w:hanging="710"/>
        <w:jc w:val="both"/>
      </w:pPr>
      <w:r>
        <w:t xml:space="preserve">Kterákoliv smluvní strana je oprávněna tuto smlouvu písemně vypovědět bez udání důvodu. Výpovědní lhůta činí </w:t>
      </w:r>
      <w:r w:rsidR="00C33180">
        <w:t>6 měsíců</w:t>
      </w:r>
      <w:r>
        <w:t xml:space="preserve"> a počíná běžet prvním dnem následujícím po dni doručení výpovědi </w:t>
      </w:r>
      <w:r w:rsidR="00094792">
        <w:t>druhé</w:t>
      </w:r>
      <w:r>
        <w:t xml:space="preserve"> smluvní stran</w:t>
      </w:r>
      <w:r w:rsidR="00094792">
        <w:t>ě</w:t>
      </w:r>
      <w:r w:rsidRPr="008E5B9A">
        <w:t>. V případě pochybností se má za to, že výpověď byla doručena tř</w:t>
      </w:r>
      <w:r w:rsidR="00C977FF" w:rsidRPr="008E5B9A">
        <w:t>et</w:t>
      </w:r>
      <w:r w:rsidRPr="008E5B9A">
        <w:t xml:space="preserve">í den od jejího odeslání. </w:t>
      </w:r>
    </w:p>
    <w:p w14:paraId="06C4D779" w14:textId="03FCDB08" w:rsidR="005943DB" w:rsidRDefault="00C33180" w:rsidP="0019128E">
      <w:pPr>
        <w:pStyle w:val="Odstavecseseznamem"/>
        <w:numPr>
          <w:ilvl w:val="1"/>
          <w:numId w:val="23"/>
        </w:numPr>
        <w:ind w:left="709" w:hanging="851"/>
        <w:jc w:val="both"/>
      </w:pPr>
      <w:r w:rsidRPr="008E5B9A">
        <w:t xml:space="preserve">MSIC je povinen předložit Kraji </w:t>
      </w:r>
      <w:r w:rsidR="003F62F3">
        <w:t xml:space="preserve">po skončení smlouvy </w:t>
      </w:r>
      <w:r w:rsidRPr="008E5B9A">
        <w:t xml:space="preserve">závěrečnou zprávu dle </w:t>
      </w:r>
      <w:r w:rsidR="006641DC">
        <w:t>čl.</w:t>
      </w:r>
      <w:r w:rsidRPr="008E5B9A">
        <w:t xml:space="preserve"> </w:t>
      </w:r>
      <w:r w:rsidR="008A5B6E">
        <w:t>VI</w:t>
      </w:r>
      <w:r w:rsidRPr="008E5B9A">
        <w:t xml:space="preserve">.6 včetně finančního vyúčtování čerpání vyrovnávací platby za dobu </w:t>
      </w:r>
      <w:r w:rsidR="008A5B6E">
        <w:t xml:space="preserve">posledního kalendářního roku </w:t>
      </w:r>
      <w:r w:rsidRPr="008E5B9A">
        <w:t>trvání této smlouvy</w:t>
      </w:r>
      <w:r w:rsidR="00F80C20">
        <w:t>, jež je finančním vypořádáním ve smyslu § 10a písm. d) RPÚR</w:t>
      </w:r>
      <w:r w:rsidRPr="008E5B9A">
        <w:t>. Ve stejné lhůtě je MSIC povinen vrátit převodem na v záhlaví uveden</w:t>
      </w:r>
      <w:r w:rsidR="008A5B6E">
        <w:t>ý</w:t>
      </w:r>
      <w:r w:rsidRPr="008E5B9A">
        <w:t xml:space="preserve"> úč</w:t>
      </w:r>
      <w:r w:rsidR="008A5B6E">
        <w:t>e</w:t>
      </w:r>
      <w:r w:rsidRPr="008E5B9A">
        <w:t>t Kraje nevyčerpan</w:t>
      </w:r>
      <w:r w:rsidR="008A5B6E">
        <w:t>ou</w:t>
      </w:r>
      <w:r w:rsidRPr="008E5B9A">
        <w:t xml:space="preserve"> část poskytnutých prostředků vyrovnávací platby. V případě porušení povinnosti MSIC dle předcházející věty jsou takto nevrácené prostředky považován</w:t>
      </w:r>
      <w:r w:rsidR="00C977FF" w:rsidRPr="008E5B9A">
        <w:t>y</w:t>
      </w:r>
      <w:r w:rsidRPr="008E5B9A">
        <w:t xml:space="preserve"> za zadržené prostředky ve smyslu § 22 odst. 3 </w:t>
      </w:r>
      <w:r w:rsidR="00F80C20">
        <w:t>RPÚR</w:t>
      </w:r>
      <w:r w:rsidRPr="008E5B9A">
        <w:t>.</w:t>
      </w:r>
      <w:r w:rsidR="008E5B9A">
        <w:t xml:space="preserve"> </w:t>
      </w:r>
    </w:p>
    <w:p w14:paraId="488ADE13" w14:textId="77777777" w:rsidR="008E5B9A" w:rsidRDefault="008E5B9A" w:rsidP="008E5B9A">
      <w:pPr>
        <w:pStyle w:val="Odstavecseseznamem"/>
        <w:ind w:left="710"/>
        <w:jc w:val="both"/>
      </w:pPr>
    </w:p>
    <w:p w14:paraId="127663AF" w14:textId="77777777" w:rsidR="00A12189" w:rsidRPr="00C931A5" w:rsidRDefault="00A12189" w:rsidP="00B240FC">
      <w:pPr>
        <w:pStyle w:val="Nadpis2"/>
        <w:numPr>
          <w:ilvl w:val="0"/>
          <w:numId w:val="2"/>
        </w:numPr>
        <w:jc w:val="center"/>
        <w:rPr>
          <w:rFonts w:cs="Open Sans"/>
        </w:rPr>
      </w:pPr>
      <w:r>
        <w:rPr>
          <w:rFonts w:cs="Open Sans"/>
        </w:rPr>
        <w:t>Závěrečná ust</w:t>
      </w:r>
      <w:r w:rsidRPr="00C931A5">
        <w:rPr>
          <w:rFonts w:cs="Open Sans"/>
        </w:rPr>
        <w:t>anovení</w:t>
      </w:r>
    </w:p>
    <w:p w14:paraId="62DAEFD0" w14:textId="77777777" w:rsidR="00A12189" w:rsidRPr="008F088B" w:rsidRDefault="00A12189" w:rsidP="00B240FC">
      <w:pPr>
        <w:pStyle w:val="Odstavecseseznamem"/>
        <w:numPr>
          <w:ilvl w:val="1"/>
          <w:numId w:val="2"/>
        </w:numPr>
        <w:ind w:hanging="710"/>
        <w:jc w:val="both"/>
        <w:rPr>
          <w:rFonts w:cs="Open Sans"/>
        </w:rPr>
      </w:pPr>
      <w:r w:rsidRPr="002C10D5">
        <w:rPr>
          <w:rFonts w:cs="Open Sans"/>
        </w:rPr>
        <w:t>Není-li v této smlouvě uvedeno jinak, je jednáním podle této smlouvy jménem Kraje oprávněna kontaktní osoba uvedená v záhlaví smlouvy nebo jiný pověřený zaměstnanec Krajského úřadu Moravskoslezského kraje</w:t>
      </w:r>
      <w:r w:rsidRPr="00463C1A">
        <w:rPr>
          <w:rFonts w:cs="Open Sans"/>
        </w:rPr>
        <w:t>. To</w:t>
      </w:r>
      <w:r w:rsidRPr="007525EE">
        <w:rPr>
          <w:rFonts w:cs="Open Sans"/>
        </w:rPr>
        <w:t xml:space="preserve">to ustanovení se nevztahuje na podpisy dodatků k této smlouvě a na jednání vedoucí </w:t>
      </w:r>
      <w:r w:rsidR="005F3B09" w:rsidRPr="008F088B">
        <w:rPr>
          <w:rFonts w:cs="Open Sans"/>
        </w:rPr>
        <w:t xml:space="preserve">k </w:t>
      </w:r>
      <w:r w:rsidRPr="008F088B">
        <w:rPr>
          <w:rFonts w:cs="Open Sans"/>
        </w:rPr>
        <w:t>ukončení platnosti a účinnosti této smlouvy.</w:t>
      </w:r>
    </w:p>
    <w:p w14:paraId="042EE418" w14:textId="77777777" w:rsidR="00A12189" w:rsidRPr="00F8250B" w:rsidRDefault="00A12189" w:rsidP="00B240FC">
      <w:pPr>
        <w:pStyle w:val="Odstavecseseznamem"/>
        <w:numPr>
          <w:ilvl w:val="1"/>
          <w:numId w:val="2"/>
        </w:numPr>
        <w:ind w:left="709" w:hanging="709"/>
        <w:jc w:val="both"/>
        <w:rPr>
          <w:rFonts w:cs="Open Sans"/>
        </w:rPr>
      </w:pPr>
      <w:r w:rsidRPr="00F8250B">
        <w:rPr>
          <w:rFonts w:cs="Open Sans"/>
        </w:rPr>
        <w:t xml:space="preserve">Tuto smlouvu lze měnit pouze na základě písemné dohody </w:t>
      </w:r>
      <w:r w:rsidR="00146FAC">
        <w:rPr>
          <w:rFonts w:cs="Open Sans"/>
        </w:rPr>
        <w:t>všech</w:t>
      </w:r>
      <w:r w:rsidRPr="00F8250B">
        <w:rPr>
          <w:rFonts w:cs="Open Sans"/>
        </w:rPr>
        <w:t xml:space="preserve"> smluvních stran, a to formou po sobě číslovaných dodatků. To se týká i změny tohoto ustanovení. Za písemnou </w:t>
      </w:r>
      <w:r w:rsidRPr="00AF30AB">
        <w:rPr>
          <w:rFonts w:cs="Open Sans"/>
        </w:rPr>
        <w:t>formu nebude pro</w:t>
      </w:r>
      <w:r w:rsidRPr="00F8250B">
        <w:rPr>
          <w:rFonts w:cs="Open Sans"/>
        </w:rPr>
        <w:t xml:space="preserve"> </w:t>
      </w:r>
      <w:r>
        <w:rPr>
          <w:rFonts w:cs="Open Sans"/>
        </w:rPr>
        <w:t>účely tohoto ustanovení</w:t>
      </w:r>
      <w:r w:rsidRPr="00F8250B">
        <w:rPr>
          <w:rFonts w:cs="Open Sans"/>
        </w:rPr>
        <w:t xml:space="preserve"> považována výměna e-mailových či jiných elektronických zpráv</w:t>
      </w:r>
      <w:r>
        <w:rPr>
          <w:rFonts w:cs="Open Sans"/>
        </w:rPr>
        <w:t xml:space="preserve">. Platnost právního jednání upraveného dodatkem ke smlouvě je podmíněna jeho schválením </w:t>
      </w:r>
      <w:r w:rsidR="00146FAC">
        <w:rPr>
          <w:rFonts w:cs="Open Sans"/>
        </w:rPr>
        <w:t>příslušným</w:t>
      </w:r>
      <w:r>
        <w:rPr>
          <w:rFonts w:cs="Open Sans"/>
        </w:rPr>
        <w:t xml:space="preserve"> orgánem kraje ve smyslu ustanovení § 23 zákona č. 129/2000 Sb., o krajích (krajské zřízení), v platném znění.</w:t>
      </w:r>
    </w:p>
    <w:p w14:paraId="15F124EB" w14:textId="77777777" w:rsidR="00A12189" w:rsidRDefault="00A12189" w:rsidP="00B240FC">
      <w:pPr>
        <w:pStyle w:val="Odstavecseseznamem"/>
        <w:numPr>
          <w:ilvl w:val="1"/>
          <w:numId w:val="2"/>
        </w:numPr>
        <w:ind w:left="709" w:hanging="709"/>
        <w:jc w:val="both"/>
        <w:rPr>
          <w:rFonts w:cs="Open Sans"/>
        </w:rPr>
      </w:pPr>
      <w:r w:rsidRPr="002C5D12">
        <w:rPr>
          <w:rFonts w:cs="Open Sans"/>
        </w:rPr>
        <w:t>Tato smlouva, jakož i veškeré právní vztahy z ní vzniklé nebo s ní související, se řídí českým právem</w:t>
      </w:r>
      <w:r>
        <w:rPr>
          <w:rFonts w:cs="Open Sans"/>
        </w:rPr>
        <w:t xml:space="preserve">, zejména příslušnými ustanoveními </w:t>
      </w:r>
      <w:r w:rsidR="002C5719">
        <w:rPr>
          <w:rFonts w:cs="Open Sans"/>
        </w:rPr>
        <w:t>RPÚR</w:t>
      </w:r>
      <w:r>
        <w:rPr>
          <w:rFonts w:cs="Open Sans"/>
        </w:rPr>
        <w:t xml:space="preserve"> a zákona č. 89/2012 Sb., občanský zákoník</w:t>
      </w:r>
      <w:r w:rsidR="00AA1643">
        <w:rPr>
          <w:rFonts w:cs="Open Sans"/>
        </w:rPr>
        <w:t>, ve znění pozdějších předpisů</w:t>
      </w:r>
      <w:r>
        <w:rPr>
          <w:rFonts w:cs="Open Sans"/>
        </w:rPr>
        <w:t>. V případě vzniku sporů, budou tyto spory řešeny přednostně vzájemnou dohodou smluvních stran.</w:t>
      </w:r>
    </w:p>
    <w:p w14:paraId="5F2207B0" w14:textId="77777777" w:rsidR="00A12189" w:rsidRDefault="00A12189" w:rsidP="00B240FC">
      <w:pPr>
        <w:pStyle w:val="Odstavecseseznamem"/>
        <w:numPr>
          <w:ilvl w:val="1"/>
          <w:numId w:val="2"/>
        </w:numPr>
        <w:ind w:left="709" w:hanging="709"/>
        <w:jc w:val="both"/>
        <w:rPr>
          <w:rFonts w:cs="Open Sans"/>
        </w:rPr>
      </w:pPr>
      <w:r w:rsidRPr="00C931A5">
        <w:rPr>
          <w:rFonts w:cs="Open Sans"/>
        </w:rPr>
        <w:t>Je-li nebo stane-li se některé ustanovení této smlouvy neplatné, neúčinné či nicotné, nedotýká se tato skutečnost ostatních ustanovení této smlouvy. Smluvní strany bez zby</w:t>
      </w:r>
      <w:r>
        <w:rPr>
          <w:rFonts w:cs="Open Sans"/>
        </w:rPr>
        <w:t>tečného odkladu dohodou nahradí</w:t>
      </w:r>
      <w:r w:rsidRPr="00C931A5">
        <w:rPr>
          <w:rFonts w:cs="Open Sans"/>
        </w:rPr>
        <w:t xml:space="preserve"> takové ustanovení smlouvy novým ustanovením platným a účinným, které bude nejlépe odpovídat původně zamýšlenému účelu.</w:t>
      </w:r>
    </w:p>
    <w:p w14:paraId="378DCD3F" w14:textId="77777777" w:rsidR="00A12189" w:rsidRPr="003058D2" w:rsidRDefault="00A12189" w:rsidP="00B240FC">
      <w:pPr>
        <w:pStyle w:val="Odstavecseseznamem"/>
        <w:numPr>
          <w:ilvl w:val="1"/>
          <w:numId w:val="2"/>
        </w:numPr>
        <w:ind w:left="709" w:hanging="709"/>
        <w:jc w:val="both"/>
        <w:rPr>
          <w:rFonts w:cs="Open Sans"/>
        </w:rPr>
      </w:pPr>
      <w:r w:rsidRPr="00C931A5">
        <w:rPr>
          <w:rFonts w:cs="Open Sans"/>
        </w:rPr>
        <w:t xml:space="preserve">Tato smlouva nabývá </w:t>
      </w:r>
      <w:r w:rsidRPr="00AF30AB">
        <w:rPr>
          <w:rFonts w:cs="Open Sans"/>
        </w:rPr>
        <w:t>platnosti okamžikem</w:t>
      </w:r>
      <w:r w:rsidRPr="00F5414E">
        <w:rPr>
          <w:rFonts w:cs="Open Sans"/>
        </w:rPr>
        <w:t xml:space="preserve"> jejího podpisu poslední stranou</w:t>
      </w:r>
      <w:r>
        <w:rPr>
          <w:rFonts w:cs="Open Sans"/>
        </w:rPr>
        <w:t xml:space="preserve"> a účinnosti </w:t>
      </w:r>
      <w:r w:rsidRPr="008F4F28">
        <w:rPr>
          <w:rFonts w:cs="Open Sans"/>
        </w:rPr>
        <w:t>dnem</w:t>
      </w:r>
      <w:r>
        <w:rPr>
          <w:rFonts w:cs="Open Sans"/>
        </w:rPr>
        <w:t xml:space="preserve"> </w:t>
      </w:r>
      <w:r w:rsidRPr="003058D2">
        <w:rPr>
          <w:rFonts w:cs="Open Sans"/>
        </w:rPr>
        <w:t xml:space="preserve">uveřejnění v registru smluv podle zákona </w:t>
      </w:r>
      <w:r w:rsidR="002C5719">
        <w:rPr>
          <w:rFonts w:cs="Open Sans"/>
        </w:rPr>
        <w:t>č. 340/2015., Sb. o zvláštních podmínkách účinnosti některých smluv, uveřejňování těchto smluv a o registru smluv (zákon o registru smluv), ve znění pozdějších předpisů (dále jen „zákon o registru smluv“)</w:t>
      </w:r>
      <w:r w:rsidRPr="003058D2">
        <w:rPr>
          <w:rFonts w:cs="Open Sans"/>
        </w:rPr>
        <w:t>.</w:t>
      </w:r>
    </w:p>
    <w:p w14:paraId="5607A95A" w14:textId="77777777" w:rsidR="00A12189" w:rsidRPr="00C931A5" w:rsidRDefault="00A12189" w:rsidP="00B240FC">
      <w:pPr>
        <w:pStyle w:val="Odstavecseseznamem"/>
        <w:numPr>
          <w:ilvl w:val="1"/>
          <w:numId w:val="2"/>
        </w:numPr>
        <w:ind w:left="709" w:hanging="709"/>
        <w:jc w:val="both"/>
        <w:rPr>
          <w:rFonts w:cs="Open Sans"/>
        </w:rPr>
      </w:pPr>
      <w:r w:rsidRPr="00C931A5">
        <w:rPr>
          <w:rFonts w:cs="Open Sans"/>
        </w:rPr>
        <w:lastRenderedPageBreak/>
        <w:t>Tato smlouva je sepsána v počtu vyhotovení, které odpovídá počtu osob, které jsou stranami této smlouvy, a každá z nich obdrží po jednom vyhotovení.</w:t>
      </w:r>
    </w:p>
    <w:p w14:paraId="7EF8B5C3" w14:textId="77777777" w:rsidR="00A12189" w:rsidRDefault="00A12189" w:rsidP="00B240FC">
      <w:pPr>
        <w:pStyle w:val="Odstavecseseznamem"/>
        <w:numPr>
          <w:ilvl w:val="1"/>
          <w:numId w:val="2"/>
        </w:numPr>
        <w:ind w:left="709" w:hanging="709"/>
        <w:jc w:val="both"/>
        <w:rPr>
          <w:rFonts w:cs="Open Sans"/>
        </w:rPr>
      </w:pPr>
      <w:r>
        <w:rPr>
          <w:rFonts w:cs="Open Sans"/>
        </w:rPr>
        <w:t>Nedílnou součástí smlouvy jsou tyto přílohy:</w:t>
      </w:r>
    </w:p>
    <w:p w14:paraId="2661F267" w14:textId="166B796E" w:rsidR="00A12189" w:rsidRDefault="00A12189" w:rsidP="00E26495">
      <w:pPr>
        <w:pStyle w:val="Odstavecseseznamem"/>
        <w:numPr>
          <w:ilvl w:val="2"/>
          <w:numId w:val="14"/>
        </w:numPr>
        <w:ind w:left="2268" w:hanging="1275"/>
        <w:jc w:val="both"/>
        <w:rPr>
          <w:rFonts w:cs="Open Sans"/>
        </w:rPr>
      </w:pPr>
      <w:r>
        <w:rPr>
          <w:rFonts w:cs="Open Sans"/>
        </w:rPr>
        <w:t>Podrobný popis činností</w:t>
      </w:r>
      <w:r w:rsidR="0019128E">
        <w:rPr>
          <w:rFonts w:cs="Open Sans"/>
        </w:rPr>
        <w:t>/</w:t>
      </w:r>
      <w:r>
        <w:rPr>
          <w:rFonts w:cs="Open Sans"/>
        </w:rPr>
        <w:t>služeb příjemce v závazku veřejné služby</w:t>
      </w:r>
      <w:r w:rsidR="0019128E">
        <w:rPr>
          <w:rFonts w:cs="Open Sans"/>
        </w:rPr>
        <w:t xml:space="preserve"> pro aktuální kalendářní rok</w:t>
      </w:r>
    </w:p>
    <w:p w14:paraId="169D16F0" w14:textId="77777777" w:rsidR="0019128E" w:rsidRPr="00BE1506" w:rsidRDefault="0019128E" w:rsidP="00E26495">
      <w:pPr>
        <w:pStyle w:val="Odstavecseseznamem"/>
        <w:numPr>
          <w:ilvl w:val="2"/>
          <w:numId w:val="14"/>
        </w:numPr>
        <w:ind w:left="2268" w:hanging="1275"/>
        <w:jc w:val="both"/>
        <w:rPr>
          <w:rFonts w:cs="Open Sans"/>
        </w:rPr>
      </w:pPr>
      <w:r>
        <w:rPr>
          <w:rFonts w:cs="Open Sans"/>
        </w:rPr>
        <w:t>Finanční vyúčtování čerpání vyrovnávací platby</w:t>
      </w:r>
    </w:p>
    <w:p w14:paraId="2385AD89" w14:textId="77777777" w:rsidR="00A12189" w:rsidRDefault="00A12189" w:rsidP="00B240FC">
      <w:pPr>
        <w:pStyle w:val="Odstavecseseznamem"/>
        <w:numPr>
          <w:ilvl w:val="1"/>
          <w:numId w:val="2"/>
        </w:numPr>
        <w:ind w:left="851" w:hanging="851"/>
        <w:jc w:val="both"/>
        <w:rPr>
          <w:rFonts w:cs="Open Sans"/>
        </w:rPr>
      </w:pPr>
      <w:r>
        <w:rPr>
          <w:rFonts w:cs="Open Sans"/>
        </w:rPr>
        <w:t xml:space="preserve">Smluvní strany prohlašují, že </w:t>
      </w:r>
      <w:r w:rsidR="00C977FF">
        <w:rPr>
          <w:rFonts w:cs="Open Sans"/>
        </w:rPr>
        <w:t xml:space="preserve">si </w:t>
      </w:r>
      <w:r>
        <w:rPr>
          <w:rFonts w:cs="Open Sans"/>
        </w:rPr>
        <w:t>smlouv</w:t>
      </w:r>
      <w:r w:rsidR="002A04C0">
        <w:rPr>
          <w:rFonts w:cs="Open Sans"/>
        </w:rPr>
        <w:t>u vč. jejích Příloh č. I a II</w:t>
      </w:r>
      <w:r>
        <w:rPr>
          <w:rFonts w:cs="Open Sans"/>
        </w:rPr>
        <w:t xml:space="preserve"> přečetly, seznámily se s ní, jejímu obsahu bezezbytku porozuměly a že její obsah vyjadřuje jejích skutečnou, vážnou a svobodnou vůli. To stvrzují níže svými podpisy.</w:t>
      </w:r>
    </w:p>
    <w:p w14:paraId="5A5F2B06" w14:textId="77777777" w:rsidR="00A12189" w:rsidRDefault="00A12189" w:rsidP="00B240FC">
      <w:pPr>
        <w:pStyle w:val="Odstavecseseznamem"/>
        <w:numPr>
          <w:ilvl w:val="1"/>
          <w:numId w:val="2"/>
        </w:numPr>
        <w:ind w:left="851" w:hanging="851"/>
        <w:jc w:val="both"/>
        <w:rPr>
          <w:rFonts w:cs="Open Sans"/>
        </w:rPr>
      </w:pPr>
      <w:r>
        <w:rPr>
          <w:rFonts w:cs="Open Sans"/>
        </w:rPr>
        <w:t>MSIC svým podpisem stvrzuje správnost údajů zapsaných v záhlaví této smlouvy, především pak název, sídlo, IČ, DIČ a číslo účtu.</w:t>
      </w:r>
    </w:p>
    <w:p w14:paraId="10025F3F" w14:textId="77777777" w:rsidR="00A12189" w:rsidRPr="00B74EB2" w:rsidRDefault="00A12189" w:rsidP="00B240FC">
      <w:pPr>
        <w:pStyle w:val="Odstavecseseznamem"/>
        <w:numPr>
          <w:ilvl w:val="1"/>
          <w:numId w:val="2"/>
        </w:numPr>
        <w:ind w:left="851" w:hanging="851"/>
        <w:jc w:val="both"/>
        <w:rPr>
          <w:rFonts w:cs="Open Sans"/>
        </w:rPr>
      </w:pPr>
      <w:r>
        <w:rPr>
          <w:rFonts w:cs="Open Sans"/>
        </w:rPr>
        <w:t xml:space="preserve">O </w:t>
      </w:r>
      <w:r w:rsidR="00C33180" w:rsidRPr="00B74EB2">
        <w:rPr>
          <w:rFonts w:cs="Open Sans"/>
        </w:rPr>
        <w:t xml:space="preserve">uzavření této smlouvy rozhodlo </w:t>
      </w:r>
      <w:r w:rsidRPr="00B74EB2">
        <w:rPr>
          <w:rFonts w:cs="Open Sans"/>
        </w:rPr>
        <w:t>Zastupitelstvo Moravskoslezského kraje v souladu s § 36 písm. c) zákona č. 129/2000 Sb., o krajích (krajské zřízení), v platném znění, na jeho … zasedání konaném dne ………… usnesením č. ….</w:t>
      </w:r>
    </w:p>
    <w:p w14:paraId="460CB41A" w14:textId="77777777" w:rsidR="00A12189" w:rsidRDefault="00A12189" w:rsidP="00B240FC">
      <w:pPr>
        <w:pStyle w:val="Odstavecseseznamem"/>
        <w:numPr>
          <w:ilvl w:val="1"/>
          <w:numId w:val="2"/>
        </w:numPr>
        <w:ind w:left="851" w:hanging="851"/>
        <w:jc w:val="both"/>
        <w:rPr>
          <w:rFonts w:cs="Open Sans"/>
        </w:rPr>
      </w:pPr>
      <w:r w:rsidRPr="00B74EB2">
        <w:rPr>
          <w:rFonts w:cs="Open Sans"/>
        </w:rPr>
        <w:t>Smluvní strany berou na vědomí, že tato smlouva ke své účinnosti vyžaduje uveřejnění v registru smluv podle zákona o registru smluv a s tímto uveřejněním souhlasí. Zaslání smlouvy do registru</w:t>
      </w:r>
      <w:r w:rsidRPr="00D95FA0">
        <w:rPr>
          <w:rFonts w:cs="Open Sans"/>
        </w:rPr>
        <w:t xml:space="preserve"> smluv zajistí Kraj neprodleně po podpisu smlouvy. Kraj se</w:t>
      </w:r>
      <w:r w:rsidRPr="008F4F28">
        <w:rPr>
          <w:rFonts w:cs="Open Sans"/>
        </w:rPr>
        <w:t xml:space="preserve"> současně zavazuje informovat </w:t>
      </w:r>
      <w:r w:rsidR="001D14AB">
        <w:rPr>
          <w:rFonts w:cs="Open Sans"/>
        </w:rPr>
        <w:t>druhou</w:t>
      </w:r>
      <w:r>
        <w:rPr>
          <w:rFonts w:cs="Open Sans"/>
        </w:rPr>
        <w:t xml:space="preserve"> smluvní stran</w:t>
      </w:r>
      <w:r w:rsidR="001D14AB">
        <w:rPr>
          <w:rFonts w:cs="Open Sans"/>
        </w:rPr>
        <w:t>u</w:t>
      </w:r>
      <w:r w:rsidRPr="008F4F28">
        <w:rPr>
          <w:rFonts w:cs="Open Sans"/>
        </w:rPr>
        <w:t xml:space="preserve"> o provedení registrace tak, že </w:t>
      </w:r>
      <w:r w:rsidR="00C52EAC">
        <w:rPr>
          <w:rFonts w:cs="Open Sans"/>
        </w:rPr>
        <w:t xml:space="preserve">ji </w:t>
      </w:r>
      <w:r w:rsidRPr="008F4F28">
        <w:rPr>
          <w:rFonts w:cs="Open Sans"/>
        </w:rPr>
        <w:t xml:space="preserve">zašle </w:t>
      </w:r>
      <w:r w:rsidR="00C52EAC">
        <w:rPr>
          <w:rFonts w:cs="Open Sans"/>
        </w:rPr>
        <w:t>k</w:t>
      </w:r>
      <w:r w:rsidRPr="008F4F28">
        <w:rPr>
          <w:rFonts w:cs="Open Sans"/>
        </w:rPr>
        <w:t>opii potvrzení správce registru smluv o uveřejnění smlouvy bez zbytečného odkladu poté, kdy sama potvrzení obdrží, popř. již v průvodním formuláři vyplní příslušnou kolonku s ID datové schránky smluvní</w:t>
      </w:r>
      <w:r>
        <w:rPr>
          <w:rFonts w:cs="Open Sans"/>
        </w:rPr>
        <w:t>ch stran</w:t>
      </w:r>
      <w:r w:rsidRPr="008F4F28">
        <w:rPr>
          <w:rFonts w:cs="Open Sans"/>
        </w:rPr>
        <w:t xml:space="preserve"> (v takovém případě potvrzení od správce registru smluv o provedení registrace smlouvy obdrží </w:t>
      </w:r>
      <w:r w:rsidR="00C52EAC">
        <w:rPr>
          <w:rFonts w:cs="Open Sans"/>
        </w:rPr>
        <w:t xml:space="preserve">druhá </w:t>
      </w:r>
      <w:r w:rsidRPr="008F4F28">
        <w:rPr>
          <w:rFonts w:cs="Open Sans"/>
        </w:rPr>
        <w:t>smluvní stran</w:t>
      </w:r>
      <w:r w:rsidR="00C52EAC">
        <w:rPr>
          <w:rFonts w:cs="Open Sans"/>
        </w:rPr>
        <w:t>a</w:t>
      </w:r>
      <w:r w:rsidRPr="008F4F28">
        <w:rPr>
          <w:rFonts w:cs="Open Sans"/>
        </w:rPr>
        <w:t xml:space="preserve"> zároveň).</w:t>
      </w:r>
    </w:p>
    <w:p w14:paraId="70661678" w14:textId="77777777" w:rsidR="005F7E90" w:rsidRDefault="005F7E90" w:rsidP="00B240FC">
      <w:pPr>
        <w:jc w:val="both"/>
        <w:rPr>
          <w:rFonts w:cs="Open Sans"/>
        </w:rPr>
      </w:pPr>
    </w:p>
    <w:p w14:paraId="1778EF4F" w14:textId="77777777" w:rsidR="005F7E90" w:rsidRDefault="005F7E90" w:rsidP="00B240FC">
      <w:pPr>
        <w:jc w:val="both"/>
        <w:rPr>
          <w:rFonts w:cs="Open Sans"/>
        </w:rPr>
      </w:pPr>
    </w:p>
    <w:p w14:paraId="15816AF7" w14:textId="77777777" w:rsidR="005F7E90" w:rsidRDefault="005F7E90" w:rsidP="00B240FC">
      <w:pPr>
        <w:jc w:val="both"/>
        <w:rPr>
          <w:rFonts w:cs="Open San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672"/>
      </w:tblGrid>
      <w:tr w:rsidR="00C52EAC" w:rsidRPr="008F4F28" w14:paraId="2381C09A" w14:textId="77777777" w:rsidTr="00C52EAC">
        <w:tc>
          <w:tcPr>
            <w:tcW w:w="4498" w:type="dxa"/>
          </w:tcPr>
          <w:p w14:paraId="20F1413A" w14:textId="77777777" w:rsidR="00C64047" w:rsidRPr="008F4F28" w:rsidRDefault="00C64047" w:rsidP="00C64047">
            <w:pPr>
              <w:jc w:val="both"/>
              <w:rPr>
                <w:rFonts w:cs="Open Sans"/>
              </w:rPr>
            </w:pPr>
            <w:r w:rsidRPr="008F4F28">
              <w:rPr>
                <w:rFonts w:cs="Open Sans"/>
              </w:rPr>
              <w:t>V Ostravě dne _____</w:t>
            </w:r>
          </w:p>
          <w:p w14:paraId="62600A16" w14:textId="77777777" w:rsidR="00C52EAC" w:rsidRPr="008F4F28" w:rsidRDefault="00C52EAC" w:rsidP="00C52EAC">
            <w:pPr>
              <w:jc w:val="both"/>
              <w:rPr>
                <w:rFonts w:cs="Open Sans"/>
              </w:rPr>
            </w:pPr>
          </w:p>
          <w:p w14:paraId="196FDACA" w14:textId="77777777" w:rsidR="00C52EAC" w:rsidRPr="008F4F28" w:rsidRDefault="00C52EAC" w:rsidP="00C52EAC">
            <w:pPr>
              <w:jc w:val="both"/>
              <w:rPr>
                <w:rFonts w:cs="Open Sans"/>
              </w:rPr>
            </w:pPr>
          </w:p>
          <w:p w14:paraId="73294754" w14:textId="5DA47C84" w:rsidR="00C52EAC" w:rsidRPr="008F4F28" w:rsidRDefault="00C52EAC" w:rsidP="00C52EAC">
            <w:pPr>
              <w:rPr>
                <w:rFonts w:cs="Open Sans"/>
              </w:rPr>
            </w:pPr>
            <w:r w:rsidRPr="008F4F28">
              <w:rPr>
                <w:rFonts w:cs="Open Sans"/>
              </w:rPr>
              <w:t>………………………………………</w:t>
            </w:r>
            <w:r w:rsidR="00AE24E4">
              <w:rPr>
                <w:rFonts w:cs="Open Sans"/>
              </w:rPr>
              <w:t>……………</w:t>
            </w:r>
          </w:p>
          <w:p w14:paraId="11A25A74" w14:textId="77777777" w:rsidR="00C52EAC" w:rsidRDefault="00C52EAC" w:rsidP="00AE24E4">
            <w:pPr>
              <w:jc w:val="center"/>
              <w:rPr>
                <w:rFonts w:cs="Open Sans"/>
                <w:b/>
                <w:bCs/>
                <w:szCs w:val="24"/>
              </w:rPr>
            </w:pPr>
            <w:r w:rsidRPr="008F4F28">
              <w:rPr>
                <w:rFonts w:cs="Open Sans"/>
                <w:b/>
                <w:bCs/>
                <w:szCs w:val="24"/>
              </w:rPr>
              <w:t>Moravskoslezské inovační centrum Ostrava, a.s.</w:t>
            </w:r>
          </w:p>
          <w:p w14:paraId="1C74CE36" w14:textId="77777777" w:rsidR="00C52EAC" w:rsidRPr="008F4F28" w:rsidRDefault="00C52EAC" w:rsidP="00AE24E4">
            <w:pPr>
              <w:tabs>
                <w:tab w:val="left" w:pos="2712"/>
              </w:tabs>
              <w:jc w:val="center"/>
              <w:rPr>
                <w:rFonts w:cs="Open Sans"/>
              </w:rPr>
            </w:pPr>
            <w:r>
              <w:rPr>
                <w:rFonts w:cs="Open Sans"/>
              </w:rPr>
              <w:t>Ing. Pavel Csank, předseda</w:t>
            </w:r>
            <w:r w:rsidRPr="008F4F28">
              <w:rPr>
                <w:rFonts w:cs="Open Sans"/>
              </w:rPr>
              <w:t xml:space="preserve"> představenstva</w:t>
            </w:r>
          </w:p>
        </w:tc>
        <w:tc>
          <w:tcPr>
            <w:tcW w:w="4565" w:type="dxa"/>
          </w:tcPr>
          <w:p w14:paraId="4817BEB0" w14:textId="77777777" w:rsidR="00C52EAC" w:rsidRPr="008F4F28" w:rsidRDefault="00C52EAC" w:rsidP="00C64047">
            <w:pPr>
              <w:jc w:val="both"/>
              <w:rPr>
                <w:rFonts w:cs="Open Sans"/>
              </w:rPr>
            </w:pPr>
            <w:r w:rsidRPr="008F4F28">
              <w:rPr>
                <w:rFonts w:cs="Open Sans"/>
              </w:rPr>
              <w:t>V Ostravě dne _____</w:t>
            </w:r>
          </w:p>
          <w:p w14:paraId="51FB544E" w14:textId="77777777" w:rsidR="00C52EAC" w:rsidRDefault="00C52EAC" w:rsidP="00C52EAC">
            <w:pPr>
              <w:jc w:val="both"/>
              <w:rPr>
                <w:rFonts w:cs="Open Sans"/>
              </w:rPr>
            </w:pPr>
          </w:p>
          <w:p w14:paraId="31DE2388" w14:textId="77777777" w:rsidR="00C64047" w:rsidRPr="008F4F28" w:rsidRDefault="00C64047" w:rsidP="00C52EAC">
            <w:pPr>
              <w:jc w:val="both"/>
              <w:rPr>
                <w:rFonts w:cs="Open Sans"/>
              </w:rPr>
            </w:pPr>
          </w:p>
          <w:p w14:paraId="3205E12A" w14:textId="77777777" w:rsidR="00C52EAC" w:rsidRDefault="00C64047" w:rsidP="00C64047">
            <w:pPr>
              <w:rPr>
                <w:rFonts w:cs="Open Sans"/>
              </w:rPr>
            </w:pPr>
            <w:r>
              <w:rPr>
                <w:rFonts w:cs="Open Sans"/>
              </w:rPr>
              <w:t>………………….</w:t>
            </w:r>
            <w:r w:rsidR="00C52EAC" w:rsidRPr="008F4F28">
              <w:rPr>
                <w:rFonts w:cs="Open Sans"/>
              </w:rPr>
              <w:t>………………………………………</w:t>
            </w:r>
          </w:p>
          <w:p w14:paraId="269BCA0C" w14:textId="77777777" w:rsidR="00C52EAC" w:rsidRDefault="00C52EAC" w:rsidP="00AE24E4">
            <w:pPr>
              <w:tabs>
                <w:tab w:val="left" w:pos="1410"/>
              </w:tabs>
              <w:ind w:left="637"/>
              <w:jc w:val="center"/>
              <w:rPr>
                <w:rFonts w:cs="Open Sans"/>
                <w:b/>
              </w:rPr>
            </w:pPr>
            <w:r w:rsidRPr="007278C4">
              <w:rPr>
                <w:rFonts w:cs="Open Sans"/>
                <w:b/>
              </w:rPr>
              <w:t>Moravskoslezský kraj</w:t>
            </w:r>
          </w:p>
          <w:p w14:paraId="41A2F445" w14:textId="77777777" w:rsidR="00C52EAC" w:rsidRPr="007278C4" w:rsidRDefault="00C52EAC" w:rsidP="00AE24E4">
            <w:pPr>
              <w:tabs>
                <w:tab w:val="left" w:pos="1410"/>
              </w:tabs>
              <w:ind w:left="212"/>
              <w:jc w:val="center"/>
              <w:rPr>
                <w:rFonts w:cs="Open Sans"/>
                <w:b/>
              </w:rPr>
            </w:pPr>
            <w:r w:rsidRPr="007278C4">
              <w:rPr>
                <w:rFonts w:cs="Open Sans"/>
              </w:rPr>
              <w:t>prof. Ing. Ivo Vondrák, CSc., hejtman</w:t>
            </w:r>
          </w:p>
        </w:tc>
      </w:tr>
    </w:tbl>
    <w:p w14:paraId="43C69D00" w14:textId="77777777" w:rsidR="00DB146A" w:rsidRDefault="00DB146A" w:rsidP="00C931A5">
      <w:pPr>
        <w:jc w:val="both"/>
        <w:rPr>
          <w:rFonts w:cs="Open Sans"/>
        </w:rPr>
      </w:pPr>
    </w:p>
    <w:p w14:paraId="3581E6A9" w14:textId="77777777" w:rsidR="00C52EAC" w:rsidRDefault="00C52EAC" w:rsidP="00C931A5">
      <w:pPr>
        <w:jc w:val="both"/>
        <w:rPr>
          <w:rFonts w:cs="Open Sans"/>
        </w:rPr>
      </w:pPr>
    </w:p>
    <w:p w14:paraId="537ABD2E" w14:textId="77777777" w:rsidR="00DB146A" w:rsidRDefault="00DB146A" w:rsidP="00C931A5">
      <w:pPr>
        <w:jc w:val="both"/>
        <w:rPr>
          <w:rFonts w:cs="Open Sans"/>
        </w:rPr>
        <w:sectPr w:rsidR="00DB146A" w:rsidSect="00DB146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26B87B1C" w14:textId="77777777" w:rsidR="007278C4" w:rsidRPr="00EA4121" w:rsidRDefault="007278C4" w:rsidP="00C931A5">
      <w:pPr>
        <w:jc w:val="both"/>
        <w:rPr>
          <w:rFonts w:cs="Open Sans"/>
          <w:b/>
        </w:rPr>
      </w:pPr>
      <w:r w:rsidRPr="00EA4121">
        <w:rPr>
          <w:rFonts w:cs="Open Sans"/>
          <w:b/>
        </w:rPr>
        <w:lastRenderedPageBreak/>
        <w:t>Příloha č. I: Podrobný popis činností</w:t>
      </w:r>
      <w:r w:rsidR="0019128E" w:rsidRPr="00EA4121">
        <w:rPr>
          <w:rFonts w:cs="Open Sans"/>
          <w:b/>
        </w:rPr>
        <w:t>/</w:t>
      </w:r>
      <w:r w:rsidRPr="00EA4121">
        <w:rPr>
          <w:rFonts w:cs="Open Sans"/>
          <w:b/>
        </w:rPr>
        <w:t>služeb příjemce v závazku veřejné služby</w:t>
      </w:r>
      <w:r w:rsidR="0019128E" w:rsidRPr="00EA4121">
        <w:rPr>
          <w:rFonts w:cs="Open Sans"/>
          <w:b/>
        </w:rPr>
        <w:t xml:space="preserve"> pro rok </w:t>
      </w:r>
      <w:r w:rsidR="00DB146A" w:rsidRPr="00EA4121">
        <w:rPr>
          <w:rFonts w:cs="Open Sans"/>
          <w:b/>
        </w:rPr>
        <w:t>2022</w:t>
      </w:r>
    </w:p>
    <w:tbl>
      <w:tblPr>
        <w:tblW w:w="15235" w:type="dxa"/>
        <w:tblInd w:w="-993" w:type="dxa"/>
        <w:tblCellMar>
          <w:left w:w="70" w:type="dxa"/>
          <w:right w:w="70" w:type="dxa"/>
        </w:tblCellMar>
        <w:tblLook w:val="04A0" w:firstRow="1" w:lastRow="0" w:firstColumn="1" w:lastColumn="0" w:noHBand="0" w:noVBand="1"/>
      </w:tblPr>
      <w:tblGrid>
        <w:gridCol w:w="1452"/>
        <w:gridCol w:w="1806"/>
        <w:gridCol w:w="2456"/>
        <w:gridCol w:w="2298"/>
        <w:gridCol w:w="5030"/>
        <w:gridCol w:w="1520"/>
        <w:gridCol w:w="1520"/>
      </w:tblGrid>
      <w:tr w:rsidR="005E6A25" w:rsidRPr="00917E24" w14:paraId="491E2568" w14:textId="77777777" w:rsidTr="005E6A25">
        <w:trPr>
          <w:trHeight w:val="615"/>
        </w:trPr>
        <w:tc>
          <w:tcPr>
            <w:tcW w:w="1452" w:type="dxa"/>
            <w:tcBorders>
              <w:top w:val="nil"/>
              <w:left w:val="nil"/>
              <w:bottom w:val="nil"/>
              <w:right w:val="nil"/>
            </w:tcBorders>
            <w:shd w:val="clear" w:color="auto" w:fill="auto"/>
            <w:noWrap/>
            <w:vAlign w:val="bottom"/>
            <w:hideMark/>
          </w:tcPr>
          <w:p w14:paraId="0E579C25" w14:textId="77777777" w:rsidR="005E6A25" w:rsidRPr="00917E24" w:rsidRDefault="005E6A25" w:rsidP="00917E24">
            <w:pPr>
              <w:suppressAutoHyphens w:val="0"/>
              <w:spacing w:before="0" w:after="0" w:line="240" w:lineRule="auto"/>
              <w:rPr>
                <w:rFonts w:ascii="Times New Roman" w:hAnsi="Times New Roman"/>
                <w:sz w:val="24"/>
                <w:szCs w:val="24"/>
                <w:lang w:eastAsia="cs-CZ"/>
              </w:rPr>
            </w:pPr>
          </w:p>
        </w:tc>
        <w:tc>
          <w:tcPr>
            <w:tcW w:w="959" w:type="dxa"/>
            <w:tcBorders>
              <w:top w:val="nil"/>
              <w:left w:val="nil"/>
              <w:bottom w:val="nil"/>
              <w:right w:val="nil"/>
            </w:tcBorders>
            <w:shd w:val="clear" w:color="auto" w:fill="auto"/>
            <w:noWrap/>
            <w:vAlign w:val="bottom"/>
            <w:hideMark/>
          </w:tcPr>
          <w:p w14:paraId="520DE90B" w14:textId="77777777" w:rsidR="005E6A25" w:rsidRPr="00917E24" w:rsidRDefault="005E6A25" w:rsidP="00917E24">
            <w:pPr>
              <w:suppressAutoHyphens w:val="0"/>
              <w:spacing w:before="0" w:after="0" w:line="240" w:lineRule="auto"/>
              <w:rPr>
                <w:rFonts w:ascii="Times New Roman" w:hAnsi="Times New Roman"/>
                <w:lang w:eastAsia="cs-CZ"/>
              </w:rPr>
            </w:pPr>
          </w:p>
        </w:tc>
        <w:tc>
          <w:tcPr>
            <w:tcW w:w="2456" w:type="dxa"/>
            <w:tcBorders>
              <w:top w:val="nil"/>
              <w:left w:val="nil"/>
              <w:bottom w:val="nil"/>
              <w:right w:val="nil"/>
            </w:tcBorders>
            <w:shd w:val="clear" w:color="auto" w:fill="auto"/>
            <w:noWrap/>
            <w:vAlign w:val="bottom"/>
            <w:hideMark/>
          </w:tcPr>
          <w:p w14:paraId="7AB22E46" w14:textId="77777777" w:rsidR="005E6A25" w:rsidRPr="00917E24" w:rsidRDefault="005E6A25" w:rsidP="00917E24">
            <w:pPr>
              <w:suppressAutoHyphens w:val="0"/>
              <w:spacing w:before="0" w:after="0" w:line="240" w:lineRule="auto"/>
              <w:rPr>
                <w:rFonts w:ascii="Times New Roman" w:hAnsi="Times New Roman"/>
                <w:lang w:eastAsia="cs-CZ"/>
              </w:rPr>
            </w:pPr>
          </w:p>
        </w:tc>
        <w:tc>
          <w:tcPr>
            <w:tcW w:w="2298" w:type="dxa"/>
            <w:tcBorders>
              <w:top w:val="nil"/>
              <w:left w:val="nil"/>
              <w:bottom w:val="nil"/>
              <w:right w:val="nil"/>
            </w:tcBorders>
            <w:shd w:val="clear" w:color="auto" w:fill="auto"/>
            <w:noWrap/>
            <w:vAlign w:val="bottom"/>
            <w:hideMark/>
          </w:tcPr>
          <w:p w14:paraId="20A6271F" w14:textId="77777777" w:rsidR="005E6A25" w:rsidRPr="00917E24" w:rsidRDefault="005E6A25" w:rsidP="00917E24">
            <w:pPr>
              <w:suppressAutoHyphens w:val="0"/>
              <w:spacing w:before="0" w:after="0" w:line="240" w:lineRule="auto"/>
              <w:rPr>
                <w:rFonts w:ascii="Times New Roman" w:hAnsi="Times New Roman"/>
                <w:lang w:eastAsia="cs-CZ"/>
              </w:rPr>
            </w:pPr>
          </w:p>
        </w:tc>
        <w:tc>
          <w:tcPr>
            <w:tcW w:w="5030" w:type="dxa"/>
            <w:tcBorders>
              <w:top w:val="nil"/>
              <w:left w:val="nil"/>
              <w:bottom w:val="nil"/>
              <w:right w:val="nil"/>
            </w:tcBorders>
            <w:shd w:val="clear" w:color="auto" w:fill="auto"/>
            <w:noWrap/>
            <w:vAlign w:val="bottom"/>
            <w:hideMark/>
          </w:tcPr>
          <w:p w14:paraId="2137951F" w14:textId="77777777" w:rsidR="005E6A25" w:rsidRPr="00917E24" w:rsidRDefault="005E6A25" w:rsidP="00917E24">
            <w:pPr>
              <w:suppressAutoHyphens w:val="0"/>
              <w:spacing w:before="0" w:after="0" w:line="240" w:lineRule="auto"/>
              <w:rPr>
                <w:rFonts w:ascii="Times New Roman" w:hAnsi="Times New Roman"/>
                <w:lang w:eastAsia="cs-CZ"/>
              </w:rPr>
            </w:pPr>
          </w:p>
        </w:tc>
        <w:tc>
          <w:tcPr>
            <w:tcW w:w="152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C609D53" w14:textId="77777777" w:rsidR="005E6A25" w:rsidRPr="00917E24" w:rsidRDefault="005E6A25" w:rsidP="00917E24">
            <w:pPr>
              <w:suppressAutoHyphens w:val="0"/>
              <w:spacing w:before="0" w:after="0" w:line="240" w:lineRule="auto"/>
              <w:rPr>
                <w:rFonts w:ascii="Calibri" w:hAnsi="Calibri" w:cs="Calibri"/>
                <w:b/>
                <w:bCs/>
                <w:color w:val="000000"/>
                <w:sz w:val="22"/>
                <w:szCs w:val="22"/>
                <w:lang w:eastAsia="cs-CZ"/>
              </w:rPr>
            </w:pPr>
            <w:r w:rsidRPr="00917E24">
              <w:rPr>
                <w:rFonts w:ascii="Calibri" w:hAnsi="Calibri" w:cs="Calibri"/>
                <w:b/>
                <w:bCs/>
                <w:color w:val="000000"/>
                <w:sz w:val="22"/>
                <w:szCs w:val="22"/>
                <w:lang w:eastAsia="cs-CZ"/>
              </w:rPr>
              <w:t>KPIs 2022 financovaná MSK</w:t>
            </w:r>
          </w:p>
        </w:tc>
        <w:tc>
          <w:tcPr>
            <w:tcW w:w="1520" w:type="dxa"/>
            <w:tcBorders>
              <w:top w:val="single" w:sz="8" w:space="0" w:color="auto"/>
              <w:left w:val="nil"/>
              <w:bottom w:val="single" w:sz="8" w:space="0" w:color="auto"/>
              <w:right w:val="nil"/>
            </w:tcBorders>
          </w:tcPr>
          <w:p w14:paraId="51807BE7" w14:textId="77777777" w:rsidR="005E6A25" w:rsidRPr="00917E24" w:rsidRDefault="005E6A25" w:rsidP="00917E24">
            <w:pPr>
              <w:suppressAutoHyphens w:val="0"/>
              <w:spacing w:before="0" w:after="0" w:line="240" w:lineRule="auto"/>
              <w:rPr>
                <w:rFonts w:ascii="Calibri" w:hAnsi="Calibri" w:cs="Calibri"/>
                <w:b/>
                <w:bCs/>
                <w:color w:val="000000"/>
                <w:sz w:val="22"/>
                <w:szCs w:val="22"/>
                <w:lang w:eastAsia="cs-CZ"/>
              </w:rPr>
            </w:pPr>
            <w:r w:rsidRPr="00917E24">
              <w:rPr>
                <w:rFonts w:ascii="Calibri" w:hAnsi="Calibri" w:cs="Calibri"/>
                <w:b/>
                <w:bCs/>
                <w:color w:val="000000"/>
                <w:sz w:val="22"/>
                <w:szCs w:val="22"/>
                <w:lang w:eastAsia="cs-CZ"/>
              </w:rPr>
              <w:t>celková KPIs pro rok 2022 (SMO+MSK)</w:t>
            </w:r>
          </w:p>
        </w:tc>
      </w:tr>
      <w:tr w:rsidR="005E6A25" w:rsidRPr="00917E24" w14:paraId="28E05AD0" w14:textId="77777777" w:rsidTr="005E6A25">
        <w:trPr>
          <w:trHeight w:val="600"/>
        </w:trPr>
        <w:tc>
          <w:tcPr>
            <w:tcW w:w="145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48DF47A"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r w:rsidRPr="00917E24">
              <w:rPr>
                <w:rFonts w:ascii="Calibri" w:hAnsi="Calibri" w:cs="Calibri"/>
                <w:b/>
                <w:bCs/>
                <w:color w:val="000000"/>
                <w:sz w:val="22"/>
                <w:szCs w:val="22"/>
                <w:lang w:eastAsia="cs-CZ"/>
              </w:rPr>
              <w:t>ad a) řízení a implementace RIS MSK</w:t>
            </w:r>
            <w:r w:rsidRPr="00917E24">
              <w:rPr>
                <w:rFonts w:ascii="Calibri" w:hAnsi="Calibri" w:cs="Calibri"/>
                <w:b/>
                <w:bCs/>
                <w:color w:val="000000"/>
                <w:sz w:val="22"/>
                <w:szCs w:val="22"/>
                <w:lang w:eastAsia="cs-CZ"/>
              </w:rPr>
              <w:br/>
              <w:t>cíl: zajištění koordinace a implementace RIS MSK</w:t>
            </w:r>
          </w:p>
        </w:tc>
        <w:tc>
          <w:tcPr>
            <w:tcW w:w="95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4E8C329"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Implementace a koordinace RIS MSK</w:t>
            </w:r>
          </w:p>
        </w:tc>
        <w:tc>
          <w:tcPr>
            <w:tcW w:w="2456" w:type="dxa"/>
            <w:tcBorders>
              <w:top w:val="single" w:sz="8" w:space="0" w:color="auto"/>
              <w:left w:val="nil"/>
              <w:bottom w:val="single" w:sz="4" w:space="0" w:color="auto"/>
              <w:right w:val="single" w:sz="4" w:space="0" w:color="auto"/>
            </w:tcBorders>
            <w:shd w:val="clear" w:color="auto" w:fill="auto"/>
            <w:vAlign w:val="center"/>
            <w:hideMark/>
          </w:tcPr>
          <w:p w14:paraId="2093E9BE"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Rada pro inovace</w:t>
            </w:r>
          </w:p>
        </w:tc>
        <w:tc>
          <w:tcPr>
            <w:tcW w:w="2298" w:type="dxa"/>
            <w:tcBorders>
              <w:top w:val="single" w:sz="8" w:space="0" w:color="auto"/>
              <w:left w:val="nil"/>
              <w:bottom w:val="single" w:sz="4" w:space="0" w:color="auto"/>
              <w:right w:val="single" w:sz="4" w:space="0" w:color="auto"/>
            </w:tcBorders>
            <w:shd w:val="clear" w:color="auto" w:fill="auto"/>
            <w:vAlign w:val="center"/>
            <w:hideMark/>
          </w:tcPr>
          <w:p w14:paraId="657ADC96"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stakeholdeři RIS MSK</w:t>
            </w:r>
          </w:p>
        </w:tc>
        <w:tc>
          <w:tcPr>
            <w:tcW w:w="5030" w:type="dxa"/>
            <w:tcBorders>
              <w:top w:val="single" w:sz="8" w:space="0" w:color="auto"/>
              <w:left w:val="nil"/>
              <w:bottom w:val="single" w:sz="4" w:space="0" w:color="auto"/>
              <w:right w:val="single" w:sz="4" w:space="0" w:color="auto"/>
            </w:tcBorders>
            <w:shd w:val="clear" w:color="auto" w:fill="auto"/>
            <w:vAlign w:val="center"/>
            <w:hideMark/>
          </w:tcPr>
          <w:p w14:paraId="356D5A08"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zajištění sekretariátu Rady pro inovace včetně pravidelné komunikace se členy RpI, aktualizace RIS MSK a akčního plánu RIS MSK</w:t>
            </w:r>
          </w:p>
        </w:tc>
        <w:tc>
          <w:tcPr>
            <w:tcW w:w="1520" w:type="dxa"/>
            <w:tcBorders>
              <w:top w:val="nil"/>
              <w:left w:val="nil"/>
              <w:bottom w:val="single" w:sz="4" w:space="0" w:color="auto"/>
              <w:right w:val="single" w:sz="4" w:space="0" w:color="auto"/>
            </w:tcBorders>
            <w:shd w:val="clear" w:color="auto" w:fill="auto"/>
            <w:vAlign w:val="center"/>
            <w:hideMark/>
          </w:tcPr>
          <w:p w14:paraId="3F23C23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2 setkání RpI</w:t>
            </w:r>
            <w:r w:rsidRPr="00917E24">
              <w:rPr>
                <w:rFonts w:ascii="Calibri" w:hAnsi="Calibri" w:cs="Calibri"/>
                <w:color w:val="000000"/>
                <w:sz w:val="22"/>
                <w:szCs w:val="22"/>
                <w:lang w:eastAsia="cs-CZ"/>
              </w:rPr>
              <w:br/>
              <w:t>1 aktualizace akčního plánu</w:t>
            </w:r>
          </w:p>
        </w:tc>
        <w:tc>
          <w:tcPr>
            <w:tcW w:w="1520" w:type="dxa"/>
            <w:tcBorders>
              <w:top w:val="nil"/>
              <w:left w:val="nil"/>
              <w:bottom w:val="single" w:sz="4" w:space="0" w:color="auto"/>
              <w:right w:val="nil"/>
            </w:tcBorders>
            <w:vAlign w:val="center"/>
          </w:tcPr>
          <w:p w14:paraId="59DDB11C"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3 setkání RpI</w:t>
            </w:r>
            <w:r w:rsidRPr="00917E24">
              <w:rPr>
                <w:rFonts w:ascii="Calibri" w:hAnsi="Calibri" w:cs="Calibri"/>
                <w:color w:val="000000"/>
                <w:sz w:val="22"/>
                <w:szCs w:val="22"/>
                <w:lang w:eastAsia="cs-CZ"/>
              </w:rPr>
              <w:br/>
              <w:t>1 aktualizace akčního plánu</w:t>
            </w:r>
          </w:p>
        </w:tc>
      </w:tr>
      <w:tr w:rsidR="005E6A25" w:rsidRPr="00917E24" w14:paraId="05FDE977" w14:textId="77777777" w:rsidTr="005E6A25">
        <w:trPr>
          <w:trHeight w:val="1800"/>
        </w:trPr>
        <w:tc>
          <w:tcPr>
            <w:tcW w:w="1452" w:type="dxa"/>
            <w:vMerge/>
            <w:tcBorders>
              <w:top w:val="single" w:sz="8" w:space="0" w:color="auto"/>
              <w:left w:val="single" w:sz="8" w:space="0" w:color="auto"/>
              <w:bottom w:val="single" w:sz="8" w:space="0" w:color="000000"/>
              <w:right w:val="single" w:sz="4" w:space="0" w:color="auto"/>
            </w:tcBorders>
            <w:vAlign w:val="center"/>
            <w:hideMark/>
          </w:tcPr>
          <w:p w14:paraId="420896A8"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single" w:sz="8" w:space="0" w:color="auto"/>
              <w:left w:val="single" w:sz="4" w:space="0" w:color="auto"/>
              <w:bottom w:val="single" w:sz="4" w:space="0" w:color="auto"/>
              <w:right w:val="single" w:sz="4" w:space="0" w:color="auto"/>
            </w:tcBorders>
            <w:vAlign w:val="center"/>
            <w:hideMark/>
          </w:tcPr>
          <w:p w14:paraId="5E88949B"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38B9D587"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spolupráce s národní úrovní</w:t>
            </w:r>
          </w:p>
        </w:tc>
        <w:tc>
          <w:tcPr>
            <w:tcW w:w="2298" w:type="dxa"/>
            <w:tcBorders>
              <w:top w:val="nil"/>
              <w:left w:val="nil"/>
              <w:bottom w:val="single" w:sz="4" w:space="0" w:color="auto"/>
              <w:right w:val="single" w:sz="4" w:space="0" w:color="auto"/>
            </w:tcBorders>
            <w:shd w:val="clear" w:color="auto" w:fill="auto"/>
            <w:vAlign w:val="center"/>
            <w:hideMark/>
          </w:tcPr>
          <w:p w14:paraId="4C41600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centrální instituce ČR aktivní v oblasti podpory podnikání a inovací (MPO, MŠMT, MŽP, MMR, TAČR, CI atd.) a regionální aktéři (JIC, SIC, TIC Zlín atd.)</w:t>
            </w:r>
          </w:p>
        </w:tc>
        <w:tc>
          <w:tcPr>
            <w:tcW w:w="5030" w:type="dxa"/>
            <w:tcBorders>
              <w:top w:val="nil"/>
              <w:left w:val="nil"/>
              <w:bottom w:val="single" w:sz="4" w:space="0" w:color="auto"/>
              <w:right w:val="single" w:sz="4" w:space="0" w:color="auto"/>
            </w:tcBorders>
            <w:shd w:val="clear" w:color="auto" w:fill="auto"/>
            <w:vAlign w:val="center"/>
            <w:hideMark/>
          </w:tcPr>
          <w:p w14:paraId="030CD68A"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a) účast na setkáních/akcích/konferencích/národních inovačních platformách/pracovních skupinách organizovaných MPO, CI a dalšími národními orgány</w:t>
            </w:r>
            <w:r w:rsidRPr="00917E24">
              <w:rPr>
                <w:rFonts w:ascii="Calibri" w:hAnsi="Calibri" w:cs="Calibri"/>
                <w:color w:val="000000"/>
                <w:sz w:val="22"/>
                <w:szCs w:val="22"/>
                <w:lang w:eastAsia="cs-CZ"/>
              </w:rPr>
              <w:br/>
              <w:t>b) příprava pravidelných monitorovacích zpráv, podkladů a dalších pro národní orgány</w:t>
            </w:r>
            <w:r w:rsidRPr="00917E24">
              <w:rPr>
                <w:rFonts w:ascii="Calibri" w:hAnsi="Calibri" w:cs="Calibri"/>
                <w:color w:val="000000"/>
                <w:sz w:val="22"/>
                <w:szCs w:val="22"/>
                <w:lang w:eastAsia="cs-CZ"/>
              </w:rPr>
              <w:br/>
              <w:t>c) zapojení do sítí a platforem v rámci ČR, které se zaměřují na podporu podnikání a inovací (např. Ynovate - dříve Platinn.cz; PIPI - Platforma inovační a podnikatelské infrastruktury koordinované agenturou CzechInvest)</w:t>
            </w:r>
          </w:p>
        </w:tc>
        <w:tc>
          <w:tcPr>
            <w:tcW w:w="1520" w:type="dxa"/>
            <w:tcBorders>
              <w:top w:val="nil"/>
              <w:left w:val="nil"/>
              <w:bottom w:val="single" w:sz="4" w:space="0" w:color="auto"/>
              <w:right w:val="single" w:sz="4" w:space="0" w:color="auto"/>
            </w:tcBorders>
            <w:shd w:val="clear" w:color="auto" w:fill="auto"/>
            <w:vAlign w:val="center"/>
            <w:hideMark/>
          </w:tcPr>
          <w:p w14:paraId="1E8F2D3F"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 monitorovací zpráva</w:t>
            </w:r>
            <w:r w:rsidRPr="00917E24">
              <w:rPr>
                <w:rFonts w:ascii="Calibri" w:hAnsi="Calibri" w:cs="Calibri"/>
                <w:color w:val="000000"/>
                <w:sz w:val="22"/>
                <w:szCs w:val="22"/>
                <w:lang w:eastAsia="cs-CZ"/>
              </w:rPr>
              <w:br/>
              <w:t>zapojení do Ynovate (80 %)</w:t>
            </w:r>
          </w:p>
        </w:tc>
        <w:tc>
          <w:tcPr>
            <w:tcW w:w="1520" w:type="dxa"/>
            <w:tcBorders>
              <w:top w:val="nil"/>
              <w:left w:val="nil"/>
              <w:bottom w:val="single" w:sz="4" w:space="0" w:color="auto"/>
              <w:right w:val="nil"/>
            </w:tcBorders>
            <w:vAlign w:val="center"/>
          </w:tcPr>
          <w:p w14:paraId="75C79DCE"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 monitorovací zpráva</w:t>
            </w:r>
            <w:r w:rsidRPr="00917E24">
              <w:rPr>
                <w:rFonts w:ascii="Calibri" w:hAnsi="Calibri" w:cs="Calibri"/>
                <w:color w:val="000000"/>
                <w:sz w:val="22"/>
                <w:szCs w:val="22"/>
                <w:lang w:eastAsia="cs-CZ"/>
              </w:rPr>
              <w:br/>
              <w:t>zapojení do sítě Ynovate</w:t>
            </w:r>
          </w:p>
        </w:tc>
      </w:tr>
      <w:tr w:rsidR="005E6A25" w:rsidRPr="00917E24" w14:paraId="4C6DE7E6" w14:textId="77777777" w:rsidTr="005E6A25">
        <w:trPr>
          <w:trHeight w:val="1980"/>
        </w:trPr>
        <w:tc>
          <w:tcPr>
            <w:tcW w:w="1452" w:type="dxa"/>
            <w:vMerge/>
            <w:tcBorders>
              <w:top w:val="single" w:sz="8" w:space="0" w:color="auto"/>
              <w:left w:val="single" w:sz="8" w:space="0" w:color="auto"/>
              <w:bottom w:val="single" w:sz="8" w:space="0" w:color="000000"/>
              <w:right w:val="single" w:sz="4" w:space="0" w:color="auto"/>
            </w:tcBorders>
            <w:vAlign w:val="center"/>
            <w:hideMark/>
          </w:tcPr>
          <w:p w14:paraId="78F236FF"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single" w:sz="8" w:space="0" w:color="auto"/>
              <w:left w:val="single" w:sz="4" w:space="0" w:color="auto"/>
              <w:bottom w:val="single" w:sz="4" w:space="0" w:color="auto"/>
              <w:right w:val="single" w:sz="4" w:space="0" w:color="auto"/>
            </w:tcBorders>
            <w:vAlign w:val="center"/>
            <w:hideMark/>
          </w:tcPr>
          <w:p w14:paraId="7F34BA63"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24DF5B95"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mezinárodní spolupráce</w:t>
            </w:r>
          </w:p>
        </w:tc>
        <w:tc>
          <w:tcPr>
            <w:tcW w:w="2298" w:type="dxa"/>
            <w:tcBorders>
              <w:top w:val="nil"/>
              <w:left w:val="nil"/>
              <w:bottom w:val="single" w:sz="4" w:space="0" w:color="auto"/>
              <w:right w:val="single" w:sz="4" w:space="0" w:color="auto"/>
            </w:tcBorders>
            <w:shd w:val="clear" w:color="auto" w:fill="auto"/>
            <w:vAlign w:val="center"/>
            <w:hideMark/>
          </w:tcPr>
          <w:p w14:paraId="27C92119"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evropské organizace aktivní v oblasti podpory podnikání a inovací</w:t>
            </w:r>
          </w:p>
        </w:tc>
        <w:tc>
          <w:tcPr>
            <w:tcW w:w="5030" w:type="dxa"/>
            <w:tcBorders>
              <w:top w:val="nil"/>
              <w:left w:val="nil"/>
              <w:bottom w:val="single" w:sz="4" w:space="0" w:color="auto"/>
              <w:right w:val="single" w:sz="4" w:space="0" w:color="auto"/>
            </w:tcBorders>
            <w:shd w:val="clear" w:color="auto" w:fill="auto"/>
            <w:vAlign w:val="center"/>
            <w:hideMark/>
          </w:tcPr>
          <w:p w14:paraId="6A0777DF"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a) účast v pracovních skupinách/workshopech a dalších organizovaných EK v oblasti inovací, digitalizace, envitech atd.</w:t>
            </w:r>
            <w:r w:rsidRPr="00917E24">
              <w:rPr>
                <w:rFonts w:ascii="Calibri" w:hAnsi="Calibri" w:cs="Calibri"/>
                <w:color w:val="000000"/>
                <w:sz w:val="22"/>
                <w:szCs w:val="22"/>
                <w:lang w:eastAsia="cs-CZ"/>
              </w:rPr>
              <w:br/>
              <w:t>b) přípravy připomínek a podnětu pro politiky EK ve vybraných oblastech</w:t>
            </w:r>
            <w:r w:rsidRPr="00917E24">
              <w:rPr>
                <w:rFonts w:ascii="Calibri" w:hAnsi="Calibri" w:cs="Calibri"/>
                <w:color w:val="000000"/>
                <w:sz w:val="22"/>
                <w:szCs w:val="22"/>
                <w:lang w:eastAsia="cs-CZ"/>
              </w:rPr>
              <w:br/>
              <w:t>c) zapojení do mezinárodních sítí na podporu inovací, podnikání (např. EBN - European Business Network)</w:t>
            </w:r>
            <w:r w:rsidRPr="00917E24">
              <w:rPr>
                <w:rFonts w:ascii="Calibri" w:hAnsi="Calibri" w:cs="Calibri"/>
                <w:color w:val="000000"/>
                <w:sz w:val="22"/>
                <w:szCs w:val="22"/>
                <w:lang w:eastAsia="cs-CZ"/>
              </w:rPr>
              <w:br/>
              <w:t>d) inspirační mise dle potřeb RIS MSK</w:t>
            </w:r>
          </w:p>
        </w:tc>
        <w:tc>
          <w:tcPr>
            <w:tcW w:w="1520" w:type="dxa"/>
            <w:tcBorders>
              <w:top w:val="nil"/>
              <w:left w:val="nil"/>
              <w:bottom w:val="single" w:sz="4" w:space="0" w:color="auto"/>
              <w:right w:val="single" w:sz="4" w:space="0" w:color="auto"/>
            </w:tcBorders>
            <w:shd w:val="clear" w:color="auto" w:fill="auto"/>
            <w:vAlign w:val="center"/>
            <w:hideMark/>
          </w:tcPr>
          <w:p w14:paraId="3B8EA444"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 mise</w:t>
            </w:r>
            <w:r w:rsidRPr="00917E24">
              <w:rPr>
                <w:rFonts w:ascii="Calibri" w:hAnsi="Calibri" w:cs="Calibri"/>
                <w:color w:val="000000"/>
                <w:sz w:val="22"/>
                <w:szCs w:val="22"/>
                <w:lang w:eastAsia="cs-CZ"/>
              </w:rPr>
              <w:br/>
              <w:t>zapojení do EBN (80 %)</w:t>
            </w:r>
            <w:r w:rsidRPr="00917E24">
              <w:rPr>
                <w:rFonts w:ascii="Calibri" w:hAnsi="Calibri" w:cs="Calibri"/>
                <w:color w:val="000000"/>
                <w:sz w:val="22"/>
                <w:szCs w:val="22"/>
                <w:lang w:eastAsia="cs-CZ"/>
              </w:rPr>
              <w:br/>
              <w:t>4 firmy využívající služby EBN</w:t>
            </w:r>
          </w:p>
        </w:tc>
        <w:tc>
          <w:tcPr>
            <w:tcW w:w="1520" w:type="dxa"/>
            <w:tcBorders>
              <w:top w:val="nil"/>
              <w:left w:val="nil"/>
              <w:bottom w:val="single" w:sz="4" w:space="0" w:color="auto"/>
              <w:right w:val="nil"/>
            </w:tcBorders>
            <w:vAlign w:val="center"/>
          </w:tcPr>
          <w:p w14:paraId="6A40A103"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 mise</w:t>
            </w:r>
            <w:r w:rsidRPr="00917E24">
              <w:rPr>
                <w:rFonts w:ascii="Calibri" w:hAnsi="Calibri" w:cs="Calibri"/>
                <w:color w:val="000000"/>
                <w:sz w:val="22"/>
                <w:szCs w:val="22"/>
                <w:lang w:eastAsia="cs-CZ"/>
              </w:rPr>
              <w:br/>
              <w:t>zapojení do EBN</w:t>
            </w:r>
            <w:r w:rsidRPr="00917E24">
              <w:rPr>
                <w:rFonts w:ascii="Calibri" w:hAnsi="Calibri" w:cs="Calibri"/>
                <w:color w:val="000000"/>
                <w:sz w:val="22"/>
                <w:szCs w:val="22"/>
                <w:lang w:eastAsia="cs-CZ"/>
              </w:rPr>
              <w:br/>
              <w:t>5 firem využívající služby EBN</w:t>
            </w:r>
          </w:p>
        </w:tc>
      </w:tr>
      <w:tr w:rsidR="005E6A25" w:rsidRPr="00917E24" w14:paraId="2CE0D07C" w14:textId="77777777" w:rsidTr="005E6A25">
        <w:trPr>
          <w:trHeight w:val="900"/>
        </w:trPr>
        <w:tc>
          <w:tcPr>
            <w:tcW w:w="1452" w:type="dxa"/>
            <w:vMerge/>
            <w:tcBorders>
              <w:top w:val="single" w:sz="8" w:space="0" w:color="auto"/>
              <w:left w:val="single" w:sz="8" w:space="0" w:color="auto"/>
              <w:bottom w:val="single" w:sz="8" w:space="0" w:color="000000"/>
              <w:right w:val="single" w:sz="4" w:space="0" w:color="auto"/>
            </w:tcBorders>
            <w:vAlign w:val="center"/>
            <w:hideMark/>
          </w:tcPr>
          <w:p w14:paraId="2F664D67"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single" w:sz="8" w:space="0" w:color="auto"/>
              <w:left w:val="single" w:sz="4" w:space="0" w:color="auto"/>
              <w:bottom w:val="single" w:sz="4" w:space="0" w:color="auto"/>
              <w:right w:val="single" w:sz="4" w:space="0" w:color="auto"/>
            </w:tcBorders>
            <w:vAlign w:val="center"/>
            <w:hideMark/>
          </w:tcPr>
          <w:p w14:paraId="02B44303"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587B6E5B"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analytika a evaluace</w:t>
            </w:r>
          </w:p>
        </w:tc>
        <w:tc>
          <w:tcPr>
            <w:tcW w:w="2298" w:type="dxa"/>
            <w:tcBorders>
              <w:top w:val="nil"/>
              <w:left w:val="nil"/>
              <w:bottom w:val="single" w:sz="4" w:space="0" w:color="auto"/>
              <w:right w:val="single" w:sz="4" w:space="0" w:color="auto"/>
            </w:tcBorders>
            <w:shd w:val="clear" w:color="auto" w:fill="auto"/>
            <w:vAlign w:val="center"/>
            <w:hideMark/>
          </w:tcPr>
          <w:p w14:paraId="12456F9B"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začínající firmy, start-up, MSP</w:t>
            </w:r>
          </w:p>
        </w:tc>
        <w:tc>
          <w:tcPr>
            <w:tcW w:w="5030" w:type="dxa"/>
            <w:tcBorders>
              <w:top w:val="nil"/>
              <w:left w:val="nil"/>
              <w:bottom w:val="single" w:sz="4" w:space="0" w:color="auto"/>
              <w:right w:val="single" w:sz="4" w:space="0" w:color="auto"/>
            </w:tcBorders>
            <w:shd w:val="clear" w:color="auto" w:fill="auto"/>
            <w:vAlign w:val="center"/>
            <w:hideMark/>
          </w:tcPr>
          <w:p w14:paraId="0CD74FEC"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a) příprava analytických podkladů pro připravované i realizované aktivity včetně využívání specializovaných databází</w:t>
            </w:r>
            <w:r w:rsidRPr="00917E24">
              <w:rPr>
                <w:rFonts w:ascii="Calibri" w:hAnsi="Calibri" w:cs="Calibri"/>
                <w:color w:val="000000"/>
                <w:sz w:val="22"/>
                <w:szCs w:val="22"/>
                <w:lang w:eastAsia="cs-CZ"/>
              </w:rPr>
              <w:br/>
              <w:t>b) mid-term a ex-post evaluace dopadů realizovaných programů podpory/intervencí</w:t>
            </w:r>
          </w:p>
        </w:tc>
        <w:tc>
          <w:tcPr>
            <w:tcW w:w="1520" w:type="dxa"/>
            <w:tcBorders>
              <w:top w:val="nil"/>
              <w:left w:val="nil"/>
              <w:bottom w:val="single" w:sz="4" w:space="0" w:color="auto"/>
              <w:right w:val="single" w:sz="4" w:space="0" w:color="auto"/>
            </w:tcBorders>
            <w:shd w:val="clear" w:color="auto" w:fill="auto"/>
            <w:vAlign w:val="center"/>
            <w:hideMark/>
          </w:tcPr>
          <w:p w14:paraId="3B21D69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 evaluace</w:t>
            </w:r>
            <w:r w:rsidRPr="00917E24">
              <w:rPr>
                <w:rFonts w:ascii="Calibri" w:hAnsi="Calibri" w:cs="Calibri"/>
                <w:color w:val="000000"/>
                <w:sz w:val="22"/>
                <w:szCs w:val="22"/>
                <w:lang w:eastAsia="cs-CZ"/>
              </w:rPr>
              <w:br/>
              <w:t>1 výroční zpráva (80 %)</w:t>
            </w:r>
          </w:p>
        </w:tc>
        <w:tc>
          <w:tcPr>
            <w:tcW w:w="1520" w:type="dxa"/>
            <w:tcBorders>
              <w:top w:val="nil"/>
              <w:left w:val="nil"/>
              <w:bottom w:val="single" w:sz="4" w:space="0" w:color="auto"/>
              <w:right w:val="nil"/>
            </w:tcBorders>
            <w:vAlign w:val="center"/>
          </w:tcPr>
          <w:p w14:paraId="1C315D9B"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 evaluace</w:t>
            </w:r>
            <w:r w:rsidRPr="00917E24">
              <w:rPr>
                <w:rFonts w:ascii="Calibri" w:hAnsi="Calibri" w:cs="Calibri"/>
                <w:color w:val="000000"/>
                <w:sz w:val="22"/>
                <w:szCs w:val="22"/>
                <w:lang w:eastAsia="cs-CZ"/>
              </w:rPr>
              <w:br/>
              <w:t>1 výroční zpráva</w:t>
            </w:r>
          </w:p>
        </w:tc>
      </w:tr>
      <w:tr w:rsidR="005E6A25" w:rsidRPr="00917E24" w14:paraId="48F0357D" w14:textId="77777777" w:rsidTr="005E6A25">
        <w:trPr>
          <w:trHeight w:val="900"/>
        </w:trPr>
        <w:tc>
          <w:tcPr>
            <w:tcW w:w="1452" w:type="dxa"/>
            <w:vMerge/>
            <w:tcBorders>
              <w:top w:val="single" w:sz="8" w:space="0" w:color="auto"/>
              <w:left w:val="single" w:sz="8" w:space="0" w:color="auto"/>
              <w:bottom w:val="single" w:sz="8" w:space="0" w:color="000000"/>
              <w:right w:val="single" w:sz="4" w:space="0" w:color="auto"/>
            </w:tcBorders>
            <w:vAlign w:val="center"/>
            <w:hideMark/>
          </w:tcPr>
          <w:p w14:paraId="47AB0255"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single" w:sz="8" w:space="0" w:color="auto"/>
              <w:left w:val="single" w:sz="4" w:space="0" w:color="auto"/>
              <w:bottom w:val="single" w:sz="4" w:space="0" w:color="auto"/>
              <w:right w:val="single" w:sz="4" w:space="0" w:color="auto"/>
            </w:tcBorders>
            <w:vAlign w:val="center"/>
            <w:hideMark/>
          </w:tcPr>
          <w:p w14:paraId="0685563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44484B13"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 xml:space="preserve">brand a komunikace RIS MSK </w:t>
            </w:r>
          </w:p>
        </w:tc>
        <w:tc>
          <w:tcPr>
            <w:tcW w:w="2298" w:type="dxa"/>
            <w:tcBorders>
              <w:top w:val="nil"/>
              <w:left w:val="nil"/>
              <w:bottom w:val="single" w:sz="4" w:space="0" w:color="auto"/>
              <w:right w:val="single" w:sz="4" w:space="0" w:color="auto"/>
            </w:tcBorders>
            <w:shd w:val="clear" w:color="auto" w:fill="auto"/>
            <w:vAlign w:val="center"/>
            <w:hideMark/>
          </w:tcPr>
          <w:p w14:paraId="2474F75D"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relevantní stakeholdeři RIS MSK</w:t>
            </w:r>
          </w:p>
        </w:tc>
        <w:tc>
          <w:tcPr>
            <w:tcW w:w="5030" w:type="dxa"/>
            <w:tcBorders>
              <w:top w:val="nil"/>
              <w:left w:val="nil"/>
              <w:bottom w:val="single" w:sz="4" w:space="0" w:color="auto"/>
              <w:right w:val="single" w:sz="4" w:space="0" w:color="auto"/>
            </w:tcBorders>
            <w:shd w:val="clear" w:color="auto" w:fill="auto"/>
            <w:vAlign w:val="center"/>
            <w:hideMark/>
          </w:tcPr>
          <w:p w14:paraId="36426DFF"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a) příprava brandu RIS MSK v oblasti inovací</w:t>
            </w:r>
            <w:r w:rsidRPr="00917E24">
              <w:rPr>
                <w:rFonts w:ascii="Calibri" w:hAnsi="Calibri" w:cs="Calibri"/>
                <w:color w:val="000000"/>
                <w:sz w:val="22"/>
                <w:szCs w:val="22"/>
                <w:lang w:eastAsia="cs-CZ"/>
              </w:rPr>
              <w:br/>
              <w:t>b) komunikační kampaň RIS MSK</w:t>
            </w:r>
            <w:r w:rsidRPr="00917E24">
              <w:rPr>
                <w:rFonts w:ascii="Calibri" w:hAnsi="Calibri" w:cs="Calibri"/>
                <w:color w:val="000000"/>
                <w:sz w:val="22"/>
                <w:szCs w:val="22"/>
                <w:lang w:eastAsia="cs-CZ"/>
              </w:rPr>
              <w:br/>
              <w:t>c) správa webu www.rismsk.cz</w:t>
            </w:r>
          </w:p>
        </w:tc>
        <w:tc>
          <w:tcPr>
            <w:tcW w:w="1520" w:type="dxa"/>
            <w:tcBorders>
              <w:top w:val="nil"/>
              <w:left w:val="nil"/>
              <w:bottom w:val="single" w:sz="4" w:space="0" w:color="auto"/>
              <w:right w:val="single" w:sz="4" w:space="0" w:color="auto"/>
            </w:tcBorders>
            <w:shd w:val="clear" w:color="auto" w:fill="auto"/>
            <w:vAlign w:val="center"/>
            <w:hideMark/>
          </w:tcPr>
          <w:p w14:paraId="2D82A6DB"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 </w:t>
            </w:r>
          </w:p>
        </w:tc>
        <w:tc>
          <w:tcPr>
            <w:tcW w:w="1520" w:type="dxa"/>
            <w:tcBorders>
              <w:top w:val="nil"/>
              <w:left w:val="nil"/>
              <w:bottom w:val="single" w:sz="4" w:space="0" w:color="auto"/>
              <w:right w:val="nil"/>
            </w:tcBorders>
            <w:vAlign w:val="center"/>
          </w:tcPr>
          <w:p w14:paraId="0847E386"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 </w:t>
            </w:r>
          </w:p>
        </w:tc>
      </w:tr>
      <w:tr w:rsidR="005E6A25" w:rsidRPr="00917E24" w14:paraId="088470AA" w14:textId="77777777" w:rsidTr="005E6A25">
        <w:trPr>
          <w:trHeight w:val="600"/>
        </w:trPr>
        <w:tc>
          <w:tcPr>
            <w:tcW w:w="1452" w:type="dxa"/>
            <w:vMerge/>
            <w:tcBorders>
              <w:top w:val="single" w:sz="8" w:space="0" w:color="auto"/>
              <w:left w:val="single" w:sz="8" w:space="0" w:color="auto"/>
              <w:bottom w:val="single" w:sz="8" w:space="0" w:color="000000"/>
              <w:right w:val="single" w:sz="4" w:space="0" w:color="auto"/>
            </w:tcBorders>
            <w:vAlign w:val="center"/>
            <w:hideMark/>
          </w:tcPr>
          <w:p w14:paraId="4240E3E3"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14:paraId="4E734F6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PODREG</w:t>
            </w:r>
          </w:p>
        </w:tc>
        <w:tc>
          <w:tcPr>
            <w:tcW w:w="2456" w:type="dxa"/>
            <w:tcBorders>
              <w:top w:val="nil"/>
              <w:left w:val="nil"/>
              <w:bottom w:val="single" w:sz="4" w:space="0" w:color="auto"/>
              <w:right w:val="single" w:sz="4" w:space="0" w:color="auto"/>
            </w:tcBorders>
            <w:shd w:val="clear" w:color="auto" w:fill="auto"/>
            <w:vAlign w:val="center"/>
            <w:hideMark/>
          </w:tcPr>
          <w:p w14:paraId="38B94D3A"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pracovní skupina</w:t>
            </w:r>
          </w:p>
        </w:tc>
        <w:tc>
          <w:tcPr>
            <w:tcW w:w="2298" w:type="dxa"/>
            <w:tcBorders>
              <w:top w:val="nil"/>
              <w:left w:val="nil"/>
              <w:bottom w:val="single" w:sz="4" w:space="0" w:color="auto"/>
              <w:right w:val="single" w:sz="4" w:space="0" w:color="auto"/>
            </w:tcBorders>
            <w:shd w:val="clear" w:color="auto" w:fill="auto"/>
            <w:vAlign w:val="center"/>
            <w:hideMark/>
          </w:tcPr>
          <w:p w14:paraId="37D46FC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relevantní stakeholdeři RIS MSK</w:t>
            </w:r>
          </w:p>
        </w:tc>
        <w:tc>
          <w:tcPr>
            <w:tcW w:w="5030" w:type="dxa"/>
            <w:tcBorders>
              <w:top w:val="nil"/>
              <w:left w:val="nil"/>
              <w:bottom w:val="single" w:sz="4" w:space="0" w:color="auto"/>
              <w:right w:val="single" w:sz="4" w:space="0" w:color="auto"/>
            </w:tcBorders>
            <w:shd w:val="clear" w:color="auto" w:fill="auto"/>
            <w:vAlign w:val="center"/>
            <w:hideMark/>
          </w:tcPr>
          <w:p w14:paraId="6BD0161A"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koordinace a řízení pracovní skupiny PODREG a jejích podskupin např. Start-up Community</w:t>
            </w:r>
          </w:p>
        </w:tc>
        <w:tc>
          <w:tcPr>
            <w:tcW w:w="1520" w:type="dxa"/>
            <w:tcBorders>
              <w:top w:val="nil"/>
              <w:left w:val="nil"/>
              <w:bottom w:val="single" w:sz="4" w:space="0" w:color="auto"/>
              <w:right w:val="single" w:sz="4" w:space="0" w:color="auto"/>
            </w:tcBorders>
            <w:shd w:val="clear" w:color="auto" w:fill="auto"/>
            <w:vAlign w:val="center"/>
            <w:hideMark/>
          </w:tcPr>
          <w:p w14:paraId="28ECDF3B"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2 setkání</w:t>
            </w:r>
          </w:p>
        </w:tc>
        <w:tc>
          <w:tcPr>
            <w:tcW w:w="1520" w:type="dxa"/>
            <w:tcBorders>
              <w:top w:val="nil"/>
              <w:left w:val="nil"/>
              <w:bottom w:val="single" w:sz="4" w:space="0" w:color="auto"/>
              <w:right w:val="nil"/>
            </w:tcBorders>
            <w:vAlign w:val="center"/>
          </w:tcPr>
          <w:p w14:paraId="223C909C"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3 setkání</w:t>
            </w:r>
          </w:p>
        </w:tc>
      </w:tr>
      <w:tr w:rsidR="005E6A25" w:rsidRPr="00917E24" w14:paraId="4D9DB88F" w14:textId="77777777" w:rsidTr="005E6A25">
        <w:trPr>
          <w:trHeight w:val="900"/>
        </w:trPr>
        <w:tc>
          <w:tcPr>
            <w:tcW w:w="1452" w:type="dxa"/>
            <w:vMerge/>
            <w:tcBorders>
              <w:top w:val="single" w:sz="8" w:space="0" w:color="auto"/>
              <w:left w:val="single" w:sz="8" w:space="0" w:color="auto"/>
              <w:bottom w:val="single" w:sz="8" w:space="0" w:color="000000"/>
              <w:right w:val="single" w:sz="4" w:space="0" w:color="auto"/>
            </w:tcBorders>
            <w:vAlign w:val="center"/>
            <w:hideMark/>
          </w:tcPr>
          <w:p w14:paraId="5BE2E1E1"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2A005074"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691B3234"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pilotáž aktivit/služeb - podněty pracovních skupin</w:t>
            </w:r>
          </w:p>
        </w:tc>
        <w:tc>
          <w:tcPr>
            <w:tcW w:w="2298" w:type="dxa"/>
            <w:tcBorders>
              <w:top w:val="nil"/>
              <w:left w:val="nil"/>
              <w:bottom w:val="single" w:sz="4" w:space="0" w:color="auto"/>
              <w:right w:val="single" w:sz="4" w:space="0" w:color="auto"/>
            </w:tcBorders>
            <w:shd w:val="clear" w:color="auto" w:fill="auto"/>
            <w:vAlign w:val="center"/>
            <w:hideMark/>
          </w:tcPr>
          <w:p w14:paraId="5361DA58"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začínající firmy, start-up, MSP</w:t>
            </w:r>
          </w:p>
        </w:tc>
        <w:tc>
          <w:tcPr>
            <w:tcW w:w="5030" w:type="dxa"/>
            <w:tcBorders>
              <w:top w:val="nil"/>
              <w:left w:val="nil"/>
              <w:bottom w:val="single" w:sz="4" w:space="0" w:color="auto"/>
              <w:right w:val="single" w:sz="4" w:space="0" w:color="auto"/>
            </w:tcBorders>
            <w:shd w:val="clear" w:color="auto" w:fill="auto"/>
            <w:vAlign w:val="center"/>
            <w:hideMark/>
          </w:tcPr>
          <w:p w14:paraId="6C02398F"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na základě podnětu od členů pracovní skupiny resp. dle potřeb firem příprava nových nástrojů/služeb/programů na podporu podnikání a podnikavosti, jejich pilotáž a vyhodnocení dle "MSIC Service design proces"</w:t>
            </w:r>
          </w:p>
        </w:tc>
        <w:tc>
          <w:tcPr>
            <w:tcW w:w="1520" w:type="dxa"/>
            <w:tcBorders>
              <w:top w:val="nil"/>
              <w:left w:val="nil"/>
              <w:bottom w:val="single" w:sz="4" w:space="0" w:color="auto"/>
              <w:right w:val="single" w:sz="4" w:space="0" w:color="auto"/>
            </w:tcBorders>
            <w:shd w:val="clear" w:color="auto" w:fill="auto"/>
            <w:vAlign w:val="center"/>
            <w:hideMark/>
          </w:tcPr>
          <w:p w14:paraId="2C6709C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 pilotáž</w:t>
            </w:r>
          </w:p>
        </w:tc>
        <w:tc>
          <w:tcPr>
            <w:tcW w:w="1520" w:type="dxa"/>
            <w:tcBorders>
              <w:top w:val="nil"/>
              <w:left w:val="nil"/>
              <w:bottom w:val="single" w:sz="4" w:space="0" w:color="auto"/>
              <w:right w:val="nil"/>
            </w:tcBorders>
            <w:vAlign w:val="center"/>
          </w:tcPr>
          <w:p w14:paraId="07EDECAF"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 pilotáž</w:t>
            </w:r>
          </w:p>
        </w:tc>
      </w:tr>
      <w:tr w:rsidR="005E6A25" w:rsidRPr="00917E24" w14:paraId="5077DDC0" w14:textId="77777777" w:rsidTr="005E6A25">
        <w:trPr>
          <w:trHeight w:val="600"/>
        </w:trPr>
        <w:tc>
          <w:tcPr>
            <w:tcW w:w="1452" w:type="dxa"/>
            <w:vMerge/>
            <w:tcBorders>
              <w:top w:val="single" w:sz="8" w:space="0" w:color="auto"/>
              <w:left w:val="single" w:sz="8" w:space="0" w:color="auto"/>
              <w:bottom w:val="single" w:sz="8" w:space="0" w:color="000000"/>
              <w:right w:val="single" w:sz="4" w:space="0" w:color="auto"/>
            </w:tcBorders>
            <w:vAlign w:val="center"/>
            <w:hideMark/>
          </w:tcPr>
          <w:p w14:paraId="36BE2EA0"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390F8073"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22BF8AD4"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implementace mezinárodních/národních projektů</w:t>
            </w:r>
          </w:p>
        </w:tc>
        <w:tc>
          <w:tcPr>
            <w:tcW w:w="2298" w:type="dxa"/>
            <w:tcBorders>
              <w:top w:val="nil"/>
              <w:left w:val="nil"/>
              <w:bottom w:val="single" w:sz="4" w:space="0" w:color="auto"/>
              <w:right w:val="single" w:sz="4" w:space="0" w:color="auto"/>
            </w:tcBorders>
            <w:shd w:val="clear" w:color="auto" w:fill="auto"/>
            <w:vAlign w:val="center"/>
            <w:hideMark/>
          </w:tcPr>
          <w:p w14:paraId="293DB2B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začínající firmy, start-up, MSP</w:t>
            </w:r>
          </w:p>
        </w:tc>
        <w:tc>
          <w:tcPr>
            <w:tcW w:w="5030" w:type="dxa"/>
            <w:tcBorders>
              <w:top w:val="nil"/>
              <w:left w:val="nil"/>
              <w:bottom w:val="single" w:sz="4" w:space="0" w:color="auto"/>
              <w:right w:val="single" w:sz="4" w:space="0" w:color="auto"/>
            </w:tcBorders>
            <w:shd w:val="clear" w:color="auto" w:fill="auto"/>
            <w:vAlign w:val="center"/>
            <w:hideMark/>
          </w:tcPr>
          <w:p w14:paraId="3EFD1BAC"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zapojení do národních/mezinárodních projektů, které rozvíjejí aktivity/služby/programy na podporu podnikání a podnikavosti</w:t>
            </w:r>
          </w:p>
        </w:tc>
        <w:tc>
          <w:tcPr>
            <w:tcW w:w="1520" w:type="dxa"/>
            <w:tcBorders>
              <w:top w:val="nil"/>
              <w:left w:val="nil"/>
              <w:bottom w:val="single" w:sz="4" w:space="0" w:color="auto"/>
              <w:right w:val="single" w:sz="4" w:space="0" w:color="auto"/>
            </w:tcBorders>
            <w:shd w:val="clear" w:color="auto" w:fill="auto"/>
            <w:vAlign w:val="center"/>
            <w:hideMark/>
          </w:tcPr>
          <w:p w14:paraId="0F1B7A7E"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 mezinárodní setkání</w:t>
            </w:r>
            <w:r w:rsidRPr="00917E24">
              <w:rPr>
                <w:rFonts w:ascii="Calibri" w:hAnsi="Calibri" w:cs="Calibri"/>
                <w:color w:val="000000"/>
                <w:sz w:val="22"/>
                <w:szCs w:val="22"/>
                <w:lang w:eastAsia="cs-CZ"/>
              </w:rPr>
              <w:br/>
              <w:t>1 Design Option Paper</w:t>
            </w:r>
          </w:p>
        </w:tc>
        <w:tc>
          <w:tcPr>
            <w:tcW w:w="1520" w:type="dxa"/>
            <w:tcBorders>
              <w:top w:val="nil"/>
              <w:left w:val="nil"/>
              <w:bottom w:val="single" w:sz="4" w:space="0" w:color="auto"/>
              <w:right w:val="nil"/>
            </w:tcBorders>
            <w:vAlign w:val="center"/>
          </w:tcPr>
          <w:p w14:paraId="2C36E18E"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 mezinárodní setkání</w:t>
            </w:r>
            <w:r w:rsidRPr="00917E24">
              <w:rPr>
                <w:rFonts w:ascii="Calibri" w:hAnsi="Calibri" w:cs="Calibri"/>
                <w:color w:val="000000"/>
                <w:sz w:val="22"/>
                <w:szCs w:val="22"/>
                <w:lang w:eastAsia="cs-CZ"/>
              </w:rPr>
              <w:br/>
              <w:t>1 Design Option Paper</w:t>
            </w:r>
          </w:p>
        </w:tc>
      </w:tr>
      <w:tr w:rsidR="005E6A25" w:rsidRPr="00917E24" w14:paraId="58BA8ACC" w14:textId="77777777" w:rsidTr="005E6A25">
        <w:trPr>
          <w:trHeight w:val="600"/>
        </w:trPr>
        <w:tc>
          <w:tcPr>
            <w:tcW w:w="1452" w:type="dxa"/>
            <w:vMerge/>
            <w:tcBorders>
              <w:top w:val="single" w:sz="8" w:space="0" w:color="auto"/>
              <w:left w:val="single" w:sz="8" w:space="0" w:color="auto"/>
              <w:bottom w:val="single" w:sz="8" w:space="0" w:color="000000"/>
              <w:right w:val="single" w:sz="4" w:space="0" w:color="auto"/>
            </w:tcBorders>
            <w:vAlign w:val="center"/>
            <w:hideMark/>
          </w:tcPr>
          <w:p w14:paraId="2182EE70"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14:paraId="3701F07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TAM</w:t>
            </w:r>
          </w:p>
        </w:tc>
        <w:tc>
          <w:tcPr>
            <w:tcW w:w="2456" w:type="dxa"/>
            <w:tcBorders>
              <w:top w:val="nil"/>
              <w:left w:val="nil"/>
              <w:bottom w:val="single" w:sz="4" w:space="0" w:color="auto"/>
              <w:right w:val="single" w:sz="4" w:space="0" w:color="auto"/>
            </w:tcBorders>
            <w:shd w:val="clear" w:color="auto" w:fill="auto"/>
            <w:vAlign w:val="center"/>
            <w:hideMark/>
          </w:tcPr>
          <w:p w14:paraId="6071E9E7"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pracovní skupina</w:t>
            </w:r>
          </w:p>
        </w:tc>
        <w:tc>
          <w:tcPr>
            <w:tcW w:w="2298" w:type="dxa"/>
            <w:tcBorders>
              <w:top w:val="nil"/>
              <w:left w:val="nil"/>
              <w:bottom w:val="single" w:sz="4" w:space="0" w:color="auto"/>
              <w:right w:val="single" w:sz="4" w:space="0" w:color="auto"/>
            </w:tcBorders>
            <w:shd w:val="clear" w:color="auto" w:fill="auto"/>
            <w:vAlign w:val="center"/>
            <w:hideMark/>
          </w:tcPr>
          <w:p w14:paraId="0D272E5E"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relevantní stakeholdeři RIS MSK</w:t>
            </w:r>
          </w:p>
        </w:tc>
        <w:tc>
          <w:tcPr>
            <w:tcW w:w="5030" w:type="dxa"/>
            <w:tcBorders>
              <w:top w:val="nil"/>
              <w:left w:val="nil"/>
              <w:bottom w:val="single" w:sz="4" w:space="0" w:color="auto"/>
              <w:right w:val="single" w:sz="4" w:space="0" w:color="auto"/>
            </w:tcBorders>
            <w:shd w:val="clear" w:color="auto" w:fill="auto"/>
            <w:vAlign w:val="center"/>
            <w:hideMark/>
          </w:tcPr>
          <w:p w14:paraId="332A91C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koordinace a řízení pracovní skupiny TAM a jejích podskupin např. TPA, OEC</w:t>
            </w:r>
          </w:p>
        </w:tc>
        <w:tc>
          <w:tcPr>
            <w:tcW w:w="1520" w:type="dxa"/>
            <w:tcBorders>
              <w:top w:val="nil"/>
              <w:left w:val="nil"/>
              <w:bottom w:val="single" w:sz="4" w:space="0" w:color="auto"/>
              <w:right w:val="single" w:sz="4" w:space="0" w:color="auto"/>
            </w:tcBorders>
            <w:shd w:val="clear" w:color="auto" w:fill="auto"/>
            <w:vAlign w:val="center"/>
            <w:hideMark/>
          </w:tcPr>
          <w:p w14:paraId="03268F8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2 setkání</w:t>
            </w:r>
          </w:p>
        </w:tc>
        <w:tc>
          <w:tcPr>
            <w:tcW w:w="1520" w:type="dxa"/>
            <w:tcBorders>
              <w:top w:val="nil"/>
              <w:left w:val="nil"/>
              <w:bottom w:val="single" w:sz="4" w:space="0" w:color="auto"/>
              <w:right w:val="nil"/>
            </w:tcBorders>
            <w:vAlign w:val="center"/>
          </w:tcPr>
          <w:p w14:paraId="795BFB09"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3 setkání</w:t>
            </w:r>
          </w:p>
        </w:tc>
      </w:tr>
      <w:tr w:rsidR="005E6A25" w:rsidRPr="00917E24" w14:paraId="79AD9091" w14:textId="77777777" w:rsidTr="005E6A25">
        <w:trPr>
          <w:trHeight w:val="900"/>
        </w:trPr>
        <w:tc>
          <w:tcPr>
            <w:tcW w:w="1452" w:type="dxa"/>
            <w:vMerge/>
            <w:tcBorders>
              <w:top w:val="single" w:sz="8" w:space="0" w:color="auto"/>
              <w:left w:val="single" w:sz="8" w:space="0" w:color="auto"/>
              <w:bottom w:val="single" w:sz="8" w:space="0" w:color="000000"/>
              <w:right w:val="single" w:sz="4" w:space="0" w:color="auto"/>
            </w:tcBorders>
            <w:vAlign w:val="center"/>
            <w:hideMark/>
          </w:tcPr>
          <w:p w14:paraId="076B8EB4"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444E33A8"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07208A94"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pilotáž aktivit/služeb - podněty pracovních skupin</w:t>
            </w:r>
          </w:p>
        </w:tc>
        <w:tc>
          <w:tcPr>
            <w:tcW w:w="2298" w:type="dxa"/>
            <w:tcBorders>
              <w:top w:val="nil"/>
              <w:left w:val="nil"/>
              <w:bottom w:val="single" w:sz="4" w:space="0" w:color="auto"/>
              <w:right w:val="single" w:sz="4" w:space="0" w:color="auto"/>
            </w:tcBorders>
            <w:shd w:val="clear" w:color="auto" w:fill="auto"/>
            <w:vAlign w:val="center"/>
            <w:hideMark/>
          </w:tcPr>
          <w:p w14:paraId="0670FB6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začínající firmy, start-up, MSP</w:t>
            </w:r>
          </w:p>
        </w:tc>
        <w:tc>
          <w:tcPr>
            <w:tcW w:w="5030" w:type="dxa"/>
            <w:tcBorders>
              <w:top w:val="nil"/>
              <w:left w:val="nil"/>
              <w:bottom w:val="single" w:sz="4" w:space="0" w:color="auto"/>
              <w:right w:val="single" w:sz="4" w:space="0" w:color="auto"/>
            </w:tcBorders>
            <w:shd w:val="clear" w:color="auto" w:fill="auto"/>
            <w:vAlign w:val="center"/>
            <w:hideMark/>
          </w:tcPr>
          <w:p w14:paraId="376860C6"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na základě podnětu od členů pracovní skupiny resp. dle potřeb firem příprava nových nástrojů/služeb/programů v oblasti talent management a talent attraction, jejich pilotáž a vyhodnocení dle "MSIC Service design process"</w:t>
            </w:r>
          </w:p>
        </w:tc>
        <w:tc>
          <w:tcPr>
            <w:tcW w:w="1520" w:type="dxa"/>
            <w:tcBorders>
              <w:top w:val="nil"/>
              <w:left w:val="nil"/>
              <w:bottom w:val="single" w:sz="4" w:space="0" w:color="auto"/>
              <w:right w:val="single" w:sz="4" w:space="0" w:color="auto"/>
            </w:tcBorders>
            <w:shd w:val="clear" w:color="auto" w:fill="auto"/>
            <w:vAlign w:val="center"/>
            <w:hideMark/>
          </w:tcPr>
          <w:p w14:paraId="3A557009"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 xml:space="preserve">1 pilotáž </w:t>
            </w:r>
          </w:p>
        </w:tc>
        <w:tc>
          <w:tcPr>
            <w:tcW w:w="1520" w:type="dxa"/>
            <w:tcBorders>
              <w:top w:val="nil"/>
              <w:left w:val="nil"/>
              <w:bottom w:val="single" w:sz="4" w:space="0" w:color="auto"/>
              <w:right w:val="nil"/>
            </w:tcBorders>
            <w:vAlign w:val="center"/>
          </w:tcPr>
          <w:p w14:paraId="7AB7D684"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 pilotáž</w:t>
            </w:r>
          </w:p>
        </w:tc>
      </w:tr>
      <w:tr w:rsidR="005E6A25" w:rsidRPr="00917E24" w14:paraId="24EAC37B" w14:textId="77777777" w:rsidTr="005E6A25">
        <w:trPr>
          <w:trHeight w:val="1200"/>
        </w:trPr>
        <w:tc>
          <w:tcPr>
            <w:tcW w:w="1452" w:type="dxa"/>
            <w:vMerge/>
            <w:tcBorders>
              <w:top w:val="single" w:sz="8" w:space="0" w:color="auto"/>
              <w:left w:val="single" w:sz="8" w:space="0" w:color="auto"/>
              <w:bottom w:val="single" w:sz="8" w:space="0" w:color="000000"/>
              <w:right w:val="single" w:sz="4" w:space="0" w:color="auto"/>
            </w:tcBorders>
            <w:vAlign w:val="center"/>
            <w:hideMark/>
          </w:tcPr>
          <w:p w14:paraId="12900C61"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3B37A8E6"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61575A37"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implementace mezinárodních/národních projektů</w:t>
            </w:r>
          </w:p>
        </w:tc>
        <w:tc>
          <w:tcPr>
            <w:tcW w:w="2298" w:type="dxa"/>
            <w:tcBorders>
              <w:top w:val="nil"/>
              <w:left w:val="nil"/>
              <w:bottom w:val="single" w:sz="4" w:space="0" w:color="auto"/>
              <w:right w:val="single" w:sz="4" w:space="0" w:color="auto"/>
            </w:tcBorders>
            <w:shd w:val="clear" w:color="auto" w:fill="auto"/>
            <w:vAlign w:val="center"/>
            <w:hideMark/>
          </w:tcPr>
          <w:p w14:paraId="6F2CE7F0"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začínající firmy, start-up, MSP</w:t>
            </w:r>
          </w:p>
        </w:tc>
        <w:tc>
          <w:tcPr>
            <w:tcW w:w="5030" w:type="dxa"/>
            <w:tcBorders>
              <w:top w:val="nil"/>
              <w:left w:val="nil"/>
              <w:bottom w:val="single" w:sz="4" w:space="0" w:color="auto"/>
              <w:right w:val="single" w:sz="4" w:space="0" w:color="auto"/>
            </w:tcBorders>
            <w:shd w:val="clear" w:color="auto" w:fill="auto"/>
            <w:vAlign w:val="center"/>
            <w:hideMark/>
          </w:tcPr>
          <w:p w14:paraId="28CADAF9"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zapojení do národních/mezinárodních projektů, které rozvíjejí aktivity/služby/programy na podporu talent managementu a talent attraction</w:t>
            </w:r>
          </w:p>
        </w:tc>
        <w:tc>
          <w:tcPr>
            <w:tcW w:w="1520" w:type="dxa"/>
            <w:tcBorders>
              <w:top w:val="nil"/>
              <w:left w:val="nil"/>
              <w:bottom w:val="single" w:sz="4" w:space="0" w:color="auto"/>
              <w:right w:val="single" w:sz="4" w:space="0" w:color="auto"/>
            </w:tcBorders>
            <w:shd w:val="clear" w:color="auto" w:fill="auto"/>
            <w:vAlign w:val="center"/>
            <w:hideMark/>
          </w:tcPr>
          <w:p w14:paraId="093F54CF"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zapojení do projektu ERASMUS:</w:t>
            </w:r>
            <w:r w:rsidRPr="00917E24">
              <w:rPr>
                <w:rFonts w:ascii="Calibri" w:hAnsi="Calibri" w:cs="Calibri"/>
                <w:color w:val="000000"/>
                <w:sz w:val="22"/>
                <w:szCs w:val="22"/>
                <w:lang w:eastAsia="cs-CZ"/>
              </w:rPr>
              <w:br/>
              <w:t>- 2 Eduboxy (Aj, Čj)</w:t>
            </w:r>
            <w:r w:rsidRPr="00917E24">
              <w:rPr>
                <w:rFonts w:ascii="Calibri" w:hAnsi="Calibri" w:cs="Calibri"/>
                <w:color w:val="000000"/>
                <w:sz w:val="22"/>
                <w:szCs w:val="22"/>
                <w:lang w:eastAsia="cs-CZ"/>
              </w:rPr>
              <w:br/>
              <w:t>- 1 mezinárodní meeting</w:t>
            </w:r>
          </w:p>
        </w:tc>
        <w:tc>
          <w:tcPr>
            <w:tcW w:w="1520" w:type="dxa"/>
            <w:tcBorders>
              <w:top w:val="nil"/>
              <w:left w:val="nil"/>
              <w:bottom w:val="single" w:sz="4" w:space="0" w:color="auto"/>
              <w:right w:val="nil"/>
            </w:tcBorders>
            <w:vAlign w:val="center"/>
          </w:tcPr>
          <w:p w14:paraId="5DA52E36"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zapojení do projektu ERASMUS:</w:t>
            </w:r>
            <w:r w:rsidRPr="00917E24">
              <w:rPr>
                <w:rFonts w:ascii="Calibri" w:hAnsi="Calibri" w:cs="Calibri"/>
                <w:color w:val="000000"/>
                <w:sz w:val="22"/>
                <w:szCs w:val="22"/>
                <w:lang w:eastAsia="cs-CZ"/>
              </w:rPr>
              <w:br/>
              <w:t>- 2 Eduboxy (Aj, Čj)</w:t>
            </w:r>
            <w:r w:rsidRPr="00917E24">
              <w:rPr>
                <w:rFonts w:ascii="Calibri" w:hAnsi="Calibri" w:cs="Calibri"/>
                <w:color w:val="000000"/>
                <w:sz w:val="22"/>
                <w:szCs w:val="22"/>
                <w:lang w:eastAsia="cs-CZ"/>
              </w:rPr>
              <w:br/>
              <w:t>- 1 mezinárodní meeting</w:t>
            </w:r>
          </w:p>
        </w:tc>
      </w:tr>
      <w:tr w:rsidR="005E6A25" w:rsidRPr="00917E24" w14:paraId="1D4D858C" w14:textId="77777777" w:rsidTr="005E6A25">
        <w:trPr>
          <w:trHeight w:val="600"/>
        </w:trPr>
        <w:tc>
          <w:tcPr>
            <w:tcW w:w="1452" w:type="dxa"/>
            <w:vMerge/>
            <w:tcBorders>
              <w:top w:val="single" w:sz="8" w:space="0" w:color="auto"/>
              <w:left w:val="single" w:sz="8" w:space="0" w:color="auto"/>
              <w:bottom w:val="single" w:sz="8" w:space="0" w:color="000000"/>
              <w:right w:val="single" w:sz="4" w:space="0" w:color="auto"/>
            </w:tcBorders>
            <w:vAlign w:val="center"/>
            <w:hideMark/>
          </w:tcPr>
          <w:p w14:paraId="5D5A14CE"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14:paraId="63DD1BD8"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MSK Digital</w:t>
            </w:r>
          </w:p>
        </w:tc>
        <w:tc>
          <w:tcPr>
            <w:tcW w:w="2456" w:type="dxa"/>
            <w:tcBorders>
              <w:top w:val="nil"/>
              <w:left w:val="nil"/>
              <w:bottom w:val="single" w:sz="4" w:space="0" w:color="auto"/>
              <w:right w:val="single" w:sz="4" w:space="0" w:color="auto"/>
            </w:tcBorders>
            <w:shd w:val="clear" w:color="auto" w:fill="auto"/>
            <w:vAlign w:val="center"/>
            <w:hideMark/>
          </w:tcPr>
          <w:p w14:paraId="348214B9"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pracovní skupina</w:t>
            </w:r>
          </w:p>
        </w:tc>
        <w:tc>
          <w:tcPr>
            <w:tcW w:w="2298" w:type="dxa"/>
            <w:tcBorders>
              <w:top w:val="nil"/>
              <w:left w:val="nil"/>
              <w:bottom w:val="single" w:sz="4" w:space="0" w:color="auto"/>
              <w:right w:val="single" w:sz="4" w:space="0" w:color="auto"/>
            </w:tcBorders>
            <w:shd w:val="clear" w:color="auto" w:fill="auto"/>
            <w:vAlign w:val="center"/>
            <w:hideMark/>
          </w:tcPr>
          <w:p w14:paraId="7D61BC38"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relevantní stakeholdeři RIS MSK</w:t>
            </w:r>
          </w:p>
        </w:tc>
        <w:tc>
          <w:tcPr>
            <w:tcW w:w="5030" w:type="dxa"/>
            <w:tcBorders>
              <w:top w:val="nil"/>
              <w:left w:val="nil"/>
              <w:bottom w:val="single" w:sz="4" w:space="0" w:color="auto"/>
              <w:right w:val="single" w:sz="4" w:space="0" w:color="auto"/>
            </w:tcBorders>
            <w:shd w:val="clear" w:color="auto" w:fill="auto"/>
            <w:vAlign w:val="center"/>
            <w:hideMark/>
          </w:tcPr>
          <w:p w14:paraId="297EA755"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koordinace a řízení pracovní skupiny MSK Digital a jejích podskupin např. cyber-security</w:t>
            </w:r>
          </w:p>
        </w:tc>
        <w:tc>
          <w:tcPr>
            <w:tcW w:w="1520" w:type="dxa"/>
            <w:tcBorders>
              <w:top w:val="nil"/>
              <w:left w:val="nil"/>
              <w:bottom w:val="single" w:sz="4" w:space="0" w:color="auto"/>
              <w:right w:val="single" w:sz="4" w:space="0" w:color="auto"/>
            </w:tcBorders>
            <w:shd w:val="clear" w:color="auto" w:fill="auto"/>
            <w:vAlign w:val="center"/>
            <w:hideMark/>
          </w:tcPr>
          <w:p w14:paraId="7AE62C6F"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2 setkání</w:t>
            </w:r>
          </w:p>
        </w:tc>
        <w:tc>
          <w:tcPr>
            <w:tcW w:w="1520" w:type="dxa"/>
            <w:tcBorders>
              <w:top w:val="nil"/>
              <w:left w:val="nil"/>
              <w:bottom w:val="single" w:sz="4" w:space="0" w:color="auto"/>
              <w:right w:val="nil"/>
            </w:tcBorders>
            <w:vAlign w:val="center"/>
          </w:tcPr>
          <w:p w14:paraId="6B43A63E"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3 setkání</w:t>
            </w:r>
          </w:p>
        </w:tc>
      </w:tr>
      <w:tr w:rsidR="005E6A25" w:rsidRPr="00917E24" w14:paraId="68297972" w14:textId="77777777" w:rsidTr="005E6A25">
        <w:trPr>
          <w:trHeight w:val="900"/>
        </w:trPr>
        <w:tc>
          <w:tcPr>
            <w:tcW w:w="1452" w:type="dxa"/>
            <w:vMerge/>
            <w:tcBorders>
              <w:top w:val="single" w:sz="8" w:space="0" w:color="auto"/>
              <w:left w:val="single" w:sz="8" w:space="0" w:color="auto"/>
              <w:bottom w:val="single" w:sz="8" w:space="0" w:color="000000"/>
              <w:right w:val="single" w:sz="4" w:space="0" w:color="auto"/>
            </w:tcBorders>
            <w:vAlign w:val="center"/>
            <w:hideMark/>
          </w:tcPr>
          <w:p w14:paraId="42090A6D"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6FE1C4C5"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4346BD37"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pilotáž aktivit/služeb - podněty pracovních skupin</w:t>
            </w:r>
          </w:p>
        </w:tc>
        <w:tc>
          <w:tcPr>
            <w:tcW w:w="2298" w:type="dxa"/>
            <w:tcBorders>
              <w:top w:val="nil"/>
              <w:left w:val="nil"/>
              <w:bottom w:val="single" w:sz="4" w:space="0" w:color="auto"/>
              <w:right w:val="single" w:sz="4" w:space="0" w:color="auto"/>
            </w:tcBorders>
            <w:shd w:val="clear" w:color="auto" w:fill="auto"/>
            <w:vAlign w:val="center"/>
            <w:hideMark/>
          </w:tcPr>
          <w:p w14:paraId="0BD5C65E"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začínající firmy, start-up, MSP</w:t>
            </w:r>
          </w:p>
        </w:tc>
        <w:tc>
          <w:tcPr>
            <w:tcW w:w="5030" w:type="dxa"/>
            <w:tcBorders>
              <w:top w:val="nil"/>
              <w:left w:val="nil"/>
              <w:bottom w:val="single" w:sz="4" w:space="0" w:color="auto"/>
              <w:right w:val="single" w:sz="4" w:space="0" w:color="auto"/>
            </w:tcBorders>
            <w:shd w:val="clear" w:color="auto" w:fill="auto"/>
            <w:vAlign w:val="center"/>
            <w:hideMark/>
          </w:tcPr>
          <w:p w14:paraId="2327C065"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na základě podnětu od členů pracovní skupiny resp. dle potřeb firem příprava nových nástrojů na podporu podnikání a podnikavosti, jejich pilotáž a vyhodnocení dle "MSIC Service design process"</w:t>
            </w:r>
          </w:p>
        </w:tc>
        <w:tc>
          <w:tcPr>
            <w:tcW w:w="1520" w:type="dxa"/>
            <w:tcBorders>
              <w:top w:val="nil"/>
              <w:left w:val="nil"/>
              <w:bottom w:val="single" w:sz="4" w:space="0" w:color="auto"/>
              <w:right w:val="single" w:sz="4" w:space="0" w:color="auto"/>
            </w:tcBorders>
            <w:shd w:val="clear" w:color="auto" w:fill="auto"/>
            <w:vAlign w:val="center"/>
            <w:hideMark/>
          </w:tcPr>
          <w:p w14:paraId="470C97AA"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 pilotáž</w:t>
            </w:r>
          </w:p>
        </w:tc>
        <w:tc>
          <w:tcPr>
            <w:tcW w:w="1520" w:type="dxa"/>
            <w:tcBorders>
              <w:top w:val="nil"/>
              <w:left w:val="nil"/>
              <w:bottom w:val="single" w:sz="4" w:space="0" w:color="auto"/>
              <w:right w:val="nil"/>
            </w:tcBorders>
            <w:vAlign w:val="center"/>
          </w:tcPr>
          <w:p w14:paraId="49233EB5"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 pilotáž</w:t>
            </w:r>
          </w:p>
        </w:tc>
      </w:tr>
      <w:tr w:rsidR="005E6A25" w:rsidRPr="00917E24" w14:paraId="69E2A798" w14:textId="77777777" w:rsidTr="005E6A25">
        <w:trPr>
          <w:trHeight w:val="600"/>
        </w:trPr>
        <w:tc>
          <w:tcPr>
            <w:tcW w:w="1452" w:type="dxa"/>
            <w:vMerge/>
            <w:tcBorders>
              <w:top w:val="single" w:sz="8" w:space="0" w:color="auto"/>
              <w:left w:val="single" w:sz="8" w:space="0" w:color="auto"/>
              <w:bottom w:val="single" w:sz="8" w:space="0" w:color="000000"/>
              <w:right w:val="single" w:sz="4" w:space="0" w:color="auto"/>
            </w:tcBorders>
            <w:vAlign w:val="center"/>
            <w:hideMark/>
          </w:tcPr>
          <w:p w14:paraId="1A25067F"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19770830"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0681C8F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implementace mezinárodních/národních projektů</w:t>
            </w:r>
          </w:p>
        </w:tc>
        <w:tc>
          <w:tcPr>
            <w:tcW w:w="2298" w:type="dxa"/>
            <w:tcBorders>
              <w:top w:val="nil"/>
              <w:left w:val="nil"/>
              <w:bottom w:val="single" w:sz="4" w:space="0" w:color="auto"/>
              <w:right w:val="single" w:sz="4" w:space="0" w:color="auto"/>
            </w:tcBorders>
            <w:shd w:val="clear" w:color="auto" w:fill="auto"/>
            <w:vAlign w:val="center"/>
            <w:hideMark/>
          </w:tcPr>
          <w:p w14:paraId="3C06A589"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začínající firmy, start-up, MSP</w:t>
            </w:r>
          </w:p>
        </w:tc>
        <w:tc>
          <w:tcPr>
            <w:tcW w:w="5030" w:type="dxa"/>
            <w:tcBorders>
              <w:top w:val="nil"/>
              <w:left w:val="nil"/>
              <w:bottom w:val="single" w:sz="4" w:space="0" w:color="auto"/>
              <w:right w:val="single" w:sz="4" w:space="0" w:color="auto"/>
            </w:tcBorders>
            <w:shd w:val="clear" w:color="auto" w:fill="auto"/>
            <w:vAlign w:val="center"/>
            <w:hideMark/>
          </w:tcPr>
          <w:p w14:paraId="66094665"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zapojení do národních/mezinárodních projektů, které rozvíjejí aktivity/služby/programy na podporu digitalizace primárně u MSP (např. EDIH Ostrava)</w:t>
            </w:r>
          </w:p>
        </w:tc>
        <w:tc>
          <w:tcPr>
            <w:tcW w:w="1520" w:type="dxa"/>
            <w:tcBorders>
              <w:top w:val="nil"/>
              <w:left w:val="nil"/>
              <w:bottom w:val="single" w:sz="4" w:space="0" w:color="auto"/>
              <w:right w:val="single" w:sz="4" w:space="0" w:color="auto"/>
            </w:tcBorders>
            <w:shd w:val="clear" w:color="auto" w:fill="auto"/>
            <w:vAlign w:val="center"/>
            <w:hideMark/>
          </w:tcPr>
          <w:p w14:paraId="0CDE716D"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žádost do programu European digital Innovation Hub</w:t>
            </w:r>
          </w:p>
        </w:tc>
        <w:tc>
          <w:tcPr>
            <w:tcW w:w="1520" w:type="dxa"/>
            <w:tcBorders>
              <w:top w:val="nil"/>
              <w:left w:val="nil"/>
              <w:bottom w:val="single" w:sz="4" w:space="0" w:color="auto"/>
              <w:right w:val="nil"/>
            </w:tcBorders>
            <w:vAlign w:val="center"/>
          </w:tcPr>
          <w:p w14:paraId="4CB2292E"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žádost do programu European digital Innovation Hub</w:t>
            </w:r>
          </w:p>
        </w:tc>
      </w:tr>
      <w:tr w:rsidR="005E6A25" w:rsidRPr="00917E24" w14:paraId="52301155" w14:textId="77777777" w:rsidTr="005E6A25">
        <w:trPr>
          <w:trHeight w:val="600"/>
        </w:trPr>
        <w:tc>
          <w:tcPr>
            <w:tcW w:w="1452" w:type="dxa"/>
            <w:vMerge/>
            <w:tcBorders>
              <w:top w:val="single" w:sz="8" w:space="0" w:color="auto"/>
              <w:left w:val="single" w:sz="8" w:space="0" w:color="auto"/>
              <w:bottom w:val="single" w:sz="8" w:space="0" w:color="000000"/>
              <w:right w:val="single" w:sz="4" w:space="0" w:color="auto"/>
            </w:tcBorders>
            <w:vAlign w:val="center"/>
            <w:hideMark/>
          </w:tcPr>
          <w:p w14:paraId="374462E9"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14:paraId="559365AD"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ENVI</w:t>
            </w:r>
          </w:p>
        </w:tc>
        <w:tc>
          <w:tcPr>
            <w:tcW w:w="2456" w:type="dxa"/>
            <w:tcBorders>
              <w:top w:val="nil"/>
              <w:left w:val="nil"/>
              <w:bottom w:val="single" w:sz="4" w:space="0" w:color="auto"/>
              <w:right w:val="single" w:sz="4" w:space="0" w:color="auto"/>
            </w:tcBorders>
            <w:shd w:val="clear" w:color="auto" w:fill="auto"/>
            <w:vAlign w:val="center"/>
            <w:hideMark/>
          </w:tcPr>
          <w:p w14:paraId="12B0804E"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pracovní skupina</w:t>
            </w:r>
          </w:p>
        </w:tc>
        <w:tc>
          <w:tcPr>
            <w:tcW w:w="2298" w:type="dxa"/>
            <w:tcBorders>
              <w:top w:val="nil"/>
              <w:left w:val="nil"/>
              <w:bottom w:val="single" w:sz="4" w:space="0" w:color="auto"/>
              <w:right w:val="single" w:sz="4" w:space="0" w:color="auto"/>
            </w:tcBorders>
            <w:shd w:val="clear" w:color="auto" w:fill="auto"/>
            <w:vAlign w:val="center"/>
            <w:hideMark/>
          </w:tcPr>
          <w:p w14:paraId="1836FDBD"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relevantní stakeholdeři RIS MSK</w:t>
            </w:r>
          </w:p>
        </w:tc>
        <w:tc>
          <w:tcPr>
            <w:tcW w:w="5030" w:type="dxa"/>
            <w:tcBorders>
              <w:top w:val="nil"/>
              <w:left w:val="nil"/>
              <w:bottom w:val="single" w:sz="4" w:space="0" w:color="auto"/>
              <w:right w:val="single" w:sz="4" w:space="0" w:color="auto"/>
            </w:tcBorders>
            <w:shd w:val="clear" w:color="auto" w:fill="auto"/>
            <w:vAlign w:val="center"/>
            <w:hideMark/>
          </w:tcPr>
          <w:p w14:paraId="10B1077E"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koordinace a řízení pracovní skupiny ENVI-TECH a jejích podskupin např. CECI (téma cirkulární ekonomiky)</w:t>
            </w:r>
          </w:p>
        </w:tc>
        <w:tc>
          <w:tcPr>
            <w:tcW w:w="1520" w:type="dxa"/>
            <w:tcBorders>
              <w:top w:val="nil"/>
              <w:left w:val="nil"/>
              <w:bottom w:val="single" w:sz="4" w:space="0" w:color="auto"/>
              <w:right w:val="single" w:sz="4" w:space="0" w:color="auto"/>
            </w:tcBorders>
            <w:shd w:val="clear" w:color="auto" w:fill="auto"/>
            <w:vAlign w:val="center"/>
            <w:hideMark/>
          </w:tcPr>
          <w:p w14:paraId="7279195A"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2 setkání</w:t>
            </w:r>
          </w:p>
        </w:tc>
        <w:tc>
          <w:tcPr>
            <w:tcW w:w="1520" w:type="dxa"/>
            <w:tcBorders>
              <w:top w:val="nil"/>
              <w:left w:val="nil"/>
              <w:bottom w:val="single" w:sz="4" w:space="0" w:color="auto"/>
              <w:right w:val="nil"/>
            </w:tcBorders>
            <w:vAlign w:val="center"/>
          </w:tcPr>
          <w:p w14:paraId="2ACE94D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3 setkání</w:t>
            </w:r>
          </w:p>
        </w:tc>
      </w:tr>
      <w:tr w:rsidR="005E6A25" w:rsidRPr="00917E24" w14:paraId="4D806452" w14:textId="77777777" w:rsidTr="005E6A25">
        <w:trPr>
          <w:trHeight w:val="900"/>
        </w:trPr>
        <w:tc>
          <w:tcPr>
            <w:tcW w:w="1452" w:type="dxa"/>
            <w:vMerge/>
            <w:tcBorders>
              <w:top w:val="single" w:sz="8" w:space="0" w:color="auto"/>
              <w:left w:val="single" w:sz="8" w:space="0" w:color="auto"/>
              <w:bottom w:val="single" w:sz="8" w:space="0" w:color="000000"/>
              <w:right w:val="single" w:sz="4" w:space="0" w:color="auto"/>
            </w:tcBorders>
            <w:vAlign w:val="center"/>
            <w:hideMark/>
          </w:tcPr>
          <w:p w14:paraId="1915C9F1"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73F0D0C7"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78866544"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pilotáž aktivit/služeb - podněty pracovních skupin</w:t>
            </w:r>
          </w:p>
        </w:tc>
        <w:tc>
          <w:tcPr>
            <w:tcW w:w="2298" w:type="dxa"/>
            <w:tcBorders>
              <w:top w:val="nil"/>
              <w:left w:val="nil"/>
              <w:bottom w:val="single" w:sz="4" w:space="0" w:color="auto"/>
              <w:right w:val="single" w:sz="4" w:space="0" w:color="auto"/>
            </w:tcBorders>
            <w:shd w:val="clear" w:color="auto" w:fill="auto"/>
            <w:vAlign w:val="center"/>
            <w:hideMark/>
          </w:tcPr>
          <w:p w14:paraId="56E7CF06"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začínající firmy, start-up, MSP</w:t>
            </w:r>
          </w:p>
        </w:tc>
        <w:tc>
          <w:tcPr>
            <w:tcW w:w="5030" w:type="dxa"/>
            <w:tcBorders>
              <w:top w:val="nil"/>
              <w:left w:val="nil"/>
              <w:bottom w:val="single" w:sz="4" w:space="0" w:color="auto"/>
              <w:right w:val="single" w:sz="4" w:space="0" w:color="auto"/>
            </w:tcBorders>
            <w:shd w:val="clear" w:color="auto" w:fill="auto"/>
            <w:vAlign w:val="center"/>
            <w:hideMark/>
          </w:tcPr>
          <w:p w14:paraId="15FDF39F"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na základě podnětu od členů pracovní skupiny resp. dle potřeb firem příprava nových nástrojů na podporu podnikání a podnikavosti, jejich pilotáž a vyhodnocení dle "MSIC Service design process"</w:t>
            </w:r>
          </w:p>
        </w:tc>
        <w:tc>
          <w:tcPr>
            <w:tcW w:w="1520" w:type="dxa"/>
            <w:tcBorders>
              <w:top w:val="nil"/>
              <w:left w:val="nil"/>
              <w:bottom w:val="single" w:sz="4" w:space="0" w:color="auto"/>
              <w:right w:val="single" w:sz="4" w:space="0" w:color="auto"/>
            </w:tcBorders>
            <w:shd w:val="clear" w:color="auto" w:fill="auto"/>
            <w:vAlign w:val="center"/>
            <w:hideMark/>
          </w:tcPr>
          <w:p w14:paraId="4A77D774"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 pilotáž - ENVI RoadShow</w:t>
            </w:r>
            <w:r w:rsidRPr="00917E24">
              <w:rPr>
                <w:rFonts w:ascii="Calibri" w:hAnsi="Calibri" w:cs="Calibri"/>
                <w:color w:val="000000"/>
                <w:sz w:val="22"/>
                <w:szCs w:val="22"/>
                <w:lang w:eastAsia="cs-CZ"/>
              </w:rPr>
              <w:br/>
              <w:t>1 pilotáž - Material Market</w:t>
            </w:r>
          </w:p>
        </w:tc>
        <w:tc>
          <w:tcPr>
            <w:tcW w:w="1520" w:type="dxa"/>
            <w:tcBorders>
              <w:top w:val="nil"/>
              <w:left w:val="nil"/>
              <w:bottom w:val="single" w:sz="4" w:space="0" w:color="auto"/>
              <w:right w:val="nil"/>
            </w:tcBorders>
            <w:vAlign w:val="center"/>
          </w:tcPr>
          <w:p w14:paraId="72915BEC"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2 pilotáže</w:t>
            </w:r>
          </w:p>
        </w:tc>
      </w:tr>
      <w:tr w:rsidR="005E6A25" w:rsidRPr="00917E24" w14:paraId="0C0F63FC" w14:textId="77777777" w:rsidTr="005E6A25">
        <w:trPr>
          <w:trHeight w:val="2400"/>
        </w:trPr>
        <w:tc>
          <w:tcPr>
            <w:tcW w:w="1452" w:type="dxa"/>
            <w:vMerge/>
            <w:tcBorders>
              <w:top w:val="single" w:sz="8" w:space="0" w:color="auto"/>
              <w:left w:val="single" w:sz="8" w:space="0" w:color="auto"/>
              <w:bottom w:val="single" w:sz="8" w:space="0" w:color="000000"/>
              <w:right w:val="single" w:sz="4" w:space="0" w:color="auto"/>
            </w:tcBorders>
            <w:vAlign w:val="center"/>
            <w:hideMark/>
          </w:tcPr>
          <w:p w14:paraId="519573BB"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6D85B3E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3D52D4F8"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implementace mezinárodních/národních projektů</w:t>
            </w:r>
          </w:p>
        </w:tc>
        <w:tc>
          <w:tcPr>
            <w:tcW w:w="2298" w:type="dxa"/>
            <w:tcBorders>
              <w:top w:val="nil"/>
              <w:left w:val="nil"/>
              <w:bottom w:val="single" w:sz="4" w:space="0" w:color="auto"/>
              <w:right w:val="single" w:sz="4" w:space="0" w:color="auto"/>
            </w:tcBorders>
            <w:shd w:val="clear" w:color="auto" w:fill="auto"/>
            <w:vAlign w:val="center"/>
            <w:hideMark/>
          </w:tcPr>
          <w:p w14:paraId="2DC10F47"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začínající firmy, start-up, MSP</w:t>
            </w:r>
          </w:p>
        </w:tc>
        <w:tc>
          <w:tcPr>
            <w:tcW w:w="5030" w:type="dxa"/>
            <w:tcBorders>
              <w:top w:val="nil"/>
              <w:left w:val="nil"/>
              <w:bottom w:val="single" w:sz="4" w:space="0" w:color="auto"/>
              <w:right w:val="single" w:sz="4" w:space="0" w:color="auto"/>
            </w:tcBorders>
            <w:shd w:val="clear" w:color="auto" w:fill="auto"/>
            <w:vAlign w:val="center"/>
            <w:hideMark/>
          </w:tcPr>
          <w:p w14:paraId="6273E0D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zapojení do národních/mezinárodních projektů, které rozvíjejí aktivity/služby/programy na podporu MSP/start-upů při naplňování GreenDeal a Fit for 55  (např. CECI)</w:t>
            </w:r>
          </w:p>
        </w:tc>
        <w:tc>
          <w:tcPr>
            <w:tcW w:w="1520" w:type="dxa"/>
            <w:tcBorders>
              <w:top w:val="nil"/>
              <w:left w:val="nil"/>
              <w:bottom w:val="single" w:sz="4" w:space="0" w:color="auto"/>
              <w:right w:val="single" w:sz="4" w:space="0" w:color="auto"/>
            </w:tcBorders>
            <w:shd w:val="clear" w:color="auto" w:fill="auto"/>
            <w:vAlign w:val="center"/>
            <w:hideMark/>
          </w:tcPr>
          <w:p w14:paraId="1284C3D0"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zapojení do projektu CECI</w:t>
            </w:r>
            <w:r w:rsidRPr="00917E24">
              <w:rPr>
                <w:rFonts w:ascii="Calibri" w:hAnsi="Calibri" w:cs="Calibri"/>
                <w:color w:val="000000"/>
                <w:sz w:val="22"/>
                <w:szCs w:val="22"/>
                <w:lang w:eastAsia="cs-CZ"/>
              </w:rPr>
              <w:br/>
              <w:t>- action plan</w:t>
            </w:r>
            <w:r w:rsidRPr="00917E24">
              <w:rPr>
                <w:rFonts w:ascii="Calibri" w:hAnsi="Calibri" w:cs="Calibri"/>
                <w:color w:val="000000"/>
                <w:sz w:val="22"/>
                <w:szCs w:val="22"/>
                <w:lang w:eastAsia="cs-CZ"/>
              </w:rPr>
              <w:br/>
              <w:t>- osvětové akce pro veřejnost (1)</w:t>
            </w:r>
            <w:r w:rsidRPr="00917E24">
              <w:rPr>
                <w:rFonts w:ascii="Calibri" w:hAnsi="Calibri" w:cs="Calibri"/>
                <w:color w:val="000000"/>
                <w:sz w:val="22"/>
                <w:szCs w:val="22"/>
                <w:lang w:eastAsia="cs-CZ"/>
              </w:rPr>
              <w:br/>
              <w:t>- video dobrá praxe (50 %)</w:t>
            </w:r>
            <w:r w:rsidRPr="00917E24">
              <w:rPr>
                <w:rFonts w:ascii="Calibri" w:hAnsi="Calibri" w:cs="Calibri"/>
                <w:color w:val="000000"/>
                <w:sz w:val="22"/>
                <w:szCs w:val="22"/>
                <w:lang w:eastAsia="cs-CZ"/>
              </w:rPr>
              <w:br/>
              <w:t>- partnerské setkání Ostrava (50 %)</w:t>
            </w:r>
            <w:r w:rsidRPr="00917E24">
              <w:rPr>
                <w:rFonts w:ascii="Calibri" w:hAnsi="Calibri" w:cs="Calibri"/>
                <w:color w:val="000000"/>
                <w:sz w:val="22"/>
                <w:szCs w:val="22"/>
                <w:lang w:eastAsia="cs-CZ"/>
              </w:rPr>
              <w:br/>
              <w:t>- partnerská setkání mimo CR - 2 (50 %)</w:t>
            </w:r>
          </w:p>
        </w:tc>
        <w:tc>
          <w:tcPr>
            <w:tcW w:w="1520" w:type="dxa"/>
            <w:tcBorders>
              <w:top w:val="nil"/>
              <w:left w:val="nil"/>
              <w:bottom w:val="single" w:sz="4" w:space="0" w:color="auto"/>
              <w:right w:val="nil"/>
            </w:tcBorders>
            <w:vAlign w:val="center"/>
          </w:tcPr>
          <w:p w14:paraId="0A58CF25"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zapojení do projektu CECI</w:t>
            </w:r>
            <w:r w:rsidRPr="00917E24">
              <w:rPr>
                <w:rFonts w:ascii="Calibri" w:hAnsi="Calibri" w:cs="Calibri"/>
                <w:color w:val="000000"/>
                <w:sz w:val="22"/>
                <w:szCs w:val="22"/>
                <w:lang w:eastAsia="cs-CZ"/>
              </w:rPr>
              <w:br/>
              <w:t>- action plan</w:t>
            </w:r>
            <w:r w:rsidRPr="00917E24">
              <w:rPr>
                <w:rFonts w:ascii="Calibri" w:hAnsi="Calibri" w:cs="Calibri"/>
                <w:color w:val="000000"/>
                <w:sz w:val="22"/>
                <w:szCs w:val="22"/>
                <w:lang w:eastAsia="cs-CZ"/>
              </w:rPr>
              <w:br/>
              <w:t>- osvětové akce pro veřejnost (2)</w:t>
            </w:r>
            <w:r w:rsidRPr="00917E24">
              <w:rPr>
                <w:rFonts w:ascii="Calibri" w:hAnsi="Calibri" w:cs="Calibri"/>
                <w:color w:val="000000"/>
                <w:sz w:val="22"/>
                <w:szCs w:val="22"/>
                <w:lang w:eastAsia="cs-CZ"/>
              </w:rPr>
              <w:br/>
              <w:t xml:space="preserve">- video dobrá praxe </w:t>
            </w:r>
            <w:r w:rsidRPr="00917E24">
              <w:rPr>
                <w:rFonts w:ascii="Calibri" w:hAnsi="Calibri" w:cs="Calibri"/>
                <w:color w:val="000000"/>
                <w:sz w:val="22"/>
                <w:szCs w:val="22"/>
                <w:lang w:eastAsia="cs-CZ"/>
              </w:rPr>
              <w:br/>
              <w:t>- partnerské setkání Ostrava</w:t>
            </w:r>
            <w:r w:rsidRPr="00917E24">
              <w:rPr>
                <w:rFonts w:ascii="Calibri" w:hAnsi="Calibri" w:cs="Calibri"/>
                <w:color w:val="000000"/>
                <w:sz w:val="22"/>
                <w:szCs w:val="22"/>
                <w:lang w:eastAsia="cs-CZ"/>
              </w:rPr>
              <w:br/>
              <w:t xml:space="preserve">- partnerská setkání mimo CR - 2 </w:t>
            </w:r>
          </w:p>
        </w:tc>
      </w:tr>
      <w:tr w:rsidR="005E6A25" w:rsidRPr="00917E24" w14:paraId="6813BAF8" w14:textId="77777777" w:rsidTr="005E6A25">
        <w:trPr>
          <w:trHeight w:val="600"/>
        </w:trPr>
        <w:tc>
          <w:tcPr>
            <w:tcW w:w="1452" w:type="dxa"/>
            <w:vMerge/>
            <w:tcBorders>
              <w:top w:val="single" w:sz="8" w:space="0" w:color="auto"/>
              <w:left w:val="single" w:sz="8" w:space="0" w:color="auto"/>
              <w:bottom w:val="single" w:sz="8" w:space="0" w:color="000000"/>
              <w:right w:val="single" w:sz="4" w:space="0" w:color="auto"/>
            </w:tcBorders>
            <w:vAlign w:val="center"/>
            <w:hideMark/>
          </w:tcPr>
          <w:p w14:paraId="457B6E19"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14:paraId="2B3B8DB9"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HEALTH</w:t>
            </w:r>
          </w:p>
        </w:tc>
        <w:tc>
          <w:tcPr>
            <w:tcW w:w="2456" w:type="dxa"/>
            <w:tcBorders>
              <w:top w:val="nil"/>
              <w:left w:val="nil"/>
              <w:bottom w:val="single" w:sz="4" w:space="0" w:color="auto"/>
              <w:right w:val="single" w:sz="4" w:space="0" w:color="auto"/>
            </w:tcBorders>
            <w:shd w:val="clear" w:color="auto" w:fill="auto"/>
            <w:vAlign w:val="center"/>
            <w:hideMark/>
          </w:tcPr>
          <w:p w14:paraId="26B8C77A"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pracovní skupina</w:t>
            </w:r>
          </w:p>
        </w:tc>
        <w:tc>
          <w:tcPr>
            <w:tcW w:w="2298" w:type="dxa"/>
            <w:tcBorders>
              <w:top w:val="nil"/>
              <w:left w:val="nil"/>
              <w:bottom w:val="single" w:sz="4" w:space="0" w:color="auto"/>
              <w:right w:val="single" w:sz="4" w:space="0" w:color="auto"/>
            </w:tcBorders>
            <w:shd w:val="clear" w:color="auto" w:fill="auto"/>
            <w:vAlign w:val="center"/>
            <w:hideMark/>
          </w:tcPr>
          <w:p w14:paraId="19C961EC"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relevantní stakeholdeři RIS MSK</w:t>
            </w:r>
          </w:p>
        </w:tc>
        <w:tc>
          <w:tcPr>
            <w:tcW w:w="5030" w:type="dxa"/>
            <w:tcBorders>
              <w:top w:val="nil"/>
              <w:left w:val="nil"/>
              <w:bottom w:val="single" w:sz="4" w:space="0" w:color="auto"/>
              <w:right w:val="single" w:sz="4" w:space="0" w:color="auto"/>
            </w:tcBorders>
            <w:shd w:val="clear" w:color="auto" w:fill="auto"/>
            <w:vAlign w:val="center"/>
            <w:hideMark/>
          </w:tcPr>
          <w:p w14:paraId="5DBE62F7"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koordinace a řízení pracovní skupiny Health a relevantních podskupin</w:t>
            </w:r>
          </w:p>
        </w:tc>
        <w:tc>
          <w:tcPr>
            <w:tcW w:w="1520" w:type="dxa"/>
            <w:tcBorders>
              <w:top w:val="nil"/>
              <w:left w:val="nil"/>
              <w:bottom w:val="single" w:sz="4" w:space="0" w:color="auto"/>
              <w:right w:val="single" w:sz="4" w:space="0" w:color="auto"/>
            </w:tcBorders>
            <w:shd w:val="clear" w:color="auto" w:fill="auto"/>
            <w:vAlign w:val="center"/>
            <w:hideMark/>
          </w:tcPr>
          <w:p w14:paraId="6BE77B77"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2 setkání</w:t>
            </w:r>
          </w:p>
        </w:tc>
        <w:tc>
          <w:tcPr>
            <w:tcW w:w="1520" w:type="dxa"/>
            <w:tcBorders>
              <w:top w:val="nil"/>
              <w:left w:val="nil"/>
              <w:bottom w:val="single" w:sz="4" w:space="0" w:color="auto"/>
              <w:right w:val="nil"/>
            </w:tcBorders>
            <w:vAlign w:val="center"/>
          </w:tcPr>
          <w:p w14:paraId="2A7866FD"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3 setkání</w:t>
            </w:r>
          </w:p>
        </w:tc>
      </w:tr>
      <w:tr w:rsidR="005E6A25" w:rsidRPr="00917E24" w14:paraId="58EACBA2" w14:textId="77777777" w:rsidTr="005E6A25">
        <w:trPr>
          <w:trHeight w:val="900"/>
        </w:trPr>
        <w:tc>
          <w:tcPr>
            <w:tcW w:w="1452" w:type="dxa"/>
            <w:vMerge/>
            <w:tcBorders>
              <w:top w:val="single" w:sz="8" w:space="0" w:color="auto"/>
              <w:left w:val="single" w:sz="8" w:space="0" w:color="auto"/>
              <w:bottom w:val="single" w:sz="8" w:space="0" w:color="000000"/>
              <w:right w:val="single" w:sz="4" w:space="0" w:color="auto"/>
            </w:tcBorders>
            <w:vAlign w:val="center"/>
            <w:hideMark/>
          </w:tcPr>
          <w:p w14:paraId="57F8ABBC"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79E13DDC"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510F16B5"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pilotáž aktivit/služeb - podněty pracovních skupin</w:t>
            </w:r>
          </w:p>
        </w:tc>
        <w:tc>
          <w:tcPr>
            <w:tcW w:w="2298" w:type="dxa"/>
            <w:tcBorders>
              <w:top w:val="nil"/>
              <w:left w:val="nil"/>
              <w:bottom w:val="single" w:sz="4" w:space="0" w:color="auto"/>
              <w:right w:val="single" w:sz="4" w:space="0" w:color="auto"/>
            </w:tcBorders>
            <w:shd w:val="clear" w:color="auto" w:fill="auto"/>
            <w:vAlign w:val="center"/>
            <w:hideMark/>
          </w:tcPr>
          <w:p w14:paraId="4AE70C46"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začínající firmy, start-up, MSP</w:t>
            </w:r>
          </w:p>
        </w:tc>
        <w:tc>
          <w:tcPr>
            <w:tcW w:w="5030" w:type="dxa"/>
            <w:tcBorders>
              <w:top w:val="nil"/>
              <w:left w:val="nil"/>
              <w:bottom w:val="single" w:sz="4" w:space="0" w:color="auto"/>
              <w:right w:val="single" w:sz="4" w:space="0" w:color="auto"/>
            </w:tcBorders>
            <w:shd w:val="clear" w:color="auto" w:fill="auto"/>
            <w:vAlign w:val="center"/>
            <w:hideMark/>
          </w:tcPr>
          <w:p w14:paraId="1CCEB033"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na základě podnětu od členů pracovní skupiny resp. dle potřeb firem příprava nových nástrojů na podporu podnikání a podnikavosti, jejich pilotáž a vyhodnocení dle "MSIC Service design process"</w:t>
            </w:r>
          </w:p>
        </w:tc>
        <w:tc>
          <w:tcPr>
            <w:tcW w:w="1520" w:type="dxa"/>
            <w:tcBorders>
              <w:top w:val="nil"/>
              <w:left w:val="nil"/>
              <w:bottom w:val="single" w:sz="4" w:space="0" w:color="auto"/>
              <w:right w:val="single" w:sz="4" w:space="0" w:color="auto"/>
            </w:tcBorders>
            <w:shd w:val="clear" w:color="auto" w:fill="auto"/>
            <w:vAlign w:val="center"/>
            <w:hideMark/>
          </w:tcPr>
          <w:p w14:paraId="404A550A"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 pilotáž</w:t>
            </w:r>
          </w:p>
        </w:tc>
        <w:tc>
          <w:tcPr>
            <w:tcW w:w="1520" w:type="dxa"/>
            <w:tcBorders>
              <w:top w:val="nil"/>
              <w:left w:val="nil"/>
              <w:bottom w:val="single" w:sz="4" w:space="0" w:color="auto"/>
              <w:right w:val="nil"/>
            </w:tcBorders>
            <w:vAlign w:val="center"/>
          </w:tcPr>
          <w:p w14:paraId="7EAD4987"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 pilotáž</w:t>
            </w:r>
          </w:p>
        </w:tc>
      </w:tr>
      <w:tr w:rsidR="005E6A25" w:rsidRPr="00917E24" w14:paraId="2501F23E" w14:textId="77777777" w:rsidTr="005E6A25">
        <w:trPr>
          <w:trHeight w:val="600"/>
        </w:trPr>
        <w:tc>
          <w:tcPr>
            <w:tcW w:w="1452" w:type="dxa"/>
            <w:vMerge/>
            <w:tcBorders>
              <w:top w:val="single" w:sz="8" w:space="0" w:color="auto"/>
              <w:left w:val="single" w:sz="8" w:space="0" w:color="auto"/>
              <w:bottom w:val="single" w:sz="8" w:space="0" w:color="000000"/>
              <w:right w:val="single" w:sz="4" w:space="0" w:color="auto"/>
            </w:tcBorders>
            <w:vAlign w:val="center"/>
            <w:hideMark/>
          </w:tcPr>
          <w:p w14:paraId="4292EEFA"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19E6C098"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44773D8B"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implementace mezinárodních/národních projektů</w:t>
            </w:r>
          </w:p>
        </w:tc>
        <w:tc>
          <w:tcPr>
            <w:tcW w:w="2298" w:type="dxa"/>
            <w:tcBorders>
              <w:top w:val="nil"/>
              <w:left w:val="nil"/>
              <w:bottom w:val="single" w:sz="4" w:space="0" w:color="auto"/>
              <w:right w:val="single" w:sz="4" w:space="0" w:color="auto"/>
            </w:tcBorders>
            <w:shd w:val="clear" w:color="auto" w:fill="auto"/>
            <w:vAlign w:val="center"/>
            <w:hideMark/>
          </w:tcPr>
          <w:p w14:paraId="2D80CB6C"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začínající firmy, start-up, MSP</w:t>
            </w:r>
          </w:p>
        </w:tc>
        <w:tc>
          <w:tcPr>
            <w:tcW w:w="5030" w:type="dxa"/>
            <w:tcBorders>
              <w:top w:val="nil"/>
              <w:left w:val="nil"/>
              <w:bottom w:val="single" w:sz="4" w:space="0" w:color="auto"/>
              <w:right w:val="single" w:sz="4" w:space="0" w:color="auto"/>
            </w:tcBorders>
            <w:shd w:val="clear" w:color="auto" w:fill="auto"/>
            <w:vAlign w:val="center"/>
            <w:hideMark/>
          </w:tcPr>
          <w:p w14:paraId="4108C47A"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zapojení do národních/mezinárodních projektů, které rozvíjejí aktivity/služby/programy na podporu start-upů/MSP v oblasti zdraví</w:t>
            </w:r>
          </w:p>
        </w:tc>
        <w:tc>
          <w:tcPr>
            <w:tcW w:w="1520" w:type="dxa"/>
            <w:tcBorders>
              <w:top w:val="nil"/>
              <w:left w:val="nil"/>
              <w:bottom w:val="single" w:sz="4" w:space="0" w:color="auto"/>
              <w:right w:val="single" w:sz="4" w:space="0" w:color="auto"/>
            </w:tcBorders>
            <w:shd w:val="clear" w:color="auto" w:fill="auto"/>
            <w:vAlign w:val="center"/>
            <w:hideMark/>
          </w:tcPr>
          <w:p w14:paraId="086658C9"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 </w:t>
            </w:r>
          </w:p>
        </w:tc>
        <w:tc>
          <w:tcPr>
            <w:tcW w:w="1520" w:type="dxa"/>
            <w:tcBorders>
              <w:top w:val="nil"/>
              <w:left w:val="nil"/>
              <w:bottom w:val="single" w:sz="4" w:space="0" w:color="auto"/>
              <w:right w:val="nil"/>
            </w:tcBorders>
            <w:vAlign w:val="center"/>
          </w:tcPr>
          <w:p w14:paraId="5968D00A"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 </w:t>
            </w:r>
          </w:p>
        </w:tc>
      </w:tr>
      <w:tr w:rsidR="005E6A25" w:rsidRPr="00917E24" w14:paraId="45C2B7DE" w14:textId="77777777" w:rsidTr="005E6A25">
        <w:trPr>
          <w:trHeight w:val="600"/>
        </w:trPr>
        <w:tc>
          <w:tcPr>
            <w:tcW w:w="1452" w:type="dxa"/>
            <w:vMerge/>
            <w:tcBorders>
              <w:top w:val="single" w:sz="8" w:space="0" w:color="auto"/>
              <w:left w:val="single" w:sz="8" w:space="0" w:color="auto"/>
              <w:bottom w:val="single" w:sz="8" w:space="0" w:color="000000"/>
              <w:right w:val="single" w:sz="4" w:space="0" w:color="auto"/>
            </w:tcBorders>
            <w:vAlign w:val="center"/>
            <w:hideMark/>
          </w:tcPr>
          <w:p w14:paraId="56B6E97F"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val="restart"/>
            <w:tcBorders>
              <w:top w:val="nil"/>
              <w:left w:val="single" w:sz="4" w:space="0" w:color="auto"/>
              <w:bottom w:val="single" w:sz="8" w:space="0" w:color="000000"/>
              <w:right w:val="single" w:sz="4" w:space="0" w:color="auto"/>
            </w:tcBorders>
            <w:shd w:val="clear" w:color="auto" w:fill="auto"/>
            <w:vAlign w:val="center"/>
            <w:hideMark/>
          </w:tcPr>
          <w:p w14:paraId="42289716"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SMARAGD (mobilita)</w:t>
            </w:r>
          </w:p>
        </w:tc>
        <w:tc>
          <w:tcPr>
            <w:tcW w:w="2456" w:type="dxa"/>
            <w:tcBorders>
              <w:top w:val="nil"/>
              <w:left w:val="nil"/>
              <w:bottom w:val="single" w:sz="4" w:space="0" w:color="auto"/>
              <w:right w:val="single" w:sz="4" w:space="0" w:color="auto"/>
            </w:tcBorders>
            <w:shd w:val="clear" w:color="auto" w:fill="auto"/>
            <w:vAlign w:val="center"/>
            <w:hideMark/>
          </w:tcPr>
          <w:p w14:paraId="2A38FAB0"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pracovní skupina</w:t>
            </w:r>
          </w:p>
        </w:tc>
        <w:tc>
          <w:tcPr>
            <w:tcW w:w="2298" w:type="dxa"/>
            <w:tcBorders>
              <w:top w:val="nil"/>
              <w:left w:val="nil"/>
              <w:bottom w:val="single" w:sz="4" w:space="0" w:color="auto"/>
              <w:right w:val="single" w:sz="4" w:space="0" w:color="auto"/>
            </w:tcBorders>
            <w:shd w:val="clear" w:color="auto" w:fill="auto"/>
            <w:vAlign w:val="center"/>
            <w:hideMark/>
          </w:tcPr>
          <w:p w14:paraId="66F607A7"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relevantní stakeholdeři RIS MSK</w:t>
            </w:r>
          </w:p>
        </w:tc>
        <w:tc>
          <w:tcPr>
            <w:tcW w:w="5030" w:type="dxa"/>
            <w:tcBorders>
              <w:top w:val="nil"/>
              <w:left w:val="nil"/>
              <w:bottom w:val="single" w:sz="4" w:space="0" w:color="auto"/>
              <w:right w:val="single" w:sz="4" w:space="0" w:color="auto"/>
            </w:tcBorders>
            <w:shd w:val="clear" w:color="auto" w:fill="auto"/>
            <w:vAlign w:val="center"/>
            <w:hideMark/>
          </w:tcPr>
          <w:p w14:paraId="07908A15"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koordinace a řízení pracovní skupiny SMARAGD a relevantních podskupin</w:t>
            </w:r>
          </w:p>
        </w:tc>
        <w:tc>
          <w:tcPr>
            <w:tcW w:w="1520" w:type="dxa"/>
            <w:tcBorders>
              <w:top w:val="nil"/>
              <w:left w:val="nil"/>
              <w:bottom w:val="single" w:sz="4" w:space="0" w:color="auto"/>
              <w:right w:val="single" w:sz="4" w:space="0" w:color="auto"/>
            </w:tcBorders>
            <w:shd w:val="clear" w:color="auto" w:fill="auto"/>
            <w:vAlign w:val="center"/>
            <w:hideMark/>
          </w:tcPr>
          <w:p w14:paraId="4F0DF72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2 setkání</w:t>
            </w:r>
          </w:p>
        </w:tc>
        <w:tc>
          <w:tcPr>
            <w:tcW w:w="1520" w:type="dxa"/>
            <w:tcBorders>
              <w:top w:val="nil"/>
              <w:left w:val="nil"/>
              <w:bottom w:val="single" w:sz="4" w:space="0" w:color="auto"/>
              <w:right w:val="nil"/>
            </w:tcBorders>
            <w:vAlign w:val="center"/>
          </w:tcPr>
          <w:p w14:paraId="65CEB355"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 xml:space="preserve">3 setkání </w:t>
            </w:r>
          </w:p>
        </w:tc>
      </w:tr>
      <w:tr w:rsidR="005E6A25" w:rsidRPr="00917E24" w14:paraId="56263C67" w14:textId="77777777" w:rsidTr="005E6A25">
        <w:trPr>
          <w:trHeight w:val="900"/>
        </w:trPr>
        <w:tc>
          <w:tcPr>
            <w:tcW w:w="1452" w:type="dxa"/>
            <w:vMerge/>
            <w:tcBorders>
              <w:top w:val="single" w:sz="8" w:space="0" w:color="auto"/>
              <w:left w:val="single" w:sz="8" w:space="0" w:color="auto"/>
              <w:bottom w:val="single" w:sz="8" w:space="0" w:color="000000"/>
              <w:right w:val="single" w:sz="4" w:space="0" w:color="auto"/>
            </w:tcBorders>
            <w:vAlign w:val="center"/>
            <w:hideMark/>
          </w:tcPr>
          <w:p w14:paraId="5A14A061"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8" w:space="0" w:color="000000"/>
              <w:right w:val="single" w:sz="4" w:space="0" w:color="auto"/>
            </w:tcBorders>
            <w:vAlign w:val="center"/>
            <w:hideMark/>
          </w:tcPr>
          <w:p w14:paraId="6459962F"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5BE366F5"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pilotáž aktivit/služeb - podněty pracovních skupin</w:t>
            </w:r>
          </w:p>
        </w:tc>
        <w:tc>
          <w:tcPr>
            <w:tcW w:w="2298" w:type="dxa"/>
            <w:tcBorders>
              <w:top w:val="nil"/>
              <w:left w:val="nil"/>
              <w:bottom w:val="single" w:sz="4" w:space="0" w:color="auto"/>
              <w:right w:val="single" w:sz="4" w:space="0" w:color="auto"/>
            </w:tcBorders>
            <w:shd w:val="clear" w:color="auto" w:fill="auto"/>
            <w:vAlign w:val="center"/>
            <w:hideMark/>
          </w:tcPr>
          <w:p w14:paraId="3DF1B5B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začínající firmy, start-up, MSP</w:t>
            </w:r>
          </w:p>
        </w:tc>
        <w:tc>
          <w:tcPr>
            <w:tcW w:w="5030" w:type="dxa"/>
            <w:tcBorders>
              <w:top w:val="nil"/>
              <w:left w:val="nil"/>
              <w:bottom w:val="single" w:sz="4" w:space="0" w:color="auto"/>
              <w:right w:val="single" w:sz="4" w:space="0" w:color="auto"/>
            </w:tcBorders>
            <w:shd w:val="clear" w:color="auto" w:fill="auto"/>
            <w:vAlign w:val="center"/>
            <w:hideMark/>
          </w:tcPr>
          <w:p w14:paraId="7CD44EB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na základě podnětu od členů pracovní skupiny resp. dle potřeb firem příprava nových nástrojů na podporu podnikání a podnikavosti, jejich pilotáž a vyhodnocení dle "MSIC Service design process"</w:t>
            </w:r>
          </w:p>
        </w:tc>
        <w:tc>
          <w:tcPr>
            <w:tcW w:w="1520" w:type="dxa"/>
            <w:tcBorders>
              <w:top w:val="nil"/>
              <w:left w:val="nil"/>
              <w:bottom w:val="single" w:sz="4" w:space="0" w:color="auto"/>
              <w:right w:val="single" w:sz="4" w:space="0" w:color="auto"/>
            </w:tcBorders>
            <w:shd w:val="clear" w:color="auto" w:fill="auto"/>
            <w:vAlign w:val="center"/>
            <w:hideMark/>
          </w:tcPr>
          <w:p w14:paraId="77DBE51E"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 pilotáž</w:t>
            </w:r>
          </w:p>
        </w:tc>
        <w:tc>
          <w:tcPr>
            <w:tcW w:w="1520" w:type="dxa"/>
            <w:tcBorders>
              <w:top w:val="nil"/>
              <w:left w:val="nil"/>
              <w:bottom w:val="single" w:sz="4" w:space="0" w:color="auto"/>
              <w:right w:val="nil"/>
            </w:tcBorders>
            <w:vAlign w:val="center"/>
          </w:tcPr>
          <w:p w14:paraId="49F1A3D0"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 pilotáž</w:t>
            </w:r>
          </w:p>
        </w:tc>
      </w:tr>
      <w:tr w:rsidR="005E6A25" w:rsidRPr="00917E24" w14:paraId="3FF1F279" w14:textId="77777777" w:rsidTr="005E6A25">
        <w:trPr>
          <w:trHeight w:val="615"/>
        </w:trPr>
        <w:tc>
          <w:tcPr>
            <w:tcW w:w="1452" w:type="dxa"/>
            <w:vMerge/>
            <w:tcBorders>
              <w:top w:val="single" w:sz="8" w:space="0" w:color="auto"/>
              <w:left w:val="single" w:sz="8" w:space="0" w:color="auto"/>
              <w:bottom w:val="single" w:sz="8" w:space="0" w:color="000000"/>
              <w:right w:val="single" w:sz="4" w:space="0" w:color="auto"/>
            </w:tcBorders>
            <w:vAlign w:val="center"/>
            <w:hideMark/>
          </w:tcPr>
          <w:p w14:paraId="13E80D18"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8" w:space="0" w:color="000000"/>
              <w:right w:val="single" w:sz="4" w:space="0" w:color="auto"/>
            </w:tcBorders>
            <w:vAlign w:val="center"/>
            <w:hideMark/>
          </w:tcPr>
          <w:p w14:paraId="484B04BF"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8" w:space="0" w:color="auto"/>
              <w:right w:val="single" w:sz="4" w:space="0" w:color="auto"/>
            </w:tcBorders>
            <w:shd w:val="clear" w:color="auto" w:fill="auto"/>
            <w:vAlign w:val="center"/>
            <w:hideMark/>
          </w:tcPr>
          <w:p w14:paraId="0101E19E"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implementace mezinárodních/národních projektů</w:t>
            </w:r>
          </w:p>
        </w:tc>
        <w:tc>
          <w:tcPr>
            <w:tcW w:w="2298" w:type="dxa"/>
            <w:tcBorders>
              <w:top w:val="nil"/>
              <w:left w:val="nil"/>
              <w:bottom w:val="single" w:sz="8" w:space="0" w:color="auto"/>
              <w:right w:val="single" w:sz="4" w:space="0" w:color="auto"/>
            </w:tcBorders>
            <w:shd w:val="clear" w:color="auto" w:fill="auto"/>
            <w:vAlign w:val="center"/>
            <w:hideMark/>
          </w:tcPr>
          <w:p w14:paraId="40390FCA"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začínající firmy, start-up, MSP</w:t>
            </w:r>
          </w:p>
        </w:tc>
        <w:tc>
          <w:tcPr>
            <w:tcW w:w="5030" w:type="dxa"/>
            <w:tcBorders>
              <w:top w:val="nil"/>
              <w:left w:val="nil"/>
              <w:bottom w:val="single" w:sz="8" w:space="0" w:color="auto"/>
              <w:right w:val="single" w:sz="4" w:space="0" w:color="auto"/>
            </w:tcBorders>
            <w:shd w:val="clear" w:color="auto" w:fill="auto"/>
            <w:vAlign w:val="center"/>
            <w:hideMark/>
          </w:tcPr>
          <w:p w14:paraId="681F845C"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zapojení do národních/mezinárodních projektů, které naplňují cíl vytvoření "Smart and Green District"</w:t>
            </w:r>
          </w:p>
        </w:tc>
        <w:tc>
          <w:tcPr>
            <w:tcW w:w="1520" w:type="dxa"/>
            <w:tcBorders>
              <w:top w:val="nil"/>
              <w:left w:val="nil"/>
              <w:bottom w:val="single" w:sz="8" w:space="0" w:color="auto"/>
              <w:right w:val="single" w:sz="4" w:space="0" w:color="auto"/>
            </w:tcBorders>
            <w:shd w:val="clear" w:color="auto" w:fill="auto"/>
            <w:vAlign w:val="center"/>
            <w:hideMark/>
          </w:tcPr>
          <w:p w14:paraId="1C25A9C5"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 </w:t>
            </w:r>
          </w:p>
        </w:tc>
        <w:tc>
          <w:tcPr>
            <w:tcW w:w="1520" w:type="dxa"/>
            <w:tcBorders>
              <w:top w:val="nil"/>
              <w:left w:val="nil"/>
              <w:bottom w:val="single" w:sz="8" w:space="0" w:color="auto"/>
              <w:right w:val="nil"/>
            </w:tcBorders>
            <w:vAlign w:val="center"/>
          </w:tcPr>
          <w:p w14:paraId="6BEEB71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 </w:t>
            </w:r>
          </w:p>
        </w:tc>
      </w:tr>
      <w:tr w:rsidR="005E6A25" w:rsidRPr="00917E24" w14:paraId="2496A65B" w14:textId="77777777" w:rsidTr="005E6A25">
        <w:trPr>
          <w:trHeight w:val="600"/>
        </w:trPr>
        <w:tc>
          <w:tcPr>
            <w:tcW w:w="145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FEFE9FE"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r w:rsidRPr="00917E24">
              <w:rPr>
                <w:rFonts w:ascii="Calibri" w:hAnsi="Calibri" w:cs="Calibri"/>
                <w:b/>
                <w:bCs/>
                <w:color w:val="000000"/>
                <w:sz w:val="22"/>
                <w:szCs w:val="22"/>
                <w:lang w:eastAsia="cs-CZ"/>
              </w:rPr>
              <w:t>Ad b) 1to1 inovační služby pro firmy</w:t>
            </w: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14:paraId="71F08D89"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PODREG</w:t>
            </w:r>
            <w:r w:rsidRPr="00917E24">
              <w:rPr>
                <w:rFonts w:ascii="Calibri" w:hAnsi="Calibri" w:cs="Calibri"/>
                <w:color w:val="000000"/>
                <w:sz w:val="22"/>
                <w:szCs w:val="22"/>
                <w:lang w:eastAsia="cs-CZ"/>
              </w:rPr>
              <w:br/>
            </w:r>
            <w:r w:rsidRPr="00917E24">
              <w:rPr>
                <w:rFonts w:ascii="Calibri" w:hAnsi="Calibri" w:cs="Calibri"/>
                <w:i/>
                <w:iCs/>
                <w:color w:val="000000"/>
                <w:sz w:val="22"/>
                <w:szCs w:val="22"/>
                <w:lang w:eastAsia="cs-CZ"/>
              </w:rPr>
              <w:t xml:space="preserve">cíl: zvýšit intenzitu podnikání v MSK </w:t>
            </w:r>
          </w:p>
        </w:tc>
        <w:tc>
          <w:tcPr>
            <w:tcW w:w="2456" w:type="dxa"/>
            <w:tcBorders>
              <w:top w:val="nil"/>
              <w:left w:val="nil"/>
              <w:bottom w:val="single" w:sz="4" w:space="0" w:color="auto"/>
              <w:right w:val="single" w:sz="4" w:space="0" w:color="auto"/>
            </w:tcBorders>
            <w:shd w:val="clear" w:color="auto" w:fill="auto"/>
            <w:vAlign w:val="center"/>
            <w:hideMark/>
          </w:tcPr>
          <w:p w14:paraId="3472BFED"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Služby pro rozjezdy včetně individuálních konzultací</w:t>
            </w:r>
          </w:p>
        </w:tc>
        <w:tc>
          <w:tcPr>
            <w:tcW w:w="2298" w:type="dxa"/>
            <w:tcBorders>
              <w:top w:val="nil"/>
              <w:left w:val="nil"/>
              <w:bottom w:val="single" w:sz="4" w:space="0" w:color="auto"/>
              <w:right w:val="single" w:sz="4" w:space="0" w:color="auto"/>
            </w:tcBorders>
            <w:shd w:val="clear" w:color="auto" w:fill="auto"/>
            <w:vAlign w:val="center"/>
            <w:hideMark/>
          </w:tcPr>
          <w:p w14:paraId="3139A404"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lidé zvažující podnikání</w:t>
            </w:r>
          </w:p>
        </w:tc>
        <w:tc>
          <w:tcPr>
            <w:tcW w:w="5030" w:type="dxa"/>
            <w:tcBorders>
              <w:top w:val="nil"/>
              <w:left w:val="nil"/>
              <w:bottom w:val="single" w:sz="4" w:space="0" w:color="auto"/>
              <w:right w:val="single" w:sz="4" w:space="0" w:color="auto"/>
            </w:tcBorders>
            <w:shd w:val="clear" w:color="auto" w:fill="auto"/>
            <w:vAlign w:val="center"/>
            <w:hideMark/>
          </w:tcPr>
          <w:p w14:paraId="0B55FAC8"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konzultační podpora 5+ hodin poskytování interními zaměstnanci MSIC</w:t>
            </w:r>
          </w:p>
        </w:tc>
        <w:tc>
          <w:tcPr>
            <w:tcW w:w="1520" w:type="dxa"/>
            <w:tcBorders>
              <w:top w:val="nil"/>
              <w:left w:val="nil"/>
              <w:bottom w:val="single" w:sz="4" w:space="0" w:color="auto"/>
              <w:right w:val="single" w:sz="4" w:space="0" w:color="auto"/>
            </w:tcBorders>
            <w:shd w:val="clear" w:color="auto" w:fill="auto"/>
            <w:vAlign w:val="center"/>
            <w:hideMark/>
          </w:tcPr>
          <w:p w14:paraId="7C828F83"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10 firem</w:t>
            </w:r>
          </w:p>
        </w:tc>
        <w:tc>
          <w:tcPr>
            <w:tcW w:w="1520" w:type="dxa"/>
            <w:tcBorders>
              <w:top w:val="nil"/>
              <w:left w:val="nil"/>
              <w:bottom w:val="single" w:sz="4" w:space="0" w:color="auto"/>
              <w:right w:val="nil"/>
            </w:tcBorders>
            <w:vAlign w:val="center"/>
          </w:tcPr>
          <w:p w14:paraId="37C89205"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20 firem</w:t>
            </w:r>
          </w:p>
        </w:tc>
      </w:tr>
      <w:tr w:rsidR="005E6A25" w:rsidRPr="00917E24" w14:paraId="38A7D1BF" w14:textId="77777777" w:rsidTr="005E6A25">
        <w:trPr>
          <w:trHeight w:val="1500"/>
        </w:trPr>
        <w:tc>
          <w:tcPr>
            <w:tcW w:w="1452" w:type="dxa"/>
            <w:vMerge/>
            <w:tcBorders>
              <w:top w:val="nil"/>
              <w:left w:val="single" w:sz="8" w:space="0" w:color="auto"/>
              <w:bottom w:val="single" w:sz="8" w:space="0" w:color="000000"/>
              <w:right w:val="single" w:sz="4" w:space="0" w:color="auto"/>
            </w:tcBorders>
            <w:vAlign w:val="center"/>
            <w:hideMark/>
          </w:tcPr>
          <w:p w14:paraId="4278B10C"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2B2CF7D8"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772CF52E"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MSIC Expand</w:t>
            </w:r>
          </w:p>
        </w:tc>
        <w:tc>
          <w:tcPr>
            <w:tcW w:w="2298" w:type="dxa"/>
            <w:tcBorders>
              <w:top w:val="nil"/>
              <w:left w:val="nil"/>
              <w:bottom w:val="single" w:sz="4" w:space="0" w:color="auto"/>
              <w:right w:val="single" w:sz="4" w:space="0" w:color="auto"/>
            </w:tcBorders>
            <w:shd w:val="clear" w:color="auto" w:fill="auto"/>
            <w:vAlign w:val="center"/>
            <w:hideMark/>
          </w:tcPr>
          <w:p w14:paraId="12C6CC24"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MSP se sídlem či provozovnou v MSK, které mají vlastní produkt či službu s vysokou mírou inovace</w:t>
            </w:r>
          </w:p>
        </w:tc>
        <w:tc>
          <w:tcPr>
            <w:tcW w:w="5030" w:type="dxa"/>
            <w:tcBorders>
              <w:top w:val="nil"/>
              <w:left w:val="nil"/>
              <w:bottom w:val="single" w:sz="4" w:space="0" w:color="auto"/>
              <w:right w:val="single" w:sz="4" w:space="0" w:color="auto"/>
            </w:tcBorders>
            <w:shd w:val="clear" w:color="auto" w:fill="auto"/>
            <w:vAlign w:val="center"/>
            <w:hideMark/>
          </w:tcPr>
          <w:p w14:paraId="6F92403D"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Jedná se o specializovaný program zprostředkování koučinku a mentoringu v rozsahu až 40 hodin ve fázi 1 (analýza problému, návrh řešení) a až 80 hodin ve fázi 2 (realizace navržených změn) od vysoce ceněných expertů poskytovaný majitelům MSP. Služby koučinku a mentoringu jsou  poskytovány ve čtyřech základních oblastech rozvoj podnikání a prodeje, organizace, financování a spolupráce.</w:t>
            </w:r>
          </w:p>
        </w:tc>
        <w:tc>
          <w:tcPr>
            <w:tcW w:w="1520" w:type="dxa"/>
            <w:tcBorders>
              <w:top w:val="nil"/>
              <w:left w:val="nil"/>
              <w:bottom w:val="single" w:sz="4" w:space="0" w:color="auto"/>
              <w:right w:val="single" w:sz="4" w:space="0" w:color="auto"/>
            </w:tcBorders>
            <w:shd w:val="clear" w:color="auto" w:fill="auto"/>
            <w:vAlign w:val="center"/>
            <w:hideMark/>
          </w:tcPr>
          <w:p w14:paraId="58B76915"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15 firem</w:t>
            </w:r>
          </w:p>
        </w:tc>
        <w:tc>
          <w:tcPr>
            <w:tcW w:w="1520" w:type="dxa"/>
            <w:tcBorders>
              <w:top w:val="nil"/>
              <w:left w:val="nil"/>
              <w:bottom w:val="single" w:sz="4" w:space="0" w:color="auto"/>
              <w:right w:val="nil"/>
            </w:tcBorders>
            <w:vAlign w:val="center"/>
          </w:tcPr>
          <w:p w14:paraId="0F472D76"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30 firem</w:t>
            </w:r>
          </w:p>
        </w:tc>
      </w:tr>
      <w:tr w:rsidR="005E6A25" w:rsidRPr="00917E24" w14:paraId="36DFE778" w14:textId="77777777" w:rsidTr="005E6A25">
        <w:trPr>
          <w:trHeight w:val="1129"/>
        </w:trPr>
        <w:tc>
          <w:tcPr>
            <w:tcW w:w="1452" w:type="dxa"/>
            <w:vMerge/>
            <w:tcBorders>
              <w:top w:val="nil"/>
              <w:left w:val="single" w:sz="8" w:space="0" w:color="auto"/>
              <w:bottom w:val="single" w:sz="8" w:space="0" w:color="000000"/>
              <w:right w:val="single" w:sz="4" w:space="0" w:color="auto"/>
            </w:tcBorders>
            <w:vAlign w:val="center"/>
            <w:hideMark/>
          </w:tcPr>
          <w:p w14:paraId="192669FA"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71BC4A46"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5F7A50F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MSIC Impact</w:t>
            </w:r>
          </w:p>
        </w:tc>
        <w:tc>
          <w:tcPr>
            <w:tcW w:w="2298" w:type="dxa"/>
            <w:tcBorders>
              <w:top w:val="nil"/>
              <w:left w:val="nil"/>
              <w:bottom w:val="single" w:sz="4" w:space="0" w:color="auto"/>
              <w:right w:val="single" w:sz="4" w:space="0" w:color="auto"/>
            </w:tcBorders>
            <w:shd w:val="clear" w:color="auto" w:fill="auto"/>
            <w:vAlign w:val="center"/>
            <w:hideMark/>
          </w:tcPr>
          <w:p w14:paraId="728034F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MSP se sídlem či provozovnou v MSK, které mají vlastní produkt či službu</w:t>
            </w:r>
          </w:p>
        </w:tc>
        <w:tc>
          <w:tcPr>
            <w:tcW w:w="5030" w:type="dxa"/>
            <w:tcBorders>
              <w:top w:val="nil"/>
              <w:left w:val="nil"/>
              <w:bottom w:val="single" w:sz="4" w:space="0" w:color="auto"/>
              <w:right w:val="single" w:sz="4" w:space="0" w:color="auto"/>
            </w:tcBorders>
            <w:shd w:val="clear" w:color="auto" w:fill="auto"/>
            <w:vAlign w:val="center"/>
            <w:hideMark/>
          </w:tcPr>
          <w:p w14:paraId="3B7C0A5F"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 xml:space="preserve">Jedná se program zprostředkování mentoringu v rozsahu až 25 hodin. Jde o program, který propojuje MSP s experty, kteří pomáhají nalézat řešení problémů. </w:t>
            </w:r>
          </w:p>
        </w:tc>
        <w:tc>
          <w:tcPr>
            <w:tcW w:w="1520" w:type="dxa"/>
            <w:tcBorders>
              <w:top w:val="nil"/>
              <w:left w:val="nil"/>
              <w:bottom w:val="single" w:sz="4" w:space="0" w:color="auto"/>
              <w:right w:val="single" w:sz="4" w:space="0" w:color="auto"/>
            </w:tcBorders>
            <w:shd w:val="clear" w:color="auto" w:fill="auto"/>
            <w:vAlign w:val="center"/>
            <w:hideMark/>
          </w:tcPr>
          <w:p w14:paraId="20A6AC1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8 firem</w:t>
            </w:r>
          </w:p>
        </w:tc>
        <w:tc>
          <w:tcPr>
            <w:tcW w:w="1520" w:type="dxa"/>
            <w:tcBorders>
              <w:top w:val="nil"/>
              <w:left w:val="nil"/>
              <w:bottom w:val="single" w:sz="4" w:space="0" w:color="auto"/>
              <w:right w:val="nil"/>
            </w:tcBorders>
            <w:vAlign w:val="center"/>
          </w:tcPr>
          <w:p w14:paraId="3523BB94"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15 firem</w:t>
            </w:r>
          </w:p>
        </w:tc>
      </w:tr>
      <w:tr w:rsidR="005E6A25" w:rsidRPr="00917E24" w14:paraId="3090309E" w14:textId="77777777" w:rsidTr="005E6A25">
        <w:trPr>
          <w:trHeight w:val="600"/>
        </w:trPr>
        <w:tc>
          <w:tcPr>
            <w:tcW w:w="1452" w:type="dxa"/>
            <w:vMerge/>
            <w:tcBorders>
              <w:top w:val="nil"/>
              <w:left w:val="single" w:sz="8" w:space="0" w:color="auto"/>
              <w:bottom w:val="single" w:sz="8" w:space="0" w:color="000000"/>
              <w:right w:val="single" w:sz="4" w:space="0" w:color="auto"/>
            </w:tcBorders>
            <w:vAlign w:val="center"/>
            <w:hideMark/>
          </w:tcPr>
          <w:p w14:paraId="46BFC41B"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45D30DA9"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4CBFDBAB"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MSIC Impuls</w:t>
            </w:r>
          </w:p>
        </w:tc>
        <w:tc>
          <w:tcPr>
            <w:tcW w:w="2298" w:type="dxa"/>
            <w:tcBorders>
              <w:top w:val="nil"/>
              <w:left w:val="nil"/>
              <w:bottom w:val="single" w:sz="4" w:space="0" w:color="auto"/>
              <w:right w:val="single" w:sz="4" w:space="0" w:color="auto"/>
            </w:tcBorders>
            <w:shd w:val="clear" w:color="auto" w:fill="auto"/>
            <w:vAlign w:val="center"/>
            <w:hideMark/>
          </w:tcPr>
          <w:p w14:paraId="775B0FB3"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Mikro, malé a střední se sídlem či provozovnou v MSK</w:t>
            </w:r>
          </w:p>
        </w:tc>
        <w:tc>
          <w:tcPr>
            <w:tcW w:w="5030" w:type="dxa"/>
            <w:tcBorders>
              <w:top w:val="nil"/>
              <w:left w:val="nil"/>
              <w:bottom w:val="single" w:sz="4" w:space="0" w:color="auto"/>
              <w:right w:val="single" w:sz="4" w:space="0" w:color="auto"/>
            </w:tcBorders>
            <w:shd w:val="clear" w:color="auto" w:fill="auto"/>
            <w:vAlign w:val="center"/>
            <w:hideMark/>
          </w:tcPr>
          <w:p w14:paraId="7B764B65"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Program, který propojuje firmy s experty a pomáhá tak firmám rychle, efektivně a flexibilně s řešením aktuálních problémů. Spolupráce s expertem je maximálně v rozsahu 10 hodin.</w:t>
            </w:r>
          </w:p>
        </w:tc>
        <w:tc>
          <w:tcPr>
            <w:tcW w:w="1520" w:type="dxa"/>
            <w:tcBorders>
              <w:top w:val="nil"/>
              <w:left w:val="nil"/>
              <w:bottom w:val="single" w:sz="4" w:space="0" w:color="auto"/>
              <w:right w:val="single" w:sz="4" w:space="0" w:color="auto"/>
            </w:tcBorders>
            <w:shd w:val="clear" w:color="auto" w:fill="auto"/>
            <w:vAlign w:val="center"/>
            <w:hideMark/>
          </w:tcPr>
          <w:p w14:paraId="04376E30"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22 firem</w:t>
            </w:r>
          </w:p>
        </w:tc>
        <w:tc>
          <w:tcPr>
            <w:tcW w:w="1520" w:type="dxa"/>
            <w:tcBorders>
              <w:top w:val="nil"/>
              <w:left w:val="nil"/>
              <w:bottom w:val="single" w:sz="4" w:space="0" w:color="auto"/>
              <w:right w:val="nil"/>
            </w:tcBorders>
            <w:vAlign w:val="center"/>
          </w:tcPr>
          <w:p w14:paraId="5D8ACABA"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45 firem</w:t>
            </w:r>
          </w:p>
        </w:tc>
      </w:tr>
      <w:tr w:rsidR="005E6A25" w:rsidRPr="00917E24" w14:paraId="3CFFA252" w14:textId="77777777" w:rsidTr="005E6A25">
        <w:trPr>
          <w:trHeight w:val="5100"/>
        </w:trPr>
        <w:tc>
          <w:tcPr>
            <w:tcW w:w="1452" w:type="dxa"/>
            <w:vMerge/>
            <w:tcBorders>
              <w:top w:val="nil"/>
              <w:left w:val="single" w:sz="8" w:space="0" w:color="auto"/>
              <w:bottom w:val="single" w:sz="8" w:space="0" w:color="000000"/>
              <w:right w:val="single" w:sz="4" w:space="0" w:color="auto"/>
            </w:tcBorders>
            <w:vAlign w:val="center"/>
            <w:hideMark/>
          </w:tcPr>
          <w:p w14:paraId="26A5D838"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4364A65F"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074F760A"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Design Sprint</w:t>
            </w:r>
          </w:p>
        </w:tc>
        <w:tc>
          <w:tcPr>
            <w:tcW w:w="2298" w:type="dxa"/>
            <w:tcBorders>
              <w:top w:val="nil"/>
              <w:left w:val="nil"/>
              <w:bottom w:val="single" w:sz="4" w:space="0" w:color="auto"/>
              <w:right w:val="single" w:sz="4" w:space="0" w:color="auto"/>
            </w:tcBorders>
            <w:shd w:val="clear" w:color="auto" w:fill="auto"/>
            <w:vAlign w:val="center"/>
            <w:hideMark/>
          </w:tcPr>
          <w:p w14:paraId="0E7003D9"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začínající podnikatelé a start-upisté, kteří potřebují rychle validovat svůj podnikatelský záměr</w:t>
            </w:r>
          </w:p>
        </w:tc>
        <w:tc>
          <w:tcPr>
            <w:tcW w:w="5030" w:type="dxa"/>
            <w:tcBorders>
              <w:top w:val="nil"/>
              <w:left w:val="nil"/>
              <w:bottom w:val="single" w:sz="4" w:space="0" w:color="auto"/>
              <w:right w:val="single" w:sz="4" w:space="0" w:color="auto"/>
            </w:tcBorders>
            <w:shd w:val="clear" w:color="auto" w:fill="auto"/>
            <w:vAlign w:val="center"/>
            <w:hideMark/>
          </w:tcPr>
          <w:p w14:paraId="7A5067BB"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7denní program pro začínající podnikatele, kteří chtějí rychle posunout svůj business a to s podporou profesionálů a expertů z různých oborů. Jedná se o program, který poskytuje možnost začínajícím podnikatelům efektivně a strukturovaně navrhnout, připravit a otestovat svůj inovační nebo business nápad.</w:t>
            </w:r>
            <w:r w:rsidRPr="00917E24">
              <w:rPr>
                <w:rFonts w:ascii="Calibri" w:hAnsi="Calibri" w:cs="Calibri"/>
                <w:color w:val="000000"/>
                <w:sz w:val="22"/>
                <w:szCs w:val="22"/>
                <w:lang w:eastAsia="cs-CZ"/>
              </w:rPr>
              <w:br/>
              <w:t>DEN 0 - ÚVOD DO METODIKY - Zaškolení do metod Design Sprintu. Představení harmonogramu a plánu aktivit v průběhu týdne.</w:t>
            </w:r>
            <w:r w:rsidRPr="00917E24">
              <w:rPr>
                <w:rFonts w:ascii="Calibri" w:hAnsi="Calibri" w:cs="Calibri"/>
                <w:color w:val="000000"/>
                <w:sz w:val="22"/>
                <w:szCs w:val="22"/>
                <w:lang w:eastAsia="cs-CZ"/>
              </w:rPr>
              <w:br/>
              <w:t>DEN 1 – ANALÝZA - Představení všech týmů a jejich projektů, analýza všech dostupných informací.</w:t>
            </w:r>
            <w:r w:rsidRPr="00917E24">
              <w:rPr>
                <w:rFonts w:ascii="Calibri" w:hAnsi="Calibri" w:cs="Calibri"/>
                <w:color w:val="000000"/>
                <w:sz w:val="22"/>
                <w:szCs w:val="22"/>
                <w:lang w:eastAsia="cs-CZ"/>
              </w:rPr>
              <w:br/>
              <w:t>DEN 2 – NÁVRH - Brainstorming s průvodcem a členy svého i jiných týmů.</w:t>
            </w:r>
            <w:r w:rsidRPr="00917E24">
              <w:rPr>
                <w:rFonts w:ascii="Calibri" w:hAnsi="Calibri" w:cs="Calibri"/>
                <w:color w:val="000000"/>
                <w:sz w:val="22"/>
                <w:szCs w:val="22"/>
                <w:lang w:eastAsia="cs-CZ"/>
              </w:rPr>
              <w:br/>
              <w:t>DEN 3 - BUSINESS MODEL - Náklady, výnosy, cílová skupina, volba trhu, cenotvorby.</w:t>
            </w:r>
            <w:r w:rsidRPr="00917E24">
              <w:rPr>
                <w:rFonts w:ascii="Calibri" w:hAnsi="Calibri" w:cs="Calibri"/>
                <w:color w:val="000000"/>
                <w:sz w:val="22"/>
                <w:szCs w:val="22"/>
                <w:lang w:eastAsia="cs-CZ"/>
              </w:rPr>
              <w:br/>
              <w:t>DEN 4 – PROTOTYP - Fyzický model, model na papíře, na videu, ve 3D, virtuálně nebo online.</w:t>
            </w:r>
            <w:r w:rsidRPr="00917E24">
              <w:rPr>
                <w:rFonts w:ascii="Calibri" w:hAnsi="Calibri" w:cs="Calibri"/>
                <w:color w:val="000000"/>
                <w:sz w:val="22"/>
                <w:szCs w:val="22"/>
                <w:lang w:eastAsia="cs-CZ"/>
              </w:rPr>
              <w:br/>
              <w:t>DEN 5 - OVĚŘENÍ / ÚPRAVA BUSINESS MODELU - Ověření s několika reálnými potencionálními zákazníky. Zapracování zpětné vazby. Plán dalšího ověřování.</w:t>
            </w:r>
            <w:r w:rsidRPr="00917E24">
              <w:rPr>
                <w:rFonts w:ascii="Calibri" w:hAnsi="Calibri" w:cs="Calibri"/>
                <w:color w:val="000000"/>
                <w:sz w:val="22"/>
                <w:szCs w:val="22"/>
                <w:lang w:eastAsia="cs-CZ"/>
              </w:rPr>
              <w:br/>
              <w:t>DEN 6 - ZÁVĚREČNÁ PREZENTACE -  Shrnutí hlavních výsledků týdenní aktivity. Plán dalších kroků realizace.</w:t>
            </w:r>
            <w:r w:rsidRPr="00917E24">
              <w:rPr>
                <w:rFonts w:ascii="Calibri" w:hAnsi="Calibri" w:cs="Calibri"/>
                <w:color w:val="000000"/>
                <w:sz w:val="22"/>
                <w:szCs w:val="22"/>
                <w:lang w:eastAsia="cs-CZ"/>
              </w:rPr>
              <w:br/>
              <w:t xml:space="preserve">DEN 7 – FOLLOW UP MEETING -  Prezentace úspěchů i </w:t>
            </w:r>
            <w:r w:rsidRPr="00917E24">
              <w:rPr>
                <w:rFonts w:ascii="Calibri" w:hAnsi="Calibri" w:cs="Calibri"/>
                <w:color w:val="000000"/>
                <w:sz w:val="22"/>
                <w:szCs w:val="22"/>
                <w:lang w:eastAsia="cs-CZ"/>
              </w:rPr>
              <w:lastRenderedPageBreak/>
              <w:t>neúspěchů. Obojí je cenné a je inspiracÍ a energiÍ pro další kroky.</w:t>
            </w:r>
          </w:p>
        </w:tc>
        <w:tc>
          <w:tcPr>
            <w:tcW w:w="1520" w:type="dxa"/>
            <w:tcBorders>
              <w:top w:val="nil"/>
              <w:left w:val="nil"/>
              <w:bottom w:val="single" w:sz="4" w:space="0" w:color="auto"/>
              <w:right w:val="single" w:sz="4" w:space="0" w:color="auto"/>
            </w:tcBorders>
            <w:shd w:val="clear" w:color="auto" w:fill="auto"/>
            <w:vAlign w:val="center"/>
            <w:hideMark/>
          </w:tcPr>
          <w:p w14:paraId="79A87135"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lastRenderedPageBreak/>
              <w:t>5 týmů</w:t>
            </w:r>
          </w:p>
        </w:tc>
        <w:tc>
          <w:tcPr>
            <w:tcW w:w="1520" w:type="dxa"/>
            <w:tcBorders>
              <w:top w:val="nil"/>
              <w:left w:val="nil"/>
              <w:bottom w:val="single" w:sz="4" w:space="0" w:color="auto"/>
              <w:right w:val="nil"/>
            </w:tcBorders>
            <w:vAlign w:val="center"/>
          </w:tcPr>
          <w:p w14:paraId="4E0BFD4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10 týmů</w:t>
            </w:r>
          </w:p>
        </w:tc>
      </w:tr>
      <w:tr w:rsidR="005E6A25" w:rsidRPr="00917E24" w14:paraId="17762A00" w14:textId="77777777" w:rsidTr="005E6A25">
        <w:trPr>
          <w:trHeight w:val="2400"/>
        </w:trPr>
        <w:tc>
          <w:tcPr>
            <w:tcW w:w="1452" w:type="dxa"/>
            <w:vMerge/>
            <w:tcBorders>
              <w:top w:val="nil"/>
              <w:left w:val="single" w:sz="8" w:space="0" w:color="auto"/>
              <w:bottom w:val="single" w:sz="8" w:space="0" w:color="000000"/>
              <w:right w:val="single" w:sz="4" w:space="0" w:color="auto"/>
            </w:tcBorders>
            <w:vAlign w:val="center"/>
            <w:hideMark/>
          </w:tcPr>
          <w:p w14:paraId="3602F95C"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2B250289"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45DEF984"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MSIC InnoLab</w:t>
            </w:r>
          </w:p>
        </w:tc>
        <w:tc>
          <w:tcPr>
            <w:tcW w:w="2298" w:type="dxa"/>
            <w:tcBorders>
              <w:top w:val="nil"/>
              <w:left w:val="nil"/>
              <w:bottom w:val="single" w:sz="4" w:space="0" w:color="auto"/>
              <w:right w:val="single" w:sz="4" w:space="0" w:color="auto"/>
            </w:tcBorders>
            <w:shd w:val="clear" w:color="auto" w:fill="auto"/>
            <w:vAlign w:val="center"/>
            <w:hideMark/>
          </w:tcPr>
          <w:p w14:paraId="16171C3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Malé a střední firmy se sídlem či pobočkou v MSK</w:t>
            </w:r>
          </w:p>
        </w:tc>
        <w:tc>
          <w:tcPr>
            <w:tcW w:w="5030" w:type="dxa"/>
            <w:tcBorders>
              <w:top w:val="nil"/>
              <w:left w:val="nil"/>
              <w:bottom w:val="single" w:sz="4" w:space="0" w:color="auto"/>
              <w:right w:val="single" w:sz="4" w:space="0" w:color="auto"/>
            </w:tcBorders>
            <w:shd w:val="clear" w:color="auto" w:fill="auto"/>
            <w:vAlign w:val="center"/>
            <w:hideMark/>
          </w:tcPr>
          <w:p w14:paraId="0FA1321C"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 xml:space="preserve">Program pro malé a střední firmy hledající zcela nový směr podnikání či radikální změnu způsobu dosavadního fungování interních procesů. Služba MSIC InnoLab umožňuje majiteli MSP hledat koncepční řešení náročné změny formou ko-kreativních workshopů s dalšími na míru vybranými podnikateli a experty. Při těchto workshopech cíleně vybraní podnikatelé a experti pracují společně pro jednoho majitele definujícího problém k řešení. V rámci služby dochází jak k otevření inovačního potenciálu MSP definující problém k řešení, tak k přenosu know-how a zkušeností od zapojených firem a expertů podílejících se na společném hledání koncepčního řešení. </w:t>
            </w:r>
          </w:p>
        </w:tc>
        <w:tc>
          <w:tcPr>
            <w:tcW w:w="1520" w:type="dxa"/>
            <w:tcBorders>
              <w:top w:val="nil"/>
              <w:left w:val="nil"/>
              <w:bottom w:val="single" w:sz="4" w:space="0" w:color="auto"/>
              <w:right w:val="single" w:sz="4" w:space="0" w:color="auto"/>
            </w:tcBorders>
            <w:shd w:val="clear" w:color="auto" w:fill="auto"/>
            <w:vAlign w:val="center"/>
            <w:hideMark/>
          </w:tcPr>
          <w:p w14:paraId="360C1964"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2 firmy</w:t>
            </w:r>
          </w:p>
        </w:tc>
        <w:tc>
          <w:tcPr>
            <w:tcW w:w="1520" w:type="dxa"/>
            <w:tcBorders>
              <w:top w:val="nil"/>
              <w:left w:val="nil"/>
              <w:bottom w:val="single" w:sz="4" w:space="0" w:color="auto"/>
              <w:right w:val="nil"/>
            </w:tcBorders>
            <w:vAlign w:val="center"/>
          </w:tcPr>
          <w:p w14:paraId="0936D42B"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4 firmy</w:t>
            </w:r>
          </w:p>
        </w:tc>
      </w:tr>
      <w:tr w:rsidR="005E6A25" w:rsidRPr="00917E24" w14:paraId="57137AB9" w14:textId="77777777" w:rsidTr="005E6A25">
        <w:trPr>
          <w:trHeight w:val="1200"/>
        </w:trPr>
        <w:tc>
          <w:tcPr>
            <w:tcW w:w="1452" w:type="dxa"/>
            <w:vMerge/>
            <w:tcBorders>
              <w:top w:val="nil"/>
              <w:left w:val="single" w:sz="8" w:space="0" w:color="auto"/>
              <w:bottom w:val="single" w:sz="8" w:space="0" w:color="000000"/>
              <w:right w:val="single" w:sz="4" w:space="0" w:color="auto"/>
            </w:tcBorders>
            <w:vAlign w:val="center"/>
            <w:hideMark/>
          </w:tcPr>
          <w:p w14:paraId="2B35F434"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4FE63D3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4EC65385"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 xml:space="preserve">Grantové poradenství pro MSP </w:t>
            </w:r>
          </w:p>
        </w:tc>
        <w:tc>
          <w:tcPr>
            <w:tcW w:w="2298" w:type="dxa"/>
            <w:tcBorders>
              <w:top w:val="nil"/>
              <w:left w:val="nil"/>
              <w:bottom w:val="single" w:sz="4" w:space="0" w:color="auto"/>
              <w:right w:val="single" w:sz="4" w:space="0" w:color="auto"/>
            </w:tcBorders>
            <w:shd w:val="clear" w:color="auto" w:fill="auto"/>
            <w:vAlign w:val="center"/>
            <w:hideMark/>
          </w:tcPr>
          <w:p w14:paraId="297F038A"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inovativní malé a střední firmy se sídlem či pobočkou v MSK, které mají evropské/mezinárodní ambice</w:t>
            </w:r>
          </w:p>
        </w:tc>
        <w:tc>
          <w:tcPr>
            <w:tcW w:w="5030" w:type="dxa"/>
            <w:tcBorders>
              <w:top w:val="nil"/>
              <w:left w:val="nil"/>
              <w:bottom w:val="single" w:sz="4" w:space="0" w:color="auto"/>
              <w:right w:val="single" w:sz="4" w:space="0" w:color="auto"/>
            </w:tcBorders>
            <w:shd w:val="clear" w:color="auto" w:fill="auto"/>
            <w:vAlign w:val="center"/>
            <w:hideMark/>
          </w:tcPr>
          <w:p w14:paraId="08B78008"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konzultační podpora pro inovativní firmy se sídlem či provozovnou v MSK při identifikaci vhodných nástrojů pro financování projektů a také konzultace při přípravě grantových žádostí  do programů EIC Pathfinder, EIC Transition, EIC Accelerator, Eurostars3 a dalších.</w:t>
            </w:r>
          </w:p>
        </w:tc>
        <w:tc>
          <w:tcPr>
            <w:tcW w:w="1520" w:type="dxa"/>
            <w:tcBorders>
              <w:top w:val="nil"/>
              <w:left w:val="nil"/>
              <w:bottom w:val="single" w:sz="4" w:space="0" w:color="auto"/>
              <w:right w:val="single" w:sz="4" w:space="0" w:color="auto"/>
            </w:tcBorders>
            <w:shd w:val="clear" w:color="auto" w:fill="auto"/>
            <w:vAlign w:val="center"/>
            <w:hideMark/>
          </w:tcPr>
          <w:p w14:paraId="02B75D8B"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2 firmy</w:t>
            </w:r>
          </w:p>
        </w:tc>
        <w:tc>
          <w:tcPr>
            <w:tcW w:w="1520" w:type="dxa"/>
            <w:tcBorders>
              <w:top w:val="nil"/>
              <w:left w:val="nil"/>
              <w:bottom w:val="single" w:sz="4" w:space="0" w:color="auto"/>
              <w:right w:val="nil"/>
            </w:tcBorders>
            <w:vAlign w:val="center"/>
          </w:tcPr>
          <w:p w14:paraId="4F8C5E89"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4 firmy</w:t>
            </w:r>
          </w:p>
        </w:tc>
      </w:tr>
      <w:tr w:rsidR="005E6A25" w:rsidRPr="00917E24" w14:paraId="48A31197" w14:textId="77777777" w:rsidTr="005E6A25">
        <w:trPr>
          <w:trHeight w:val="1200"/>
        </w:trPr>
        <w:tc>
          <w:tcPr>
            <w:tcW w:w="1452" w:type="dxa"/>
            <w:vMerge/>
            <w:tcBorders>
              <w:top w:val="nil"/>
              <w:left w:val="single" w:sz="8" w:space="0" w:color="auto"/>
              <w:bottom w:val="single" w:sz="8" w:space="0" w:color="000000"/>
              <w:right w:val="single" w:sz="4" w:space="0" w:color="auto"/>
            </w:tcBorders>
            <w:vAlign w:val="center"/>
            <w:hideMark/>
          </w:tcPr>
          <w:p w14:paraId="2157EA98"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44CF8576"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683FDB34"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Startup Voucher</w:t>
            </w:r>
          </w:p>
        </w:tc>
        <w:tc>
          <w:tcPr>
            <w:tcW w:w="2298" w:type="dxa"/>
            <w:tcBorders>
              <w:top w:val="nil"/>
              <w:left w:val="nil"/>
              <w:bottom w:val="single" w:sz="4" w:space="0" w:color="auto"/>
              <w:right w:val="single" w:sz="4" w:space="0" w:color="auto"/>
            </w:tcBorders>
            <w:shd w:val="clear" w:color="auto" w:fill="auto"/>
            <w:vAlign w:val="center"/>
            <w:hideMark/>
          </w:tcPr>
          <w:p w14:paraId="74C943D6"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startupy/firmy, které mají inovativní  škálovatelný projekt/službu, s ambicí stát se globálními firmami</w:t>
            </w:r>
          </w:p>
        </w:tc>
        <w:tc>
          <w:tcPr>
            <w:tcW w:w="5030" w:type="dxa"/>
            <w:tcBorders>
              <w:top w:val="nil"/>
              <w:left w:val="nil"/>
              <w:bottom w:val="single" w:sz="4" w:space="0" w:color="auto"/>
              <w:right w:val="single" w:sz="4" w:space="0" w:color="auto"/>
            </w:tcBorders>
            <w:shd w:val="clear" w:color="auto" w:fill="auto"/>
            <w:vAlign w:val="center"/>
            <w:hideMark/>
          </w:tcPr>
          <w:p w14:paraId="683C62CC"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Start Up Voucher je finanční podpora pro začínající firmy, které které vyvíjí škálovatelný produkt/službu a mají ambici stát se globální firmou. Start Up voucher je financovaných ze zdrojů soukromých firem a/nebo partnerů MSIC (např. ČS). Z SGEI bude placen pouze úvazek zaměstnanců, kteří posktytují administratují celé schéma.</w:t>
            </w:r>
          </w:p>
        </w:tc>
        <w:tc>
          <w:tcPr>
            <w:tcW w:w="1520" w:type="dxa"/>
            <w:tcBorders>
              <w:top w:val="nil"/>
              <w:left w:val="nil"/>
              <w:bottom w:val="single" w:sz="4" w:space="0" w:color="auto"/>
              <w:right w:val="single" w:sz="4" w:space="0" w:color="auto"/>
            </w:tcBorders>
            <w:shd w:val="clear" w:color="auto" w:fill="auto"/>
            <w:vAlign w:val="center"/>
            <w:hideMark/>
          </w:tcPr>
          <w:p w14:paraId="6FA72843"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2 firmy</w:t>
            </w:r>
          </w:p>
        </w:tc>
        <w:tc>
          <w:tcPr>
            <w:tcW w:w="1520" w:type="dxa"/>
            <w:tcBorders>
              <w:top w:val="nil"/>
              <w:left w:val="nil"/>
              <w:bottom w:val="single" w:sz="4" w:space="0" w:color="auto"/>
              <w:right w:val="nil"/>
            </w:tcBorders>
            <w:vAlign w:val="center"/>
          </w:tcPr>
          <w:p w14:paraId="7AC091B7"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4 firmy</w:t>
            </w:r>
          </w:p>
        </w:tc>
      </w:tr>
      <w:tr w:rsidR="005E6A25" w:rsidRPr="00917E24" w14:paraId="5CFF4E50" w14:textId="77777777" w:rsidTr="005E6A25">
        <w:trPr>
          <w:trHeight w:val="1200"/>
        </w:trPr>
        <w:tc>
          <w:tcPr>
            <w:tcW w:w="1452" w:type="dxa"/>
            <w:vMerge/>
            <w:tcBorders>
              <w:top w:val="nil"/>
              <w:left w:val="single" w:sz="8" w:space="0" w:color="auto"/>
              <w:bottom w:val="single" w:sz="8" w:space="0" w:color="000000"/>
              <w:right w:val="single" w:sz="4" w:space="0" w:color="auto"/>
            </w:tcBorders>
            <w:vAlign w:val="center"/>
            <w:hideMark/>
          </w:tcPr>
          <w:p w14:paraId="32E6AE4A"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56B91DF4"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16BF0803"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TOP 10 StartUp MSK</w:t>
            </w:r>
          </w:p>
        </w:tc>
        <w:tc>
          <w:tcPr>
            <w:tcW w:w="2298" w:type="dxa"/>
            <w:tcBorders>
              <w:top w:val="nil"/>
              <w:left w:val="nil"/>
              <w:bottom w:val="single" w:sz="4" w:space="0" w:color="auto"/>
              <w:right w:val="single" w:sz="4" w:space="0" w:color="auto"/>
            </w:tcBorders>
            <w:shd w:val="clear" w:color="auto" w:fill="auto"/>
            <w:vAlign w:val="center"/>
            <w:hideMark/>
          </w:tcPr>
          <w:p w14:paraId="39A323EC"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startupy s globální ambicí</w:t>
            </w:r>
          </w:p>
        </w:tc>
        <w:tc>
          <w:tcPr>
            <w:tcW w:w="5030" w:type="dxa"/>
            <w:tcBorders>
              <w:top w:val="nil"/>
              <w:left w:val="nil"/>
              <w:bottom w:val="single" w:sz="4" w:space="0" w:color="auto"/>
              <w:right w:val="single" w:sz="4" w:space="0" w:color="auto"/>
            </w:tcBorders>
            <w:shd w:val="clear" w:color="auto" w:fill="auto"/>
            <w:vAlign w:val="center"/>
            <w:hideMark/>
          </w:tcPr>
          <w:p w14:paraId="42A5DD7D" w14:textId="77777777" w:rsidR="005E6A25" w:rsidRPr="00917E24" w:rsidRDefault="005E6A25" w:rsidP="005E6A25">
            <w:pPr>
              <w:suppressAutoHyphens w:val="0"/>
              <w:spacing w:before="0" w:after="0" w:line="240" w:lineRule="auto"/>
              <w:rPr>
                <w:rFonts w:ascii="Calibri" w:hAnsi="Calibri" w:cs="Calibri"/>
                <w:sz w:val="22"/>
                <w:szCs w:val="22"/>
                <w:lang w:eastAsia="cs-CZ"/>
              </w:rPr>
            </w:pPr>
            <w:r w:rsidRPr="00917E24">
              <w:rPr>
                <w:rFonts w:ascii="Calibri" w:hAnsi="Calibri" w:cs="Calibri"/>
                <w:sz w:val="22"/>
                <w:szCs w:val="22"/>
                <w:lang w:eastAsia="cs-CZ"/>
              </w:rPr>
              <w:t>"podpořené start-upy" - každoroční PR kampaň a seriál o 10 nejzajímavějších startupech z MSK. Výstupem budou  o motivační články a příběhy škálovatelných firem s potenciálem globálního startupu, které by měly být zajímavé především pro business a “odbornou” veřejnost (experty, investory, B-angels, novináře, apod) v i mimo MSK.</w:t>
            </w:r>
          </w:p>
        </w:tc>
        <w:tc>
          <w:tcPr>
            <w:tcW w:w="1520" w:type="dxa"/>
            <w:tcBorders>
              <w:top w:val="nil"/>
              <w:left w:val="nil"/>
              <w:bottom w:val="single" w:sz="4" w:space="0" w:color="auto"/>
              <w:right w:val="single" w:sz="4" w:space="0" w:color="auto"/>
            </w:tcBorders>
            <w:shd w:val="clear" w:color="auto" w:fill="auto"/>
            <w:vAlign w:val="center"/>
            <w:hideMark/>
          </w:tcPr>
          <w:p w14:paraId="702EEC8F"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5 start-upů</w:t>
            </w:r>
          </w:p>
        </w:tc>
        <w:tc>
          <w:tcPr>
            <w:tcW w:w="1520" w:type="dxa"/>
            <w:tcBorders>
              <w:top w:val="nil"/>
              <w:left w:val="nil"/>
              <w:bottom w:val="single" w:sz="4" w:space="0" w:color="auto"/>
              <w:right w:val="nil"/>
            </w:tcBorders>
            <w:vAlign w:val="center"/>
          </w:tcPr>
          <w:p w14:paraId="53361638"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10 start-upů</w:t>
            </w:r>
          </w:p>
        </w:tc>
      </w:tr>
      <w:tr w:rsidR="005E6A25" w:rsidRPr="00917E24" w14:paraId="6DCBD142" w14:textId="77777777" w:rsidTr="005E6A25">
        <w:trPr>
          <w:trHeight w:val="1500"/>
        </w:trPr>
        <w:tc>
          <w:tcPr>
            <w:tcW w:w="1452" w:type="dxa"/>
            <w:vMerge/>
            <w:tcBorders>
              <w:top w:val="nil"/>
              <w:left w:val="single" w:sz="8" w:space="0" w:color="auto"/>
              <w:bottom w:val="single" w:sz="8" w:space="0" w:color="000000"/>
              <w:right w:val="single" w:sz="4" w:space="0" w:color="auto"/>
            </w:tcBorders>
            <w:vAlign w:val="center"/>
            <w:hideMark/>
          </w:tcPr>
          <w:p w14:paraId="496C4973"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14:paraId="5A4A9A5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 xml:space="preserve">MSK Digital </w:t>
            </w:r>
            <w:r w:rsidRPr="00917E24">
              <w:rPr>
                <w:rFonts w:ascii="Calibri" w:hAnsi="Calibri" w:cs="Calibri"/>
                <w:color w:val="000000"/>
                <w:sz w:val="22"/>
                <w:szCs w:val="22"/>
                <w:lang w:eastAsia="cs-CZ"/>
              </w:rPr>
              <w:br/>
            </w:r>
            <w:r w:rsidRPr="00917E24">
              <w:rPr>
                <w:rFonts w:ascii="Calibri" w:hAnsi="Calibri" w:cs="Calibri"/>
                <w:i/>
                <w:iCs/>
                <w:color w:val="000000"/>
                <w:sz w:val="22"/>
                <w:szCs w:val="22"/>
                <w:lang w:eastAsia="cs-CZ"/>
              </w:rPr>
              <w:t>cíl: zvýšit úrovně digitalizace a robotizace především MSP v MSK</w:t>
            </w:r>
          </w:p>
        </w:tc>
        <w:tc>
          <w:tcPr>
            <w:tcW w:w="2456" w:type="dxa"/>
            <w:tcBorders>
              <w:top w:val="nil"/>
              <w:left w:val="nil"/>
              <w:bottom w:val="single" w:sz="4" w:space="0" w:color="auto"/>
              <w:right w:val="single" w:sz="4" w:space="0" w:color="auto"/>
            </w:tcBorders>
            <w:shd w:val="clear" w:color="auto" w:fill="auto"/>
            <w:vAlign w:val="center"/>
            <w:hideMark/>
          </w:tcPr>
          <w:p w14:paraId="7B0EF196"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DigiAudit</w:t>
            </w:r>
          </w:p>
        </w:tc>
        <w:tc>
          <w:tcPr>
            <w:tcW w:w="2298" w:type="dxa"/>
            <w:tcBorders>
              <w:top w:val="nil"/>
              <w:left w:val="nil"/>
              <w:bottom w:val="single" w:sz="4" w:space="0" w:color="auto"/>
              <w:right w:val="single" w:sz="4" w:space="0" w:color="auto"/>
            </w:tcBorders>
            <w:shd w:val="clear" w:color="auto" w:fill="auto"/>
            <w:vAlign w:val="center"/>
            <w:hideMark/>
          </w:tcPr>
          <w:p w14:paraId="0756F15F"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MSP se sídlem či pobočkou v MSK</w:t>
            </w:r>
          </w:p>
        </w:tc>
        <w:tc>
          <w:tcPr>
            <w:tcW w:w="5030" w:type="dxa"/>
            <w:tcBorders>
              <w:top w:val="nil"/>
              <w:left w:val="nil"/>
              <w:bottom w:val="single" w:sz="4" w:space="0" w:color="auto"/>
              <w:right w:val="single" w:sz="4" w:space="0" w:color="auto"/>
            </w:tcBorders>
            <w:shd w:val="clear" w:color="auto" w:fill="auto"/>
            <w:vAlign w:val="center"/>
            <w:hideMark/>
          </w:tcPr>
          <w:p w14:paraId="2D766FF4"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 xml:space="preserve">Jde o program digitálního rozvoje firem v MSK - fáze 0 - osvěta. Nezávislý specialista provede ve firmě digitální audit, který prověří připravenost procesů a firmy na digitalizaci, a který odhalí nejefektivnější místa pro nasazení digitalizace tj. kde lze za malé peníze ušetřit větší množství zdrojů a času. Po provedení auditu získá firma 2-3 doporučení, které procesy/aktivity digitalizovat. Rozsah spolupráce firmy se specialistou je 10 hodin. </w:t>
            </w:r>
          </w:p>
        </w:tc>
        <w:tc>
          <w:tcPr>
            <w:tcW w:w="1520" w:type="dxa"/>
            <w:tcBorders>
              <w:top w:val="nil"/>
              <w:left w:val="nil"/>
              <w:bottom w:val="single" w:sz="4" w:space="0" w:color="auto"/>
              <w:right w:val="single" w:sz="4" w:space="0" w:color="auto"/>
            </w:tcBorders>
            <w:shd w:val="clear" w:color="auto" w:fill="auto"/>
            <w:vAlign w:val="center"/>
            <w:hideMark/>
          </w:tcPr>
          <w:p w14:paraId="33B19E16"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10 firem</w:t>
            </w:r>
          </w:p>
        </w:tc>
        <w:tc>
          <w:tcPr>
            <w:tcW w:w="1520" w:type="dxa"/>
            <w:tcBorders>
              <w:top w:val="nil"/>
              <w:left w:val="nil"/>
              <w:bottom w:val="single" w:sz="4" w:space="0" w:color="auto"/>
              <w:right w:val="nil"/>
            </w:tcBorders>
            <w:vAlign w:val="center"/>
          </w:tcPr>
          <w:p w14:paraId="400A7F8B"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20 firem</w:t>
            </w:r>
          </w:p>
        </w:tc>
      </w:tr>
      <w:tr w:rsidR="005E6A25" w:rsidRPr="00917E24" w14:paraId="0777D5DF" w14:textId="77777777" w:rsidTr="005E6A25">
        <w:trPr>
          <w:trHeight w:val="1500"/>
        </w:trPr>
        <w:tc>
          <w:tcPr>
            <w:tcW w:w="1452" w:type="dxa"/>
            <w:vMerge/>
            <w:tcBorders>
              <w:top w:val="nil"/>
              <w:left w:val="single" w:sz="8" w:space="0" w:color="auto"/>
              <w:bottom w:val="single" w:sz="8" w:space="0" w:color="000000"/>
              <w:right w:val="single" w:sz="4" w:space="0" w:color="auto"/>
            </w:tcBorders>
            <w:vAlign w:val="center"/>
            <w:hideMark/>
          </w:tcPr>
          <w:p w14:paraId="3F27C20B"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734BFD94"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454C11F3"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DigiUp</w:t>
            </w:r>
          </w:p>
        </w:tc>
        <w:tc>
          <w:tcPr>
            <w:tcW w:w="2298" w:type="dxa"/>
            <w:tcBorders>
              <w:top w:val="nil"/>
              <w:left w:val="nil"/>
              <w:bottom w:val="single" w:sz="4" w:space="0" w:color="auto"/>
              <w:right w:val="single" w:sz="4" w:space="0" w:color="auto"/>
            </w:tcBorders>
            <w:shd w:val="clear" w:color="auto" w:fill="auto"/>
            <w:vAlign w:val="center"/>
            <w:hideMark/>
          </w:tcPr>
          <w:p w14:paraId="1259626F"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MSP se sídlem či pobočkou v MSK</w:t>
            </w:r>
          </w:p>
        </w:tc>
        <w:tc>
          <w:tcPr>
            <w:tcW w:w="5030" w:type="dxa"/>
            <w:tcBorders>
              <w:top w:val="nil"/>
              <w:left w:val="nil"/>
              <w:bottom w:val="single" w:sz="4" w:space="0" w:color="auto"/>
              <w:right w:val="single" w:sz="4" w:space="0" w:color="auto"/>
            </w:tcBorders>
            <w:shd w:val="clear" w:color="auto" w:fill="auto"/>
            <w:vAlign w:val="center"/>
            <w:hideMark/>
          </w:tcPr>
          <w:p w14:paraId="0A21F6EC"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Jde o program digitálního rozvoje firem v MSK - fáze 1 - příprava změnového projektu. Nezávislý specialista ve spolupráci s firmou navrhne a připraví změnový projekt v oblasti digitalizace, automatizace, robotizace apod. Tento změnový projekt vychází z doporučení digitálního auditu provedeného buď v rámci programu DigiAudit a nebo jiných auditů. Celkový rozsah spolupráce je až 40 hodin.</w:t>
            </w:r>
          </w:p>
        </w:tc>
        <w:tc>
          <w:tcPr>
            <w:tcW w:w="1520" w:type="dxa"/>
            <w:tcBorders>
              <w:top w:val="nil"/>
              <w:left w:val="nil"/>
              <w:bottom w:val="single" w:sz="4" w:space="0" w:color="auto"/>
              <w:right w:val="single" w:sz="4" w:space="0" w:color="auto"/>
            </w:tcBorders>
            <w:shd w:val="clear" w:color="auto" w:fill="auto"/>
            <w:vAlign w:val="center"/>
            <w:hideMark/>
          </w:tcPr>
          <w:p w14:paraId="540A70DC"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6 firem</w:t>
            </w:r>
          </w:p>
        </w:tc>
        <w:tc>
          <w:tcPr>
            <w:tcW w:w="1520" w:type="dxa"/>
            <w:tcBorders>
              <w:top w:val="nil"/>
              <w:left w:val="nil"/>
              <w:bottom w:val="single" w:sz="4" w:space="0" w:color="auto"/>
              <w:right w:val="nil"/>
            </w:tcBorders>
            <w:vAlign w:val="center"/>
          </w:tcPr>
          <w:p w14:paraId="2F98797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13 firem</w:t>
            </w:r>
          </w:p>
        </w:tc>
      </w:tr>
      <w:tr w:rsidR="005E6A25" w:rsidRPr="00917E24" w14:paraId="3CF4D01F" w14:textId="77777777" w:rsidTr="005E6A25">
        <w:trPr>
          <w:trHeight w:val="900"/>
        </w:trPr>
        <w:tc>
          <w:tcPr>
            <w:tcW w:w="1452" w:type="dxa"/>
            <w:vMerge/>
            <w:tcBorders>
              <w:top w:val="nil"/>
              <w:left w:val="single" w:sz="8" w:space="0" w:color="auto"/>
              <w:bottom w:val="single" w:sz="8" w:space="0" w:color="000000"/>
              <w:right w:val="single" w:sz="4" w:space="0" w:color="auto"/>
            </w:tcBorders>
            <w:vAlign w:val="center"/>
            <w:hideMark/>
          </w:tcPr>
          <w:p w14:paraId="1B547C1E"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132A55E8"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5A2E51F0"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Stavební dozor digitalizace</w:t>
            </w:r>
          </w:p>
        </w:tc>
        <w:tc>
          <w:tcPr>
            <w:tcW w:w="2298" w:type="dxa"/>
            <w:tcBorders>
              <w:top w:val="nil"/>
              <w:left w:val="nil"/>
              <w:bottom w:val="single" w:sz="4" w:space="0" w:color="auto"/>
              <w:right w:val="single" w:sz="4" w:space="0" w:color="auto"/>
            </w:tcBorders>
            <w:shd w:val="clear" w:color="auto" w:fill="auto"/>
            <w:vAlign w:val="center"/>
            <w:hideMark/>
          </w:tcPr>
          <w:p w14:paraId="3E0A47EB"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MSP se sídlem či pobočkou v MSK</w:t>
            </w:r>
          </w:p>
        </w:tc>
        <w:tc>
          <w:tcPr>
            <w:tcW w:w="5030" w:type="dxa"/>
            <w:tcBorders>
              <w:top w:val="nil"/>
              <w:left w:val="nil"/>
              <w:bottom w:val="single" w:sz="4" w:space="0" w:color="auto"/>
              <w:right w:val="single" w:sz="4" w:space="0" w:color="auto"/>
            </w:tcBorders>
            <w:shd w:val="clear" w:color="auto" w:fill="auto"/>
            <w:vAlign w:val="center"/>
            <w:hideMark/>
          </w:tcPr>
          <w:p w14:paraId="2B75D325"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Jde o další program digitálního rozvoje firem v MSK - fáze 2 - implementace změnového projektu. Nezávislý specialista zajistí firmě hladký průběh implementace změnového projektu, který byl připraven v rámci programu DigiUp. Celkový rozsah spolupráce je až 60 hodin.</w:t>
            </w:r>
          </w:p>
        </w:tc>
        <w:tc>
          <w:tcPr>
            <w:tcW w:w="1520" w:type="dxa"/>
            <w:tcBorders>
              <w:top w:val="nil"/>
              <w:left w:val="nil"/>
              <w:bottom w:val="single" w:sz="4" w:space="0" w:color="auto"/>
              <w:right w:val="single" w:sz="4" w:space="0" w:color="auto"/>
            </w:tcBorders>
            <w:shd w:val="clear" w:color="auto" w:fill="auto"/>
            <w:vAlign w:val="center"/>
            <w:hideMark/>
          </w:tcPr>
          <w:p w14:paraId="623204F0"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4 firmy</w:t>
            </w:r>
          </w:p>
        </w:tc>
        <w:tc>
          <w:tcPr>
            <w:tcW w:w="1520" w:type="dxa"/>
            <w:tcBorders>
              <w:top w:val="nil"/>
              <w:left w:val="nil"/>
              <w:bottom w:val="single" w:sz="4" w:space="0" w:color="auto"/>
              <w:right w:val="nil"/>
            </w:tcBorders>
            <w:vAlign w:val="center"/>
          </w:tcPr>
          <w:p w14:paraId="33F4448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7 firem</w:t>
            </w:r>
          </w:p>
        </w:tc>
      </w:tr>
      <w:tr w:rsidR="005E6A25" w:rsidRPr="00917E24" w14:paraId="6936E9F7" w14:textId="77777777" w:rsidTr="005E6A25">
        <w:trPr>
          <w:trHeight w:val="1200"/>
        </w:trPr>
        <w:tc>
          <w:tcPr>
            <w:tcW w:w="1452" w:type="dxa"/>
            <w:vMerge/>
            <w:tcBorders>
              <w:top w:val="nil"/>
              <w:left w:val="single" w:sz="8" w:space="0" w:color="auto"/>
              <w:bottom w:val="single" w:sz="8" w:space="0" w:color="000000"/>
              <w:right w:val="single" w:sz="4" w:space="0" w:color="auto"/>
            </w:tcBorders>
            <w:vAlign w:val="center"/>
            <w:hideMark/>
          </w:tcPr>
          <w:p w14:paraId="16E10523"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518EDB5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708096D4"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Cyber-sec Audit</w:t>
            </w:r>
          </w:p>
        </w:tc>
        <w:tc>
          <w:tcPr>
            <w:tcW w:w="2298" w:type="dxa"/>
            <w:tcBorders>
              <w:top w:val="nil"/>
              <w:left w:val="nil"/>
              <w:bottom w:val="single" w:sz="4" w:space="0" w:color="auto"/>
              <w:right w:val="single" w:sz="4" w:space="0" w:color="auto"/>
            </w:tcBorders>
            <w:shd w:val="clear" w:color="auto" w:fill="auto"/>
            <w:vAlign w:val="center"/>
            <w:hideMark/>
          </w:tcPr>
          <w:p w14:paraId="10272C25"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MSP se sídlem či pobočkou v MSK</w:t>
            </w:r>
          </w:p>
        </w:tc>
        <w:tc>
          <w:tcPr>
            <w:tcW w:w="5030" w:type="dxa"/>
            <w:tcBorders>
              <w:top w:val="nil"/>
              <w:left w:val="nil"/>
              <w:bottom w:val="single" w:sz="4" w:space="0" w:color="auto"/>
              <w:right w:val="single" w:sz="4" w:space="0" w:color="auto"/>
            </w:tcBorders>
            <w:shd w:val="clear" w:color="auto" w:fill="auto"/>
            <w:vAlign w:val="center"/>
            <w:hideMark/>
          </w:tcPr>
          <w:p w14:paraId="49D534EC"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Jde o specializovaný program digitálního rozvoje firem v MSK zaměřený na posílení kybernetické bezpečnosti MSP.  Nezávislý specialista prověří připravenost a nástroje firmy pro odražení cyber útorku, odhalí zranitelná místa a navrhne systém optimálního kybernetického zabezpečení firmy. Rozsah spolupráce specialisty s firmou je 10 hodin.</w:t>
            </w:r>
          </w:p>
        </w:tc>
        <w:tc>
          <w:tcPr>
            <w:tcW w:w="1520" w:type="dxa"/>
            <w:tcBorders>
              <w:top w:val="nil"/>
              <w:left w:val="nil"/>
              <w:bottom w:val="single" w:sz="4" w:space="0" w:color="auto"/>
              <w:right w:val="single" w:sz="4" w:space="0" w:color="auto"/>
            </w:tcBorders>
            <w:shd w:val="clear" w:color="auto" w:fill="auto"/>
            <w:vAlign w:val="center"/>
            <w:hideMark/>
          </w:tcPr>
          <w:p w14:paraId="135C2564"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3 firmy</w:t>
            </w:r>
          </w:p>
        </w:tc>
        <w:tc>
          <w:tcPr>
            <w:tcW w:w="1520" w:type="dxa"/>
            <w:tcBorders>
              <w:top w:val="nil"/>
              <w:left w:val="nil"/>
              <w:bottom w:val="single" w:sz="4" w:space="0" w:color="auto"/>
              <w:right w:val="nil"/>
            </w:tcBorders>
            <w:vAlign w:val="center"/>
          </w:tcPr>
          <w:p w14:paraId="5113372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5 firem</w:t>
            </w:r>
          </w:p>
        </w:tc>
      </w:tr>
      <w:tr w:rsidR="005E6A25" w:rsidRPr="00917E24" w14:paraId="4FF234BF" w14:textId="77777777" w:rsidTr="005E6A25">
        <w:trPr>
          <w:trHeight w:val="2100"/>
        </w:trPr>
        <w:tc>
          <w:tcPr>
            <w:tcW w:w="1452" w:type="dxa"/>
            <w:vMerge/>
            <w:tcBorders>
              <w:top w:val="nil"/>
              <w:left w:val="single" w:sz="8" w:space="0" w:color="auto"/>
              <w:bottom w:val="single" w:sz="8" w:space="0" w:color="000000"/>
              <w:right w:val="single" w:sz="4" w:space="0" w:color="auto"/>
            </w:tcBorders>
            <w:vAlign w:val="center"/>
            <w:hideMark/>
          </w:tcPr>
          <w:p w14:paraId="7ABAA808"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val="restart"/>
            <w:tcBorders>
              <w:top w:val="nil"/>
              <w:left w:val="single" w:sz="4" w:space="0" w:color="auto"/>
              <w:bottom w:val="single" w:sz="8" w:space="0" w:color="000000"/>
              <w:right w:val="single" w:sz="4" w:space="0" w:color="auto"/>
            </w:tcBorders>
            <w:shd w:val="clear" w:color="auto" w:fill="auto"/>
            <w:vAlign w:val="center"/>
            <w:hideMark/>
          </w:tcPr>
          <w:p w14:paraId="65CD2C0C"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ENVITech- individuální služby a programy</w:t>
            </w:r>
            <w:r w:rsidRPr="00917E24">
              <w:rPr>
                <w:rFonts w:ascii="Calibri" w:hAnsi="Calibri" w:cs="Calibri"/>
                <w:color w:val="000000"/>
                <w:sz w:val="22"/>
                <w:szCs w:val="22"/>
                <w:lang w:eastAsia="cs-CZ"/>
              </w:rPr>
              <w:br/>
            </w:r>
            <w:r w:rsidRPr="00917E24">
              <w:rPr>
                <w:rFonts w:ascii="Calibri" w:hAnsi="Calibri" w:cs="Calibri"/>
                <w:i/>
                <w:iCs/>
                <w:color w:val="000000"/>
                <w:sz w:val="22"/>
                <w:szCs w:val="22"/>
                <w:lang w:eastAsia="cs-CZ"/>
              </w:rPr>
              <w:t>Cíl: Podpořit rozvoj environmentálních technologií a konceptu cirkulární ekonomiky v MSK</w:t>
            </w:r>
          </w:p>
        </w:tc>
        <w:tc>
          <w:tcPr>
            <w:tcW w:w="2456" w:type="dxa"/>
            <w:tcBorders>
              <w:top w:val="nil"/>
              <w:left w:val="nil"/>
              <w:bottom w:val="single" w:sz="4" w:space="0" w:color="auto"/>
              <w:right w:val="single" w:sz="4" w:space="0" w:color="auto"/>
            </w:tcBorders>
            <w:shd w:val="clear" w:color="auto" w:fill="auto"/>
            <w:vAlign w:val="center"/>
            <w:hideMark/>
          </w:tcPr>
          <w:p w14:paraId="0B1FACFE"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Cirkulární skeny</w:t>
            </w:r>
          </w:p>
        </w:tc>
        <w:tc>
          <w:tcPr>
            <w:tcW w:w="2298" w:type="dxa"/>
            <w:tcBorders>
              <w:top w:val="nil"/>
              <w:left w:val="nil"/>
              <w:bottom w:val="single" w:sz="4" w:space="0" w:color="auto"/>
              <w:right w:val="single" w:sz="4" w:space="0" w:color="auto"/>
            </w:tcBorders>
            <w:shd w:val="clear" w:color="auto" w:fill="auto"/>
            <w:vAlign w:val="center"/>
            <w:hideMark/>
          </w:tcPr>
          <w:p w14:paraId="593C3D93"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MSP se sídlem či pobočkou v MSK</w:t>
            </w:r>
          </w:p>
        </w:tc>
        <w:tc>
          <w:tcPr>
            <w:tcW w:w="5030" w:type="dxa"/>
            <w:tcBorders>
              <w:top w:val="nil"/>
              <w:left w:val="nil"/>
              <w:bottom w:val="single" w:sz="4" w:space="0" w:color="auto"/>
              <w:right w:val="single" w:sz="4" w:space="0" w:color="auto"/>
            </w:tcBorders>
            <w:shd w:val="clear" w:color="auto" w:fill="auto"/>
            <w:vAlign w:val="center"/>
            <w:hideMark/>
          </w:tcPr>
          <w:p w14:paraId="77131E2B"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Program určený pro MSP, který jim má pomoci k postupnému přechodu na více udržitelné podnikání. V první fázi nezávislý specialista pomocí cirkulárního skenu zanalyzuje prostředí firmy, identifikuje možné oblasti změny (využití volných materiálů, nákladání s odpady, úspory energií, nakládaní s vodou apod.). Rozsah spolupráce v první fázi je až 20 hodin. Ve druhé fázi firma ve spolupráci se specialistou na vybranou oblast (identifikovanou v cirkulárním skenu) připraví změnový projekt, který by měl vyčíslit i úsporu nákladů pro firmu a návratnost investice. Rozsah spolupráce je až 50 hodin.</w:t>
            </w:r>
          </w:p>
        </w:tc>
        <w:tc>
          <w:tcPr>
            <w:tcW w:w="1520" w:type="dxa"/>
            <w:tcBorders>
              <w:top w:val="nil"/>
              <w:left w:val="nil"/>
              <w:bottom w:val="single" w:sz="4" w:space="0" w:color="auto"/>
              <w:right w:val="single" w:sz="4" w:space="0" w:color="auto"/>
            </w:tcBorders>
            <w:shd w:val="clear" w:color="auto" w:fill="auto"/>
            <w:vAlign w:val="center"/>
            <w:hideMark/>
          </w:tcPr>
          <w:p w14:paraId="33795BCC"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5 firem</w:t>
            </w:r>
          </w:p>
        </w:tc>
        <w:tc>
          <w:tcPr>
            <w:tcW w:w="1520" w:type="dxa"/>
            <w:tcBorders>
              <w:top w:val="nil"/>
              <w:left w:val="nil"/>
              <w:bottom w:val="single" w:sz="4" w:space="0" w:color="auto"/>
              <w:right w:val="nil"/>
            </w:tcBorders>
            <w:vAlign w:val="center"/>
          </w:tcPr>
          <w:p w14:paraId="51C36478"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10 firem</w:t>
            </w:r>
          </w:p>
        </w:tc>
      </w:tr>
      <w:tr w:rsidR="005E6A25" w:rsidRPr="00917E24" w14:paraId="3FAF06B5" w14:textId="77777777" w:rsidTr="005E6A25">
        <w:trPr>
          <w:trHeight w:val="1249"/>
        </w:trPr>
        <w:tc>
          <w:tcPr>
            <w:tcW w:w="1452" w:type="dxa"/>
            <w:vMerge/>
            <w:tcBorders>
              <w:top w:val="nil"/>
              <w:left w:val="single" w:sz="8" w:space="0" w:color="auto"/>
              <w:bottom w:val="single" w:sz="8" w:space="0" w:color="000000"/>
              <w:right w:val="single" w:sz="4" w:space="0" w:color="auto"/>
            </w:tcBorders>
            <w:vAlign w:val="center"/>
            <w:hideMark/>
          </w:tcPr>
          <w:p w14:paraId="19DE6578"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8" w:space="0" w:color="000000"/>
              <w:right w:val="single" w:sz="4" w:space="0" w:color="auto"/>
            </w:tcBorders>
            <w:vAlign w:val="center"/>
            <w:hideMark/>
          </w:tcPr>
          <w:p w14:paraId="03E77D85"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8" w:space="0" w:color="auto"/>
              <w:right w:val="single" w:sz="4" w:space="0" w:color="auto"/>
            </w:tcBorders>
            <w:shd w:val="clear" w:color="auto" w:fill="auto"/>
            <w:vAlign w:val="center"/>
            <w:hideMark/>
          </w:tcPr>
          <w:p w14:paraId="62C7116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 xml:space="preserve">MSIC Challenge - soft-landing pro zahraniční start-upy </w:t>
            </w:r>
          </w:p>
        </w:tc>
        <w:tc>
          <w:tcPr>
            <w:tcW w:w="2298" w:type="dxa"/>
            <w:tcBorders>
              <w:top w:val="nil"/>
              <w:left w:val="nil"/>
              <w:bottom w:val="single" w:sz="8" w:space="0" w:color="auto"/>
              <w:right w:val="single" w:sz="4" w:space="0" w:color="auto"/>
            </w:tcBorders>
            <w:shd w:val="clear" w:color="auto" w:fill="auto"/>
            <w:vAlign w:val="center"/>
            <w:hideMark/>
          </w:tcPr>
          <w:p w14:paraId="09F2D40A"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start-upy z oblasti ENVI Tech se sídlem mimo MSK</w:t>
            </w:r>
          </w:p>
        </w:tc>
        <w:tc>
          <w:tcPr>
            <w:tcW w:w="5030" w:type="dxa"/>
            <w:tcBorders>
              <w:top w:val="nil"/>
              <w:left w:val="nil"/>
              <w:bottom w:val="single" w:sz="8" w:space="0" w:color="auto"/>
              <w:right w:val="single" w:sz="4" w:space="0" w:color="auto"/>
            </w:tcBorders>
            <w:shd w:val="clear" w:color="auto" w:fill="auto"/>
            <w:vAlign w:val="center"/>
            <w:hideMark/>
          </w:tcPr>
          <w:p w14:paraId="43BD4BA4"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Program zaměřený na lákání start-upů působících v oblasti ENVITech do MSK s  cílem rozvoje inovačního ekosystému MSK. Příchozím startupům budou nabízeny tyto služby: 6ti měsíční pobyt v T-park (cowork), mentoring ze strany MSIC expertů/specialistů, možnost testování technologií, matchmaking na relevantní partnery z MSK, služby OEC.</w:t>
            </w:r>
          </w:p>
        </w:tc>
        <w:tc>
          <w:tcPr>
            <w:tcW w:w="1520" w:type="dxa"/>
            <w:tcBorders>
              <w:top w:val="nil"/>
              <w:left w:val="nil"/>
              <w:bottom w:val="single" w:sz="8" w:space="0" w:color="auto"/>
              <w:right w:val="single" w:sz="4" w:space="0" w:color="auto"/>
            </w:tcBorders>
            <w:shd w:val="clear" w:color="auto" w:fill="auto"/>
            <w:vAlign w:val="center"/>
            <w:hideMark/>
          </w:tcPr>
          <w:p w14:paraId="500B9B68"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 start-up</w:t>
            </w:r>
          </w:p>
        </w:tc>
        <w:tc>
          <w:tcPr>
            <w:tcW w:w="1520" w:type="dxa"/>
            <w:tcBorders>
              <w:top w:val="nil"/>
              <w:left w:val="nil"/>
              <w:bottom w:val="single" w:sz="8" w:space="0" w:color="auto"/>
              <w:right w:val="nil"/>
            </w:tcBorders>
            <w:vAlign w:val="center"/>
          </w:tcPr>
          <w:p w14:paraId="6855D3E6"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2 start-upy</w:t>
            </w:r>
          </w:p>
        </w:tc>
      </w:tr>
      <w:tr w:rsidR="005E6A25" w:rsidRPr="00917E24" w14:paraId="6016A754" w14:textId="77777777" w:rsidTr="005E6A25">
        <w:trPr>
          <w:trHeight w:val="2700"/>
        </w:trPr>
        <w:tc>
          <w:tcPr>
            <w:tcW w:w="1452" w:type="dxa"/>
            <w:vMerge w:val="restart"/>
            <w:tcBorders>
              <w:top w:val="nil"/>
              <w:left w:val="single" w:sz="8" w:space="0" w:color="auto"/>
              <w:bottom w:val="single" w:sz="8" w:space="0" w:color="000000"/>
              <w:right w:val="single" w:sz="4" w:space="0" w:color="auto"/>
            </w:tcBorders>
            <w:shd w:val="clear" w:color="auto" w:fill="auto"/>
            <w:vAlign w:val="center"/>
            <w:hideMark/>
          </w:tcPr>
          <w:p w14:paraId="38A113AA"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r w:rsidRPr="00917E24">
              <w:rPr>
                <w:rFonts w:ascii="Calibri" w:hAnsi="Calibri" w:cs="Calibri"/>
                <w:b/>
                <w:bCs/>
                <w:color w:val="000000"/>
                <w:sz w:val="22"/>
                <w:szCs w:val="22"/>
                <w:lang w:eastAsia="cs-CZ"/>
              </w:rPr>
              <w:t>Ad c)  společné služby a aktivity pro rozvoj firem</w:t>
            </w: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14:paraId="167C264B"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PODREG</w:t>
            </w:r>
            <w:r w:rsidRPr="00917E24">
              <w:rPr>
                <w:rFonts w:ascii="Calibri" w:hAnsi="Calibri" w:cs="Calibri"/>
                <w:color w:val="000000"/>
                <w:sz w:val="22"/>
                <w:szCs w:val="22"/>
                <w:lang w:eastAsia="cs-CZ"/>
              </w:rPr>
              <w:br/>
            </w:r>
            <w:r w:rsidRPr="00917E24">
              <w:rPr>
                <w:rFonts w:ascii="Calibri" w:hAnsi="Calibri" w:cs="Calibri"/>
                <w:i/>
                <w:iCs/>
                <w:color w:val="000000"/>
                <w:sz w:val="22"/>
                <w:szCs w:val="22"/>
                <w:lang w:eastAsia="cs-CZ"/>
              </w:rPr>
              <w:t xml:space="preserve">cíl: zvýšit intenzitu podnikání v MSK </w:t>
            </w:r>
          </w:p>
        </w:tc>
        <w:tc>
          <w:tcPr>
            <w:tcW w:w="2456" w:type="dxa"/>
            <w:tcBorders>
              <w:top w:val="nil"/>
              <w:left w:val="nil"/>
              <w:bottom w:val="single" w:sz="4" w:space="0" w:color="auto"/>
              <w:right w:val="single" w:sz="4" w:space="0" w:color="auto"/>
            </w:tcBorders>
            <w:shd w:val="clear" w:color="auto" w:fill="auto"/>
            <w:vAlign w:val="center"/>
            <w:hideMark/>
          </w:tcPr>
          <w:p w14:paraId="33D5D44D"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Dotační program kraje na podporu podnikání</w:t>
            </w:r>
          </w:p>
        </w:tc>
        <w:tc>
          <w:tcPr>
            <w:tcW w:w="2298" w:type="dxa"/>
            <w:tcBorders>
              <w:top w:val="nil"/>
              <w:left w:val="nil"/>
              <w:bottom w:val="single" w:sz="4" w:space="0" w:color="auto"/>
              <w:right w:val="single" w:sz="4" w:space="0" w:color="auto"/>
            </w:tcBorders>
            <w:shd w:val="clear" w:color="auto" w:fill="auto"/>
            <w:vAlign w:val="center"/>
            <w:hideMark/>
          </w:tcPr>
          <w:p w14:paraId="2D3E6BA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začínající podnikatelé, MSP</w:t>
            </w:r>
          </w:p>
        </w:tc>
        <w:tc>
          <w:tcPr>
            <w:tcW w:w="5030" w:type="dxa"/>
            <w:tcBorders>
              <w:top w:val="nil"/>
              <w:left w:val="nil"/>
              <w:bottom w:val="single" w:sz="4" w:space="0" w:color="auto"/>
              <w:right w:val="single" w:sz="4" w:space="0" w:color="auto"/>
            </w:tcBorders>
            <w:shd w:val="clear" w:color="auto" w:fill="auto"/>
            <w:vAlign w:val="center"/>
            <w:hideMark/>
          </w:tcPr>
          <w:p w14:paraId="4EB401A3"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metodická podpora při přípravě výzev (VZF, IBV, TAV), příprava hodnocení, komunikace se žadateli, marketingová komunikaca atd.</w:t>
            </w:r>
          </w:p>
        </w:tc>
        <w:tc>
          <w:tcPr>
            <w:tcW w:w="1520" w:type="dxa"/>
            <w:tcBorders>
              <w:top w:val="nil"/>
              <w:left w:val="nil"/>
              <w:bottom w:val="single" w:sz="4" w:space="0" w:color="auto"/>
              <w:right w:val="single" w:sz="4" w:space="0" w:color="auto"/>
            </w:tcBorders>
            <w:shd w:val="clear" w:color="auto" w:fill="auto"/>
            <w:vAlign w:val="center"/>
            <w:hideMark/>
          </w:tcPr>
          <w:p w14:paraId="6AAFB79C"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 xml:space="preserve">VZF </w:t>
            </w:r>
            <w:r w:rsidRPr="00917E24">
              <w:rPr>
                <w:rFonts w:ascii="Calibri" w:hAnsi="Calibri" w:cs="Calibri"/>
                <w:color w:val="000000"/>
                <w:sz w:val="22"/>
                <w:szCs w:val="22"/>
                <w:lang w:eastAsia="cs-CZ"/>
              </w:rPr>
              <w:br/>
              <w:t>- 25 přihlášených</w:t>
            </w:r>
            <w:r w:rsidRPr="00917E24">
              <w:rPr>
                <w:rFonts w:ascii="Calibri" w:hAnsi="Calibri" w:cs="Calibri"/>
                <w:color w:val="000000"/>
                <w:sz w:val="22"/>
                <w:szCs w:val="22"/>
                <w:lang w:eastAsia="cs-CZ"/>
              </w:rPr>
              <w:br/>
              <w:t>- 8 podpořených</w:t>
            </w:r>
            <w:r w:rsidRPr="00917E24">
              <w:rPr>
                <w:rFonts w:ascii="Calibri" w:hAnsi="Calibri" w:cs="Calibri"/>
                <w:color w:val="000000"/>
                <w:sz w:val="22"/>
                <w:szCs w:val="22"/>
                <w:lang w:eastAsia="cs-CZ"/>
              </w:rPr>
              <w:br/>
              <w:t>IBV</w:t>
            </w:r>
            <w:r w:rsidRPr="00917E24">
              <w:rPr>
                <w:rFonts w:ascii="Calibri" w:hAnsi="Calibri" w:cs="Calibri"/>
                <w:color w:val="000000"/>
                <w:sz w:val="22"/>
                <w:szCs w:val="22"/>
                <w:lang w:eastAsia="cs-CZ"/>
              </w:rPr>
              <w:br/>
              <w:t>- 30 přihlášených</w:t>
            </w:r>
            <w:r w:rsidRPr="00917E24">
              <w:rPr>
                <w:rFonts w:ascii="Calibri" w:hAnsi="Calibri" w:cs="Calibri"/>
                <w:color w:val="000000"/>
                <w:sz w:val="22"/>
                <w:szCs w:val="22"/>
                <w:lang w:eastAsia="cs-CZ"/>
              </w:rPr>
              <w:br/>
              <w:t>- 7 podpořených</w:t>
            </w:r>
            <w:r w:rsidRPr="00917E24">
              <w:rPr>
                <w:rFonts w:ascii="Calibri" w:hAnsi="Calibri" w:cs="Calibri"/>
                <w:color w:val="000000"/>
                <w:sz w:val="22"/>
                <w:szCs w:val="22"/>
                <w:lang w:eastAsia="cs-CZ"/>
              </w:rPr>
              <w:br/>
              <w:t>TAV</w:t>
            </w:r>
            <w:r w:rsidRPr="00917E24">
              <w:rPr>
                <w:rFonts w:ascii="Calibri" w:hAnsi="Calibri" w:cs="Calibri"/>
                <w:color w:val="000000"/>
                <w:sz w:val="22"/>
                <w:szCs w:val="22"/>
                <w:lang w:eastAsia="cs-CZ"/>
              </w:rPr>
              <w:br/>
              <w:t>- 30 přihlášených</w:t>
            </w:r>
            <w:r w:rsidRPr="00917E24">
              <w:rPr>
                <w:rFonts w:ascii="Calibri" w:hAnsi="Calibri" w:cs="Calibri"/>
                <w:color w:val="000000"/>
                <w:sz w:val="22"/>
                <w:szCs w:val="22"/>
                <w:lang w:eastAsia="cs-CZ"/>
              </w:rPr>
              <w:br/>
              <w:t>- 9 podpořených</w:t>
            </w:r>
          </w:p>
        </w:tc>
        <w:tc>
          <w:tcPr>
            <w:tcW w:w="1520" w:type="dxa"/>
            <w:tcBorders>
              <w:top w:val="nil"/>
              <w:left w:val="nil"/>
              <w:bottom w:val="single" w:sz="4" w:space="0" w:color="auto"/>
              <w:right w:val="nil"/>
            </w:tcBorders>
            <w:vAlign w:val="center"/>
          </w:tcPr>
          <w:p w14:paraId="7223BD00"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 xml:space="preserve">VZF </w:t>
            </w:r>
            <w:r w:rsidRPr="00917E24">
              <w:rPr>
                <w:rFonts w:ascii="Calibri" w:hAnsi="Calibri" w:cs="Calibri"/>
                <w:color w:val="000000"/>
                <w:sz w:val="22"/>
                <w:szCs w:val="22"/>
                <w:lang w:eastAsia="cs-CZ"/>
              </w:rPr>
              <w:br/>
              <w:t>- 25 přihlášených</w:t>
            </w:r>
            <w:r w:rsidRPr="00917E24">
              <w:rPr>
                <w:rFonts w:ascii="Calibri" w:hAnsi="Calibri" w:cs="Calibri"/>
                <w:color w:val="000000"/>
                <w:sz w:val="22"/>
                <w:szCs w:val="22"/>
                <w:lang w:eastAsia="cs-CZ"/>
              </w:rPr>
              <w:br/>
              <w:t>- 8 podpořených</w:t>
            </w:r>
            <w:r w:rsidRPr="00917E24">
              <w:rPr>
                <w:rFonts w:ascii="Calibri" w:hAnsi="Calibri" w:cs="Calibri"/>
                <w:color w:val="000000"/>
                <w:sz w:val="22"/>
                <w:szCs w:val="22"/>
                <w:lang w:eastAsia="cs-CZ"/>
              </w:rPr>
              <w:br/>
              <w:t>IBV</w:t>
            </w:r>
            <w:r w:rsidRPr="00917E24">
              <w:rPr>
                <w:rFonts w:ascii="Calibri" w:hAnsi="Calibri" w:cs="Calibri"/>
                <w:color w:val="000000"/>
                <w:sz w:val="22"/>
                <w:szCs w:val="22"/>
                <w:lang w:eastAsia="cs-CZ"/>
              </w:rPr>
              <w:br/>
              <w:t>- 30 přihlášených</w:t>
            </w:r>
            <w:r w:rsidRPr="00917E24">
              <w:rPr>
                <w:rFonts w:ascii="Calibri" w:hAnsi="Calibri" w:cs="Calibri"/>
                <w:color w:val="000000"/>
                <w:sz w:val="22"/>
                <w:szCs w:val="22"/>
                <w:lang w:eastAsia="cs-CZ"/>
              </w:rPr>
              <w:br/>
              <w:t>- 7 podpořených</w:t>
            </w:r>
            <w:r w:rsidRPr="00917E24">
              <w:rPr>
                <w:rFonts w:ascii="Calibri" w:hAnsi="Calibri" w:cs="Calibri"/>
                <w:color w:val="000000"/>
                <w:sz w:val="22"/>
                <w:szCs w:val="22"/>
                <w:lang w:eastAsia="cs-CZ"/>
              </w:rPr>
              <w:br/>
              <w:t>TAV</w:t>
            </w:r>
            <w:r w:rsidRPr="00917E24">
              <w:rPr>
                <w:rFonts w:ascii="Calibri" w:hAnsi="Calibri" w:cs="Calibri"/>
                <w:color w:val="000000"/>
                <w:sz w:val="22"/>
                <w:szCs w:val="22"/>
                <w:lang w:eastAsia="cs-CZ"/>
              </w:rPr>
              <w:br/>
              <w:t>- 30 přihlášených</w:t>
            </w:r>
            <w:r w:rsidRPr="00917E24">
              <w:rPr>
                <w:rFonts w:ascii="Calibri" w:hAnsi="Calibri" w:cs="Calibri"/>
                <w:color w:val="000000"/>
                <w:sz w:val="22"/>
                <w:szCs w:val="22"/>
                <w:lang w:eastAsia="cs-CZ"/>
              </w:rPr>
              <w:br/>
              <w:t>- 9 podpořených</w:t>
            </w:r>
          </w:p>
        </w:tc>
      </w:tr>
      <w:tr w:rsidR="005E6A25" w:rsidRPr="00917E24" w14:paraId="55D0CE65" w14:textId="77777777" w:rsidTr="005E6A25">
        <w:trPr>
          <w:trHeight w:val="600"/>
        </w:trPr>
        <w:tc>
          <w:tcPr>
            <w:tcW w:w="1452" w:type="dxa"/>
            <w:vMerge/>
            <w:tcBorders>
              <w:top w:val="nil"/>
              <w:left w:val="single" w:sz="8" w:space="0" w:color="auto"/>
              <w:bottom w:val="single" w:sz="8" w:space="0" w:color="000000"/>
              <w:right w:val="single" w:sz="4" w:space="0" w:color="auto"/>
            </w:tcBorders>
            <w:vAlign w:val="center"/>
            <w:hideMark/>
          </w:tcPr>
          <w:p w14:paraId="601E24F2"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7F7C332C"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5AC42854"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Matchmakingové a rozvojové akce pro firmy</w:t>
            </w:r>
          </w:p>
        </w:tc>
        <w:tc>
          <w:tcPr>
            <w:tcW w:w="2298" w:type="dxa"/>
            <w:tcBorders>
              <w:top w:val="nil"/>
              <w:left w:val="nil"/>
              <w:bottom w:val="single" w:sz="4" w:space="0" w:color="auto"/>
              <w:right w:val="single" w:sz="4" w:space="0" w:color="auto"/>
            </w:tcBorders>
            <w:shd w:val="clear" w:color="auto" w:fill="auto"/>
            <w:vAlign w:val="center"/>
            <w:hideMark/>
          </w:tcPr>
          <w:p w14:paraId="324BF668"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startupy, inovativní MSP, zástupci VaV organizací</w:t>
            </w:r>
          </w:p>
        </w:tc>
        <w:tc>
          <w:tcPr>
            <w:tcW w:w="5030" w:type="dxa"/>
            <w:tcBorders>
              <w:top w:val="nil"/>
              <w:left w:val="nil"/>
              <w:bottom w:val="single" w:sz="4" w:space="0" w:color="auto"/>
              <w:right w:val="single" w:sz="4" w:space="0" w:color="auto"/>
            </w:tcBorders>
            <w:shd w:val="clear" w:color="auto" w:fill="auto"/>
            <w:vAlign w:val="center"/>
            <w:hideMark/>
          </w:tcPr>
          <w:p w14:paraId="2738D018"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Příprava a realizace matchmakingových a rozvojových akcí včetně rozvoje vzájemné spolupráce firem (např. BusinessCon)</w:t>
            </w:r>
          </w:p>
        </w:tc>
        <w:tc>
          <w:tcPr>
            <w:tcW w:w="1520" w:type="dxa"/>
            <w:tcBorders>
              <w:top w:val="nil"/>
              <w:left w:val="nil"/>
              <w:bottom w:val="single" w:sz="4" w:space="0" w:color="auto"/>
              <w:right w:val="single" w:sz="4" w:space="0" w:color="auto"/>
            </w:tcBorders>
            <w:shd w:val="clear" w:color="auto" w:fill="auto"/>
            <w:vAlign w:val="center"/>
            <w:hideMark/>
          </w:tcPr>
          <w:p w14:paraId="4993FA2A"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2 akce</w:t>
            </w:r>
          </w:p>
        </w:tc>
        <w:tc>
          <w:tcPr>
            <w:tcW w:w="1520" w:type="dxa"/>
            <w:tcBorders>
              <w:top w:val="nil"/>
              <w:left w:val="nil"/>
              <w:bottom w:val="single" w:sz="4" w:space="0" w:color="auto"/>
              <w:right w:val="nil"/>
            </w:tcBorders>
            <w:vAlign w:val="center"/>
          </w:tcPr>
          <w:p w14:paraId="4CF1081B"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4 akce</w:t>
            </w:r>
          </w:p>
        </w:tc>
      </w:tr>
      <w:tr w:rsidR="005E6A25" w:rsidRPr="00917E24" w14:paraId="203723CE" w14:textId="77777777" w:rsidTr="005E6A25">
        <w:trPr>
          <w:trHeight w:val="900"/>
        </w:trPr>
        <w:tc>
          <w:tcPr>
            <w:tcW w:w="1452" w:type="dxa"/>
            <w:vMerge/>
            <w:tcBorders>
              <w:top w:val="nil"/>
              <w:left w:val="single" w:sz="8" w:space="0" w:color="auto"/>
              <w:bottom w:val="single" w:sz="8" w:space="0" w:color="000000"/>
              <w:right w:val="single" w:sz="4" w:space="0" w:color="auto"/>
            </w:tcBorders>
            <w:vAlign w:val="center"/>
            <w:hideMark/>
          </w:tcPr>
          <w:p w14:paraId="468AE9AF"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5A33B51D"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0CB811E0"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Rozvoj sítě expertů</w:t>
            </w:r>
          </w:p>
        </w:tc>
        <w:tc>
          <w:tcPr>
            <w:tcW w:w="2298" w:type="dxa"/>
            <w:tcBorders>
              <w:top w:val="nil"/>
              <w:left w:val="nil"/>
              <w:bottom w:val="single" w:sz="4" w:space="0" w:color="auto"/>
              <w:right w:val="single" w:sz="4" w:space="0" w:color="auto"/>
            </w:tcBorders>
            <w:shd w:val="clear" w:color="auto" w:fill="auto"/>
            <w:vAlign w:val="center"/>
            <w:hideMark/>
          </w:tcPr>
          <w:p w14:paraId="0C9266EA"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experti MSIC</w:t>
            </w:r>
          </w:p>
        </w:tc>
        <w:tc>
          <w:tcPr>
            <w:tcW w:w="5030" w:type="dxa"/>
            <w:tcBorders>
              <w:top w:val="nil"/>
              <w:left w:val="nil"/>
              <w:bottom w:val="single" w:sz="4" w:space="0" w:color="auto"/>
              <w:right w:val="single" w:sz="4" w:space="0" w:color="auto"/>
            </w:tcBorders>
            <w:shd w:val="clear" w:color="auto" w:fill="auto"/>
            <w:vAlign w:val="center"/>
            <w:hideMark/>
          </w:tcPr>
          <w:p w14:paraId="6782DCBF"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Pro co nejvyšší kvalitu programů zajistí MSIC rozvoj sítě prověřených expertů s prokazatelnou zkušeností při úspěšném řešení projektů, s nimiž do programů vstupují začínající podnikatelé, startupy či malé nebo střední firmy.</w:t>
            </w:r>
          </w:p>
        </w:tc>
        <w:tc>
          <w:tcPr>
            <w:tcW w:w="1520" w:type="dxa"/>
            <w:tcBorders>
              <w:top w:val="nil"/>
              <w:left w:val="nil"/>
              <w:bottom w:val="single" w:sz="4" w:space="0" w:color="auto"/>
              <w:right w:val="single" w:sz="4" w:space="0" w:color="auto"/>
            </w:tcBorders>
            <w:shd w:val="clear" w:color="auto" w:fill="auto"/>
            <w:vAlign w:val="center"/>
            <w:hideMark/>
          </w:tcPr>
          <w:p w14:paraId="225B7F0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2 akce</w:t>
            </w:r>
          </w:p>
        </w:tc>
        <w:tc>
          <w:tcPr>
            <w:tcW w:w="1520" w:type="dxa"/>
            <w:tcBorders>
              <w:top w:val="nil"/>
              <w:left w:val="nil"/>
              <w:bottom w:val="single" w:sz="4" w:space="0" w:color="auto"/>
              <w:right w:val="nil"/>
            </w:tcBorders>
            <w:vAlign w:val="center"/>
          </w:tcPr>
          <w:p w14:paraId="2B24074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4 akce</w:t>
            </w:r>
          </w:p>
        </w:tc>
      </w:tr>
      <w:tr w:rsidR="005E6A25" w:rsidRPr="00917E24" w14:paraId="2952248A" w14:textId="77777777" w:rsidTr="005E6A25">
        <w:trPr>
          <w:trHeight w:val="2400"/>
        </w:trPr>
        <w:tc>
          <w:tcPr>
            <w:tcW w:w="1452" w:type="dxa"/>
            <w:vMerge/>
            <w:tcBorders>
              <w:top w:val="nil"/>
              <w:left w:val="single" w:sz="8" w:space="0" w:color="auto"/>
              <w:bottom w:val="single" w:sz="8" w:space="0" w:color="000000"/>
              <w:right w:val="single" w:sz="4" w:space="0" w:color="auto"/>
            </w:tcBorders>
            <w:vAlign w:val="center"/>
            <w:hideMark/>
          </w:tcPr>
          <w:p w14:paraId="7E654B7B"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14:paraId="0F0DAFFD"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 xml:space="preserve">TAM </w:t>
            </w:r>
            <w:r w:rsidRPr="00917E24">
              <w:rPr>
                <w:rFonts w:ascii="Calibri" w:hAnsi="Calibri" w:cs="Calibri"/>
                <w:color w:val="000000"/>
                <w:sz w:val="22"/>
                <w:szCs w:val="22"/>
                <w:lang w:eastAsia="cs-CZ"/>
              </w:rPr>
              <w:br/>
            </w:r>
            <w:r w:rsidRPr="00917E24">
              <w:rPr>
                <w:rFonts w:ascii="Calibri" w:hAnsi="Calibri" w:cs="Calibri"/>
                <w:i/>
                <w:iCs/>
                <w:color w:val="000000"/>
                <w:sz w:val="22"/>
                <w:szCs w:val="22"/>
                <w:lang w:eastAsia="cs-CZ"/>
              </w:rPr>
              <w:t>cíl: Zastavit „brain-drain“ a lákat do MSK vysoce kvalifikované odborníky</w:t>
            </w:r>
          </w:p>
        </w:tc>
        <w:tc>
          <w:tcPr>
            <w:tcW w:w="2456" w:type="dxa"/>
            <w:tcBorders>
              <w:top w:val="nil"/>
              <w:left w:val="nil"/>
              <w:bottom w:val="single" w:sz="4" w:space="0" w:color="auto"/>
              <w:right w:val="single" w:sz="4" w:space="0" w:color="auto"/>
            </w:tcBorders>
            <w:shd w:val="clear" w:color="auto" w:fill="auto"/>
            <w:vAlign w:val="center"/>
            <w:hideMark/>
          </w:tcPr>
          <w:p w14:paraId="1B252B98"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Cool Valley Café</w:t>
            </w:r>
          </w:p>
        </w:tc>
        <w:tc>
          <w:tcPr>
            <w:tcW w:w="2298" w:type="dxa"/>
            <w:tcBorders>
              <w:top w:val="nil"/>
              <w:left w:val="nil"/>
              <w:bottom w:val="single" w:sz="4" w:space="0" w:color="auto"/>
              <w:right w:val="single" w:sz="4" w:space="0" w:color="auto"/>
            </w:tcBorders>
            <w:shd w:val="clear" w:color="auto" w:fill="auto"/>
            <w:vAlign w:val="center"/>
            <w:hideMark/>
          </w:tcPr>
          <w:p w14:paraId="7C061FE9"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High-skilled pracovníci mimo MSK</w:t>
            </w:r>
          </w:p>
        </w:tc>
        <w:tc>
          <w:tcPr>
            <w:tcW w:w="5030" w:type="dxa"/>
            <w:tcBorders>
              <w:top w:val="nil"/>
              <w:left w:val="nil"/>
              <w:bottom w:val="single" w:sz="4" w:space="0" w:color="auto"/>
              <w:right w:val="single" w:sz="4" w:space="0" w:color="auto"/>
            </w:tcBorders>
            <w:shd w:val="clear" w:color="auto" w:fill="auto"/>
            <w:vAlign w:val="center"/>
            <w:hideMark/>
          </w:tcPr>
          <w:p w14:paraId="1203289B"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Cílem „Cool Valley Café“ je propojit high-skilled workers se zajímavými pracovními pozicemi u firem, které mají své sídlo či pobočku v MSK a podpořit tak talent attraction management. Platforma bude “místem pozornosti”, v jejímž centru budou inovace MSK (inovativní produkty, služby, firmy, univerzity se svým R&amp;D, zajímavé pracovní pozice). Na platformě bude docházet k propojování inspirativních vědců, manažerů, veřejnosti i potenciálních kandidátů o pracovní pozice v kraje, či businessmanů se zájmem o podnikání v MSK. Platforma bude nettworkingovým, osvětovým, vzdělávacím prostředím s výjimečným obsahem, grafikou a gamifikací.</w:t>
            </w:r>
          </w:p>
        </w:tc>
        <w:tc>
          <w:tcPr>
            <w:tcW w:w="1520" w:type="dxa"/>
            <w:tcBorders>
              <w:top w:val="nil"/>
              <w:left w:val="nil"/>
              <w:bottom w:val="single" w:sz="4" w:space="0" w:color="auto"/>
              <w:right w:val="single" w:sz="4" w:space="0" w:color="auto"/>
            </w:tcBorders>
            <w:shd w:val="clear" w:color="auto" w:fill="auto"/>
            <w:vAlign w:val="center"/>
            <w:hideMark/>
          </w:tcPr>
          <w:p w14:paraId="1E3978A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2 firmy zapojené</w:t>
            </w:r>
            <w:r w:rsidRPr="00917E24">
              <w:rPr>
                <w:rFonts w:ascii="Calibri" w:hAnsi="Calibri" w:cs="Calibri"/>
                <w:color w:val="000000"/>
                <w:sz w:val="22"/>
                <w:szCs w:val="22"/>
                <w:lang w:eastAsia="cs-CZ"/>
              </w:rPr>
              <w:br/>
              <w:t>2 obsazené pozice</w:t>
            </w:r>
            <w:r w:rsidRPr="00917E24">
              <w:rPr>
                <w:rFonts w:ascii="Calibri" w:hAnsi="Calibri" w:cs="Calibri"/>
                <w:color w:val="000000"/>
                <w:sz w:val="22"/>
                <w:szCs w:val="22"/>
                <w:lang w:eastAsia="cs-CZ"/>
              </w:rPr>
              <w:br/>
              <w:t>3 eventy</w:t>
            </w:r>
            <w:r w:rsidRPr="00917E24">
              <w:rPr>
                <w:rFonts w:ascii="Calibri" w:hAnsi="Calibri" w:cs="Calibri"/>
                <w:color w:val="000000"/>
                <w:sz w:val="22"/>
                <w:szCs w:val="22"/>
                <w:lang w:eastAsia="cs-CZ"/>
              </w:rPr>
              <w:br/>
              <w:t>1 setkání PS</w:t>
            </w:r>
          </w:p>
        </w:tc>
        <w:tc>
          <w:tcPr>
            <w:tcW w:w="1520" w:type="dxa"/>
            <w:tcBorders>
              <w:top w:val="nil"/>
              <w:left w:val="nil"/>
              <w:bottom w:val="single" w:sz="4" w:space="0" w:color="auto"/>
              <w:right w:val="nil"/>
            </w:tcBorders>
            <w:vAlign w:val="center"/>
          </w:tcPr>
          <w:p w14:paraId="1DD5ACC8"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4 zapojené firmy</w:t>
            </w:r>
            <w:r w:rsidRPr="00917E24">
              <w:rPr>
                <w:rFonts w:ascii="Calibri" w:hAnsi="Calibri" w:cs="Calibri"/>
                <w:color w:val="000000"/>
                <w:sz w:val="22"/>
                <w:szCs w:val="22"/>
                <w:lang w:eastAsia="cs-CZ"/>
              </w:rPr>
              <w:br/>
              <w:t>4 obsazené pozice</w:t>
            </w:r>
            <w:r w:rsidRPr="00917E24">
              <w:rPr>
                <w:rFonts w:ascii="Calibri" w:hAnsi="Calibri" w:cs="Calibri"/>
                <w:color w:val="000000"/>
                <w:sz w:val="22"/>
                <w:szCs w:val="22"/>
                <w:lang w:eastAsia="cs-CZ"/>
              </w:rPr>
              <w:br/>
              <w:t>5 eventů</w:t>
            </w:r>
            <w:r w:rsidRPr="00917E24">
              <w:rPr>
                <w:rFonts w:ascii="Calibri" w:hAnsi="Calibri" w:cs="Calibri"/>
                <w:color w:val="000000"/>
                <w:sz w:val="22"/>
                <w:szCs w:val="22"/>
                <w:lang w:eastAsia="cs-CZ"/>
              </w:rPr>
              <w:br/>
              <w:t>3 setkání PS pro CVC</w:t>
            </w:r>
          </w:p>
        </w:tc>
      </w:tr>
      <w:tr w:rsidR="005E6A25" w:rsidRPr="00917E24" w14:paraId="19866F4C" w14:textId="77777777" w:rsidTr="005E6A25">
        <w:trPr>
          <w:trHeight w:val="2472"/>
        </w:trPr>
        <w:tc>
          <w:tcPr>
            <w:tcW w:w="1452" w:type="dxa"/>
            <w:vMerge/>
            <w:tcBorders>
              <w:top w:val="nil"/>
              <w:left w:val="single" w:sz="8" w:space="0" w:color="auto"/>
              <w:bottom w:val="single" w:sz="8" w:space="0" w:color="000000"/>
              <w:right w:val="single" w:sz="4" w:space="0" w:color="auto"/>
            </w:tcBorders>
            <w:vAlign w:val="center"/>
            <w:hideMark/>
          </w:tcPr>
          <w:p w14:paraId="4F50783B"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5D214ED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61D98A88"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OEC včetně soft-landingu pro zahraniční firmy a relokace zaměstnanců</w:t>
            </w:r>
          </w:p>
        </w:tc>
        <w:tc>
          <w:tcPr>
            <w:tcW w:w="2298" w:type="dxa"/>
            <w:tcBorders>
              <w:top w:val="nil"/>
              <w:left w:val="nil"/>
              <w:bottom w:val="single" w:sz="4" w:space="0" w:color="auto"/>
              <w:right w:val="single" w:sz="4" w:space="0" w:color="auto"/>
            </w:tcBorders>
            <w:shd w:val="clear" w:color="auto" w:fill="auto"/>
            <w:vAlign w:val="center"/>
            <w:hideMark/>
          </w:tcPr>
          <w:p w14:paraId="71A45EBE"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expati žijící v MSK</w:t>
            </w:r>
            <w:r w:rsidRPr="00917E24">
              <w:rPr>
                <w:rFonts w:ascii="Calibri" w:hAnsi="Calibri" w:cs="Calibri"/>
                <w:color w:val="000000"/>
                <w:sz w:val="22"/>
                <w:szCs w:val="22"/>
                <w:lang w:eastAsia="cs-CZ"/>
              </w:rPr>
              <w:br/>
              <w:t>zahraniční start-upy</w:t>
            </w:r>
            <w:r w:rsidRPr="00917E24">
              <w:rPr>
                <w:rFonts w:ascii="Calibri" w:hAnsi="Calibri" w:cs="Calibri"/>
                <w:color w:val="000000"/>
                <w:sz w:val="22"/>
                <w:szCs w:val="22"/>
                <w:lang w:eastAsia="cs-CZ"/>
              </w:rPr>
              <w:br/>
              <w:t>start-upy, MSP se sídlem či provozovnou v MSK, které hledají zaměstnance</w:t>
            </w:r>
          </w:p>
        </w:tc>
        <w:tc>
          <w:tcPr>
            <w:tcW w:w="5030" w:type="dxa"/>
            <w:tcBorders>
              <w:top w:val="nil"/>
              <w:left w:val="nil"/>
              <w:bottom w:val="single" w:sz="4" w:space="0" w:color="auto"/>
              <w:right w:val="single" w:sz="4" w:space="0" w:color="auto"/>
            </w:tcBorders>
            <w:shd w:val="clear" w:color="auto" w:fill="auto"/>
            <w:vAlign w:val="center"/>
            <w:hideMark/>
          </w:tcPr>
          <w:p w14:paraId="49D388F9"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 xml:space="preserve">Cílem aktivity je rozvoj komunity Expatů v MSK a zajištění podpůrných služeb, jak pro přicházející zahraniční pracovníky do start-upů, tak také zahraniční start-upy, které chtějí působit v MSK. V rámci činnosti OEC budou rozvíjeny především tyto služby: </w:t>
            </w:r>
            <w:r w:rsidRPr="00917E24">
              <w:rPr>
                <w:rFonts w:ascii="Calibri" w:hAnsi="Calibri" w:cs="Calibri"/>
                <w:color w:val="000000"/>
                <w:sz w:val="22"/>
                <w:szCs w:val="22"/>
                <w:lang w:eastAsia="cs-CZ"/>
              </w:rPr>
              <w:br/>
              <w:t>a) One-Stop-Shop min. v rozsahu 20 h/týdně (4x týdně á 5 h),</w:t>
            </w:r>
            <w:r w:rsidRPr="00917E24">
              <w:rPr>
                <w:rFonts w:ascii="Calibri" w:hAnsi="Calibri" w:cs="Calibri"/>
                <w:color w:val="000000"/>
                <w:sz w:val="22"/>
                <w:szCs w:val="22"/>
                <w:lang w:eastAsia="cs-CZ"/>
              </w:rPr>
              <w:br/>
              <w:t>b) realokoační servis pro high-skilled workers ve start-upech,</w:t>
            </w:r>
            <w:r w:rsidRPr="00917E24">
              <w:rPr>
                <w:rFonts w:ascii="Calibri" w:hAnsi="Calibri" w:cs="Calibri"/>
                <w:color w:val="000000"/>
                <w:sz w:val="22"/>
                <w:szCs w:val="22"/>
                <w:lang w:eastAsia="cs-CZ"/>
              </w:rPr>
              <w:br/>
              <w:t xml:space="preserve">c) soft-landing pro zahraniční start-upy, </w:t>
            </w:r>
            <w:r w:rsidRPr="00917E24">
              <w:rPr>
                <w:rFonts w:ascii="Calibri" w:hAnsi="Calibri" w:cs="Calibri"/>
                <w:color w:val="000000"/>
                <w:sz w:val="22"/>
                <w:szCs w:val="22"/>
                <w:lang w:eastAsia="cs-CZ"/>
              </w:rPr>
              <w:br/>
              <w:t>d) rozvoj databáze Expat Friendly Services,</w:t>
            </w:r>
            <w:r w:rsidRPr="00917E24">
              <w:rPr>
                <w:rFonts w:ascii="Calibri" w:hAnsi="Calibri" w:cs="Calibri"/>
                <w:color w:val="000000"/>
                <w:sz w:val="22"/>
                <w:szCs w:val="22"/>
                <w:lang w:eastAsia="cs-CZ"/>
              </w:rPr>
              <w:br/>
              <w:t>e) realizace komunitních a rozvojových akcí.</w:t>
            </w:r>
          </w:p>
        </w:tc>
        <w:tc>
          <w:tcPr>
            <w:tcW w:w="1520" w:type="dxa"/>
            <w:tcBorders>
              <w:top w:val="nil"/>
              <w:left w:val="nil"/>
              <w:bottom w:val="single" w:sz="4" w:space="0" w:color="auto"/>
              <w:right w:val="single" w:sz="4" w:space="0" w:color="auto"/>
            </w:tcBorders>
            <w:shd w:val="clear" w:color="auto" w:fill="auto"/>
            <w:vAlign w:val="center"/>
            <w:hideMark/>
          </w:tcPr>
          <w:p w14:paraId="533A8C4D"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100 zodpovězených dotazů</w:t>
            </w:r>
            <w:r w:rsidRPr="00917E24">
              <w:rPr>
                <w:rFonts w:ascii="Calibri" w:hAnsi="Calibri" w:cs="Calibri"/>
                <w:color w:val="000000"/>
                <w:sz w:val="22"/>
                <w:szCs w:val="22"/>
                <w:lang w:eastAsia="cs-CZ"/>
              </w:rPr>
              <w:br/>
              <w:t>realizace job-spin (mezinárodní veletrh práce) - 50 %</w:t>
            </w:r>
            <w:r w:rsidRPr="00917E24">
              <w:rPr>
                <w:rFonts w:ascii="Calibri" w:hAnsi="Calibri" w:cs="Calibri"/>
                <w:color w:val="000000"/>
                <w:sz w:val="22"/>
                <w:szCs w:val="22"/>
                <w:lang w:eastAsia="cs-CZ"/>
              </w:rPr>
              <w:br/>
              <w:t>2 start-upy{SME využívající relokační servis</w:t>
            </w:r>
            <w:r w:rsidRPr="00917E24">
              <w:rPr>
                <w:rFonts w:ascii="Calibri" w:hAnsi="Calibri" w:cs="Calibri"/>
                <w:color w:val="000000"/>
                <w:sz w:val="22"/>
                <w:szCs w:val="22"/>
                <w:lang w:eastAsia="cs-CZ"/>
              </w:rPr>
              <w:br/>
              <w:t>2 start-upy/SME využívající soft-landing</w:t>
            </w:r>
            <w:r w:rsidRPr="00917E24">
              <w:rPr>
                <w:rFonts w:ascii="Calibri" w:hAnsi="Calibri" w:cs="Calibri"/>
                <w:color w:val="000000"/>
                <w:sz w:val="22"/>
                <w:szCs w:val="22"/>
                <w:lang w:eastAsia="cs-CZ"/>
              </w:rPr>
              <w:br/>
              <w:t>15 realizovaných akcí</w:t>
            </w:r>
            <w:r w:rsidRPr="00917E24">
              <w:rPr>
                <w:rFonts w:ascii="Calibri" w:hAnsi="Calibri" w:cs="Calibri"/>
                <w:color w:val="000000"/>
                <w:sz w:val="22"/>
                <w:szCs w:val="22"/>
                <w:lang w:eastAsia="cs-CZ"/>
              </w:rPr>
              <w:br/>
            </w:r>
            <w:r w:rsidRPr="00917E24">
              <w:rPr>
                <w:rFonts w:ascii="Calibri" w:hAnsi="Calibri" w:cs="Calibri"/>
                <w:color w:val="000000"/>
                <w:sz w:val="22"/>
                <w:szCs w:val="22"/>
                <w:lang w:eastAsia="cs-CZ"/>
              </w:rPr>
              <w:lastRenderedPageBreak/>
              <w:t>3 umístění cizinci do firem</w:t>
            </w:r>
          </w:p>
        </w:tc>
        <w:tc>
          <w:tcPr>
            <w:tcW w:w="1520" w:type="dxa"/>
            <w:tcBorders>
              <w:top w:val="nil"/>
              <w:left w:val="nil"/>
              <w:bottom w:val="single" w:sz="4" w:space="0" w:color="auto"/>
              <w:right w:val="nil"/>
            </w:tcBorders>
            <w:vAlign w:val="center"/>
          </w:tcPr>
          <w:p w14:paraId="082549A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lastRenderedPageBreak/>
              <w:t>10 firem zapojených v "job-spin"</w:t>
            </w:r>
            <w:r w:rsidRPr="00917E24">
              <w:rPr>
                <w:rFonts w:ascii="Calibri" w:hAnsi="Calibri" w:cs="Calibri"/>
                <w:color w:val="000000"/>
                <w:sz w:val="22"/>
                <w:szCs w:val="22"/>
                <w:lang w:eastAsia="cs-CZ"/>
              </w:rPr>
              <w:br/>
              <w:t>200 zodpovězených dotazů</w:t>
            </w:r>
            <w:r w:rsidRPr="00917E24">
              <w:rPr>
                <w:rFonts w:ascii="Calibri" w:hAnsi="Calibri" w:cs="Calibri"/>
                <w:color w:val="000000"/>
                <w:sz w:val="22"/>
                <w:szCs w:val="22"/>
                <w:lang w:eastAsia="cs-CZ"/>
              </w:rPr>
              <w:br/>
              <w:t>4 start-upy/SME využívající relokační servis</w:t>
            </w:r>
            <w:r w:rsidRPr="00917E24">
              <w:rPr>
                <w:rFonts w:ascii="Calibri" w:hAnsi="Calibri" w:cs="Calibri"/>
                <w:color w:val="000000"/>
                <w:sz w:val="22"/>
                <w:szCs w:val="22"/>
                <w:lang w:eastAsia="cs-CZ"/>
              </w:rPr>
              <w:br/>
              <w:t>4 start-upy/SME využívající soft-landing</w:t>
            </w:r>
            <w:r w:rsidRPr="00917E24">
              <w:rPr>
                <w:rFonts w:ascii="Calibri" w:hAnsi="Calibri" w:cs="Calibri"/>
                <w:color w:val="000000"/>
                <w:sz w:val="22"/>
                <w:szCs w:val="22"/>
                <w:lang w:eastAsia="cs-CZ"/>
              </w:rPr>
              <w:br/>
              <w:t>30 realizovaných akcí</w:t>
            </w:r>
            <w:r w:rsidRPr="00917E24">
              <w:rPr>
                <w:rFonts w:ascii="Calibri" w:hAnsi="Calibri" w:cs="Calibri"/>
                <w:color w:val="000000"/>
                <w:sz w:val="22"/>
                <w:szCs w:val="22"/>
                <w:lang w:eastAsia="cs-CZ"/>
              </w:rPr>
              <w:br/>
              <w:t>5 cizinců umístěných do firem</w:t>
            </w:r>
          </w:p>
        </w:tc>
      </w:tr>
      <w:tr w:rsidR="005E6A25" w:rsidRPr="00917E24" w14:paraId="324372F4" w14:textId="77777777" w:rsidTr="005E6A25">
        <w:trPr>
          <w:trHeight w:val="3792"/>
        </w:trPr>
        <w:tc>
          <w:tcPr>
            <w:tcW w:w="1452" w:type="dxa"/>
            <w:vMerge/>
            <w:tcBorders>
              <w:top w:val="nil"/>
              <w:left w:val="single" w:sz="8" w:space="0" w:color="auto"/>
              <w:bottom w:val="single" w:sz="8" w:space="0" w:color="000000"/>
              <w:right w:val="single" w:sz="4" w:space="0" w:color="auto"/>
            </w:tcBorders>
            <w:vAlign w:val="center"/>
            <w:hideMark/>
          </w:tcPr>
          <w:p w14:paraId="556866DD"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213F053A"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09B84CDA"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TPA - tvorba vzdělávacích modulů, aktualizace vzdělávacích modulů, tvorba digitální knihovny, realizace školení</w:t>
            </w:r>
          </w:p>
        </w:tc>
        <w:tc>
          <w:tcPr>
            <w:tcW w:w="2298" w:type="dxa"/>
            <w:tcBorders>
              <w:top w:val="nil"/>
              <w:left w:val="nil"/>
              <w:bottom w:val="single" w:sz="4" w:space="0" w:color="auto"/>
              <w:right w:val="single" w:sz="4" w:space="0" w:color="auto"/>
            </w:tcBorders>
            <w:shd w:val="clear" w:color="auto" w:fill="auto"/>
            <w:vAlign w:val="center"/>
            <w:hideMark/>
          </w:tcPr>
          <w:p w14:paraId="7E69054F"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učitelé SŠ v MSK</w:t>
            </w:r>
          </w:p>
        </w:tc>
        <w:tc>
          <w:tcPr>
            <w:tcW w:w="5030" w:type="dxa"/>
            <w:tcBorders>
              <w:top w:val="nil"/>
              <w:left w:val="nil"/>
              <w:bottom w:val="single" w:sz="4" w:space="0" w:color="auto"/>
              <w:right w:val="single" w:sz="4" w:space="0" w:color="auto"/>
            </w:tcBorders>
            <w:shd w:val="clear" w:color="auto" w:fill="auto"/>
            <w:vAlign w:val="center"/>
            <w:hideMark/>
          </w:tcPr>
          <w:p w14:paraId="1DFD97CB" w14:textId="77777777" w:rsidR="001F6DDD"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Hlavním cílem programu je zvyšování kvality vzdělávání žáků a pedagogů SŠ v MSK v oblasti odborného, zejména technického, vzdělávání a podpora rozvoje podnikavosti v prostředí nejnovějších technologií, s důrazem na propojení vzdělávání s potřebami trhu práce a na transfer know-how z firemního sektoru do výuky na SŠ, právě firemní sektor bude hrát v definici obsahu vzdělávání klíčovou roli. Tohoto cíle bude dosaženo díky vzniku moderního vývojového a tréninkového centra TPA, které přispěje k modernizaci vzdělávacího systému</w:t>
            </w:r>
            <w:r w:rsidRPr="00917E24">
              <w:rPr>
                <w:rFonts w:ascii="Calibri" w:hAnsi="Calibri" w:cs="Calibri"/>
                <w:color w:val="000000"/>
                <w:sz w:val="22"/>
                <w:szCs w:val="22"/>
                <w:lang w:eastAsia="cs-CZ"/>
              </w:rPr>
              <w:br/>
              <w:t>Aktivity, které budou realizovány:</w:t>
            </w:r>
            <w:r w:rsidRPr="00917E24">
              <w:rPr>
                <w:rFonts w:ascii="Calibri" w:hAnsi="Calibri" w:cs="Calibri"/>
                <w:color w:val="000000"/>
                <w:sz w:val="22"/>
                <w:szCs w:val="22"/>
                <w:lang w:eastAsia="cs-CZ"/>
              </w:rPr>
              <w:br/>
              <w:t>a) vývoj a aktualizace digitálních vzdělávacích modulů</w:t>
            </w:r>
            <w:r w:rsidRPr="00917E24">
              <w:rPr>
                <w:rFonts w:ascii="Calibri" w:hAnsi="Calibri" w:cs="Calibri"/>
                <w:color w:val="000000"/>
                <w:sz w:val="22"/>
                <w:szCs w:val="22"/>
                <w:lang w:eastAsia="cs-CZ"/>
              </w:rPr>
              <w:br/>
              <w:t>b) realizace vzdělávání pro učitele SŠ</w:t>
            </w:r>
            <w:r w:rsidRPr="00917E24">
              <w:rPr>
                <w:rFonts w:ascii="Calibri" w:hAnsi="Calibri" w:cs="Calibri"/>
                <w:color w:val="000000"/>
                <w:sz w:val="22"/>
                <w:szCs w:val="22"/>
                <w:lang w:eastAsia="cs-CZ"/>
              </w:rPr>
              <w:br/>
              <w:t>c) vývoj a správa IT platformy včetně digitální knihovny vzdělávacích modulů</w:t>
            </w:r>
            <w:r w:rsidRPr="00917E24">
              <w:rPr>
                <w:rFonts w:ascii="Calibri" w:hAnsi="Calibri" w:cs="Calibri"/>
                <w:color w:val="000000"/>
                <w:sz w:val="22"/>
                <w:szCs w:val="22"/>
                <w:lang w:eastAsia="cs-CZ"/>
              </w:rPr>
              <w:br/>
              <w:t>d) rozvoj "Platf</w:t>
            </w:r>
            <w:r w:rsidR="001F6DDD">
              <w:rPr>
                <w:rFonts w:ascii="Calibri" w:hAnsi="Calibri" w:cs="Calibri"/>
                <w:color w:val="000000"/>
                <w:sz w:val="22"/>
                <w:szCs w:val="22"/>
                <w:lang w:eastAsia="cs-CZ"/>
              </w:rPr>
              <w:t>ormy pro inovace ve vzdělávání"</w:t>
            </w:r>
          </w:p>
          <w:p w14:paraId="0A7FEE11" w14:textId="787EDED3" w:rsidR="00227CE9" w:rsidRPr="00227CE9" w:rsidRDefault="001F6DDD" w:rsidP="00227CE9">
            <w:pPr>
              <w:suppressAutoHyphens w:val="0"/>
              <w:spacing w:before="0" w:after="0" w:line="240" w:lineRule="auto"/>
              <w:rPr>
                <w:rFonts w:ascii="Calibri" w:hAnsi="Calibri" w:cs="Calibri"/>
                <w:color w:val="000000"/>
                <w:sz w:val="22"/>
                <w:szCs w:val="22"/>
                <w:lang w:eastAsia="cs-CZ"/>
              </w:rPr>
            </w:pPr>
            <w:r>
              <w:rPr>
                <w:rFonts w:ascii="Calibri" w:hAnsi="Calibri" w:cs="Calibri"/>
                <w:color w:val="000000"/>
                <w:sz w:val="22"/>
                <w:szCs w:val="22"/>
                <w:lang w:eastAsia="cs-CZ"/>
              </w:rPr>
              <w:t xml:space="preserve">e) </w:t>
            </w:r>
            <w:r w:rsidR="00227CE9">
              <w:rPr>
                <w:rFonts w:ascii="Calibri" w:hAnsi="Calibri" w:cs="Calibri"/>
                <w:color w:val="000000"/>
                <w:sz w:val="22"/>
                <w:szCs w:val="22"/>
                <w:lang w:eastAsia="cs-CZ"/>
              </w:rPr>
              <w:t>realizace Business kempu pro žáky.</w:t>
            </w:r>
            <w:r w:rsidR="005E6A25" w:rsidRPr="00917E24">
              <w:rPr>
                <w:rFonts w:ascii="Calibri" w:hAnsi="Calibri" w:cs="Calibri"/>
                <w:color w:val="000000"/>
                <w:sz w:val="22"/>
                <w:szCs w:val="22"/>
                <w:lang w:eastAsia="cs-CZ"/>
              </w:rPr>
              <w:br/>
            </w:r>
            <w:r w:rsidR="00227CE9" w:rsidRPr="00227CE9">
              <w:rPr>
                <w:rFonts w:ascii="Calibri" w:hAnsi="Calibri" w:cs="Calibri"/>
                <w:color w:val="000000"/>
                <w:sz w:val="22"/>
                <w:szCs w:val="22"/>
                <w:lang w:eastAsia="cs-CZ"/>
              </w:rPr>
              <w:t>První fáze programu bude financována přes SGEI. V okamžiku získání podpory z OP ST budou všechny navazující aktivity hrazeny z tohoto programu.</w:t>
            </w:r>
          </w:p>
          <w:p w14:paraId="24B51666" w14:textId="68DCC502" w:rsidR="005E6A25" w:rsidRPr="00917E24" w:rsidRDefault="00227CE9" w:rsidP="00227CE9">
            <w:pPr>
              <w:suppressAutoHyphens w:val="0"/>
              <w:spacing w:before="0" w:after="0" w:line="240" w:lineRule="auto"/>
              <w:rPr>
                <w:rFonts w:ascii="Calibri" w:hAnsi="Calibri" w:cs="Calibri"/>
                <w:color w:val="000000"/>
                <w:sz w:val="22"/>
                <w:szCs w:val="22"/>
                <w:lang w:eastAsia="cs-CZ"/>
              </w:rPr>
            </w:pPr>
            <w:r w:rsidRPr="00227CE9">
              <w:rPr>
                <w:rFonts w:ascii="Calibri" w:hAnsi="Calibri" w:cs="Calibri"/>
                <w:color w:val="000000"/>
                <w:sz w:val="22"/>
                <w:szCs w:val="22"/>
                <w:lang w:eastAsia="cs-CZ"/>
              </w:rPr>
              <w:t>Po vzniku samostatného subjektu TPA přejde realizace aktivit na tento subjekt.</w:t>
            </w:r>
          </w:p>
        </w:tc>
        <w:tc>
          <w:tcPr>
            <w:tcW w:w="1520" w:type="dxa"/>
            <w:tcBorders>
              <w:top w:val="nil"/>
              <w:left w:val="nil"/>
              <w:bottom w:val="single" w:sz="4" w:space="0" w:color="auto"/>
              <w:right w:val="single" w:sz="4" w:space="0" w:color="auto"/>
            </w:tcBorders>
            <w:shd w:val="clear" w:color="auto" w:fill="auto"/>
            <w:vAlign w:val="center"/>
            <w:hideMark/>
          </w:tcPr>
          <w:p w14:paraId="191C42FB" w14:textId="77777777" w:rsidR="00227CE9" w:rsidRPr="00227CE9" w:rsidRDefault="00227CE9" w:rsidP="00227CE9">
            <w:pPr>
              <w:suppressAutoHyphens w:val="0"/>
              <w:spacing w:before="0" w:after="0" w:line="240" w:lineRule="auto"/>
              <w:rPr>
                <w:rFonts w:ascii="Calibri" w:hAnsi="Calibri" w:cs="Calibri"/>
                <w:color w:val="000000"/>
                <w:sz w:val="22"/>
                <w:szCs w:val="22"/>
                <w:lang w:eastAsia="cs-CZ"/>
              </w:rPr>
            </w:pPr>
            <w:r w:rsidRPr="00227CE9">
              <w:rPr>
                <w:rFonts w:ascii="Calibri" w:hAnsi="Calibri" w:cs="Calibri"/>
                <w:color w:val="000000"/>
                <w:sz w:val="22"/>
                <w:szCs w:val="22"/>
                <w:lang w:eastAsia="cs-CZ"/>
              </w:rPr>
              <w:t xml:space="preserve">a) vývoj vzdělávacích modulů (1 vzdělávací modul je cca 5 Eduboxů) – 2  </w:t>
            </w:r>
          </w:p>
          <w:p w14:paraId="6C424DA7" w14:textId="77777777" w:rsidR="00227CE9" w:rsidRPr="00227CE9" w:rsidRDefault="00227CE9" w:rsidP="00227CE9">
            <w:pPr>
              <w:suppressAutoHyphens w:val="0"/>
              <w:spacing w:before="0" w:after="0" w:line="240" w:lineRule="auto"/>
              <w:rPr>
                <w:rFonts w:ascii="Calibri" w:hAnsi="Calibri" w:cs="Calibri"/>
                <w:color w:val="000000"/>
                <w:sz w:val="22"/>
                <w:szCs w:val="22"/>
                <w:lang w:eastAsia="cs-CZ"/>
              </w:rPr>
            </w:pPr>
            <w:r w:rsidRPr="00227CE9">
              <w:rPr>
                <w:rFonts w:ascii="Calibri" w:hAnsi="Calibri" w:cs="Calibri"/>
                <w:color w:val="000000"/>
                <w:sz w:val="22"/>
                <w:szCs w:val="22"/>
                <w:lang w:eastAsia="cs-CZ"/>
              </w:rPr>
              <w:t xml:space="preserve">b) upgrade  Eduboxů – 5 </w:t>
            </w:r>
          </w:p>
          <w:p w14:paraId="46AA01E5" w14:textId="77777777" w:rsidR="00227CE9" w:rsidRPr="00227CE9" w:rsidRDefault="00227CE9" w:rsidP="00227CE9">
            <w:pPr>
              <w:suppressAutoHyphens w:val="0"/>
              <w:spacing w:before="0" w:after="0" w:line="240" w:lineRule="auto"/>
              <w:rPr>
                <w:rFonts w:ascii="Calibri" w:hAnsi="Calibri" w:cs="Calibri"/>
                <w:color w:val="000000"/>
                <w:sz w:val="22"/>
                <w:szCs w:val="22"/>
                <w:lang w:eastAsia="cs-CZ"/>
              </w:rPr>
            </w:pPr>
            <w:r w:rsidRPr="00227CE9">
              <w:rPr>
                <w:rFonts w:ascii="Calibri" w:hAnsi="Calibri" w:cs="Calibri"/>
                <w:color w:val="000000"/>
                <w:sz w:val="22"/>
                <w:szCs w:val="22"/>
                <w:lang w:eastAsia="cs-CZ"/>
              </w:rPr>
              <w:t>c) realizace minimálně  20 školících dnů</w:t>
            </w:r>
          </w:p>
          <w:p w14:paraId="03177C58" w14:textId="77777777" w:rsidR="00227CE9" w:rsidRPr="00227CE9" w:rsidRDefault="00227CE9" w:rsidP="00227CE9">
            <w:pPr>
              <w:suppressAutoHyphens w:val="0"/>
              <w:spacing w:before="0" w:after="0" w:line="240" w:lineRule="auto"/>
              <w:rPr>
                <w:rFonts w:ascii="Calibri" w:hAnsi="Calibri" w:cs="Calibri"/>
                <w:color w:val="000000"/>
                <w:sz w:val="22"/>
                <w:szCs w:val="22"/>
                <w:lang w:eastAsia="cs-CZ"/>
              </w:rPr>
            </w:pPr>
            <w:r w:rsidRPr="00227CE9">
              <w:rPr>
                <w:rFonts w:ascii="Calibri" w:hAnsi="Calibri" w:cs="Calibri"/>
                <w:color w:val="000000"/>
                <w:sz w:val="22"/>
                <w:szCs w:val="22"/>
                <w:lang w:eastAsia="cs-CZ"/>
              </w:rPr>
              <w:t>d) minimálně 3 setkání "Platformy pro inovace ve vzdělávání"</w:t>
            </w:r>
          </w:p>
          <w:p w14:paraId="370A00C1" w14:textId="77777777" w:rsidR="00227CE9" w:rsidRPr="00227CE9" w:rsidRDefault="00227CE9" w:rsidP="00227CE9">
            <w:pPr>
              <w:suppressAutoHyphens w:val="0"/>
              <w:spacing w:before="0" w:after="0" w:line="240" w:lineRule="auto"/>
              <w:rPr>
                <w:rFonts w:ascii="Calibri" w:hAnsi="Calibri" w:cs="Calibri"/>
                <w:color w:val="000000"/>
                <w:sz w:val="22"/>
                <w:szCs w:val="22"/>
                <w:lang w:eastAsia="cs-CZ"/>
              </w:rPr>
            </w:pPr>
            <w:r w:rsidRPr="00227CE9">
              <w:rPr>
                <w:rFonts w:ascii="Calibri" w:hAnsi="Calibri" w:cs="Calibri"/>
                <w:color w:val="000000"/>
                <w:sz w:val="22"/>
                <w:szCs w:val="22"/>
                <w:lang w:eastAsia="cs-CZ"/>
              </w:rPr>
              <w:t>e) realizace Business kempu pro žáky</w:t>
            </w:r>
          </w:p>
          <w:p w14:paraId="5228FDC0" w14:textId="2AAF109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1520" w:type="dxa"/>
            <w:tcBorders>
              <w:top w:val="nil"/>
              <w:left w:val="nil"/>
              <w:bottom w:val="single" w:sz="4" w:space="0" w:color="auto"/>
              <w:right w:val="nil"/>
            </w:tcBorders>
            <w:vAlign w:val="center"/>
          </w:tcPr>
          <w:p w14:paraId="5100B4EE" w14:textId="77777777" w:rsidR="00227CE9" w:rsidRPr="00227CE9" w:rsidRDefault="00227CE9" w:rsidP="00227CE9">
            <w:pPr>
              <w:suppressAutoHyphens w:val="0"/>
              <w:spacing w:before="0" w:after="0" w:line="240" w:lineRule="auto"/>
              <w:rPr>
                <w:rFonts w:ascii="Calibri" w:hAnsi="Calibri" w:cs="Calibri"/>
                <w:color w:val="000000"/>
                <w:sz w:val="22"/>
                <w:szCs w:val="22"/>
                <w:lang w:eastAsia="cs-CZ"/>
              </w:rPr>
            </w:pPr>
            <w:r w:rsidRPr="00227CE9">
              <w:rPr>
                <w:rFonts w:ascii="Calibri" w:hAnsi="Calibri" w:cs="Calibri"/>
                <w:color w:val="000000"/>
                <w:sz w:val="22"/>
                <w:szCs w:val="22"/>
                <w:lang w:eastAsia="cs-CZ"/>
              </w:rPr>
              <w:t xml:space="preserve">a) vývoj vzdělávacích modulů (1 vzdělávací modul je cca 5 Eduboxů) – 2  </w:t>
            </w:r>
          </w:p>
          <w:p w14:paraId="2329EBE6" w14:textId="77777777" w:rsidR="00227CE9" w:rsidRPr="00227CE9" w:rsidRDefault="00227CE9" w:rsidP="00227CE9">
            <w:pPr>
              <w:suppressAutoHyphens w:val="0"/>
              <w:spacing w:before="0" w:after="0" w:line="240" w:lineRule="auto"/>
              <w:rPr>
                <w:rFonts w:ascii="Calibri" w:hAnsi="Calibri" w:cs="Calibri"/>
                <w:color w:val="000000"/>
                <w:sz w:val="22"/>
                <w:szCs w:val="22"/>
                <w:lang w:eastAsia="cs-CZ"/>
              </w:rPr>
            </w:pPr>
            <w:r w:rsidRPr="00227CE9">
              <w:rPr>
                <w:rFonts w:ascii="Calibri" w:hAnsi="Calibri" w:cs="Calibri"/>
                <w:color w:val="000000"/>
                <w:sz w:val="22"/>
                <w:szCs w:val="22"/>
                <w:lang w:eastAsia="cs-CZ"/>
              </w:rPr>
              <w:t xml:space="preserve">b) upgrade  Eduboxů – 5 </w:t>
            </w:r>
          </w:p>
          <w:p w14:paraId="1A4B9D71" w14:textId="77777777" w:rsidR="00227CE9" w:rsidRPr="00227CE9" w:rsidRDefault="00227CE9" w:rsidP="00227CE9">
            <w:pPr>
              <w:suppressAutoHyphens w:val="0"/>
              <w:spacing w:before="0" w:after="0" w:line="240" w:lineRule="auto"/>
              <w:rPr>
                <w:rFonts w:ascii="Calibri" w:hAnsi="Calibri" w:cs="Calibri"/>
                <w:color w:val="000000"/>
                <w:sz w:val="22"/>
                <w:szCs w:val="22"/>
                <w:lang w:eastAsia="cs-CZ"/>
              </w:rPr>
            </w:pPr>
            <w:r w:rsidRPr="00227CE9">
              <w:rPr>
                <w:rFonts w:ascii="Calibri" w:hAnsi="Calibri" w:cs="Calibri"/>
                <w:color w:val="000000"/>
                <w:sz w:val="22"/>
                <w:szCs w:val="22"/>
                <w:lang w:eastAsia="cs-CZ"/>
              </w:rPr>
              <w:t>c) realizace minimálně  20 školících dnů</w:t>
            </w:r>
          </w:p>
          <w:p w14:paraId="61E3A515" w14:textId="77777777" w:rsidR="00227CE9" w:rsidRPr="00227CE9" w:rsidRDefault="00227CE9" w:rsidP="00227CE9">
            <w:pPr>
              <w:suppressAutoHyphens w:val="0"/>
              <w:spacing w:before="0" w:after="0" w:line="240" w:lineRule="auto"/>
              <w:rPr>
                <w:rFonts w:ascii="Calibri" w:hAnsi="Calibri" w:cs="Calibri"/>
                <w:color w:val="000000"/>
                <w:sz w:val="22"/>
                <w:szCs w:val="22"/>
                <w:lang w:eastAsia="cs-CZ"/>
              </w:rPr>
            </w:pPr>
            <w:r w:rsidRPr="00227CE9">
              <w:rPr>
                <w:rFonts w:ascii="Calibri" w:hAnsi="Calibri" w:cs="Calibri"/>
                <w:color w:val="000000"/>
                <w:sz w:val="22"/>
                <w:szCs w:val="22"/>
                <w:lang w:eastAsia="cs-CZ"/>
              </w:rPr>
              <w:t>d) minimálně 3 setkání "Platformy pro inovace ve vzdělávání"</w:t>
            </w:r>
          </w:p>
          <w:p w14:paraId="7540F6D5" w14:textId="77777777" w:rsidR="00227CE9" w:rsidRPr="00227CE9" w:rsidRDefault="00227CE9" w:rsidP="00227CE9">
            <w:pPr>
              <w:suppressAutoHyphens w:val="0"/>
              <w:spacing w:before="0" w:after="0" w:line="240" w:lineRule="auto"/>
              <w:rPr>
                <w:rFonts w:ascii="Calibri" w:hAnsi="Calibri" w:cs="Calibri"/>
                <w:color w:val="000000"/>
                <w:sz w:val="22"/>
                <w:szCs w:val="22"/>
                <w:lang w:eastAsia="cs-CZ"/>
              </w:rPr>
            </w:pPr>
            <w:r w:rsidRPr="00227CE9">
              <w:rPr>
                <w:rFonts w:ascii="Calibri" w:hAnsi="Calibri" w:cs="Calibri"/>
                <w:color w:val="000000"/>
                <w:sz w:val="22"/>
                <w:szCs w:val="22"/>
                <w:lang w:eastAsia="cs-CZ"/>
              </w:rPr>
              <w:t>e) realizace Business kempu pro žáky</w:t>
            </w:r>
          </w:p>
          <w:p w14:paraId="099B9F85" w14:textId="751F68B4"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r>
      <w:tr w:rsidR="005E6A25" w:rsidRPr="00917E24" w14:paraId="03A117E3" w14:textId="77777777" w:rsidTr="005E6A25">
        <w:trPr>
          <w:trHeight w:val="600"/>
        </w:trPr>
        <w:tc>
          <w:tcPr>
            <w:tcW w:w="1452" w:type="dxa"/>
            <w:vMerge/>
            <w:tcBorders>
              <w:top w:val="nil"/>
              <w:left w:val="single" w:sz="8" w:space="0" w:color="auto"/>
              <w:bottom w:val="single" w:sz="8" w:space="0" w:color="000000"/>
              <w:right w:val="single" w:sz="4" w:space="0" w:color="auto"/>
            </w:tcBorders>
            <w:vAlign w:val="center"/>
            <w:hideMark/>
          </w:tcPr>
          <w:p w14:paraId="609DD8F9"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2299BC99"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7EE501E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Rozvojové akce v oblasti TAM (workshopy, semináře)</w:t>
            </w:r>
          </w:p>
        </w:tc>
        <w:tc>
          <w:tcPr>
            <w:tcW w:w="2298" w:type="dxa"/>
            <w:tcBorders>
              <w:top w:val="nil"/>
              <w:left w:val="nil"/>
              <w:bottom w:val="single" w:sz="4" w:space="0" w:color="auto"/>
              <w:right w:val="single" w:sz="4" w:space="0" w:color="auto"/>
            </w:tcBorders>
            <w:shd w:val="clear" w:color="auto" w:fill="auto"/>
            <w:vAlign w:val="center"/>
            <w:hideMark/>
          </w:tcPr>
          <w:p w14:paraId="3286462B"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lidé pracující s talenty v MSK</w:t>
            </w:r>
          </w:p>
        </w:tc>
        <w:tc>
          <w:tcPr>
            <w:tcW w:w="5030" w:type="dxa"/>
            <w:tcBorders>
              <w:top w:val="nil"/>
              <w:left w:val="nil"/>
              <w:bottom w:val="single" w:sz="4" w:space="0" w:color="auto"/>
              <w:right w:val="single" w:sz="4" w:space="0" w:color="auto"/>
            </w:tcBorders>
            <w:shd w:val="clear" w:color="auto" w:fill="auto"/>
            <w:vAlign w:val="center"/>
            <w:hideMark/>
          </w:tcPr>
          <w:p w14:paraId="643EBE4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 xml:space="preserve">Příprava a realizace rozvojových akcí v oblasti TAM dle aktuálních potřeb </w:t>
            </w:r>
          </w:p>
        </w:tc>
        <w:tc>
          <w:tcPr>
            <w:tcW w:w="1520" w:type="dxa"/>
            <w:tcBorders>
              <w:top w:val="nil"/>
              <w:left w:val="nil"/>
              <w:bottom w:val="single" w:sz="4" w:space="0" w:color="auto"/>
              <w:right w:val="single" w:sz="4" w:space="0" w:color="auto"/>
            </w:tcBorders>
            <w:shd w:val="clear" w:color="auto" w:fill="auto"/>
            <w:vAlign w:val="center"/>
            <w:hideMark/>
          </w:tcPr>
          <w:p w14:paraId="5615AD43"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 akce - zahraniční veletrh</w:t>
            </w:r>
          </w:p>
        </w:tc>
        <w:tc>
          <w:tcPr>
            <w:tcW w:w="1520" w:type="dxa"/>
            <w:tcBorders>
              <w:top w:val="nil"/>
              <w:left w:val="nil"/>
              <w:bottom w:val="single" w:sz="4" w:space="0" w:color="auto"/>
              <w:right w:val="nil"/>
            </w:tcBorders>
            <w:vAlign w:val="center"/>
          </w:tcPr>
          <w:p w14:paraId="18A4C187"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2 akce</w:t>
            </w:r>
          </w:p>
        </w:tc>
      </w:tr>
      <w:tr w:rsidR="005E6A25" w:rsidRPr="00917E24" w14:paraId="682857B5" w14:textId="77777777" w:rsidTr="005E6A25">
        <w:trPr>
          <w:trHeight w:val="900"/>
        </w:trPr>
        <w:tc>
          <w:tcPr>
            <w:tcW w:w="1452" w:type="dxa"/>
            <w:vMerge/>
            <w:tcBorders>
              <w:top w:val="nil"/>
              <w:left w:val="single" w:sz="8" w:space="0" w:color="auto"/>
              <w:bottom w:val="single" w:sz="8" w:space="0" w:color="000000"/>
              <w:right w:val="single" w:sz="4" w:space="0" w:color="auto"/>
            </w:tcBorders>
            <w:vAlign w:val="center"/>
            <w:hideMark/>
          </w:tcPr>
          <w:p w14:paraId="561E09A6"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5965094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14210EA8"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Rozvoj sítě specialistů</w:t>
            </w:r>
          </w:p>
        </w:tc>
        <w:tc>
          <w:tcPr>
            <w:tcW w:w="2298" w:type="dxa"/>
            <w:tcBorders>
              <w:top w:val="nil"/>
              <w:left w:val="nil"/>
              <w:bottom w:val="single" w:sz="4" w:space="0" w:color="auto"/>
              <w:right w:val="single" w:sz="4" w:space="0" w:color="auto"/>
            </w:tcBorders>
            <w:shd w:val="clear" w:color="auto" w:fill="auto"/>
            <w:vAlign w:val="center"/>
            <w:hideMark/>
          </w:tcPr>
          <w:p w14:paraId="533C092A"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lidé pracující s talenty v MSK</w:t>
            </w:r>
          </w:p>
        </w:tc>
        <w:tc>
          <w:tcPr>
            <w:tcW w:w="5030" w:type="dxa"/>
            <w:tcBorders>
              <w:top w:val="nil"/>
              <w:left w:val="nil"/>
              <w:bottom w:val="single" w:sz="4" w:space="0" w:color="auto"/>
              <w:right w:val="single" w:sz="4" w:space="0" w:color="auto"/>
            </w:tcBorders>
            <w:shd w:val="clear" w:color="auto" w:fill="auto"/>
            <w:vAlign w:val="center"/>
            <w:hideMark/>
          </w:tcPr>
          <w:p w14:paraId="41386AB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Pro co nejvyšší kvalitu programů v oblasti TAM zajistí MSIC rozvoj sítě prověřených specialistů s prokazatelnou zkušeností při úspěšném řešení projektů v oblasti talent managementu a talent attraction managementu.</w:t>
            </w:r>
          </w:p>
        </w:tc>
        <w:tc>
          <w:tcPr>
            <w:tcW w:w="1520" w:type="dxa"/>
            <w:tcBorders>
              <w:top w:val="nil"/>
              <w:left w:val="nil"/>
              <w:bottom w:val="single" w:sz="4" w:space="0" w:color="auto"/>
              <w:right w:val="single" w:sz="4" w:space="0" w:color="auto"/>
            </w:tcBorders>
            <w:shd w:val="clear" w:color="auto" w:fill="auto"/>
            <w:vAlign w:val="center"/>
            <w:hideMark/>
          </w:tcPr>
          <w:p w14:paraId="2C6211B9"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2 zapojení specialisté</w:t>
            </w:r>
          </w:p>
        </w:tc>
        <w:tc>
          <w:tcPr>
            <w:tcW w:w="1520" w:type="dxa"/>
            <w:tcBorders>
              <w:top w:val="nil"/>
              <w:left w:val="nil"/>
              <w:bottom w:val="single" w:sz="4" w:space="0" w:color="auto"/>
              <w:right w:val="nil"/>
            </w:tcBorders>
            <w:vAlign w:val="center"/>
          </w:tcPr>
          <w:p w14:paraId="494E9EA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4 zapojení specialisté</w:t>
            </w:r>
          </w:p>
        </w:tc>
      </w:tr>
      <w:tr w:rsidR="005E6A25" w:rsidRPr="00917E24" w14:paraId="4C6DFC9D" w14:textId="77777777" w:rsidTr="005E6A25">
        <w:trPr>
          <w:trHeight w:val="900"/>
        </w:trPr>
        <w:tc>
          <w:tcPr>
            <w:tcW w:w="1452" w:type="dxa"/>
            <w:vMerge/>
            <w:tcBorders>
              <w:top w:val="nil"/>
              <w:left w:val="single" w:sz="8" w:space="0" w:color="auto"/>
              <w:bottom w:val="single" w:sz="8" w:space="0" w:color="000000"/>
              <w:right w:val="single" w:sz="4" w:space="0" w:color="auto"/>
            </w:tcBorders>
            <w:vAlign w:val="center"/>
            <w:hideMark/>
          </w:tcPr>
          <w:p w14:paraId="6EB9B70F"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14:paraId="65B0A166"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 xml:space="preserve">MSK Digital </w:t>
            </w:r>
            <w:r w:rsidRPr="00917E24">
              <w:rPr>
                <w:rFonts w:ascii="Calibri" w:hAnsi="Calibri" w:cs="Calibri"/>
                <w:color w:val="000000"/>
                <w:sz w:val="22"/>
                <w:szCs w:val="22"/>
                <w:lang w:eastAsia="cs-CZ"/>
              </w:rPr>
              <w:br/>
            </w:r>
            <w:r w:rsidRPr="00917E24">
              <w:rPr>
                <w:rFonts w:ascii="Calibri" w:hAnsi="Calibri" w:cs="Calibri"/>
                <w:i/>
                <w:iCs/>
                <w:color w:val="000000"/>
                <w:sz w:val="22"/>
                <w:szCs w:val="22"/>
                <w:lang w:eastAsia="cs-CZ"/>
              </w:rPr>
              <w:t>cíl: zvýšit úrovně digitalizace a robotizace především MSP v MSK</w:t>
            </w:r>
          </w:p>
        </w:tc>
        <w:tc>
          <w:tcPr>
            <w:tcW w:w="2456" w:type="dxa"/>
            <w:tcBorders>
              <w:top w:val="nil"/>
              <w:left w:val="nil"/>
              <w:bottom w:val="single" w:sz="4" w:space="0" w:color="auto"/>
              <w:right w:val="single" w:sz="4" w:space="0" w:color="auto"/>
            </w:tcBorders>
            <w:shd w:val="clear" w:color="auto" w:fill="auto"/>
            <w:vAlign w:val="center"/>
            <w:hideMark/>
          </w:tcPr>
          <w:p w14:paraId="442CB613"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Basic 4.0</w:t>
            </w:r>
          </w:p>
        </w:tc>
        <w:tc>
          <w:tcPr>
            <w:tcW w:w="2298" w:type="dxa"/>
            <w:tcBorders>
              <w:top w:val="nil"/>
              <w:left w:val="nil"/>
              <w:bottom w:val="single" w:sz="4" w:space="0" w:color="auto"/>
              <w:right w:val="single" w:sz="4" w:space="0" w:color="auto"/>
            </w:tcBorders>
            <w:shd w:val="clear" w:color="auto" w:fill="auto"/>
            <w:vAlign w:val="center"/>
            <w:hideMark/>
          </w:tcPr>
          <w:p w14:paraId="0251BF96"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MSP se sídlem či pobočkou v MSK</w:t>
            </w:r>
          </w:p>
        </w:tc>
        <w:tc>
          <w:tcPr>
            <w:tcW w:w="5030" w:type="dxa"/>
            <w:tcBorders>
              <w:top w:val="nil"/>
              <w:left w:val="nil"/>
              <w:bottom w:val="single" w:sz="4" w:space="0" w:color="auto"/>
              <w:right w:val="single" w:sz="4" w:space="0" w:color="auto"/>
            </w:tcBorders>
            <w:shd w:val="clear" w:color="auto" w:fill="auto"/>
            <w:vAlign w:val="center"/>
            <w:hideMark/>
          </w:tcPr>
          <w:p w14:paraId="152F9850"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 xml:space="preserve">Dvoudenní intenzivní školící modul, který má za cíl informovat o možnostech a přínosech digitalizace; motivovat majitele a manažery firem k zahájení digitalizace firem; promyslet si plán a první kroky digitalizace. </w:t>
            </w:r>
          </w:p>
        </w:tc>
        <w:tc>
          <w:tcPr>
            <w:tcW w:w="1520" w:type="dxa"/>
            <w:tcBorders>
              <w:top w:val="nil"/>
              <w:left w:val="nil"/>
              <w:bottom w:val="single" w:sz="4" w:space="0" w:color="auto"/>
              <w:right w:val="single" w:sz="4" w:space="0" w:color="auto"/>
            </w:tcBorders>
            <w:shd w:val="clear" w:color="auto" w:fill="auto"/>
            <w:vAlign w:val="center"/>
            <w:hideMark/>
          </w:tcPr>
          <w:p w14:paraId="5DF2FF18"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5 účastník</w:t>
            </w:r>
          </w:p>
        </w:tc>
        <w:tc>
          <w:tcPr>
            <w:tcW w:w="1520" w:type="dxa"/>
            <w:tcBorders>
              <w:top w:val="nil"/>
              <w:left w:val="nil"/>
              <w:bottom w:val="single" w:sz="4" w:space="0" w:color="auto"/>
              <w:right w:val="nil"/>
            </w:tcBorders>
            <w:vAlign w:val="center"/>
          </w:tcPr>
          <w:p w14:paraId="4E3117E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10 účastníků</w:t>
            </w:r>
          </w:p>
        </w:tc>
      </w:tr>
      <w:tr w:rsidR="005E6A25" w:rsidRPr="00917E24" w14:paraId="47E5863D" w14:textId="77777777" w:rsidTr="005E6A25">
        <w:trPr>
          <w:trHeight w:val="900"/>
        </w:trPr>
        <w:tc>
          <w:tcPr>
            <w:tcW w:w="1452" w:type="dxa"/>
            <w:vMerge/>
            <w:tcBorders>
              <w:top w:val="nil"/>
              <w:left w:val="single" w:sz="8" w:space="0" w:color="auto"/>
              <w:bottom w:val="single" w:sz="8" w:space="0" w:color="000000"/>
              <w:right w:val="single" w:sz="4" w:space="0" w:color="auto"/>
            </w:tcBorders>
            <w:vAlign w:val="center"/>
            <w:hideMark/>
          </w:tcPr>
          <w:p w14:paraId="3280DFC3"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151515AF"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64ED85E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Rozvojové, osvětové a matchmakingové akce v oblasti MSK Digital (workshopy, semináře)</w:t>
            </w:r>
          </w:p>
        </w:tc>
        <w:tc>
          <w:tcPr>
            <w:tcW w:w="2298" w:type="dxa"/>
            <w:tcBorders>
              <w:top w:val="nil"/>
              <w:left w:val="nil"/>
              <w:bottom w:val="single" w:sz="4" w:space="0" w:color="auto"/>
              <w:right w:val="single" w:sz="4" w:space="0" w:color="auto"/>
            </w:tcBorders>
            <w:shd w:val="clear" w:color="auto" w:fill="auto"/>
            <w:vAlign w:val="center"/>
            <w:hideMark/>
          </w:tcPr>
          <w:p w14:paraId="0736087F"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MSP se sídlem či pobočkou v MSK, startupy</w:t>
            </w:r>
          </w:p>
        </w:tc>
        <w:tc>
          <w:tcPr>
            <w:tcW w:w="5030" w:type="dxa"/>
            <w:tcBorders>
              <w:top w:val="nil"/>
              <w:left w:val="nil"/>
              <w:bottom w:val="single" w:sz="4" w:space="0" w:color="auto"/>
              <w:right w:val="single" w:sz="4" w:space="0" w:color="auto"/>
            </w:tcBorders>
            <w:shd w:val="clear" w:color="auto" w:fill="auto"/>
            <w:vAlign w:val="center"/>
            <w:hideMark/>
          </w:tcPr>
          <w:p w14:paraId="3EF09800"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Příprava a realizace osvětových, matchmakingových a rozvojových akcí v oblasti digitalizace, robotizace, cyber-sec, automatizace a dalších např. smeDigi workshopy (2x ročně pásmo 6 workshopů), konference k digitalizace.</w:t>
            </w:r>
          </w:p>
        </w:tc>
        <w:tc>
          <w:tcPr>
            <w:tcW w:w="1520" w:type="dxa"/>
            <w:tcBorders>
              <w:top w:val="nil"/>
              <w:left w:val="nil"/>
              <w:bottom w:val="single" w:sz="4" w:space="0" w:color="auto"/>
              <w:right w:val="single" w:sz="4" w:space="0" w:color="auto"/>
            </w:tcBorders>
            <w:shd w:val="clear" w:color="auto" w:fill="auto"/>
            <w:vAlign w:val="center"/>
            <w:hideMark/>
          </w:tcPr>
          <w:p w14:paraId="2F0403C1"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50 účastníků</w:t>
            </w:r>
          </w:p>
        </w:tc>
        <w:tc>
          <w:tcPr>
            <w:tcW w:w="1520" w:type="dxa"/>
            <w:tcBorders>
              <w:top w:val="nil"/>
              <w:left w:val="nil"/>
              <w:bottom w:val="single" w:sz="4" w:space="0" w:color="auto"/>
              <w:right w:val="nil"/>
            </w:tcBorders>
            <w:vAlign w:val="center"/>
          </w:tcPr>
          <w:p w14:paraId="4810CF17"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100 účastníků</w:t>
            </w:r>
          </w:p>
        </w:tc>
      </w:tr>
      <w:tr w:rsidR="005E6A25" w:rsidRPr="00917E24" w14:paraId="047CA412" w14:textId="77777777" w:rsidTr="005E6A25">
        <w:trPr>
          <w:trHeight w:val="900"/>
        </w:trPr>
        <w:tc>
          <w:tcPr>
            <w:tcW w:w="1452" w:type="dxa"/>
            <w:vMerge/>
            <w:tcBorders>
              <w:top w:val="nil"/>
              <w:left w:val="single" w:sz="8" w:space="0" w:color="auto"/>
              <w:bottom w:val="single" w:sz="8" w:space="0" w:color="000000"/>
              <w:right w:val="single" w:sz="4" w:space="0" w:color="auto"/>
            </w:tcBorders>
            <w:vAlign w:val="center"/>
            <w:hideMark/>
          </w:tcPr>
          <w:p w14:paraId="4B5BA6AE"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4" w:space="0" w:color="auto"/>
              <w:right w:val="single" w:sz="4" w:space="0" w:color="auto"/>
            </w:tcBorders>
            <w:vAlign w:val="center"/>
            <w:hideMark/>
          </w:tcPr>
          <w:p w14:paraId="161636DB"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4" w:space="0" w:color="auto"/>
              <w:right w:val="single" w:sz="4" w:space="0" w:color="auto"/>
            </w:tcBorders>
            <w:shd w:val="clear" w:color="auto" w:fill="auto"/>
            <w:vAlign w:val="center"/>
            <w:hideMark/>
          </w:tcPr>
          <w:p w14:paraId="6D433AA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Rozvoj sítě specialistů</w:t>
            </w:r>
          </w:p>
        </w:tc>
        <w:tc>
          <w:tcPr>
            <w:tcW w:w="2298" w:type="dxa"/>
            <w:tcBorders>
              <w:top w:val="nil"/>
              <w:left w:val="nil"/>
              <w:bottom w:val="single" w:sz="4" w:space="0" w:color="auto"/>
              <w:right w:val="single" w:sz="4" w:space="0" w:color="auto"/>
            </w:tcBorders>
            <w:shd w:val="clear" w:color="auto" w:fill="auto"/>
            <w:vAlign w:val="center"/>
            <w:hideMark/>
          </w:tcPr>
          <w:p w14:paraId="472D5934"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specialisté v oblasti digitalizace</w:t>
            </w:r>
          </w:p>
        </w:tc>
        <w:tc>
          <w:tcPr>
            <w:tcW w:w="5030" w:type="dxa"/>
            <w:tcBorders>
              <w:top w:val="nil"/>
              <w:left w:val="nil"/>
              <w:bottom w:val="single" w:sz="4" w:space="0" w:color="auto"/>
              <w:right w:val="single" w:sz="4" w:space="0" w:color="auto"/>
            </w:tcBorders>
            <w:shd w:val="clear" w:color="auto" w:fill="auto"/>
            <w:vAlign w:val="center"/>
            <w:hideMark/>
          </w:tcPr>
          <w:p w14:paraId="31C3FF93"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Pro co nejvyšší kvalitu programů v oblasti MSK Digital zajistí MSIC rozvoj sítě prověřených specialistů s prokazatelnou zkušeností při úspěšném řešení projektů v oblasti digitalizace, robotizace, cyber-sec, automatizace a dalších.</w:t>
            </w:r>
          </w:p>
        </w:tc>
        <w:tc>
          <w:tcPr>
            <w:tcW w:w="1520" w:type="dxa"/>
            <w:tcBorders>
              <w:top w:val="nil"/>
              <w:left w:val="nil"/>
              <w:bottom w:val="single" w:sz="4" w:space="0" w:color="auto"/>
              <w:right w:val="single" w:sz="4" w:space="0" w:color="auto"/>
            </w:tcBorders>
            <w:shd w:val="clear" w:color="auto" w:fill="auto"/>
            <w:vAlign w:val="center"/>
            <w:hideMark/>
          </w:tcPr>
          <w:p w14:paraId="47308285"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8 specialistů</w:t>
            </w:r>
            <w:r w:rsidRPr="00917E24">
              <w:rPr>
                <w:rFonts w:ascii="Calibri" w:hAnsi="Calibri" w:cs="Calibri"/>
                <w:color w:val="000000"/>
                <w:sz w:val="22"/>
                <w:szCs w:val="22"/>
                <w:lang w:eastAsia="cs-CZ"/>
              </w:rPr>
              <w:br/>
              <w:t>1 setkání</w:t>
            </w:r>
          </w:p>
        </w:tc>
        <w:tc>
          <w:tcPr>
            <w:tcW w:w="1520" w:type="dxa"/>
            <w:tcBorders>
              <w:top w:val="nil"/>
              <w:left w:val="nil"/>
              <w:bottom w:val="single" w:sz="4" w:space="0" w:color="auto"/>
              <w:right w:val="nil"/>
            </w:tcBorders>
            <w:vAlign w:val="center"/>
          </w:tcPr>
          <w:p w14:paraId="2B0BF32C"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16 specialistů</w:t>
            </w:r>
            <w:r w:rsidRPr="00917E24">
              <w:rPr>
                <w:rFonts w:ascii="Calibri" w:hAnsi="Calibri" w:cs="Calibri"/>
                <w:color w:val="000000"/>
                <w:sz w:val="22"/>
                <w:szCs w:val="22"/>
                <w:lang w:eastAsia="cs-CZ"/>
              </w:rPr>
              <w:br/>
              <w:t>2 setkání</w:t>
            </w:r>
          </w:p>
        </w:tc>
      </w:tr>
      <w:tr w:rsidR="005E6A25" w:rsidRPr="00917E24" w14:paraId="6E436333" w14:textId="77777777" w:rsidTr="005E6A25">
        <w:trPr>
          <w:trHeight w:val="900"/>
        </w:trPr>
        <w:tc>
          <w:tcPr>
            <w:tcW w:w="1452" w:type="dxa"/>
            <w:vMerge/>
            <w:tcBorders>
              <w:top w:val="nil"/>
              <w:left w:val="single" w:sz="8" w:space="0" w:color="auto"/>
              <w:bottom w:val="single" w:sz="8" w:space="0" w:color="000000"/>
              <w:right w:val="single" w:sz="4" w:space="0" w:color="auto"/>
            </w:tcBorders>
            <w:vAlign w:val="center"/>
            <w:hideMark/>
          </w:tcPr>
          <w:p w14:paraId="3CAF0C26"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val="restart"/>
            <w:tcBorders>
              <w:top w:val="nil"/>
              <w:left w:val="single" w:sz="4" w:space="0" w:color="auto"/>
              <w:bottom w:val="single" w:sz="8" w:space="0" w:color="000000"/>
              <w:right w:val="single" w:sz="4" w:space="0" w:color="auto"/>
            </w:tcBorders>
            <w:shd w:val="clear" w:color="auto" w:fill="auto"/>
            <w:vAlign w:val="center"/>
            <w:hideMark/>
          </w:tcPr>
          <w:p w14:paraId="2271DDD5"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ENVITech- individuální služby a programy</w:t>
            </w:r>
            <w:r w:rsidRPr="00917E24">
              <w:rPr>
                <w:rFonts w:ascii="Calibri" w:hAnsi="Calibri" w:cs="Calibri"/>
                <w:color w:val="000000"/>
                <w:sz w:val="22"/>
                <w:szCs w:val="22"/>
                <w:lang w:eastAsia="cs-CZ"/>
              </w:rPr>
              <w:br/>
            </w:r>
            <w:r w:rsidRPr="00917E24">
              <w:rPr>
                <w:rFonts w:ascii="Calibri" w:hAnsi="Calibri" w:cs="Calibri"/>
                <w:i/>
                <w:iCs/>
                <w:color w:val="000000"/>
                <w:sz w:val="22"/>
                <w:szCs w:val="22"/>
                <w:lang w:eastAsia="cs-CZ"/>
              </w:rPr>
              <w:t>Cíl: Podpořit rozvoj environmentálních technologií a konceptu cirkulární ekonomiky v MSK</w:t>
            </w:r>
          </w:p>
        </w:tc>
        <w:tc>
          <w:tcPr>
            <w:tcW w:w="2456" w:type="dxa"/>
            <w:tcBorders>
              <w:top w:val="nil"/>
              <w:left w:val="nil"/>
              <w:bottom w:val="single" w:sz="4" w:space="0" w:color="auto"/>
              <w:right w:val="single" w:sz="4" w:space="0" w:color="auto"/>
            </w:tcBorders>
            <w:shd w:val="clear" w:color="auto" w:fill="auto"/>
            <w:vAlign w:val="center"/>
            <w:hideMark/>
          </w:tcPr>
          <w:p w14:paraId="0557E78F"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Rozvojové, osvětové a matchmakingové akce v oblasti ENVI včetně ENVIRoadShow (workshopy, semináře)</w:t>
            </w:r>
          </w:p>
        </w:tc>
        <w:tc>
          <w:tcPr>
            <w:tcW w:w="2298" w:type="dxa"/>
            <w:tcBorders>
              <w:top w:val="nil"/>
              <w:left w:val="nil"/>
              <w:bottom w:val="single" w:sz="4" w:space="0" w:color="auto"/>
              <w:right w:val="single" w:sz="4" w:space="0" w:color="auto"/>
            </w:tcBorders>
            <w:shd w:val="clear" w:color="auto" w:fill="auto"/>
            <w:vAlign w:val="center"/>
            <w:hideMark/>
          </w:tcPr>
          <w:p w14:paraId="185B0EC0"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MSP, start-upy, města, veřejnost</w:t>
            </w:r>
          </w:p>
        </w:tc>
        <w:tc>
          <w:tcPr>
            <w:tcW w:w="5030" w:type="dxa"/>
            <w:tcBorders>
              <w:top w:val="nil"/>
              <w:left w:val="nil"/>
              <w:bottom w:val="single" w:sz="4" w:space="0" w:color="auto"/>
              <w:right w:val="single" w:sz="4" w:space="0" w:color="auto"/>
            </w:tcBorders>
            <w:shd w:val="clear" w:color="auto" w:fill="auto"/>
            <w:vAlign w:val="center"/>
            <w:hideMark/>
          </w:tcPr>
          <w:p w14:paraId="78519F4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Příprava a realizace osvětových, matchmakingových a rozvojových akcí v oblasti ENVITech - cirkulární ekonomika, klimatické změny, energetická náročnost atd. pro firmy, města a veřejnost</w:t>
            </w:r>
          </w:p>
        </w:tc>
        <w:tc>
          <w:tcPr>
            <w:tcW w:w="1520" w:type="dxa"/>
            <w:tcBorders>
              <w:top w:val="nil"/>
              <w:left w:val="nil"/>
              <w:bottom w:val="single" w:sz="4" w:space="0" w:color="auto"/>
              <w:right w:val="single" w:sz="4" w:space="0" w:color="auto"/>
            </w:tcBorders>
            <w:shd w:val="clear" w:color="auto" w:fill="auto"/>
            <w:vAlign w:val="center"/>
            <w:hideMark/>
          </w:tcPr>
          <w:p w14:paraId="6E579A10"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20 účastník</w:t>
            </w:r>
            <w:r w:rsidRPr="00917E24">
              <w:rPr>
                <w:rFonts w:ascii="Calibri" w:hAnsi="Calibri" w:cs="Calibri"/>
                <w:color w:val="000000"/>
                <w:sz w:val="22"/>
                <w:szCs w:val="22"/>
                <w:lang w:eastAsia="cs-CZ"/>
              </w:rPr>
              <w:br/>
              <w:t>2 akce</w:t>
            </w:r>
          </w:p>
        </w:tc>
        <w:tc>
          <w:tcPr>
            <w:tcW w:w="1520" w:type="dxa"/>
            <w:tcBorders>
              <w:top w:val="nil"/>
              <w:left w:val="nil"/>
              <w:bottom w:val="single" w:sz="4" w:space="0" w:color="auto"/>
              <w:right w:val="nil"/>
            </w:tcBorders>
            <w:vAlign w:val="center"/>
          </w:tcPr>
          <w:p w14:paraId="31BE5804"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35 účastníků</w:t>
            </w:r>
            <w:r w:rsidRPr="00917E24">
              <w:rPr>
                <w:rFonts w:ascii="Calibri" w:hAnsi="Calibri" w:cs="Calibri"/>
                <w:color w:val="000000"/>
                <w:sz w:val="22"/>
                <w:szCs w:val="22"/>
                <w:lang w:eastAsia="cs-CZ"/>
              </w:rPr>
              <w:br/>
              <w:t>3 akce</w:t>
            </w:r>
          </w:p>
        </w:tc>
      </w:tr>
      <w:tr w:rsidR="005E6A25" w:rsidRPr="00917E24" w14:paraId="3A0414BD" w14:textId="77777777" w:rsidTr="005E6A25">
        <w:trPr>
          <w:trHeight w:val="915"/>
        </w:trPr>
        <w:tc>
          <w:tcPr>
            <w:tcW w:w="1452" w:type="dxa"/>
            <w:vMerge/>
            <w:tcBorders>
              <w:top w:val="nil"/>
              <w:left w:val="single" w:sz="8" w:space="0" w:color="auto"/>
              <w:bottom w:val="single" w:sz="8" w:space="0" w:color="000000"/>
              <w:right w:val="single" w:sz="4" w:space="0" w:color="auto"/>
            </w:tcBorders>
            <w:vAlign w:val="center"/>
            <w:hideMark/>
          </w:tcPr>
          <w:p w14:paraId="2A417BE3" w14:textId="77777777" w:rsidR="005E6A25" w:rsidRPr="00917E24" w:rsidRDefault="005E6A25" w:rsidP="005E6A25">
            <w:pPr>
              <w:suppressAutoHyphens w:val="0"/>
              <w:spacing w:before="0" w:after="0" w:line="240" w:lineRule="auto"/>
              <w:rPr>
                <w:rFonts w:ascii="Calibri" w:hAnsi="Calibri" w:cs="Calibri"/>
                <w:b/>
                <w:bCs/>
                <w:color w:val="000000"/>
                <w:sz w:val="22"/>
                <w:szCs w:val="22"/>
                <w:lang w:eastAsia="cs-CZ"/>
              </w:rPr>
            </w:pPr>
          </w:p>
        </w:tc>
        <w:tc>
          <w:tcPr>
            <w:tcW w:w="959" w:type="dxa"/>
            <w:vMerge/>
            <w:tcBorders>
              <w:top w:val="nil"/>
              <w:left w:val="single" w:sz="4" w:space="0" w:color="auto"/>
              <w:bottom w:val="single" w:sz="8" w:space="0" w:color="000000"/>
              <w:right w:val="single" w:sz="4" w:space="0" w:color="auto"/>
            </w:tcBorders>
            <w:vAlign w:val="center"/>
            <w:hideMark/>
          </w:tcPr>
          <w:p w14:paraId="2D3A7DB8"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p>
        </w:tc>
        <w:tc>
          <w:tcPr>
            <w:tcW w:w="2456" w:type="dxa"/>
            <w:tcBorders>
              <w:top w:val="nil"/>
              <w:left w:val="nil"/>
              <w:bottom w:val="single" w:sz="8" w:space="0" w:color="auto"/>
              <w:right w:val="single" w:sz="4" w:space="0" w:color="auto"/>
            </w:tcBorders>
            <w:shd w:val="clear" w:color="auto" w:fill="auto"/>
            <w:vAlign w:val="center"/>
            <w:hideMark/>
          </w:tcPr>
          <w:p w14:paraId="37F5D5E9"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Rozvoj sítě specialistů</w:t>
            </w:r>
          </w:p>
        </w:tc>
        <w:tc>
          <w:tcPr>
            <w:tcW w:w="2298" w:type="dxa"/>
            <w:tcBorders>
              <w:top w:val="nil"/>
              <w:left w:val="nil"/>
              <w:bottom w:val="single" w:sz="8" w:space="0" w:color="auto"/>
              <w:right w:val="single" w:sz="4" w:space="0" w:color="auto"/>
            </w:tcBorders>
            <w:shd w:val="clear" w:color="auto" w:fill="auto"/>
            <w:vAlign w:val="center"/>
            <w:hideMark/>
          </w:tcPr>
          <w:p w14:paraId="6D1C0BDB"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specialisté v oblasti udržitelného rozvoje, cirkulární ekonomiky atd.</w:t>
            </w:r>
          </w:p>
        </w:tc>
        <w:tc>
          <w:tcPr>
            <w:tcW w:w="5030" w:type="dxa"/>
            <w:tcBorders>
              <w:top w:val="nil"/>
              <w:left w:val="nil"/>
              <w:bottom w:val="single" w:sz="8" w:space="0" w:color="auto"/>
              <w:right w:val="single" w:sz="4" w:space="0" w:color="auto"/>
            </w:tcBorders>
            <w:shd w:val="clear" w:color="auto" w:fill="auto"/>
            <w:vAlign w:val="center"/>
            <w:hideMark/>
          </w:tcPr>
          <w:p w14:paraId="67FFC3F2"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Pro co nejvyšší kvalitu programů v oblasti ENVI Tech  zajistí MSIC rozvoj sítě prověřených specialistů s prokazatelnou zkušeností při úspěšném řešení projektů v oblasti cirkulární ekonomiky, klimatické změny, energetické náročnosti apod.</w:t>
            </w:r>
          </w:p>
        </w:tc>
        <w:tc>
          <w:tcPr>
            <w:tcW w:w="1520" w:type="dxa"/>
            <w:tcBorders>
              <w:top w:val="nil"/>
              <w:left w:val="nil"/>
              <w:bottom w:val="single" w:sz="8" w:space="0" w:color="auto"/>
              <w:right w:val="single" w:sz="4" w:space="0" w:color="auto"/>
            </w:tcBorders>
            <w:shd w:val="clear" w:color="auto" w:fill="auto"/>
            <w:vAlign w:val="center"/>
            <w:hideMark/>
          </w:tcPr>
          <w:p w14:paraId="5A0D10A0"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3 specialisté</w:t>
            </w:r>
            <w:r w:rsidRPr="00917E24">
              <w:rPr>
                <w:rFonts w:ascii="Calibri" w:hAnsi="Calibri" w:cs="Calibri"/>
                <w:color w:val="000000"/>
                <w:sz w:val="22"/>
                <w:szCs w:val="22"/>
                <w:lang w:eastAsia="cs-CZ"/>
              </w:rPr>
              <w:br/>
              <w:t>2 akce</w:t>
            </w:r>
          </w:p>
        </w:tc>
        <w:tc>
          <w:tcPr>
            <w:tcW w:w="1520" w:type="dxa"/>
            <w:tcBorders>
              <w:top w:val="nil"/>
              <w:left w:val="nil"/>
              <w:bottom w:val="single" w:sz="8" w:space="0" w:color="auto"/>
              <w:right w:val="nil"/>
            </w:tcBorders>
            <w:vAlign w:val="center"/>
          </w:tcPr>
          <w:p w14:paraId="4243B1AD" w14:textId="77777777" w:rsidR="005E6A25" w:rsidRPr="00917E24" w:rsidRDefault="005E6A25" w:rsidP="005E6A25">
            <w:pPr>
              <w:suppressAutoHyphens w:val="0"/>
              <w:spacing w:before="0" w:after="0" w:line="240" w:lineRule="auto"/>
              <w:rPr>
                <w:rFonts w:ascii="Calibri" w:hAnsi="Calibri" w:cs="Calibri"/>
                <w:color w:val="000000"/>
                <w:sz w:val="22"/>
                <w:szCs w:val="22"/>
                <w:lang w:eastAsia="cs-CZ"/>
              </w:rPr>
            </w:pPr>
            <w:r w:rsidRPr="00917E24">
              <w:rPr>
                <w:rFonts w:ascii="Calibri" w:hAnsi="Calibri" w:cs="Calibri"/>
                <w:color w:val="000000"/>
                <w:sz w:val="22"/>
                <w:szCs w:val="22"/>
                <w:lang w:eastAsia="cs-CZ"/>
              </w:rPr>
              <w:t>6 specialistů</w:t>
            </w:r>
            <w:r w:rsidRPr="00917E24">
              <w:rPr>
                <w:rFonts w:ascii="Calibri" w:hAnsi="Calibri" w:cs="Calibri"/>
                <w:color w:val="000000"/>
                <w:sz w:val="22"/>
                <w:szCs w:val="22"/>
                <w:lang w:eastAsia="cs-CZ"/>
              </w:rPr>
              <w:br/>
              <w:t>4 akce</w:t>
            </w:r>
          </w:p>
        </w:tc>
      </w:tr>
    </w:tbl>
    <w:p w14:paraId="0DBABC89" w14:textId="77777777" w:rsidR="00DB146A" w:rsidRDefault="00DB146A" w:rsidP="003058D2">
      <w:pPr>
        <w:pStyle w:val="Nadpis1"/>
        <w:jc w:val="center"/>
        <w:rPr>
          <w:rFonts w:cs="Open Sans"/>
        </w:rPr>
        <w:sectPr w:rsidR="00DB146A" w:rsidSect="00DB146A">
          <w:pgSz w:w="16838" w:h="11906" w:orient="landscape"/>
          <w:pgMar w:top="1417" w:right="1417" w:bottom="1417" w:left="1417" w:header="708" w:footer="708" w:gutter="0"/>
          <w:cols w:space="708"/>
          <w:docGrid w:linePitch="360"/>
        </w:sectPr>
      </w:pPr>
      <w:bookmarkStart w:id="0" w:name="_GoBack"/>
      <w:bookmarkEnd w:id="0"/>
    </w:p>
    <w:p w14:paraId="4FDF80E0" w14:textId="77777777" w:rsidR="00CE1397" w:rsidRDefault="00CE1397" w:rsidP="00DB146A">
      <w:pPr>
        <w:pStyle w:val="Nadpis1"/>
        <w:rPr>
          <w:rFonts w:cs="Open Sans"/>
        </w:rPr>
      </w:pPr>
    </w:p>
    <w:p w14:paraId="4C5FF88D" w14:textId="77777777" w:rsidR="00FF5F6D" w:rsidRPr="00FF681E" w:rsidRDefault="00FF5F6D" w:rsidP="00FF5F6D">
      <w:pPr>
        <w:suppressAutoHyphens w:val="0"/>
        <w:spacing w:before="0" w:after="0" w:line="240" w:lineRule="auto"/>
        <w:rPr>
          <w:rFonts w:cs="Open Sans"/>
          <w:b/>
        </w:rPr>
      </w:pPr>
      <w:r w:rsidRPr="00FF681E">
        <w:rPr>
          <w:rFonts w:cs="Open Sans"/>
          <w:b/>
        </w:rPr>
        <w:t>Příloha č. II:  Finanční vyúčtování čerpání vyrovnávací platby</w:t>
      </w:r>
    </w:p>
    <w:p w14:paraId="18CF17A3" w14:textId="77777777" w:rsidR="00FF5F6D" w:rsidRDefault="00FF5F6D" w:rsidP="00FF5F6D">
      <w:pPr>
        <w:suppressAutoHyphens w:val="0"/>
        <w:spacing w:before="0" w:after="0" w:line="240" w:lineRule="auto"/>
        <w:rPr>
          <w:rFonts w:cs="Open Sans"/>
        </w:rPr>
      </w:pPr>
    </w:p>
    <w:p w14:paraId="5BCA7698" w14:textId="77777777" w:rsidR="00FF5F6D" w:rsidRPr="00FF5F6D" w:rsidRDefault="00FF5F6D" w:rsidP="00FF5F6D">
      <w:pPr>
        <w:suppressAutoHyphens w:val="0"/>
        <w:spacing w:before="0" w:after="0" w:line="240" w:lineRule="auto"/>
        <w:rPr>
          <w:rFonts w:cs="Open Sans"/>
        </w:rPr>
      </w:pPr>
    </w:p>
    <w:p w14:paraId="01348FC5" w14:textId="77777777" w:rsidR="00FF5F6D" w:rsidRPr="00FF5F6D" w:rsidRDefault="00FF5F6D" w:rsidP="00FF5F6D">
      <w:pPr>
        <w:suppressAutoHyphens w:val="0"/>
        <w:spacing w:before="0" w:after="0" w:line="240" w:lineRule="auto"/>
        <w:rPr>
          <w:rFonts w:cs="Open Sans"/>
        </w:rPr>
      </w:pPr>
      <w:r w:rsidRPr="00FF5F6D">
        <w:rPr>
          <w:rFonts w:cs="Open Sans"/>
          <w:noProof/>
          <w:lang w:eastAsia="cs-CZ"/>
        </w:rPr>
        <w:drawing>
          <wp:inline distT="0" distB="0" distL="0" distR="0" wp14:anchorId="482906E2" wp14:editId="68F9E471">
            <wp:extent cx="4963160" cy="3498850"/>
            <wp:effectExtent l="0" t="0" r="889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63160" cy="3498850"/>
                    </a:xfrm>
                    <a:prstGeom prst="rect">
                      <a:avLst/>
                    </a:prstGeom>
                    <a:noFill/>
                    <a:ln>
                      <a:noFill/>
                    </a:ln>
                  </pic:spPr>
                </pic:pic>
              </a:graphicData>
            </a:graphic>
          </wp:inline>
        </w:drawing>
      </w:r>
    </w:p>
    <w:p w14:paraId="587C3748" w14:textId="77777777" w:rsidR="00FF5F6D" w:rsidRPr="00FF5F6D" w:rsidRDefault="00FF5F6D" w:rsidP="00FF5F6D">
      <w:pPr>
        <w:suppressAutoHyphens w:val="0"/>
        <w:spacing w:before="0" w:after="0" w:line="240" w:lineRule="auto"/>
        <w:rPr>
          <w:rFonts w:cs="Open Sans"/>
        </w:rPr>
      </w:pPr>
      <w:r w:rsidRPr="00FF5F6D">
        <w:rPr>
          <w:rFonts w:cs="Open Sans"/>
          <w:noProof/>
          <w:lang w:eastAsia="cs-CZ"/>
        </w:rPr>
        <w:drawing>
          <wp:inline distT="0" distB="0" distL="0" distR="0" wp14:anchorId="55BDA2CF" wp14:editId="671BBE48">
            <wp:extent cx="4963160" cy="3498850"/>
            <wp:effectExtent l="0" t="0" r="889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63160" cy="3498850"/>
                    </a:xfrm>
                    <a:prstGeom prst="rect">
                      <a:avLst/>
                    </a:prstGeom>
                    <a:noFill/>
                    <a:ln>
                      <a:noFill/>
                    </a:ln>
                  </pic:spPr>
                </pic:pic>
              </a:graphicData>
            </a:graphic>
          </wp:inline>
        </w:drawing>
      </w:r>
    </w:p>
    <w:p w14:paraId="3061A046" w14:textId="77777777" w:rsidR="00FF5F6D" w:rsidRPr="00FF5F6D" w:rsidRDefault="00FF5F6D" w:rsidP="00FF5F6D">
      <w:pPr>
        <w:suppressAutoHyphens w:val="0"/>
        <w:spacing w:before="0" w:after="0" w:line="240" w:lineRule="auto"/>
        <w:rPr>
          <w:rFonts w:cs="Open Sans"/>
        </w:rPr>
      </w:pPr>
    </w:p>
    <w:p w14:paraId="2C4E5793" w14:textId="77777777" w:rsidR="00FF5F6D" w:rsidRPr="00FF5F6D" w:rsidRDefault="00FF5F6D" w:rsidP="00FF5F6D">
      <w:pPr>
        <w:suppressAutoHyphens w:val="0"/>
        <w:spacing w:before="0" w:after="0" w:line="240" w:lineRule="auto"/>
        <w:rPr>
          <w:rFonts w:cs="Open Sans"/>
        </w:rPr>
      </w:pPr>
      <w:r w:rsidRPr="00FF5F6D">
        <w:rPr>
          <w:rFonts w:cs="Open Sans"/>
          <w:noProof/>
          <w:lang w:eastAsia="cs-CZ"/>
        </w:rPr>
        <w:lastRenderedPageBreak/>
        <w:drawing>
          <wp:inline distT="0" distB="0" distL="0" distR="0" wp14:anchorId="2E5FBD41" wp14:editId="29EC2C13">
            <wp:extent cx="4963160" cy="3498850"/>
            <wp:effectExtent l="0" t="0" r="8890" b="635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63160" cy="3498850"/>
                    </a:xfrm>
                    <a:prstGeom prst="rect">
                      <a:avLst/>
                    </a:prstGeom>
                    <a:noFill/>
                    <a:ln>
                      <a:noFill/>
                    </a:ln>
                  </pic:spPr>
                </pic:pic>
              </a:graphicData>
            </a:graphic>
          </wp:inline>
        </w:drawing>
      </w:r>
      <w:r w:rsidRPr="00FF5F6D">
        <w:rPr>
          <w:rFonts w:cs="Open Sans"/>
        </w:rPr>
        <w:tab/>
      </w:r>
    </w:p>
    <w:p w14:paraId="54827A71" w14:textId="77777777" w:rsidR="00FF5F6D" w:rsidRPr="00FF5F6D" w:rsidRDefault="00FF5F6D" w:rsidP="00FF5F6D">
      <w:pPr>
        <w:suppressAutoHyphens w:val="0"/>
        <w:spacing w:before="0" w:after="0" w:line="240" w:lineRule="auto"/>
        <w:rPr>
          <w:rFonts w:cs="Open Sans"/>
        </w:rPr>
      </w:pPr>
      <w:r w:rsidRPr="00FF5F6D">
        <w:rPr>
          <w:rFonts w:cs="Open Sans"/>
          <w:noProof/>
          <w:lang w:eastAsia="cs-CZ"/>
        </w:rPr>
        <w:drawing>
          <wp:inline distT="0" distB="0" distL="0" distR="0" wp14:anchorId="646396FD" wp14:editId="5BA449B1">
            <wp:extent cx="4963160" cy="3498850"/>
            <wp:effectExtent l="0" t="0" r="889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63160" cy="3498850"/>
                    </a:xfrm>
                    <a:prstGeom prst="rect">
                      <a:avLst/>
                    </a:prstGeom>
                    <a:noFill/>
                    <a:ln>
                      <a:noFill/>
                    </a:ln>
                  </pic:spPr>
                </pic:pic>
              </a:graphicData>
            </a:graphic>
          </wp:inline>
        </w:drawing>
      </w:r>
    </w:p>
    <w:p w14:paraId="2CA02B4D" w14:textId="77777777" w:rsidR="00FF5F6D" w:rsidRPr="00FF5F6D" w:rsidRDefault="00FF5F6D" w:rsidP="00FF5F6D">
      <w:pPr>
        <w:suppressAutoHyphens w:val="0"/>
        <w:spacing w:before="0" w:after="0" w:line="240" w:lineRule="auto"/>
        <w:rPr>
          <w:rFonts w:cs="Open Sans"/>
        </w:rPr>
      </w:pPr>
    </w:p>
    <w:p w14:paraId="17A9F22E" w14:textId="77777777" w:rsidR="00FF5F6D" w:rsidRPr="00FF5F6D" w:rsidRDefault="00FF5F6D" w:rsidP="00FF5F6D">
      <w:pPr>
        <w:suppressAutoHyphens w:val="0"/>
        <w:spacing w:before="0" w:after="0" w:line="240" w:lineRule="auto"/>
        <w:rPr>
          <w:rFonts w:cs="Open Sans"/>
        </w:rPr>
      </w:pPr>
      <w:r w:rsidRPr="00FF5F6D">
        <w:rPr>
          <w:rFonts w:cs="Open Sans"/>
          <w:noProof/>
          <w:lang w:eastAsia="cs-CZ"/>
        </w:rPr>
        <w:lastRenderedPageBreak/>
        <w:drawing>
          <wp:inline distT="0" distB="0" distL="0" distR="0" wp14:anchorId="48ABE6B7" wp14:editId="05BEC50A">
            <wp:extent cx="4963160" cy="3498850"/>
            <wp:effectExtent l="0" t="0" r="8890" b="635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63160" cy="3498850"/>
                    </a:xfrm>
                    <a:prstGeom prst="rect">
                      <a:avLst/>
                    </a:prstGeom>
                    <a:noFill/>
                    <a:ln>
                      <a:noFill/>
                    </a:ln>
                  </pic:spPr>
                </pic:pic>
              </a:graphicData>
            </a:graphic>
          </wp:inline>
        </w:drawing>
      </w:r>
    </w:p>
    <w:p w14:paraId="6DBC93F1" w14:textId="77777777" w:rsidR="00FF5F6D" w:rsidRPr="00FF5F6D" w:rsidRDefault="00FF5F6D" w:rsidP="00FF5F6D">
      <w:pPr>
        <w:suppressAutoHyphens w:val="0"/>
        <w:spacing w:before="0" w:after="0" w:line="240" w:lineRule="auto"/>
        <w:rPr>
          <w:rFonts w:cs="Open Sans"/>
        </w:rPr>
      </w:pPr>
      <w:r w:rsidRPr="00FF5F6D">
        <w:rPr>
          <w:rFonts w:cs="Open Sans"/>
          <w:noProof/>
          <w:lang w:eastAsia="cs-CZ"/>
        </w:rPr>
        <w:drawing>
          <wp:inline distT="0" distB="0" distL="0" distR="0" wp14:anchorId="0299B9D9" wp14:editId="5E7B698F">
            <wp:extent cx="4963160" cy="3498850"/>
            <wp:effectExtent l="0" t="0" r="8890" b="635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63160" cy="3498850"/>
                    </a:xfrm>
                    <a:prstGeom prst="rect">
                      <a:avLst/>
                    </a:prstGeom>
                    <a:noFill/>
                    <a:ln>
                      <a:noFill/>
                    </a:ln>
                  </pic:spPr>
                </pic:pic>
              </a:graphicData>
            </a:graphic>
          </wp:inline>
        </w:drawing>
      </w:r>
    </w:p>
    <w:p w14:paraId="76847E75" w14:textId="77777777" w:rsidR="00FF5F6D" w:rsidRPr="00FF5F6D" w:rsidRDefault="00FF5F6D" w:rsidP="00FF5F6D">
      <w:pPr>
        <w:suppressAutoHyphens w:val="0"/>
        <w:spacing w:before="0" w:after="0" w:line="240" w:lineRule="auto"/>
        <w:rPr>
          <w:rFonts w:cs="Open Sans"/>
        </w:rPr>
      </w:pPr>
    </w:p>
    <w:p w14:paraId="53F43CB9" w14:textId="77777777" w:rsidR="00FF5F6D" w:rsidRPr="00FF5F6D" w:rsidRDefault="00FF5F6D" w:rsidP="00FF5F6D">
      <w:pPr>
        <w:suppressAutoHyphens w:val="0"/>
        <w:spacing w:before="0" w:after="0" w:line="240" w:lineRule="auto"/>
        <w:rPr>
          <w:rFonts w:cs="Open Sans"/>
        </w:rPr>
      </w:pPr>
      <w:r w:rsidRPr="00FF5F6D">
        <w:rPr>
          <w:rFonts w:cs="Open Sans"/>
          <w:noProof/>
          <w:lang w:eastAsia="cs-CZ"/>
        </w:rPr>
        <w:lastRenderedPageBreak/>
        <w:drawing>
          <wp:inline distT="0" distB="0" distL="0" distR="0" wp14:anchorId="3F8D87D7" wp14:editId="33A11B5F">
            <wp:extent cx="4963160" cy="3498850"/>
            <wp:effectExtent l="0" t="0" r="8890" b="635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63160" cy="3498850"/>
                    </a:xfrm>
                    <a:prstGeom prst="rect">
                      <a:avLst/>
                    </a:prstGeom>
                    <a:noFill/>
                    <a:ln>
                      <a:noFill/>
                    </a:ln>
                  </pic:spPr>
                </pic:pic>
              </a:graphicData>
            </a:graphic>
          </wp:inline>
        </w:drawing>
      </w:r>
      <w:r w:rsidRPr="00FF5F6D">
        <w:rPr>
          <w:rFonts w:cs="Open Sans"/>
        </w:rPr>
        <w:tab/>
      </w:r>
    </w:p>
    <w:p w14:paraId="5BCA668A" w14:textId="77777777" w:rsidR="00FF5F6D" w:rsidRPr="00FF5F6D" w:rsidRDefault="00FF5F6D" w:rsidP="00FF5F6D">
      <w:pPr>
        <w:suppressAutoHyphens w:val="0"/>
        <w:spacing w:before="0" w:after="0" w:line="240" w:lineRule="auto"/>
        <w:rPr>
          <w:rFonts w:cs="Open Sans"/>
        </w:rPr>
      </w:pPr>
      <w:r w:rsidRPr="00FF5F6D">
        <w:rPr>
          <w:rFonts w:cs="Open Sans"/>
          <w:noProof/>
          <w:lang w:eastAsia="cs-CZ"/>
        </w:rPr>
        <w:drawing>
          <wp:inline distT="0" distB="0" distL="0" distR="0" wp14:anchorId="46A3E44D" wp14:editId="187A412E">
            <wp:extent cx="5602605" cy="113093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02605" cy="1130935"/>
                    </a:xfrm>
                    <a:prstGeom prst="rect">
                      <a:avLst/>
                    </a:prstGeom>
                    <a:noFill/>
                    <a:ln>
                      <a:noFill/>
                    </a:ln>
                  </pic:spPr>
                </pic:pic>
              </a:graphicData>
            </a:graphic>
          </wp:inline>
        </w:drawing>
      </w:r>
    </w:p>
    <w:p w14:paraId="7ECC9418" w14:textId="77777777" w:rsidR="00FF5F6D" w:rsidRPr="00FF5F6D" w:rsidRDefault="00FF5F6D" w:rsidP="00FF5F6D">
      <w:pPr>
        <w:suppressAutoHyphens w:val="0"/>
        <w:spacing w:before="0" w:after="0" w:line="240" w:lineRule="auto"/>
        <w:rPr>
          <w:rFonts w:cs="Open Sans"/>
        </w:rPr>
        <w:sectPr w:rsidR="00FF5F6D" w:rsidRPr="00FF5F6D" w:rsidSect="00DB146A">
          <w:pgSz w:w="11906" w:h="16838"/>
          <w:pgMar w:top="1417" w:right="1417" w:bottom="1417" w:left="1417" w:header="708" w:footer="708" w:gutter="0"/>
          <w:cols w:space="708"/>
          <w:docGrid w:linePitch="360"/>
        </w:sectPr>
      </w:pPr>
    </w:p>
    <w:p w14:paraId="095A665E" w14:textId="77777777" w:rsidR="00FF5F6D" w:rsidRPr="00FF5F6D" w:rsidRDefault="00FF5F6D" w:rsidP="00D56C6E">
      <w:pPr>
        <w:suppressAutoHyphens w:val="0"/>
        <w:spacing w:before="0" w:after="0" w:line="240" w:lineRule="auto"/>
        <w:rPr>
          <w:rFonts w:cs="Open Sans"/>
        </w:rPr>
      </w:pPr>
      <w:r w:rsidRPr="00FF5F6D">
        <w:rPr>
          <w:rFonts w:cs="Open Sans"/>
          <w:noProof/>
          <w:lang w:eastAsia="cs-CZ"/>
        </w:rPr>
        <w:lastRenderedPageBreak/>
        <w:drawing>
          <wp:inline distT="0" distB="0" distL="0" distR="0" wp14:anchorId="25234812" wp14:editId="5590A385">
            <wp:extent cx="6129655" cy="5759450"/>
            <wp:effectExtent l="0" t="0" r="444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9655" cy="5759450"/>
                    </a:xfrm>
                    <a:prstGeom prst="rect">
                      <a:avLst/>
                    </a:prstGeom>
                    <a:noFill/>
                    <a:ln>
                      <a:noFill/>
                    </a:ln>
                  </pic:spPr>
                </pic:pic>
              </a:graphicData>
            </a:graphic>
          </wp:inline>
        </w:drawing>
      </w:r>
    </w:p>
    <w:p w14:paraId="6C15CB2F" w14:textId="77777777" w:rsidR="00B4013B" w:rsidRDefault="00B4013B" w:rsidP="00802B52">
      <w:pPr>
        <w:suppressAutoHyphens w:val="0"/>
        <w:spacing w:before="0" w:after="0" w:line="240" w:lineRule="auto"/>
        <w:jc w:val="both"/>
        <w:rPr>
          <w:rFonts w:cs="Open Sans"/>
        </w:rPr>
      </w:pPr>
    </w:p>
    <w:p w14:paraId="1B20BC44" w14:textId="77777777" w:rsidR="00B4013B" w:rsidRDefault="00B4013B" w:rsidP="00802B52">
      <w:pPr>
        <w:suppressAutoHyphens w:val="0"/>
        <w:spacing w:before="0" w:after="0" w:line="240" w:lineRule="auto"/>
        <w:jc w:val="both"/>
        <w:rPr>
          <w:rFonts w:cs="Open Sans"/>
        </w:rPr>
      </w:pPr>
    </w:p>
    <w:p w14:paraId="51E34FA6" w14:textId="77777777" w:rsidR="00FF5F6D" w:rsidRDefault="00FF5F6D" w:rsidP="00802B52">
      <w:pPr>
        <w:suppressAutoHyphens w:val="0"/>
        <w:spacing w:before="0" w:after="0" w:line="240" w:lineRule="auto"/>
        <w:jc w:val="both"/>
        <w:rPr>
          <w:rFonts w:cs="Open Sans"/>
        </w:rPr>
      </w:pPr>
      <w:r w:rsidRPr="00FF5F6D">
        <w:rPr>
          <w:rFonts w:cs="Open Sans"/>
        </w:rPr>
        <w:t>Ve slovním komentáři je vhodné popsat jednotlivé druhy nákladů a vlivy, které je významným způsobem ovlivnily. Doplnit údaje o přepočtený počet zaměstnanců (na plné úvazky) a v souvislosti s limitem na mzdové náklady uvést podle evidence Českého statistického úřadu (www.czso.cz) hodnotu průměrné mzdy za předcházející 4 čtvrtletí a doložit nepřekročení uvedeného limitu.</w:t>
      </w:r>
    </w:p>
    <w:p w14:paraId="18737012" w14:textId="77777777" w:rsidR="00245ABE" w:rsidRPr="00FF5F6D" w:rsidRDefault="00245ABE" w:rsidP="007B42D4">
      <w:pPr>
        <w:suppressAutoHyphens w:val="0"/>
        <w:spacing w:before="0" w:after="0" w:line="240" w:lineRule="auto"/>
        <w:jc w:val="both"/>
        <w:rPr>
          <w:rFonts w:cs="Open Sans"/>
        </w:rPr>
      </w:pPr>
    </w:p>
    <w:p w14:paraId="1F9F1112" w14:textId="77777777" w:rsidR="00FF5F6D" w:rsidRDefault="00FF5F6D" w:rsidP="00245ABE">
      <w:pPr>
        <w:suppressAutoHyphens w:val="0"/>
        <w:spacing w:before="0" w:after="0" w:line="240" w:lineRule="auto"/>
        <w:jc w:val="both"/>
        <w:rPr>
          <w:rFonts w:cs="Open Sans"/>
        </w:rPr>
      </w:pPr>
      <w:r w:rsidRPr="00FF5F6D">
        <w:rPr>
          <w:rFonts w:cs="Open Sans"/>
        </w:rPr>
        <w:t>V této části by měla být obsažena i doložka, že do kalkulovaných nákladů nebyly zahrnuty neuznatelné náklady, do kterých patří (v případě že nebudou s písemným souhlasem Kraje jinak započteny např. uznáním poměrné části) i náklady na činnosti, u kterých nebyly naplněny indikátory uvedené v Příloze č. II této smlouvy.</w:t>
      </w:r>
    </w:p>
    <w:p w14:paraId="345EB1A9" w14:textId="77777777" w:rsidR="00245ABE" w:rsidRPr="00FF5F6D" w:rsidRDefault="00245ABE" w:rsidP="007B42D4">
      <w:pPr>
        <w:suppressAutoHyphens w:val="0"/>
        <w:spacing w:before="0" w:after="0" w:line="240" w:lineRule="auto"/>
        <w:jc w:val="both"/>
        <w:rPr>
          <w:rFonts w:cs="Open Sans"/>
        </w:rPr>
      </w:pPr>
    </w:p>
    <w:p w14:paraId="2FD27D3B" w14:textId="77777777" w:rsidR="00FF5F6D" w:rsidRPr="00FF5F6D" w:rsidRDefault="00FF5F6D" w:rsidP="007B42D4">
      <w:pPr>
        <w:suppressAutoHyphens w:val="0"/>
        <w:spacing w:before="0" w:after="0" w:line="240" w:lineRule="auto"/>
        <w:jc w:val="both"/>
        <w:rPr>
          <w:rFonts w:cs="Open Sans"/>
        </w:rPr>
      </w:pPr>
      <w:r w:rsidRPr="00FF5F6D">
        <w:rPr>
          <w:rFonts w:cs="Open Sans"/>
        </w:rPr>
        <w:t xml:space="preserve">Součástí komentáře bude také seznam středisek, event. dalších dimenzí, seznam analytických účtů, které jsou součástí účetního zápisu a dokládají, že finanční prostředky poskytnuté Moravskoslezskému inovačnímu centru Ostrava, a.s. byly účtována odděleně dle </w:t>
      </w:r>
      <w:r w:rsidR="000C053E">
        <w:rPr>
          <w:rFonts w:cs="Open Sans"/>
        </w:rPr>
        <w:t xml:space="preserve">zákona č. </w:t>
      </w:r>
      <w:r w:rsidRPr="00FF5F6D">
        <w:rPr>
          <w:rFonts w:cs="Open Sans"/>
        </w:rPr>
        <w:t xml:space="preserve"> 563/1991 Sb.</w:t>
      </w:r>
      <w:r w:rsidR="000C053E">
        <w:rPr>
          <w:rFonts w:cs="Open Sans"/>
        </w:rPr>
        <w:t>,</w:t>
      </w:r>
      <w:r w:rsidRPr="00FF5F6D">
        <w:rPr>
          <w:rFonts w:cs="Open Sans"/>
        </w:rPr>
        <w:t xml:space="preserve"> o účetnictví</w:t>
      </w:r>
      <w:r w:rsidR="000C053E">
        <w:rPr>
          <w:rFonts w:cs="Open Sans"/>
        </w:rPr>
        <w:t>, ve znění pozdějších předpisů</w:t>
      </w:r>
      <w:r w:rsidRPr="00FF5F6D">
        <w:rPr>
          <w:rFonts w:cs="Open Sans"/>
        </w:rPr>
        <w:t>.</w:t>
      </w:r>
    </w:p>
    <w:p w14:paraId="391B1C4C" w14:textId="77777777" w:rsidR="006760D8" w:rsidRDefault="006760D8">
      <w:pPr>
        <w:suppressAutoHyphens w:val="0"/>
        <w:spacing w:before="0" w:after="0" w:line="240" w:lineRule="auto"/>
        <w:rPr>
          <w:rFonts w:cs="Open Sans"/>
        </w:rPr>
      </w:pPr>
    </w:p>
    <w:p w14:paraId="60195D9C" w14:textId="77777777" w:rsidR="007278C4" w:rsidRPr="007278C4" w:rsidRDefault="007278C4" w:rsidP="007278C4">
      <w:pPr>
        <w:pStyle w:val="Odstavecseseznamem"/>
        <w:ind w:left="0"/>
        <w:jc w:val="both"/>
        <w:rPr>
          <w:rFonts w:cs="Open Sans"/>
        </w:rPr>
      </w:pPr>
    </w:p>
    <w:sectPr w:rsidR="007278C4" w:rsidRPr="007278C4" w:rsidSect="00672BEC">
      <w:footerReference w:type="default" r:id="rId23"/>
      <w:headerReference w:type="first" r:id="rId24"/>
      <w:footnotePr>
        <w:pos w:val="beneathText"/>
      </w:footnotePr>
      <w:pgSz w:w="11905" w:h="16837" w:code="9"/>
      <w:pgMar w:top="1673" w:right="851" w:bottom="1418" w:left="1508" w:header="851" w:footer="66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4DB38" w14:textId="77777777" w:rsidR="009D2322" w:rsidRDefault="009D2322">
      <w:pPr>
        <w:spacing w:line="240" w:lineRule="auto"/>
      </w:pPr>
      <w:r>
        <w:separator/>
      </w:r>
    </w:p>
  </w:endnote>
  <w:endnote w:type="continuationSeparator" w:id="0">
    <w:p w14:paraId="565DEE2C" w14:textId="77777777" w:rsidR="009D2322" w:rsidRDefault="009D23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77057" w14:textId="77777777" w:rsidR="0065314D" w:rsidRDefault="0065314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025CA" w14:textId="77777777" w:rsidR="00BC1FF0" w:rsidRDefault="00BC1FF0">
    <w:pPr>
      <w:pStyle w:val="Zpat"/>
    </w:pPr>
    <w:r>
      <w:rPr>
        <w:noProof/>
        <w:lang w:eastAsia="cs-CZ"/>
      </w:rPr>
      <mc:AlternateContent>
        <mc:Choice Requires="wps">
          <w:drawing>
            <wp:anchor distT="0" distB="0" distL="114300" distR="114300" simplePos="0" relativeHeight="251661310" behindDoc="0" locked="0" layoutInCell="0" allowOverlap="1" wp14:anchorId="4787A2A3" wp14:editId="0276F5B7">
              <wp:simplePos x="0" y="0"/>
              <wp:positionH relativeFrom="page">
                <wp:align>left</wp:align>
              </wp:positionH>
              <wp:positionV relativeFrom="page">
                <wp:align>bottom</wp:align>
              </wp:positionV>
              <wp:extent cx="7772400" cy="463550"/>
              <wp:effectExtent l="0" t="0" r="0" b="12700"/>
              <wp:wrapNone/>
              <wp:docPr id="3" name="MSIPCM52004dde963aa4efa86946c4" descr="{&quot;HashCode&quot;:-106917850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76632C" w14:textId="798F9AF9" w:rsidR="00BC1FF0" w:rsidRPr="0065314D" w:rsidRDefault="0065314D" w:rsidP="0065314D">
                          <w:pPr>
                            <w:spacing w:before="0" w:after="0"/>
                            <w:rPr>
                              <w:rFonts w:ascii="Calibri" w:hAnsi="Calibri" w:cs="Calibri"/>
                              <w:color w:val="000000"/>
                              <w:sz w:val="18"/>
                            </w:rPr>
                          </w:pPr>
                          <w:r w:rsidRPr="0065314D">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787A2A3" id="_x0000_t202" coordsize="21600,21600" o:spt="202" path="m,l,21600r21600,l21600,xe">
              <v:stroke joinstyle="miter"/>
              <v:path gradientshapeok="t" o:connecttype="rect"/>
            </v:shapetype>
            <v:shape id="MSIPCM52004dde963aa4efa86946c4" o:spid="_x0000_s1026" type="#_x0000_t202" alt="{&quot;HashCode&quot;:-1069178508,&quot;Height&quot;:9999999.0,&quot;Width&quot;:9999999.0,&quot;Placement&quot;:&quot;Footer&quot;,&quot;Index&quot;:&quot;Primary&quot;,&quot;Section&quot;:1,&quot;Top&quot;:0.0,&quot;Left&quot;:0.0}" style="position:absolute;margin-left:0;margin-top:0;width:612pt;height:36.5pt;z-index:25166131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" o:allowincell="f" filled="f" stroked="f" strokeweight=".5pt">
              <v:textbox inset="20pt,0,,0">
                <w:txbxContent>
                  <w:p w14:paraId="1A76632C" w14:textId="798F9AF9" w:rsidR="00BC1FF0" w:rsidRPr="0065314D" w:rsidRDefault="0065314D" w:rsidP="0065314D">
                    <w:pPr>
                      <w:spacing w:before="0" w:after="0"/>
                      <w:rPr>
                        <w:rFonts w:ascii="Calibri" w:hAnsi="Calibri" w:cs="Calibri"/>
                        <w:color w:val="000000"/>
                        <w:sz w:val="18"/>
                      </w:rPr>
                    </w:pPr>
                    <w:r w:rsidRPr="0065314D">
                      <w:rPr>
                        <w:rFonts w:ascii="Calibri" w:hAnsi="Calibri" w:cs="Calibri"/>
                        <w:color w:val="000000"/>
                        <w:sz w:val="18"/>
                      </w:rPr>
                      <w:t>Klasifikace informací: Neveřejné</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0A41C" w14:textId="77777777" w:rsidR="00BC1FF0" w:rsidRDefault="00BC1FF0">
    <w:pPr>
      <w:pStyle w:val="Zpat"/>
    </w:pPr>
    <w:r>
      <w:rPr>
        <w:noProof/>
        <w:lang w:eastAsia="cs-CZ"/>
      </w:rPr>
      <mc:AlternateContent>
        <mc:Choice Requires="wps">
          <w:drawing>
            <wp:anchor distT="0" distB="0" distL="114300" distR="114300" simplePos="0" relativeHeight="251661311" behindDoc="0" locked="0" layoutInCell="0" allowOverlap="1" wp14:anchorId="2AE2A042" wp14:editId="28BD271A">
              <wp:simplePos x="0" y="0"/>
              <wp:positionH relativeFrom="page">
                <wp:align>left</wp:align>
              </wp:positionH>
              <wp:positionV relativeFrom="page">
                <wp:align>bottom</wp:align>
              </wp:positionV>
              <wp:extent cx="7772400" cy="463550"/>
              <wp:effectExtent l="0" t="0" r="0" b="12700"/>
              <wp:wrapNone/>
              <wp:docPr id="10" name="MSIPCM07704b54b05262ce1efddafa" descr="{&quot;HashCode&quot;:-1069178508,&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1685FA" w14:textId="17EBF5AC" w:rsidR="00BC1FF0" w:rsidRPr="0065314D" w:rsidRDefault="0065314D" w:rsidP="0065314D">
                          <w:pPr>
                            <w:spacing w:before="0" w:after="0"/>
                            <w:rPr>
                              <w:rFonts w:ascii="Calibri" w:hAnsi="Calibri" w:cs="Calibri"/>
                              <w:color w:val="000000"/>
                              <w:sz w:val="18"/>
                            </w:rPr>
                          </w:pPr>
                          <w:r w:rsidRPr="0065314D">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AE2A042" id="_x0000_t202" coordsize="21600,21600" o:spt="202" path="m,l,21600r21600,l21600,xe">
              <v:stroke joinstyle="miter"/>
              <v:path gradientshapeok="t" o:connecttype="rect"/>
            </v:shapetype>
            <v:shape id="MSIPCM07704b54b05262ce1efddafa" o:spid="_x0000_s1027" type="#_x0000_t202" alt="{&quot;HashCode&quot;:-1069178508,&quot;Height&quot;:9999999.0,&quot;Width&quot;:9999999.0,&quot;Placement&quot;:&quot;Footer&quot;,&quot;Index&quot;:&quot;FirstPage&quot;,&quot;Section&quot;:1,&quot;Top&quot;:0.0,&quot;Left&quot;:0.0}" style="position:absolute;margin-left:0;margin-top:0;width:612pt;height:36.5pt;z-index:251661311;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" o:allowincell="f" filled="f" stroked="f" strokeweight=".5pt">
              <v:textbox inset="20pt,0,,0">
                <w:txbxContent>
                  <w:p w14:paraId="5B1685FA" w14:textId="17EBF5AC" w:rsidR="00BC1FF0" w:rsidRPr="0065314D" w:rsidRDefault="0065314D" w:rsidP="0065314D">
                    <w:pPr>
                      <w:spacing w:before="0" w:after="0"/>
                      <w:rPr>
                        <w:rFonts w:ascii="Calibri" w:hAnsi="Calibri" w:cs="Calibri"/>
                        <w:color w:val="000000"/>
                        <w:sz w:val="18"/>
                      </w:rPr>
                    </w:pPr>
                    <w:r w:rsidRPr="0065314D">
                      <w:rPr>
                        <w:rFonts w:ascii="Calibri" w:hAnsi="Calibri" w:cs="Calibri"/>
                        <w:color w:val="000000"/>
                        <w:sz w:val="18"/>
                      </w:rPr>
                      <w:t>Klasifikace informací: Neveřejné</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48D0F" w14:textId="77777777" w:rsidR="00BC1FF0" w:rsidRDefault="00BC1FF0" w:rsidP="00C77151">
    <w:pPr>
      <w:pStyle w:val="Zpat"/>
      <w:jc w:val="right"/>
    </w:pPr>
    <w:r>
      <w:rPr>
        <w:noProof/>
        <w:lang w:eastAsia="cs-CZ"/>
      </w:rPr>
      <mc:AlternateContent>
        <mc:Choice Requires="wps">
          <w:drawing>
            <wp:anchor distT="0" distB="0" distL="114300" distR="114300" simplePos="0" relativeHeight="251662336" behindDoc="0" locked="0" layoutInCell="0" allowOverlap="1" wp14:anchorId="2D27FCA3" wp14:editId="6CC3C278">
              <wp:simplePos x="0" y="9403953"/>
              <wp:positionH relativeFrom="page">
                <wp:align>left</wp:align>
              </wp:positionH>
              <wp:positionV relativeFrom="page">
                <wp:align>bottom</wp:align>
              </wp:positionV>
              <wp:extent cx="7772400" cy="463550"/>
              <wp:effectExtent l="0" t="0" r="0" b="12700"/>
              <wp:wrapNone/>
              <wp:docPr id="13" name="MSIPCM83014d928e247948765927ec" descr="{&quot;HashCode&quot;:-1069178508,&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A58825" w14:textId="12D60354" w:rsidR="00BC1FF0" w:rsidRPr="0065314D" w:rsidRDefault="0065314D" w:rsidP="0065314D">
                          <w:pPr>
                            <w:spacing w:before="0" w:after="0"/>
                            <w:rPr>
                              <w:rFonts w:ascii="Calibri" w:hAnsi="Calibri" w:cs="Calibri"/>
                              <w:color w:val="000000"/>
                              <w:sz w:val="18"/>
                            </w:rPr>
                          </w:pPr>
                          <w:r w:rsidRPr="0065314D">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D27FCA3" id="_x0000_t202" coordsize="21600,21600" o:spt="202" path="m,l,21600r21600,l21600,xe">
              <v:stroke joinstyle="miter"/>
              <v:path gradientshapeok="t" o:connecttype="rect"/>
            </v:shapetype>
            <v:shape id="MSIPCM83014d928e247948765927ec" o:spid="_x0000_s1028" type="#_x0000_t202" alt="{&quot;HashCode&quot;:-1069178508,&quot;Height&quot;:9999999.0,&quot;Width&quot;:9999999.0,&quot;Placement&quot;:&quot;Footer&quot;,&quot;Index&quot;:&quot;Primary&quot;,&quot;Section&quot;:4,&quot;Top&quot;:0.0,&quot;Left&quot;:0.0}" style="position:absolute;left:0;text-align:left;margin-left:0;margin-top:0;width:612pt;height:36.5pt;z-index:25166233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G39Q45yAwAAWwcAAA4AAAAAAAAAAAAAAAAALgIAAGRycy9lMm9Eb2MueG1sUEsBAi0AFAAG&#10;AAgAAAAhAP71jZvaAAAABQEAAA8AAAAAAAAAAAAAAAAAzAUAAGRycy9kb3ducmV2LnhtbFBLBQYA&#10;AAAABAAEAPMAAADTBgAAAAA=&#10;" o:allowincell="f" filled="f" stroked="f" strokeweight=".5pt">
              <v:textbox inset="20pt,0,,0">
                <w:txbxContent>
                  <w:p w14:paraId="53A58825" w14:textId="12D60354" w:rsidR="00BC1FF0" w:rsidRPr="0065314D" w:rsidRDefault="0065314D" w:rsidP="0065314D">
                    <w:pPr>
                      <w:spacing w:before="0" w:after="0"/>
                      <w:rPr>
                        <w:rFonts w:ascii="Calibri" w:hAnsi="Calibri" w:cs="Calibri"/>
                        <w:color w:val="000000"/>
                        <w:sz w:val="18"/>
                      </w:rPr>
                    </w:pPr>
                    <w:r w:rsidRPr="0065314D">
                      <w:rPr>
                        <w:rFonts w:ascii="Calibri" w:hAnsi="Calibri" w:cs="Calibri"/>
                        <w:color w:val="000000"/>
                        <w:sz w:val="18"/>
                      </w:rPr>
                      <w:t>Klasifikace informací: Neveřejné</w:t>
                    </w:r>
                  </w:p>
                </w:txbxContent>
              </v:textbox>
              <w10:wrap anchorx="page" anchory="page"/>
            </v:shape>
          </w:pict>
        </mc:Fallback>
      </mc:AlternateContent>
    </w:r>
    <w:r>
      <w:rPr>
        <w:noProof/>
        <w:lang w:eastAsia="cs-CZ"/>
      </w:rPr>
      <mc:AlternateContent>
        <mc:Choice Requires="wps">
          <w:drawing>
            <wp:anchor distT="0" distB="0" distL="114300" distR="114300" simplePos="0" relativeHeight="251661312" behindDoc="0" locked="0" layoutInCell="0" allowOverlap="1" wp14:anchorId="799AFF89" wp14:editId="4A4A2B92">
              <wp:simplePos x="0" y="9403953"/>
              <wp:positionH relativeFrom="page">
                <wp:align>left</wp:align>
              </wp:positionH>
              <wp:positionV relativeFrom="page">
                <wp:align>bottom</wp:align>
              </wp:positionV>
              <wp:extent cx="7772400" cy="463550"/>
              <wp:effectExtent l="0" t="0" r="0" b="12700"/>
              <wp:wrapNone/>
              <wp:docPr id="11" name="MSIPCM85674024abb52438643ca50b" descr="{&quot;HashCode&quot;:-1069178508,&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5AB260" w14:textId="77777777" w:rsidR="00BC1FF0" w:rsidRPr="00F3393B" w:rsidRDefault="00BC1FF0" w:rsidP="00F3393B">
                          <w:pPr>
                            <w:spacing w:before="0" w:after="0"/>
                            <w:rPr>
                              <w:rFonts w:ascii="Calibri" w:hAnsi="Calibri" w:cs="Calibri"/>
                              <w:color w:val="000000"/>
                              <w:sz w:val="18"/>
                            </w:rPr>
                          </w:pPr>
                          <w:r w:rsidRPr="00F3393B">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3ABD91" id="MSIPCM85674024abb52438643ca50b" o:spid="_x0000_s1029" type="#_x0000_t202" alt="{&quot;HashCode&quot;:-1069178508,&quot;Height&quot;:9999999.0,&quot;Width&quot;:9999999.0,&quot;Placement&quot;:&quot;Footer&quot;,&quot;Index&quot;:&quot;Primary&quot;,&quot;Section&quot;:5,&quot;Top&quot;:0.0,&quot;Left&quot;:0.0}" style="position:absolute;left:0;text-align:left;margin-left:0;margin-top:0;width:612pt;height:36.5pt;z-index:25166131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" o:allowincell="f" filled="f" stroked="f" strokeweight=".5pt">
              <v:textbox inset="20pt,0,,0">
                <w:txbxContent>
                  <w:p w:rsidR="00BC1FF0" w:rsidRPr="00F3393B" w:rsidRDefault="00BC1FF0" w:rsidP="00F3393B">
                    <w:pPr>
                      <w:spacing w:before="0" w:after="0"/>
                      <w:rPr>
                        <w:rFonts w:ascii="Calibri" w:hAnsi="Calibri" w:cs="Calibri"/>
                        <w:color w:val="000000"/>
                        <w:sz w:val="18"/>
                      </w:rPr>
                    </w:pPr>
                    <w:r w:rsidRPr="00F3393B">
                      <w:rPr>
                        <w:rFonts w:ascii="Calibri" w:hAnsi="Calibri" w:cs="Calibri"/>
                        <w:color w:val="000000"/>
                        <w:sz w:val="18"/>
                      </w:rPr>
                      <w:t>Klasifikace informací: Neveřejné</w:t>
                    </w:r>
                  </w:p>
                </w:txbxContent>
              </v:textbox>
              <w10:wrap anchorx="page" anchory="page"/>
            </v:shape>
          </w:pict>
        </mc:Fallback>
      </mc:AlternateContent>
    </w:r>
    <w:r>
      <w:tab/>
      <w:t xml:space="preserve"> </w:t>
    </w:r>
    <w:r>
      <w:fldChar w:fldCharType="begin"/>
    </w:r>
    <w:r>
      <w:instrText xml:space="preserve"> PAGE </w:instrText>
    </w:r>
    <w:r>
      <w:fldChar w:fldCharType="separate"/>
    </w:r>
    <w:r>
      <w:rPr>
        <w:noProof/>
      </w:rPr>
      <w:t>28</w:t>
    </w:r>
    <w:r>
      <w:fldChar w:fldCharType="end"/>
    </w:r>
    <w:r>
      <w:t>/</w:t>
    </w:r>
    <w:r>
      <w:rPr>
        <w:noProof/>
      </w:rPr>
      <w:fldChar w:fldCharType="begin"/>
    </w:r>
    <w:r>
      <w:rPr>
        <w:noProof/>
      </w:rPr>
      <w:instrText xml:space="preserve"> NUMPAGES </w:instrText>
    </w:r>
    <w:r>
      <w:rPr>
        <w:noProof/>
      </w:rPr>
      <w:fldChar w:fldCharType="separate"/>
    </w:r>
    <w:r>
      <w:rPr>
        <w:noProof/>
      </w:rPr>
      <w:t>28</w:t>
    </w:r>
    <w:r>
      <w:rPr>
        <w:noProof/>
      </w:rPr>
      <w:fldChar w:fldCharType="end"/>
    </w:r>
  </w:p>
  <w:p w14:paraId="3BE42D59" w14:textId="77777777" w:rsidR="00BC1FF0" w:rsidRDefault="00BC1F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B2A6B" w14:textId="77777777" w:rsidR="009D2322" w:rsidRDefault="009D2322">
      <w:pPr>
        <w:spacing w:line="240" w:lineRule="auto"/>
      </w:pPr>
      <w:r>
        <w:separator/>
      </w:r>
    </w:p>
  </w:footnote>
  <w:footnote w:type="continuationSeparator" w:id="0">
    <w:p w14:paraId="11B3E584" w14:textId="77777777" w:rsidR="009D2322" w:rsidRDefault="009D23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572D3" w14:textId="77777777" w:rsidR="0065314D" w:rsidRDefault="0065314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77C95" w14:textId="77777777" w:rsidR="0065314D" w:rsidRDefault="0065314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3979A" w14:textId="77777777" w:rsidR="0065314D" w:rsidRDefault="0065314D">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5DEE0" w14:textId="77777777" w:rsidR="00BC1FF0" w:rsidRPr="009141E1" w:rsidRDefault="00BC1FF0" w:rsidP="009141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606"/>
    <w:multiLevelType w:val="hybridMultilevel"/>
    <w:tmpl w:val="01988F48"/>
    <w:lvl w:ilvl="0" w:tplc="A22E33A8">
      <w:start w:val="1"/>
      <w:numFmt w:val="lowerLetter"/>
      <w:lvlText w:val="%1)"/>
      <w:lvlJc w:val="left"/>
      <w:pPr>
        <w:ind w:left="720" w:hanging="360"/>
      </w:pPr>
      <w:rPr>
        <w:rFonts w:hint="default"/>
      </w:rPr>
    </w:lvl>
    <w:lvl w:ilvl="1" w:tplc="C6345E9A">
      <w:start w:val="1"/>
      <w:numFmt w:val="lowerLetter"/>
      <w:lvlText w:val="%2)"/>
      <w:lvlJc w:val="left"/>
      <w:pPr>
        <w:ind w:left="1440" w:hanging="360"/>
      </w:pPr>
      <w:rPr>
        <w:rFonts w:hint="default"/>
      </w:rPr>
    </w:lvl>
    <w:lvl w:ilvl="2" w:tplc="5044B9CC">
      <w:start w:val="2"/>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8C2DFF"/>
    <w:multiLevelType w:val="hybridMultilevel"/>
    <w:tmpl w:val="9DE04326"/>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 w15:restartNumberingAfterBreak="0">
    <w:nsid w:val="00B001EE"/>
    <w:multiLevelType w:val="hybridMultilevel"/>
    <w:tmpl w:val="6ACA1DAC"/>
    <w:lvl w:ilvl="0" w:tplc="0F62794E">
      <w:start w:val="1"/>
      <w:numFmt w:val="bullet"/>
      <w:pStyle w:val="Seznam"/>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D1145"/>
    <w:multiLevelType w:val="hybridMultilevel"/>
    <w:tmpl w:val="915E6962"/>
    <w:lvl w:ilvl="0" w:tplc="787222A0">
      <w:start w:val="1"/>
      <w:numFmt w:val="decimal"/>
      <w:lvlText w:val="V.%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8A6EFD"/>
    <w:multiLevelType w:val="hybridMultilevel"/>
    <w:tmpl w:val="F8A68FB8"/>
    <w:lvl w:ilvl="0" w:tplc="04050017">
      <w:start w:val="1"/>
      <w:numFmt w:val="lowerLetter"/>
      <w:lvlText w:val="%1)"/>
      <w:lvlJc w:val="left"/>
      <w:pPr>
        <w:ind w:left="1429" w:hanging="360"/>
      </w:pPr>
    </w:lvl>
    <w:lvl w:ilvl="1" w:tplc="C6345E9A">
      <w:start w:val="1"/>
      <w:numFmt w:val="lowerLetter"/>
      <w:lvlText w:val="%2)"/>
      <w:lvlJc w:val="left"/>
      <w:pPr>
        <w:ind w:left="2149" w:hanging="360"/>
      </w:pPr>
      <w:rPr>
        <w:rFonts w:hint="default"/>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8170E63"/>
    <w:multiLevelType w:val="multilevel"/>
    <w:tmpl w:val="201C4F92"/>
    <w:lvl w:ilvl="0">
      <w:start w:val="1"/>
      <w:numFmt w:val="upperRoman"/>
      <w:lvlText w:val="%1."/>
      <w:lvlJc w:val="right"/>
      <w:pPr>
        <w:ind w:left="360" w:hanging="360"/>
      </w:pPr>
      <w:rPr>
        <w:rFonts w:hint="default"/>
      </w:rPr>
    </w:lvl>
    <w:lvl w:ilvl="1">
      <w:start w:val="1"/>
      <w:numFmt w:val="decimal"/>
      <w:lvlText w:val="%2."/>
      <w:lvlJc w:val="left"/>
      <w:pPr>
        <w:ind w:left="710" w:firstLine="0"/>
      </w:pPr>
      <w:rPr>
        <w:rFonts w:ascii="Open Sans" w:eastAsia="Times New Roman" w:hAnsi="Open Sans" w:cs="Open San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2402B2"/>
    <w:multiLevelType w:val="hybridMultilevel"/>
    <w:tmpl w:val="0F408B5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8792FAA"/>
    <w:multiLevelType w:val="hybridMultilevel"/>
    <w:tmpl w:val="A5A400AE"/>
    <w:lvl w:ilvl="0" w:tplc="68D41FB6">
      <w:start w:val="1"/>
      <w:numFmt w:val="lowerLetter"/>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0E4586"/>
    <w:multiLevelType w:val="hybridMultilevel"/>
    <w:tmpl w:val="ED8C9C5E"/>
    <w:lvl w:ilvl="0" w:tplc="DC8ED360">
      <w:start w:val="1"/>
      <w:numFmt w:val="decim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92258F"/>
    <w:multiLevelType w:val="hybridMultilevel"/>
    <w:tmpl w:val="EB92C414"/>
    <w:lvl w:ilvl="0" w:tplc="E790430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1B1C273C"/>
    <w:multiLevelType w:val="hybridMultilevel"/>
    <w:tmpl w:val="E29E79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EB5695"/>
    <w:multiLevelType w:val="hybridMultilevel"/>
    <w:tmpl w:val="2B0A6D3E"/>
    <w:lvl w:ilvl="0" w:tplc="4ADC4F2E">
      <w:start w:val="1"/>
      <w:numFmt w:val="upperRoman"/>
      <w:lvlText w:val="%1."/>
      <w:lvlJc w:val="left"/>
      <w:pPr>
        <w:ind w:left="1004" w:hanging="72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20BD320B"/>
    <w:multiLevelType w:val="hybridMultilevel"/>
    <w:tmpl w:val="37565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5D5C7F"/>
    <w:multiLevelType w:val="multilevel"/>
    <w:tmpl w:val="DD7EDC98"/>
    <w:lvl w:ilvl="0">
      <w:start w:val="1"/>
      <w:numFmt w:val="upperRoman"/>
      <w:lvlText w:val="%1."/>
      <w:lvlJc w:val="right"/>
      <w:pPr>
        <w:ind w:left="360" w:hanging="360"/>
      </w:pPr>
      <w:rPr>
        <w:rFonts w:hint="default"/>
      </w:rPr>
    </w:lvl>
    <w:lvl w:ilvl="1">
      <w:start w:val="1"/>
      <w:numFmt w:val="decimal"/>
      <w:lvlText w:val="%1.%2"/>
      <w:lvlJc w:val="left"/>
      <w:pPr>
        <w:ind w:left="71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E301CE"/>
    <w:multiLevelType w:val="hybridMultilevel"/>
    <w:tmpl w:val="CAF83D02"/>
    <w:lvl w:ilvl="0" w:tplc="6B5875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DD5A2B"/>
    <w:multiLevelType w:val="hybridMultilevel"/>
    <w:tmpl w:val="ED8C9C5E"/>
    <w:lvl w:ilvl="0" w:tplc="DC8ED360">
      <w:start w:val="1"/>
      <w:numFmt w:val="decim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07571B"/>
    <w:multiLevelType w:val="multilevel"/>
    <w:tmpl w:val="DD7EDC98"/>
    <w:lvl w:ilvl="0">
      <w:start w:val="1"/>
      <w:numFmt w:val="upperRoman"/>
      <w:lvlText w:val="%1."/>
      <w:lvlJc w:val="right"/>
      <w:pPr>
        <w:ind w:left="360" w:hanging="360"/>
      </w:pPr>
      <w:rPr>
        <w:rFonts w:hint="default"/>
      </w:rPr>
    </w:lvl>
    <w:lvl w:ilvl="1">
      <w:start w:val="1"/>
      <w:numFmt w:val="decimal"/>
      <w:lvlText w:val="%1.%2"/>
      <w:lvlJc w:val="left"/>
      <w:pPr>
        <w:ind w:left="71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B26E3F"/>
    <w:multiLevelType w:val="hybridMultilevel"/>
    <w:tmpl w:val="32684D36"/>
    <w:lvl w:ilvl="0" w:tplc="BF56E7C8">
      <w:start w:val="1"/>
      <w:numFmt w:val="decimal"/>
      <w:lvlText w:val="III.%1."/>
      <w:lvlJc w:val="left"/>
      <w:pPr>
        <w:ind w:left="720" w:hanging="360"/>
      </w:pPr>
      <w:rPr>
        <w:rFonts w:hint="default"/>
      </w:rPr>
    </w:lvl>
    <w:lvl w:ilvl="1" w:tplc="6F9A07E0">
      <w:start w:val="1"/>
      <w:numFmt w:val="lowerLetter"/>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AB52D1"/>
    <w:multiLevelType w:val="hybridMultilevel"/>
    <w:tmpl w:val="BCC8D0F0"/>
    <w:lvl w:ilvl="0" w:tplc="A34E7B94">
      <w:start w:val="1"/>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ED2B65"/>
    <w:multiLevelType w:val="hybridMultilevel"/>
    <w:tmpl w:val="0896ADE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51A5E2D"/>
    <w:multiLevelType w:val="hybridMultilevel"/>
    <w:tmpl w:val="326A7D1C"/>
    <w:lvl w:ilvl="0" w:tplc="FDDED56A">
      <w:start w:val="1"/>
      <w:numFmt w:val="decimal"/>
      <w:lvlText w:val="%1."/>
      <w:lvlJc w:val="left"/>
      <w:pPr>
        <w:ind w:left="720" w:hanging="360"/>
      </w:pPr>
      <w:rPr>
        <w:rFonts w:ascii="Open Sans" w:eastAsia="Times New Roman" w:hAnsi="Open Sans" w:cs="Times New Roman"/>
      </w:rPr>
    </w:lvl>
    <w:lvl w:ilvl="1" w:tplc="6F9A07E0">
      <w:start w:val="1"/>
      <w:numFmt w:val="lowerLetter"/>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52197F"/>
    <w:multiLevelType w:val="multilevel"/>
    <w:tmpl w:val="F2D6C24C"/>
    <w:lvl w:ilvl="0">
      <w:start w:val="6"/>
      <w:numFmt w:val="upperRoman"/>
      <w:lvlText w:val="%1."/>
      <w:lvlJc w:val="right"/>
      <w:pPr>
        <w:ind w:left="360" w:hanging="360"/>
      </w:pPr>
      <w:rPr>
        <w:rFonts w:hint="default"/>
      </w:rPr>
    </w:lvl>
    <w:lvl w:ilvl="1">
      <w:start w:val="6"/>
      <w:numFmt w:val="decimal"/>
      <w:lvlText w:val="VI.%2."/>
      <w:lvlJc w:val="left"/>
      <w:pPr>
        <w:ind w:left="710" w:firstLine="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57307B"/>
    <w:multiLevelType w:val="hybridMultilevel"/>
    <w:tmpl w:val="B562FD6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E5663D"/>
    <w:multiLevelType w:val="hybridMultilevel"/>
    <w:tmpl w:val="325C45FA"/>
    <w:lvl w:ilvl="0" w:tplc="FDF09A72">
      <w:start w:val="1"/>
      <w:numFmt w:val="decimal"/>
      <w:lvlText w:val="%1."/>
      <w:lvlJc w:val="left"/>
      <w:pPr>
        <w:ind w:left="720" w:hanging="360"/>
      </w:pPr>
      <w:rPr>
        <w:rFonts w:ascii="Open Sans" w:eastAsia="Times New Roman" w:hAnsi="Open San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6C3026"/>
    <w:multiLevelType w:val="hybridMultilevel"/>
    <w:tmpl w:val="5D96E1B6"/>
    <w:lvl w:ilvl="0" w:tplc="1BC4AF44">
      <w:start w:val="2"/>
      <w:numFmt w:val="decimal"/>
      <w:lvlText w:val="%1."/>
      <w:lvlJc w:val="left"/>
      <w:pPr>
        <w:ind w:left="1211" w:hanging="360"/>
      </w:pPr>
      <w:rPr>
        <w:rFonts w:hint="default"/>
      </w:rPr>
    </w:lvl>
    <w:lvl w:ilvl="1" w:tplc="898AD69A">
      <w:start w:val="1"/>
      <w:numFmt w:val="decimal"/>
      <w:lvlText w:val="%2."/>
      <w:lvlJc w:val="left"/>
      <w:pPr>
        <w:ind w:left="1931" w:hanging="360"/>
      </w:pPr>
      <w:rPr>
        <w:rFonts w:ascii="Open Sans" w:eastAsia="Times New Roman" w:hAnsi="Open Sans" w:cs="Open Sans"/>
      </w:r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5" w15:restartNumberingAfterBreak="0">
    <w:nsid w:val="48F80F08"/>
    <w:multiLevelType w:val="hybridMultilevel"/>
    <w:tmpl w:val="F9889E70"/>
    <w:lvl w:ilvl="0" w:tplc="99F2435E">
      <w:start w:val="1"/>
      <w:numFmt w:val="decimal"/>
      <w:lvlText w:val="II.%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9F4760"/>
    <w:multiLevelType w:val="multilevel"/>
    <w:tmpl w:val="A48ACDA4"/>
    <w:lvl w:ilvl="0">
      <w:start w:val="6"/>
      <w:numFmt w:val="upperRoman"/>
      <w:lvlText w:val="%1."/>
      <w:lvlJc w:val="right"/>
      <w:pPr>
        <w:ind w:left="360" w:hanging="360"/>
      </w:pPr>
      <w:rPr>
        <w:rFonts w:hint="default"/>
      </w:rPr>
    </w:lvl>
    <w:lvl w:ilvl="1">
      <w:start w:val="1"/>
      <w:numFmt w:val="decimal"/>
      <w:lvlText w:val="%2."/>
      <w:lvlJc w:val="left"/>
      <w:pPr>
        <w:ind w:left="710" w:firstLine="0"/>
      </w:pPr>
      <w:rPr>
        <w:rFonts w:ascii="Open Sans" w:eastAsia="Times New Roman" w:hAnsi="Open Sans" w:cs="Times New Roman"/>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DD53378"/>
    <w:multiLevelType w:val="hybridMultilevel"/>
    <w:tmpl w:val="FC66730E"/>
    <w:lvl w:ilvl="0" w:tplc="6A2ECCDE">
      <w:start w:val="1"/>
      <w:numFmt w:val="decimal"/>
      <w:lvlText w:val="%1."/>
      <w:lvlJc w:val="left"/>
      <w:pPr>
        <w:ind w:left="720" w:hanging="360"/>
      </w:pPr>
      <w:rPr>
        <w:rFonts w:ascii="Open Sans" w:eastAsia="Times New Roman" w:hAnsi="Open San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45576F9"/>
    <w:multiLevelType w:val="hybridMultilevel"/>
    <w:tmpl w:val="0896ADE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8D47956"/>
    <w:multiLevelType w:val="hybridMultilevel"/>
    <w:tmpl w:val="101423F4"/>
    <w:lvl w:ilvl="0" w:tplc="9B907332">
      <w:start w:val="1"/>
      <w:numFmt w:val="decimal"/>
      <w:lvlText w:val="%1."/>
      <w:lvlJc w:val="left"/>
      <w:pPr>
        <w:ind w:left="720" w:hanging="360"/>
      </w:pPr>
      <w:rPr>
        <w:rFonts w:ascii="Open Sans" w:eastAsia="Times New Roman" w:hAnsi="Open San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FF7AC0"/>
    <w:multiLevelType w:val="hybridMultilevel"/>
    <w:tmpl w:val="EB5A7A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92778FE"/>
    <w:multiLevelType w:val="hybridMultilevel"/>
    <w:tmpl w:val="EF3C5C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D33F2D"/>
    <w:multiLevelType w:val="hybridMultilevel"/>
    <w:tmpl w:val="AB3A5128"/>
    <w:lvl w:ilvl="0" w:tplc="DF1A966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077CB4"/>
    <w:multiLevelType w:val="hybridMultilevel"/>
    <w:tmpl w:val="0896ADE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62AD5224"/>
    <w:multiLevelType w:val="hybridMultilevel"/>
    <w:tmpl w:val="CC16EDF4"/>
    <w:lvl w:ilvl="0" w:tplc="787222A0">
      <w:start w:val="1"/>
      <w:numFmt w:val="decimal"/>
      <w:lvlText w:val="V.%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2C44DA0"/>
    <w:multiLevelType w:val="hybridMultilevel"/>
    <w:tmpl w:val="515A612E"/>
    <w:lvl w:ilvl="0" w:tplc="C6345E9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935004"/>
    <w:multiLevelType w:val="hybridMultilevel"/>
    <w:tmpl w:val="D27A327C"/>
    <w:lvl w:ilvl="0" w:tplc="41189244">
      <w:start w:val="5"/>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372367"/>
    <w:multiLevelType w:val="multilevel"/>
    <w:tmpl w:val="5CCC7BE0"/>
    <w:lvl w:ilvl="0">
      <w:start w:val="7"/>
      <w:numFmt w:val="upperRoman"/>
      <w:lvlText w:val="%1."/>
      <w:lvlJc w:val="right"/>
      <w:pPr>
        <w:ind w:left="360" w:hanging="360"/>
      </w:pPr>
      <w:rPr>
        <w:rFonts w:hint="default"/>
      </w:rPr>
    </w:lvl>
    <w:lvl w:ilvl="1">
      <w:start w:val="1"/>
      <w:numFmt w:val="decimal"/>
      <w:lvlText w:val="%2."/>
      <w:lvlJc w:val="left"/>
      <w:pPr>
        <w:ind w:left="710" w:firstLine="0"/>
      </w:pPr>
      <w:rPr>
        <w:rFonts w:ascii="Open Sans" w:eastAsia="Times New Roman" w:hAnsi="Open Sans" w:cs="Open San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2E7662B"/>
    <w:multiLevelType w:val="hybridMultilevel"/>
    <w:tmpl w:val="A0A8F0E2"/>
    <w:lvl w:ilvl="0" w:tplc="0405000F">
      <w:start w:val="1"/>
      <w:numFmt w:val="decimal"/>
      <w:lvlText w:val="%1."/>
      <w:lvlJc w:val="left"/>
      <w:pPr>
        <w:ind w:left="720" w:hanging="360"/>
      </w:pPr>
    </w:lvl>
    <w:lvl w:ilvl="1" w:tplc="BB4E375A">
      <w:start w:val="1"/>
      <w:numFmt w:val="lowerLetter"/>
      <w:lvlText w:val="%2."/>
      <w:lvlJc w:val="left"/>
      <w:pPr>
        <w:ind w:left="786" w:hanging="360"/>
      </w:pPr>
      <w:rPr>
        <w:b/>
      </w:rPr>
    </w:lvl>
    <w:lvl w:ilvl="2" w:tplc="0405001B">
      <w:start w:val="1"/>
      <w:numFmt w:val="lowerRoman"/>
      <w:lvlText w:val="%3."/>
      <w:lvlJc w:val="right"/>
      <w:pPr>
        <w:ind w:left="2160" w:hanging="180"/>
      </w:pPr>
    </w:lvl>
    <w:lvl w:ilvl="3" w:tplc="5CB4DCD2">
      <w:numFmt w:val="bullet"/>
      <w:lvlText w:val="-"/>
      <w:lvlJc w:val="left"/>
      <w:pPr>
        <w:ind w:left="2880" w:hanging="360"/>
      </w:pPr>
      <w:rPr>
        <w:rFonts w:ascii="Calibri" w:eastAsiaTheme="minorHAnsi" w:hAnsi="Calibri" w:cs="Calibri"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78AE754E"/>
    <w:multiLevelType w:val="hybridMultilevel"/>
    <w:tmpl w:val="F9889E70"/>
    <w:lvl w:ilvl="0" w:tplc="99F2435E">
      <w:start w:val="1"/>
      <w:numFmt w:val="decimal"/>
      <w:lvlText w:val="II.%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334D7F"/>
    <w:multiLevelType w:val="hybridMultilevel"/>
    <w:tmpl w:val="6256D230"/>
    <w:lvl w:ilvl="0" w:tplc="93D86578">
      <w:start w:val="1"/>
      <w:numFmt w:val="upperRoman"/>
      <w:lvlText w:val="Příloha č. %1:"/>
      <w:lvlJc w:val="left"/>
      <w:pPr>
        <w:ind w:left="2421" w:hanging="360"/>
      </w:pPr>
      <w:rPr>
        <w:rFonts w:hint="default"/>
      </w:rPr>
    </w:lvl>
    <w:lvl w:ilvl="1" w:tplc="314ED0E8">
      <w:start w:val="1"/>
      <w:numFmt w:val="lowerLetter"/>
      <w:lvlText w:val="%2)"/>
      <w:lvlJc w:val="left"/>
      <w:pPr>
        <w:ind w:left="1440" w:hanging="360"/>
      </w:pPr>
      <w:rPr>
        <w:rFonts w:hint="default"/>
      </w:rPr>
    </w:lvl>
    <w:lvl w:ilvl="2" w:tplc="93D86578">
      <w:start w:val="1"/>
      <w:numFmt w:val="upperRoman"/>
      <w:lvlText w:val="Příloha č. %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5F023B"/>
    <w:multiLevelType w:val="hybridMultilevel"/>
    <w:tmpl w:val="E1504FA4"/>
    <w:lvl w:ilvl="0" w:tplc="5CB4DCD2">
      <w:numFmt w:val="bullet"/>
      <w:lvlText w:val="-"/>
      <w:lvlJc w:val="left"/>
      <w:pPr>
        <w:ind w:left="1060" w:hanging="360"/>
      </w:pPr>
      <w:rPr>
        <w:rFonts w:ascii="Calibri" w:eastAsiaTheme="minorHAnsi" w:hAnsi="Calibri" w:cs="Calibri" w:hint="default"/>
      </w:rPr>
    </w:lvl>
    <w:lvl w:ilvl="1" w:tplc="04050003">
      <w:start w:val="1"/>
      <w:numFmt w:val="bullet"/>
      <w:lvlText w:val="o"/>
      <w:lvlJc w:val="left"/>
      <w:pPr>
        <w:ind w:left="1780" w:hanging="360"/>
      </w:pPr>
      <w:rPr>
        <w:rFonts w:ascii="Courier New" w:hAnsi="Courier New" w:cs="Courier New" w:hint="default"/>
      </w:rPr>
    </w:lvl>
    <w:lvl w:ilvl="2" w:tplc="04050005">
      <w:start w:val="1"/>
      <w:numFmt w:val="bullet"/>
      <w:lvlText w:val=""/>
      <w:lvlJc w:val="left"/>
      <w:pPr>
        <w:ind w:left="2500" w:hanging="360"/>
      </w:pPr>
      <w:rPr>
        <w:rFonts w:ascii="Wingdings" w:hAnsi="Wingdings" w:hint="default"/>
      </w:rPr>
    </w:lvl>
    <w:lvl w:ilvl="3" w:tplc="04050001">
      <w:start w:val="1"/>
      <w:numFmt w:val="bullet"/>
      <w:lvlText w:val=""/>
      <w:lvlJc w:val="left"/>
      <w:pPr>
        <w:ind w:left="3220" w:hanging="360"/>
      </w:pPr>
      <w:rPr>
        <w:rFonts w:ascii="Symbol" w:hAnsi="Symbol" w:hint="default"/>
      </w:rPr>
    </w:lvl>
    <w:lvl w:ilvl="4" w:tplc="04050003">
      <w:start w:val="1"/>
      <w:numFmt w:val="bullet"/>
      <w:lvlText w:val="o"/>
      <w:lvlJc w:val="left"/>
      <w:pPr>
        <w:ind w:left="3940" w:hanging="360"/>
      </w:pPr>
      <w:rPr>
        <w:rFonts w:ascii="Courier New" w:hAnsi="Courier New" w:cs="Courier New" w:hint="default"/>
      </w:rPr>
    </w:lvl>
    <w:lvl w:ilvl="5" w:tplc="04050005">
      <w:start w:val="1"/>
      <w:numFmt w:val="bullet"/>
      <w:lvlText w:val=""/>
      <w:lvlJc w:val="left"/>
      <w:pPr>
        <w:ind w:left="4660" w:hanging="360"/>
      </w:pPr>
      <w:rPr>
        <w:rFonts w:ascii="Wingdings" w:hAnsi="Wingdings" w:hint="default"/>
      </w:rPr>
    </w:lvl>
    <w:lvl w:ilvl="6" w:tplc="04050001">
      <w:start w:val="1"/>
      <w:numFmt w:val="bullet"/>
      <w:lvlText w:val=""/>
      <w:lvlJc w:val="left"/>
      <w:pPr>
        <w:ind w:left="5380" w:hanging="360"/>
      </w:pPr>
      <w:rPr>
        <w:rFonts w:ascii="Symbol" w:hAnsi="Symbol" w:hint="default"/>
      </w:rPr>
    </w:lvl>
    <w:lvl w:ilvl="7" w:tplc="04050003">
      <w:start w:val="1"/>
      <w:numFmt w:val="bullet"/>
      <w:lvlText w:val="o"/>
      <w:lvlJc w:val="left"/>
      <w:pPr>
        <w:ind w:left="6100" w:hanging="360"/>
      </w:pPr>
      <w:rPr>
        <w:rFonts w:ascii="Courier New" w:hAnsi="Courier New" w:cs="Courier New" w:hint="default"/>
      </w:rPr>
    </w:lvl>
    <w:lvl w:ilvl="8" w:tplc="04050005">
      <w:start w:val="1"/>
      <w:numFmt w:val="bullet"/>
      <w:lvlText w:val=""/>
      <w:lvlJc w:val="left"/>
      <w:pPr>
        <w:ind w:left="6820" w:hanging="360"/>
      </w:pPr>
      <w:rPr>
        <w:rFonts w:ascii="Wingdings" w:hAnsi="Wingdings" w:hint="default"/>
      </w:rPr>
    </w:lvl>
  </w:abstractNum>
  <w:abstractNum w:abstractNumId="42" w15:restartNumberingAfterBreak="0">
    <w:nsid w:val="7F286A3B"/>
    <w:multiLevelType w:val="hybridMultilevel"/>
    <w:tmpl w:val="C4462356"/>
    <w:lvl w:ilvl="0" w:tplc="3DDA513C">
      <w:start w:val="1"/>
      <w:numFmt w:val="decimal"/>
      <w:lvlText w:val="IV.%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5"/>
  </w:num>
  <w:num w:numId="3">
    <w:abstractNumId w:val="29"/>
  </w:num>
  <w:num w:numId="4">
    <w:abstractNumId w:val="39"/>
  </w:num>
  <w:num w:numId="5">
    <w:abstractNumId w:val="17"/>
  </w:num>
  <w:num w:numId="6">
    <w:abstractNumId w:val="12"/>
  </w:num>
  <w:num w:numId="7">
    <w:abstractNumId w:val="30"/>
  </w:num>
  <w:num w:numId="8">
    <w:abstractNumId w:val="31"/>
  </w:num>
  <w:num w:numId="9">
    <w:abstractNumId w:val="42"/>
  </w:num>
  <w:num w:numId="10">
    <w:abstractNumId w:val="34"/>
  </w:num>
  <w:num w:numId="11">
    <w:abstractNumId w:val="28"/>
  </w:num>
  <w:num w:numId="12">
    <w:abstractNumId w:val="19"/>
  </w:num>
  <w:num w:numId="13">
    <w:abstractNumId w:val="33"/>
  </w:num>
  <w:num w:numId="14">
    <w:abstractNumId w:val="40"/>
  </w:num>
  <w:num w:numId="15">
    <w:abstractNumId w:val="22"/>
  </w:num>
  <w:num w:numId="16">
    <w:abstractNumId w:val="21"/>
  </w:num>
  <w:num w:numId="17">
    <w:abstractNumId w:val="8"/>
  </w:num>
  <w:num w:numId="18">
    <w:abstractNumId w:val="37"/>
  </w:num>
  <w:num w:numId="19">
    <w:abstractNumId w:val="13"/>
  </w:num>
  <w:num w:numId="20">
    <w:abstractNumId w:val="18"/>
  </w:num>
  <w:num w:numId="21">
    <w:abstractNumId w:val="9"/>
  </w:num>
  <w:num w:numId="22">
    <w:abstractNumId w:val="4"/>
  </w:num>
  <w:num w:numId="23">
    <w:abstractNumId w:val="26"/>
  </w:num>
  <w:num w:numId="24">
    <w:abstractNumId w:val="36"/>
  </w:num>
  <w:num w:numId="25">
    <w:abstractNumId w:val="3"/>
  </w:num>
  <w:num w:numId="26">
    <w:abstractNumId w:val="15"/>
  </w:num>
  <w:num w:numId="27">
    <w:abstractNumId w:val="16"/>
  </w:num>
  <w:num w:numId="28">
    <w:abstractNumId w:val="25"/>
  </w:num>
  <w:num w:numId="29">
    <w:abstractNumId w:val="20"/>
  </w:num>
  <w:num w:numId="30">
    <w:abstractNumId w:val="27"/>
  </w:num>
  <w:num w:numId="31">
    <w:abstractNumId w:val="23"/>
  </w:num>
  <w:num w:numId="32">
    <w:abstractNumId w:val="35"/>
  </w:num>
  <w:num w:numId="33">
    <w:abstractNumId w:val="0"/>
  </w:num>
  <w:num w:numId="34">
    <w:abstractNumId w:val="14"/>
  </w:num>
  <w:num w:numId="35">
    <w:abstractNumId w:val="32"/>
  </w:num>
  <w:num w:numId="36">
    <w:abstractNumId w:val="7"/>
  </w:num>
  <w:num w:numId="37">
    <w:abstractNumId w:val="3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6"/>
  </w:num>
  <w:num w:numId="41">
    <w:abstractNumId w:val="10"/>
  </w:num>
  <w:num w:numId="42">
    <w:abstractNumId w:val="38"/>
  </w:num>
  <w:num w:numId="43">
    <w:abstractNumId w:val="1"/>
  </w:num>
  <w:num w:numId="44">
    <w:abstractNumId w:val="11"/>
  </w:num>
  <w:num w:numId="45">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o:colormru v:ext="edit" colors="#c2b07c,#ceaf76,#c9ab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174"/>
    <w:rsid w:val="00000E52"/>
    <w:rsid w:val="000122EB"/>
    <w:rsid w:val="00017967"/>
    <w:rsid w:val="000212FF"/>
    <w:rsid w:val="000338BD"/>
    <w:rsid w:val="00034BCA"/>
    <w:rsid w:val="00041CE7"/>
    <w:rsid w:val="000475F7"/>
    <w:rsid w:val="00052656"/>
    <w:rsid w:val="00053062"/>
    <w:rsid w:val="000541B5"/>
    <w:rsid w:val="00055264"/>
    <w:rsid w:val="00055869"/>
    <w:rsid w:val="00055D80"/>
    <w:rsid w:val="000577FF"/>
    <w:rsid w:val="000579F0"/>
    <w:rsid w:val="000620D5"/>
    <w:rsid w:val="00066E7A"/>
    <w:rsid w:val="00073139"/>
    <w:rsid w:val="00080893"/>
    <w:rsid w:val="0008712E"/>
    <w:rsid w:val="000872E4"/>
    <w:rsid w:val="00094515"/>
    <w:rsid w:val="00094792"/>
    <w:rsid w:val="000B6CBB"/>
    <w:rsid w:val="000C053E"/>
    <w:rsid w:val="000C73DE"/>
    <w:rsid w:val="000D3268"/>
    <w:rsid w:val="000D7FF6"/>
    <w:rsid w:val="000E76CC"/>
    <w:rsid w:val="000F0205"/>
    <w:rsid w:val="000F0A0D"/>
    <w:rsid w:val="000F2B5E"/>
    <w:rsid w:val="000F4020"/>
    <w:rsid w:val="00106500"/>
    <w:rsid w:val="00116499"/>
    <w:rsid w:val="001261F9"/>
    <w:rsid w:val="0013295A"/>
    <w:rsid w:val="00135DB6"/>
    <w:rsid w:val="00146FAC"/>
    <w:rsid w:val="001560B1"/>
    <w:rsid w:val="001678F1"/>
    <w:rsid w:val="001710AB"/>
    <w:rsid w:val="00172982"/>
    <w:rsid w:val="00176B84"/>
    <w:rsid w:val="00180C67"/>
    <w:rsid w:val="00182B38"/>
    <w:rsid w:val="00190F6D"/>
    <w:rsid w:val="0019128E"/>
    <w:rsid w:val="00191A81"/>
    <w:rsid w:val="001A0E85"/>
    <w:rsid w:val="001A5507"/>
    <w:rsid w:val="001A61F2"/>
    <w:rsid w:val="001B034D"/>
    <w:rsid w:val="001B0EE2"/>
    <w:rsid w:val="001B43C3"/>
    <w:rsid w:val="001B6CB2"/>
    <w:rsid w:val="001C7EBE"/>
    <w:rsid w:val="001D0F79"/>
    <w:rsid w:val="001D14AB"/>
    <w:rsid w:val="001D2C64"/>
    <w:rsid w:val="001D3C09"/>
    <w:rsid w:val="001D5D6F"/>
    <w:rsid w:val="001E30E1"/>
    <w:rsid w:val="001E3B44"/>
    <w:rsid w:val="001E5791"/>
    <w:rsid w:val="001F1CC8"/>
    <w:rsid w:val="001F6DDD"/>
    <w:rsid w:val="002023EC"/>
    <w:rsid w:val="00205D4E"/>
    <w:rsid w:val="00206406"/>
    <w:rsid w:val="00224536"/>
    <w:rsid w:val="00227CE9"/>
    <w:rsid w:val="00231755"/>
    <w:rsid w:val="00233065"/>
    <w:rsid w:val="00241F4A"/>
    <w:rsid w:val="002443EE"/>
    <w:rsid w:val="00245302"/>
    <w:rsid w:val="00245ABE"/>
    <w:rsid w:val="00250877"/>
    <w:rsid w:val="00255A66"/>
    <w:rsid w:val="00260511"/>
    <w:rsid w:val="0026220D"/>
    <w:rsid w:val="00263889"/>
    <w:rsid w:val="00265EC8"/>
    <w:rsid w:val="00273632"/>
    <w:rsid w:val="00273D4B"/>
    <w:rsid w:val="00277A27"/>
    <w:rsid w:val="00280952"/>
    <w:rsid w:val="00284F63"/>
    <w:rsid w:val="00287F8E"/>
    <w:rsid w:val="002931C9"/>
    <w:rsid w:val="00296DD8"/>
    <w:rsid w:val="002A04C0"/>
    <w:rsid w:val="002A41AB"/>
    <w:rsid w:val="002A446C"/>
    <w:rsid w:val="002A4E19"/>
    <w:rsid w:val="002C10D5"/>
    <w:rsid w:val="002C416A"/>
    <w:rsid w:val="002C5719"/>
    <w:rsid w:val="002C5898"/>
    <w:rsid w:val="002C5D12"/>
    <w:rsid w:val="002D28F3"/>
    <w:rsid w:val="002D446B"/>
    <w:rsid w:val="002D4EBC"/>
    <w:rsid w:val="002D7265"/>
    <w:rsid w:val="002D7516"/>
    <w:rsid w:val="002E0EAA"/>
    <w:rsid w:val="002E4FB2"/>
    <w:rsid w:val="002F41FF"/>
    <w:rsid w:val="002F42C2"/>
    <w:rsid w:val="003035C8"/>
    <w:rsid w:val="003058D2"/>
    <w:rsid w:val="00306219"/>
    <w:rsid w:val="00306B70"/>
    <w:rsid w:val="003075D8"/>
    <w:rsid w:val="00316D87"/>
    <w:rsid w:val="003233E7"/>
    <w:rsid w:val="00324959"/>
    <w:rsid w:val="00330589"/>
    <w:rsid w:val="003318D0"/>
    <w:rsid w:val="003363A5"/>
    <w:rsid w:val="0034633E"/>
    <w:rsid w:val="00347606"/>
    <w:rsid w:val="00351366"/>
    <w:rsid w:val="00352A06"/>
    <w:rsid w:val="00354617"/>
    <w:rsid w:val="00355ADA"/>
    <w:rsid w:val="00356E44"/>
    <w:rsid w:val="00366257"/>
    <w:rsid w:val="00366D5C"/>
    <w:rsid w:val="00376A13"/>
    <w:rsid w:val="00380561"/>
    <w:rsid w:val="00382104"/>
    <w:rsid w:val="00384BEC"/>
    <w:rsid w:val="003852F1"/>
    <w:rsid w:val="00394C93"/>
    <w:rsid w:val="003A3D9C"/>
    <w:rsid w:val="003A3DDF"/>
    <w:rsid w:val="003A44FE"/>
    <w:rsid w:val="003A61E0"/>
    <w:rsid w:val="003B5C1F"/>
    <w:rsid w:val="003C4F7A"/>
    <w:rsid w:val="003C5190"/>
    <w:rsid w:val="003C7755"/>
    <w:rsid w:val="003D1E8A"/>
    <w:rsid w:val="003D4C31"/>
    <w:rsid w:val="003E2C58"/>
    <w:rsid w:val="003F184B"/>
    <w:rsid w:val="003F62F3"/>
    <w:rsid w:val="004008C8"/>
    <w:rsid w:val="00412363"/>
    <w:rsid w:val="004156F2"/>
    <w:rsid w:val="00425A92"/>
    <w:rsid w:val="0043177C"/>
    <w:rsid w:val="00432006"/>
    <w:rsid w:val="00433B1A"/>
    <w:rsid w:val="00437B95"/>
    <w:rsid w:val="004512F1"/>
    <w:rsid w:val="004552EA"/>
    <w:rsid w:val="00455DF3"/>
    <w:rsid w:val="0046117B"/>
    <w:rsid w:val="00462E7E"/>
    <w:rsid w:val="00463C1A"/>
    <w:rsid w:val="004652EA"/>
    <w:rsid w:val="00467345"/>
    <w:rsid w:val="004742F0"/>
    <w:rsid w:val="00476D52"/>
    <w:rsid w:val="00480CAB"/>
    <w:rsid w:val="00490289"/>
    <w:rsid w:val="00491ADA"/>
    <w:rsid w:val="004A2612"/>
    <w:rsid w:val="004A6CEF"/>
    <w:rsid w:val="004B6C44"/>
    <w:rsid w:val="004C1ECE"/>
    <w:rsid w:val="004C3F30"/>
    <w:rsid w:val="004C5256"/>
    <w:rsid w:val="004D0F84"/>
    <w:rsid w:val="004E1D59"/>
    <w:rsid w:val="004F0D7C"/>
    <w:rsid w:val="004F198E"/>
    <w:rsid w:val="004F23D1"/>
    <w:rsid w:val="004F538D"/>
    <w:rsid w:val="004F5A6F"/>
    <w:rsid w:val="005005A9"/>
    <w:rsid w:val="00503DDB"/>
    <w:rsid w:val="005123D9"/>
    <w:rsid w:val="00516479"/>
    <w:rsid w:val="0052441D"/>
    <w:rsid w:val="00527384"/>
    <w:rsid w:val="00534204"/>
    <w:rsid w:val="00536D05"/>
    <w:rsid w:val="00537BC7"/>
    <w:rsid w:val="0054376C"/>
    <w:rsid w:val="00543D25"/>
    <w:rsid w:val="005443B2"/>
    <w:rsid w:val="00546A30"/>
    <w:rsid w:val="00555B71"/>
    <w:rsid w:val="005602E1"/>
    <w:rsid w:val="00564507"/>
    <w:rsid w:val="005805F4"/>
    <w:rsid w:val="00585B05"/>
    <w:rsid w:val="005923BA"/>
    <w:rsid w:val="005943DB"/>
    <w:rsid w:val="00597AB3"/>
    <w:rsid w:val="005A1C87"/>
    <w:rsid w:val="005A509F"/>
    <w:rsid w:val="005A5B9F"/>
    <w:rsid w:val="005B25F8"/>
    <w:rsid w:val="005B682F"/>
    <w:rsid w:val="005C1960"/>
    <w:rsid w:val="005C31C8"/>
    <w:rsid w:val="005C344B"/>
    <w:rsid w:val="005D0CE4"/>
    <w:rsid w:val="005D3C6F"/>
    <w:rsid w:val="005E0CEA"/>
    <w:rsid w:val="005E4D60"/>
    <w:rsid w:val="005E6659"/>
    <w:rsid w:val="005E6A25"/>
    <w:rsid w:val="005F306E"/>
    <w:rsid w:val="005F3B09"/>
    <w:rsid w:val="005F7E90"/>
    <w:rsid w:val="006004D2"/>
    <w:rsid w:val="00600EB5"/>
    <w:rsid w:val="00610BE5"/>
    <w:rsid w:val="00611194"/>
    <w:rsid w:val="00615A67"/>
    <w:rsid w:val="00616EF5"/>
    <w:rsid w:val="00621D66"/>
    <w:rsid w:val="0063037D"/>
    <w:rsid w:val="00631431"/>
    <w:rsid w:val="00635393"/>
    <w:rsid w:val="00642DF0"/>
    <w:rsid w:val="0064658B"/>
    <w:rsid w:val="0065087A"/>
    <w:rsid w:val="00650A5E"/>
    <w:rsid w:val="00652B41"/>
    <w:rsid w:val="0065314D"/>
    <w:rsid w:val="00653E26"/>
    <w:rsid w:val="00654DBD"/>
    <w:rsid w:val="00661F88"/>
    <w:rsid w:val="00663021"/>
    <w:rsid w:val="006641DC"/>
    <w:rsid w:val="00670217"/>
    <w:rsid w:val="00672BEC"/>
    <w:rsid w:val="0067509D"/>
    <w:rsid w:val="006760D8"/>
    <w:rsid w:val="0067790B"/>
    <w:rsid w:val="00682465"/>
    <w:rsid w:val="00687243"/>
    <w:rsid w:val="00690F6F"/>
    <w:rsid w:val="006A20E5"/>
    <w:rsid w:val="006A5BD2"/>
    <w:rsid w:val="006C2412"/>
    <w:rsid w:val="006D7F40"/>
    <w:rsid w:val="006E61BA"/>
    <w:rsid w:val="006F57FF"/>
    <w:rsid w:val="006F60AB"/>
    <w:rsid w:val="006F68D8"/>
    <w:rsid w:val="006F7DA8"/>
    <w:rsid w:val="00704ED3"/>
    <w:rsid w:val="00706496"/>
    <w:rsid w:val="0071408F"/>
    <w:rsid w:val="0071649C"/>
    <w:rsid w:val="00722495"/>
    <w:rsid w:val="007233C7"/>
    <w:rsid w:val="00727137"/>
    <w:rsid w:val="007278C4"/>
    <w:rsid w:val="00727E16"/>
    <w:rsid w:val="00745297"/>
    <w:rsid w:val="00751068"/>
    <w:rsid w:val="00751E29"/>
    <w:rsid w:val="0075221D"/>
    <w:rsid w:val="007525EE"/>
    <w:rsid w:val="00752E1B"/>
    <w:rsid w:val="007572C4"/>
    <w:rsid w:val="00764AE5"/>
    <w:rsid w:val="00767DD4"/>
    <w:rsid w:val="007755CF"/>
    <w:rsid w:val="00776AD7"/>
    <w:rsid w:val="007A0E9F"/>
    <w:rsid w:val="007A51D6"/>
    <w:rsid w:val="007A5A40"/>
    <w:rsid w:val="007B2E5D"/>
    <w:rsid w:val="007B42D4"/>
    <w:rsid w:val="007B553F"/>
    <w:rsid w:val="007B63F9"/>
    <w:rsid w:val="007B6533"/>
    <w:rsid w:val="007B66E5"/>
    <w:rsid w:val="007B7A21"/>
    <w:rsid w:val="007C6BE4"/>
    <w:rsid w:val="007D75D4"/>
    <w:rsid w:val="007E5B5A"/>
    <w:rsid w:val="007F18EA"/>
    <w:rsid w:val="007F2B92"/>
    <w:rsid w:val="007F3930"/>
    <w:rsid w:val="007F3C38"/>
    <w:rsid w:val="007F5107"/>
    <w:rsid w:val="007F560F"/>
    <w:rsid w:val="007F7E04"/>
    <w:rsid w:val="00801825"/>
    <w:rsid w:val="00802B52"/>
    <w:rsid w:val="00807332"/>
    <w:rsid w:val="00807AB0"/>
    <w:rsid w:val="0081005E"/>
    <w:rsid w:val="00815D12"/>
    <w:rsid w:val="0082621D"/>
    <w:rsid w:val="00831CD5"/>
    <w:rsid w:val="008360AD"/>
    <w:rsid w:val="008418BC"/>
    <w:rsid w:val="00844B70"/>
    <w:rsid w:val="00844B94"/>
    <w:rsid w:val="00852AAF"/>
    <w:rsid w:val="008533E7"/>
    <w:rsid w:val="008569FA"/>
    <w:rsid w:val="00860B79"/>
    <w:rsid w:val="008632A4"/>
    <w:rsid w:val="00876F94"/>
    <w:rsid w:val="00881E90"/>
    <w:rsid w:val="00890C12"/>
    <w:rsid w:val="00892AF1"/>
    <w:rsid w:val="00894A73"/>
    <w:rsid w:val="008A4B13"/>
    <w:rsid w:val="008A4D4F"/>
    <w:rsid w:val="008A5B6E"/>
    <w:rsid w:val="008A5D8A"/>
    <w:rsid w:val="008B0053"/>
    <w:rsid w:val="008B0CC7"/>
    <w:rsid w:val="008B10E7"/>
    <w:rsid w:val="008D7DFF"/>
    <w:rsid w:val="008E50E4"/>
    <w:rsid w:val="008E5B9A"/>
    <w:rsid w:val="008F088B"/>
    <w:rsid w:val="008F0F9A"/>
    <w:rsid w:val="008F246F"/>
    <w:rsid w:val="008F4F28"/>
    <w:rsid w:val="0090003B"/>
    <w:rsid w:val="0090140E"/>
    <w:rsid w:val="00903E09"/>
    <w:rsid w:val="009141E1"/>
    <w:rsid w:val="00916468"/>
    <w:rsid w:val="00917E24"/>
    <w:rsid w:val="0092060D"/>
    <w:rsid w:val="00923F3F"/>
    <w:rsid w:val="00926128"/>
    <w:rsid w:val="0092750D"/>
    <w:rsid w:val="00933992"/>
    <w:rsid w:val="00944918"/>
    <w:rsid w:val="00962084"/>
    <w:rsid w:val="009802AA"/>
    <w:rsid w:val="00981DAD"/>
    <w:rsid w:val="009826DA"/>
    <w:rsid w:val="00984377"/>
    <w:rsid w:val="0099680C"/>
    <w:rsid w:val="009A2BA5"/>
    <w:rsid w:val="009A4890"/>
    <w:rsid w:val="009A50CB"/>
    <w:rsid w:val="009A5921"/>
    <w:rsid w:val="009C08E8"/>
    <w:rsid w:val="009C4301"/>
    <w:rsid w:val="009C58EA"/>
    <w:rsid w:val="009C6055"/>
    <w:rsid w:val="009D0F42"/>
    <w:rsid w:val="009D139F"/>
    <w:rsid w:val="009D2015"/>
    <w:rsid w:val="009D2322"/>
    <w:rsid w:val="009D68FB"/>
    <w:rsid w:val="009E3229"/>
    <w:rsid w:val="009E562E"/>
    <w:rsid w:val="009E57A3"/>
    <w:rsid w:val="009F4472"/>
    <w:rsid w:val="009F7844"/>
    <w:rsid w:val="00A05C5E"/>
    <w:rsid w:val="00A12189"/>
    <w:rsid w:val="00A26A6F"/>
    <w:rsid w:val="00A30706"/>
    <w:rsid w:val="00A3118E"/>
    <w:rsid w:val="00A333DE"/>
    <w:rsid w:val="00A34F02"/>
    <w:rsid w:val="00A45228"/>
    <w:rsid w:val="00A6015F"/>
    <w:rsid w:val="00A60263"/>
    <w:rsid w:val="00A6264A"/>
    <w:rsid w:val="00A655ED"/>
    <w:rsid w:val="00A70858"/>
    <w:rsid w:val="00A763D1"/>
    <w:rsid w:val="00A76432"/>
    <w:rsid w:val="00A80604"/>
    <w:rsid w:val="00A808D4"/>
    <w:rsid w:val="00A8298B"/>
    <w:rsid w:val="00A86CAC"/>
    <w:rsid w:val="00AA1643"/>
    <w:rsid w:val="00AA6D05"/>
    <w:rsid w:val="00AB0221"/>
    <w:rsid w:val="00AB61EC"/>
    <w:rsid w:val="00AB79F5"/>
    <w:rsid w:val="00AC15CA"/>
    <w:rsid w:val="00AC4782"/>
    <w:rsid w:val="00AD1FD5"/>
    <w:rsid w:val="00AD31FF"/>
    <w:rsid w:val="00AD46E4"/>
    <w:rsid w:val="00AD7958"/>
    <w:rsid w:val="00AE24E4"/>
    <w:rsid w:val="00AE2575"/>
    <w:rsid w:val="00AE48E1"/>
    <w:rsid w:val="00AE57B3"/>
    <w:rsid w:val="00AF30AB"/>
    <w:rsid w:val="00B007EA"/>
    <w:rsid w:val="00B013C6"/>
    <w:rsid w:val="00B07EA7"/>
    <w:rsid w:val="00B11553"/>
    <w:rsid w:val="00B147AD"/>
    <w:rsid w:val="00B170D8"/>
    <w:rsid w:val="00B2101E"/>
    <w:rsid w:val="00B23174"/>
    <w:rsid w:val="00B23A5F"/>
    <w:rsid w:val="00B240FC"/>
    <w:rsid w:val="00B246A4"/>
    <w:rsid w:val="00B27C7C"/>
    <w:rsid w:val="00B31318"/>
    <w:rsid w:val="00B33B71"/>
    <w:rsid w:val="00B35CEB"/>
    <w:rsid w:val="00B4013B"/>
    <w:rsid w:val="00B419E2"/>
    <w:rsid w:val="00B51DBE"/>
    <w:rsid w:val="00B51FD6"/>
    <w:rsid w:val="00B52642"/>
    <w:rsid w:val="00B52E05"/>
    <w:rsid w:val="00B608FD"/>
    <w:rsid w:val="00B614CE"/>
    <w:rsid w:val="00B616C6"/>
    <w:rsid w:val="00B661CB"/>
    <w:rsid w:val="00B74EB2"/>
    <w:rsid w:val="00B80614"/>
    <w:rsid w:val="00B8104F"/>
    <w:rsid w:val="00B834D8"/>
    <w:rsid w:val="00B85124"/>
    <w:rsid w:val="00B87FE0"/>
    <w:rsid w:val="00B91252"/>
    <w:rsid w:val="00BA2044"/>
    <w:rsid w:val="00BB1BBF"/>
    <w:rsid w:val="00BB75BF"/>
    <w:rsid w:val="00BC1FF0"/>
    <w:rsid w:val="00BC3961"/>
    <w:rsid w:val="00BC7AA4"/>
    <w:rsid w:val="00BD24DA"/>
    <w:rsid w:val="00BD6418"/>
    <w:rsid w:val="00BD6F18"/>
    <w:rsid w:val="00BD7933"/>
    <w:rsid w:val="00BE1506"/>
    <w:rsid w:val="00BE46C1"/>
    <w:rsid w:val="00C23563"/>
    <w:rsid w:val="00C25B00"/>
    <w:rsid w:val="00C311ED"/>
    <w:rsid w:val="00C33180"/>
    <w:rsid w:val="00C525E9"/>
    <w:rsid w:val="00C52EAC"/>
    <w:rsid w:val="00C64047"/>
    <w:rsid w:val="00C6526C"/>
    <w:rsid w:val="00C670D7"/>
    <w:rsid w:val="00C67C2A"/>
    <w:rsid w:val="00C67CB0"/>
    <w:rsid w:val="00C7581D"/>
    <w:rsid w:val="00C766D8"/>
    <w:rsid w:val="00C77151"/>
    <w:rsid w:val="00C821CF"/>
    <w:rsid w:val="00C829A5"/>
    <w:rsid w:val="00C833F9"/>
    <w:rsid w:val="00C84DBC"/>
    <w:rsid w:val="00C9132F"/>
    <w:rsid w:val="00C92D20"/>
    <w:rsid w:val="00C931A5"/>
    <w:rsid w:val="00C96311"/>
    <w:rsid w:val="00C977FF"/>
    <w:rsid w:val="00CA3A4A"/>
    <w:rsid w:val="00CA3BB0"/>
    <w:rsid w:val="00CA62A1"/>
    <w:rsid w:val="00CA7F67"/>
    <w:rsid w:val="00CB10CC"/>
    <w:rsid w:val="00CB19F3"/>
    <w:rsid w:val="00CB471E"/>
    <w:rsid w:val="00CC5570"/>
    <w:rsid w:val="00CD0C3B"/>
    <w:rsid w:val="00CD1F8D"/>
    <w:rsid w:val="00CD3CF2"/>
    <w:rsid w:val="00CD5620"/>
    <w:rsid w:val="00CE1397"/>
    <w:rsid w:val="00CF1CF3"/>
    <w:rsid w:val="00CF2080"/>
    <w:rsid w:val="00CF6197"/>
    <w:rsid w:val="00D1311D"/>
    <w:rsid w:val="00D13EE9"/>
    <w:rsid w:val="00D22A4B"/>
    <w:rsid w:val="00D26730"/>
    <w:rsid w:val="00D2795C"/>
    <w:rsid w:val="00D30D69"/>
    <w:rsid w:val="00D41193"/>
    <w:rsid w:val="00D521AA"/>
    <w:rsid w:val="00D54276"/>
    <w:rsid w:val="00D56C6E"/>
    <w:rsid w:val="00D639EA"/>
    <w:rsid w:val="00D718C0"/>
    <w:rsid w:val="00D75219"/>
    <w:rsid w:val="00D758B6"/>
    <w:rsid w:val="00D81A49"/>
    <w:rsid w:val="00D8541C"/>
    <w:rsid w:val="00D85CD4"/>
    <w:rsid w:val="00D903DA"/>
    <w:rsid w:val="00D93085"/>
    <w:rsid w:val="00D95FA0"/>
    <w:rsid w:val="00DA2672"/>
    <w:rsid w:val="00DA4C7E"/>
    <w:rsid w:val="00DB146A"/>
    <w:rsid w:val="00DB1E3C"/>
    <w:rsid w:val="00DB597B"/>
    <w:rsid w:val="00DD45A3"/>
    <w:rsid w:val="00DE6371"/>
    <w:rsid w:val="00DF1FC1"/>
    <w:rsid w:val="00DF3C0A"/>
    <w:rsid w:val="00DF5656"/>
    <w:rsid w:val="00DF601A"/>
    <w:rsid w:val="00E11A6F"/>
    <w:rsid w:val="00E12B46"/>
    <w:rsid w:val="00E13290"/>
    <w:rsid w:val="00E202A4"/>
    <w:rsid w:val="00E2406F"/>
    <w:rsid w:val="00E25D06"/>
    <w:rsid w:val="00E26495"/>
    <w:rsid w:val="00E302EB"/>
    <w:rsid w:val="00E36AC8"/>
    <w:rsid w:val="00E40E6D"/>
    <w:rsid w:val="00E50189"/>
    <w:rsid w:val="00E51C3A"/>
    <w:rsid w:val="00E5476C"/>
    <w:rsid w:val="00E6073B"/>
    <w:rsid w:val="00E63BF5"/>
    <w:rsid w:val="00E64ACD"/>
    <w:rsid w:val="00E70D88"/>
    <w:rsid w:val="00E7684A"/>
    <w:rsid w:val="00E768C8"/>
    <w:rsid w:val="00E800B3"/>
    <w:rsid w:val="00E86757"/>
    <w:rsid w:val="00E87911"/>
    <w:rsid w:val="00E9320A"/>
    <w:rsid w:val="00E935D9"/>
    <w:rsid w:val="00EA4121"/>
    <w:rsid w:val="00EA42E0"/>
    <w:rsid w:val="00EA4C36"/>
    <w:rsid w:val="00EB43BC"/>
    <w:rsid w:val="00EB4540"/>
    <w:rsid w:val="00EB705A"/>
    <w:rsid w:val="00ED58C2"/>
    <w:rsid w:val="00ED6601"/>
    <w:rsid w:val="00EE3F86"/>
    <w:rsid w:val="00EE5007"/>
    <w:rsid w:val="00EE518C"/>
    <w:rsid w:val="00EE6F29"/>
    <w:rsid w:val="00EF1E34"/>
    <w:rsid w:val="00F04115"/>
    <w:rsid w:val="00F113A0"/>
    <w:rsid w:val="00F20E31"/>
    <w:rsid w:val="00F254B1"/>
    <w:rsid w:val="00F27642"/>
    <w:rsid w:val="00F32BC0"/>
    <w:rsid w:val="00F3393B"/>
    <w:rsid w:val="00F40696"/>
    <w:rsid w:val="00F50E05"/>
    <w:rsid w:val="00F51678"/>
    <w:rsid w:val="00F5414E"/>
    <w:rsid w:val="00F626BF"/>
    <w:rsid w:val="00F663DC"/>
    <w:rsid w:val="00F70BB8"/>
    <w:rsid w:val="00F728A2"/>
    <w:rsid w:val="00F72C53"/>
    <w:rsid w:val="00F72DC5"/>
    <w:rsid w:val="00F7688D"/>
    <w:rsid w:val="00F80C20"/>
    <w:rsid w:val="00F81F30"/>
    <w:rsid w:val="00F8250B"/>
    <w:rsid w:val="00F94DE7"/>
    <w:rsid w:val="00F95710"/>
    <w:rsid w:val="00FA2809"/>
    <w:rsid w:val="00FB0E94"/>
    <w:rsid w:val="00FB3997"/>
    <w:rsid w:val="00FC1A75"/>
    <w:rsid w:val="00FC251C"/>
    <w:rsid w:val="00FC3842"/>
    <w:rsid w:val="00FD61EC"/>
    <w:rsid w:val="00FE1480"/>
    <w:rsid w:val="00FE3FFE"/>
    <w:rsid w:val="00FE7F26"/>
    <w:rsid w:val="00FF5344"/>
    <w:rsid w:val="00FF5F6D"/>
    <w:rsid w:val="00FF68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2b07c,#ceaf76,#c9ab6f"/>
    </o:shapedefaults>
    <o:shapelayout v:ext="edit">
      <o:idmap v:ext="edit" data="1"/>
    </o:shapelayout>
  </w:shapeDefaults>
  <w:decimalSymbol w:val=","/>
  <w:listSeparator w:val=";"/>
  <w14:docId w14:val="3FF5D7E2"/>
  <w15:docId w15:val="{DF2C5932-A216-4B6B-9027-399D74E9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78C4"/>
    <w:pPr>
      <w:suppressAutoHyphens/>
      <w:spacing w:before="120" w:after="120" w:line="280" w:lineRule="exact"/>
    </w:pPr>
    <w:rPr>
      <w:rFonts w:ascii="Open Sans" w:hAnsi="Open Sans"/>
      <w:lang w:eastAsia="ar-SA"/>
    </w:rPr>
  </w:style>
  <w:style w:type="paragraph" w:styleId="Nadpis1">
    <w:name w:val="heading 1"/>
    <w:basedOn w:val="Normln"/>
    <w:next w:val="Normln"/>
    <w:link w:val="Nadpis1Char"/>
    <w:qFormat/>
    <w:rsid w:val="005F306E"/>
    <w:pPr>
      <w:keepNext/>
      <w:tabs>
        <w:tab w:val="num" w:pos="0"/>
      </w:tabs>
      <w:spacing w:after="100" w:line="480" w:lineRule="exact"/>
      <w:outlineLvl w:val="0"/>
    </w:pPr>
    <w:rPr>
      <w:rFonts w:cs="Arial"/>
      <w:bCs/>
      <w:kern w:val="48"/>
      <w:sz w:val="48"/>
      <w:szCs w:val="32"/>
    </w:rPr>
  </w:style>
  <w:style w:type="paragraph" w:styleId="Nadpis2">
    <w:name w:val="heading 2"/>
    <w:basedOn w:val="Normln"/>
    <w:next w:val="Normln"/>
    <w:qFormat/>
    <w:rsid w:val="005F306E"/>
    <w:pPr>
      <w:keepNext/>
      <w:tabs>
        <w:tab w:val="num" w:pos="0"/>
      </w:tabs>
      <w:spacing w:before="100" w:after="100" w:line="360" w:lineRule="exact"/>
      <w:outlineLvl w:val="1"/>
    </w:pPr>
    <w:rPr>
      <w:rFonts w:cs="Arial"/>
      <w:bCs/>
      <w:iCs/>
      <w:color w:val="BAA979"/>
      <w:sz w:val="28"/>
      <w:szCs w:val="28"/>
    </w:rPr>
  </w:style>
  <w:style w:type="paragraph" w:styleId="Nadpis3">
    <w:name w:val="heading 3"/>
    <w:basedOn w:val="Normln"/>
    <w:next w:val="Normln"/>
    <w:qFormat/>
    <w:rsid w:val="005F306E"/>
    <w:pPr>
      <w:keepNext/>
      <w:tabs>
        <w:tab w:val="num" w:pos="0"/>
      </w:tabs>
      <w:spacing w:before="240" w:after="60"/>
      <w:outlineLvl w:val="2"/>
    </w:pPr>
    <w:rPr>
      <w:rFonts w:cs="Arial"/>
      <w:b/>
      <w:bCs/>
      <w:color w:val="000000"/>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vraznn">
    <w:name w:val="zvýraznění"/>
    <w:rsid w:val="00C77151"/>
    <w:rPr>
      <w:rFonts w:ascii="Arial" w:hAnsi="Arial"/>
      <w:b/>
      <w:color w:val="BAA979"/>
      <w:sz w:val="20"/>
    </w:rPr>
  </w:style>
  <w:style w:type="paragraph" w:styleId="Seznam">
    <w:name w:val="List"/>
    <w:basedOn w:val="Normln"/>
    <w:rsid w:val="00CF1CF3"/>
    <w:pPr>
      <w:numPr>
        <w:numId w:val="1"/>
      </w:numPr>
    </w:pPr>
    <w:rPr>
      <w:rFonts w:cs="Tahoma"/>
    </w:rPr>
  </w:style>
  <w:style w:type="paragraph" w:customStyle="1" w:styleId="Rejstk">
    <w:name w:val="Rejstřík"/>
    <w:basedOn w:val="Normln"/>
    <w:pPr>
      <w:suppressLineNumbers/>
    </w:pPr>
    <w:rPr>
      <w:rFonts w:cs="Tahoma"/>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rsid w:val="00C77151"/>
    <w:pPr>
      <w:tabs>
        <w:tab w:val="center" w:pos="4536"/>
        <w:tab w:val="right" w:pos="9072"/>
      </w:tabs>
    </w:pPr>
    <w:rPr>
      <w:sz w:val="16"/>
    </w:rPr>
  </w:style>
  <w:style w:type="paragraph" w:customStyle="1" w:styleId="Adresa">
    <w:name w:val="Adresa"/>
    <w:basedOn w:val="Normln"/>
    <w:rsid w:val="00727E16"/>
    <w:pPr>
      <w:spacing w:line="240" w:lineRule="auto"/>
    </w:pPr>
    <w:rPr>
      <w:sz w:val="22"/>
    </w:rPr>
  </w:style>
  <w:style w:type="paragraph" w:customStyle="1" w:styleId="Bezodstavcovhostylu">
    <w:name w:val="[Bez odstavcového stylu]"/>
    <w:rsid w:val="005B682F"/>
    <w:pPr>
      <w:autoSpaceDE w:val="0"/>
      <w:autoSpaceDN w:val="0"/>
      <w:adjustRightInd w:val="0"/>
      <w:spacing w:line="288" w:lineRule="auto"/>
      <w:textAlignment w:val="center"/>
    </w:pPr>
    <w:rPr>
      <w:rFonts w:ascii="Minion Pro" w:eastAsia="SimSun" w:hAnsi="Minion Pro" w:cs="Minion Pro"/>
      <w:color w:val="000000"/>
      <w:sz w:val="24"/>
      <w:szCs w:val="24"/>
      <w:lang w:eastAsia="zh-CN"/>
    </w:rPr>
  </w:style>
  <w:style w:type="paragraph" w:styleId="Odstavecseseznamem">
    <w:name w:val="List Paragraph"/>
    <w:basedOn w:val="Normln"/>
    <w:uiPriority w:val="34"/>
    <w:qFormat/>
    <w:rsid w:val="005F306E"/>
    <w:pPr>
      <w:ind w:left="708"/>
    </w:pPr>
  </w:style>
  <w:style w:type="character" w:styleId="Odkaznakoment">
    <w:name w:val="annotation reference"/>
    <w:semiHidden/>
    <w:unhideWhenUsed/>
    <w:rsid w:val="002F42C2"/>
    <w:rPr>
      <w:sz w:val="16"/>
      <w:szCs w:val="16"/>
    </w:rPr>
  </w:style>
  <w:style w:type="paragraph" w:styleId="Textkomente">
    <w:name w:val="annotation text"/>
    <w:basedOn w:val="Normln"/>
    <w:link w:val="TextkomenteChar"/>
    <w:semiHidden/>
    <w:unhideWhenUsed/>
    <w:rsid w:val="002F42C2"/>
  </w:style>
  <w:style w:type="character" w:customStyle="1" w:styleId="TextkomenteChar">
    <w:name w:val="Text komentáře Char"/>
    <w:link w:val="Textkomente"/>
    <w:semiHidden/>
    <w:rsid w:val="002F42C2"/>
    <w:rPr>
      <w:rFonts w:ascii="Open Sans" w:hAnsi="Open Sans"/>
      <w:lang w:eastAsia="ar-SA"/>
    </w:rPr>
  </w:style>
  <w:style w:type="paragraph" w:styleId="Textbubliny">
    <w:name w:val="Balloon Text"/>
    <w:basedOn w:val="Normln"/>
    <w:link w:val="TextbublinyChar"/>
    <w:uiPriority w:val="99"/>
    <w:semiHidden/>
    <w:unhideWhenUsed/>
    <w:rsid w:val="002F42C2"/>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2F42C2"/>
    <w:rPr>
      <w:rFonts w:ascii="Tahoma" w:hAnsi="Tahoma" w:cs="Tahoma"/>
      <w:sz w:val="16"/>
      <w:szCs w:val="16"/>
      <w:lang w:eastAsia="ar-SA"/>
    </w:rPr>
  </w:style>
  <w:style w:type="character" w:styleId="Zstupntext">
    <w:name w:val="Placeholder Text"/>
    <w:basedOn w:val="Standardnpsmoodstavce"/>
    <w:uiPriority w:val="99"/>
    <w:semiHidden/>
    <w:rsid w:val="00F50E05"/>
    <w:rPr>
      <w:color w:val="808080"/>
    </w:rPr>
  </w:style>
  <w:style w:type="character" w:customStyle="1" w:styleId="ZpatChar">
    <w:name w:val="Zápatí Char"/>
    <w:basedOn w:val="Standardnpsmoodstavce"/>
    <w:link w:val="Zpat"/>
    <w:uiPriority w:val="99"/>
    <w:rsid w:val="00066E7A"/>
    <w:rPr>
      <w:rFonts w:ascii="Open Sans" w:hAnsi="Open Sans"/>
      <w:sz w:val="16"/>
      <w:lang w:eastAsia="ar-SA"/>
    </w:rPr>
  </w:style>
  <w:style w:type="character" w:customStyle="1" w:styleId="ZhlavChar">
    <w:name w:val="Záhlaví Char"/>
    <w:basedOn w:val="Standardnpsmoodstavce"/>
    <w:link w:val="Zhlav"/>
    <w:uiPriority w:val="99"/>
    <w:rsid w:val="009141E1"/>
    <w:rPr>
      <w:rFonts w:ascii="Open Sans" w:hAnsi="Open Sans"/>
      <w:lang w:eastAsia="ar-SA"/>
    </w:rPr>
  </w:style>
  <w:style w:type="paragraph" w:customStyle="1" w:styleId="ObsahII">
    <w:name w:val="Obsah II"/>
    <w:basedOn w:val="Normln"/>
    <w:link w:val="ObsahIIChar"/>
    <w:qFormat/>
    <w:rsid w:val="005F306E"/>
    <w:pPr>
      <w:keepNext/>
      <w:tabs>
        <w:tab w:val="num" w:pos="0"/>
      </w:tabs>
      <w:spacing w:after="100" w:line="480" w:lineRule="auto"/>
      <w:outlineLvl w:val="0"/>
    </w:pPr>
    <w:rPr>
      <w:rFonts w:cs="Arial"/>
      <w:bCs/>
      <w:kern w:val="48"/>
      <w:sz w:val="48"/>
      <w:szCs w:val="32"/>
      <w:lang w:val="en-GB"/>
    </w:rPr>
  </w:style>
  <w:style w:type="character" w:customStyle="1" w:styleId="ObsahIIChar">
    <w:name w:val="Obsah II Char"/>
    <w:basedOn w:val="Standardnpsmoodstavce"/>
    <w:link w:val="ObsahII"/>
    <w:rsid w:val="005F306E"/>
    <w:rPr>
      <w:rFonts w:ascii="Open Sans" w:hAnsi="Open Sans" w:cs="Arial"/>
      <w:bCs/>
      <w:kern w:val="48"/>
      <w:sz w:val="48"/>
      <w:szCs w:val="32"/>
      <w:lang w:val="en-GB" w:eastAsia="ar-SA"/>
    </w:rPr>
  </w:style>
  <w:style w:type="character" w:customStyle="1" w:styleId="Nadpis1Char">
    <w:name w:val="Nadpis 1 Char"/>
    <w:link w:val="Nadpis1"/>
    <w:rsid w:val="005F306E"/>
    <w:rPr>
      <w:rFonts w:ascii="Open Sans" w:hAnsi="Open Sans" w:cs="Arial"/>
      <w:bCs/>
      <w:kern w:val="48"/>
      <w:sz w:val="48"/>
      <w:szCs w:val="32"/>
      <w:lang w:eastAsia="ar-SA"/>
    </w:rPr>
  </w:style>
  <w:style w:type="paragraph" w:styleId="Obsah1">
    <w:name w:val="toc 1"/>
    <w:basedOn w:val="Normln"/>
    <w:next w:val="Normln"/>
    <w:autoRedefine/>
    <w:uiPriority w:val="39"/>
    <w:semiHidden/>
    <w:unhideWhenUsed/>
    <w:qFormat/>
    <w:rsid w:val="005F306E"/>
    <w:pPr>
      <w:suppressAutoHyphens w:val="0"/>
      <w:spacing w:before="0" w:after="100" w:line="276" w:lineRule="auto"/>
    </w:pPr>
    <w:rPr>
      <w:rFonts w:ascii="Calibri" w:hAnsi="Calibri"/>
      <w:sz w:val="22"/>
      <w:szCs w:val="22"/>
      <w:lang w:eastAsia="cs-CZ"/>
    </w:rPr>
  </w:style>
  <w:style w:type="paragraph" w:styleId="Obsah2">
    <w:name w:val="toc 2"/>
    <w:basedOn w:val="Normln"/>
    <w:next w:val="Normln"/>
    <w:autoRedefine/>
    <w:uiPriority w:val="39"/>
    <w:semiHidden/>
    <w:unhideWhenUsed/>
    <w:qFormat/>
    <w:rsid w:val="005F306E"/>
    <w:pPr>
      <w:tabs>
        <w:tab w:val="right" w:leader="dot" w:pos="9400"/>
      </w:tabs>
      <w:suppressAutoHyphens w:val="0"/>
      <w:spacing w:before="0" w:after="100" w:line="276" w:lineRule="auto"/>
      <w:ind w:left="454"/>
    </w:pPr>
    <w:rPr>
      <w:rFonts w:ascii="Calibri" w:hAnsi="Calibri"/>
      <w:sz w:val="22"/>
      <w:szCs w:val="22"/>
      <w:lang w:eastAsia="cs-CZ"/>
    </w:rPr>
  </w:style>
  <w:style w:type="paragraph" w:styleId="Obsah3">
    <w:name w:val="toc 3"/>
    <w:basedOn w:val="Normln"/>
    <w:next w:val="Normln"/>
    <w:autoRedefine/>
    <w:uiPriority w:val="39"/>
    <w:semiHidden/>
    <w:unhideWhenUsed/>
    <w:qFormat/>
    <w:rsid w:val="005F306E"/>
    <w:pPr>
      <w:suppressAutoHyphens w:val="0"/>
      <w:spacing w:before="0" w:after="100" w:line="276" w:lineRule="auto"/>
      <w:ind w:left="440"/>
    </w:pPr>
    <w:rPr>
      <w:rFonts w:ascii="Calibri" w:hAnsi="Calibri"/>
      <w:sz w:val="22"/>
      <w:szCs w:val="22"/>
      <w:lang w:eastAsia="cs-CZ"/>
    </w:rPr>
  </w:style>
  <w:style w:type="character" w:styleId="Zdraznn">
    <w:name w:val="Emphasis"/>
    <w:qFormat/>
    <w:rsid w:val="005F306E"/>
    <w:rPr>
      <w:i/>
      <w:iCs/>
    </w:rPr>
  </w:style>
  <w:style w:type="paragraph" w:styleId="Bezmezer">
    <w:name w:val="No Spacing"/>
    <w:uiPriority w:val="1"/>
    <w:qFormat/>
    <w:rsid w:val="005F306E"/>
    <w:pPr>
      <w:suppressAutoHyphens/>
    </w:pPr>
    <w:rPr>
      <w:rFonts w:ascii="Open Sans" w:hAnsi="Open Sans"/>
      <w:lang w:eastAsia="ar-SA"/>
    </w:rPr>
  </w:style>
  <w:style w:type="paragraph" w:styleId="Nadpisobsahu">
    <w:name w:val="TOC Heading"/>
    <w:basedOn w:val="Nadpis1"/>
    <w:next w:val="Normln"/>
    <w:uiPriority w:val="39"/>
    <w:semiHidden/>
    <w:unhideWhenUsed/>
    <w:qFormat/>
    <w:rsid w:val="005F306E"/>
    <w:pPr>
      <w:keepLines/>
      <w:tabs>
        <w:tab w:val="clear" w:pos="0"/>
      </w:tabs>
      <w:suppressAutoHyphens w:val="0"/>
      <w:spacing w:before="480" w:after="0" w:line="276" w:lineRule="auto"/>
      <w:outlineLvl w:val="9"/>
    </w:pPr>
    <w:rPr>
      <w:rFonts w:ascii="Cambria" w:hAnsi="Cambria" w:cs="Times New Roman"/>
      <w:b/>
      <w:color w:val="365F91"/>
      <w:kern w:val="0"/>
      <w:sz w:val="28"/>
      <w:szCs w:val="28"/>
      <w:lang w:eastAsia="cs-CZ"/>
    </w:rPr>
  </w:style>
  <w:style w:type="table" w:styleId="Mkatabulky">
    <w:name w:val="Table Grid"/>
    <w:basedOn w:val="Normlntabulka"/>
    <w:uiPriority w:val="59"/>
    <w:rsid w:val="00C67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C67CB0"/>
    <w:pPr>
      <w:spacing w:line="240" w:lineRule="auto"/>
    </w:pPr>
    <w:rPr>
      <w:b/>
      <w:bCs/>
    </w:rPr>
  </w:style>
  <w:style w:type="character" w:customStyle="1" w:styleId="PedmtkomenteChar">
    <w:name w:val="Předmět komentáře Char"/>
    <w:basedOn w:val="TextkomenteChar"/>
    <w:link w:val="Pedmtkomente"/>
    <w:uiPriority w:val="99"/>
    <w:semiHidden/>
    <w:rsid w:val="00C67CB0"/>
    <w:rPr>
      <w:rFonts w:ascii="Open Sans" w:hAnsi="Open Sans"/>
      <w:b/>
      <w:bCs/>
      <w:lang w:eastAsia="ar-SA"/>
    </w:rPr>
  </w:style>
  <w:style w:type="character" w:customStyle="1" w:styleId="Stylvzorekdn">
    <w:name w:val="Styl vzorek: Žádný"/>
    <w:uiPriority w:val="99"/>
    <w:rsid w:val="006760D8"/>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77426">
      <w:bodyDiv w:val="1"/>
      <w:marLeft w:val="0"/>
      <w:marRight w:val="0"/>
      <w:marTop w:val="0"/>
      <w:marBottom w:val="0"/>
      <w:divBdr>
        <w:top w:val="none" w:sz="0" w:space="0" w:color="auto"/>
        <w:left w:val="none" w:sz="0" w:space="0" w:color="auto"/>
        <w:bottom w:val="none" w:sz="0" w:space="0" w:color="auto"/>
        <w:right w:val="none" w:sz="0" w:space="0" w:color="auto"/>
      </w:divBdr>
    </w:div>
    <w:div w:id="615985614">
      <w:bodyDiv w:val="1"/>
      <w:marLeft w:val="0"/>
      <w:marRight w:val="0"/>
      <w:marTop w:val="0"/>
      <w:marBottom w:val="0"/>
      <w:divBdr>
        <w:top w:val="none" w:sz="0" w:space="0" w:color="auto"/>
        <w:left w:val="none" w:sz="0" w:space="0" w:color="auto"/>
        <w:bottom w:val="none" w:sz="0" w:space="0" w:color="auto"/>
        <w:right w:val="none" w:sz="0" w:space="0" w:color="auto"/>
      </w:divBdr>
    </w:div>
    <w:div w:id="633829125">
      <w:bodyDiv w:val="1"/>
      <w:marLeft w:val="0"/>
      <w:marRight w:val="0"/>
      <w:marTop w:val="0"/>
      <w:marBottom w:val="0"/>
      <w:divBdr>
        <w:top w:val="none" w:sz="0" w:space="0" w:color="auto"/>
        <w:left w:val="none" w:sz="0" w:space="0" w:color="auto"/>
        <w:bottom w:val="none" w:sz="0" w:space="0" w:color="auto"/>
        <w:right w:val="none" w:sz="0" w:space="0" w:color="auto"/>
      </w:divBdr>
    </w:div>
    <w:div w:id="805584330">
      <w:bodyDiv w:val="1"/>
      <w:marLeft w:val="0"/>
      <w:marRight w:val="0"/>
      <w:marTop w:val="0"/>
      <w:marBottom w:val="0"/>
      <w:divBdr>
        <w:top w:val="none" w:sz="0" w:space="0" w:color="auto"/>
        <w:left w:val="none" w:sz="0" w:space="0" w:color="auto"/>
        <w:bottom w:val="none" w:sz="0" w:space="0" w:color="auto"/>
        <w:right w:val="none" w:sz="0" w:space="0" w:color="auto"/>
      </w:divBdr>
    </w:div>
    <w:div w:id="877470534">
      <w:bodyDiv w:val="1"/>
      <w:marLeft w:val="0"/>
      <w:marRight w:val="0"/>
      <w:marTop w:val="0"/>
      <w:marBottom w:val="0"/>
      <w:divBdr>
        <w:top w:val="none" w:sz="0" w:space="0" w:color="auto"/>
        <w:left w:val="none" w:sz="0" w:space="0" w:color="auto"/>
        <w:bottom w:val="none" w:sz="0" w:space="0" w:color="auto"/>
        <w:right w:val="none" w:sz="0" w:space="0" w:color="auto"/>
      </w:divBdr>
    </w:div>
    <w:div w:id="1006055023">
      <w:bodyDiv w:val="1"/>
      <w:marLeft w:val="0"/>
      <w:marRight w:val="0"/>
      <w:marTop w:val="0"/>
      <w:marBottom w:val="0"/>
      <w:divBdr>
        <w:top w:val="none" w:sz="0" w:space="0" w:color="auto"/>
        <w:left w:val="none" w:sz="0" w:space="0" w:color="auto"/>
        <w:bottom w:val="none" w:sz="0" w:space="0" w:color="auto"/>
        <w:right w:val="none" w:sz="0" w:space="0" w:color="auto"/>
      </w:divBdr>
    </w:div>
    <w:div w:id="1360545206">
      <w:bodyDiv w:val="1"/>
      <w:marLeft w:val="0"/>
      <w:marRight w:val="0"/>
      <w:marTop w:val="0"/>
      <w:marBottom w:val="0"/>
      <w:divBdr>
        <w:top w:val="none" w:sz="0" w:space="0" w:color="auto"/>
        <w:left w:val="none" w:sz="0" w:space="0" w:color="auto"/>
        <w:bottom w:val="none" w:sz="0" w:space="0" w:color="auto"/>
        <w:right w:val="none" w:sz="0" w:space="0" w:color="auto"/>
      </w:divBdr>
    </w:div>
    <w:div w:id="1541284392">
      <w:bodyDiv w:val="1"/>
      <w:marLeft w:val="0"/>
      <w:marRight w:val="0"/>
      <w:marTop w:val="0"/>
      <w:marBottom w:val="0"/>
      <w:divBdr>
        <w:top w:val="none" w:sz="0" w:space="0" w:color="auto"/>
        <w:left w:val="none" w:sz="0" w:space="0" w:color="auto"/>
        <w:bottom w:val="none" w:sz="0" w:space="0" w:color="auto"/>
        <w:right w:val="none" w:sz="0" w:space="0" w:color="auto"/>
      </w:divBdr>
    </w:div>
    <w:div w:id="1639411053">
      <w:bodyDiv w:val="1"/>
      <w:marLeft w:val="0"/>
      <w:marRight w:val="0"/>
      <w:marTop w:val="0"/>
      <w:marBottom w:val="0"/>
      <w:divBdr>
        <w:top w:val="none" w:sz="0" w:space="0" w:color="auto"/>
        <w:left w:val="none" w:sz="0" w:space="0" w:color="auto"/>
        <w:bottom w:val="none" w:sz="0" w:space="0" w:color="auto"/>
        <w:right w:val="none" w:sz="0" w:space="0" w:color="auto"/>
      </w:divBdr>
    </w:div>
    <w:div w:id="1694069584">
      <w:bodyDiv w:val="1"/>
      <w:marLeft w:val="0"/>
      <w:marRight w:val="0"/>
      <w:marTop w:val="0"/>
      <w:marBottom w:val="0"/>
      <w:divBdr>
        <w:top w:val="none" w:sz="0" w:space="0" w:color="auto"/>
        <w:left w:val="none" w:sz="0" w:space="0" w:color="auto"/>
        <w:bottom w:val="none" w:sz="0" w:space="0" w:color="auto"/>
        <w:right w:val="none" w:sz="0" w:space="0" w:color="auto"/>
      </w:divBdr>
    </w:div>
    <w:div w:id="211539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9.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E579F-9E2F-4CE4-A356-8175D1DB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7650</Words>
  <Characters>45141</Characters>
  <Application>Microsoft Office Word</Application>
  <DocSecurity>0</DocSecurity>
  <Lines>376</Lines>
  <Paragraphs>105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Šikola &amp; Partneři</Company>
  <LinksUpToDate>false</LinksUpToDate>
  <CharactersWithSpaces>52686</CharactersWithSpaces>
  <SharedDoc>false</SharedDoc>
  <HLinks>
    <vt:vector size="12" baseType="variant">
      <vt:variant>
        <vt:i4>7471206</vt:i4>
      </vt:variant>
      <vt:variant>
        <vt:i4>3</vt:i4>
      </vt:variant>
      <vt:variant>
        <vt:i4>0</vt:i4>
      </vt:variant>
      <vt:variant>
        <vt:i4>5</vt:i4>
      </vt:variant>
      <vt:variant>
        <vt:lpwstr>http://www.justice.cz/</vt:lpwstr>
      </vt:variant>
      <vt:variant>
        <vt:lpwstr/>
      </vt:variant>
      <vt:variant>
        <vt:i4>5767283</vt:i4>
      </vt:variant>
      <vt:variant>
        <vt:i4>0</vt:i4>
      </vt:variant>
      <vt:variant>
        <vt:i4>0</vt:i4>
      </vt:variant>
      <vt:variant>
        <vt:i4>5</vt:i4>
      </vt:variant>
      <vt:variant>
        <vt:lpwstr>mailto:jmeno.prijmeni@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Standa Kutáček</dc:creator>
  <cp:lastModifiedBy>Mazurová Veronika</cp:lastModifiedBy>
  <cp:revision>10</cp:revision>
  <cp:lastPrinted>2014-08-27T06:25:00Z</cp:lastPrinted>
  <dcterms:created xsi:type="dcterms:W3CDTF">2021-12-10T11:32:00Z</dcterms:created>
  <dcterms:modified xsi:type="dcterms:W3CDTF">2021-12-10T13:01:00Z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aetor0">
    <vt:lpwstr>«spis.Hlavní klient.Subjekt.Zápis OR»</vt:lpwstr>
  </property>
  <property fmtid="{D5CDD505-2E9C-101B-9397-08002B2CF9AE}" pid="3" name="praetor2">
    <vt:lpwstr>«spis.Hlavní klient.Subjekt.Označení»</vt:lpwstr>
  </property>
  <property fmtid="{D5CDD505-2E9C-101B-9397-08002B2CF9AE}" pid="4" name="praetor3">
    <vt:lpwstr>«Protistrana.Subjekt.Komplet subjektu»</vt:lpwstr>
  </property>
  <property fmtid="{D5CDD505-2E9C-101B-9397-08002B2CF9AE}" pid="5" name="MSIP_Label_63ff9749-f68b-40ec-aa05-229831920469_Enabled">
    <vt:lpwstr>true</vt:lpwstr>
  </property>
  <property fmtid="{D5CDD505-2E9C-101B-9397-08002B2CF9AE}" pid="6" name="MSIP_Label_63ff9749-f68b-40ec-aa05-229831920469_SetDate">
    <vt:lpwstr>2021-12-10T13:01:49Z</vt:lpwstr>
  </property>
  <property fmtid="{D5CDD505-2E9C-101B-9397-08002B2CF9AE}" pid="7" name="MSIP_Label_63ff9749-f68b-40ec-aa05-229831920469_Method">
    <vt:lpwstr>Standard</vt:lpwstr>
  </property>
  <property fmtid="{D5CDD505-2E9C-101B-9397-08002B2CF9AE}" pid="8" name="MSIP_Label_63ff9749-f68b-40ec-aa05-229831920469_Name">
    <vt:lpwstr>Neveřejná informace</vt:lpwstr>
  </property>
  <property fmtid="{D5CDD505-2E9C-101B-9397-08002B2CF9AE}" pid="9" name="MSIP_Label_63ff9749-f68b-40ec-aa05-229831920469_SiteId">
    <vt:lpwstr>39f24d0b-aa30-4551-8e81-43c77cf1000e</vt:lpwstr>
  </property>
  <property fmtid="{D5CDD505-2E9C-101B-9397-08002B2CF9AE}" pid="10" name="MSIP_Label_63ff9749-f68b-40ec-aa05-229831920469_ActionId">
    <vt:lpwstr>fa7ec30f-cb99-4c14-9c91-79ea4f75e584</vt:lpwstr>
  </property>
  <property fmtid="{D5CDD505-2E9C-101B-9397-08002B2CF9AE}" pid="11" name="MSIP_Label_63ff9749-f68b-40ec-aa05-229831920469_ContentBits">
    <vt:lpwstr>2</vt:lpwstr>
  </property>
</Properties>
</file>