
<file path=[Content_Types].xml><?xml version="1.0" encoding="utf-8"?>
<Types xmlns="http://schemas.openxmlformats.org/package/2006/content-types">
  <Default Extension="emf" ContentType="image/x-emf"/>
  <Default Extension="rels" ContentType="application/vnd.openxmlformats-package.relationships+xml"/>
  <Default Extension="xls" ContentType="application/vnd.ms-exce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86AA4C9" w14:textId="5579B360" w:rsidR="00014B18" w:rsidRPr="00ED3468" w:rsidRDefault="00014B18" w:rsidP="00C22C6C">
      <w:pPr>
        <w:pStyle w:val="Nadpis1"/>
      </w:pPr>
      <w:r w:rsidRPr="00ED3468">
        <w:t>Plnění rozpočtu Moravskoslezského kraje k</w:t>
      </w:r>
      <w:r w:rsidR="00E574BD" w:rsidRPr="00ED3468">
        <w:t> </w:t>
      </w:r>
      <w:r w:rsidR="00E107E5" w:rsidRPr="00ED3468">
        <w:t>30</w:t>
      </w:r>
      <w:r w:rsidR="009D389D" w:rsidRPr="00ED3468">
        <w:t>. </w:t>
      </w:r>
      <w:r w:rsidR="00E107E5" w:rsidRPr="00ED3468">
        <w:t>4</w:t>
      </w:r>
      <w:r w:rsidR="009D389D" w:rsidRPr="00ED3468">
        <w:t>. 202</w:t>
      </w:r>
      <w:r w:rsidR="00E107E5" w:rsidRPr="00ED3468">
        <w:t>2</w:t>
      </w:r>
    </w:p>
    <w:p w14:paraId="586AA4CA" w14:textId="77777777" w:rsidR="00014B18" w:rsidRPr="00A0449C" w:rsidRDefault="00014B18" w:rsidP="003E25B7">
      <w:pPr>
        <w:pStyle w:val="Nadpis2"/>
      </w:pPr>
      <w:r w:rsidRPr="00A0449C">
        <w:t>Úvod</w:t>
      </w:r>
    </w:p>
    <w:p w14:paraId="586AA4CB" w14:textId="77777777" w:rsidR="00014B18" w:rsidRPr="00A0449C" w:rsidRDefault="00014B18" w:rsidP="00B145ED">
      <w:pPr>
        <w:rPr>
          <w:rFonts w:cs="Tahoma"/>
          <w:sz w:val="2"/>
          <w:szCs w:val="2"/>
        </w:rPr>
      </w:pPr>
    </w:p>
    <w:p w14:paraId="4E1985B5" w14:textId="1B0A6838" w:rsidR="004A556D" w:rsidRPr="00A0449C" w:rsidRDefault="004A556D" w:rsidP="009B594B">
      <w:r w:rsidRPr="00A0449C">
        <w:t>Rozpočet Moravskoslezského kraje pro rok 202</w:t>
      </w:r>
      <w:r w:rsidR="0073096F" w:rsidRPr="00A0449C">
        <w:t>2</w:t>
      </w:r>
      <w:r w:rsidRPr="00A0449C">
        <w:t xml:space="preserve"> byl schválen ve výši </w:t>
      </w:r>
      <w:r w:rsidR="00A0449C" w:rsidRPr="00A0449C">
        <w:t>11.993.157</w:t>
      </w:r>
      <w:r w:rsidRPr="00A0449C">
        <w:t xml:space="preserve"> tis. Kč. Zdroje schváleného rozpočtu tvoří příjmy v objemu </w:t>
      </w:r>
      <w:r w:rsidR="00A0449C" w:rsidRPr="00A0449C">
        <w:t>9.298.763</w:t>
      </w:r>
      <w:r w:rsidRPr="00A0449C">
        <w:t> tis. Kč a financování ve</w:t>
      </w:r>
      <w:r w:rsidR="009B594B">
        <w:t> </w:t>
      </w:r>
      <w:r w:rsidRPr="00A0449C">
        <w:t xml:space="preserve">výši </w:t>
      </w:r>
      <w:r w:rsidR="00A0449C" w:rsidRPr="00A0449C">
        <w:t>2.694.394</w:t>
      </w:r>
      <w:r w:rsidRPr="00A0449C">
        <w:t xml:space="preserve"> tis. Kč. </w:t>
      </w:r>
    </w:p>
    <w:p w14:paraId="586AA4CE" w14:textId="07120B99" w:rsidR="00014B18" w:rsidRPr="00CE0C49" w:rsidRDefault="00E87A91" w:rsidP="00CE0C49">
      <w:pPr>
        <w:pStyle w:val="Styltab"/>
      </w:pPr>
      <w:r w:rsidRPr="00CE0C49">
        <w:t>Hospodaření Moravskoslezského kraje k </w:t>
      </w:r>
      <w:r w:rsidR="0073096F" w:rsidRPr="00CE0C49">
        <w:t>30. 4. 2022</w:t>
      </w:r>
      <w:r w:rsidR="00A52F4A" w:rsidRPr="00CE0C49">
        <w:tab/>
      </w:r>
      <w:r w:rsidRPr="00CE0C49">
        <w:t>v tis. Kč</w:t>
      </w:r>
      <w:bookmarkStart w:id="0" w:name="_MON_1490158136"/>
      <w:bookmarkStart w:id="1" w:name="_MON_1490161178"/>
      <w:bookmarkStart w:id="2" w:name="_MON_1490161199"/>
      <w:bookmarkStart w:id="3" w:name="_MON_1490172727"/>
      <w:bookmarkStart w:id="4" w:name="_MON_1490433935"/>
      <w:bookmarkStart w:id="5" w:name="_MON_1469334758"/>
      <w:bookmarkStart w:id="6" w:name="_MON_1469335147"/>
      <w:bookmarkStart w:id="7" w:name="_MON_1469339558"/>
      <w:bookmarkStart w:id="8" w:name="_MON_1469851826"/>
      <w:bookmarkStart w:id="9" w:name="_MON_1476600780"/>
      <w:bookmarkStart w:id="10" w:name="_MON_1476600823"/>
      <w:bookmarkStart w:id="11" w:name="_MON_1476601264"/>
      <w:bookmarkStart w:id="12" w:name="_MON_1477284508"/>
      <w:bookmarkEnd w:id="0"/>
      <w:bookmarkEnd w:id="1"/>
      <w:bookmarkEnd w:id="2"/>
      <w:bookmarkEnd w:id="3"/>
      <w:bookmarkEnd w:id="4"/>
      <w:bookmarkEnd w:id="5"/>
      <w:bookmarkEnd w:id="6"/>
      <w:bookmarkEnd w:id="7"/>
      <w:bookmarkEnd w:id="8"/>
      <w:bookmarkEnd w:id="9"/>
      <w:bookmarkEnd w:id="10"/>
      <w:bookmarkEnd w:id="11"/>
      <w:bookmarkEnd w:id="12"/>
      <w:bookmarkStart w:id="13" w:name="_MON_1489983302"/>
      <w:bookmarkEnd w:id="13"/>
      <w:r w:rsidR="00337173" w:rsidRPr="00CE0C49">
        <w:object w:dxaOrig="10119" w:dyaOrig="1619" w14:anchorId="586AA69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4.4pt;height:80.15pt" o:ole="">
            <v:imagedata r:id="rId8" o:title=""/>
          </v:shape>
          <o:OLEObject Type="Embed" ProgID="Excel.Sheet.8" ShapeID="_x0000_i1025" DrawAspect="Content" ObjectID="_1714980687" r:id="rId9"/>
        </w:object>
      </w:r>
    </w:p>
    <w:p w14:paraId="586AA4CF" w14:textId="0152DC17" w:rsidR="00596ABD" w:rsidRPr="00337173" w:rsidRDefault="00596ABD" w:rsidP="00596ABD">
      <w:pPr>
        <w:rPr>
          <w:rFonts w:cs="Tahoma"/>
          <w:szCs w:val="20"/>
        </w:rPr>
      </w:pPr>
      <w:r w:rsidRPr="00337173">
        <w:rPr>
          <w:rFonts w:cs="Tahoma"/>
          <w:szCs w:val="20"/>
        </w:rPr>
        <w:t>Upravený rozpočet Moravskoslezského kraje k </w:t>
      </w:r>
      <w:r w:rsidR="0073096F" w:rsidRPr="00337173">
        <w:rPr>
          <w:rFonts w:cs="Tahoma"/>
          <w:szCs w:val="20"/>
        </w:rPr>
        <w:t>30. 4. 2022</w:t>
      </w:r>
      <w:r w:rsidRPr="00337173">
        <w:rPr>
          <w:rFonts w:cs="Tahoma"/>
          <w:szCs w:val="20"/>
        </w:rPr>
        <w:t xml:space="preserve"> </w:t>
      </w:r>
      <w:r w:rsidR="00A1795A" w:rsidRPr="00337173">
        <w:rPr>
          <w:rFonts w:cs="Tahoma"/>
          <w:szCs w:val="20"/>
        </w:rPr>
        <w:t xml:space="preserve">je ve výši </w:t>
      </w:r>
      <w:r w:rsidR="00337173" w:rsidRPr="00337173">
        <w:rPr>
          <w:rFonts w:cs="Tahoma"/>
          <w:szCs w:val="20"/>
        </w:rPr>
        <w:t>36.683.636</w:t>
      </w:r>
      <w:r w:rsidRPr="00337173">
        <w:rPr>
          <w:rFonts w:cs="Tahoma"/>
          <w:szCs w:val="20"/>
        </w:rPr>
        <w:t xml:space="preserve"> tis. Kč. </w:t>
      </w:r>
    </w:p>
    <w:p w14:paraId="1ABBB478" w14:textId="580457EB" w:rsidR="00B945F7" w:rsidRPr="00CE0C49" w:rsidRDefault="00B945F7" w:rsidP="00B945F7">
      <w:pPr>
        <w:pStyle w:val="Nadpis3"/>
      </w:pPr>
      <w:r w:rsidRPr="00CE0C49">
        <w:t>Úpravy rozpočtu v roce 202</w:t>
      </w:r>
      <w:r w:rsidR="00F4650D" w:rsidRPr="00CE0C49">
        <w:t>2</w:t>
      </w:r>
      <w:r w:rsidRPr="00CE0C49">
        <w:t>:</w:t>
      </w:r>
    </w:p>
    <w:p w14:paraId="5F98F50A" w14:textId="1052E0BD" w:rsidR="00B945F7" w:rsidRPr="00DE0147" w:rsidRDefault="00B945F7" w:rsidP="00B945F7">
      <w:pPr>
        <w:numPr>
          <w:ilvl w:val="0"/>
          <w:numId w:val="11"/>
        </w:numPr>
        <w:rPr>
          <w:rFonts w:cs="Tahoma"/>
          <w:szCs w:val="20"/>
        </w:rPr>
      </w:pPr>
      <w:r w:rsidRPr="00DE0147">
        <w:rPr>
          <w:rFonts w:cs="Tahoma"/>
          <w:szCs w:val="20"/>
        </w:rPr>
        <w:t>Přijetí účelových dotací</w:t>
      </w:r>
    </w:p>
    <w:p w14:paraId="09FD6052" w14:textId="57F302D1" w:rsidR="00B945F7" w:rsidRPr="00DE0147" w:rsidRDefault="00B945F7" w:rsidP="00B945F7">
      <w:pPr>
        <w:rPr>
          <w:rFonts w:cs="Tahoma"/>
          <w:szCs w:val="20"/>
        </w:rPr>
      </w:pPr>
      <w:r w:rsidRPr="00DE0147">
        <w:rPr>
          <w:rFonts w:cs="Tahoma"/>
          <w:szCs w:val="20"/>
        </w:rPr>
        <w:t>K významné úpravě rozpočtu příjmů a výdajů dochází každoročně zejména v důsledku přijetí účelových dotací (nárůst celkem o </w:t>
      </w:r>
      <w:r w:rsidR="00DE0147" w:rsidRPr="00DE0147">
        <w:rPr>
          <w:rFonts w:cs="Tahoma"/>
          <w:szCs w:val="20"/>
        </w:rPr>
        <w:t>21.624.289</w:t>
      </w:r>
      <w:r w:rsidRPr="00DE0147">
        <w:rPr>
          <w:rFonts w:cs="Tahoma"/>
          <w:szCs w:val="20"/>
        </w:rPr>
        <w:t xml:space="preserve"> tis. Kč). Objemově nejvýznamnější byly </w:t>
      </w:r>
      <w:r w:rsidR="00B61D36" w:rsidRPr="00DE0147">
        <w:rPr>
          <w:rFonts w:cs="Tahoma"/>
          <w:szCs w:val="20"/>
        </w:rPr>
        <w:t xml:space="preserve">dotace ze státního rozpočtu, a to </w:t>
      </w:r>
      <w:r w:rsidRPr="00DE0147">
        <w:rPr>
          <w:rFonts w:cs="Tahoma"/>
          <w:szCs w:val="20"/>
        </w:rPr>
        <w:t xml:space="preserve">neinvestiční dotace z kapitoly Ministerstva školství, mládeže a tělovýchovy určené k financování mzdových nákladů v objemu </w:t>
      </w:r>
      <w:r w:rsidR="00DE0147" w:rsidRPr="00DE0147">
        <w:rPr>
          <w:rFonts w:cs="Tahoma"/>
          <w:szCs w:val="20"/>
        </w:rPr>
        <w:t>19.010.146</w:t>
      </w:r>
      <w:r w:rsidRPr="00DE0147">
        <w:rPr>
          <w:rFonts w:cs="Tahoma"/>
          <w:szCs w:val="20"/>
        </w:rPr>
        <w:t xml:space="preserve"> tis. Kč. K navýšení objemu rozpočtu došlo také v souvislosti se zapojením dotace určené na dotační program </w:t>
      </w:r>
      <w:r w:rsidR="00E36DC9">
        <w:rPr>
          <w:rFonts w:cs="Tahoma"/>
          <w:szCs w:val="20"/>
        </w:rPr>
        <w:t>„</w:t>
      </w:r>
      <w:r w:rsidRPr="00DE0147">
        <w:rPr>
          <w:rFonts w:cs="Tahoma"/>
          <w:szCs w:val="20"/>
        </w:rPr>
        <w:t>Program na podporu poskytování sociálních služeb</w:t>
      </w:r>
      <w:r w:rsidR="00E36DC9">
        <w:rPr>
          <w:rFonts w:cs="Tahoma"/>
          <w:szCs w:val="20"/>
        </w:rPr>
        <w:t>“</w:t>
      </w:r>
      <w:r w:rsidRPr="00DE0147">
        <w:rPr>
          <w:rFonts w:cs="Tahoma"/>
          <w:szCs w:val="20"/>
        </w:rPr>
        <w:t xml:space="preserve"> v celkové výši </w:t>
      </w:r>
      <w:r w:rsidR="00DE0147" w:rsidRPr="00DE0147">
        <w:rPr>
          <w:rFonts w:cs="Tahoma"/>
          <w:szCs w:val="20"/>
        </w:rPr>
        <w:t>2.314.997</w:t>
      </w:r>
      <w:r w:rsidRPr="00DE0147">
        <w:rPr>
          <w:rFonts w:cs="Tahoma"/>
          <w:szCs w:val="20"/>
        </w:rPr>
        <w:t xml:space="preserve"> tis. Kč poskytnuté z kapitoly Ministerstva práce a sociálních věcí. Účelem realizace dotačního programu je finanční podpora poskytovatelů registrovaných sociálních služeb, jejichž potřebnost je vyjádřena ve Střednědobém plánu rozvoje sociálních služeb MSK na léta </w:t>
      </w:r>
      <w:proofErr w:type="gramStart"/>
      <w:r w:rsidR="006D3E21" w:rsidRPr="00DE0147">
        <w:rPr>
          <w:rFonts w:cs="Tahoma"/>
          <w:szCs w:val="20"/>
        </w:rPr>
        <w:t>2021 - 2023</w:t>
      </w:r>
      <w:proofErr w:type="gramEnd"/>
      <w:r w:rsidRPr="00DE0147">
        <w:rPr>
          <w:rFonts w:cs="Tahoma"/>
          <w:szCs w:val="20"/>
        </w:rPr>
        <w:t>, a která jsou součástí sítě sociálních služeb v kraji. Úpravy rozpočtu roku 20</w:t>
      </w:r>
      <w:r w:rsidR="0099727C" w:rsidRPr="00DE0147">
        <w:rPr>
          <w:rFonts w:cs="Tahoma"/>
          <w:szCs w:val="20"/>
        </w:rPr>
        <w:t>2</w:t>
      </w:r>
      <w:r w:rsidR="00DE0147">
        <w:rPr>
          <w:rFonts w:cs="Tahoma"/>
          <w:szCs w:val="20"/>
        </w:rPr>
        <w:t>2</w:t>
      </w:r>
      <w:r w:rsidRPr="00DE0147">
        <w:rPr>
          <w:rFonts w:cs="Tahoma"/>
          <w:szCs w:val="20"/>
        </w:rPr>
        <w:t xml:space="preserve"> souvisely také s přijetím a následným přerozdělením ostatních dotací z jednotlivých kapitol státního rozpočtu. </w:t>
      </w:r>
    </w:p>
    <w:p w14:paraId="30472E5A" w14:textId="230B57CA" w:rsidR="00B945F7" w:rsidRPr="001801FC" w:rsidRDefault="00B945F7" w:rsidP="00B945F7">
      <w:pPr>
        <w:numPr>
          <w:ilvl w:val="0"/>
          <w:numId w:val="11"/>
        </w:numPr>
        <w:ind w:left="714" w:hanging="357"/>
        <w:rPr>
          <w:rFonts w:cs="Tahoma"/>
          <w:szCs w:val="20"/>
        </w:rPr>
      </w:pPr>
      <w:bookmarkStart w:id="14" w:name="_Hlk87974665"/>
      <w:r w:rsidRPr="001801FC">
        <w:rPr>
          <w:rFonts w:cs="Tahoma"/>
          <w:szCs w:val="20"/>
        </w:rPr>
        <w:t>Zůstatek finančních prostředků rozpočtového hospodaření roku 20</w:t>
      </w:r>
      <w:r w:rsidR="007861FC" w:rsidRPr="001801FC">
        <w:rPr>
          <w:rFonts w:cs="Tahoma"/>
          <w:szCs w:val="20"/>
        </w:rPr>
        <w:t>2</w:t>
      </w:r>
      <w:r w:rsidR="00CB045C" w:rsidRPr="001801FC">
        <w:rPr>
          <w:rFonts w:cs="Tahoma"/>
          <w:szCs w:val="20"/>
        </w:rPr>
        <w:t>1</w:t>
      </w:r>
    </w:p>
    <w:p w14:paraId="11D5AC28" w14:textId="4A7E3B74" w:rsidR="00A1795A" w:rsidRPr="00413B12" w:rsidRDefault="00B945F7" w:rsidP="00A1795A">
      <w:r w:rsidRPr="001801FC">
        <w:t xml:space="preserve">V souladu s usnesením zastupitelstva kraje č. </w:t>
      </w:r>
      <w:r w:rsidR="00CB045C" w:rsidRPr="001801FC">
        <w:t>6/475</w:t>
      </w:r>
      <w:r w:rsidRPr="001801FC">
        <w:t xml:space="preserve"> ze dne 1</w:t>
      </w:r>
      <w:r w:rsidR="00CB045C" w:rsidRPr="001801FC">
        <w:t>6</w:t>
      </w:r>
      <w:r w:rsidRPr="001801FC">
        <w:t>. 12. 20</w:t>
      </w:r>
      <w:r w:rsidR="007861FC" w:rsidRPr="001801FC">
        <w:t>2</w:t>
      </w:r>
      <w:r w:rsidR="00CB045C" w:rsidRPr="001801FC">
        <w:t>1</w:t>
      </w:r>
      <w:r w:rsidRPr="001801FC">
        <w:t xml:space="preserve"> došlo k </w:t>
      </w:r>
      <w:r w:rsidR="0073096F" w:rsidRPr="001801FC">
        <w:t>30. 4. 2022</w:t>
      </w:r>
      <w:r w:rsidRPr="001801FC">
        <w:t xml:space="preserve"> </w:t>
      </w:r>
      <w:r w:rsidR="00A1795A" w:rsidRPr="001801FC">
        <w:t>ke zvýšení výdajové části a nahrazení části prostředků úvěru UCB ve zdrojové části rozpočtu zapojením části zůstatku finančních prostředků rozpočtového hospodaření roku 202</w:t>
      </w:r>
      <w:r w:rsidR="00CB045C" w:rsidRPr="001801FC">
        <w:t>1</w:t>
      </w:r>
      <w:r w:rsidR="00A1795A" w:rsidRPr="001801FC">
        <w:t xml:space="preserve"> do rozpočtu na rok 202</w:t>
      </w:r>
      <w:r w:rsidR="00CB045C" w:rsidRPr="001801FC">
        <w:t>2</w:t>
      </w:r>
      <w:r w:rsidR="00A1795A" w:rsidRPr="001801FC">
        <w:t xml:space="preserve"> v celkové výši </w:t>
      </w:r>
      <w:r w:rsidR="001801FC" w:rsidRPr="00413B12">
        <w:t>2.496.202</w:t>
      </w:r>
      <w:r w:rsidR="00C845CF" w:rsidRPr="00413B12">
        <w:t> </w:t>
      </w:r>
      <w:r w:rsidR="00A1795A" w:rsidRPr="00413B12">
        <w:t xml:space="preserve">tis. Kč, z toho: </w:t>
      </w:r>
    </w:p>
    <w:p w14:paraId="63672C36" w14:textId="2A8E7FCD" w:rsidR="00EA2A80" w:rsidRPr="00092B59" w:rsidRDefault="00EA2A80" w:rsidP="00EA2A80">
      <w:pPr>
        <w:numPr>
          <w:ilvl w:val="0"/>
          <w:numId w:val="10"/>
        </w:numPr>
        <w:spacing w:before="200"/>
        <w:rPr>
          <w:rFonts w:ascii="Calibri" w:hAnsi="Calibri"/>
          <w:szCs w:val="22"/>
        </w:rPr>
      </w:pPr>
      <w:r w:rsidRPr="00413B12">
        <w:t>Část zůstatku finančních prostředků rozpočtového hospodaření roku 2021 ve výši 1.359.514 tis. Kč byla zapojena usneseními rady kraje č. 33/2314 ze dne 10. 1. 2022 a č. 34/2377 ze</w:t>
      </w:r>
      <w:r w:rsidR="00413B12" w:rsidRPr="00413B12">
        <w:t> </w:t>
      </w:r>
      <w:r w:rsidRPr="00413B12">
        <w:t xml:space="preserve">dne 24. 1. 2022 do rozpočtu kraje na rok 2022, a to k dofinancování akcí spolufinancovaných z evropských finančních zdrojů, akcí reprodukce majetku kraje a akcí jinak </w:t>
      </w:r>
      <w:r w:rsidRPr="00092B59">
        <w:t xml:space="preserve">smluvně zajištěných a převedených do roku 2022. </w:t>
      </w:r>
    </w:p>
    <w:p w14:paraId="081803A4" w14:textId="5CF90FA5" w:rsidR="00EA2A80" w:rsidRPr="00092B59" w:rsidRDefault="00EA2A80" w:rsidP="00EA2A80">
      <w:pPr>
        <w:numPr>
          <w:ilvl w:val="0"/>
          <w:numId w:val="10"/>
        </w:numPr>
        <w:spacing w:before="200"/>
      </w:pPr>
      <w:r w:rsidRPr="00092B59">
        <w:t>Prostředky ve výši 128 tis. Kč byly zapojeny usnesením rady kraje č. 34/2377 ze</w:t>
      </w:r>
      <w:r w:rsidR="00445E96">
        <w:t> </w:t>
      </w:r>
      <w:r w:rsidRPr="00092B59">
        <w:t xml:space="preserve">dne 24. 1. 2022 k použití v souladu s vymezeným účelem (vratky mimo finanční vypořádání aj.). </w:t>
      </w:r>
    </w:p>
    <w:p w14:paraId="1C504CE6" w14:textId="77777777" w:rsidR="00EA2A80" w:rsidRPr="00092B59" w:rsidRDefault="00EA2A80" w:rsidP="00EA2A80">
      <w:pPr>
        <w:numPr>
          <w:ilvl w:val="0"/>
          <w:numId w:val="10"/>
        </w:numPr>
      </w:pPr>
      <w:r w:rsidRPr="00092B59">
        <w:t xml:space="preserve">Prostředky ve výši 12.061 tis. Kč byly zapojeny usneseními rady kraje č. 34/2377 ze dne 24. 1. 2022 a č. 41/2800 ze dne 28. 3. 2022 do rozpočtu na rok 2022 v souvislosti s finančním vypořádáním účelově poskytnutých dotací kraji v roce 2021 z jednotlivých kapitol státního rozpočtu. </w:t>
      </w:r>
    </w:p>
    <w:p w14:paraId="4FA2CE5F" w14:textId="77777777" w:rsidR="00EA2A80" w:rsidRPr="00092B59" w:rsidRDefault="00EA2A80" w:rsidP="00EA2A80">
      <w:pPr>
        <w:numPr>
          <w:ilvl w:val="0"/>
          <w:numId w:val="10"/>
        </w:numPr>
        <w:spacing w:before="200"/>
        <w:rPr>
          <w:rFonts w:eastAsiaTheme="minorHAnsi"/>
        </w:rPr>
      </w:pPr>
      <w:r w:rsidRPr="00092B59">
        <w:t xml:space="preserve">Nespecifikovaná část zůstatku hospodaření za rok 2021 ve výši 1.124.499 tis. Kč byla radou kraje postupně zapojována do rozpočtu kraje na rok 2022. Jednalo se o prostředky, které byly použity k dofinancování akcí rozpočtu kraje na rok 2022 a financování nových akcí </w:t>
      </w:r>
      <w:r w:rsidRPr="00092B59">
        <w:lastRenderedPageBreak/>
        <w:t xml:space="preserve">v souladu se Strategií rozvoje Moravskoslezského kraje na léta 2019–2027, schválenou usnesením zastupitelstva kraje č. 14/1717 ze dne 12. 12. 2019, a vychází z programového prohlášení rady kraje Vize 2030 (schváleného usnesením rady kraje č. 10/521 ze dne 22. 2. 2021). </w:t>
      </w:r>
    </w:p>
    <w:bookmarkEnd w:id="14"/>
    <w:p w14:paraId="67214E8D" w14:textId="0528B3B9" w:rsidR="00037862" w:rsidRPr="00216742" w:rsidRDefault="00037862" w:rsidP="00037862">
      <w:pPr>
        <w:numPr>
          <w:ilvl w:val="0"/>
          <w:numId w:val="11"/>
        </w:numPr>
        <w:rPr>
          <w:rFonts w:cs="Tahoma"/>
          <w:szCs w:val="20"/>
        </w:rPr>
      </w:pPr>
      <w:r w:rsidRPr="00216742">
        <w:rPr>
          <w:rFonts w:cs="Tahoma"/>
          <w:szCs w:val="20"/>
        </w:rPr>
        <w:t xml:space="preserve">Úpravy rozpočtu </w:t>
      </w:r>
      <w:r w:rsidR="00716B6B" w:rsidRPr="00216742">
        <w:rPr>
          <w:rFonts w:cs="Tahoma"/>
          <w:szCs w:val="20"/>
        </w:rPr>
        <w:t>v</w:t>
      </w:r>
      <w:r w:rsidR="00216742" w:rsidRPr="00216742">
        <w:rPr>
          <w:rFonts w:cs="Tahoma"/>
          <w:szCs w:val="20"/>
        </w:rPr>
        <w:t> </w:t>
      </w:r>
      <w:r w:rsidR="00716B6B" w:rsidRPr="00216742">
        <w:rPr>
          <w:rFonts w:cs="Tahoma"/>
          <w:szCs w:val="20"/>
        </w:rPr>
        <w:t>souvislosti s válkou na Ukrajině</w:t>
      </w:r>
    </w:p>
    <w:p w14:paraId="7FE6FAB2" w14:textId="7663FF19" w:rsidR="0074290C" w:rsidRDefault="0074290C" w:rsidP="0074290C">
      <w:r w:rsidRPr="0074290C">
        <w:t>V souvislosti s poskytováním humanitární pomoci občanům Ukrajiny byly ve</w:t>
      </w:r>
      <w:r>
        <w:t> </w:t>
      </w:r>
      <w:r w:rsidRPr="0074290C">
        <w:t>sledovaném období leden až</w:t>
      </w:r>
      <w:r>
        <w:t> </w:t>
      </w:r>
      <w:r w:rsidRPr="0074290C">
        <w:t>duben vyčleněny prostředky v rozpočtu kraje ve</w:t>
      </w:r>
      <w:r>
        <w:t> </w:t>
      </w:r>
      <w:r w:rsidRPr="0074290C">
        <w:t>výši 20.600 tis. Kč. K 30. 4. 2022 byly čerpány prostředky ve výši 5.820 tis. Kč. Bližší informace o prostředcích vyčleněných v rozpočtu kraje na</w:t>
      </w:r>
      <w:r>
        <w:t> </w:t>
      </w:r>
      <w:r w:rsidRPr="0074290C">
        <w:t>humanitární pomoc občanům Ukrajiny postiženým ozbrojeným konfliktem jsou popsány v odvětví krizového řízení v rámci kapitoly Plnění rozpočtu kraje</w:t>
      </w:r>
      <w:r w:rsidR="002905AE">
        <w:t xml:space="preserve"> dle odvětví</w:t>
      </w:r>
      <w:r w:rsidRPr="0074290C">
        <w:t>.</w:t>
      </w:r>
    </w:p>
    <w:p w14:paraId="0C7E1A0B" w14:textId="77777777" w:rsidR="00B945F7" w:rsidRPr="00BC7B8D" w:rsidRDefault="00B945F7" w:rsidP="00037862">
      <w:pPr>
        <w:numPr>
          <w:ilvl w:val="0"/>
          <w:numId w:val="11"/>
        </w:numPr>
        <w:rPr>
          <w:rFonts w:cs="Tahoma"/>
          <w:szCs w:val="20"/>
        </w:rPr>
      </w:pPr>
      <w:r w:rsidRPr="00BC7B8D">
        <w:rPr>
          <w:rFonts w:cs="Tahoma"/>
          <w:szCs w:val="20"/>
        </w:rPr>
        <w:t>Ostatní úpravy rozpočtu</w:t>
      </w:r>
    </w:p>
    <w:p w14:paraId="5CB9D726" w14:textId="5D7EC13E" w:rsidR="00B945F7" w:rsidRPr="00BC7B8D" w:rsidRDefault="00B945F7" w:rsidP="00B945F7">
      <w:pPr>
        <w:rPr>
          <w:rFonts w:cs="Tahoma"/>
          <w:szCs w:val="20"/>
        </w:rPr>
      </w:pPr>
      <w:r w:rsidRPr="00BC7B8D">
        <w:rPr>
          <w:rFonts w:cs="Tahoma"/>
          <w:szCs w:val="20"/>
        </w:rPr>
        <w:t>Úpravy rozpočtu roku 202</w:t>
      </w:r>
      <w:r w:rsidR="00181127" w:rsidRPr="00BC7B8D">
        <w:rPr>
          <w:rFonts w:cs="Tahoma"/>
          <w:szCs w:val="20"/>
        </w:rPr>
        <w:t>2</w:t>
      </w:r>
      <w:r w:rsidRPr="00BC7B8D">
        <w:rPr>
          <w:rFonts w:cs="Tahoma"/>
          <w:szCs w:val="20"/>
        </w:rPr>
        <w:t xml:space="preserve"> souvisely také se zapojením prostředků určených pro finanční vypořádání dotací přijatých v minulých obdobích do rozpočtu kraje. Dále byl rozpočet kraje průběžně navyšován o přeplněné (neočekávané či mimořádné) příjmy roku 202</w:t>
      </w:r>
      <w:r w:rsidR="00181127" w:rsidRPr="00BC7B8D">
        <w:rPr>
          <w:rFonts w:cs="Tahoma"/>
          <w:szCs w:val="20"/>
        </w:rPr>
        <w:t>2</w:t>
      </w:r>
      <w:r w:rsidRPr="00BC7B8D">
        <w:rPr>
          <w:rFonts w:cs="Tahoma"/>
          <w:szCs w:val="20"/>
        </w:rPr>
        <w:t xml:space="preserve"> související s vlastní činností kraje, kdy tyto prostředky reflektují aktuální potřeby kraje. Neméně významné byly úpravy rozpočtu související s odpovídajícím zatřízením dle platné legislativy.</w:t>
      </w:r>
    </w:p>
    <w:p w14:paraId="607FC278" w14:textId="77777777" w:rsidR="00B945F7" w:rsidRPr="00BC7B8D" w:rsidRDefault="00B945F7" w:rsidP="00B945F7">
      <w:pPr>
        <w:rPr>
          <w:rFonts w:cs="Tahoma"/>
          <w:szCs w:val="20"/>
        </w:rPr>
      </w:pPr>
      <w:r w:rsidRPr="00BC7B8D">
        <w:rPr>
          <w:rFonts w:cs="Tahoma"/>
          <w:szCs w:val="20"/>
        </w:rPr>
        <w:t>Zbývající úpravy rozpočtu neměly významný dopad na celkovou výši rozpočtu kraje. Přehled všech schválených rozpočtových opatření radou kraje je uveden v příloze č. 1 předloženého materiálu.</w:t>
      </w:r>
    </w:p>
    <w:p w14:paraId="586AA4DE" w14:textId="77777777" w:rsidR="007F2479" w:rsidRPr="00BC7B8D" w:rsidRDefault="007F2479" w:rsidP="00094480">
      <w:pPr>
        <w:pStyle w:val="Nadpis2"/>
      </w:pPr>
      <w:r w:rsidRPr="00BC7B8D">
        <w:t>Příjmová část rozpočtu</w:t>
      </w:r>
    </w:p>
    <w:p w14:paraId="186E2613" w14:textId="064F7D1D" w:rsidR="00BD3207" w:rsidRPr="00D9304B" w:rsidRDefault="00BD3207" w:rsidP="00BD3207">
      <w:pPr>
        <w:rPr>
          <w:rFonts w:cs="Tahoma"/>
          <w:szCs w:val="20"/>
        </w:rPr>
      </w:pPr>
      <w:r w:rsidRPr="00D9304B">
        <w:rPr>
          <w:rFonts w:cs="Tahoma"/>
          <w:szCs w:val="20"/>
        </w:rPr>
        <w:t>K 30. 4. 2022 jsou příjmy plněny na 34 % upraveného rozpočtu. Skutečné příjmy činí 10.502.182</w:t>
      </w:r>
      <w:r w:rsidR="00CB3B3E">
        <w:rPr>
          <w:rFonts w:cs="Tahoma"/>
          <w:szCs w:val="20"/>
        </w:rPr>
        <w:t> </w:t>
      </w:r>
      <w:r w:rsidRPr="00D9304B">
        <w:rPr>
          <w:rFonts w:cs="Tahoma"/>
          <w:szCs w:val="20"/>
        </w:rPr>
        <w:t xml:space="preserve">tis. Kč. Ve srovnání skutečných příjmů období </w:t>
      </w:r>
      <w:proofErr w:type="gramStart"/>
      <w:r w:rsidRPr="00D9304B">
        <w:rPr>
          <w:rFonts w:cs="Tahoma"/>
          <w:szCs w:val="20"/>
        </w:rPr>
        <w:t>leden</w:t>
      </w:r>
      <w:r>
        <w:rPr>
          <w:rFonts w:cs="Tahoma"/>
          <w:szCs w:val="20"/>
        </w:rPr>
        <w:t> </w:t>
      </w:r>
      <w:r w:rsidRPr="00D9304B">
        <w:rPr>
          <w:rFonts w:cs="Tahoma"/>
          <w:szCs w:val="20"/>
        </w:rPr>
        <w:t>–</w:t>
      </w:r>
      <w:r>
        <w:rPr>
          <w:rFonts w:cs="Tahoma"/>
          <w:szCs w:val="20"/>
        </w:rPr>
        <w:t> </w:t>
      </w:r>
      <w:r w:rsidRPr="00D9304B">
        <w:rPr>
          <w:rFonts w:cs="Tahoma"/>
          <w:szCs w:val="20"/>
        </w:rPr>
        <w:t>duben</w:t>
      </w:r>
      <w:proofErr w:type="gramEnd"/>
      <w:r w:rsidRPr="00D9304B">
        <w:rPr>
          <w:rFonts w:cs="Tahoma"/>
          <w:szCs w:val="20"/>
        </w:rPr>
        <w:t xml:space="preserve"> 2022 se stejným obdobím roku 2021 došlo celkově v letošním roce k poklesu příjmů kraje o 1.126.68</w:t>
      </w:r>
      <w:r>
        <w:rPr>
          <w:rFonts w:cs="Tahoma"/>
          <w:szCs w:val="20"/>
        </w:rPr>
        <w:t>8</w:t>
      </w:r>
      <w:r w:rsidRPr="00D9304B">
        <w:rPr>
          <w:rFonts w:cs="Tahoma"/>
          <w:szCs w:val="20"/>
        </w:rPr>
        <w:t> tis. Kč. Meziroční pokles příjmů souvisel s nižším objemem přijatých dotací z jednotlivých ministerstev</w:t>
      </w:r>
      <w:r>
        <w:rPr>
          <w:rFonts w:cs="Tahoma"/>
          <w:szCs w:val="20"/>
        </w:rPr>
        <w:t xml:space="preserve"> a z evropských finančních zdrojů, převážně </w:t>
      </w:r>
      <w:r w:rsidRPr="00D9304B">
        <w:rPr>
          <w:rFonts w:cs="Tahoma"/>
          <w:szCs w:val="20"/>
        </w:rPr>
        <w:t xml:space="preserve">v důsledku </w:t>
      </w:r>
      <w:r>
        <w:rPr>
          <w:rFonts w:cs="Tahoma"/>
          <w:szCs w:val="20"/>
        </w:rPr>
        <w:t>rozpočtového provizoria trvajícího v</w:t>
      </w:r>
      <w:r w:rsidR="00CB3B3E">
        <w:rPr>
          <w:rFonts w:cs="Tahoma"/>
          <w:szCs w:val="20"/>
        </w:rPr>
        <w:t> </w:t>
      </w:r>
      <w:r>
        <w:rPr>
          <w:rFonts w:cs="Tahoma"/>
          <w:szCs w:val="20"/>
        </w:rPr>
        <w:t xml:space="preserve">prvních třech měsících roku 2022 (kumulativní </w:t>
      </w:r>
      <w:r w:rsidRPr="00D9304B">
        <w:rPr>
          <w:rFonts w:cs="Tahoma"/>
          <w:szCs w:val="20"/>
        </w:rPr>
        <w:t>snížení celkem o </w:t>
      </w:r>
      <w:r>
        <w:rPr>
          <w:rFonts w:cs="Tahoma"/>
          <w:szCs w:val="20"/>
        </w:rPr>
        <w:t>1.340.679</w:t>
      </w:r>
      <w:r w:rsidRPr="00D9304B">
        <w:rPr>
          <w:rFonts w:cs="Tahoma"/>
          <w:szCs w:val="20"/>
        </w:rPr>
        <w:t> tis. Kč)</w:t>
      </w:r>
      <w:r>
        <w:rPr>
          <w:rFonts w:cs="Tahoma"/>
          <w:szCs w:val="20"/>
        </w:rPr>
        <w:t xml:space="preserve"> </w:t>
      </w:r>
      <w:r w:rsidRPr="00D9304B">
        <w:rPr>
          <w:rFonts w:cs="Tahoma"/>
          <w:szCs w:val="20"/>
        </w:rPr>
        <w:t>a kapitálových příjmů (pokles celkem o 4</w:t>
      </w:r>
      <w:r>
        <w:rPr>
          <w:rFonts w:cs="Tahoma"/>
          <w:szCs w:val="20"/>
        </w:rPr>
        <w:t>8</w:t>
      </w:r>
      <w:r w:rsidRPr="00D9304B">
        <w:rPr>
          <w:rFonts w:cs="Tahoma"/>
          <w:szCs w:val="20"/>
        </w:rPr>
        <w:t>.2</w:t>
      </w:r>
      <w:r>
        <w:rPr>
          <w:rFonts w:cs="Tahoma"/>
          <w:szCs w:val="20"/>
        </w:rPr>
        <w:t>82</w:t>
      </w:r>
      <w:r w:rsidRPr="00D9304B">
        <w:rPr>
          <w:rFonts w:cs="Tahoma"/>
          <w:szCs w:val="20"/>
        </w:rPr>
        <w:t> tis. Kč). Naopak došlo k meziročnímu nárůstu skutečných daňových příjmů (růst o 255.313 tis. Kč)</w:t>
      </w:r>
      <w:r>
        <w:rPr>
          <w:rFonts w:cs="Tahoma"/>
          <w:szCs w:val="20"/>
        </w:rPr>
        <w:t> </w:t>
      </w:r>
      <w:r w:rsidRPr="00D9304B">
        <w:rPr>
          <w:rFonts w:cs="Tahoma"/>
          <w:szCs w:val="20"/>
        </w:rPr>
        <w:t>a přijatých nedaňových příjmů (růst celkem o 6.960 tis. Kč).</w:t>
      </w:r>
    </w:p>
    <w:p w14:paraId="14CD8458" w14:textId="77837A9E" w:rsidR="004529D9" w:rsidRPr="004529D9" w:rsidRDefault="00EC605A" w:rsidP="00373AF0">
      <w:pPr>
        <w:pStyle w:val="Styltab"/>
      </w:pPr>
      <w:r w:rsidRPr="00E107E5">
        <w:t xml:space="preserve">Přehled příjmů kraje v členění dle rozpočtové skladby </w:t>
      </w:r>
      <w:r w:rsidRPr="00E107E5">
        <w:tab/>
        <w:t>v tis. Kč</w:t>
      </w:r>
      <w:bookmarkStart w:id="15" w:name="_MON_1714220292"/>
      <w:bookmarkEnd w:id="15"/>
      <w:r w:rsidR="004529D9" w:rsidRPr="00E107E5">
        <w:object w:dxaOrig="9303" w:dyaOrig="1733" w14:anchorId="2B5AF09F">
          <v:shape id="_x0000_i1026" type="#_x0000_t75" style="width:461.2pt;height:86.25pt" o:ole="">
            <v:imagedata r:id="rId10" o:title=""/>
          </v:shape>
          <o:OLEObject Type="Embed" ProgID="Excel.Sheet.8" ShapeID="_x0000_i1026" DrawAspect="Content" ObjectID="_1714980688" r:id="rId11"/>
        </w:object>
      </w:r>
    </w:p>
    <w:p w14:paraId="586AA4E2" w14:textId="77777777" w:rsidR="007344D2" w:rsidRPr="000E7FB0" w:rsidRDefault="007344D2" w:rsidP="007344D2">
      <w:pPr>
        <w:pStyle w:val="Nadpis3"/>
      </w:pPr>
      <w:r w:rsidRPr="000E7FB0">
        <w:t>Daňové příjmy</w:t>
      </w:r>
    </w:p>
    <w:p w14:paraId="51CA73DD" w14:textId="4697F00A" w:rsidR="008F1ADF" w:rsidRPr="00C37656" w:rsidRDefault="008F1ADF" w:rsidP="008F1ADF">
      <w:pPr>
        <w:rPr>
          <w:rFonts w:cs="Tahoma"/>
          <w:szCs w:val="20"/>
        </w:rPr>
      </w:pPr>
      <w:r w:rsidRPr="00C37656">
        <w:rPr>
          <w:rFonts w:cs="Tahoma"/>
          <w:szCs w:val="20"/>
        </w:rPr>
        <w:t xml:space="preserve">Schválený rozpočet daňových příjmů kraje činí 7.283.700 tis. Kč. Skutečně přijaté daňové příjmy kraje dosáhly výši 2.431.071 tis. Kč, tj. 33 % upraveného rozpočtu. Rozpočet příjmů ze sdílených daní nebyl k 30. 4. 2022 celkově upraven. </w:t>
      </w:r>
    </w:p>
    <w:p w14:paraId="0EF383D5" w14:textId="45295350" w:rsidR="00EC7978" w:rsidRPr="00C37656" w:rsidRDefault="00EC605A" w:rsidP="00373AF0">
      <w:pPr>
        <w:pStyle w:val="Styltab"/>
      </w:pPr>
      <w:r w:rsidRPr="00C37656">
        <w:lastRenderedPageBreak/>
        <w:t xml:space="preserve">Přehled příjmů kraje – daňové příjmy </w:t>
      </w:r>
      <w:r w:rsidRPr="00C37656">
        <w:tab/>
        <w:t>v tis. Kč</w:t>
      </w:r>
      <w:r w:rsidR="00373AF0" w:rsidRPr="00C37656">
        <w:object w:dxaOrig="10656" w:dyaOrig="4431" w14:anchorId="2A90F5B0">
          <v:shape id="_x0000_i1027" type="#_x0000_t75" style="width:460.55pt;height:180pt" o:ole="">
            <v:imagedata r:id="rId12" o:title=""/>
          </v:shape>
          <o:OLEObject Type="Embed" ProgID="Excel.Sheet.8" ShapeID="_x0000_i1027" DrawAspect="Content" ObjectID="_1714980689" r:id="rId13"/>
        </w:object>
      </w:r>
    </w:p>
    <w:p w14:paraId="34608725" w14:textId="62C0DA98" w:rsidR="00C37656" w:rsidRDefault="00C37656" w:rsidP="00C37656">
      <w:pPr>
        <w:rPr>
          <w:rFonts w:cs="Tahoma"/>
          <w:szCs w:val="20"/>
        </w:rPr>
      </w:pPr>
      <w:r w:rsidRPr="005F5E25">
        <w:rPr>
          <w:rFonts w:cs="Tahoma"/>
          <w:szCs w:val="20"/>
        </w:rPr>
        <w:t>Výnosy ze sdílených daní dosáhly k 30. 4. 2022 výše 2.414.609</w:t>
      </w:r>
      <w:r w:rsidR="009A5AA5">
        <w:rPr>
          <w:rFonts w:cs="Tahoma"/>
          <w:szCs w:val="20"/>
        </w:rPr>
        <w:t> </w:t>
      </w:r>
      <w:r w:rsidRPr="005F5E25">
        <w:rPr>
          <w:rFonts w:cs="Tahoma"/>
          <w:szCs w:val="20"/>
        </w:rPr>
        <w:t>tis.</w:t>
      </w:r>
      <w:r w:rsidR="009A5AA5">
        <w:rPr>
          <w:rFonts w:cs="Tahoma"/>
          <w:szCs w:val="20"/>
        </w:rPr>
        <w:t> </w:t>
      </w:r>
      <w:r w:rsidRPr="005F5E25">
        <w:rPr>
          <w:rFonts w:cs="Tahoma"/>
          <w:szCs w:val="20"/>
        </w:rPr>
        <w:t>Kč, ve</w:t>
      </w:r>
      <w:r w:rsidR="009A5AA5">
        <w:rPr>
          <w:rFonts w:cs="Tahoma"/>
          <w:szCs w:val="20"/>
        </w:rPr>
        <w:t> </w:t>
      </w:r>
      <w:r w:rsidRPr="005F5E25">
        <w:rPr>
          <w:rFonts w:cs="Tahoma"/>
          <w:szCs w:val="20"/>
        </w:rPr>
        <w:t>stejném období loňského roku pak 2.160</w:t>
      </w:r>
      <w:r>
        <w:rPr>
          <w:rFonts w:cs="Tahoma"/>
          <w:szCs w:val="20"/>
        </w:rPr>
        <w:t>.</w:t>
      </w:r>
      <w:r w:rsidRPr="005F5E25">
        <w:rPr>
          <w:rFonts w:cs="Tahoma"/>
          <w:szCs w:val="20"/>
        </w:rPr>
        <w:t>441</w:t>
      </w:r>
      <w:r w:rsidR="009A5AA5">
        <w:rPr>
          <w:rFonts w:cs="Tahoma"/>
          <w:szCs w:val="20"/>
        </w:rPr>
        <w:t> </w:t>
      </w:r>
      <w:r w:rsidRPr="005F5E25">
        <w:rPr>
          <w:rFonts w:cs="Tahoma"/>
          <w:szCs w:val="20"/>
        </w:rPr>
        <w:t>tis.</w:t>
      </w:r>
      <w:r w:rsidR="009A5AA5">
        <w:rPr>
          <w:rFonts w:cs="Tahoma"/>
          <w:szCs w:val="20"/>
        </w:rPr>
        <w:t> </w:t>
      </w:r>
      <w:r w:rsidRPr="005F5E25">
        <w:rPr>
          <w:rFonts w:cs="Tahoma"/>
          <w:szCs w:val="20"/>
        </w:rPr>
        <w:t>Kč. Ve</w:t>
      </w:r>
      <w:r w:rsidR="009A5AA5">
        <w:rPr>
          <w:rFonts w:cs="Tahoma"/>
          <w:szCs w:val="20"/>
        </w:rPr>
        <w:t> </w:t>
      </w:r>
      <w:r w:rsidRPr="005F5E25">
        <w:rPr>
          <w:rFonts w:cs="Tahoma"/>
          <w:szCs w:val="20"/>
        </w:rPr>
        <w:t>srovnání období leden až duben 202</w:t>
      </w:r>
      <w:r>
        <w:rPr>
          <w:rFonts w:cs="Tahoma"/>
          <w:szCs w:val="20"/>
        </w:rPr>
        <w:t>2</w:t>
      </w:r>
      <w:r w:rsidRPr="005F5E25">
        <w:rPr>
          <w:rFonts w:cs="Tahoma"/>
          <w:szCs w:val="20"/>
        </w:rPr>
        <w:t xml:space="preserve"> a</w:t>
      </w:r>
      <w:r w:rsidR="009A5AA5">
        <w:rPr>
          <w:rFonts w:cs="Tahoma"/>
          <w:szCs w:val="20"/>
        </w:rPr>
        <w:t> </w:t>
      </w:r>
      <w:r w:rsidRPr="005F5E25">
        <w:rPr>
          <w:rFonts w:cs="Tahoma"/>
          <w:szCs w:val="20"/>
        </w:rPr>
        <w:t>stejného období roku 2021 došlo celkově ke</w:t>
      </w:r>
      <w:r w:rsidR="009A5AA5">
        <w:rPr>
          <w:rFonts w:cs="Tahoma"/>
          <w:szCs w:val="20"/>
        </w:rPr>
        <w:t> </w:t>
      </w:r>
      <w:r w:rsidRPr="005F5E25">
        <w:rPr>
          <w:rFonts w:cs="Tahoma"/>
          <w:szCs w:val="20"/>
        </w:rPr>
        <w:t>zvýšení příjmů ze</w:t>
      </w:r>
      <w:r w:rsidR="009A5AA5">
        <w:rPr>
          <w:rFonts w:cs="Tahoma"/>
          <w:szCs w:val="20"/>
        </w:rPr>
        <w:t> </w:t>
      </w:r>
      <w:r w:rsidRPr="005F5E25">
        <w:rPr>
          <w:rFonts w:cs="Tahoma"/>
          <w:szCs w:val="20"/>
        </w:rPr>
        <w:t>sdílených daní o 254.167</w:t>
      </w:r>
      <w:r w:rsidR="009A5AA5">
        <w:rPr>
          <w:rFonts w:cs="Tahoma"/>
          <w:szCs w:val="20"/>
        </w:rPr>
        <w:t> </w:t>
      </w:r>
      <w:r w:rsidRPr="005F5E25">
        <w:rPr>
          <w:rFonts w:cs="Tahoma"/>
          <w:szCs w:val="20"/>
        </w:rPr>
        <w:t>tis.</w:t>
      </w:r>
      <w:r w:rsidR="009A5AA5">
        <w:rPr>
          <w:rFonts w:cs="Tahoma"/>
          <w:szCs w:val="20"/>
        </w:rPr>
        <w:t> </w:t>
      </w:r>
      <w:r w:rsidRPr="005F5E25">
        <w:rPr>
          <w:rFonts w:cs="Tahoma"/>
          <w:szCs w:val="20"/>
        </w:rPr>
        <w:t xml:space="preserve">Kč. </w:t>
      </w:r>
    </w:p>
    <w:p w14:paraId="762D6C02" w14:textId="53DA8626" w:rsidR="00C37656" w:rsidRPr="0095275A" w:rsidRDefault="00C37656" w:rsidP="00C37656">
      <w:pPr>
        <w:rPr>
          <w:rFonts w:cs="Tahoma"/>
          <w:szCs w:val="20"/>
        </w:rPr>
      </w:pPr>
      <w:r w:rsidRPr="00DD1468">
        <w:rPr>
          <w:rFonts w:cs="Tahoma"/>
          <w:szCs w:val="20"/>
        </w:rPr>
        <w:t>Na</w:t>
      </w:r>
      <w:r w:rsidR="0096743C">
        <w:rPr>
          <w:rFonts w:cs="Tahoma"/>
          <w:szCs w:val="20"/>
        </w:rPr>
        <w:t> </w:t>
      </w:r>
      <w:r w:rsidRPr="00DD1468">
        <w:rPr>
          <w:rFonts w:cs="Tahoma"/>
          <w:szCs w:val="20"/>
        </w:rPr>
        <w:t>zvýšení celkového výnosu sdílených daní se podílela nejvíce daň z přidané hodnoty (nárůst o</w:t>
      </w:r>
      <w:r w:rsidR="0096743C">
        <w:rPr>
          <w:rFonts w:cs="Tahoma"/>
          <w:szCs w:val="20"/>
        </w:rPr>
        <w:t> </w:t>
      </w:r>
      <w:r w:rsidRPr="00DD1468">
        <w:rPr>
          <w:rFonts w:cs="Tahoma"/>
          <w:szCs w:val="20"/>
        </w:rPr>
        <w:t>264.592</w:t>
      </w:r>
      <w:r>
        <w:rPr>
          <w:rFonts w:cs="Tahoma"/>
          <w:szCs w:val="20"/>
        </w:rPr>
        <w:t> </w:t>
      </w:r>
      <w:r w:rsidRPr="00DD1468">
        <w:rPr>
          <w:rFonts w:cs="Tahoma"/>
          <w:szCs w:val="20"/>
        </w:rPr>
        <w:t>tis. Kč</w:t>
      </w:r>
      <w:r>
        <w:rPr>
          <w:rFonts w:cs="Tahoma"/>
          <w:szCs w:val="20"/>
        </w:rPr>
        <w:t xml:space="preserve">, přičemž </w:t>
      </w:r>
      <w:r w:rsidRPr="007D4B16">
        <w:rPr>
          <w:rFonts w:cs="Tahoma"/>
          <w:szCs w:val="20"/>
        </w:rPr>
        <w:t>inkaso daně z</w:t>
      </w:r>
      <w:r w:rsidR="0096743C">
        <w:rPr>
          <w:rFonts w:cs="Tahoma"/>
          <w:szCs w:val="20"/>
        </w:rPr>
        <w:t> </w:t>
      </w:r>
      <w:r w:rsidRPr="007D4B16">
        <w:rPr>
          <w:rFonts w:cs="Tahoma"/>
          <w:szCs w:val="20"/>
        </w:rPr>
        <w:t>přidané hodnoty bylo pozitivně ovlivněno oživením ekonomiky a</w:t>
      </w:r>
      <w:r w:rsidR="0096743C">
        <w:rPr>
          <w:rFonts w:cs="Tahoma"/>
          <w:szCs w:val="20"/>
        </w:rPr>
        <w:t> </w:t>
      </w:r>
      <w:r w:rsidRPr="007D4B16">
        <w:rPr>
          <w:rFonts w:cs="Tahoma"/>
          <w:szCs w:val="20"/>
        </w:rPr>
        <w:t>růstem cen), daň z</w:t>
      </w:r>
      <w:r w:rsidR="0096743C">
        <w:rPr>
          <w:rFonts w:cs="Tahoma"/>
          <w:szCs w:val="20"/>
        </w:rPr>
        <w:t> </w:t>
      </w:r>
      <w:r w:rsidRPr="007D4B16">
        <w:rPr>
          <w:rFonts w:cs="Tahoma"/>
          <w:szCs w:val="20"/>
        </w:rPr>
        <w:t>příjmů fyzických osob vybírané srážkou (nárůst</w:t>
      </w:r>
      <w:r w:rsidRPr="002010A7">
        <w:rPr>
          <w:rFonts w:cs="Tahoma"/>
          <w:szCs w:val="20"/>
        </w:rPr>
        <w:t xml:space="preserve"> o</w:t>
      </w:r>
      <w:r w:rsidR="0096743C">
        <w:rPr>
          <w:rFonts w:cs="Tahoma"/>
          <w:szCs w:val="20"/>
        </w:rPr>
        <w:t> </w:t>
      </w:r>
      <w:r>
        <w:rPr>
          <w:rFonts w:cs="Tahoma"/>
          <w:szCs w:val="20"/>
        </w:rPr>
        <w:t>14.650</w:t>
      </w:r>
      <w:r w:rsidR="0096743C">
        <w:rPr>
          <w:rFonts w:cs="Tahoma"/>
          <w:szCs w:val="20"/>
        </w:rPr>
        <w:t> </w:t>
      </w:r>
      <w:r w:rsidRPr="002010A7">
        <w:rPr>
          <w:rFonts w:cs="Tahoma"/>
          <w:szCs w:val="20"/>
        </w:rPr>
        <w:t>tis.</w:t>
      </w:r>
      <w:r w:rsidR="0096743C">
        <w:rPr>
          <w:rFonts w:cs="Tahoma"/>
          <w:szCs w:val="20"/>
        </w:rPr>
        <w:t> </w:t>
      </w:r>
      <w:r w:rsidRPr="002010A7">
        <w:rPr>
          <w:rFonts w:cs="Tahoma"/>
          <w:szCs w:val="20"/>
        </w:rPr>
        <w:t>Kč</w:t>
      </w:r>
      <w:r w:rsidRPr="001730E0">
        <w:rPr>
          <w:rFonts w:cs="Tahoma"/>
          <w:szCs w:val="20"/>
        </w:rPr>
        <w:t>)</w:t>
      </w:r>
      <w:r>
        <w:rPr>
          <w:rFonts w:cs="Tahoma"/>
          <w:szCs w:val="20"/>
        </w:rPr>
        <w:t xml:space="preserve"> a</w:t>
      </w:r>
      <w:r w:rsidR="0096743C">
        <w:rPr>
          <w:rFonts w:cs="Tahoma"/>
          <w:szCs w:val="20"/>
        </w:rPr>
        <w:t> </w:t>
      </w:r>
      <w:r w:rsidRPr="008F3196">
        <w:rPr>
          <w:rFonts w:cs="Tahoma"/>
          <w:szCs w:val="20"/>
        </w:rPr>
        <w:t>daň z</w:t>
      </w:r>
      <w:r w:rsidR="0096743C">
        <w:rPr>
          <w:rFonts w:cs="Tahoma"/>
          <w:szCs w:val="20"/>
        </w:rPr>
        <w:t> </w:t>
      </w:r>
      <w:r w:rsidRPr="008F3196">
        <w:rPr>
          <w:rFonts w:cs="Tahoma"/>
          <w:szCs w:val="20"/>
        </w:rPr>
        <w:t>příjmů fyzických osob placené poplatníky (nárůst o</w:t>
      </w:r>
      <w:r w:rsidR="0096743C">
        <w:rPr>
          <w:rFonts w:cs="Tahoma"/>
          <w:szCs w:val="20"/>
        </w:rPr>
        <w:t> </w:t>
      </w:r>
      <w:r>
        <w:rPr>
          <w:rFonts w:cs="Tahoma"/>
          <w:szCs w:val="20"/>
        </w:rPr>
        <w:t>3.724</w:t>
      </w:r>
      <w:r w:rsidR="0096743C">
        <w:rPr>
          <w:rFonts w:cs="Tahoma"/>
          <w:szCs w:val="20"/>
        </w:rPr>
        <w:t> </w:t>
      </w:r>
      <w:r w:rsidRPr="008F3196">
        <w:rPr>
          <w:rFonts w:cs="Tahoma"/>
          <w:szCs w:val="20"/>
        </w:rPr>
        <w:t>tis.</w:t>
      </w:r>
      <w:r w:rsidR="0096743C">
        <w:rPr>
          <w:rFonts w:cs="Tahoma"/>
          <w:szCs w:val="20"/>
        </w:rPr>
        <w:t> </w:t>
      </w:r>
      <w:r w:rsidRPr="008F3196">
        <w:rPr>
          <w:rFonts w:cs="Tahoma"/>
          <w:szCs w:val="20"/>
        </w:rPr>
        <w:t>Kč)</w:t>
      </w:r>
      <w:r>
        <w:rPr>
          <w:rFonts w:cs="Tahoma"/>
          <w:szCs w:val="20"/>
        </w:rPr>
        <w:t>.</w:t>
      </w:r>
      <w:r w:rsidRPr="008F3196">
        <w:rPr>
          <w:rFonts w:cs="Tahoma"/>
          <w:szCs w:val="20"/>
        </w:rPr>
        <w:t xml:space="preserve"> </w:t>
      </w:r>
      <w:r w:rsidRPr="000D6406">
        <w:rPr>
          <w:rFonts w:cs="Tahoma"/>
          <w:szCs w:val="20"/>
        </w:rPr>
        <w:t>Ke</w:t>
      </w:r>
      <w:r w:rsidR="0096743C">
        <w:rPr>
          <w:rFonts w:cs="Tahoma"/>
          <w:szCs w:val="20"/>
        </w:rPr>
        <w:t> </w:t>
      </w:r>
      <w:r w:rsidRPr="000D6406">
        <w:rPr>
          <w:rFonts w:cs="Tahoma"/>
          <w:szCs w:val="20"/>
        </w:rPr>
        <w:t>snížení naopak došlo u</w:t>
      </w:r>
      <w:r w:rsidR="0096743C">
        <w:rPr>
          <w:rFonts w:cs="Tahoma"/>
          <w:szCs w:val="20"/>
        </w:rPr>
        <w:t> </w:t>
      </w:r>
      <w:r w:rsidRPr="000D6406">
        <w:rPr>
          <w:rFonts w:cs="Tahoma"/>
          <w:szCs w:val="20"/>
        </w:rPr>
        <w:t>daně z příjmů fyzických osob placené plátci (pokles o</w:t>
      </w:r>
      <w:r w:rsidR="0096743C">
        <w:rPr>
          <w:rFonts w:cs="Tahoma"/>
          <w:szCs w:val="20"/>
        </w:rPr>
        <w:t> </w:t>
      </w:r>
      <w:r w:rsidRPr="000D6406">
        <w:rPr>
          <w:rFonts w:cs="Tahoma"/>
          <w:szCs w:val="20"/>
        </w:rPr>
        <w:t>14.734 tis. Kč) a</w:t>
      </w:r>
      <w:r w:rsidR="0096743C">
        <w:rPr>
          <w:rFonts w:cs="Tahoma"/>
          <w:szCs w:val="20"/>
        </w:rPr>
        <w:t> </w:t>
      </w:r>
      <w:r w:rsidRPr="000D6406">
        <w:rPr>
          <w:rFonts w:cs="Tahoma"/>
          <w:szCs w:val="20"/>
        </w:rPr>
        <w:t>u</w:t>
      </w:r>
      <w:r w:rsidR="0096743C">
        <w:rPr>
          <w:rFonts w:cs="Tahoma"/>
          <w:szCs w:val="20"/>
        </w:rPr>
        <w:t> </w:t>
      </w:r>
      <w:r w:rsidRPr="000D6406">
        <w:rPr>
          <w:rFonts w:cs="Tahoma"/>
          <w:szCs w:val="20"/>
        </w:rPr>
        <w:t>daně z</w:t>
      </w:r>
      <w:r w:rsidR="0096743C">
        <w:rPr>
          <w:rFonts w:cs="Tahoma"/>
          <w:szCs w:val="20"/>
        </w:rPr>
        <w:t> </w:t>
      </w:r>
      <w:r w:rsidRPr="000D6406">
        <w:rPr>
          <w:rFonts w:cs="Tahoma"/>
          <w:szCs w:val="20"/>
        </w:rPr>
        <w:t>příjmů právnických osob (</w:t>
      </w:r>
      <w:r>
        <w:rPr>
          <w:rFonts w:cs="Tahoma"/>
          <w:szCs w:val="20"/>
        </w:rPr>
        <w:t>pokles</w:t>
      </w:r>
      <w:r w:rsidRPr="000D6406">
        <w:rPr>
          <w:rFonts w:cs="Tahoma"/>
          <w:szCs w:val="20"/>
        </w:rPr>
        <w:t xml:space="preserve"> </w:t>
      </w:r>
      <w:r w:rsidRPr="0095275A">
        <w:rPr>
          <w:rFonts w:cs="Tahoma"/>
          <w:szCs w:val="20"/>
        </w:rPr>
        <w:t>o</w:t>
      </w:r>
      <w:r w:rsidR="0096743C" w:rsidRPr="0095275A">
        <w:rPr>
          <w:rFonts w:cs="Tahoma"/>
          <w:szCs w:val="20"/>
        </w:rPr>
        <w:t> </w:t>
      </w:r>
      <w:r w:rsidRPr="0095275A">
        <w:rPr>
          <w:rFonts w:cs="Tahoma"/>
          <w:szCs w:val="20"/>
        </w:rPr>
        <w:t>14.066</w:t>
      </w:r>
      <w:r w:rsidR="0096743C" w:rsidRPr="0095275A">
        <w:rPr>
          <w:rFonts w:cs="Tahoma"/>
          <w:szCs w:val="20"/>
        </w:rPr>
        <w:t> </w:t>
      </w:r>
      <w:r w:rsidRPr="0095275A">
        <w:rPr>
          <w:rFonts w:cs="Tahoma"/>
          <w:szCs w:val="20"/>
        </w:rPr>
        <w:t>tis.</w:t>
      </w:r>
      <w:r w:rsidR="0096743C" w:rsidRPr="0095275A">
        <w:rPr>
          <w:rFonts w:cs="Tahoma"/>
          <w:szCs w:val="20"/>
        </w:rPr>
        <w:t> </w:t>
      </w:r>
      <w:r w:rsidRPr="0095275A">
        <w:rPr>
          <w:rFonts w:cs="Tahoma"/>
          <w:szCs w:val="20"/>
        </w:rPr>
        <w:t xml:space="preserve">Kč). </w:t>
      </w:r>
    </w:p>
    <w:p w14:paraId="32BE3D25" w14:textId="4A4490D4" w:rsidR="009A6316" w:rsidRPr="0095275A" w:rsidRDefault="007344D2" w:rsidP="008C3576">
      <w:pPr>
        <w:rPr>
          <w:noProof/>
        </w:rPr>
      </w:pPr>
      <w:r w:rsidRPr="0095275A">
        <w:rPr>
          <w:rStyle w:val="Zdraznnjemn"/>
          <w:color w:val="auto"/>
        </w:rPr>
        <w:t xml:space="preserve">Graf č. 1: Vývoj </w:t>
      </w:r>
      <w:r w:rsidR="00676091" w:rsidRPr="0095275A">
        <w:rPr>
          <w:rStyle w:val="Zdraznnjemn"/>
          <w:color w:val="auto"/>
        </w:rPr>
        <w:t xml:space="preserve">plnění příjmů ze </w:t>
      </w:r>
      <w:r w:rsidRPr="0095275A">
        <w:rPr>
          <w:rStyle w:val="Zdraznnjemn"/>
          <w:color w:val="auto"/>
        </w:rPr>
        <w:t xml:space="preserve">sdílených daní </w:t>
      </w:r>
      <w:r w:rsidR="00676091" w:rsidRPr="0095275A">
        <w:rPr>
          <w:rStyle w:val="Zdraznnjemn"/>
          <w:color w:val="auto"/>
        </w:rPr>
        <w:t xml:space="preserve">v jednotlivých měsících </w:t>
      </w:r>
      <w:r w:rsidRPr="0095275A">
        <w:rPr>
          <w:rStyle w:val="Zdraznnjemn"/>
          <w:color w:val="auto"/>
        </w:rPr>
        <w:t>(bez daně z příjmů právnických osob</w:t>
      </w:r>
      <w:r w:rsidR="000B599F" w:rsidRPr="0095275A">
        <w:rPr>
          <w:rStyle w:val="Zdraznnjemn"/>
          <w:color w:val="auto"/>
        </w:rPr>
        <w:t xml:space="preserve"> za kraje) v letech 20</w:t>
      </w:r>
      <w:r w:rsidR="0051224C" w:rsidRPr="0095275A">
        <w:rPr>
          <w:rStyle w:val="Zdraznnjemn"/>
          <w:color w:val="auto"/>
        </w:rPr>
        <w:t>20 </w:t>
      </w:r>
      <w:r w:rsidR="0051224C" w:rsidRPr="0095275A">
        <w:rPr>
          <w:rStyle w:val="Zdraznnjemn"/>
          <w:color w:val="auto"/>
        </w:rPr>
        <w:noBreakHyphen/>
        <w:t> 2022</w:t>
      </w:r>
      <w:r w:rsidRPr="0095275A">
        <w:rPr>
          <w:rStyle w:val="Zdraznnjemn"/>
          <w:color w:val="auto"/>
        </w:rPr>
        <w:tab/>
      </w:r>
      <w:r w:rsidR="00DF37D5" w:rsidRPr="0095275A">
        <w:rPr>
          <w:rStyle w:val="Zdraznnjemn"/>
          <w:color w:val="auto"/>
        </w:rPr>
        <w:tab/>
      </w:r>
      <w:r w:rsidR="00DF37D5" w:rsidRPr="0095275A">
        <w:rPr>
          <w:rStyle w:val="Zdraznnjemn"/>
          <w:color w:val="auto"/>
        </w:rPr>
        <w:tab/>
      </w:r>
      <w:r w:rsidR="00DF37D5" w:rsidRPr="0095275A">
        <w:rPr>
          <w:rStyle w:val="Zdraznnjemn"/>
          <w:color w:val="auto"/>
        </w:rPr>
        <w:tab/>
      </w:r>
      <w:r w:rsidR="00DF37D5" w:rsidRPr="0095275A">
        <w:rPr>
          <w:rStyle w:val="Zdraznnjemn"/>
          <w:color w:val="auto"/>
        </w:rPr>
        <w:tab/>
      </w:r>
      <w:r w:rsidR="00DF37D5" w:rsidRPr="0095275A">
        <w:rPr>
          <w:rStyle w:val="Zdraznnjemn"/>
          <w:color w:val="auto"/>
        </w:rPr>
        <w:tab/>
      </w:r>
      <w:r w:rsidR="00DF37D5" w:rsidRPr="0095275A">
        <w:rPr>
          <w:rStyle w:val="Zdraznnjemn"/>
          <w:color w:val="auto"/>
        </w:rPr>
        <w:tab/>
      </w:r>
      <w:r w:rsidR="0028162E" w:rsidRPr="0095275A">
        <w:rPr>
          <w:rStyle w:val="Zdraznnjemn"/>
          <w:color w:val="auto"/>
        </w:rPr>
        <w:t xml:space="preserve">          </w:t>
      </w:r>
      <w:r w:rsidRPr="0095275A">
        <w:rPr>
          <w:rStyle w:val="Zdraznnjemn"/>
          <w:color w:val="auto"/>
        </w:rPr>
        <w:t>v tis. Kč</w:t>
      </w:r>
      <w:r w:rsidR="00EB7A88" w:rsidRPr="0095275A">
        <w:rPr>
          <w:noProof/>
        </w:rPr>
        <w:drawing>
          <wp:inline distT="0" distB="0" distL="0" distR="0" wp14:anchorId="27D9335E" wp14:editId="59AC29A7">
            <wp:extent cx="5828030" cy="2992755"/>
            <wp:effectExtent l="0" t="0" r="1270" b="17145"/>
            <wp:docPr id="6" name="Graf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661710A4" w14:textId="77777777" w:rsidR="008C3576" w:rsidRPr="0095275A" w:rsidRDefault="008C3576" w:rsidP="009A0777">
      <w:pPr>
        <w:pStyle w:val="MSKNormal"/>
        <w:spacing w:after="0"/>
        <w:jc w:val="left"/>
        <w:rPr>
          <w:noProof/>
        </w:rPr>
      </w:pPr>
    </w:p>
    <w:p w14:paraId="2B55DAA0" w14:textId="016409A9" w:rsidR="0095275A" w:rsidRPr="0095275A" w:rsidRDefault="0095275A" w:rsidP="0095275A">
      <w:pPr>
        <w:pStyle w:val="MSKNormal"/>
        <w:spacing w:after="0"/>
        <w:rPr>
          <w:rFonts w:cs="Tahoma"/>
          <w:bCs/>
          <w:iCs/>
        </w:rPr>
      </w:pPr>
      <w:r w:rsidRPr="0095275A">
        <w:rPr>
          <w:rFonts w:cs="Tahoma"/>
          <w:szCs w:val="20"/>
        </w:rPr>
        <w:t>Mezi daňové příjmy se zahrnují i správní poplatky, jejichž skutečný výběr k 30. 4. 2022 dosáhl výše 875 tis. Kč, přijaté poplatky za znečišťování ovzduší, kde výše za sledované období činí 3.338 tis. Kč a dále přijaté poplatky za</w:t>
      </w:r>
      <w:r>
        <w:rPr>
          <w:rFonts w:cs="Tahoma"/>
          <w:szCs w:val="20"/>
        </w:rPr>
        <w:t> </w:t>
      </w:r>
      <w:r w:rsidRPr="0095275A">
        <w:rPr>
          <w:rFonts w:cs="Tahoma"/>
          <w:szCs w:val="20"/>
        </w:rPr>
        <w:t>odebrané množství podzemní vody ve výši 12.250 tis. Kč.</w:t>
      </w:r>
    </w:p>
    <w:p w14:paraId="586AA4EB" w14:textId="77777777" w:rsidR="007344D2" w:rsidRPr="000E7FB0" w:rsidRDefault="007344D2" w:rsidP="007344D2">
      <w:pPr>
        <w:pStyle w:val="Nadpis3"/>
      </w:pPr>
      <w:r w:rsidRPr="000E7FB0">
        <w:lastRenderedPageBreak/>
        <w:t>Nedaňové příjmy</w:t>
      </w:r>
    </w:p>
    <w:p w14:paraId="24B65F91" w14:textId="5C260A6F" w:rsidR="00094B60" w:rsidRPr="00AE0B53" w:rsidRDefault="00094B60" w:rsidP="00094B60">
      <w:pPr>
        <w:autoSpaceDE w:val="0"/>
        <w:autoSpaceDN w:val="0"/>
        <w:adjustRightInd w:val="0"/>
        <w:rPr>
          <w:rFonts w:cs="Tahoma"/>
          <w:szCs w:val="20"/>
        </w:rPr>
      </w:pPr>
      <w:r w:rsidRPr="00473150">
        <w:rPr>
          <w:rFonts w:cs="Tahoma"/>
          <w:szCs w:val="20"/>
        </w:rPr>
        <w:t xml:space="preserve">Schválený rozpočet nedaňových příjmů činí 597.999 tis. Kč, upravený rozpočet 913.479 tis. Kč. </w:t>
      </w:r>
      <w:r w:rsidRPr="00AE0B53">
        <w:rPr>
          <w:rFonts w:cs="Tahoma"/>
          <w:szCs w:val="20"/>
        </w:rPr>
        <w:t>Rozpočet nedaňových příjmů byl za</w:t>
      </w:r>
      <w:r>
        <w:rPr>
          <w:rFonts w:cs="Tahoma"/>
          <w:szCs w:val="20"/>
        </w:rPr>
        <w:t> </w:t>
      </w:r>
      <w:r w:rsidRPr="00AE0B53">
        <w:rPr>
          <w:rFonts w:cs="Tahoma"/>
          <w:szCs w:val="20"/>
        </w:rPr>
        <w:t xml:space="preserve">období leden až duben 2022 navýšen o 315.480 tis. Kč. </w:t>
      </w:r>
    </w:p>
    <w:p w14:paraId="037D10DA" w14:textId="3F2976A9" w:rsidR="00094B60" w:rsidRPr="00F3201E" w:rsidRDefault="00094B60" w:rsidP="00094B60">
      <w:pPr>
        <w:autoSpaceDE w:val="0"/>
        <w:autoSpaceDN w:val="0"/>
        <w:adjustRightInd w:val="0"/>
        <w:rPr>
          <w:rFonts w:cs="Tahoma"/>
          <w:szCs w:val="20"/>
        </w:rPr>
      </w:pPr>
      <w:r w:rsidRPr="00AE0B53">
        <w:rPr>
          <w:rFonts w:cs="Tahoma"/>
          <w:szCs w:val="20"/>
        </w:rPr>
        <w:t>Do rozpočtu kraje byly v průběhu roku zapojeny zejména finanční prostředky v objemu 87.062 tis. Kč z finančního vypořádání d</w:t>
      </w:r>
      <w:r w:rsidRPr="000A5D7B">
        <w:rPr>
          <w:rFonts w:cs="Tahoma"/>
          <w:szCs w:val="20"/>
        </w:rPr>
        <w:t xml:space="preserve">otací a příspěvků za rok 2021 (případně předešlá léta), dále příjmy ze splátek </w:t>
      </w:r>
      <w:r w:rsidRPr="006F2AD6">
        <w:rPr>
          <w:rFonts w:cs="Tahoma"/>
          <w:szCs w:val="20"/>
        </w:rPr>
        <w:t xml:space="preserve">půjčených prostředků v kumulativní výši 183.841 tis. Kč, </w:t>
      </w:r>
      <w:r>
        <w:rPr>
          <w:rFonts w:cs="Tahoma"/>
          <w:szCs w:val="20"/>
        </w:rPr>
        <w:t xml:space="preserve">odvody příspěvkových organizací ve výši 41.949 tis. Kč, </w:t>
      </w:r>
      <w:r w:rsidRPr="006F2AD6">
        <w:rPr>
          <w:rFonts w:cs="Tahoma"/>
          <w:szCs w:val="20"/>
        </w:rPr>
        <w:t xml:space="preserve">příjmy z pojistných náhrad ve výši 4.771 tis. Kč a sankční platby přijaté od státu, </w:t>
      </w:r>
      <w:r w:rsidRPr="00F3201E">
        <w:rPr>
          <w:rFonts w:cs="Tahoma"/>
          <w:szCs w:val="20"/>
        </w:rPr>
        <w:t>samosprávných územních celků a ostatních subjektů ve výši 4.170 tis. Kč</w:t>
      </w:r>
      <w:r>
        <w:rPr>
          <w:rFonts w:cs="Tahoma"/>
          <w:szCs w:val="20"/>
        </w:rPr>
        <w:t>.</w:t>
      </w:r>
      <w:r w:rsidRPr="00F3201E">
        <w:rPr>
          <w:rFonts w:cs="Tahoma"/>
          <w:szCs w:val="20"/>
        </w:rPr>
        <w:t xml:space="preserve"> Naopak ke snížení rozpočtu došlo u příjmů z pronájmu ostatních nemovitostí a jejich částí o 7.400 tis. Kč, a to zejména z důvodu vzájemného započtení budoucích pohledávek</w:t>
      </w:r>
      <w:r>
        <w:rPr>
          <w:rFonts w:cs="Tahoma"/>
          <w:szCs w:val="20"/>
        </w:rPr>
        <w:t xml:space="preserve"> </w:t>
      </w:r>
      <w:r w:rsidRPr="00F3201E">
        <w:rPr>
          <w:rFonts w:cs="Tahoma"/>
          <w:szCs w:val="20"/>
        </w:rPr>
        <w:t>mezi společnosti Letiště Ostrava, a.s., a Moravskoslezským krajem, z titulu zhodnocení majetku kraje (realizací oprav a technického zhodnocení majetku) prostřednictvím společnosti Letiště Ostrava, a.s., a to v souladu se smlouvou o nájmu podniku č. 0671/2004/POR ze dne 28. 6. 2004.</w:t>
      </w:r>
    </w:p>
    <w:p w14:paraId="6AB53698" w14:textId="3B97C9E9" w:rsidR="00F77C50" w:rsidRPr="00F77C50" w:rsidRDefault="007344D2" w:rsidP="00811393">
      <w:pPr>
        <w:pStyle w:val="Styltab"/>
        <w:spacing w:before="120"/>
        <w:rPr>
          <w:bCs w:val="0"/>
        </w:rPr>
      </w:pPr>
      <w:r w:rsidRPr="00F77C50">
        <w:rPr>
          <w:bCs w:val="0"/>
        </w:rPr>
        <w:t>Přehled příjmů kraje – nedaňové příjmy</w:t>
      </w:r>
      <w:r w:rsidR="00ED1FCB" w:rsidRPr="00F77C50">
        <w:rPr>
          <w:bCs w:val="0"/>
        </w:rPr>
        <w:tab/>
      </w:r>
      <w:r w:rsidRPr="00F77C50">
        <w:rPr>
          <w:bCs w:val="0"/>
        </w:rPr>
        <w:t>v tis. Kč</w:t>
      </w:r>
      <w:r w:rsidR="00F77C50" w:rsidRPr="00F77C50">
        <w:rPr>
          <w:bCs w:val="0"/>
        </w:rPr>
        <w:object w:dxaOrig="9148" w:dyaOrig="8006" w14:anchorId="44FC5131">
          <v:shape id="_x0000_i1028" type="#_x0000_t75" style="width:462.55pt;height:408.25pt" o:ole="">
            <v:imagedata r:id="rId15" o:title=""/>
          </v:shape>
          <o:OLEObject Type="Embed" ProgID="Excel.Sheet.8" ShapeID="_x0000_i1028" DrawAspect="Content" ObjectID="_1714980690" r:id="rId16"/>
        </w:object>
      </w:r>
    </w:p>
    <w:p w14:paraId="739FE776" w14:textId="0E8C63FB" w:rsidR="001332B3" w:rsidRPr="005261D0" w:rsidRDefault="001332B3" w:rsidP="001332B3">
      <w:pPr>
        <w:pStyle w:val="FormtovanvHTML"/>
        <w:spacing w:before="120"/>
        <w:rPr>
          <w:rFonts w:ascii="Tahoma" w:hAnsi="Tahoma" w:cs="Tahoma"/>
        </w:rPr>
      </w:pPr>
      <w:r w:rsidRPr="005261D0">
        <w:rPr>
          <w:rFonts w:ascii="Tahoma" w:hAnsi="Tahoma" w:cs="Tahoma"/>
        </w:rPr>
        <w:t xml:space="preserve">Skutečné přijaté nedaňové příjmy kraje dosáhly k 30. 4. 2022 výše 206.455 tis. Kč, tj. 23 % upraveného rozpočtu. </w:t>
      </w:r>
    </w:p>
    <w:p w14:paraId="587F8444" w14:textId="1F1F1443" w:rsidR="001332B3" w:rsidRPr="00337748" w:rsidRDefault="001332B3" w:rsidP="001332B3">
      <w:pPr>
        <w:pStyle w:val="FormtovanvHTML"/>
        <w:spacing w:before="120"/>
        <w:rPr>
          <w:rFonts w:ascii="Tahoma" w:hAnsi="Tahoma" w:cs="Tahoma"/>
        </w:rPr>
      </w:pPr>
      <w:r w:rsidRPr="00BF5A07">
        <w:rPr>
          <w:rFonts w:ascii="Tahoma" w:hAnsi="Tahoma" w:cs="Tahoma"/>
        </w:rPr>
        <w:t>Do rozpočtu kraje byly přijaty</w:t>
      </w:r>
      <w:r>
        <w:rPr>
          <w:rFonts w:ascii="Tahoma" w:hAnsi="Tahoma" w:cs="Tahoma"/>
        </w:rPr>
        <w:t xml:space="preserve"> nedaňové</w:t>
      </w:r>
      <w:r w:rsidRPr="00BF5A07">
        <w:rPr>
          <w:rFonts w:ascii="Tahoma" w:hAnsi="Tahoma" w:cs="Tahoma"/>
        </w:rPr>
        <w:t xml:space="preserve"> příjmy ve výši 89.650 tis. Kč</w:t>
      </w:r>
      <w:r>
        <w:rPr>
          <w:rFonts w:ascii="Tahoma" w:hAnsi="Tahoma" w:cs="Tahoma"/>
        </w:rPr>
        <w:t xml:space="preserve"> z </w:t>
      </w:r>
      <w:r w:rsidRPr="00BF5A07">
        <w:rPr>
          <w:rFonts w:ascii="Tahoma" w:hAnsi="Tahoma" w:cs="Tahoma"/>
        </w:rPr>
        <w:t>vrat</w:t>
      </w:r>
      <w:r>
        <w:rPr>
          <w:rFonts w:ascii="Tahoma" w:hAnsi="Tahoma" w:cs="Tahoma"/>
        </w:rPr>
        <w:t>ek</w:t>
      </w:r>
      <w:r w:rsidRPr="00BF5A07">
        <w:rPr>
          <w:rFonts w:ascii="Tahoma" w:hAnsi="Tahoma" w:cs="Tahoma"/>
        </w:rPr>
        <w:t xml:space="preserve"> finančních prostředků zaslan</w:t>
      </w:r>
      <w:r>
        <w:rPr>
          <w:rFonts w:ascii="Tahoma" w:hAnsi="Tahoma" w:cs="Tahoma"/>
        </w:rPr>
        <w:t>ých</w:t>
      </w:r>
      <w:r w:rsidRPr="00BF5A07">
        <w:rPr>
          <w:rFonts w:ascii="Tahoma" w:hAnsi="Tahoma" w:cs="Tahoma"/>
        </w:rPr>
        <w:t xml:space="preserve"> na účet kraje v rámci finančního vypořádání za</w:t>
      </w:r>
      <w:r w:rsidR="00525E45">
        <w:rPr>
          <w:rFonts w:ascii="Tahoma" w:hAnsi="Tahoma" w:cs="Tahoma"/>
        </w:rPr>
        <w:t> </w:t>
      </w:r>
      <w:r w:rsidRPr="00BF5A07">
        <w:rPr>
          <w:rFonts w:ascii="Tahoma" w:hAnsi="Tahoma" w:cs="Tahoma"/>
        </w:rPr>
        <w:t xml:space="preserve">rok 2021 (případně i minulých let) převážně z poskytnutých dotací z jednotlivých kapitol státního rozpočtu, z jednotlivých dotačních programů kraje, individuálních dotací a nevyčerpaných a vrácených dotací poskytnutých dopravcům z rozpočtu kraje </w:t>
      </w:r>
      <w:r>
        <w:rPr>
          <w:rFonts w:ascii="Tahoma" w:hAnsi="Tahoma" w:cs="Tahoma"/>
        </w:rPr>
        <w:lastRenderedPageBreak/>
        <w:t xml:space="preserve">v roce 2021 </w:t>
      </w:r>
      <w:r w:rsidRPr="00BF5A07">
        <w:rPr>
          <w:rFonts w:ascii="Tahoma" w:hAnsi="Tahoma" w:cs="Tahoma"/>
        </w:rPr>
        <w:t xml:space="preserve">na úhradu prokazatelné ztráty v silniční </w:t>
      </w:r>
      <w:r w:rsidRPr="006F35F8">
        <w:rPr>
          <w:rFonts w:ascii="Tahoma" w:hAnsi="Tahoma" w:cs="Tahoma"/>
        </w:rPr>
        <w:t>dopravě.</w:t>
      </w:r>
      <w:r>
        <w:rPr>
          <w:rFonts w:ascii="Tahoma" w:hAnsi="Tahoma" w:cs="Tahoma"/>
        </w:rPr>
        <w:t xml:space="preserve"> </w:t>
      </w:r>
      <w:r w:rsidRPr="00BF5A07">
        <w:rPr>
          <w:rFonts w:ascii="Tahoma" w:hAnsi="Tahoma" w:cs="Tahoma"/>
        </w:rPr>
        <w:t xml:space="preserve">Dále objem nedaňových příjmů ve výši 26.603 tis. Kč </w:t>
      </w:r>
      <w:r>
        <w:rPr>
          <w:rFonts w:ascii="Tahoma" w:hAnsi="Tahoma" w:cs="Tahoma"/>
        </w:rPr>
        <w:t xml:space="preserve">představuje </w:t>
      </w:r>
      <w:r w:rsidRPr="00BF5A07">
        <w:rPr>
          <w:rFonts w:ascii="Tahoma" w:hAnsi="Tahoma" w:cs="Tahoma"/>
        </w:rPr>
        <w:t>splát</w:t>
      </w:r>
      <w:r>
        <w:rPr>
          <w:rFonts w:ascii="Tahoma" w:hAnsi="Tahoma" w:cs="Tahoma"/>
        </w:rPr>
        <w:t>ky</w:t>
      </w:r>
      <w:r w:rsidRPr="00BF5A07">
        <w:rPr>
          <w:rFonts w:ascii="Tahoma" w:hAnsi="Tahoma" w:cs="Tahoma"/>
        </w:rPr>
        <w:t xml:space="preserve"> půjčených prostředků od různých subjektů – právnických osob, obcí a</w:t>
      </w:r>
      <w:r w:rsidR="00525E45">
        <w:rPr>
          <w:rFonts w:ascii="Tahoma" w:hAnsi="Tahoma" w:cs="Tahoma"/>
        </w:rPr>
        <w:t> </w:t>
      </w:r>
      <w:r w:rsidRPr="00BF5A07">
        <w:rPr>
          <w:rFonts w:ascii="Tahoma" w:hAnsi="Tahoma" w:cs="Tahoma"/>
        </w:rPr>
        <w:t xml:space="preserve">příspěvkových organizací. </w:t>
      </w:r>
      <w:r w:rsidRPr="006F35F8">
        <w:rPr>
          <w:rFonts w:ascii="Tahoma" w:hAnsi="Tahoma" w:cs="Tahoma"/>
        </w:rPr>
        <w:t>Příjmy z pronájmu ostatních nemovitostí a jejich částí dosáhly celkové výše 18.293 tis. Kč. Jsou to zejména příjmy plynoucí z pronájmu Nemocnice s poliklinikou v Novém Jičíně ve výši 1</w:t>
      </w:r>
      <w:r>
        <w:rPr>
          <w:rFonts w:ascii="Tahoma" w:hAnsi="Tahoma" w:cs="Tahoma"/>
        </w:rPr>
        <w:t>8</w:t>
      </w:r>
      <w:r w:rsidRPr="006F35F8">
        <w:rPr>
          <w:rFonts w:ascii="Tahoma" w:hAnsi="Tahoma" w:cs="Tahoma"/>
        </w:rPr>
        <w:t>.</w:t>
      </w:r>
      <w:r>
        <w:rPr>
          <w:rFonts w:ascii="Tahoma" w:hAnsi="Tahoma" w:cs="Tahoma"/>
        </w:rPr>
        <w:t>104</w:t>
      </w:r>
      <w:r w:rsidRPr="006F35F8">
        <w:rPr>
          <w:rFonts w:ascii="Tahoma" w:hAnsi="Tahoma" w:cs="Tahoma"/>
        </w:rPr>
        <w:t> tis. Kč (tzv. reinvestiční část nájemného).</w:t>
      </w:r>
    </w:p>
    <w:p w14:paraId="2F01FBD9" w14:textId="77777777" w:rsidR="001332B3" w:rsidRPr="00AA247C" w:rsidRDefault="001332B3" w:rsidP="001332B3">
      <w:pPr>
        <w:pStyle w:val="FormtovanvHTML"/>
        <w:spacing w:before="120"/>
        <w:rPr>
          <w:rFonts w:ascii="Tahoma" w:hAnsi="Tahoma" w:cs="Tahoma"/>
        </w:rPr>
      </w:pPr>
      <w:r>
        <w:rPr>
          <w:rFonts w:ascii="Tahoma" w:hAnsi="Tahoma" w:cs="Tahoma"/>
        </w:rPr>
        <w:t>O</w:t>
      </w:r>
      <w:r w:rsidRPr="00AA247C">
        <w:rPr>
          <w:rFonts w:ascii="Tahoma" w:hAnsi="Tahoma" w:cs="Tahoma"/>
        </w:rPr>
        <w:t xml:space="preserve">bjemově významnou část nedaňových příjmů, které kraj za sledované období přijal, tvoří úroky z bankovních účtů ve výši 53.111 tis. Kč, u kterých se daří prostřednictvím nasmlouvaných bankovních produktů souvisejících se zhodnocováním finančních prostředků kraje dosahovat vyššího úrokového zhodnocení. </w:t>
      </w:r>
    </w:p>
    <w:p w14:paraId="7A2770D2" w14:textId="733797C7" w:rsidR="001332B3" w:rsidRPr="00AA247C" w:rsidRDefault="001332B3" w:rsidP="001332B3">
      <w:pPr>
        <w:pStyle w:val="FormtovanvHTML"/>
        <w:spacing w:before="120"/>
      </w:pPr>
      <w:r w:rsidRPr="0024375A">
        <w:rPr>
          <w:rFonts w:ascii="Tahoma" w:hAnsi="Tahoma" w:cs="Tahoma"/>
        </w:rPr>
        <w:t>Příjem ze sankčních plateb ve výši 6.7</w:t>
      </w:r>
      <w:r>
        <w:rPr>
          <w:rFonts w:ascii="Tahoma" w:hAnsi="Tahoma" w:cs="Tahoma"/>
        </w:rPr>
        <w:t>89</w:t>
      </w:r>
      <w:r w:rsidRPr="0024375A">
        <w:rPr>
          <w:rFonts w:ascii="Tahoma" w:hAnsi="Tahoma" w:cs="Tahoma"/>
        </w:rPr>
        <w:t xml:space="preserve"> tis. Kč zahrnuje přijaté pokuty (od obcí, právnických a fyzických osob) související zejména s realizací následné veřejnosprávní kontroly u příjemců veřejné finanční podpory podle zákona o finanční kontrole, s pokutami uloženými za správní delikty v rámci institutu </w:t>
      </w:r>
      <w:proofErr w:type="spellStart"/>
      <w:r w:rsidRPr="0024375A">
        <w:rPr>
          <w:rFonts w:ascii="Tahoma" w:hAnsi="Tahoma" w:cs="Tahoma"/>
        </w:rPr>
        <w:t>nízkorychlostního</w:t>
      </w:r>
      <w:proofErr w:type="spellEnd"/>
      <w:r w:rsidRPr="0024375A">
        <w:rPr>
          <w:rFonts w:ascii="Tahoma" w:hAnsi="Tahoma" w:cs="Tahoma"/>
        </w:rPr>
        <w:t xml:space="preserve"> vážení, s pokutami za porušení </w:t>
      </w:r>
      <w:r w:rsidRPr="001F1C0F">
        <w:rPr>
          <w:rFonts w:ascii="Tahoma" w:hAnsi="Tahoma" w:cs="Tahoma"/>
        </w:rPr>
        <w:t xml:space="preserve">podmínek smluv o poskytování veřejných služeb v přepravě cestujících veřejnou linkovou a drážní dopravou. Dále příjem z pojistných náhrad ve výši </w:t>
      </w:r>
      <w:r w:rsidRPr="00AA247C">
        <w:rPr>
          <w:rFonts w:ascii="Tahoma" w:hAnsi="Tahoma" w:cs="Tahoma"/>
        </w:rPr>
        <w:t>4.786</w:t>
      </w:r>
      <w:r w:rsidR="009D325F">
        <w:rPr>
          <w:rFonts w:ascii="Tahoma" w:hAnsi="Tahoma" w:cs="Tahoma"/>
        </w:rPr>
        <w:t> </w:t>
      </w:r>
      <w:r w:rsidRPr="00AA247C">
        <w:rPr>
          <w:rFonts w:ascii="Tahoma" w:hAnsi="Tahoma" w:cs="Tahoma"/>
        </w:rPr>
        <w:t xml:space="preserve">tis. Kč zahrnuje náhrady od pojišťoven za škody způsobné na majetku kraje. </w:t>
      </w:r>
    </w:p>
    <w:p w14:paraId="586AA4F8" w14:textId="77777777" w:rsidR="007344D2" w:rsidRPr="000E7FB0" w:rsidRDefault="007344D2" w:rsidP="007344D2">
      <w:pPr>
        <w:pStyle w:val="Nadpis3"/>
      </w:pPr>
      <w:r w:rsidRPr="000E7FB0">
        <w:t>Kapitálové příjmy</w:t>
      </w:r>
    </w:p>
    <w:p w14:paraId="7580F023" w14:textId="60DCF833" w:rsidR="002E6C1E" w:rsidRPr="006908A0" w:rsidRDefault="002E6C1E" w:rsidP="002E6C1E">
      <w:pPr>
        <w:autoSpaceDE w:val="0"/>
        <w:autoSpaceDN w:val="0"/>
        <w:adjustRightInd w:val="0"/>
        <w:rPr>
          <w:rFonts w:cs="Tahoma"/>
          <w:szCs w:val="20"/>
        </w:rPr>
      </w:pPr>
      <w:r w:rsidRPr="00050EB8">
        <w:rPr>
          <w:rFonts w:cs="Tahoma"/>
          <w:szCs w:val="20"/>
        </w:rPr>
        <w:t xml:space="preserve">Schválený rozpočet kapitálových příjmů činí 74.079 tis. Kč, upravený rozpočet činí 58.731 tis. Kč. Rozpočet kapitálových příjmů byl za období leden až duben 2022 snížen u ostatních </w:t>
      </w:r>
      <w:r>
        <w:rPr>
          <w:rFonts w:cs="Tahoma"/>
          <w:szCs w:val="20"/>
        </w:rPr>
        <w:t>kapitálových</w:t>
      </w:r>
      <w:r w:rsidRPr="00050EB8">
        <w:rPr>
          <w:rFonts w:cs="Tahoma"/>
          <w:szCs w:val="20"/>
        </w:rPr>
        <w:t xml:space="preserve"> příjmů o 15.360 tis. Kč z důvodu uzavření dodatku č. 3 ke smlouvě č. 01865/2008/KH uzavřenou se společností </w:t>
      </w:r>
      <w:r w:rsidRPr="006908A0">
        <w:rPr>
          <w:rFonts w:cs="Tahoma"/>
          <w:szCs w:val="20"/>
        </w:rPr>
        <w:t xml:space="preserve">Hyundai Motor </w:t>
      </w:r>
      <w:proofErr w:type="spellStart"/>
      <w:r w:rsidRPr="006908A0">
        <w:rPr>
          <w:rFonts w:cs="Tahoma"/>
          <w:szCs w:val="20"/>
        </w:rPr>
        <w:t>Manufacturing</w:t>
      </w:r>
      <w:proofErr w:type="spellEnd"/>
      <w:r w:rsidRPr="006908A0">
        <w:rPr>
          <w:rFonts w:cs="Tahoma"/>
          <w:szCs w:val="20"/>
        </w:rPr>
        <w:t xml:space="preserve"> Czech, s.r.o. z důvodu dohodnutého věcné plnění formou 24 velitelských vozidel pro Hasičský záchranný sboru MSK.</w:t>
      </w:r>
    </w:p>
    <w:p w14:paraId="258B794D" w14:textId="008C73BC" w:rsidR="00896DB5" w:rsidRPr="006908A0" w:rsidRDefault="007344D2" w:rsidP="001D2AA7">
      <w:pPr>
        <w:pStyle w:val="Styltab"/>
        <w:autoSpaceDE w:val="0"/>
        <w:autoSpaceDN w:val="0"/>
        <w:adjustRightInd w:val="0"/>
      </w:pPr>
      <w:r w:rsidRPr="006908A0">
        <w:t xml:space="preserve">Přehled příjmů kraje – kapitálové příjmy </w:t>
      </w:r>
      <w:r w:rsidRPr="006908A0">
        <w:tab/>
        <w:t>v tis. Kč</w:t>
      </w:r>
      <w:r w:rsidR="00896DB5" w:rsidRPr="006908A0">
        <w:object w:dxaOrig="9409" w:dyaOrig="2296" w14:anchorId="72B936F1">
          <v:shape id="_x0000_i1029" type="#_x0000_t75" style="width:460.55pt;height:120.25pt" o:ole="">
            <v:imagedata r:id="rId17" o:title=""/>
          </v:shape>
          <o:OLEObject Type="Embed" ProgID="Excel.Sheet.8" ShapeID="_x0000_i1029" DrawAspect="Content" ObjectID="_1714980691" r:id="rId18"/>
        </w:object>
      </w:r>
    </w:p>
    <w:p w14:paraId="06EEA57C" w14:textId="603C4FE4" w:rsidR="006908A0" w:rsidRPr="006908A0" w:rsidRDefault="006908A0" w:rsidP="006908A0">
      <w:pPr>
        <w:autoSpaceDE w:val="0"/>
        <w:autoSpaceDN w:val="0"/>
        <w:adjustRightInd w:val="0"/>
        <w:rPr>
          <w:rFonts w:cs="Tahoma"/>
          <w:szCs w:val="20"/>
        </w:rPr>
      </w:pPr>
      <w:r w:rsidRPr="006908A0">
        <w:rPr>
          <w:rFonts w:cs="Tahoma"/>
          <w:szCs w:val="20"/>
        </w:rPr>
        <w:t>Kapitálové příjmy představují přijaté prostředky v úhrnné výši 9.547 tis. Kč, což znamená plnění těchto příjmů na 16 % upraveného rozpočtu. Jedná se zejména o příjmy z prodeje pozemků ve výši 2.380 tis. Kč, příjmy z prodeje ostatních nemovitých věcí a jejich částí ve výši 7.155 tis. Kč, které souvisí s</w:t>
      </w:r>
      <w:r w:rsidRPr="006908A0">
        <w:t> </w:t>
      </w:r>
      <w:r w:rsidRPr="006908A0">
        <w:rPr>
          <w:rFonts w:cs="Tahoma"/>
          <w:szCs w:val="20"/>
        </w:rPr>
        <w:t xml:space="preserve">fakturami vystavenými na základě kupních smluv na prodej pozemků a nemovitostí na území Moravskoslezského kraje a příjmy z prodeje hmotného dlouhodobého majetku ve výši 12 tis. Kč. </w:t>
      </w:r>
    </w:p>
    <w:p w14:paraId="586AA4FD" w14:textId="77777777" w:rsidR="007344D2" w:rsidRPr="000E7FB0" w:rsidRDefault="007344D2" w:rsidP="007344D2">
      <w:pPr>
        <w:pStyle w:val="Nadpis3"/>
      </w:pPr>
      <w:r w:rsidRPr="000E7FB0">
        <w:t>Přijaté dotace</w:t>
      </w:r>
    </w:p>
    <w:p w14:paraId="07288DD6" w14:textId="0AC9056F" w:rsidR="003A3669" w:rsidRPr="009D4092" w:rsidRDefault="003A3669" w:rsidP="003A3669">
      <w:pPr>
        <w:pStyle w:val="Zkladntext"/>
        <w:tabs>
          <w:tab w:val="clear" w:pos="720"/>
        </w:tabs>
        <w:rPr>
          <w:rFonts w:cs="Tahoma"/>
          <w:sz w:val="20"/>
          <w:szCs w:val="20"/>
        </w:rPr>
      </w:pPr>
      <w:r w:rsidRPr="00AC052E">
        <w:rPr>
          <w:rFonts w:cs="Tahoma"/>
          <w:sz w:val="20"/>
          <w:szCs w:val="20"/>
        </w:rPr>
        <w:t>Od počátku roku přijal Moravskoslezský kraj dotace v úhrnné výši 7.855.109 tis. Kč, což znamená plnění těchto příjmů na 3</w:t>
      </w:r>
      <w:r>
        <w:rPr>
          <w:rFonts w:cs="Tahoma"/>
          <w:sz w:val="20"/>
          <w:szCs w:val="20"/>
        </w:rPr>
        <w:t>4</w:t>
      </w:r>
      <w:r w:rsidRPr="00AC052E">
        <w:rPr>
          <w:rFonts w:cs="Tahoma"/>
          <w:sz w:val="20"/>
          <w:szCs w:val="20"/>
        </w:rPr>
        <w:t> % upraveného rozpočtu. V souvislosti s šířením onemocnění COVID-19</w:t>
      </w:r>
      <w:r>
        <w:rPr>
          <w:rFonts w:cs="Tahoma"/>
          <w:sz w:val="20"/>
          <w:szCs w:val="20"/>
        </w:rPr>
        <w:t xml:space="preserve"> </w:t>
      </w:r>
      <w:r w:rsidRPr="00D83FA2">
        <w:rPr>
          <w:rFonts w:cs="Tahoma"/>
          <w:sz w:val="20"/>
          <w:szCs w:val="20"/>
        </w:rPr>
        <w:t xml:space="preserve">způsobeného </w:t>
      </w:r>
      <w:proofErr w:type="spellStart"/>
      <w:r w:rsidRPr="00D83FA2">
        <w:rPr>
          <w:rFonts w:cs="Tahoma"/>
          <w:sz w:val="20"/>
          <w:szCs w:val="20"/>
        </w:rPr>
        <w:t>koronavirem</w:t>
      </w:r>
      <w:proofErr w:type="spellEnd"/>
      <w:r w:rsidRPr="00D83FA2">
        <w:rPr>
          <w:rFonts w:cs="Tahoma"/>
          <w:sz w:val="20"/>
          <w:szCs w:val="20"/>
        </w:rPr>
        <w:t xml:space="preserve"> označovaným jako SARS CoV-2</w:t>
      </w:r>
      <w:r w:rsidRPr="00AC052E">
        <w:rPr>
          <w:rFonts w:cs="Tahoma"/>
          <w:sz w:val="20"/>
          <w:szCs w:val="20"/>
        </w:rPr>
        <w:t xml:space="preserve"> byly v období leden až duben poskytnuty jednotlivými </w:t>
      </w:r>
      <w:r w:rsidRPr="009D4092">
        <w:rPr>
          <w:rFonts w:cs="Tahoma"/>
          <w:sz w:val="20"/>
          <w:szCs w:val="20"/>
        </w:rPr>
        <w:t>ministerstvy dotace v celkové výši 33.440 tis. Kč (vč. dotace na základě zákona o kompenzačním bonusu na rok 2022).</w:t>
      </w:r>
    </w:p>
    <w:p w14:paraId="669FCE1F" w14:textId="2EA38D46" w:rsidR="009D4092" w:rsidRPr="009D4092" w:rsidRDefault="007344D2" w:rsidP="005D5E81">
      <w:pPr>
        <w:pStyle w:val="Styltab"/>
      </w:pPr>
      <w:r w:rsidRPr="009D4092">
        <w:lastRenderedPageBreak/>
        <w:t>Přehled příjmů kraje – přijaté transfery</w:t>
      </w:r>
      <w:r w:rsidR="00331139" w:rsidRPr="009D4092">
        <w:tab/>
      </w:r>
      <w:r w:rsidRPr="009D4092">
        <w:t>v tis. Kč</w:t>
      </w:r>
      <w:r w:rsidR="009D4092" w:rsidRPr="009D4092">
        <w:object w:dxaOrig="10325" w:dyaOrig="6496" w14:anchorId="1110CB02">
          <v:shape id="_x0000_i1030" type="#_x0000_t75" style="width:457.15pt;height:326.05pt" o:ole="">
            <v:imagedata r:id="rId19" o:title=""/>
          </v:shape>
          <o:OLEObject Type="Embed" ProgID="Excel.Sheet.8" ShapeID="_x0000_i1030" DrawAspect="Content" ObjectID="_1714980692" r:id="rId20"/>
        </w:object>
      </w:r>
    </w:p>
    <w:p w14:paraId="25A9BD13" w14:textId="4D6475C3" w:rsidR="006372C1" w:rsidRPr="006D0D08" w:rsidRDefault="006372C1" w:rsidP="006372C1">
      <w:pPr>
        <w:spacing w:after="240"/>
        <w:rPr>
          <w:rFonts w:cs="Tahoma"/>
          <w:szCs w:val="20"/>
        </w:rPr>
      </w:pPr>
      <w:r w:rsidRPr="006D0D08">
        <w:rPr>
          <w:rFonts w:cs="Tahoma"/>
          <w:szCs w:val="20"/>
        </w:rPr>
        <w:t>Objemově nejvýznamnější dotace byly poskytnuty z </w:t>
      </w:r>
      <w:r w:rsidRPr="006D0D08">
        <w:rPr>
          <w:rFonts w:cs="Tahoma"/>
          <w:b/>
          <w:szCs w:val="20"/>
        </w:rPr>
        <w:t>Ministerstva školství, mládeže a tělovýchovy</w:t>
      </w:r>
      <w:r w:rsidRPr="006D0D08">
        <w:rPr>
          <w:rFonts w:cs="Tahoma"/>
          <w:szCs w:val="20"/>
        </w:rPr>
        <w:t>, a to zejména na úhradu přímých nákladů na vzdělávání ve školách a školských zařízeních zřizovaných krajem a obcemi (6.121.882</w:t>
      </w:r>
      <w:r>
        <w:rPr>
          <w:rFonts w:cs="Tahoma"/>
          <w:szCs w:val="20"/>
        </w:rPr>
        <w:t> </w:t>
      </w:r>
      <w:r w:rsidRPr="006D0D08">
        <w:rPr>
          <w:rFonts w:cs="Tahoma"/>
          <w:szCs w:val="20"/>
        </w:rPr>
        <w:t>tis.</w:t>
      </w:r>
      <w:r>
        <w:rPr>
          <w:rFonts w:cs="Tahoma"/>
          <w:szCs w:val="20"/>
        </w:rPr>
        <w:t> </w:t>
      </w:r>
      <w:r w:rsidRPr="006D0D08">
        <w:rPr>
          <w:rFonts w:cs="Tahoma"/>
          <w:szCs w:val="20"/>
        </w:rPr>
        <w:t>Kč), dále pro soukromé školy (642.773 tis. Kč)</w:t>
      </w:r>
      <w:r>
        <w:rPr>
          <w:rFonts w:cs="Tahoma"/>
          <w:szCs w:val="20"/>
        </w:rPr>
        <w:t>,</w:t>
      </w:r>
      <w:r w:rsidRPr="006D0D08">
        <w:rPr>
          <w:rFonts w:cs="Tahoma"/>
          <w:szCs w:val="20"/>
        </w:rPr>
        <w:t xml:space="preserve"> </w:t>
      </w:r>
      <w:r w:rsidRPr="006D0D08">
        <w:t>na přímé náklady na vzdělávání pro sportovní gymnázia (3.224 tis. Kč)</w:t>
      </w:r>
      <w:r>
        <w:t>, na soutěže (4.075 tis. Kč).</w:t>
      </w:r>
    </w:p>
    <w:p w14:paraId="7BC74F60" w14:textId="77777777" w:rsidR="006372C1" w:rsidRPr="00CE6DDB" w:rsidRDefault="006372C1" w:rsidP="006372C1">
      <w:pPr>
        <w:spacing w:after="240"/>
        <w:rPr>
          <w:rFonts w:cs="Tahoma"/>
          <w:szCs w:val="20"/>
        </w:rPr>
      </w:pPr>
      <w:r w:rsidRPr="00106626">
        <w:rPr>
          <w:rFonts w:cs="Tahoma"/>
          <w:b/>
          <w:szCs w:val="20"/>
        </w:rPr>
        <w:t>Ministerstvo práce a sociálních věcí</w:t>
      </w:r>
      <w:r w:rsidRPr="00106626">
        <w:rPr>
          <w:rFonts w:cs="Tahoma"/>
          <w:szCs w:val="20"/>
        </w:rPr>
        <w:t xml:space="preserve"> zaslalo neinvestiční nedávkový transfer podle zákona č. 108/2006 Sb., o sociálních službách - § 101 (679.331 tis. Kč),</w:t>
      </w:r>
      <w:r w:rsidRPr="00106626">
        <w:t xml:space="preserve"> </w:t>
      </w:r>
      <w:r w:rsidRPr="00106626">
        <w:rPr>
          <w:rFonts w:cs="Tahoma"/>
          <w:szCs w:val="20"/>
        </w:rPr>
        <w:t xml:space="preserve">neinvestiční transfer na státní příspěvek zřizovatelům </w:t>
      </w:r>
      <w:r w:rsidRPr="00CE6DDB">
        <w:rPr>
          <w:rFonts w:cs="Tahoma"/>
          <w:szCs w:val="20"/>
        </w:rPr>
        <w:t>zařízení pro děti vyžadující okamžitou pomoc (18.600 tis. Kč) aj.</w:t>
      </w:r>
    </w:p>
    <w:p w14:paraId="283D0F09" w14:textId="77777777" w:rsidR="006372C1" w:rsidRPr="006B6E0C" w:rsidRDefault="006372C1" w:rsidP="006372C1">
      <w:pPr>
        <w:spacing w:after="240"/>
        <w:rPr>
          <w:rFonts w:cs="Tahoma"/>
          <w:szCs w:val="20"/>
        </w:rPr>
      </w:pPr>
      <w:r w:rsidRPr="00CE6DDB">
        <w:rPr>
          <w:rFonts w:cs="Tahoma"/>
          <w:szCs w:val="20"/>
        </w:rPr>
        <w:t>V rámci souhrnného dotačního vztahu státního rozpočtu k rozpočtu kraje byla poskytnuta Moravskoslezskému kraji z </w:t>
      </w:r>
      <w:r w:rsidRPr="00CE6DDB">
        <w:rPr>
          <w:rFonts w:cs="Tahoma"/>
          <w:b/>
          <w:bCs/>
          <w:szCs w:val="20"/>
        </w:rPr>
        <w:t>Ministerstva financí</w:t>
      </w:r>
      <w:r w:rsidRPr="00CE6DDB">
        <w:rPr>
          <w:rFonts w:cs="Tahoma"/>
          <w:szCs w:val="20"/>
        </w:rPr>
        <w:t xml:space="preserve"> neinvestiční dotace (59.605 tis. Kč). Tuto dotaci poskytuje Ministerstvo </w:t>
      </w:r>
      <w:r w:rsidRPr="007F1EF6">
        <w:rPr>
          <w:rFonts w:cs="Tahoma"/>
          <w:szCs w:val="20"/>
        </w:rPr>
        <w:t xml:space="preserve">financí z kapitoly Všeobecná pokladní správa měsíčně jednou dvanáctinou a je </w:t>
      </w:r>
      <w:r w:rsidRPr="006B6E0C">
        <w:rPr>
          <w:rFonts w:cs="Tahoma"/>
          <w:szCs w:val="20"/>
        </w:rPr>
        <w:t xml:space="preserve">určena jako příspěvek na výkon státní správy. Dále byl zejména z této kapitoly poskytnut příspěvek ke zmírnění dopadů </w:t>
      </w:r>
      <w:r w:rsidRPr="006B6E0C">
        <w:t xml:space="preserve">na daňové příjmy kraje, a to v působnosti zákona č. 95/2021 Sb., o kompenzačním bonusu pro rok </w:t>
      </w:r>
      <w:r w:rsidRPr="006B6E0C">
        <w:rPr>
          <w:rFonts w:cs="Tahoma"/>
          <w:szCs w:val="20"/>
        </w:rPr>
        <w:t xml:space="preserve">(30.400 tis. Kč). </w:t>
      </w:r>
    </w:p>
    <w:p w14:paraId="49769B2B" w14:textId="79579024" w:rsidR="006372C1" w:rsidRPr="006B6E0C" w:rsidRDefault="006372C1" w:rsidP="006372C1">
      <w:pPr>
        <w:spacing w:after="240"/>
        <w:rPr>
          <w:rFonts w:cs="Tahoma"/>
          <w:szCs w:val="20"/>
        </w:rPr>
      </w:pPr>
      <w:r w:rsidRPr="006B6E0C">
        <w:rPr>
          <w:rFonts w:cs="Tahoma"/>
          <w:b/>
          <w:bCs/>
          <w:szCs w:val="20"/>
        </w:rPr>
        <w:t>Ministerstvo průmyslu a obchodu</w:t>
      </w:r>
      <w:r w:rsidRPr="006B6E0C">
        <w:rPr>
          <w:rFonts w:cs="Tahoma"/>
          <w:szCs w:val="20"/>
        </w:rPr>
        <w:t xml:space="preserve"> poskytlo dotaci na Program OBCHŮDEK (3.000</w:t>
      </w:r>
      <w:r w:rsidR="00A43342" w:rsidRPr="006B6E0C">
        <w:rPr>
          <w:rFonts w:cs="Tahoma"/>
          <w:szCs w:val="20"/>
        </w:rPr>
        <w:t> </w:t>
      </w:r>
      <w:r w:rsidRPr="006B6E0C">
        <w:rPr>
          <w:rFonts w:cs="Tahoma"/>
          <w:szCs w:val="20"/>
        </w:rPr>
        <w:t>tis.</w:t>
      </w:r>
      <w:r w:rsidR="00A43342" w:rsidRPr="006B6E0C">
        <w:rPr>
          <w:rFonts w:cs="Tahoma"/>
          <w:szCs w:val="20"/>
        </w:rPr>
        <w:t> </w:t>
      </w:r>
      <w:r w:rsidRPr="006B6E0C">
        <w:rPr>
          <w:rFonts w:cs="Tahoma"/>
          <w:szCs w:val="20"/>
        </w:rPr>
        <w:t>Kč).</w:t>
      </w:r>
    </w:p>
    <w:p w14:paraId="662BA4B9" w14:textId="37C4548A" w:rsidR="006372C1" w:rsidRPr="006B6E0C" w:rsidRDefault="006372C1" w:rsidP="006372C1">
      <w:pPr>
        <w:spacing w:after="240"/>
        <w:rPr>
          <w:rFonts w:cs="Tahoma"/>
          <w:b/>
          <w:szCs w:val="20"/>
        </w:rPr>
      </w:pPr>
      <w:r w:rsidRPr="006B6E0C">
        <w:rPr>
          <w:rFonts w:cs="Tahoma"/>
          <w:b/>
          <w:szCs w:val="20"/>
        </w:rPr>
        <w:t>Ministerstvo zdravotnictví</w:t>
      </w:r>
      <w:r w:rsidRPr="006B6E0C">
        <w:rPr>
          <w:rFonts w:cs="Tahoma"/>
          <w:szCs w:val="20"/>
        </w:rPr>
        <w:t xml:space="preserve"> poskytlo dotace na specializační vzdělávání zdravotnických pracovníků</w:t>
      </w:r>
      <w:r w:rsidR="008B6D05" w:rsidRPr="006B6E0C">
        <w:rPr>
          <w:rFonts w:cs="Tahoma"/>
          <w:szCs w:val="20"/>
        </w:rPr>
        <w:t> </w:t>
      </w:r>
      <w:r w:rsidR="008B6D05" w:rsidRPr="006B6E0C">
        <w:rPr>
          <w:rFonts w:cs="Tahoma"/>
          <w:szCs w:val="20"/>
        </w:rPr>
        <w:noBreakHyphen/>
        <w:t> </w:t>
      </w:r>
      <w:proofErr w:type="spellStart"/>
      <w:r w:rsidRPr="006B6E0C">
        <w:rPr>
          <w:rFonts w:cs="Tahoma"/>
          <w:szCs w:val="20"/>
        </w:rPr>
        <w:t>nelékařů</w:t>
      </w:r>
      <w:proofErr w:type="spellEnd"/>
      <w:r w:rsidRPr="006B6E0C">
        <w:rPr>
          <w:rFonts w:cs="Tahoma"/>
          <w:szCs w:val="20"/>
        </w:rPr>
        <w:t xml:space="preserve"> (643</w:t>
      </w:r>
      <w:r w:rsidR="008B6D05" w:rsidRPr="006B6E0C">
        <w:rPr>
          <w:rFonts w:cs="Tahoma"/>
          <w:szCs w:val="20"/>
        </w:rPr>
        <w:t> </w:t>
      </w:r>
      <w:r w:rsidRPr="006B6E0C">
        <w:rPr>
          <w:rFonts w:cs="Tahoma"/>
          <w:szCs w:val="20"/>
        </w:rPr>
        <w:t xml:space="preserve">tis. Kč). </w:t>
      </w:r>
    </w:p>
    <w:p w14:paraId="335B40D3" w14:textId="55B416BA" w:rsidR="006372C1" w:rsidRPr="006B6E0C" w:rsidRDefault="006372C1" w:rsidP="006372C1">
      <w:pPr>
        <w:autoSpaceDE w:val="0"/>
        <w:autoSpaceDN w:val="0"/>
        <w:adjustRightInd w:val="0"/>
        <w:spacing w:after="240"/>
        <w:rPr>
          <w:rFonts w:cs="Tahoma"/>
          <w:szCs w:val="20"/>
        </w:rPr>
      </w:pPr>
      <w:r w:rsidRPr="006B6E0C">
        <w:rPr>
          <w:rFonts w:cs="Tahoma"/>
          <w:b/>
          <w:szCs w:val="20"/>
        </w:rPr>
        <w:t>Dotace od</w:t>
      </w:r>
      <w:r w:rsidR="008B6D05" w:rsidRPr="006B6E0C">
        <w:rPr>
          <w:rFonts w:cs="Tahoma"/>
          <w:b/>
          <w:szCs w:val="20"/>
        </w:rPr>
        <w:t> </w:t>
      </w:r>
      <w:r w:rsidRPr="006B6E0C">
        <w:rPr>
          <w:rFonts w:cs="Tahoma"/>
          <w:b/>
          <w:szCs w:val="20"/>
        </w:rPr>
        <w:t>územně samosprávných celků</w:t>
      </w:r>
      <w:r w:rsidRPr="006B6E0C">
        <w:rPr>
          <w:rFonts w:cs="Tahoma"/>
          <w:szCs w:val="20"/>
        </w:rPr>
        <w:t xml:space="preserve"> v celkové výši 39.698 tis. Kč zahrnují dotace od obcí Moravskoslezského kraje a jiných krajů zejména na spolufinancování úhrady prokazatelné ztráty v silniční dopravě (37.184 tis. Kč). Od </w:t>
      </w:r>
      <w:r w:rsidRPr="006B6E0C">
        <w:rPr>
          <w:rFonts w:cs="Tahoma"/>
          <w:b/>
          <w:szCs w:val="20"/>
        </w:rPr>
        <w:t>partnera projektu</w:t>
      </w:r>
      <w:r w:rsidRPr="006B6E0C">
        <w:rPr>
          <w:rFonts w:cs="Tahoma"/>
          <w:szCs w:val="20"/>
        </w:rPr>
        <w:t xml:space="preserve"> byly přijaty finanční prostředky na projekt </w:t>
      </w:r>
      <w:proofErr w:type="spellStart"/>
      <w:r w:rsidRPr="006B6E0C">
        <w:rPr>
          <w:rFonts w:cs="Tahoma"/>
          <w:szCs w:val="20"/>
        </w:rPr>
        <w:t>Zlepšenie</w:t>
      </w:r>
      <w:proofErr w:type="spellEnd"/>
      <w:r w:rsidRPr="006B6E0C">
        <w:rPr>
          <w:rFonts w:cs="Tahoma"/>
          <w:szCs w:val="20"/>
        </w:rPr>
        <w:t xml:space="preserve"> dostupnosti ku </w:t>
      </w:r>
      <w:proofErr w:type="spellStart"/>
      <w:r w:rsidRPr="006B6E0C">
        <w:rPr>
          <w:rFonts w:cs="Tahoma"/>
          <w:szCs w:val="20"/>
        </w:rPr>
        <w:t>kultúrnym</w:t>
      </w:r>
      <w:proofErr w:type="spellEnd"/>
      <w:r w:rsidRPr="006B6E0C">
        <w:rPr>
          <w:rFonts w:cs="Tahoma"/>
          <w:szCs w:val="20"/>
        </w:rPr>
        <w:t xml:space="preserve"> </w:t>
      </w:r>
      <w:proofErr w:type="spellStart"/>
      <w:r w:rsidRPr="006B6E0C">
        <w:rPr>
          <w:rFonts w:cs="Tahoma"/>
          <w:szCs w:val="20"/>
        </w:rPr>
        <w:t>pamiatkam</w:t>
      </w:r>
      <w:proofErr w:type="spellEnd"/>
      <w:r w:rsidRPr="006B6E0C">
        <w:rPr>
          <w:rFonts w:cs="Tahoma"/>
          <w:szCs w:val="20"/>
        </w:rPr>
        <w:t xml:space="preserve"> na </w:t>
      </w:r>
      <w:proofErr w:type="spellStart"/>
      <w:r w:rsidRPr="006B6E0C">
        <w:rPr>
          <w:rFonts w:cs="Tahoma"/>
          <w:szCs w:val="20"/>
        </w:rPr>
        <w:t>slovenskej</w:t>
      </w:r>
      <w:proofErr w:type="spellEnd"/>
      <w:r w:rsidRPr="006B6E0C">
        <w:rPr>
          <w:rFonts w:cs="Tahoma"/>
          <w:szCs w:val="20"/>
        </w:rPr>
        <w:t xml:space="preserve"> a </w:t>
      </w:r>
      <w:proofErr w:type="spellStart"/>
      <w:r w:rsidRPr="006B6E0C">
        <w:rPr>
          <w:rFonts w:cs="Tahoma"/>
          <w:szCs w:val="20"/>
        </w:rPr>
        <w:t>českej</w:t>
      </w:r>
      <w:proofErr w:type="spellEnd"/>
      <w:r w:rsidRPr="006B6E0C">
        <w:rPr>
          <w:rFonts w:cs="Tahoma"/>
          <w:szCs w:val="20"/>
        </w:rPr>
        <w:t xml:space="preserve"> </w:t>
      </w:r>
      <w:proofErr w:type="spellStart"/>
      <w:r w:rsidRPr="006B6E0C">
        <w:rPr>
          <w:rFonts w:cs="Tahoma"/>
          <w:szCs w:val="20"/>
        </w:rPr>
        <w:t>strane</w:t>
      </w:r>
      <w:proofErr w:type="spellEnd"/>
      <w:r w:rsidRPr="006B6E0C">
        <w:rPr>
          <w:rFonts w:cs="Tahoma"/>
          <w:szCs w:val="20"/>
        </w:rPr>
        <w:t xml:space="preserve"> v rámci operačního programu přeshraniční spolupráce 2014+ (192 tis. Kč). Od příspěvkové organizace Dům zahraniční spolupráce byla přijata dotace na projekt </w:t>
      </w:r>
      <w:proofErr w:type="spellStart"/>
      <w:r w:rsidRPr="006B6E0C">
        <w:rPr>
          <w:rFonts w:cs="Tahoma"/>
          <w:szCs w:val="20"/>
        </w:rPr>
        <w:t>Supporting</w:t>
      </w:r>
      <w:proofErr w:type="spellEnd"/>
      <w:r w:rsidRPr="006B6E0C">
        <w:rPr>
          <w:rFonts w:cs="Tahoma"/>
          <w:szCs w:val="20"/>
        </w:rPr>
        <w:t xml:space="preserve"> </w:t>
      </w:r>
      <w:proofErr w:type="spellStart"/>
      <w:r w:rsidRPr="006B6E0C">
        <w:rPr>
          <w:rFonts w:cs="Tahoma"/>
          <w:szCs w:val="20"/>
        </w:rPr>
        <w:t>attractivness</w:t>
      </w:r>
      <w:proofErr w:type="spellEnd"/>
      <w:r w:rsidRPr="006B6E0C">
        <w:rPr>
          <w:rFonts w:cs="Tahoma"/>
          <w:szCs w:val="20"/>
        </w:rPr>
        <w:t xml:space="preserve"> </w:t>
      </w:r>
      <w:proofErr w:type="spellStart"/>
      <w:r w:rsidRPr="006B6E0C">
        <w:rPr>
          <w:rFonts w:cs="Tahoma"/>
          <w:szCs w:val="20"/>
        </w:rPr>
        <w:t>of</w:t>
      </w:r>
      <w:proofErr w:type="spellEnd"/>
      <w:r w:rsidRPr="006B6E0C">
        <w:rPr>
          <w:rFonts w:cs="Tahoma"/>
          <w:szCs w:val="20"/>
        </w:rPr>
        <w:t xml:space="preserve"> </w:t>
      </w:r>
      <w:proofErr w:type="spellStart"/>
      <w:r w:rsidRPr="006B6E0C">
        <w:rPr>
          <w:rFonts w:cs="Tahoma"/>
          <w:szCs w:val="20"/>
        </w:rPr>
        <w:t>health</w:t>
      </w:r>
      <w:proofErr w:type="spellEnd"/>
      <w:r w:rsidRPr="006B6E0C">
        <w:rPr>
          <w:rFonts w:cs="Tahoma"/>
          <w:szCs w:val="20"/>
        </w:rPr>
        <w:t xml:space="preserve"> and </w:t>
      </w:r>
      <w:proofErr w:type="spellStart"/>
      <w:r w:rsidRPr="006B6E0C">
        <w:rPr>
          <w:rFonts w:cs="Tahoma"/>
          <w:szCs w:val="20"/>
        </w:rPr>
        <w:t>social</w:t>
      </w:r>
      <w:proofErr w:type="spellEnd"/>
      <w:r w:rsidRPr="006B6E0C">
        <w:rPr>
          <w:rFonts w:cs="Tahoma"/>
          <w:szCs w:val="20"/>
        </w:rPr>
        <w:t xml:space="preserve"> care </w:t>
      </w:r>
      <w:proofErr w:type="spellStart"/>
      <w:r w:rsidRPr="006B6E0C">
        <w:rPr>
          <w:rFonts w:cs="Tahoma"/>
          <w:szCs w:val="20"/>
        </w:rPr>
        <w:t>professions</w:t>
      </w:r>
      <w:proofErr w:type="spellEnd"/>
      <w:r w:rsidRPr="006B6E0C">
        <w:rPr>
          <w:rFonts w:cs="Tahoma"/>
          <w:szCs w:val="20"/>
        </w:rPr>
        <w:t xml:space="preserve"> in </w:t>
      </w:r>
      <w:proofErr w:type="spellStart"/>
      <w:r w:rsidRPr="006B6E0C">
        <w:rPr>
          <w:rFonts w:cs="Tahoma"/>
          <w:szCs w:val="20"/>
        </w:rPr>
        <w:t>regions</w:t>
      </w:r>
      <w:proofErr w:type="spellEnd"/>
      <w:r w:rsidRPr="006B6E0C">
        <w:rPr>
          <w:rFonts w:cs="Tahoma"/>
          <w:szCs w:val="20"/>
        </w:rPr>
        <w:t xml:space="preserve"> v rámci programu Erasmus+ (1.670 tis. Kč).</w:t>
      </w:r>
    </w:p>
    <w:p w14:paraId="4ED29C8B" w14:textId="1D0B3B16" w:rsidR="006372C1" w:rsidRPr="00FE0742" w:rsidRDefault="006372C1" w:rsidP="006372C1">
      <w:pPr>
        <w:autoSpaceDE w:val="0"/>
        <w:autoSpaceDN w:val="0"/>
        <w:adjustRightInd w:val="0"/>
        <w:spacing w:after="240"/>
        <w:rPr>
          <w:rFonts w:cs="Tahoma"/>
          <w:szCs w:val="20"/>
        </w:rPr>
      </w:pPr>
      <w:r w:rsidRPr="00FE0742">
        <w:rPr>
          <w:rFonts w:cs="Tahoma"/>
          <w:szCs w:val="20"/>
        </w:rPr>
        <w:lastRenderedPageBreak/>
        <w:t>Neinvestiční a investiční dotace (vyjma dotace od územně samosprávných celků</w:t>
      </w:r>
      <w:r>
        <w:rPr>
          <w:rFonts w:cs="Tahoma"/>
          <w:szCs w:val="20"/>
        </w:rPr>
        <w:t xml:space="preserve">, </w:t>
      </w:r>
      <w:r w:rsidRPr="00FE0742">
        <w:rPr>
          <w:rFonts w:cs="Tahoma"/>
          <w:szCs w:val="20"/>
        </w:rPr>
        <w:t>partner</w:t>
      </w:r>
      <w:r>
        <w:rPr>
          <w:rFonts w:cs="Tahoma"/>
          <w:szCs w:val="20"/>
        </w:rPr>
        <w:t>a projektu a</w:t>
      </w:r>
      <w:r w:rsidR="006B6E0C">
        <w:rPr>
          <w:rFonts w:cs="Tahoma"/>
          <w:szCs w:val="20"/>
        </w:rPr>
        <w:t> </w:t>
      </w:r>
      <w:r>
        <w:rPr>
          <w:rFonts w:cs="Tahoma"/>
          <w:szCs w:val="20"/>
        </w:rPr>
        <w:t>ostatních</w:t>
      </w:r>
      <w:r w:rsidRPr="00FE0742">
        <w:rPr>
          <w:rFonts w:cs="Tahoma"/>
          <w:szCs w:val="20"/>
        </w:rPr>
        <w:t>) v celkové výši 248.708 tis. Kč poskytnuté na akce spolufinancované z evropských finančních zdrojů jednotlivými ministerstvy jsou uvedeny v tabulce č. 6.</w:t>
      </w:r>
    </w:p>
    <w:p w14:paraId="586AA510" w14:textId="77777777" w:rsidR="008560CA" w:rsidRPr="000E7FB0" w:rsidRDefault="008560CA" w:rsidP="003E25B7">
      <w:pPr>
        <w:pStyle w:val="Nadpis2"/>
      </w:pPr>
      <w:r w:rsidRPr="000E7FB0">
        <w:t xml:space="preserve">Financování </w:t>
      </w:r>
    </w:p>
    <w:p w14:paraId="794D1883" w14:textId="7FE1EB4A" w:rsidR="008232FD" w:rsidRPr="0010440F" w:rsidRDefault="008232FD" w:rsidP="008232FD">
      <w:pPr>
        <w:spacing w:before="120" w:after="240"/>
        <w:rPr>
          <w:rFonts w:cs="Tahoma"/>
          <w:szCs w:val="20"/>
        </w:rPr>
      </w:pPr>
      <w:bookmarkStart w:id="16" w:name="_Hlk46926605"/>
      <w:r w:rsidRPr="00943BDA">
        <w:rPr>
          <w:rFonts w:cs="Tahoma"/>
          <w:szCs w:val="20"/>
        </w:rPr>
        <w:t>Pro rok 2022 byl schválen rozpočet Moravskoslezského kraje jako schodkový (rozdíl příjmů a</w:t>
      </w:r>
      <w:r>
        <w:rPr>
          <w:rFonts w:cs="Tahoma"/>
          <w:szCs w:val="20"/>
        </w:rPr>
        <w:t> </w:t>
      </w:r>
      <w:r w:rsidRPr="00943BDA">
        <w:rPr>
          <w:rFonts w:cs="Tahoma"/>
          <w:szCs w:val="20"/>
        </w:rPr>
        <w:t xml:space="preserve">výdajů </w:t>
      </w:r>
      <w:r w:rsidRPr="0010440F">
        <w:rPr>
          <w:rFonts w:cs="Tahoma"/>
          <w:szCs w:val="20"/>
        </w:rPr>
        <w:t>představuje částku 2.694.394 tis. Kč). Schválený schodek byl tvořen především zapojením části zůstatku hospodaření ve výši 1.190.894 tis. Kč (z toho ve výši 700.000 tis. Kč termínovaných vkladů), přijetím půjčených prostředků ve výši 2.151.215 tis. Kč, příděly do peněžních fondů a zapojením fondů do rozpočtu kraje v celkové výši 146.154 tis. Kč a dále splacením půjčených prostředků ve výši 793.869 tis. Kč. Využitím výše popsaných složek financování byla výše zdrojů a výdajů v rozpočtu kraje vyrovnaná.</w:t>
      </w:r>
    </w:p>
    <w:p w14:paraId="29CE28D8" w14:textId="6D121C70" w:rsidR="00A61725" w:rsidRPr="0010440F" w:rsidRDefault="008232FD" w:rsidP="00A61725">
      <w:pPr>
        <w:spacing w:before="120" w:after="240"/>
        <w:rPr>
          <w:rFonts w:cs="Tahoma"/>
          <w:szCs w:val="20"/>
        </w:rPr>
      </w:pPr>
      <w:r w:rsidRPr="0010440F">
        <w:rPr>
          <w:rFonts w:cs="Tahoma"/>
          <w:szCs w:val="20"/>
        </w:rPr>
        <w:t xml:space="preserve">V rámci upraveného rozpočtu k 30. 4. 2022 dosáhlo saldo příjmů a výdajů výše -5.460.451 tis. Kč (upravený rozpočet financování tedy dosáhl celkové výše 5.460.451 tis. Kč). Podrobněji jsou jednotlivé položky financování uvedeny v tabulce č. </w:t>
      </w:r>
      <w:r w:rsidR="0010440F" w:rsidRPr="0010440F">
        <w:rPr>
          <w:rFonts w:cs="Tahoma"/>
          <w:szCs w:val="20"/>
        </w:rPr>
        <w:t>7.</w:t>
      </w:r>
    </w:p>
    <w:bookmarkEnd w:id="16"/>
    <w:p w14:paraId="47F7DC94" w14:textId="129FB133" w:rsidR="004E66E5" w:rsidRPr="004E66E5" w:rsidRDefault="008D3423" w:rsidP="0068080D">
      <w:pPr>
        <w:pStyle w:val="Styltab"/>
      </w:pPr>
      <w:r w:rsidRPr="00E107E5">
        <w:t>Struktura financování rozpočtu kraje na rok 202</w:t>
      </w:r>
      <w:r w:rsidR="004E66E5">
        <w:t>2</w:t>
      </w:r>
      <w:r w:rsidR="007D1833" w:rsidRPr="00E107E5">
        <w:t xml:space="preserve">                                                  v tis. Kč</w:t>
      </w:r>
      <w:r w:rsidR="004E66E5" w:rsidRPr="00A64038">
        <w:object w:dxaOrig="9246" w:dyaOrig="7858" w14:anchorId="0AD5E8E5">
          <v:shape id="_x0000_i1031" type="#_x0000_t75" style="width:463.9pt;height:391.25pt" o:ole="">
            <v:imagedata r:id="rId21" o:title=""/>
          </v:shape>
          <o:OLEObject Type="Embed" ProgID="Excel.Sheet.12" ShapeID="_x0000_i1031" DrawAspect="Content" ObjectID="_1714980693" r:id="rId22"/>
        </w:object>
      </w:r>
    </w:p>
    <w:p w14:paraId="075A5394" w14:textId="3801E403" w:rsidR="00A236DC" w:rsidRPr="0028120B" w:rsidRDefault="00A236DC" w:rsidP="00A236DC">
      <w:pPr>
        <w:rPr>
          <w:rFonts w:cs="Tahoma"/>
          <w:sz w:val="18"/>
          <w:szCs w:val="18"/>
        </w:rPr>
      </w:pPr>
      <w:r w:rsidRPr="0028120B">
        <w:rPr>
          <w:rFonts w:cs="Tahoma"/>
          <w:b/>
          <w:sz w:val="18"/>
          <w:szCs w:val="18"/>
        </w:rPr>
        <w:t>*)</w:t>
      </w:r>
      <w:r w:rsidRPr="0028120B">
        <w:rPr>
          <w:rFonts w:cs="Tahoma"/>
          <w:sz w:val="18"/>
          <w:szCs w:val="18"/>
        </w:rPr>
        <w:t xml:space="preserve"> Změna stavu prostředků je uvedena ve sloupci „Skutečnost k </w:t>
      </w:r>
      <w:r w:rsidR="0073096F" w:rsidRPr="0028120B">
        <w:rPr>
          <w:rFonts w:cs="Tahoma"/>
          <w:sz w:val="18"/>
          <w:szCs w:val="18"/>
        </w:rPr>
        <w:t>30. 4. 2022</w:t>
      </w:r>
      <w:r w:rsidRPr="0028120B">
        <w:rPr>
          <w:rFonts w:cs="Tahoma"/>
          <w:sz w:val="18"/>
          <w:szCs w:val="18"/>
        </w:rPr>
        <w:t>“ s opačným znaménkem – záporná hodnota představuje nárůst objemu prostředků na účtech (bez zohlednění termínovaných vkladů).</w:t>
      </w:r>
    </w:p>
    <w:p w14:paraId="3B89155F" w14:textId="3F948D0A" w:rsidR="001F5E40" w:rsidRPr="006C3C95" w:rsidRDefault="001F5E40" w:rsidP="001F5E40">
      <w:pPr>
        <w:spacing w:before="240"/>
        <w:rPr>
          <w:rFonts w:cs="Tahoma"/>
          <w:szCs w:val="20"/>
        </w:rPr>
      </w:pPr>
      <w:bookmarkStart w:id="17" w:name="_Hlk46926694"/>
      <w:r w:rsidRPr="00774723">
        <w:rPr>
          <w:rFonts w:cs="Tahoma"/>
          <w:szCs w:val="20"/>
        </w:rPr>
        <w:lastRenderedPageBreak/>
        <w:t>Od</w:t>
      </w:r>
      <w:r>
        <w:rPr>
          <w:rFonts w:cs="Tahoma"/>
          <w:szCs w:val="20"/>
        </w:rPr>
        <w:t> </w:t>
      </w:r>
      <w:r w:rsidRPr="00774723">
        <w:rPr>
          <w:rFonts w:cs="Tahoma"/>
          <w:szCs w:val="20"/>
        </w:rPr>
        <w:t>počátku roku 2022 byly postupně realizovány rozpočtové úpravy týkající se oblasti financování, a to jak v souvislosti s</w:t>
      </w:r>
      <w:r w:rsidRPr="00774723">
        <w:t> </w:t>
      </w:r>
      <w:r w:rsidRPr="00774723">
        <w:rPr>
          <w:rFonts w:cs="Tahoma"/>
          <w:szCs w:val="20"/>
        </w:rPr>
        <w:t xml:space="preserve">přesným </w:t>
      </w:r>
      <w:r w:rsidRPr="006C3C95">
        <w:rPr>
          <w:rFonts w:cs="Tahoma"/>
          <w:szCs w:val="20"/>
        </w:rPr>
        <w:t>vyčíslením a následným zapojením kladného zůstatku rozpočtového hospodaření roku 2021, tak ve vztahu k objemu přijatých dlouhodobých půjčených prostředků.</w:t>
      </w:r>
    </w:p>
    <w:p w14:paraId="1505A479" w14:textId="0AE80765" w:rsidR="001F5E40" w:rsidRPr="00C94ABC" w:rsidRDefault="001F5E40" w:rsidP="001F5E40">
      <w:pPr>
        <w:spacing w:before="240"/>
      </w:pPr>
      <w:r w:rsidRPr="006C3C95">
        <w:rPr>
          <w:rFonts w:cs="Tahoma"/>
          <w:szCs w:val="20"/>
        </w:rPr>
        <w:t xml:space="preserve">K 30. 4. 2022 došlo k úpravě finančních prostředků, </w:t>
      </w:r>
      <w:r w:rsidRPr="00677281">
        <w:rPr>
          <w:rFonts w:cs="Tahoma"/>
          <w:szCs w:val="20"/>
        </w:rPr>
        <w:t xml:space="preserve">které představují zdroje </w:t>
      </w:r>
      <w:r w:rsidRPr="00EB265D">
        <w:rPr>
          <w:rFonts w:cs="Tahoma"/>
          <w:szCs w:val="20"/>
        </w:rPr>
        <w:t>roku 2021 a jsou určeny ke krytí jednotlivých výdajů v rozpočtu roku 2022, na částku 3.687.096 tis. Kč (včetně prostředků na účtech termínovaných vkladů</w:t>
      </w:r>
      <w:r w:rsidR="00AB48D7">
        <w:rPr>
          <w:rFonts w:cs="Tahoma"/>
          <w:szCs w:val="20"/>
        </w:rPr>
        <w:t xml:space="preserve"> ve výši 701.000</w:t>
      </w:r>
      <w:r w:rsidR="00FA17C9">
        <w:rPr>
          <w:rFonts w:cs="Tahoma"/>
          <w:szCs w:val="20"/>
        </w:rPr>
        <w:t> tis. Kč</w:t>
      </w:r>
      <w:r w:rsidRPr="00EB265D">
        <w:rPr>
          <w:rFonts w:cs="Tahoma"/>
          <w:szCs w:val="20"/>
        </w:rPr>
        <w:t xml:space="preserve">), a to zejména z důvodu zapojení účelově vázaných finančních </w:t>
      </w:r>
      <w:r w:rsidRPr="00C94ABC">
        <w:rPr>
          <w:rFonts w:cs="Tahoma"/>
          <w:szCs w:val="20"/>
        </w:rPr>
        <w:t xml:space="preserve">prostředků z roku 2021 k dofinancování akcí spolufinancovaných z evropských finančních zdrojů, akcí reprodukce majetku kraje a akcí jinak smluvně zajištěných a převedených do roku 2022. Podstatná část nespecifikovaného zůstatku rozpočtového hospodaření roku 2021 ve výši </w:t>
      </w:r>
      <w:r w:rsidRPr="00C94ABC">
        <w:t>1.124.499 tis. Kč byla zapojena do rozpočtu kraje na rok 2022. Jednalo se o prostředky, které byly použity k dofinancování akcí rozpočtu kraje na rok 2022 a financování nových akcí v souladu se Strategií rozvoje Moravskoslezského kraje na</w:t>
      </w:r>
      <w:r w:rsidR="009141B3" w:rsidRPr="00C94ABC">
        <w:t> </w:t>
      </w:r>
      <w:r w:rsidRPr="00F27069">
        <w:t>léta 2019-2027. Zbývající prostředky nespecifikovaného zůstatku ve</w:t>
      </w:r>
      <w:r w:rsidR="009141B3" w:rsidRPr="00F27069">
        <w:t> </w:t>
      </w:r>
      <w:r w:rsidRPr="00F27069">
        <w:t>výši 150</w:t>
      </w:r>
      <w:r w:rsidR="009141B3" w:rsidRPr="00F27069">
        <w:t> </w:t>
      </w:r>
      <w:r w:rsidRPr="00F27069">
        <w:t>mil.</w:t>
      </w:r>
      <w:r w:rsidR="009141B3" w:rsidRPr="00F27069">
        <w:t> </w:t>
      </w:r>
      <w:r w:rsidRPr="00F27069">
        <w:t>Kč budou přiděleny do</w:t>
      </w:r>
      <w:r w:rsidR="009141B3" w:rsidRPr="00F27069">
        <w:t> </w:t>
      </w:r>
      <w:r w:rsidRPr="00F27069">
        <w:t xml:space="preserve">Fondu pro financování strategických projektů </w:t>
      </w:r>
      <w:r w:rsidR="009141B3" w:rsidRPr="00F27069">
        <w:t>Moravskoslezského kraje</w:t>
      </w:r>
      <w:r w:rsidR="00C94ABC" w:rsidRPr="00F27069">
        <w:t>m,</w:t>
      </w:r>
      <w:r w:rsidRPr="00F27069">
        <w:t xml:space="preserve"> návrh přídělu je součástí materiálu Závěrečný účet Moravskoslezského kraje za rok 2021 a návrh na přidělení finančních prostředků do peněžních fondů kraje.</w:t>
      </w:r>
    </w:p>
    <w:p w14:paraId="148369F6" w14:textId="666DD5A3" w:rsidR="001F5E40" w:rsidRPr="00F20928" w:rsidRDefault="001F5E40" w:rsidP="001F5E40">
      <w:pPr>
        <w:pStyle w:val="Zkladntext3"/>
        <w:rPr>
          <w:rFonts w:cs="Tahoma"/>
          <w:color w:val="auto"/>
          <w:sz w:val="20"/>
          <w:szCs w:val="20"/>
        </w:rPr>
      </w:pPr>
      <w:r w:rsidRPr="00A94C97">
        <w:rPr>
          <w:rFonts w:cs="Tahoma"/>
          <w:color w:val="auto"/>
          <w:sz w:val="20"/>
          <w:szCs w:val="20"/>
        </w:rPr>
        <w:t xml:space="preserve">Prostředky zapojené do schváleného rozpočtu kraje ze zdrojů Fondu životního prostředí v rámci podpory ozdravných pobytů </w:t>
      </w:r>
      <w:r w:rsidRPr="00F20928">
        <w:rPr>
          <w:rFonts w:cs="Tahoma"/>
          <w:color w:val="auto"/>
          <w:sz w:val="20"/>
          <w:szCs w:val="20"/>
        </w:rPr>
        <w:t>v Moravskoslezském kraji ve výši 3.000 tis. Kč zůstaly k datu 30.</w:t>
      </w:r>
      <w:r w:rsidR="00C94ABC">
        <w:rPr>
          <w:rFonts w:cs="Tahoma"/>
          <w:color w:val="auto"/>
          <w:sz w:val="20"/>
          <w:szCs w:val="20"/>
        </w:rPr>
        <w:t> </w:t>
      </w:r>
      <w:r w:rsidRPr="00F20928">
        <w:rPr>
          <w:rFonts w:cs="Tahoma"/>
          <w:color w:val="auto"/>
          <w:sz w:val="20"/>
          <w:szCs w:val="20"/>
        </w:rPr>
        <w:t>4.</w:t>
      </w:r>
      <w:r w:rsidR="00C94ABC">
        <w:rPr>
          <w:rFonts w:cs="Tahoma"/>
          <w:color w:val="auto"/>
          <w:sz w:val="20"/>
          <w:szCs w:val="20"/>
        </w:rPr>
        <w:t> </w:t>
      </w:r>
      <w:r w:rsidRPr="00F20928">
        <w:rPr>
          <w:rFonts w:cs="Tahoma"/>
          <w:color w:val="auto"/>
          <w:sz w:val="20"/>
          <w:szCs w:val="20"/>
        </w:rPr>
        <w:t>2022 nezměněny.</w:t>
      </w:r>
    </w:p>
    <w:p w14:paraId="1084B818" w14:textId="5E2BC89A" w:rsidR="001F5E40" w:rsidRPr="00364C4E" w:rsidRDefault="001F5E40" w:rsidP="001F5E40">
      <w:pPr>
        <w:pStyle w:val="Zkladntext3"/>
        <w:spacing w:after="0"/>
        <w:rPr>
          <w:rFonts w:cs="Tahoma"/>
          <w:color w:val="auto"/>
          <w:sz w:val="20"/>
          <w:szCs w:val="20"/>
        </w:rPr>
      </w:pPr>
      <w:bookmarkStart w:id="18" w:name="_Hlk103675277"/>
      <w:r w:rsidRPr="00F20928">
        <w:rPr>
          <w:rFonts w:cs="Tahoma"/>
          <w:color w:val="auto"/>
          <w:sz w:val="20"/>
          <w:szCs w:val="20"/>
        </w:rPr>
        <w:t xml:space="preserve">Ve schváleném rozpočtu byly zapojeny finanční prostředky Zajišťovacího fondu ve výši 500 tis. Kč na krytí rozpočtové položky Rezerva na krizová opatření. </w:t>
      </w:r>
      <w:r>
        <w:rPr>
          <w:rFonts w:cs="Tahoma"/>
          <w:color w:val="auto"/>
          <w:sz w:val="20"/>
          <w:szCs w:val="20"/>
        </w:rPr>
        <w:t>Současně</w:t>
      </w:r>
      <w:r w:rsidRPr="00F20928">
        <w:rPr>
          <w:rFonts w:cs="Tahoma"/>
          <w:color w:val="auto"/>
          <w:sz w:val="20"/>
          <w:szCs w:val="20"/>
        </w:rPr>
        <w:t xml:space="preserve"> byly v rámci schváleného rozpočtu do</w:t>
      </w:r>
      <w:r w:rsidR="00C94ABC">
        <w:rPr>
          <w:rFonts w:cs="Tahoma"/>
          <w:color w:val="auto"/>
          <w:sz w:val="20"/>
          <w:szCs w:val="20"/>
        </w:rPr>
        <w:t> </w:t>
      </w:r>
      <w:r w:rsidRPr="00F20928">
        <w:rPr>
          <w:rFonts w:cs="Tahoma"/>
          <w:color w:val="auto"/>
          <w:sz w:val="20"/>
          <w:szCs w:val="20"/>
        </w:rPr>
        <w:t>Zajišťovacího fondu mimořádně přiděleny finanční prostředky ve výši 2.700</w:t>
      </w:r>
      <w:r w:rsidR="00C94ABC">
        <w:rPr>
          <w:rFonts w:cs="Tahoma"/>
          <w:color w:val="auto"/>
          <w:sz w:val="20"/>
          <w:szCs w:val="20"/>
        </w:rPr>
        <w:t> t</w:t>
      </w:r>
      <w:r w:rsidRPr="00F20928">
        <w:rPr>
          <w:rFonts w:cs="Tahoma"/>
          <w:color w:val="auto"/>
          <w:sz w:val="20"/>
          <w:szCs w:val="20"/>
        </w:rPr>
        <w:t>is.</w:t>
      </w:r>
      <w:r w:rsidR="00C94ABC">
        <w:rPr>
          <w:rFonts w:cs="Tahoma"/>
          <w:color w:val="auto"/>
          <w:sz w:val="20"/>
          <w:szCs w:val="20"/>
        </w:rPr>
        <w:t> </w:t>
      </w:r>
      <w:r w:rsidRPr="00F20928">
        <w:rPr>
          <w:rFonts w:cs="Tahoma"/>
          <w:color w:val="auto"/>
          <w:sz w:val="20"/>
          <w:szCs w:val="20"/>
        </w:rPr>
        <w:t>Kč za</w:t>
      </w:r>
      <w:r w:rsidR="00C94ABC">
        <w:rPr>
          <w:rFonts w:cs="Tahoma"/>
          <w:color w:val="auto"/>
          <w:sz w:val="20"/>
          <w:szCs w:val="20"/>
        </w:rPr>
        <w:t> </w:t>
      </w:r>
      <w:r w:rsidRPr="00F20928">
        <w:rPr>
          <w:rFonts w:cs="Tahoma"/>
          <w:color w:val="auto"/>
          <w:sz w:val="20"/>
          <w:szCs w:val="20"/>
        </w:rPr>
        <w:t>účelem doplnění zůstatku na</w:t>
      </w:r>
      <w:r w:rsidR="00C94ABC">
        <w:rPr>
          <w:rFonts w:cs="Tahoma"/>
          <w:color w:val="auto"/>
          <w:sz w:val="20"/>
          <w:szCs w:val="20"/>
        </w:rPr>
        <w:t> </w:t>
      </w:r>
      <w:r w:rsidRPr="00F20928">
        <w:rPr>
          <w:rFonts w:cs="Tahoma"/>
          <w:color w:val="auto"/>
          <w:sz w:val="20"/>
          <w:szCs w:val="20"/>
        </w:rPr>
        <w:t>účtu fondu do</w:t>
      </w:r>
      <w:r w:rsidR="00C94ABC">
        <w:rPr>
          <w:rFonts w:cs="Tahoma"/>
          <w:color w:val="auto"/>
          <w:sz w:val="20"/>
          <w:szCs w:val="20"/>
        </w:rPr>
        <w:t> </w:t>
      </w:r>
      <w:r w:rsidRPr="00F20928">
        <w:rPr>
          <w:rFonts w:cs="Tahoma"/>
          <w:color w:val="auto"/>
          <w:sz w:val="20"/>
          <w:szCs w:val="20"/>
        </w:rPr>
        <w:t xml:space="preserve">jeho max. výše 100 mil. Kč </w:t>
      </w:r>
      <w:r w:rsidRPr="00364C4E">
        <w:rPr>
          <w:rFonts w:cs="Tahoma"/>
          <w:color w:val="auto"/>
          <w:sz w:val="20"/>
          <w:szCs w:val="20"/>
        </w:rPr>
        <w:t>(</w:t>
      </w:r>
      <w:r>
        <w:rPr>
          <w:rFonts w:cs="Tahoma"/>
          <w:color w:val="auto"/>
          <w:sz w:val="20"/>
          <w:szCs w:val="20"/>
        </w:rPr>
        <w:t>k</w:t>
      </w:r>
      <w:r w:rsidRPr="00364C4E">
        <w:rPr>
          <w:rFonts w:cs="Tahoma"/>
          <w:color w:val="auto"/>
          <w:sz w:val="20"/>
          <w:szCs w:val="20"/>
        </w:rPr>
        <w:t>e snížení zůstatku pod hranici 100 mil. Kč došlo v důsledku poskytnutí peněžního daru Jihomoravskému kraji k likvidaci následků a</w:t>
      </w:r>
      <w:r w:rsidR="00C94ABC">
        <w:rPr>
          <w:rFonts w:cs="Tahoma"/>
          <w:color w:val="auto"/>
          <w:sz w:val="20"/>
          <w:szCs w:val="20"/>
        </w:rPr>
        <w:t> </w:t>
      </w:r>
      <w:r w:rsidRPr="00364C4E">
        <w:rPr>
          <w:rFonts w:cs="Tahoma"/>
          <w:color w:val="auto"/>
          <w:sz w:val="20"/>
          <w:szCs w:val="20"/>
        </w:rPr>
        <w:t xml:space="preserve">obnově území Jihomoravského kraje po ničivém tornádu v roce 2021). </w:t>
      </w:r>
      <w:r w:rsidRPr="00F20928">
        <w:rPr>
          <w:rFonts w:cs="Tahoma"/>
          <w:color w:val="auto"/>
          <w:sz w:val="20"/>
          <w:szCs w:val="20"/>
        </w:rPr>
        <w:t>K 30. 4. 2022 zůstává výše fondu nezměněna.</w:t>
      </w:r>
    </w:p>
    <w:p w14:paraId="4E972D43" w14:textId="47EF6BDF" w:rsidR="001F5E40" w:rsidRPr="00364C4E" w:rsidRDefault="001F5E40" w:rsidP="001F5E40">
      <w:pPr>
        <w:spacing w:before="120" w:after="240"/>
        <w:rPr>
          <w:rFonts w:cs="Tahoma"/>
          <w:szCs w:val="20"/>
        </w:rPr>
      </w:pPr>
      <w:r>
        <w:rPr>
          <w:rFonts w:cs="Tahoma"/>
          <w:szCs w:val="20"/>
        </w:rPr>
        <w:t>Dále v</w:t>
      </w:r>
      <w:r w:rsidRPr="00364C4E">
        <w:rPr>
          <w:rFonts w:cs="Tahoma"/>
          <w:szCs w:val="20"/>
        </w:rPr>
        <w:t>e schváleném rozpočtu byly zapojeny prostředky Fondu pro</w:t>
      </w:r>
      <w:r w:rsidR="00C94ABC">
        <w:rPr>
          <w:rFonts w:cs="Tahoma"/>
          <w:szCs w:val="20"/>
        </w:rPr>
        <w:t> </w:t>
      </w:r>
      <w:r w:rsidRPr="00364C4E">
        <w:rPr>
          <w:rFonts w:cs="Tahoma"/>
          <w:szCs w:val="20"/>
        </w:rPr>
        <w:t>financování strategických projektů v celkové výši 26.506</w:t>
      </w:r>
      <w:r>
        <w:rPr>
          <w:rFonts w:cs="Tahoma"/>
          <w:szCs w:val="20"/>
        </w:rPr>
        <w:t> tis. </w:t>
      </w:r>
      <w:r w:rsidRPr="00364C4E">
        <w:rPr>
          <w:rFonts w:cs="Tahoma"/>
          <w:szCs w:val="20"/>
        </w:rPr>
        <w:t>Kč na financování výdajů souvisejících s přípravou a realizací tří významných investičních projektů: Černá kostka</w:t>
      </w:r>
      <w:r>
        <w:rPr>
          <w:rFonts w:cs="Tahoma"/>
          <w:szCs w:val="20"/>
        </w:rPr>
        <w:t> </w:t>
      </w:r>
      <w:r>
        <w:rPr>
          <w:rFonts w:cs="Tahoma"/>
          <w:szCs w:val="20"/>
        </w:rPr>
        <w:noBreakHyphen/>
        <w:t> </w:t>
      </w:r>
      <w:r w:rsidRPr="00364C4E">
        <w:rPr>
          <w:rFonts w:cs="Tahoma"/>
          <w:szCs w:val="20"/>
        </w:rPr>
        <w:t>Centrum digitalizace (22.574</w:t>
      </w:r>
      <w:r>
        <w:rPr>
          <w:rFonts w:cs="Tahoma"/>
          <w:szCs w:val="20"/>
        </w:rPr>
        <w:t> </w:t>
      </w:r>
      <w:r w:rsidRPr="00364C4E">
        <w:rPr>
          <w:rFonts w:cs="Tahoma"/>
          <w:szCs w:val="20"/>
        </w:rPr>
        <w:t>tis.</w:t>
      </w:r>
      <w:r>
        <w:rPr>
          <w:rFonts w:cs="Tahoma"/>
          <w:szCs w:val="20"/>
        </w:rPr>
        <w:t> </w:t>
      </w:r>
      <w:r w:rsidRPr="00364C4E">
        <w:rPr>
          <w:rFonts w:cs="Tahoma"/>
          <w:szCs w:val="20"/>
        </w:rPr>
        <w:t>Kč), Centrum veřejných energetiků (3.407 tis. Kč)</w:t>
      </w:r>
      <w:r>
        <w:rPr>
          <w:rFonts w:cs="Tahoma"/>
          <w:szCs w:val="20"/>
        </w:rPr>
        <w:t xml:space="preserve"> a </w:t>
      </w:r>
      <w:r w:rsidRPr="00364C4E">
        <w:rPr>
          <w:rFonts w:cs="Tahoma"/>
          <w:szCs w:val="20"/>
        </w:rPr>
        <w:t>Technologická a</w:t>
      </w:r>
      <w:r>
        <w:rPr>
          <w:rFonts w:cs="Tahoma"/>
          <w:szCs w:val="20"/>
        </w:rPr>
        <w:t> </w:t>
      </w:r>
      <w:r w:rsidRPr="00364C4E">
        <w:rPr>
          <w:rFonts w:cs="Tahoma"/>
          <w:szCs w:val="20"/>
        </w:rPr>
        <w:t>podnikatelská akademie a digitální, inovační a mediální laboratoř (525</w:t>
      </w:r>
      <w:r>
        <w:rPr>
          <w:rFonts w:cs="Tahoma"/>
          <w:szCs w:val="20"/>
        </w:rPr>
        <w:t> </w:t>
      </w:r>
      <w:r w:rsidRPr="00364C4E">
        <w:rPr>
          <w:rFonts w:cs="Tahoma"/>
          <w:szCs w:val="20"/>
        </w:rPr>
        <w:t>tis.</w:t>
      </w:r>
      <w:r>
        <w:rPr>
          <w:rFonts w:cs="Tahoma"/>
          <w:szCs w:val="20"/>
        </w:rPr>
        <w:t> </w:t>
      </w:r>
      <w:r w:rsidRPr="00364C4E">
        <w:rPr>
          <w:rFonts w:cs="Tahoma"/>
          <w:szCs w:val="20"/>
        </w:rPr>
        <w:t>Kč)</w:t>
      </w:r>
      <w:r>
        <w:rPr>
          <w:rFonts w:cs="Tahoma"/>
          <w:szCs w:val="20"/>
        </w:rPr>
        <w:t>.</w:t>
      </w:r>
      <w:r w:rsidRPr="0092165C">
        <w:rPr>
          <w:rFonts w:cs="Tahoma"/>
          <w:szCs w:val="20"/>
        </w:rPr>
        <w:t xml:space="preserve"> </w:t>
      </w:r>
      <w:r w:rsidRPr="00ED7878">
        <w:rPr>
          <w:rFonts w:cs="Tahoma"/>
          <w:szCs w:val="20"/>
        </w:rPr>
        <w:t>Objem těchto prostředků k 30. 4. 2022 zůstal nezměněn.</w:t>
      </w:r>
    </w:p>
    <w:bookmarkEnd w:id="18"/>
    <w:p w14:paraId="18B03431" w14:textId="4758311C" w:rsidR="001F5E40" w:rsidRPr="002303F5" w:rsidRDefault="001F5E40" w:rsidP="001F5E40">
      <w:pPr>
        <w:spacing w:before="120" w:after="240"/>
        <w:rPr>
          <w:rFonts w:cs="Tahoma"/>
          <w:szCs w:val="20"/>
        </w:rPr>
      </w:pPr>
      <w:r w:rsidRPr="00457CD9">
        <w:rPr>
          <w:rFonts w:cs="Tahoma"/>
          <w:szCs w:val="20"/>
        </w:rPr>
        <w:t>Ve</w:t>
      </w:r>
      <w:r w:rsidR="00C94ABC">
        <w:rPr>
          <w:rFonts w:cs="Tahoma"/>
          <w:szCs w:val="20"/>
        </w:rPr>
        <w:t> </w:t>
      </w:r>
      <w:r w:rsidRPr="00457CD9">
        <w:rPr>
          <w:rFonts w:cs="Tahoma"/>
          <w:szCs w:val="20"/>
        </w:rPr>
        <w:t>schváleném rozpočtu byly zapojeny prostředky Fondu finančních zdrojů JESSICA ve výši 140.055 tis. Kč na vyplacení schválených úvěrů pro</w:t>
      </w:r>
      <w:r w:rsidR="007009AD">
        <w:rPr>
          <w:rFonts w:cs="Tahoma"/>
          <w:szCs w:val="20"/>
        </w:rPr>
        <w:t> </w:t>
      </w:r>
      <w:r w:rsidRPr="00457CD9">
        <w:rPr>
          <w:rFonts w:cs="Tahoma"/>
          <w:szCs w:val="20"/>
        </w:rPr>
        <w:t>obce v</w:t>
      </w:r>
      <w:r w:rsidR="007009AD">
        <w:rPr>
          <w:rFonts w:cs="Tahoma"/>
          <w:szCs w:val="20"/>
        </w:rPr>
        <w:t> </w:t>
      </w:r>
      <w:r w:rsidRPr="00457CD9">
        <w:rPr>
          <w:rFonts w:cs="Tahoma"/>
          <w:szCs w:val="20"/>
        </w:rPr>
        <w:t xml:space="preserve">rámci finančního nástroje Jessica II. a III. (podpora projektů rozvoje obcí a měst v kraji) a jednoho individuálně schváleného úvěru mimo finanční nástroj Jessica II. a III. K 30. 4. 2022 došlo k navýšení o částku ve výši 10.332 tis. Kč, a to </w:t>
      </w:r>
      <w:r w:rsidRPr="00457CD9">
        <w:t>na</w:t>
      </w:r>
      <w:r w:rsidR="007009AD">
        <w:t> </w:t>
      </w:r>
      <w:r w:rsidRPr="00457CD9">
        <w:t>vyplacení schváleného úvěru obci Žabeň v rámci finančního nástroje Jessica III.</w:t>
      </w:r>
    </w:p>
    <w:p w14:paraId="3ACEEEE7" w14:textId="3238A1BB" w:rsidR="001F5E40" w:rsidRPr="001768D8" w:rsidRDefault="001F5E40" w:rsidP="001F5E40">
      <w:pPr>
        <w:spacing w:before="120" w:after="240"/>
        <w:rPr>
          <w:rFonts w:cs="Tahoma"/>
          <w:szCs w:val="20"/>
        </w:rPr>
      </w:pPr>
      <w:r w:rsidRPr="001768D8">
        <w:rPr>
          <w:rFonts w:cs="Tahoma"/>
          <w:szCs w:val="20"/>
        </w:rPr>
        <w:t>Zdrojem Fondu JESSICA jsou v roce 2022 prostředky vrácené na</w:t>
      </w:r>
      <w:r w:rsidR="007009AD">
        <w:rPr>
          <w:rFonts w:cs="Tahoma"/>
          <w:szCs w:val="20"/>
        </w:rPr>
        <w:t> </w:t>
      </w:r>
      <w:r w:rsidRPr="001768D8">
        <w:rPr>
          <w:rFonts w:cs="Tahoma"/>
          <w:szCs w:val="20"/>
        </w:rPr>
        <w:t>základě operačních smluv s</w:t>
      </w:r>
      <w:r w:rsidR="007009AD">
        <w:rPr>
          <w:rFonts w:cs="Tahoma"/>
          <w:szCs w:val="20"/>
        </w:rPr>
        <w:t> </w:t>
      </w:r>
      <w:r w:rsidRPr="001768D8">
        <w:rPr>
          <w:rFonts w:cs="Tahoma"/>
          <w:szCs w:val="20"/>
        </w:rPr>
        <w:t>Fondy rozvoje měst a splátky jistin a úroky z poskytnutých návratných finančních zdrojů od obcí. Ve</w:t>
      </w:r>
      <w:r>
        <w:rPr>
          <w:rFonts w:cs="Tahoma"/>
          <w:szCs w:val="20"/>
        </w:rPr>
        <w:t> </w:t>
      </w:r>
      <w:r w:rsidRPr="001768D8">
        <w:rPr>
          <w:rFonts w:cs="Tahoma"/>
          <w:szCs w:val="20"/>
        </w:rPr>
        <w:t>sledovaném období zůstal příděl do fondu JESSICA nezměněn, a to ve výši 21.207 tis. Kč.</w:t>
      </w:r>
    </w:p>
    <w:p w14:paraId="2FAFE91D" w14:textId="77777777" w:rsidR="001F5E40" w:rsidRPr="008B27D4" w:rsidRDefault="001F5E40" w:rsidP="001F5E40">
      <w:pPr>
        <w:pStyle w:val="Zkladntext3"/>
        <w:rPr>
          <w:rFonts w:cs="Tahoma"/>
          <w:color w:val="auto"/>
          <w:sz w:val="20"/>
          <w:szCs w:val="20"/>
        </w:rPr>
      </w:pPr>
      <w:r w:rsidRPr="008B27D4">
        <w:rPr>
          <w:rFonts w:cs="Tahoma"/>
          <w:color w:val="auto"/>
          <w:sz w:val="20"/>
          <w:szCs w:val="20"/>
        </w:rPr>
        <w:t>Pro rok 2022 je v upraveném rozpočtu kraje počítáno s čerpáním úvěrů od ČS (smlouva o úvěru z roku 2020) a UCB (smlouvy o úvěru z roku 2019) v celkové výši 2.449.483 tis. Kč. Dále je v upraveném rozpočtu kraje na rok 2022 zahrnuta splátka úvěru od EIB (smlouva z roku 2010) ve výši 76.715 tis. Kč, splátka úvěru UCB II na refinancování úvěru od EIB (smlouva z roku 2019) ve výši 168.280 tis. Kč a</w:t>
      </w:r>
      <w:r>
        <w:rPr>
          <w:rFonts w:cs="Tahoma"/>
          <w:color w:val="auto"/>
          <w:sz w:val="20"/>
          <w:szCs w:val="20"/>
        </w:rPr>
        <w:t> </w:t>
      </w:r>
      <w:r w:rsidRPr="008B27D4">
        <w:rPr>
          <w:rFonts w:cs="Tahoma"/>
          <w:color w:val="auto"/>
          <w:sz w:val="20"/>
          <w:szCs w:val="20"/>
        </w:rPr>
        <w:t>dále finanční prostředky rozpočtované na splátky části úvěru od UCB určené</w:t>
      </w:r>
      <w:r>
        <w:rPr>
          <w:rFonts w:cs="Tahoma"/>
          <w:color w:val="auto"/>
          <w:sz w:val="20"/>
          <w:szCs w:val="20"/>
        </w:rPr>
        <w:t>ho</w:t>
      </w:r>
      <w:r w:rsidRPr="008B27D4">
        <w:rPr>
          <w:rFonts w:cs="Tahoma"/>
          <w:color w:val="auto"/>
          <w:sz w:val="20"/>
          <w:szCs w:val="20"/>
        </w:rPr>
        <w:t xml:space="preserve"> na krátkodobé předfinancování dotací u projektů spolufinancovaných z evropských zdrojů, jež dosahují výše 587.619 tis. Kč.</w:t>
      </w:r>
    </w:p>
    <w:p w14:paraId="0A8EC52C" w14:textId="77777777" w:rsidR="001F5E40" w:rsidRPr="00B51030" w:rsidRDefault="001F5E40" w:rsidP="001F5E40">
      <w:pPr>
        <w:tabs>
          <w:tab w:val="left" w:pos="720"/>
          <w:tab w:val="left" w:pos="1080"/>
        </w:tabs>
        <w:spacing w:before="60"/>
        <w:rPr>
          <w:rFonts w:cs="Tahoma"/>
          <w:szCs w:val="20"/>
        </w:rPr>
      </w:pPr>
      <w:r w:rsidRPr="00BC0AD6">
        <w:rPr>
          <w:rFonts w:cs="Tahoma"/>
          <w:szCs w:val="20"/>
        </w:rPr>
        <w:t>V rámci aktivních krátkodobých operací řízení likvidity, které se rovněž zachycují na položkách třídy Financování, proběhly vklady a výběry na účtech termínovaných vkladů. Ve schváleném rozpočtu se jednalo u příjmů o zapojení části zůstatku hospodaření roku 2021 ve výši 700.000 tis. Kč, který byl k 30. 4. 2022 upraven na 701.000 tis. Kč. Příjem (výběr) prostředků z účtů termínovaných vkladů z důvodu ukončení termínovaných vkladů činí v celkovém objemu 8.107.</w:t>
      </w:r>
      <w:r w:rsidRPr="00B51030">
        <w:rPr>
          <w:rFonts w:cs="Tahoma"/>
          <w:szCs w:val="20"/>
        </w:rPr>
        <w:t>590 tis. Kč, přičemž se jedná zejména o příjmy z opakovaných krátkodobých termínovaných vkladů</w:t>
      </w:r>
      <w:r>
        <w:rPr>
          <w:rFonts w:cs="Tahoma"/>
          <w:szCs w:val="20"/>
        </w:rPr>
        <w:t>, a to především u ČSOB, ČS a KB.</w:t>
      </w:r>
    </w:p>
    <w:p w14:paraId="222ECEFA" w14:textId="77777777" w:rsidR="001F5E40" w:rsidRPr="00B51030" w:rsidRDefault="001F5E40" w:rsidP="001F5E40">
      <w:pPr>
        <w:tabs>
          <w:tab w:val="left" w:pos="720"/>
          <w:tab w:val="left" w:pos="1080"/>
        </w:tabs>
        <w:spacing w:before="60"/>
        <w:rPr>
          <w:rFonts w:cs="Tahoma"/>
          <w:szCs w:val="20"/>
        </w:rPr>
      </w:pPr>
      <w:r w:rsidRPr="00B51030">
        <w:rPr>
          <w:rFonts w:cs="Tahoma"/>
          <w:szCs w:val="20"/>
        </w:rPr>
        <w:t>Naopak skutečný výdej (vklad) prostředků na účty krátkodobých termínovaných vkladů dosáhl ke sledovanému datu výše 9.108.590 tis. Kč, kdy se opět jedná zejména o realizaci opakovaných termínovaných vkladů, a to z důvodu maximalizace úrokových výnosů plynoucích do rozpočtu kraje.</w:t>
      </w:r>
    </w:p>
    <w:bookmarkEnd w:id="17"/>
    <w:p w14:paraId="586AA51C" w14:textId="77777777" w:rsidR="008560CA" w:rsidRPr="000E7FB0" w:rsidRDefault="008560CA" w:rsidP="001459D6">
      <w:pPr>
        <w:pStyle w:val="Nadpis3"/>
        <w:rPr>
          <w:rFonts w:cs="Tahoma"/>
          <w:szCs w:val="20"/>
        </w:rPr>
      </w:pPr>
      <w:r w:rsidRPr="000E7FB0">
        <w:lastRenderedPageBreak/>
        <w:t>Financování prostřednictvím cizích zdrojů (úvěrů)</w:t>
      </w:r>
    </w:p>
    <w:p w14:paraId="1CF1BC19" w14:textId="3E502429" w:rsidR="0088689C" w:rsidRPr="0095045E" w:rsidRDefault="0088689C" w:rsidP="0088689C">
      <w:pPr>
        <w:pStyle w:val="Mjtext"/>
        <w:spacing w:after="120"/>
        <w:rPr>
          <w:szCs w:val="20"/>
        </w:rPr>
      </w:pPr>
      <w:r w:rsidRPr="0095045E">
        <w:rPr>
          <w:szCs w:val="20"/>
        </w:rPr>
        <w:t>Celková zadluženost (výše nesplacených úvěrů) Moravskoslezského kraje k 30. 4. 2022 dosáhla výše 1.748.904 tis. Kč.</w:t>
      </w:r>
    </w:p>
    <w:p w14:paraId="4C0C4624" w14:textId="089A4A3B" w:rsidR="00B30C3F" w:rsidRPr="00B30C3F" w:rsidRDefault="005D16E7" w:rsidP="002C4E76">
      <w:pPr>
        <w:pStyle w:val="Styltab"/>
      </w:pPr>
      <w:r w:rsidRPr="00E107E5">
        <w:t>Nesplacená výše úvěrů k </w:t>
      </w:r>
      <w:r w:rsidR="0073096F">
        <w:t>30. 4. 2022</w:t>
      </w:r>
      <w:r w:rsidR="00E25B74" w:rsidRPr="00E107E5">
        <w:tab/>
      </w:r>
      <w:r w:rsidRPr="00E107E5">
        <w:t>v tis. Kč</w:t>
      </w:r>
      <w:r w:rsidR="00B30C3F" w:rsidRPr="00E107E5">
        <w:object w:dxaOrig="9239" w:dyaOrig="2907" w14:anchorId="0DEBA4D4">
          <v:shape id="_x0000_i1032" type="#_x0000_t75" style="width:465.95pt;height:146.05pt" o:ole="">
            <v:imagedata r:id="rId23" o:title=""/>
          </v:shape>
          <o:OLEObject Type="Embed" ProgID="Excel.Sheet.12" ShapeID="_x0000_i1032" DrawAspect="Content" ObjectID="_1714980694" r:id="rId24"/>
        </w:object>
      </w:r>
    </w:p>
    <w:p w14:paraId="586AA520" w14:textId="77777777" w:rsidR="00B46EDE" w:rsidRPr="001E48EF" w:rsidRDefault="00B46EDE" w:rsidP="00B46EDE">
      <w:pPr>
        <w:pStyle w:val="Nadpis5"/>
      </w:pPr>
      <w:r w:rsidRPr="001E48EF">
        <w:t>Úvěrov</w:t>
      </w:r>
      <w:r w:rsidR="0058488A" w:rsidRPr="001E48EF">
        <w:t>ý rámec</w:t>
      </w:r>
      <w:r w:rsidRPr="001E48EF">
        <w:t xml:space="preserve"> Evropské investiční banky</w:t>
      </w:r>
    </w:p>
    <w:p w14:paraId="1350D106" w14:textId="0B19649F" w:rsidR="001E48EF" w:rsidRPr="009218C8" w:rsidRDefault="001E48EF" w:rsidP="001E48EF">
      <w:r w:rsidRPr="002E6FCF">
        <w:t>Převážně na úhradu vlastního podílu u akcí spolufinancovaných z evropských finančních zdrojů byl využíván od roku 2011 úvěrový rámec od EIB ve výši 2.000.000 tis. Kč. O uzavření smlouvy o financování projektu Moravia-</w:t>
      </w:r>
      <w:proofErr w:type="spellStart"/>
      <w:r w:rsidRPr="002E6FCF">
        <w:t>Silesia</w:t>
      </w:r>
      <w:proofErr w:type="spellEnd"/>
      <w:r w:rsidRPr="002E6FCF">
        <w:t xml:space="preserve"> </w:t>
      </w:r>
      <w:proofErr w:type="spellStart"/>
      <w:r w:rsidRPr="002E6FCF">
        <w:t>Regional</w:t>
      </w:r>
      <w:proofErr w:type="spellEnd"/>
      <w:r w:rsidRPr="002E6FCF">
        <w:t xml:space="preserve"> </w:t>
      </w:r>
      <w:proofErr w:type="spellStart"/>
      <w:r w:rsidRPr="002E6FCF">
        <w:t>Infra</w:t>
      </w:r>
      <w:proofErr w:type="spellEnd"/>
      <w:r w:rsidRPr="002E6FCF">
        <w:t xml:space="preserve"> II (CZ) mezi EIB a MSK rozhodlo zastupitelstvo kraje usnesením č. 15/1270 ze dne 10. 11. 2010. Celý projekt byl dokončen k 31. 12. 2015. V průběhu let 2011 </w:t>
      </w:r>
      <w:r w:rsidRPr="002E6FCF">
        <w:noBreakHyphen/>
        <w:t> 2015 pak kraj načerpal ke krytí svých výdajů finanční prostředky ve výši 2.000.000 tis. Kč. Tyto prostředky byly poskytnuty EIB prostřednictvím 5 tranší úvěrové linky. Splácení jistiny těchto tranší je rozloženo na léta 2016 až 2025. V návaznosti na uzavření smlouvy o úvěru s </w:t>
      </w:r>
      <w:proofErr w:type="spellStart"/>
      <w:r w:rsidRPr="002E6FCF">
        <w:t>UniCredit</w:t>
      </w:r>
      <w:proofErr w:type="spellEnd"/>
      <w:r w:rsidRPr="002E6FCF">
        <w:t xml:space="preserve"> Bank Czech Republic and Slovakia,</w:t>
      </w:r>
      <w:r w:rsidR="002E30DD">
        <w:t> </w:t>
      </w:r>
      <w:r w:rsidRPr="002E6FCF">
        <w:t>a. s., dne 19. 6. 2019 došlo na</w:t>
      </w:r>
      <w:r w:rsidR="002E30DD">
        <w:t> </w:t>
      </w:r>
      <w:r w:rsidRPr="002E6FCF">
        <w:t>počátku září 2019 ke</w:t>
      </w:r>
      <w:r w:rsidR="002E30DD">
        <w:t> </w:t>
      </w:r>
      <w:r w:rsidRPr="002E6FCF">
        <w:t xml:space="preserve">splacení podstatné části </w:t>
      </w:r>
      <w:r w:rsidRPr="009218C8">
        <w:t>jistiny úvěru od</w:t>
      </w:r>
      <w:r w:rsidR="002E30DD">
        <w:t> </w:t>
      </w:r>
      <w:r w:rsidRPr="009218C8">
        <w:t>EIB (předčasné splacení 2., 3. a 4. tranše) ve výši 1.178</w:t>
      </w:r>
      <w:r w:rsidR="002E30DD">
        <w:t> </w:t>
      </w:r>
      <w:r w:rsidRPr="009218C8">
        <w:t>mil.</w:t>
      </w:r>
      <w:r w:rsidR="002E30DD">
        <w:t> </w:t>
      </w:r>
      <w:r w:rsidRPr="009218C8">
        <w:t>Kč (z</w:t>
      </w:r>
      <w:r w:rsidR="002E30DD">
        <w:t> </w:t>
      </w:r>
      <w:r w:rsidRPr="009218C8">
        <w:t>toho 1.009,7 mil. Kč z</w:t>
      </w:r>
      <w:r w:rsidR="002E30DD">
        <w:t> </w:t>
      </w:r>
      <w:r w:rsidRPr="009218C8">
        <w:t>úvěru od</w:t>
      </w:r>
      <w:r w:rsidR="002E30DD">
        <w:t> </w:t>
      </w:r>
      <w:r w:rsidRPr="009218C8">
        <w:t>UCB přijatého za účelem refinancování z důvodu snížení úrokových nákladů a</w:t>
      </w:r>
      <w:r w:rsidR="002E30DD">
        <w:t> </w:t>
      </w:r>
      <w:r w:rsidRPr="009218C8">
        <w:t>168,3 mil. Kč z</w:t>
      </w:r>
      <w:r w:rsidR="002E30DD">
        <w:t> </w:t>
      </w:r>
      <w:r w:rsidRPr="009218C8">
        <w:t>vlastních zdrojů kraje). Informace o</w:t>
      </w:r>
      <w:r w:rsidR="002E30DD">
        <w:t> </w:t>
      </w:r>
      <w:r w:rsidRPr="009218C8">
        <w:t xml:space="preserve">splácení zbývajících dvou tranší jsou </w:t>
      </w:r>
      <w:r w:rsidRPr="002E30DD">
        <w:t>uvedeny v tabulce č. 9. Rozpočet</w:t>
      </w:r>
      <w:r w:rsidRPr="009218C8">
        <w:t xml:space="preserve"> kraje nyní počítá s pravidelnou splátkou zbývajících 2 tranší (1. a 5. tranše) ve</w:t>
      </w:r>
      <w:r w:rsidR="002E30DD">
        <w:t> </w:t>
      </w:r>
      <w:r w:rsidRPr="009218C8">
        <w:t>výši 76,7 mil. Kč, která probíhá každoročně v prosinci. K 30. 4. 2022 činí objem nesplacených finančních prostředků 306.857 tis. Kč.</w:t>
      </w:r>
    </w:p>
    <w:p w14:paraId="1E6F7FB1" w14:textId="77777777" w:rsidR="001E48EF" w:rsidRPr="00E107E5" w:rsidRDefault="001E48EF" w:rsidP="001E48EF">
      <w:pPr>
        <w:pStyle w:val="Styltab"/>
      </w:pPr>
      <w:r w:rsidRPr="00E107E5">
        <w:t>Přehled čerpání jednotlivých tranší od EIB k </w:t>
      </w:r>
      <w:r>
        <w:t>30. 4. 2022</w:t>
      </w:r>
      <w:r w:rsidRPr="00E107E5">
        <w:tab/>
        <w:t>v mil. Kč</w:t>
      </w:r>
      <w:bookmarkStart w:id="19" w:name="_MON_1714215779"/>
      <w:bookmarkEnd w:id="19"/>
      <w:r w:rsidRPr="00E107E5">
        <w:object w:dxaOrig="11995" w:dyaOrig="3396" w14:anchorId="217B53F6">
          <v:shape id="_x0000_i1033" type="#_x0000_t75" style="width:466.65pt;height:130.4pt" o:ole="">
            <v:imagedata r:id="rId25" o:title=""/>
          </v:shape>
          <o:OLEObject Type="Embed" ProgID="Excel.Sheet.12" ShapeID="_x0000_i1033" DrawAspect="Content" ObjectID="_1714980695" r:id="rId26"/>
        </w:object>
      </w:r>
    </w:p>
    <w:p w14:paraId="368258BB" w14:textId="77777777" w:rsidR="001E48EF" w:rsidRPr="004E78F5" w:rsidRDefault="001E48EF" w:rsidP="001E48EF">
      <w:pPr>
        <w:pStyle w:val="Nadpis5"/>
      </w:pPr>
      <w:r w:rsidRPr="004E78F5">
        <w:t xml:space="preserve">Úvěr od </w:t>
      </w:r>
      <w:proofErr w:type="spellStart"/>
      <w:r w:rsidRPr="004E78F5">
        <w:t>UniCredit</w:t>
      </w:r>
      <w:proofErr w:type="spellEnd"/>
      <w:r w:rsidRPr="004E78F5">
        <w:t xml:space="preserve"> Bank Czech Republic and Slovakia, a.s.</w:t>
      </w:r>
    </w:p>
    <w:p w14:paraId="4EE65E0B" w14:textId="77777777" w:rsidR="005979C7" w:rsidRDefault="001E48EF" w:rsidP="001E48EF">
      <w:r w:rsidRPr="004E78F5">
        <w:t>Za účelem</w:t>
      </w:r>
      <w:r>
        <w:t xml:space="preserve"> </w:t>
      </w:r>
      <w:r w:rsidRPr="004E78F5">
        <w:t>zajištění</w:t>
      </w:r>
      <w:r>
        <w:t xml:space="preserve"> </w:t>
      </w:r>
      <w:r w:rsidRPr="004E78F5">
        <w:t>finančních prostředků na předfinancování a spolufinancování akcí spolufinancovaných z evropských finančních zdrojů, případně jiných zdrojů, ve zbývající části současného programového období, tedy v letech 2019</w:t>
      </w:r>
      <w:r w:rsidR="002E30DD">
        <w:t> </w:t>
      </w:r>
      <w:r w:rsidR="002E30DD">
        <w:noBreakHyphen/>
        <w:t> </w:t>
      </w:r>
      <w:r w:rsidRPr="004E78F5">
        <w:t xml:space="preserve">2023, rozhodlo zastupitelstvo kraje usnesením č. 10/1084 ze dne 13. 12. 2018 uzavřít Smlouvu o úvěru mezi </w:t>
      </w:r>
      <w:proofErr w:type="spellStart"/>
      <w:r w:rsidRPr="004E78F5">
        <w:t>UniCredit</w:t>
      </w:r>
      <w:proofErr w:type="spellEnd"/>
      <w:r w:rsidRPr="004E78F5">
        <w:t xml:space="preserve"> Bank Czech Republic and Slovakia, a. s., a Moravskoslezským krajem ve výši 1.000.000 tis. Kč. Úvěrová smlouva byla podepsána dne 7. 1. 2019. Na splacení úvěru budou využívány prostředky, které kraj obdrží od jednotlivých řídících orgánů za akce, na jejichž předfinancování si půjčí (splacené prostředky mohou být znovu načerpány až do výše poskytnutého úvěru) a částečně vlastní prostředky kraje. Finální splatnost úvěru je stanovena k 31. 12. 2024.</w:t>
      </w:r>
    </w:p>
    <w:p w14:paraId="4192D6F3" w14:textId="76B2AEE6" w:rsidR="001E48EF" w:rsidRPr="00320414" w:rsidRDefault="001E48EF" w:rsidP="001E48EF">
      <w:r w:rsidRPr="00EA4558">
        <w:lastRenderedPageBreak/>
        <w:t xml:space="preserve">V upraveném rozpočtu na rok 2022 je počítáno s odčerpáním tohoto úvěrového rámce ve výši 1.024.824 tis. Kč a se splátkou ve výši 587.619 tis. Kč. Úroková sazba u tohoto úvěru je nastavena na bázi 1měsíčního </w:t>
      </w:r>
      <w:proofErr w:type="spellStart"/>
      <w:r w:rsidRPr="00EA4558">
        <w:t>PRIBORu</w:t>
      </w:r>
      <w:proofErr w:type="spellEnd"/>
      <w:r w:rsidRPr="00EA4558">
        <w:t xml:space="preserve"> a odchylky ve výši 0,01 %. K 30. 4. 2022 tak úroková sazba činila 5,32 % p. a. Od počátku roku kraj čerpal úvěr od UCB na financování akcí zejména v oblasti zdravotnictví, školství a kultury v celkové výši 49.736 tis. Kč, současně byla splacena část úvěru ve výši 10.125 tis. Kč. Celkový nesplacený zůstatek úvěru k 30. 4. 2022 tedy činí 422.977 tis. Kč.</w:t>
      </w:r>
    </w:p>
    <w:p w14:paraId="394CFA06" w14:textId="77777777" w:rsidR="001E48EF" w:rsidRPr="00320414" w:rsidRDefault="001E48EF" w:rsidP="001E48EF">
      <w:pPr>
        <w:pStyle w:val="Nadpis5"/>
      </w:pPr>
      <w:r w:rsidRPr="00320414">
        <w:t xml:space="preserve">Úvěr od </w:t>
      </w:r>
      <w:proofErr w:type="spellStart"/>
      <w:r w:rsidRPr="00320414">
        <w:t>UniCredit</w:t>
      </w:r>
      <w:proofErr w:type="spellEnd"/>
      <w:r w:rsidRPr="00320414">
        <w:t xml:space="preserve"> Bank Czech Republic and Slovakia, a.s. II.</w:t>
      </w:r>
    </w:p>
    <w:p w14:paraId="59209889" w14:textId="2A3077DB" w:rsidR="001E48EF" w:rsidRPr="00A5523D" w:rsidRDefault="001E48EF" w:rsidP="001E48EF">
      <w:r w:rsidRPr="00320414">
        <w:t>Zastupitelstvo kraje usnesením č. 12/1411 ze dne 13. 6. 2019 rozhodlo o</w:t>
      </w:r>
      <w:r w:rsidR="005979C7">
        <w:t> </w:t>
      </w:r>
      <w:r w:rsidRPr="00320414">
        <w:t>uzavření smlouvy o</w:t>
      </w:r>
      <w:r w:rsidR="005979C7">
        <w:t> </w:t>
      </w:r>
      <w:r w:rsidRPr="00320414">
        <w:t>úvěru s </w:t>
      </w:r>
      <w:proofErr w:type="spellStart"/>
      <w:r w:rsidRPr="00320414">
        <w:t>UniCredit</w:t>
      </w:r>
      <w:proofErr w:type="spellEnd"/>
      <w:r w:rsidRPr="00320414">
        <w:t xml:space="preserve"> Bank Czech Republic and Slovakia, a.s. ve výši 1.009.700 tis. Kč s úrokovou sazbou 3měsíční PRIBOR - (mínus) 0,04 % p. a. K 30. 4. 2022 tak úroková sazba činila 5,43 % p. a. Předmětem úvěrové smlouvy bylo refinancování vybraných tranší (2., 3. a 4. tranše) úvěrového rámce od</w:t>
      </w:r>
      <w:r w:rsidR="005979C7">
        <w:t> </w:t>
      </w:r>
      <w:r w:rsidRPr="00320414">
        <w:t xml:space="preserve">EIB. Cílem předčasného splacení je snížení úrokových nákladů placených krajem. Čerpání úvěru proběhlo na počátku září 2019, kdy došlo ke splacení podstatné části jistiny úvěru od EIB (předčasné splacení 2., 3. </w:t>
      </w:r>
      <w:r w:rsidRPr="00A5523D">
        <w:t>a 4. tranše). Úvěr od </w:t>
      </w:r>
      <w:proofErr w:type="spellStart"/>
      <w:r w:rsidRPr="00A5523D">
        <w:t>UniCredit</w:t>
      </w:r>
      <w:proofErr w:type="spellEnd"/>
      <w:r w:rsidRPr="00A5523D">
        <w:t xml:space="preserve"> Bank bude splácen v letech </w:t>
      </w:r>
      <w:proofErr w:type="gramStart"/>
      <w:r w:rsidRPr="00A5523D">
        <w:t>2020 – 2025</w:t>
      </w:r>
      <w:proofErr w:type="gramEnd"/>
      <w:r w:rsidRPr="00A5523D">
        <w:t xml:space="preserve"> v roční výši 168 mil. Kč. Celkový nesplacený zůstatek úvěru k 30. 4. 2022 tedy činí 631.070 tis. Kč.</w:t>
      </w:r>
    </w:p>
    <w:p w14:paraId="5288B03C" w14:textId="77777777" w:rsidR="001E48EF" w:rsidRPr="00347BA7" w:rsidRDefault="001E48EF" w:rsidP="001E48EF">
      <w:pPr>
        <w:pStyle w:val="Zkladntext"/>
        <w:spacing w:after="120"/>
        <w:rPr>
          <w:i/>
          <w:sz w:val="20"/>
          <w:u w:val="single"/>
        </w:rPr>
      </w:pPr>
      <w:r w:rsidRPr="00347BA7">
        <w:rPr>
          <w:i/>
          <w:sz w:val="20"/>
          <w:u w:val="single"/>
        </w:rPr>
        <w:t>Úvěr od České spořitelny, a.s.</w:t>
      </w:r>
    </w:p>
    <w:p w14:paraId="60DDE049" w14:textId="3D3912A3" w:rsidR="001E48EF" w:rsidRDefault="001E48EF" w:rsidP="001E48EF">
      <w:pPr>
        <w:spacing w:before="120" w:after="240"/>
        <w:rPr>
          <w:rFonts w:cs="Tahoma"/>
          <w:szCs w:val="20"/>
        </w:rPr>
      </w:pPr>
      <w:r w:rsidRPr="00347BA7">
        <w:rPr>
          <w:rFonts w:cs="Tahoma"/>
          <w:szCs w:val="20"/>
        </w:rPr>
        <w:t>Zastupitelstvo kraje usnesením č. 2/20 ze dne 17.</w:t>
      </w:r>
      <w:r w:rsidR="005979C7">
        <w:rPr>
          <w:rFonts w:cs="Tahoma"/>
          <w:szCs w:val="20"/>
        </w:rPr>
        <w:t> </w:t>
      </w:r>
      <w:r w:rsidRPr="00347BA7">
        <w:rPr>
          <w:rFonts w:cs="Tahoma"/>
          <w:szCs w:val="20"/>
        </w:rPr>
        <w:t>12.</w:t>
      </w:r>
      <w:r w:rsidR="005979C7">
        <w:rPr>
          <w:rFonts w:cs="Tahoma"/>
          <w:szCs w:val="20"/>
        </w:rPr>
        <w:t> </w:t>
      </w:r>
      <w:r w:rsidRPr="00347BA7">
        <w:rPr>
          <w:rFonts w:cs="Tahoma"/>
          <w:szCs w:val="20"/>
        </w:rPr>
        <w:t>2020 rozhodlo o</w:t>
      </w:r>
      <w:r w:rsidR="005979C7">
        <w:rPr>
          <w:rFonts w:cs="Tahoma"/>
          <w:szCs w:val="20"/>
        </w:rPr>
        <w:t> </w:t>
      </w:r>
      <w:r w:rsidRPr="00347BA7">
        <w:rPr>
          <w:rFonts w:cs="Tahoma"/>
          <w:szCs w:val="20"/>
        </w:rPr>
        <w:t>uzavření smlouvy o</w:t>
      </w:r>
      <w:r w:rsidR="005979C7">
        <w:rPr>
          <w:rFonts w:cs="Tahoma"/>
          <w:szCs w:val="20"/>
        </w:rPr>
        <w:t> </w:t>
      </w:r>
      <w:r w:rsidRPr="00347BA7">
        <w:rPr>
          <w:rFonts w:cs="Tahoma"/>
          <w:szCs w:val="20"/>
        </w:rPr>
        <w:t xml:space="preserve">úvěru s Českou spořitelnou, a.s., ve výši 3 mld. Kč s úrokovou sazbou 6měsíční PRIBOR se zápornou odchylkou. Předmětem úvěrové smlouvy je financování investičních akcí realizovaných krajem a jeho </w:t>
      </w:r>
      <w:r w:rsidRPr="00E96AEE">
        <w:rPr>
          <w:rFonts w:cs="Tahoma"/>
          <w:szCs w:val="20"/>
        </w:rPr>
        <w:t>příspěvkovými organizacemi v letech 2021 </w:t>
      </w:r>
      <w:r w:rsidRPr="00E96AEE">
        <w:rPr>
          <w:rFonts w:cs="Tahoma"/>
          <w:szCs w:val="20"/>
        </w:rPr>
        <w:noBreakHyphen/>
        <w:t> 2024. Úvěr bude splácen v letech 2026 </w:t>
      </w:r>
      <w:r w:rsidRPr="00E96AEE">
        <w:rPr>
          <w:rFonts w:cs="Tahoma"/>
          <w:szCs w:val="20"/>
        </w:rPr>
        <w:noBreakHyphen/>
        <w:t> 2035.</w:t>
      </w:r>
    </w:p>
    <w:p w14:paraId="3AF23F57" w14:textId="0B1E9303" w:rsidR="001E48EF" w:rsidRPr="00AB0FDA" w:rsidRDefault="001E48EF" w:rsidP="001E48EF">
      <w:pPr>
        <w:spacing w:before="120" w:after="240"/>
        <w:rPr>
          <w:rFonts w:cs="Tahoma"/>
          <w:szCs w:val="20"/>
        </w:rPr>
      </w:pPr>
      <w:r w:rsidRPr="00E96AEE">
        <w:t>V upraveném rozpočtu k 30. 4. 2022 je počítáno s odčerpáním tohoto úvěrového rámce ve výši 1.424.658 tis. Kč. O</w:t>
      </w:r>
      <w:r w:rsidR="000918BD">
        <w:t> </w:t>
      </w:r>
      <w:r w:rsidRPr="00E96AEE">
        <w:t>načerpání první tranše v letošním roce (v</w:t>
      </w:r>
      <w:r w:rsidR="000918BD">
        <w:t> </w:t>
      </w:r>
      <w:r w:rsidRPr="00E96AEE">
        <w:t>pořadí 4. tranše za</w:t>
      </w:r>
      <w:r w:rsidR="000918BD">
        <w:t> </w:t>
      </w:r>
      <w:r w:rsidRPr="00E96AEE">
        <w:t xml:space="preserve">období trvání smlouvy) bude požádáno </w:t>
      </w:r>
      <w:r>
        <w:t>nejpozději v červenci 2022 v předpokládané výši 100 mil. Kč (částka se odvíjí od skutečné potřeby úvěrových zdrojů potřebných na financování investičních akcí v rozpočtu kraje na rok 2022).</w:t>
      </w:r>
    </w:p>
    <w:p w14:paraId="586AA52A" w14:textId="77777777" w:rsidR="008560CA" w:rsidRPr="006C4221" w:rsidRDefault="008560CA" w:rsidP="005C2D98">
      <w:pPr>
        <w:pStyle w:val="Nadpis3"/>
      </w:pPr>
      <w:r w:rsidRPr="006C4221">
        <w:t>Zůstatky finančních prostředků na účtech kraje</w:t>
      </w:r>
    </w:p>
    <w:p w14:paraId="20BD9EC5" w14:textId="21086D09" w:rsidR="006C4221" w:rsidRPr="006C4221" w:rsidRDefault="006C4221" w:rsidP="000566E0">
      <w:pPr>
        <w:spacing w:before="120" w:after="240"/>
      </w:pPr>
      <w:r w:rsidRPr="006C4221">
        <w:t>Bližší</w:t>
      </w:r>
      <w:r>
        <w:t xml:space="preserve"> informace o zůstat</w:t>
      </w:r>
      <w:r w:rsidR="00C502FB">
        <w:t>c</w:t>
      </w:r>
      <w:r>
        <w:t>ích finančních</w:t>
      </w:r>
      <w:r w:rsidR="00C502FB">
        <w:t xml:space="preserve"> prostředků na účtech kraje jsou obsaženy v příloze č.</w:t>
      </w:r>
      <w:r w:rsidR="005D18B0">
        <w:t> </w:t>
      </w:r>
      <w:r w:rsidR="00C502FB">
        <w:t>7 předloženého materiálu</w:t>
      </w:r>
      <w:r w:rsidR="005D18B0">
        <w:t xml:space="preserve"> s názvem </w:t>
      </w:r>
      <w:r w:rsidR="005D151D">
        <w:t>Informace o nakládání s finančními prostředky kraje a o blokovaných prostředcích uložených ve S</w:t>
      </w:r>
      <w:r w:rsidR="00637A8E">
        <w:t>b</w:t>
      </w:r>
      <w:r w:rsidR="005D151D">
        <w:t>erbank CZ, a.s. v likvidaci.</w:t>
      </w:r>
    </w:p>
    <w:p w14:paraId="586AA5A0" w14:textId="77777777" w:rsidR="00014B18" w:rsidRPr="00E50AFC" w:rsidRDefault="00014B18" w:rsidP="007D29FE">
      <w:pPr>
        <w:pStyle w:val="Nadpis2"/>
      </w:pPr>
      <w:r w:rsidRPr="00E50AFC">
        <w:t>Výdajová část rozpočtu</w:t>
      </w:r>
    </w:p>
    <w:p w14:paraId="586AA5A1" w14:textId="501093E2" w:rsidR="00014B18" w:rsidRPr="00355FDD" w:rsidRDefault="00014B18" w:rsidP="00FE21CC">
      <w:r w:rsidRPr="00355FDD">
        <w:t>Výdaje kraje jsou celkem čerpány k </w:t>
      </w:r>
      <w:r w:rsidR="0073096F" w:rsidRPr="00355FDD">
        <w:t>30. 4. 2022</w:t>
      </w:r>
      <w:r w:rsidRPr="00355FDD">
        <w:t xml:space="preserve"> ve výši </w:t>
      </w:r>
      <w:r w:rsidR="00355FDD" w:rsidRPr="00355FDD">
        <w:t>8.974.071</w:t>
      </w:r>
      <w:r w:rsidR="00790ECA" w:rsidRPr="00355FDD">
        <w:t> </w:t>
      </w:r>
      <w:r w:rsidRPr="00355FDD">
        <w:t xml:space="preserve">tis. Kč, což činí </w:t>
      </w:r>
      <w:r w:rsidR="00355FDD" w:rsidRPr="00355FDD">
        <w:t>24</w:t>
      </w:r>
      <w:r w:rsidR="004F3DA0" w:rsidRPr="00355FDD">
        <w:t> </w:t>
      </w:r>
      <w:r w:rsidRPr="00355FDD">
        <w:t>% upraveného rozpočtu.</w:t>
      </w:r>
    </w:p>
    <w:p w14:paraId="0B094FB2" w14:textId="04FB726D" w:rsidR="00D939F7" w:rsidRDefault="0024279B" w:rsidP="00CE0C49">
      <w:pPr>
        <w:pStyle w:val="Styltab"/>
      </w:pPr>
      <w:r w:rsidRPr="00E107E5">
        <w:t>Přehled výdajů rozpočtu kraje v členění dle rozpočtové skladby</w:t>
      </w:r>
      <w:r w:rsidRPr="00E107E5">
        <w:tab/>
        <w:t>v tis. Kč</w:t>
      </w:r>
      <w:bookmarkStart w:id="20" w:name="_MON_1490172748"/>
      <w:bookmarkStart w:id="21" w:name="_MON_1469358469"/>
      <w:bookmarkStart w:id="22" w:name="_MON_1477201248"/>
      <w:bookmarkEnd w:id="20"/>
      <w:bookmarkEnd w:id="21"/>
      <w:bookmarkEnd w:id="22"/>
      <w:bookmarkStart w:id="23" w:name="_MON_1489915522"/>
      <w:bookmarkEnd w:id="23"/>
      <w:r w:rsidR="00CB045C" w:rsidRPr="00E107E5">
        <w:object w:dxaOrig="9141" w:dyaOrig="1371" w14:anchorId="3CEA666E">
          <v:shape id="_x0000_i1034" type="#_x0000_t75" style="width:459.15pt;height:64.55pt" o:ole="">
            <v:imagedata r:id="rId27" o:title=""/>
          </v:shape>
          <o:OLEObject Type="Embed" ProgID="Excel.Sheet.8" ShapeID="_x0000_i1034" DrawAspect="Content" ObjectID="_1714980696" r:id="rId28"/>
        </w:object>
      </w:r>
    </w:p>
    <w:p w14:paraId="3D61807C" w14:textId="77777777" w:rsidR="00195434" w:rsidRPr="00195434" w:rsidRDefault="00195434" w:rsidP="00195434"/>
    <w:p w14:paraId="586AA5A5" w14:textId="65733C6E" w:rsidR="00E2028B" w:rsidRPr="00E107E5" w:rsidRDefault="0024279B" w:rsidP="00CE0C49">
      <w:pPr>
        <w:pStyle w:val="Styltab"/>
      </w:pPr>
      <w:r w:rsidRPr="00E107E5">
        <w:lastRenderedPageBreak/>
        <w:t>Přehled výdajů rozpočtu kraje</w:t>
      </w:r>
      <w:r w:rsidR="000A0B03" w:rsidRPr="00E107E5">
        <w:t xml:space="preserve"> t</w:t>
      </w:r>
      <w:r w:rsidR="004F0855" w:rsidRPr="00E107E5">
        <w:t>říděných dle odvětví v roce 20</w:t>
      </w:r>
      <w:r w:rsidR="001E5F26" w:rsidRPr="00E107E5">
        <w:t>2</w:t>
      </w:r>
      <w:r w:rsidR="00DF7441">
        <w:t>2</w:t>
      </w:r>
      <w:r w:rsidRPr="00E107E5">
        <w:tab/>
        <w:t>v tis. Kč</w:t>
      </w:r>
      <w:bookmarkStart w:id="24" w:name="_MON_1469358730"/>
      <w:bookmarkStart w:id="25" w:name="_MON_1469532098"/>
      <w:bookmarkStart w:id="26" w:name="_MON_1469854967"/>
      <w:bookmarkStart w:id="27" w:name="_MON_1469879846"/>
      <w:bookmarkStart w:id="28" w:name="_MON_1476601495"/>
      <w:bookmarkStart w:id="29" w:name="_MON_1476601542"/>
      <w:bookmarkStart w:id="30" w:name="_MON_1476602688"/>
      <w:bookmarkStart w:id="31" w:name="_MON_1477201677"/>
      <w:bookmarkStart w:id="32" w:name="_MON_1477203383"/>
      <w:bookmarkStart w:id="33" w:name="_MON_1477312353"/>
      <w:bookmarkStart w:id="34" w:name="_MON_1477463904"/>
      <w:bookmarkStart w:id="35" w:name="_MON_1489911158"/>
      <w:bookmarkStart w:id="36" w:name="_MON_1489914387"/>
      <w:bookmarkStart w:id="37" w:name="_MON_1489919526"/>
      <w:bookmarkStart w:id="38" w:name="_MON_1490166028"/>
      <w:bookmarkStart w:id="39" w:name="_MON_1477201315"/>
      <w:bookmarkStart w:id="40" w:name="_MON_1490172761"/>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Start w:id="41" w:name="_MON_1490448822"/>
      <w:bookmarkEnd w:id="41"/>
      <w:r w:rsidR="001E18F6" w:rsidRPr="00E107E5">
        <w:object w:dxaOrig="9033" w:dyaOrig="4101" w14:anchorId="586AA6A4">
          <v:shape id="_x0000_i1035" type="#_x0000_t75" style="width:461.2pt;height:3in" o:ole="">
            <v:imagedata r:id="rId29" o:title=""/>
          </v:shape>
          <o:OLEObject Type="Embed" ProgID="Excel.Sheet.8" ShapeID="_x0000_i1035" DrawAspect="Content" ObjectID="_1714980697" r:id="rId30"/>
        </w:object>
      </w:r>
    </w:p>
    <w:p w14:paraId="0FC2C676" w14:textId="607C53FB" w:rsidR="001A17D2" w:rsidRPr="00455D02" w:rsidRDefault="00BE233F" w:rsidP="00B41A5D">
      <w:pPr>
        <w:rPr>
          <w:rFonts w:cs="Tahoma"/>
          <w:szCs w:val="20"/>
        </w:rPr>
      </w:pPr>
      <w:r w:rsidRPr="00455D02">
        <w:rPr>
          <w:rFonts w:cs="Tahoma"/>
          <w:szCs w:val="20"/>
        </w:rPr>
        <w:t>Ve srovnání skutečných výdajů v</w:t>
      </w:r>
      <w:r w:rsidR="00B05CAE" w:rsidRPr="00455D02">
        <w:rPr>
          <w:rFonts w:cs="Tahoma"/>
          <w:szCs w:val="20"/>
        </w:rPr>
        <w:t> </w:t>
      </w:r>
      <w:r w:rsidRPr="00455D02">
        <w:rPr>
          <w:rFonts w:cs="Tahoma"/>
          <w:szCs w:val="20"/>
        </w:rPr>
        <w:t xml:space="preserve">období </w:t>
      </w:r>
      <w:r w:rsidR="00232B08" w:rsidRPr="00455D02">
        <w:rPr>
          <w:rFonts w:cs="Tahoma"/>
          <w:szCs w:val="20"/>
        </w:rPr>
        <w:t xml:space="preserve">leden až </w:t>
      </w:r>
      <w:r w:rsidR="00F56DF4" w:rsidRPr="00455D02">
        <w:rPr>
          <w:rFonts w:cs="Tahoma"/>
          <w:szCs w:val="20"/>
        </w:rPr>
        <w:t>duben</w:t>
      </w:r>
      <w:r w:rsidR="00EC6BDD" w:rsidRPr="00455D02">
        <w:rPr>
          <w:rFonts w:cs="Tahoma"/>
          <w:szCs w:val="20"/>
        </w:rPr>
        <w:t> </w:t>
      </w:r>
      <w:r w:rsidR="00DD1F4A" w:rsidRPr="00455D02">
        <w:rPr>
          <w:rFonts w:cs="Tahoma"/>
          <w:szCs w:val="20"/>
        </w:rPr>
        <w:t>20</w:t>
      </w:r>
      <w:r w:rsidR="00DA5F45" w:rsidRPr="00455D02">
        <w:rPr>
          <w:rFonts w:cs="Tahoma"/>
          <w:szCs w:val="20"/>
        </w:rPr>
        <w:t>2</w:t>
      </w:r>
      <w:r w:rsidR="00F56DF4" w:rsidRPr="00455D02">
        <w:rPr>
          <w:rFonts w:cs="Tahoma"/>
          <w:szCs w:val="20"/>
        </w:rPr>
        <w:t>2</w:t>
      </w:r>
      <w:r w:rsidR="00195834" w:rsidRPr="00455D02">
        <w:rPr>
          <w:rFonts w:cs="Tahoma"/>
          <w:szCs w:val="20"/>
        </w:rPr>
        <w:t xml:space="preserve"> </w:t>
      </w:r>
      <w:r w:rsidRPr="00455D02">
        <w:rPr>
          <w:rFonts w:cs="Tahoma"/>
          <w:szCs w:val="20"/>
        </w:rPr>
        <w:t>a </w:t>
      </w:r>
      <w:r w:rsidR="002A2643" w:rsidRPr="00455D02">
        <w:rPr>
          <w:rFonts w:cs="Tahoma"/>
          <w:szCs w:val="20"/>
        </w:rPr>
        <w:t>obdobného</w:t>
      </w:r>
      <w:r w:rsidRPr="00455D02">
        <w:rPr>
          <w:rFonts w:cs="Tahoma"/>
          <w:szCs w:val="20"/>
        </w:rPr>
        <w:t xml:space="preserve"> období roku 20</w:t>
      </w:r>
      <w:r w:rsidR="00195834" w:rsidRPr="00455D02">
        <w:rPr>
          <w:rFonts w:cs="Tahoma"/>
          <w:szCs w:val="20"/>
        </w:rPr>
        <w:t>2</w:t>
      </w:r>
      <w:r w:rsidR="00927741" w:rsidRPr="00455D02">
        <w:rPr>
          <w:rFonts w:cs="Tahoma"/>
          <w:szCs w:val="20"/>
        </w:rPr>
        <w:t>1</w:t>
      </w:r>
      <w:r w:rsidRPr="00455D02">
        <w:rPr>
          <w:rFonts w:cs="Tahoma"/>
          <w:szCs w:val="20"/>
        </w:rPr>
        <w:t xml:space="preserve"> </w:t>
      </w:r>
      <w:r w:rsidR="00F56DF4" w:rsidRPr="00455D02">
        <w:rPr>
          <w:rFonts w:cs="Tahoma"/>
          <w:szCs w:val="20"/>
        </w:rPr>
        <w:t xml:space="preserve">došlo </w:t>
      </w:r>
      <w:r w:rsidRPr="00455D02">
        <w:rPr>
          <w:rFonts w:cs="Tahoma"/>
          <w:szCs w:val="20"/>
        </w:rPr>
        <w:t>celkově v letošním roce k</w:t>
      </w:r>
      <w:r w:rsidR="00F55E30" w:rsidRPr="00455D02">
        <w:rPr>
          <w:rFonts w:cs="Tahoma"/>
          <w:szCs w:val="20"/>
        </w:rPr>
        <w:t> </w:t>
      </w:r>
      <w:r w:rsidR="00F56DF4" w:rsidRPr="00455D02">
        <w:rPr>
          <w:rFonts w:cs="Tahoma"/>
          <w:szCs w:val="20"/>
        </w:rPr>
        <w:t>poklesu</w:t>
      </w:r>
      <w:r w:rsidR="00F55E30" w:rsidRPr="00455D02">
        <w:rPr>
          <w:rFonts w:cs="Tahoma"/>
          <w:szCs w:val="20"/>
        </w:rPr>
        <w:t xml:space="preserve"> </w:t>
      </w:r>
      <w:r w:rsidR="000A014E" w:rsidRPr="00455D02">
        <w:rPr>
          <w:rFonts w:cs="Tahoma"/>
          <w:szCs w:val="20"/>
        </w:rPr>
        <w:t>výdajů kraje</w:t>
      </w:r>
      <w:r w:rsidR="00B35F3D" w:rsidRPr="00455D02">
        <w:rPr>
          <w:rFonts w:cs="Tahoma"/>
          <w:szCs w:val="20"/>
        </w:rPr>
        <w:t xml:space="preserve"> celkem o</w:t>
      </w:r>
      <w:r w:rsidR="00EC6BDD" w:rsidRPr="00455D02">
        <w:rPr>
          <w:rFonts w:cs="Tahoma"/>
          <w:szCs w:val="20"/>
        </w:rPr>
        <w:t> </w:t>
      </w:r>
      <w:r w:rsidR="00F56DF4" w:rsidRPr="00455D02">
        <w:rPr>
          <w:rFonts w:cs="Tahoma"/>
          <w:szCs w:val="20"/>
        </w:rPr>
        <w:t>1.138.915</w:t>
      </w:r>
      <w:r w:rsidR="00455D02">
        <w:rPr>
          <w:rFonts w:cs="Tahoma"/>
          <w:szCs w:val="20"/>
        </w:rPr>
        <w:t> </w:t>
      </w:r>
      <w:r w:rsidR="00B35F3D" w:rsidRPr="00455D02">
        <w:rPr>
          <w:rFonts w:cs="Tahoma"/>
          <w:szCs w:val="20"/>
        </w:rPr>
        <w:t>tis.</w:t>
      </w:r>
      <w:r w:rsidR="00EC6BDD" w:rsidRPr="00455D02">
        <w:rPr>
          <w:rFonts w:cs="Tahoma"/>
          <w:szCs w:val="20"/>
        </w:rPr>
        <w:t> </w:t>
      </w:r>
      <w:r w:rsidR="00B35F3D" w:rsidRPr="00455D02">
        <w:rPr>
          <w:rFonts w:cs="Tahoma"/>
          <w:szCs w:val="20"/>
        </w:rPr>
        <w:t>Kč</w:t>
      </w:r>
      <w:r w:rsidR="00B41A5D" w:rsidRPr="00455D02">
        <w:rPr>
          <w:rFonts w:cs="Tahoma"/>
          <w:szCs w:val="20"/>
        </w:rPr>
        <w:t>.</w:t>
      </w:r>
      <w:r w:rsidR="00151E87" w:rsidRPr="00455D02">
        <w:rPr>
          <w:rFonts w:cs="Tahoma"/>
          <w:szCs w:val="20"/>
        </w:rPr>
        <w:t xml:space="preserve"> </w:t>
      </w:r>
      <w:r w:rsidR="00916C36" w:rsidRPr="00455D02">
        <w:rPr>
          <w:rFonts w:cs="Tahoma"/>
          <w:szCs w:val="20"/>
        </w:rPr>
        <w:t xml:space="preserve">Meziroční </w:t>
      </w:r>
      <w:r w:rsidR="001A17D2" w:rsidRPr="00455D02">
        <w:rPr>
          <w:rFonts w:cs="Tahoma"/>
          <w:szCs w:val="20"/>
        </w:rPr>
        <w:t>pokles</w:t>
      </w:r>
      <w:r w:rsidR="00916C36" w:rsidRPr="00455D02">
        <w:rPr>
          <w:rFonts w:cs="Tahoma"/>
          <w:szCs w:val="20"/>
        </w:rPr>
        <w:t xml:space="preserve"> výdajů </w:t>
      </w:r>
      <w:r w:rsidR="00977A23" w:rsidRPr="00455D02">
        <w:rPr>
          <w:rFonts w:cs="Tahoma"/>
          <w:szCs w:val="20"/>
        </w:rPr>
        <w:t>souvisel zejména s</w:t>
      </w:r>
      <w:r w:rsidR="001A17D2" w:rsidRPr="00455D02">
        <w:rPr>
          <w:rFonts w:cs="Tahoma"/>
          <w:szCs w:val="20"/>
        </w:rPr>
        <w:t> nižším objemem výdajů na</w:t>
      </w:r>
      <w:r w:rsidR="001E18F6">
        <w:rPr>
          <w:rFonts w:cs="Tahoma"/>
          <w:szCs w:val="20"/>
        </w:rPr>
        <w:t> </w:t>
      </w:r>
      <w:r w:rsidR="001A17D2" w:rsidRPr="00455D02">
        <w:rPr>
          <w:rFonts w:cs="Tahoma"/>
          <w:szCs w:val="20"/>
        </w:rPr>
        <w:t>příspěv</w:t>
      </w:r>
      <w:r w:rsidR="00455D02" w:rsidRPr="00455D02">
        <w:rPr>
          <w:rFonts w:cs="Tahoma"/>
          <w:szCs w:val="20"/>
        </w:rPr>
        <w:t>ky</w:t>
      </w:r>
      <w:r w:rsidR="001A17D2" w:rsidRPr="00455D02">
        <w:rPr>
          <w:rFonts w:cs="Tahoma"/>
          <w:szCs w:val="20"/>
        </w:rPr>
        <w:t xml:space="preserve"> na</w:t>
      </w:r>
      <w:r w:rsidR="00455D02">
        <w:rPr>
          <w:rFonts w:cs="Tahoma"/>
          <w:szCs w:val="20"/>
        </w:rPr>
        <w:t> </w:t>
      </w:r>
      <w:r w:rsidR="001A17D2" w:rsidRPr="00455D02">
        <w:rPr>
          <w:rFonts w:cs="Tahoma"/>
          <w:szCs w:val="20"/>
        </w:rPr>
        <w:t>provoz (meziroční pokles o</w:t>
      </w:r>
      <w:r w:rsidR="00455D02">
        <w:rPr>
          <w:rFonts w:cs="Tahoma"/>
          <w:szCs w:val="20"/>
        </w:rPr>
        <w:t> </w:t>
      </w:r>
      <w:r w:rsidR="001A17D2" w:rsidRPr="00455D02">
        <w:rPr>
          <w:rFonts w:cs="Tahoma"/>
          <w:szCs w:val="20"/>
        </w:rPr>
        <w:t>599.266</w:t>
      </w:r>
      <w:r w:rsidR="00455D02">
        <w:rPr>
          <w:rFonts w:cs="Tahoma"/>
          <w:szCs w:val="20"/>
        </w:rPr>
        <w:t> </w:t>
      </w:r>
      <w:r w:rsidR="001A17D2" w:rsidRPr="00455D02">
        <w:rPr>
          <w:rFonts w:cs="Tahoma"/>
          <w:szCs w:val="20"/>
        </w:rPr>
        <w:t>tis.</w:t>
      </w:r>
      <w:r w:rsidR="00455D02">
        <w:rPr>
          <w:rFonts w:cs="Tahoma"/>
          <w:szCs w:val="20"/>
        </w:rPr>
        <w:t> </w:t>
      </w:r>
      <w:r w:rsidR="001A17D2" w:rsidRPr="00455D02">
        <w:rPr>
          <w:rFonts w:cs="Tahoma"/>
          <w:szCs w:val="20"/>
        </w:rPr>
        <w:t>Kč) a</w:t>
      </w:r>
      <w:r w:rsidR="005A256B">
        <w:rPr>
          <w:rFonts w:cs="Tahoma"/>
          <w:szCs w:val="20"/>
        </w:rPr>
        <w:t> </w:t>
      </w:r>
      <w:r w:rsidR="001A17D2" w:rsidRPr="00455D02">
        <w:rPr>
          <w:rFonts w:cs="Tahoma"/>
          <w:szCs w:val="20"/>
        </w:rPr>
        <w:t>na</w:t>
      </w:r>
      <w:r w:rsidR="00455D02">
        <w:rPr>
          <w:rFonts w:cs="Tahoma"/>
          <w:szCs w:val="20"/>
        </w:rPr>
        <w:t> </w:t>
      </w:r>
      <w:r w:rsidR="001A17D2" w:rsidRPr="00455D02">
        <w:rPr>
          <w:rFonts w:cs="Tahoma"/>
          <w:szCs w:val="20"/>
        </w:rPr>
        <w:t>akcích spolufinancovaných z evropských finančních zdrojů (meziroční pokle</w:t>
      </w:r>
      <w:r w:rsidR="00455D02" w:rsidRPr="00455D02">
        <w:rPr>
          <w:rFonts w:cs="Tahoma"/>
          <w:szCs w:val="20"/>
        </w:rPr>
        <w:t>s 114.629</w:t>
      </w:r>
      <w:r w:rsidR="00455D02">
        <w:rPr>
          <w:rFonts w:cs="Tahoma"/>
          <w:szCs w:val="20"/>
        </w:rPr>
        <w:t> </w:t>
      </w:r>
      <w:r w:rsidR="00455D02" w:rsidRPr="00455D02">
        <w:rPr>
          <w:rFonts w:cs="Tahoma"/>
          <w:szCs w:val="20"/>
        </w:rPr>
        <w:t>tis.</w:t>
      </w:r>
      <w:r w:rsidR="00455D02">
        <w:rPr>
          <w:rFonts w:cs="Tahoma"/>
          <w:szCs w:val="20"/>
        </w:rPr>
        <w:t> </w:t>
      </w:r>
      <w:r w:rsidR="00455D02" w:rsidRPr="00455D02">
        <w:rPr>
          <w:rFonts w:cs="Tahoma"/>
          <w:szCs w:val="20"/>
        </w:rPr>
        <w:t>Kč)</w:t>
      </w:r>
    </w:p>
    <w:p w14:paraId="586AA5A7" w14:textId="405A6B97" w:rsidR="00490414" w:rsidRPr="00F56DF4" w:rsidRDefault="001751A7" w:rsidP="00490414">
      <w:r w:rsidRPr="00455D02">
        <w:t xml:space="preserve">V meziročním porovnání </w:t>
      </w:r>
      <w:r w:rsidR="00EA05A6" w:rsidRPr="00455D02">
        <w:t xml:space="preserve">skutečných </w:t>
      </w:r>
      <w:r w:rsidRPr="00455D02">
        <w:t>výdajů mezi jednotlivými odvětvími došlo k ne</w:t>
      </w:r>
      <w:r w:rsidR="00D54626" w:rsidRPr="00455D02">
        <w:t>j</w:t>
      </w:r>
      <w:r w:rsidRPr="00455D02">
        <w:t xml:space="preserve">většímu </w:t>
      </w:r>
      <w:r w:rsidR="00F56DF4" w:rsidRPr="00455D02">
        <w:t>poklesu</w:t>
      </w:r>
      <w:r w:rsidR="00D54626" w:rsidRPr="00455D02">
        <w:t xml:space="preserve"> </w:t>
      </w:r>
      <w:r w:rsidR="00964BB7" w:rsidRPr="00F56DF4">
        <w:t xml:space="preserve">výdajů </w:t>
      </w:r>
      <w:r w:rsidR="000A014E" w:rsidRPr="00F56DF4">
        <w:t>v </w:t>
      </w:r>
      <w:r w:rsidR="00515F68" w:rsidRPr="00F56DF4">
        <w:t xml:space="preserve">odvětví </w:t>
      </w:r>
      <w:r w:rsidR="001841AE" w:rsidRPr="00F56DF4">
        <w:t xml:space="preserve">školství (celkový meziroční </w:t>
      </w:r>
      <w:r w:rsidR="00F56DF4" w:rsidRPr="00F56DF4">
        <w:t>pokles</w:t>
      </w:r>
      <w:r w:rsidR="001841AE" w:rsidRPr="00F56DF4">
        <w:t xml:space="preserve"> o </w:t>
      </w:r>
      <w:r w:rsidR="00F56DF4" w:rsidRPr="00F56DF4">
        <w:t>1.170.670</w:t>
      </w:r>
      <w:r w:rsidR="001841AE" w:rsidRPr="00F56DF4">
        <w:t> tis. Kč)</w:t>
      </w:r>
      <w:r w:rsidR="000166D5" w:rsidRPr="00F56DF4">
        <w:t xml:space="preserve"> a</w:t>
      </w:r>
      <w:r w:rsidR="00BE7390">
        <w:t> </w:t>
      </w:r>
      <w:r w:rsidR="00A56B99" w:rsidRPr="00F56DF4">
        <w:t xml:space="preserve">odvětví </w:t>
      </w:r>
      <w:r w:rsidR="00F56DF4" w:rsidRPr="00F56DF4">
        <w:t xml:space="preserve">zdravotnictví </w:t>
      </w:r>
      <w:r w:rsidR="000166D5" w:rsidRPr="00F56DF4">
        <w:t>(c</w:t>
      </w:r>
      <w:r w:rsidR="00855AE4" w:rsidRPr="00F56DF4">
        <w:t xml:space="preserve">elkový meziroční </w:t>
      </w:r>
      <w:r w:rsidR="00F56DF4" w:rsidRPr="00F56DF4">
        <w:t>pokles</w:t>
      </w:r>
      <w:r w:rsidR="00855AE4" w:rsidRPr="00F56DF4">
        <w:t xml:space="preserve"> o </w:t>
      </w:r>
      <w:r w:rsidR="00F56DF4" w:rsidRPr="00F56DF4">
        <w:t>155.455</w:t>
      </w:r>
      <w:r w:rsidR="00927741" w:rsidRPr="00F56DF4">
        <w:t> </w:t>
      </w:r>
      <w:r w:rsidR="00855AE4" w:rsidRPr="00F56DF4">
        <w:t>tis. Kč)</w:t>
      </w:r>
      <w:r w:rsidR="000166D5" w:rsidRPr="00F56DF4">
        <w:t>.</w:t>
      </w:r>
      <w:r w:rsidR="00F520EC" w:rsidRPr="00F56DF4">
        <w:t xml:space="preserve"> </w:t>
      </w:r>
      <w:r w:rsidR="00B6521F" w:rsidRPr="00F56DF4">
        <w:t>K</w:t>
      </w:r>
      <w:r w:rsidR="00F520EC" w:rsidRPr="00F56DF4">
        <w:t> významn</w:t>
      </w:r>
      <w:r w:rsidR="00F56DF4" w:rsidRPr="00F56DF4">
        <w:t>ějšímu</w:t>
      </w:r>
      <w:r w:rsidR="00F520EC" w:rsidRPr="00F56DF4">
        <w:t xml:space="preserve"> </w:t>
      </w:r>
      <w:r w:rsidR="00F56DF4" w:rsidRPr="00F56DF4">
        <w:t>růstu</w:t>
      </w:r>
      <w:r w:rsidR="00A418F6" w:rsidRPr="00F56DF4">
        <w:t xml:space="preserve"> </w:t>
      </w:r>
      <w:r w:rsidR="00F520EC" w:rsidRPr="00F56DF4">
        <w:t>výdajů</w:t>
      </w:r>
      <w:r w:rsidR="00D54626" w:rsidRPr="00F56DF4">
        <w:t xml:space="preserve"> v meziročním srovnání došlo </w:t>
      </w:r>
      <w:r w:rsidR="00574579" w:rsidRPr="00F56DF4">
        <w:t xml:space="preserve">zejména </w:t>
      </w:r>
      <w:r w:rsidR="00D54626" w:rsidRPr="00F56DF4">
        <w:t xml:space="preserve">v odvětví </w:t>
      </w:r>
      <w:r w:rsidR="00F56DF4" w:rsidRPr="00F56DF4">
        <w:t>dopravy</w:t>
      </w:r>
      <w:r w:rsidR="00505272" w:rsidRPr="00F56DF4">
        <w:t xml:space="preserve"> (</w:t>
      </w:r>
      <w:r w:rsidR="00D54626" w:rsidRPr="00F56DF4">
        <w:t xml:space="preserve">celkový meziroční </w:t>
      </w:r>
      <w:r w:rsidR="00F56DF4" w:rsidRPr="00F56DF4">
        <w:t>růst</w:t>
      </w:r>
      <w:r w:rsidR="00D54626" w:rsidRPr="00F56DF4">
        <w:t xml:space="preserve"> o</w:t>
      </w:r>
      <w:r w:rsidR="00EC6BDD" w:rsidRPr="00F56DF4">
        <w:t> </w:t>
      </w:r>
      <w:r w:rsidR="00F56DF4" w:rsidRPr="00F56DF4">
        <w:t>135.758 </w:t>
      </w:r>
      <w:r w:rsidR="00D54626" w:rsidRPr="00F56DF4">
        <w:t>tis.</w:t>
      </w:r>
      <w:r w:rsidR="00EC6BDD" w:rsidRPr="00F56DF4">
        <w:t> </w:t>
      </w:r>
      <w:r w:rsidR="00D54626" w:rsidRPr="00F56DF4">
        <w:t>Kč)</w:t>
      </w:r>
      <w:r w:rsidR="00B00001" w:rsidRPr="00F56DF4">
        <w:t>.</w:t>
      </w:r>
    </w:p>
    <w:p w14:paraId="586AA5A8" w14:textId="77777777" w:rsidR="00490414" w:rsidRPr="00E50AFC" w:rsidRDefault="00490414" w:rsidP="00490414">
      <w:pPr>
        <w:pStyle w:val="Odstavecseseznamem"/>
        <w:numPr>
          <w:ilvl w:val="0"/>
          <w:numId w:val="37"/>
        </w:numPr>
        <w:spacing w:before="400" w:after="400"/>
        <w:ind w:left="284" w:hanging="284"/>
        <w:rPr>
          <w:b/>
          <w:sz w:val="24"/>
        </w:rPr>
      </w:pPr>
      <w:r w:rsidRPr="00E50AFC">
        <w:rPr>
          <w:b/>
          <w:sz w:val="24"/>
        </w:rPr>
        <w:t>Plnění rozpočtu kraje dle odvětví</w:t>
      </w:r>
    </w:p>
    <w:p w14:paraId="586AA5A9" w14:textId="77777777" w:rsidR="00C77CE4" w:rsidRPr="00E50AFC" w:rsidRDefault="00C77CE4" w:rsidP="00C77CE4">
      <w:pPr>
        <w:pStyle w:val="Nadpis3"/>
        <w:rPr>
          <w:rFonts w:cs="Tahoma"/>
          <w:sz w:val="20"/>
          <w:szCs w:val="20"/>
        </w:rPr>
      </w:pPr>
      <w:r w:rsidRPr="00E50AFC">
        <w:t>Vlastní správní činnost kraje a činnost zastupitelstva kraje</w:t>
      </w:r>
    </w:p>
    <w:p w14:paraId="586AA5AA" w14:textId="368FB094" w:rsidR="00647DA0" w:rsidRPr="006526FD" w:rsidRDefault="00962325" w:rsidP="001E57D9">
      <w:pPr>
        <w:autoSpaceDE w:val="0"/>
        <w:autoSpaceDN w:val="0"/>
        <w:adjustRightInd w:val="0"/>
        <w:rPr>
          <w:rFonts w:cs="Tahoma"/>
          <w:szCs w:val="20"/>
        </w:rPr>
      </w:pPr>
      <w:r w:rsidRPr="006526FD">
        <w:rPr>
          <w:rFonts w:cs="Tahoma"/>
          <w:szCs w:val="20"/>
        </w:rPr>
        <w:t>Schválený rozpočet výdajů ve</w:t>
      </w:r>
      <w:r w:rsidR="009255EF" w:rsidRPr="006526FD">
        <w:rPr>
          <w:rFonts w:cs="Tahoma"/>
          <w:szCs w:val="20"/>
        </w:rPr>
        <w:t> </w:t>
      </w:r>
      <w:r w:rsidRPr="006526FD">
        <w:rPr>
          <w:rFonts w:cs="Tahoma"/>
          <w:szCs w:val="20"/>
        </w:rPr>
        <w:t xml:space="preserve">výši </w:t>
      </w:r>
      <w:r w:rsidR="00CE1FE3" w:rsidRPr="006526FD">
        <w:rPr>
          <w:rFonts w:cs="Tahoma"/>
          <w:szCs w:val="20"/>
        </w:rPr>
        <w:t>735.012</w:t>
      </w:r>
      <w:r w:rsidR="00E97CEF" w:rsidRPr="006526FD">
        <w:rPr>
          <w:rFonts w:cs="Tahoma"/>
          <w:szCs w:val="20"/>
        </w:rPr>
        <w:t> tis. </w:t>
      </w:r>
      <w:r w:rsidRPr="006526FD">
        <w:rPr>
          <w:rFonts w:cs="Tahoma"/>
          <w:szCs w:val="20"/>
        </w:rPr>
        <w:t xml:space="preserve">Kč v odvětví vlastní správní činnost kraje </w:t>
      </w:r>
      <w:r w:rsidR="009859A6" w:rsidRPr="006526FD">
        <w:rPr>
          <w:rFonts w:cs="Tahoma"/>
          <w:szCs w:val="20"/>
        </w:rPr>
        <w:t>a</w:t>
      </w:r>
      <w:r w:rsidR="00AE2EA2" w:rsidRPr="006526FD">
        <w:rPr>
          <w:rFonts w:cs="Tahoma"/>
          <w:szCs w:val="20"/>
        </w:rPr>
        <w:t> </w:t>
      </w:r>
      <w:r w:rsidR="009859A6" w:rsidRPr="006526FD">
        <w:rPr>
          <w:rFonts w:cs="Tahoma"/>
          <w:szCs w:val="20"/>
        </w:rPr>
        <w:t xml:space="preserve">činnost zastupitelstva kraje </w:t>
      </w:r>
      <w:r w:rsidRPr="006526FD">
        <w:rPr>
          <w:rFonts w:cs="Tahoma"/>
          <w:szCs w:val="20"/>
        </w:rPr>
        <w:t>byl celkově upraven na</w:t>
      </w:r>
      <w:r w:rsidR="009255EF" w:rsidRPr="006526FD">
        <w:rPr>
          <w:rFonts w:cs="Tahoma"/>
          <w:szCs w:val="20"/>
        </w:rPr>
        <w:t> </w:t>
      </w:r>
      <w:r w:rsidRPr="006526FD">
        <w:rPr>
          <w:rFonts w:cs="Tahoma"/>
          <w:szCs w:val="20"/>
        </w:rPr>
        <w:t xml:space="preserve">částku </w:t>
      </w:r>
      <w:r w:rsidR="00CE1FE3" w:rsidRPr="006526FD">
        <w:rPr>
          <w:rFonts w:cs="Tahoma"/>
          <w:szCs w:val="20"/>
        </w:rPr>
        <w:t>769.275</w:t>
      </w:r>
      <w:r w:rsidR="00BD382F" w:rsidRPr="006526FD">
        <w:rPr>
          <w:rFonts w:cs="Tahoma"/>
          <w:szCs w:val="20"/>
        </w:rPr>
        <w:t> </w:t>
      </w:r>
      <w:r w:rsidRPr="006526FD">
        <w:rPr>
          <w:rFonts w:cs="Tahoma"/>
          <w:szCs w:val="20"/>
        </w:rPr>
        <w:t>tis.</w:t>
      </w:r>
      <w:r w:rsidR="00E97CEF" w:rsidRPr="006526FD">
        <w:rPr>
          <w:rFonts w:cs="Tahoma"/>
          <w:szCs w:val="20"/>
        </w:rPr>
        <w:t> </w:t>
      </w:r>
      <w:r w:rsidRPr="006526FD">
        <w:rPr>
          <w:rFonts w:cs="Tahoma"/>
          <w:szCs w:val="20"/>
        </w:rPr>
        <w:t>Kč</w:t>
      </w:r>
      <w:r w:rsidR="0050200E" w:rsidRPr="006526FD">
        <w:rPr>
          <w:rFonts w:cs="Tahoma"/>
          <w:szCs w:val="20"/>
        </w:rPr>
        <w:t xml:space="preserve">, což představuje </w:t>
      </w:r>
      <w:r w:rsidR="00B07D62" w:rsidRPr="006526FD">
        <w:rPr>
          <w:rFonts w:cs="Tahoma"/>
          <w:szCs w:val="20"/>
        </w:rPr>
        <w:t>n</w:t>
      </w:r>
      <w:r w:rsidR="00776401" w:rsidRPr="006526FD">
        <w:rPr>
          <w:rFonts w:cs="Tahoma"/>
          <w:szCs w:val="20"/>
        </w:rPr>
        <w:t>av</w:t>
      </w:r>
      <w:r w:rsidR="00B07D62" w:rsidRPr="006526FD">
        <w:rPr>
          <w:rFonts w:cs="Tahoma"/>
          <w:szCs w:val="20"/>
        </w:rPr>
        <w:t>ý</w:t>
      </w:r>
      <w:r w:rsidR="00776401" w:rsidRPr="006526FD">
        <w:rPr>
          <w:rFonts w:cs="Tahoma"/>
          <w:szCs w:val="20"/>
        </w:rPr>
        <w:t>še</w:t>
      </w:r>
      <w:r w:rsidR="00B07D62" w:rsidRPr="006526FD">
        <w:rPr>
          <w:rFonts w:cs="Tahoma"/>
          <w:szCs w:val="20"/>
        </w:rPr>
        <w:t>ní</w:t>
      </w:r>
      <w:r w:rsidR="0050200E" w:rsidRPr="006526FD">
        <w:rPr>
          <w:rFonts w:cs="Tahoma"/>
          <w:szCs w:val="20"/>
        </w:rPr>
        <w:t xml:space="preserve"> o</w:t>
      </w:r>
      <w:r w:rsidR="009859A6" w:rsidRPr="006526FD">
        <w:rPr>
          <w:rFonts w:cs="Tahoma"/>
          <w:szCs w:val="20"/>
        </w:rPr>
        <w:t> </w:t>
      </w:r>
      <w:r w:rsidR="00CE1FE3" w:rsidRPr="006526FD">
        <w:rPr>
          <w:rFonts w:cs="Tahoma"/>
          <w:szCs w:val="20"/>
        </w:rPr>
        <w:t>34.263</w:t>
      </w:r>
      <w:r w:rsidR="0050200E" w:rsidRPr="006526FD">
        <w:rPr>
          <w:rFonts w:cs="Tahoma"/>
          <w:szCs w:val="20"/>
        </w:rPr>
        <w:t> tis. Kč</w:t>
      </w:r>
      <w:r w:rsidRPr="006526FD">
        <w:rPr>
          <w:rFonts w:cs="Tahoma"/>
          <w:szCs w:val="20"/>
        </w:rPr>
        <w:t xml:space="preserve">. </w:t>
      </w:r>
    </w:p>
    <w:p w14:paraId="136E4B89" w14:textId="6CE639CC" w:rsidR="00E0463C" w:rsidRPr="006526FD" w:rsidRDefault="00E0463C" w:rsidP="00E0463C">
      <w:r w:rsidRPr="006526FD">
        <w:t>Objemově významná úprava rozpočtu v</w:t>
      </w:r>
      <w:r w:rsidR="00B3169D" w:rsidRPr="006526FD">
        <w:t xml:space="preserve"> období </w:t>
      </w:r>
      <w:r w:rsidR="00CE12DF" w:rsidRPr="006526FD">
        <w:t>leden až</w:t>
      </w:r>
      <w:r w:rsidR="00B3169D" w:rsidRPr="006526FD">
        <w:t xml:space="preserve"> </w:t>
      </w:r>
      <w:r w:rsidR="00CE12DF" w:rsidRPr="006526FD">
        <w:t>duben</w:t>
      </w:r>
      <w:r w:rsidRPr="006526FD">
        <w:t xml:space="preserve"> souvisela s nedočerpanými účelově vymezenými výdaji roku 20</w:t>
      </w:r>
      <w:r w:rsidR="0099173E" w:rsidRPr="006526FD">
        <w:t>2</w:t>
      </w:r>
      <w:r w:rsidR="006526FD" w:rsidRPr="006526FD">
        <w:t>1</w:t>
      </w:r>
      <w:r w:rsidRPr="006526FD">
        <w:t xml:space="preserve"> v tomto odvětví, které byly zapojeny ke</w:t>
      </w:r>
      <w:r w:rsidR="004859D0">
        <w:t> </w:t>
      </w:r>
      <w:r w:rsidRPr="006526FD">
        <w:t>stejnému účelu do</w:t>
      </w:r>
      <w:r w:rsidR="004859D0">
        <w:t> </w:t>
      </w:r>
      <w:r w:rsidRPr="006526FD">
        <w:t>rozpočtu roku 202</w:t>
      </w:r>
      <w:r w:rsidR="006526FD" w:rsidRPr="006526FD">
        <w:t>2</w:t>
      </w:r>
      <w:r w:rsidRPr="006526FD">
        <w:t xml:space="preserve"> v celkové výši </w:t>
      </w:r>
      <w:r w:rsidR="006526FD" w:rsidRPr="006526FD">
        <w:t>32.726</w:t>
      </w:r>
      <w:r w:rsidRPr="006526FD">
        <w:t xml:space="preserve"> tis. Kč, z toho </w:t>
      </w:r>
      <w:r w:rsidR="006526FD" w:rsidRPr="006526FD">
        <w:t>19.282</w:t>
      </w:r>
      <w:r w:rsidR="0019185B">
        <w:t> </w:t>
      </w:r>
      <w:r w:rsidRPr="006526FD">
        <w:t>tis.</w:t>
      </w:r>
      <w:r w:rsidR="0019185B">
        <w:t> </w:t>
      </w:r>
      <w:r w:rsidRPr="006526FD">
        <w:t>Kč bylo určeno na</w:t>
      </w:r>
      <w:r w:rsidR="0019185B">
        <w:t> </w:t>
      </w:r>
      <w:r w:rsidRPr="006526FD">
        <w:t>akce reprodukce majetku kraje.</w:t>
      </w:r>
    </w:p>
    <w:p w14:paraId="586AA5AC" w14:textId="71CDA11A" w:rsidR="007C7CAA" w:rsidRPr="006526FD" w:rsidRDefault="007C7CAA" w:rsidP="00E90F6D">
      <w:pPr>
        <w:rPr>
          <w:rFonts w:cs="Tahoma"/>
          <w:szCs w:val="20"/>
        </w:rPr>
      </w:pPr>
      <w:r w:rsidRPr="006526FD">
        <w:rPr>
          <w:rFonts w:cs="Tahoma"/>
          <w:szCs w:val="20"/>
        </w:rPr>
        <w:t>K </w:t>
      </w:r>
      <w:r w:rsidR="0073096F" w:rsidRPr="006526FD">
        <w:rPr>
          <w:rFonts w:cs="Tahoma"/>
          <w:szCs w:val="20"/>
        </w:rPr>
        <w:t>30. 4. 2022</w:t>
      </w:r>
      <w:r w:rsidRPr="006526FD">
        <w:rPr>
          <w:rFonts w:cs="Tahoma"/>
          <w:szCs w:val="20"/>
        </w:rPr>
        <w:t xml:space="preserve"> byly v tomto odvětví čerpány prostředky v objemu </w:t>
      </w:r>
      <w:r w:rsidR="00C60B0A" w:rsidRPr="006526FD">
        <w:rPr>
          <w:rFonts w:cs="Tahoma"/>
          <w:szCs w:val="20"/>
        </w:rPr>
        <w:t>207.498</w:t>
      </w:r>
      <w:r w:rsidR="0019185B">
        <w:rPr>
          <w:rFonts w:cs="Tahoma"/>
          <w:szCs w:val="20"/>
        </w:rPr>
        <w:t> </w:t>
      </w:r>
      <w:r w:rsidRPr="006526FD">
        <w:rPr>
          <w:rFonts w:cs="Tahoma"/>
          <w:szCs w:val="20"/>
        </w:rPr>
        <w:t>tis.</w:t>
      </w:r>
      <w:r w:rsidR="0019185B">
        <w:rPr>
          <w:rFonts w:cs="Tahoma"/>
          <w:szCs w:val="20"/>
        </w:rPr>
        <w:t> </w:t>
      </w:r>
      <w:r w:rsidRPr="006526FD">
        <w:rPr>
          <w:rFonts w:cs="Tahoma"/>
          <w:szCs w:val="20"/>
        </w:rPr>
        <w:t>Kč, tj. </w:t>
      </w:r>
      <w:r w:rsidR="00C60B0A" w:rsidRPr="006526FD">
        <w:rPr>
          <w:rFonts w:cs="Tahoma"/>
          <w:szCs w:val="20"/>
        </w:rPr>
        <w:t>27</w:t>
      </w:r>
      <w:r w:rsidRPr="006526FD">
        <w:rPr>
          <w:rFonts w:cs="Tahoma"/>
          <w:szCs w:val="20"/>
        </w:rPr>
        <w:t> % upraveného rozpočtu.</w:t>
      </w:r>
    </w:p>
    <w:p w14:paraId="586AA5AD" w14:textId="677A0528" w:rsidR="00014B18" w:rsidRPr="00C60B0A" w:rsidRDefault="00014B18" w:rsidP="00E90F6D">
      <w:pPr>
        <w:rPr>
          <w:rFonts w:cs="Tahoma"/>
          <w:szCs w:val="20"/>
        </w:rPr>
      </w:pPr>
      <w:r w:rsidRPr="00C60B0A">
        <w:rPr>
          <w:rFonts w:cs="Tahoma"/>
          <w:szCs w:val="20"/>
        </w:rPr>
        <w:t>Na</w:t>
      </w:r>
      <w:r w:rsidR="009255EF" w:rsidRPr="00C60B0A">
        <w:rPr>
          <w:rFonts w:cs="Tahoma"/>
          <w:szCs w:val="20"/>
        </w:rPr>
        <w:t> </w:t>
      </w:r>
      <w:r w:rsidRPr="00C60B0A">
        <w:rPr>
          <w:rFonts w:cs="Tahoma"/>
          <w:szCs w:val="20"/>
        </w:rPr>
        <w:t>reprodukci majetku kraje v tomto odvětví bylo k </w:t>
      </w:r>
      <w:r w:rsidR="0073096F" w:rsidRPr="00C60B0A">
        <w:rPr>
          <w:rFonts w:cs="Tahoma"/>
          <w:szCs w:val="20"/>
        </w:rPr>
        <w:t>30. 4. 2022</w:t>
      </w:r>
      <w:r w:rsidRPr="00C60B0A">
        <w:rPr>
          <w:rFonts w:cs="Tahoma"/>
          <w:szCs w:val="20"/>
        </w:rPr>
        <w:t xml:space="preserve"> vyčleněno </w:t>
      </w:r>
      <w:r w:rsidR="00C60B0A" w:rsidRPr="00C60B0A">
        <w:rPr>
          <w:rFonts w:cs="Tahoma"/>
          <w:szCs w:val="20"/>
        </w:rPr>
        <w:t>57.162</w:t>
      </w:r>
      <w:r w:rsidR="00FB3A61" w:rsidRPr="00C60B0A">
        <w:rPr>
          <w:rFonts w:cs="Tahoma"/>
          <w:szCs w:val="20"/>
        </w:rPr>
        <w:t> </w:t>
      </w:r>
      <w:r w:rsidRPr="00C60B0A">
        <w:rPr>
          <w:rFonts w:cs="Tahoma"/>
          <w:szCs w:val="20"/>
        </w:rPr>
        <w:t>tis. Kč. Tyto finanční prostřed</w:t>
      </w:r>
      <w:r w:rsidR="00DC1481" w:rsidRPr="00C60B0A">
        <w:rPr>
          <w:rFonts w:cs="Tahoma"/>
          <w:szCs w:val="20"/>
        </w:rPr>
        <w:t xml:space="preserve">ky byly čerpány v celkové výši </w:t>
      </w:r>
      <w:r w:rsidR="00C60B0A" w:rsidRPr="00C60B0A">
        <w:rPr>
          <w:rFonts w:cs="Tahoma"/>
          <w:szCs w:val="20"/>
        </w:rPr>
        <w:t>2.861</w:t>
      </w:r>
      <w:r w:rsidR="00031A76" w:rsidRPr="00C60B0A">
        <w:rPr>
          <w:rFonts w:cs="Tahoma"/>
          <w:szCs w:val="20"/>
        </w:rPr>
        <w:t> </w:t>
      </w:r>
      <w:r w:rsidRPr="00C60B0A">
        <w:rPr>
          <w:rFonts w:cs="Tahoma"/>
          <w:szCs w:val="20"/>
        </w:rPr>
        <w:t>tis.</w:t>
      </w:r>
      <w:r w:rsidR="00031A76" w:rsidRPr="00C60B0A">
        <w:rPr>
          <w:rFonts w:cs="Tahoma"/>
          <w:szCs w:val="20"/>
        </w:rPr>
        <w:t> </w:t>
      </w:r>
      <w:r w:rsidRPr="00C60B0A">
        <w:rPr>
          <w:rFonts w:cs="Tahoma"/>
          <w:szCs w:val="20"/>
        </w:rPr>
        <w:t>Kč (více viz příloha č.</w:t>
      </w:r>
      <w:r w:rsidR="00213A90">
        <w:rPr>
          <w:rFonts w:cs="Tahoma"/>
          <w:szCs w:val="20"/>
        </w:rPr>
        <w:t> </w:t>
      </w:r>
      <w:r w:rsidRPr="00C60B0A">
        <w:rPr>
          <w:rFonts w:cs="Tahoma"/>
          <w:szCs w:val="20"/>
        </w:rPr>
        <w:t xml:space="preserve">4 materiálu). </w:t>
      </w:r>
    </w:p>
    <w:p w14:paraId="586AA5AE" w14:textId="44D1478D" w:rsidR="00014B18" w:rsidRPr="00C60B0A" w:rsidRDefault="00FB3A61" w:rsidP="00822A28">
      <w:pPr>
        <w:rPr>
          <w:rFonts w:cs="Tahoma"/>
          <w:szCs w:val="20"/>
        </w:rPr>
      </w:pPr>
      <w:r w:rsidRPr="00C60B0A">
        <w:rPr>
          <w:rFonts w:cs="Tahoma"/>
        </w:rPr>
        <w:t>U</w:t>
      </w:r>
      <w:r w:rsidR="009255EF" w:rsidRPr="00C60B0A">
        <w:rPr>
          <w:rFonts w:cs="Tahoma"/>
        </w:rPr>
        <w:t> </w:t>
      </w:r>
      <w:r w:rsidR="00014B18" w:rsidRPr="00C60B0A">
        <w:rPr>
          <w:rFonts w:cs="Tahoma"/>
        </w:rPr>
        <w:t>akcí spolufinancovaných z evropských finančních zdrojů</w:t>
      </w:r>
      <w:r w:rsidRPr="00C60B0A">
        <w:rPr>
          <w:rFonts w:cs="Tahoma"/>
        </w:rPr>
        <w:t xml:space="preserve"> byl upravený rozpočet ve</w:t>
      </w:r>
      <w:r w:rsidR="00C02AB9" w:rsidRPr="00C60B0A">
        <w:rPr>
          <w:rFonts w:cs="Tahoma"/>
        </w:rPr>
        <w:t> </w:t>
      </w:r>
      <w:r w:rsidRPr="00C60B0A">
        <w:rPr>
          <w:rFonts w:cs="Tahoma"/>
        </w:rPr>
        <w:t xml:space="preserve">výši </w:t>
      </w:r>
      <w:r w:rsidR="00C60B0A" w:rsidRPr="00C60B0A">
        <w:rPr>
          <w:rFonts w:cs="Tahoma"/>
        </w:rPr>
        <w:t>5.238</w:t>
      </w:r>
      <w:r w:rsidR="008F3563" w:rsidRPr="00C60B0A">
        <w:rPr>
          <w:rFonts w:cs="Tahoma"/>
        </w:rPr>
        <w:t> </w:t>
      </w:r>
      <w:r w:rsidRPr="00C60B0A">
        <w:rPr>
          <w:rFonts w:cs="Tahoma"/>
        </w:rPr>
        <w:t>tis.</w:t>
      </w:r>
      <w:r w:rsidR="008F3563" w:rsidRPr="00C60B0A">
        <w:rPr>
          <w:rFonts w:cs="Tahoma"/>
        </w:rPr>
        <w:t> </w:t>
      </w:r>
      <w:r w:rsidRPr="00C60B0A">
        <w:rPr>
          <w:rFonts w:cs="Tahoma"/>
        </w:rPr>
        <w:t>Kč,</w:t>
      </w:r>
      <w:r w:rsidR="00014B18" w:rsidRPr="00C60B0A">
        <w:rPr>
          <w:rFonts w:cs="Tahoma"/>
          <w:szCs w:val="20"/>
        </w:rPr>
        <w:t xml:space="preserve"> čerpán</w:t>
      </w:r>
      <w:r w:rsidR="00C057AF" w:rsidRPr="00C60B0A">
        <w:rPr>
          <w:rFonts w:cs="Tahoma"/>
          <w:szCs w:val="20"/>
        </w:rPr>
        <w:t xml:space="preserve">y </w:t>
      </w:r>
      <w:r w:rsidR="00B87D59" w:rsidRPr="00C60B0A">
        <w:rPr>
          <w:rFonts w:cs="Tahoma"/>
          <w:szCs w:val="20"/>
        </w:rPr>
        <w:t xml:space="preserve">byly </w:t>
      </w:r>
      <w:r w:rsidR="00E15AF4" w:rsidRPr="00C60B0A">
        <w:rPr>
          <w:rFonts w:cs="Tahoma"/>
          <w:szCs w:val="20"/>
        </w:rPr>
        <w:t xml:space="preserve">prostředky </w:t>
      </w:r>
      <w:r w:rsidR="00B87D59" w:rsidRPr="00C60B0A">
        <w:rPr>
          <w:rFonts w:cs="Tahoma"/>
          <w:szCs w:val="20"/>
        </w:rPr>
        <w:t>ve</w:t>
      </w:r>
      <w:r w:rsidR="00A87823" w:rsidRPr="00C60B0A">
        <w:rPr>
          <w:rFonts w:cs="Tahoma"/>
          <w:szCs w:val="20"/>
        </w:rPr>
        <w:t> </w:t>
      </w:r>
      <w:r w:rsidR="00B87D59" w:rsidRPr="00C60B0A">
        <w:rPr>
          <w:rFonts w:cs="Tahoma"/>
          <w:szCs w:val="20"/>
        </w:rPr>
        <w:t xml:space="preserve">výši </w:t>
      </w:r>
      <w:r w:rsidR="00C60B0A" w:rsidRPr="00C60B0A">
        <w:rPr>
          <w:rFonts w:cs="Tahoma"/>
          <w:szCs w:val="20"/>
        </w:rPr>
        <w:t>1.179</w:t>
      </w:r>
      <w:r w:rsidR="00FE21CC" w:rsidRPr="00C60B0A">
        <w:rPr>
          <w:rFonts w:cs="Tahoma"/>
          <w:szCs w:val="20"/>
        </w:rPr>
        <w:t> </w:t>
      </w:r>
      <w:r w:rsidR="00B87D59" w:rsidRPr="00C60B0A">
        <w:rPr>
          <w:rFonts w:cs="Tahoma"/>
          <w:szCs w:val="20"/>
        </w:rPr>
        <w:t>tis.</w:t>
      </w:r>
      <w:r w:rsidR="00FE21CC" w:rsidRPr="00C60B0A">
        <w:rPr>
          <w:rFonts w:cs="Tahoma"/>
          <w:szCs w:val="20"/>
        </w:rPr>
        <w:t> </w:t>
      </w:r>
      <w:r w:rsidR="00B87D59" w:rsidRPr="00C60B0A">
        <w:rPr>
          <w:rFonts w:cs="Tahoma"/>
          <w:szCs w:val="20"/>
        </w:rPr>
        <w:t xml:space="preserve">Kč </w:t>
      </w:r>
      <w:r w:rsidR="00014B18" w:rsidRPr="00C60B0A">
        <w:rPr>
          <w:rFonts w:cs="Tahoma"/>
          <w:szCs w:val="20"/>
        </w:rPr>
        <w:t>(více viz příloha č.</w:t>
      </w:r>
      <w:r w:rsidR="00350772">
        <w:rPr>
          <w:rFonts w:cs="Tahoma"/>
          <w:szCs w:val="20"/>
        </w:rPr>
        <w:t> </w:t>
      </w:r>
      <w:r w:rsidR="00014B18" w:rsidRPr="00C60B0A">
        <w:rPr>
          <w:rFonts w:cs="Tahoma"/>
          <w:szCs w:val="20"/>
        </w:rPr>
        <w:t>5 materiálu).</w:t>
      </w:r>
    </w:p>
    <w:p w14:paraId="545510C0" w14:textId="46092079" w:rsidR="000D4D62" w:rsidRPr="00E107E5" w:rsidRDefault="009078B1" w:rsidP="00CE0C49">
      <w:pPr>
        <w:pStyle w:val="Styltab"/>
      </w:pPr>
      <w:r w:rsidRPr="00E107E5">
        <w:lastRenderedPageBreak/>
        <w:t xml:space="preserve">Výdaje v odvětví vlastní správní činnost kraje </w:t>
      </w:r>
      <w:r w:rsidR="009859A6" w:rsidRPr="00E107E5">
        <w:t xml:space="preserve">a činnost zastupitelstva kraje </w:t>
      </w:r>
      <w:r w:rsidRPr="00E107E5">
        <w:t>v členění dle</w:t>
      </w:r>
      <w:r w:rsidR="000D4D62" w:rsidRPr="00E107E5">
        <w:t xml:space="preserve"> </w:t>
      </w:r>
      <w:r w:rsidRPr="00E107E5">
        <w:t>účelu</w:t>
      </w:r>
      <w:r w:rsidR="00AD4916" w:rsidRPr="00E107E5">
        <w:tab/>
      </w:r>
      <w:r w:rsidRPr="00E107E5">
        <w:t>v tis. Kč</w:t>
      </w:r>
      <w:bookmarkStart w:id="42" w:name="_MON_1681553429"/>
      <w:bookmarkEnd w:id="42"/>
      <w:bookmarkStart w:id="43" w:name="_MON_1555996063"/>
      <w:bookmarkEnd w:id="43"/>
      <w:r w:rsidR="00CE1FE3" w:rsidRPr="00E107E5">
        <w:object w:dxaOrig="9172" w:dyaOrig="1835" w14:anchorId="4F1C8865">
          <v:shape id="_x0000_i1036" type="#_x0000_t75" style="width:461.2pt;height:94.4pt" o:ole="">
            <v:imagedata r:id="rId31" o:title=""/>
          </v:shape>
          <o:OLEObject Type="Embed" ProgID="Excel.Sheet.8" ShapeID="_x0000_i1036" DrawAspect="Content" ObjectID="_1714980698" r:id="rId32"/>
        </w:object>
      </w:r>
    </w:p>
    <w:p w14:paraId="586AA5B2" w14:textId="03BB8D1E" w:rsidR="0007387A" w:rsidRPr="00E107E5" w:rsidRDefault="00FC2884" w:rsidP="00CE0C49">
      <w:pPr>
        <w:pStyle w:val="Styltab"/>
      </w:pPr>
      <w:bookmarkStart w:id="44" w:name="_MON_1476601572"/>
      <w:bookmarkStart w:id="45" w:name="_MON_1477202647"/>
      <w:bookmarkStart w:id="46" w:name="_MON_1477288478"/>
      <w:bookmarkStart w:id="47" w:name="_MON_1477289495"/>
      <w:bookmarkStart w:id="48" w:name="_MON_1489915635"/>
      <w:bookmarkStart w:id="49" w:name="_MON_1490172779"/>
      <w:bookmarkEnd w:id="44"/>
      <w:bookmarkEnd w:id="45"/>
      <w:bookmarkEnd w:id="46"/>
      <w:bookmarkEnd w:id="47"/>
      <w:bookmarkEnd w:id="48"/>
      <w:bookmarkEnd w:id="49"/>
      <w:r w:rsidRPr="00E107E5">
        <w:t xml:space="preserve">Výdaje v odvětví vlastní správní činnost kraje </w:t>
      </w:r>
      <w:r w:rsidR="00FE5E65" w:rsidRPr="00E107E5">
        <w:t xml:space="preserve">a činnost zastupitelstvo kraje </w:t>
      </w:r>
      <w:r w:rsidRPr="00E107E5">
        <w:t>na</w:t>
      </w:r>
      <w:r w:rsidR="00350772">
        <w:t> </w:t>
      </w:r>
      <w:r w:rsidRPr="00E107E5">
        <w:t>samosprávné a jiné činnosti zajišťované prostřednictvím krajského úřadu</w:t>
      </w:r>
      <w:r w:rsidR="00AD4916" w:rsidRPr="00E107E5">
        <w:tab/>
      </w:r>
      <w:r w:rsidRPr="00E107E5">
        <w:t>v tis. Kč</w:t>
      </w:r>
      <w:bookmarkStart w:id="50" w:name="_MON_1555996033"/>
      <w:bookmarkEnd w:id="50"/>
      <w:r w:rsidR="00CE1FE3" w:rsidRPr="00E107E5">
        <w:object w:dxaOrig="9330" w:dyaOrig="2343" w14:anchorId="586AA6A6">
          <v:shape id="_x0000_i1037" type="#_x0000_t75" style="width:459.85pt;height:115.45pt" o:ole="">
            <v:imagedata r:id="rId33" o:title=""/>
          </v:shape>
          <o:OLEObject Type="Embed" ProgID="Excel.Sheet.8" ShapeID="_x0000_i1037" DrawAspect="Content" ObjectID="_1714980699" r:id="rId34"/>
        </w:object>
      </w:r>
    </w:p>
    <w:p w14:paraId="586AA5B3" w14:textId="18011DF4" w:rsidR="00014B18" w:rsidRPr="000E7FB0" w:rsidRDefault="00014B18" w:rsidP="005521F6">
      <w:pPr>
        <w:pStyle w:val="Nadpis3"/>
        <w:rPr>
          <w:rFonts w:cs="Tahoma"/>
          <w:sz w:val="20"/>
          <w:szCs w:val="20"/>
        </w:rPr>
      </w:pPr>
      <w:bookmarkStart w:id="51" w:name="_MON_1477220562"/>
      <w:bookmarkStart w:id="52" w:name="_MON_1477222014"/>
      <w:bookmarkStart w:id="53" w:name="_MON_1477380477"/>
      <w:bookmarkStart w:id="54" w:name="_MON_1477463927"/>
      <w:bookmarkStart w:id="55" w:name="_MON_1489915799"/>
      <w:bookmarkStart w:id="56" w:name="_MON_1489916635"/>
      <w:bookmarkStart w:id="57" w:name="_MON_1490172797"/>
      <w:bookmarkStart w:id="58" w:name="_MON_1490174772"/>
      <w:bookmarkStart w:id="59" w:name="_MON_1469363987"/>
      <w:bookmarkStart w:id="60" w:name="_MON_1469364494"/>
      <w:bookmarkStart w:id="61" w:name="_MON_1469532281"/>
      <w:bookmarkStart w:id="62" w:name="_MON_1469534243"/>
      <w:bookmarkStart w:id="63" w:name="_MON_1469856231"/>
      <w:bookmarkStart w:id="64" w:name="_MON_1469865863"/>
      <w:bookmarkEnd w:id="51"/>
      <w:bookmarkEnd w:id="52"/>
      <w:bookmarkEnd w:id="53"/>
      <w:bookmarkEnd w:id="54"/>
      <w:bookmarkEnd w:id="55"/>
      <w:bookmarkEnd w:id="56"/>
      <w:bookmarkEnd w:id="57"/>
      <w:bookmarkEnd w:id="58"/>
      <w:bookmarkEnd w:id="59"/>
      <w:bookmarkEnd w:id="60"/>
      <w:bookmarkEnd w:id="61"/>
      <w:bookmarkEnd w:id="62"/>
      <w:bookmarkEnd w:id="63"/>
      <w:bookmarkEnd w:id="64"/>
      <w:r w:rsidRPr="000E7FB0">
        <w:t>Odvětví financí a</w:t>
      </w:r>
      <w:r w:rsidR="00350772">
        <w:t> </w:t>
      </w:r>
      <w:r w:rsidRPr="000E7FB0">
        <w:t>správy majetku</w:t>
      </w:r>
    </w:p>
    <w:p w14:paraId="586AA5B4" w14:textId="44B829F1" w:rsidR="0094242B" w:rsidRPr="00C60B0A" w:rsidRDefault="00014B18" w:rsidP="00822A28">
      <w:pPr>
        <w:pStyle w:val="FormtovanvHTML"/>
        <w:rPr>
          <w:rFonts w:ascii="Tahoma" w:hAnsi="Tahoma" w:cs="Tahoma"/>
        </w:rPr>
      </w:pPr>
      <w:r w:rsidRPr="00C60B0A">
        <w:rPr>
          <w:rFonts w:ascii="Tahoma" w:hAnsi="Tahoma" w:cs="Tahoma"/>
        </w:rPr>
        <w:t>Schválený rozpočet výdajů v odvětví finance a</w:t>
      </w:r>
      <w:r w:rsidR="001962B6">
        <w:rPr>
          <w:rFonts w:ascii="Tahoma" w:hAnsi="Tahoma" w:cs="Tahoma"/>
        </w:rPr>
        <w:t> </w:t>
      </w:r>
      <w:r w:rsidRPr="00C60B0A">
        <w:rPr>
          <w:rFonts w:ascii="Tahoma" w:hAnsi="Tahoma" w:cs="Tahoma"/>
        </w:rPr>
        <w:t>správa majetku ve</w:t>
      </w:r>
      <w:r w:rsidR="00800CB2" w:rsidRPr="00C60B0A">
        <w:rPr>
          <w:rFonts w:ascii="Tahoma" w:hAnsi="Tahoma" w:cs="Tahoma"/>
        </w:rPr>
        <w:t> </w:t>
      </w:r>
      <w:r w:rsidRPr="00C60B0A">
        <w:rPr>
          <w:rFonts w:ascii="Tahoma" w:hAnsi="Tahoma" w:cs="Tahoma"/>
        </w:rPr>
        <w:t xml:space="preserve">výši </w:t>
      </w:r>
      <w:r w:rsidR="00C60B0A" w:rsidRPr="00C60B0A">
        <w:rPr>
          <w:rFonts w:ascii="Tahoma" w:hAnsi="Tahoma" w:cs="Tahoma"/>
        </w:rPr>
        <w:t>590.002</w:t>
      </w:r>
      <w:r w:rsidRPr="00C60B0A">
        <w:rPr>
          <w:rFonts w:ascii="Tahoma" w:hAnsi="Tahoma" w:cs="Tahoma"/>
        </w:rPr>
        <w:t> tis. Kč b</w:t>
      </w:r>
      <w:r w:rsidR="00663FD8" w:rsidRPr="00C60B0A">
        <w:rPr>
          <w:rFonts w:ascii="Tahoma" w:hAnsi="Tahoma" w:cs="Tahoma"/>
        </w:rPr>
        <w:t>yl </w:t>
      </w:r>
      <w:r w:rsidRPr="00C60B0A">
        <w:rPr>
          <w:rFonts w:ascii="Tahoma" w:hAnsi="Tahoma" w:cs="Tahoma"/>
        </w:rPr>
        <w:t>k</w:t>
      </w:r>
      <w:r w:rsidR="00EC3354" w:rsidRPr="00C60B0A">
        <w:rPr>
          <w:rFonts w:ascii="Tahoma" w:hAnsi="Tahoma" w:cs="Tahoma"/>
        </w:rPr>
        <w:t> </w:t>
      </w:r>
      <w:r w:rsidR="0073096F" w:rsidRPr="00C60B0A">
        <w:rPr>
          <w:rFonts w:ascii="Tahoma" w:hAnsi="Tahoma" w:cs="Tahoma"/>
        </w:rPr>
        <w:t>30. 4. 2022</w:t>
      </w:r>
      <w:r w:rsidRPr="00C60B0A">
        <w:rPr>
          <w:rFonts w:ascii="Tahoma" w:hAnsi="Tahoma" w:cs="Tahoma"/>
        </w:rPr>
        <w:t xml:space="preserve"> upraven na</w:t>
      </w:r>
      <w:r w:rsidR="00800CB2" w:rsidRPr="00C60B0A">
        <w:rPr>
          <w:rFonts w:ascii="Tahoma" w:hAnsi="Tahoma" w:cs="Tahoma"/>
        </w:rPr>
        <w:t> </w:t>
      </w:r>
      <w:r w:rsidRPr="00C60B0A">
        <w:rPr>
          <w:rFonts w:ascii="Tahoma" w:hAnsi="Tahoma" w:cs="Tahoma"/>
        </w:rPr>
        <w:t xml:space="preserve">částku </w:t>
      </w:r>
      <w:r w:rsidR="00C60B0A" w:rsidRPr="00C60B0A">
        <w:rPr>
          <w:rFonts w:ascii="Tahoma" w:hAnsi="Tahoma" w:cs="Tahoma"/>
        </w:rPr>
        <w:t>1.103.090</w:t>
      </w:r>
      <w:r w:rsidR="006009FF" w:rsidRPr="00C60B0A">
        <w:rPr>
          <w:rFonts w:ascii="Tahoma" w:hAnsi="Tahoma" w:cs="Tahoma"/>
        </w:rPr>
        <w:t> </w:t>
      </w:r>
      <w:r w:rsidRPr="00C60B0A">
        <w:rPr>
          <w:rFonts w:ascii="Tahoma" w:hAnsi="Tahoma" w:cs="Tahoma"/>
        </w:rPr>
        <w:t>tis.</w:t>
      </w:r>
      <w:r w:rsidR="006009FF" w:rsidRPr="00C60B0A">
        <w:rPr>
          <w:rFonts w:ascii="Tahoma" w:hAnsi="Tahoma" w:cs="Tahoma"/>
        </w:rPr>
        <w:t> </w:t>
      </w:r>
      <w:r w:rsidR="00200136" w:rsidRPr="00C60B0A">
        <w:rPr>
          <w:rFonts w:ascii="Tahoma" w:hAnsi="Tahoma" w:cs="Tahoma"/>
        </w:rPr>
        <w:t>Kč, což představuje navýšení o</w:t>
      </w:r>
      <w:r w:rsidR="00B300E8" w:rsidRPr="00C60B0A">
        <w:rPr>
          <w:rFonts w:ascii="Tahoma" w:hAnsi="Tahoma" w:cs="Tahoma"/>
        </w:rPr>
        <w:t> </w:t>
      </w:r>
      <w:r w:rsidR="00C60B0A" w:rsidRPr="00C60B0A">
        <w:rPr>
          <w:rFonts w:ascii="Tahoma" w:hAnsi="Tahoma" w:cs="Tahoma"/>
        </w:rPr>
        <w:t>513.088</w:t>
      </w:r>
      <w:r w:rsidR="00B300E8" w:rsidRPr="00C60B0A">
        <w:rPr>
          <w:rFonts w:ascii="Tahoma" w:hAnsi="Tahoma" w:cs="Tahoma"/>
        </w:rPr>
        <w:t> </w:t>
      </w:r>
      <w:r w:rsidR="00200136" w:rsidRPr="00C60B0A">
        <w:rPr>
          <w:rFonts w:ascii="Tahoma" w:hAnsi="Tahoma" w:cs="Tahoma"/>
        </w:rPr>
        <w:t>tis.</w:t>
      </w:r>
      <w:r w:rsidR="00B300E8" w:rsidRPr="00C60B0A">
        <w:rPr>
          <w:rFonts w:ascii="Tahoma" w:hAnsi="Tahoma" w:cs="Tahoma"/>
        </w:rPr>
        <w:t> </w:t>
      </w:r>
      <w:r w:rsidR="00200136" w:rsidRPr="00C60B0A">
        <w:rPr>
          <w:rFonts w:ascii="Tahoma" w:hAnsi="Tahoma" w:cs="Tahoma"/>
        </w:rPr>
        <w:t>Kč.</w:t>
      </w:r>
    </w:p>
    <w:p w14:paraId="6D6E4CCF" w14:textId="1FD77B8F" w:rsidR="00D17228" w:rsidRDefault="00DA1944" w:rsidP="00D17228">
      <w:r w:rsidRPr="006526FD">
        <w:t>Objemově významná úprava rozpočtu v období leden až</w:t>
      </w:r>
      <w:r>
        <w:t> </w:t>
      </w:r>
      <w:r w:rsidRPr="006526FD">
        <w:t>duben souvisela s nedočerpanými účelově vymezenými výdaji roku 2021 v tomto odvětví, které byly zapojeny ke</w:t>
      </w:r>
      <w:r>
        <w:t> </w:t>
      </w:r>
      <w:r w:rsidRPr="006526FD">
        <w:t>stejnému účelu do</w:t>
      </w:r>
      <w:r>
        <w:t> </w:t>
      </w:r>
      <w:r w:rsidRPr="006526FD">
        <w:t xml:space="preserve">rozpočtu roku 2022 v celkové výši </w:t>
      </w:r>
      <w:r>
        <w:t>12.743 </w:t>
      </w:r>
      <w:r w:rsidRPr="006526FD">
        <w:t>tis.</w:t>
      </w:r>
      <w:r>
        <w:t> </w:t>
      </w:r>
      <w:r w:rsidRPr="006526FD">
        <w:t xml:space="preserve">Kč, z toho </w:t>
      </w:r>
      <w:r w:rsidR="007602E5">
        <w:t>8.209</w:t>
      </w:r>
      <w:r w:rsidR="00A35542">
        <w:t> </w:t>
      </w:r>
      <w:r w:rsidR="007602E5">
        <w:t>tis.</w:t>
      </w:r>
      <w:r w:rsidR="00A35542">
        <w:t> </w:t>
      </w:r>
      <w:r w:rsidR="007602E5">
        <w:t>Kč bylo určeno na</w:t>
      </w:r>
      <w:r w:rsidR="00A35542">
        <w:t> </w:t>
      </w:r>
      <w:r w:rsidR="007602E5">
        <w:t xml:space="preserve">výdaje </w:t>
      </w:r>
      <w:r w:rsidR="00C744BF" w:rsidRPr="009327B7">
        <w:t>na samosprávné a</w:t>
      </w:r>
      <w:r w:rsidR="00C744BF">
        <w:t> </w:t>
      </w:r>
      <w:r w:rsidR="00C744BF" w:rsidRPr="009327B7">
        <w:t>jiné činnosti zajišťované prostřednictvím krajského úřadu</w:t>
      </w:r>
      <w:r w:rsidR="007602E5">
        <w:t>.</w:t>
      </w:r>
      <w:r w:rsidR="00A35542">
        <w:t xml:space="preserve"> Další významná úpra</w:t>
      </w:r>
      <w:r w:rsidR="00847854">
        <w:t>va rozpočtu v</w:t>
      </w:r>
      <w:r w:rsidR="00D17228" w:rsidRPr="009327B7">
        <w:t xml:space="preserve">e sledovaném období </w:t>
      </w:r>
      <w:r w:rsidR="00847854">
        <w:t>souvisela se</w:t>
      </w:r>
      <w:r w:rsidR="00D17228">
        <w:t xml:space="preserve"> </w:t>
      </w:r>
      <w:r w:rsidR="00D17228" w:rsidRPr="009327B7">
        <w:t>zapojen</w:t>
      </w:r>
      <w:r w:rsidR="00847854">
        <w:t>ím</w:t>
      </w:r>
      <w:r w:rsidR="00D17228" w:rsidRPr="009327B7">
        <w:t xml:space="preserve"> část</w:t>
      </w:r>
      <w:r w:rsidR="00DA622D">
        <w:t>i</w:t>
      </w:r>
      <w:r w:rsidR="00D17228" w:rsidRPr="009327B7">
        <w:t xml:space="preserve"> zůstatku rozpočtového hospodaření kraje za</w:t>
      </w:r>
      <w:r w:rsidR="00D17228">
        <w:t> </w:t>
      </w:r>
      <w:r w:rsidR="00D17228" w:rsidRPr="009327B7">
        <w:t>rok 2021</w:t>
      </w:r>
      <w:r w:rsidR="00D17228">
        <w:t xml:space="preserve"> ve výši 612.571 tis. Kč, a</w:t>
      </w:r>
      <w:r w:rsidR="00864B29">
        <w:t> </w:t>
      </w:r>
      <w:r w:rsidR="00D17228">
        <w:t>to zejména d</w:t>
      </w:r>
      <w:r w:rsidR="00864B29">
        <w:t>o rezervy na mimořádné akce a</w:t>
      </w:r>
      <w:r w:rsidR="00E77E36">
        <w:t> </w:t>
      </w:r>
      <w:r w:rsidR="00864B29">
        <w:t>akce s nedořešeným financováním.</w:t>
      </w:r>
    </w:p>
    <w:p w14:paraId="586AA5B6" w14:textId="7710EE78" w:rsidR="00FD51FE" w:rsidRPr="0070229C" w:rsidRDefault="00E373B7" w:rsidP="002009B1">
      <w:r w:rsidRPr="0070229C">
        <w:t>Ve</w:t>
      </w:r>
      <w:r w:rsidR="009255EF" w:rsidRPr="0070229C">
        <w:t> </w:t>
      </w:r>
      <w:r w:rsidRPr="0070229C">
        <w:t>schváleném rozpočtu kraje byly vyčleněny</w:t>
      </w:r>
      <w:r w:rsidR="00FD51FE" w:rsidRPr="0070229C">
        <w:t xml:space="preserve"> jako rezervní </w:t>
      </w:r>
      <w:r w:rsidR="00B538AE" w:rsidRPr="0070229C">
        <w:t xml:space="preserve">finanční </w:t>
      </w:r>
      <w:r w:rsidR="00FD51FE" w:rsidRPr="0070229C">
        <w:t>prostředky</w:t>
      </w:r>
      <w:r w:rsidR="00B538AE" w:rsidRPr="0070229C">
        <w:t xml:space="preserve"> na</w:t>
      </w:r>
      <w:r w:rsidRPr="0070229C">
        <w:t> </w:t>
      </w:r>
      <w:r w:rsidR="00B538AE" w:rsidRPr="0070229C">
        <w:t>mimořádné akce a</w:t>
      </w:r>
      <w:r w:rsidRPr="0070229C">
        <w:t> </w:t>
      </w:r>
      <w:r w:rsidR="00B538AE" w:rsidRPr="0070229C">
        <w:t>akce s nedořešeným financováním ve</w:t>
      </w:r>
      <w:r w:rsidRPr="0070229C">
        <w:t> </w:t>
      </w:r>
      <w:r w:rsidR="00B538AE" w:rsidRPr="0070229C">
        <w:t xml:space="preserve">výši </w:t>
      </w:r>
      <w:r w:rsidR="00DE11C7" w:rsidRPr="0070229C">
        <w:t>75</w:t>
      </w:r>
      <w:r w:rsidR="00FE73EF" w:rsidRPr="0070229C">
        <w:t>.000</w:t>
      </w:r>
      <w:r w:rsidR="00BC2CC9" w:rsidRPr="0070229C">
        <w:t> </w:t>
      </w:r>
      <w:r w:rsidR="00FE73EF" w:rsidRPr="0070229C">
        <w:t>tis.</w:t>
      </w:r>
      <w:r w:rsidRPr="0070229C">
        <w:t> Kč. K </w:t>
      </w:r>
      <w:r w:rsidR="0073096F" w:rsidRPr="0070229C">
        <w:t>30. 4. 2022</w:t>
      </w:r>
      <w:r w:rsidRPr="0070229C">
        <w:t xml:space="preserve"> </w:t>
      </w:r>
      <w:r w:rsidR="003D34D5" w:rsidRPr="0070229C">
        <w:t>byl</w:t>
      </w:r>
      <w:r w:rsidRPr="0070229C">
        <w:t xml:space="preserve"> upravený rozpočet této rezervy ve</w:t>
      </w:r>
      <w:r w:rsidR="00800CB2" w:rsidRPr="0070229C">
        <w:t> </w:t>
      </w:r>
      <w:r w:rsidRPr="0070229C">
        <w:t xml:space="preserve">výši </w:t>
      </w:r>
      <w:r w:rsidR="00DE11C7" w:rsidRPr="0070229C">
        <w:t>620.235</w:t>
      </w:r>
      <w:r w:rsidRPr="0070229C">
        <w:t> </w:t>
      </w:r>
      <w:r w:rsidR="00B538AE" w:rsidRPr="0070229C">
        <w:t>tis.</w:t>
      </w:r>
      <w:r w:rsidRPr="0070229C">
        <w:t> </w:t>
      </w:r>
      <w:r w:rsidR="00B538AE" w:rsidRPr="0070229C">
        <w:t>Kč.</w:t>
      </w:r>
      <w:r w:rsidR="00800CB2" w:rsidRPr="0070229C">
        <w:t xml:space="preserve"> </w:t>
      </w:r>
      <w:r w:rsidR="007B3169" w:rsidRPr="0070229C">
        <w:t>V průběhu roku je tato rezerva průběžně doplňována o</w:t>
      </w:r>
      <w:r w:rsidRPr="0070229C">
        <w:t> </w:t>
      </w:r>
      <w:r w:rsidR="007B3169" w:rsidRPr="0070229C">
        <w:t>volné finanční prostředky (např. úspory vzniklé při veřejných zakázkách, přeplněné příjmy), ale také</w:t>
      </w:r>
      <w:r w:rsidR="0014768B" w:rsidRPr="0070229C">
        <w:t xml:space="preserve"> p</w:t>
      </w:r>
      <w:r w:rsidR="007B3169" w:rsidRPr="0070229C">
        <w:t>oužívána</w:t>
      </w:r>
      <w:r w:rsidR="0014768B" w:rsidRPr="0070229C">
        <w:t xml:space="preserve"> ke krytí neočekávaných výd</w:t>
      </w:r>
      <w:r w:rsidR="00EC3354" w:rsidRPr="0070229C">
        <w:t>ajů a</w:t>
      </w:r>
      <w:r w:rsidR="00800CB2" w:rsidRPr="0070229C">
        <w:t> </w:t>
      </w:r>
      <w:r w:rsidR="00EC3354" w:rsidRPr="0070229C">
        <w:t>aktuálních potřeb kraje</w:t>
      </w:r>
      <w:r w:rsidRPr="0070229C">
        <w:t>.</w:t>
      </w:r>
    </w:p>
    <w:p w14:paraId="586AA5B8" w14:textId="1FC0193C" w:rsidR="00014B18" w:rsidRPr="00C60B0A" w:rsidRDefault="00B300E8" w:rsidP="00822A28">
      <w:pPr>
        <w:rPr>
          <w:rFonts w:cs="Tahoma"/>
          <w:szCs w:val="20"/>
        </w:rPr>
      </w:pPr>
      <w:r w:rsidRPr="00C60B0A">
        <w:rPr>
          <w:rFonts w:cs="Tahoma"/>
          <w:szCs w:val="20"/>
        </w:rPr>
        <w:t>K </w:t>
      </w:r>
      <w:r w:rsidR="0073096F" w:rsidRPr="00C60B0A">
        <w:rPr>
          <w:rFonts w:cs="Tahoma"/>
          <w:szCs w:val="20"/>
        </w:rPr>
        <w:t>30. 4. 2022</w:t>
      </w:r>
      <w:r w:rsidR="00650697" w:rsidRPr="00C60B0A">
        <w:rPr>
          <w:rFonts w:cs="Tahoma"/>
          <w:szCs w:val="20"/>
        </w:rPr>
        <w:t xml:space="preserve"> </w:t>
      </w:r>
      <w:r w:rsidRPr="00C60B0A">
        <w:rPr>
          <w:rFonts w:cs="Tahoma"/>
          <w:szCs w:val="20"/>
        </w:rPr>
        <w:t xml:space="preserve">byly v tomto odvětví čerpány prostředky v objemu </w:t>
      </w:r>
      <w:r w:rsidR="00C60B0A" w:rsidRPr="00C60B0A">
        <w:rPr>
          <w:rFonts w:cs="Tahoma"/>
          <w:szCs w:val="20"/>
        </w:rPr>
        <w:t>171.690</w:t>
      </w:r>
      <w:r w:rsidRPr="00C60B0A">
        <w:rPr>
          <w:rFonts w:cs="Tahoma"/>
          <w:szCs w:val="20"/>
        </w:rPr>
        <w:t xml:space="preserve"> </w:t>
      </w:r>
      <w:r w:rsidR="00FC6D47" w:rsidRPr="00C60B0A">
        <w:rPr>
          <w:rFonts w:cs="Tahoma"/>
          <w:szCs w:val="20"/>
        </w:rPr>
        <w:t>tis. Kč</w:t>
      </w:r>
      <w:r w:rsidR="00014B18" w:rsidRPr="00C60B0A">
        <w:rPr>
          <w:rFonts w:cs="Tahoma"/>
          <w:szCs w:val="20"/>
        </w:rPr>
        <w:t>, tj. </w:t>
      </w:r>
      <w:r w:rsidR="00C60B0A" w:rsidRPr="00C60B0A">
        <w:rPr>
          <w:rFonts w:cs="Tahoma"/>
          <w:szCs w:val="20"/>
        </w:rPr>
        <w:t>16</w:t>
      </w:r>
      <w:r w:rsidR="004146C6" w:rsidRPr="00C60B0A">
        <w:rPr>
          <w:rFonts w:cs="Tahoma"/>
          <w:szCs w:val="20"/>
        </w:rPr>
        <w:t> </w:t>
      </w:r>
      <w:r w:rsidR="00014B18" w:rsidRPr="00C60B0A">
        <w:rPr>
          <w:rFonts w:cs="Tahoma"/>
          <w:szCs w:val="20"/>
        </w:rPr>
        <w:t xml:space="preserve">% upraveného rozpočtu. </w:t>
      </w:r>
    </w:p>
    <w:p w14:paraId="586AA5B9" w14:textId="2E5ABF8F" w:rsidR="00014B18" w:rsidRPr="00586CDA" w:rsidRDefault="00014B18" w:rsidP="00C37A0F">
      <w:r w:rsidRPr="00586CDA">
        <w:t>Na</w:t>
      </w:r>
      <w:r w:rsidR="0048397F" w:rsidRPr="00586CDA">
        <w:t> </w:t>
      </w:r>
      <w:r w:rsidRPr="00586CDA">
        <w:t>reprodukci majetku kraje v odvětví finance a</w:t>
      </w:r>
      <w:r w:rsidR="0020090C">
        <w:t> </w:t>
      </w:r>
      <w:r w:rsidRPr="00586CDA">
        <w:t>správa majetku bylo k </w:t>
      </w:r>
      <w:r w:rsidR="0073096F" w:rsidRPr="00586CDA">
        <w:t>30. 4. 2022</w:t>
      </w:r>
      <w:r w:rsidRPr="00586CDA">
        <w:t xml:space="preserve"> z vyčleněných prostředků ve</w:t>
      </w:r>
      <w:r w:rsidR="00CA48EE" w:rsidRPr="00586CDA">
        <w:t> </w:t>
      </w:r>
      <w:r w:rsidRPr="00586CDA">
        <w:t xml:space="preserve">výši </w:t>
      </w:r>
      <w:r w:rsidR="00C60B0A" w:rsidRPr="00586CDA">
        <w:t>56.591</w:t>
      </w:r>
      <w:r w:rsidR="008553C3" w:rsidRPr="00586CDA">
        <w:t> </w:t>
      </w:r>
      <w:r w:rsidRPr="00586CDA">
        <w:t>tis.</w:t>
      </w:r>
      <w:r w:rsidR="008553C3" w:rsidRPr="00586CDA">
        <w:t> </w:t>
      </w:r>
      <w:r w:rsidRPr="00586CDA">
        <w:t xml:space="preserve">Kč vyčerpáno </w:t>
      </w:r>
      <w:r w:rsidR="00C60B0A" w:rsidRPr="00586CDA">
        <w:t>9.620</w:t>
      </w:r>
      <w:r w:rsidR="008553C3" w:rsidRPr="00586CDA">
        <w:t> </w:t>
      </w:r>
      <w:r w:rsidRPr="00586CDA">
        <w:t>tis.</w:t>
      </w:r>
      <w:r w:rsidR="008553C3" w:rsidRPr="00586CDA">
        <w:t> </w:t>
      </w:r>
      <w:r w:rsidRPr="00586CDA">
        <w:t>Kč (více viz příloha č.</w:t>
      </w:r>
      <w:r w:rsidR="00FA13EA" w:rsidRPr="00586CDA">
        <w:t> </w:t>
      </w:r>
      <w:r w:rsidRPr="00586CDA">
        <w:t>4 materiálu). Jedná se</w:t>
      </w:r>
      <w:r w:rsidR="00714298">
        <w:t> </w:t>
      </w:r>
      <w:r w:rsidR="00B7564B" w:rsidRPr="00586CDA">
        <w:t xml:space="preserve">zejména </w:t>
      </w:r>
      <w:r w:rsidRPr="00586CDA">
        <w:t>o akci</w:t>
      </w:r>
      <w:r w:rsidR="00B7564B" w:rsidRPr="00586CDA">
        <w:t xml:space="preserve"> rozpočtu kraje</w:t>
      </w:r>
      <w:r w:rsidRPr="00586CDA">
        <w:t xml:space="preserve"> </w:t>
      </w:r>
      <w:r w:rsidR="003804C5" w:rsidRPr="00586CDA">
        <w:t>„</w:t>
      </w:r>
      <w:r w:rsidRPr="00586CDA">
        <w:t>Realizace energetických úspor metodou EPC ve</w:t>
      </w:r>
      <w:r w:rsidR="00CA48EE" w:rsidRPr="00586CDA">
        <w:t> </w:t>
      </w:r>
      <w:r w:rsidRPr="00586CDA">
        <w:t>vybraných objektech Moravskoslezského kraje</w:t>
      </w:r>
      <w:r w:rsidR="003804C5" w:rsidRPr="00586CDA">
        <w:t>“</w:t>
      </w:r>
      <w:r w:rsidR="009F7349" w:rsidRPr="00586CDA">
        <w:t xml:space="preserve"> s upraveným rozpočtem </w:t>
      </w:r>
      <w:r w:rsidR="00C60B0A" w:rsidRPr="00586CDA">
        <w:t>24.016</w:t>
      </w:r>
      <w:r w:rsidR="00CA48EE" w:rsidRPr="00586CDA">
        <w:t> </w:t>
      </w:r>
      <w:r w:rsidR="009F7349" w:rsidRPr="00586CDA">
        <w:t>tis.</w:t>
      </w:r>
      <w:r w:rsidR="00CA48EE" w:rsidRPr="00586CDA">
        <w:t> </w:t>
      </w:r>
      <w:r w:rsidR="009F7349" w:rsidRPr="00586CDA">
        <w:t>Kč</w:t>
      </w:r>
      <w:r w:rsidRPr="00586CDA">
        <w:t>, která je realizována napříč odvětvími a v důsledku toho je pro</w:t>
      </w:r>
      <w:r w:rsidR="009F7349" w:rsidRPr="00586CDA">
        <w:t> </w:t>
      </w:r>
      <w:r w:rsidRPr="00586CDA">
        <w:t xml:space="preserve">přehlednost </w:t>
      </w:r>
      <w:r w:rsidR="00B65B6C" w:rsidRPr="00586CDA">
        <w:t>zařazena</w:t>
      </w:r>
      <w:r w:rsidR="009F7349" w:rsidRPr="00586CDA">
        <w:t xml:space="preserve"> pod jedno odvětví</w:t>
      </w:r>
      <w:r w:rsidR="00586CDA" w:rsidRPr="00586CDA">
        <w:t xml:space="preserve">. Dále je zde zatříděna </w:t>
      </w:r>
      <w:r w:rsidR="00C60B0A" w:rsidRPr="00586CDA">
        <w:t>akc</w:t>
      </w:r>
      <w:r w:rsidR="00586CDA" w:rsidRPr="00586CDA">
        <w:t>e</w:t>
      </w:r>
      <w:r w:rsidR="00C60B0A" w:rsidRPr="00586CDA">
        <w:t xml:space="preserve"> rozpočtu kraje </w:t>
      </w:r>
      <w:r w:rsidR="00586CDA" w:rsidRPr="00586CDA">
        <w:t>„</w:t>
      </w:r>
      <w:r w:rsidR="00C60B0A" w:rsidRPr="00586CDA">
        <w:t>Jednotný personální a</w:t>
      </w:r>
      <w:r w:rsidR="006068F6">
        <w:t> </w:t>
      </w:r>
      <w:r w:rsidR="00C60B0A" w:rsidRPr="00586CDA">
        <w:t>mzdový systém pro</w:t>
      </w:r>
      <w:r w:rsidR="006068F6">
        <w:t> </w:t>
      </w:r>
      <w:r w:rsidR="00C60B0A" w:rsidRPr="00586CDA">
        <w:t>příspěvkové organizace Moravskoslezského kraje</w:t>
      </w:r>
      <w:r w:rsidR="00586CDA" w:rsidRPr="00586CDA">
        <w:t xml:space="preserve">“ </w:t>
      </w:r>
      <w:r w:rsidR="006068F6">
        <w:t>s objemem rozpočtu</w:t>
      </w:r>
      <w:r w:rsidR="00586CDA" w:rsidRPr="00586CDA">
        <w:t xml:space="preserve"> 30.000</w:t>
      </w:r>
      <w:r w:rsidR="006068F6">
        <w:t> </w:t>
      </w:r>
      <w:r w:rsidR="00586CDA" w:rsidRPr="00586CDA">
        <w:t>tis.</w:t>
      </w:r>
      <w:r w:rsidR="006068F6">
        <w:t> </w:t>
      </w:r>
      <w:r w:rsidR="00586CDA" w:rsidRPr="00586CDA">
        <w:t>Kč</w:t>
      </w:r>
      <w:r w:rsidR="006068F6">
        <w:t>.</w:t>
      </w:r>
    </w:p>
    <w:p w14:paraId="586AA5BA" w14:textId="26AF3B2A" w:rsidR="00B448EF" w:rsidRPr="007D13A9" w:rsidRDefault="00B448EF" w:rsidP="00B448EF">
      <w:pPr>
        <w:rPr>
          <w:rFonts w:cs="Tahoma"/>
          <w:szCs w:val="20"/>
        </w:rPr>
      </w:pPr>
      <w:r w:rsidRPr="007D13A9">
        <w:rPr>
          <w:rFonts w:cs="Tahoma"/>
          <w:szCs w:val="20"/>
        </w:rPr>
        <w:t>V rámci akcí spolufinancovaných z evropských finančních zdrojů byly v</w:t>
      </w:r>
      <w:r w:rsidR="00CA48EE" w:rsidRPr="007D13A9">
        <w:rPr>
          <w:rFonts w:cs="Tahoma"/>
          <w:szCs w:val="20"/>
        </w:rPr>
        <w:t> </w:t>
      </w:r>
      <w:r w:rsidRPr="007D13A9">
        <w:rPr>
          <w:rFonts w:cs="Tahoma"/>
          <w:szCs w:val="20"/>
        </w:rPr>
        <w:t xml:space="preserve">rozpočtu alokovány prostředky ve výši </w:t>
      </w:r>
      <w:r w:rsidR="00AF45EF" w:rsidRPr="007D13A9">
        <w:rPr>
          <w:rFonts w:cs="Tahoma"/>
          <w:szCs w:val="20"/>
        </w:rPr>
        <w:t>25</w:t>
      </w:r>
      <w:r w:rsidR="007D13A9" w:rsidRPr="007D13A9">
        <w:rPr>
          <w:rFonts w:cs="Tahoma"/>
          <w:szCs w:val="20"/>
        </w:rPr>
        <w:t> </w:t>
      </w:r>
      <w:r w:rsidRPr="007D13A9">
        <w:rPr>
          <w:rFonts w:cs="Tahoma"/>
          <w:szCs w:val="20"/>
        </w:rPr>
        <w:t>tis.</w:t>
      </w:r>
      <w:r w:rsidR="007D13A9" w:rsidRPr="007D13A9">
        <w:rPr>
          <w:rFonts w:cs="Tahoma"/>
          <w:szCs w:val="20"/>
        </w:rPr>
        <w:t> </w:t>
      </w:r>
      <w:r w:rsidRPr="007D13A9">
        <w:rPr>
          <w:rFonts w:cs="Tahoma"/>
          <w:szCs w:val="20"/>
        </w:rPr>
        <w:t xml:space="preserve">Kč, </w:t>
      </w:r>
      <w:r w:rsidR="00AF45EF" w:rsidRPr="007D13A9">
        <w:rPr>
          <w:rFonts w:cs="Tahoma"/>
          <w:szCs w:val="20"/>
        </w:rPr>
        <w:t>prostředky doposud nebyly čerpány</w:t>
      </w:r>
      <w:r w:rsidRPr="007D13A9">
        <w:rPr>
          <w:rFonts w:cs="Tahoma"/>
          <w:szCs w:val="20"/>
        </w:rPr>
        <w:t xml:space="preserve"> (více viz příloha č.</w:t>
      </w:r>
      <w:r w:rsidR="007D13A9" w:rsidRPr="007D13A9">
        <w:rPr>
          <w:rFonts w:cs="Tahoma"/>
          <w:szCs w:val="20"/>
        </w:rPr>
        <w:t> </w:t>
      </w:r>
      <w:r w:rsidRPr="007D13A9">
        <w:rPr>
          <w:rFonts w:cs="Tahoma"/>
          <w:szCs w:val="20"/>
        </w:rPr>
        <w:t xml:space="preserve">5 materiálu). </w:t>
      </w:r>
    </w:p>
    <w:p w14:paraId="0B05C180" w14:textId="23002542" w:rsidR="00E243A7" w:rsidRPr="007D13A9" w:rsidRDefault="00A46F98" w:rsidP="00CE0C49">
      <w:pPr>
        <w:pStyle w:val="Styltab"/>
      </w:pPr>
      <w:r w:rsidRPr="007D13A9">
        <w:lastRenderedPageBreak/>
        <w:t>Výdaje v odvětví finance a správa majetku v členění dle účelu</w:t>
      </w:r>
      <w:r w:rsidRPr="007D13A9">
        <w:tab/>
        <w:t>v tis. Kč</w:t>
      </w:r>
      <w:bookmarkStart w:id="65" w:name="_MON_1555995872"/>
      <w:bookmarkEnd w:id="65"/>
      <w:r w:rsidR="00C60B0A" w:rsidRPr="007D13A9">
        <w:object w:dxaOrig="9172" w:dyaOrig="1835" w14:anchorId="365EE590">
          <v:shape id="_x0000_i1038" type="#_x0000_t75" style="width:461.2pt;height:94.4pt" o:ole="">
            <v:imagedata r:id="rId35" o:title=""/>
          </v:shape>
          <o:OLEObject Type="Embed" ProgID="Excel.Sheet.8" ShapeID="_x0000_i1038" DrawAspect="Content" ObjectID="_1714980700" r:id="rId36"/>
        </w:object>
      </w:r>
    </w:p>
    <w:p w14:paraId="50BEBD49" w14:textId="77777777" w:rsidR="000478E7" w:rsidRPr="007D13A9" w:rsidRDefault="000478E7" w:rsidP="000478E7">
      <w:bookmarkStart w:id="66" w:name="_MON_1476601673"/>
      <w:bookmarkStart w:id="67" w:name="_MON_1477203478"/>
      <w:bookmarkStart w:id="68" w:name="_MON_1489917970"/>
      <w:bookmarkStart w:id="69" w:name="_MON_1489917987"/>
      <w:bookmarkStart w:id="70" w:name="_MON_1490172860"/>
      <w:bookmarkEnd w:id="66"/>
      <w:bookmarkEnd w:id="67"/>
      <w:bookmarkEnd w:id="68"/>
      <w:bookmarkEnd w:id="69"/>
      <w:bookmarkEnd w:id="70"/>
    </w:p>
    <w:p w14:paraId="111F23CF" w14:textId="40DCD38A" w:rsidR="00E201A0" w:rsidRPr="00E107E5" w:rsidRDefault="00A46F98" w:rsidP="00CE0C49">
      <w:pPr>
        <w:pStyle w:val="Styltab"/>
      </w:pPr>
      <w:r w:rsidRPr="007D13A9">
        <w:t>Výdaje v odvětví finance a správa majetku</w:t>
      </w:r>
      <w:r w:rsidR="006A5928" w:rsidRPr="007D13A9">
        <w:t xml:space="preserve"> </w:t>
      </w:r>
      <w:r w:rsidRPr="007D13A9">
        <w:t>na samosprávné a jiné činnosti zajišťované prostřednictvím krajského úřadu</w:t>
      </w:r>
      <w:r w:rsidR="0074769F" w:rsidRPr="007D13A9">
        <w:tab/>
      </w:r>
      <w:r w:rsidRPr="007D13A9">
        <w:t>v tis. Kč</w:t>
      </w:r>
      <w:bookmarkStart w:id="71" w:name="_MON_1555995643"/>
      <w:bookmarkEnd w:id="71"/>
      <w:r w:rsidR="00C60B0A" w:rsidRPr="00E107E5">
        <w:object w:dxaOrig="9330" w:dyaOrig="7252" w14:anchorId="4C1826DA">
          <v:shape id="_x0000_i1039" type="#_x0000_t75" style="width:459.85pt;height:359.3pt" o:ole="">
            <v:imagedata r:id="rId37" o:title=""/>
          </v:shape>
          <o:OLEObject Type="Embed" ProgID="Excel.Sheet.8" ShapeID="_x0000_i1039" DrawAspect="Content" ObjectID="_1714980701" r:id="rId38"/>
        </w:object>
      </w:r>
    </w:p>
    <w:p w14:paraId="586AA5BF" w14:textId="21F4C8DB" w:rsidR="00014B18" w:rsidRPr="00582C94" w:rsidRDefault="00014B18" w:rsidP="00A46F98">
      <w:pPr>
        <w:pStyle w:val="Nadpis3"/>
      </w:pPr>
      <w:bookmarkStart w:id="72" w:name="_MON_1469429911"/>
      <w:bookmarkStart w:id="73" w:name="_MON_1469430595"/>
      <w:bookmarkStart w:id="74" w:name="_MON_1469511194"/>
      <w:bookmarkStart w:id="75" w:name="_MON_1469512540"/>
      <w:bookmarkStart w:id="76" w:name="_MON_1469512602"/>
      <w:bookmarkStart w:id="77" w:name="_MON_1469512642"/>
      <w:bookmarkStart w:id="78" w:name="_MON_1469513231"/>
      <w:bookmarkStart w:id="79" w:name="_MON_1476601694"/>
      <w:bookmarkStart w:id="80" w:name="_MON_1477217821"/>
      <w:bookmarkStart w:id="81" w:name="_MON_1477218280"/>
      <w:bookmarkStart w:id="82" w:name="_MON_1477218351"/>
      <w:bookmarkStart w:id="83" w:name="_MON_1477218533"/>
      <w:bookmarkStart w:id="84" w:name="_MON_1477218625"/>
      <w:bookmarkStart w:id="85" w:name="_MON_1477222342"/>
      <w:bookmarkStart w:id="86" w:name="_MON_1477292928"/>
      <w:bookmarkStart w:id="87" w:name="_MON_1477292942"/>
      <w:bookmarkStart w:id="88" w:name="_MON_1477463975"/>
      <w:bookmarkStart w:id="89" w:name="_MON_1489919987"/>
      <w:bookmarkStart w:id="90" w:name="_MON_1490172874"/>
      <w:bookmarkStart w:id="91" w:name="_MON_1490174807"/>
      <w:bookmarkStart w:id="92" w:name="_MON_1490419312"/>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r w:rsidRPr="00582C94">
        <w:t>Odvětví dopravy</w:t>
      </w:r>
    </w:p>
    <w:p w14:paraId="586AA5C0" w14:textId="3C6CDE2F" w:rsidR="000B263F" w:rsidRPr="00564EA4" w:rsidRDefault="00435F4A" w:rsidP="00ED69F1">
      <w:pPr>
        <w:rPr>
          <w:rFonts w:cs="Tahoma"/>
          <w:szCs w:val="20"/>
        </w:rPr>
      </w:pPr>
      <w:r w:rsidRPr="00CB2420">
        <w:rPr>
          <w:rFonts w:cs="Tahoma"/>
          <w:szCs w:val="20"/>
        </w:rPr>
        <w:t xml:space="preserve">Během sledovaného </w:t>
      </w:r>
      <w:r w:rsidRPr="00564EA4">
        <w:rPr>
          <w:rFonts w:cs="Tahoma"/>
          <w:szCs w:val="20"/>
        </w:rPr>
        <w:t xml:space="preserve">období byl schválený rozpočet </w:t>
      </w:r>
      <w:r w:rsidR="009D4527" w:rsidRPr="00564EA4">
        <w:rPr>
          <w:rFonts w:cs="Tahoma"/>
          <w:szCs w:val="20"/>
        </w:rPr>
        <w:t>v odvětví dopravy ve</w:t>
      </w:r>
      <w:r w:rsidR="00221231">
        <w:rPr>
          <w:rFonts w:cs="Tahoma"/>
          <w:szCs w:val="20"/>
        </w:rPr>
        <w:t> </w:t>
      </w:r>
      <w:r w:rsidR="009D4527" w:rsidRPr="00564EA4">
        <w:rPr>
          <w:rFonts w:cs="Tahoma"/>
          <w:szCs w:val="20"/>
        </w:rPr>
        <w:t>výši 4.101.747 tis. Kč u</w:t>
      </w:r>
      <w:r w:rsidRPr="00564EA4">
        <w:rPr>
          <w:rFonts w:cs="Tahoma"/>
          <w:szCs w:val="20"/>
        </w:rPr>
        <w:t>praven na </w:t>
      </w:r>
      <w:r w:rsidR="00CB2420" w:rsidRPr="00564EA4">
        <w:rPr>
          <w:rFonts w:cs="Tahoma"/>
          <w:szCs w:val="20"/>
        </w:rPr>
        <w:t>4.447.370</w:t>
      </w:r>
      <w:r w:rsidR="00C45BC9" w:rsidRPr="00564EA4">
        <w:rPr>
          <w:rFonts w:cs="Tahoma"/>
          <w:szCs w:val="20"/>
        </w:rPr>
        <w:t> tis. Kč, tj.</w:t>
      </w:r>
      <w:r w:rsidR="005B3A80" w:rsidRPr="00564EA4">
        <w:rPr>
          <w:rFonts w:cs="Tahoma"/>
          <w:szCs w:val="20"/>
        </w:rPr>
        <w:t xml:space="preserve"> </w:t>
      </w:r>
      <w:r w:rsidR="00ED69F1" w:rsidRPr="00564EA4">
        <w:rPr>
          <w:rFonts w:cs="Tahoma"/>
          <w:szCs w:val="20"/>
        </w:rPr>
        <w:t xml:space="preserve">zvýšen </w:t>
      </w:r>
      <w:r w:rsidR="00C45BC9" w:rsidRPr="00564EA4">
        <w:rPr>
          <w:rFonts w:cs="Tahoma"/>
          <w:szCs w:val="20"/>
        </w:rPr>
        <w:t>o</w:t>
      </w:r>
      <w:r w:rsidR="00412FAC" w:rsidRPr="00564EA4">
        <w:rPr>
          <w:rFonts w:cs="Tahoma"/>
          <w:szCs w:val="20"/>
        </w:rPr>
        <w:t> </w:t>
      </w:r>
      <w:r w:rsidR="00CB2420" w:rsidRPr="00564EA4">
        <w:rPr>
          <w:rFonts w:cs="Tahoma"/>
          <w:szCs w:val="20"/>
        </w:rPr>
        <w:t>345.623</w:t>
      </w:r>
      <w:r w:rsidR="00412FAC" w:rsidRPr="00564EA4">
        <w:rPr>
          <w:rFonts w:cs="Tahoma"/>
          <w:szCs w:val="20"/>
        </w:rPr>
        <w:t> </w:t>
      </w:r>
      <w:r w:rsidR="00C45BC9" w:rsidRPr="00564EA4">
        <w:rPr>
          <w:rFonts w:cs="Tahoma"/>
          <w:szCs w:val="20"/>
        </w:rPr>
        <w:t>tis. Kč.</w:t>
      </w:r>
      <w:r w:rsidR="00ED69F1" w:rsidRPr="00564EA4">
        <w:rPr>
          <w:rFonts w:cs="Tahoma"/>
          <w:szCs w:val="20"/>
        </w:rPr>
        <w:t xml:space="preserve"> </w:t>
      </w:r>
    </w:p>
    <w:p w14:paraId="5C659FC9" w14:textId="5971EA33" w:rsidR="00CF28F4" w:rsidRDefault="00B77534" w:rsidP="003F5789">
      <w:r w:rsidRPr="00564EA4">
        <w:t>Objemově významná úprava rozpočtu v</w:t>
      </w:r>
      <w:r w:rsidR="00806993" w:rsidRPr="00564EA4">
        <w:t> období leden až</w:t>
      </w:r>
      <w:r w:rsidR="00144987">
        <w:t> </w:t>
      </w:r>
      <w:r w:rsidR="00806993" w:rsidRPr="00564EA4">
        <w:t>duben</w:t>
      </w:r>
      <w:r w:rsidRPr="00564EA4">
        <w:t xml:space="preserve"> souvisela s nedočerpanými účelově vymezenými výdaji roku 20</w:t>
      </w:r>
      <w:r w:rsidR="00A414B8" w:rsidRPr="00564EA4">
        <w:t>2</w:t>
      </w:r>
      <w:r w:rsidR="00AC6C89" w:rsidRPr="00564EA4">
        <w:t>1</w:t>
      </w:r>
      <w:r w:rsidRPr="00564EA4">
        <w:t xml:space="preserve"> v tomto odvětví, které byly zapojeny ke</w:t>
      </w:r>
      <w:r w:rsidR="00144987">
        <w:t> </w:t>
      </w:r>
      <w:r w:rsidRPr="00564EA4">
        <w:t>stejnému účelu do</w:t>
      </w:r>
      <w:r w:rsidR="00144987">
        <w:t> </w:t>
      </w:r>
      <w:r w:rsidRPr="00564EA4">
        <w:t xml:space="preserve">rozpočtu roku </w:t>
      </w:r>
      <w:r w:rsidRPr="00515D20">
        <w:t>202</w:t>
      </w:r>
      <w:r w:rsidR="00AC6C89" w:rsidRPr="00515D20">
        <w:t>2</w:t>
      </w:r>
      <w:r w:rsidRPr="00515D20">
        <w:t xml:space="preserve"> v celkové výši </w:t>
      </w:r>
      <w:r w:rsidR="00AC6C89" w:rsidRPr="00515D20">
        <w:t>120.328</w:t>
      </w:r>
      <w:r w:rsidR="003F5789" w:rsidRPr="00515D20">
        <w:t> </w:t>
      </w:r>
      <w:r w:rsidRPr="00515D20">
        <w:t>tis.</w:t>
      </w:r>
      <w:r w:rsidR="003F5789" w:rsidRPr="00515D20">
        <w:t> </w:t>
      </w:r>
      <w:r w:rsidRPr="00515D20">
        <w:t xml:space="preserve">Kč, z toho </w:t>
      </w:r>
      <w:r w:rsidR="00564EA4" w:rsidRPr="00515D20">
        <w:t>84.042</w:t>
      </w:r>
      <w:r w:rsidR="003F5789" w:rsidRPr="00515D20">
        <w:t> </w:t>
      </w:r>
      <w:r w:rsidRPr="00515D20">
        <w:t>tis.</w:t>
      </w:r>
      <w:r w:rsidR="003F5789" w:rsidRPr="00515D20">
        <w:t> </w:t>
      </w:r>
      <w:r w:rsidRPr="00515D20">
        <w:t>Kč bylo určeno na</w:t>
      </w:r>
      <w:r w:rsidR="00EE462F" w:rsidRPr="00515D20">
        <w:t> </w:t>
      </w:r>
      <w:r w:rsidR="00564EA4" w:rsidRPr="00515D20">
        <w:t>akce spolufinancované z evropských finančních zdrojů a 24.289</w:t>
      </w:r>
      <w:r w:rsidR="00825050">
        <w:t> </w:t>
      </w:r>
      <w:r w:rsidR="00564EA4" w:rsidRPr="00515D20">
        <w:t>tis.</w:t>
      </w:r>
      <w:r w:rsidR="00825050">
        <w:t> </w:t>
      </w:r>
      <w:r w:rsidR="00564EA4" w:rsidRPr="00515D20">
        <w:t>Kč na</w:t>
      </w:r>
      <w:r w:rsidR="00825050">
        <w:t> </w:t>
      </w:r>
      <w:r w:rsidR="00564EA4" w:rsidRPr="00515D20">
        <w:t xml:space="preserve">akce reprodukce </w:t>
      </w:r>
      <w:r w:rsidR="00564EA4" w:rsidRPr="001032D4">
        <w:t xml:space="preserve">majetku kraje. </w:t>
      </w:r>
      <w:r w:rsidR="000F5CB9" w:rsidRPr="001032D4">
        <w:t>Ve</w:t>
      </w:r>
      <w:r w:rsidR="00663478">
        <w:t> </w:t>
      </w:r>
      <w:r w:rsidR="000F5CB9" w:rsidRPr="001032D4">
        <w:t>sledovaném období byla do</w:t>
      </w:r>
      <w:r w:rsidR="001032D4">
        <w:t> </w:t>
      </w:r>
      <w:r w:rsidR="000F5CB9" w:rsidRPr="001032D4">
        <w:t>odvětví dopravy z</w:t>
      </w:r>
      <w:r w:rsidR="003F5789" w:rsidRPr="001032D4">
        <w:t>apojena část zůstatku rozpočtového hospodaření roku 202</w:t>
      </w:r>
      <w:r w:rsidR="000F5CB9" w:rsidRPr="001032D4">
        <w:t>1</w:t>
      </w:r>
      <w:r w:rsidR="003F5789" w:rsidRPr="001032D4">
        <w:t xml:space="preserve"> ve výši </w:t>
      </w:r>
      <w:r w:rsidR="000F5CB9" w:rsidRPr="001032D4">
        <w:t>219.284</w:t>
      </w:r>
      <w:r w:rsidR="003F5789" w:rsidRPr="001032D4">
        <w:t xml:space="preserve"> tis. Kč, z toho </w:t>
      </w:r>
      <w:r w:rsidR="000E05FA" w:rsidRPr="001032D4">
        <w:t>106</w:t>
      </w:r>
      <w:r w:rsidR="003F5789" w:rsidRPr="001032D4">
        <w:t>.000 tis. Kč</w:t>
      </w:r>
      <w:r w:rsidR="00663478">
        <w:t xml:space="preserve"> bylo určeno</w:t>
      </w:r>
      <w:r w:rsidR="003F5789" w:rsidRPr="001032D4">
        <w:t xml:space="preserve"> na </w:t>
      </w:r>
      <w:r w:rsidR="001032D4" w:rsidRPr="001032D4">
        <w:t>akce reprodukce majetku kraje</w:t>
      </w:r>
      <w:r w:rsidR="00CF28F4">
        <w:t>.</w:t>
      </w:r>
    </w:p>
    <w:p w14:paraId="6B418660" w14:textId="3DD9C4C0" w:rsidR="00F329BD" w:rsidRPr="00F329BD" w:rsidRDefault="00F64F63" w:rsidP="005426BD">
      <w:pPr>
        <w:rPr>
          <w:rFonts w:cs="Tahoma"/>
          <w:szCs w:val="20"/>
        </w:rPr>
      </w:pPr>
      <w:r w:rsidRPr="00F329BD">
        <w:rPr>
          <w:rFonts w:cs="Tahoma"/>
          <w:szCs w:val="20"/>
        </w:rPr>
        <w:t>Zastupitelstvo kraje rozhodlo usnesením č. </w:t>
      </w:r>
      <w:r w:rsidR="00F329BD" w:rsidRPr="00F329BD">
        <w:rPr>
          <w:rFonts w:cs="Tahoma"/>
          <w:szCs w:val="20"/>
        </w:rPr>
        <w:t>7/614</w:t>
      </w:r>
      <w:r w:rsidRPr="00F329BD">
        <w:rPr>
          <w:rFonts w:cs="Tahoma"/>
          <w:szCs w:val="20"/>
        </w:rPr>
        <w:t xml:space="preserve"> ze dne 1</w:t>
      </w:r>
      <w:r w:rsidR="00F329BD" w:rsidRPr="00F329BD">
        <w:rPr>
          <w:rFonts w:cs="Tahoma"/>
          <w:szCs w:val="20"/>
        </w:rPr>
        <w:t>6</w:t>
      </w:r>
      <w:r w:rsidRPr="00F329BD">
        <w:rPr>
          <w:rFonts w:cs="Tahoma"/>
          <w:szCs w:val="20"/>
        </w:rPr>
        <w:t>. 3. 202</w:t>
      </w:r>
      <w:r w:rsidR="00F329BD" w:rsidRPr="00F329BD">
        <w:rPr>
          <w:rFonts w:cs="Tahoma"/>
          <w:szCs w:val="20"/>
        </w:rPr>
        <w:t>2</w:t>
      </w:r>
      <w:r w:rsidR="009103FF">
        <w:rPr>
          <w:rFonts w:cs="Tahoma"/>
          <w:szCs w:val="20"/>
        </w:rPr>
        <w:t xml:space="preserve"> </w:t>
      </w:r>
      <w:r w:rsidR="009103FF" w:rsidRPr="009103FF">
        <w:rPr>
          <w:rFonts w:cs="Tahoma"/>
          <w:szCs w:val="20"/>
        </w:rPr>
        <w:t>převzít ručitelský závazek za</w:t>
      </w:r>
      <w:r w:rsidR="005426BD">
        <w:rPr>
          <w:rFonts w:cs="Tahoma"/>
          <w:szCs w:val="20"/>
        </w:rPr>
        <w:t> </w:t>
      </w:r>
      <w:r w:rsidR="009103FF" w:rsidRPr="009103FF">
        <w:rPr>
          <w:rFonts w:cs="Tahoma"/>
          <w:szCs w:val="20"/>
        </w:rPr>
        <w:t>Správu silnic Moravskoslezského kraje, příspěvkovou organizaci, za</w:t>
      </w:r>
      <w:r w:rsidR="005426BD">
        <w:rPr>
          <w:rFonts w:cs="Tahoma"/>
          <w:szCs w:val="20"/>
        </w:rPr>
        <w:t> </w:t>
      </w:r>
      <w:r w:rsidR="009103FF" w:rsidRPr="009103FF">
        <w:rPr>
          <w:rFonts w:cs="Tahoma"/>
          <w:szCs w:val="20"/>
        </w:rPr>
        <w:t>rok 2022 ve</w:t>
      </w:r>
      <w:r w:rsidR="005426BD">
        <w:rPr>
          <w:rFonts w:cs="Tahoma"/>
          <w:szCs w:val="20"/>
        </w:rPr>
        <w:t> </w:t>
      </w:r>
      <w:r w:rsidR="009103FF" w:rsidRPr="009103FF">
        <w:rPr>
          <w:rFonts w:cs="Tahoma"/>
          <w:szCs w:val="20"/>
        </w:rPr>
        <w:t xml:space="preserve">výši odpovídající výši povinného </w:t>
      </w:r>
      <w:r w:rsidR="009103FF" w:rsidRPr="009103FF">
        <w:rPr>
          <w:rFonts w:cs="Tahoma"/>
          <w:szCs w:val="20"/>
        </w:rPr>
        <w:lastRenderedPageBreak/>
        <w:t>procentuálního podílu, avšak maximálně ve</w:t>
      </w:r>
      <w:r w:rsidR="005426BD">
        <w:rPr>
          <w:rFonts w:cs="Tahoma"/>
          <w:szCs w:val="20"/>
        </w:rPr>
        <w:t> </w:t>
      </w:r>
      <w:r w:rsidR="009103FF" w:rsidRPr="009103FF">
        <w:rPr>
          <w:rFonts w:cs="Tahoma"/>
          <w:szCs w:val="20"/>
        </w:rPr>
        <w:t>výši 40</w:t>
      </w:r>
      <w:r w:rsidR="005426BD">
        <w:rPr>
          <w:rFonts w:cs="Tahoma"/>
          <w:szCs w:val="20"/>
        </w:rPr>
        <w:t> </w:t>
      </w:r>
      <w:r w:rsidR="009103FF" w:rsidRPr="009103FF">
        <w:rPr>
          <w:rFonts w:cs="Tahoma"/>
          <w:szCs w:val="20"/>
        </w:rPr>
        <w:t>mil.</w:t>
      </w:r>
      <w:r w:rsidR="005426BD">
        <w:rPr>
          <w:rFonts w:cs="Tahoma"/>
          <w:szCs w:val="20"/>
        </w:rPr>
        <w:t> </w:t>
      </w:r>
      <w:r w:rsidR="009103FF" w:rsidRPr="009103FF">
        <w:rPr>
          <w:rFonts w:cs="Tahoma"/>
          <w:szCs w:val="20"/>
        </w:rPr>
        <w:t>Kč, na</w:t>
      </w:r>
      <w:r w:rsidR="005426BD">
        <w:rPr>
          <w:rFonts w:cs="Tahoma"/>
          <w:szCs w:val="20"/>
        </w:rPr>
        <w:t> </w:t>
      </w:r>
      <w:r w:rsidR="009103FF" w:rsidRPr="009103FF">
        <w:rPr>
          <w:rFonts w:cs="Tahoma"/>
          <w:szCs w:val="20"/>
        </w:rPr>
        <w:t>zajištění spoluúčasti financování oprav a</w:t>
      </w:r>
      <w:r w:rsidR="009103FF">
        <w:rPr>
          <w:rFonts w:cs="Tahoma"/>
          <w:szCs w:val="20"/>
        </w:rPr>
        <w:t> </w:t>
      </w:r>
      <w:r w:rsidR="009103FF" w:rsidRPr="009103FF">
        <w:rPr>
          <w:rFonts w:cs="Tahoma"/>
          <w:szCs w:val="20"/>
        </w:rPr>
        <w:t>údržby silnic II.</w:t>
      </w:r>
      <w:r w:rsidR="005426BD">
        <w:rPr>
          <w:rFonts w:cs="Tahoma"/>
          <w:szCs w:val="20"/>
        </w:rPr>
        <w:t> </w:t>
      </w:r>
      <w:r w:rsidR="009103FF" w:rsidRPr="009103FF">
        <w:rPr>
          <w:rFonts w:cs="Tahoma"/>
          <w:szCs w:val="20"/>
        </w:rPr>
        <w:t>a</w:t>
      </w:r>
      <w:r w:rsidR="005426BD">
        <w:rPr>
          <w:rFonts w:cs="Tahoma"/>
          <w:szCs w:val="20"/>
        </w:rPr>
        <w:t> </w:t>
      </w:r>
      <w:r w:rsidR="009103FF" w:rsidRPr="009103FF">
        <w:rPr>
          <w:rFonts w:cs="Tahoma"/>
          <w:szCs w:val="20"/>
        </w:rPr>
        <w:t>III.</w:t>
      </w:r>
      <w:r w:rsidR="005426BD">
        <w:rPr>
          <w:rFonts w:cs="Tahoma"/>
          <w:szCs w:val="20"/>
        </w:rPr>
        <w:t> </w:t>
      </w:r>
      <w:r w:rsidR="009103FF" w:rsidRPr="009103FF">
        <w:rPr>
          <w:rFonts w:cs="Tahoma"/>
          <w:szCs w:val="20"/>
        </w:rPr>
        <w:t>třídy náležících do</w:t>
      </w:r>
      <w:r w:rsidR="005426BD">
        <w:rPr>
          <w:rFonts w:cs="Tahoma"/>
          <w:szCs w:val="20"/>
        </w:rPr>
        <w:t> </w:t>
      </w:r>
      <w:r w:rsidR="009103FF" w:rsidRPr="009103FF">
        <w:rPr>
          <w:rFonts w:cs="Tahoma"/>
          <w:szCs w:val="20"/>
        </w:rPr>
        <w:t>vlastnictví kraje v</w:t>
      </w:r>
      <w:r w:rsidR="005426BD">
        <w:rPr>
          <w:rFonts w:cs="Tahoma"/>
          <w:szCs w:val="20"/>
        </w:rPr>
        <w:t> </w:t>
      </w:r>
      <w:r w:rsidR="009103FF" w:rsidRPr="009103FF">
        <w:rPr>
          <w:rFonts w:cs="Tahoma"/>
          <w:szCs w:val="20"/>
        </w:rPr>
        <w:t>rámci poskytnutých finančních prostředků z</w:t>
      </w:r>
      <w:r w:rsidR="009103FF">
        <w:rPr>
          <w:rFonts w:cs="Tahoma"/>
          <w:szCs w:val="20"/>
        </w:rPr>
        <w:t> </w:t>
      </w:r>
      <w:r w:rsidR="009103FF" w:rsidRPr="009103FF">
        <w:rPr>
          <w:rFonts w:cs="Tahoma"/>
          <w:szCs w:val="20"/>
        </w:rPr>
        <w:t>rozpočtu Státního fondu dopravní infrastruktury v</w:t>
      </w:r>
      <w:r w:rsidR="005426BD">
        <w:rPr>
          <w:rFonts w:cs="Tahoma"/>
          <w:szCs w:val="20"/>
        </w:rPr>
        <w:t> </w:t>
      </w:r>
      <w:r w:rsidR="009103FF" w:rsidRPr="009103FF">
        <w:rPr>
          <w:rFonts w:cs="Tahoma"/>
          <w:szCs w:val="20"/>
        </w:rPr>
        <w:t>roce 2022, za</w:t>
      </w:r>
      <w:r w:rsidR="005426BD">
        <w:rPr>
          <w:rFonts w:cs="Tahoma"/>
          <w:szCs w:val="20"/>
        </w:rPr>
        <w:t> </w:t>
      </w:r>
      <w:r w:rsidR="009103FF" w:rsidRPr="009103FF">
        <w:rPr>
          <w:rFonts w:cs="Tahoma"/>
          <w:szCs w:val="20"/>
        </w:rPr>
        <w:t>podmínky, že Státní fond dopravní infrastruktury uvolní finanční prostředky na financování oprav silnic II.</w:t>
      </w:r>
      <w:r w:rsidR="005426BD">
        <w:rPr>
          <w:rFonts w:cs="Tahoma"/>
          <w:szCs w:val="20"/>
        </w:rPr>
        <w:t> </w:t>
      </w:r>
      <w:r w:rsidR="009103FF" w:rsidRPr="009103FF">
        <w:rPr>
          <w:rFonts w:cs="Tahoma"/>
          <w:szCs w:val="20"/>
        </w:rPr>
        <w:t>a</w:t>
      </w:r>
      <w:r w:rsidR="005426BD">
        <w:rPr>
          <w:rFonts w:cs="Tahoma"/>
          <w:szCs w:val="20"/>
        </w:rPr>
        <w:t> </w:t>
      </w:r>
      <w:r w:rsidR="009103FF" w:rsidRPr="009103FF">
        <w:rPr>
          <w:rFonts w:cs="Tahoma"/>
          <w:szCs w:val="20"/>
        </w:rPr>
        <w:t>III. tříd ve</w:t>
      </w:r>
      <w:r w:rsidR="005426BD">
        <w:rPr>
          <w:rFonts w:cs="Tahoma"/>
          <w:szCs w:val="20"/>
        </w:rPr>
        <w:t> </w:t>
      </w:r>
      <w:r w:rsidR="009103FF" w:rsidRPr="009103FF">
        <w:rPr>
          <w:rFonts w:cs="Tahoma"/>
          <w:szCs w:val="20"/>
        </w:rPr>
        <w:t>vlastnictví krajů a</w:t>
      </w:r>
      <w:r w:rsidR="009103FF">
        <w:rPr>
          <w:rFonts w:cs="Tahoma"/>
          <w:szCs w:val="20"/>
        </w:rPr>
        <w:t> </w:t>
      </w:r>
      <w:r w:rsidR="009103FF" w:rsidRPr="009103FF">
        <w:rPr>
          <w:rFonts w:cs="Tahoma"/>
          <w:szCs w:val="20"/>
        </w:rPr>
        <w:t>rada kraje rozhodne uzavřít smlouvu o</w:t>
      </w:r>
      <w:r w:rsidR="005426BD">
        <w:rPr>
          <w:rFonts w:cs="Tahoma"/>
          <w:szCs w:val="20"/>
        </w:rPr>
        <w:t> </w:t>
      </w:r>
      <w:r w:rsidR="009103FF" w:rsidRPr="009103FF">
        <w:rPr>
          <w:rFonts w:cs="Tahoma"/>
          <w:szCs w:val="20"/>
        </w:rPr>
        <w:t>poskytnutí finančních prostředků z</w:t>
      </w:r>
      <w:r w:rsidR="005426BD">
        <w:rPr>
          <w:rFonts w:cs="Tahoma"/>
          <w:szCs w:val="20"/>
        </w:rPr>
        <w:t> </w:t>
      </w:r>
      <w:r w:rsidR="009103FF" w:rsidRPr="009103FF">
        <w:rPr>
          <w:rFonts w:cs="Tahoma"/>
          <w:szCs w:val="20"/>
        </w:rPr>
        <w:t>rozpočtu Státního fondu dopravní infrastruktury na</w:t>
      </w:r>
      <w:r w:rsidR="005426BD">
        <w:rPr>
          <w:rFonts w:cs="Tahoma"/>
          <w:szCs w:val="20"/>
        </w:rPr>
        <w:t> </w:t>
      </w:r>
      <w:r w:rsidR="009103FF" w:rsidRPr="009103FF">
        <w:rPr>
          <w:rFonts w:cs="Tahoma"/>
          <w:szCs w:val="20"/>
        </w:rPr>
        <w:t>rok 2022</w:t>
      </w:r>
      <w:r w:rsidR="00600CF5">
        <w:rPr>
          <w:rFonts w:cs="Tahoma"/>
          <w:szCs w:val="20"/>
        </w:rPr>
        <w:t>.</w:t>
      </w:r>
    </w:p>
    <w:p w14:paraId="586AA5C7" w14:textId="16AE31F1" w:rsidR="00014B18" w:rsidRPr="00CE1FE3" w:rsidRDefault="00014B18" w:rsidP="00364838">
      <w:pPr>
        <w:rPr>
          <w:rFonts w:cs="Tahoma"/>
          <w:szCs w:val="20"/>
        </w:rPr>
      </w:pPr>
      <w:r w:rsidRPr="00CE1FE3">
        <w:rPr>
          <w:rFonts w:cs="Tahoma"/>
          <w:szCs w:val="20"/>
        </w:rPr>
        <w:t>Skutečné výdaje v odvětví dopravy</w:t>
      </w:r>
      <w:r w:rsidR="00C45BC9" w:rsidRPr="00CE1FE3">
        <w:rPr>
          <w:rFonts w:cs="Tahoma"/>
          <w:szCs w:val="20"/>
        </w:rPr>
        <w:t xml:space="preserve"> </w:t>
      </w:r>
      <w:r w:rsidRPr="00CE1FE3">
        <w:rPr>
          <w:rFonts w:cs="Tahoma"/>
          <w:szCs w:val="20"/>
        </w:rPr>
        <w:t>činily k </w:t>
      </w:r>
      <w:r w:rsidR="0073096F" w:rsidRPr="00CE1FE3">
        <w:rPr>
          <w:rFonts w:cs="Tahoma"/>
          <w:szCs w:val="20"/>
        </w:rPr>
        <w:t>30. 4. 2022</w:t>
      </w:r>
      <w:r w:rsidRPr="00CE1FE3">
        <w:rPr>
          <w:rFonts w:cs="Tahoma"/>
          <w:szCs w:val="20"/>
        </w:rPr>
        <w:t xml:space="preserve"> celkem </w:t>
      </w:r>
      <w:r w:rsidR="00CE1FE3" w:rsidRPr="00CE1FE3">
        <w:rPr>
          <w:rFonts w:cs="Tahoma"/>
          <w:szCs w:val="20"/>
        </w:rPr>
        <w:t>1.041.135</w:t>
      </w:r>
      <w:r w:rsidR="006C3B95" w:rsidRPr="00CE1FE3">
        <w:rPr>
          <w:rFonts w:cs="Tahoma"/>
          <w:szCs w:val="20"/>
        </w:rPr>
        <w:t> </w:t>
      </w:r>
      <w:r w:rsidR="00C45BC9" w:rsidRPr="00CE1FE3">
        <w:rPr>
          <w:rFonts w:cs="Tahoma"/>
          <w:szCs w:val="20"/>
        </w:rPr>
        <w:t>tis.</w:t>
      </w:r>
      <w:r w:rsidR="006C3B95" w:rsidRPr="00CE1FE3">
        <w:rPr>
          <w:rFonts w:cs="Tahoma"/>
          <w:szCs w:val="20"/>
        </w:rPr>
        <w:t> </w:t>
      </w:r>
      <w:r w:rsidR="00C45BC9" w:rsidRPr="00CE1FE3">
        <w:rPr>
          <w:rFonts w:cs="Tahoma"/>
          <w:szCs w:val="20"/>
        </w:rPr>
        <w:t>Kč, tj.</w:t>
      </w:r>
      <w:r w:rsidRPr="00CE1FE3">
        <w:rPr>
          <w:rFonts w:cs="Tahoma"/>
          <w:szCs w:val="20"/>
        </w:rPr>
        <w:t xml:space="preserve"> čerpání ve výši </w:t>
      </w:r>
      <w:r w:rsidR="00CE1FE3" w:rsidRPr="00CE1FE3">
        <w:rPr>
          <w:rFonts w:cs="Tahoma"/>
          <w:szCs w:val="20"/>
        </w:rPr>
        <w:t>23</w:t>
      </w:r>
      <w:r w:rsidR="00231CE2" w:rsidRPr="00CE1FE3">
        <w:rPr>
          <w:rFonts w:cs="Tahoma"/>
          <w:szCs w:val="20"/>
        </w:rPr>
        <w:t> </w:t>
      </w:r>
      <w:r w:rsidRPr="00CE1FE3">
        <w:rPr>
          <w:rFonts w:cs="Tahoma"/>
          <w:szCs w:val="20"/>
        </w:rPr>
        <w:t>% upraveného rozpočtu.</w:t>
      </w:r>
    </w:p>
    <w:p w14:paraId="586AA5C8" w14:textId="16A7870F" w:rsidR="00BB4CF3" w:rsidRPr="002A4466" w:rsidRDefault="00C45BC9" w:rsidP="00C45BC9">
      <w:pPr>
        <w:rPr>
          <w:rFonts w:cs="Tahoma"/>
          <w:szCs w:val="20"/>
        </w:rPr>
      </w:pPr>
      <w:r w:rsidRPr="002A4466">
        <w:rPr>
          <w:rFonts w:cs="Tahoma"/>
          <w:szCs w:val="20"/>
        </w:rPr>
        <w:t>Příspěvkov</w:t>
      </w:r>
      <w:r w:rsidR="00E73F72" w:rsidRPr="002A4466">
        <w:rPr>
          <w:rFonts w:cs="Tahoma"/>
          <w:szCs w:val="20"/>
        </w:rPr>
        <w:t>á</w:t>
      </w:r>
      <w:r w:rsidRPr="002A4466">
        <w:rPr>
          <w:rFonts w:cs="Tahoma"/>
          <w:szCs w:val="20"/>
        </w:rPr>
        <w:t xml:space="preserve"> organizace v odvětví dopravy, konkrétně Správa silnic Moravskoslezského kraje</w:t>
      </w:r>
      <w:r w:rsidR="001277F0" w:rsidRPr="002A4466">
        <w:rPr>
          <w:rFonts w:cs="Tahoma"/>
          <w:szCs w:val="20"/>
        </w:rPr>
        <w:t>,</w:t>
      </w:r>
      <w:r w:rsidRPr="002A4466">
        <w:rPr>
          <w:rFonts w:cs="Tahoma"/>
          <w:szCs w:val="20"/>
        </w:rPr>
        <w:t xml:space="preserve"> obdržel</w:t>
      </w:r>
      <w:r w:rsidR="00C33188" w:rsidRPr="002A4466">
        <w:rPr>
          <w:rFonts w:cs="Tahoma"/>
          <w:szCs w:val="20"/>
        </w:rPr>
        <w:t>a</w:t>
      </w:r>
      <w:r w:rsidRPr="002A4466">
        <w:rPr>
          <w:rFonts w:cs="Tahoma"/>
          <w:szCs w:val="20"/>
        </w:rPr>
        <w:t xml:space="preserve"> k </w:t>
      </w:r>
      <w:r w:rsidR="0073096F" w:rsidRPr="002A4466">
        <w:rPr>
          <w:rFonts w:cs="Tahoma"/>
          <w:szCs w:val="20"/>
        </w:rPr>
        <w:t>30. 4. 2022</w:t>
      </w:r>
      <w:r w:rsidRPr="002A4466">
        <w:rPr>
          <w:rFonts w:cs="Tahoma"/>
          <w:szCs w:val="20"/>
        </w:rPr>
        <w:t xml:space="preserve"> finanční prostředky</w:t>
      </w:r>
      <w:r w:rsidR="007E4D95" w:rsidRPr="002A4466">
        <w:rPr>
          <w:rFonts w:cs="Tahoma"/>
          <w:szCs w:val="20"/>
        </w:rPr>
        <w:t xml:space="preserve"> na</w:t>
      </w:r>
      <w:r w:rsidR="00A47BEA">
        <w:rPr>
          <w:rFonts w:cs="Tahoma"/>
          <w:szCs w:val="20"/>
        </w:rPr>
        <w:t> </w:t>
      </w:r>
      <w:r w:rsidR="007E4D95" w:rsidRPr="002A4466">
        <w:rPr>
          <w:rFonts w:cs="Tahoma"/>
          <w:szCs w:val="20"/>
        </w:rPr>
        <w:t>provoz</w:t>
      </w:r>
      <w:r w:rsidRPr="002A4466">
        <w:rPr>
          <w:rFonts w:cs="Tahoma"/>
          <w:szCs w:val="20"/>
        </w:rPr>
        <w:t xml:space="preserve"> ve</w:t>
      </w:r>
      <w:r w:rsidR="00D57CB7" w:rsidRPr="002A4466">
        <w:rPr>
          <w:rFonts w:cs="Tahoma"/>
          <w:szCs w:val="20"/>
        </w:rPr>
        <w:t> </w:t>
      </w:r>
      <w:r w:rsidRPr="002A4466">
        <w:rPr>
          <w:rFonts w:cs="Tahoma"/>
          <w:szCs w:val="20"/>
        </w:rPr>
        <w:t xml:space="preserve">výši </w:t>
      </w:r>
      <w:r w:rsidR="002A4466" w:rsidRPr="002A4466">
        <w:rPr>
          <w:rFonts w:cs="Tahoma"/>
          <w:szCs w:val="20"/>
        </w:rPr>
        <w:t>220.580</w:t>
      </w:r>
      <w:r w:rsidRPr="002A4466">
        <w:rPr>
          <w:rFonts w:cs="Tahoma"/>
          <w:szCs w:val="20"/>
        </w:rPr>
        <w:t xml:space="preserve"> tis. Kč. </w:t>
      </w:r>
    </w:p>
    <w:p w14:paraId="586AA5C9" w14:textId="59005BCB" w:rsidR="00014B18" w:rsidRPr="002A4466" w:rsidRDefault="00014B18" w:rsidP="00364838">
      <w:pPr>
        <w:rPr>
          <w:rFonts w:cs="Tahoma"/>
          <w:szCs w:val="20"/>
        </w:rPr>
      </w:pPr>
      <w:r w:rsidRPr="002A4466">
        <w:rPr>
          <w:rFonts w:cs="Tahoma"/>
          <w:szCs w:val="20"/>
        </w:rPr>
        <w:t>Na</w:t>
      </w:r>
      <w:r w:rsidR="00785A22" w:rsidRPr="002A4466">
        <w:rPr>
          <w:rFonts w:cs="Tahoma"/>
          <w:szCs w:val="20"/>
        </w:rPr>
        <w:t> </w:t>
      </w:r>
      <w:r w:rsidRPr="002A4466">
        <w:rPr>
          <w:rFonts w:cs="Tahoma"/>
          <w:szCs w:val="20"/>
        </w:rPr>
        <w:t>reprodukci majetku kraje v odvětví dopravy</w:t>
      </w:r>
      <w:r w:rsidR="00C33188" w:rsidRPr="002A4466">
        <w:rPr>
          <w:rFonts w:cs="Tahoma"/>
          <w:szCs w:val="20"/>
        </w:rPr>
        <w:t xml:space="preserve"> </w:t>
      </w:r>
      <w:r w:rsidRPr="002A4466">
        <w:rPr>
          <w:rFonts w:cs="Tahoma"/>
          <w:szCs w:val="20"/>
        </w:rPr>
        <w:t>byly k </w:t>
      </w:r>
      <w:r w:rsidR="0073096F" w:rsidRPr="002A4466">
        <w:rPr>
          <w:rFonts w:cs="Tahoma"/>
          <w:szCs w:val="20"/>
        </w:rPr>
        <w:t>30. 4. 2022</w:t>
      </w:r>
      <w:r w:rsidRPr="002A4466">
        <w:rPr>
          <w:rFonts w:cs="Tahoma"/>
          <w:szCs w:val="20"/>
        </w:rPr>
        <w:t xml:space="preserve"> vyčleněny prostředky ve</w:t>
      </w:r>
      <w:r w:rsidR="006C3B95" w:rsidRPr="002A4466">
        <w:rPr>
          <w:rFonts w:cs="Tahoma"/>
          <w:szCs w:val="20"/>
        </w:rPr>
        <w:t> </w:t>
      </w:r>
      <w:r w:rsidRPr="002A4466">
        <w:rPr>
          <w:rFonts w:cs="Tahoma"/>
          <w:szCs w:val="20"/>
        </w:rPr>
        <w:t xml:space="preserve">výši </w:t>
      </w:r>
      <w:r w:rsidR="002A4466" w:rsidRPr="002A4466">
        <w:rPr>
          <w:rFonts w:cs="Tahoma"/>
          <w:szCs w:val="20"/>
        </w:rPr>
        <w:t>552.597</w:t>
      </w:r>
      <w:r w:rsidR="00532511" w:rsidRPr="002A4466">
        <w:rPr>
          <w:rFonts w:cs="Tahoma"/>
          <w:szCs w:val="20"/>
        </w:rPr>
        <w:t> </w:t>
      </w:r>
      <w:r w:rsidRPr="002A4466">
        <w:rPr>
          <w:rFonts w:cs="Tahoma"/>
          <w:szCs w:val="20"/>
        </w:rPr>
        <w:t>tis.</w:t>
      </w:r>
      <w:r w:rsidR="00532511" w:rsidRPr="002A4466">
        <w:rPr>
          <w:rFonts w:cs="Tahoma"/>
          <w:szCs w:val="20"/>
        </w:rPr>
        <w:t> </w:t>
      </w:r>
      <w:r w:rsidRPr="002A4466">
        <w:rPr>
          <w:rFonts w:cs="Tahoma"/>
          <w:szCs w:val="20"/>
        </w:rPr>
        <w:t>Kč</w:t>
      </w:r>
      <w:r w:rsidR="00532511" w:rsidRPr="002A4466">
        <w:rPr>
          <w:rFonts w:cs="Tahoma"/>
          <w:szCs w:val="20"/>
        </w:rPr>
        <w:t xml:space="preserve"> a </w:t>
      </w:r>
      <w:r w:rsidR="008D7B23" w:rsidRPr="002A4466">
        <w:rPr>
          <w:rFonts w:cs="Tahoma"/>
          <w:szCs w:val="20"/>
        </w:rPr>
        <w:t>čerpány</w:t>
      </w:r>
      <w:r w:rsidR="00D57CB7" w:rsidRPr="002A4466">
        <w:rPr>
          <w:rFonts w:cs="Tahoma"/>
          <w:szCs w:val="20"/>
        </w:rPr>
        <w:t xml:space="preserve"> </w:t>
      </w:r>
      <w:r w:rsidR="00DC7B58" w:rsidRPr="002A4466">
        <w:rPr>
          <w:rFonts w:cs="Tahoma"/>
          <w:szCs w:val="20"/>
        </w:rPr>
        <w:t>byly ve</w:t>
      </w:r>
      <w:r w:rsidR="006C3B95" w:rsidRPr="002A4466">
        <w:rPr>
          <w:rFonts w:cs="Tahoma"/>
          <w:szCs w:val="20"/>
        </w:rPr>
        <w:t> </w:t>
      </w:r>
      <w:r w:rsidR="00DC7B58" w:rsidRPr="002A4466">
        <w:rPr>
          <w:rFonts w:cs="Tahoma"/>
          <w:szCs w:val="20"/>
        </w:rPr>
        <w:t xml:space="preserve">výši </w:t>
      </w:r>
      <w:r w:rsidR="002A4466" w:rsidRPr="002A4466">
        <w:rPr>
          <w:rFonts w:cs="Tahoma"/>
          <w:szCs w:val="20"/>
        </w:rPr>
        <w:t>4.275</w:t>
      </w:r>
      <w:r w:rsidR="00532511" w:rsidRPr="002A4466">
        <w:rPr>
          <w:rFonts w:cs="Tahoma"/>
          <w:szCs w:val="20"/>
        </w:rPr>
        <w:t> </w:t>
      </w:r>
      <w:r w:rsidR="00DC7B58" w:rsidRPr="002A4466">
        <w:rPr>
          <w:rFonts w:cs="Tahoma"/>
          <w:szCs w:val="20"/>
        </w:rPr>
        <w:t>tis.</w:t>
      </w:r>
      <w:r w:rsidR="00532511" w:rsidRPr="002A4466">
        <w:rPr>
          <w:rFonts w:cs="Tahoma"/>
          <w:szCs w:val="20"/>
        </w:rPr>
        <w:t> </w:t>
      </w:r>
      <w:r w:rsidR="00DC7B58" w:rsidRPr="002A4466">
        <w:rPr>
          <w:rFonts w:cs="Tahoma"/>
          <w:szCs w:val="20"/>
        </w:rPr>
        <w:t xml:space="preserve">Kč </w:t>
      </w:r>
      <w:r w:rsidRPr="002A4466">
        <w:rPr>
          <w:rFonts w:cs="Tahoma"/>
          <w:szCs w:val="20"/>
        </w:rPr>
        <w:t>(více viz příloha č.</w:t>
      </w:r>
      <w:r w:rsidR="00A47BEA">
        <w:rPr>
          <w:rFonts w:cs="Tahoma"/>
          <w:szCs w:val="20"/>
        </w:rPr>
        <w:t> </w:t>
      </w:r>
      <w:r w:rsidRPr="002A4466">
        <w:rPr>
          <w:rFonts w:cs="Tahoma"/>
          <w:szCs w:val="20"/>
        </w:rPr>
        <w:t xml:space="preserve">4 materiálu). </w:t>
      </w:r>
    </w:p>
    <w:p w14:paraId="586AA5CA" w14:textId="5C5507DF" w:rsidR="00014B18" w:rsidRPr="002A4466" w:rsidRDefault="00014B18" w:rsidP="00822A28">
      <w:pPr>
        <w:rPr>
          <w:rFonts w:cs="Tahoma"/>
          <w:szCs w:val="20"/>
        </w:rPr>
      </w:pPr>
      <w:r w:rsidRPr="002A4466">
        <w:rPr>
          <w:rFonts w:cs="Tahoma"/>
          <w:szCs w:val="20"/>
        </w:rPr>
        <w:t xml:space="preserve">V rámci akcí spolufinancovaných z evropských finančních zdrojů byly v tomto odvětví čerpány finanční prostředky v částce </w:t>
      </w:r>
      <w:r w:rsidR="002A4466" w:rsidRPr="002A4466">
        <w:rPr>
          <w:rFonts w:cs="Tahoma"/>
          <w:szCs w:val="20"/>
        </w:rPr>
        <w:t>47.688</w:t>
      </w:r>
      <w:r w:rsidR="006C3B95" w:rsidRPr="002A4466">
        <w:rPr>
          <w:rFonts w:cs="Tahoma"/>
          <w:szCs w:val="20"/>
        </w:rPr>
        <w:t> </w:t>
      </w:r>
      <w:r w:rsidRPr="002A4466">
        <w:rPr>
          <w:rFonts w:cs="Tahoma"/>
          <w:szCs w:val="20"/>
        </w:rPr>
        <w:t>tis.</w:t>
      </w:r>
      <w:r w:rsidR="006C3B95" w:rsidRPr="002A4466">
        <w:rPr>
          <w:rFonts w:cs="Tahoma"/>
          <w:szCs w:val="20"/>
        </w:rPr>
        <w:t> </w:t>
      </w:r>
      <w:r w:rsidRPr="002A4466">
        <w:rPr>
          <w:rFonts w:cs="Tahoma"/>
          <w:szCs w:val="20"/>
        </w:rPr>
        <w:t xml:space="preserve">Kč (více viz příloha č. 5 materiálu). </w:t>
      </w:r>
    </w:p>
    <w:p w14:paraId="586AA5CC" w14:textId="2B06C898" w:rsidR="0066571B" w:rsidRDefault="00CF7F0A" w:rsidP="00CE0C49">
      <w:pPr>
        <w:pStyle w:val="Styltab"/>
      </w:pPr>
      <w:r w:rsidRPr="00E107E5">
        <w:t>Výdaje v odvětví dopravy</w:t>
      </w:r>
      <w:r w:rsidR="00BC4BCF" w:rsidRPr="00E107E5">
        <w:t xml:space="preserve"> </w:t>
      </w:r>
      <w:r w:rsidRPr="00E107E5">
        <w:t>v členění dle účelu</w:t>
      </w:r>
      <w:r w:rsidRPr="00E107E5">
        <w:tab/>
        <w:t>v tis. Kč</w:t>
      </w:r>
      <w:bookmarkStart w:id="93" w:name="_MON_1555918113"/>
      <w:bookmarkEnd w:id="93"/>
      <w:r w:rsidR="002A4466" w:rsidRPr="00E107E5">
        <w:object w:dxaOrig="9078" w:dyaOrig="2082" w14:anchorId="586AA6A9">
          <v:shape id="_x0000_i1040" type="#_x0000_t75" style="width:455.1pt;height:100.55pt" o:ole="">
            <v:imagedata r:id="rId39" o:title=""/>
          </v:shape>
          <o:OLEObject Type="Embed" ProgID="Excel.Sheet.8" ShapeID="_x0000_i1040" DrawAspect="Content" ObjectID="_1714980702" r:id="rId40"/>
        </w:object>
      </w:r>
    </w:p>
    <w:p w14:paraId="3E4A3D25" w14:textId="77777777" w:rsidR="007619BD" w:rsidRPr="007619BD" w:rsidRDefault="007619BD" w:rsidP="007619BD"/>
    <w:p w14:paraId="50518A3C" w14:textId="3FC0A382" w:rsidR="00E201A0" w:rsidRDefault="00CF7F0A" w:rsidP="00CE0C49">
      <w:pPr>
        <w:pStyle w:val="Styltab"/>
      </w:pPr>
      <w:bookmarkStart w:id="94" w:name="_MON_1469513291"/>
      <w:bookmarkStart w:id="95" w:name="_MON_1469513386"/>
      <w:bookmarkStart w:id="96" w:name="_MON_1469513397"/>
      <w:bookmarkStart w:id="97" w:name="_MON_1469513536"/>
      <w:bookmarkStart w:id="98" w:name="_MON_1469513549"/>
      <w:bookmarkStart w:id="99" w:name="_MON_1476601711"/>
      <w:bookmarkStart w:id="100" w:name="_MON_1477203562"/>
      <w:bookmarkStart w:id="101" w:name="_MON_1477293806"/>
      <w:bookmarkStart w:id="102" w:name="_MON_1477463994"/>
      <w:bookmarkStart w:id="103" w:name="_MON_1489918066"/>
      <w:bookmarkStart w:id="104" w:name="_MON_1490172890"/>
      <w:bookmarkEnd w:id="94"/>
      <w:bookmarkEnd w:id="95"/>
      <w:bookmarkEnd w:id="96"/>
      <w:bookmarkEnd w:id="97"/>
      <w:bookmarkEnd w:id="98"/>
      <w:bookmarkEnd w:id="99"/>
      <w:bookmarkEnd w:id="100"/>
      <w:bookmarkEnd w:id="101"/>
      <w:bookmarkEnd w:id="102"/>
      <w:bookmarkEnd w:id="103"/>
      <w:bookmarkEnd w:id="104"/>
      <w:r w:rsidRPr="00E107E5">
        <w:t>Výdaje v</w:t>
      </w:r>
      <w:r w:rsidR="00421223" w:rsidRPr="00E107E5">
        <w:t> </w:t>
      </w:r>
      <w:r w:rsidRPr="00E107E5">
        <w:t>odvětví dopravy na</w:t>
      </w:r>
      <w:r w:rsidR="00421223" w:rsidRPr="00E107E5">
        <w:t> </w:t>
      </w:r>
      <w:r w:rsidRPr="00E107E5">
        <w:t>samosprávné a</w:t>
      </w:r>
      <w:r w:rsidR="00421223" w:rsidRPr="00E107E5">
        <w:t> </w:t>
      </w:r>
      <w:r w:rsidRPr="00E107E5">
        <w:t>jiné činnosti zajišťované prostřednictvím krajského úřadu</w:t>
      </w:r>
      <w:r w:rsidR="005A0C74" w:rsidRPr="00E107E5">
        <w:tab/>
      </w:r>
      <w:r w:rsidRPr="00E107E5">
        <w:t>v tis. Kč</w:t>
      </w:r>
      <w:bookmarkStart w:id="105" w:name="_MON_1689582827"/>
      <w:bookmarkEnd w:id="105"/>
      <w:r w:rsidR="00590AA2" w:rsidRPr="00E107E5">
        <w:object w:dxaOrig="9315" w:dyaOrig="5035" w14:anchorId="47591A63">
          <v:shape id="_x0000_i1041" type="#_x0000_t75" style="width:460.55pt;height:249.3pt" o:ole="">
            <v:imagedata r:id="rId41" o:title=""/>
          </v:shape>
          <o:OLEObject Type="Embed" ProgID="Excel.Sheet.8" ShapeID="_x0000_i1041" DrawAspect="Content" ObjectID="_1714980703" r:id="rId42"/>
        </w:object>
      </w:r>
    </w:p>
    <w:p w14:paraId="658D3809" w14:textId="77777777" w:rsidR="007619BD" w:rsidRPr="007619BD" w:rsidRDefault="007619BD" w:rsidP="007619BD"/>
    <w:p w14:paraId="7FD4420B" w14:textId="073D9263" w:rsidR="001F7CD9" w:rsidRPr="00E107E5" w:rsidRDefault="00383BF5" w:rsidP="00CE0C49">
      <w:pPr>
        <w:pStyle w:val="Styltab"/>
      </w:pPr>
      <w:bookmarkStart w:id="106" w:name="_MON_1469431348"/>
      <w:bookmarkStart w:id="107" w:name="_MON_1469513667"/>
      <w:bookmarkStart w:id="108" w:name="_MON_1476601729"/>
      <w:bookmarkStart w:id="109" w:name="_MON_1477217360"/>
      <w:bookmarkStart w:id="110" w:name="_MON_1477219215"/>
      <w:bookmarkStart w:id="111" w:name="_MON_1477219316"/>
      <w:bookmarkStart w:id="112" w:name="_MON_1477294689"/>
      <w:bookmarkStart w:id="113" w:name="_MON_1477295415"/>
      <w:bookmarkStart w:id="114" w:name="_MON_1477295440"/>
      <w:bookmarkStart w:id="115" w:name="_MON_1477380340"/>
      <w:bookmarkStart w:id="116" w:name="_MON_1477380350"/>
      <w:bookmarkStart w:id="117" w:name="_MON_1477462001"/>
      <w:bookmarkStart w:id="118" w:name="_MON_1489920747"/>
      <w:bookmarkStart w:id="119" w:name="_MON_1489921103"/>
      <w:bookmarkStart w:id="120" w:name="_MON_1490172906"/>
      <w:bookmarkStart w:id="121" w:name="_MON_1490419344"/>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r w:rsidRPr="00E107E5">
        <w:lastRenderedPageBreak/>
        <w:t>Příspěvek na</w:t>
      </w:r>
      <w:r w:rsidR="00421223" w:rsidRPr="00E107E5">
        <w:t> </w:t>
      </w:r>
      <w:r w:rsidRPr="00E107E5">
        <w:t>provoz příspěvkov</w:t>
      </w:r>
      <w:r w:rsidR="00AB2F33" w:rsidRPr="00E107E5">
        <w:t>é</w:t>
      </w:r>
      <w:r w:rsidR="007F02CD" w:rsidRPr="00E107E5">
        <w:t xml:space="preserve"> organizac</w:t>
      </w:r>
      <w:r w:rsidR="00AB2F33" w:rsidRPr="00E107E5">
        <w:t>i</w:t>
      </w:r>
      <w:r w:rsidRPr="00E107E5">
        <w:t xml:space="preserve"> v</w:t>
      </w:r>
      <w:r w:rsidR="00421223" w:rsidRPr="00E107E5">
        <w:t> </w:t>
      </w:r>
      <w:r w:rsidRPr="00E107E5">
        <w:t>odvětví dopravy</w:t>
      </w:r>
      <w:r w:rsidR="00A61CC8" w:rsidRPr="00E107E5">
        <w:tab/>
      </w:r>
      <w:r w:rsidRPr="00E107E5">
        <w:t>v tis. Kč</w:t>
      </w:r>
      <w:bookmarkStart w:id="122" w:name="_MON_1476601746"/>
      <w:bookmarkStart w:id="123" w:name="_MON_1477217743"/>
      <w:bookmarkStart w:id="124" w:name="_MON_1603610578"/>
      <w:bookmarkStart w:id="125" w:name="_MON_1490172920"/>
      <w:bookmarkEnd w:id="122"/>
      <w:bookmarkEnd w:id="123"/>
      <w:bookmarkEnd w:id="124"/>
      <w:bookmarkEnd w:id="125"/>
      <w:bookmarkStart w:id="126" w:name="_MON_1469431693"/>
      <w:bookmarkEnd w:id="126"/>
      <w:r w:rsidR="002A4466" w:rsidRPr="00E107E5">
        <w:object w:dxaOrig="9222" w:dyaOrig="1993" w14:anchorId="6A238F0E">
          <v:shape id="_x0000_i1042" type="#_x0000_t75" style="width:461.2pt;height:97.15pt" o:ole="">
            <v:imagedata r:id="rId43" o:title=""/>
          </v:shape>
          <o:OLEObject Type="Embed" ProgID="Excel.Sheet.8" ShapeID="_x0000_i1042" DrawAspect="Content" ObjectID="_1714980704" r:id="rId44"/>
        </w:object>
      </w:r>
    </w:p>
    <w:p w14:paraId="31AC12B9" w14:textId="48BD2FC0" w:rsidR="00B024F6" w:rsidRPr="0080138B" w:rsidRDefault="00B024F6" w:rsidP="00B024F6">
      <w:pPr>
        <w:pStyle w:val="Nadpis3"/>
      </w:pPr>
      <w:r w:rsidRPr="0080138B">
        <w:t>Odvětví chytrého regionu</w:t>
      </w:r>
    </w:p>
    <w:p w14:paraId="42578DCA" w14:textId="125F5C95" w:rsidR="0018172D" w:rsidRPr="00AC6C89" w:rsidRDefault="0018172D" w:rsidP="0018172D">
      <w:r w:rsidRPr="0080138B">
        <w:t xml:space="preserve">Schválený rozpočet výdajů ve výši </w:t>
      </w:r>
      <w:r w:rsidR="0080138B" w:rsidRPr="0080138B">
        <w:t>73.166</w:t>
      </w:r>
      <w:r w:rsidRPr="0080138B">
        <w:t xml:space="preserve"> tis. Kč v odvětví </w:t>
      </w:r>
      <w:r w:rsidR="00E47126" w:rsidRPr="0080138B">
        <w:t>chytrého regionu</w:t>
      </w:r>
      <w:r w:rsidRPr="0080138B">
        <w:t xml:space="preserve"> byl celkově </w:t>
      </w:r>
      <w:r w:rsidR="00D9053A" w:rsidRPr="0080138B">
        <w:t>zvýšen</w:t>
      </w:r>
      <w:r w:rsidRPr="0080138B">
        <w:t xml:space="preserve"> na částku </w:t>
      </w:r>
      <w:r w:rsidR="0080138B" w:rsidRPr="00AC6C89">
        <w:t>101.769</w:t>
      </w:r>
      <w:r w:rsidRPr="00AC6C89">
        <w:t xml:space="preserve"> tis. Kč, což představuje </w:t>
      </w:r>
      <w:r w:rsidR="00814028" w:rsidRPr="00AC6C89">
        <w:t>růst</w:t>
      </w:r>
      <w:r w:rsidR="007A49CF" w:rsidRPr="00AC6C89">
        <w:t xml:space="preserve"> objemu rozpočtu o</w:t>
      </w:r>
      <w:r w:rsidR="000D7C6C">
        <w:t> </w:t>
      </w:r>
      <w:r w:rsidR="0080138B" w:rsidRPr="00AC6C89">
        <w:t>28.603</w:t>
      </w:r>
      <w:r w:rsidRPr="00AC6C89">
        <w:t> tis. Kč.</w:t>
      </w:r>
    </w:p>
    <w:p w14:paraId="421356C0" w14:textId="7BFBC619" w:rsidR="009C02A9" w:rsidRDefault="00B024F6" w:rsidP="006124D9">
      <w:r w:rsidRPr="00AC6C89">
        <w:t xml:space="preserve">Objemově významná úprava rozpočtu </w:t>
      </w:r>
      <w:r w:rsidR="00B34B17" w:rsidRPr="00AC6C89">
        <w:t>od</w:t>
      </w:r>
      <w:r w:rsidR="00CA742F">
        <w:t> </w:t>
      </w:r>
      <w:r w:rsidR="00B34B17" w:rsidRPr="00AC6C89">
        <w:t>počátku roku do</w:t>
      </w:r>
      <w:r w:rsidR="00CA742F">
        <w:t> </w:t>
      </w:r>
      <w:r w:rsidR="0073096F" w:rsidRPr="00AC6C89">
        <w:t>30. 4. 2022</w:t>
      </w:r>
      <w:r w:rsidRPr="00AC6C89">
        <w:t xml:space="preserve"> souvisela s nedočerpanými účelově vymezenými výdaji roku 202</w:t>
      </w:r>
      <w:r w:rsidR="00001DEE" w:rsidRPr="00AC6C89">
        <w:t>1</w:t>
      </w:r>
      <w:r w:rsidRPr="00AC6C89">
        <w:t xml:space="preserve"> v tomto odvětví, které byly zapojeny ke</w:t>
      </w:r>
      <w:r w:rsidR="00EB58F9" w:rsidRPr="00AC6C89">
        <w:t> </w:t>
      </w:r>
      <w:r w:rsidRPr="00AC6C89">
        <w:t>stejnému účelu do</w:t>
      </w:r>
      <w:r w:rsidR="00EB58F9" w:rsidRPr="00AC6C89">
        <w:t> </w:t>
      </w:r>
      <w:r w:rsidRPr="00AC6C89">
        <w:t>rozpočtu roku 202</w:t>
      </w:r>
      <w:r w:rsidR="00001DEE" w:rsidRPr="00AC6C89">
        <w:t>2</w:t>
      </w:r>
      <w:r w:rsidRPr="00AC6C89">
        <w:t xml:space="preserve"> v</w:t>
      </w:r>
      <w:r w:rsidR="00EB58F9" w:rsidRPr="00AC6C89">
        <w:t> </w:t>
      </w:r>
      <w:r w:rsidRPr="00AC6C89">
        <w:t xml:space="preserve">celkové výši </w:t>
      </w:r>
      <w:r w:rsidR="00001DEE" w:rsidRPr="00AC6C89">
        <w:t>8.459</w:t>
      </w:r>
      <w:r w:rsidR="00542833">
        <w:t> </w:t>
      </w:r>
      <w:r w:rsidRPr="00AC6C89">
        <w:t>tis.</w:t>
      </w:r>
      <w:r w:rsidR="00542833">
        <w:t> </w:t>
      </w:r>
      <w:r w:rsidRPr="00AC6C89">
        <w:t>Kč</w:t>
      </w:r>
      <w:r w:rsidR="00464395" w:rsidRPr="00AC6C89">
        <w:t>, z toho na</w:t>
      </w:r>
      <w:r w:rsidR="0060648E" w:rsidRPr="00AC6C89">
        <w:t> </w:t>
      </w:r>
      <w:r w:rsidR="00001DEE" w:rsidRPr="00AC6C89">
        <w:t>akce reprodukce majetku kraje ve</w:t>
      </w:r>
      <w:r w:rsidR="00542833">
        <w:t> </w:t>
      </w:r>
      <w:r w:rsidR="00001DEE" w:rsidRPr="00AC6C89">
        <w:t>výši 4.559</w:t>
      </w:r>
      <w:r w:rsidR="00542833">
        <w:t> </w:t>
      </w:r>
      <w:r w:rsidR="00001DEE" w:rsidRPr="00AC6C89">
        <w:t>tis.</w:t>
      </w:r>
      <w:r w:rsidR="00542833">
        <w:t> </w:t>
      </w:r>
      <w:r w:rsidR="00001DEE" w:rsidRPr="00AC6C89">
        <w:t>Kč.</w:t>
      </w:r>
      <w:r w:rsidR="006124D9">
        <w:t xml:space="preserve"> </w:t>
      </w:r>
      <w:r w:rsidR="006124D9" w:rsidRPr="009327B7">
        <w:t xml:space="preserve">Ve sledovaném období byla do rozpočtu odvětví </w:t>
      </w:r>
      <w:r w:rsidR="006124D9">
        <w:t>chytrého regionu</w:t>
      </w:r>
      <w:r w:rsidR="00542833">
        <w:t xml:space="preserve"> </w:t>
      </w:r>
      <w:r w:rsidR="006124D9" w:rsidRPr="009327B7">
        <w:t>zapojena část zůstatku rozpočtového hospodaření kraje za</w:t>
      </w:r>
      <w:r w:rsidR="006124D9">
        <w:t> </w:t>
      </w:r>
      <w:r w:rsidR="006124D9" w:rsidRPr="009327B7">
        <w:t>rok 2021</w:t>
      </w:r>
      <w:r w:rsidR="006124D9">
        <w:t xml:space="preserve"> ve výši </w:t>
      </w:r>
      <w:r w:rsidR="00542833">
        <w:t>19.</w:t>
      </w:r>
      <w:r w:rsidR="003008D3">
        <w:t>980</w:t>
      </w:r>
      <w:r w:rsidR="006124D9">
        <w:t> tis. Kč. Finanční prostředky byly určeny na</w:t>
      </w:r>
      <w:r w:rsidR="009C02A9">
        <w:t> </w:t>
      </w:r>
      <w:r w:rsidR="005D469B">
        <w:t>podporu projektu realizovaného Slezskou univerzitou v</w:t>
      </w:r>
      <w:r w:rsidR="0069729A">
        <w:t> </w:t>
      </w:r>
      <w:r w:rsidR="005D469B">
        <w:t>Opavě</w:t>
      </w:r>
      <w:r w:rsidR="0069729A">
        <w:t>.</w:t>
      </w:r>
    </w:p>
    <w:p w14:paraId="5B2E1A1F" w14:textId="785A1E2B" w:rsidR="00B024F6" w:rsidRPr="00427CE7" w:rsidRDefault="00B024F6" w:rsidP="00B024F6">
      <w:pPr>
        <w:rPr>
          <w:rFonts w:cs="Tahoma"/>
          <w:szCs w:val="20"/>
        </w:rPr>
      </w:pPr>
      <w:r w:rsidRPr="00AC6C89">
        <w:rPr>
          <w:rFonts w:cs="Tahoma"/>
          <w:szCs w:val="20"/>
        </w:rPr>
        <w:t>Skutečné výdaje v odvětví chytrého regionu činily k </w:t>
      </w:r>
      <w:r w:rsidR="0073096F" w:rsidRPr="00AC6C89">
        <w:rPr>
          <w:rFonts w:cs="Tahoma"/>
          <w:szCs w:val="20"/>
        </w:rPr>
        <w:t>30. 4. 2022</w:t>
      </w:r>
      <w:r w:rsidRPr="00AC6C89">
        <w:rPr>
          <w:rFonts w:cs="Tahoma"/>
          <w:szCs w:val="20"/>
        </w:rPr>
        <w:t xml:space="preserve"> celkem </w:t>
      </w:r>
      <w:r w:rsidR="00427CE7" w:rsidRPr="00AC6C89">
        <w:rPr>
          <w:rFonts w:cs="Tahoma"/>
          <w:szCs w:val="20"/>
        </w:rPr>
        <w:t>15.176</w:t>
      </w:r>
      <w:r w:rsidRPr="00AC6C89">
        <w:rPr>
          <w:rFonts w:cs="Tahoma"/>
          <w:szCs w:val="20"/>
        </w:rPr>
        <w:t xml:space="preserve"> tis. Kč, tj. čerpání ve výši </w:t>
      </w:r>
      <w:r w:rsidR="00427CE7" w:rsidRPr="00427CE7">
        <w:rPr>
          <w:rFonts w:cs="Tahoma"/>
          <w:szCs w:val="20"/>
        </w:rPr>
        <w:t>15</w:t>
      </w:r>
      <w:r w:rsidR="00CA742F">
        <w:rPr>
          <w:rFonts w:cs="Tahoma"/>
          <w:szCs w:val="20"/>
        </w:rPr>
        <w:t> </w:t>
      </w:r>
      <w:r w:rsidRPr="00427CE7">
        <w:rPr>
          <w:rFonts w:cs="Tahoma"/>
          <w:szCs w:val="20"/>
        </w:rPr>
        <w:t>% upraveného rozpočtu.</w:t>
      </w:r>
    </w:p>
    <w:p w14:paraId="12ACF6B9" w14:textId="627E0377" w:rsidR="00B024F6" w:rsidRPr="00427CE7" w:rsidRDefault="00B024F6" w:rsidP="00B024F6">
      <w:r w:rsidRPr="00427CE7">
        <w:t>Příspěvkov</w:t>
      </w:r>
      <w:r w:rsidR="00231B77" w:rsidRPr="00427CE7">
        <w:t>ým organizacím v odvětví chytrého regionu</w:t>
      </w:r>
      <w:r w:rsidRPr="00427CE7">
        <w:t xml:space="preserve">, konkrétně </w:t>
      </w:r>
      <w:r w:rsidR="00F74134" w:rsidRPr="00427CE7">
        <w:t>Moravskoslezské energetické centrum a</w:t>
      </w:r>
      <w:r w:rsidR="003612EA" w:rsidRPr="00427CE7">
        <w:t> </w:t>
      </w:r>
      <w:r w:rsidR="00F74134" w:rsidRPr="00427CE7">
        <w:t>Moravskoslezské datové centrum</w:t>
      </w:r>
      <w:r w:rsidRPr="00427CE7">
        <w:t xml:space="preserve">, </w:t>
      </w:r>
      <w:r w:rsidR="00D541EB" w:rsidRPr="00427CE7">
        <w:t>byly poskytnuty</w:t>
      </w:r>
      <w:r w:rsidRPr="00427CE7">
        <w:t xml:space="preserve"> k </w:t>
      </w:r>
      <w:r w:rsidR="0073096F" w:rsidRPr="00427CE7">
        <w:t>30. 4. 2022</w:t>
      </w:r>
      <w:r w:rsidRPr="00427CE7">
        <w:t xml:space="preserve"> finanční prostředky na</w:t>
      </w:r>
      <w:r w:rsidR="003612EA" w:rsidRPr="00427CE7">
        <w:t> </w:t>
      </w:r>
      <w:r w:rsidRPr="00427CE7">
        <w:t>provoz ve</w:t>
      </w:r>
      <w:r w:rsidR="00F61461" w:rsidRPr="00427CE7">
        <w:t> </w:t>
      </w:r>
      <w:r w:rsidRPr="00427CE7">
        <w:t xml:space="preserve">výši </w:t>
      </w:r>
      <w:r w:rsidR="00427CE7" w:rsidRPr="00427CE7">
        <w:t>13.316</w:t>
      </w:r>
      <w:r w:rsidR="00F61461" w:rsidRPr="00427CE7">
        <w:t> </w:t>
      </w:r>
      <w:r w:rsidRPr="00427CE7">
        <w:t>tis</w:t>
      </w:r>
      <w:r w:rsidR="00F61461" w:rsidRPr="00427CE7">
        <w:t> </w:t>
      </w:r>
      <w:r w:rsidRPr="00427CE7">
        <w:t xml:space="preserve">Kč. </w:t>
      </w:r>
    </w:p>
    <w:p w14:paraId="1081DA6C" w14:textId="3BC58414" w:rsidR="00B024F6" w:rsidRPr="00427CE7" w:rsidRDefault="00B024F6" w:rsidP="00B024F6">
      <w:pPr>
        <w:rPr>
          <w:rFonts w:cs="Tahoma"/>
          <w:szCs w:val="20"/>
        </w:rPr>
      </w:pPr>
      <w:r w:rsidRPr="00427CE7">
        <w:rPr>
          <w:rFonts w:cs="Tahoma"/>
          <w:szCs w:val="20"/>
        </w:rPr>
        <w:t xml:space="preserve">Na reprodukci majetku kraje v odvětví </w:t>
      </w:r>
      <w:r w:rsidR="00CE5306" w:rsidRPr="00427CE7">
        <w:rPr>
          <w:rFonts w:cs="Tahoma"/>
          <w:szCs w:val="20"/>
        </w:rPr>
        <w:t>chytrého regionu</w:t>
      </w:r>
      <w:r w:rsidRPr="00427CE7">
        <w:rPr>
          <w:rFonts w:cs="Tahoma"/>
          <w:szCs w:val="20"/>
        </w:rPr>
        <w:t xml:space="preserve"> byly k </w:t>
      </w:r>
      <w:r w:rsidR="0073096F" w:rsidRPr="00427CE7">
        <w:rPr>
          <w:rFonts w:cs="Tahoma"/>
          <w:szCs w:val="20"/>
        </w:rPr>
        <w:t>30. 4. 2022</w:t>
      </w:r>
      <w:r w:rsidRPr="00427CE7">
        <w:rPr>
          <w:rFonts w:cs="Tahoma"/>
          <w:szCs w:val="20"/>
        </w:rPr>
        <w:t xml:space="preserve"> vyčleněny prostředky ve výši </w:t>
      </w:r>
      <w:r w:rsidR="00427CE7" w:rsidRPr="00427CE7">
        <w:rPr>
          <w:rFonts w:cs="Tahoma"/>
          <w:szCs w:val="20"/>
        </w:rPr>
        <w:t>19.094</w:t>
      </w:r>
      <w:r w:rsidRPr="00427CE7">
        <w:rPr>
          <w:rFonts w:cs="Tahoma"/>
          <w:szCs w:val="20"/>
        </w:rPr>
        <w:t xml:space="preserve"> tis. Kč a </w:t>
      </w:r>
      <w:r w:rsidR="007914DA" w:rsidRPr="00427CE7">
        <w:rPr>
          <w:rFonts w:cs="Tahoma"/>
          <w:szCs w:val="20"/>
        </w:rPr>
        <w:t xml:space="preserve">byly </w:t>
      </w:r>
      <w:r w:rsidRPr="00427CE7">
        <w:rPr>
          <w:rFonts w:cs="Tahoma"/>
          <w:szCs w:val="20"/>
        </w:rPr>
        <w:t>čerpány</w:t>
      </w:r>
      <w:r w:rsidR="0086476F" w:rsidRPr="00427CE7">
        <w:rPr>
          <w:rFonts w:cs="Tahoma"/>
          <w:szCs w:val="20"/>
        </w:rPr>
        <w:t xml:space="preserve"> ve</w:t>
      </w:r>
      <w:r w:rsidR="00FA2B91" w:rsidRPr="00427CE7">
        <w:rPr>
          <w:rFonts w:cs="Tahoma"/>
          <w:szCs w:val="20"/>
        </w:rPr>
        <w:t> </w:t>
      </w:r>
      <w:r w:rsidR="0086476F" w:rsidRPr="00427CE7">
        <w:rPr>
          <w:rFonts w:cs="Tahoma"/>
          <w:szCs w:val="20"/>
        </w:rPr>
        <w:t xml:space="preserve">výši </w:t>
      </w:r>
      <w:r w:rsidR="00427CE7" w:rsidRPr="00427CE7">
        <w:rPr>
          <w:rFonts w:cs="Tahoma"/>
          <w:szCs w:val="20"/>
        </w:rPr>
        <w:t>1.431</w:t>
      </w:r>
      <w:r w:rsidR="0086476F" w:rsidRPr="00427CE7">
        <w:rPr>
          <w:rFonts w:cs="Tahoma"/>
          <w:szCs w:val="20"/>
        </w:rPr>
        <w:t> tis. Kč</w:t>
      </w:r>
      <w:r w:rsidRPr="00427CE7">
        <w:rPr>
          <w:rFonts w:cs="Tahoma"/>
          <w:szCs w:val="20"/>
        </w:rPr>
        <w:t xml:space="preserve"> (více viz příloha č.</w:t>
      </w:r>
      <w:r w:rsidR="00CF68AB">
        <w:rPr>
          <w:rFonts w:cs="Tahoma"/>
          <w:szCs w:val="20"/>
        </w:rPr>
        <w:t> </w:t>
      </w:r>
      <w:r w:rsidRPr="00427CE7">
        <w:rPr>
          <w:rFonts w:cs="Tahoma"/>
          <w:szCs w:val="20"/>
        </w:rPr>
        <w:t xml:space="preserve">4 materiálu). </w:t>
      </w:r>
    </w:p>
    <w:p w14:paraId="6DB86CF7" w14:textId="202624D4" w:rsidR="009F0D20" w:rsidRPr="00427CE7" w:rsidRDefault="009F0D20" w:rsidP="009F0D20">
      <w:pPr>
        <w:rPr>
          <w:rFonts w:cs="Tahoma"/>
          <w:szCs w:val="20"/>
        </w:rPr>
      </w:pPr>
      <w:r w:rsidRPr="00427CE7">
        <w:rPr>
          <w:rFonts w:cs="Tahoma"/>
          <w:szCs w:val="20"/>
        </w:rPr>
        <w:t xml:space="preserve">V rámci akcí spolufinancovaných z evropských finančních zdrojů byly v tomto odvětví čerpány finanční prostředky v částce </w:t>
      </w:r>
      <w:r w:rsidR="00427CE7" w:rsidRPr="00427CE7">
        <w:rPr>
          <w:rFonts w:cs="Tahoma"/>
          <w:szCs w:val="20"/>
        </w:rPr>
        <w:t>39</w:t>
      </w:r>
      <w:r w:rsidRPr="00427CE7">
        <w:rPr>
          <w:rFonts w:cs="Tahoma"/>
          <w:szCs w:val="20"/>
        </w:rPr>
        <w:t xml:space="preserve"> tis. Kč z alokovaných prostředků v objemu </w:t>
      </w:r>
      <w:r w:rsidR="00427CE7" w:rsidRPr="00427CE7">
        <w:rPr>
          <w:rFonts w:cs="Tahoma"/>
          <w:szCs w:val="20"/>
        </w:rPr>
        <w:t>6.022</w:t>
      </w:r>
      <w:r w:rsidRPr="00427CE7">
        <w:rPr>
          <w:rFonts w:cs="Tahoma"/>
          <w:szCs w:val="20"/>
        </w:rPr>
        <w:t> tis. Kč (více viz příloha č.</w:t>
      </w:r>
      <w:r w:rsidR="000D7C6C">
        <w:rPr>
          <w:rFonts w:cs="Tahoma"/>
          <w:szCs w:val="20"/>
        </w:rPr>
        <w:t> </w:t>
      </w:r>
      <w:r w:rsidRPr="00427CE7">
        <w:rPr>
          <w:rFonts w:cs="Tahoma"/>
          <w:szCs w:val="20"/>
        </w:rPr>
        <w:t xml:space="preserve">5 materiálu). </w:t>
      </w:r>
    </w:p>
    <w:p w14:paraId="37212DC9" w14:textId="1E225B91" w:rsidR="00A16F84" w:rsidRDefault="00B024F6" w:rsidP="00CE0C49">
      <w:pPr>
        <w:pStyle w:val="Styltab"/>
      </w:pPr>
      <w:r w:rsidRPr="00E107E5">
        <w:t>Výdaje v odvětví chytrého regionu v členění dle účelu</w:t>
      </w:r>
      <w:r w:rsidRPr="00E107E5">
        <w:tab/>
        <w:t>v tis. Kč</w:t>
      </w:r>
      <w:bookmarkStart w:id="127" w:name="_MON_1682654892"/>
      <w:bookmarkEnd w:id="127"/>
      <w:bookmarkStart w:id="128" w:name="_MON_1682841598"/>
      <w:bookmarkEnd w:id="128"/>
      <w:r w:rsidR="00427CE7" w:rsidRPr="00E107E5">
        <w:object w:dxaOrig="9141" w:dyaOrig="2082" w14:anchorId="0EE63AB6">
          <v:shape id="_x0000_i1043" type="#_x0000_t75" style="width:461.2pt;height:100.55pt" o:ole="">
            <v:imagedata r:id="rId45" o:title=""/>
          </v:shape>
          <o:OLEObject Type="Embed" ProgID="Excel.Sheet.8" ShapeID="_x0000_i1043" DrawAspect="Content" ObjectID="_1714980705" r:id="rId46"/>
        </w:object>
      </w:r>
    </w:p>
    <w:p w14:paraId="50AA7DB4" w14:textId="77777777" w:rsidR="009044A8" w:rsidRPr="009044A8" w:rsidRDefault="009044A8" w:rsidP="009044A8"/>
    <w:p w14:paraId="43E95275" w14:textId="46E7A26C" w:rsidR="00484ED4" w:rsidRDefault="00B024F6" w:rsidP="00CE0C49">
      <w:pPr>
        <w:pStyle w:val="Styltab"/>
      </w:pPr>
      <w:r w:rsidRPr="00E107E5">
        <w:lastRenderedPageBreak/>
        <w:t xml:space="preserve">Výdaje v odvětví </w:t>
      </w:r>
      <w:r w:rsidR="00D51082" w:rsidRPr="00E107E5">
        <w:t>chytrého regionu</w:t>
      </w:r>
      <w:r w:rsidRPr="00E107E5">
        <w:t xml:space="preserve"> na samosprávné a jiné činnosti zajišťované prostřednictvím krajského úřadu</w:t>
      </w:r>
      <w:r w:rsidRPr="00E107E5">
        <w:tab/>
        <w:t>v tis. Kč</w:t>
      </w:r>
      <w:bookmarkStart w:id="129" w:name="_MON_1682654974"/>
      <w:bookmarkEnd w:id="129"/>
      <w:bookmarkStart w:id="130" w:name="_MON_1683094767"/>
      <w:bookmarkEnd w:id="130"/>
      <w:r w:rsidR="00CB2420" w:rsidRPr="00E107E5">
        <w:object w:dxaOrig="10121" w:dyaOrig="2633" w14:anchorId="36103016">
          <v:shape id="_x0000_i1044" type="#_x0000_t75" style="width:461.2pt;height:118.2pt" o:ole="">
            <v:imagedata r:id="rId47" o:title=""/>
          </v:shape>
          <o:OLEObject Type="Embed" ProgID="Excel.Sheet.8" ShapeID="_x0000_i1044" DrawAspect="Content" ObjectID="_1714980706" r:id="rId48"/>
        </w:object>
      </w:r>
    </w:p>
    <w:p w14:paraId="16C34291" w14:textId="312CFC5F" w:rsidR="00E541DF" w:rsidRPr="00E107E5" w:rsidRDefault="00E541DF" w:rsidP="00CE0C49">
      <w:pPr>
        <w:pStyle w:val="Styltab"/>
      </w:pPr>
      <w:r w:rsidRPr="00E107E5">
        <w:t>Příspěvek na provoz příspěvkov</w:t>
      </w:r>
      <w:r w:rsidR="00001224" w:rsidRPr="00E107E5">
        <w:t>ým organizacím v odvětví chytrého regionu</w:t>
      </w:r>
      <w:r w:rsidRPr="00E107E5">
        <w:tab/>
        <w:t>v tis. Kč</w:t>
      </w:r>
      <w:bookmarkStart w:id="131" w:name="_MON_1683092988"/>
      <w:bookmarkEnd w:id="131"/>
      <w:r w:rsidR="00CB2420" w:rsidRPr="00E107E5">
        <w:object w:dxaOrig="9222" w:dyaOrig="2197" w14:anchorId="20DCD9CF">
          <v:shape id="_x0000_i1045" type="#_x0000_t75" style="width:461.2pt;height:107.3pt" o:ole="">
            <v:imagedata r:id="rId49" o:title=""/>
          </v:shape>
          <o:OLEObject Type="Embed" ProgID="Excel.Sheet.8" ShapeID="_x0000_i1045" DrawAspect="Content" ObjectID="_1714980707" r:id="rId50"/>
        </w:object>
      </w:r>
    </w:p>
    <w:p w14:paraId="586AA5D1" w14:textId="77777777" w:rsidR="00014B18" w:rsidRPr="0080138B" w:rsidRDefault="00014B18" w:rsidP="00C71052">
      <w:pPr>
        <w:pStyle w:val="Nadpis3"/>
      </w:pPr>
      <w:r w:rsidRPr="0080138B">
        <w:t>Odvětví krizového řízení</w:t>
      </w:r>
    </w:p>
    <w:p w14:paraId="586AA5D2" w14:textId="7E56DE02" w:rsidR="008D7B23" w:rsidRPr="00D71FF5" w:rsidRDefault="00014B18" w:rsidP="000077F5">
      <w:r w:rsidRPr="0080138B">
        <w:t>Schválený rozpočet výdajů ve</w:t>
      </w:r>
      <w:r w:rsidR="006C3B95" w:rsidRPr="0080138B">
        <w:t> </w:t>
      </w:r>
      <w:r w:rsidRPr="0080138B">
        <w:t xml:space="preserve">výši </w:t>
      </w:r>
      <w:r w:rsidR="0080138B" w:rsidRPr="0080138B">
        <w:t>144.163</w:t>
      </w:r>
      <w:r w:rsidR="000077F5" w:rsidRPr="0080138B">
        <w:t> tis. Kč</w:t>
      </w:r>
      <w:r w:rsidRPr="0080138B">
        <w:t xml:space="preserve"> v odvětví krizové</w:t>
      </w:r>
      <w:r w:rsidR="00404F76" w:rsidRPr="0080138B">
        <w:t>ho</w:t>
      </w:r>
      <w:r w:rsidRPr="0080138B">
        <w:t xml:space="preserve"> řízení byl celkově </w:t>
      </w:r>
      <w:r w:rsidR="00CB5EF7" w:rsidRPr="0080138B">
        <w:t>zvýšen</w:t>
      </w:r>
      <w:r w:rsidRPr="0080138B">
        <w:t xml:space="preserve"> na částku </w:t>
      </w:r>
      <w:r w:rsidR="0080138B" w:rsidRPr="00D71FF5">
        <w:t>261.127</w:t>
      </w:r>
      <w:r w:rsidR="00824277" w:rsidRPr="00D71FF5">
        <w:t> </w:t>
      </w:r>
      <w:r w:rsidR="00CB5EF7" w:rsidRPr="00D71FF5">
        <w:t>tis.</w:t>
      </w:r>
      <w:r w:rsidR="000077F5" w:rsidRPr="00D71FF5">
        <w:t> </w:t>
      </w:r>
      <w:r w:rsidR="00CB5EF7" w:rsidRPr="00D71FF5">
        <w:t>Kč</w:t>
      </w:r>
      <w:r w:rsidR="000077F5" w:rsidRPr="00D71FF5">
        <w:t xml:space="preserve">, což představuje </w:t>
      </w:r>
      <w:r w:rsidR="00A025FE" w:rsidRPr="00D71FF5">
        <w:t>navýšení rozpočtu</w:t>
      </w:r>
      <w:r w:rsidR="000077F5" w:rsidRPr="00D71FF5">
        <w:t xml:space="preserve"> o</w:t>
      </w:r>
      <w:r w:rsidR="006C3B95" w:rsidRPr="00D71FF5">
        <w:t> </w:t>
      </w:r>
      <w:r w:rsidR="0080138B" w:rsidRPr="00D71FF5">
        <w:t>116.964</w:t>
      </w:r>
      <w:r w:rsidR="00890619" w:rsidRPr="00D71FF5">
        <w:t> </w:t>
      </w:r>
      <w:r w:rsidR="000077F5" w:rsidRPr="00D71FF5">
        <w:t>tis. </w:t>
      </w:r>
      <w:r w:rsidR="00A025FE" w:rsidRPr="00D71FF5">
        <w:t>Kč.</w:t>
      </w:r>
    </w:p>
    <w:p w14:paraId="451F41B5" w14:textId="4856305E" w:rsidR="005E0754" w:rsidRPr="00531CCA" w:rsidRDefault="009F5B12" w:rsidP="004D2EE6">
      <w:r w:rsidRPr="00D71FF5">
        <w:t xml:space="preserve">Objemově významná úprava </w:t>
      </w:r>
      <w:r w:rsidR="001B3826" w:rsidRPr="00D71FF5">
        <w:t xml:space="preserve">rozpočtu </w:t>
      </w:r>
      <w:r w:rsidR="00E808B8" w:rsidRPr="00D71FF5">
        <w:t>v</w:t>
      </w:r>
      <w:r w:rsidR="00380653" w:rsidRPr="00D71FF5">
        <w:t> </w:t>
      </w:r>
      <w:r w:rsidR="00E808B8" w:rsidRPr="00D71FF5">
        <w:t>období</w:t>
      </w:r>
      <w:r w:rsidR="00380653" w:rsidRPr="00D71FF5">
        <w:t xml:space="preserve"> </w:t>
      </w:r>
      <w:r w:rsidR="00485FF2" w:rsidRPr="00D71FF5">
        <w:t>leden až</w:t>
      </w:r>
      <w:r w:rsidR="00593805">
        <w:t> </w:t>
      </w:r>
      <w:r w:rsidR="00485FF2" w:rsidRPr="00D71FF5">
        <w:t>duben</w:t>
      </w:r>
      <w:r w:rsidR="00380653" w:rsidRPr="00D71FF5">
        <w:t xml:space="preserve"> </w:t>
      </w:r>
      <w:r w:rsidR="001B3826" w:rsidRPr="00D71FF5">
        <w:t>souvisela s nedočerpanými účelově vymezenými výdaji roku 20</w:t>
      </w:r>
      <w:r w:rsidR="00380653" w:rsidRPr="00D71FF5">
        <w:t>2</w:t>
      </w:r>
      <w:r w:rsidR="00D71FF5" w:rsidRPr="00D71FF5">
        <w:t>1</w:t>
      </w:r>
      <w:r w:rsidR="001B3826" w:rsidRPr="00D71FF5">
        <w:t xml:space="preserve"> v tomto </w:t>
      </w:r>
      <w:r w:rsidR="001B3826" w:rsidRPr="009327B7">
        <w:t>odvětví, které byly zapojeny ke stejnému účel</w:t>
      </w:r>
      <w:r w:rsidR="00B25EB8" w:rsidRPr="009327B7">
        <w:t>u</w:t>
      </w:r>
      <w:r w:rsidR="001B3826" w:rsidRPr="009327B7">
        <w:t xml:space="preserve"> do</w:t>
      </w:r>
      <w:r w:rsidR="00EC2578" w:rsidRPr="009327B7">
        <w:t> </w:t>
      </w:r>
      <w:r w:rsidR="001B3826" w:rsidRPr="009327B7">
        <w:t xml:space="preserve">rozpočtu </w:t>
      </w:r>
      <w:r w:rsidR="00B25EB8" w:rsidRPr="009327B7">
        <w:t>roku 20</w:t>
      </w:r>
      <w:r w:rsidR="00380653" w:rsidRPr="009327B7">
        <w:t>2</w:t>
      </w:r>
      <w:r w:rsidR="00D71FF5" w:rsidRPr="009327B7">
        <w:t>2</w:t>
      </w:r>
      <w:r w:rsidR="00B25EB8" w:rsidRPr="009327B7">
        <w:t xml:space="preserve"> v celkové výši </w:t>
      </w:r>
      <w:r w:rsidR="00D71FF5" w:rsidRPr="009327B7">
        <w:t>30.486</w:t>
      </w:r>
      <w:r w:rsidR="00EC2578" w:rsidRPr="009327B7">
        <w:t> </w:t>
      </w:r>
      <w:r w:rsidR="00B25EB8" w:rsidRPr="009327B7">
        <w:t>tis.</w:t>
      </w:r>
      <w:r w:rsidR="00EC2578" w:rsidRPr="009327B7">
        <w:t> </w:t>
      </w:r>
      <w:r w:rsidR="00B25EB8" w:rsidRPr="009327B7">
        <w:t>Kč</w:t>
      </w:r>
      <w:r w:rsidR="00F722F6" w:rsidRPr="009327B7">
        <w:t xml:space="preserve">, z toho </w:t>
      </w:r>
      <w:r w:rsidR="00D71FF5" w:rsidRPr="009327B7">
        <w:t>29.917</w:t>
      </w:r>
      <w:r w:rsidR="00EC2578" w:rsidRPr="009327B7">
        <w:t> </w:t>
      </w:r>
      <w:r w:rsidR="00F722F6" w:rsidRPr="009327B7">
        <w:t>tis.</w:t>
      </w:r>
      <w:r w:rsidR="00EC2578" w:rsidRPr="009327B7">
        <w:t> </w:t>
      </w:r>
      <w:r w:rsidR="00F722F6" w:rsidRPr="009327B7">
        <w:t>Kč</w:t>
      </w:r>
      <w:r w:rsidR="00655620" w:rsidRPr="009327B7">
        <w:t xml:space="preserve"> </w:t>
      </w:r>
      <w:r w:rsidR="001873F1" w:rsidRPr="009327B7">
        <w:t xml:space="preserve">bylo určeno </w:t>
      </w:r>
      <w:r w:rsidR="00F42639" w:rsidRPr="009327B7">
        <w:t>na</w:t>
      </w:r>
      <w:r w:rsidR="00380653" w:rsidRPr="009327B7">
        <w:t> </w:t>
      </w:r>
      <w:r w:rsidR="00F42639" w:rsidRPr="009327B7">
        <w:t>samosprávné a</w:t>
      </w:r>
      <w:r w:rsidR="00C744BF">
        <w:t> </w:t>
      </w:r>
      <w:r w:rsidR="00F42639" w:rsidRPr="009327B7">
        <w:t>jiné činnosti</w:t>
      </w:r>
      <w:r w:rsidR="00B5217B" w:rsidRPr="009327B7">
        <w:t xml:space="preserve"> zajišťované prostřednictvím krajského úřadu.</w:t>
      </w:r>
      <w:r w:rsidR="00DA2533" w:rsidRPr="009327B7">
        <w:t xml:space="preserve"> </w:t>
      </w:r>
      <w:r w:rsidR="00955316" w:rsidRPr="009327B7">
        <w:t>Ve sledovaném období byla do rozpočtu odvětví krizového řízení zapojena část zůstatku rozpočtového hospodaření kraje za</w:t>
      </w:r>
      <w:r w:rsidR="005324C5">
        <w:t> </w:t>
      </w:r>
      <w:r w:rsidR="00955316" w:rsidRPr="009327B7">
        <w:t>rok 202</w:t>
      </w:r>
      <w:r w:rsidR="00CA6C11" w:rsidRPr="009327B7">
        <w:t>1</w:t>
      </w:r>
      <w:r w:rsidR="009327B7">
        <w:t xml:space="preserve"> ve</w:t>
      </w:r>
      <w:r w:rsidR="005324C5">
        <w:t> </w:t>
      </w:r>
      <w:r w:rsidR="009327B7">
        <w:t>výši 30.250</w:t>
      </w:r>
      <w:r w:rsidR="005324C5">
        <w:t> </w:t>
      </w:r>
      <w:r w:rsidR="009327B7">
        <w:t>tis.</w:t>
      </w:r>
      <w:r w:rsidR="005324C5">
        <w:t> </w:t>
      </w:r>
      <w:r w:rsidR="009327B7">
        <w:t xml:space="preserve">Kč. Finanční prostředky byly určeny zejména </w:t>
      </w:r>
      <w:r w:rsidR="004F3F6E">
        <w:t>na</w:t>
      </w:r>
      <w:r w:rsidR="003262E4">
        <w:t> </w:t>
      </w:r>
      <w:r w:rsidR="005324C5">
        <w:t>poskytnutí příspěvku</w:t>
      </w:r>
      <w:r w:rsidR="004F3F6E">
        <w:t xml:space="preserve"> obcím na</w:t>
      </w:r>
      <w:r w:rsidR="005324C5">
        <w:t> </w:t>
      </w:r>
      <w:r w:rsidR="004F3F6E">
        <w:t xml:space="preserve">financování potřeb jednotek sborů </w:t>
      </w:r>
      <w:r w:rsidR="004F3F6E" w:rsidRPr="00531CCA">
        <w:t>dobrovolných hasičů obcí</w:t>
      </w:r>
      <w:r w:rsidR="005E0754" w:rsidRPr="00531CCA">
        <w:t>.</w:t>
      </w:r>
      <w:bookmarkStart w:id="132" w:name="_Hlk72143309"/>
    </w:p>
    <w:p w14:paraId="14717E18" w14:textId="611A09DA" w:rsidR="00531CCA" w:rsidRPr="00792BEA" w:rsidRDefault="00531CCA" w:rsidP="00792BEA">
      <w:pPr>
        <w:spacing w:after="0"/>
      </w:pPr>
      <w:r w:rsidRPr="00531CCA">
        <w:t>Ve schváleném rozpočtu kraje byly alokovány na opatření proti šíření onemocnění COVID-19 finanční prostředky ve výši 1.286 tis. K</w:t>
      </w:r>
      <w:r w:rsidR="00CC4BD5">
        <w:t>. T</w:t>
      </w:r>
      <w:r w:rsidRPr="00531CCA">
        <w:t xml:space="preserve">ato částka byla navýšena ve sledovaném období o 15.410 tis. Kč </w:t>
      </w:r>
      <w:r w:rsidRPr="00792BEA">
        <w:t>na 16.696 tis. Kč. Zdrojem byly zejména prostředky z rozpočtové rezervy ve</w:t>
      </w:r>
      <w:r w:rsidR="00CC4BD5" w:rsidRPr="00792BEA">
        <w:t> </w:t>
      </w:r>
      <w:r w:rsidRPr="00792BEA">
        <w:t>výši 12.907 tis. Kč, nedočerpané prostředky roku 2021 zapojené ke stejnému účelu do rozpočtu roku 2022 ve výši 2.503 tis. Kč. V uvedeném období byly čerpány na</w:t>
      </w:r>
      <w:r w:rsidR="005712E8" w:rsidRPr="00792BEA">
        <w:t> </w:t>
      </w:r>
      <w:r w:rsidRPr="00792BEA">
        <w:t>uvedený účel finanční prostředky ve</w:t>
      </w:r>
      <w:r w:rsidR="005712E8" w:rsidRPr="00792BEA">
        <w:t> </w:t>
      </w:r>
      <w:r w:rsidRPr="00792BEA">
        <w:t>výši 718</w:t>
      </w:r>
      <w:r w:rsidR="005712E8" w:rsidRPr="00792BEA">
        <w:t> </w:t>
      </w:r>
      <w:r w:rsidRPr="00792BEA">
        <w:t>tis.</w:t>
      </w:r>
      <w:r w:rsidR="005712E8" w:rsidRPr="00792BEA">
        <w:t> </w:t>
      </w:r>
      <w:r w:rsidRPr="00792BEA">
        <w:t xml:space="preserve">Kč, zejména na: </w:t>
      </w:r>
    </w:p>
    <w:p w14:paraId="0FC58B13" w14:textId="1CEC2B51" w:rsidR="00792BEA" w:rsidRPr="00792BEA" w:rsidRDefault="00792BEA" w:rsidP="00792BEA">
      <w:pPr>
        <w:pStyle w:val="Odstavecseseznamem"/>
        <w:numPr>
          <w:ilvl w:val="0"/>
          <w:numId w:val="43"/>
        </w:numPr>
      </w:pPr>
      <w:r w:rsidRPr="00792BEA">
        <w:t>zakoupení antigenních testů a</w:t>
      </w:r>
      <w:r w:rsidR="00C50AA5">
        <w:t> </w:t>
      </w:r>
      <w:r w:rsidRPr="00792BEA">
        <w:t>ochranných pomůcek ve</w:t>
      </w:r>
      <w:r w:rsidR="00C50AA5">
        <w:t> </w:t>
      </w:r>
      <w:r w:rsidRPr="00792BEA">
        <w:t>výši 371</w:t>
      </w:r>
      <w:r w:rsidR="00C50AA5">
        <w:t> </w:t>
      </w:r>
      <w:r w:rsidRPr="00792BEA">
        <w:t>tis.</w:t>
      </w:r>
      <w:r w:rsidR="00C50AA5">
        <w:t> </w:t>
      </w:r>
      <w:r w:rsidRPr="00792BEA">
        <w:t>Kč,</w:t>
      </w:r>
    </w:p>
    <w:p w14:paraId="4DB47F69" w14:textId="1DA16FEE" w:rsidR="00792BEA" w:rsidRPr="00792BEA" w:rsidRDefault="00792BEA" w:rsidP="00792BEA">
      <w:pPr>
        <w:pStyle w:val="Odstavecseseznamem"/>
        <w:numPr>
          <w:ilvl w:val="0"/>
          <w:numId w:val="43"/>
        </w:numPr>
      </w:pPr>
      <w:r w:rsidRPr="00792BEA">
        <w:t>pronájem mobilních kontejnerů, mobilních toalet a</w:t>
      </w:r>
      <w:r w:rsidR="00C50AA5">
        <w:t> </w:t>
      </w:r>
      <w:r w:rsidRPr="00792BEA">
        <w:t>umýváren umístěných při odběrných místech</w:t>
      </w:r>
      <w:r w:rsidR="007F72AC">
        <w:t> </w:t>
      </w:r>
      <w:r w:rsidR="007F72AC">
        <w:noBreakHyphen/>
        <w:t> </w:t>
      </w:r>
      <w:r w:rsidRPr="00792BEA">
        <w:t>zdravotnických zařízení ve</w:t>
      </w:r>
      <w:r w:rsidR="00C50AA5">
        <w:t> </w:t>
      </w:r>
      <w:r w:rsidRPr="00792BEA">
        <w:t>výši 321</w:t>
      </w:r>
      <w:r w:rsidR="00C50AA5">
        <w:t> </w:t>
      </w:r>
      <w:r w:rsidRPr="00792BEA">
        <w:t>tis.</w:t>
      </w:r>
      <w:r w:rsidR="00C50AA5">
        <w:t> </w:t>
      </w:r>
      <w:r w:rsidRPr="00792BEA">
        <w:t>Kč,</w:t>
      </w:r>
    </w:p>
    <w:p w14:paraId="3B60A85D" w14:textId="53DB42E0" w:rsidR="00792BEA" w:rsidRPr="00792BEA" w:rsidRDefault="00792BEA" w:rsidP="00792BEA">
      <w:pPr>
        <w:pStyle w:val="Odstavecseseznamem"/>
        <w:numPr>
          <w:ilvl w:val="0"/>
          <w:numId w:val="43"/>
        </w:numPr>
      </w:pPr>
      <w:r w:rsidRPr="00792BEA">
        <w:t>servis plicních ventilátorů zapůjčených Ministerstvem zdravotnictví ve</w:t>
      </w:r>
      <w:r w:rsidR="007F72AC">
        <w:t> </w:t>
      </w:r>
      <w:r w:rsidRPr="00792BEA">
        <w:t>výši 26 tis. Kč.</w:t>
      </w:r>
    </w:p>
    <w:p w14:paraId="3C1983BF" w14:textId="18612237" w:rsidR="00CF0157" w:rsidRPr="00FB54D8" w:rsidRDefault="00CF0157" w:rsidP="00FB54D8">
      <w:pPr>
        <w:spacing w:after="0"/>
      </w:pPr>
      <w:r w:rsidRPr="00466211">
        <w:t>V souvislosti s poskytováním humanitární pomoci válkou trýzněným občanům Ukrajiny byly v rozpočtu kraje vyčleněny prostředky ve</w:t>
      </w:r>
      <w:r w:rsidR="00466211" w:rsidRPr="00466211">
        <w:t> </w:t>
      </w:r>
      <w:r w:rsidRPr="00466211">
        <w:t>výši 20.600 tis. Kč. Zdrojem byly zejména prostředky z rozpočtové rezervy ve</w:t>
      </w:r>
      <w:r w:rsidR="00466211" w:rsidRPr="00466211">
        <w:t> </w:t>
      </w:r>
      <w:r w:rsidRPr="00466211">
        <w:t>výši 20.500 tis. Kč a</w:t>
      </w:r>
      <w:r w:rsidR="00466211" w:rsidRPr="00466211">
        <w:t> </w:t>
      </w:r>
      <w:r w:rsidRPr="00466211">
        <w:t>přijaté vratky z</w:t>
      </w:r>
      <w:r w:rsidR="00466211" w:rsidRPr="00466211">
        <w:t> </w:t>
      </w:r>
      <w:r w:rsidRPr="00466211">
        <w:t>finančního vypořádání dotací poskytnutých v</w:t>
      </w:r>
      <w:r w:rsidR="00466211" w:rsidRPr="00466211">
        <w:t> </w:t>
      </w:r>
      <w:r w:rsidRPr="00466211">
        <w:t xml:space="preserve">rámci dotačního programu v odvětví sociálních </w:t>
      </w:r>
      <w:r w:rsidRPr="00FB54D8">
        <w:t>věcí ve</w:t>
      </w:r>
      <w:r w:rsidR="00466211" w:rsidRPr="00FB54D8">
        <w:t> </w:t>
      </w:r>
      <w:r w:rsidRPr="00FB54D8">
        <w:t>výši 100 tis. Kč zapojené do</w:t>
      </w:r>
      <w:r w:rsidR="00466211" w:rsidRPr="00FB54D8">
        <w:t> </w:t>
      </w:r>
      <w:r w:rsidRPr="00FB54D8">
        <w:t>rozpočtu roku 2022. V daném období byly čerpány na</w:t>
      </w:r>
      <w:r w:rsidR="00466211" w:rsidRPr="00FB54D8">
        <w:t> </w:t>
      </w:r>
      <w:r w:rsidRPr="00FB54D8">
        <w:t>uvedený účel finanční prostředky ve</w:t>
      </w:r>
      <w:r w:rsidR="00466211" w:rsidRPr="00FB54D8">
        <w:t> </w:t>
      </w:r>
      <w:r w:rsidRPr="00FB54D8">
        <w:t>výši 5.820</w:t>
      </w:r>
      <w:r w:rsidR="00466211" w:rsidRPr="00FB54D8">
        <w:t> </w:t>
      </w:r>
      <w:r w:rsidRPr="00FB54D8">
        <w:t>tis.</w:t>
      </w:r>
      <w:r w:rsidR="00466211" w:rsidRPr="00FB54D8">
        <w:t> </w:t>
      </w:r>
      <w:r w:rsidRPr="00FB54D8">
        <w:t xml:space="preserve">Kč, zejména na: </w:t>
      </w:r>
    </w:p>
    <w:p w14:paraId="39E00669" w14:textId="5D1FB8F2" w:rsidR="00CF0157" w:rsidRPr="00FB54D8" w:rsidRDefault="00CF0157" w:rsidP="00CF0157">
      <w:pPr>
        <w:pStyle w:val="Odstavecseseznamem"/>
        <w:numPr>
          <w:ilvl w:val="0"/>
          <w:numId w:val="43"/>
        </w:numPr>
      </w:pPr>
      <w:r w:rsidRPr="00FB54D8">
        <w:t>kompenzaci nákladů příspěvkovým organizacím kraje na</w:t>
      </w:r>
      <w:r w:rsidR="00FB54D8" w:rsidRPr="00FB54D8">
        <w:t> </w:t>
      </w:r>
      <w:r w:rsidRPr="00FB54D8">
        <w:t>ubytování a</w:t>
      </w:r>
      <w:r w:rsidR="00FB54D8" w:rsidRPr="00FB54D8">
        <w:t> </w:t>
      </w:r>
      <w:r w:rsidRPr="00FB54D8">
        <w:t>stravování ve</w:t>
      </w:r>
      <w:r w:rsidR="00FB54D8" w:rsidRPr="00FB54D8">
        <w:t> </w:t>
      </w:r>
      <w:r w:rsidRPr="00FB54D8">
        <w:t>výši 3.451</w:t>
      </w:r>
      <w:r w:rsidR="00FB54D8" w:rsidRPr="00FB54D8">
        <w:t> </w:t>
      </w:r>
      <w:r w:rsidRPr="00FB54D8">
        <w:t>tis.</w:t>
      </w:r>
      <w:r w:rsidR="00FB54D8" w:rsidRPr="00FB54D8">
        <w:t> </w:t>
      </w:r>
      <w:r w:rsidRPr="00FB54D8">
        <w:t>Kč,</w:t>
      </w:r>
    </w:p>
    <w:p w14:paraId="6262C3AF" w14:textId="445A90A3" w:rsidR="00CF0157" w:rsidRPr="00FB54D8" w:rsidRDefault="00CF0157" w:rsidP="00CF0157">
      <w:pPr>
        <w:pStyle w:val="Odstavecseseznamem"/>
        <w:numPr>
          <w:ilvl w:val="0"/>
          <w:numId w:val="43"/>
        </w:numPr>
      </w:pPr>
      <w:r w:rsidRPr="00FB54D8">
        <w:t>zajištění a</w:t>
      </w:r>
      <w:r w:rsidR="00FB54D8" w:rsidRPr="00FB54D8">
        <w:t> </w:t>
      </w:r>
      <w:r w:rsidRPr="00FB54D8">
        <w:t>distribuci materiálu za</w:t>
      </w:r>
      <w:r w:rsidR="00FB54D8" w:rsidRPr="00FB54D8">
        <w:t> </w:t>
      </w:r>
      <w:r w:rsidRPr="00FB54D8">
        <w:t>účelem humanitární pomoci ve</w:t>
      </w:r>
      <w:r w:rsidR="00FB54D8" w:rsidRPr="00FB54D8">
        <w:t> </w:t>
      </w:r>
      <w:r w:rsidRPr="00FB54D8">
        <w:t>výši 313 tis. Kč,</w:t>
      </w:r>
    </w:p>
    <w:p w14:paraId="01F9ECBD" w14:textId="350AB53E" w:rsidR="00CF0157" w:rsidRPr="00FB54D8" w:rsidRDefault="00CF0157" w:rsidP="00CF0157">
      <w:pPr>
        <w:pStyle w:val="Odstavecseseznamem"/>
        <w:numPr>
          <w:ilvl w:val="0"/>
          <w:numId w:val="43"/>
        </w:numPr>
      </w:pPr>
      <w:r w:rsidRPr="00FB54D8">
        <w:t>zajištění provozu Krajského asistenčního centra pomoci Ukrajině ve</w:t>
      </w:r>
      <w:r w:rsidR="00FB54D8" w:rsidRPr="00FB54D8">
        <w:t> </w:t>
      </w:r>
      <w:r w:rsidRPr="00FB54D8">
        <w:t>výši 816</w:t>
      </w:r>
      <w:r w:rsidR="00FB54D8" w:rsidRPr="00FB54D8">
        <w:t> </w:t>
      </w:r>
      <w:r w:rsidRPr="00FB54D8">
        <w:t>tis.</w:t>
      </w:r>
      <w:r w:rsidR="00FB54D8" w:rsidRPr="00FB54D8">
        <w:t> </w:t>
      </w:r>
      <w:r w:rsidRPr="00FB54D8">
        <w:t>Kč,</w:t>
      </w:r>
    </w:p>
    <w:p w14:paraId="6BFBD22B" w14:textId="0CF7421F" w:rsidR="00CF0157" w:rsidRPr="00D86531" w:rsidRDefault="00CF0157" w:rsidP="00CF0157">
      <w:pPr>
        <w:pStyle w:val="Odstavecseseznamem"/>
        <w:numPr>
          <w:ilvl w:val="0"/>
          <w:numId w:val="43"/>
        </w:numPr>
      </w:pPr>
      <w:r w:rsidRPr="00D86531">
        <w:t>zajištění ubytovacího zařízení kraje na</w:t>
      </w:r>
      <w:r w:rsidR="00FB54D8" w:rsidRPr="00D86531">
        <w:t> </w:t>
      </w:r>
      <w:r w:rsidRPr="00D86531">
        <w:t>ul.</w:t>
      </w:r>
      <w:r w:rsidR="00FB54D8" w:rsidRPr="00D86531">
        <w:t> </w:t>
      </w:r>
      <w:r w:rsidRPr="00D86531">
        <w:t>Dr.</w:t>
      </w:r>
      <w:r w:rsidR="00FB54D8" w:rsidRPr="00D86531">
        <w:t> </w:t>
      </w:r>
      <w:r w:rsidRPr="00D86531">
        <w:t>Malého ve</w:t>
      </w:r>
      <w:r w:rsidR="00FB54D8" w:rsidRPr="00D86531">
        <w:t> </w:t>
      </w:r>
      <w:r w:rsidRPr="00D86531">
        <w:t>výši 153</w:t>
      </w:r>
      <w:r w:rsidR="00FB54D8" w:rsidRPr="00D86531">
        <w:t> </w:t>
      </w:r>
      <w:r w:rsidRPr="00D86531">
        <w:t>tis.</w:t>
      </w:r>
      <w:r w:rsidR="00FB54D8" w:rsidRPr="00D86531">
        <w:t> </w:t>
      </w:r>
      <w:r w:rsidRPr="00D86531">
        <w:t>Kč,</w:t>
      </w:r>
    </w:p>
    <w:p w14:paraId="36BAAEB7" w14:textId="39E4B1BD" w:rsidR="00CF0157" w:rsidRPr="00F964C1" w:rsidRDefault="00CF0157" w:rsidP="00CF0157">
      <w:pPr>
        <w:pStyle w:val="Odstavecseseznamem"/>
        <w:numPr>
          <w:ilvl w:val="0"/>
          <w:numId w:val="43"/>
        </w:numPr>
      </w:pPr>
      <w:r w:rsidRPr="00D86531">
        <w:lastRenderedPageBreak/>
        <w:t xml:space="preserve">zajištění přepravy </w:t>
      </w:r>
      <w:r w:rsidRPr="00F964C1">
        <w:t>občanů Ukrajiny do</w:t>
      </w:r>
      <w:r w:rsidR="00FB54D8" w:rsidRPr="00F964C1">
        <w:t> </w:t>
      </w:r>
      <w:r w:rsidRPr="00F964C1">
        <w:t>registračních a</w:t>
      </w:r>
      <w:r w:rsidR="00FB54D8" w:rsidRPr="00F964C1">
        <w:t> </w:t>
      </w:r>
      <w:r w:rsidRPr="00F964C1">
        <w:t>ubytovacích zařízení v</w:t>
      </w:r>
      <w:r w:rsidR="00D86531" w:rsidRPr="00F964C1">
        <w:t> </w:t>
      </w:r>
      <w:r w:rsidR="00FB54D8" w:rsidRPr="00F964C1">
        <w:t>kraji</w:t>
      </w:r>
      <w:r w:rsidRPr="00F964C1">
        <w:t>, do</w:t>
      </w:r>
      <w:r w:rsidR="00D86531" w:rsidRPr="00F964C1">
        <w:t> </w:t>
      </w:r>
      <w:r w:rsidRPr="00F964C1">
        <w:t>K</w:t>
      </w:r>
      <w:r w:rsidR="00B93FB9" w:rsidRPr="00F964C1">
        <w:t>rajského asistenčního centra pomoci Ukrajině</w:t>
      </w:r>
      <w:r w:rsidRPr="00F964C1">
        <w:t xml:space="preserve"> a</w:t>
      </w:r>
      <w:r w:rsidR="00B93FB9" w:rsidRPr="00F964C1">
        <w:t> </w:t>
      </w:r>
      <w:r w:rsidRPr="00F964C1">
        <w:t>na</w:t>
      </w:r>
      <w:r w:rsidR="00B93FB9" w:rsidRPr="00F964C1">
        <w:t> </w:t>
      </w:r>
      <w:r w:rsidRPr="00F964C1">
        <w:t>vlakové nádraží v Ostravě ve</w:t>
      </w:r>
      <w:r w:rsidR="00BD481F" w:rsidRPr="00F964C1">
        <w:t> </w:t>
      </w:r>
      <w:r w:rsidRPr="00F964C1">
        <w:t>výši 230</w:t>
      </w:r>
      <w:r w:rsidR="00BD481F" w:rsidRPr="00F964C1">
        <w:t> </w:t>
      </w:r>
      <w:r w:rsidRPr="00F964C1">
        <w:t>tis.</w:t>
      </w:r>
      <w:r w:rsidR="00BD481F" w:rsidRPr="00F964C1">
        <w:t> </w:t>
      </w:r>
      <w:r w:rsidRPr="00F964C1">
        <w:t>Kč,</w:t>
      </w:r>
    </w:p>
    <w:p w14:paraId="32CD6D09" w14:textId="1481782B" w:rsidR="00CF0157" w:rsidRPr="00F964C1" w:rsidRDefault="00CF0157" w:rsidP="00CF0157">
      <w:pPr>
        <w:pStyle w:val="Odstavecseseznamem"/>
        <w:numPr>
          <w:ilvl w:val="0"/>
          <w:numId w:val="43"/>
        </w:numPr>
      </w:pPr>
      <w:r w:rsidRPr="00F964C1">
        <w:t>výrobu orientačních tabulí a</w:t>
      </w:r>
      <w:r w:rsidR="00D86531" w:rsidRPr="00F964C1">
        <w:t> </w:t>
      </w:r>
      <w:r w:rsidRPr="00F964C1">
        <w:t>bannerů na</w:t>
      </w:r>
      <w:r w:rsidR="00D86531" w:rsidRPr="00F964C1">
        <w:t> </w:t>
      </w:r>
      <w:r w:rsidRPr="00F964C1">
        <w:t>vlakových nádražích v Ostravě a</w:t>
      </w:r>
      <w:r w:rsidR="00D86531" w:rsidRPr="00F964C1">
        <w:t> </w:t>
      </w:r>
      <w:r w:rsidRPr="00F964C1">
        <w:t>Bohumíně ve</w:t>
      </w:r>
      <w:r w:rsidR="00D86531" w:rsidRPr="00F964C1">
        <w:t> </w:t>
      </w:r>
      <w:r w:rsidRPr="00F964C1">
        <w:t>výši 29 tis. Kč,</w:t>
      </w:r>
    </w:p>
    <w:p w14:paraId="0C16CFD7" w14:textId="0E6337A9" w:rsidR="00CF0157" w:rsidRPr="00F964C1" w:rsidRDefault="00F964C1" w:rsidP="00CF0157">
      <w:pPr>
        <w:pStyle w:val="Odstavecseseznamem"/>
        <w:numPr>
          <w:ilvl w:val="0"/>
          <w:numId w:val="43"/>
        </w:numPr>
      </w:pPr>
      <w:r w:rsidRPr="00F964C1">
        <w:t xml:space="preserve">poskytnutí </w:t>
      </w:r>
      <w:r w:rsidR="00CF0157" w:rsidRPr="00F964C1">
        <w:t>dotace z</w:t>
      </w:r>
      <w:r w:rsidRPr="00F964C1">
        <w:t> </w:t>
      </w:r>
      <w:r w:rsidR="00CF0157" w:rsidRPr="00F964C1">
        <w:t>rozpočtu kraje Krizovému centru Ostrava</w:t>
      </w:r>
      <w:r w:rsidR="00EE657A">
        <w:t xml:space="preserve">, </w:t>
      </w:r>
      <w:proofErr w:type="spellStart"/>
      <w:r w:rsidR="00EE657A">
        <w:t>z.s</w:t>
      </w:r>
      <w:proofErr w:type="spellEnd"/>
      <w:r w:rsidR="00EE657A">
        <w:t>.,</w:t>
      </w:r>
      <w:r w:rsidR="00CF0157" w:rsidRPr="00F964C1">
        <w:t xml:space="preserve"> na</w:t>
      </w:r>
      <w:r w:rsidRPr="00F964C1">
        <w:t xml:space="preserve"> realizaci </w:t>
      </w:r>
      <w:r w:rsidR="00CF0157" w:rsidRPr="00F964C1">
        <w:t>projekt</w:t>
      </w:r>
      <w:r w:rsidRPr="00F964C1">
        <w:t>u „</w:t>
      </w:r>
      <w:r w:rsidR="00CF0157" w:rsidRPr="00F964C1">
        <w:t>Psychosociální pomoc Ukrajině" ve</w:t>
      </w:r>
      <w:r w:rsidRPr="00F964C1">
        <w:t> </w:t>
      </w:r>
      <w:r w:rsidR="00CF0157" w:rsidRPr="00F964C1">
        <w:t>výši 100 tis. Kč.</w:t>
      </w:r>
    </w:p>
    <w:bookmarkEnd w:id="132"/>
    <w:p w14:paraId="586AA5D6" w14:textId="47534154" w:rsidR="00095002" w:rsidRPr="00B861A3" w:rsidRDefault="00095002" w:rsidP="00095002">
      <w:r w:rsidRPr="00B861A3">
        <w:t>Skutečné výdaje v odvětví krizového řízení činily k </w:t>
      </w:r>
      <w:r w:rsidR="0073096F" w:rsidRPr="00B861A3">
        <w:t>30. 4. 2022</w:t>
      </w:r>
      <w:r w:rsidRPr="00B861A3">
        <w:t xml:space="preserve"> celkem </w:t>
      </w:r>
      <w:r w:rsidR="00B861A3" w:rsidRPr="00B861A3">
        <w:t>31.451</w:t>
      </w:r>
      <w:r w:rsidRPr="00B861A3">
        <w:t xml:space="preserve"> tis. Kč, tj. čerpání ve výši </w:t>
      </w:r>
      <w:r w:rsidR="00B861A3" w:rsidRPr="00B861A3">
        <w:t>12</w:t>
      </w:r>
      <w:r w:rsidR="00E03E16" w:rsidRPr="00B861A3">
        <w:t> </w:t>
      </w:r>
      <w:r w:rsidRPr="00B861A3">
        <w:t>% upraveného rozpočtu.</w:t>
      </w:r>
    </w:p>
    <w:p w14:paraId="586AA5D7" w14:textId="1CDFCC8C" w:rsidR="00014B18" w:rsidRPr="00B861A3" w:rsidRDefault="00014B18" w:rsidP="000077F5">
      <w:r w:rsidRPr="00B861A3">
        <w:t>Na</w:t>
      </w:r>
      <w:r w:rsidR="00890619" w:rsidRPr="00B861A3">
        <w:t> </w:t>
      </w:r>
      <w:r w:rsidRPr="00B861A3">
        <w:t>reprodukci majetku kraje v odvětví krizového řízení byly vyčleněny</w:t>
      </w:r>
      <w:r w:rsidR="000077F5" w:rsidRPr="00B861A3">
        <w:t xml:space="preserve"> v upraveném rozpočtu </w:t>
      </w:r>
      <w:r w:rsidRPr="00B861A3">
        <w:t>prostředky ve</w:t>
      </w:r>
      <w:r w:rsidR="000077F5" w:rsidRPr="00B861A3">
        <w:t> </w:t>
      </w:r>
      <w:r w:rsidRPr="00B861A3">
        <w:t xml:space="preserve">výši </w:t>
      </w:r>
      <w:r w:rsidR="00B861A3" w:rsidRPr="00B861A3">
        <w:t>5.236</w:t>
      </w:r>
      <w:r w:rsidR="000077F5" w:rsidRPr="00B861A3">
        <w:t> </w:t>
      </w:r>
      <w:r w:rsidRPr="00B861A3">
        <w:t xml:space="preserve">tis. Kč, které </w:t>
      </w:r>
      <w:r w:rsidR="00033044" w:rsidRPr="00B861A3">
        <w:t>dosud</w:t>
      </w:r>
      <w:r w:rsidR="00B861A3" w:rsidRPr="00B861A3">
        <w:t xml:space="preserve"> nebyly čerpány</w:t>
      </w:r>
      <w:r w:rsidR="00F561CC" w:rsidRPr="00B861A3">
        <w:t xml:space="preserve"> </w:t>
      </w:r>
      <w:r w:rsidRPr="00B861A3">
        <w:t xml:space="preserve">(více viz příloha č. 4 materiálu). </w:t>
      </w:r>
    </w:p>
    <w:p w14:paraId="586AA5D8" w14:textId="20E318F6" w:rsidR="00014B18" w:rsidRPr="00E66C89" w:rsidRDefault="00014B18" w:rsidP="000077F5">
      <w:r w:rsidRPr="00B861A3">
        <w:t>Upravený rozpočet ke</w:t>
      </w:r>
      <w:r w:rsidR="009326DD" w:rsidRPr="00B861A3">
        <w:t> </w:t>
      </w:r>
      <w:r w:rsidRPr="00B861A3">
        <w:t xml:space="preserve">dni </w:t>
      </w:r>
      <w:r w:rsidR="0073096F" w:rsidRPr="00B861A3">
        <w:t>30. 4. 2022</w:t>
      </w:r>
      <w:r w:rsidRPr="00B861A3">
        <w:t xml:space="preserve"> </w:t>
      </w:r>
      <w:r w:rsidR="00FD7874" w:rsidRPr="00B861A3">
        <w:t>u</w:t>
      </w:r>
      <w:r w:rsidR="009326DD" w:rsidRPr="00B861A3">
        <w:t> </w:t>
      </w:r>
      <w:r w:rsidRPr="00B861A3">
        <w:t xml:space="preserve">akcí spolufinancovaných z evropských finančních zdrojů v oblasti </w:t>
      </w:r>
      <w:r w:rsidRPr="00E66C89">
        <w:t xml:space="preserve">krizového řízení činí </w:t>
      </w:r>
      <w:r w:rsidR="00B861A3" w:rsidRPr="00E66C89">
        <w:t>3.364</w:t>
      </w:r>
      <w:r w:rsidR="000077F5" w:rsidRPr="00E66C89">
        <w:t> </w:t>
      </w:r>
      <w:r w:rsidRPr="00E66C89">
        <w:t>tis. Kč, prostředky</w:t>
      </w:r>
      <w:r w:rsidR="00B861A3" w:rsidRPr="00E66C89">
        <w:t xml:space="preserve"> ne</w:t>
      </w:r>
      <w:r w:rsidRPr="00E66C89">
        <w:t xml:space="preserve">byly </w:t>
      </w:r>
      <w:r w:rsidR="00716881" w:rsidRPr="00E66C89">
        <w:t xml:space="preserve">dosud </w:t>
      </w:r>
      <w:r w:rsidRPr="00E66C89">
        <w:t>čerpány</w:t>
      </w:r>
      <w:r w:rsidR="00716881" w:rsidRPr="00E66C89">
        <w:t xml:space="preserve"> (</w:t>
      </w:r>
      <w:r w:rsidRPr="00E66C89">
        <w:t>více viz</w:t>
      </w:r>
      <w:r w:rsidR="00BF71B2" w:rsidRPr="00E66C89">
        <w:t> </w:t>
      </w:r>
      <w:r w:rsidRPr="00E66C89">
        <w:t>příloha č. 5 materiálu).</w:t>
      </w:r>
    </w:p>
    <w:p w14:paraId="586AA5DA" w14:textId="3D1BB4E8" w:rsidR="0066571B" w:rsidRPr="00E66C89" w:rsidRDefault="007E481E" w:rsidP="00CE0C49">
      <w:pPr>
        <w:pStyle w:val="Styltab"/>
      </w:pPr>
      <w:r w:rsidRPr="00E66C89">
        <w:t>Výdaje v odvětví krizového řízení v členění dle účelu</w:t>
      </w:r>
      <w:r w:rsidRPr="00E66C89">
        <w:tab/>
        <w:t>v tis. Kč</w:t>
      </w:r>
      <w:bookmarkStart w:id="133" w:name="_MON_1555831140"/>
      <w:bookmarkEnd w:id="133"/>
      <w:r w:rsidR="00B861A3" w:rsidRPr="00E66C89">
        <w:object w:dxaOrig="9172" w:dyaOrig="2082" w14:anchorId="586AA6AC">
          <v:shape id="_x0000_i1046" type="#_x0000_t75" style="width:461.2pt;height:107.3pt" o:ole="">
            <v:imagedata r:id="rId51" o:title=""/>
          </v:shape>
          <o:OLEObject Type="Embed" ProgID="Excel.Sheet.8" ShapeID="_x0000_i1046" DrawAspect="Content" ObjectID="_1714980708" r:id="rId52"/>
        </w:object>
      </w:r>
    </w:p>
    <w:p w14:paraId="66DF225C" w14:textId="77777777" w:rsidR="00D44D29" w:rsidRPr="00E66C89" w:rsidRDefault="00D44D29" w:rsidP="00D44D29">
      <w:bookmarkStart w:id="134" w:name="_MON_1476601766"/>
      <w:bookmarkStart w:id="135" w:name="_MON_1477203727"/>
      <w:bookmarkStart w:id="136" w:name="_MON_1477295486"/>
      <w:bookmarkStart w:id="137" w:name="_MON_1477295521"/>
      <w:bookmarkStart w:id="138" w:name="_MON_1477464034"/>
      <w:bookmarkStart w:id="139" w:name="_MON_1489918177"/>
      <w:bookmarkStart w:id="140" w:name="_MON_1490072996"/>
      <w:bookmarkStart w:id="141" w:name="_MON_1490075493"/>
      <w:bookmarkStart w:id="142" w:name="_MON_1490172950"/>
      <w:bookmarkEnd w:id="134"/>
      <w:bookmarkEnd w:id="135"/>
      <w:bookmarkEnd w:id="136"/>
      <w:bookmarkEnd w:id="137"/>
      <w:bookmarkEnd w:id="138"/>
      <w:bookmarkEnd w:id="139"/>
      <w:bookmarkEnd w:id="140"/>
      <w:bookmarkEnd w:id="141"/>
      <w:bookmarkEnd w:id="142"/>
    </w:p>
    <w:p w14:paraId="586AA5DC" w14:textId="73D9F691" w:rsidR="00126BE1" w:rsidRPr="00E66C89" w:rsidRDefault="007E481E" w:rsidP="00CE0C49">
      <w:pPr>
        <w:pStyle w:val="Styltab"/>
      </w:pPr>
      <w:r w:rsidRPr="00E66C89">
        <w:lastRenderedPageBreak/>
        <w:t>Výdaje v odvětví krizového řízení na</w:t>
      </w:r>
      <w:r w:rsidR="00C369F2" w:rsidRPr="00E66C89">
        <w:t> </w:t>
      </w:r>
      <w:r w:rsidRPr="00E66C89">
        <w:t>samosprávné a jiné činnosti zajišťované prostřednictvím krajského úřadu</w:t>
      </w:r>
      <w:r w:rsidR="00DE353C" w:rsidRPr="00E66C89">
        <w:tab/>
      </w:r>
      <w:r w:rsidRPr="00E66C89">
        <w:t>v tis.</w:t>
      </w:r>
      <w:r w:rsidR="00DE353C" w:rsidRPr="00E66C89">
        <w:t> </w:t>
      </w:r>
      <w:r w:rsidRPr="00E66C89">
        <w:t>Kč</w:t>
      </w:r>
      <w:bookmarkStart w:id="143" w:name="_MON_1469946527"/>
      <w:bookmarkStart w:id="144" w:name="_MON_1469946969"/>
      <w:bookmarkStart w:id="145" w:name="_MON_1476601805"/>
      <w:bookmarkStart w:id="146" w:name="_MON_1477217003"/>
      <w:bookmarkStart w:id="147" w:name="_MON_1477295687"/>
      <w:bookmarkStart w:id="148" w:name="_MON_1477296706"/>
      <w:bookmarkStart w:id="149" w:name="_MON_1477372083"/>
      <w:bookmarkStart w:id="150" w:name="_MON_1477380368"/>
      <w:bookmarkStart w:id="151" w:name="_MON_1477464064"/>
      <w:bookmarkStart w:id="152" w:name="_MON_1489921161"/>
      <w:bookmarkStart w:id="153" w:name="_MON_1490172975"/>
      <w:bookmarkStart w:id="154" w:name="_MON_1490174931"/>
      <w:bookmarkStart w:id="155" w:name="_MON_1555402149"/>
      <w:bookmarkStart w:id="156" w:name="_MON_1469443806"/>
      <w:bookmarkStart w:id="157" w:name="_MON_1469513887"/>
      <w:bookmarkStart w:id="158" w:name="_MON_1469513939"/>
      <w:bookmarkStart w:id="159" w:name="_MON_1469513959"/>
      <w:bookmarkStart w:id="160" w:name="_MON_1469514694"/>
      <w:bookmarkStart w:id="161" w:name="_MON_1469514705"/>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Start w:id="162" w:name="_MON_1469514769"/>
      <w:bookmarkEnd w:id="162"/>
      <w:r w:rsidR="0088620E" w:rsidRPr="00E66C89">
        <w:object w:dxaOrig="10106" w:dyaOrig="8811" w14:anchorId="586AA6AD">
          <v:shape id="_x0000_i1047" type="#_x0000_t75" style="width:460.55pt;height:381.75pt" o:ole="">
            <v:imagedata r:id="rId53" o:title=""/>
          </v:shape>
          <o:OLEObject Type="Embed" ProgID="Excel.Sheet.8" ShapeID="_x0000_i1047" DrawAspect="Content" ObjectID="_1714980709" r:id="rId54"/>
        </w:object>
      </w:r>
    </w:p>
    <w:p w14:paraId="46FDFF94" w14:textId="53C57EE8" w:rsidR="006F3CAF" w:rsidRPr="00E66C89" w:rsidRDefault="00D30DA9" w:rsidP="00CE0C49">
      <w:pPr>
        <w:pStyle w:val="Styltab"/>
      </w:pPr>
      <w:r w:rsidRPr="00E66C89">
        <w:t>Příspěvek na</w:t>
      </w:r>
      <w:r w:rsidR="00892911" w:rsidRPr="00E66C89">
        <w:t> </w:t>
      </w:r>
      <w:r w:rsidRPr="00E66C89">
        <w:t xml:space="preserve">provoz příspěvkovým organizacím </w:t>
      </w:r>
      <w:r w:rsidR="00B565FB" w:rsidRPr="00E66C89">
        <w:t>kraje</w:t>
      </w:r>
      <w:r w:rsidRPr="00E66C89">
        <w:tab/>
        <w:t>v tis. Kč</w:t>
      </w:r>
      <w:bookmarkStart w:id="163" w:name="_MON_1681554248"/>
      <w:bookmarkEnd w:id="163"/>
      <w:r w:rsidR="00B861A3" w:rsidRPr="00E66C89">
        <w:object w:dxaOrig="9824" w:dyaOrig="1242" w14:anchorId="15A97F62">
          <v:shape id="_x0000_i1048" type="#_x0000_t75" style="width:461.9pt;height:57.75pt" o:ole="">
            <v:imagedata r:id="rId55" o:title=""/>
          </v:shape>
          <o:OLEObject Type="Embed" ProgID="Excel.Sheet.8" ShapeID="_x0000_i1048" DrawAspect="Content" ObjectID="_1714980710" r:id="rId56"/>
        </w:object>
      </w:r>
    </w:p>
    <w:p w14:paraId="586AA5DD" w14:textId="77777777" w:rsidR="00014B18" w:rsidRPr="009044A8" w:rsidRDefault="00014B18" w:rsidP="007E481E">
      <w:pPr>
        <w:pStyle w:val="Nadpis3"/>
      </w:pPr>
      <w:r w:rsidRPr="009044A8">
        <w:t xml:space="preserve">Odvětví kultury </w:t>
      </w:r>
    </w:p>
    <w:p w14:paraId="586AA5DE" w14:textId="5AE4680C" w:rsidR="00D924F5" w:rsidRPr="00114204" w:rsidRDefault="00014B18" w:rsidP="00D924F5">
      <w:r w:rsidRPr="0080138B">
        <w:t xml:space="preserve">V roce </w:t>
      </w:r>
      <w:r w:rsidR="00C22C6C" w:rsidRPr="0080138B">
        <w:t>20</w:t>
      </w:r>
      <w:r w:rsidR="00157037" w:rsidRPr="0080138B">
        <w:t>2</w:t>
      </w:r>
      <w:r w:rsidR="0080138B" w:rsidRPr="0080138B">
        <w:t>2</w:t>
      </w:r>
      <w:r w:rsidRPr="0080138B">
        <w:t xml:space="preserve"> bylo ve</w:t>
      </w:r>
      <w:r w:rsidR="00D924F5" w:rsidRPr="0080138B">
        <w:t> </w:t>
      </w:r>
      <w:r w:rsidRPr="0080138B">
        <w:t>schváleném rozpočtu kraje vyčleněno na</w:t>
      </w:r>
      <w:r w:rsidR="00D924F5" w:rsidRPr="0080138B">
        <w:t> </w:t>
      </w:r>
      <w:r w:rsidRPr="0080138B">
        <w:t xml:space="preserve">financování výdajů v odvětví kultury celkem </w:t>
      </w:r>
      <w:r w:rsidR="0080138B" w:rsidRPr="0080138B">
        <w:t>700.418</w:t>
      </w:r>
      <w:r w:rsidRPr="0080138B">
        <w:t> tis.</w:t>
      </w:r>
      <w:r w:rsidR="00D924F5" w:rsidRPr="0080138B">
        <w:t> </w:t>
      </w:r>
      <w:r w:rsidRPr="0080138B">
        <w:t>Kč. K</w:t>
      </w:r>
      <w:r w:rsidR="00CF1682" w:rsidRPr="0080138B">
        <w:t> </w:t>
      </w:r>
      <w:r w:rsidR="0073096F" w:rsidRPr="0080138B">
        <w:t>30. 4. 2022</w:t>
      </w:r>
      <w:r w:rsidRPr="0080138B">
        <w:t xml:space="preserve"> </w:t>
      </w:r>
      <w:r w:rsidR="00262B00" w:rsidRPr="0080138B">
        <w:t>byl rozpočet odvětví upraven na</w:t>
      </w:r>
      <w:r w:rsidR="00207219" w:rsidRPr="0080138B">
        <w:t> </w:t>
      </w:r>
      <w:r w:rsidR="0080138B" w:rsidRPr="0080138B">
        <w:t>784.156</w:t>
      </w:r>
      <w:r w:rsidR="005E62A4" w:rsidRPr="0080138B">
        <w:t> </w:t>
      </w:r>
      <w:r w:rsidR="00262B00" w:rsidRPr="0080138B">
        <w:t>tis.</w:t>
      </w:r>
      <w:r w:rsidR="00186D2E" w:rsidRPr="0080138B">
        <w:t> </w:t>
      </w:r>
      <w:r w:rsidR="00262B00" w:rsidRPr="0080138B">
        <w:t>Kč, čímž došlo</w:t>
      </w:r>
      <w:r w:rsidRPr="0080138B">
        <w:t xml:space="preserve"> k</w:t>
      </w:r>
      <w:r w:rsidR="006E42C1" w:rsidRPr="0080138B">
        <w:t> </w:t>
      </w:r>
      <w:r w:rsidR="006745D1" w:rsidRPr="0080138B">
        <w:t>navýšení</w:t>
      </w:r>
      <w:r w:rsidR="00262B00" w:rsidRPr="0080138B">
        <w:t xml:space="preserve"> </w:t>
      </w:r>
      <w:r w:rsidRPr="00114204">
        <w:t>rozpočtu o</w:t>
      </w:r>
      <w:r w:rsidR="00FF14AA" w:rsidRPr="00114204">
        <w:t> </w:t>
      </w:r>
      <w:r w:rsidR="0080138B" w:rsidRPr="00114204">
        <w:t>83.738</w:t>
      </w:r>
      <w:r w:rsidR="00D924F5" w:rsidRPr="00114204">
        <w:t> </w:t>
      </w:r>
      <w:r w:rsidRPr="00114204">
        <w:t>tis.</w:t>
      </w:r>
      <w:r w:rsidR="00D924F5" w:rsidRPr="00114204">
        <w:t> </w:t>
      </w:r>
      <w:r w:rsidRPr="00114204">
        <w:t>Kč</w:t>
      </w:r>
      <w:r w:rsidR="009C2C24" w:rsidRPr="00114204">
        <w:t>.</w:t>
      </w:r>
    </w:p>
    <w:p w14:paraId="0EBEA928" w14:textId="7F9FA33E" w:rsidR="00F113B5" w:rsidRPr="00114204" w:rsidRDefault="00F113B5" w:rsidP="00F113B5">
      <w:r w:rsidRPr="00114204">
        <w:t>Objemově významná úprava rozpočtu</w:t>
      </w:r>
      <w:r w:rsidR="00B57FE9" w:rsidRPr="00114204">
        <w:t xml:space="preserve"> </w:t>
      </w:r>
      <w:r w:rsidR="00B849BC" w:rsidRPr="00114204">
        <w:t>v období leden až</w:t>
      </w:r>
      <w:r w:rsidR="00F65296">
        <w:t> </w:t>
      </w:r>
      <w:r w:rsidR="00B849BC" w:rsidRPr="00114204">
        <w:t>duben</w:t>
      </w:r>
      <w:r w:rsidR="00AC40B0" w:rsidRPr="00114204">
        <w:t xml:space="preserve"> souvisela </w:t>
      </w:r>
      <w:r w:rsidRPr="00114204">
        <w:t>s nedočerpanými účelově vymezenými výdaji roku 20</w:t>
      </w:r>
      <w:r w:rsidR="00B57FE9" w:rsidRPr="00114204">
        <w:t>2</w:t>
      </w:r>
      <w:r w:rsidR="00114204" w:rsidRPr="00114204">
        <w:t>1</w:t>
      </w:r>
      <w:r w:rsidRPr="00114204">
        <w:t xml:space="preserve"> v tomto odvětví, které byly zapojeny ke stejnému účelu do</w:t>
      </w:r>
      <w:r w:rsidR="00B57FE9" w:rsidRPr="00114204">
        <w:t> </w:t>
      </w:r>
      <w:r w:rsidRPr="00114204">
        <w:t>rozpočtu roku 202</w:t>
      </w:r>
      <w:r w:rsidR="00114204" w:rsidRPr="00114204">
        <w:t>2</w:t>
      </w:r>
      <w:r w:rsidRPr="00114204">
        <w:t xml:space="preserve"> v celkové výši </w:t>
      </w:r>
      <w:r w:rsidR="00114204" w:rsidRPr="00114204">
        <w:t>77.473</w:t>
      </w:r>
      <w:r w:rsidR="00BD6E4E" w:rsidRPr="00114204">
        <w:t> </w:t>
      </w:r>
      <w:r w:rsidRPr="00114204">
        <w:t>tis.</w:t>
      </w:r>
      <w:r w:rsidR="00BD6E4E" w:rsidRPr="00114204">
        <w:t> </w:t>
      </w:r>
      <w:r w:rsidRPr="00114204">
        <w:t xml:space="preserve">Kč, z toho </w:t>
      </w:r>
      <w:r w:rsidR="00114204" w:rsidRPr="00114204">
        <w:t>62.923</w:t>
      </w:r>
      <w:r w:rsidR="00BD6E4E" w:rsidRPr="00114204">
        <w:t> </w:t>
      </w:r>
      <w:r w:rsidR="00B57FE9" w:rsidRPr="00114204">
        <w:t>tis.</w:t>
      </w:r>
      <w:r w:rsidR="00BD6E4E" w:rsidRPr="00114204">
        <w:t> </w:t>
      </w:r>
      <w:r w:rsidR="00B57FE9" w:rsidRPr="00114204">
        <w:t>Kč bylo určeno na</w:t>
      </w:r>
      <w:r w:rsidR="008370A0">
        <w:t> financování akcí reprodukce majetku kraje.</w:t>
      </w:r>
    </w:p>
    <w:p w14:paraId="627EFA09" w14:textId="6794BEE5" w:rsidR="00944A2A" w:rsidRPr="00D5761B" w:rsidRDefault="00944A2A" w:rsidP="00944A2A">
      <w:r w:rsidRPr="00D5761B">
        <w:t>Zastupitelstvo kraje rozhodlo usnesením č. 7/6</w:t>
      </w:r>
      <w:r w:rsidR="004636A3" w:rsidRPr="00D5761B">
        <w:t>07</w:t>
      </w:r>
      <w:r w:rsidRPr="00D5761B">
        <w:t xml:space="preserve"> ze dne 16. 3. 2022 o dofinancování dotačního programu „</w:t>
      </w:r>
      <w:r w:rsidR="00C66314" w:rsidRPr="00D5761B">
        <w:t xml:space="preserve">Podpora natáčení audiovizuálních děl v Moravskoslezském kraji </w:t>
      </w:r>
      <w:r w:rsidR="004636A3" w:rsidRPr="00D5761B">
        <w:t>2022</w:t>
      </w:r>
      <w:r w:rsidRPr="00D5761B">
        <w:t>“ z rozpočtu kraje na rok 202</w:t>
      </w:r>
      <w:r w:rsidR="00C66314" w:rsidRPr="00D5761B">
        <w:t>3</w:t>
      </w:r>
      <w:r w:rsidRPr="00D5761B">
        <w:t xml:space="preserve"> ve výši </w:t>
      </w:r>
      <w:r w:rsidR="00D5761B" w:rsidRPr="00D5761B">
        <w:t>1.325</w:t>
      </w:r>
      <w:r w:rsidRPr="00D5761B">
        <w:t> tis. Kč.</w:t>
      </w:r>
    </w:p>
    <w:p w14:paraId="586AA5E0" w14:textId="3EB72710" w:rsidR="002E0E3B" w:rsidRPr="003E446C" w:rsidRDefault="002E0E3B" w:rsidP="002E0E3B">
      <w:pPr>
        <w:rPr>
          <w:rFonts w:cs="Tahoma"/>
          <w:szCs w:val="20"/>
        </w:rPr>
      </w:pPr>
      <w:r w:rsidRPr="003E446C">
        <w:rPr>
          <w:rFonts w:cs="Tahoma"/>
          <w:szCs w:val="20"/>
        </w:rPr>
        <w:t>Skutečné výdaje v odvětví kultury činily k </w:t>
      </w:r>
      <w:r w:rsidR="0073096F" w:rsidRPr="003E446C">
        <w:rPr>
          <w:rFonts w:cs="Tahoma"/>
          <w:szCs w:val="20"/>
        </w:rPr>
        <w:t>30. 4. 2022</w:t>
      </w:r>
      <w:r w:rsidRPr="003E446C">
        <w:rPr>
          <w:rFonts w:cs="Tahoma"/>
          <w:szCs w:val="20"/>
        </w:rPr>
        <w:t xml:space="preserve"> celkem </w:t>
      </w:r>
      <w:r w:rsidR="003E446C" w:rsidRPr="003E446C">
        <w:rPr>
          <w:rFonts w:cs="Tahoma"/>
          <w:szCs w:val="20"/>
        </w:rPr>
        <w:t>131.390</w:t>
      </w:r>
      <w:r w:rsidRPr="003E446C">
        <w:rPr>
          <w:rFonts w:cs="Tahoma"/>
          <w:szCs w:val="20"/>
        </w:rPr>
        <w:t xml:space="preserve"> tis. Kč, tj. čerpání ve výši </w:t>
      </w:r>
      <w:r w:rsidR="003E446C" w:rsidRPr="003E446C">
        <w:rPr>
          <w:rFonts w:cs="Tahoma"/>
          <w:szCs w:val="20"/>
        </w:rPr>
        <w:t>17</w:t>
      </w:r>
      <w:r w:rsidR="004055BF" w:rsidRPr="003E446C">
        <w:rPr>
          <w:rFonts w:cs="Tahoma"/>
          <w:szCs w:val="20"/>
        </w:rPr>
        <w:t> </w:t>
      </w:r>
      <w:r w:rsidRPr="003E446C">
        <w:rPr>
          <w:rFonts w:cs="Tahoma"/>
          <w:szCs w:val="20"/>
        </w:rPr>
        <w:t>% upraveného rozpočtu.</w:t>
      </w:r>
    </w:p>
    <w:p w14:paraId="14F78572" w14:textId="3A120820" w:rsidR="00C84DAD" w:rsidRPr="003E446C" w:rsidRDefault="003E446C" w:rsidP="00C84DAD">
      <w:pPr>
        <w:rPr>
          <w:rFonts w:cs="Tahoma"/>
          <w:szCs w:val="20"/>
        </w:rPr>
      </w:pPr>
      <w:r w:rsidRPr="003E446C">
        <w:rPr>
          <w:rFonts w:cs="Tahoma"/>
          <w:szCs w:val="20"/>
        </w:rPr>
        <w:lastRenderedPageBreak/>
        <w:t xml:space="preserve">Prostředky vyčleněné </w:t>
      </w:r>
      <w:r w:rsidR="00C84DAD" w:rsidRPr="003E446C">
        <w:rPr>
          <w:rFonts w:cs="Tahoma"/>
          <w:szCs w:val="20"/>
        </w:rPr>
        <w:t xml:space="preserve">na dotační programy v celkové výši </w:t>
      </w:r>
      <w:r w:rsidRPr="003E446C">
        <w:rPr>
          <w:rFonts w:cs="Tahoma"/>
          <w:szCs w:val="20"/>
        </w:rPr>
        <w:t>63.572</w:t>
      </w:r>
      <w:r w:rsidR="00C84DAD" w:rsidRPr="003E446C">
        <w:rPr>
          <w:rFonts w:cs="Tahoma"/>
          <w:szCs w:val="20"/>
        </w:rPr>
        <w:t xml:space="preserve"> tis. Kč </w:t>
      </w:r>
      <w:r w:rsidRPr="003E446C">
        <w:rPr>
          <w:rFonts w:cs="Tahoma"/>
          <w:szCs w:val="20"/>
        </w:rPr>
        <w:t>nebyly dosud čerpány.</w:t>
      </w:r>
      <w:r w:rsidR="00C84DAD" w:rsidRPr="003E446C">
        <w:rPr>
          <w:rFonts w:cs="Tahoma"/>
          <w:szCs w:val="20"/>
        </w:rPr>
        <w:t xml:space="preserve"> </w:t>
      </w:r>
    </w:p>
    <w:p w14:paraId="586AA5E2" w14:textId="43F8736C" w:rsidR="00014B18" w:rsidRPr="003E446C" w:rsidRDefault="00014B18" w:rsidP="00822A28">
      <w:pPr>
        <w:rPr>
          <w:rFonts w:cs="Tahoma"/>
          <w:szCs w:val="20"/>
        </w:rPr>
      </w:pPr>
      <w:r w:rsidRPr="003E446C">
        <w:rPr>
          <w:rFonts w:cs="Tahoma"/>
          <w:szCs w:val="20"/>
        </w:rPr>
        <w:t xml:space="preserve">Významný objem </w:t>
      </w:r>
      <w:r w:rsidR="009B4A11" w:rsidRPr="003E446C">
        <w:rPr>
          <w:rFonts w:cs="Tahoma"/>
          <w:szCs w:val="20"/>
        </w:rPr>
        <w:t>výdajů v tomto odvětví</w:t>
      </w:r>
      <w:r w:rsidRPr="003E446C">
        <w:rPr>
          <w:rFonts w:cs="Tahoma"/>
          <w:szCs w:val="20"/>
        </w:rPr>
        <w:t xml:space="preserve"> představují </w:t>
      </w:r>
      <w:r w:rsidR="000752DB" w:rsidRPr="003E446C">
        <w:rPr>
          <w:rFonts w:cs="Tahoma"/>
          <w:szCs w:val="20"/>
        </w:rPr>
        <w:t>příspěvky poskytnuté na</w:t>
      </w:r>
      <w:r w:rsidR="00B71717" w:rsidRPr="003E446C">
        <w:rPr>
          <w:rFonts w:cs="Tahoma"/>
          <w:szCs w:val="20"/>
        </w:rPr>
        <w:t> </w:t>
      </w:r>
      <w:r w:rsidR="000752DB" w:rsidRPr="003E446C">
        <w:rPr>
          <w:rFonts w:cs="Tahoma"/>
          <w:szCs w:val="20"/>
        </w:rPr>
        <w:t xml:space="preserve">provoz příspěvkovým organizacím kraje ve výši </w:t>
      </w:r>
      <w:r w:rsidR="003E446C" w:rsidRPr="003E446C">
        <w:rPr>
          <w:rFonts w:cs="Tahoma"/>
          <w:szCs w:val="20"/>
        </w:rPr>
        <w:t>298.050</w:t>
      </w:r>
      <w:r w:rsidR="000752DB" w:rsidRPr="003E446C">
        <w:rPr>
          <w:rFonts w:cs="Tahoma"/>
          <w:szCs w:val="20"/>
        </w:rPr>
        <w:t> </w:t>
      </w:r>
      <w:r w:rsidRPr="003E446C">
        <w:rPr>
          <w:rFonts w:cs="Tahoma"/>
          <w:szCs w:val="20"/>
        </w:rPr>
        <w:t>tis.</w:t>
      </w:r>
      <w:r w:rsidR="000752DB" w:rsidRPr="003E446C">
        <w:rPr>
          <w:rFonts w:cs="Tahoma"/>
          <w:szCs w:val="20"/>
        </w:rPr>
        <w:t> </w:t>
      </w:r>
      <w:r w:rsidRPr="003E446C">
        <w:rPr>
          <w:rFonts w:cs="Tahoma"/>
          <w:szCs w:val="20"/>
        </w:rPr>
        <w:t>Kč</w:t>
      </w:r>
      <w:r w:rsidR="0058476A" w:rsidRPr="003E446C">
        <w:rPr>
          <w:rFonts w:cs="Tahoma"/>
          <w:szCs w:val="20"/>
        </w:rPr>
        <w:t>, z nichž byly ve</w:t>
      </w:r>
      <w:r w:rsidR="00A906F0" w:rsidRPr="003E446C">
        <w:rPr>
          <w:rFonts w:cs="Tahoma"/>
          <w:szCs w:val="20"/>
        </w:rPr>
        <w:t> </w:t>
      </w:r>
      <w:r w:rsidR="0058476A" w:rsidRPr="003E446C">
        <w:rPr>
          <w:rFonts w:cs="Tahoma"/>
          <w:szCs w:val="20"/>
        </w:rPr>
        <w:t xml:space="preserve">sledovaném období vyplaceny prostředky v objemu </w:t>
      </w:r>
      <w:r w:rsidR="003E446C" w:rsidRPr="003E446C">
        <w:rPr>
          <w:rFonts w:cs="Tahoma"/>
          <w:szCs w:val="20"/>
        </w:rPr>
        <w:t>99.428</w:t>
      </w:r>
      <w:r w:rsidR="005A4F5C" w:rsidRPr="003E446C">
        <w:rPr>
          <w:rFonts w:cs="Tahoma"/>
          <w:szCs w:val="20"/>
        </w:rPr>
        <w:t> </w:t>
      </w:r>
      <w:r w:rsidR="0058476A" w:rsidRPr="003E446C">
        <w:rPr>
          <w:rFonts w:cs="Tahoma"/>
          <w:szCs w:val="20"/>
        </w:rPr>
        <w:t>tis.</w:t>
      </w:r>
      <w:r w:rsidR="005A4F5C" w:rsidRPr="003E446C">
        <w:rPr>
          <w:rFonts w:cs="Tahoma"/>
          <w:szCs w:val="20"/>
        </w:rPr>
        <w:t> </w:t>
      </w:r>
      <w:r w:rsidR="0058476A" w:rsidRPr="003E446C">
        <w:rPr>
          <w:rFonts w:cs="Tahoma"/>
          <w:szCs w:val="20"/>
        </w:rPr>
        <w:t>Kč.</w:t>
      </w:r>
      <w:r w:rsidRPr="003E446C">
        <w:rPr>
          <w:rFonts w:cs="Tahoma"/>
          <w:szCs w:val="20"/>
        </w:rPr>
        <w:t xml:space="preserve"> </w:t>
      </w:r>
    </w:p>
    <w:p w14:paraId="586AA5E4" w14:textId="462A4C8C" w:rsidR="00552FAA" w:rsidRPr="00AA4B0F" w:rsidRDefault="00014B18" w:rsidP="00963A22">
      <w:r w:rsidRPr="00AA4B0F">
        <w:t>Na</w:t>
      </w:r>
      <w:r w:rsidR="00207219" w:rsidRPr="00AA4B0F">
        <w:t> </w:t>
      </w:r>
      <w:r w:rsidRPr="00AA4B0F">
        <w:t>reprodukci majetku kraje v odvětví kultury byly vyčleněny v</w:t>
      </w:r>
      <w:r w:rsidR="00B71717" w:rsidRPr="00AA4B0F">
        <w:t> </w:t>
      </w:r>
      <w:r w:rsidR="006D7F96" w:rsidRPr="00AA4B0F">
        <w:t>upraveném</w:t>
      </w:r>
      <w:r w:rsidRPr="00AA4B0F">
        <w:t xml:space="preserve"> rozpočtu prostředky ve výši </w:t>
      </w:r>
      <w:r w:rsidR="003E446C" w:rsidRPr="00AA4B0F">
        <w:t>172.977</w:t>
      </w:r>
      <w:r w:rsidR="00963A22" w:rsidRPr="00AA4B0F">
        <w:t> </w:t>
      </w:r>
      <w:r w:rsidRPr="00AA4B0F">
        <w:t>tis.</w:t>
      </w:r>
      <w:r w:rsidR="00963A22" w:rsidRPr="00AA4B0F">
        <w:t> </w:t>
      </w:r>
      <w:r w:rsidRPr="00AA4B0F">
        <w:t>Kč. K</w:t>
      </w:r>
      <w:r w:rsidR="009F57B5" w:rsidRPr="00AA4B0F">
        <w:t> </w:t>
      </w:r>
      <w:r w:rsidR="0073096F" w:rsidRPr="00AA4B0F">
        <w:t>30. 4. 2022</w:t>
      </w:r>
      <w:r w:rsidR="00935D77" w:rsidRPr="00AA4B0F">
        <w:t xml:space="preserve"> </w:t>
      </w:r>
      <w:r w:rsidR="006D7F96" w:rsidRPr="00AA4B0F">
        <w:t xml:space="preserve">byly </w:t>
      </w:r>
      <w:r w:rsidRPr="00AA4B0F">
        <w:t xml:space="preserve">prostředky </w:t>
      </w:r>
      <w:r w:rsidR="00552FAA" w:rsidRPr="00AA4B0F">
        <w:t>čerpány</w:t>
      </w:r>
      <w:r w:rsidR="006D7F96" w:rsidRPr="00AA4B0F">
        <w:t xml:space="preserve"> ve</w:t>
      </w:r>
      <w:r w:rsidR="00B71717" w:rsidRPr="00AA4B0F">
        <w:t> </w:t>
      </w:r>
      <w:r w:rsidR="006D7F96" w:rsidRPr="00AA4B0F">
        <w:t xml:space="preserve">výši </w:t>
      </w:r>
      <w:r w:rsidR="003E446C" w:rsidRPr="00AA4B0F">
        <w:t>6.361</w:t>
      </w:r>
      <w:r w:rsidR="00963A22" w:rsidRPr="00AA4B0F">
        <w:t> </w:t>
      </w:r>
      <w:r w:rsidR="006D7F96" w:rsidRPr="00AA4B0F">
        <w:t>tis.</w:t>
      </w:r>
      <w:r w:rsidR="00963A22" w:rsidRPr="00AA4B0F">
        <w:t> </w:t>
      </w:r>
      <w:r w:rsidR="006D7F96" w:rsidRPr="00AA4B0F">
        <w:t>Kč (více viz příloha č.</w:t>
      </w:r>
      <w:r w:rsidR="009F4E34" w:rsidRPr="00AA4B0F">
        <w:t> </w:t>
      </w:r>
      <w:r w:rsidR="006D7F96" w:rsidRPr="00AA4B0F">
        <w:t>4</w:t>
      </w:r>
      <w:r w:rsidR="009F57B5" w:rsidRPr="00AA4B0F">
        <w:t xml:space="preserve"> m</w:t>
      </w:r>
      <w:r w:rsidR="006D7F96" w:rsidRPr="00AA4B0F">
        <w:t>ateriálu).</w:t>
      </w:r>
    </w:p>
    <w:p w14:paraId="586AA5E5" w14:textId="21AB9D07" w:rsidR="00014B18" w:rsidRPr="00AA4B0F" w:rsidRDefault="00014B18" w:rsidP="00963A22">
      <w:r w:rsidRPr="00AA4B0F">
        <w:t>Prostředky vyčleněné na</w:t>
      </w:r>
      <w:r w:rsidR="00963A22" w:rsidRPr="00AA4B0F">
        <w:t> </w:t>
      </w:r>
      <w:r w:rsidRPr="00AA4B0F">
        <w:t xml:space="preserve">akce spolufinancované z evropských finančních zdrojů </w:t>
      </w:r>
      <w:r w:rsidR="00506DD1" w:rsidRPr="00AA4B0F">
        <w:t>ve</w:t>
      </w:r>
      <w:r w:rsidR="001351CD" w:rsidRPr="00AA4B0F">
        <w:t> </w:t>
      </w:r>
      <w:r w:rsidR="00506DD1" w:rsidRPr="00AA4B0F">
        <w:t xml:space="preserve">výši </w:t>
      </w:r>
      <w:r w:rsidR="003E446C" w:rsidRPr="00AA4B0F">
        <w:t>130.857</w:t>
      </w:r>
      <w:r w:rsidR="001351CD" w:rsidRPr="00AA4B0F">
        <w:t> </w:t>
      </w:r>
      <w:r w:rsidR="00506DD1" w:rsidRPr="00AA4B0F">
        <w:t>tis.</w:t>
      </w:r>
      <w:r w:rsidR="001351CD" w:rsidRPr="00AA4B0F">
        <w:t> </w:t>
      </w:r>
      <w:r w:rsidR="00506DD1" w:rsidRPr="00AA4B0F">
        <w:t xml:space="preserve">Kč </w:t>
      </w:r>
      <w:r w:rsidRPr="00AA4B0F">
        <w:t>byly čerpány</w:t>
      </w:r>
      <w:r w:rsidR="006D7F96" w:rsidRPr="00AA4B0F">
        <w:t xml:space="preserve"> ve</w:t>
      </w:r>
      <w:r w:rsidR="00963A22" w:rsidRPr="00AA4B0F">
        <w:t> </w:t>
      </w:r>
      <w:r w:rsidR="006D7F96" w:rsidRPr="00AA4B0F">
        <w:t xml:space="preserve">výši </w:t>
      </w:r>
      <w:r w:rsidR="003E446C" w:rsidRPr="00AA4B0F">
        <w:t>9.369</w:t>
      </w:r>
      <w:r w:rsidR="00963A22" w:rsidRPr="00AA4B0F">
        <w:t> </w:t>
      </w:r>
      <w:r w:rsidR="006D7F96" w:rsidRPr="00AA4B0F">
        <w:t>tis.</w:t>
      </w:r>
      <w:r w:rsidR="00963A22" w:rsidRPr="00AA4B0F">
        <w:t> </w:t>
      </w:r>
      <w:r w:rsidR="006D7F96" w:rsidRPr="00AA4B0F">
        <w:t xml:space="preserve">Kč </w:t>
      </w:r>
      <w:r w:rsidRPr="00AA4B0F">
        <w:t>(více viz příloha č.</w:t>
      </w:r>
      <w:r w:rsidR="00AA4B0F" w:rsidRPr="00AA4B0F">
        <w:t> </w:t>
      </w:r>
      <w:r w:rsidRPr="00AA4B0F">
        <w:t>5 materiálu).</w:t>
      </w:r>
    </w:p>
    <w:p w14:paraId="4C3B7EE4" w14:textId="64B092A5" w:rsidR="003930F5" w:rsidRPr="00AA4B0F" w:rsidRDefault="00001314" w:rsidP="00CE0C49">
      <w:pPr>
        <w:pStyle w:val="Styltab"/>
      </w:pPr>
      <w:r w:rsidRPr="00AA4B0F">
        <w:t>Výdaje v odvětví kultury v členění dle účelu</w:t>
      </w:r>
      <w:r w:rsidRPr="00AA4B0F">
        <w:tab/>
        <w:t>v tis. Kč</w:t>
      </w:r>
      <w:bookmarkStart w:id="164" w:name="_MON_1681554388"/>
      <w:bookmarkEnd w:id="164"/>
      <w:r w:rsidR="00CF0B4D" w:rsidRPr="00AA4B0F">
        <w:object w:dxaOrig="9344" w:dyaOrig="2067" w14:anchorId="46B3D2F4">
          <v:shape id="_x0000_i1049" type="#_x0000_t75" style="width:468.7pt;height:103.25pt" o:ole="">
            <v:imagedata r:id="rId57" o:title=""/>
          </v:shape>
          <o:OLEObject Type="Embed" ProgID="Excel.Sheet.8" ShapeID="_x0000_i1049" DrawAspect="Content" ObjectID="_1714980711" r:id="rId58"/>
        </w:object>
      </w:r>
    </w:p>
    <w:p w14:paraId="2E28D30F" w14:textId="77777777" w:rsidR="004761CE" w:rsidRPr="00AA4B0F" w:rsidRDefault="004761CE" w:rsidP="004761CE"/>
    <w:p w14:paraId="703C6A8C" w14:textId="23DFCECF" w:rsidR="00E704E2" w:rsidRDefault="00001314" w:rsidP="00CE0C49">
      <w:pPr>
        <w:pStyle w:val="Styltab"/>
      </w:pPr>
      <w:bookmarkStart w:id="165" w:name="_MON_1469515630"/>
      <w:bookmarkStart w:id="166" w:name="_MON_1469515637"/>
      <w:bookmarkStart w:id="167" w:name="_MON_1469515816"/>
      <w:bookmarkStart w:id="168" w:name="_MON_1476601825"/>
      <w:bookmarkStart w:id="169" w:name="_MON_1477203815"/>
      <w:bookmarkStart w:id="170" w:name="_MON_1477296719"/>
      <w:bookmarkStart w:id="171" w:name="_MON_1477296733"/>
      <w:bookmarkStart w:id="172" w:name="_MON_1477464109"/>
      <w:bookmarkStart w:id="173" w:name="_MON_1489918255"/>
      <w:bookmarkStart w:id="174" w:name="_MON_1489919467"/>
      <w:bookmarkStart w:id="175" w:name="_MON_1490172995"/>
      <w:bookmarkStart w:id="176" w:name="_MON_1490173024"/>
      <w:bookmarkStart w:id="177" w:name="_MON_1490420861"/>
      <w:bookmarkEnd w:id="165"/>
      <w:bookmarkEnd w:id="166"/>
      <w:bookmarkEnd w:id="167"/>
      <w:bookmarkEnd w:id="168"/>
      <w:bookmarkEnd w:id="169"/>
      <w:bookmarkEnd w:id="170"/>
      <w:bookmarkEnd w:id="171"/>
      <w:bookmarkEnd w:id="172"/>
      <w:bookmarkEnd w:id="173"/>
      <w:bookmarkEnd w:id="174"/>
      <w:bookmarkEnd w:id="175"/>
      <w:bookmarkEnd w:id="176"/>
      <w:bookmarkEnd w:id="177"/>
      <w:r w:rsidRPr="00E107E5">
        <w:t>Výdaje v odvětví kultury na</w:t>
      </w:r>
      <w:r w:rsidR="00910C46" w:rsidRPr="00E107E5">
        <w:t> </w:t>
      </w:r>
      <w:r w:rsidRPr="00E107E5">
        <w:t>samosprávné a jiné činnosti zajišťované prostřednictvím krajského úřadu</w:t>
      </w:r>
      <w:r w:rsidR="0062319C" w:rsidRPr="00E107E5">
        <w:tab/>
      </w:r>
      <w:r w:rsidRPr="00E107E5">
        <w:t>v tis. Kč</w:t>
      </w:r>
      <w:bookmarkStart w:id="178" w:name="_MON_1681554436"/>
      <w:bookmarkEnd w:id="178"/>
      <w:bookmarkStart w:id="179" w:name="_MON_1555934466"/>
      <w:bookmarkEnd w:id="179"/>
      <w:r w:rsidR="003E446C" w:rsidRPr="00E107E5">
        <w:object w:dxaOrig="10121" w:dyaOrig="6913" w14:anchorId="58D05DBE">
          <v:shape id="_x0000_i1050" type="#_x0000_t75" style="width:461.2pt;height:300.9pt" o:ole="">
            <v:imagedata r:id="rId59" o:title=""/>
          </v:shape>
          <o:OLEObject Type="Embed" ProgID="Excel.Sheet.8" ShapeID="_x0000_i1050" DrawAspect="Content" ObjectID="_1714980712" r:id="rId60"/>
        </w:object>
      </w:r>
    </w:p>
    <w:p w14:paraId="5C0DAD05" w14:textId="77777777" w:rsidR="009963FA" w:rsidRPr="009963FA" w:rsidRDefault="009963FA" w:rsidP="009963FA"/>
    <w:p w14:paraId="04AD0EF9" w14:textId="7F3DA5C6" w:rsidR="00E704E2" w:rsidRPr="00E107E5" w:rsidRDefault="00001314" w:rsidP="00CE0C49">
      <w:pPr>
        <w:pStyle w:val="Styltab"/>
      </w:pPr>
      <w:bookmarkStart w:id="180" w:name="_MON_1469444208"/>
      <w:bookmarkStart w:id="181" w:name="_MON_1469444674"/>
      <w:bookmarkStart w:id="182" w:name="_MON_1476601844"/>
      <w:bookmarkStart w:id="183" w:name="_MON_1477210917"/>
      <w:bookmarkStart w:id="184" w:name="_MON_1477380410"/>
      <w:bookmarkStart w:id="185" w:name="_MON_1477464118"/>
      <w:bookmarkStart w:id="186" w:name="_MON_1489921486"/>
      <w:bookmarkStart w:id="187" w:name="_MON_1490173042"/>
      <w:bookmarkEnd w:id="180"/>
      <w:bookmarkEnd w:id="181"/>
      <w:bookmarkEnd w:id="182"/>
      <w:bookmarkEnd w:id="183"/>
      <w:bookmarkEnd w:id="184"/>
      <w:bookmarkEnd w:id="185"/>
      <w:bookmarkEnd w:id="186"/>
      <w:bookmarkEnd w:id="187"/>
      <w:r w:rsidRPr="00E107E5">
        <w:lastRenderedPageBreak/>
        <w:t>Příspěvek na</w:t>
      </w:r>
      <w:r w:rsidR="003F7D6D">
        <w:t> </w:t>
      </w:r>
      <w:r w:rsidRPr="00E107E5">
        <w:t>provoz příspěvkovým organizacím v</w:t>
      </w:r>
      <w:r w:rsidR="004143CF">
        <w:t> </w:t>
      </w:r>
      <w:r w:rsidRPr="00E107E5">
        <w:t>odvětví kultury</w:t>
      </w:r>
      <w:r w:rsidRPr="00E107E5">
        <w:tab/>
        <w:t>v tis. Kč</w:t>
      </w:r>
      <w:bookmarkStart w:id="188" w:name="_MON_1681554325"/>
      <w:bookmarkStart w:id="189" w:name="_MON_1490419667"/>
      <w:bookmarkStart w:id="190" w:name="_MON_1490419737"/>
      <w:bookmarkStart w:id="191" w:name="_MON_1490420976"/>
      <w:bookmarkStart w:id="192" w:name="_MON_1490420996"/>
      <w:bookmarkStart w:id="193" w:name="_MON_1469444790"/>
      <w:bookmarkStart w:id="194" w:name="_MON_1476601865"/>
      <w:bookmarkStart w:id="195" w:name="_MON_1477211156"/>
      <w:bookmarkStart w:id="196" w:name="_MON_1489922197"/>
      <w:bookmarkStart w:id="197" w:name="_MON_1489922348"/>
      <w:bookmarkStart w:id="198" w:name="_MON_1490173055"/>
      <w:bookmarkEnd w:id="188"/>
      <w:bookmarkEnd w:id="189"/>
      <w:bookmarkEnd w:id="190"/>
      <w:bookmarkEnd w:id="191"/>
      <w:bookmarkEnd w:id="192"/>
      <w:bookmarkEnd w:id="193"/>
      <w:bookmarkEnd w:id="194"/>
      <w:bookmarkEnd w:id="195"/>
      <w:bookmarkEnd w:id="196"/>
      <w:bookmarkEnd w:id="197"/>
      <w:bookmarkEnd w:id="198"/>
      <w:bookmarkStart w:id="199" w:name="_MON_1490174992"/>
      <w:bookmarkEnd w:id="199"/>
      <w:r w:rsidR="003E446C" w:rsidRPr="00E107E5">
        <w:object w:dxaOrig="9807" w:dyaOrig="4038" w14:anchorId="09049348">
          <v:shape id="_x0000_i1051" type="#_x0000_t75" style="width:458.5pt;height:186.1pt" o:ole="">
            <v:imagedata r:id="rId61" o:title=""/>
          </v:shape>
          <o:OLEObject Type="Embed" ProgID="Excel.Sheet.8" ShapeID="_x0000_i1051" DrawAspect="Content" ObjectID="_1714980713" r:id="rId62"/>
        </w:object>
      </w:r>
    </w:p>
    <w:p w14:paraId="586AA5EE" w14:textId="77777777" w:rsidR="00014B18" w:rsidRPr="00A20C38" w:rsidRDefault="00014B18" w:rsidP="00001314">
      <w:pPr>
        <w:pStyle w:val="Nadpis3"/>
      </w:pPr>
      <w:r w:rsidRPr="00A20C38">
        <w:t>Odvětví prezentace kraje a ediční plán</w:t>
      </w:r>
    </w:p>
    <w:p w14:paraId="586AA5EF" w14:textId="6F8907A6" w:rsidR="0064494C" w:rsidRPr="0073593B" w:rsidRDefault="00014B18" w:rsidP="00822A28">
      <w:pPr>
        <w:tabs>
          <w:tab w:val="left" w:pos="7380"/>
        </w:tabs>
        <w:rPr>
          <w:rFonts w:cs="Tahoma"/>
          <w:szCs w:val="20"/>
        </w:rPr>
      </w:pPr>
      <w:r w:rsidRPr="007821E8">
        <w:rPr>
          <w:rFonts w:cs="Tahoma"/>
          <w:szCs w:val="20"/>
        </w:rPr>
        <w:t>Schválený rozpočet výdajů ve</w:t>
      </w:r>
      <w:r w:rsidR="00C634DE" w:rsidRPr="007821E8">
        <w:rPr>
          <w:rFonts w:cs="Tahoma"/>
          <w:szCs w:val="20"/>
        </w:rPr>
        <w:t> </w:t>
      </w:r>
      <w:r w:rsidRPr="007821E8">
        <w:rPr>
          <w:rFonts w:cs="Tahoma"/>
          <w:szCs w:val="20"/>
        </w:rPr>
        <w:t xml:space="preserve">výši </w:t>
      </w:r>
      <w:r w:rsidR="007821E8" w:rsidRPr="007821E8">
        <w:rPr>
          <w:rFonts w:cs="Tahoma"/>
          <w:szCs w:val="20"/>
        </w:rPr>
        <w:t>40.0</w:t>
      </w:r>
      <w:r w:rsidR="009E168D">
        <w:rPr>
          <w:rFonts w:cs="Tahoma"/>
          <w:szCs w:val="20"/>
        </w:rPr>
        <w:t>49</w:t>
      </w:r>
      <w:r w:rsidR="00C634DE" w:rsidRPr="007821E8">
        <w:rPr>
          <w:rFonts w:cs="Tahoma"/>
          <w:szCs w:val="20"/>
        </w:rPr>
        <w:t> </w:t>
      </w:r>
      <w:r w:rsidRPr="007821E8">
        <w:rPr>
          <w:rFonts w:cs="Tahoma"/>
          <w:szCs w:val="20"/>
        </w:rPr>
        <w:t>tis.</w:t>
      </w:r>
      <w:r w:rsidR="00C634DE" w:rsidRPr="007821E8">
        <w:rPr>
          <w:rFonts w:cs="Tahoma"/>
          <w:szCs w:val="20"/>
        </w:rPr>
        <w:t> </w:t>
      </w:r>
      <w:r w:rsidRPr="007821E8">
        <w:rPr>
          <w:rFonts w:cs="Tahoma"/>
          <w:szCs w:val="20"/>
        </w:rPr>
        <w:t>Kč v odvětví prezentace kraje a</w:t>
      </w:r>
      <w:r w:rsidR="00C634DE" w:rsidRPr="007821E8">
        <w:rPr>
          <w:rFonts w:cs="Tahoma"/>
          <w:szCs w:val="20"/>
        </w:rPr>
        <w:t> </w:t>
      </w:r>
      <w:r w:rsidRPr="007821E8">
        <w:rPr>
          <w:rFonts w:cs="Tahoma"/>
          <w:szCs w:val="20"/>
        </w:rPr>
        <w:t xml:space="preserve">ediční plán byl celkově </w:t>
      </w:r>
      <w:r w:rsidR="00672553" w:rsidRPr="0073593B">
        <w:rPr>
          <w:rFonts w:cs="Tahoma"/>
          <w:szCs w:val="20"/>
        </w:rPr>
        <w:t>navýšen</w:t>
      </w:r>
      <w:r w:rsidRPr="0073593B">
        <w:rPr>
          <w:rFonts w:cs="Tahoma"/>
          <w:szCs w:val="20"/>
        </w:rPr>
        <w:t xml:space="preserve"> na</w:t>
      </w:r>
      <w:r w:rsidR="005C24B3" w:rsidRPr="0073593B">
        <w:rPr>
          <w:rFonts w:cs="Tahoma"/>
          <w:szCs w:val="20"/>
        </w:rPr>
        <w:t> </w:t>
      </w:r>
      <w:r w:rsidRPr="0073593B">
        <w:rPr>
          <w:rFonts w:cs="Tahoma"/>
          <w:szCs w:val="20"/>
        </w:rPr>
        <w:t xml:space="preserve">částku </w:t>
      </w:r>
      <w:r w:rsidR="007821E8" w:rsidRPr="0073593B">
        <w:rPr>
          <w:rFonts w:cs="Tahoma"/>
          <w:szCs w:val="20"/>
        </w:rPr>
        <w:t>45.084</w:t>
      </w:r>
      <w:r w:rsidR="00C634DE" w:rsidRPr="0073593B">
        <w:t> </w:t>
      </w:r>
      <w:r w:rsidRPr="0073593B">
        <w:rPr>
          <w:rFonts w:cs="Tahoma"/>
          <w:szCs w:val="20"/>
        </w:rPr>
        <w:t>tis.</w:t>
      </w:r>
      <w:r w:rsidR="00C634DE" w:rsidRPr="0073593B">
        <w:rPr>
          <w:rFonts w:cs="Tahoma"/>
          <w:szCs w:val="20"/>
        </w:rPr>
        <w:t> </w:t>
      </w:r>
      <w:r w:rsidRPr="0073593B">
        <w:rPr>
          <w:rFonts w:cs="Tahoma"/>
          <w:szCs w:val="20"/>
        </w:rPr>
        <w:t>Kč</w:t>
      </w:r>
      <w:r w:rsidR="002E4EDB" w:rsidRPr="0073593B">
        <w:rPr>
          <w:rFonts w:cs="Tahoma"/>
          <w:szCs w:val="20"/>
        </w:rPr>
        <w:t xml:space="preserve">, což je </w:t>
      </w:r>
      <w:r w:rsidR="00AF6791" w:rsidRPr="0073593B">
        <w:rPr>
          <w:rFonts w:cs="Tahoma"/>
          <w:szCs w:val="20"/>
        </w:rPr>
        <w:t>navýšení</w:t>
      </w:r>
      <w:r w:rsidR="009122B4" w:rsidRPr="0073593B">
        <w:rPr>
          <w:rFonts w:cs="Tahoma"/>
          <w:szCs w:val="20"/>
        </w:rPr>
        <w:t xml:space="preserve"> o</w:t>
      </w:r>
      <w:r w:rsidR="00D40E9C" w:rsidRPr="0073593B">
        <w:rPr>
          <w:rFonts w:cs="Tahoma"/>
          <w:szCs w:val="20"/>
        </w:rPr>
        <w:t> </w:t>
      </w:r>
      <w:r w:rsidR="007821E8" w:rsidRPr="0073593B">
        <w:rPr>
          <w:rFonts w:cs="Tahoma"/>
          <w:szCs w:val="20"/>
        </w:rPr>
        <w:t>5.035</w:t>
      </w:r>
      <w:r w:rsidR="002E4EDB" w:rsidRPr="0073593B">
        <w:rPr>
          <w:rFonts w:cs="Tahoma"/>
          <w:szCs w:val="20"/>
        </w:rPr>
        <w:t> tis. Kč</w:t>
      </w:r>
      <w:r w:rsidRPr="0073593B">
        <w:rPr>
          <w:rFonts w:cs="Tahoma"/>
          <w:szCs w:val="20"/>
        </w:rPr>
        <w:t xml:space="preserve">. </w:t>
      </w:r>
    </w:p>
    <w:p w14:paraId="30718BA0" w14:textId="405445AB" w:rsidR="007120A5" w:rsidRPr="0073593B" w:rsidRDefault="00636FA2" w:rsidP="007120A5">
      <w:pPr>
        <w:tabs>
          <w:tab w:val="left" w:pos="7380"/>
        </w:tabs>
      </w:pPr>
      <w:r w:rsidRPr="0073593B">
        <w:t xml:space="preserve">V období </w:t>
      </w:r>
      <w:r w:rsidR="00F1592C" w:rsidRPr="0073593B">
        <w:t>leden až</w:t>
      </w:r>
      <w:r w:rsidR="00AF6791" w:rsidRPr="0073593B">
        <w:t> </w:t>
      </w:r>
      <w:r w:rsidR="00F1592C" w:rsidRPr="0073593B">
        <w:t>duben</w:t>
      </w:r>
      <w:r w:rsidRPr="0073593B">
        <w:t xml:space="preserve"> byly zapojeny do rozpočtu tohoto odvětví </w:t>
      </w:r>
      <w:r w:rsidR="007120A5" w:rsidRPr="0073593B">
        <w:t>nedočerpané účelově vymezené výdaje roku 20</w:t>
      </w:r>
      <w:r w:rsidRPr="0073593B">
        <w:t>2</w:t>
      </w:r>
      <w:r w:rsidR="002274E2" w:rsidRPr="0073593B">
        <w:t>1</w:t>
      </w:r>
      <w:r w:rsidR="007120A5" w:rsidRPr="0073593B">
        <w:t xml:space="preserve"> ve výši </w:t>
      </w:r>
      <w:r w:rsidR="002274E2" w:rsidRPr="0073593B">
        <w:t>4.128</w:t>
      </w:r>
      <w:r w:rsidR="007120A5" w:rsidRPr="0073593B">
        <w:t> tis. Kč</w:t>
      </w:r>
      <w:r w:rsidRPr="0073593B">
        <w:t>, z toho na</w:t>
      </w:r>
      <w:r w:rsidR="00D40E9C" w:rsidRPr="0073593B">
        <w:t> </w:t>
      </w:r>
      <w:r w:rsidRPr="0073593B">
        <w:t xml:space="preserve">akci rozpočtu kraje </w:t>
      </w:r>
      <w:r w:rsidR="00D9727A" w:rsidRPr="0073593B">
        <w:t>„</w:t>
      </w:r>
      <w:r w:rsidRPr="0073593B">
        <w:t>Propagace kraje a prezentační předměty</w:t>
      </w:r>
      <w:r w:rsidR="00D9727A" w:rsidRPr="0073593B">
        <w:t>“</w:t>
      </w:r>
      <w:r w:rsidRPr="0073593B">
        <w:t xml:space="preserve"> </w:t>
      </w:r>
      <w:r w:rsidR="00C66C9E" w:rsidRPr="0073593B">
        <w:t>1.891</w:t>
      </w:r>
      <w:r w:rsidRPr="0073593B">
        <w:t xml:space="preserve"> tis. Kč a na akci rozpočtu kraje </w:t>
      </w:r>
      <w:r w:rsidR="00D9727A" w:rsidRPr="0073593B">
        <w:t>„</w:t>
      </w:r>
      <w:r w:rsidR="00C66C9E" w:rsidRPr="0073593B">
        <w:t>Mediální publicita MSK</w:t>
      </w:r>
      <w:r w:rsidR="00D9727A" w:rsidRPr="0073593B">
        <w:t>“</w:t>
      </w:r>
      <w:r w:rsidRPr="0073593B">
        <w:t xml:space="preserve"> ve výši </w:t>
      </w:r>
      <w:r w:rsidR="00AE2721" w:rsidRPr="0073593B">
        <w:t>1.740</w:t>
      </w:r>
      <w:r w:rsidRPr="0073593B">
        <w:t> tis. Kč.</w:t>
      </w:r>
      <w:r w:rsidR="00724C58" w:rsidRPr="0073593B">
        <w:t xml:space="preserve"> </w:t>
      </w:r>
    </w:p>
    <w:p w14:paraId="586AA5F1" w14:textId="789AD12C" w:rsidR="00014B18" w:rsidRPr="00A20C38" w:rsidRDefault="00014B18" w:rsidP="00822A28">
      <w:pPr>
        <w:tabs>
          <w:tab w:val="left" w:pos="7380"/>
        </w:tabs>
        <w:rPr>
          <w:rFonts w:cs="Tahoma"/>
          <w:szCs w:val="20"/>
        </w:rPr>
      </w:pPr>
      <w:r w:rsidRPr="00A20C38">
        <w:rPr>
          <w:rFonts w:cs="Tahoma"/>
          <w:szCs w:val="20"/>
        </w:rPr>
        <w:t xml:space="preserve">Celkově </w:t>
      </w:r>
      <w:r w:rsidR="00757006" w:rsidRPr="00A20C38">
        <w:rPr>
          <w:rFonts w:cs="Tahoma"/>
          <w:szCs w:val="20"/>
        </w:rPr>
        <w:t xml:space="preserve">byly </w:t>
      </w:r>
      <w:r w:rsidRPr="00A20C38">
        <w:rPr>
          <w:rFonts w:cs="Tahoma"/>
          <w:szCs w:val="20"/>
        </w:rPr>
        <w:t>v tomto odvětví čerpány prostředky ve</w:t>
      </w:r>
      <w:r w:rsidR="005C24B3" w:rsidRPr="00A20C38">
        <w:rPr>
          <w:rFonts w:cs="Tahoma"/>
          <w:szCs w:val="20"/>
        </w:rPr>
        <w:t> </w:t>
      </w:r>
      <w:r w:rsidRPr="00A20C38">
        <w:rPr>
          <w:rFonts w:cs="Tahoma"/>
          <w:szCs w:val="20"/>
        </w:rPr>
        <w:t xml:space="preserve">výši </w:t>
      </w:r>
      <w:r w:rsidR="00A20C38" w:rsidRPr="00A20C38">
        <w:rPr>
          <w:rFonts w:cs="Tahoma"/>
          <w:szCs w:val="20"/>
        </w:rPr>
        <w:t>6.772</w:t>
      </w:r>
      <w:r w:rsidR="005E5713" w:rsidRPr="00A20C38">
        <w:rPr>
          <w:rFonts w:cs="Tahoma"/>
          <w:szCs w:val="20"/>
        </w:rPr>
        <w:t> </w:t>
      </w:r>
      <w:r w:rsidRPr="00A20C38">
        <w:rPr>
          <w:rFonts w:cs="Tahoma"/>
          <w:szCs w:val="20"/>
        </w:rPr>
        <w:t>tis.</w:t>
      </w:r>
      <w:r w:rsidR="005E5713" w:rsidRPr="00A20C38">
        <w:rPr>
          <w:rFonts w:cs="Tahoma"/>
          <w:szCs w:val="20"/>
        </w:rPr>
        <w:t> </w:t>
      </w:r>
      <w:r w:rsidRPr="00A20C38">
        <w:rPr>
          <w:rFonts w:cs="Tahoma"/>
          <w:szCs w:val="20"/>
        </w:rPr>
        <w:t>Kč</w:t>
      </w:r>
      <w:r w:rsidR="00E24183" w:rsidRPr="00A20C38">
        <w:rPr>
          <w:rFonts w:cs="Tahoma"/>
          <w:szCs w:val="20"/>
        </w:rPr>
        <w:t xml:space="preserve">, což představuje čerpání </w:t>
      </w:r>
      <w:r w:rsidR="00A20C38" w:rsidRPr="00A20C38">
        <w:rPr>
          <w:rFonts w:cs="Tahoma"/>
          <w:szCs w:val="20"/>
        </w:rPr>
        <w:t>15</w:t>
      </w:r>
      <w:r w:rsidR="00790D86" w:rsidRPr="00A20C38">
        <w:rPr>
          <w:rFonts w:cs="Tahoma"/>
          <w:szCs w:val="20"/>
        </w:rPr>
        <w:t> </w:t>
      </w:r>
      <w:r w:rsidR="00E24183" w:rsidRPr="00A20C38">
        <w:rPr>
          <w:rFonts w:cs="Tahoma"/>
          <w:szCs w:val="20"/>
        </w:rPr>
        <w:t>% upraveného rozpočtu.</w:t>
      </w:r>
    </w:p>
    <w:p w14:paraId="57333829" w14:textId="43FCD569" w:rsidR="00E704E2" w:rsidRPr="00E107E5" w:rsidRDefault="00FD7C90" w:rsidP="00CE0C49">
      <w:pPr>
        <w:pStyle w:val="Styltab"/>
      </w:pPr>
      <w:r w:rsidRPr="00E107E5">
        <w:t xml:space="preserve">Výdaje v odvětví prezentace kraje a ediční </w:t>
      </w:r>
      <w:r w:rsidR="00011936" w:rsidRPr="00E107E5">
        <w:t>plán</w:t>
      </w:r>
      <w:r w:rsidRPr="00E107E5">
        <w:t xml:space="preserve"> v členění dle účelu</w:t>
      </w:r>
      <w:r w:rsidRPr="00E107E5">
        <w:tab/>
        <w:t>v tis. Kč</w:t>
      </w:r>
      <w:bookmarkStart w:id="200" w:name="_MON_1681554515"/>
      <w:bookmarkEnd w:id="200"/>
      <w:bookmarkStart w:id="201" w:name="_MON_1555936372"/>
      <w:bookmarkEnd w:id="201"/>
      <w:r w:rsidR="00A20C38" w:rsidRPr="00E107E5">
        <w:object w:dxaOrig="9344" w:dyaOrig="1167" w14:anchorId="62FE663E">
          <v:shape id="_x0000_i1052" type="#_x0000_t75" style="width:468.7pt;height:57.75pt" o:ole="">
            <v:imagedata r:id="rId63" o:title=""/>
          </v:shape>
          <o:OLEObject Type="Embed" ProgID="Excel.Sheet.8" ShapeID="_x0000_i1052" DrawAspect="Content" ObjectID="_1714980714" r:id="rId64"/>
        </w:object>
      </w:r>
    </w:p>
    <w:p w14:paraId="11D66735" w14:textId="1C08BCA5" w:rsidR="00D44D29" w:rsidRPr="00E107E5" w:rsidRDefault="00FD7C90" w:rsidP="00CE0C49">
      <w:pPr>
        <w:pStyle w:val="Styltab"/>
      </w:pPr>
      <w:bookmarkStart w:id="202" w:name="_MON_1476601885"/>
      <w:bookmarkStart w:id="203" w:name="_MON_1477203964"/>
      <w:bookmarkStart w:id="204" w:name="_MON_1489918352"/>
      <w:bookmarkStart w:id="205" w:name="_MON_1490173072"/>
      <w:bookmarkEnd w:id="202"/>
      <w:bookmarkEnd w:id="203"/>
      <w:bookmarkEnd w:id="204"/>
      <w:bookmarkEnd w:id="205"/>
      <w:r w:rsidRPr="00E107E5">
        <w:t xml:space="preserve">Výdaje v odvětví prezentace kraje a ediční </w:t>
      </w:r>
      <w:r w:rsidR="00011936" w:rsidRPr="00E107E5">
        <w:t>plán</w:t>
      </w:r>
      <w:r w:rsidRPr="00E107E5">
        <w:t xml:space="preserve"> na samosprávné a jiné činnosti zajišťované prostřednictvím krajského úřadu</w:t>
      </w:r>
      <w:r w:rsidR="001D386A" w:rsidRPr="00E107E5">
        <w:tab/>
      </w:r>
      <w:r w:rsidRPr="00E107E5">
        <w:t>v tis. Kč</w:t>
      </w:r>
      <w:bookmarkStart w:id="206" w:name="_MON_1477210788"/>
      <w:bookmarkStart w:id="207" w:name="_MON_1477372125"/>
      <w:bookmarkStart w:id="208" w:name="_MON_1489922461"/>
      <w:bookmarkStart w:id="209" w:name="_MON_1490173084"/>
      <w:bookmarkStart w:id="210" w:name="_MON_1490175040"/>
      <w:bookmarkStart w:id="211" w:name="_MON_1469445012"/>
      <w:bookmarkEnd w:id="206"/>
      <w:bookmarkEnd w:id="207"/>
      <w:bookmarkEnd w:id="208"/>
      <w:bookmarkEnd w:id="209"/>
      <w:bookmarkEnd w:id="210"/>
      <w:bookmarkEnd w:id="211"/>
      <w:bookmarkStart w:id="212" w:name="_MON_1476601901"/>
      <w:bookmarkEnd w:id="212"/>
      <w:r w:rsidR="00A20C38" w:rsidRPr="00E107E5">
        <w:object w:dxaOrig="9375" w:dyaOrig="2996" w14:anchorId="586AA6B3">
          <v:shape id="_x0000_i1053" type="#_x0000_t75" style="width:460.55pt;height:2in" o:ole="">
            <v:imagedata r:id="rId65" o:title=""/>
          </v:shape>
          <o:OLEObject Type="Embed" ProgID="Excel.Sheet.8" ShapeID="_x0000_i1053" DrawAspect="Content" ObjectID="_1714980715" r:id="rId66"/>
        </w:object>
      </w:r>
    </w:p>
    <w:p w14:paraId="586AA5F6" w14:textId="77777777" w:rsidR="00014B18" w:rsidRPr="00F4492F" w:rsidRDefault="00014B18" w:rsidP="00FD7C90">
      <w:pPr>
        <w:pStyle w:val="Nadpis3"/>
      </w:pPr>
      <w:r w:rsidRPr="00F4492F">
        <w:t xml:space="preserve">Odvětví regionálního rozvoje </w:t>
      </w:r>
    </w:p>
    <w:p w14:paraId="586AA5F7" w14:textId="21005D6B" w:rsidR="009F459B" w:rsidRDefault="00014B18" w:rsidP="00B0701B">
      <w:pPr>
        <w:rPr>
          <w:rFonts w:cs="Tahoma"/>
          <w:szCs w:val="20"/>
        </w:rPr>
      </w:pPr>
      <w:r w:rsidRPr="00F4492F">
        <w:rPr>
          <w:rFonts w:cs="Tahoma"/>
          <w:szCs w:val="20"/>
        </w:rPr>
        <w:t>Schválený rozpočet výdajů ve</w:t>
      </w:r>
      <w:r w:rsidR="00EA2718" w:rsidRPr="00F4492F">
        <w:rPr>
          <w:rFonts w:cs="Tahoma"/>
          <w:szCs w:val="20"/>
        </w:rPr>
        <w:t> </w:t>
      </w:r>
      <w:r w:rsidRPr="00F4492F">
        <w:rPr>
          <w:rFonts w:cs="Tahoma"/>
          <w:szCs w:val="20"/>
        </w:rPr>
        <w:t xml:space="preserve">výši </w:t>
      </w:r>
      <w:r w:rsidR="00F4492F" w:rsidRPr="00F4492F">
        <w:rPr>
          <w:rFonts w:cs="Tahoma"/>
          <w:szCs w:val="20"/>
        </w:rPr>
        <w:t>421.356</w:t>
      </w:r>
      <w:r w:rsidRPr="00F4492F">
        <w:rPr>
          <w:rFonts w:cs="Tahoma"/>
          <w:szCs w:val="20"/>
        </w:rPr>
        <w:t xml:space="preserve"> tis. Kč v odvětví regionálního rozvoje byl </w:t>
      </w:r>
      <w:r w:rsidR="0026154E" w:rsidRPr="00F4492F">
        <w:rPr>
          <w:rFonts w:cs="Tahoma"/>
          <w:szCs w:val="20"/>
        </w:rPr>
        <w:t>navýšen na</w:t>
      </w:r>
      <w:r w:rsidR="00C6579E" w:rsidRPr="00F4492F">
        <w:rPr>
          <w:rFonts w:cs="Tahoma"/>
          <w:szCs w:val="20"/>
        </w:rPr>
        <w:t> </w:t>
      </w:r>
      <w:r w:rsidR="0026154E" w:rsidRPr="00F4492F">
        <w:rPr>
          <w:rFonts w:cs="Tahoma"/>
          <w:szCs w:val="20"/>
        </w:rPr>
        <w:t xml:space="preserve">částku </w:t>
      </w:r>
      <w:r w:rsidR="00F4492F" w:rsidRPr="00F4492F">
        <w:rPr>
          <w:rFonts w:cs="Tahoma"/>
          <w:szCs w:val="20"/>
        </w:rPr>
        <w:t>647.034</w:t>
      </w:r>
      <w:r w:rsidRPr="00F4492F">
        <w:rPr>
          <w:rFonts w:cs="Tahoma"/>
          <w:szCs w:val="20"/>
        </w:rPr>
        <w:t> tis. Kč</w:t>
      </w:r>
      <w:r w:rsidR="009F459B" w:rsidRPr="00F4492F">
        <w:rPr>
          <w:rFonts w:cs="Tahoma"/>
          <w:szCs w:val="20"/>
        </w:rPr>
        <w:t xml:space="preserve">, tj. </w:t>
      </w:r>
      <w:r w:rsidR="00BE3D08" w:rsidRPr="00F4492F">
        <w:rPr>
          <w:rFonts w:cs="Tahoma"/>
          <w:szCs w:val="20"/>
        </w:rPr>
        <w:t>zvýšení</w:t>
      </w:r>
      <w:r w:rsidR="000635A3" w:rsidRPr="00F4492F">
        <w:rPr>
          <w:rFonts w:cs="Tahoma"/>
          <w:szCs w:val="20"/>
        </w:rPr>
        <w:t xml:space="preserve"> </w:t>
      </w:r>
      <w:r w:rsidR="009F459B" w:rsidRPr="00F4492F">
        <w:rPr>
          <w:rFonts w:cs="Tahoma"/>
          <w:szCs w:val="20"/>
        </w:rPr>
        <w:t>o </w:t>
      </w:r>
      <w:r w:rsidR="00F4492F" w:rsidRPr="00F4492F">
        <w:rPr>
          <w:rFonts w:cs="Tahoma"/>
          <w:szCs w:val="20"/>
        </w:rPr>
        <w:t>225.678</w:t>
      </w:r>
      <w:r w:rsidR="00547CDD" w:rsidRPr="00F4492F">
        <w:rPr>
          <w:rFonts w:cs="Tahoma"/>
          <w:szCs w:val="20"/>
        </w:rPr>
        <w:t> </w:t>
      </w:r>
      <w:r w:rsidR="009F459B" w:rsidRPr="00F4492F">
        <w:rPr>
          <w:rFonts w:cs="Tahoma"/>
          <w:szCs w:val="20"/>
        </w:rPr>
        <w:t>tis. Kč.</w:t>
      </w:r>
    </w:p>
    <w:p w14:paraId="7EB3F9D4" w14:textId="4F8B8903" w:rsidR="00652762" w:rsidRDefault="00C14239" w:rsidP="003D1FAC">
      <w:pPr>
        <w:rPr>
          <w:rFonts w:cs="Tahoma"/>
        </w:rPr>
      </w:pPr>
      <w:r>
        <w:rPr>
          <w:rFonts w:cs="Tahoma"/>
          <w:szCs w:val="20"/>
        </w:rPr>
        <w:t>Ú</w:t>
      </w:r>
      <w:r w:rsidR="006F5871" w:rsidRPr="00DC3253">
        <w:rPr>
          <w:rFonts w:cs="Tahoma"/>
          <w:szCs w:val="20"/>
        </w:rPr>
        <w:t>prav</w:t>
      </w:r>
      <w:r w:rsidR="00154FBA">
        <w:rPr>
          <w:rFonts w:cs="Tahoma"/>
          <w:szCs w:val="20"/>
        </w:rPr>
        <w:t>a</w:t>
      </w:r>
      <w:r w:rsidR="004464AF" w:rsidRPr="00DC3253">
        <w:rPr>
          <w:rFonts w:cs="Tahoma"/>
          <w:szCs w:val="20"/>
        </w:rPr>
        <w:t xml:space="preserve"> rozpočtu v odvětví regionálního rozvoje</w:t>
      </w:r>
      <w:r w:rsidR="006F5871" w:rsidRPr="00DC3253">
        <w:rPr>
          <w:rFonts w:cs="Tahoma"/>
          <w:szCs w:val="20"/>
        </w:rPr>
        <w:t xml:space="preserve"> v</w:t>
      </w:r>
      <w:r w:rsidR="00FE7C09" w:rsidRPr="00DC3253">
        <w:rPr>
          <w:rFonts w:cs="Tahoma"/>
          <w:szCs w:val="20"/>
        </w:rPr>
        <w:t xml:space="preserve"> období </w:t>
      </w:r>
      <w:r w:rsidR="00FA2F2C" w:rsidRPr="00DC3253">
        <w:rPr>
          <w:rFonts w:cs="Tahoma"/>
          <w:szCs w:val="20"/>
        </w:rPr>
        <w:t>leden až</w:t>
      </w:r>
      <w:r w:rsidR="0038237A">
        <w:rPr>
          <w:rFonts w:cs="Tahoma"/>
          <w:szCs w:val="20"/>
        </w:rPr>
        <w:t> </w:t>
      </w:r>
      <w:r w:rsidR="00FA2F2C" w:rsidRPr="00DC3253">
        <w:rPr>
          <w:rFonts w:cs="Tahoma"/>
          <w:szCs w:val="20"/>
        </w:rPr>
        <w:t>duben</w:t>
      </w:r>
      <w:r w:rsidR="006F5871" w:rsidRPr="00DC3253">
        <w:rPr>
          <w:rFonts w:cs="Tahoma"/>
          <w:szCs w:val="20"/>
        </w:rPr>
        <w:t xml:space="preserve"> souvisel</w:t>
      </w:r>
      <w:r w:rsidR="000024BB">
        <w:rPr>
          <w:rFonts w:cs="Tahoma"/>
          <w:szCs w:val="20"/>
        </w:rPr>
        <w:t>a</w:t>
      </w:r>
      <w:r w:rsidR="006F5871" w:rsidRPr="00DC3253">
        <w:rPr>
          <w:rFonts w:cs="Tahoma"/>
          <w:szCs w:val="20"/>
        </w:rPr>
        <w:t xml:space="preserve"> s nedočerpanými účelově vymezenými výdaji roku 20</w:t>
      </w:r>
      <w:r w:rsidR="00FE7C09" w:rsidRPr="00DC3253">
        <w:rPr>
          <w:rFonts w:cs="Tahoma"/>
          <w:szCs w:val="20"/>
        </w:rPr>
        <w:t>2</w:t>
      </w:r>
      <w:r w:rsidR="00D50548" w:rsidRPr="00DC3253">
        <w:rPr>
          <w:rFonts w:cs="Tahoma"/>
          <w:szCs w:val="20"/>
        </w:rPr>
        <w:t>1</w:t>
      </w:r>
      <w:r w:rsidR="006F5871" w:rsidRPr="00DC3253">
        <w:rPr>
          <w:rFonts w:cs="Tahoma"/>
          <w:szCs w:val="20"/>
        </w:rPr>
        <w:t xml:space="preserve"> v tomto odvětví, které byly zapojeny ke stejnému účelu </w:t>
      </w:r>
      <w:r w:rsidR="006F5871" w:rsidRPr="00DC3253">
        <w:rPr>
          <w:rFonts w:cs="Tahoma"/>
          <w:szCs w:val="20"/>
        </w:rPr>
        <w:lastRenderedPageBreak/>
        <w:t>do rozpočtu roku 20</w:t>
      </w:r>
      <w:r w:rsidR="00FD236A" w:rsidRPr="00DC3253">
        <w:rPr>
          <w:rFonts w:cs="Tahoma"/>
          <w:szCs w:val="20"/>
        </w:rPr>
        <w:t>2</w:t>
      </w:r>
      <w:r w:rsidR="00D50548" w:rsidRPr="00DC3253">
        <w:rPr>
          <w:rFonts w:cs="Tahoma"/>
          <w:szCs w:val="20"/>
        </w:rPr>
        <w:t>2</w:t>
      </w:r>
      <w:r w:rsidR="00535DE8" w:rsidRPr="00DC3253">
        <w:rPr>
          <w:rFonts w:cs="Tahoma"/>
          <w:szCs w:val="20"/>
        </w:rPr>
        <w:t xml:space="preserve"> ve</w:t>
      </w:r>
      <w:r w:rsidR="00FE7C09" w:rsidRPr="00DC3253">
        <w:rPr>
          <w:rFonts w:cs="Tahoma"/>
          <w:szCs w:val="20"/>
        </w:rPr>
        <w:t> </w:t>
      </w:r>
      <w:r w:rsidR="00535DE8" w:rsidRPr="00DC3253">
        <w:rPr>
          <w:rFonts w:cs="Tahoma"/>
          <w:szCs w:val="20"/>
        </w:rPr>
        <w:t xml:space="preserve">výši </w:t>
      </w:r>
      <w:r w:rsidR="004464AF" w:rsidRPr="00DC3253">
        <w:rPr>
          <w:rFonts w:cs="Tahoma"/>
          <w:szCs w:val="20"/>
        </w:rPr>
        <w:t>32.26</w:t>
      </w:r>
      <w:r w:rsidR="00DC3253" w:rsidRPr="00DC3253">
        <w:rPr>
          <w:rFonts w:cs="Tahoma"/>
          <w:szCs w:val="20"/>
        </w:rPr>
        <w:t>1</w:t>
      </w:r>
      <w:r w:rsidR="006F5871" w:rsidRPr="00DC3253">
        <w:rPr>
          <w:rFonts w:cs="Tahoma"/>
          <w:szCs w:val="20"/>
        </w:rPr>
        <w:t> tis. Kč</w:t>
      </w:r>
      <w:r w:rsidR="00FE7C09" w:rsidRPr="00DC3253">
        <w:rPr>
          <w:rFonts w:cs="Tahoma"/>
          <w:szCs w:val="20"/>
        </w:rPr>
        <w:t>, z toho na úhradu výdajů na</w:t>
      </w:r>
      <w:r w:rsidR="00C6579E" w:rsidRPr="00DC3253">
        <w:rPr>
          <w:rFonts w:cs="Tahoma"/>
          <w:szCs w:val="20"/>
        </w:rPr>
        <w:t> </w:t>
      </w:r>
      <w:r w:rsidR="00FE7C09" w:rsidRPr="00DC3253">
        <w:rPr>
          <w:rFonts w:cs="Tahoma"/>
          <w:szCs w:val="20"/>
        </w:rPr>
        <w:t xml:space="preserve">samosprávné </w:t>
      </w:r>
      <w:r w:rsidR="006F5871" w:rsidRPr="00DC3253">
        <w:rPr>
          <w:rFonts w:cs="Tahoma"/>
          <w:szCs w:val="20"/>
        </w:rPr>
        <w:t xml:space="preserve">a jiné činnosti </w:t>
      </w:r>
      <w:r w:rsidR="00FE7C09" w:rsidRPr="00DC3253">
        <w:rPr>
          <w:rFonts w:cs="Tahoma"/>
          <w:szCs w:val="20"/>
        </w:rPr>
        <w:t xml:space="preserve">finanční prostředky ve výši </w:t>
      </w:r>
      <w:r w:rsidR="00DC3253" w:rsidRPr="00DC3253">
        <w:rPr>
          <w:rFonts w:cs="Tahoma"/>
          <w:szCs w:val="20"/>
        </w:rPr>
        <w:t>31.854</w:t>
      </w:r>
      <w:r w:rsidR="00525CD1" w:rsidRPr="00DC3253">
        <w:rPr>
          <w:rFonts w:cs="Tahoma"/>
          <w:szCs w:val="20"/>
        </w:rPr>
        <w:t> </w:t>
      </w:r>
      <w:r w:rsidR="00FE7C09" w:rsidRPr="00DC3253">
        <w:rPr>
          <w:rFonts w:cs="Tahoma"/>
          <w:szCs w:val="20"/>
        </w:rPr>
        <w:t>tis</w:t>
      </w:r>
      <w:r w:rsidR="006F5871" w:rsidRPr="00DC3253">
        <w:rPr>
          <w:rFonts w:cs="Tahoma"/>
          <w:szCs w:val="20"/>
        </w:rPr>
        <w:t>. Kč</w:t>
      </w:r>
      <w:r w:rsidR="00021683" w:rsidRPr="00DC3253">
        <w:rPr>
          <w:rFonts w:cs="Tahoma"/>
          <w:szCs w:val="20"/>
        </w:rPr>
        <w:t>.</w:t>
      </w:r>
      <w:r w:rsidR="006803EF" w:rsidRPr="00DC3253">
        <w:rPr>
          <w:rFonts w:cs="Tahoma"/>
          <w:szCs w:val="20"/>
        </w:rPr>
        <w:t xml:space="preserve"> </w:t>
      </w:r>
      <w:r w:rsidR="00DC3253">
        <w:rPr>
          <w:rFonts w:cs="Tahoma"/>
          <w:szCs w:val="20"/>
        </w:rPr>
        <w:t xml:space="preserve">Dále byl rozpočet odvětví </w:t>
      </w:r>
      <w:r w:rsidR="00597B9F">
        <w:rPr>
          <w:rFonts w:cs="Tahoma"/>
          <w:szCs w:val="20"/>
        </w:rPr>
        <w:t>významně</w:t>
      </w:r>
      <w:r>
        <w:rPr>
          <w:rFonts w:cs="Tahoma"/>
          <w:szCs w:val="20"/>
        </w:rPr>
        <w:t xml:space="preserve"> </w:t>
      </w:r>
      <w:r w:rsidR="00D907F6">
        <w:rPr>
          <w:rFonts w:cs="Tahoma"/>
          <w:szCs w:val="20"/>
        </w:rPr>
        <w:t>navýšen o</w:t>
      </w:r>
      <w:r w:rsidR="00DF492F">
        <w:rPr>
          <w:rFonts w:cs="Tahoma"/>
          <w:szCs w:val="20"/>
        </w:rPr>
        <w:t> </w:t>
      </w:r>
      <w:r w:rsidR="00D907F6">
        <w:rPr>
          <w:rFonts w:cs="Tahoma"/>
          <w:szCs w:val="20"/>
        </w:rPr>
        <w:t>163.182</w:t>
      </w:r>
      <w:r w:rsidR="00DF492F">
        <w:rPr>
          <w:rFonts w:cs="Tahoma"/>
          <w:szCs w:val="20"/>
        </w:rPr>
        <w:t> </w:t>
      </w:r>
      <w:r w:rsidR="00D907F6">
        <w:rPr>
          <w:rFonts w:cs="Tahoma"/>
          <w:szCs w:val="20"/>
        </w:rPr>
        <w:t>tis.</w:t>
      </w:r>
      <w:r w:rsidR="00DF492F">
        <w:rPr>
          <w:rFonts w:cs="Tahoma"/>
          <w:szCs w:val="20"/>
        </w:rPr>
        <w:t> </w:t>
      </w:r>
      <w:r w:rsidR="00D907F6">
        <w:rPr>
          <w:rFonts w:cs="Tahoma"/>
          <w:szCs w:val="20"/>
        </w:rPr>
        <w:t>Kč na</w:t>
      </w:r>
      <w:r w:rsidR="00DF492F">
        <w:rPr>
          <w:rFonts w:cs="Tahoma"/>
          <w:szCs w:val="20"/>
        </w:rPr>
        <w:t> </w:t>
      </w:r>
      <w:r w:rsidR="00D907F6">
        <w:rPr>
          <w:rFonts w:cs="Tahoma"/>
          <w:szCs w:val="20"/>
        </w:rPr>
        <w:t>realizaci akce „</w:t>
      </w:r>
      <w:r w:rsidR="00017405" w:rsidRPr="00017405">
        <w:rPr>
          <w:rFonts w:cs="Tahoma"/>
          <w:szCs w:val="20"/>
        </w:rPr>
        <w:t>Rozšířené zájmové území Mošnov</w:t>
      </w:r>
      <w:r w:rsidR="00017405">
        <w:rPr>
          <w:rFonts w:cs="Tahoma"/>
          <w:szCs w:val="20"/>
        </w:rPr>
        <w:t>“</w:t>
      </w:r>
      <w:r w:rsidR="00E36B7F">
        <w:rPr>
          <w:rFonts w:cs="Tahoma"/>
          <w:szCs w:val="20"/>
        </w:rPr>
        <w:t>. Tyto finanční prostředky byly do</w:t>
      </w:r>
      <w:r w:rsidR="00752AFA">
        <w:rPr>
          <w:rFonts w:cs="Tahoma"/>
          <w:szCs w:val="20"/>
        </w:rPr>
        <w:t> </w:t>
      </w:r>
      <w:r w:rsidR="00E36B7F">
        <w:rPr>
          <w:rFonts w:cs="Tahoma"/>
          <w:szCs w:val="20"/>
        </w:rPr>
        <w:t>odvětví regionálního rozvoje</w:t>
      </w:r>
      <w:r w:rsidR="00BD3AA6">
        <w:rPr>
          <w:rFonts w:cs="Tahoma"/>
          <w:szCs w:val="20"/>
        </w:rPr>
        <w:t xml:space="preserve"> převedeny z</w:t>
      </w:r>
      <w:r w:rsidR="003D7EA4">
        <w:rPr>
          <w:rFonts w:cs="Tahoma"/>
          <w:szCs w:val="20"/>
        </w:rPr>
        <w:t> odvětví finance a</w:t>
      </w:r>
      <w:r w:rsidR="00DF492F">
        <w:rPr>
          <w:rFonts w:cs="Tahoma"/>
          <w:szCs w:val="20"/>
        </w:rPr>
        <w:t> </w:t>
      </w:r>
      <w:r w:rsidR="003D7EA4">
        <w:rPr>
          <w:rFonts w:cs="Tahoma"/>
          <w:szCs w:val="20"/>
        </w:rPr>
        <w:t>správa majetku ve</w:t>
      </w:r>
      <w:r w:rsidR="00752AFA">
        <w:rPr>
          <w:rFonts w:cs="Tahoma"/>
          <w:szCs w:val="20"/>
        </w:rPr>
        <w:t> </w:t>
      </w:r>
      <w:r w:rsidR="003D7EA4">
        <w:rPr>
          <w:rFonts w:cs="Tahoma"/>
          <w:szCs w:val="20"/>
        </w:rPr>
        <w:t xml:space="preserve">výši </w:t>
      </w:r>
      <w:r w:rsidR="00F86B2F">
        <w:rPr>
          <w:rFonts w:cs="Tahoma"/>
          <w:szCs w:val="20"/>
        </w:rPr>
        <w:t>153.770</w:t>
      </w:r>
      <w:r w:rsidR="00752AFA">
        <w:rPr>
          <w:rFonts w:cs="Tahoma"/>
          <w:szCs w:val="20"/>
        </w:rPr>
        <w:t> </w:t>
      </w:r>
      <w:r w:rsidR="003D7EA4">
        <w:rPr>
          <w:rFonts w:cs="Tahoma"/>
          <w:szCs w:val="20"/>
        </w:rPr>
        <w:t>tis.</w:t>
      </w:r>
      <w:r w:rsidR="00752AFA">
        <w:rPr>
          <w:rFonts w:cs="Tahoma"/>
          <w:szCs w:val="20"/>
        </w:rPr>
        <w:t> </w:t>
      </w:r>
      <w:r w:rsidR="003D7EA4">
        <w:rPr>
          <w:rFonts w:cs="Tahoma"/>
          <w:szCs w:val="20"/>
        </w:rPr>
        <w:t xml:space="preserve">Kč </w:t>
      </w:r>
      <w:r w:rsidR="0078168D">
        <w:rPr>
          <w:rFonts w:cs="Tahoma"/>
          <w:szCs w:val="20"/>
        </w:rPr>
        <w:t>z akce rozpočtu kraje „</w:t>
      </w:r>
      <w:r w:rsidR="0078168D" w:rsidRPr="0078168D">
        <w:rPr>
          <w:rFonts w:cs="Tahoma"/>
          <w:szCs w:val="20"/>
        </w:rPr>
        <w:t>Nákup pozemků a ostatních nemovitostí</w:t>
      </w:r>
      <w:r w:rsidR="0078168D">
        <w:rPr>
          <w:rFonts w:cs="Tahoma"/>
          <w:szCs w:val="20"/>
        </w:rPr>
        <w:t xml:space="preserve">“ </w:t>
      </w:r>
      <w:r w:rsidR="003D7EA4">
        <w:rPr>
          <w:rFonts w:cs="Tahoma"/>
          <w:szCs w:val="20"/>
        </w:rPr>
        <w:t>a</w:t>
      </w:r>
      <w:r w:rsidR="0078168D">
        <w:rPr>
          <w:rFonts w:cs="Tahoma"/>
          <w:szCs w:val="20"/>
        </w:rPr>
        <w:t xml:space="preserve"> z odvětví dopravy ve</w:t>
      </w:r>
      <w:r w:rsidR="00752AFA">
        <w:rPr>
          <w:rFonts w:cs="Tahoma"/>
          <w:szCs w:val="20"/>
        </w:rPr>
        <w:t> </w:t>
      </w:r>
      <w:r w:rsidR="0078168D">
        <w:rPr>
          <w:rFonts w:cs="Tahoma"/>
          <w:szCs w:val="20"/>
        </w:rPr>
        <w:t xml:space="preserve">výši </w:t>
      </w:r>
      <w:r w:rsidR="007E13D5">
        <w:rPr>
          <w:rFonts w:cs="Tahoma"/>
          <w:szCs w:val="20"/>
        </w:rPr>
        <w:t>9.412</w:t>
      </w:r>
      <w:r w:rsidR="00752AFA">
        <w:rPr>
          <w:rFonts w:cs="Tahoma"/>
          <w:szCs w:val="20"/>
        </w:rPr>
        <w:t> </w:t>
      </w:r>
      <w:r w:rsidR="007E13D5">
        <w:rPr>
          <w:rFonts w:cs="Tahoma"/>
          <w:szCs w:val="20"/>
        </w:rPr>
        <w:t>tis.</w:t>
      </w:r>
      <w:r w:rsidR="00752AFA">
        <w:rPr>
          <w:rFonts w:cs="Tahoma"/>
          <w:szCs w:val="20"/>
        </w:rPr>
        <w:t> </w:t>
      </w:r>
      <w:r w:rsidR="007E13D5">
        <w:rPr>
          <w:rFonts w:cs="Tahoma"/>
          <w:szCs w:val="20"/>
        </w:rPr>
        <w:t>Kč z akce rozpočtu kraje „</w:t>
      </w:r>
      <w:r w:rsidR="005C76C3" w:rsidRPr="005C76C3">
        <w:rPr>
          <w:rFonts w:cs="Tahoma"/>
          <w:szCs w:val="20"/>
        </w:rPr>
        <w:t>Rozvoj Letiště Leoše Janáčka Ostrava</w:t>
      </w:r>
      <w:r w:rsidR="005C76C3">
        <w:rPr>
          <w:rFonts w:cs="Tahoma"/>
          <w:szCs w:val="20"/>
        </w:rPr>
        <w:t>“.</w:t>
      </w:r>
      <w:r w:rsidR="008A7981">
        <w:rPr>
          <w:rFonts w:cs="Tahoma"/>
          <w:szCs w:val="20"/>
        </w:rPr>
        <w:t xml:space="preserve"> Další významnou úpravou </w:t>
      </w:r>
      <w:r w:rsidR="003D1FAC">
        <w:rPr>
          <w:rFonts w:cs="Tahoma"/>
          <w:szCs w:val="20"/>
        </w:rPr>
        <w:t xml:space="preserve">v tomto období bylo </w:t>
      </w:r>
      <w:r w:rsidR="003D1FAC" w:rsidRPr="003E25E5">
        <w:rPr>
          <w:rFonts w:cs="Tahoma"/>
        </w:rPr>
        <w:t>zapojen</w:t>
      </w:r>
      <w:r w:rsidR="003D1FAC">
        <w:rPr>
          <w:rFonts w:cs="Tahoma"/>
        </w:rPr>
        <w:t>í</w:t>
      </w:r>
      <w:r w:rsidR="003D1FAC" w:rsidRPr="003E25E5">
        <w:rPr>
          <w:rFonts w:cs="Tahoma"/>
        </w:rPr>
        <w:t xml:space="preserve"> část</w:t>
      </w:r>
      <w:r w:rsidR="003D1FAC">
        <w:rPr>
          <w:rFonts w:cs="Tahoma"/>
        </w:rPr>
        <w:t>i</w:t>
      </w:r>
      <w:r w:rsidR="003D1FAC" w:rsidRPr="003E25E5">
        <w:rPr>
          <w:rFonts w:cs="Tahoma"/>
        </w:rPr>
        <w:t xml:space="preserve"> zůstatku rozpočtového hospodaření kraje za</w:t>
      </w:r>
      <w:r w:rsidR="003D1FAC">
        <w:rPr>
          <w:rFonts w:cs="Tahoma"/>
        </w:rPr>
        <w:t> </w:t>
      </w:r>
      <w:r w:rsidR="003D1FAC" w:rsidRPr="003E25E5">
        <w:rPr>
          <w:rFonts w:cs="Tahoma"/>
        </w:rPr>
        <w:t xml:space="preserve">rok 2021 ve výši </w:t>
      </w:r>
      <w:r w:rsidR="00652762">
        <w:rPr>
          <w:rFonts w:cs="Tahoma"/>
        </w:rPr>
        <w:t>27.184</w:t>
      </w:r>
      <w:r w:rsidR="001628F2">
        <w:rPr>
          <w:rFonts w:cs="Tahoma"/>
        </w:rPr>
        <w:t> </w:t>
      </w:r>
      <w:r w:rsidR="00652762">
        <w:rPr>
          <w:rFonts w:cs="Tahoma"/>
        </w:rPr>
        <w:t>tis.</w:t>
      </w:r>
      <w:r w:rsidR="001628F2">
        <w:rPr>
          <w:rFonts w:cs="Tahoma"/>
        </w:rPr>
        <w:t> </w:t>
      </w:r>
      <w:r w:rsidR="00652762">
        <w:rPr>
          <w:rFonts w:cs="Tahoma"/>
        </w:rPr>
        <w:t>Kč, a</w:t>
      </w:r>
      <w:r w:rsidR="00DF492F">
        <w:rPr>
          <w:rFonts w:cs="Tahoma"/>
        </w:rPr>
        <w:t> </w:t>
      </w:r>
      <w:r w:rsidR="00652762">
        <w:rPr>
          <w:rFonts w:cs="Tahoma"/>
        </w:rPr>
        <w:t>to</w:t>
      </w:r>
      <w:r w:rsidR="001628F2">
        <w:rPr>
          <w:rFonts w:cs="Tahoma"/>
        </w:rPr>
        <w:t xml:space="preserve"> zejména</w:t>
      </w:r>
      <w:r w:rsidR="00652762">
        <w:rPr>
          <w:rFonts w:cs="Tahoma"/>
        </w:rPr>
        <w:t xml:space="preserve"> na</w:t>
      </w:r>
      <w:r w:rsidR="00960144">
        <w:rPr>
          <w:rFonts w:cs="Tahoma"/>
        </w:rPr>
        <w:t> </w:t>
      </w:r>
      <w:r w:rsidR="00652762">
        <w:rPr>
          <w:rFonts w:cs="Tahoma"/>
        </w:rPr>
        <w:t xml:space="preserve">realizaci dotačního programu </w:t>
      </w:r>
      <w:r w:rsidR="00960144">
        <w:rPr>
          <w:rFonts w:cs="Tahoma"/>
        </w:rPr>
        <w:t>„</w:t>
      </w:r>
      <w:r w:rsidR="00960144" w:rsidRPr="00960144">
        <w:rPr>
          <w:rFonts w:cs="Tahoma"/>
        </w:rPr>
        <w:t>Podpora znevýhodněných oblastí Moravskoslezského kraje</w:t>
      </w:r>
      <w:r w:rsidR="00CC463F">
        <w:rPr>
          <w:rFonts w:cs="Tahoma"/>
        </w:rPr>
        <w:t xml:space="preserve"> 2022</w:t>
      </w:r>
      <w:r w:rsidR="00960144">
        <w:rPr>
          <w:rFonts w:cs="Tahoma"/>
        </w:rPr>
        <w:t>“</w:t>
      </w:r>
      <w:r w:rsidR="00C46922">
        <w:rPr>
          <w:rFonts w:cs="Tahoma"/>
        </w:rPr>
        <w:t>.</w:t>
      </w:r>
    </w:p>
    <w:p w14:paraId="3EB4122E" w14:textId="567C9CD4" w:rsidR="007B1C60" w:rsidRPr="0072616A" w:rsidRDefault="007B1C60" w:rsidP="007B1C60">
      <w:r w:rsidRPr="0072616A">
        <w:t>Zastupitelstvo kraje rozhodlo usnesením č. 7</w:t>
      </w:r>
      <w:r>
        <w:t>/641</w:t>
      </w:r>
      <w:r w:rsidRPr="0072616A">
        <w:t xml:space="preserve"> ze dne 16. 3. 2022 o dofinancování </w:t>
      </w:r>
      <w:r w:rsidR="00563AA9">
        <w:t>realizace projektu</w:t>
      </w:r>
      <w:r w:rsidRPr="0072616A">
        <w:t xml:space="preserve"> „</w:t>
      </w:r>
      <w:r w:rsidR="00482CBE" w:rsidRPr="00482CBE">
        <w:t>Podpora vzniku nového studijního programu Zubní lékařství na</w:t>
      </w:r>
      <w:r w:rsidR="007B71F4">
        <w:t> </w:t>
      </w:r>
      <w:r w:rsidR="00482CBE" w:rsidRPr="00482CBE">
        <w:t>Ostravské univerzitě (MSK)</w:t>
      </w:r>
      <w:r w:rsidRPr="0072616A">
        <w:t xml:space="preserve">“ z rozpočtu kraje na rok 2023 ve výši </w:t>
      </w:r>
      <w:r w:rsidR="00482CBE">
        <w:t>3.145</w:t>
      </w:r>
      <w:r w:rsidRPr="0072616A">
        <w:t> tis. Kč</w:t>
      </w:r>
      <w:r w:rsidR="00482CBE">
        <w:t xml:space="preserve"> a z rozpočtu kraje na</w:t>
      </w:r>
      <w:r w:rsidR="007B71F4">
        <w:t> </w:t>
      </w:r>
      <w:r w:rsidR="00482CBE">
        <w:t>rok 2024 ve výši 1.936 tis. Kč.</w:t>
      </w:r>
    </w:p>
    <w:p w14:paraId="35A3ED13" w14:textId="5556CF89" w:rsidR="000A5E6E" w:rsidRPr="0072616A" w:rsidRDefault="000A5E6E" w:rsidP="000A5E6E">
      <w:r w:rsidRPr="0072616A">
        <w:t>Zastupitelstvo kraje rozhodlo usnesením č. 7</w:t>
      </w:r>
      <w:r w:rsidR="007B1C60">
        <w:t>/</w:t>
      </w:r>
      <w:r w:rsidR="003B2EFA">
        <w:t>643</w:t>
      </w:r>
      <w:r w:rsidRPr="0072616A">
        <w:t xml:space="preserve"> ze dne 16. </w:t>
      </w:r>
      <w:r w:rsidR="0072616A" w:rsidRPr="0072616A">
        <w:t>3</w:t>
      </w:r>
      <w:r w:rsidRPr="0072616A">
        <w:t>. 202</w:t>
      </w:r>
      <w:r w:rsidR="0072616A" w:rsidRPr="0072616A">
        <w:t>2</w:t>
      </w:r>
      <w:r w:rsidRPr="0072616A">
        <w:t xml:space="preserve"> o dofinancování </w:t>
      </w:r>
      <w:r w:rsidR="005C6A80">
        <w:t>dotačního programu</w:t>
      </w:r>
      <w:r w:rsidRPr="0072616A">
        <w:t xml:space="preserve"> „</w:t>
      </w:r>
      <w:r w:rsidR="003B2EFA">
        <w:t>Podpora znevýhodněných oblastí Moravskoslezského kraje 2020</w:t>
      </w:r>
      <w:r w:rsidRPr="0072616A">
        <w:t>“ z rozpočtu kraje na rok 202</w:t>
      </w:r>
      <w:r w:rsidR="0072616A" w:rsidRPr="0072616A">
        <w:t>3</w:t>
      </w:r>
      <w:r w:rsidRPr="0072616A">
        <w:t xml:space="preserve"> ve výši </w:t>
      </w:r>
      <w:r w:rsidR="003B2EFA">
        <w:t>1.200</w:t>
      </w:r>
      <w:r w:rsidRPr="0072616A">
        <w:t> tis. Kč.</w:t>
      </w:r>
    </w:p>
    <w:p w14:paraId="7249C4C2" w14:textId="65AE9E46" w:rsidR="002149A4" w:rsidRPr="002149A4" w:rsidRDefault="00E900DD" w:rsidP="003919EB">
      <w:r w:rsidRPr="002149A4">
        <w:t xml:space="preserve">Zastupitelstvo kraje </w:t>
      </w:r>
      <w:r w:rsidR="005C5EAD" w:rsidRPr="002149A4">
        <w:t xml:space="preserve">rozhodlo </w:t>
      </w:r>
      <w:r w:rsidRPr="002149A4">
        <w:t>usnesením č. </w:t>
      </w:r>
      <w:r w:rsidR="00FC265C" w:rsidRPr="002149A4">
        <w:t>7/645</w:t>
      </w:r>
      <w:r w:rsidRPr="002149A4">
        <w:t xml:space="preserve"> ze dne </w:t>
      </w:r>
      <w:r w:rsidR="005C5EAD" w:rsidRPr="002149A4">
        <w:t>1</w:t>
      </w:r>
      <w:r w:rsidR="00FC265C" w:rsidRPr="002149A4">
        <w:t>6</w:t>
      </w:r>
      <w:r w:rsidRPr="002149A4">
        <w:t>. </w:t>
      </w:r>
      <w:r w:rsidR="005C5EAD" w:rsidRPr="002149A4">
        <w:t>3</w:t>
      </w:r>
      <w:r w:rsidRPr="002149A4">
        <w:t>. 202</w:t>
      </w:r>
      <w:r w:rsidR="00FC265C" w:rsidRPr="002149A4">
        <w:t>2</w:t>
      </w:r>
      <w:r w:rsidRPr="002149A4">
        <w:t xml:space="preserve"> o dofinancování </w:t>
      </w:r>
      <w:r w:rsidR="00FC265C" w:rsidRPr="002149A4">
        <w:t>akce rozpočtu kraje „</w:t>
      </w:r>
      <w:r w:rsidR="00E17F0E">
        <w:t>P</w:t>
      </w:r>
      <w:r w:rsidR="00FC265C" w:rsidRPr="002149A4">
        <w:t>odpora přípravy st</w:t>
      </w:r>
      <w:r w:rsidR="00E17F0E">
        <w:t>rategických projektů“ z rozpočtu kraje na rok 2023 ve</w:t>
      </w:r>
      <w:r w:rsidR="007B71F4">
        <w:t> </w:t>
      </w:r>
      <w:r w:rsidR="00E17F0E">
        <w:t>výši 12.106</w:t>
      </w:r>
      <w:r w:rsidR="007B71F4">
        <w:t> </w:t>
      </w:r>
      <w:r w:rsidR="00E17F0E">
        <w:t>tis.</w:t>
      </w:r>
      <w:r w:rsidR="007B71F4">
        <w:t> </w:t>
      </w:r>
      <w:r w:rsidR="00E17F0E">
        <w:t>Kč a</w:t>
      </w:r>
      <w:r w:rsidR="00636E61">
        <w:t> </w:t>
      </w:r>
      <w:r w:rsidR="00E17F0E">
        <w:t>na</w:t>
      </w:r>
      <w:r w:rsidR="007B71F4">
        <w:t> </w:t>
      </w:r>
      <w:r w:rsidR="00E17F0E">
        <w:t>rok 2024 ve</w:t>
      </w:r>
      <w:r w:rsidR="007B71F4">
        <w:t> </w:t>
      </w:r>
      <w:r w:rsidR="00E17F0E">
        <w:t>výši 6.053</w:t>
      </w:r>
      <w:r w:rsidR="007B71F4">
        <w:t> </w:t>
      </w:r>
      <w:r w:rsidR="00E17F0E">
        <w:t>tis.</w:t>
      </w:r>
      <w:r w:rsidR="007B71F4">
        <w:t> </w:t>
      </w:r>
      <w:r w:rsidR="00E17F0E">
        <w:t>Kč.</w:t>
      </w:r>
    </w:p>
    <w:p w14:paraId="3DB2C3D3" w14:textId="0F24503F" w:rsidR="003B2EFA" w:rsidRPr="0072616A" w:rsidRDefault="003B2EFA" w:rsidP="003B2EFA">
      <w:r w:rsidRPr="0072616A">
        <w:t>Zastupitelstvo kraje rozhodlo usnesením č. 7/650 ze dne 16. 3. 2022 o dofinancování dotačního programu „Podpora obnovy a</w:t>
      </w:r>
      <w:r w:rsidR="007B71F4">
        <w:t> </w:t>
      </w:r>
      <w:r w:rsidRPr="0072616A">
        <w:t>rozvoje venkova Moravskoslezského kraje 2022“ z rozpočtu kraje na rok 2023 ve výši 5.260 tis. Kč.</w:t>
      </w:r>
    </w:p>
    <w:p w14:paraId="4AD46E8E" w14:textId="6992A24A" w:rsidR="003B2EFA" w:rsidRDefault="003B2EFA" w:rsidP="003B2EFA">
      <w:r>
        <w:t>Zastupitelstvo kraje rozhodlo usnesením č.</w:t>
      </w:r>
      <w:r w:rsidR="007B71F4">
        <w:t> </w:t>
      </w:r>
      <w:r>
        <w:t>7/654 ze</w:t>
      </w:r>
      <w:r w:rsidR="007B71F4">
        <w:t> </w:t>
      </w:r>
      <w:r>
        <w:t>dne 16.</w:t>
      </w:r>
      <w:r w:rsidR="007B71F4">
        <w:t> </w:t>
      </w:r>
      <w:r>
        <w:t>3.</w:t>
      </w:r>
      <w:r w:rsidR="007B71F4">
        <w:t> </w:t>
      </w:r>
      <w:r>
        <w:t>2022 o</w:t>
      </w:r>
      <w:r w:rsidR="007B71F4">
        <w:t> </w:t>
      </w:r>
      <w:r>
        <w:t>dofinancování realizace projektu „Podpora podnikavosti a</w:t>
      </w:r>
      <w:r w:rsidR="007B71F4">
        <w:t> </w:t>
      </w:r>
      <w:r>
        <w:t>inovativního podnikání v kraji V“ Vysoké škole báňské</w:t>
      </w:r>
      <w:r w:rsidR="007B71F4">
        <w:t> </w:t>
      </w:r>
      <w:r w:rsidR="007B71F4">
        <w:noBreakHyphen/>
        <w:t> </w:t>
      </w:r>
      <w:r>
        <w:t>Technické univerzitě Ostrava z rozpočtu kraje na</w:t>
      </w:r>
      <w:r w:rsidR="007B71F4">
        <w:t> </w:t>
      </w:r>
      <w:r>
        <w:t>rok 2023 ve</w:t>
      </w:r>
      <w:r w:rsidR="007B71F4">
        <w:t> </w:t>
      </w:r>
      <w:r>
        <w:t>výši 1.200</w:t>
      </w:r>
      <w:r w:rsidR="007B71F4">
        <w:t> </w:t>
      </w:r>
      <w:r>
        <w:t>tis.</w:t>
      </w:r>
      <w:r w:rsidR="007B71F4">
        <w:t> </w:t>
      </w:r>
      <w:r>
        <w:t>Kč.</w:t>
      </w:r>
    </w:p>
    <w:p w14:paraId="586AA601" w14:textId="43A02155" w:rsidR="005B24CB" w:rsidRPr="006C4BAE" w:rsidRDefault="005B24CB" w:rsidP="00DF6820">
      <w:pPr>
        <w:rPr>
          <w:rFonts w:cs="Tahoma"/>
          <w:szCs w:val="20"/>
        </w:rPr>
      </w:pPr>
      <w:r w:rsidRPr="006C4BAE">
        <w:rPr>
          <w:rFonts w:cs="Tahoma"/>
          <w:szCs w:val="20"/>
        </w:rPr>
        <w:t>Celkové výdaje v odvětví byly čerpány ve</w:t>
      </w:r>
      <w:r w:rsidR="00B40870" w:rsidRPr="006C4BAE">
        <w:rPr>
          <w:rFonts w:cs="Tahoma"/>
          <w:szCs w:val="20"/>
        </w:rPr>
        <w:t> </w:t>
      </w:r>
      <w:r w:rsidRPr="006C4BAE">
        <w:rPr>
          <w:rFonts w:cs="Tahoma"/>
          <w:szCs w:val="20"/>
        </w:rPr>
        <w:t xml:space="preserve">výši </w:t>
      </w:r>
      <w:r w:rsidR="006C4BAE" w:rsidRPr="006C4BAE">
        <w:rPr>
          <w:rFonts w:cs="Tahoma"/>
          <w:szCs w:val="20"/>
        </w:rPr>
        <w:t>49.549</w:t>
      </w:r>
      <w:r w:rsidR="00B40870" w:rsidRPr="006C4BAE">
        <w:rPr>
          <w:rFonts w:cs="Tahoma"/>
          <w:szCs w:val="20"/>
        </w:rPr>
        <w:t> </w:t>
      </w:r>
      <w:r w:rsidRPr="006C4BAE">
        <w:rPr>
          <w:rFonts w:cs="Tahoma"/>
          <w:szCs w:val="20"/>
        </w:rPr>
        <w:t>tis.</w:t>
      </w:r>
      <w:r w:rsidR="00B40870" w:rsidRPr="006C4BAE">
        <w:rPr>
          <w:rFonts w:cs="Tahoma"/>
          <w:szCs w:val="20"/>
        </w:rPr>
        <w:t> </w:t>
      </w:r>
      <w:r w:rsidRPr="006C4BAE">
        <w:rPr>
          <w:rFonts w:cs="Tahoma"/>
          <w:szCs w:val="20"/>
        </w:rPr>
        <w:t xml:space="preserve">Kč, tj. </w:t>
      </w:r>
      <w:r w:rsidR="006C4BAE" w:rsidRPr="006C4BAE">
        <w:rPr>
          <w:rFonts w:cs="Tahoma"/>
          <w:szCs w:val="20"/>
        </w:rPr>
        <w:t>8</w:t>
      </w:r>
      <w:r w:rsidR="00FA4F21">
        <w:rPr>
          <w:rFonts w:cs="Tahoma"/>
          <w:szCs w:val="20"/>
        </w:rPr>
        <w:t> </w:t>
      </w:r>
      <w:r w:rsidRPr="006C4BAE">
        <w:rPr>
          <w:rFonts w:cs="Tahoma"/>
          <w:szCs w:val="20"/>
        </w:rPr>
        <w:t>%</w:t>
      </w:r>
      <w:r w:rsidR="009F459B" w:rsidRPr="006C4BAE">
        <w:rPr>
          <w:rFonts w:cs="Tahoma"/>
          <w:szCs w:val="20"/>
        </w:rPr>
        <w:t xml:space="preserve"> upraveného rozpočtu</w:t>
      </w:r>
      <w:r w:rsidRPr="006C4BAE">
        <w:rPr>
          <w:rFonts w:cs="Tahoma"/>
          <w:szCs w:val="20"/>
        </w:rPr>
        <w:t>.</w:t>
      </w:r>
    </w:p>
    <w:p w14:paraId="586AA602" w14:textId="042D7352" w:rsidR="005B24CB" w:rsidRPr="006C4BAE" w:rsidRDefault="005B24CB" w:rsidP="00DF6820">
      <w:pPr>
        <w:rPr>
          <w:rFonts w:cs="Tahoma"/>
          <w:szCs w:val="20"/>
        </w:rPr>
      </w:pPr>
      <w:r w:rsidRPr="006C4BAE">
        <w:rPr>
          <w:rFonts w:cs="Tahoma"/>
          <w:szCs w:val="20"/>
        </w:rPr>
        <w:t>V rámci prostředků vyčleněných na</w:t>
      </w:r>
      <w:r w:rsidR="00167471" w:rsidRPr="006C4BAE">
        <w:rPr>
          <w:rFonts w:cs="Tahoma"/>
          <w:szCs w:val="20"/>
        </w:rPr>
        <w:t> </w:t>
      </w:r>
      <w:r w:rsidRPr="006C4BAE">
        <w:rPr>
          <w:rFonts w:cs="Tahoma"/>
          <w:szCs w:val="20"/>
        </w:rPr>
        <w:t xml:space="preserve">dotační programy v celkové výši </w:t>
      </w:r>
      <w:r w:rsidR="006C4BAE" w:rsidRPr="006C4BAE">
        <w:rPr>
          <w:rFonts w:cs="Tahoma"/>
          <w:szCs w:val="20"/>
        </w:rPr>
        <w:t>116.847</w:t>
      </w:r>
      <w:r w:rsidR="00167471" w:rsidRPr="006C4BAE">
        <w:rPr>
          <w:rFonts w:cs="Tahoma"/>
          <w:szCs w:val="20"/>
        </w:rPr>
        <w:t> </w:t>
      </w:r>
      <w:r w:rsidRPr="006C4BAE">
        <w:rPr>
          <w:rFonts w:cs="Tahoma"/>
          <w:szCs w:val="20"/>
        </w:rPr>
        <w:t>tis.</w:t>
      </w:r>
      <w:r w:rsidR="00167471" w:rsidRPr="006C4BAE">
        <w:rPr>
          <w:rFonts w:cs="Tahoma"/>
          <w:szCs w:val="20"/>
        </w:rPr>
        <w:t> </w:t>
      </w:r>
      <w:r w:rsidRPr="006C4BAE">
        <w:rPr>
          <w:rFonts w:cs="Tahoma"/>
          <w:szCs w:val="20"/>
        </w:rPr>
        <w:t>Kč bylo</w:t>
      </w:r>
      <w:r w:rsidR="00F9034A" w:rsidRPr="006C4BAE">
        <w:rPr>
          <w:rFonts w:cs="Tahoma"/>
          <w:szCs w:val="20"/>
        </w:rPr>
        <w:t xml:space="preserve"> vyplaceno </w:t>
      </w:r>
      <w:r w:rsidRPr="006C4BAE">
        <w:rPr>
          <w:rFonts w:cs="Tahoma"/>
          <w:szCs w:val="20"/>
        </w:rPr>
        <w:t xml:space="preserve">celkově </w:t>
      </w:r>
      <w:r w:rsidR="006C4BAE" w:rsidRPr="006C4BAE">
        <w:rPr>
          <w:rFonts w:cs="Tahoma"/>
          <w:szCs w:val="20"/>
        </w:rPr>
        <w:t>13.348</w:t>
      </w:r>
      <w:r w:rsidR="00167471" w:rsidRPr="006C4BAE">
        <w:rPr>
          <w:rFonts w:cs="Tahoma"/>
          <w:szCs w:val="20"/>
        </w:rPr>
        <w:t> </w:t>
      </w:r>
      <w:r w:rsidRPr="006C4BAE">
        <w:rPr>
          <w:rFonts w:cs="Tahoma"/>
          <w:szCs w:val="20"/>
        </w:rPr>
        <w:t>tis</w:t>
      </w:r>
      <w:r w:rsidR="00EB2825" w:rsidRPr="006C4BAE">
        <w:rPr>
          <w:rFonts w:cs="Tahoma"/>
          <w:szCs w:val="20"/>
        </w:rPr>
        <w:t>.</w:t>
      </w:r>
      <w:r w:rsidR="00E6181E" w:rsidRPr="006C4BAE">
        <w:rPr>
          <w:rFonts w:cs="Tahoma"/>
          <w:szCs w:val="20"/>
        </w:rPr>
        <w:t> </w:t>
      </w:r>
      <w:r w:rsidRPr="006C4BAE">
        <w:rPr>
          <w:rFonts w:cs="Tahoma"/>
          <w:szCs w:val="20"/>
        </w:rPr>
        <w:t xml:space="preserve">Kč. </w:t>
      </w:r>
    </w:p>
    <w:p w14:paraId="586AA603" w14:textId="032B46C1" w:rsidR="005B24CB" w:rsidRPr="008151EC" w:rsidRDefault="00F9034A" w:rsidP="008151EC">
      <w:pPr>
        <w:rPr>
          <w:rFonts w:cs="Tahoma"/>
          <w:szCs w:val="20"/>
        </w:rPr>
      </w:pPr>
      <w:r w:rsidRPr="008151EC">
        <w:rPr>
          <w:rFonts w:cs="Tahoma"/>
          <w:szCs w:val="20"/>
        </w:rPr>
        <w:t xml:space="preserve">V rámci </w:t>
      </w:r>
      <w:r w:rsidR="005B24CB" w:rsidRPr="008151EC">
        <w:rPr>
          <w:rFonts w:cs="Tahoma"/>
          <w:szCs w:val="20"/>
        </w:rPr>
        <w:t>akc</w:t>
      </w:r>
      <w:r w:rsidRPr="008151EC">
        <w:rPr>
          <w:rFonts w:cs="Tahoma"/>
          <w:szCs w:val="20"/>
        </w:rPr>
        <w:t>í</w:t>
      </w:r>
      <w:r w:rsidR="005B24CB" w:rsidRPr="008151EC">
        <w:rPr>
          <w:rFonts w:cs="Tahoma"/>
          <w:szCs w:val="20"/>
        </w:rPr>
        <w:t xml:space="preserve"> spolufinancovan</w:t>
      </w:r>
      <w:r w:rsidRPr="008151EC">
        <w:rPr>
          <w:rFonts w:cs="Tahoma"/>
          <w:szCs w:val="20"/>
        </w:rPr>
        <w:t>ých</w:t>
      </w:r>
      <w:r w:rsidR="005B24CB" w:rsidRPr="008151EC">
        <w:rPr>
          <w:rFonts w:cs="Tahoma"/>
          <w:szCs w:val="20"/>
        </w:rPr>
        <w:t xml:space="preserve"> z evropských finančních zdrojů </w:t>
      </w:r>
      <w:r w:rsidRPr="008151EC">
        <w:rPr>
          <w:rFonts w:cs="Tahoma"/>
          <w:szCs w:val="20"/>
        </w:rPr>
        <w:t xml:space="preserve">byly vyplaceny prostředky ve výši </w:t>
      </w:r>
      <w:r w:rsidR="006C4BAE" w:rsidRPr="008151EC">
        <w:rPr>
          <w:rFonts w:cs="Tahoma"/>
          <w:szCs w:val="20"/>
        </w:rPr>
        <w:t>202</w:t>
      </w:r>
      <w:r w:rsidRPr="008151EC">
        <w:rPr>
          <w:rFonts w:cs="Tahoma"/>
          <w:szCs w:val="20"/>
        </w:rPr>
        <w:t> </w:t>
      </w:r>
      <w:r w:rsidR="005B24CB" w:rsidRPr="008151EC">
        <w:rPr>
          <w:rFonts w:cs="Tahoma"/>
          <w:szCs w:val="20"/>
        </w:rPr>
        <w:t>tis.</w:t>
      </w:r>
      <w:r w:rsidR="00167471" w:rsidRPr="008151EC">
        <w:rPr>
          <w:rFonts w:cs="Tahoma"/>
          <w:szCs w:val="20"/>
        </w:rPr>
        <w:t> </w:t>
      </w:r>
      <w:r w:rsidR="005B24CB" w:rsidRPr="008151EC">
        <w:rPr>
          <w:rFonts w:cs="Tahoma"/>
          <w:szCs w:val="20"/>
        </w:rPr>
        <w:t xml:space="preserve">Kč, což představuje </w:t>
      </w:r>
      <w:r w:rsidR="006C4BAE" w:rsidRPr="008151EC">
        <w:rPr>
          <w:rFonts w:cs="Tahoma"/>
          <w:szCs w:val="20"/>
        </w:rPr>
        <w:t>0,4</w:t>
      </w:r>
      <w:r w:rsidR="005B24CB" w:rsidRPr="008151EC">
        <w:rPr>
          <w:rFonts w:cs="Tahoma"/>
          <w:szCs w:val="20"/>
        </w:rPr>
        <w:t> % upraveného rozpočtu (více viz příloha č.</w:t>
      </w:r>
      <w:r w:rsidR="008151EC" w:rsidRPr="008151EC">
        <w:rPr>
          <w:rFonts w:cs="Tahoma"/>
          <w:szCs w:val="20"/>
        </w:rPr>
        <w:t> </w:t>
      </w:r>
      <w:r w:rsidR="005B24CB" w:rsidRPr="008151EC">
        <w:rPr>
          <w:rFonts w:cs="Tahoma"/>
          <w:szCs w:val="20"/>
        </w:rPr>
        <w:t>5 materiálu).</w:t>
      </w:r>
    </w:p>
    <w:p w14:paraId="586AA605" w14:textId="3B6C2D8B" w:rsidR="00F967C2" w:rsidRPr="008151EC" w:rsidRDefault="00FD7C90" w:rsidP="00CE0C49">
      <w:pPr>
        <w:pStyle w:val="Styltab"/>
      </w:pPr>
      <w:r w:rsidRPr="008151EC">
        <w:t>Výdaje v odvětví regionálního rozvoje v členění dle účelu</w:t>
      </w:r>
      <w:r w:rsidR="00084562" w:rsidRPr="008151EC">
        <w:tab/>
      </w:r>
      <w:r w:rsidR="001E5784" w:rsidRPr="008151EC">
        <w:t>v tis. Kč</w:t>
      </w:r>
      <w:bookmarkStart w:id="213" w:name="_MON_1555937844"/>
      <w:bookmarkEnd w:id="213"/>
      <w:r w:rsidR="006C4BAE" w:rsidRPr="008151EC">
        <w:object w:dxaOrig="9251" w:dyaOrig="1414" w14:anchorId="586AA6B4">
          <v:shape id="_x0000_i1054" type="#_x0000_t75" style="width:461.9pt;height:72.7pt" o:ole="">
            <v:imagedata r:id="rId67" o:title=""/>
          </v:shape>
          <o:OLEObject Type="Embed" ProgID="Excel.Sheet.8" ShapeID="_x0000_i1054" DrawAspect="Content" ObjectID="_1714980716" r:id="rId68"/>
        </w:object>
      </w:r>
    </w:p>
    <w:p w14:paraId="5C015CBB" w14:textId="77777777" w:rsidR="00C67940" w:rsidRPr="008151EC" w:rsidRDefault="00C67940" w:rsidP="00C67940"/>
    <w:p w14:paraId="018A400E" w14:textId="404758A9" w:rsidR="00E704E2" w:rsidRPr="008151EC" w:rsidRDefault="00FD7C90" w:rsidP="00CE0C49">
      <w:pPr>
        <w:pStyle w:val="Styltab"/>
      </w:pPr>
      <w:bookmarkStart w:id="214" w:name="_MON_1476601934"/>
      <w:bookmarkStart w:id="215" w:name="_MON_1477203989"/>
      <w:bookmarkStart w:id="216" w:name="_MON_1489918399"/>
      <w:bookmarkStart w:id="217" w:name="_MON_1490173097"/>
      <w:bookmarkEnd w:id="214"/>
      <w:bookmarkEnd w:id="215"/>
      <w:bookmarkEnd w:id="216"/>
      <w:bookmarkEnd w:id="217"/>
      <w:r w:rsidRPr="008151EC">
        <w:lastRenderedPageBreak/>
        <w:t>Výdaje v odvětví regionálního rozvoje na</w:t>
      </w:r>
      <w:r w:rsidR="00497DA1" w:rsidRPr="008151EC">
        <w:t> </w:t>
      </w:r>
      <w:r w:rsidRPr="008151EC">
        <w:t>samosprávné a jiné činnosti zajišťované prostřednictvím krajského úřadu</w:t>
      </w:r>
      <w:r w:rsidR="00FC0D64" w:rsidRPr="008151EC">
        <w:tab/>
      </w:r>
      <w:r w:rsidRPr="008151EC">
        <w:t>v tis. Kč</w:t>
      </w:r>
      <w:bookmarkStart w:id="218" w:name="_MON_1603602908"/>
      <w:bookmarkEnd w:id="218"/>
      <w:r w:rsidR="008151EC" w:rsidRPr="008151EC">
        <w:object w:dxaOrig="10106" w:dyaOrig="9128" w14:anchorId="5003BD88">
          <v:shape id="_x0000_i1055" type="#_x0000_t75" style="width:460.55pt;height:400.1pt" o:ole="">
            <v:imagedata r:id="rId69" o:title=""/>
          </v:shape>
          <o:OLEObject Type="Embed" ProgID="Excel.Sheet.8" ShapeID="_x0000_i1055" DrawAspect="Content" ObjectID="_1714980717" r:id="rId70"/>
        </w:object>
      </w:r>
    </w:p>
    <w:p w14:paraId="586AA608" w14:textId="77777777" w:rsidR="00014B18" w:rsidRPr="004B76D4" w:rsidRDefault="00014B18" w:rsidP="00FD7C90">
      <w:pPr>
        <w:pStyle w:val="Nadpis3"/>
      </w:pPr>
      <w:bookmarkStart w:id="219" w:name="_MON_1469445347"/>
      <w:bookmarkStart w:id="220" w:name="_MON_1469516480"/>
      <w:bookmarkStart w:id="221" w:name="_MON_1469516900"/>
      <w:bookmarkStart w:id="222" w:name="_MON_1469516914"/>
      <w:bookmarkStart w:id="223" w:name="_MON_1476601952"/>
      <w:bookmarkStart w:id="224" w:name="_MON_1477210571"/>
      <w:bookmarkStart w:id="225" w:name="_MON_1477308564"/>
      <w:bookmarkStart w:id="226" w:name="_MON_1477377414"/>
      <w:bookmarkStart w:id="227" w:name="_MON_1477378100"/>
      <w:bookmarkStart w:id="228" w:name="_MON_1477378707"/>
      <w:bookmarkStart w:id="229" w:name="_MON_1477464166"/>
      <w:bookmarkStart w:id="230" w:name="_MON_1477464187"/>
      <w:bookmarkStart w:id="231" w:name="_MON_1489923050"/>
      <w:bookmarkStart w:id="232" w:name="_MON_1489923367"/>
      <w:bookmarkStart w:id="233" w:name="_MON_1489923518"/>
      <w:bookmarkStart w:id="234" w:name="_MON_1489923540"/>
      <w:bookmarkStart w:id="235" w:name="_MON_1490173122"/>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r w:rsidRPr="004B76D4">
        <w:t>Odvětví cestovního ruchu</w:t>
      </w:r>
    </w:p>
    <w:p w14:paraId="586AA609" w14:textId="01DF862D" w:rsidR="00CA38B6" w:rsidRPr="009A1D6D" w:rsidRDefault="00014B18" w:rsidP="00922F01">
      <w:r w:rsidRPr="009A1D6D">
        <w:t>Schválený rozpočet výdajů ve</w:t>
      </w:r>
      <w:r w:rsidR="00B40870" w:rsidRPr="009A1D6D">
        <w:t> </w:t>
      </w:r>
      <w:r w:rsidRPr="009A1D6D">
        <w:t xml:space="preserve">výši </w:t>
      </w:r>
      <w:r w:rsidR="004B76D4" w:rsidRPr="009A1D6D">
        <w:t>96.694</w:t>
      </w:r>
      <w:r w:rsidR="00922F01" w:rsidRPr="009A1D6D">
        <w:t> </w:t>
      </w:r>
      <w:r w:rsidRPr="009A1D6D">
        <w:t>tis.</w:t>
      </w:r>
      <w:r w:rsidR="00922F01" w:rsidRPr="009A1D6D">
        <w:t> </w:t>
      </w:r>
      <w:r w:rsidRPr="009A1D6D">
        <w:t xml:space="preserve">Kč v odvětví cestovního ruchu byl celkově navýšen na částku </w:t>
      </w:r>
      <w:r w:rsidR="004B76D4" w:rsidRPr="009A1D6D">
        <w:t>114.522</w:t>
      </w:r>
      <w:r w:rsidR="00922F01" w:rsidRPr="009A1D6D">
        <w:t> </w:t>
      </w:r>
      <w:r w:rsidRPr="009A1D6D">
        <w:t>tis.</w:t>
      </w:r>
      <w:r w:rsidR="00922F01" w:rsidRPr="009A1D6D">
        <w:t> </w:t>
      </w:r>
      <w:r w:rsidRPr="009A1D6D">
        <w:t>Kč.</w:t>
      </w:r>
      <w:r w:rsidR="00E307E3" w:rsidRPr="009A1D6D">
        <w:t xml:space="preserve"> </w:t>
      </w:r>
      <w:r w:rsidR="00BA5982" w:rsidRPr="009A1D6D">
        <w:t xml:space="preserve">Celkově </w:t>
      </w:r>
      <w:r w:rsidR="00B6661E" w:rsidRPr="009A1D6D">
        <w:t xml:space="preserve">byly </w:t>
      </w:r>
      <w:r w:rsidR="001C221C" w:rsidRPr="009A1D6D">
        <w:t>k </w:t>
      </w:r>
      <w:r w:rsidR="0073096F" w:rsidRPr="009A1D6D">
        <w:t>30. 4. 2022</w:t>
      </w:r>
      <w:r w:rsidR="001C221C" w:rsidRPr="009A1D6D">
        <w:t xml:space="preserve"> </w:t>
      </w:r>
      <w:r w:rsidRPr="009A1D6D">
        <w:t>navýšen</w:t>
      </w:r>
      <w:r w:rsidR="00B6661E" w:rsidRPr="009A1D6D">
        <w:t>y prostředky o</w:t>
      </w:r>
      <w:r w:rsidR="00B40870" w:rsidRPr="009A1D6D">
        <w:t> </w:t>
      </w:r>
      <w:r w:rsidR="004B76D4" w:rsidRPr="009A1D6D">
        <w:t>17.828</w:t>
      </w:r>
      <w:r w:rsidR="00D17A50" w:rsidRPr="009A1D6D">
        <w:t xml:space="preserve"> </w:t>
      </w:r>
      <w:r w:rsidR="00B6661E" w:rsidRPr="009A1D6D">
        <w:t>tis.</w:t>
      </w:r>
      <w:r w:rsidR="0088157A" w:rsidRPr="009A1D6D">
        <w:t> </w:t>
      </w:r>
      <w:r w:rsidR="00B6661E" w:rsidRPr="009A1D6D">
        <w:t>Kč</w:t>
      </w:r>
      <w:r w:rsidR="00CA38B6" w:rsidRPr="009A1D6D">
        <w:t xml:space="preserve">. </w:t>
      </w:r>
    </w:p>
    <w:p w14:paraId="152A6EB0" w14:textId="1D76AFB9" w:rsidR="00154482" w:rsidRPr="003012EC" w:rsidRDefault="00AB4DD1" w:rsidP="00876B1C">
      <w:pPr>
        <w:rPr>
          <w:rFonts w:cs="Tahoma"/>
        </w:rPr>
      </w:pPr>
      <w:r w:rsidRPr="009A1D6D">
        <w:t xml:space="preserve">Objemově významná úprava </w:t>
      </w:r>
      <w:r w:rsidR="00A46EE0" w:rsidRPr="009A1D6D">
        <w:t>v</w:t>
      </w:r>
      <w:r w:rsidR="003C6D13" w:rsidRPr="009A1D6D">
        <w:t> období leden až</w:t>
      </w:r>
      <w:r w:rsidR="007A156E">
        <w:t> </w:t>
      </w:r>
      <w:r w:rsidR="003C6D13" w:rsidRPr="009A1D6D">
        <w:t>duben</w:t>
      </w:r>
      <w:r w:rsidR="00A46EE0" w:rsidRPr="009A1D6D">
        <w:t xml:space="preserve"> souvisela </w:t>
      </w:r>
      <w:r w:rsidRPr="009A1D6D">
        <w:t>s nedočerpanými účelově vymezenými výdaji roku 20</w:t>
      </w:r>
      <w:r w:rsidR="00A46EE0" w:rsidRPr="009A1D6D">
        <w:t>2</w:t>
      </w:r>
      <w:r w:rsidR="003506CB" w:rsidRPr="009A1D6D">
        <w:t>1</w:t>
      </w:r>
      <w:r w:rsidRPr="009A1D6D">
        <w:t xml:space="preserve"> v celkovém objemu </w:t>
      </w:r>
      <w:r w:rsidR="00A46EE0" w:rsidRPr="009A1D6D">
        <w:t>1</w:t>
      </w:r>
      <w:r w:rsidR="003506CB" w:rsidRPr="009A1D6D">
        <w:t>1.178</w:t>
      </w:r>
      <w:r w:rsidRPr="009A1D6D">
        <w:t> tis. Kč, které byly zapojeny ke stejnému účelu do rozpočtu roku 20</w:t>
      </w:r>
      <w:r w:rsidR="006D1026" w:rsidRPr="009A1D6D">
        <w:t>2</w:t>
      </w:r>
      <w:r w:rsidR="003506CB" w:rsidRPr="009A1D6D">
        <w:t>2</w:t>
      </w:r>
      <w:r w:rsidR="00943135" w:rsidRPr="009A1D6D">
        <w:t>, a to v plné výši</w:t>
      </w:r>
      <w:r w:rsidR="0071309A" w:rsidRPr="009A1D6D">
        <w:t xml:space="preserve"> do</w:t>
      </w:r>
      <w:r w:rsidR="00693072">
        <w:t> </w:t>
      </w:r>
      <w:r w:rsidR="0071309A" w:rsidRPr="009A1D6D">
        <w:t xml:space="preserve">výdajů </w:t>
      </w:r>
      <w:r w:rsidR="00943135" w:rsidRPr="009A1D6D">
        <w:t>na</w:t>
      </w:r>
      <w:r w:rsidR="002D0D3B" w:rsidRPr="009A1D6D">
        <w:t> </w:t>
      </w:r>
      <w:r w:rsidRPr="009A1D6D">
        <w:t>samosprávn</w:t>
      </w:r>
      <w:r w:rsidR="00721144" w:rsidRPr="009A1D6D">
        <w:t>é</w:t>
      </w:r>
      <w:r w:rsidRPr="009A1D6D">
        <w:t xml:space="preserve"> a</w:t>
      </w:r>
      <w:r w:rsidR="00693072">
        <w:t> </w:t>
      </w:r>
      <w:r w:rsidRPr="009A1D6D">
        <w:t>jin</w:t>
      </w:r>
      <w:r w:rsidR="00721144" w:rsidRPr="009A1D6D">
        <w:t>é</w:t>
      </w:r>
      <w:r w:rsidRPr="009A1D6D">
        <w:t xml:space="preserve"> činnost</w:t>
      </w:r>
      <w:r w:rsidR="00721144" w:rsidRPr="009A1D6D">
        <w:t>i</w:t>
      </w:r>
      <w:r w:rsidR="006D386B" w:rsidRPr="009A1D6D">
        <w:t xml:space="preserve"> realizovan</w:t>
      </w:r>
      <w:r w:rsidR="00721144" w:rsidRPr="009A1D6D">
        <w:t>é</w:t>
      </w:r>
      <w:r w:rsidR="006D386B" w:rsidRPr="009A1D6D">
        <w:t xml:space="preserve"> krajským úřadem</w:t>
      </w:r>
      <w:r w:rsidR="0071309A" w:rsidRPr="009A1D6D">
        <w:t xml:space="preserve">. Z toho bylo </w:t>
      </w:r>
      <w:r w:rsidR="00721144" w:rsidRPr="009A1D6D">
        <w:t xml:space="preserve">určeno </w:t>
      </w:r>
      <w:r w:rsidR="0071309A" w:rsidRPr="009A1D6D">
        <w:t>7.203</w:t>
      </w:r>
      <w:r w:rsidR="00721144" w:rsidRPr="009A1D6D">
        <w:t> </w:t>
      </w:r>
      <w:r w:rsidR="0071309A" w:rsidRPr="009A1D6D">
        <w:t>tis.</w:t>
      </w:r>
      <w:r w:rsidR="00721144" w:rsidRPr="009A1D6D">
        <w:t> </w:t>
      </w:r>
      <w:r w:rsidR="0071309A" w:rsidRPr="009A1D6D">
        <w:t>Kč n</w:t>
      </w:r>
      <w:r w:rsidR="000E4DE8" w:rsidRPr="009A1D6D">
        <w:t>a</w:t>
      </w:r>
      <w:r w:rsidR="003012EC">
        <w:t> </w:t>
      </w:r>
      <w:r w:rsidR="000E4DE8" w:rsidRPr="009A1D6D">
        <w:t>financování dotačních programů.</w:t>
      </w:r>
      <w:r w:rsidR="00876B1C" w:rsidRPr="009A1D6D">
        <w:t xml:space="preserve"> </w:t>
      </w:r>
      <w:r w:rsidR="00876B1C" w:rsidRPr="009A1D6D">
        <w:rPr>
          <w:rFonts w:cs="Tahoma"/>
        </w:rPr>
        <w:t>Do</w:t>
      </w:r>
      <w:r w:rsidR="003012EC">
        <w:rPr>
          <w:rFonts w:cs="Tahoma"/>
        </w:rPr>
        <w:t> </w:t>
      </w:r>
      <w:r w:rsidR="00876B1C" w:rsidRPr="009A1D6D">
        <w:rPr>
          <w:rFonts w:cs="Tahoma"/>
        </w:rPr>
        <w:t xml:space="preserve">rozpočtu odvětví cestovního ruchu byla ve sledovaném období zapojena část zůstatku rozpočtového hospodaření kraje za rok 2021 ve výši </w:t>
      </w:r>
      <w:r w:rsidR="00154482" w:rsidRPr="009A1D6D">
        <w:rPr>
          <w:rFonts w:cs="Tahoma"/>
        </w:rPr>
        <w:t>5.000</w:t>
      </w:r>
      <w:r w:rsidR="00876B1C" w:rsidRPr="009A1D6D">
        <w:rPr>
          <w:rFonts w:cs="Tahoma"/>
        </w:rPr>
        <w:t> tis. Kč, a to na</w:t>
      </w:r>
      <w:r w:rsidR="003012EC">
        <w:rPr>
          <w:rFonts w:cs="Tahoma"/>
        </w:rPr>
        <w:t> </w:t>
      </w:r>
      <w:r w:rsidR="00154482" w:rsidRPr="009A1D6D">
        <w:rPr>
          <w:rFonts w:cs="Tahoma"/>
        </w:rPr>
        <w:t>podporu projektu</w:t>
      </w:r>
      <w:r w:rsidR="00AE4787" w:rsidRPr="009A1D6D">
        <w:rPr>
          <w:rFonts w:cs="Tahoma"/>
        </w:rPr>
        <w:t xml:space="preserve"> realizovaného subjektem</w:t>
      </w:r>
      <w:r w:rsidR="00B50812" w:rsidRPr="009A1D6D">
        <w:rPr>
          <w:rFonts w:cs="Tahoma"/>
        </w:rPr>
        <w:t xml:space="preserve"> Osoblažská </w:t>
      </w:r>
      <w:r w:rsidR="00B50812" w:rsidRPr="003012EC">
        <w:rPr>
          <w:rFonts w:cs="Tahoma"/>
        </w:rPr>
        <w:t>úzkorozchodná dráha o.p.s.</w:t>
      </w:r>
    </w:p>
    <w:p w14:paraId="2A252A23" w14:textId="11528AA1" w:rsidR="004E53E3" w:rsidRPr="003012EC" w:rsidRDefault="004E53E3" w:rsidP="004E53E3">
      <w:r w:rsidRPr="003012EC">
        <w:t>Zastupitelstvo kraje rozhodlo usnesením č. 7/648 ze dne 16. 3. 2022 o dofinancování dotačního programu „Podpora natáčení audiovizuálních děl v Moravskoslezském kraji v letech 2019 </w:t>
      </w:r>
      <w:r w:rsidRPr="003012EC">
        <w:noBreakHyphen/>
        <w:t> 2021“ z rozpočtu kraje na rok 2023 ve výši 400 tis. Kč.</w:t>
      </w:r>
    </w:p>
    <w:p w14:paraId="6ECE57DB" w14:textId="40B18878" w:rsidR="004E53E3" w:rsidRPr="003012EC" w:rsidRDefault="004E53E3" w:rsidP="004E53E3">
      <w:pPr>
        <w:spacing w:after="0"/>
        <w:rPr>
          <w:rFonts w:cs="Tahoma"/>
          <w:szCs w:val="20"/>
        </w:rPr>
      </w:pPr>
      <w:r w:rsidRPr="003012EC">
        <w:rPr>
          <w:rFonts w:cs="Tahoma"/>
          <w:szCs w:val="20"/>
        </w:rPr>
        <w:t>Zastupitelstvo kraje rozhodlo usnesením č. 7/651 ze dne 16. 3. 2022 o</w:t>
      </w:r>
      <w:r w:rsidR="0097226E">
        <w:rPr>
          <w:rFonts w:cs="Tahoma"/>
          <w:szCs w:val="20"/>
        </w:rPr>
        <w:t> </w:t>
      </w:r>
      <w:r w:rsidRPr="003012EC">
        <w:rPr>
          <w:rFonts w:cs="Tahoma"/>
          <w:szCs w:val="20"/>
        </w:rPr>
        <w:t>dofinancování realizace projektů:</w:t>
      </w:r>
    </w:p>
    <w:p w14:paraId="7D0D4FE9" w14:textId="7B990EC4" w:rsidR="004E53E3" w:rsidRDefault="004E53E3" w:rsidP="004E53E3">
      <w:pPr>
        <w:pStyle w:val="Odstavecseseznamem"/>
        <w:numPr>
          <w:ilvl w:val="0"/>
          <w:numId w:val="43"/>
        </w:numPr>
        <w:spacing w:after="0"/>
        <w:rPr>
          <w:rFonts w:cs="Tahoma"/>
          <w:szCs w:val="20"/>
        </w:rPr>
      </w:pPr>
      <w:r w:rsidRPr="003012EC">
        <w:rPr>
          <w:rFonts w:cs="Tahoma"/>
          <w:szCs w:val="20"/>
        </w:rPr>
        <w:t>„Provoz lodní dopravy na Slezské Hartě 2022 </w:t>
      </w:r>
      <w:r w:rsidRPr="003012EC">
        <w:rPr>
          <w:rFonts w:cs="Tahoma"/>
          <w:szCs w:val="20"/>
        </w:rPr>
        <w:noBreakHyphen/>
        <w:t xml:space="preserve"> 2024“ Mikroregionu Slezská Harta z rozpočtu kraje </w:t>
      </w:r>
      <w:r w:rsidRPr="00735A4E">
        <w:rPr>
          <w:rFonts w:cs="Tahoma"/>
          <w:szCs w:val="20"/>
        </w:rPr>
        <w:t>na</w:t>
      </w:r>
      <w:r w:rsidR="0097226E">
        <w:rPr>
          <w:rFonts w:cs="Tahoma"/>
          <w:szCs w:val="20"/>
        </w:rPr>
        <w:t> </w:t>
      </w:r>
      <w:r w:rsidRPr="00735A4E">
        <w:rPr>
          <w:rFonts w:cs="Tahoma"/>
          <w:szCs w:val="20"/>
        </w:rPr>
        <w:t>rok 2023 ve</w:t>
      </w:r>
      <w:r w:rsidR="0097226E">
        <w:rPr>
          <w:rFonts w:cs="Tahoma"/>
          <w:szCs w:val="20"/>
        </w:rPr>
        <w:t> </w:t>
      </w:r>
      <w:r w:rsidRPr="00735A4E">
        <w:rPr>
          <w:rFonts w:cs="Tahoma"/>
          <w:szCs w:val="20"/>
        </w:rPr>
        <w:t>výši 600</w:t>
      </w:r>
      <w:r>
        <w:rPr>
          <w:rFonts w:cs="Tahoma"/>
          <w:szCs w:val="20"/>
        </w:rPr>
        <w:t> tis. Kč</w:t>
      </w:r>
      <w:r w:rsidRPr="00735A4E">
        <w:rPr>
          <w:rFonts w:cs="Tahoma"/>
          <w:szCs w:val="20"/>
        </w:rPr>
        <w:t xml:space="preserve"> a</w:t>
      </w:r>
      <w:r w:rsidR="0097226E">
        <w:rPr>
          <w:rFonts w:cs="Tahoma"/>
          <w:szCs w:val="20"/>
        </w:rPr>
        <w:t> </w:t>
      </w:r>
      <w:r w:rsidRPr="00735A4E">
        <w:rPr>
          <w:rFonts w:cs="Tahoma"/>
          <w:szCs w:val="20"/>
        </w:rPr>
        <w:t>na</w:t>
      </w:r>
      <w:r w:rsidR="0097226E">
        <w:rPr>
          <w:rFonts w:cs="Tahoma"/>
          <w:szCs w:val="20"/>
        </w:rPr>
        <w:t> </w:t>
      </w:r>
      <w:r w:rsidRPr="00735A4E">
        <w:rPr>
          <w:rFonts w:cs="Tahoma"/>
          <w:szCs w:val="20"/>
        </w:rPr>
        <w:t>rok 2024 ve</w:t>
      </w:r>
      <w:r w:rsidR="0097226E">
        <w:rPr>
          <w:rFonts w:cs="Tahoma"/>
          <w:szCs w:val="20"/>
        </w:rPr>
        <w:t> </w:t>
      </w:r>
      <w:r w:rsidRPr="00735A4E">
        <w:rPr>
          <w:rFonts w:cs="Tahoma"/>
          <w:szCs w:val="20"/>
        </w:rPr>
        <w:t>výši 600</w:t>
      </w:r>
      <w:r>
        <w:rPr>
          <w:rFonts w:cs="Tahoma"/>
          <w:szCs w:val="20"/>
        </w:rPr>
        <w:t xml:space="preserve"> tis. Kč,</w:t>
      </w:r>
    </w:p>
    <w:p w14:paraId="02BF9875" w14:textId="5411D52D" w:rsidR="004E53E3" w:rsidRDefault="004E53E3" w:rsidP="004E53E3">
      <w:pPr>
        <w:pStyle w:val="Odstavecseseznamem"/>
        <w:numPr>
          <w:ilvl w:val="0"/>
          <w:numId w:val="43"/>
        </w:numPr>
        <w:rPr>
          <w:rFonts w:cs="Tahoma"/>
          <w:szCs w:val="20"/>
        </w:rPr>
      </w:pPr>
      <w:r w:rsidRPr="001872A5">
        <w:rPr>
          <w:rFonts w:cs="Tahoma"/>
          <w:szCs w:val="20"/>
        </w:rPr>
        <w:t>„</w:t>
      </w:r>
      <w:r>
        <w:rPr>
          <w:rFonts w:cs="Tahoma"/>
          <w:szCs w:val="20"/>
        </w:rPr>
        <w:t>P</w:t>
      </w:r>
      <w:r w:rsidRPr="001872A5">
        <w:rPr>
          <w:rFonts w:cs="Tahoma"/>
          <w:szCs w:val="20"/>
        </w:rPr>
        <w:t>rovoz pa</w:t>
      </w:r>
      <w:r>
        <w:rPr>
          <w:rFonts w:cs="Tahoma"/>
          <w:szCs w:val="20"/>
        </w:rPr>
        <w:t>r</w:t>
      </w:r>
      <w:r w:rsidRPr="001872A5">
        <w:rPr>
          <w:rFonts w:cs="Tahoma"/>
          <w:szCs w:val="20"/>
        </w:rPr>
        <w:t>ních vlaků Slezských zemských drah v letech 2022</w:t>
      </w:r>
      <w:r>
        <w:rPr>
          <w:rFonts w:cs="Tahoma"/>
          <w:szCs w:val="20"/>
        </w:rPr>
        <w:t> </w:t>
      </w:r>
      <w:r>
        <w:rPr>
          <w:rFonts w:cs="Tahoma"/>
          <w:szCs w:val="20"/>
        </w:rPr>
        <w:noBreakHyphen/>
        <w:t> </w:t>
      </w:r>
      <w:r w:rsidRPr="001872A5">
        <w:rPr>
          <w:rFonts w:cs="Tahoma"/>
          <w:szCs w:val="20"/>
        </w:rPr>
        <w:t xml:space="preserve">2024“ Slezským zemským drahám, z rozpočtu </w:t>
      </w:r>
      <w:r>
        <w:rPr>
          <w:rFonts w:cs="Tahoma"/>
          <w:szCs w:val="20"/>
        </w:rPr>
        <w:t>k</w:t>
      </w:r>
      <w:r w:rsidRPr="001872A5">
        <w:rPr>
          <w:rFonts w:cs="Tahoma"/>
          <w:szCs w:val="20"/>
        </w:rPr>
        <w:t>raje na</w:t>
      </w:r>
      <w:r w:rsidR="0097226E">
        <w:rPr>
          <w:rFonts w:cs="Tahoma"/>
          <w:szCs w:val="20"/>
        </w:rPr>
        <w:t> </w:t>
      </w:r>
      <w:r w:rsidRPr="001872A5">
        <w:rPr>
          <w:rFonts w:cs="Tahoma"/>
          <w:szCs w:val="20"/>
        </w:rPr>
        <w:t>rok 2023 ve</w:t>
      </w:r>
      <w:r w:rsidR="0097226E">
        <w:rPr>
          <w:rFonts w:cs="Tahoma"/>
          <w:szCs w:val="20"/>
        </w:rPr>
        <w:t> </w:t>
      </w:r>
      <w:r w:rsidRPr="001872A5">
        <w:rPr>
          <w:rFonts w:cs="Tahoma"/>
          <w:szCs w:val="20"/>
        </w:rPr>
        <w:t>výši 700</w:t>
      </w:r>
      <w:r w:rsidR="0097226E">
        <w:rPr>
          <w:rFonts w:cs="Tahoma"/>
          <w:szCs w:val="20"/>
        </w:rPr>
        <w:t> </w:t>
      </w:r>
      <w:r w:rsidRPr="001872A5">
        <w:rPr>
          <w:rFonts w:cs="Tahoma"/>
          <w:szCs w:val="20"/>
        </w:rPr>
        <w:t>tis.</w:t>
      </w:r>
      <w:r w:rsidR="0097226E">
        <w:rPr>
          <w:rFonts w:cs="Tahoma"/>
          <w:szCs w:val="20"/>
        </w:rPr>
        <w:t> </w:t>
      </w:r>
      <w:r w:rsidRPr="001872A5">
        <w:rPr>
          <w:rFonts w:cs="Tahoma"/>
          <w:szCs w:val="20"/>
        </w:rPr>
        <w:t>Kč a</w:t>
      </w:r>
      <w:r w:rsidR="0097226E">
        <w:rPr>
          <w:rFonts w:cs="Tahoma"/>
          <w:szCs w:val="20"/>
        </w:rPr>
        <w:t> </w:t>
      </w:r>
      <w:r w:rsidRPr="001872A5">
        <w:rPr>
          <w:rFonts w:cs="Tahoma"/>
          <w:szCs w:val="20"/>
        </w:rPr>
        <w:t>na</w:t>
      </w:r>
      <w:r w:rsidR="0097226E">
        <w:rPr>
          <w:rFonts w:cs="Tahoma"/>
          <w:szCs w:val="20"/>
        </w:rPr>
        <w:t> </w:t>
      </w:r>
      <w:r w:rsidRPr="001872A5">
        <w:rPr>
          <w:rFonts w:cs="Tahoma"/>
          <w:szCs w:val="20"/>
        </w:rPr>
        <w:t>rok 2024 ve</w:t>
      </w:r>
      <w:r w:rsidR="0097226E">
        <w:rPr>
          <w:rFonts w:cs="Tahoma"/>
          <w:szCs w:val="20"/>
        </w:rPr>
        <w:t> </w:t>
      </w:r>
      <w:r w:rsidRPr="001872A5">
        <w:rPr>
          <w:rFonts w:cs="Tahoma"/>
          <w:szCs w:val="20"/>
        </w:rPr>
        <w:t>v</w:t>
      </w:r>
      <w:r>
        <w:rPr>
          <w:rFonts w:cs="Tahoma"/>
          <w:szCs w:val="20"/>
        </w:rPr>
        <w:t>ý</w:t>
      </w:r>
      <w:r w:rsidRPr="001872A5">
        <w:rPr>
          <w:rFonts w:cs="Tahoma"/>
          <w:szCs w:val="20"/>
        </w:rPr>
        <w:t>ši 700</w:t>
      </w:r>
      <w:r w:rsidR="0097226E">
        <w:rPr>
          <w:rFonts w:cs="Tahoma"/>
          <w:szCs w:val="20"/>
        </w:rPr>
        <w:t> </w:t>
      </w:r>
      <w:r w:rsidRPr="001872A5">
        <w:rPr>
          <w:rFonts w:cs="Tahoma"/>
          <w:szCs w:val="20"/>
        </w:rPr>
        <w:t>tis.</w:t>
      </w:r>
      <w:r w:rsidR="0097226E">
        <w:rPr>
          <w:rFonts w:cs="Tahoma"/>
          <w:szCs w:val="20"/>
        </w:rPr>
        <w:t> </w:t>
      </w:r>
      <w:r w:rsidRPr="001872A5">
        <w:rPr>
          <w:rFonts w:cs="Tahoma"/>
          <w:szCs w:val="20"/>
        </w:rPr>
        <w:t>Kč</w:t>
      </w:r>
      <w:r>
        <w:rPr>
          <w:rFonts w:cs="Tahoma"/>
          <w:szCs w:val="20"/>
        </w:rPr>
        <w:t>,</w:t>
      </w:r>
    </w:p>
    <w:p w14:paraId="0B4868E5" w14:textId="2CDEBF0A" w:rsidR="004E53E3" w:rsidRDefault="004E53E3" w:rsidP="004E53E3">
      <w:pPr>
        <w:pStyle w:val="Odstavecseseznamem"/>
        <w:numPr>
          <w:ilvl w:val="0"/>
          <w:numId w:val="43"/>
        </w:numPr>
        <w:rPr>
          <w:rFonts w:cs="Tahoma"/>
          <w:szCs w:val="20"/>
        </w:rPr>
      </w:pPr>
      <w:r w:rsidRPr="009A03F1">
        <w:rPr>
          <w:rFonts w:cs="Tahoma"/>
          <w:szCs w:val="20"/>
        </w:rPr>
        <w:lastRenderedPageBreak/>
        <w:t>„Hvozdnický expres</w:t>
      </w:r>
      <w:r>
        <w:rPr>
          <w:rFonts w:cs="Tahoma"/>
          <w:szCs w:val="20"/>
        </w:rPr>
        <w:t> </w:t>
      </w:r>
      <w:r>
        <w:rPr>
          <w:rFonts w:cs="Tahoma"/>
          <w:szCs w:val="20"/>
        </w:rPr>
        <w:noBreakHyphen/>
        <w:t> </w:t>
      </w:r>
      <w:r w:rsidRPr="009A03F1">
        <w:rPr>
          <w:rFonts w:cs="Tahoma"/>
          <w:szCs w:val="20"/>
        </w:rPr>
        <w:t>zajištění vlakové dopravy na</w:t>
      </w:r>
      <w:r w:rsidR="0097226E">
        <w:rPr>
          <w:rFonts w:cs="Tahoma"/>
          <w:szCs w:val="20"/>
        </w:rPr>
        <w:t> </w:t>
      </w:r>
      <w:r w:rsidRPr="009A03F1">
        <w:rPr>
          <w:rFonts w:cs="Tahoma"/>
          <w:szCs w:val="20"/>
        </w:rPr>
        <w:t>trati č. 314 (Opava-Svobodné Heřmanice) v období 2022</w:t>
      </w:r>
      <w:r>
        <w:rPr>
          <w:rFonts w:cs="Tahoma"/>
          <w:szCs w:val="20"/>
        </w:rPr>
        <w:t> </w:t>
      </w:r>
      <w:r>
        <w:rPr>
          <w:rFonts w:cs="Tahoma"/>
          <w:szCs w:val="20"/>
        </w:rPr>
        <w:noBreakHyphen/>
        <w:t> </w:t>
      </w:r>
      <w:r w:rsidRPr="009A03F1">
        <w:rPr>
          <w:rFonts w:cs="Tahoma"/>
          <w:szCs w:val="20"/>
        </w:rPr>
        <w:t>2024“ Mikroregionu Hvozdnice z rozpočtu kraje na rok 2023 ve</w:t>
      </w:r>
      <w:r w:rsidR="0097226E">
        <w:rPr>
          <w:rFonts w:cs="Tahoma"/>
          <w:szCs w:val="20"/>
        </w:rPr>
        <w:t> </w:t>
      </w:r>
      <w:r w:rsidRPr="009A03F1">
        <w:rPr>
          <w:rFonts w:cs="Tahoma"/>
          <w:szCs w:val="20"/>
        </w:rPr>
        <w:t>výši 300</w:t>
      </w:r>
      <w:r>
        <w:rPr>
          <w:rFonts w:cs="Tahoma"/>
          <w:szCs w:val="20"/>
        </w:rPr>
        <w:t> tis. </w:t>
      </w:r>
      <w:r w:rsidRPr="009A03F1">
        <w:rPr>
          <w:rFonts w:cs="Tahoma"/>
          <w:szCs w:val="20"/>
        </w:rPr>
        <w:t>Kč a na rok 2024 ve</w:t>
      </w:r>
      <w:r w:rsidR="0097226E">
        <w:rPr>
          <w:rFonts w:cs="Tahoma"/>
          <w:szCs w:val="20"/>
        </w:rPr>
        <w:t> </w:t>
      </w:r>
      <w:r w:rsidRPr="009A03F1">
        <w:rPr>
          <w:rFonts w:cs="Tahoma"/>
          <w:szCs w:val="20"/>
        </w:rPr>
        <w:t>výši 300</w:t>
      </w:r>
      <w:r w:rsidR="0097226E">
        <w:rPr>
          <w:rFonts w:cs="Tahoma"/>
          <w:szCs w:val="20"/>
        </w:rPr>
        <w:t> </w:t>
      </w:r>
      <w:r>
        <w:rPr>
          <w:rFonts w:cs="Tahoma"/>
          <w:szCs w:val="20"/>
        </w:rPr>
        <w:t>tis.</w:t>
      </w:r>
      <w:r w:rsidR="0097226E">
        <w:rPr>
          <w:rFonts w:cs="Tahoma"/>
          <w:szCs w:val="20"/>
        </w:rPr>
        <w:t> </w:t>
      </w:r>
      <w:r>
        <w:rPr>
          <w:rFonts w:cs="Tahoma"/>
          <w:szCs w:val="20"/>
        </w:rPr>
        <w:t>Kč,</w:t>
      </w:r>
    </w:p>
    <w:p w14:paraId="73ECC8FF" w14:textId="2A1CEAEC" w:rsidR="004E53E3" w:rsidRPr="001872A5" w:rsidRDefault="004E53E3" w:rsidP="004E53E3">
      <w:pPr>
        <w:pStyle w:val="Odstavecseseznamem"/>
        <w:numPr>
          <w:ilvl w:val="0"/>
          <w:numId w:val="43"/>
        </w:numPr>
        <w:rPr>
          <w:rFonts w:cs="Tahoma"/>
          <w:szCs w:val="20"/>
        </w:rPr>
      </w:pPr>
      <w:r w:rsidRPr="00BC1A3C">
        <w:rPr>
          <w:rFonts w:cs="Tahoma"/>
          <w:szCs w:val="20"/>
        </w:rPr>
        <w:t>„Výletní vlaky Slezského železničního spolku 2022-2024“ SLEZSKÉMU ŽELEZNIČNÍMU SPOLKU z rozpočtu kraje na rok 2023 ve výši 200</w:t>
      </w:r>
      <w:r>
        <w:rPr>
          <w:rFonts w:cs="Tahoma"/>
          <w:szCs w:val="20"/>
        </w:rPr>
        <w:t> tis. </w:t>
      </w:r>
      <w:r w:rsidRPr="00BC1A3C">
        <w:rPr>
          <w:rFonts w:cs="Tahoma"/>
          <w:szCs w:val="20"/>
        </w:rPr>
        <w:t>Kč a na</w:t>
      </w:r>
      <w:r w:rsidR="0097226E">
        <w:rPr>
          <w:rFonts w:cs="Tahoma"/>
          <w:szCs w:val="20"/>
        </w:rPr>
        <w:t> </w:t>
      </w:r>
      <w:r w:rsidRPr="00BC1A3C">
        <w:rPr>
          <w:rFonts w:cs="Tahoma"/>
          <w:szCs w:val="20"/>
        </w:rPr>
        <w:t>rok 2024 ve</w:t>
      </w:r>
      <w:r w:rsidR="0097226E">
        <w:rPr>
          <w:rFonts w:cs="Tahoma"/>
          <w:szCs w:val="20"/>
        </w:rPr>
        <w:t> </w:t>
      </w:r>
      <w:r w:rsidRPr="00BC1A3C">
        <w:rPr>
          <w:rFonts w:cs="Tahoma"/>
          <w:szCs w:val="20"/>
        </w:rPr>
        <w:t xml:space="preserve">výši </w:t>
      </w:r>
      <w:r>
        <w:rPr>
          <w:rFonts w:cs="Tahoma"/>
          <w:szCs w:val="20"/>
        </w:rPr>
        <w:t>200 tis. </w:t>
      </w:r>
      <w:r w:rsidRPr="00BC1A3C">
        <w:rPr>
          <w:rFonts w:cs="Tahoma"/>
          <w:szCs w:val="20"/>
        </w:rPr>
        <w:t>Kč</w:t>
      </w:r>
      <w:r>
        <w:rPr>
          <w:rFonts w:cs="Tahoma"/>
          <w:szCs w:val="20"/>
        </w:rPr>
        <w:t>.</w:t>
      </w:r>
    </w:p>
    <w:p w14:paraId="586AA60D" w14:textId="53E1017F" w:rsidR="00014B18" w:rsidRPr="006D0B1D" w:rsidRDefault="00014B18" w:rsidP="00822A28">
      <w:r w:rsidRPr="006D0B1D">
        <w:t>Čerpání výdajů v odvětví cestovního ruchu činilo k</w:t>
      </w:r>
      <w:r w:rsidR="003D01BA" w:rsidRPr="006D0B1D">
        <w:t> </w:t>
      </w:r>
      <w:r w:rsidR="0073096F" w:rsidRPr="006D0B1D">
        <w:t>30. 4. 2022</w:t>
      </w:r>
      <w:r w:rsidRPr="006D0B1D">
        <w:t xml:space="preserve"> celkem </w:t>
      </w:r>
      <w:r w:rsidR="006D0B1D" w:rsidRPr="006D0B1D">
        <w:t>23.456</w:t>
      </w:r>
      <w:r w:rsidR="00922F01" w:rsidRPr="006D0B1D">
        <w:t> </w:t>
      </w:r>
      <w:r w:rsidRPr="006D0B1D">
        <w:t>tis.</w:t>
      </w:r>
      <w:r w:rsidR="00922F01" w:rsidRPr="006D0B1D">
        <w:t> </w:t>
      </w:r>
      <w:r w:rsidRPr="006D0B1D">
        <w:t>Kč</w:t>
      </w:r>
      <w:r w:rsidR="00946C12" w:rsidRPr="006D0B1D">
        <w:t xml:space="preserve">, což představuje </w:t>
      </w:r>
      <w:r w:rsidR="006D0B1D" w:rsidRPr="006D0B1D">
        <w:t>2</w:t>
      </w:r>
      <w:r w:rsidR="00E84B35">
        <w:t>0</w:t>
      </w:r>
      <w:r w:rsidR="00946C12" w:rsidRPr="006D0B1D">
        <w:t> % upraveného rozpočtu</w:t>
      </w:r>
      <w:r w:rsidRPr="006D0B1D">
        <w:t xml:space="preserve">. </w:t>
      </w:r>
    </w:p>
    <w:p w14:paraId="586AA60E" w14:textId="0AFBB288" w:rsidR="00903945" w:rsidRPr="006D0B1D" w:rsidRDefault="00AB6107" w:rsidP="00903945">
      <w:pPr>
        <w:rPr>
          <w:rFonts w:cs="Tahoma"/>
          <w:szCs w:val="20"/>
        </w:rPr>
      </w:pPr>
      <w:r w:rsidRPr="006D0B1D">
        <w:rPr>
          <w:rFonts w:cs="Tahoma"/>
          <w:szCs w:val="20"/>
        </w:rPr>
        <w:t>Rozpočtované dotační programy</w:t>
      </w:r>
      <w:r w:rsidR="00903945" w:rsidRPr="006D0B1D">
        <w:rPr>
          <w:rFonts w:cs="Tahoma"/>
          <w:szCs w:val="20"/>
        </w:rPr>
        <w:t xml:space="preserve"> v</w:t>
      </w:r>
      <w:r w:rsidR="00B40870" w:rsidRPr="006D0B1D">
        <w:rPr>
          <w:rFonts w:cs="Tahoma"/>
          <w:szCs w:val="20"/>
        </w:rPr>
        <w:t> </w:t>
      </w:r>
      <w:r w:rsidRPr="006D0B1D">
        <w:rPr>
          <w:rFonts w:cs="Tahoma"/>
          <w:szCs w:val="20"/>
        </w:rPr>
        <w:t>objemu</w:t>
      </w:r>
      <w:r w:rsidR="00903945" w:rsidRPr="006D0B1D">
        <w:rPr>
          <w:rFonts w:cs="Tahoma"/>
          <w:szCs w:val="20"/>
        </w:rPr>
        <w:t xml:space="preserve"> </w:t>
      </w:r>
      <w:r w:rsidR="006D0B1D" w:rsidRPr="006D0B1D">
        <w:rPr>
          <w:rFonts w:cs="Tahoma"/>
          <w:szCs w:val="20"/>
        </w:rPr>
        <w:t>41.287</w:t>
      </w:r>
      <w:r w:rsidR="00903945" w:rsidRPr="006D0B1D">
        <w:rPr>
          <w:rFonts w:cs="Tahoma"/>
          <w:szCs w:val="20"/>
        </w:rPr>
        <w:t xml:space="preserve"> tis. Kč v odvětví cestovního ruchu byly </w:t>
      </w:r>
      <w:r w:rsidRPr="006D0B1D">
        <w:rPr>
          <w:rFonts w:cs="Tahoma"/>
          <w:szCs w:val="20"/>
        </w:rPr>
        <w:t>čerpány</w:t>
      </w:r>
      <w:r w:rsidR="00903945" w:rsidRPr="006D0B1D">
        <w:rPr>
          <w:rFonts w:cs="Tahoma"/>
          <w:szCs w:val="20"/>
        </w:rPr>
        <w:t xml:space="preserve"> ve</w:t>
      </w:r>
      <w:r w:rsidR="00B40870" w:rsidRPr="006D0B1D">
        <w:rPr>
          <w:rFonts w:cs="Tahoma"/>
          <w:szCs w:val="20"/>
        </w:rPr>
        <w:t> </w:t>
      </w:r>
      <w:r w:rsidR="00903945" w:rsidRPr="006D0B1D">
        <w:rPr>
          <w:rFonts w:cs="Tahoma"/>
          <w:szCs w:val="20"/>
        </w:rPr>
        <w:t xml:space="preserve">výši </w:t>
      </w:r>
      <w:r w:rsidR="006D0B1D" w:rsidRPr="006D0B1D">
        <w:rPr>
          <w:rFonts w:cs="Tahoma"/>
          <w:szCs w:val="20"/>
        </w:rPr>
        <w:t>3.767</w:t>
      </w:r>
      <w:r w:rsidR="00B40870" w:rsidRPr="006D0B1D">
        <w:rPr>
          <w:rFonts w:cs="Tahoma"/>
          <w:szCs w:val="20"/>
        </w:rPr>
        <w:t> </w:t>
      </w:r>
      <w:r w:rsidR="00903945" w:rsidRPr="006D0B1D">
        <w:rPr>
          <w:rFonts w:cs="Tahoma"/>
          <w:szCs w:val="20"/>
        </w:rPr>
        <w:t>tis. Kč.</w:t>
      </w:r>
    </w:p>
    <w:p w14:paraId="586AA60F" w14:textId="34AC4AFE" w:rsidR="00903945" w:rsidRPr="006D0B1D" w:rsidRDefault="00903945" w:rsidP="00903945">
      <w:r w:rsidRPr="006D0B1D">
        <w:t>Na</w:t>
      </w:r>
      <w:r w:rsidR="00B565FB" w:rsidRPr="006D0B1D">
        <w:t> </w:t>
      </w:r>
      <w:r w:rsidRPr="006D0B1D">
        <w:t>reprodukci majetku kraje v odvětví cestovního ruchu byly vyčleněny v</w:t>
      </w:r>
      <w:r w:rsidR="00C23DA3" w:rsidRPr="006D0B1D">
        <w:t> </w:t>
      </w:r>
      <w:r w:rsidRPr="006D0B1D">
        <w:t xml:space="preserve">upraveném rozpočtu prostředky ve výši </w:t>
      </w:r>
      <w:r w:rsidR="006D0B1D" w:rsidRPr="006D0B1D">
        <w:t>1.450</w:t>
      </w:r>
      <w:r w:rsidRPr="006D0B1D">
        <w:t> tis. Kč. K </w:t>
      </w:r>
      <w:r w:rsidR="0073096F" w:rsidRPr="006D0B1D">
        <w:t>30. 4. 2022</w:t>
      </w:r>
      <w:r w:rsidRPr="006D0B1D">
        <w:t xml:space="preserve"> </w:t>
      </w:r>
      <w:r w:rsidR="006D0B1D" w:rsidRPr="006D0B1D">
        <w:t>ne</w:t>
      </w:r>
      <w:r w:rsidRPr="006D0B1D">
        <w:t>byly prostředky čerpány (více viz příloha č. 4 materiálu).</w:t>
      </w:r>
    </w:p>
    <w:p w14:paraId="2A9BACE2" w14:textId="5373302B" w:rsidR="00A35EA0" w:rsidRPr="009B372D" w:rsidRDefault="00FD7C90" w:rsidP="00CE0C49">
      <w:pPr>
        <w:pStyle w:val="Styltab"/>
      </w:pPr>
      <w:r w:rsidRPr="00E107E5">
        <w:t>Výdaje v odvětví cestovního ruchu v členění dle účelu</w:t>
      </w:r>
      <w:r w:rsidRPr="00E107E5">
        <w:tab/>
        <w:t>v tis. Kč</w:t>
      </w:r>
      <w:bookmarkStart w:id="236" w:name="_MON_1690375366"/>
      <w:bookmarkEnd w:id="236"/>
      <w:r w:rsidR="00FB0D7E" w:rsidRPr="009B372D">
        <w:object w:dxaOrig="9251" w:dyaOrig="1820" w14:anchorId="31442C00">
          <v:shape id="_x0000_i1056" type="#_x0000_t75" style="width:461.9pt;height:92.4pt" o:ole="">
            <v:imagedata r:id="rId71" o:title=""/>
          </v:shape>
          <o:OLEObject Type="Embed" ProgID="Excel.Sheet.8" ShapeID="_x0000_i1056" DrawAspect="Content" ObjectID="_1714980718" r:id="rId72"/>
        </w:object>
      </w:r>
    </w:p>
    <w:p w14:paraId="050BBBB0" w14:textId="77777777" w:rsidR="006D0B1D" w:rsidRPr="009B372D" w:rsidRDefault="006D0B1D" w:rsidP="006D0B1D"/>
    <w:p w14:paraId="586AA614" w14:textId="0733C34C" w:rsidR="00B47D6C" w:rsidRPr="009B372D" w:rsidRDefault="00FD7C90" w:rsidP="00CE0C49">
      <w:pPr>
        <w:pStyle w:val="Styltab"/>
      </w:pPr>
      <w:bookmarkStart w:id="237" w:name="_MON_1476601971"/>
      <w:bookmarkStart w:id="238" w:name="_MON_1477204127"/>
      <w:bookmarkStart w:id="239" w:name="_MON_1489918522"/>
      <w:bookmarkStart w:id="240" w:name="_MON_1490173141"/>
      <w:bookmarkStart w:id="241" w:name="_MON_1490173163"/>
      <w:bookmarkEnd w:id="237"/>
      <w:bookmarkEnd w:id="238"/>
      <w:bookmarkEnd w:id="239"/>
      <w:bookmarkEnd w:id="240"/>
      <w:bookmarkEnd w:id="241"/>
      <w:r w:rsidRPr="009B372D">
        <w:t>Výdaje v odvětví cestovního ruchu na</w:t>
      </w:r>
      <w:r w:rsidR="00CD744C" w:rsidRPr="009B372D">
        <w:t> </w:t>
      </w:r>
      <w:r w:rsidRPr="009B372D">
        <w:t>samosprávné a jiné činnosti zajišťované prostřednictvím krajského úřadu</w:t>
      </w:r>
      <w:r w:rsidRPr="009B372D">
        <w:tab/>
        <w:t>v tis. Kč</w:t>
      </w:r>
      <w:bookmarkStart w:id="242" w:name="_MON_1555401915"/>
      <w:bookmarkEnd w:id="242"/>
      <w:r w:rsidR="00FB0D7E" w:rsidRPr="009B372D">
        <w:object w:dxaOrig="10119" w:dyaOrig="6129" w14:anchorId="586AA6B7">
          <v:shape id="_x0000_i1057" type="#_x0000_t75" style="width:461.2pt;height:258.1pt" o:ole="">
            <v:imagedata r:id="rId73" o:title=""/>
          </v:shape>
          <o:OLEObject Type="Embed" ProgID="Excel.Sheet.8" ShapeID="_x0000_i1057" DrawAspect="Content" ObjectID="_1714980719" r:id="rId74"/>
        </w:object>
      </w:r>
    </w:p>
    <w:p w14:paraId="65567347" w14:textId="77777777" w:rsidR="00DC4454" w:rsidRPr="009B372D" w:rsidRDefault="00DC4454" w:rsidP="00DC4454"/>
    <w:p w14:paraId="586AA616" w14:textId="468607DF" w:rsidR="00D21663" w:rsidRPr="009B372D" w:rsidRDefault="00D21663" w:rsidP="00CE0C49">
      <w:pPr>
        <w:pStyle w:val="Styltab"/>
      </w:pPr>
      <w:r w:rsidRPr="009B372D">
        <w:lastRenderedPageBreak/>
        <w:t>Příspěvek na</w:t>
      </w:r>
      <w:r w:rsidR="00CD744C" w:rsidRPr="009B372D">
        <w:t> </w:t>
      </w:r>
      <w:r w:rsidRPr="009B372D">
        <w:t>provoz příspěvkovým organizacím kraje</w:t>
      </w:r>
      <w:r w:rsidR="006F076A" w:rsidRPr="009B372D">
        <w:tab/>
      </w:r>
      <w:r w:rsidRPr="009B372D">
        <w:t>v tis. Kč</w:t>
      </w:r>
      <w:bookmarkStart w:id="243" w:name="_MON_1595406710"/>
      <w:bookmarkEnd w:id="243"/>
      <w:r w:rsidR="00FB0D7E" w:rsidRPr="009B372D">
        <w:object w:dxaOrig="9824" w:dyaOrig="1400" w14:anchorId="586AA6B8">
          <v:shape id="_x0000_i1058" type="#_x0000_t75" style="width:461.9pt;height:64.55pt" o:ole="">
            <v:imagedata r:id="rId75" o:title=""/>
          </v:shape>
          <o:OLEObject Type="Embed" ProgID="Excel.Sheet.8" ShapeID="_x0000_i1058" DrawAspect="Content" ObjectID="_1714980720" r:id="rId76"/>
        </w:object>
      </w:r>
    </w:p>
    <w:p w14:paraId="586AA617" w14:textId="77777777" w:rsidR="008B22CC" w:rsidRPr="009B372D" w:rsidRDefault="008B22CC" w:rsidP="00FD7C90">
      <w:pPr>
        <w:pStyle w:val="Nadpis3"/>
      </w:pPr>
      <w:bookmarkStart w:id="244" w:name="_MON_1469445359"/>
      <w:bookmarkStart w:id="245" w:name="_MON_1469516999"/>
      <w:bookmarkStart w:id="246" w:name="_MON_1469517546"/>
      <w:bookmarkStart w:id="247" w:name="_MON_1476601992"/>
      <w:bookmarkStart w:id="248" w:name="_MON_1477209799"/>
      <w:bookmarkStart w:id="249" w:name="_MON_1477372345"/>
      <w:bookmarkStart w:id="250" w:name="_MON_1477378279"/>
      <w:bookmarkStart w:id="251" w:name="_MON_1477378284"/>
      <w:bookmarkStart w:id="252" w:name="_MON_1477378695"/>
      <w:bookmarkStart w:id="253" w:name="_MON_1477464212"/>
      <w:bookmarkStart w:id="254" w:name="_MON_1489923555"/>
      <w:bookmarkStart w:id="255" w:name="_MON_1490173177"/>
      <w:bookmarkEnd w:id="244"/>
      <w:bookmarkEnd w:id="245"/>
      <w:bookmarkEnd w:id="246"/>
      <w:bookmarkEnd w:id="247"/>
      <w:bookmarkEnd w:id="248"/>
      <w:bookmarkEnd w:id="249"/>
      <w:bookmarkEnd w:id="250"/>
      <w:bookmarkEnd w:id="251"/>
      <w:bookmarkEnd w:id="252"/>
      <w:bookmarkEnd w:id="253"/>
      <w:bookmarkEnd w:id="254"/>
      <w:bookmarkEnd w:id="255"/>
      <w:r w:rsidRPr="009B372D">
        <w:t xml:space="preserve">Odvětví sociálních věcí </w:t>
      </w:r>
    </w:p>
    <w:p w14:paraId="425D811A" w14:textId="5FF753A6" w:rsidR="0077444B" w:rsidRPr="00D776AD" w:rsidRDefault="008B22CC" w:rsidP="0077444B">
      <w:r w:rsidRPr="004B76D4">
        <w:rPr>
          <w:rFonts w:cs="Tahoma"/>
          <w:szCs w:val="20"/>
        </w:rPr>
        <w:t>Schválený rozpočet výdajů na</w:t>
      </w:r>
      <w:r w:rsidR="00965AF8" w:rsidRPr="004B76D4">
        <w:rPr>
          <w:rFonts w:cs="Tahoma"/>
          <w:szCs w:val="20"/>
        </w:rPr>
        <w:t> </w:t>
      </w:r>
      <w:r w:rsidRPr="004B76D4">
        <w:rPr>
          <w:rFonts w:cs="Tahoma"/>
          <w:szCs w:val="20"/>
        </w:rPr>
        <w:t xml:space="preserve">rok </w:t>
      </w:r>
      <w:r w:rsidR="0055624A" w:rsidRPr="004B76D4">
        <w:rPr>
          <w:rFonts w:cs="Tahoma"/>
          <w:szCs w:val="20"/>
        </w:rPr>
        <w:t>202</w:t>
      </w:r>
      <w:r w:rsidR="004B76D4" w:rsidRPr="004B76D4">
        <w:rPr>
          <w:rFonts w:cs="Tahoma"/>
          <w:szCs w:val="20"/>
        </w:rPr>
        <w:t>2</w:t>
      </w:r>
      <w:r w:rsidRPr="004B76D4">
        <w:rPr>
          <w:rFonts w:cs="Tahoma"/>
          <w:szCs w:val="20"/>
        </w:rPr>
        <w:t xml:space="preserve"> v odvětví sociálních věcí ve</w:t>
      </w:r>
      <w:r w:rsidR="00965AF8" w:rsidRPr="004B76D4">
        <w:rPr>
          <w:rFonts w:cs="Tahoma"/>
          <w:szCs w:val="20"/>
        </w:rPr>
        <w:t> </w:t>
      </w:r>
      <w:r w:rsidRPr="004B76D4">
        <w:rPr>
          <w:rFonts w:cs="Tahoma"/>
          <w:szCs w:val="20"/>
        </w:rPr>
        <w:t xml:space="preserve">výši </w:t>
      </w:r>
      <w:r w:rsidR="004B76D4" w:rsidRPr="004B76D4">
        <w:rPr>
          <w:rFonts w:cs="Tahoma"/>
          <w:szCs w:val="20"/>
        </w:rPr>
        <w:t>1.401.590</w:t>
      </w:r>
      <w:r w:rsidRPr="004B76D4">
        <w:rPr>
          <w:rFonts w:cs="Tahoma"/>
          <w:szCs w:val="20"/>
        </w:rPr>
        <w:t xml:space="preserve"> tis. Kč byl následně upraven na částku </w:t>
      </w:r>
      <w:r w:rsidR="004B76D4" w:rsidRPr="004B76D4">
        <w:rPr>
          <w:rFonts w:cs="Tahoma"/>
          <w:szCs w:val="20"/>
        </w:rPr>
        <w:t>4.302.632</w:t>
      </w:r>
      <w:r w:rsidRPr="004B76D4">
        <w:rPr>
          <w:rFonts w:cs="Tahoma"/>
          <w:szCs w:val="20"/>
        </w:rPr>
        <w:t> tis. Kč</w:t>
      </w:r>
      <w:r w:rsidR="00A1506E" w:rsidRPr="004B76D4">
        <w:rPr>
          <w:rFonts w:cs="Tahoma"/>
          <w:szCs w:val="20"/>
        </w:rPr>
        <w:t>, což představuje navýšení o</w:t>
      </w:r>
      <w:r w:rsidR="00321A9C">
        <w:rPr>
          <w:rFonts w:cs="Tahoma"/>
          <w:szCs w:val="20"/>
        </w:rPr>
        <w:t> </w:t>
      </w:r>
      <w:r w:rsidR="004B76D4" w:rsidRPr="004B76D4">
        <w:rPr>
          <w:rFonts w:cs="Tahoma"/>
          <w:szCs w:val="20"/>
        </w:rPr>
        <w:t>2.901.042</w:t>
      </w:r>
      <w:r w:rsidR="00A1506E" w:rsidRPr="004B76D4">
        <w:rPr>
          <w:rFonts w:cs="Tahoma"/>
          <w:szCs w:val="20"/>
        </w:rPr>
        <w:t> tis. Kč.</w:t>
      </w:r>
      <w:r w:rsidRPr="004B76D4">
        <w:rPr>
          <w:rFonts w:cs="Tahoma"/>
          <w:szCs w:val="20"/>
        </w:rPr>
        <w:t xml:space="preserve"> </w:t>
      </w:r>
      <w:r w:rsidR="0077444B" w:rsidRPr="004B76D4">
        <w:t>Jednalo se</w:t>
      </w:r>
      <w:r w:rsidR="00321A9C">
        <w:t> </w:t>
      </w:r>
      <w:r w:rsidR="0077444B" w:rsidRPr="004B76D4">
        <w:t>zejména o úpravu rozpočtu související s</w:t>
      </w:r>
      <w:r w:rsidR="00E5316E" w:rsidRPr="004B76D4">
        <w:t xml:space="preserve"> přijetím neinvestiční dotace </w:t>
      </w:r>
      <w:r w:rsidR="00D17E90" w:rsidRPr="004B76D4">
        <w:t xml:space="preserve">z kapitoly Ministerstva práce a sociálních věcí </w:t>
      </w:r>
      <w:r w:rsidR="00D17E90" w:rsidRPr="00D776AD">
        <w:t>na</w:t>
      </w:r>
      <w:r w:rsidR="00E5316E" w:rsidRPr="00D776AD">
        <w:t> </w:t>
      </w:r>
      <w:r w:rsidR="00D17E90" w:rsidRPr="00D776AD">
        <w:t>financování sociálních služeb</w:t>
      </w:r>
      <w:r w:rsidR="00E5316E" w:rsidRPr="00D776AD">
        <w:t xml:space="preserve"> ve</w:t>
      </w:r>
      <w:r w:rsidR="00B565FB" w:rsidRPr="00D776AD">
        <w:t> </w:t>
      </w:r>
      <w:r w:rsidR="00E5316E" w:rsidRPr="00D776AD">
        <w:t xml:space="preserve">výši </w:t>
      </w:r>
      <w:r w:rsidR="004B76D4" w:rsidRPr="00D776AD">
        <w:t>2.314.997</w:t>
      </w:r>
      <w:r w:rsidR="00B565FB" w:rsidRPr="00D776AD">
        <w:t> </w:t>
      </w:r>
      <w:r w:rsidR="00A966A8" w:rsidRPr="00D776AD">
        <w:t>tis.</w:t>
      </w:r>
      <w:r w:rsidR="00B565FB" w:rsidRPr="00D776AD">
        <w:t> </w:t>
      </w:r>
      <w:r w:rsidR="00A966A8" w:rsidRPr="00D776AD">
        <w:t>Kč</w:t>
      </w:r>
    </w:p>
    <w:p w14:paraId="5E769F6B" w14:textId="0C0B66C9" w:rsidR="002A0A7E" w:rsidRPr="007B5DD6" w:rsidRDefault="00A966A8" w:rsidP="002A0A7E">
      <w:pPr>
        <w:pStyle w:val="FormtovanvHTML"/>
        <w:rPr>
          <w:rFonts w:ascii="Tahoma" w:hAnsi="Tahoma" w:cs="Tahoma"/>
        </w:rPr>
      </w:pPr>
      <w:r w:rsidRPr="00D776AD">
        <w:rPr>
          <w:rFonts w:ascii="Tahoma" w:hAnsi="Tahoma" w:cs="Tahoma"/>
        </w:rPr>
        <w:t>Významná</w:t>
      </w:r>
      <w:r w:rsidR="00E255DA" w:rsidRPr="00D776AD">
        <w:rPr>
          <w:rFonts w:ascii="Tahoma" w:hAnsi="Tahoma" w:cs="Tahoma"/>
        </w:rPr>
        <w:t xml:space="preserve"> rozpočto</w:t>
      </w:r>
      <w:r w:rsidR="00077E0F" w:rsidRPr="00D776AD">
        <w:rPr>
          <w:rFonts w:ascii="Tahoma" w:hAnsi="Tahoma" w:cs="Tahoma"/>
        </w:rPr>
        <w:t xml:space="preserve">vá úprava </w:t>
      </w:r>
      <w:r w:rsidR="006847CF" w:rsidRPr="00D776AD">
        <w:rPr>
          <w:rFonts w:ascii="Tahoma" w:hAnsi="Tahoma" w:cs="Tahoma"/>
        </w:rPr>
        <w:t>v období leden až</w:t>
      </w:r>
      <w:r w:rsidR="00337F1A">
        <w:rPr>
          <w:rFonts w:ascii="Tahoma" w:hAnsi="Tahoma" w:cs="Tahoma"/>
        </w:rPr>
        <w:t> </w:t>
      </w:r>
      <w:r w:rsidR="006847CF" w:rsidRPr="00D776AD">
        <w:rPr>
          <w:rFonts w:ascii="Tahoma" w:hAnsi="Tahoma" w:cs="Tahoma"/>
        </w:rPr>
        <w:t>duben</w:t>
      </w:r>
      <w:r w:rsidR="00077E0F" w:rsidRPr="00D776AD">
        <w:rPr>
          <w:rFonts w:ascii="Tahoma" w:hAnsi="Tahoma" w:cs="Tahoma"/>
        </w:rPr>
        <w:t xml:space="preserve"> souvisela </w:t>
      </w:r>
      <w:r w:rsidR="00166373" w:rsidRPr="00D776AD">
        <w:rPr>
          <w:rFonts w:ascii="Tahoma" w:hAnsi="Tahoma" w:cs="Tahoma"/>
        </w:rPr>
        <w:t>se</w:t>
      </w:r>
      <w:r w:rsidR="00337F1A">
        <w:rPr>
          <w:rFonts w:ascii="Tahoma" w:hAnsi="Tahoma" w:cs="Tahoma"/>
        </w:rPr>
        <w:t> </w:t>
      </w:r>
      <w:r w:rsidR="002A0A7E" w:rsidRPr="00D776AD">
        <w:rPr>
          <w:rFonts w:ascii="Tahoma" w:hAnsi="Tahoma" w:cs="Tahoma"/>
        </w:rPr>
        <w:t>zapojení</w:t>
      </w:r>
      <w:r w:rsidR="00166373" w:rsidRPr="00D776AD">
        <w:rPr>
          <w:rFonts w:ascii="Tahoma" w:hAnsi="Tahoma" w:cs="Tahoma"/>
        </w:rPr>
        <w:t>m</w:t>
      </w:r>
      <w:r w:rsidR="002A0A7E" w:rsidRPr="00D776AD">
        <w:rPr>
          <w:rFonts w:ascii="Tahoma" w:hAnsi="Tahoma" w:cs="Tahoma"/>
        </w:rPr>
        <w:t xml:space="preserve"> nedočerpaných účelově vymezen</w:t>
      </w:r>
      <w:r w:rsidR="003719E9" w:rsidRPr="00D776AD">
        <w:rPr>
          <w:rFonts w:ascii="Tahoma" w:hAnsi="Tahoma" w:cs="Tahoma"/>
        </w:rPr>
        <w:t>ých</w:t>
      </w:r>
      <w:r w:rsidR="002A0A7E" w:rsidRPr="00D776AD">
        <w:rPr>
          <w:rFonts w:ascii="Tahoma" w:hAnsi="Tahoma" w:cs="Tahoma"/>
        </w:rPr>
        <w:t xml:space="preserve"> výdaj</w:t>
      </w:r>
      <w:r w:rsidR="003719E9" w:rsidRPr="00D776AD">
        <w:rPr>
          <w:rFonts w:ascii="Tahoma" w:hAnsi="Tahoma" w:cs="Tahoma"/>
        </w:rPr>
        <w:t>ů</w:t>
      </w:r>
      <w:r w:rsidR="002A0A7E" w:rsidRPr="00D776AD">
        <w:rPr>
          <w:rFonts w:ascii="Tahoma" w:hAnsi="Tahoma" w:cs="Tahoma"/>
        </w:rPr>
        <w:t xml:space="preserve"> roku 20</w:t>
      </w:r>
      <w:r w:rsidR="00166373" w:rsidRPr="00D776AD">
        <w:rPr>
          <w:rFonts w:ascii="Tahoma" w:hAnsi="Tahoma" w:cs="Tahoma"/>
        </w:rPr>
        <w:t>2</w:t>
      </w:r>
      <w:r w:rsidR="009A7641" w:rsidRPr="00D776AD">
        <w:rPr>
          <w:rFonts w:ascii="Tahoma" w:hAnsi="Tahoma" w:cs="Tahoma"/>
        </w:rPr>
        <w:t>1</w:t>
      </w:r>
      <w:r w:rsidR="002A0A7E" w:rsidRPr="00D776AD">
        <w:rPr>
          <w:rFonts w:ascii="Tahoma" w:hAnsi="Tahoma" w:cs="Tahoma"/>
        </w:rPr>
        <w:t xml:space="preserve"> ve výši </w:t>
      </w:r>
      <w:r w:rsidR="009A7641" w:rsidRPr="00D776AD">
        <w:rPr>
          <w:rFonts w:ascii="Tahoma" w:hAnsi="Tahoma" w:cs="Tahoma"/>
        </w:rPr>
        <w:t>30</w:t>
      </w:r>
      <w:r w:rsidR="004C6DFF" w:rsidRPr="00D776AD">
        <w:rPr>
          <w:rFonts w:ascii="Tahoma" w:hAnsi="Tahoma" w:cs="Tahoma"/>
        </w:rPr>
        <w:t>9.502</w:t>
      </w:r>
      <w:r w:rsidR="002A0A7E" w:rsidRPr="00D776AD">
        <w:rPr>
          <w:rFonts w:ascii="Tahoma" w:hAnsi="Tahoma" w:cs="Tahoma"/>
        </w:rPr>
        <w:t xml:space="preserve"> tis. Kč, které byly zapojeny ke stejnému účelu do rozpočtu </w:t>
      </w:r>
      <w:r w:rsidR="002A0A7E" w:rsidRPr="003E25E5">
        <w:rPr>
          <w:rFonts w:ascii="Tahoma" w:hAnsi="Tahoma" w:cs="Tahoma"/>
        </w:rPr>
        <w:t>roku 20</w:t>
      </w:r>
      <w:r w:rsidR="003719E9" w:rsidRPr="003E25E5">
        <w:rPr>
          <w:rFonts w:ascii="Tahoma" w:hAnsi="Tahoma" w:cs="Tahoma"/>
        </w:rPr>
        <w:t>2</w:t>
      </w:r>
      <w:r w:rsidR="004C6DFF" w:rsidRPr="003E25E5">
        <w:rPr>
          <w:rFonts w:ascii="Tahoma" w:hAnsi="Tahoma" w:cs="Tahoma"/>
        </w:rPr>
        <w:t>2</w:t>
      </w:r>
      <w:r w:rsidR="002A0A7E" w:rsidRPr="003E25E5">
        <w:rPr>
          <w:rFonts w:ascii="Tahoma" w:hAnsi="Tahoma" w:cs="Tahoma"/>
        </w:rPr>
        <w:t xml:space="preserve">, a to zejména na akce spolufinancované z evropských finančních zdrojů ve výši </w:t>
      </w:r>
      <w:r w:rsidR="004C6DFF" w:rsidRPr="003E25E5">
        <w:rPr>
          <w:rFonts w:ascii="Tahoma" w:hAnsi="Tahoma" w:cs="Tahoma"/>
        </w:rPr>
        <w:t>285.264 t</w:t>
      </w:r>
      <w:r w:rsidR="002A0A7E" w:rsidRPr="003E25E5">
        <w:rPr>
          <w:rFonts w:ascii="Tahoma" w:hAnsi="Tahoma" w:cs="Tahoma"/>
        </w:rPr>
        <w:t>is. Kč a</w:t>
      </w:r>
      <w:r w:rsidR="000877D7">
        <w:rPr>
          <w:rFonts w:ascii="Tahoma" w:hAnsi="Tahoma" w:cs="Tahoma"/>
        </w:rPr>
        <w:t> </w:t>
      </w:r>
      <w:r w:rsidR="002A0A7E" w:rsidRPr="003E25E5">
        <w:rPr>
          <w:rFonts w:ascii="Tahoma" w:hAnsi="Tahoma" w:cs="Tahoma"/>
        </w:rPr>
        <w:t xml:space="preserve">akce reprodukce majetku kraje ve výši </w:t>
      </w:r>
      <w:r w:rsidR="00D776AD" w:rsidRPr="003E25E5">
        <w:rPr>
          <w:rFonts w:ascii="Tahoma" w:hAnsi="Tahoma" w:cs="Tahoma"/>
        </w:rPr>
        <w:t>20.312</w:t>
      </w:r>
      <w:r w:rsidR="002A0A7E" w:rsidRPr="003E25E5">
        <w:rPr>
          <w:rFonts w:ascii="Tahoma" w:hAnsi="Tahoma" w:cs="Tahoma"/>
        </w:rPr>
        <w:t> tis. Kč.</w:t>
      </w:r>
      <w:r w:rsidR="00BA479F" w:rsidRPr="003E25E5">
        <w:rPr>
          <w:rFonts w:ascii="Tahoma" w:hAnsi="Tahoma" w:cs="Tahoma"/>
        </w:rPr>
        <w:t xml:space="preserve"> Do</w:t>
      </w:r>
      <w:r w:rsidR="007B5DD6">
        <w:rPr>
          <w:rFonts w:ascii="Tahoma" w:hAnsi="Tahoma" w:cs="Tahoma"/>
        </w:rPr>
        <w:t> </w:t>
      </w:r>
      <w:r w:rsidR="00BA479F" w:rsidRPr="003E25E5">
        <w:rPr>
          <w:rFonts w:ascii="Tahoma" w:hAnsi="Tahoma" w:cs="Tahoma"/>
        </w:rPr>
        <w:t>rozpočtu odvětví sociálních věci byla ve</w:t>
      </w:r>
      <w:r w:rsidR="006847CF" w:rsidRPr="003E25E5">
        <w:rPr>
          <w:rFonts w:ascii="Tahoma" w:hAnsi="Tahoma" w:cs="Tahoma"/>
        </w:rPr>
        <w:t> </w:t>
      </w:r>
      <w:r w:rsidR="00BA479F" w:rsidRPr="003E25E5">
        <w:rPr>
          <w:rFonts w:ascii="Tahoma" w:hAnsi="Tahoma" w:cs="Tahoma"/>
        </w:rPr>
        <w:t xml:space="preserve">sledovaném </w:t>
      </w:r>
      <w:r w:rsidR="00BA479F" w:rsidRPr="007B5DD6">
        <w:rPr>
          <w:rFonts w:ascii="Tahoma" w:hAnsi="Tahoma" w:cs="Tahoma"/>
        </w:rPr>
        <w:t>období zapojena část zůstatku rozpočtového hospodaření kraje za</w:t>
      </w:r>
      <w:r w:rsidR="000877D7">
        <w:rPr>
          <w:rFonts w:ascii="Tahoma" w:hAnsi="Tahoma" w:cs="Tahoma"/>
        </w:rPr>
        <w:t> </w:t>
      </w:r>
      <w:r w:rsidR="00BA479F" w:rsidRPr="007B5DD6">
        <w:rPr>
          <w:rFonts w:ascii="Tahoma" w:hAnsi="Tahoma" w:cs="Tahoma"/>
        </w:rPr>
        <w:t>rok 202</w:t>
      </w:r>
      <w:r w:rsidR="002E6498" w:rsidRPr="007B5DD6">
        <w:rPr>
          <w:rFonts w:ascii="Tahoma" w:hAnsi="Tahoma" w:cs="Tahoma"/>
        </w:rPr>
        <w:t>1</w:t>
      </w:r>
      <w:r w:rsidR="00BA479F" w:rsidRPr="007B5DD6">
        <w:rPr>
          <w:rFonts w:ascii="Tahoma" w:hAnsi="Tahoma" w:cs="Tahoma"/>
        </w:rPr>
        <w:t xml:space="preserve"> ve výši </w:t>
      </w:r>
      <w:r w:rsidR="003E25E5" w:rsidRPr="007B5DD6">
        <w:rPr>
          <w:rFonts w:ascii="Tahoma" w:hAnsi="Tahoma" w:cs="Tahoma"/>
        </w:rPr>
        <w:t>48.650</w:t>
      </w:r>
      <w:r w:rsidR="00493A25" w:rsidRPr="007B5DD6">
        <w:rPr>
          <w:rFonts w:ascii="Tahoma" w:hAnsi="Tahoma" w:cs="Tahoma"/>
        </w:rPr>
        <w:t> </w:t>
      </w:r>
      <w:r w:rsidR="00BA479F" w:rsidRPr="007B5DD6">
        <w:rPr>
          <w:rFonts w:ascii="Tahoma" w:hAnsi="Tahoma" w:cs="Tahoma"/>
        </w:rPr>
        <w:t>tis.</w:t>
      </w:r>
      <w:r w:rsidR="00493A25" w:rsidRPr="007B5DD6">
        <w:rPr>
          <w:rFonts w:ascii="Tahoma" w:hAnsi="Tahoma" w:cs="Tahoma"/>
        </w:rPr>
        <w:t> </w:t>
      </w:r>
      <w:r w:rsidR="00BA479F" w:rsidRPr="007B5DD6">
        <w:rPr>
          <w:rFonts w:ascii="Tahoma" w:hAnsi="Tahoma" w:cs="Tahoma"/>
        </w:rPr>
        <w:t>Kč, a</w:t>
      </w:r>
      <w:r w:rsidR="00493A25" w:rsidRPr="007B5DD6">
        <w:rPr>
          <w:rFonts w:ascii="Tahoma" w:hAnsi="Tahoma" w:cs="Tahoma"/>
        </w:rPr>
        <w:t> </w:t>
      </w:r>
      <w:r w:rsidR="00BA479F" w:rsidRPr="007B5DD6">
        <w:rPr>
          <w:rFonts w:ascii="Tahoma" w:hAnsi="Tahoma" w:cs="Tahoma"/>
        </w:rPr>
        <w:t xml:space="preserve">to </w:t>
      </w:r>
      <w:r w:rsidR="0099581D" w:rsidRPr="007B5DD6">
        <w:rPr>
          <w:rFonts w:ascii="Tahoma" w:hAnsi="Tahoma" w:cs="Tahoma"/>
        </w:rPr>
        <w:t>na realizaci akce spolufinancované z evropských finančních zdrojů s názvem „Podpora služeb sociální prevence 2022+“.</w:t>
      </w:r>
    </w:p>
    <w:p w14:paraId="586AA61A" w14:textId="49154F76" w:rsidR="00A9380F" w:rsidRPr="004B76D4" w:rsidRDefault="008B22CC" w:rsidP="00A86960">
      <w:pPr>
        <w:spacing w:after="240"/>
        <w:rPr>
          <w:rFonts w:cs="Tahoma"/>
          <w:szCs w:val="20"/>
        </w:rPr>
      </w:pPr>
      <w:r w:rsidRPr="004B76D4">
        <w:rPr>
          <w:rFonts w:cs="Tahoma"/>
          <w:szCs w:val="20"/>
        </w:rPr>
        <w:t>Celkově byly výdaje v odvětví čerpány ve</w:t>
      </w:r>
      <w:r w:rsidR="00C02AF4" w:rsidRPr="004B76D4">
        <w:rPr>
          <w:rFonts w:cs="Tahoma"/>
          <w:szCs w:val="20"/>
        </w:rPr>
        <w:t> </w:t>
      </w:r>
      <w:r w:rsidRPr="004B76D4">
        <w:rPr>
          <w:rFonts w:cs="Tahoma"/>
          <w:szCs w:val="20"/>
        </w:rPr>
        <w:t xml:space="preserve">výši </w:t>
      </w:r>
      <w:r w:rsidR="004B76D4" w:rsidRPr="004B76D4">
        <w:rPr>
          <w:rFonts w:cs="Tahoma"/>
          <w:szCs w:val="20"/>
        </w:rPr>
        <w:t>1.117.395</w:t>
      </w:r>
      <w:r w:rsidR="00A9380F" w:rsidRPr="004B76D4">
        <w:rPr>
          <w:rFonts w:cs="Tahoma"/>
          <w:szCs w:val="20"/>
        </w:rPr>
        <w:t> </w:t>
      </w:r>
      <w:r w:rsidRPr="004B76D4">
        <w:rPr>
          <w:rFonts w:cs="Tahoma"/>
          <w:szCs w:val="20"/>
        </w:rPr>
        <w:t>tis. Kč, tj. na</w:t>
      </w:r>
      <w:r w:rsidR="00485C1C">
        <w:rPr>
          <w:rFonts w:cs="Tahoma"/>
          <w:szCs w:val="20"/>
        </w:rPr>
        <w:t> </w:t>
      </w:r>
      <w:r w:rsidR="004B76D4" w:rsidRPr="004B76D4">
        <w:rPr>
          <w:rFonts w:cs="Tahoma"/>
          <w:szCs w:val="20"/>
        </w:rPr>
        <w:t>26</w:t>
      </w:r>
      <w:r w:rsidRPr="004B76D4">
        <w:rPr>
          <w:rFonts w:cs="Tahoma"/>
          <w:szCs w:val="20"/>
        </w:rPr>
        <w:t xml:space="preserve"> % upraveného rozpočtu. </w:t>
      </w:r>
    </w:p>
    <w:p w14:paraId="586AA61B" w14:textId="1BAA4B8D" w:rsidR="00C02AF4" w:rsidRPr="004B76D4" w:rsidRDefault="00C02AF4" w:rsidP="00A86960">
      <w:pPr>
        <w:spacing w:after="240"/>
        <w:rPr>
          <w:rFonts w:cs="Tahoma"/>
          <w:szCs w:val="20"/>
        </w:rPr>
      </w:pPr>
      <w:r w:rsidRPr="004B76D4">
        <w:rPr>
          <w:rFonts w:cs="Tahoma"/>
          <w:szCs w:val="20"/>
        </w:rPr>
        <w:t xml:space="preserve">Rozpočtované dotační programy v objemu </w:t>
      </w:r>
      <w:r w:rsidR="004B76D4" w:rsidRPr="004B76D4">
        <w:rPr>
          <w:rFonts w:cs="Tahoma"/>
          <w:szCs w:val="20"/>
        </w:rPr>
        <w:t>2.087.400</w:t>
      </w:r>
      <w:r w:rsidRPr="004B76D4">
        <w:rPr>
          <w:rFonts w:cs="Tahoma"/>
          <w:szCs w:val="20"/>
        </w:rPr>
        <w:t xml:space="preserve"> tis. Kč v odvětví sociálních věcí byly ve sledovaném období čerpány ve výši </w:t>
      </w:r>
      <w:r w:rsidR="004B76D4" w:rsidRPr="004B76D4">
        <w:rPr>
          <w:rFonts w:cs="Tahoma"/>
          <w:szCs w:val="20"/>
        </w:rPr>
        <w:t>521.118</w:t>
      </w:r>
      <w:r w:rsidRPr="004B76D4">
        <w:rPr>
          <w:rFonts w:cs="Tahoma"/>
          <w:szCs w:val="20"/>
        </w:rPr>
        <w:t> tis. Kč.</w:t>
      </w:r>
    </w:p>
    <w:p w14:paraId="586AA61C" w14:textId="461A1E7F" w:rsidR="008B22CC" w:rsidRPr="004B76D4" w:rsidRDefault="008B22CC" w:rsidP="008B22CC">
      <w:pPr>
        <w:rPr>
          <w:rFonts w:cs="Tahoma"/>
          <w:szCs w:val="20"/>
        </w:rPr>
      </w:pPr>
      <w:r w:rsidRPr="004B76D4">
        <w:rPr>
          <w:rFonts w:cs="Tahoma"/>
          <w:szCs w:val="20"/>
        </w:rPr>
        <w:t>Prostředky ve</w:t>
      </w:r>
      <w:r w:rsidR="00027EA6" w:rsidRPr="004B76D4">
        <w:rPr>
          <w:rFonts w:cs="Tahoma"/>
          <w:szCs w:val="20"/>
        </w:rPr>
        <w:t> </w:t>
      </w:r>
      <w:r w:rsidRPr="004B76D4">
        <w:rPr>
          <w:rFonts w:cs="Tahoma"/>
          <w:szCs w:val="20"/>
        </w:rPr>
        <w:t xml:space="preserve">výši </w:t>
      </w:r>
      <w:r w:rsidR="004B76D4" w:rsidRPr="004B76D4">
        <w:rPr>
          <w:rFonts w:cs="Tahoma"/>
          <w:szCs w:val="20"/>
        </w:rPr>
        <w:t>149.800</w:t>
      </w:r>
      <w:r w:rsidRPr="004B76D4">
        <w:rPr>
          <w:rFonts w:cs="Tahoma"/>
          <w:szCs w:val="20"/>
        </w:rPr>
        <w:t> tis.</w:t>
      </w:r>
      <w:r w:rsidR="00D070EB" w:rsidRPr="004B76D4">
        <w:rPr>
          <w:rFonts w:cs="Tahoma"/>
          <w:szCs w:val="20"/>
        </w:rPr>
        <w:t> </w:t>
      </w:r>
      <w:r w:rsidRPr="004B76D4">
        <w:rPr>
          <w:rFonts w:cs="Tahoma"/>
          <w:szCs w:val="20"/>
        </w:rPr>
        <w:t>Kč schválené jako návratné finanční výpomoci z rozpočtu kraje příspěvkovým organizacím v tomto odvětví byly rozpočtovány k zabezpečení běžného chodu organizací v případě opožděných transferů ze</w:t>
      </w:r>
      <w:r w:rsidR="00C02AF4" w:rsidRPr="004B76D4">
        <w:rPr>
          <w:rFonts w:cs="Tahoma"/>
          <w:szCs w:val="20"/>
        </w:rPr>
        <w:t> </w:t>
      </w:r>
      <w:r w:rsidRPr="004B76D4">
        <w:rPr>
          <w:rFonts w:cs="Tahoma"/>
          <w:szCs w:val="20"/>
        </w:rPr>
        <w:t xml:space="preserve">státního rozpočtu dle zákona č. 108/2006 Sb., o sociálních službách v platném znění. </w:t>
      </w:r>
      <w:r w:rsidR="00406DF4" w:rsidRPr="004B76D4">
        <w:rPr>
          <w:rFonts w:cs="Tahoma"/>
          <w:szCs w:val="20"/>
        </w:rPr>
        <w:t xml:space="preserve">K datu </w:t>
      </w:r>
      <w:r w:rsidR="0073096F" w:rsidRPr="004B76D4">
        <w:rPr>
          <w:rFonts w:cs="Tahoma"/>
          <w:szCs w:val="20"/>
        </w:rPr>
        <w:t>30. 4. 2022</w:t>
      </w:r>
      <w:r w:rsidR="00406DF4" w:rsidRPr="004B76D4">
        <w:rPr>
          <w:rFonts w:cs="Tahoma"/>
          <w:szCs w:val="20"/>
        </w:rPr>
        <w:t xml:space="preserve"> byly poskytnuty</w:t>
      </w:r>
      <w:r w:rsidRPr="004B76D4">
        <w:rPr>
          <w:rFonts w:cs="Tahoma"/>
          <w:szCs w:val="20"/>
        </w:rPr>
        <w:t xml:space="preserve"> v plné výši.</w:t>
      </w:r>
    </w:p>
    <w:p w14:paraId="586AA61D" w14:textId="2DA31838" w:rsidR="008B22CC" w:rsidRPr="002C5196" w:rsidRDefault="008B22CC" w:rsidP="008B22CC">
      <w:pPr>
        <w:rPr>
          <w:rFonts w:cs="Tahoma"/>
          <w:szCs w:val="20"/>
        </w:rPr>
      </w:pPr>
      <w:r w:rsidRPr="004B76D4">
        <w:rPr>
          <w:rFonts w:cs="Tahoma"/>
          <w:szCs w:val="20"/>
        </w:rPr>
        <w:t>Na</w:t>
      </w:r>
      <w:r w:rsidR="00027EA6" w:rsidRPr="004B76D4">
        <w:rPr>
          <w:rFonts w:cs="Tahoma"/>
          <w:szCs w:val="20"/>
        </w:rPr>
        <w:t> </w:t>
      </w:r>
      <w:r w:rsidRPr="004B76D4">
        <w:rPr>
          <w:rFonts w:cs="Tahoma"/>
          <w:szCs w:val="20"/>
        </w:rPr>
        <w:t>akce reprodukce majetku kraje v oblasti sociálních věcí byly k </w:t>
      </w:r>
      <w:r w:rsidR="0073096F" w:rsidRPr="004B76D4">
        <w:rPr>
          <w:rFonts w:cs="Tahoma"/>
          <w:szCs w:val="20"/>
        </w:rPr>
        <w:t>30. 4. 2022</w:t>
      </w:r>
      <w:r w:rsidRPr="004B76D4">
        <w:rPr>
          <w:rFonts w:cs="Tahoma"/>
          <w:szCs w:val="20"/>
        </w:rPr>
        <w:t xml:space="preserve"> vyčleněny finanční </w:t>
      </w:r>
      <w:r w:rsidRPr="002C5196">
        <w:rPr>
          <w:rFonts w:cs="Tahoma"/>
          <w:szCs w:val="20"/>
        </w:rPr>
        <w:t>prostředky ve</w:t>
      </w:r>
      <w:r w:rsidR="002E30FE" w:rsidRPr="002C5196">
        <w:rPr>
          <w:rFonts w:cs="Tahoma"/>
          <w:szCs w:val="20"/>
        </w:rPr>
        <w:t> </w:t>
      </w:r>
      <w:r w:rsidRPr="002C5196">
        <w:rPr>
          <w:rFonts w:cs="Tahoma"/>
          <w:szCs w:val="20"/>
        </w:rPr>
        <w:t xml:space="preserve">výši </w:t>
      </w:r>
      <w:r w:rsidR="004B76D4" w:rsidRPr="002C5196">
        <w:rPr>
          <w:rFonts w:cs="Tahoma"/>
          <w:szCs w:val="20"/>
        </w:rPr>
        <w:t>415.887</w:t>
      </w:r>
      <w:r w:rsidR="00032E3B" w:rsidRPr="002C5196">
        <w:rPr>
          <w:rFonts w:cs="Tahoma"/>
          <w:szCs w:val="20"/>
        </w:rPr>
        <w:t> </w:t>
      </w:r>
      <w:r w:rsidRPr="002C5196">
        <w:rPr>
          <w:rFonts w:cs="Tahoma"/>
          <w:szCs w:val="20"/>
        </w:rPr>
        <w:t>tis.</w:t>
      </w:r>
      <w:r w:rsidR="00032E3B" w:rsidRPr="002C5196">
        <w:rPr>
          <w:rFonts w:cs="Tahoma"/>
          <w:szCs w:val="20"/>
        </w:rPr>
        <w:t> </w:t>
      </w:r>
      <w:r w:rsidRPr="002C5196">
        <w:rPr>
          <w:rFonts w:cs="Tahoma"/>
          <w:szCs w:val="20"/>
        </w:rPr>
        <w:t>Kč. Čerpání rozpočtu v odvětví sociálních věcí na</w:t>
      </w:r>
      <w:r w:rsidR="00C02AF4" w:rsidRPr="002C5196">
        <w:rPr>
          <w:rFonts w:cs="Tahoma"/>
          <w:szCs w:val="20"/>
        </w:rPr>
        <w:t> </w:t>
      </w:r>
      <w:r w:rsidRPr="002C5196">
        <w:rPr>
          <w:rFonts w:cs="Tahoma"/>
          <w:szCs w:val="20"/>
        </w:rPr>
        <w:t xml:space="preserve">tyto akce činilo </w:t>
      </w:r>
      <w:r w:rsidR="004B76D4" w:rsidRPr="002C5196">
        <w:rPr>
          <w:rFonts w:cs="Tahoma"/>
          <w:szCs w:val="20"/>
        </w:rPr>
        <w:t>2.756</w:t>
      </w:r>
      <w:r w:rsidRPr="002C5196">
        <w:rPr>
          <w:rFonts w:cs="Tahoma"/>
          <w:szCs w:val="20"/>
        </w:rPr>
        <w:t xml:space="preserve"> tis. Kč, což představuje </w:t>
      </w:r>
      <w:r w:rsidR="004B76D4" w:rsidRPr="002C5196">
        <w:rPr>
          <w:rFonts w:cs="Tahoma"/>
          <w:szCs w:val="20"/>
        </w:rPr>
        <w:t>1</w:t>
      </w:r>
      <w:r w:rsidR="00B9536B" w:rsidRPr="002C5196">
        <w:rPr>
          <w:rFonts w:cs="Tahoma"/>
          <w:szCs w:val="20"/>
        </w:rPr>
        <w:t> </w:t>
      </w:r>
      <w:r w:rsidRPr="002C5196">
        <w:rPr>
          <w:rFonts w:cs="Tahoma"/>
          <w:szCs w:val="20"/>
        </w:rPr>
        <w:t xml:space="preserve">% upraveného rozpočtu (více viz příloha č. 4 materiálu). </w:t>
      </w:r>
    </w:p>
    <w:p w14:paraId="586AA61E" w14:textId="43DC134F" w:rsidR="008B22CC" w:rsidRPr="002C5196" w:rsidRDefault="008B22CC" w:rsidP="008B22CC">
      <w:pPr>
        <w:rPr>
          <w:rFonts w:cs="Tahoma"/>
          <w:szCs w:val="20"/>
        </w:rPr>
      </w:pPr>
      <w:r w:rsidRPr="002C5196">
        <w:rPr>
          <w:rFonts w:cs="Tahoma"/>
          <w:szCs w:val="20"/>
        </w:rPr>
        <w:t>Na</w:t>
      </w:r>
      <w:r w:rsidR="00032E3B" w:rsidRPr="002C5196">
        <w:rPr>
          <w:rFonts w:cs="Tahoma"/>
          <w:szCs w:val="20"/>
        </w:rPr>
        <w:t> </w:t>
      </w:r>
      <w:r w:rsidRPr="002C5196">
        <w:rPr>
          <w:rFonts w:cs="Tahoma"/>
          <w:szCs w:val="20"/>
        </w:rPr>
        <w:t>akce spolufinancované z evropských finančních zdrojů jsou v rozpočtu kraje na</w:t>
      </w:r>
      <w:r w:rsidR="00027EA6" w:rsidRPr="002C5196">
        <w:rPr>
          <w:rFonts w:cs="Tahoma"/>
          <w:szCs w:val="20"/>
        </w:rPr>
        <w:t> </w:t>
      </w:r>
      <w:r w:rsidRPr="002C5196">
        <w:rPr>
          <w:rFonts w:cs="Tahoma"/>
          <w:szCs w:val="20"/>
        </w:rPr>
        <w:t xml:space="preserve">rok </w:t>
      </w:r>
      <w:r w:rsidR="00C22C6C" w:rsidRPr="002C5196">
        <w:rPr>
          <w:rFonts w:cs="Tahoma"/>
          <w:szCs w:val="20"/>
        </w:rPr>
        <w:t>20</w:t>
      </w:r>
      <w:r w:rsidR="008325DA" w:rsidRPr="002C5196">
        <w:rPr>
          <w:rFonts w:cs="Tahoma"/>
          <w:szCs w:val="20"/>
        </w:rPr>
        <w:t>2</w:t>
      </w:r>
      <w:r w:rsidR="00C14085" w:rsidRPr="002C5196">
        <w:rPr>
          <w:rFonts w:cs="Tahoma"/>
          <w:szCs w:val="20"/>
        </w:rPr>
        <w:t>1</w:t>
      </w:r>
      <w:r w:rsidRPr="002C5196">
        <w:rPr>
          <w:rFonts w:cs="Tahoma"/>
          <w:szCs w:val="20"/>
        </w:rPr>
        <w:t xml:space="preserve"> v odvětví sociálních věcí vyčleněny prostředky ve</w:t>
      </w:r>
      <w:r w:rsidR="002E30FE" w:rsidRPr="002C5196">
        <w:rPr>
          <w:rFonts w:cs="Tahoma"/>
          <w:szCs w:val="20"/>
        </w:rPr>
        <w:t> </w:t>
      </w:r>
      <w:r w:rsidRPr="002C5196">
        <w:rPr>
          <w:rFonts w:cs="Tahoma"/>
          <w:szCs w:val="20"/>
        </w:rPr>
        <w:t xml:space="preserve">výši </w:t>
      </w:r>
      <w:r w:rsidR="004B76D4" w:rsidRPr="002C5196">
        <w:rPr>
          <w:rFonts w:cs="Tahoma"/>
          <w:szCs w:val="20"/>
        </w:rPr>
        <w:t>541.822</w:t>
      </w:r>
      <w:r w:rsidR="00DC379E" w:rsidRPr="002C5196">
        <w:rPr>
          <w:rFonts w:cs="Tahoma"/>
          <w:szCs w:val="20"/>
        </w:rPr>
        <w:t> </w:t>
      </w:r>
      <w:r w:rsidR="00D070EB" w:rsidRPr="002C5196">
        <w:rPr>
          <w:rFonts w:cs="Tahoma"/>
          <w:szCs w:val="20"/>
        </w:rPr>
        <w:t>tis</w:t>
      </w:r>
      <w:r w:rsidRPr="002C5196">
        <w:rPr>
          <w:rFonts w:cs="Tahoma"/>
          <w:szCs w:val="20"/>
        </w:rPr>
        <w:t xml:space="preserve">. Kč. Ve sledovaném období dosáhlo čerpání těchto prostředků výše </w:t>
      </w:r>
      <w:r w:rsidR="004B76D4" w:rsidRPr="002C5196">
        <w:rPr>
          <w:rFonts w:cs="Tahoma"/>
          <w:szCs w:val="20"/>
        </w:rPr>
        <w:t>52.238</w:t>
      </w:r>
      <w:r w:rsidR="00032E3B" w:rsidRPr="002C5196">
        <w:rPr>
          <w:rFonts w:cs="Tahoma"/>
          <w:szCs w:val="20"/>
        </w:rPr>
        <w:t> </w:t>
      </w:r>
      <w:r w:rsidRPr="002C5196">
        <w:rPr>
          <w:rFonts w:cs="Tahoma"/>
          <w:szCs w:val="20"/>
        </w:rPr>
        <w:t>tis.</w:t>
      </w:r>
      <w:r w:rsidR="00032E3B" w:rsidRPr="002C5196">
        <w:rPr>
          <w:rFonts w:cs="Tahoma"/>
          <w:szCs w:val="20"/>
        </w:rPr>
        <w:t> </w:t>
      </w:r>
      <w:r w:rsidRPr="002C5196">
        <w:rPr>
          <w:rFonts w:cs="Tahoma"/>
          <w:szCs w:val="20"/>
        </w:rPr>
        <w:t>Kč (více viz příloha č.</w:t>
      </w:r>
      <w:r w:rsidR="002C5196" w:rsidRPr="002C5196">
        <w:rPr>
          <w:rFonts w:cs="Tahoma"/>
          <w:szCs w:val="20"/>
        </w:rPr>
        <w:t> </w:t>
      </w:r>
      <w:r w:rsidRPr="002C5196">
        <w:rPr>
          <w:rFonts w:cs="Tahoma"/>
          <w:szCs w:val="20"/>
        </w:rPr>
        <w:t>5 materiálu).</w:t>
      </w:r>
    </w:p>
    <w:p w14:paraId="3711E9AA" w14:textId="727C1BA8" w:rsidR="00334938" w:rsidRPr="002C5196" w:rsidRDefault="002B471A" w:rsidP="00CE0C49">
      <w:pPr>
        <w:pStyle w:val="Styltab"/>
      </w:pPr>
      <w:r w:rsidRPr="002C5196">
        <w:t>Výdaje v odvětví sociálních věcí v členění dle účelu</w:t>
      </w:r>
      <w:r w:rsidRPr="002C5196">
        <w:tab/>
        <w:t>v tis. Kč</w:t>
      </w:r>
      <w:bookmarkStart w:id="256" w:name="_MON_1555990546"/>
      <w:bookmarkEnd w:id="256"/>
      <w:r w:rsidR="008122AE" w:rsidRPr="002C5196">
        <w:object w:dxaOrig="9236" w:dyaOrig="2314" w14:anchorId="71C24FC2">
          <v:shape id="_x0000_i1059" type="#_x0000_t75" style="width:461.2pt;height:120.25pt" o:ole="">
            <v:imagedata r:id="rId77" o:title=""/>
          </v:shape>
          <o:OLEObject Type="Embed" ProgID="Excel.Sheet.8" ShapeID="_x0000_i1059" DrawAspect="Content" ObjectID="_1714980721" r:id="rId78"/>
        </w:object>
      </w:r>
    </w:p>
    <w:p w14:paraId="459EE20F" w14:textId="77777777" w:rsidR="00FC0D2D" w:rsidRPr="002C5196" w:rsidRDefault="00FC0D2D" w:rsidP="00FC0D2D"/>
    <w:p w14:paraId="5221B290" w14:textId="32C60C54" w:rsidR="002D3B05" w:rsidRPr="00C071B6" w:rsidRDefault="002B471A" w:rsidP="00CE0C49">
      <w:pPr>
        <w:pStyle w:val="Styltab"/>
      </w:pPr>
      <w:bookmarkStart w:id="257" w:name="_MON_1476602019"/>
      <w:bookmarkStart w:id="258" w:name="_MON_1477204213"/>
      <w:bookmarkStart w:id="259" w:name="_MON_1489918786"/>
      <w:bookmarkStart w:id="260" w:name="_MON_1490173205"/>
      <w:bookmarkStart w:id="261" w:name="_MON_1469868609"/>
      <w:bookmarkStart w:id="262" w:name="_MON_1469868674"/>
      <w:bookmarkStart w:id="263" w:name="_MON_1469868730"/>
      <w:bookmarkStart w:id="264" w:name="_MON_1469869887"/>
      <w:bookmarkEnd w:id="257"/>
      <w:bookmarkEnd w:id="258"/>
      <w:bookmarkEnd w:id="259"/>
      <w:bookmarkEnd w:id="260"/>
      <w:bookmarkEnd w:id="261"/>
      <w:bookmarkEnd w:id="262"/>
      <w:bookmarkEnd w:id="263"/>
      <w:bookmarkEnd w:id="264"/>
      <w:r w:rsidRPr="00E107E5">
        <w:lastRenderedPageBreak/>
        <w:t>Výdaje v odvětví sociálních věcí na samosprávné a jiné činnosti zajišťované prostřednictvím krajského úřadu</w:t>
      </w:r>
      <w:r w:rsidR="00741FA6" w:rsidRPr="00E107E5">
        <w:tab/>
      </w:r>
      <w:r w:rsidRPr="00E107E5">
        <w:t>v tis. Kč</w:t>
      </w:r>
      <w:bookmarkStart w:id="265" w:name="_MON_1697603213"/>
      <w:bookmarkEnd w:id="265"/>
      <w:r w:rsidR="008122AE" w:rsidRPr="00C071B6">
        <w:object w:dxaOrig="10119" w:dyaOrig="10190" w14:anchorId="06724AC1">
          <v:shape id="_x0000_i1060" type="#_x0000_t75" style="width:461.2pt;height:432.7pt" o:ole="">
            <v:imagedata r:id="rId79" o:title=""/>
          </v:shape>
          <o:OLEObject Type="Embed" ProgID="Excel.Sheet.8" ShapeID="_x0000_i1060" DrawAspect="Content" ObjectID="_1714980722" r:id="rId80"/>
        </w:object>
      </w:r>
    </w:p>
    <w:p w14:paraId="4000883C" w14:textId="6F7734D8" w:rsidR="002D3B05" w:rsidRPr="00C071B6" w:rsidRDefault="002D3B05" w:rsidP="00D14884"/>
    <w:p w14:paraId="73680321" w14:textId="70130FF0" w:rsidR="00B42CDF" w:rsidRPr="00C071B6" w:rsidRDefault="002B471A" w:rsidP="00CE0C49">
      <w:pPr>
        <w:pStyle w:val="Styltab"/>
      </w:pPr>
      <w:bookmarkStart w:id="266" w:name="_MON_1477209319"/>
      <w:bookmarkStart w:id="267" w:name="_MON_1477209606"/>
      <w:bookmarkStart w:id="268" w:name="_MON_1477378718"/>
      <w:bookmarkStart w:id="269" w:name="_MON_1477378723"/>
      <w:bookmarkStart w:id="270" w:name="_MON_1477378730"/>
      <w:bookmarkStart w:id="271" w:name="_MON_1477464258"/>
      <w:bookmarkStart w:id="272" w:name="_MON_1490423487"/>
      <w:bookmarkStart w:id="273" w:name="_MON_1469808523"/>
      <w:bookmarkStart w:id="274" w:name="_MON_1469869906"/>
      <w:bookmarkStart w:id="275" w:name="_MON_1469869926"/>
      <w:bookmarkStart w:id="276" w:name="_MON_1476602044"/>
      <w:bookmarkEnd w:id="266"/>
      <w:bookmarkEnd w:id="267"/>
      <w:bookmarkEnd w:id="268"/>
      <w:bookmarkEnd w:id="269"/>
      <w:bookmarkEnd w:id="270"/>
      <w:bookmarkEnd w:id="271"/>
      <w:bookmarkEnd w:id="272"/>
      <w:bookmarkEnd w:id="273"/>
      <w:bookmarkEnd w:id="274"/>
      <w:bookmarkEnd w:id="275"/>
      <w:bookmarkEnd w:id="276"/>
      <w:r w:rsidRPr="00C071B6">
        <w:t>Příspěvek na</w:t>
      </w:r>
      <w:r w:rsidR="004D2E7D" w:rsidRPr="00C071B6">
        <w:t> </w:t>
      </w:r>
      <w:r w:rsidRPr="00C071B6">
        <w:t>provoz příspěvkovým organizacím v odvětví sociálních věcí</w:t>
      </w:r>
      <w:r w:rsidRPr="00C071B6">
        <w:tab/>
        <w:t>v tis. Kč</w:t>
      </w:r>
      <w:bookmarkStart w:id="277" w:name="_MON_1489924486"/>
      <w:bookmarkStart w:id="278" w:name="_MON_1490173221"/>
      <w:bookmarkStart w:id="279" w:name="_MON_1490175208"/>
      <w:bookmarkStart w:id="280" w:name="_MON_1490421434"/>
      <w:bookmarkStart w:id="281" w:name="_MON_1469809285"/>
      <w:bookmarkStart w:id="282" w:name="_MON_1469864900"/>
      <w:bookmarkStart w:id="283" w:name="_MON_1469869953"/>
      <w:bookmarkStart w:id="284" w:name="_MON_1476602064"/>
      <w:bookmarkStart w:id="285" w:name="_MON_1477209673"/>
      <w:bookmarkEnd w:id="277"/>
      <w:bookmarkEnd w:id="278"/>
      <w:bookmarkEnd w:id="279"/>
      <w:bookmarkEnd w:id="280"/>
      <w:bookmarkEnd w:id="281"/>
      <w:bookmarkEnd w:id="282"/>
      <w:bookmarkEnd w:id="283"/>
      <w:bookmarkEnd w:id="284"/>
      <w:bookmarkEnd w:id="285"/>
      <w:bookmarkStart w:id="286" w:name="_MON_1489924387"/>
      <w:bookmarkEnd w:id="286"/>
      <w:r w:rsidR="002D24FE" w:rsidRPr="00C071B6">
        <w:object w:dxaOrig="9824" w:dyaOrig="3022" w14:anchorId="784D001F">
          <v:shape id="_x0000_i1061" type="#_x0000_t75" style="width:461.9pt;height:139.25pt" o:ole="">
            <v:imagedata r:id="rId81" o:title=""/>
          </v:shape>
          <o:OLEObject Type="Embed" ProgID="Excel.Sheet.8" ShapeID="_x0000_i1061" DrawAspect="Content" ObjectID="_1714980723" r:id="rId82"/>
        </w:object>
      </w:r>
    </w:p>
    <w:p w14:paraId="20676800" w14:textId="77777777" w:rsidR="00DC4454" w:rsidRPr="00C071B6" w:rsidRDefault="00DC4454" w:rsidP="00DC4454"/>
    <w:p w14:paraId="0600010A" w14:textId="16DB7B62" w:rsidR="00884699" w:rsidRPr="00C071B6" w:rsidRDefault="002B471A" w:rsidP="00CE0C49">
      <w:pPr>
        <w:pStyle w:val="Styltab"/>
      </w:pPr>
      <w:r w:rsidRPr="00C071B6">
        <w:lastRenderedPageBreak/>
        <w:t>Návratné finanční výpomoci v odvětví sociálních věcí</w:t>
      </w:r>
      <w:r w:rsidR="001A3737" w:rsidRPr="00C071B6">
        <w:tab/>
      </w:r>
      <w:r w:rsidRPr="00C071B6">
        <w:t>v tis. Kč</w:t>
      </w:r>
      <w:bookmarkStart w:id="287" w:name="_MON_1477209757"/>
      <w:bookmarkStart w:id="288" w:name="_MON_1489924627"/>
      <w:bookmarkStart w:id="289" w:name="_MON_1489924654"/>
      <w:bookmarkStart w:id="290" w:name="_MON_1489924962"/>
      <w:bookmarkStart w:id="291" w:name="_MON_1490173241"/>
      <w:bookmarkStart w:id="292" w:name="_MON_1469869979"/>
      <w:bookmarkEnd w:id="287"/>
      <w:bookmarkEnd w:id="288"/>
      <w:bookmarkEnd w:id="289"/>
      <w:bookmarkEnd w:id="290"/>
      <w:bookmarkEnd w:id="291"/>
      <w:bookmarkEnd w:id="292"/>
      <w:bookmarkStart w:id="293" w:name="_MON_1476602084"/>
      <w:bookmarkEnd w:id="293"/>
      <w:r w:rsidR="00355FDD" w:rsidRPr="00C071B6">
        <w:object w:dxaOrig="9157" w:dyaOrig="5574" w14:anchorId="49348D90">
          <v:shape id="_x0000_i1062" type="#_x0000_t75" style="width:460.55pt;height:287.3pt" o:ole="">
            <v:imagedata r:id="rId83" o:title=""/>
          </v:shape>
          <o:OLEObject Type="Embed" ProgID="Excel.Sheet.8" ShapeID="_x0000_i1062" DrawAspect="Content" ObjectID="_1714980724" r:id="rId84"/>
        </w:object>
      </w:r>
    </w:p>
    <w:p w14:paraId="586AA627" w14:textId="77777777" w:rsidR="00014B18" w:rsidRPr="00BF6A9E" w:rsidRDefault="00014B18" w:rsidP="00AD79B0">
      <w:pPr>
        <w:pStyle w:val="Nadpis3"/>
      </w:pPr>
      <w:r w:rsidRPr="00BF6A9E">
        <w:t>Odvětví školství</w:t>
      </w:r>
    </w:p>
    <w:p w14:paraId="586AA628" w14:textId="0A03FB4D" w:rsidR="00A36013" w:rsidRPr="00BF6A9E" w:rsidRDefault="00014B18" w:rsidP="00520CE2">
      <w:r w:rsidRPr="00BF6A9E">
        <w:t>Schválený rozpočet výdajů ve</w:t>
      </w:r>
      <w:r w:rsidR="001F0E28" w:rsidRPr="00BF6A9E">
        <w:t> </w:t>
      </w:r>
      <w:r w:rsidRPr="00BF6A9E">
        <w:t xml:space="preserve">výši </w:t>
      </w:r>
      <w:r w:rsidR="00061FB1" w:rsidRPr="00BF6A9E">
        <w:t>1.870.017</w:t>
      </w:r>
      <w:r w:rsidRPr="00BF6A9E">
        <w:t> tis. Kč v</w:t>
      </w:r>
      <w:r w:rsidR="00C02AF4" w:rsidRPr="00BF6A9E">
        <w:t> </w:t>
      </w:r>
      <w:r w:rsidRPr="00BF6A9E">
        <w:t xml:space="preserve">odvětví školství byl celkově navýšen na částku </w:t>
      </w:r>
      <w:r w:rsidR="00A14C6B" w:rsidRPr="00BF6A9E">
        <w:t>21.514.765</w:t>
      </w:r>
      <w:r w:rsidR="00423E4C" w:rsidRPr="00BF6A9E">
        <w:t> </w:t>
      </w:r>
      <w:r w:rsidRPr="00BF6A9E">
        <w:t>tis. Kč. Jednalo se</w:t>
      </w:r>
      <w:r w:rsidR="002E7033" w:rsidRPr="00BF6A9E">
        <w:t xml:space="preserve"> zejména</w:t>
      </w:r>
      <w:r w:rsidRPr="00BF6A9E">
        <w:t xml:space="preserve"> o</w:t>
      </w:r>
      <w:r w:rsidR="003614E9" w:rsidRPr="00BF6A9E">
        <w:t> </w:t>
      </w:r>
      <w:r w:rsidRPr="00BF6A9E">
        <w:t>úpravu rozpočtu související s neinvestičními dotacemi z kapitoly M</w:t>
      </w:r>
      <w:r w:rsidR="00BD7BA5" w:rsidRPr="00BF6A9E">
        <w:t>inisterstva školství, mládeže a tělovýchovy</w:t>
      </w:r>
      <w:r w:rsidRPr="00BF6A9E">
        <w:t>, a</w:t>
      </w:r>
      <w:r w:rsidR="00245FDF" w:rsidRPr="00BF6A9E">
        <w:t> </w:t>
      </w:r>
      <w:r w:rsidRPr="00BF6A9E">
        <w:t xml:space="preserve">to </w:t>
      </w:r>
      <w:r w:rsidR="002E7033" w:rsidRPr="00BF6A9E">
        <w:t>především</w:t>
      </w:r>
      <w:r w:rsidRPr="00BF6A9E">
        <w:t xml:space="preserve"> určenými k financování mzdových nákladů celkově v objemu </w:t>
      </w:r>
      <w:r w:rsidR="00816293" w:rsidRPr="00BF6A9E">
        <w:t>19.010.146</w:t>
      </w:r>
      <w:r w:rsidRPr="00BF6A9E">
        <w:t> tis. Kč, z</w:t>
      </w:r>
      <w:r w:rsidR="00663FD8" w:rsidRPr="00BF6A9E">
        <w:t> </w:t>
      </w:r>
      <w:r w:rsidRPr="00BF6A9E">
        <w:t>toho</w:t>
      </w:r>
      <w:r w:rsidR="00663FD8" w:rsidRPr="00BF6A9E">
        <w:t> </w:t>
      </w:r>
      <w:r w:rsidRPr="00BF6A9E">
        <w:t>na vzdělávání ve školách a školských zařízeních zřizovaných krajem ve</w:t>
      </w:r>
      <w:r w:rsidR="001F0E28" w:rsidRPr="00BF6A9E">
        <w:t> </w:t>
      </w:r>
      <w:r w:rsidRPr="00BF6A9E">
        <w:t xml:space="preserve">výši </w:t>
      </w:r>
      <w:r w:rsidR="008841B5" w:rsidRPr="00BF6A9E">
        <w:t>1.981.011</w:t>
      </w:r>
      <w:r w:rsidR="00A36013" w:rsidRPr="00BF6A9E">
        <w:t> </w:t>
      </w:r>
      <w:r w:rsidRPr="00BF6A9E">
        <w:t>tis.</w:t>
      </w:r>
      <w:r w:rsidR="00A36013" w:rsidRPr="00BF6A9E">
        <w:t> </w:t>
      </w:r>
      <w:r w:rsidRPr="00BF6A9E">
        <w:t>Kč, obcemi ve</w:t>
      </w:r>
      <w:r w:rsidR="009F6791" w:rsidRPr="00BF6A9E">
        <w:t> </w:t>
      </w:r>
      <w:r w:rsidRPr="00BF6A9E">
        <w:t xml:space="preserve">výši </w:t>
      </w:r>
      <w:r w:rsidR="00FB7697" w:rsidRPr="00BF6A9E">
        <w:t>4.139.590 </w:t>
      </w:r>
      <w:r w:rsidR="000418A9" w:rsidRPr="00BF6A9E">
        <w:t>tis. Kč</w:t>
      </w:r>
      <w:r w:rsidR="00A36013" w:rsidRPr="00BF6A9E">
        <w:t xml:space="preserve">, </w:t>
      </w:r>
      <w:r w:rsidRPr="00BF6A9E">
        <w:t>pro soukromé školy ve</w:t>
      </w:r>
      <w:r w:rsidR="001F0E28" w:rsidRPr="00BF6A9E">
        <w:t> </w:t>
      </w:r>
      <w:r w:rsidRPr="00BF6A9E">
        <w:t xml:space="preserve">výši </w:t>
      </w:r>
      <w:r w:rsidR="00485F1C" w:rsidRPr="00BF6A9E">
        <w:t>642.773</w:t>
      </w:r>
      <w:r w:rsidR="00BD7BA5" w:rsidRPr="00BF6A9E">
        <w:t> </w:t>
      </w:r>
      <w:r w:rsidRPr="00BF6A9E">
        <w:t>tis. Kč</w:t>
      </w:r>
      <w:r w:rsidR="00A36013" w:rsidRPr="00BF6A9E">
        <w:t xml:space="preserve"> a zbytek představuje</w:t>
      </w:r>
      <w:r w:rsidR="0001066E" w:rsidRPr="00BF6A9E">
        <w:t xml:space="preserve"> dosud</w:t>
      </w:r>
      <w:r w:rsidR="00A36013" w:rsidRPr="00BF6A9E">
        <w:t xml:space="preserve"> nerozdělené finanční prostředky</w:t>
      </w:r>
      <w:r w:rsidRPr="00BF6A9E">
        <w:t>.</w:t>
      </w:r>
    </w:p>
    <w:p w14:paraId="6195535F" w14:textId="55D79B9A" w:rsidR="004E7EA3" w:rsidRDefault="00AA64F2" w:rsidP="00C975AF">
      <w:pPr>
        <w:rPr>
          <w:rFonts w:cs="Tahoma"/>
        </w:rPr>
      </w:pPr>
      <w:r w:rsidRPr="00BF6A9E">
        <w:t xml:space="preserve">Objemově významná úprava </w:t>
      </w:r>
      <w:r w:rsidR="00D14884" w:rsidRPr="00BF6A9E">
        <w:t xml:space="preserve">v období </w:t>
      </w:r>
      <w:r w:rsidR="00242162" w:rsidRPr="00BF6A9E">
        <w:t>leden až</w:t>
      </w:r>
      <w:r w:rsidR="005B6101">
        <w:t> </w:t>
      </w:r>
      <w:r w:rsidR="00242162" w:rsidRPr="00BF6A9E">
        <w:t>duben</w:t>
      </w:r>
      <w:r w:rsidR="00F7447C" w:rsidRPr="00BF6A9E">
        <w:t xml:space="preserve"> </w:t>
      </w:r>
      <w:r w:rsidRPr="00BF6A9E">
        <w:t>souvisela s</w:t>
      </w:r>
      <w:r w:rsidR="005B6101">
        <w:t> </w:t>
      </w:r>
      <w:r w:rsidRPr="00BF6A9E">
        <w:t>nedočerpanými účelově vymezenými výdaji roku 20</w:t>
      </w:r>
      <w:r w:rsidR="00D14884" w:rsidRPr="00BF6A9E">
        <w:t>2</w:t>
      </w:r>
      <w:r w:rsidR="00D776AD" w:rsidRPr="00BF6A9E">
        <w:t>1</w:t>
      </w:r>
      <w:r w:rsidRPr="00BF6A9E">
        <w:t xml:space="preserve"> v tomto odvětví, které byly zapojeny ke stejnému účelu do</w:t>
      </w:r>
      <w:r w:rsidR="00D14884" w:rsidRPr="00BF6A9E">
        <w:t> </w:t>
      </w:r>
      <w:r w:rsidRPr="00BF6A9E">
        <w:t>rozpočtu roku 20</w:t>
      </w:r>
      <w:r w:rsidR="00046C77" w:rsidRPr="00BF6A9E">
        <w:t>2</w:t>
      </w:r>
      <w:r w:rsidR="00D776AD" w:rsidRPr="00BF6A9E">
        <w:t>2</w:t>
      </w:r>
      <w:r w:rsidRPr="00BF6A9E">
        <w:t xml:space="preserve"> v celkové výši </w:t>
      </w:r>
      <w:r w:rsidR="002964F6" w:rsidRPr="00BF6A9E">
        <w:t>360.965</w:t>
      </w:r>
      <w:r w:rsidRPr="00BF6A9E">
        <w:t> tis. Kč. Jednalo se</w:t>
      </w:r>
      <w:r w:rsidR="00F0248C">
        <w:t> </w:t>
      </w:r>
      <w:r w:rsidRPr="00BF6A9E">
        <w:t xml:space="preserve">zejména o výdaje určené na akce reprodukce majetku kraje ve výši </w:t>
      </w:r>
      <w:r w:rsidR="002964F6" w:rsidRPr="00BF6A9E">
        <w:t>234.104</w:t>
      </w:r>
      <w:r w:rsidRPr="00BF6A9E">
        <w:t xml:space="preserve"> tis. Kč a akce spolufinancované z evropských finančních zdrojů v celkové výši </w:t>
      </w:r>
      <w:r w:rsidR="002964F6" w:rsidRPr="00BF6A9E">
        <w:t>119.336</w:t>
      </w:r>
      <w:r w:rsidRPr="00BF6A9E">
        <w:t xml:space="preserve"> tis. Kč. </w:t>
      </w:r>
      <w:r w:rsidR="00FF50AD">
        <w:t xml:space="preserve">Dále byla </w:t>
      </w:r>
      <w:r w:rsidR="00C975AF">
        <w:t>ve</w:t>
      </w:r>
      <w:r w:rsidR="00F0248C">
        <w:t> </w:t>
      </w:r>
      <w:r w:rsidR="00C975AF">
        <w:t xml:space="preserve">sledovaném období </w:t>
      </w:r>
      <w:r w:rsidR="00FF50AD">
        <w:t xml:space="preserve">do rozpočtu odvětví školství </w:t>
      </w:r>
      <w:r w:rsidR="00C975AF">
        <w:t xml:space="preserve">zapojena </w:t>
      </w:r>
      <w:r w:rsidR="00FF50AD" w:rsidRPr="007B5DD6">
        <w:rPr>
          <w:rFonts w:cs="Tahoma"/>
        </w:rPr>
        <w:t>část zůstatku rozpočtového hospodaření kraje za</w:t>
      </w:r>
      <w:r w:rsidR="00C975AF">
        <w:rPr>
          <w:rFonts w:cs="Tahoma"/>
        </w:rPr>
        <w:t> </w:t>
      </w:r>
      <w:r w:rsidR="00FF50AD" w:rsidRPr="007B5DD6">
        <w:rPr>
          <w:rFonts w:cs="Tahoma"/>
        </w:rPr>
        <w:t xml:space="preserve">rok 2021 ve výši </w:t>
      </w:r>
      <w:r w:rsidR="00C975AF">
        <w:rPr>
          <w:rFonts w:cs="Tahoma"/>
        </w:rPr>
        <w:t>82.000</w:t>
      </w:r>
      <w:r w:rsidR="00FF50AD" w:rsidRPr="007B5DD6">
        <w:rPr>
          <w:rFonts w:cs="Tahoma"/>
        </w:rPr>
        <w:t xml:space="preserve"> tis. Kč, a to </w:t>
      </w:r>
      <w:r w:rsidR="004E7EA3">
        <w:rPr>
          <w:rFonts w:cs="Tahoma"/>
        </w:rPr>
        <w:t xml:space="preserve">zejména </w:t>
      </w:r>
      <w:r w:rsidR="00FF50AD" w:rsidRPr="007B5DD6">
        <w:rPr>
          <w:rFonts w:cs="Tahoma"/>
        </w:rPr>
        <w:t>na</w:t>
      </w:r>
      <w:r w:rsidR="004E7EA3">
        <w:rPr>
          <w:rFonts w:cs="Tahoma"/>
        </w:rPr>
        <w:t> </w:t>
      </w:r>
      <w:r w:rsidR="0098591C">
        <w:rPr>
          <w:rFonts w:cs="Tahoma"/>
        </w:rPr>
        <w:t>realizaci akce spolufinancované z evropských finančních zdrojů „</w:t>
      </w:r>
      <w:r w:rsidR="003D744A">
        <w:rPr>
          <w:rFonts w:cs="Tahoma"/>
        </w:rPr>
        <w:t>Odborné, kariérové a polytechnické vzdělávání II.“.</w:t>
      </w:r>
    </w:p>
    <w:p w14:paraId="53089FC1" w14:textId="152E08A0" w:rsidR="00352BEC" w:rsidRPr="00BF6A9E" w:rsidRDefault="00352BEC" w:rsidP="00E26847">
      <w:r w:rsidRPr="00BF6A9E">
        <w:t>Zastupitelstvo kraje rozhodlo usnesením č.</w:t>
      </w:r>
      <w:r w:rsidR="0066524F" w:rsidRPr="00BF6A9E">
        <w:t> </w:t>
      </w:r>
      <w:r w:rsidR="00F46244" w:rsidRPr="00BF6A9E">
        <w:t>7/689</w:t>
      </w:r>
      <w:r w:rsidRPr="00BF6A9E">
        <w:t xml:space="preserve"> ze</w:t>
      </w:r>
      <w:r w:rsidR="0066524F" w:rsidRPr="00BF6A9E">
        <w:t> </w:t>
      </w:r>
      <w:r w:rsidRPr="00BF6A9E">
        <w:t>dne 16.</w:t>
      </w:r>
      <w:r w:rsidR="0066524F" w:rsidRPr="00BF6A9E">
        <w:t> </w:t>
      </w:r>
      <w:r w:rsidR="00F46244" w:rsidRPr="00BF6A9E">
        <w:t>3</w:t>
      </w:r>
      <w:r w:rsidRPr="00BF6A9E">
        <w:t>.</w:t>
      </w:r>
      <w:r w:rsidR="0066524F" w:rsidRPr="00BF6A9E">
        <w:t> </w:t>
      </w:r>
      <w:r w:rsidRPr="00BF6A9E">
        <w:t>202</w:t>
      </w:r>
      <w:r w:rsidR="00F46244" w:rsidRPr="00BF6A9E">
        <w:t>2</w:t>
      </w:r>
      <w:r w:rsidR="000F15A9" w:rsidRPr="00BF6A9E">
        <w:t xml:space="preserve"> o</w:t>
      </w:r>
      <w:r w:rsidR="0066524F" w:rsidRPr="00BF6A9E">
        <w:t> </w:t>
      </w:r>
      <w:r w:rsidR="000F15A9" w:rsidRPr="00BF6A9E">
        <w:t>závazku kraje v maximální výši 3</w:t>
      </w:r>
      <w:r w:rsidR="00270CD9" w:rsidRPr="00BF6A9E">
        <w:t>0</w:t>
      </w:r>
      <w:r w:rsidR="000F15A9" w:rsidRPr="00BF6A9E">
        <w:t>.000</w:t>
      </w:r>
      <w:r w:rsidR="0066524F" w:rsidRPr="00BF6A9E">
        <w:t> </w:t>
      </w:r>
      <w:r w:rsidR="000F15A9" w:rsidRPr="00BF6A9E">
        <w:t>tis.</w:t>
      </w:r>
      <w:r w:rsidR="0066524F" w:rsidRPr="00BF6A9E">
        <w:t> </w:t>
      </w:r>
      <w:r w:rsidR="000F15A9" w:rsidRPr="00BF6A9E">
        <w:t xml:space="preserve">Kč </w:t>
      </w:r>
      <w:r w:rsidR="00270CD9" w:rsidRPr="00BF6A9E">
        <w:t>na období let 2024 </w:t>
      </w:r>
      <w:r w:rsidR="00270CD9" w:rsidRPr="00BF6A9E">
        <w:noBreakHyphen/>
        <w:t> 2025 vyvolaný podáním kandidatury na</w:t>
      </w:r>
      <w:r w:rsidR="00735972">
        <w:t> </w:t>
      </w:r>
      <w:r w:rsidR="00270CD9" w:rsidRPr="00BF6A9E">
        <w:t>pořádání zimní olympiády dětí a</w:t>
      </w:r>
      <w:r w:rsidR="00735972">
        <w:t> </w:t>
      </w:r>
      <w:r w:rsidR="00270CD9" w:rsidRPr="00BF6A9E">
        <w:t>mládeže v roce 2025 v Moravskoslezském kraji.</w:t>
      </w:r>
    </w:p>
    <w:p w14:paraId="586AA62C" w14:textId="6158F78B" w:rsidR="00014B18" w:rsidRPr="008D0432" w:rsidRDefault="00014B18" w:rsidP="00520CE2">
      <w:r w:rsidRPr="00BF6A9E">
        <w:t>Rozpočet výdajů v odvětví školství byl k </w:t>
      </w:r>
      <w:r w:rsidR="0073096F" w:rsidRPr="00BF6A9E">
        <w:t>30. 4. 2022</w:t>
      </w:r>
      <w:r w:rsidRPr="00BF6A9E">
        <w:t xml:space="preserve"> čerpán ve</w:t>
      </w:r>
      <w:r w:rsidR="00245FDF" w:rsidRPr="00BF6A9E">
        <w:t> </w:t>
      </w:r>
      <w:r w:rsidRPr="00BF6A9E">
        <w:t xml:space="preserve">výši </w:t>
      </w:r>
      <w:r w:rsidR="00A8511E" w:rsidRPr="00BF6A9E">
        <w:t>5.772.830</w:t>
      </w:r>
      <w:r w:rsidRPr="00BF6A9E">
        <w:t> tis. Kč, tj. čerpání na </w:t>
      </w:r>
      <w:r w:rsidR="00A8511E" w:rsidRPr="00BF6A9E">
        <w:t>27</w:t>
      </w:r>
      <w:r w:rsidR="00C02AF4" w:rsidRPr="00BF6A9E">
        <w:t> </w:t>
      </w:r>
      <w:r w:rsidRPr="00BF6A9E">
        <w:t xml:space="preserve">% </w:t>
      </w:r>
      <w:r w:rsidRPr="008D0432">
        <w:t>upraveného rozpočtu.</w:t>
      </w:r>
    </w:p>
    <w:p w14:paraId="586AA62D" w14:textId="03937E22" w:rsidR="00014B18" w:rsidRPr="008D0432" w:rsidRDefault="00014B18" w:rsidP="00AD54E5">
      <w:r w:rsidRPr="008D0432">
        <w:t xml:space="preserve">V rámci dotačních programů v odvětví školství </w:t>
      </w:r>
      <w:r w:rsidR="00CD3BD1" w:rsidRPr="008D0432">
        <w:t>byl</w:t>
      </w:r>
      <w:r w:rsidR="009A6D80" w:rsidRPr="008D0432">
        <w:t>y</w:t>
      </w:r>
      <w:r w:rsidR="00245FDF" w:rsidRPr="008D0432">
        <w:t xml:space="preserve"> </w:t>
      </w:r>
      <w:r w:rsidRPr="008D0432">
        <w:t>ve</w:t>
      </w:r>
      <w:r w:rsidR="00077862" w:rsidRPr="008D0432">
        <w:t> </w:t>
      </w:r>
      <w:r w:rsidR="007C6352" w:rsidRPr="008D0432">
        <w:t>sledovaném</w:t>
      </w:r>
      <w:r w:rsidR="00245FDF" w:rsidRPr="008D0432">
        <w:t xml:space="preserve"> </w:t>
      </w:r>
      <w:r w:rsidRPr="008D0432">
        <w:t xml:space="preserve">období </w:t>
      </w:r>
      <w:r w:rsidR="009A6D80" w:rsidRPr="008D0432">
        <w:t xml:space="preserve">vyplaceny </w:t>
      </w:r>
      <w:r w:rsidRPr="008D0432">
        <w:t>finanční prostředky</w:t>
      </w:r>
      <w:r w:rsidR="00423E4C" w:rsidRPr="008D0432">
        <w:t xml:space="preserve"> ve výši </w:t>
      </w:r>
      <w:r w:rsidR="00A8511E" w:rsidRPr="008D0432">
        <w:t>5.312</w:t>
      </w:r>
      <w:r w:rsidR="007B7F65" w:rsidRPr="008D0432">
        <w:t> </w:t>
      </w:r>
      <w:r w:rsidR="00423E4C" w:rsidRPr="008D0432">
        <w:t>tis. Kč</w:t>
      </w:r>
      <w:r w:rsidR="00CC569C" w:rsidRPr="008D0432">
        <w:t>, a to</w:t>
      </w:r>
      <w:r w:rsidR="00423E4C" w:rsidRPr="008D0432">
        <w:t xml:space="preserve"> z</w:t>
      </w:r>
      <w:r w:rsidR="00077862" w:rsidRPr="008D0432">
        <w:t> </w:t>
      </w:r>
      <w:r w:rsidR="00423E4C" w:rsidRPr="008D0432">
        <w:t>prostředků alokovaných v upraveném rozpočtu v</w:t>
      </w:r>
      <w:r w:rsidR="00077862" w:rsidRPr="008D0432">
        <w:t> </w:t>
      </w:r>
      <w:r w:rsidR="00CC569C" w:rsidRPr="008D0432">
        <w:t>objemu</w:t>
      </w:r>
      <w:r w:rsidR="00423E4C" w:rsidRPr="008D0432">
        <w:t xml:space="preserve"> </w:t>
      </w:r>
      <w:r w:rsidR="00A8511E" w:rsidRPr="008D0432">
        <w:t>49.112</w:t>
      </w:r>
      <w:r w:rsidR="00CC569C" w:rsidRPr="008D0432">
        <w:t> </w:t>
      </w:r>
      <w:r w:rsidR="00423E4C" w:rsidRPr="008D0432">
        <w:t>tis.</w:t>
      </w:r>
      <w:r w:rsidR="00CC569C" w:rsidRPr="008D0432">
        <w:t> </w:t>
      </w:r>
      <w:r w:rsidR="00423E4C" w:rsidRPr="008D0432">
        <w:t>Kč</w:t>
      </w:r>
      <w:r w:rsidR="004C4F54" w:rsidRPr="008D0432">
        <w:t>.</w:t>
      </w:r>
    </w:p>
    <w:p w14:paraId="586AA62E" w14:textId="029A119F" w:rsidR="00014B18" w:rsidRPr="008D0432" w:rsidRDefault="00014B18" w:rsidP="00AD54E5">
      <w:r w:rsidRPr="008D0432">
        <w:rPr>
          <w:bCs/>
        </w:rPr>
        <w:t>Příspěvkovým organizacím v odvětví školství bylo</w:t>
      </w:r>
      <w:r w:rsidRPr="008D0432">
        <w:t xml:space="preserve"> k </w:t>
      </w:r>
      <w:r w:rsidR="0073096F" w:rsidRPr="008D0432">
        <w:t>30. 4. 2022</w:t>
      </w:r>
      <w:r w:rsidRPr="008D0432">
        <w:t xml:space="preserve"> poskytnuto </w:t>
      </w:r>
      <w:r w:rsidR="00A8511E" w:rsidRPr="008D0432">
        <w:t>1.739.547</w:t>
      </w:r>
      <w:r w:rsidR="002F618B" w:rsidRPr="008D0432">
        <w:t> </w:t>
      </w:r>
      <w:r w:rsidRPr="008D0432">
        <w:t>tis.</w:t>
      </w:r>
      <w:r w:rsidR="007906DC" w:rsidRPr="008D0432">
        <w:t> </w:t>
      </w:r>
      <w:r w:rsidRPr="008D0432">
        <w:t xml:space="preserve">Kč, z toho na financování mzdových </w:t>
      </w:r>
      <w:r w:rsidRPr="008D0432">
        <w:rPr>
          <w:bCs/>
        </w:rPr>
        <w:t xml:space="preserve">nákladů na vzdělávání ve školách a školských zařízeních zřizovaných krajem </w:t>
      </w:r>
      <w:r w:rsidRPr="008D0432">
        <w:t xml:space="preserve">celkem </w:t>
      </w:r>
      <w:r w:rsidR="00703190" w:rsidRPr="008D0432">
        <w:t>1</w:t>
      </w:r>
      <w:r w:rsidR="00803C66" w:rsidRPr="008D0432">
        <w:t>.</w:t>
      </w:r>
      <w:r w:rsidR="003D41CE" w:rsidRPr="008D0432">
        <w:t>485.794</w:t>
      </w:r>
      <w:r w:rsidR="007B7F65" w:rsidRPr="008D0432">
        <w:t> </w:t>
      </w:r>
      <w:r w:rsidRPr="008D0432">
        <w:t>tis.</w:t>
      </w:r>
      <w:r w:rsidR="007B7F65" w:rsidRPr="008D0432">
        <w:t> </w:t>
      </w:r>
      <w:r w:rsidRPr="008D0432">
        <w:t>Kč</w:t>
      </w:r>
      <w:r w:rsidR="001414E3" w:rsidRPr="008D0432">
        <w:t>.</w:t>
      </w:r>
      <w:r w:rsidRPr="008D0432">
        <w:t xml:space="preserve"> </w:t>
      </w:r>
    </w:p>
    <w:p w14:paraId="586AA62F" w14:textId="4D8E03D0" w:rsidR="00014B18" w:rsidRPr="008D0432" w:rsidRDefault="00014B18" w:rsidP="00693B64">
      <w:pPr>
        <w:rPr>
          <w:rFonts w:cs="Tahoma"/>
          <w:szCs w:val="20"/>
        </w:rPr>
      </w:pPr>
      <w:r w:rsidRPr="008D0432">
        <w:rPr>
          <w:rFonts w:cs="Tahoma"/>
          <w:szCs w:val="20"/>
        </w:rPr>
        <w:lastRenderedPageBreak/>
        <w:t>Na</w:t>
      </w:r>
      <w:r w:rsidR="008446AD" w:rsidRPr="008D0432">
        <w:rPr>
          <w:rFonts w:cs="Tahoma"/>
          <w:szCs w:val="20"/>
        </w:rPr>
        <w:t> </w:t>
      </w:r>
      <w:r w:rsidRPr="008D0432">
        <w:rPr>
          <w:rFonts w:cs="Tahoma"/>
          <w:szCs w:val="20"/>
        </w:rPr>
        <w:t>reprodukci majetku kraje svěřeného do</w:t>
      </w:r>
      <w:r w:rsidR="007B7F65" w:rsidRPr="008D0432">
        <w:rPr>
          <w:rFonts w:cs="Tahoma"/>
          <w:szCs w:val="20"/>
        </w:rPr>
        <w:t> </w:t>
      </w:r>
      <w:r w:rsidRPr="008D0432">
        <w:rPr>
          <w:rFonts w:cs="Tahoma"/>
          <w:szCs w:val="20"/>
        </w:rPr>
        <w:t xml:space="preserve">správy příspěvkových organizací v odvětví školství bylo </w:t>
      </w:r>
      <w:r w:rsidR="00630930" w:rsidRPr="008D0432">
        <w:rPr>
          <w:rFonts w:cs="Tahoma"/>
          <w:szCs w:val="20"/>
        </w:rPr>
        <w:t>k</w:t>
      </w:r>
      <w:r w:rsidR="004116F3" w:rsidRPr="008D0432">
        <w:rPr>
          <w:rFonts w:cs="Tahoma"/>
          <w:szCs w:val="20"/>
        </w:rPr>
        <w:t> </w:t>
      </w:r>
      <w:r w:rsidR="0073096F" w:rsidRPr="008D0432">
        <w:rPr>
          <w:rFonts w:cs="Tahoma"/>
          <w:szCs w:val="20"/>
        </w:rPr>
        <w:t>30. 4. 2022</w:t>
      </w:r>
      <w:r w:rsidRPr="008D0432">
        <w:rPr>
          <w:rFonts w:cs="Tahoma"/>
          <w:szCs w:val="20"/>
        </w:rPr>
        <w:t xml:space="preserve"> z vyčleněných prostředků ve</w:t>
      </w:r>
      <w:r w:rsidR="007B7F65" w:rsidRPr="008D0432">
        <w:rPr>
          <w:rFonts w:cs="Tahoma"/>
          <w:szCs w:val="20"/>
        </w:rPr>
        <w:t> </w:t>
      </w:r>
      <w:r w:rsidRPr="008D0432">
        <w:rPr>
          <w:rFonts w:cs="Tahoma"/>
          <w:szCs w:val="20"/>
        </w:rPr>
        <w:t xml:space="preserve">výši </w:t>
      </w:r>
      <w:r w:rsidR="00A8511E" w:rsidRPr="008D0432">
        <w:rPr>
          <w:rFonts w:cs="Tahoma"/>
          <w:szCs w:val="20"/>
        </w:rPr>
        <w:t>864.221</w:t>
      </w:r>
      <w:r w:rsidR="003C6212" w:rsidRPr="008D0432">
        <w:rPr>
          <w:rFonts w:cs="Tahoma"/>
          <w:szCs w:val="20"/>
        </w:rPr>
        <w:t> </w:t>
      </w:r>
      <w:r w:rsidRPr="008D0432">
        <w:rPr>
          <w:rFonts w:cs="Tahoma"/>
          <w:szCs w:val="20"/>
        </w:rPr>
        <w:t>tis.</w:t>
      </w:r>
      <w:r w:rsidR="003C6212" w:rsidRPr="008D0432">
        <w:rPr>
          <w:rFonts w:cs="Tahoma"/>
          <w:szCs w:val="20"/>
        </w:rPr>
        <w:t> </w:t>
      </w:r>
      <w:r w:rsidRPr="008D0432">
        <w:rPr>
          <w:rFonts w:cs="Tahoma"/>
          <w:szCs w:val="20"/>
        </w:rPr>
        <w:t xml:space="preserve">Kč vyčerpáno </w:t>
      </w:r>
      <w:r w:rsidR="00A8511E" w:rsidRPr="008D0432">
        <w:rPr>
          <w:rFonts w:cs="Tahoma"/>
          <w:szCs w:val="20"/>
        </w:rPr>
        <w:t>35.3</w:t>
      </w:r>
      <w:r w:rsidR="008446AD" w:rsidRPr="008D0432">
        <w:rPr>
          <w:rFonts w:cs="Tahoma"/>
          <w:szCs w:val="20"/>
        </w:rPr>
        <w:t>57</w:t>
      </w:r>
      <w:r w:rsidRPr="008D0432">
        <w:rPr>
          <w:rFonts w:cs="Tahoma"/>
          <w:szCs w:val="20"/>
        </w:rPr>
        <w:t> tis. Kč (více viz příloha č.</w:t>
      </w:r>
      <w:r w:rsidR="004116F3" w:rsidRPr="008D0432">
        <w:rPr>
          <w:rFonts w:cs="Tahoma"/>
          <w:szCs w:val="20"/>
        </w:rPr>
        <w:t> </w:t>
      </w:r>
      <w:r w:rsidRPr="008D0432">
        <w:rPr>
          <w:rFonts w:cs="Tahoma"/>
          <w:szCs w:val="20"/>
        </w:rPr>
        <w:t>4</w:t>
      </w:r>
      <w:r w:rsidR="004116F3" w:rsidRPr="008D0432">
        <w:rPr>
          <w:rFonts w:cs="Tahoma"/>
          <w:szCs w:val="20"/>
        </w:rPr>
        <w:t> </w:t>
      </w:r>
      <w:r w:rsidRPr="008D0432">
        <w:rPr>
          <w:rFonts w:cs="Tahoma"/>
          <w:szCs w:val="20"/>
        </w:rPr>
        <w:t xml:space="preserve">materiálu). </w:t>
      </w:r>
    </w:p>
    <w:p w14:paraId="586AA630" w14:textId="65689E46" w:rsidR="00014B18" w:rsidRPr="008D0432" w:rsidRDefault="00014B18" w:rsidP="00077862">
      <w:r w:rsidRPr="008D0432">
        <w:t>Ve</w:t>
      </w:r>
      <w:r w:rsidR="00077862" w:rsidRPr="008D0432">
        <w:t> </w:t>
      </w:r>
      <w:r w:rsidRPr="008D0432">
        <w:t>sledovaném období byly v tomto odvětví čerpány finanční prostředky i</w:t>
      </w:r>
      <w:r w:rsidR="008446AD" w:rsidRPr="008D0432">
        <w:t> </w:t>
      </w:r>
      <w:r w:rsidRPr="008D0432">
        <w:t>v rámci akcí spolufinancovaných z evropských finančních zdrojů, a</w:t>
      </w:r>
      <w:r w:rsidR="008446AD" w:rsidRPr="008D0432">
        <w:t> </w:t>
      </w:r>
      <w:r w:rsidRPr="008D0432">
        <w:t xml:space="preserve">to v částce </w:t>
      </w:r>
      <w:r w:rsidR="00A8511E" w:rsidRPr="008D0432">
        <w:t>172.905</w:t>
      </w:r>
      <w:r w:rsidR="00077862" w:rsidRPr="008D0432">
        <w:t> </w:t>
      </w:r>
      <w:r w:rsidRPr="008D0432">
        <w:t>tis.</w:t>
      </w:r>
      <w:r w:rsidR="00077862" w:rsidRPr="008D0432">
        <w:t> </w:t>
      </w:r>
      <w:r w:rsidRPr="008D0432">
        <w:t>Kč (více viz příloha č.</w:t>
      </w:r>
      <w:r w:rsidR="008446AD" w:rsidRPr="008D0432">
        <w:t> </w:t>
      </w:r>
      <w:r w:rsidRPr="008D0432">
        <w:t>5 materiálu).</w:t>
      </w:r>
    </w:p>
    <w:p w14:paraId="7DE60C8D" w14:textId="42F1950C" w:rsidR="004A1EE1" w:rsidRPr="008D0432" w:rsidRDefault="002B471A" w:rsidP="00CE0C49">
      <w:pPr>
        <w:pStyle w:val="Styltab"/>
      </w:pPr>
      <w:r w:rsidRPr="008D0432">
        <w:t>Výdaje v odvětví školství v členění dle účelu</w:t>
      </w:r>
      <w:r w:rsidR="001110F8" w:rsidRPr="008D0432">
        <w:tab/>
      </w:r>
      <w:r w:rsidRPr="008D0432">
        <w:t>v tis. Kč</w:t>
      </w:r>
      <w:bookmarkStart w:id="294" w:name="_MON_1681556513"/>
      <w:bookmarkEnd w:id="294"/>
      <w:bookmarkStart w:id="295" w:name="_MON_1597053312"/>
      <w:bookmarkEnd w:id="295"/>
      <w:r w:rsidR="00A8511E" w:rsidRPr="008D0432">
        <w:object w:dxaOrig="9251" w:dyaOrig="2314" w14:anchorId="3D5CB67F">
          <v:shape id="_x0000_i1063" type="#_x0000_t75" style="width:461.9pt;height:114.8pt" o:ole="">
            <v:imagedata r:id="rId85" o:title=""/>
          </v:shape>
          <o:OLEObject Type="Embed" ProgID="Excel.Sheet.8" ShapeID="_x0000_i1063" DrawAspect="Content" ObjectID="_1714980725" r:id="rId86"/>
        </w:object>
      </w:r>
    </w:p>
    <w:p w14:paraId="2C7FC95D" w14:textId="77777777" w:rsidR="004A1EE1" w:rsidRPr="008D0432" w:rsidRDefault="004A1EE1" w:rsidP="00D44D29"/>
    <w:p w14:paraId="27BDB366" w14:textId="75141958" w:rsidR="004A1EE1" w:rsidRPr="00BF6A9E" w:rsidRDefault="002B471A" w:rsidP="00CE0C49">
      <w:pPr>
        <w:pStyle w:val="Styltab"/>
      </w:pPr>
      <w:bookmarkStart w:id="296" w:name="_MON_1469518322"/>
      <w:bookmarkStart w:id="297" w:name="_MON_1469518565"/>
      <w:bookmarkStart w:id="298" w:name="_MON_1476602109"/>
      <w:bookmarkStart w:id="299" w:name="_MON_1477204321"/>
      <w:bookmarkStart w:id="300" w:name="_MON_1489918951"/>
      <w:bookmarkStart w:id="301" w:name="_MON_1490173260"/>
      <w:bookmarkStart w:id="302" w:name="_MON_1490173309"/>
      <w:bookmarkStart w:id="303" w:name="_MON_1490421482"/>
      <w:bookmarkEnd w:id="296"/>
      <w:bookmarkEnd w:id="297"/>
      <w:bookmarkEnd w:id="298"/>
      <w:bookmarkEnd w:id="299"/>
      <w:bookmarkEnd w:id="300"/>
      <w:bookmarkEnd w:id="301"/>
      <w:bookmarkEnd w:id="302"/>
      <w:bookmarkEnd w:id="303"/>
      <w:r w:rsidRPr="00BF6A9E">
        <w:t>Výdaje v odvětví školství na samosprávné a jiné činnosti zajišťované prostřednictvím krajského úřadu</w:t>
      </w:r>
      <w:r w:rsidR="001110F8" w:rsidRPr="00BF6A9E">
        <w:tab/>
      </w:r>
      <w:r w:rsidRPr="00BF6A9E">
        <w:t>v tis. Kč</w:t>
      </w:r>
      <w:bookmarkStart w:id="304" w:name="_MON_1681556558"/>
      <w:bookmarkStart w:id="305" w:name="_MON_1469446771"/>
      <w:bookmarkStart w:id="306" w:name="_MON_1469446777"/>
      <w:bookmarkStart w:id="307" w:name="_MON_1476602132"/>
      <w:bookmarkStart w:id="308" w:name="_MON_1477207434"/>
      <w:bookmarkStart w:id="309" w:name="_MON_1489926648"/>
      <w:bookmarkStart w:id="310" w:name="_MON_1489927361"/>
      <w:bookmarkStart w:id="311" w:name="_MON_1595409103"/>
      <w:bookmarkStart w:id="312" w:name="_MON_1490173292"/>
      <w:bookmarkStart w:id="313" w:name="_MON_1490175270"/>
      <w:bookmarkStart w:id="314" w:name="_MON_1469445703"/>
      <w:bookmarkEnd w:id="304"/>
      <w:bookmarkEnd w:id="305"/>
      <w:bookmarkEnd w:id="306"/>
      <w:bookmarkEnd w:id="307"/>
      <w:bookmarkEnd w:id="308"/>
      <w:bookmarkEnd w:id="309"/>
      <w:bookmarkEnd w:id="310"/>
      <w:bookmarkEnd w:id="311"/>
      <w:bookmarkEnd w:id="312"/>
      <w:bookmarkEnd w:id="313"/>
      <w:bookmarkEnd w:id="314"/>
      <w:bookmarkStart w:id="315" w:name="_MON_1469446043"/>
      <w:bookmarkEnd w:id="315"/>
      <w:r w:rsidR="00A8511E" w:rsidRPr="00BF6A9E">
        <w:object w:dxaOrig="10087" w:dyaOrig="8267" w14:anchorId="3B783849">
          <v:shape id="_x0000_i1064" type="#_x0000_t75" style="width:461.2pt;height:351.15pt" o:ole="">
            <v:imagedata r:id="rId87" o:title=""/>
          </v:shape>
          <o:OLEObject Type="Embed" ProgID="Excel.Sheet.8" ShapeID="_x0000_i1064" DrawAspect="Content" ObjectID="_1714980726" r:id="rId88"/>
        </w:object>
      </w:r>
    </w:p>
    <w:p w14:paraId="4A100EEB" w14:textId="77777777" w:rsidR="00923889" w:rsidRPr="00BF6A9E" w:rsidRDefault="00923889" w:rsidP="00923889"/>
    <w:p w14:paraId="6519214A" w14:textId="4EFF8116" w:rsidR="00923889" w:rsidRPr="00BF6A9E" w:rsidRDefault="00923889" w:rsidP="00CE0C49">
      <w:pPr>
        <w:pStyle w:val="Styltab"/>
      </w:pPr>
      <w:r w:rsidRPr="00BF6A9E">
        <w:lastRenderedPageBreak/>
        <w:t>Příspěvek na provoz příspěvkovým organizacím v odvětví školství</w:t>
      </w:r>
      <w:r w:rsidRPr="00BF6A9E">
        <w:tab/>
        <w:t>v tis. Kč</w:t>
      </w:r>
      <w:bookmarkStart w:id="316" w:name="_MON_1690386065"/>
      <w:bookmarkEnd w:id="316"/>
      <w:r w:rsidR="00A8511E" w:rsidRPr="00BF6A9E">
        <w:object w:dxaOrig="9824" w:dyaOrig="5953" w14:anchorId="04624C26">
          <v:shape id="_x0000_i1065" type="#_x0000_t75" style="width:461.9pt;height:275.1pt" o:ole="">
            <v:imagedata r:id="rId89" o:title=""/>
          </v:shape>
          <o:OLEObject Type="Embed" ProgID="Excel.Sheet.8" ShapeID="_x0000_i1065" DrawAspect="Content" ObjectID="_1714980727" r:id="rId90"/>
        </w:object>
      </w:r>
    </w:p>
    <w:p w14:paraId="363927F7" w14:textId="77777777" w:rsidR="00D10895" w:rsidRPr="00BF6A9E" w:rsidRDefault="00D10895" w:rsidP="00D10895"/>
    <w:p w14:paraId="586AA637" w14:textId="7626E719" w:rsidR="000177A8" w:rsidRPr="00BF6A9E" w:rsidRDefault="000177A8" w:rsidP="00CE0C49">
      <w:pPr>
        <w:pStyle w:val="Styltab"/>
      </w:pPr>
      <w:r w:rsidRPr="00BF6A9E">
        <w:t>Návratné finanční výpomoci v</w:t>
      </w:r>
      <w:r w:rsidR="00077862" w:rsidRPr="00BF6A9E">
        <w:t> </w:t>
      </w:r>
      <w:r w:rsidRPr="00BF6A9E">
        <w:t>odvětví školství</w:t>
      </w:r>
      <w:r w:rsidR="00762A6D" w:rsidRPr="00BF6A9E">
        <w:tab/>
      </w:r>
      <w:r w:rsidRPr="00BF6A9E">
        <w:t>v tis.</w:t>
      </w:r>
      <w:r w:rsidR="00577CA7" w:rsidRPr="00BF6A9E">
        <w:t> </w:t>
      </w:r>
      <w:r w:rsidRPr="00BF6A9E">
        <w:t>Kč</w:t>
      </w:r>
      <w:bookmarkStart w:id="317" w:name="_MON_1563716715"/>
      <w:bookmarkEnd w:id="317"/>
      <w:r w:rsidR="00E720E0">
        <w:pict w14:anchorId="586AA6C0">
          <v:shape id="_x0000_i1066" type="#_x0000_t75" style="width:461.2pt;height:194.95pt">
            <v:imagedata r:id="rId91" o:title=""/>
          </v:shape>
        </w:pict>
      </w:r>
    </w:p>
    <w:p w14:paraId="586AA639" w14:textId="77777777" w:rsidR="00014B18" w:rsidRPr="00791A0E" w:rsidRDefault="00014B18" w:rsidP="00AD79B0">
      <w:pPr>
        <w:pStyle w:val="Nadpis3"/>
      </w:pPr>
      <w:r w:rsidRPr="00791A0E">
        <w:t>Odvětví územního plánování a stavebního řádu</w:t>
      </w:r>
    </w:p>
    <w:p w14:paraId="586AA63A" w14:textId="6FA8EEF0" w:rsidR="00C70DAD" w:rsidRPr="00791A0E" w:rsidRDefault="00014B18" w:rsidP="00786A48">
      <w:r w:rsidRPr="00791A0E">
        <w:t>Rozpočet výdajů v odvětví územního plánování a stavebního řádu byl schválen ve</w:t>
      </w:r>
      <w:r w:rsidR="00854BDF" w:rsidRPr="00791A0E">
        <w:t> </w:t>
      </w:r>
      <w:r w:rsidRPr="00791A0E">
        <w:t xml:space="preserve">výši </w:t>
      </w:r>
      <w:r w:rsidR="0053337F" w:rsidRPr="00791A0E">
        <w:t>66.550</w:t>
      </w:r>
      <w:r w:rsidRPr="00791A0E">
        <w:t> tis. Kč a následně upraven na</w:t>
      </w:r>
      <w:r w:rsidR="00077862" w:rsidRPr="00791A0E">
        <w:t> </w:t>
      </w:r>
      <w:r w:rsidR="0053337F" w:rsidRPr="00791A0E">
        <w:t>71.141</w:t>
      </w:r>
      <w:r w:rsidR="00854BDF" w:rsidRPr="00791A0E">
        <w:t> </w:t>
      </w:r>
      <w:r w:rsidRPr="00791A0E">
        <w:t>tis.</w:t>
      </w:r>
      <w:r w:rsidR="00854BDF" w:rsidRPr="00791A0E">
        <w:t> </w:t>
      </w:r>
      <w:r w:rsidRPr="00791A0E">
        <w:t>Kč</w:t>
      </w:r>
      <w:r w:rsidR="00786A48" w:rsidRPr="00791A0E">
        <w:t xml:space="preserve">, což představuje </w:t>
      </w:r>
      <w:r w:rsidR="009A7D39" w:rsidRPr="00791A0E">
        <w:t>navýšení</w:t>
      </w:r>
      <w:r w:rsidR="00786A48" w:rsidRPr="00791A0E">
        <w:t xml:space="preserve"> rozpočtu o</w:t>
      </w:r>
      <w:r w:rsidR="00325FC2" w:rsidRPr="00791A0E">
        <w:t> </w:t>
      </w:r>
      <w:r w:rsidR="0053337F" w:rsidRPr="00791A0E">
        <w:t>4.591</w:t>
      </w:r>
      <w:r w:rsidR="00786A48" w:rsidRPr="00791A0E">
        <w:t xml:space="preserve"> tis. Kč. </w:t>
      </w:r>
    </w:p>
    <w:p w14:paraId="368D703B" w14:textId="58D0CD6C" w:rsidR="00610172" w:rsidRPr="00791A0E" w:rsidRDefault="00610172" w:rsidP="00610172">
      <w:pPr>
        <w:rPr>
          <w:rFonts w:cs="Tahoma"/>
          <w:bCs/>
          <w:szCs w:val="20"/>
        </w:rPr>
      </w:pPr>
      <w:r w:rsidRPr="00791A0E">
        <w:rPr>
          <w:rFonts w:cs="Tahoma"/>
          <w:bCs/>
          <w:szCs w:val="20"/>
        </w:rPr>
        <w:t xml:space="preserve">Objemově významná úprava </w:t>
      </w:r>
      <w:r w:rsidR="00D965EE" w:rsidRPr="00791A0E">
        <w:rPr>
          <w:rFonts w:cs="Tahoma"/>
          <w:bCs/>
          <w:szCs w:val="20"/>
        </w:rPr>
        <w:t>v</w:t>
      </w:r>
      <w:r w:rsidR="00676303" w:rsidRPr="00791A0E">
        <w:rPr>
          <w:rFonts w:cs="Tahoma"/>
          <w:bCs/>
          <w:szCs w:val="20"/>
        </w:rPr>
        <w:t xml:space="preserve"> období </w:t>
      </w:r>
      <w:r w:rsidR="008E164A" w:rsidRPr="00791A0E">
        <w:rPr>
          <w:rFonts w:cs="Tahoma"/>
          <w:bCs/>
          <w:szCs w:val="20"/>
        </w:rPr>
        <w:t>leden až</w:t>
      </w:r>
      <w:r w:rsidR="0031157F">
        <w:rPr>
          <w:rFonts w:cs="Tahoma"/>
          <w:bCs/>
          <w:szCs w:val="20"/>
        </w:rPr>
        <w:t> </w:t>
      </w:r>
      <w:r w:rsidR="008E164A" w:rsidRPr="00791A0E">
        <w:rPr>
          <w:rFonts w:cs="Tahoma"/>
          <w:bCs/>
          <w:szCs w:val="20"/>
        </w:rPr>
        <w:t>duben</w:t>
      </w:r>
      <w:r w:rsidRPr="00791A0E">
        <w:rPr>
          <w:rFonts w:cs="Tahoma"/>
          <w:bCs/>
          <w:szCs w:val="20"/>
        </w:rPr>
        <w:t xml:space="preserve"> souvisela s nedočerpanými účelově vymezenými výdaji roku 20</w:t>
      </w:r>
      <w:r w:rsidR="00676303" w:rsidRPr="00791A0E">
        <w:rPr>
          <w:rFonts w:cs="Tahoma"/>
          <w:bCs/>
          <w:szCs w:val="20"/>
        </w:rPr>
        <w:t>2</w:t>
      </w:r>
      <w:r w:rsidR="00F4590C" w:rsidRPr="00791A0E">
        <w:rPr>
          <w:rFonts w:cs="Tahoma"/>
          <w:bCs/>
          <w:szCs w:val="20"/>
        </w:rPr>
        <w:t>1</w:t>
      </w:r>
      <w:r w:rsidRPr="00791A0E">
        <w:rPr>
          <w:rFonts w:cs="Tahoma"/>
          <w:bCs/>
          <w:szCs w:val="20"/>
        </w:rPr>
        <w:t xml:space="preserve"> v tomto odvětví ve výši </w:t>
      </w:r>
      <w:r w:rsidR="00600B5E" w:rsidRPr="00791A0E">
        <w:rPr>
          <w:rFonts w:cs="Tahoma"/>
          <w:bCs/>
          <w:szCs w:val="20"/>
        </w:rPr>
        <w:t>4.591</w:t>
      </w:r>
      <w:r w:rsidRPr="00791A0E">
        <w:rPr>
          <w:rFonts w:cs="Tahoma"/>
          <w:bCs/>
          <w:szCs w:val="20"/>
        </w:rPr>
        <w:t> tis. </w:t>
      </w:r>
      <w:r w:rsidRPr="00791A0E">
        <w:t>Kč</w:t>
      </w:r>
      <w:r w:rsidRPr="00791A0E">
        <w:rPr>
          <w:rFonts w:cs="Tahoma"/>
          <w:bCs/>
          <w:szCs w:val="20"/>
        </w:rPr>
        <w:t>, které byly zapojeny ke stejnému účelu do rozpočtu roku 20</w:t>
      </w:r>
      <w:r w:rsidR="00D965EE" w:rsidRPr="00791A0E">
        <w:rPr>
          <w:rFonts w:cs="Tahoma"/>
          <w:bCs/>
          <w:szCs w:val="20"/>
        </w:rPr>
        <w:t>2</w:t>
      </w:r>
      <w:r w:rsidR="00600B5E" w:rsidRPr="00791A0E">
        <w:rPr>
          <w:rFonts w:cs="Tahoma"/>
          <w:bCs/>
          <w:szCs w:val="20"/>
        </w:rPr>
        <w:t>2</w:t>
      </w:r>
      <w:r w:rsidRPr="00791A0E">
        <w:rPr>
          <w:rFonts w:cs="Tahoma"/>
          <w:bCs/>
          <w:szCs w:val="20"/>
        </w:rPr>
        <w:t>. Jednalo se zejména o prostředky určené na financování akc</w:t>
      </w:r>
      <w:r w:rsidR="008A64E0" w:rsidRPr="00791A0E">
        <w:rPr>
          <w:rFonts w:cs="Tahoma"/>
          <w:bCs/>
          <w:szCs w:val="20"/>
        </w:rPr>
        <w:t xml:space="preserve">e </w:t>
      </w:r>
      <w:r w:rsidR="00B478AE">
        <w:rPr>
          <w:rFonts w:cs="Tahoma"/>
          <w:bCs/>
          <w:szCs w:val="20"/>
        </w:rPr>
        <w:t>„</w:t>
      </w:r>
      <w:r w:rsidR="008A64E0" w:rsidRPr="00791A0E">
        <w:rPr>
          <w:rFonts w:cs="Tahoma"/>
          <w:bCs/>
          <w:szCs w:val="20"/>
        </w:rPr>
        <w:t>Aktualizace Zásad územního rozvoje Moravskoslezského kraje</w:t>
      </w:r>
      <w:r w:rsidR="00B478AE">
        <w:rPr>
          <w:rFonts w:cs="Tahoma"/>
          <w:bCs/>
          <w:szCs w:val="20"/>
        </w:rPr>
        <w:t>“</w:t>
      </w:r>
      <w:r w:rsidR="008A64E0" w:rsidRPr="00791A0E">
        <w:rPr>
          <w:rFonts w:cs="Tahoma"/>
          <w:bCs/>
          <w:szCs w:val="20"/>
        </w:rPr>
        <w:t xml:space="preserve"> ve</w:t>
      </w:r>
      <w:r w:rsidR="00676303" w:rsidRPr="00791A0E">
        <w:rPr>
          <w:rFonts w:cs="Tahoma"/>
          <w:bCs/>
          <w:szCs w:val="20"/>
        </w:rPr>
        <w:t> </w:t>
      </w:r>
      <w:r w:rsidR="008A64E0" w:rsidRPr="00791A0E">
        <w:rPr>
          <w:rFonts w:cs="Tahoma"/>
          <w:bCs/>
          <w:szCs w:val="20"/>
        </w:rPr>
        <w:t xml:space="preserve">výši </w:t>
      </w:r>
      <w:r w:rsidR="00791A0E" w:rsidRPr="00791A0E">
        <w:rPr>
          <w:rFonts w:cs="Tahoma"/>
          <w:bCs/>
          <w:szCs w:val="20"/>
        </w:rPr>
        <w:t>2.200</w:t>
      </w:r>
      <w:r w:rsidR="00676303" w:rsidRPr="00791A0E">
        <w:rPr>
          <w:rFonts w:cs="Tahoma"/>
          <w:bCs/>
          <w:szCs w:val="20"/>
        </w:rPr>
        <w:t> tis. </w:t>
      </w:r>
      <w:r w:rsidRPr="00791A0E">
        <w:rPr>
          <w:rFonts w:cs="Tahoma"/>
          <w:bCs/>
          <w:szCs w:val="20"/>
        </w:rPr>
        <w:t xml:space="preserve">Kč. </w:t>
      </w:r>
    </w:p>
    <w:p w14:paraId="586AA63D" w14:textId="167A66F2" w:rsidR="00E43524" w:rsidRPr="00791A0E" w:rsidRDefault="00E43524" w:rsidP="00E43524">
      <w:r w:rsidRPr="00791A0E">
        <w:t>Rozpočet výdajů v tomto odvětví byl k </w:t>
      </w:r>
      <w:r w:rsidR="0073096F" w:rsidRPr="00791A0E">
        <w:t>30. 4. 2022</w:t>
      </w:r>
      <w:r w:rsidRPr="00791A0E">
        <w:t xml:space="preserve"> čerpán ve výši </w:t>
      </w:r>
      <w:r w:rsidR="00900893" w:rsidRPr="00791A0E">
        <w:t>2.537</w:t>
      </w:r>
      <w:r w:rsidRPr="00791A0E">
        <w:t> tis. Kč, tj. čerpání na </w:t>
      </w:r>
      <w:r w:rsidR="00900893" w:rsidRPr="00791A0E">
        <w:t>4</w:t>
      </w:r>
      <w:r w:rsidRPr="00791A0E">
        <w:t> % upraveného rozpočtu.</w:t>
      </w:r>
    </w:p>
    <w:p w14:paraId="37AFB583" w14:textId="17440226" w:rsidR="00803AA4" w:rsidRPr="00791A0E" w:rsidRDefault="00803AA4" w:rsidP="00803AA4">
      <w:r w:rsidRPr="00791A0E">
        <w:lastRenderedPageBreak/>
        <w:t xml:space="preserve">Ve sledovaném období byly v tomto odvětví čerpány finanční prostředky v rámci akcí spolufinancovaných z evropských finančních zdrojů </w:t>
      </w:r>
      <w:r w:rsidR="00900893" w:rsidRPr="00791A0E">
        <w:t>ve</w:t>
      </w:r>
      <w:r w:rsidR="00597DCE">
        <w:t> </w:t>
      </w:r>
      <w:r w:rsidR="00900893" w:rsidRPr="00791A0E">
        <w:t xml:space="preserve">výši 2.537 tis. Kč </w:t>
      </w:r>
      <w:r w:rsidRPr="00791A0E">
        <w:t>(více viz příloha č. 5 materiálu).</w:t>
      </w:r>
    </w:p>
    <w:p w14:paraId="3923D6D4" w14:textId="6FC6E0FA" w:rsidR="004A1EE1" w:rsidRPr="00791A0E" w:rsidRDefault="00947F74" w:rsidP="00CE0C49">
      <w:pPr>
        <w:pStyle w:val="Styltab"/>
      </w:pPr>
      <w:r w:rsidRPr="00791A0E">
        <w:t>Výdaje v</w:t>
      </w:r>
      <w:r w:rsidR="00597DCE">
        <w:t> </w:t>
      </w:r>
      <w:r w:rsidRPr="00791A0E">
        <w:t>odvětví územního plánování a</w:t>
      </w:r>
      <w:r w:rsidR="00597DCE">
        <w:t> </w:t>
      </w:r>
      <w:r w:rsidRPr="00791A0E">
        <w:t>stavebního řádu v</w:t>
      </w:r>
      <w:r w:rsidR="00597DCE">
        <w:t> </w:t>
      </w:r>
      <w:r w:rsidRPr="00791A0E">
        <w:t>členění dle účelu</w:t>
      </w:r>
      <w:r w:rsidRPr="00791A0E">
        <w:tab/>
        <w:t>v tis. Kč</w:t>
      </w:r>
      <w:bookmarkStart w:id="318" w:name="_MON_1681556775"/>
      <w:bookmarkEnd w:id="318"/>
      <w:bookmarkStart w:id="319" w:name="_MON_1555992578"/>
      <w:bookmarkEnd w:id="319"/>
      <w:r w:rsidR="00C71A2D" w:rsidRPr="00791A0E">
        <w:object w:dxaOrig="9315" w:dyaOrig="1414" w14:anchorId="2CBE6305">
          <v:shape id="_x0000_i1067" type="#_x0000_t75" style="width:461.2pt;height:1in" o:ole="">
            <v:imagedata r:id="rId92" o:title=""/>
          </v:shape>
          <o:OLEObject Type="Embed" ProgID="Excel.Sheet.8" ShapeID="_x0000_i1067" DrawAspect="Content" ObjectID="_1714980728" r:id="rId93"/>
        </w:object>
      </w:r>
    </w:p>
    <w:p w14:paraId="2EBDEFE3" w14:textId="2F3422B5" w:rsidR="002503D9" w:rsidRPr="00791A0E" w:rsidRDefault="002B471A" w:rsidP="00CE0C49">
      <w:pPr>
        <w:pStyle w:val="Styltab"/>
      </w:pPr>
      <w:bookmarkStart w:id="320" w:name="_MON_1476602203"/>
      <w:bookmarkStart w:id="321" w:name="_MON_1477204464"/>
      <w:bookmarkStart w:id="322" w:name="_MON_1489919087"/>
      <w:bookmarkStart w:id="323" w:name="_MON_1490173373"/>
      <w:bookmarkEnd w:id="320"/>
      <w:bookmarkEnd w:id="321"/>
      <w:bookmarkEnd w:id="322"/>
      <w:bookmarkEnd w:id="323"/>
      <w:r w:rsidRPr="00791A0E">
        <w:t>Výdaje v odvětví územního plánování a stavebního řádu na</w:t>
      </w:r>
      <w:r w:rsidR="00597DCE">
        <w:t> </w:t>
      </w:r>
      <w:r w:rsidRPr="00791A0E">
        <w:t>samosprávné a jiné činnosti zajišťované prostřednictvím krajského úřadu</w:t>
      </w:r>
      <w:r w:rsidR="00E0318D" w:rsidRPr="00791A0E">
        <w:tab/>
      </w:r>
      <w:r w:rsidRPr="00791A0E">
        <w:t>v tis. Kč</w:t>
      </w:r>
      <w:bookmarkStart w:id="324" w:name="_MON_1681556936"/>
      <w:bookmarkStart w:id="325" w:name="_MON_1469448288"/>
      <w:bookmarkStart w:id="326" w:name="_MON_1476602219"/>
      <w:bookmarkStart w:id="327" w:name="_MON_1477207387"/>
      <w:bookmarkStart w:id="328" w:name="_MON_1489928615"/>
      <w:bookmarkStart w:id="329" w:name="_MON_1490173386"/>
      <w:bookmarkEnd w:id="324"/>
      <w:bookmarkEnd w:id="325"/>
      <w:bookmarkEnd w:id="326"/>
      <w:bookmarkEnd w:id="327"/>
      <w:bookmarkEnd w:id="328"/>
      <w:bookmarkEnd w:id="329"/>
      <w:bookmarkStart w:id="330" w:name="_MON_1490175394"/>
      <w:bookmarkEnd w:id="330"/>
      <w:r w:rsidR="0053337F" w:rsidRPr="00791A0E">
        <w:object w:dxaOrig="9555" w:dyaOrig="2514" w14:anchorId="1D61FD47">
          <v:shape id="_x0000_i1068" type="#_x0000_t75" style="width:461.2pt;height:125pt" o:ole="">
            <v:imagedata r:id="rId94" o:title=""/>
          </v:shape>
          <o:OLEObject Type="Embed" ProgID="Excel.Sheet.8" ShapeID="_x0000_i1068" DrawAspect="Content" ObjectID="_1714980729" r:id="rId95"/>
        </w:object>
      </w:r>
    </w:p>
    <w:p w14:paraId="586AA642" w14:textId="77777777" w:rsidR="008B22CC" w:rsidRPr="00AD188E" w:rsidRDefault="008B22CC" w:rsidP="00AD79B0">
      <w:pPr>
        <w:pStyle w:val="Nadpis3"/>
      </w:pPr>
      <w:r w:rsidRPr="00AD188E">
        <w:t>Odvětví zdravotnictví</w:t>
      </w:r>
    </w:p>
    <w:p w14:paraId="586AA643" w14:textId="1F0F2090" w:rsidR="002838AB" w:rsidRPr="000D3357" w:rsidRDefault="008B22CC" w:rsidP="002838AB">
      <w:r w:rsidRPr="00AD188E">
        <w:t>Schválený rozpočet výdajů v odvětví zdravotnictví představuje částku </w:t>
      </w:r>
      <w:r w:rsidR="00AD188E" w:rsidRPr="00AD188E">
        <w:t>1.597.366</w:t>
      </w:r>
      <w:r w:rsidR="006206EA" w:rsidRPr="00AD188E">
        <w:t> </w:t>
      </w:r>
      <w:r w:rsidRPr="00AD188E">
        <w:t>tis.</w:t>
      </w:r>
      <w:r w:rsidR="006206EA" w:rsidRPr="00AD188E">
        <w:t> </w:t>
      </w:r>
      <w:r w:rsidRPr="00AD188E">
        <w:t>Kč. K </w:t>
      </w:r>
      <w:r w:rsidR="0073096F" w:rsidRPr="00AD188E">
        <w:t>30. 4. 2022</w:t>
      </w:r>
      <w:r w:rsidRPr="00AD188E">
        <w:t xml:space="preserve"> </w:t>
      </w:r>
      <w:r w:rsidRPr="000D3357">
        <w:t xml:space="preserve">činil upravený rozpočet </w:t>
      </w:r>
      <w:r w:rsidR="00AD188E" w:rsidRPr="000D3357">
        <w:t>1.838.410</w:t>
      </w:r>
      <w:r w:rsidR="006206EA" w:rsidRPr="000D3357">
        <w:t> </w:t>
      </w:r>
      <w:r w:rsidRPr="000D3357">
        <w:t>tis.</w:t>
      </w:r>
      <w:r w:rsidR="006206EA" w:rsidRPr="000D3357">
        <w:t> </w:t>
      </w:r>
      <w:r w:rsidRPr="000D3357">
        <w:t>Kč</w:t>
      </w:r>
      <w:r w:rsidR="006206EA" w:rsidRPr="000D3357">
        <w:t xml:space="preserve">, což představuje </w:t>
      </w:r>
      <w:r w:rsidR="002838AB" w:rsidRPr="000D3357">
        <w:t>navýšení o</w:t>
      </w:r>
      <w:r w:rsidR="00077862" w:rsidRPr="000D3357">
        <w:t> </w:t>
      </w:r>
      <w:r w:rsidR="00AD188E" w:rsidRPr="000D3357">
        <w:t>241.044</w:t>
      </w:r>
      <w:r w:rsidR="002838AB" w:rsidRPr="000D3357">
        <w:t> tis. Kč.</w:t>
      </w:r>
    </w:p>
    <w:p w14:paraId="7490499B" w14:textId="4A60CB89" w:rsidR="00600B19" w:rsidRDefault="00BE384B" w:rsidP="00BE384B">
      <w:pPr>
        <w:rPr>
          <w:rFonts w:cs="Tahoma"/>
          <w:bCs/>
          <w:szCs w:val="20"/>
        </w:rPr>
      </w:pPr>
      <w:r w:rsidRPr="000D3357">
        <w:rPr>
          <w:rFonts w:cs="Tahoma"/>
          <w:bCs/>
          <w:szCs w:val="20"/>
        </w:rPr>
        <w:t xml:space="preserve">Objemově významná úprava </w:t>
      </w:r>
      <w:r w:rsidR="0032637E" w:rsidRPr="000D3357">
        <w:rPr>
          <w:rFonts w:cs="Tahoma"/>
          <w:bCs/>
          <w:szCs w:val="20"/>
        </w:rPr>
        <w:t>v</w:t>
      </w:r>
      <w:r w:rsidR="00722ECC" w:rsidRPr="000D3357">
        <w:rPr>
          <w:rFonts w:cs="Tahoma"/>
          <w:bCs/>
          <w:szCs w:val="20"/>
        </w:rPr>
        <w:t xml:space="preserve"> období </w:t>
      </w:r>
      <w:r w:rsidR="004A4AA2" w:rsidRPr="000D3357">
        <w:rPr>
          <w:rFonts w:cs="Tahoma"/>
          <w:bCs/>
          <w:szCs w:val="20"/>
        </w:rPr>
        <w:t>leden až</w:t>
      </w:r>
      <w:r w:rsidR="0003532B">
        <w:rPr>
          <w:rFonts w:cs="Tahoma"/>
          <w:bCs/>
          <w:szCs w:val="20"/>
        </w:rPr>
        <w:t> </w:t>
      </w:r>
      <w:r w:rsidR="004A4AA2" w:rsidRPr="000D3357">
        <w:rPr>
          <w:rFonts w:cs="Tahoma"/>
          <w:bCs/>
          <w:szCs w:val="20"/>
        </w:rPr>
        <w:t>duben</w:t>
      </w:r>
      <w:r w:rsidR="00722ECC" w:rsidRPr="000D3357">
        <w:rPr>
          <w:rFonts w:cs="Tahoma"/>
          <w:bCs/>
          <w:szCs w:val="20"/>
        </w:rPr>
        <w:t xml:space="preserve"> souvisela</w:t>
      </w:r>
      <w:r w:rsidRPr="000D3357">
        <w:rPr>
          <w:rFonts w:cs="Tahoma"/>
          <w:bCs/>
          <w:szCs w:val="20"/>
        </w:rPr>
        <w:t xml:space="preserve"> s nedočerpanými účelově vymezenými </w:t>
      </w:r>
      <w:r w:rsidRPr="001610D2">
        <w:rPr>
          <w:rFonts w:cs="Tahoma"/>
          <w:bCs/>
          <w:szCs w:val="20"/>
        </w:rPr>
        <w:t>výdaji roku 20</w:t>
      </w:r>
      <w:r w:rsidR="00722ECC" w:rsidRPr="001610D2">
        <w:rPr>
          <w:rFonts w:cs="Tahoma"/>
          <w:bCs/>
          <w:szCs w:val="20"/>
        </w:rPr>
        <w:t>2</w:t>
      </w:r>
      <w:r w:rsidR="00917791" w:rsidRPr="001610D2">
        <w:rPr>
          <w:rFonts w:cs="Tahoma"/>
          <w:bCs/>
          <w:szCs w:val="20"/>
        </w:rPr>
        <w:t>1</w:t>
      </w:r>
      <w:r w:rsidRPr="001610D2">
        <w:rPr>
          <w:rFonts w:cs="Tahoma"/>
          <w:bCs/>
          <w:szCs w:val="20"/>
        </w:rPr>
        <w:t xml:space="preserve"> v tomto odvětví ve výši</w:t>
      </w:r>
      <w:r w:rsidR="004C02B3" w:rsidRPr="001610D2">
        <w:rPr>
          <w:rFonts w:cs="Tahoma"/>
          <w:bCs/>
          <w:szCs w:val="20"/>
        </w:rPr>
        <w:t xml:space="preserve"> </w:t>
      </w:r>
      <w:r w:rsidR="00BE0A48" w:rsidRPr="001610D2">
        <w:rPr>
          <w:rFonts w:cs="Tahoma"/>
          <w:bCs/>
          <w:szCs w:val="20"/>
        </w:rPr>
        <w:t>105.483</w:t>
      </w:r>
      <w:r w:rsidRPr="001610D2">
        <w:rPr>
          <w:rFonts w:cs="Tahoma"/>
          <w:bCs/>
          <w:szCs w:val="20"/>
        </w:rPr>
        <w:t> tis. </w:t>
      </w:r>
      <w:r w:rsidRPr="001610D2">
        <w:t>Kč</w:t>
      </w:r>
      <w:r w:rsidRPr="001610D2">
        <w:rPr>
          <w:rFonts w:cs="Tahoma"/>
          <w:bCs/>
          <w:szCs w:val="20"/>
        </w:rPr>
        <w:t>, které byly zapojeny ke stejnému účelu do rozpočtu roku 20</w:t>
      </w:r>
      <w:r w:rsidR="0032637E" w:rsidRPr="001610D2">
        <w:rPr>
          <w:rFonts w:cs="Tahoma"/>
          <w:bCs/>
          <w:szCs w:val="20"/>
        </w:rPr>
        <w:t>2</w:t>
      </w:r>
      <w:r w:rsidR="00BE0A48" w:rsidRPr="001610D2">
        <w:rPr>
          <w:rFonts w:cs="Tahoma"/>
          <w:bCs/>
          <w:szCs w:val="20"/>
        </w:rPr>
        <w:t>2</w:t>
      </w:r>
      <w:r w:rsidRPr="001610D2">
        <w:rPr>
          <w:rFonts w:cs="Tahoma"/>
          <w:bCs/>
          <w:szCs w:val="20"/>
        </w:rPr>
        <w:t xml:space="preserve">. Jednalo se zejména o prostředky určené na financování akcí reprodukce majetku kraje ve výši </w:t>
      </w:r>
      <w:r w:rsidR="00BE0A48" w:rsidRPr="001610D2">
        <w:rPr>
          <w:rFonts w:cs="Tahoma"/>
          <w:bCs/>
          <w:szCs w:val="20"/>
        </w:rPr>
        <w:t>80.449</w:t>
      </w:r>
      <w:r w:rsidR="00E47DB4" w:rsidRPr="001610D2">
        <w:rPr>
          <w:rFonts w:cs="Tahoma"/>
          <w:bCs/>
          <w:szCs w:val="20"/>
        </w:rPr>
        <w:t> </w:t>
      </w:r>
      <w:r w:rsidRPr="001610D2">
        <w:rPr>
          <w:rFonts w:cs="Tahoma"/>
          <w:bCs/>
          <w:szCs w:val="20"/>
        </w:rPr>
        <w:t>tis.</w:t>
      </w:r>
      <w:r w:rsidR="00E47DB4" w:rsidRPr="001610D2">
        <w:rPr>
          <w:rFonts w:cs="Tahoma"/>
          <w:bCs/>
          <w:szCs w:val="20"/>
        </w:rPr>
        <w:t> </w:t>
      </w:r>
      <w:r w:rsidRPr="001610D2">
        <w:rPr>
          <w:rFonts w:cs="Tahoma"/>
          <w:bCs/>
          <w:szCs w:val="20"/>
        </w:rPr>
        <w:t xml:space="preserve">Kč, </w:t>
      </w:r>
      <w:r w:rsidR="00722ECC" w:rsidRPr="001610D2">
        <w:rPr>
          <w:rFonts w:cs="Tahoma"/>
          <w:bCs/>
          <w:szCs w:val="20"/>
        </w:rPr>
        <w:t>na </w:t>
      </w:r>
      <w:r w:rsidR="00CD33D9" w:rsidRPr="001610D2">
        <w:rPr>
          <w:rFonts w:cs="Tahoma"/>
          <w:bCs/>
          <w:szCs w:val="20"/>
        </w:rPr>
        <w:t>příspěvek na</w:t>
      </w:r>
      <w:r w:rsidR="0003532B">
        <w:rPr>
          <w:rFonts w:cs="Tahoma"/>
          <w:bCs/>
          <w:szCs w:val="20"/>
        </w:rPr>
        <w:t> </w:t>
      </w:r>
      <w:r w:rsidR="00CD33D9" w:rsidRPr="001610D2">
        <w:rPr>
          <w:rFonts w:cs="Tahoma"/>
          <w:bCs/>
          <w:szCs w:val="20"/>
        </w:rPr>
        <w:t>provoz ve</w:t>
      </w:r>
      <w:r w:rsidR="000A6973">
        <w:rPr>
          <w:rFonts w:cs="Tahoma"/>
          <w:bCs/>
          <w:szCs w:val="20"/>
        </w:rPr>
        <w:t> </w:t>
      </w:r>
      <w:r w:rsidR="00CD33D9" w:rsidRPr="001610D2">
        <w:rPr>
          <w:rFonts w:cs="Tahoma"/>
          <w:bCs/>
          <w:szCs w:val="20"/>
        </w:rPr>
        <w:t>výši 19.732 tis. Kč.</w:t>
      </w:r>
      <w:r w:rsidR="00056C10" w:rsidRPr="001610D2">
        <w:rPr>
          <w:rFonts w:cs="Tahoma"/>
          <w:bCs/>
          <w:szCs w:val="20"/>
        </w:rPr>
        <w:t xml:space="preserve"> Ve</w:t>
      </w:r>
      <w:r w:rsidR="00604F8C">
        <w:rPr>
          <w:rFonts w:cs="Tahoma"/>
          <w:bCs/>
          <w:szCs w:val="20"/>
        </w:rPr>
        <w:t> </w:t>
      </w:r>
      <w:r w:rsidR="00056C10" w:rsidRPr="001610D2">
        <w:rPr>
          <w:rFonts w:cs="Tahoma"/>
          <w:bCs/>
          <w:szCs w:val="20"/>
        </w:rPr>
        <w:t>sledovaném období byla do</w:t>
      </w:r>
      <w:r w:rsidR="004A4AA2" w:rsidRPr="001610D2">
        <w:rPr>
          <w:rFonts w:cs="Tahoma"/>
          <w:bCs/>
          <w:szCs w:val="20"/>
        </w:rPr>
        <w:t> </w:t>
      </w:r>
      <w:r w:rsidR="00056C10" w:rsidRPr="001610D2">
        <w:rPr>
          <w:rFonts w:cs="Tahoma"/>
          <w:bCs/>
          <w:szCs w:val="20"/>
        </w:rPr>
        <w:t>rozpočtu odvětví zdravotnictví zapojena část zůstatku rozpočtového hospodaření kraje za</w:t>
      </w:r>
      <w:r w:rsidR="009C130E" w:rsidRPr="001610D2">
        <w:rPr>
          <w:rFonts w:cs="Tahoma"/>
          <w:bCs/>
          <w:szCs w:val="20"/>
        </w:rPr>
        <w:t> </w:t>
      </w:r>
      <w:r w:rsidR="00056C10" w:rsidRPr="001610D2">
        <w:rPr>
          <w:rFonts w:cs="Tahoma"/>
          <w:bCs/>
          <w:szCs w:val="20"/>
        </w:rPr>
        <w:t>rok 202</w:t>
      </w:r>
      <w:r w:rsidR="00AD52D9" w:rsidRPr="001610D2">
        <w:rPr>
          <w:rFonts w:cs="Tahoma"/>
          <w:bCs/>
          <w:szCs w:val="20"/>
        </w:rPr>
        <w:t>1</w:t>
      </w:r>
      <w:r w:rsidR="00056C10" w:rsidRPr="001610D2">
        <w:rPr>
          <w:rFonts w:cs="Tahoma"/>
          <w:bCs/>
          <w:szCs w:val="20"/>
        </w:rPr>
        <w:t xml:space="preserve"> ve</w:t>
      </w:r>
      <w:r w:rsidR="006979A8" w:rsidRPr="001610D2">
        <w:rPr>
          <w:rFonts w:cs="Tahoma"/>
          <w:bCs/>
          <w:szCs w:val="20"/>
        </w:rPr>
        <w:t> </w:t>
      </w:r>
      <w:r w:rsidR="00056C10" w:rsidRPr="001610D2">
        <w:rPr>
          <w:rFonts w:cs="Tahoma"/>
          <w:bCs/>
          <w:szCs w:val="20"/>
        </w:rPr>
        <w:t xml:space="preserve">výši </w:t>
      </w:r>
      <w:r w:rsidR="00D46198">
        <w:rPr>
          <w:rFonts w:cs="Tahoma"/>
          <w:bCs/>
          <w:szCs w:val="20"/>
        </w:rPr>
        <w:t>72.603 </w:t>
      </w:r>
      <w:r w:rsidR="006979A8" w:rsidRPr="001610D2">
        <w:rPr>
          <w:rFonts w:cs="Tahoma"/>
          <w:bCs/>
          <w:szCs w:val="20"/>
        </w:rPr>
        <w:t>tis. Kč</w:t>
      </w:r>
      <w:r w:rsidR="00061469">
        <w:rPr>
          <w:rFonts w:cs="Tahoma"/>
          <w:bCs/>
          <w:szCs w:val="20"/>
        </w:rPr>
        <w:t xml:space="preserve">. Finanční prostředky byly určeny </w:t>
      </w:r>
      <w:r w:rsidR="005926F4">
        <w:rPr>
          <w:rFonts w:cs="Tahoma"/>
          <w:bCs/>
          <w:szCs w:val="20"/>
        </w:rPr>
        <w:t xml:space="preserve">zejména </w:t>
      </w:r>
      <w:r w:rsidR="00061469">
        <w:rPr>
          <w:rFonts w:cs="Tahoma"/>
          <w:bCs/>
          <w:szCs w:val="20"/>
        </w:rPr>
        <w:t>na</w:t>
      </w:r>
      <w:r w:rsidR="005926F4">
        <w:rPr>
          <w:rFonts w:cs="Tahoma"/>
          <w:bCs/>
          <w:szCs w:val="20"/>
        </w:rPr>
        <w:t> </w:t>
      </w:r>
      <w:r w:rsidR="008C3527">
        <w:rPr>
          <w:rFonts w:cs="Tahoma"/>
          <w:bCs/>
          <w:szCs w:val="20"/>
        </w:rPr>
        <w:t>financování</w:t>
      </w:r>
      <w:r w:rsidR="00061469">
        <w:rPr>
          <w:rFonts w:cs="Tahoma"/>
          <w:bCs/>
          <w:szCs w:val="20"/>
        </w:rPr>
        <w:t xml:space="preserve"> akcí reprodukce majetku kraje ve</w:t>
      </w:r>
      <w:r w:rsidR="005926F4">
        <w:rPr>
          <w:rFonts w:cs="Tahoma"/>
          <w:bCs/>
          <w:szCs w:val="20"/>
        </w:rPr>
        <w:t> </w:t>
      </w:r>
      <w:r w:rsidR="00061469">
        <w:rPr>
          <w:rFonts w:cs="Tahoma"/>
          <w:bCs/>
          <w:szCs w:val="20"/>
        </w:rPr>
        <w:t xml:space="preserve">výši </w:t>
      </w:r>
      <w:r w:rsidR="005926F4">
        <w:rPr>
          <w:rFonts w:cs="Tahoma"/>
          <w:bCs/>
          <w:szCs w:val="20"/>
        </w:rPr>
        <w:t>28.350</w:t>
      </w:r>
      <w:r w:rsidR="00604F8C">
        <w:rPr>
          <w:rFonts w:cs="Tahoma"/>
          <w:bCs/>
          <w:szCs w:val="20"/>
        </w:rPr>
        <w:t> </w:t>
      </w:r>
      <w:r w:rsidR="005926F4">
        <w:rPr>
          <w:rFonts w:cs="Tahoma"/>
          <w:bCs/>
          <w:szCs w:val="20"/>
        </w:rPr>
        <w:t>tis.</w:t>
      </w:r>
      <w:r w:rsidR="00604F8C">
        <w:rPr>
          <w:rFonts w:cs="Tahoma"/>
          <w:bCs/>
          <w:szCs w:val="20"/>
        </w:rPr>
        <w:t> </w:t>
      </w:r>
      <w:r w:rsidR="005926F4">
        <w:rPr>
          <w:rFonts w:cs="Tahoma"/>
          <w:bCs/>
          <w:szCs w:val="20"/>
        </w:rPr>
        <w:t>Kč a</w:t>
      </w:r>
      <w:r w:rsidR="00604F8C">
        <w:rPr>
          <w:rFonts w:cs="Tahoma"/>
          <w:bCs/>
          <w:szCs w:val="20"/>
        </w:rPr>
        <w:t> </w:t>
      </w:r>
      <w:r w:rsidR="00600B19">
        <w:rPr>
          <w:rFonts w:cs="Tahoma"/>
          <w:bCs/>
          <w:szCs w:val="20"/>
        </w:rPr>
        <w:t>na</w:t>
      </w:r>
      <w:r w:rsidR="00604F8C">
        <w:rPr>
          <w:rFonts w:cs="Tahoma"/>
          <w:bCs/>
          <w:szCs w:val="20"/>
        </w:rPr>
        <w:t> </w:t>
      </w:r>
      <w:r w:rsidR="00600B19">
        <w:rPr>
          <w:rFonts w:cs="Tahoma"/>
          <w:bCs/>
          <w:szCs w:val="20"/>
        </w:rPr>
        <w:t>zvýšení základního kapitálu obchodní společnosti Sanatorium Jablunkov,</w:t>
      </w:r>
      <w:r w:rsidR="00604F8C">
        <w:rPr>
          <w:rFonts w:cs="Tahoma"/>
          <w:bCs/>
          <w:szCs w:val="20"/>
        </w:rPr>
        <w:t> </w:t>
      </w:r>
      <w:r w:rsidR="00600B19">
        <w:rPr>
          <w:rFonts w:cs="Tahoma"/>
          <w:bCs/>
          <w:szCs w:val="20"/>
        </w:rPr>
        <w:t>a.s., ve</w:t>
      </w:r>
      <w:r w:rsidR="00BF7B81">
        <w:rPr>
          <w:rFonts w:cs="Tahoma"/>
          <w:bCs/>
          <w:szCs w:val="20"/>
        </w:rPr>
        <w:t> </w:t>
      </w:r>
      <w:r w:rsidR="00600B19">
        <w:rPr>
          <w:rFonts w:cs="Tahoma"/>
          <w:bCs/>
          <w:szCs w:val="20"/>
        </w:rPr>
        <w:t>výši 35.000</w:t>
      </w:r>
      <w:r w:rsidR="00BF7B81">
        <w:rPr>
          <w:rFonts w:cs="Tahoma"/>
          <w:bCs/>
          <w:szCs w:val="20"/>
        </w:rPr>
        <w:t> </w:t>
      </w:r>
      <w:r w:rsidR="00600B19">
        <w:rPr>
          <w:rFonts w:cs="Tahoma"/>
          <w:bCs/>
          <w:szCs w:val="20"/>
        </w:rPr>
        <w:t>tis.</w:t>
      </w:r>
      <w:r w:rsidR="00BF7B81">
        <w:rPr>
          <w:rFonts w:cs="Tahoma"/>
          <w:bCs/>
          <w:szCs w:val="20"/>
        </w:rPr>
        <w:t> </w:t>
      </w:r>
      <w:r w:rsidR="00600B19">
        <w:rPr>
          <w:rFonts w:cs="Tahoma"/>
          <w:bCs/>
          <w:szCs w:val="20"/>
        </w:rPr>
        <w:t>Kč.</w:t>
      </w:r>
    </w:p>
    <w:p w14:paraId="66D3932E" w14:textId="402CD413" w:rsidR="002D5CC7" w:rsidRPr="001C2C6A" w:rsidRDefault="002D5CC7" w:rsidP="00BE384B">
      <w:pPr>
        <w:rPr>
          <w:rFonts w:cs="Tahoma"/>
          <w:bCs/>
          <w:szCs w:val="20"/>
        </w:rPr>
      </w:pPr>
      <w:r w:rsidRPr="001C2C6A">
        <w:rPr>
          <w:rFonts w:cs="Tahoma"/>
          <w:bCs/>
          <w:szCs w:val="20"/>
        </w:rPr>
        <w:t>Zastupitelstvo kraje rozhodlo usnesením č. 7/622 ze</w:t>
      </w:r>
      <w:r w:rsidR="001C2C6A" w:rsidRPr="001C2C6A">
        <w:rPr>
          <w:rFonts w:cs="Tahoma"/>
          <w:bCs/>
          <w:szCs w:val="20"/>
        </w:rPr>
        <w:t> </w:t>
      </w:r>
      <w:r w:rsidRPr="001C2C6A">
        <w:rPr>
          <w:rFonts w:cs="Tahoma"/>
          <w:bCs/>
          <w:szCs w:val="20"/>
        </w:rPr>
        <w:t>dne 16. 3. 2022 o peněžitém vkladu ve</w:t>
      </w:r>
      <w:r w:rsidR="001C2C6A" w:rsidRPr="001C2C6A">
        <w:rPr>
          <w:rFonts w:cs="Tahoma"/>
          <w:bCs/>
          <w:szCs w:val="20"/>
        </w:rPr>
        <w:t> </w:t>
      </w:r>
      <w:r w:rsidRPr="001C2C6A">
        <w:rPr>
          <w:rFonts w:cs="Tahoma"/>
          <w:bCs/>
          <w:szCs w:val="20"/>
        </w:rPr>
        <w:t>výši 35.000</w:t>
      </w:r>
      <w:r w:rsidR="001C2C6A" w:rsidRPr="001C2C6A">
        <w:rPr>
          <w:rFonts w:cs="Tahoma"/>
          <w:bCs/>
          <w:szCs w:val="20"/>
        </w:rPr>
        <w:t> </w:t>
      </w:r>
      <w:r w:rsidRPr="001C2C6A">
        <w:rPr>
          <w:rFonts w:cs="Tahoma"/>
          <w:bCs/>
          <w:szCs w:val="20"/>
        </w:rPr>
        <w:t>tis.</w:t>
      </w:r>
      <w:r w:rsidR="001C2C6A" w:rsidRPr="001C2C6A">
        <w:rPr>
          <w:rFonts w:cs="Tahoma"/>
          <w:bCs/>
          <w:szCs w:val="20"/>
        </w:rPr>
        <w:t> </w:t>
      </w:r>
      <w:r w:rsidRPr="001C2C6A">
        <w:rPr>
          <w:rFonts w:cs="Tahoma"/>
          <w:bCs/>
          <w:szCs w:val="20"/>
        </w:rPr>
        <w:t>Kč do</w:t>
      </w:r>
      <w:r w:rsidR="001C2C6A" w:rsidRPr="001C2C6A">
        <w:rPr>
          <w:rFonts w:cs="Tahoma"/>
          <w:bCs/>
          <w:szCs w:val="20"/>
        </w:rPr>
        <w:t> </w:t>
      </w:r>
      <w:r w:rsidRPr="001C2C6A">
        <w:rPr>
          <w:rFonts w:cs="Tahoma"/>
          <w:bCs/>
          <w:szCs w:val="20"/>
        </w:rPr>
        <w:t>základního kapitálu obchodní společnosti Sanatorium Jablun</w:t>
      </w:r>
      <w:r w:rsidR="001C2C6A" w:rsidRPr="001C2C6A">
        <w:rPr>
          <w:rFonts w:cs="Tahoma"/>
          <w:bCs/>
          <w:szCs w:val="20"/>
        </w:rPr>
        <w:t>k</w:t>
      </w:r>
      <w:r w:rsidRPr="001C2C6A">
        <w:rPr>
          <w:rFonts w:cs="Tahoma"/>
          <w:bCs/>
          <w:szCs w:val="20"/>
        </w:rPr>
        <w:t>ov.</w:t>
      </w:r>
    </w:p>
    <w:p w14:paraId="532472D8" w14:textId="753F594C" w:rsidR="00FF2B49" w:rsidRPr="0001773D" w:rsidRDefault="0058637E" w:rsidP="00BE384B">
      <w:pPr>
        <w:rPr>
          <w:rFonts w:cs="Tahoma"/>
          <w:bCs/>
          <w:szCs w:val="20"/>
        </w:rPr>
      </w:pPr>
      <w:r w:rsidRPr="004C7A11">
        <w:rPr>
          <w:rFonts w:cs="Tahoma"/>
          <w:bCs/>
          <w:szCs w:val="20"/>
        </w:rPr>
        <w:t>Zastupitelstvo kr</w:t>
      </w:r>
      <w:r w:rsidR="004C7A11">
        <w:rPr>
          <w:rFonts w:cs="Tahoma"/>
          <w:bCs/>
          <w:szCs w:val="20"/>
        </w:rPr>
        <w:t>a</w:t>
      </w:r>
      <w:r w:rsidRPr="004C7A11">
        <w:rPr>
          <w:rFonts w:cs="Tahoma"/>
          <w:bCs/>
          <w:szCs w:val="20"/>
        </w:rPr>
        <w:t>j</w:t>
      </w:r>
      <w:r w:rsidR="004C7A11">
        <w:rPr>
          <w:rFonts w:cs="Tahoma"/>
          <w:bCs/>
          <w:szCs w:val="20"/>
        </w:rPr>
        <w:t>e</w:t>
      </w:r>
      <w:r w:rsidRPr="004C7A11">
        <w:rPr>
          <w:rFonts w:cs="Tahoma"/>
          <w:bCs/>
          <w:szCs w:val="20"/>
        </w:rPr>
        <w:t xml:space="preserve"> rozhodlo usnesením č. 7/621 ze</w:t>
      </w:r>
      <w:r w:rsidR="004C7A11">
        <w:rPr>
          <w:rFonts w:cs="Tahoma"/>
          <w:bCs/>
          <w:szCs w:val="20"/>
        </w:rPr>
        <w:t> </w:t>
      </w:r>
      <w:r w:rsidRPr="004C7A11">
        <w:rPr>
          <w:rFonts w:cs="Tahoma"/>
          <w:bCs/>
          <w:szCs w:val="20"/>
        </w:rPr>
        <w:t>dne 16.</w:t>
      </w:r>
      <w:r w:rsidR="004C7A11">
        <w:rPr>
          <w:rFonts w:cs="Tahoma"/>
          <w:bCs/>
          <w:szCs w:val="20"/>
        </w:rPr>
        <w:t> </w:t>
      </w:r>
      <w:r w:rsidRPr="004C7A11">
        <w:rPr>
          <w:rFonts w:cs="Tahoma"/>
          <w:bCs/>
          <w:szCs w:val="20"/>
        </w:rPr>
        <w:t>3.</w:t>
      </w:r>
      <w:r w:rsidR="004C7A11">
        <w:rPr>
          <w:rFonts w:cs="Tahoma"/>
          <w:bCs/>
          <w:szCs w:val="20"/>
        </w:rPr>
        <w:t> </w:t>
      </w:r>
      <w:r w:rsidRPr="004C7A11">
        <w:rPr>
          <w:rFonts w:cs="Tahoma"/>
          <w:bCs/>
          <w:szCs w:val="20"/>
        </w:rPr>
        <w:t>2022 o závazku ve</w:t>
      </w:r>
      <w:r w:rsidR="004C7A11">
        <w:rPr>
          <w:rFonts w:cs="Tahoma"/>
          <w:bCs/>
          <w:szCs w:val="20"/>
        </w:rPr>
        <w:t> </w:t>
      </w:r>
      <w:r w:rsidRPr="004C7A11">
        <w:rPr>
          <w:rFonts w:cs="Tahoma"/>
          <w:bCs/>
          <w:szCs w:val="20"/>
        </w:rPr>
        <w:t>výši 12.000</w:t>
      </w:r>
      <w:r w:rsidR="004C7A11">
        <w:rPr>
          <w:rFonts w:cs="Tahoma"/>
          <w:bCs/>
          <w:szCs w:val="20"/>
        </w:rPr>
        <w:t> </w:t>
      </w:r>
      <w:r w:rsidRPr="004C7A11">
        <w:rPr>
          <w:rFonts w:cs="Tahoma"/>
          <w:bCs/>
          <w:szCs w:val="20"/>
        </w:rPr>
        <w:t>tis.</w:t>
      </w:r>
      <w:r w:rsidR="004C7A11">
        <w:rPr>
          <w:rFonts w:cs="Tahoma"/>
          <w:bCs/>
          <w:szCs w:val="20"/>
        </w:rPr>
        <w:t> </w:t>
      </w:r>
      <w:r w:rsidRPr="004C7A11">
        <w:rPr>
          <w:rFonts w:cs="Tahoma"/>
          <w:bCs/>
          <w:szCs w:val="20"/>
        </w:rPr>
        <w:t>Kč ročně</w:t>
      </w:r>
      <w:r w:rsidR="004C7A11">
        <w:rPr>
          <w:rFonts w:cs="Tahoma"/>
          <w:bCs/>
          <w:szCs w:val="20"/>
        </w:rPr>
        <w:t xml:space="preserve"> </w:t>
      </w:r>
      <w:r w:rsidR="004C7A11" w:rsidRPr="004C7A11">
        <w:rPr>
          <w:rFonts w:cs="Tahoma"/>
          <w:bCs/>
          <w:szCs w:val="20"/>
        </w:rPr>
        <w:t>k</w:t>
      </w:r>
      <w:r w:rsidR="004C7A11">
        <w:rPr>
          <w:rFonts w:cs="Tahoma"/>
          <w:bCs/>
          <w:szCs w:val="20"/>
        </w:rPr>
        <w:t> </w:t>
      </w:r>
      <w:r w:rsidR="004C7A11" w:rsidRPr="004C7A11">
        <w:rPr>
          <w:rFonts w:cs="Tahoma"/>
          <w:bCs/>
          <w:szCs w:val="20"/>
        </w:rPr>
        <w:t>zajištění lékařské pohotovostní služby a pohotovostní služby v oboru zubní lékařství na</w:t>
      </w:r>
      <w:r w:rsidR="004C7A11">
        <w:rPr>
          <w:rFonts w:cs="Tahoma"/>
          <w:bCs/>
          <w:szCs w:val="20"/>
        </w:rPr>
        <w:t> </w:t>
      </w:r>
      <w:r w:rsidR="004C7A11" w:rsidRPr="004C7A11">
        <w:rPr>
          <w:rFonts w:cs="Tahoma"/>
          <w:bCs/>
          <w:szCs w:val="20"/>
        </w:rPr>
        <w:t xml:space="preserve">území </w:t>
      </w:r>
      <w:r w:rsidR="004C7A11" w:rsidRPr="0001773D">
        <w:rPr>
          <w:rFonts w:cs="Tahoma"/>
          <w:bCs/>
          <w:szCs w:val="20"/>
        </w:rPr>
        <w:t>okresu Ostrava-město, a to na období 2023 </w:t>
      </w:r>
      <w:r w:rsidR="004C7A11" w:rsidRPr="0001773D">
        <w:rPr>
          <w:rFonts w:cs="Tahoma"/>
          <w:bCs/>
          <w:szCs w:val="20"/>
        </w:rPr>
        <w:noBreakHyphen/>
        <w:t xml:space="preserve"> 2025. </w:t>
      </w:r>
    </w:p>
    <w:p w14:paraId="586AA647" w14:textId="7C9B3A90" w:rsidR="008B22CC" w:rsidRPr="0001773D" w:rsidRDefault="008B22CC" w:rsidP="008B22CC">
      <w:pPr>
        <w:rPr>
          <w:rFonts w:cs="Tahoma"/>
          <w:szCs w:val="20"/>
        </w:rPr>
      </w:pPr>
      <w:r w:rsidRPr="0001773D">
        <w:rPr>
          <w:rFonts w:cs="Tahoma"/>
          <w:szCs w:val="20"/>
        </w:rPr>
        <w:t xml:space="preserve">Vyčerpáno bylo v odvětví zdravotnictví celkem </w:t>
      </w:r>
      <w:r w:rsidR="0001773D" w:rsidRPr="0001773D">
        <w:rPr>
          <w:rFonts w:cs="Tahoma"/>
          <w:szCs w:val="20"/>
        </w:rPr>
        <w:t>278.678</w:t>
      </w:r>
      <w:r w:rsidR="006206EA" w:rsidRPr="0001773D">
        <w:rPr>
          <w:rFonts w:cs="Tahoma"/>
          <w:szCs w:val="20"/>
        </w:rPr>
        <w:t> </w:t>
      </w:r>
      <w:r w:rsidRPr="0001773D">
        <w:rPr>
          <w:rFonts w:cs="Tahoma"/>
          <w:szCs w:val="20"/>
        </w:rPr>
        <w:t>tis.</w:t>
      </w:r>
      <w:r w:rsidR="006206EA" w:rsidRPr="0001773D">
        <w:rPr>
          <w:rFonts w:cs="Tahoma"/>
          <w:szCs w:val="20"/>
        </w:rPr>
        <w:t> </w:t>
      </w:r>
      <w:r w:rsidRPr="0001773D">
        <w:rPr>
          <w:rFonts w:cs="Tahoma"/>
          <w:szCs w:val="20"/>
        </w:rPr>
        <w:t xml:space="preserve">Kč, což představuje čerpání </w:t>
      </w:r>
      <w:r w:rsidR="00E07506" w:rsidRPr="0001773D">
        <w:rPr>
          <w:rFonts w:cs="Tahoma"/>
          <w:szCs w:val="20"/>
        </w:rPr>
        <w:t>na</w:t>
      </w:r>
      <w:r w:rsidR="002E0C92" w:rsidRPr="0001773D">
        <w:rPr>
          <w:rFonts w:cs="Tahoma"/>
          <w:szCs w:val="20"/>
        </w:rPr>
        <w:t> </w:t>
      </w:r>
      <w:r w:rsidR="0001773D" w:rsidRPr="0001773D">
        <w:rPr>
          <w:rFonts w:cs="Tahoma"/>
          <w:szCs w:val="20"/>
        </w:rPr>
        <w:t>15</w:t>
      </w:r>
      <w:r w:rsidRPr="0001773D">
        <w:rPr>
          <w:rFonts w:cs="Tahoma"/>
          <w:szCs w:val="20"/>
        </w:rPr>
        <w:t xml:space="preserve"> % upraveného rozpočtu. </w:t>
      </w:r>
    </w:p>
    <w:p w14:paraId="04B884A6" w14:textId="42E3B72F" w:rsidR="00B016AC" w:rsidRPr="004C02B3" w:rsidRDefault="002E0C92" w:rsidP="002B1422">
      <w:r w:rsidRPr="004C02B3">
        <w:t>V odvětví zdravotnictví byly alokovány v rámci dotačních programů finanční prostředky ve</w:t>
      </w:r>
      <w:r w:rsidR="00B016AC" w:rsidRPr="004C02B3">
        <w:t> </w:t>
      </w:r>
      <w:r w:rsidRPr="004C02B3">
        <w:t xml:space="preserve">výši </w:t>
      </w:r>
      <w:r w:rsidR="004C02B3" w:rsidRPr="004C02B3">
        <w:t>8.351</w:t>
      </w:r>
      <w:r w:rsidR="00B016AC" w:rsidRPr="004C02B3">
        <w:t> </w:t>
      </w:r>
      <w:r w:rsidRPr="004C02B3">
        <w:t>tis.</w:t>
      </w:r>
      <w:r w:rsidR="00B016AC" w:rsidRPr="004C02B3">
        <w:t> </w:t>
      </w:r>
      <w:r w:rsidRPr="004C02B3">
        <w:t xml:space="preserve">Kč, </w:t>
      </w:r>
      <w:r w:rsidR="004C02B3" w:rsidRPr="004C02B3">
        <w:t>čerpáno bylo dosud 130</w:t>
      </w:r>
      <w:r w:rsidR="00853BF3">
        <w:t> </w:t>
      </w:r>
      <w:r w:rsidR="004C02B3" w:rsidRPr="004C02B3">
        <w:t>tis.</w:t>
      </w:r>
      <w:r w:rsidR="00853BF3">
        <w:t> </w:t>
      </w:r>
      <w:r w:rsidR="004C02B3" w:rsidRPr="004C02B3">
        <w:t>Kč.</w:t>
      </w:r>
    </w:p>
    <w:p w14:paraId="586AA649" w14:textId="425B43CC" w:rsidR="008B22CC" w:rsidRPr="004C02B3" w:rsidRDefault="008B22CC" w:rsidP="002B1422">
      <w:r w:rsidRPr="004C02B3">
        <w:t xml:space="preserve">Příspěvkovým organizacím v tomto odvětví bylo </w:t>
      </w:r>
      <w:r w:rsidR="002B1422" w:rsidRPr="004C02B3">
        <w:t>k </w:t>
      </w:r>
      <w:r w:rsidR="0073096F" w:rsidRPr="004C02B3">
        <w:t>30. 4. 2022</w:t>
      </w:r>
      <w:r w:rsidR="002B1422" w:rsidRPr="004C02B3">
        <w:t xml:space="preserve"> </w:t>
      </w:r>
      <w:r w:rsidRPr="004C02B3">
        <w:t xml:space="preserve">poskytnuto </w:t>
      </w:r>
      <w:r w:rsidR="004C02B3" w:rsidRPr="004C02B3">
        <w:t>233.772</w:t>
      </w:r>
      <w:r w:rsidRPr="004C02B3">
        <w:t> tis. Kč</w:t>
      </w:r>
      <w:r w:rsidR="002B1422" w:rsidRPr="004C02B3">
        <w:t xml:space="preserve">, což představuje </w:t>
      </w:r>
      <w:r w:rsidR="004C02B3" w:rsidRPr="004C02B3">
        <w:t>32</w:t>
      </w:r>
      <w:r w:rsidR="00B4241D" w:rsidRPr="004C02B3">
        <w:t> </w:t>
      </w:r>
      <w:r w:rsidR="002B1422" w:rsidRPr="004C02B3">
        <w:t>% upraveného rozpočtu.</w:t>
      </w:r>
    </w:p>
    <w:p w14:paraId="586AA64A" w14:textId="12DFA6DE" w:rsidR="008B22CC" w:rsidRPr="004C02B3" w:rsidRDefault="008B22CC" w:rsidP="006206EA">
      <w:r w:rsidRPr="004C02B3">
        <w:t>Na</w:t>
      </w:r>
      <w:r w:rsidR="00D82175" w:rsidRPr="004C02B3">
        <w:t> </w:t>
      </w:r>
      <w:r w:rsidRPr="004C02B3">
        <w:t>reprodukci majetku kraje svěřeného do</w:t>
      </w:r>
      <w:r w:rsidR="00D82175" w:rsidRPr="004C02B3">
        <w:t> </w:t>
      </w:r>
      <w:r w:rsidRPr="004C02B3">
        <w:t xml:space="preserve">správy příspěvkovým organizacím </w:t>
      </w:r>
      <w:r w:rsidRPr="004C02B3">
        <w:rPr>
          <w:bCs/>
        </w:rPr>
        <w:t xml:space="preserve">v odvětví zdravotnictví </w:t>
      </w:r>
      <w:r w:rsidRPr="004C02B3">
        <w:t>bylo k </w:t>
      </w:r>
      <w:r w:rsidR="0073096F" w:rsidRPr="004C02B3">
        <w:t>30. 4. 2022</w:t>
      </w:r>
      <w:r w:rsidRPr="004C02B3">
        <w:t xml:space="preserve"> z</w:t>
      </w:r>
      <w:r w:rsidR="00D82175" w:rsidRPr="004C02B3">
        <w:t> </w:t>
      </w:r>
      <w:r w:rsidRPr="004C02B3">
        <w:t>prozatím vyčleněných prostředků ve</w:t>
      </w:r>
      <w:r w:rsidR="00D82175" w:rsidRPr="004C02B3">
        <w:t> </w:t>
      </w:r>
      <w:r w:rsidRPr="004C02B3">
        <w:t xml:space="preserve">výši </w:t>
      </w:r>
      <w:r w:rsidR="004C02B3" w:rsidRPr="004C02B3">
        <w:t>786.995</w:t>
      </w:r>
      <w:r w:rsidR="006206EA" w:rsidRPr="004C02B3">
        <w:t> t</w:t>
      </w:r>
      <w:r w:rsidRPr="004C02B3">
        <w:t>is.</w:t>
      </w:r>
      <w:r w:rsidR="006206EA" w:rsidRPr="004C02B3">
        <w:t> </w:t>
      </w:r>
      <w:r w:rsidRPr="004C02B3">
        <w:t xml:space="preserve">Kč vyčerpáno </w:t>
      </w:r>
      <w:r w:rsidR="004C02B3" w:rsidRPr="004C02B3">
        <w:t>32.479</w:t>
      </w:r>
      <w:r w:rsidR="006206EA" w:rsidRPr="004C02B3">
        <w:t> </w:t>
      </w:r>
      <w:r w:rsidRPr="004C02B3">
        <w:t xml:space="preserve">tis. Kč (více viz příloha č. 4 materiálu). </w:t>
      </w:r>
    </w:p>
    <w:p w14:paraId="586AA64B" w14:textId="29F3B99B" w:rsidR="008B22CC" w:rsidRPr="0068592D" w:rsidRDefault="008B22CC" w:rsidP="008B22CC">
      <w:pPr>
        <w:rPr>
          <w:rFonts w:cs="Tahoma"/>
          <w:szCs w:val="20"/>
        </w:rPr>
      </w:pPr>
      <w:r w:rsidRPr="0068592D">
        <w:rPr>
          <w:rFonts w:cs="Tahoma"/>
          <w:szCs w:val="20"/>
        </w:rPr>
        <w:lastRenderedPageBreak/>
        <w:t>Na</w:t>
      </w:r>
      <w:r w:rsidR="00035C58" w:rsidRPr="0068592D">
        <w:rPr>
          <w:rFonts w:cs="Tahoma"/>
          <w:szCs w:val="20"/>
        </w:rPr>
        <w:t> </w:t>
      </w:r>
      <w:r w:rsidRPr="0068592D">
        <w:rPr>
          <w:rFonts w:cs="Tahoma"/>
          <w:szCs w:val="20"/>
        </w:rPr>
        <w:t>akce spolufinancované z evropských finančních zdrojů jsou v rozpočtu kraje na</w:t>
      </w:r>
      <w:r w:rsidR="00035C58" w:rsidRPr="0068592D">
        <w:rPr>
          <w:rFonts w:cs="Tahoma"/>
          <w:szCs w:val="20"/>
        </w:rPr>
        <w:t> </w:t>
      </w:r>
      <w:r w:rsidRPr="0068592D">
        <w:rPr>
          <w:rFonts w:cs="Tahoma"/>
          <w:szCs w:val="20"/>
        </w:rPr>
        <w:t xml:space="preserve">rok </w:t>
      </w:r>
      <w:r w:rsidR="00C22C6C" w:rsidRPr="0068592D">
        <w:rPr>
          <w:rFonts w:cs="Tahoma"/>
          <w:szCs w:val="20"/>
        </w:rPr>
        <w:t>20</w:t>
      </w:r>
      <w:r w:rsidR="00DF76D5" w:rsidRPr="0068592D">
        <w:rPr>
          <w:rFonts w:cs="Tahoma"/>
          <w:szCs w:val="20"/>
        </w:rPr>
        <w:t>2</w:t>
      </w:r>
      <w:r w:rsidR="004C02B3" w:rsidRPr="0068592D">
        <w:rPr>
          <w:rFonts w:cs="Tahoma"/>
          <w:szCs w:val="20"/>
        </w:rPr>
        <w:t>2</w:t>
      </w:r>
      <w:r w:rsidRPr="0068592D">
        <w:rPr>
          <w:rFonts w:cs="Tahoma"/>
          <w:szCs w:val="20"/>
        </w:rPr>
        <w:t xml:space="preserve"> v odvětví zdravotnictví vyčleněny prostředky ve</w:t>
      </w:r>
      <w:r w:rsidR="00D82175" w:rsidRPr="0068592D">
        <w:rPr>
          <w:rFonts w:cs="Tahoma"/>
          <w:szCs w:val="20"/>
        </w:rPr>
        <w:t> </w:t>
      </w:r>
      <w:r w:rsidRPr="0068592D">
        <w:rPr>
          <w:rFonts w:cs="Tahoma"/>
          <w:szCs w:val="20"/>
        </w:rPr>
        <w:t xml:space="preserve">výši </w:t>
      </w:r>
      <w:r w:rsidR="004C02B3" w:rsidRPr="0068592D">
        <w:rPr>
          <w:rFonts w:cs="Tahoma"/>
          <w:szCs w:val="20"/>
        </w:rPr>
        <w:t>204.990</w:t>
      </w:r>
      <w:r w:rsidRPr="0068592D">
        <w:rPr>
          <w:rFonts w:cs="Tahoma"/>
          <w:szCs w:val="20"/>
        </w:rPr>
        <w:t xml:space="preserve"> tis. Kč. Ve sledovaném období dosáhlo čerpání těchto prostředků výše </w:t>
      </w:r>
      <w:r w:rsidR="004C02B3" w:rsidRPr="0068592D">
        <w:rPr>
          <w:rFonts w:cs="Tahoma"/>
          <w:szCs w:val="20"/>
        </w:rPr>
        <w:t>412</w:t>
      </w:r>
      <w:r w:rsidR="006206EA" w:rsidRPr="0068592D">
        <w:rPr>
          <w:rFonts w:cs="Tahoma"/>
          <w:szCs w:val="20"/>
        </w:rPr>
        <w:t> </w:t>
      </w:r>
      <w:r w:rsidRPr="0068592D">
        <w:rPr>
          <w:rFonts w:cs="Tahoma"/>
          <w:szCs w:val="20"/>
        </w:rPr>
        <w:t>tis.</w:t>
      </w:r>
      <w:r w:rsidR="006206EA" w:rsidRPr="0068592D">
        <w:rPr>
          <w:rFonts w:cs="Tahoma"/>
          <w:szCs w:val="20"/>
        </w:rPr>
        <w:t> </w:t>
      </w:r>
      <w:r w:rsidRPr="0068592D">
        <w:rPr>
          <w:rFonts w:cs="Tahoma"/>
          <w:szCs w:val="20"/>
        </w:rPr>
        <w:t>Kč (více viz příloha č. 5 materiálu).</w:t>
      </w:r>
    </w:p>
    <w:p w14:paraId="586AA64D" w14:textId="716264CB" w:rsidR="00F967C2" w:rsidRPr="0068592D" w:rsidRDefault="00C435B8" w:rsidP="00CE0C49">
      <w:pPr>
        <w:pStyle w:val="Styltab"/>
      </w:pPr>
      <w:r w:rsidRPr="0068592D">
        <w:t>Výdaje v odvětví zdravotnictví v členění dle účelu</w:t>
      </w:r>
      <w:r w:rsidRPr="0068592D">
        <w:tab/>
        <w:t>v tis. Kč</w:t>
      </w:r>
      <w:bookmarkStart w:id="331" w:name="_MON_1555994180"/>
      <w:bookmarkEnd w:id="331"/>
      <w:r w:rsidR="004C02B3" w:rsidRPr="0068592D">
        <w:object w:dxaOrig="9315" w:dyaOrig="2329" w14:anchorId="586AA6C3">
          <v:shape id="_x0000_i1069" type="#_x0000_t75" style="width:461.2pt;height:115.45pt" o:ole="">
            <v:imagedata r:id="rId96" o:title=""/>
          </v:shape>
          <o:OLEObject Type="Embed" ProgID="Excel.Sheet.8" ShapeID="_x0000_i1069" DrawAspect="Content" ObjectID="_1714980730" r:id="rId97"/>
        </w:object>
      </w:r>
    </w:p>
    <w:p w14:paraId="658D1BDF" w14:textId="77777777" w:rsidR="00D44D29" w:rsidRPr="0001191D" w:rsidRDefault="00D44D29" w:rsidP="00D44D29"/>
    <w:p w14:paraId="586AA64F" w14:textId="4050C501" w:rsidR="008B22CC" w:rsidRPr="0001191D" w:rsidRDefault="00C435B8" w:rsidP="00CE0C49">
      <w:pPr>
        <w:pStyle w:val="Styltab"/>
      </w:pPr>
      <w:bookmarkStart w:id="332" w:name="_MON_1489919139"/>
      <w:bookmarkStart w:id="333" w:name="_MON_1490173399"/>
      <w:bookmarkStart w:id="334" w:name="_MON_1469361471"/>
      <w:bookmarkStart w:id="335" w:name="_MON_1476602247"/>
      <w:bookmarkStart w:id="336" w:name="_MON_1477204522"/>
      <w:bookmarkStart w:id="337" w:name="_MON_1477311390"/>
      <w:bookmarkEnd w:id="332"/>
      <w:bookmarkEnd w:id="333"/>
      <w:bookmarkEnd w:id="334"/>
      <w:bookmarkEnd w:id="335"/>
      <w:bookmarkEnd w:id="336"/>
      <w:bookmarkEnd w:id="337"/>
      <w:r w:rsidRPr="0001191D">
        <w:t>Výdaje v odvětví zdravotnictví na samosprávné a jiné činnosti zajišťované prostřednictvím krajského úřadu</w:t>
      </w:r>
      <w:r w:rsidR="00F36F49" w:rsidRPr="0001191D">
        <w:tab/>
      </w:r>
      <w:r w:rsidRPr="0001191D">
        <w:t>v tis. Kč</w:t>
      </w:r>
      <w:bookmarkStart w:id="338" w:name="_MON_1476602266"/>
      <w:bookmarkStart w:id="339" w:name="_MON_1477207118"/>
      <w:bookmarkStart w:id="340" w:name="_MON_1477311675"/>
      <w:bookmarkStart w:id="341" w:name="_MON_1477464400"/>
      <w:bookmarkStart w:id="342" w:name="_MON_1489928717"/>
      <w:bookmarkStart w:id="343" w:name="_MON_1489929114"/>
      <w:bookmarkStart w:id="344" w:name="_MON_1490003760"/>
      <w:bookmarkStart w:id="345" w:name="_MON_1490173411"/>
      <w:bookmarkStart w:id="346" w:name="_MON_1490175437"/>
      <w:bookmarkStart w:id="347" w:name="_MON_1469450040"/>
      <w:bookmarkStart w:id="348" w:name="_MON_1469520067"/>
      <w:bookmarkEnd w:id="338"/>
      <w:bookmarkEnd w:id="339"/>
      <w:bookmarkEnd w:id="340"/>
      <w:bookmarkEnd w:id="341"/>
      <w:bookmarkEnd w:id="342"/>
      <w:bookmarkEnd w:id="343"/>
      <w:bookmarkEnd w:id="344"/>
      <w:bookmarkEnd w:id="345"/>
      <w:bookmarkEnd w:id="346"/>
      <w:bookmarkEnd w:id="347"/>
      <w:bookmarkEnd w:id="348"/>
      <w:bookmarkStart w:id="349" w:name="_MON_1469520728"/>
      <w:bookmarkEnd w:id="349"/>
      <w:r w:rsidR="003423FE" w:rsidRPr="0001191D">
        <w:object w:dxaOrig="9540" w:dyaOrig="6410" w14:anchorId="586AA6C4">
          <v:shape id="_x0000_i1070" type="#_x0000_t75" style="width:460.55pt;height:315.15pt" o:ole="">
            <v:imagedata r:id="rId98" o:title=""/>
          </v:shape>
          <o:OLEObject Type="Embed" ProgID="Excel.Sheet.8" ShapeID="_x0000_i1070" DrawAspect="Content" ObjectID="_1714980731" r:id="rId99"/>
        </w:object>
      </w:r>
    </w:p>
    <w:p w14:paraId="07B615B4" w14:textId="77777777" w:rsidR="00E757A8" w:rsidRPr="0001191D" w:rsidRDefault="00E757A8" w:rsidP="00E757A8"/>
    <w:p w14:paraId="586AA651" w14:textId="65162B2A" w:rsidR="008B22CC" w:rsidRPr="00441680" w:rsidRDefault="00210593" w:rsidP="00CE0C49">
      <w:pPr>
        <w:pStyle w:val="Styltab"/>
      </w:pPr>
      <w:r w:rsidRPr="00E107E5">
        <w:lastRenderedPageBreak/>
        <w:t>Příspěvek na</w:t>
      </w:r>
      <w:r w:rsidR="0001191D">
        <w:t> </w:t>
      </w:r>
      <w:r w:rsidRPr="00E107E5">
        <w:t>provoz příspěvkovým organizacím v odvětví zdravotnictví</w:t>
      </w:r>
      <w:r w:rsidRPr="00E107E5">
        <w:tab/>
        <w:t>v tis. Kč</w:t>
      </w:r>
      <w:bookmarkStart w:id="350" w:name="_MON_1469450252"/>
      <w:bookmarkStart w:id="351" w:name="_MON_1476602291"/>
      <w:bookmarkStart w:id="352" w:name="_MON_1477206718"/>
      <w:bookmarkStart w:id="353" w:name="_MON_1477206746"/>
      <w:bookmarkStart w:id="354" w:name="_MON_1489929152"/>
      <w:bookmarkStart w:id="355" w:name="_MON_1490173424"/>
      <w:bookmarkStart w:id="356" w:name="_MON_1490174599"/>
      <w:bookmarkStart w:id="357" w:name="_MON_1490174695"/>
      <w:bookmarkEnd w:id="350"/>
      <w:bookmarkEnd w:id="351"/>
      <w:bookmarkEnd w:id="352"/>
      <w:bookmarkEnd w:id="353"/>
      <w:bookmarkEnd w:id="354"/>
      <w:bookmarkEnd w:id="355"/>
      <w:bookmarkEnd w:id="356"/>
      <w:bookmarkEnd w:id="357"/>
      <w:bookmarkStart w:id="358" w:name="_MON_1490175476"/>
      <w:bookmarkEnd w:id="358"/>
      <w:r w:rsidR="00AF2911" w:rsidRPr="00441680">
        <w:object w:dxaOrig="9677" w:dyaOrig="5953" w14:anchorId="586AA6C5">
          <v:shape id="_x0000_i1071" type="#_x0000_t75" style="width:461.9pt;height:285.95pt" o:ole="">
            <v:imagedata r:id="rId100" o:title=""/>
          </v:shape>
          <o:OLEObject Type="Embed" ProgID="Excel.Sheet.8" ShapeID="_x0000_i1071" DrawAspect="Content" ObjectID="_1714980732" r:id="rId101"/>
        </w:object>
      </w:r>
    </w:p>
    <w:p w14:paraId="042A4B47" w14:textId="77777777" w:rsidR="00454955" w:rsidRPr="00441680" w:rsidRDefault="00454955" w:rsidP="00454955"/>
    <w:p w14:paraId="2AC80543" w14:textId="3B30D19A" w:rsidR="00A37F09" w:rsidRPr="00441680" w:rsidRDefault="00857CD5" w:rsidP="00CE0C49">
      <w:pPr>
        <w:pStyle w:val="Styltab"/>
      </w:pPr>
      <w:r w:rsidRPr="00441680">
        <w:t>Návratné finanční výpomoci v odvětví zdravotnictví</w:t>
      </w:r>
      <w:r w:rsidR="00660D4D" w:rsidRPr="00441680">
        <w:tab/>
      </w:r>
      <w:r w:rsidRPr="00441680">
        <w:t>v tis. Kč</w:t>
      </w:r>
      <w:bookmarkStart w:id="359" w:name="_MON_1682601510"/>
      <w:bookmarkEnd w:id="359"/>
      <w:r w:rsidR="00355FDD" w:rsidRPr="00441680">
        <w:object w:dxaOrig="9157" w:dyaOrig="1371" w14:anchorId="567E9555">
          <v:shape id="_x0000_i1072" type="#_x0000_t75" style="width:460.55pt;height:70.65pt" o:ole="">
            <v:imagedata r:id="rId102" o:title=""/>
          </v:shape>
          <o:OLEObject Type="Embed" ProgID="Excel.Sheet.8" ShapeID="_x0000_i1072" DrawAspect="Content" ObjectID="_1714980733" r:id="rId103"/>
        </w:object>
      </w:r>
    </w:p>
    <w:p w14:paraId="586AA654" w14:textId="77777777" w:rsidR="00014B18" w:rsidRPr="00DB3ACF" w:rsidRDefault="00014B18" w:rsidP="00AD79B0">
      <w:pPr>
        <w:pStyle w:val="Nadpis3"/>
      </w:pPr>
      <w:r w:rsidRPr="00DB3ACF">
        <w:t>Odvětví životního prostředí</w:t>
      </w:r>
    </w:p>
    <w:p w14:paraId="586AA655" w14:textId="44C2BFE5" w:rsidR="00431826" w:rsidRPr="00433BAE" w:rsidRDefault="00014B18" w:rsidP="00D008A9">
      <w:r w:rsidRPr="00DB3ACF">
        <w:t xml:space="preserve">Schválený rozpočet výdajů v odvětví životního prostředí </w:t>
      </w:r>
      <w:r w:rsidR="00431826" w:rsidRPr="00DB3ACF">
        <w:t>ve</w:t>
      </w:r>
      <w:r w:rsidR="00EE741F">
        <w:t> </w:t>
      </w:r>
      <w:r w:rsidR="00431826" w:rsidRPr="00DB3ACF">
        <w:t xml:space="preserve">výši </w:t>
      </w:r>
      <w:r w:rsidR="00AF2911" w:rsidRPr="00DB3ACF">
        <w:t>155.027</w:t>
      </w:r>
      <w:r w:rsidR="00431826" w:rsidRPr="00DB3ACF">
        <w:t> tis. Kč byl k </w:t>
      </w:r>
      <w:r w:rsidR="0073096F" w:rsidRPr="00DB3ACF">
        <w:t>30. 4. 2022</w:t>
      </w:r>
      <w:r w:rsidR="00431826" w:rsidRPr="00DB3ACF">
        <w:t xml:space="preserve"> zvýšen </w:t>
      </w:r>
      <w:r w:rsidR="00431826" w:rsidRPr="00433BAE">
        <w:t>na</w:t>
      </w:r>
      <w:r w:rsidR="00D4440E" w:rsidRPr="00433BAE">
        <w:t> </w:t>
      </w:r>
      <w:r w:rsidR="00AF2911" w:rsidRPr="00433BAE">
        <w:t>683.261</w:t>
      </w:r>
      <w:r w:rsidR="00A73973" w:rsidRPr="00433BAE">
        <w:t> </w:t>
      </w:r>
      <w:r w:rsidR="00AF164E" w:rsidRPr="00433BAE">
        <w:t>tis</w:t>
      </w:r>
      <w:r w:rsidR="00431826" w:rsidRPr="00433BAE">
        <w:t>. Kč, což představuje navýšení o</w:t>
      </w:r>
      <w:r w:rsidR="00847CD4" w:rsidRPr="00433BAE">
        <w:t> </w:t>
      </w:r>
      <w:r w:rsidR="00AF2911" w:rsidRPr="00433BAE">
        <w:t>528.234</w:t>
      </w:r>
      <w:r w:rsidR="00431826" w:rsidRPr="00433BAE">
        <w:t> tis. Kč.</w:t>
      </w:r>
    </w:p>
    <w:p w14:paraId="16085B98" w14:textId="04FBC452" w:rsidR="00634B21" w:rsidRPr="00433BAE" w:rsidRDefault="00DF457C" w:rsidP="00634B21">
      <w:r w:rsidRPr="00433BAE">
        <w:rPr>
          <w:rFonts w:cs="Tahoma"/>
          <w:bCs/>
          <w:szCs w:val="20"/>
        </w:rPr>
        <w:t>Objemově významná úprava v</w:t>
      </w:r>
      <w:r w:rsidR="00D226A9" w:rsidRPr="00433BAE">
        <w:rPr>
          <w:rFonts w:cs="Tahoma"/>
          <w:bCs/>
          <w:szCs w:val="20"/>
        </w:rPr>
        <w:t xml:space="preserve"> období </w:t>
      </w:r>
      <w:r w:rsidR="000751BC" w:rsidRPr="00433BAE">
        <w:rPr>
          <w:rFonts w:cs="Tahoma"/>
          <w:bCs/>
          <w:szCs w:val="20"/>
        </w:rPr>
        <w:t>leden až</w:t>
      </w:r>
      <w:r w:rsidR="000D6FCF">
        <w:rPr>
          <w:rFonts w:cs="Tahoma"/>
          <w:bCs/>
          <w:szCs w:val="20"/>
        </w:rPr>
        <w:t> </w:t>
      </w:r>
      <w:r w:rsidR="000751BC" w:rsidRPr="00433BAE">
        <w:rPr>
          <w:rFonts w:cs="Tahoma"/>
          <w:bCs/>
          <w:szCs w:val="20"/>
        </w:rPr>
        <w:t>duben</w:t>
      </w:r>
      <w:r w:rsidR="00D226A9" w:rsidRPr="00433BAE">
        <w:rPr>
          <w:rFonts w:cs="Tahoma"/>
          <w:bCs/>
          <w:szCs w:val="20"/>
        </w:rPr>
        <w:t xml:space="preserve"> </w:t>
      </w:r>
      <w:r w:rsidRPr="00433BAE">
        <w:rPr>
          <w:rFonts w:cs="Tahoma"/>
          <w:bCs/>
          <w:szCs w:val="20"/>
        </w:rPr>
        <w:t>souvisela s nedočerpanými účelově vymezenými výdaji roku 20</w:t>
      </w:r>
      <w:r w:rsidR="00D226A9" w:rsidRPr="00433BAE">
        <w:rPr>
          <w:rFonts w:cs="Tahoma"/>
          <w:bCs/>
          <w:szCs w:val="20"/>
        </w:rPr>
        <w:t>2</w:t>
      </w:r>
      <w:r w:rsidR="00DB3ACF" w:rsidRPr="00433BAE">
        <w:rPr>
          <w:rFonts w:cs="Tahoma"/>
          <w:bCs/>
          <w:szCs w:val="20"/>
        </w:rPr>
        <w:t>1</w:t>
      </w:r>
      <w:r w:rsidRPr="00433BAE">
        <w:rPr>
          <w:rFonts w:cs="Tahoma"/>
          <w:bCs/>
          <w:szCs w:val="20"/>
        </w:rPr>
        <w:t xml:space="preserve"> v tomto odvětví ve výši </w:t>
      </w:r>
      <w:r w:rsidR="00DB3ACF" w:rsidRPr="00433BAE">
        <w:rPr>
          <w:rFonts w:cs="Tahoma"/>
          <w:bCs/>
          <w:szCs w:val="20"/>
        </w:rPr>
        <w:t>5</w:t>
      </w:r>
      <w:r w:rsidR="007A1DE4">
        <w:rPr>
          <w:rFonts w:cs="Tahoma"/>
          <w:bCs/>
          <w:szCs w:val="20"/>
        </w:rPr>
        <w:t>47.246</w:t>
      </w:r>
      <w:r w:rsidRPr="00433BAE">
        <w:rPr>
          <w:rFonts w:cs="Tahoma"/>
          <w:bCs/>
          <w:szCs w:val="20"/>
        </w:rPr>
        <w:t> tis. </w:t>
      </w:r>
      <w:r w:rsidRPr="00433BAE">
        <w:t>Kč</w:t>
      </w:r>
      <w:r w:rsidRPr="00433BAE">
        <w:rPr>
          <w:rFonts w:cs="Tahoma"/>
          <w:bCs/>
          <w:szCs w:val="20"/>
        </w:rPr>
        <w:t>, které byly zapojeny ke stejnému účelu do rozpočtu roku 202</w:t>
      </w:r>
      <w:r w:rsidR="00DB3ACF" w:rsidRPr="00433BAE">
        <w:rPr>
          <w:rFonts w:cs="Tahoma"/>
          <w:bCs/>
          <w:szCs w:val="20"/>
        </w:rPr>
        <w:t>2</w:t>
      </w:r>
      <w:r w:rsidRPr="00433BAE">
        <w:rPr>
          <w:rFonts w:cs="Tahoma"/>
          <w:bCs/>
          <w:szCs w:val="20"/>
        </w:rPr>
        <w:t xml:space="preserve">. </w:t>
      </w:r>
      <w:r w:rsidR="00634B21" w:rsidRPr="00433BAE">
        <w:t>Zejména se</w:t>
      </w:r>
      <w:r w:rsidR="000D6FCF">
        <w:t> </w:t>
      </w:r>
      <w:r w:rsidR="00634B21" w:rsidRPr="00433BAE">
        <w:t xml:space="preserve">jednalo o prostředky ve výši </w:t>
      </w:r>
      <w:r w:rsidR="00433BAE" w:rsidRPr="00433BAE">
        <w:t>427.</w:t>
      </w:r>
      <w:r w:rsidR="0040053E">
        <w:t>955</w:t>
      </w:r>
      <w:r w:rsidR="00634B21" w:rsidRPr="00433BAE">
        <w:t> tis. Kč určené na projekty kotlíkových dotací financovaných z evropských finančních zdrojů tak i jako individuálních dotací.</w:t>
      </w:r>
    </w:p>
    <w:p w14:paraId="2F3BEFA2" w14:textId="31202892" w:rsidR="00BC6A2F" w:rsidRPr="00433BAE" w:rsidRDefault="00BC6A2F" w:rsidP="00BC6A2F">
      <w:pPr>
        <w:rPr>
          <w:rFonts w:cs="Tahoma"/>
          <w:szCs w:val="20"/>
        </w:rPr>
      </w:pPr>
      <w:r w:rsidRPr="00433BAE">
        <w:rPr>
          <w:rFonts w:cs="Tahoma"/>
          <w:szCs w:val="20"/>
        </w:rPr>
        <w:t xml:space="preserve">Vyčerpáno bylo v odvětví životního prostředí </w:t>
      </w:r>
      <w:r w:rsidR="00AF2911" w:rsidRPr="00433BAE">
        <w:rPr>
          <w:rFonts w:cs="Tahoma"/>
          <w:szCs w:val="20"/>
        </w:rPr>
        <w:t>124.513</w:t>
      </w:r>
      <w:r w:rsidRPr="00433BAE">
        <w:rPr>
          <w:rFonts w:cs="Tahoma"/>
          <w:szCs w:val="20"/>
        </w:rPr>
        <w:t> tis. Kč, což představuje čerpání na</w:t>
      </w:r>
      <w:r w:rsidR="00A67ED7" w:rsidRPr="00433BAE">
        <w:rPr>
          <w:rFonts w:cs="Tahoma"/>
          <w:szCs w:val="20"/>
        </w:rPr>
        <w:t> </w:t>
      </w:r>
      <w:r w:rsidR="00AF2911" w:rsidRPr="00433BAE">
        <w:rPr>
          <w:rFonts w:cs="Tahoma"/>
          <w:szCs w:val="20"/>
        </w:rPr>
        <w:t>18</w:t>
      </w:r>
      <w:r w:rsidRPr="00433BAE">
        <w:rPr>
          <w:rFonts w:cs="Tahoma"/>
          <w:szCs w:val="20"/>
        </w:rPr>
        <w:t xml:space="preserve"> % upraveného rozpočtu. </w:t>
      </w:r>
    </w:p>
    <w:p w14:paraId="3AFFBCE2" w14:textId="7B850FD6" w:rsidR="00BC6A2F" w:rsidRPr="00417594" w:rsidRDefault="00BC6A2F" w:rsidP="00BC6A2F">
      <w:r w:rsidRPr="00433BAE">
        <w:t xml:space="preserve">V rámci dotačních programů v odvětví </w:t>
      </w:r>
      <w:r w:rsidR="004E69E7" w:rsidRPr="00433BAE">
        <w:t>životního prostředí</w:t>
      </w:r>
      <w:r w:rsidRPr="00433BAE">
        <w:t xml:space="preserve"> byly ve sledovaném období vyplaceny finanční </w:t>
      </w:r>
      <w:r w:rsidRPr="00417594">
        <w:t>prostředky ve</w:t>
      </w:r>
      <w:r w:rsidR="00A67ED7" w:rsidRPr="00417594">
        <w:t> </w:t>
      </w:r>
      <w:r w:rsidRPr="00417594">
        <w:t xml:space="preserve">výši </w:t>
      </w:r>
      <w:r w:rsidR="00AF2911" w:rsidRPr="00417594">
        <w:t>36.286</w:t>
      </w:r>
      <w:r w:rsidRPr="00417594">
        <w:t> tis. Kč, a</w:t>
      </w:r>
      <w:r w:rsidR="008D6FC3">
        <w:t> </w:t>
      </w:r>
      <w:r w:rsidRPr="00417594">
        <w:t xml:space="preserve">to z prostředků alokovaných v upraveném rozpočtu v objemu </w:t>
      </w:r>
      <w:r w:rsidR="00AF2911" w:rsidRPr="00417594">
        <w:t>260.259</w:t>
      </w:r>
      <w:r w:rsidRPr="00417594">
        <w:t> tis. Kč.</w:t>
      </w:r>
      <w:r w:rsidR="004E69E7" w:rsidRPr="00417594">
        <w:t xml:space="preserve"> Významný podíl na</w:t>
      </w:r>
      <w:r w:rsidR="002A1A44">
        <w:t> </w:t>
      </w:r>
      <w:r w:rsidR="00D63943" w:rsidRPr="00417594">
        <w:t>prostředcích alokovaných v rámci dotačních programů mají kotlíkové dotac</w:t>
      </w:r>
      <w:r w:rsidR="00020DA3" w:rsidRPr="00417594">
        <w:t>e, které jsou financovány ze</w:t>
      </w:r>
      <w:r w:rsidR="00552E46" w:rsidRPr="00417594">
        <w:t> </w:t>
      </w:r>
      <w:r w:rsidR="00020DA3" w:rsidRPr="00417594">
        <w:t>státního rozpočtu</w:t>
      </w:r>
      <w:r w:rsidR="00417594" w:rsidRPr="00417594">
        <w:t xml:space="preserve"> a</w:t>
      </w:r>
      <w:r w:rsidR="002A1A44">
        <w:t> </w:t>
      </w:r>
      <w:r w:rsidR="00347D42">
        <w:t>z</w:t>
      </w:r>
      <w:r w:rsidR="002A1A44">
        <w:t> </w:t>
      </w:r>
      <w:r w:rsidR="00417594" w:rsidRPr="00417594">
        <w:t>rozpočtu kraje</w:t>
      </w:r>
      <w:r w:rsidR="00E302E0" w:rsidRPr="00417594">
        <w:t>, a</w:t>
      </w:r>
      <w:r w:rsidR="002A1A44">
        <w:t> </w:t>
      </w:r>
      <w:r w:rsidR="00E302E0" w:rsidRPr="00417594">
        <w:t>to</w:t>
      </w:r>
      <w:r w:rsidR="00F35901" w:rsidRPr="00417594">
        <w:t xml:space="preserve"> </w:t>
      </w:r>
      <w:r w:rsidR="00020DA3" w:rsidRPr="00417594">
        <w:t xml:space="preserve">ve výši </w:t>
      </w:r>
      <w:r w:rsidR="00AF2911" w:rsidRPr="00417594">
        <w:t>210.149</w:t>
      </w:r>
      <w:r w:rsidR="002A1A44">
        <w:t> </w:t>
      </w:r>
      <w:r w:rsidR="00020DA3" w:rsidRPr="00417594">
        <w:t>tis.</w:t>
      </w:r>
      <w:r w:rsidR="002A1A44">
        <w:t> </w:t>
      </w:r>
      <w:r w:rsidR="00020DA3" w:rsidRPr="00417594">
        <w:t>Kč</w:t>
      </w:r>
      <w:r w:rsidR="00F35901" w:rsidRPr="00417594">
        <w:t xml:space="preserve">. </w:t>
      </w:r>
    </w:p>
    <w:p w14:paraId="370509F6" w14:textId="70D38152" w:rsidR="006F5B8A" w:rsidRPr="00AF2911" w:rsidRDefault="006F5B8A" w:rsidP="006F5B8A">
      <w:r w:rsidRPr="00417594">
        <w:t>Na reprodukci majetku kraje byl</w:t>
      </w:r>
      <w:r w:rsidR="00410A03" w:rsidRPr="00417594">
        <w:t>y</w:t>
      </w:r>
      <w:r w:rsidRPr="00417594">
        <w:t xml:space="preserve"> k </w:t>
      </w:r>
      <w:r w:rsidR="0073096F" w:rsidRPr="00417594">
        <w:t>30. 4. 2022</w:t>
      </w:r>
      <w:r w:rsidR="00410A03" w:rsidRPr="00417594">
        <w:t xml:space="preserve"> alokovány v odvětví životního prostředí finanční</w:t>
      </w:r>
      <w:r w:rsidR="00410A03" w:rsidRPr="00AF2911">
        <w:t xml:space="preserve"> prostředky ve</w:t>
      </w:r>
      <w:r w:rsidR="009C49EB">
        <w:t> </w:t>
      </w:r>
      <w:r w:rsidR="00410A03" w:rsidRPr="00AF2911">
        <w:t xml:space="preserve">výši </w:t>
      </w:r>
      <w:r w:rsidR="00AF2911" w:rsidRPr="00AF2911">
        <w:t>4.100</w:t>
      </w:r>
      <w:r w:rsidR="00410A03" w:rsidRPr="00AF2911">
        <w:t xml:space="preserve"> tis. Kč a </w:t>
      </w:r>
      <w:r w:rsidR="00AF2911" w:rsidRPr="00AF2911">
        <w:t>nebyly dosud čerpány</w:t>
      </w:r>
      <w:r w:rsidR="00410A03" w:rsidRPr="00AF2911">
        <w:t xml:space="preserve"> </w:t>
      </w:r>
      <w:r w:rsidRPr="00AF2911">
        <w:t>(více viz příloha č.</w:t>
      </w:r>
      <w:r w:rsidR="009C49EB">
        <w:t> </w:t>
      </w:r>
      <w:r w:rsidRPr="00AF2911">
        <w:t xml:space="preserve">4 materiálu). </w:t>
      </w:r>
    </w:p>
    <w:p w14:paraId="586AA657" w14:textId="33A1933D" w:rsidR="008C6D5E" w:rsidRPr="00BC207F" w:rsidRDefault="00DF6D6E" w:rsidP="008C6D5E">
      <w:r w:rsidRPr="00BC207F">
        <w:t>Na</w:t>
      </w:r>
      <w:r w:rsidR="00847CD4" w:rsidRPr="00BC207F">
        <w:t> </w:t>
      </w:r>
      <w:r w:rsidRPr="00BC207F">
        <w:t>akce spolufinancované z evropských finančních zdrojů v odvětví životního prostředí byly k</w:t>
      </w:r>
      <w:r w:rsidR="001220B8" w:rsidRPr="00BC207F">
        <w:t> </w:t>
      </w:r>
      <w:r w:rsidR="0073096F" w:rsidRPr="00BC207F">
        <w:t>30. 4. 2022</w:t>
      </w:r>
      <w:r w:rsidRPr="00BC207F">
        <w:t xml:space="preserve"> rozpočtovány prostředky v</w:t>
      </w:r>
      <w:r w:rsidR="00F35BE3" w:rsidRPr="00BC207F">
        <w:t> </w:t>
      </w:r>
      <w:r w:rsidR="001D0E7A" w:rsidRPr="00BC207F">
        <w:t>celkové</w:t>
      </w:r>
      <w:r w:rsidRPr="00BC207F">
        <w:t xml:space="preserve"> výši </w:t>
      </w:r>
      <w:r w:rsidR="00AF2911" w:rsidRPr="00BC207F">
        <w:t>378.878</w:t>
      </w:r>
      <w:r w:rsidRPr="00BC207F">
        <w:t> tis.</w:t>
      </w:r>
      <w:r w:rsidR="00847EB0" w:rsidRPr="00BC207F">
        <w:t> </w:t>
      </w:r>
      <w:r w:rsidRPr="00BC207F">
        <w:t>Kč</w:t>
      </w:r>
      <w:r w:rsidR="008F0CAB" w:rsidRPr="00BC207F">
        <w:t xml:space="preserve"> a</w:t>
      </w:r>
      <w:r w:rsidR="00C71943" w:rsidRPr="00BC207F">
        <w:t> </w:t>
      </w:r>
      <w:r w:rsidR="008F0CAB" w:rsidRPr="00BC207F">
        <w:t>čerpány byly ve</w:t>
      </w:r>
      <w:r w:rsidR="00C71943" w:rsidRPr="00BC207F">
        <w:t> </w:t>
      </w:r>
      <w:r w:rsidR="008F0CAB" w:rsidRPr="00BC207F">
        <w:t xml:space="preserve">výši </w:t>
      </w:r>
      <w:r w:rsidR="00AF2911" w:rsidRPr="00BC207F">
        <w:t>85.926</w:t>
      </w:r>
      <w:r w:rsidR="008F0CAB" w:rsidRPr="00BC207F">
        <w:t xml:space="preserve"> tis. Kč (více </w:t>
      </w:r>
      <w:r w:rsidR="008F0CAB" w:rsidRPr="00BC207F">
        <w:lastRenderedPageBreak/>
        <w:t>viz</w:t>
      </w:r>
      <w:r w:rsidR="00C71943" w:rsidRPr="00BC207F">
        <w:t> </w:t>
      </w:r>
      <w:r w:rsidR="008F0CAB" w:rsidRPr="00BC207F">
        <w:t>příloha č.</w:t>
      </w:r>
      <w:r w:rsidR="00C71943" w:rsidRPr="00BC207F">
        <w:t> </w:t>
      </w:r>
      <w:r w:rsidR="008F0CAB" w:rsidRPr="00BC207F">
        <w:t>5 materiálu).</w:t>
      </w:r>
      <w:r w:rsidR="00994F96" w:rsidRPr="00BC207F">
        <w:t xml:space="preserve"> Objemově významn</w:t>
      </w:r>
      <w:r w:rsidR="001A2499" w:rsidRPr="00BC207F">
        <w:t>é jsou</w:t>
      </w:r>
      <w:r w:rsidR="00835D74" w:rsidRPr="00BC207F">
        <w:t> </w:t>
      </w:r>
      <w:r w:rsidR="00994F96" w:rsidRPr="00BC207F">
        <w:t>projekt</w:t>
      </w:r>
      <w:r w:rsidR="001A2499" w:rsidRPr="00BC207F">
        <w:t>y</w:t>
      </w:r>
      <w:r w:rsidR="001A61B5" w:rsidRPr="00BC207F">
        <w:t xml:space="preserve"> v</w:t>
      </w:r>
      <w:r w:rsidR="00847CD4" w:rsidRPr="00BC207F">
        <w:t> </w:t>
      </w:r>
      <w:r w:rsidR="001A61B5" w:rsidRPr="00BC207F">
        <w:t>rámci</w:t>
      </w:r>
      <w:r w:rsidR="00994F96" w:rsidRPr="00BC207F">
        <w:t xml:space="preserve"> Kotlíkov</w:t>
      </w:r>
      <w:r w:rsidR="001A61B5" w:rsidRPr="00BC207F">
        <w:t xml:space="preserve">ých </w:t>
      </w:r>
      <w:r w:rsidR="00994F96" w:rsidRPr="00BC207F">
        <w:t>dotac</w:t>
      </w:r>
      <w:r w:rsidR="001A61B5" w:rsidRPr="00BC207F">
        <w:t>í</w:t>
      </w:r>
      <w:r w:rsidR="00994F96" w:rsidRPr="00BC207F">
        <w:t xml:space="preserve"> v Moravskoslezském kr</w:t>
      </w:r>
      <w:r w:rsidR="009424FC" w:rsidRPr="00BC207F">
        <w:t>aji</w:t>
      </w:r>
      <w:r w:rsidR="001A2499" w:rsidRPr="00BC207F">
        <w:t xml:space="preserve"> realizovan</w:t>
      </w:r>
      <w:r w:rsidR="004B1ECC" w:rsidRPr="00BC207F">
        <w:t>é</w:t>
      </w:r>
      <w:r w:rsidR="001A61B5" w:rsidRPr="00BC207F">
        <w:t xml:space="preserve"> </w:t>
      </w:r>
      <w:r w:rsidR="00994F96" w:rsidRPr="00BC207F">
        <w:t>v rámci Operačního programu Životní</w:t>
      </w:r>
      <w:r w:rsidR="001A61B5" w:rsidRPr="00BC207F">
        <w:t xml:space="preserve"> </w:t>
      </w:r>
      <w:r w:rsidR="00A63E5D" w:rsidRPr="00BC207F">
        <w:t>prostředí</w:t>
      </w:r>
      <w:r w:rsidR="001A2499" w:rsidRPr="00BC207F">
        <w:t>, a</w:t>
      </w:r>
      <w:r w:rsidR="00847CD4" w:rsidRPr="00BC207F">
        <w:t> </w:t>
      </w:r>
      <w:r w:rsidR="001A2499" w:rsidRPr="00BC207F">
        <w:t xml:space="preserve">to </w:t>
      </w:r>
      <w:r w:rsidR="001A61B5" w:rsidRPr="00BC207F">
        <w:t xml:space="preserve">ve výši </w:t>
      </w:r>
      <w:r w:rsidR="00A63E5D" w:rsidRPr="00BC207F">
        <w:t>250.352</w:t>
      </w:r>
      <w:r w:rsidR="001A2499" w:rsidRPr="00BC207F">
        <w:t xml:space="preserve"> tis. Kč. </w:t>
      </w:r>
      <w:r w:rsidR="00994F96" w:rsidRPr="00BC207F">
        <w:t>Je</w:t>
      </w:r>
      <w:r w:rsidR="001A61B5" w:rsidRPr="00BC207F">
        <w:t>jich</w:t>
      </w:r>
      <w:r w:rsidR="00994F96" w:rsidRPr="00BC207F">
        <w:t xml:space="preserve"> cílem </w:t>
      </w:r>
      <w:r w:rsidR="00167F76" w:rsidRPr="00BC207F">
        <w:t xml:space="preserve">je </w:t>
      </w:r>
      <w:r w:rsidR="00994F96" w:rsidRPr="00BC207F">
        <w:t>spolufinancování výměny zdroje tepla pro</w:t>
      </w:r>
      <w:r w:rsidR="00847CD4" w:rsidRPr="00BC207F">
        <w:t> </w:t>
      </w:r>
      <w:r w:rsidR="00994F96" w:rsidRPr="00BC207F">
        <w:t xml:space="preserve">rodinné </w:t>
      </w:r>
      <w:r w:rsidR="000747E0" w:rsidRPr="00BC207F">
        <w:t xml:space="preserve">domy </w:t>
      </w:r>
      <w:r w:rsidR="00994F96" w:rsidRPr="00BC207F">
        <w:t>v kraji ze</w:t>
      </w:r>
      <w:r w:rsidR="00847CD4" w:rsidRPr="00BC207F">
        <w:t> </w:t>
      </w:r>
      <w:r w:rsidR="00994F96" w:rsidRPr="00BC207F">
        <w:t>stávajícího kotle na</w:t>
      </w:r>
      <w:r w:rsidR="00847CD4" w:rsidRPr="00BC207F">
        <w:t> </w:t>
      </w:r>
      <w:r w:rsidR="00994F96" w:rsidRPr="00BC207F">
        <w:t>pevná paliva s ručním přikládáním za</w:t>
      </w:r>
      <w:r w:rsidR="00835D74" w:rsidRPr="00BC207F">
        <w:t> </w:t>
      </w:r>
      <w:r w:rsidR="00994F96" w:rsidRPr="00BC207F">
        <w:t>ekologický zdroj tepla.</w:t>
      </w:r>
    </w:p>
    <w:p w14:paraId="3CAC83F9" w14:textId="001FAFA2" w:rsidR="002005A5" w:rsidRPr="00BC207F" w:rsidRDefault="00C435B8" w:rsidP="00CE0C49">
      <w:pPr>
        <w:pStyle w:val="Styltab"/>
      </w:pPr>
      <w:r w:rsidRPr="00BC207F">
        <w:t>Výdaje v odvětví životního prostředí v členění dle účelu</w:t>
      </w:r>
      <w:r w:rsidR="00837113" w:rsidRPr="00BC207F">
        <w:tab/>
      </w:r>
      <w:r w:rsidRPr="00BC207F">
        <w:t>v tis. Kč</w:t>
      </w:r>
      <w:bookmarkStart w:id="360" w:name="_MON_1682602567"/>
      <w:bookmarkEnd w:id="360"/>
      <w:r w:rsidR="00AF2911" w:rsidRPr="00BC207F">
        <w:object w:dxaOrig="9315" w:dyaOrig="2082" w14:anchorId="414FCC03">
          <v:shape id="_x0000_i1073" type="#_x0000_t75" style="width:461.2pt;height:107.3pt" o:ole="">
            <v:imagedata r:id="rId104" o:title=""/>
          </v:shape>
          <o:OLEObject Type="Embed" ProgID="Excel.Sheet.8" ShapeID="_x0000_i1073" DrawAspect="Content" ObjectID="_1714980734" r:id="rId105"/>
        </w:object>
      </w:r>
    </w:p>
    <w:p w14:paraId="7F26B89B" w14:textId="77777777" w:rsidR="00F940AF" w:rsidRPr="00BC207F" w:rsidRDefault="00F940AF" w:rsidP="00F940AF"/>
    <w:p w14:paraId="1E0E5B3D" w14:textId="63131836" w:rsidR="00E757A8" w:rsidRDefault="00210593" w:rsidP="00CE0C49">
      <w:pPr>
        <w:pStyle w:val="Styltab"/>
      </w:pPr>
      <w:bookmarkStart w:id="361" w:name="_MON_1476602311"/>
      <w:bookmarkStart w:id="362" w:name="_MON_1477204641"/>
      <w:bookmarkStart w:id="363" w:name="_MON_1489919257"/>
      <w:bookmarkStart w:id="364" w:name="_MON_1490173437"/>
      <w:bookmarkEnd w:id="361"/>
      <w:bookmarkEnd w:id="362"/>
      <w:bookmarkEnd w:id="363"/>
      <w:bookmarkEnd w:id="364"/>
      <w:r w:rsidRPr="00E107E5">
        <w:lastRenderedPageBreak/>
        <w:t>Výdaje v</w:t>
      </w:r>
      <w:r w:rsidR="00CF18D3" w:rsidRPr="00E107E5">
        <w:t> </w:t>
      </w:r>
      <w:r w:rsidRPr="00E107E5">
        <w:t>odvětví životního prostředí na</w:t>
      </w:r>
      <w:r w:rsidR="00CF18D3" w:rsidRPr="00E107E5">
        <w:t> </w:t>
      </w:r>
      <w:r w:rsidRPr="00E107E5">
        <w:t>samosprávné a jiné činnosti zajišťované prostřednictvím krajského úřadu</w:t>
      </w:r>
      <w:r w:rsidR="00A70929" w:rsidRPr="00E107E5">
        <w:tab/>
      </w:r>
      <w:r w:rsidRPr="00E107E5">
        <w:t>v tis. Kč</w:t>
      </w:r>
      <w:bookmarkStart w:id="365" w:name="_MON_1500287680"/>
      <w:bookmarkEnd w:id="365"/>
      <w:r w:rsidR="00AF2911" w:rsidRPr="00E107E5">
        <w:object w:dxaOrig="9759" w:dyaOrig="9650" w14:anchorId="586AA6C8">
          <v:shape id="_x0000_i1074" type="#_x0000_t75" style="width:462.55pt;height:487pt" o:ole="">
            <v:imagedata r:id="rId106" o:title=""/>
          </v:shape>
          <o:OLEObject Type="Embed" ProgID="Excel.Sheet.8" ShapeID="_x0000_i1074" DrawAspect="Content" ObjectID="_1714980735" r:id="rId107"/>
        </w:object>
      </w:r>
    </w:p>
    <w:p w14:paraId="6E94C82D" w14:textId="773266C4" w:rsidR="00443B00" w:rsidRDefault="00443B00" w:rsidP="00443B00"/>
    <w:p w14:paraId="2C77F05F" w14:textId="2C626FA0" w:rsidR="00443B00" w:rsidRPr="00E107E5" w:rsidRDefault="00A163F9" w:rsidP="00443B00">
      <w:pPr>
        <w:pStyle w:val="Styltab"/>
      </w:pPr>
      <w:r w:rsidRPr="00E107E5">
        <w:t>Příspěvek na provoz příspěvkovým organizacím kraje</w:t>
      </w:r>
      <w:r w:rsidR="00443B00" w:rsidRPr="00E107E5">
        <w:tab/>
        <w:t>v tis. Kč</w:t>
      </w:r>
      <w:bookmarkStart w:id="366" w:name="_MON_1714037861"/>
      <w:bookmarkEnd w:id="366"/>
      <w:r w:rsidRPr="00E107E5">
        <w:object w:dxaOrig="9677" w:dyaOrig="1035" w14:anchorId="45A38025">
          <v:shape id="_x0000_i1075" type="#_x0000_t75" style="width:461.9pt;height:49.6pt" o:ole="">
            <v:imagedata r:id="rId108" o:title=""/>
          </v:shape>
          <o:OLEObject Type="Embed" ProgID="Excel.Sheet.8" ShapeID="_x0000_i1075" DrawAspect="Content" ObjectID="_1714980736" r:id="rId109"/>
        </w:object>
      </w:r>
    </w:p>
    <w:p w14:paraId="586AA65F" w14:textId="3A3EED57" w:rsidR="00827B83" w:rsidRPr="00BA597B" w:rsidRDefault="00827B83" w:rsidP="00827B83">
      <w:pPr>
        <w:pStyle w:val="Odstavecseseznamem"/>
        <w:numPr>
          <w:ilvl w:val="0"/>
          <w:numId w:val="37"/>
        </w:numPr>
        <w:spacing w:before="400" w:after="240"/>
        <w:ind w:left="284" w:hanging="284"/>
        <w:rPr>
          <w:b/>
          <w:sz w:val="24"/>
        </w:rPr>
      </w:pPr>
      <w:r w:rsidRPr="00BA597B">
        <w:rPr>
          <w:b/>
          <w:sz w:val="24"/>
        </w:rPr>
        <w:t>Přehled financování dotačních programů k </w:t>
      </w:r>
      <w:r w:rsidR="0073096F" w:rsidRPr="00BA597B">
        <w:rPr>
          <w:b/>
          <w:sz w:val="24"/>
        </w:rPr>
        <w:t>30. 4. 2022</w:t>
      </w:r>
    </w:p>
    <w:p w14:paraId="586AA660" w14:textId="0F3FECEC" w:rsidR="00E9358D" w:rsidRPr="00C0281C" w:rsidRDefault="00014B18" w:rsidP="00B87AD6">
      <w:pPr>
        <w:rPr>
          <w:rFonts w:cs="Tahoma"/>
          <w:szCs w:val="20"/>
        </w:rPr>
      </w:pPr>
      <w:r w:rsidRPr="00C0281C">
        <w:rPr>
          <w:rFonts w:cs="Tahoma"/>
          <w:szCs w:val="20"/>
        </w:rPr>
        <w:t xml:space="preserve">V roce </w:t>
      </w:r>
      <w:r w:rsidR="00FA5CE7" w:rsidRPr="00C0281C">
        <w:rPr>
          <w:rFonts w:cs="Tahoma"/>
          <w:szCs w:val="20"/>
        </w:rPr>
        <w:t>20</w:t>
      </w:r>
      <w:r w:rsidR="00B87A13" w:rsidRPr="00C0281C">
        <w:rPr>
          <w:rFonts w:cs="Tahoma"/>
          <w:szCs w:val="20"/>
        </w:rPr>
        <w:t>2</w:t>
      </w:r>
      <w:r w:rsidR="00BA597B" w:rsidRPr="00C0281C">
        <w:rPr>
          <w:rFonts w:cs="Tahoma"/>
          <w:szCs w:val="20"/>
        </w:rPr>
        <w:t>2</w:t>
      </w:r>
      <w:r w:rsidRPr="00C0281C">
        <w:rPr>
          <w:rFonts w:cs="Tahoma"/>
          <w:szCs w:val="20"/>
        </w:rPr>
        <w:t xml:space="preserve"> bylo ve</w:t>
      </w:r>
      <w:r w:rsidR="00B26946" w:rsidRPr="00C0281C">
        <w:rPr>
          <w:rFonts w:cs="Tahoma"/>
          <w:szCs w:val="20"/>
        </w:rPr>
        <w:t> </w:t>
      </w:r>
      <w:r w:rsidRPr="00C0281C">
        <w:rPr>
          <w:rFonts w:cs="Tahoma"/>
          <w:szCs w:val="20"/>
        </w:rPr>
        <w:t>schváleném rozpočtu kraje vyčleněno na</w:t>
      </w:r>
      <w:r w:rsidR="00B26946" w:rsidRPr="00C0281C">
        <w:rPr>
          <w:rFonts w:cs="Tahoma"/>
          <w:szCs w:val="20"/>
        </w:rPr>
        <w:t> </w:t>
      </w:r>
      <w:r w:rsidRPr="00C0281C">
        <w:rPr>
          <w:rFonts w:cs="Tahoma"/>
          <w:szCs w:val="20"/>
        </w:rPr>
        <w:t xml:space="preserve">financování dotačních programů celkem </w:t>
      </w:r>
      <w:r w:rsidR="00BA597B" w:rsidRPr="00C0281C">
        <w:rPr>
          <w:rFonts w:cs="Tahoma"/>
          <w:szCs w:val="20"/>
        </w:rPr>
        <w:t>639.895</w:t>
      </w:r>
      <w:r w:rsidRPr="00C0281C">
        <w:rPr>
          <w:rFonts w:cs="Tahoma"/>
          <w:szCs w:val="20"/>
        </w:rPr>
        <w:t> tis. Kč. Za</w:t>
      </w:r>
      <w:r w:rsidR="00B80487" w:rsidRPr="00C0281C">
        <w:rPr>
          <w:rFonts w:cs="Tahoma"/>
          <w:szCs w:val="20"/>
        </w:rPr>
        <w:t> </w:t>
      </w:r>
      <w:r w:rsidRPr="00C0281C">
        <w:rPr>
          <w:rFonts w:cs="Tahoma"/>
          <w:szCs w:val="20"/>
        </w:rPr>
        <w:t>sledované období došlo k úpravám rozpočtu, a</w:t>
      </w:r>
      <w:r w:rsidR="00B87A13" w:rsidRPr="00C0281C">
        <w:rPr>
          <w:rFonts w:cs="Tahoma"/>
          <w:szCs w:val="20"/>
        </w:rPr>
        <w:t> </w:t>
      </w:r>
      <w:r w:rsidRPr="00C0281C">
        <w:rPr>
          <w:rFonts w:cs="Tahoma"/>
          <w:szCs w:val="20"/>
        </w:rPr>
        <w:t>to</w:t>
      </w:r>
      <w:r w:rsidR="00B26946" w:rsidRPr="00C0281C">
        <w:rPr>
          <w:rFonts w:cs="Tahoma"/>
          <w:szCs w:val="20"/>
        </w:rPr>
        <w:t> </w:t>
      </w:r>
      <w:r w:rsidRPr="00C0281C">
        <w:rPr>
          <w:rFonts w:cs="Tahoma"/>
          <w:szCs w:val="20"/>
        </w:rPr>
        <w:t>nárůstu o</w:t>
      </w:r>
      <w:r w:rsidR="00B80487" w:rsidRPr="00C0281C">
        <w:rPr>
          <w:rFonts w:cs="Tahoma"/>
          <w:szCs w:val="20"/>
        </w:rPr>
        <w:t> </w:t>
      </w:r>
      <w:r w:rsidR="00BA597B" w:rsidRPr="00C0281C">
        <w:rPr>
          <w:rFonts w:cs="Tahoma"/>
          <w:szCs w:val="20"/>
        </w:rPr>
        <w:t>1.994.934</w:t>
      </w:r>
      <w:r w:rsidR="001A61B5" w:rsidRPr="00C0281C">
        <w:rPr>
          <w:rFonts w:cs="Tahoma"/>
          <w:szCs w:val="20"/>
        </w:rPr>
        <w:t> </w:t>
      </w:r>
      <w:r w:rsidRPr="00C0281C">
        <w:rPr>
          <w:rFonts w:cs="Tahoma"/>
          <w:szCs w:val="20"/>
        </w:rPr>
        <w:t>tis.</w:t>
      </w:r>
      <w:r w:rsidR="001A61B5" w:rsidRPr="00C0281C">
        <w:rPr>
          <w:rFonts w:cs="Tahoma"/>
          <w:szCs w:val="20"/>
        </w:rPr>
        <w:t> </w:t>
      </w:r>
      <w:r w:rsidRPr="00C0281C">
        <w:rPr>
          <w:rFonts w:cs="Tahoma"/>
          <w:szCs w:val="20"/>
        </w:rPr>
        <w:t xml:space="preserve">Kč. Navýšení bylo způsobeno </w:t>
      </w:r>
      <w:r w:rsidR="00F946EB" w:rsidRPr="00C0281C">
        <w:rPr>
          <w:rFonts w:cs="Tahoma"/>
          <w:szCs w:val="20"/>
        </w:rPr>
        <w:t xml:space="preserve">nejen </w:t>
      </w:r>
      <w:r w:rsidRPr="00C0281C">
        <w:rPr>
          <w:rFonts w:cs="Tahoma"/>
          <w:szCs w:val="20"/>
        </w:rPr>
        <w:t xml:space="preserve">zapojením části zůstatku finančních prostředků roku </w:t>
      </w:r>
      <w:r w:rsidR="0063417C" w:rsidRPr="00C0281C">
        <w:rPr>
          <w:rFonts w:cs="Tahoma"/>
          <w:szCs w:val="20"/>
        </w:rPr>
        <w:t>20</w:t>
      </w:r>
      <w:r w:rsidR="001E592E" w:rsidRPr="00C0281C">
        <w:rPr>
          <w:rFonts w:cs="Tahoma"/>
          <w:szCs w:val="20"/>
        </w:rPr>
        <w:t>2</w:t>
      </w:r>
      <w:r w:rsidR="00954093" w:rsidRPr="00C0281C">
        <w:rPr>
          <w:rFonts w:cs="Tahoma"/>
          <w:szCs w:val="20"/>
        </w:rPr>
        <w:t>1</w:t>
      </w:r>
      <w:r w:rsidRPr="00C0281C">
        <w:rPr>
          <w:rFonts w:cs="Tahoma"/>
          <w:szCs w:val="20"/>
        </w:rPr>
        <w:t xml:space="preserve"> do rozpočtu roku</w:t>
      </w:r>
      <w:r w:rsidR="00C47225" w:rsidRPr="00C0281C">
        <w:rPr>
          <w:rFonts w:cs="Tahoma"/>
          <w:szCs w:val="20"/>
        </w:rPr>
        <w:t> </w:t>
      </w:r>
      <w:r w:rsidR="00C22C6C" w:rsidRPr="00C0281C">
        <w:rPr>
          <w:rFonts w:cs="Tahoma"/>
          <w:szCs w:val="20"/>
        </w:rPr>
        <w:t>20</w:t>
      </w:r>
      <w:r w:rsidR="00FF5581" w:rsidRPr="00C0281C">
        <w:rPr>
          <w:rFonts w:cs="Tahoma"/>
          <w:szCs w:val="20"/>
        </w:rPr>
        <w:t>2</w:t>
      </w:r>
      <w:r w:rsidR="00954093" w:rsidRPr="00C0281C">
        <w:rPr>
          <w:rFonts w:cs="Tahoma"/>
          <w:szCs w:val="20"/>
        </w:rPr>
        <w:t>2</w:t>
      </w:r>
      <w:r w:rsidRPr="00C0281C">
        <w:rPr>
          <w:rFonts w:cs="Tahoma"/>
          <w:szCs w:val="20"/>
        </w:rPr>
        <w:t xml:space="preserve"> za</w:t>
      </w:r>
      <w:r w:rsidR="004619D8" w:rsidRPr="00C0281C">
        <w:rPr>
          <w:rFonts w:cs="Tahoma"/>
          <w:szCs w:val="20"/>
        </w:rPr>
        <w:t> </w:t>
      </w:r>
      <w:r w:rsidRPr="00C0281C">
        <w:rPr>
          <w:rFonts w:cs="Tahoma"/>
          <w:szCs w:val="20"/>
        </w:rPr>
        <w:t>účelem výplaty víceletých projektů</w:t>
      </w:r>
      <w:r w:rsidR="000E5F7D" w:rsidRPr="00C0281C">
        <w:rPr>
          <w:rFonts w:cs="Tahoma"/>
          <w:szCs w:val="20"/>
        </w:rPr>
        <w:t>, ale zejména</w:t>
      </w:r>
      <w:r w:rsidR="00E738C7" w:rsidRPr="00C0281C">
        <w:rPr>
          <w:rFonts w:cs="Tahoma"/>
          <w:szCs w:val="20"/>
        </w:rPr>
        <w:t xml:space="preserve"> přijetí</w:t>
      </w:r>
      <w:r w:rsidR="00FF5581" w:rsidRPr="00C0281C">
        <w:rPr>
          <w:rFonts w:cs="Tahoma"/>
          <w:szCs w:val="20"/>
        </w:rPr>
        <w:t>m</w:t>
      </w:r>
      <w:r w:rsidR="00E738C7" w:rsidRPr="00C0281C">
        <w:rPr>
          <w:rFonts w:cs="Tahoma"/>
          <w:szCs w:val="20"/>
        </w:rPr>
        <w:t xml:space="preserve"> dotace určené na</w:t>
      </w:r>
      <w:r w:rsidR="00C67193" w:rsidRPr="00C0281C">
        <w:rPr>
          <w:rFonts w:cs="Tahoma"/>
          <w:szCs w:val="20"/>
        </w:rPr>
        <w:t> </w:t>
      </w:r>
      <w:r w:rsidR="00E738C7" w:rsidRPr="00C0281C">
        <w:rPr>
          <w:rFonts w:cs="Tahoma"/>
          <w:szCs w:val="20"/>
        </w:rPr>
        <w:t xml:space="preserve">dotační program </w:t>
      </w:r>
      <w:r w:rsidR="00357B7B">
        <w:rPr>
          <w:rFonts w:cs="Tahoma"/>
          <w:szCs w:val="20"/>
        </w:rPr>
        <w:lastRenderedPageBreak/>
        <w:t>„</w:t>
      </w:r>
      <w:r w:rsidR="00E738C7" w:rsidRPr="00C0281C">
        <w:rPr>
          <w:rFonts w:cs="Tahoma"/>
          <w:szCs w:val="20"/>
        </w:rPr>
        <w:t>Program na</w:t>
      </w:r>
      <w:r w:rsidR="00B26946" w:rsidRPr="00C0281C">
        <w:rPr>
          <w:rFonts w:cs="Tahoma"/>
          <w:szCs w:val="20"/>
        </w:rPr>
        <w:t> </w:t>
      </w:r>
      <w:r w:rsidR="00E738C7" w:rsidRPr="00C0281C">
        <w:rPr>
          <w:rFonts w:cs="Tahoma"/>
          <w:szCs w:val="20"/>
        </w:rPr>
        <w:t>podporu poskytování sociálních služeb</w:t>
      </w:r>
      <w:r w:rsidR="00357B7B">
        <w:rPr>
          <w:rFonts w:cs="Tahoma"/>
          <w:szCs w:val="20"/>
        </w:rPr>
        <w:t>“</w:t>
      </w:r>
      <w:r w:rsidR="00E738C7" w:rsidRPr="00C0281C">
        <w:rPr>
          <w:rFonts w:cs="Tahoma"/>
          <w:szCs w:val="20"/>
        </w:rPr>
        <w:t xml:space="preserve"> </w:t>
      </w:r>
      <w:r w:rsidR="00167F76" w:rsidRPr="00C0281C">
        <w:rPr>
          <w:rFonts w:cs="Tahoma"/>
          <w:szCs w:val="20"/>
        </w:rPr>
        <w:t>v</w:t>
      </w:r>
      <w:r w:rsidR="00C7268D" w:rsidRPr="00C0281C">
        <w:rPr>
          <w:rFonts w:cs="Tahoma"/>
          <w:szCs w:val="20"/>
        </w:rPr>
        <w:t> celkovém objemu</w:t>
      </w:r>
      <w:r w:rsidR="00167F76" w:rsidRPr="00C0281C">
        <w:rPr>
          <w:rFonts w:cs="Tahoma"/>
          <w:szCs w:val="20"/>
        </w:rPr>
        <w:t xml:space="preserve"> </w:t>
      </w:r>
      <w:r w:rsidR="00C0281C" w:rsidRPr="00C0281C">
        <w:rPr>
          <w:rFonts w:cs="Tahoma"/>
          <w:szCs w:val="20"/>
        </w:rPr>
        <w:t>2.314.997 </w:t>
      </w:r>
      <w:r w:rsidR="00E738C7" w:rsidRPr="00C0281C">
        <w:rPr>
          <w:rFonts w:cs="Tahoma"/>
          <w:szCs w:val="20"/>
        </w:rPr>
        <w:t>tis.</w:t>
      </w:r>
      <w:r w:rsidR="00B80487" w:rsidRPr="00C0281C">
        <w:rPr>
          <w:rFonts w:cs="Tahoma"/>
          <w:szCs w:val="20"/>
        </w:rPr>
        <w:t> </w:t>
      </w:r>
      <w:r w:rsidR="00E738C7" w:rsidRPr="00C0281C">
        <w:rPr>
          <w:rFonts w:cs="Tahoma"/>
          <w:szCs w:val="20"/>
        </w:rPr>
        <w:t>Kč poskytnuté z kapitoly Minis</w:t>
      </w:r>
      <w:r w:rsidR="00C7268D" w:rsidRPr="00C0281C">
        <w:rPr>
          <w:rFonts w:cs="Tahoma"/>
          <w:szCs w:val="20"/>
        </w:rPr>
        <w:t>terstva práce a sociálních věcí</w:t>
      </w:r>
      <w:r w:rsidR="00E9358D" w:rsidRPr="00C0281C">
        <w:rPr>
          <w:rFonts w:cs="Tahoma"/>
          <w:szCs w:val="20"/>
        </w:rPr>
        <w:t xml:space="preserve"> (</w:t>
      </w:r>
      <w:r w:rsidR="00C7268D" w:rsidRPr="00C0281C">
        <w:rPr>
          <w:rFonts w:cs="Tahoma"/>
          <w:szCs w:val="20"/>
        </w:rPr>
        <w:t xml:space="preserve">z toho </w:t>
      </w:r>
      <w:r w:rsidR="00E9358D" w:rsidRPr="00C0281C">
        <w:rPr>
          <w:rFonts w:cs="Tahoma"/>
          <w:szCs w:val="20"/>
        </w:rPr>
        <w:t>finanční</w:t>
      </w:r>
      <w:r w:rsidR="00C7268D" w:rsidRPr="00C0281C">
        <w:rPr>
          <w:rFonts w:cs="Tahoma"/>
          <w:szCs w:val="20"/>
        </w:rPr>
        <w:t xml:space="preserve"> prostředky ve</w:t>
      </w:r>
      <w:r w:rsidR="00702237" w:rsidRPr="00C0281C">
        <w:rPr>
          <w:rFonts w:cs="Tahoma"/>
          <w:szCs w:val="20"/>
        </w:rPr>
        <w:t> </w:t>
      </w:r>
      <w:r w:rsidR="00C7268D" w:rsidRPr="00C0281C">
        <w:rPr>
          <w:rFonts w:cs="Tahoma"/>
          <w:szCs w:val="20"/>
        </w:rPr>
        <w:t xml:space="preserve">výši </w:t>
      </w:r>
      <w:r w:rsidR="00C0281C" w:rsidRPr="00C0281C">
        <w:rPr>
          <w:rFonts w:cs="Tahoma"/>
          <w:szCs w:val="20"/>
        </w:rPr>
        <w:t>1.738.684</w:t>
      </w:r>
      <w:r w:rsidR="00C7268D" w:rsidRPr="00C0281C">
        <w:rPr>
          <w:rFonts w:cs="Tahoma"/>
          <w:szCs w:val="20"/>
        </w:rPr>
        <w:t> tis. Kč byly rozpočtovány v rámci dotačního programu a</w:t>
      </w:r>
      <w:r w:rsidR="00E36DC9">
        <w:rPr>
          <w:rFonts w:cs="Tahoma"/>
          <w:szCs w:val="20"/>
        </w:rPr>
        <w:t> </w:t>
      </w:r>
      <w:r w:rsidR="00C7268D" w:rsidRPr="00C0281C">
        <w:rPr>
          <w:rFonts w:cs="Tahoma"/>
          <w:szCs w:val="20"/>
        </w:rPr>
        <w:t xml:space="preserve">prostředky ve výši </w:t>
      </w:r>
      <w:r w:rsidR="00C0281C" w:rsidRPr="00C0281C">
        <w:rPr>
          <w:rFonts w:cs="Tahoma"/>
          <w:szCs w:val="20"/>
        </w:rPr>
        <w:t>576.313</w:t>
      </w:r>
      <w:r w:rsidR="00E36DC9">
        <w:rPr>
          <w:rFonts w:cs="Tahoma"/>
          <w:szCs w:val="20"/>
        </w:rPr>
        <w:t> </w:t>
      </w:r>
      <w:r w:rsidR="00C7268D" w:rsidRPr="00C0281C">
        <w:rPr>
          <w:rFonts w:cs="Tahoma"/>
          <w:szCs w:val="20"/>
        </w:rPr>
        <w:t>tis.</w:t>
      </w:r>
      <w:r w:rsidR="00E36DC9">
        <w:rPr>
          <w:rFonts w:cs="Tahoma"/>
          <w:szCs w:val="20"/>
        </w:rPr>
        <w:t> </w:t>
      </w:r>
      <w:r w:rsidR="00C7268D" w:rsidRPr="00C0281C">
        <w:rPr>
          <w:rFonts w:cs="Tahoma"/>
          <w:szCs w:val="20"/>
        </w:rPr>
        <w:t>Kč byly rozpočtovány jako příspěvek na</w:t>
      </w:r>
      <w:r w:rsidR="00E36DC9">
        <w:rPr>
          <w:rFonts w:cs="Tahoma"/>
          <w:szCs w:val="20"/>
        </w:rPr>
        <w:t> </w:t>
      </w:r>
      <w:r w:rsidR="00C7268D" w:rsidRPr="00C0281C">
        <w:rPr>
          <w:rFonts w:cs="Tahoma"/>
          <w:szCs w:val="20"/>
        </w:rPr>
        <w:t>provoz zřízeným příspěvkovým organizacím</w:t>
      </w:r>
      <w:r w:rsidR="00E9358D" w:rsidRPr="00C0281C">
        <w:rPr>
          <w:rFonts w:cs="Tahoma"/>
          <w:szCs w:val="20"/>
        </w:rPr>
        <w:t>)</w:t>
      </w:r>
      <w:r w:rsidR="00C7268D" w:rsidRPr="00C0281C">
        <w:rPr>
          <w:rFonts w:cs="Tahoma"/>
          <w:szCs w:val="20"/>
        </w:rPr>
        <w:t>.</w:t>
      </w:r>
      <w:r w:rsidRPr="00C0281C">
        <w:rPr>
          <w:rFonts w:cs="Tahoma"/>
          <w:szCs w:val="20"/>
        </w:rPr>
        <w:t xml:space="preserve"> </w:t>
      </w:r>
    </w:p>
    <w:p w14:paraId="586AA661" w14:textId="038BA155" w:rsidR="00014B18" w:rsidRPr="00BA597B" w:rsidRDefault="00014B18" w:rsidP="00B87AD6">
      <w:pPr>
        <w:rPr>
          <w:rFonts w:cs="Tahoma"/>
          <w:szCs w:val="20"/>
        </w:rPr>
      </w:pPr>
      <w:r w:rsidRPr="00BA597B">
        <w:rPr>
          <w:rFonts w:cs="Tahoma"/>
          <w:szCs w:val="20"/>
        </w:rPr>
        <w:t>K</w:t>
      </w:r>
      <w:r w:rsidR="002B1A89" w:rsidRPr="00BA597B">
        <w:rPr>
          <w:rFonts w:cs="Tahoma"/>
          <w:szCs w:val="20"/>
        </w:rPr>
        <w:t>e dni</w:t>
      </w:r>
      <w:r w:rsidRPr="00BA597B">
        <w:rPr>
          <w:rFonts w:cs="Tahoma"/>
          <w:szCs w:val="20"/>
        </w:rPr>
        <w:t> </w:t>
      </w:r>
      <w:r w:rsidR="0073096F" w:rsidRPr="00BA597B">
        <w:rPr>
          <w:rFonts w:cs="Tahoma"/>
          <w:szCs w:val="20"/>
        </w:rPr>
        <w:t>30. 4. 2022</w:t>
      </w:r>
      <w:r w:rsidRPr="00BA597B">
        <w:rPr>
          <w:rFonts w:cs="Tahoma"/>
          <w:szCs w:val="20"/>
        </w:rPr>
        <w:t xml:space="preserve"> bylo vyčerpáno </w:t>
      </w:r>
      <w:r w:rsidR="00BA597B" w:rsidRPr="00BA597B">
        <w:rPr>
          <w:rFonts w:cs="Tahoma"/>
          <w:szCs w:val="20"/>
        </w:rPr>
        <w:t>579.961</w:t>
      </w:r>
      <w:r w:rsidR="003C2EBD" w:rsidRPr="00BA597B">
        <w:rPr>
          <w:rFonts w:cs="Tahoma"/>
          <w:szCs w:val="20"/>
        </w:rPr>
        <w:t> </w:t>
      </w:r>
      <w:r w:rsidRPr="00BA597B">
        <w:rPr>
          <w:rFonts w:cs="Tahoma"/>
          <w:szCs w:val="20"/>
        </w:rPr>
        <w:t>tis.</w:t>
      </w:r>
      <w:r w:rsidR="009743C4" w:rsidRPr="00BA597B">
        <w:rPr>
          <w:rFonts w:cs="Tahoma"/>
          <w:szCs w:val="20"/>
        </w:rPr>
        <w:t> </w:t>
      </w:r>
      <w:r w:rsidRPr="00BA597B">
        <w:rPr>
          <w:rFonts w:cs="Tahoma"/>
          <w:szCs w:val="20"/>
        </w:rPr>
        <w:t xml:space="preserve">Kč. </w:t>
      </w:r>
      <w:r w:rsidR="00082557" w:rsidRPr="00BA597B">
        <w:rPr>
          <w:rFonts w:cs="Tahoma"/>
          <w:szCs w:val="20"/>
        </w:rPr>
        <w:t>Dotační programy jsou průběžně</w:t>
      </w:r>
      <w:r w:rsidRPr="00BA597B">
        <w:rPr>
          <w:rFonts w:cs="Tahoma"/>
          <w:szCs w:val="20"/>
        </w:rPr>
        <w:t xml:space="preserve"> vyhlašovány, po termínu pro</w:t>
      </w:r>
      <w:r w:rsidR="00B26946" w:rsidRPr="00BA597B">
        <w:rPr>
          <w:rFonts w:cs="Tahoma"/>
          <w:szCs w:val="20"/>
        </w:rPr>
        <w:t> </w:t>
      </w:r>
      <w:r w:rsidRPr="00BA597B">
        <w:rPr>
          <w:rFonts w:cs="Tahoma"/>
          <w:szCs w:val="20"/>
        </w:rPr>
        <w:t xml:space="preserve">předložení žádostí jsou tyto žádosti posuzovány a předkládány </w:t>
      </w:r>
      <w:r w:rsidR="007F6C19" w:rsidRPr="00BA597B">
        <w:rPr>
          <w:rFonts w:cs="Tahoma"/>
          <w:szCs w:val="20"/>
        </w:rPr>
        <w:t xml:space="preserve">ke schválení </w:t>
      </w:r>
      <w:r w:rsidRPr="00BA597B">
        <w:rPr>
          <w:rFonts w:cs="Tahoma"/>
          <w:szCs w:val="20"/>
        </w:rPr>
        <w:t>zastupitelstv</w:t>
      </w:r>
      <w:r w:rsidR="007F6C19" w:rsidRPr="00BA597B">
        <w:rPr>
          <w:rFonts w:cs="Tahoma"/>
          <w:szCs w:val="20"/>
        </w:rPr>
        <w:t>u</w:t>
      </w:r>
      <w:r w:rsidRPr="00BA597B">
        <w:rPr>
          <w:rFonts w:cs="Tahoma"/>
          <w:szCs w:val="20"/>
        </w:rPr>
        <w:t xml:space="preserve"> kraje </w:t>
      </w:r>
      <w:r w:rsidR="00E67D22" w:rsidRPr="00BA597B">
        <w:rPr>
          <w:rFonts w:cs="Tahoma"/>
          <w:szCs w:val="20"/>
        </w:rPr>
        <w:t>a</w:t>
      </w:r>
      <w:r w:rsidR="00082557" w:rsidRPr="00BA597B">
        <w:rPr>
          <w:rFonts w:cs="Tahoma"/>
          <w:szCs w:val="20"/>
        </w:rPr>
        <w:t> </w:t>
      </w:r>
      <w:r w:rsidR="00E67D22" w:rsidRPr="00BA597B">
        <w:rPr>
          <w:rFonts w:cs="Tahoma"/>
          <w:szCs w:val="20"/>
        </w:rPr>
        <w:t xml:space="preserve">jejich proplácení se realizuje </w:t>
      </w:r>
      <w:r w:rsidR="000B7418" w:rsidRPr="00BA597B">
        <w:rPr>
          <w:rFonts w:cs="Tahoma"/>
          <w:szCs w:val="20"/>
        </w:rPr>
        <w:t>průběžně</w:t>
      </w:r>
      <w:r w:rsidR="00B96566" w:rsidRPr="00BA597B">
        <w:rPr>
          <w:rFonts w:cs="Tahoma"/>
          <w:szCs w:val="20"/>
        </w:rPr>
        <w:t>, zejména však v závěru roku, kdy jsou předkládána závěrečná vyúčtování.</w:t>
      </w:r>
    </w:p>
    <w:p w14:paraId="586AA662" w14:textId="5B98CBE1" w:rsidR="00BC338B" w:rsidRPr="00BA597B" w:rsidRDefault="00BC338B" w:rsidP="00B87AD6">
      <w:pPr>
        <w:rPr>
          <w:rFonts w:cs="Tahoma"/>
          <w:szCs w:val="20"/>
        </w:rPr>
      </w:pPr>
      <w:r w:rsidRPr="00BA597B">
        <w:rPr>
          <w:rFonts w:cs="Tahoma"/>
          <w:szCs w:val="20"/>
        </w:rPr>
        <w:t>V níže uvedeném přehledu a textové části této kapitoly nejsou obsaženy prostředky určené příspěvkovým organizacím kraje poskytnuté v rámci dotačních programů. Tyto finanční prostředky jsou součástí příspěvku na</w:t>
      </w:r>
      <w:r w:rsidR="00702237" w:rsidRPr="00BA597B">
        <w:rPr>
          <w:rFonts w:cs="Tahoma"/>
          <w:szCs w:val="20"/>
        </w:rPr>
        <w:t> </w:t>
      </w:r>
      <w:r w:rsidRPr="00BA597B">
        <w:rPr>
          <w:rFonts w:cs="Tahoma"/>
          <w:szCs w:val="20"/>
        </w:rPr>
        <w:t>provoz zřízeným příspěvkovým organizacím. Dále zde nejsou obsaženy prostředky určené na financování programu kotlíkových dotací</w:t>
      </w:r>
      <w:r w:rsidR="00C77CAB" w:rsidRPr="00BA597B">
        <w:rPr>
          <w:rFonts w:cs="Tahoma"/>
          <w:szCs w:val="20"/>
        </w:rPr>
        <w:t xml:space="preserve"> v odvětví životního prostředí</w:t>
      </w:r>
      <w:r w:rsidR="00074509" w:rsidRPr="00BA597B">
        <w:rPr>
          <w:rFonts w:cs="Tahoma"/>
          <w:szCs w:val="20"/>
        </w:rPr>
        <w:t xml:space="preserve"> spolufinancovaných </w:t>
      </w:r>
      <w:r w:rsidR="004A68F1" w:rsidRPr="00BA597B">
        <w:rPr>
          <w:rFonts w:cs="Tahoma"/>
          <w:szCs w:val="20"/>
        </w:rPr>
        <w:t>z</w:t>
      </w:r>
      <w:r w:rsidR="00902596" w:rsidRPr="00BA597B">
        <w:rPr>
          <w:rFonts w:cs="Tahoma"/>
          <w:szCs w:val="20"/>
        </w:rPr>
        <w:t> </w:t>
      </w:r>
      <w:r w:rsidR="004A68F1" w:rsidRPr="00BA597B">
        <w:rPr>
          <w:rFonts w:cs="Tahoma"/>
          <w:szCs w:val="20"/>
        </w:rPr>
        <w:t>prostředků</w:t>
      </w:r>
      <w:r w:rsidR="00902596" w:rsidRPr="00BA597B">
        <w:rPr>
          <w:rFonts w:cs="Tahoma"/>
          <w:szCs w:val="20"/>
        </w:rPr>
        <w:t xml:space="preserve"> evropských</w:t>
      </w:r>
      <w:r w:rsidR="00074509" w:rsidRPr="00BA597B">
        <w:rPr>
          <w:rFonts w:cs="Tahoma"/>
          <w:szCs w:val="20"/>
        </w:rPr>
        <w:t xml:space="preserve"> finančních</w:t>
      </w:r>
      <w:r w:rsidR="00902596" w:rsidRPr="00BA597B">
        <w:rPr>
          <w:rFonts w:cs="Tahoma"/>
          <w:szCs w:val="20"/>
        </w:rPr>
        <w:t xml:space="preserve"> zdrojů</w:t>
      </w:r>
      <w:r w:rsidRPr="00BA597B">
        <w:rPr>
          <w:rFonts w:cs="Tahoma"/>
          <w:szCs w:val="20"/>
        </w:rPr>
        <w:t>. Tyto údaje jsou</w:t>
      </w:r>
      <w:r w:rsidR="00C77CAB" w:rsidRPr="00BA597B">
        <w:rPr>
          <w:rFonts w:cs="Tahoma"/>
          <w:szCs w:val="20"/>
        </w:rPr>
        <w:t xml:space="preserve"> součástí </w:t>
      </w:r>
      <w:r w:rsidR="005702F7" w:rsidRPr="00BA597B">
        <w:rPr>
          <w:rFonts w:cs="Tahoma"/>
          <w:szCs w:val="20"/>
        </w:rPr>
        <w:t>přílo</w:t>
      </w:r>
      <w:r w:rsidR="0095718F" w:rsidRPr="00BA597B">
        <w:rPr>
          <w:rFonts w:cs="Tahoma"/>
          <w:szCs w:val="20"/>
        </w:rPr>
        <w:t>hy</w:t>
      </w:r>
      <w:r w:rsidR="005702F7" w:rsidRPr="00BA597B">
        <w:rPr>
          <w:rFonts w:cs="Tahoma"/>
          <w:szCs w:val="20"/>
        </w:rPr>
        <w:t xml:space="preserve"> č.</w:t>
      </w:r>
      <w:r w:rsidR="001358FD">
        <w:rPr>
          <w:rFonts w:cs="Tahoma"/>
          <w:szCs w:val="20"/>
        </w:rPr>
        <w:t> </w:t>
      </w:r>
      <w:r w:rsidR="005702F7" w:rsidRPr="00BA597B">
        <w:rPr>
          <w:rFonts w:cs="Tahoma"/>
          <w:szCs w:val="20"/>
        </w:rPr>
        <w:t>4 materiálu.</w:t>
      </w:r>
    </w:p>
    <w:p w14:paraId="586AA664" w14:textId="02E110A3" w:rsidR="00014B18" w:rsidRPr="00E107E5" w:rsidRDefault="00F060C2" w:rsidP="00CE0C49">
      <w:pPr>
        <w:pStyle w:val="Styltab"/>
      </w:pPr>
      <w:r w:rsidRPr="00E107E5">
        <w:t xml:space="preserve">Dotační programy Moravskoslezského kraje k </w:t>
      </w:r>
      <w:r w:rsidR="0073096F">
        <w:t>30. 4. 2022</w:t>
      </w:r>
      <w:r w:rsidRPr="00E107E5">
        <w:t xml:space="preserve"> - členění dle odvětví</w:t>
      </w:r>
      <w:r w:rsidRPr="00E107E5">
        <w:tab/>
        <w:t>v tis. Kč</w:t>
      </w:r>
      <w:bookmarkStart w:id="367" w:name="_MON_1490173470"/>
      <w:bookmarkStart w:id="368" w:name="_MON_1469360641"/>
      <w:bookmarkStart w:id="369" w:name="_MON_1476602379"/>
      <w:bookmarkStart w:id="370" w:name="_MON_1477199255"/>
      <w:bookmarkStart w:id="371" w:name="_MON_1477282558"/>
      <w:bookmarkEnd w:id="367"/>
      <w:bookmarkEnd w:id="368"/>
      <w:bookmarkEnd w:id="369"/>
      <w:bookmarkEnd w:id="370"/>
      <w:bookmarkEnd w:id="371"/>
      <w:bookmarkStart w:id="372" w:name="_MON_1489910509"/>
      <w:bookmarkEnd w:id="372"/>
      <w:r w:rsidR="00BA597B" w:rsidRPr="00E107E5">
        <w:object w:dxaOrig="9236" w:dyaOrig="2854" w14:anchorId="586AA6CA">
          <v:shape id="_x0000_i1076" type="#_x0000_t75" style="width:453.75pt;height:135.15pt" o:ole="">
            <v:imagedata r:id="rId110" o:title=""/>
          </v:shape>
          <o:OLEObject Type="Embed" ProgID="Excel.Sheet.8" ShapeID="_x0000_i1076" DrawAspect="Content" ObjectID="_1714980737" r:id="rId111"/>
        </w:object>
      </w:r>
    </w:p>
    <w:p w14:paraId="586AA665" w14:textId="631F1D63" w:rsidR="00014B18" w:rsidRPr="00D3076E" w:rsidRDefault="00014B18" w:rsidP="00827B83">
      <w:pPr>
        <w:pStyle w:val="Odstavecseseznamem"/>
        <w:numPr>
          <w:ilvl w:val="0"/>
          <w:numId w:val="37"/>
        </w:numPr>
        <w:spacing w:before="400" w:after="240"/>
        <w:ind w:left="284" w:hanging="284"/>
        <w:rPr>
          <w:b/>
          <w:sz w:val="24"/>
        </w:rPr>
      </w:pPr>
      <w:r w:rsidRPr="00D3076E">
        <w:rPr>
          <w:b/>
          <w:sz w:val="24"/>
        </w:rPr>
        <w:t>Přehled výdajů na</w:t>
      </w:r>
      <w:r w:rsidR="00AA0F52" w:rsidRPr="00D3076E">
        <w:rPr>
          <w:b/>
          <w:sz w:val="24"/>
        </w:rPr>
        <w:t> </w:t>
      </w:r>
      <w:r w:rsidRPr="00D3076E">
        <w:rPr>
          <w:b/>
          <w:sz w:val="24"/>
        </w:rPr>
        <w:t>reprodukci majetku kraje k </w:t>
      </w:r>
      <w:r w:rsidR="0073096F" w:rsidRPr="00D3076E">
        <w:rPr>
          <w:b/>
          <w:sz w:val="24"/>
        </w:rPr>
        <w:t>30. 4. 2022</w:t>
      </w:r>
      <w:r w:rsidRPr="00D3076E">
        <w:rPr>
          <w:b/>
          <w:sz w:val="24"/>
        </w:rPr>
        <w:t xml:space="preserve"> v členění dle odvětví</w:t>
      </w:r>
    </w:p>
    <w:p w14:paraId="586AA666" w14:textId="14707969" w:rsidR="008036FA" w:rsidRPr="00D3076E" w:rsidRDefault="00014B18" w:rsidP="00D24A5E">
      <w:r w:rsidRPr="00D3076E">
        <w:t>Schváleným rozpočtem na</w:t>
      </w:r>
      <w:r w:rsidR="0080547D" w:rsidRPr="00D3076E">
        <w:t> </w:t>
      </w:r>
      <w:r w:rsidRPr="00D3076E">
        <w:t xml:space="preserve">rok </w:t>
      </w:r>
      <w:r w:rsidR="00C22C6C" w:rsidRPr="00D3076E">
        <w:t>20</w:t>
      </w:r>
      <w:r w:rsidR="00355E41" w:rsidRPr="00D3076E">
        <w:t>2</w:t>
      </w:r>
      <w:r w:rsidR="00D3076E" w:rsidRPr="00D3076E">
        <w:t>2</w:t>
      </w:r>
      <w:r w:rsidRPr="00D3076E">
        <w:t xml:space="preserve"> byla na</w:t>
      </w:r>
      <w:r w:rsidR="009743C4" w:rsidRPr="00D3076E">
        <w:t> </w:t>
      </w:r>
      <w:r w:rsidRPr="00D3076E">
        <w:t>obnovu stávajícího a pořízení nového majetku kraje vyčleněna částka ve</w:t>
      </w:r>
      <w:r w:rsidR="00B26946" w:rsidRPr="00D3076E">
        <w:t> </w:t>
      </w:r>
      <w:r w:rsidRPr="00D3076E">
        <w:t xml:space="preserve">výši </w:t>
      </w:r>
      <w:r w:rsidR="00D3076E" w:rsidRPr="00D3076E">
        <w:t>2.293.028</w:t>
      </w:r>
      <w:r w:rsidRPr="00D3076E">
        <w:t> tis. Kč.</w:t>
      </w:r>
      <w:r w:rsidR="009743C4" w:rsidRPr="00D3076E">
        <w:t xml:space="preserve"> Upravený rozpočet k </w:t>
      </w:r>
      <w:r w:rsidR="0073096F" w:rsidRPr="00D3076E">
        <w:t>30. 4. 2022</w:t>
      </w:r>
      <w:r w:rsidR="009743C4" w:rsidRPr="00D3076E">
        <w:t xml:space="preserve"> byl ve</w:t>
      </w:r>
      <w:r w:rsidR="006E12A0" w:rsidRPr="00D3076E">
        <w:t> </w:t>
      </w:r>
      <w:r w:rsidR="009743C4" w:rsidRPr="00D3076E">
        <w:t xml:space="preserve">výši </w:t>
      </w:r>
      <w:r w:rsidR="00D3076E" w:rsidRPr="00D3076E">
        <w:t>2.934.438</w:t>
      </w:r>
      <w:r w:rsidR="008036FA" w:rsidRPr="00D3076E">
        <w:t> </w:t>
      </w:r>
      <w:r w:rsidR="009743C4" w:rsidRPr="00D3076E">
        <w:t>tis. Kč.</w:t>
      </w:r>
      <w:r w:rsidRPr="00D3076E">
        <w:t xml:space="preserve"> </w:t>
      </w:r>
    </w:p>
    <w:p w14:paraId="180A7AAF" w14:textId="043F37FE" w:rsidR="00CF714F" w:rsidRPr="00A62689" w:rsidRDefault="00042A54" w:rsidP="00042A54">
      <w:r w:rsidRPr="00D3076E">
        <w:t>Čerpání výdajů určených na</w:t>
      </w:r>
      <w:r w:rsidR="006F0AA1">
        <w:t> </w:t>
      </w:r>
      <w:r w:rsidRPr="00D3076E">
        <w:t>reprodukci majetku kraje v jednotlivých odvětvích činilo k </w:t>
      </w:r>
      <w:r w:rsidR="0073096F" w:rsidRPr="00D3076E">
        <w:t>30. 4. 2022</w:t>
      </w:r>
      <w:r w:rsidRPr="00D3076E">
        <w:t xml:space="preserve"> úhrnně </w:t>
      </w:r>
      <w:r w:rsidR="00D3076E" w:rsidRPr="00D3076E">
        <w:t>95.140</w:t>
      </w:r>
      <w:r w:rsidRPr="00D3076E">
        <w:t> tis. Kč, tj. čerpání na </w:t>
      </w:r>
      <w:r w:rsidR="00D3076E" w:rsidRPr="00D3076E">
        <w:t>3</w:t>
      </w:r>
      <w:r w:rsidRPr="00D3076E">
        <w:t xml:space="preserve"> % upraveného rozpočtu. </w:t>
      </w:r>
      <w:r w:rsidR="00FC62CB">
        <w:t>Nízké čerpání je zapříčiněno zejména prodloužením zadávacích řízení na realizaci staveb např. s ohledem na množství dotazů k zadávací dokumentaci, na potřebu doplnění nabídek ve</w:t>
      </w:r>
      <w:r w:rsidR="00FC62CB">
        <w:rPr>
          <w:b/>
          <w:bCs/>
        </w:rPr>
        <w:t> </w:t>
      </w:r>
      <w:r w:rsidR="00FC62CB">
        <w:t xml:space="preserve">vztahu k zákonu o zadávání veřejných zakázek, řešení námitek uchazečů ÚOHS, popř. opakováním veřejných zakázek z důvodu vyšší nabídkové ceny. Dalším důvodem jsou dlouhé lhůty trvání územního a stavebního řízení při zhotovování projektových </w:t>
      </w:r>
      <w:r w:rsidR="00FC62CB" w:rsidRPr="004C5BB5">
        <w:t>dokumentací a získání stavebních povolení. Průběh realizace některých staveb byl do jisté míry negativně ovlivněn i nedostatkem některých materiálů a nárůstem jejich cen.</w:t>
      </w:r>
      <w:r w:rsidR="00FC62CB">
        <w:t xml:space="preserve"> Realizace některých akcí probíhá v hlavní stavební sezóně a čerpání rozpočtu se projeví až v následujících měsících nebo až koncem roku 2022. Velká část stavebních prací týkajících se akcí v odvětví školství bude realizována během letních prázdnin a fakturace tak probíhá až v následujících měsících.</w:t>
      </w:r>
    </w:p>
    <w:p w14:paraId="1FED2DDD" w14:textId="77777777" w:rsidR="00042A54" w:rsidRPr="00E107E5" w:rsidRDefault="00042A54" w:rsidP="00D7017E">
      <w:pPr>
        <w:rPr>
          <w:color w:val="BFBFBF" w:themeColor="background1" w:themeShade="BF"/>
        </w:rPr>
      </w:pPr>
    </w:p>
    <w:p w14:paraId="586AA669" w14:textId="3D694E18" w:rsidR="00122134" w:rsidRPr="00E107E5" w:rsidRDefault="00DD1F4A" w:rsidP="00CE0C49">
      <w:pPr>
        <w:pStyle w:val="Styltab"/>
      </w:pPr>
      <w:r w:rsidRPr="00E107E5">
        <w:lastRenderedPageBreak/>
        <w:t xml:space="preserve">Reprodukce majetku kraje k </w:t>
      </w:r>
      <w:r w:rsidR="0073096F">
        <w:t>30. 4. 2022</w:t>
      </w:r>
      <w:r w:rsidRPr="00E107E5">
        <w:t xml:space="preserve"> - členění dle odvětví</w:t>
      </w:r>
      <w:r w:rsidRPr="00E107E5">
        <w:tab/>
        <w:t>v tis. Kč</w:t>
      </w:r>
      <w:bookmarkStart w:id="373" w:name="_MON_1490173522"/>
      <w:bookmarkStart w:id="374" w:name="_MON_1490521979"/>
      <w:bookmarkStart w:id="375" w:name="_MON_1477200718"/>
      <w:bookmarkEnd w:id="373"/>
      <w:bookmarkEnd w:id="374"/>
      <w:bookmarkEnd w:id="375"/>
      <w:bookmarkStart w:id="376" w:name="_MON_1476602450"/>
      <w:bookmarkEnd w:id="376"/>
      <w:r w:rsidR="000C1195" w:rsidRPr="00E107E5">
        <w:object w:dxaOrig="9426" w:dyaOrig="5083" w14:anchorId="586AA6CB">
          <v:shape id="_x0000_i1077" type="#_x0000_t75" style="width:461.9pt;height:252pt" o:ole="">
            <v:imagedata r:id="rId112" o:title=""/>
          </v:shape>
          <o:OLEObject Type="Embed" ProgID="Excel.Sheet.8" ShapeID="_x0000_i1077" DrawAspect="Content" ObjectID="_1714980738" r:id="rId113"/>
        </w:object>
      </w:r>
    </w:p>
    <w:p w14:paraId="4B9D5AB2" w14:textId="79FC2B16" w:rsidR="00864023" w:rsidRPr="006A0D20" w:rsidRDefault="0082759A" w:rsidP="00864023">
      <w:pPr>
        <w:rPr>
          <w:rFonts w:cs="Tahoma"/>
          <w:szCs w:val="20"/>
        </w:rPr>
      </w:pPr>
      <w:r w:rsidRPr="006A0D20">
        <w:rPr>
          <w:rFonts w:cs="Tahoma"/>
          <w:szCs w:val="20"/>
        </w:rPr>
        <w:t>Na reprodukci majetku kraje v rámci akcí spolufinancovaných z evropských finančních zdrojů byla ve schváleném rozpočtu na rok 202</w:t>
      </w:r>
      <w:r w:rsidR="006A0D20" w:rsidRPr="006A0D20">
        <w:rPr>
          <w:rFonts w:cs="Tahoma"/>
          <w:szCs w:val="20"/>
        </w:rPr>
        <w:t>2</w:t>
      </w:r>
      <w:r w:rsidRPr="006A0D20">
        <w:rPr>
          <w:rFonts w:cs="Tahoma"/>
          <w:szCs w:val="20"/>
        </w:rPr>
        <w:t xml:space="preserve"> vyčleněna částka ve výši </w:t>
      </w:r>
      <w:r w:rsidR="00864023">
        <w:rPr>
          <w:rFonts w:cs="Tahoma"/>
          <w:szCs w:val="20"/>
        </w:rPr>
        <w:t>648.676</w:t>
      </w:r>
      <w:r w:rsidR="00864023" w:rsidRPr="006A0D20">
        <w:rPr>
          <w:rFonts w:cs="Tahoma"/>
          <w:szCs w:val="20"/>
        </w:rPr>
        <w:t xml:space="preserve"> tis. Kč. K 30. 4. 2022 byl rozpočet upraven na výši </w:t>
      </w:r>
      <w:r w:rsidR="00864023">
        <w:rPr>
          <w:rFonts w:cs="Tahoma"/>
          <w:szCs w:val="20"/>
        </w:rPr>
        <w:t>1.618.735 </w:t>
      </w:r>
      <w:r w:rsidR="00864023" w:rsidRPr="006A0D20">
        <w:rPr>
          <w:rFonts w:cs="Tahoma"/>
          <w:szCs w:val="20"/>
        </w:rPr>
        <w:t>tis.</w:t>
      </w:r>
      <w:r w:rsidR="00864023">
        <w:rPr>
          <w:rFonts w:cs="Tahoma"/>
          <w:szCs w:val="20"/>
        </w:rPr>
        <w:t> </w:t>
      </w:r>
      <w:r w:rsidR="00864023" w:rsidRPr="006A0D20">
        <w:rPr>
          <w:rFonts w:cs="Tahoma"/>
          <w:szCs w:val="20"/>
        </w:rPr>
        <w:t>Kč, vyčerpáno bylo na</w:t>
      </w:r>
      <w:r w:rsidR="00864023">
        <w:rPr>
          <w:rFonts w:cs="Tahoma"/>
          <w:szCs w:val="20"/>
        </w:rPr>
        <w:t> </w:t>
      </w:r>
      <w:r w:rsidR="00864023" w:rsidRPr="006A0D20">
        <w:rPr>
          <w:rFonts w:cs="Tahoma"/>
          <w:szCs w:val="20"/>
        </w:rPr>
        <w:t xml:space="preserve">tyto akce </w:t>
      </w:r>
      <w:r w:rsidR="00864023">
        <w:rPr>
          <w:rFonts w:cs="Tahoma"/>
          <w:szCs w:val="20"/>
        </w:rPr>
        <w:t>98.055 </w:t>
      </w:r>
      <w:r w:rsidR="00864023" w:rsidRPr="006A0D20">
        <w:rPr>
          <w:rFonts w:cs="Tahoma"/>
          <w:szCs w:val="20"/>
        </w:rPr>
        <w:t>tis.</w:t>
      </w:r>
      <w:r w:rsidR="00864023">
        <w:rPr>
          <w:rFonts w:cs="Tahoma"/>
          <w:szCs w:val="20"/>
        </w:rPr>
        <w:t> </w:t>
      </w:r>
      <w:r w:rsidR="00864023" w:rsidRPr="006A0D20">
        <w:rPr>
          <w:rFonts w:cs="Tahoma"/>
          <w:szCs w:val="20"/>
        </w:rPr>
        <w:t xml:space="preserve">Kč, což představuje </w:t>
      </w:r>
      <w:r w:rsidR="00864023">
        <w:rPr>
          <w:rFonts w:cs="Tahoma"/>
          <w:szCs w:val="20"/>
        </w:rPr>
        <w:t>6 </w:t>
      </w:r>
      <w:r w:rsidR="00864023" w:rsidRPr="006A0D20">
        <w:rPr>
          <w:rFonts w:cs="Tahoma"/>
          <w:szCs w:val="20"/>
        </w:rPr>
        <w:t>% upraveného rozpočtu.</w:t>
      </w:r>
    </w:p>
    <w:p w14:paraId="54CF6ED1" w14:textId="6EAD37C0" w:rsidR="0082759A" w:rsidRPr="006A0D20" w:rsidRDefault="0082759A" w:rsidP="0082759A">
      <w:pPr>
        <w:rPr>
          <w:rFonts w:cs="Tahoma"/>
          <w:szCs w:val="20"/>
        </w:rPr>
      </w:pPr>
      <w:r w:rsidRPr="006A0D20">
        <w:rPr>
          <w:rFonts w:cs="Tahoma"/>
          <w:szCs w:val="20"/>
        </w:rPr>
        <w:t xml:space="preserve">Podrobný přehled akcí v oblasti reprodukce majetku kraje (vyjma reprodukce majetku kraje v rámci akcí spolufinancovaných z evropských finančních zdrojů), a to v členění na jednotlivá odvětví je uveden v příloze č. 4 materiálu. </w:t>
      </w:r>
      <w:bookmarkStart w:id="377" w:name="_Hlk80086811"/>
    </w:p>
    <w:p w14:paraId="586AA66C" w14:textId="2DE53D85" w:rsidR="00014B18" w:rsidRPr="000C38EA" w:rsidRDefault="00014B18" w:rsidP="00827B83">
      <w:pPr>
        <w:pStyle w:val="Nadpis3"/>
        <w:numPr>
          <w:ilvl w:val="0"/>
          <w:numId w:val="37"/>
        </w:numPr>
        <w:ind w:left="426" w:hanging="426"/>
      </w:pPr>
      <w:bookmarkStart w:id="378" w:name="_Hlk87886864"/>
      <w:r w:rsidRPr="000C38EA">
        <w:rPr>
          <w:sz w:val="24"/>
        </w:rPr>
        <w:t>Přehled výdajů na akce spolufi</w:t>
      </w:r>
      <w:r w:rsidR="00027099" w:rsidRPr="000C38EA">
        <w:rPr>
          <w:sz w:val="24"/>
        </w:rPr>
        <w:t>nancované z evropských zdrojů k</w:t>
      </w:r>
      <w:r w:rsidR="004365F2" w:rsidRPr="000C38EA">
        <w:rPr>
          <w:sz w:val="24"/>
        </w:rPr>
        <w:t> </w:t>
      </w:r>
      <w:r w:rsidR="0073096F" w:rsidRPr="000C38EA">
        <w:rPr>
          <w:sz w:val="24"/>
        </w:rPr>
        <w:t>30. 4. 2022</w:t>
      </w:r>
      <w:r w:rsidRPr="000C38EA">
        <w:rPr>
          <w:sz w:val="24"/>
        </w:rPr>
        <w:t xml:space="preserve"> v členění dle odvětví</w:t>
      </w:r>
    </w:p>
    <w:p w14:paraId="6289D30C" w14:textId="0BBA33F7" w:rsidR="006705A6" w:rsidRPr="00AD2854" w:rsidRDefault="0041321A" w:rsidP="006705A6">
      <w:pPr>
        <w:pStyle w:val="Zkladntext3"/>
        <w:rPr>
          <w:color w:val="auto"/>
          <w:sz w:val="20"/>
          <w:szCs w:val="20"/>
        </w:rPr>
      </w:pPr>
      <w:r w:rsidRPr="00AD2854">
        <w:rPr>
          <w:color w:val="auto"/>
          <w:sz w:val="20"/>
          <w:szCs w:val="20"/>
        </w:rPr>
        <w:t>Na akce spolufinancované z evropských zdrojů bylo pro rok 202</w:t>
      </w:r>
      <w:r w:rsidR="000C38EA" w:rsidRPr="00AD2854">
        <w:rPr>
          <w:color w:val="auto"/>
          <w:sz w:val="20"/>
          <w:szCs w:val="20"/>
        </w:rPr>
        <w:t>2</w:t>
      </w:r>
      <w:r w:rsidRPr="00AD2854">
        <w:rPr>
          <w:color w:val="auto"/>
          <w:sz w:val="20"/>
          <w:szCs w:val="20"/>
        </w:rPr>
        <w:t xml:space="preserve"> ve schváleném rozpočtu vyčleněno </w:t>
      </w:r>
      <w:r w:rsidR="000C38EA" w:rsidRPr="00AD2854">
        <w:rPr>
          <w:color w:val="auto"/>
          <w:sz w:val="20"/>
          <w:szCs w:val="20"/>
        </w:rPr>
        <w:t>1.510.400</w:t>
      </w:r>
      <w:r w:rsidRPr="00AD2854">
        <w:rPr>
          <w:color w:val="auto"/>
          <w:sz w:val="20"/>
          <w:szCs w:val="20"/>
        </w:rPr>
        <w:t xml:space="preserve"> tis. Kč, </w:t>
      </w:r>
      <w:r w:rsidR="006705A6" w:rsidRPr="00AD2854">
        <w:rPr>
          <w:color w:val="auto"/>
          <w:sz w:val="20"/>
          <w:szCs w:val="20"/>
        </w:rPr>
        <w:t>a to na realizaci 80projektů. Na začátku roku došlo zapojením části účelového zůstatku finančních prostředků rozpočtového hospodaření roku 2021 do rozpočtu 2022 ke zvýšení výdajové části rozpočtu celkem o 926.840 tis. Kč, a to hlavně k dofinancování akcí spolufinancovaných z evropských finančních zdrojů v rámci programového období 2014</w:t>
      </w:r>
      <w:r w:rsidR="00306340" w:rsidRPr="00AD2854">
        <w:rPr>
          <w:color w:val="auto"/>
          <w:sz w:val="20"/>
          <w:szCs w:val="20"/>
        </w:rPr>
        <w:t> </w:t>
      </w:r>
      <w:r w:rsidR="00306340" w:rsidRPr="00AD2854">
        <w:rPr>
          <w:color w:val="auto"/>
          <w:sz w:val="20"/>
          <w:szCs w:val="20"/>
        </w:rPr>
        <w:noBreakHyphen/>
        <w:t> </w:t>
      </w:r>
      <w:r w:rsidR="006705A6" w:rsidRPr="00AD2854">
        <w:rPr>
          <w:color w:val="auto"/>
          <w:sz w:val="20"/>
          <w:szCs w:val="20"/>
        </w:rPr>
        <w:t>2020. K navýšení výdajové části rozpočtu o částku 206.629 tis. Kč v rámci sledovaného období došlo rovněž zejména v důsledku změny v příjmech. Zejména byly zapojeny dotace poskytnuté jednotlivými řídícími orgány za účelem spolufinancování projektů z evropských zdrojů. K 30. 4. 2022 došlo ke zvýšení upraveného rozpočtu výdajů o úhrnnou částku 1.140.664 tis. Kč na základě provedených souhrnných rozpočtových úprav za období leden až</w:t>
      </w:r>
      <w:r w:rsidR="00AD2854" w:rsidRPr="00AD2854">
        <w:rPr>
          <w:color w:val="auto"/>
          <w:sz w:val="20"/>
          <w:szCs w:val="20"/>
        </w:rPr>
        <w:t> </w:t>
      </w:r>
      <w:r w:rsidR="006705A6" w:rsidRPr="00AD2854">
        <w:rPr>
          <w:color w:val="auto"/>
          <w:sz w:val="20"/>
          <w:szCs w:val="20"/>
        </w:rPr>
        <w:t>duben.</w:t>
      </w:r>
    </w:p>
    <w:p w14:paraId="586AA66E" w14:textId="2F5FB5C4" w:rsidR="0096557B" w:rsidRPr="00FC4B6E" w:rsidRDefault="0096557B" w:rsidP="0096557B">
      <w:pPr>
        <w:rPr>
          <w:rFonts w:cs="Tahoma"/>
          <w:szCs w:val="20"/>
        </w:rPr>
      </w:pPr>
      <w:r w:rsidRPr="000C38EA">
        <w:rPr>
          <w:rFonts w:cs="Tahoma"/>
          <w:szCs w:val="20"/>
        </w:rPr>
        <w:t>K </w:t>
      </w:r>
      <w:r w:rsidR="0073096F" w:rsidRPr="000C38EA">
        <w:rPr>
          <w:rFonts w:cs="Tahoma"/>
          <w:szCs w:val="20"/>
        </w:rPr>
        <w:t>30. 4. 2022</w:t>
      </w:r>
      <w:r w:rsidRPr="000C38EA">
        <w:rPr>
          <w:rFonts w:cs="Tahoma"/>
          <w:szCs w:val="20"/>
        </w:rPr>
        <w:t xml:space="preserve"> činil upravený rozpočet </w:t>
      </w:r>
      <w:r w:rsidR="000C38EA" w:rsidRPr="000C38EA">
        <w:rPr>
          <w:rFonts w:cs="Tahoma"/>
          <w:szCs w:val="20"/>
        </w:rPr>
        <w:t>2.651.064</w:t>
      </w:r>
      <w:r w:rsidRPr="000C38EA">
        <w:rPr>
          <w:rFonts w:cs="Tahoma"/>
          <w:szCs w:val="20"/>
        </w:rPr>
        <w:t xml:space="preserve"> tis. Kč, vyčerpáno bylo na tyto akce </w:t>
      </w:r>
      <w:r w:rsidR="000C38EA" w:rsidRPr="000C38EA">
        <w:rPr>
          <w:rFonts w:cs="Tahoma"/>
          <w:szCs w:val="20"/>
        </w:rPr>
        <w:t>371.097</w:t>
      </w:r>
      <w:r w:rsidRPr="000C38EA">
        <w:rPr>
          <w:rFonts w:cs="Tahoma"/>
          <w:szCs w:val="20"/>
        </w:rPr>
        <w:t xml:space="preserve"> tis. Kč, což představuje </w:t>
      </w:r>
      <w:r w:rsidR="000C38EA" w:rsidRPr="000C38EA">
        <w:rPr>
          <w:rFonts w:cs="Tahoma"/>
          <w:szCs w:val="20"/>
        </w:rPr>
        <w:t>14</w:t>
      </w:r>
      <w:r w:rsidRPr="000C38EA">
        <w:rPr>
          <w:rFonts w:cs="Tahoma"/>
          <w:szCs w:val="20"/>
        </w:rPr>
        <w:t> </w:t>
      </w:r>
      <w:r w:rsidRPr="00FC4B6E">
        <w:rPr>
          <w:rFonts w:cs="Tahoma"/>
          <w:szCs w:val="20"/>
        </w:rPr>
        <w:t>% upraveného rozpočtu.</w:t>
      </w:r>
    </w:p>
    <w:p w14:paraId="0FBF9657" w14:textId="29532E1B" w:rsidR="008E27CB" w:rsidRDefault="00DD1F4A" w:rsidP="00755B5E">
      <w:pPr>
        <w:pStyle w:val="Styltab"/>
      </w:pPr>
      <w:r w:rsidRPr="00E107E5">
        <w:lastRenderedPageBreak/>
        <w:t xml:space="preserve">Akce spolufinancované z evropských zdrojů k </w:t>
      </w:r>
      <w:r w:rsidR="0073096F">
        <w:t>30. 4. 2022</w:t>
      </w:r>
      <w:r w:rsidRPr="00E107E5">
        <w:t xml:space="preserve"> - členění dle odvětví</w:t>
      </w:r>
      <w:r w:rsidRPr="00E107E5">
        <w:tab/>
        <w:t>v tis. Kč</w:t>
      </w:r>
      <w:r w:rsidR="008E27CB" w:rsidRPr="00E107E5">
        <w:object w:dxaOrig="8972" w:dyaOrig="9351" w14:anchorId="13C84525">
          <v:shape id="_x0000_i1078" type="#_x0000_t75" style="width:455.1pt;height:473.45pt" o:ole="">
            <v:imagedata r:id="rId114" o:title=""/>
          </v:shape>
          <o:OLEObject Type="Embed" ProgID="Excel.Sheet.8" ShapeID="_x0000_i1078" DrawAspect="Content" ObjectID="_1714980739" r:id="rId115"/>
        </w:object>
      </w:r>
    </w:p>
    <w:p w14:paraId="64487C26" w14:textId="1BB5FE14" w:rsidR="006B24D6" w:rsidRPr="000C38EA" w:rsidRDefault="006B24D6" w:rsidP="006B24D6">
      <w:r w:rsidRPr="0000762B">
        <w:t>Pro</w:t>
      </w:r>
      <w:r>
        <w:t> </w:t>
      </w:r>
      <w:r w:rsidRPr="0000762B">
        <w:t>plynulé zajištění realizace projektů spolufinancovaných z</w:t>
      </w:r>
      <w:r>
        <w:t> </w:t>
      </w:r>
      <w:r w:rsidRPr="0000762B">
        <w:t xml:space="preserve">evropských finančních zdrojů schválilo zastupitelstvo kraje zahájení realizace některých projektů před vydáním rozhodnutí o poskytnutí dotace. </w:t>
      </w:r>
      <w:r w:rsidRPr="004200C9">
        <w:t>V</w:t>
      </w:r>
      <w:r>
        <w:t> </w:t>
      </w:r>
      <w:r w:rsidRPr="004200C9">
        <w:t>souvislosti s</w:t>
      </w:r>
      <w:r>
        <w:t> </w:t>
      </w:r>
      <w:r w:rsidRPr="004200C9">
        <w:t>tím zastupitelstvo kraje rozhodlo usnesením č.</w:t>
      </w:r>
      <w:r>
        <w:t> </w:t>
      </w:r>
      <w:r w:rsidRPr="004200C9">
        <w:t>2/55 ze</w:t>
      </w:r>
      <w:r>
        <w:t> </w:t>
      </w:r>
      <w:r w:rsidRPr="004200C9">
        <w:t>dne 17.</w:t>
      </w:r>
      <w:r>
        <w:t> </w:t>
      </w:r>
      <w:r w:rsidRPr="004200C9">
        <w:t>12.</w:t>
      </w:r>
      <w:r>
        <w:t> </w:t>
      </w:r>
      <w:r w:rsidRPr="004200C9">
        <w:t>2020, usnesením č</w:t>
      </w:r>
      <w:r w:rsidRPr="002C70DB">
        <w:t>. 3/188 ze</w:t>
      </w:r>
      <w:r>
        <w:t> </w:t>
      </w:r>
      <w:r w:rsidRPr="002C70DB">
        <w:t>dne 17.</w:t>
      </w:r>
      <w:r>
        <w:t> </w:t>
      </w:r>
      <w:r w:rsidRPr="002C70DB">
        <w:t>3.</w:t>
      </w:r>
      <w:r>
        <w:t> </w:t>
      </w:r>
      <w:r w:rsidRPr="002C70DB">
        <w:t>2021 a usnesením č. 4/309 ze dne 17.</w:t>
      </w:r>
      <w:r>
        <w:t> </w:t>
      </w:r>
      <w:r w:rsidRPr="002C70DB">
        <w:t>6.</w:t>
      </w:r>
      <w:r>
        <w:t> </w:t>
      </w:r>
      <w:r w:rsidRPr="002C70DB">
        <w:t>2021 o</w:t>
      </w:r>
      <w:r>
        <w:t> </w:t>
      </w:r>
      <w:r w:rsidRPr="002C70DB">
        <w:t>závazku dofinancovat celkem 5 projektů v případě nevydání rozhodnutí o poskytnutí dotace. Ke</w:t>
      </w:r>
      <w:r w:rsidR="004B7197">
        <w:t> </w:t>
      </w:r>
      <w:r w:rsidRPr="002C70DB">
        <w:t>dni zpracování materiálu bylo vydáno rozhodnutí o poskytnutí dotace u</w:t>
      </w:r>
      <w:r w:rsidR="004B7197">
        <w:t> </w:t>
      </w:r>
      <w:r w:rsidRPr="002C70DB">
        <w:t xml:space="preserve">všech projektů. </w:t>
      </w:r>
    </w:p>
    <w:p w14:paraId="3E676E22" w14:textId="5A67B009" w:rsidR="00364827" w:rsidRPr="004874C1" w:rsidRDefault="00364827" w:rsidP="00364827">
      <w:pPr>
        <w:rPr>
          <w:rFonts w:cs="Tahoma"/>
          <w:szCs w:val="20"/>
        </w:rPr>
      </w:pPr>
      <w:r w:rsidRPr="004874C1">
        <w:rPr>
          <w:rFonts w:cs="Tahoma"/>
          <w:szCs w:val="20"/>
        </w:rPr>
        <w:t xml:space="preserve">Podrobný přehled akcí spolufinancovaných z evropských finančních zdrojů za jednotlivá odvětví a jejich financování ve sledovaném období je uveden v příloze č. 5 materiálu. </w:t>
      </w:r>
    </w:p>
    <w:p w14:paraId="4F730911" w14:textId="77777777" w:rsidR="00364827" w:rsidRPr="004874C1" w:rsidRDefault="00364827" w:rsidP="005E469B">
      <w:pPr>
        <w:rPr>
          <w:rFonts w:cs="Tahoma"/>
          <w:szCs w:val="20"/>
        </w:rPr>
      </w:pPr>
    </w:p>
    <w:bookmarkEnd w:id="377"/>
    <w:p w14:paraId="586AA675" w14:textId="77777777" w:rsidR="00014B18" w:rsidRPr="000C38EA" w:rsidRDefault="00657C59" w:rsidP="003C43D7">
      <w:pPr>
        <w:pStyle w:val="xl33"/>
        <w:tabs>
          <w:tab w:val="left" w:pos="2160"/>
        </w:tabs>
        <w:spacing w:before="400" w:beforeAutospacing="0" w:after="120" w:afterAutospacing="0"/>
        <w:ind w:left="360"/>
        <w:textAlignment w:val="auto"/>
        <w:rPr>
          <w:rFonts w:cs="Tahoma"/>
          <w:bCs w:val="0"/>
          <w:sz w:val="16"/>
          <w:szCs w:val="16"/>
          <w:u w:val="single"/>
        </w:rPr>
      </w:pPr>
      <w:r w:rsidRPr="004874C1">
        <w:rPr>
          <w:rFonts w:cs="Tahoma"/>
          <w:bCs w:val="0"/>
          <w:sz w:val="16"/>
          <w:szCs w:val="16"/>
          <w:u w:val="single"/>
        </w:rPr>
        <w:br w:type="page"/>
      </w:r>
      <w:bookmarkEnd w:id="378"/>
      <w:r w:rsidR="00014B18" w:rsidRPr="000C38EA">
        <w:rPr>
          <w:rFonts w:cs="Tahoma"/>
          <w:bCs w:val="0"/>
          <w:sz w:val="16"/>
          <w:szCs w:val="16"/>
          <w:u w:val="single"/>
        </w:rPr>
        <w:lastRenderedPageBreak/>
        <w:t>Seznam použitých zkratek:</w:t>
      </w:r>
    </w:p>
    <w:p w14:paraId="586AA676" w14:textId="77777777" w:rsidR="00014B18" w:rsidRPr="000C38EA" w:rsidRDefault="00014B18" w:rsidP="00360AD3">
      <w:pPr>
        <w:pStyle w:val="xl33"/>
        <w:tabs>
          <w:tab w:val="left" w:pos="2340"/>
        </w:tabs>
        <w:spacing w:before="0" w:beforeAutospacing="0" w:after="0" w:afterAutospacing="0"/>
        <w:ind w:left="360"/>
        <w:textAlignment w:val="auto"/>
        <w:rPr>
          <w:rFonts w:cs="Tahoma"/>
          <w:b w:val="0"/>
          <w:sz w:val="18"/>
          <w:szCs w:val="18"/>
        </w:rPr>
      </w:pPr>
      <w:r w:rsidRPr="000C38EA">
        <w:rPr>
          <w:rFonts w:cs="Tahoma"/>
          <w:b w:val="0"/>
          <w:sz w:val="18"/>
          <w:szCs w:val="18"/>
        </w:rPr>
        <w:t>a.s.</w:t>
      </w:r>
      <w:r w:rsidRPr="000C38EA">
        <w:rPr>
          <w:rFonts w:cs="Tahoma"/>
          <w:b w:val="0"/>
          <w:sz w:val="18"/>
          <w:szCs w:val="18"/>
        </w:rPr>
        <w:tab/>
        <w:t>akciová společnost</w:t>
      </w:r>
    </w:p>
    <w:p w14:paraId="586AA677" w14:textId="77777777" w:rsidR="006E5C46" w:rsidRPr="000C38EA" w:rsidRDefault="006E5C46" w:rsidP="00360AD3">
      <w:pPr>
        <w:pStyle w:val="xl33"/>
        <w:tabs>
          <w:tab w:val="left" w:pos="2340"/>
        </w:tabs>
        <w:spacing w:before="0" w:beforeAutospacing="0" w:after="0" w:afterAutospacing="0"/>
        <w:ind w:left="360"/>
        <w:textAlignment w:val="auto"/>
        <w:rPr>
          <w:rFonts w:cs="Tahoma"/>
          <w:b w:val="0"/>
          <w:sz w:val="18"/>
          <w:szCs w:val="18"/>
        </w:rPr>
      </w:pPr>
      <w:r w:rsidRPr="000C38EA">
        <w:rPr>
          <w:rFonts w:cs="Tahoma"/>
          <w:b w:val="0"/>
          <w:sz w:val="18"/>
          <w:szCs w:val="18"/>
        </w:rPr>
        <w:t>ČNB</w:t>
      </w:r>
      <w:r w:rsidRPr="000C38EA">
        <w:rPr>
          <w:rFonts w:cs="Tahoma"/>
          <w:b w:val="0"/>
          <w:sz w:val="18"/>
          <w:szCs w:val="18"/>
        </w:rPr>
        <w:tab/>
        <w:t>Česká národní banka</w:t>
      </w:r>
    </w:p>
    <w:p w14:paraId="586AA678" w14:textId="77777777" w:rsidR="006E5C46" w:rsidRPr="000C38EA" w:rsidRDefault="006E5C46" w:rsidP="00360AD3">
      <w:pPr>
        <w:pStyle w:val="xl33"/>
        <w:tabs>
          <w:tab w:val="left" w:pos="2340"/>
        </w:tabs>
        <w:spacing w:before="0" w:beforeAutospacing="0" w:after="0" w:afterAutospacing="0"/>
        <w:ind w:left="360"/>
        <w:textAlignment w:val="auto"/>
        <w:rPr>
          <w:rFonts w:cs="Tahoma"/>
          <w:b w:val="0"/>
          <w:sz w:val="18"/>
          <w:szCs w:val="18"/>
        </w:rPr>
      </w:pPr>
      <w:r w:rsidRPr="000C38EA">
        <w:rPr>
          <w:rFonts w:cs="Tahoma"/>
          <w:b w:val="0"/>
          <w:sz w:val="18"/>
          <w:szCs w:val="18"/>
        </w:rPr>
        <w:t>ČS</w:t>
      </w:r>
      <w:r w:rsidRPr="000C38EA">
        <w:rPr>
          <w:rFonts w:cs="Tahoma"/>
          <w:b w:val="0"/>
          <w:sz w:val="18"/>
          <w:szCs w:val="18"/>
        </w:rPr>
        <w:tab/>
        <w:t>Česká spořitelna, a.</w:t>
      </w:r>
      <w:r w:rsidR="000E3CCB" w:rsidRPr="000C38EA">
        <w:rPr>
          <w:rFonts w:cs="Tahoma"/>
          <w:b w:val="0"/>
          <w:sz w:val="18"/>
          <w:szCs w:val="18"/>
        </w:rPr>
        <w:t> </w:t>
      </w:r>
      <w:r w:rsidRPr="000C38EA">
        <w:rPr>
          <w:rFonts w:cs="Tahoma"/>
          <w:b w:val="0"/>
          <w:sz w:val="18"/>
          <w:szCs w:val="18"/>
        </w:rPr>
        <w:t>s.</w:t>
      </w:r>
    </w:p>
    <w:p w14:paraId="586AA679" w14:textId="77777777" w:rsidR="00014B18" w:rsidRPr="000C38EA" w:rsidRDefault="00014B18" w:rsidP="00360AD3">
      <w:pPr>
        <w:pStyle w:val="xl33"/>
        <w:tabs>
          <w:tab w:val="left" w:pos="2340"/>
        </w:tabs>
        <w:spacing w:before="0" w:beforeAutospacing="0" w:after="0" w:afterAutospacing="0"/>
        <w:ind w:left="360"/>
        <w:textAlignment w:val="auto"/>
        <w:rPr>
          <w:rFonts w:cs="Tahoma"/>
          <w:b w:val="0"/>
          <w:sz w:val="18"/>
          <w:szCs w:val="18"/>
        </w:rPr>
      </w:pPr>
      <w:r w:rsidRPr="000C38EA">
        <w:rPr>
          <w:rFonts w:cs="Tahoma"/>
          <w:b w:val="0"/>
          <w:sz w:val="18"/>
          <w:szCs w:val="18"/>
        </w:rPr>
        <w:t>ČSOB</w:t>
      </w:r>
      <w:r w:rsidRPr="000C38EA">
        <w:rPr>
          <w:rFonts w:cs="Tahoma"/>
          <w:b w:val="0"/>
          <w:sz w:val="18"/>
          <w:szCs w:val="18"/>
        </w:rPr>
        <w:tab/>
        <w:t>Československá obchodní banka, a.</w:t>
      </w:r>
      <w:r w:rsidR="000E3CCB" w:rsidRPr="000C38EA">
        <w:rPr>
          <w:rFonts w:cs="Tahoma"/>
          <w:b w:val="0"/>
          <w:sz w:val="18"/>
          <w:szCs w:val="18"/>
        </w:rPr>
        <w:t> </w:t>
      </w:r>
      <w:r w:rsidRPr="000C38EA">
        <w:rPr>
          <w:rFonts w:cs="Tahoma"/>
          <w:b w:val="0"/>
          <w:sz w:val="18"/>
          <w:szCs w:val="18"/>
        </w:rPr>
        <w:t>s.</w:t>
      </w:r>
    </w:p>
    <w:p w14:paraId="586AA67A" w14:textId="77777777" w:rsidR="00014B18" w:rsidRPr="000C38EA" w:rsidRDefault="00014B18" w:rsidP="003C43D7">
      <w:pPr>
        <w:pStyle w:val="xl33"/>
        <w:tabs>
          <w:tab w:val="left" w:pos="2340"/>
        </w:tabs>
        <w:spacing w:before="0" w:beforeAutospacing="0" w:after="0" w:afterAutospacing="0"/>
        <w:ind w:left="360"/>
        <w:textAlignment w:val="auto"/>
        <w:rPr>
          <w:rFonts w:cs="Tahoma"/>
          <w:b w:val="0"/>
          <w:sz w:val="18"/>
          <w:szCs w:val="18"/>
        </w:rPr>
      </w:pPr>
      <w:r w:rsidRPr="000C38EA">
        <w:rPr>
          <w:rFonts w:cs="Tahoma"/>
          <w:b w:val="0"/>
          <w:sz w:val="18"/>
          <w:szCs w:val="18"/>
        </w:rPr>
        <w:t>DPH</w:t>
      </w:r>
      <w:r w:rsidRPr="000C38EA">
        <w:rPr>
          <w:rFonts w:cs="Tahoma"/>
          <w:b w:val="0"/>
          <w:sz w:val="18"/>
          <w:szCs w:val="18"/>
        </w:rPr>
        <w:tab/>
        <w:t>daň z přidané hodnoty</w:t>
      </w:r>
    </w:p>
    <w:p w14:paraId="586AA67B" w14:textId="77777777" w:rsidR="00014B18" w:rsidRPr="000C38EA" w:rsidRDefault="00014B18" w:rsidP="003C43D7">
      <w:pPr>
        <w:pStyle w:val="xl33"/>
        <w:tabs>
          <w:tab w:val="left" w:pos="2340"/>
        </w:tabs>
        <w:spacing w:before="0" w:beforeAutospacing="0" w:after="0" w:afterAutospacing="0"/>
        <w:ind w:left="360"/>
        <w:textAlignment w:val="auto"/>
        <w:rPr>
          <w:rFonts w:cs="Tahoma"/>
          <w:b w:val="0"/>
          <w:sz w:val="18"/>
          <w:szCs w:val="18"/>
        </w:rPr>
      </w:pPr>
      <w:r w:rsidRPr="000C38EA">
        <w:rPr>
          <w:rFonts w:cs="Tahoma"/>
          <w:b w:val="0"/>
          <w:sz w:val="18"/>
          <w:szCs w:val="18"/>
        </w:rPr>
        <w:t>EIB</w:t>
      </w:r>
      <w:r w:rsidRPr="000C38EA">
        <w:rPr>
          <w:rFonts w:cs="Tahoma"/>
          <w:b w:val="0"/>
          <w:sz w:val="18"/>
          <w:szCs w:val="18"/>
        </w:rPr>
        <w:tab/>
        <w:t>Evropská investiční banka</w:t>
      </w:r>
    </w:p>
    <w:p w14:paraId="586AA67C" w14:textId="77777777" w:rsidR="00014B18" w:rsidRPr="000C38EA" w:rsidRDefault="00014B18" w:rsidP="003C43D7">
      <w:pPr>
        <w:pStyle w:val="xl33"/>
        <w:tabs>
          <w:tab w:val="left" w:pos="2340"/>
        </w:tabs>
        <w:spacing w:before="0" w:beforeAutospacing="0" w:after="0" w:afterAutospacing="0"/>
        <w:ind w:left="360"/>
        <w:textAlignment w:val="auto"/>
        <w:rPr>
          <w:rFonts w:cs="Tahoma"/>
          <w:b w:val="0"/>
          <w:sz w:val="18"/>
          <w:szCs w:val="18"/>
        </w:rPr>
      </w:pPr>
      <w:r w:rsidRPr="000C38EA">
        <w:rPr>
          <w:rFonts w:cs="Tahoma"/>
          <w:b w:val="0"/>
          <w:sz w:val="18"/>
          <w:szCs w:val="18"/>
        </w:rPr>
        <w:t>EU</w:t>
      </w:r>
      <w:r w:rsidRPr="000C38EA">
        <w:rPr>
          <w:rFonts w:cs="Tahoma"/>
          <w:b w:val="0"/>
          <w:sz w:val="18"/>
          <w:szCs w:val="18"/>
        </w:rPr>
        <w:tab/>
        <w:t>Evropská unie</w:t>
      </w:r>
    </w:p>
    <w:p w14:paraId="586AA67D" w14:textId="77777777" w:rsidR="00014B18" w:rsidRPr="000C38EA" w:rsidRDefault="00014B18" w:rsidP="003C43D7">
      <w:pPr>
        <w:pStyle w:val="xl33"/>
        <w:tabs>
          <w:tab w:val="left" w:pos="2340"/>
        </w:tabs>
        <w:spacing w:before="0" w:beforeAutospacing="0" w:after="0" w:afterAutospacing="0"/>
        <w:ind w:left="360"/>
        <w:textAlignment w:val="auto"/>
        <w:rPr>
          <w:rFonts w:cs="Tahoma"/>
          <w:b w:val="0"/>
          <w:sz w:val="18"/>
          <w:szCs w:val="18"/>
        </w:rPr>
      </w:pPr>
      <w:r w:rsidRPr="000C38EA">
        <w:rPr>
          <w:rFonts w:cs="Tahoma"/>
          <w:b w:val="0"/>
          <w:sz w:val="18"/>
          <w:szCs w:val="18"/>
        </w:rPr>
        <w:t>HZS MSK</w:t>
      </w:r>
      <w:r w:rsidRPr="000C38EA">
        <w:rPr>
          <w:rFonts w:cs="Tahoma"/>
          <w:b w:val="0"/>
          <w:sz w:val="18"/>
          <w:szCs w:val="18"/>
        </w:rPr>
        <w:tab/>
        <w:t>Hasičský záchranný sbor Moravskoslezského kraje</w:t>
      </w:r>
    </w:p>
    <w:p w14:paraId="586AA67E" w14:textId="77777777" w:rsidR="00014B18" w:rsidRPr="000C38EA" w:rsidRDefault="00014B18" w:rsidP="003C43D7">
      <w:pPr>
        <w:pStyle w:val="xl33"/>
        <w:tabs>
          <w:tab w:val="left" w:pos="2340"/>
        </w:tabs>
        <w:spacing w:before="0" w:beforeAutospacing="0" w:after="0" w:afterAutospacing="0"/>
        <w:ind w:left="360"/>
        <w:textAlignment w:val="auto"/>
        <w:rPr>
          <w:rFonts w:cs="Tahoma"/>
          <w:b w:val="0"/>
          <w:sz w:val="18"/>
          <w:szCs w:val="18"/>
        </w:rPr>
      </w:pPr>
      <w:r w:rsidRPr="000C38EA">
        <w:rPr>
          <w:rFonts w:cs="Tahoma"/>
          <w:b w:val="0"/>
          <w:sz w:val="18"/>
          <w:szCs w:val="18"/>
        </w:rPr>
        <w:t>ICT</w:t>
      </w:r>
      <w:r w:rsidRPr="000C38EA">
        <w:rPr>
          <w:rFonts w:cs="Tahoma"/>
          <w:b w:val="0"/>
          <w:sz w:val="18"/>
          <w:szCs w:val="18"/>
        </w:rPr>
        <w:tab/>
        <w:t>informační a komunikační technologie</w:t>
      </w:r>
    </w:p>
    <w:p w14:paraId="586AA67F" w14:textId="77777777" w:rsidR="006E5C46" w:rsidRPr="000C38EA" w:rsidRDefault="006E5C46" w:rsidP="003C43D7">
      <w:pPr>
        <w:pStyle w:val="xl33"/>
        <w:tabs>
          <w:tab w:val="left" w:pos="2340"/>
        </w:tabs>
        <w:spacing w:before="0" w:beforeAutospacing="0" w:after="0" w:afterAutospacing="0"/>
        <w:ind w:left="360"/>
        <w:textAlignment w:val="auto"/>
        <w:rPr>
          <w:rFonts w:cs="Tahoma"/>
          <w:b w:val="0"/>
          <w:sz w:val="18"/>
          <w:szCs w:val="18"/>
        </w:rPr>
      </w:pPr>
      <w:r w:rsidRPr="000C38EA">
        <w:rPr>
          <w:rFonts w:cs="Tahoma"/>
          <w:b w:val="0"/>
          <w:sz w:val="18"/>
          <w:szCs w:val="18"/>
        </w:rPr>
        <w:t>JT</w:t>
      </w:r>
      <w:r w:rsidRPr="000C38EA">
        <w:rPr>
          <w:rFonts w:cs="Tahoma"/>
          <w:b w:val="0"/>
          <w:sz w:val="18"/>
          <w:szCs w:val="18"/>
        </w:rPr>
        <w:tab/>
      </w:r>
      <w:r w:rsidR="00C9721C" w:rsidRPr="000C38EA">
        <w:rPr>
          <w:rFonts w:cs="Tahoma"/>
          <w:b w:val="0"/>
          <w:sz w:val="18"/>
          <w:szCs w:val="18"/>
        </w:rPr>
        <w:t>J&amp;T Banka, a. s.</w:t>
      </w:r>
    </w:p>
    <w:p w14:paraId="586AA680" w14:textId="77777777" w:rsidR="00014B18" w:rsidRPr="000C38EA" w:rsidRDefault="00014B18" w:rsidP="003C43D7">
      <w:pPr>
        <w:pStyle w:val="xl33"/>
        <w:tabs>
          <w:tab w:val="left" w:pos="2340"/>
        </w:tabs>
        <w:spacing w:before="0" w:beforeAutospacing="0" w:after="0" w:afterAutospacing="0"/>
        <w:ind w:left="360"/>
        <w:textAlignment w:val="auto"/>
        <w:rPr>
          <w:rFonts w:cs="Tahoma"/>
          <w:b w:val="0"/>
          <w:sz w:val="18"/>
          <w:szCs w:val="18"/>
        </w:rPr>
      </w:pPr>
      <w:r w:rsidRPr="000C38EA">
        <w:rPr>
          <w:rFonts w:cs="Tahoma"/>
          <w:b w:val="0"/>
          <w:sz w:val="18"/>
          <w:szCs w:val="18"/>
        </w:rPr>
        <w:t>IZS</w:t>
      </w:r>
      <w:r w:rsidRPr="000C38EA">
        <w:rPr>
          <w:rFonts w:cs="Tahoma"/>
          <w:b w:val="0"/>
          <w:sz w:val="18"/>
          <w:szCs w:val="18"/>
        </w:rPr>
        <w:tab/>
        <w:t>Integrovaný záchranný systém</w:t>
      </w:r>
    </w:p>
    <w:p w14:paraId="586AA681" w14:textId="77777777" w:rsidR="000E3CCB" w:rsidRPr="000C38EA" w:rsidRDefault="000E3CCB" w:rsidP="003C43D7">
      <w:pPr>
        <w:pStyle w:val="xl33"/>
        <w:tabs>
          <w:tab w:val="left" w:pos="2340"/>
        </w:tabs>
        <w:spacing w:before="0" w:beforeAutospacing="0" w:after="0" w:afterAutospacing="0"/>
        <w:ind w:left="360"/>
        <w:textAlignment w:val="auto"/>
        <w:rPr>
          <w:rFonts w:cs="Tahoma"/>
          <w:b w:val="0"/>
          <w:sz w:val="18"/>
          <w:szCs w:val="18"/>
        </w:rPr>
      </w:pPr>
      <w:r w:rsidRPr="000C38EA">
        <w:rPr>
          <w:rFonts w:cs="Tahoma"/>
          <w:b w:val="0"/>
          <w:sz w:val="18"/>
          <w:szCs w:val="18"/>
        </w:rPr>
        <w:t>KB</w:t>
      </w:r>
      <w:r w:rsidRPr="000C38EA">
        <w:rPr>
          <w:rFonts w:cs="Tahoma"/>
          <w:b w:val="0"/>
          <w:sz w:val="18"/>
          <w:szCs w:val="18"/>
        </w:rPr>
        <w:tab/>
        <w:t>Komerční banka, a. s.</w:t>
      </w:r>
    </w:p>
    <w:p w14:paraId="586AA683" w14:textId="77777777" w:rsidR="00DE4129" w:rsidRPr="000C38EA" w:rsidRDefault="00DE4129" w:rsidP="003C43D7">
      <w:pPr>
        <w:pStyle w:val="xl33"/>
        <w:tabs>
          <w:tab w:val="left" w:pos="2340"/>
        </w:tabs>
        <w:spacing w:before="0" w:beforeAutospacing="0" w:after="0" w:afterAutospacing="0"/>
        <w:ind w:left="360"/>
        <w:textAlignment w:val="auto"/>
        <w:rPr>
          <w:rFonts w:cs="Tahoma"/>
          <w:b w:val="0"/>
          <w:sz w:val="18"/>
          <w:szCs w:val="18"/>
        </w:rPr>
      </w:pPr>
      <w:r w:rsidRPr="000C38EA">
        <w:rPr>
          <w:rFonts w:cs="Tahoma"/>
          <w:b w:val="0"/>
          <w:sz w:val="18"/>
          <w:szCs w:val="18"/>
        </w:rPr>
        <w:t>MONETA</w:t>
      </w:r>
      <w:r w:rsidRPr="000C38EA">
        <w:rPr>
          <w:rFonts w:cs="Tahoma"/>
          <w:b w:val="0"/>
          <w:sz w:val="18"/>
          <w:szCs w:val="18"/>
        </w:rPr>
        <w:tab/>
      </w:r>
      <w:proofErr w:type="spellStart"/>
      <w:r w:rsidRPr="000C38EA">
        <w:rPr>
          <w:rFonts w:cs="Tahoma"/>
          <w:b w:val="0"/>
          <w:sz w:val="18"/>
          <w:szCs w:val="18"/>
        </w:rPr>
        <w:t>MONETA</w:t>
      </w:r>
      <w:proofErr w:type="spellEnd"/>
      <w:r w:rsidRPr="000C38EA">
        <w:rPr>
          <w:rFonts w:cs="Tahoma"/>
          <w:b w:val="0"/>
          <w:sz w:val="18"/>
          <w:szCs w:val="18"/>
        </w:rPr>
        <w:t xml:space="preserve"> Money Bank, a. s.</w:t>
      </w:r>
    </w:p>
    <w:p w14:paraId="586AA684" w14:textId="77777777" w:rsidR="00014B18" w:rsidRPr="000C38EA" w:rsidRDefault="00014B18" w:rsidP="003C43D7">
      <w:pPr>
        <w:pStyle w:val="xl33"/>
        <w:tabs>
          <w:tab w:val="left" w:pos="2340"/>
        </w:tabs>
        <w:spacing w:before="0" w:beforeAutospacing="0" w:after="0" w:afterAutospacing="0"/>
        <w:ind w:left="360"/>
        <w:textAlignment w:val="auto"/>
        <w:rPr>
          <w:rFonts w:cs="Tahoma"/>
          <w:b w:val="0"/>
          <w:sz w:val="18"/>
          <w:szCs w:val="18"/>
        </w:rPr>
      </w:pPr>
      <w:r w:rsidRPr="000C38EA">
        <w:rPr>
          <w:rFonts w:cs="Tahoma"/>
          <w:b w:val="0"/>
          <w:sz w:val="18"/>
          <w:szCs w:val="18"/>
        </w:rPr>
        <w:t>MSK</w:t>
      </w:r>
      <w:r w:rsidRPr="000C38EA">
        <w:rPr>
          <w:rFonts w:cs="Tahoma"/>
          <w:b w:val="0"/>
          <w:sz w:val="18"/>
          <w:szCs w:val="18"/>
        </w:rPr>
        <w:tab/>
        <w:t>Moravskoslezský kraj</w:t>
      </w:r>
    </w:p>
    <w:p w14:paraId="586AA685" w14:textId="77777777" w:rsidR="00014B18" w:rsidRPr="000C38EA" w:rsidRDefault="00014B18" w:rsidP="003C43D7">
      <w:pPr>
        <w:pStyle w:val="xl33"/>
        <w:tabs>
          <w:tab w:val="left" w:pos="2340"/>
        </w:tabs>
        <w:spacing w:before="0" w:beforeAutospacing="0" w:after="0" w:afterAutospacing="0"/>
        <w:ind w:left="360"/>
        <w:textAlignment w:val="auto"/>
        <w:rPr>
          <w:rFonts w:cs="Tahoma"/>
          <w:b w:val="0"/>
          <w:sz w:val="18"/>
          <w:szCs w:val="18"/>
        </w:rPr>
      </w:pPr>
      <w:r w:rsidRPr="000C38EA">
        <w:rPr>
          <w:rFonts w:cs="Tahoma"/>
          <w:b w:val="0"/>
          <w:sz w:val="18"/>
          <w:szCs w:val="18"/>
        </w:rPr>
        <w:t>MŠMT</w:t>
      </w:r>
      <w:r w:rsidRPr="000C38EA">
        <w:rPr>
          <w:rFonts w:cs="Tahoma"/>
          <w:b w:val="0"/>
          <w:sz w:val="18"/>
          <w:szCs w:val="18"/>
        </w:rPr>
        <w:tab/>
        <w:t>Ministerstvo školství, mládeže a tělovýchovy</w:t>
      </w:r>
    </w:p>
    <w:p w14:paraId="586AA686" w14:textId="77777777" w:rsidR="00014B18" w:rsidRPr="000C38EA" w:rsidRDefault="00014B18" w:rsidP="003C43D7">
      <w:pPr>
        <w:pStyle w:val="xl33"/>
        <w:tabs>
          <w:tab w:val="left" w:pos="2340"/>
        </w:tabs>
        <w:spacing w:before="0" w:beforeAutospacing="0" w:after="0" w:afterAutospacing="0"/>
        <w:ind w:left="360"/>
        <w:textAlignment w:val="auto"/>
        <w:rPr>
          <w:rFonts w:cs="Tahoma"/>
          <w:b w:val="0"/>
          <w:sz w:val="18"/>
          <w:szCs w:val="18"/>
        </w:rPr>
      </w:pPr>
      <w:r w:rsidRPr="000C38EA">
        <w:rPr>
          <w:rFonts w:cs="Tahoma"/>
          <w:b w:val="0"/>
          <w:sz w:val="18"/>
          <w:szCs w:val="18"/>
        </w:rPr>
        <w:t>NKP</w:t>
      </w:r>
      <w:r w:rsidRPr="000C38EA">
        <w:rPr>
          <w:rFonts w:cs="Tahoma"/>
          <w:b w:val="0"/>
          <w:sz w:val="18"/>
          <w:szCs w:val="18"/>
        </w:rPr>
        <w:tab/>
        <w:t>Národní kulturní památka</w:t>
      </w:r>
    </w:p>
    <w:p w14:paraId="586AA687" w14:textId="77777777" w:rsidR="000E3CCB" w:rsidRPr="000C38EA" w:rsidRDefault="000E3CCB" w:rsidP="003C43D7">
      <w:pPr>
        <w:pStyle w:val="xl33"/>
        <w:tabs>
          <w:tab w:val="left" w:pos="2340"/>
        </w:tabs>
        <w:spacing w:before="0" w:beforeAutospacing="0" w:after="0" w:afterAutospacing="0"/>
        <w:ind w:left="360"/>
        <w:textAlignment w:val="auto"/>
        <w:rPr>
          <w:rFonts w:cs="Tahoma"/>
          <w:b w:val="0"/>
          <w:sz w:val="18"/>
          <w:szCs w:val="18"/>
        </w:rPr>
      </w:pPr>
      <w:r w:rsidRPr="000C38EA">
        <w:rPr>
          <w:rFonts w:cs="Tahoma"/>
          <w:b w:val="0"/>
          <w:sz w:val="18"/>
          <w:szCs w:val="18"/>
        </w:rPr>
        <w:t>OB</w:t>
      </w:r>
      <w:r w:rsidRPr="000C38EA">
        <w:rPr>
          <w:rFonts w:cs="Tahoma"/>
          <w:b w:val="0"/>
          <w:sz w:val="18"/>
          <w:szCs w:val="18"/>
        </w:rPr>
        <w:tab/>
      </w:r>
      <w:proofErr w:type="spellStart"/>
      <w:r w:rsidRPr="000C38EA">
        <w:rPr>
          <w:rFonts w:cs="Tahoma"/>
          <w:b w:val="0"/>
          <w:sz w:val="18"/>
          <w:szCs w:val="18"/>
        </w:rPr>
        <w:t>Oberbank</w:t>
      </w:r>
      <w:proofErr w:type="spellEnd"/>
      <w:r w:rsidRPr="000C38EA">
        <w:rPr>
          <w:rFonts w:cs="Tahoma"/>
          <w:b w:val="0"/>
          <w:sz w:val="18"/>
          <w:szCs w:val="18"/>
        </w:rPr>
        <w:t xml:space="preserve"> AG pobočka Česká republika</w:t>
      </w:r>
    </w:p>
    <w:p w14:paraId="586AA688" w14:textId="77777777" w:rsidR="00014B18" w:rsidRPr="000C38EA" w:rsidRDefault="00014B18" w:rsidP="003C43D7">
      <w:pPr>
        <w:pStyle w:val="xl33"/>
        <w:tabs>
          <w:tab w:val="left" w:pos="2340"/>
        </w:tabs>
        <w:spacing w:before="0" w:beforeAutospacing="0" w:after="0" w:afterAutospacing="0"/>
        <w:ind w:left="360"/>
        <w:textAlignment w:val="auto"/>
        <w:rPr>
          <w:rFonts w:cs="Tahoma"/>
          <w:b w:val="0"/>
          <w:sz w:val="18"/>
          <w:szCs w:val="18"/>
        </w:rPr>
      </w:pPr>
      <w:r w:rsidRPr="000C38EA">
        <w:rPr>
          <w:rFonts w:cs="Tahoma"/>
          <w:b w:val="0"/>
          <w:sz w:val="18"/>
          <w:szCs w:val="18"/>
        </w:rPr>
        <w:t>OP</w:t>
      </w:r>
      <w:r w:rsidRPr="000C38EA">
        <w:rPr>
          <w:rFonts w:cs="Tahoma"/>
          <w:b w:val="0"/>
          <w:sz w:val="18"/>
          <w:szCs w:val="18"/>
        </w:rPr>
        <w:tab/>
        <w:t>operační program</w:t>
      </w:r>
    </w:p>
    <w:p w14:paraId="586AA689" w14:textId="77777777" w:rsidR="00014B18" w:rsidRPr="000C38EA" w:rsidRDefault="00014B18" w:rsidP="003C43D7">
      <w:pPr>
        <w:pStyle w:val="xl33"/>
        <w:tabs>
          <w:tab w:val="left" w:pos="2340"/>
        </w:tabs>
        <w:spacing w:before="0" w:beforeAutospacing="0" w:after="0" w:afterAutospacing="0"/>
        <w:ind w:left="360"/>
        <w:textAlignment w:val="auto"/>
        <w:rPr>
          <w:rFonts w:cs="Tahoma"/>
          <w:b w:val="0"/>
          <w:sz w:val="18"/>
          <w:szCs w:val="18"/>
        </w:rPr>
      </w:pPr>
      <w:r w:rsidRPr="000C38EA">
        <w:rPr>
          <w:rFonts w:cs="Tahoma"/>
          <w:b w:val="0"/>
          <w:sz w:val="18"/>
          <w:szCs w:val="18"/>
        </w:rPr>
        <w:t>p. o.</w:t>
      </w:r>
      <w:r w:rsidRPr="000C38EA">
        <w:rPr>
          <w:rFonts w:cs="Tahoma"/>
          <w:b w:val="0"/>
          <w:sz w:val="18"/>
          <w:szCs w:val="18"/>
        </w:rPr>
        <w:tab/>
        <w:t>příspěvková organizace</w:t>
      </w:r>
    </w:p>
    <w:p w14:paraId="586AA68A" w14:textId="77777777" w:rsidR="000E3CCB" w:rsidRPr="000C38EA" w:rsidRDefault="000E3CCB" w:rsidP="003C43D7">
      <w:pPr>
        <w:pStyle w:val="xl33"/>
        <w:tabs>
          <w:tab w:val="left" w:pos="2340"/>
        </w:tabs>
        <w:spacing w:before="0" w:beforeAutospacing="0" w:after="0" w:afterAutospacing="0"/>
        <w:ind w:left="360"/>
        <w:textAlignment w:val="auto"/>
        <w:rPr>
          <w:rFonts w:cs="Tahoma"/>
          <w:b w:val="0"/>
          <w:sz w:val="18"/>
          <w:szCs w:val="18"/>
        </w:rPr>
      </w:pPr>
      <w:r w:rsidRPr="000C38EA">
        <w:rPr>
          <w:rFonts w:cs="Tahoma"/>
          <w:b w:val="0"/>
          <w:sz w:val="18"/>
          <w:szCs w:val="18"/>
        </w:rPr>
        <w:t>PPF</w:t>
      </w:r>
      <w:r w:rsidRPr="000C38EA">
        <w:rPr>
          <w:rFonts w:cs="Tahoma"/>
          <w:b w:val="0"/>
          <w:sz w:val="18"/>
          <w:szCs w:val="18"/>
        </w:rPr>
        <w:tab/>
      </w:r>
      <w:proofErr w:type="spellStart"/>
      <w:r w:rsidRPr="000C38EA">
        <w:rPr>
          <w:rFonts w:cs="Tahoma"/>
          <w:b w:val="0"/>
          <w:sz w:val="18"/>
          <w:szCs w:val="18"/>
        </w:rPr>
        <w:t>PPF</w:t>
      </w:r>
      <w:proofErr w:type="spellEnd"/>
      <w:r w:rsidRPr="000C38EA">
        <w:rPr>
          <w:rFonts w:cs="Tahoma"/>
          <w:b w:val="0"/>
          <w:sz w:val="18"/>
          <w:szCs w:val="18"/>
        </w:rPr>
        <w:t xml:space="preserve"> Banka, a. s.</w:t>
      </w:r>
    </w:p>
    <w:p w14:paraId="586AA68B" w14:textId="77777777" w:rsidR="008A0968" w:rsidRPr="000C38EA" w:rsidRDefault="008A0968" w:rsidP="003C43D7">
      <w:pPr>
        <w:pStyle w:val="xl33"/>
        <w:tabs>
          <w:tab w:val="left" w:pos="2340"/>
        </w:tabs>
        <w:spacing w:before="0" w:beforeAutospacing="0" w:after="0" w:afterAutospacing="0"/>
        <w:ind w:left="360"/>
        <w:textAlignment w:val="auto"/>
        <w:rPr>
          <w:rFonts w:cs="Tahoma"/>
          <w:b w:val="0"/>
          <w:sz w:val="18"/>
          <w:szCs w:val="18"/>
        </w:rPr>
      </w:pPr>
      <w:r w:rsidRPr="000C38EA">
        <w:rPr>
          <w:rFonts w:cs="Tahoma"/>
          <w:b w:val="0"/>
          <w:sz w:val="18"/>
          <w:szCs w:val="18"/>
        </w:rPr>
        <w:t>RFB</w:t>
      </w:r>
      <w:r w:rsidRPr="000C38EA">
        <w:rPr>
          <w:rFonts w:cs="Tahoma"/>
          <w:b w:val="0"/>
          <w:sz w:val="18"/>
          <w:szCs w:val="18"/>
        </w:rPr>
        <w:tab/>
        <w:t>Raiffeisenbank, a. s.</w:t>
      </w:r>
    </w:p>
    <w:p w14:paraId="586AA68C" w14:textId="3EEBAC53" w:rsidR="008A0968" w:rsidRPr="000C38EA" w:rsidRDefault="008A0968" w:rsidP="003C43D7">
      <w:pPr>
        <w:pStyle w:val="xl33"/>
        <w:tabs>
          <w:tab w:val="left" w:pos="2340"/>
        </w:tabs>
        <w:spacing w:before="0" w:beforeAutospacing="0" w:after="0" w:afterAutospacing="0"/>
        <w:ind w:left="360"/>
        <w:textAlignment w:val="auto"/>
        <w:rPr>
          <w:rFonts w:cs="Tahoma"/>
          <w:b w:val="0"/>
          <w:sz w:val="18"/>
          <w:szCs w:val="18"/>
        </w:rPr>
      </w:pPr>
      <w:r w:rsidRPr="000C38EA">
        <w:rPr>
          <w:rFonts w:cs="Tahoma"/>
          <w:b w:val="0"/>
          <w:sz w:val="18"/>
          <w:szCs w:val="18"/>
        </w:rPr>
        <w:t>SB</w:t>
      </w:r>
      <w:r w:rsidRPr="000C38EA">
        <w:rPr>
          <w:rFonts w:cs="Tahoma"/>
          <w:b w:val="0"/>
          <w:sz w:val="18"/>
          <w:szCs w:val="18"/>
        </w:rPr>
        <w:tab/>
        <w:t>S</w:t>
      </w:r>
      <w:r w:rsidR="00E720E0">
        <w:rPr>
          <w:rFonts w:cs="Tahoma"/>
          <w:b w:val="0"/>
          <w:sz w:val="18"/>
          <w:szCs w:val="18"/>
        </w:rPr>
        <w:t>b</w:t>
      </w:r>
      <w:r w:rsidRPr="000C38EA">
        <w:rPr>
          <w:rFonts w:cs="Tahoma"/>
          <w:b w:val="0"/>
          <w:sz w:val="18"/>
          <w:szCs w:val="18"/>
        </w:rPr>
        <w:t>erbank CZ, a. s.</w:t>
      </w:r>
    </w:p>
    <w:p w14:paraId="586AA68D" w14:textId="77777777" w:rsidR="00014B18" w:rsidRPr="000C38EA" w:rsidRDefault="00014B18" w:rsidP="003C43D7">
      <w:pPr>
        <w:pStyle w:val="xl33"/>
        <w:tabs>
          <w:tab w:val="left" w:pos="2340"/>
        </w:tabs>
        <w:spacing w:before="0" w:beforeAutospacing="0" w:after="0" w:afterAutospacing="0"/>
        <w:ind w:left="360"/>
        <w:textAlignment w:val="auto"/>
        <w:rPr>
          <w:rFonts w:cs="Tahoma"/>
          <w:b w:val="0"/>
          <w:sz w:val="18"/>
          <w:szCs w:val="18"/>
        </w:rPr>
      </w:pPr>
      <w:r w:rsidRPr="000C38EA">
        <w:rPr>
          <w:rFonts w:cs="Tahoma"/>
          <w:b w:val="0"/>
          <w:sz w:val="18"/>
          <w:szCs w:val="18"/>
        </w:rPr>
        <w:t>SFDI</w:t>
      </w:r>
      <w:r w:rsidRPr="000C38EA">
        <w:rPr>
          <w:rFonts w:cs="Tahoma"/>
          <w:b w:val="0"/>
          <w:sz w:val="18"/>
          <w:szCs w:val="18"/>
        </w:rPr>
        <w:tab/>
        <w:t>Státní fond dopravní infrastruktury</w:t>
      </w:r>
    </w:p>
    <w:p w14:paraId="586AA68E" w14:textId="77777777" w:rsidR="00014B18" w:rsidRPr="000C38EA" w:rsidRDefault="00014B18" w:rsidP="003C43D7">
      <w:pPr>
        <w:pStyle w:val="xl33"/>
        <w:tabs>
          <w:tab w:val="left" w:pos="2340"/>
        </w:tabs>
        <w:spacing w:before="0" w:beforeAutospacing="0" w:after="0" w:afterAutospacing="0"/>
        <w:ind w:left="360"/>
        <w:textAlignment w:val="auto"/>
        <w:rPr>
          <w:rFonts w:cs="Tahoma"/>
          <w:b w:val="0"/>
          <w:sz w:val="18"/>
          <w:szCs w:val="18"/>
        </w:rPr>
      </w:pPr>
      <w:r w:rsidRPr="000C38EA">
        <w:rPr>
          <w:rFonts w:cs="Tahoma"/>
          <w:b w:val="0"/>
          <w:sz w:val="18"/>
          <w:szCs w:val="18"/>
        </w:rPr>
        <w:t>s. p.</w:t>
      </w:r>
      <w:r w:rsidRPr="000C38EA">
        <w:rPr>
          <w:rFonts w:cs="Tahoma"/>
          <w:b w:val="0"/>
          <w:sz w:val="18"/>
          <w:szCs w:val="18"/>
        </w:rPr>
        <w:tab/>
        <w:t>státní podnik</w:t>
      </w:r>
    </w:p>
    <w:p w14:paraId="586AA68F" w14:textId="77777777" w:rsidR="00014B18" w:rsidRPr="000C38EA" w:rsidRDefault="00014B18" w:rsidP="003C43D7">
      <w:pPr>
        <w:pStyle w:val="xl33"/>
        <w:tabs>
          <w:tab w:val="left" w:pos="2340"/>
        </w:tabs>
        <w:spacing w:before="0" w:beforeAutospacing="0" w:after="0" w:afterAutospacing="0"/>
        <w:ind w:left="360"/>
        <w:textAlignment w:val="auto"/>
        <w:rPr>
          <w:rFonts w:cs="Tahoma"/>
          <w:b w:val="0"/>
          <w:sz w:val="18"/>
          <w:szCs w:val="18"/>
        </w:rPr>
      </w:pPr>
      <w:r w:rsidRPr="000C38EA">
        <w:rPr>
          <w:rFonts w:cs="Tahoma"/>
          <w:b w:val="0"/>
          <w:sz w:val="18"/>
          <w:szCs w:val="18"/>
        </w:rPr>
        <w:t>s. r. o.</w:t>
      </w:r>
      <w:r w:rsidRPr="000C38EA">
        <w:rPr>
          <w:rFonts w:cs="Tahoma"/>
          <w:b w:val="0"/>
          <w:sz w:val="18"/>
          <w:szCs w:val="18"/>
        </w:rPr>
        <w:tab/>
        <w:t>společnost s ručením omezeným</w:t>
      </w:r>
    </w:p>
    <w:p w14:paraId="586AA691" w14:textId="77777777" w:rsidR="0043656C" w:rsidRPr="000C38EA" w:rsidRDefault="0043656C" w:rsidP="003C43D7">
      <w:pPr>
        <w:pStyle w:val="xl33"/>
        <w:tabs>
          <w:tab w:val="left" w:pos="2340"/>
        </w:tabs>
        <w:spacing w:before="0" w:beforeAutospacing="0" w:after="0" w:afterAutospacing="0"/>
        <w:ind w:left="360"/>
        <w:textAlignment w:val="auto"/>
        <w:rPr>
          <w:rFonts w:cs="Tahoma"/>
          <w:b w:val="0"/>
          <w:sz w:val="18"/>
          <w:szCs w:val="18"/>
        </w:rPr>
      </w:pPr>
      <w:r w:rsidRPr="000C38EA">
        <w:rPr>
          <w:rFonts w:cs="Tahoma"/>
          <w:b w:val="0"/>
          <w:sz w:val="18"/>
          <w:szCs w:val="18"/>
        </w:rPr>
        <w:t>UCB</w:t>
      </w:r>
      <w:r w:rsidRPr="000C38EA">
        <w:rPr>
          <w:rFonts w:cs="Tahoma"/>
          <w:b w:val="0"/>
          <w:sz w:val="18"/>
          <w:szCs w:val="18"/>
        </w:rPr>
        <w:tab/>
      </w:r>
      <w:proofErr w:type="spellStart"/>
      <w:r w:rsidRPr="000C38EA">
        <w:rPr>
          <w:rFonts w:cs="Tahoma"/>
          <w:b w:val="0"/>
          <w:sz w:val="18"/>
          <w:szCs w:val="18"/>
        </w:rPr>
        <w:t>UniCredit</w:t>
      </w:r>
      <w:proofErr w:type="spellEnd"/>
      <w:r w:rsidRPr="000C38EA">
        <w:rPr>
          <w:rFonts w:cs="Tahoma"/>
          <w:b w:val="0"/>
          <w:sz w:val="18"/>
          <w:szCs w:val="18"/>
        </w:rPr>
        <w:t xml:space="preserve"> Bank Czech Republic and Slovakia, a.</w:t>
      </w:r>
      <w:r w:rsidR="000E3CCB" w:rsidRPr="000C38EA">
        <w:rPr>
          <w:rFonts w:cs="Tahoma"/>
          <w:b w:val="0"/>
          <w:sz w:val="18"/>
          <w:szCs w:val="18"/>
        </w:rPr>
        <w:t> </w:t>
      </w:r>
      <w:r w:rsidRPr="000C38EA">
        <w:rPr>
          <w:rFonts w:cs="Tahoma"/>
          <w:b w:val="0"/>
          <w:sz w:val="18"/>
          <w:szCs w:val="18"/>
        </w:rPr>
        <w:t>s.</w:t>
      </w:r>
    </w:p>
    <w:p w14:paraId="586AA693" w14:textId="02CD41C0" w:rsidR="00014B18" w:rsidRPr="000C38EA" w:rsidRDefault="00014B18" w:rsidP="003C43D7">
      <w:pPr>
        <w:pStyle w:val="xl33"/>
        <w:tabs>
          <w:tab w:val="left" w:pos="2340"/>
        </w:tabs>
        <w:spacing w:before="0" w:beforeAutospacing="0" w:after="0" w:afterAutospacing="0"/>
        <w:ind w:left="360"/>
        <w:textAlignment w:val="auto"/>
        <w:rPr>
          <w:rFonts w:cs="Tahoma"/>
          <w:b w:val="0"/>
          <w:sz w:val="18"/>
          <w:szCs w:val="18"/>
        </w:rPr>
      </w:pPr>
      <w:r w:rsidRPr="000C38EA">
        <w:rPr>
          <w:rFonts w:cs="Tahoma"/>
          <w:b w:val="0"/>
          <w:sz w:val="18"/>
          <w:szCs w:val="18"/>
        </w:rPr>
        <w:t>VŠB-TU</w:t>
      </w:r>
      <w:r w:rsidRPr="000C38EA">
        <w:rPr>
          <w:rFonts w:cs="Tahoma"/>
          <w:b w:val="0"/>
          <w:sz w:val="18"/>
          <w:szCs w:val="18"/>
        </w:rPr>
        <w:tab/>
        <w:t>Vysoká škola báňská – Technická univerzita</w:t>
      </w:r>
    </w:p>
    <w:sectPr w:rsidR="00014B18" w:rsidRPr="000C38EA" w:rsidSect="00663EF0">
      <w:footerReference w:type="default" r:id="rId116"/>
      <w:headerReference w:type="first" r:id="rId117"/>
      <w:footerReference w:type="first" r:id="rId118"/>
      <w:pgSz w:w="11906" w:h="16838" w:code="9"/>
      <w:pgMar w:top="1021" w:right="1469" w:bottom="1560" w:left="1259" w:header="454"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02F0D97" w14:textId="77777777" w:rsidR="000C60C6" w:rsidRDefault="000C60C6">
      <w:r>
        <w:separator/>
      </w:r>
    </w:p>
  </w:endnote>
  <w:endnote w:type="continuationSeparator" w:id="0">
    <w:p w14:paraId="5A6CE1FD" w14:textId="77777777" w:rsidR="000C60C6" w:rsidRDefault="000C60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imes New Roman Bold">
    <w:altName w:val="Times New Roman"/>
    <w:charset w:val="00"/>
    <w:family w:val="auto"/>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6AA6D1" w14:textId="5F7FCA69" w:rsidR="00373AF0" w:rsidRPr="00F27FC4" w:rsidRDefault="00373AF0">
    <w:pPr>
      <w:pStyle w:val="Zpat"/>
      <w:jc w:val="center"/>
      <w:rPr>
        <w:rFonts w:cs="Tahoma"/>
        <w:szCs w:val="20"/>
      </w:rPr>
    </w:pPr>
    <w:r>
      <w:rPr>
        <w:rFonts w:cs="Tahoma"/>
        <w:noProof/>
        <w:szCs w:val="20"/>
      </w:rPr>
      <mc:AlternateContent>
        <mc:Choice Requires="wps">
          <w:drawing>
            <wp:anchor distT="0" distB="0" distL="114300" distR="114300" simplePos="0" relativeHeight="251659264" behindDoc="0" locked="0" layoutInCell="0" allowOverlap="1" wp14:anchorId="5E972013" wp14:editId="2F1605CD">
              <wp:simplePos x="0" y="0"/>
              <wp:positionH relativeFrom="page">
                <wp:posOffset>0</wp:posOffset>
              </wp:positionH>
              <wp:positionV relativeFrom="page">
                <wp:posOffset>10227945</wp:posOffset>
              </wp:positionV>
              <wp:extent cx="7560310" cy="273050"/>
              <wp:effectExtent l="0" t="0" r="0" b="12700"/>
              <wp:wrapNone/>
              <wp:docPr id="1" name="MSIPCM4dbb406cb345c652324b0403" descr="{&quot;HashCode&quot;:-1685027980,&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E3A0ABD" w14:textId="49BCFF74" w:rsidR="00373AF0" w:rsidRPr="004D4EFD" w:rsidRDefault="00373AF0" w:rsidP="004D4EFD">
                          <w:pPr>
                            <w:spacing w:after="0"/>
                            <w:jc w:val="left"/>
                            <w:rPr>
                              <w:rFonts w:ascii="Calibri" w:hAnsi="Calibri" w:cs="Calibri"/>
                              <w:color w:val="000000"/>
                              <w:sz w:val="18"/>
                            </w:rPr>
                          </w:pPr>
                          <w:r w:rsidRPr="004D4EFD">
                            <w:rPr>
                              <w:rFonts w:ascii="Calibri" w:hAnsi="Calibri" w:cs="Calibri"/>
                              <w:color w:val="000000"/>
                              <w:sz w:val="18"/>
                            </w:rPr>
                            <w:t xml:space="preserve">Klasifikace informací: Neveřejné </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5E972013" id="_x0000_t202" coordsize="21600,21600" o:spt="202" path="m,l,21600r21600,l21600,xe">
              <v:stroke joinstyle="miter"/>
              <v:path gradientshapeok="t" o:connecttype="rect"/>
            </v:shapetype>
            <v:shape id="MSIPCM4dbb406cb345c652324b0403" o:spid="_x0000_s1026" type="#_x0000_t202" alt="{&quot;HashCode&quot;:-1685027980,&quot;Height&quot;:841.0,&quot;Width&quot;:595.0,&quot;Placement&quot;:&quot;Footer&quot;,&quot;Index&quot;:&quot;Primary&quot;,&quot;Section&quot;:1,&quot;Top&quot;:0.0,&quot;Left&quot;:0.0}" style="position:absolute;left:0;text-align:left;margin-left:0;margin-top:805.35pt;width:595.3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" o:allowincell="f" filled="f" stroked="f" strokeweight=".5pt">
              <v:textbox inset="20pt,0,,0">
                <w:txbxContent>
                  <w:p w14:paraId="7E3A0ABD" w14:textId="49BCFF74" w:rsidR="00373AF0" w:rsidRPr="004D4EFD" w:rsidRDefault="00373AF0" w:rsidP="004D4EFD">
                    <w:pPr>
                      <w:spacing w:after="0"/>
                      <w:jc w:val="left"/>
                      <w:rPr>
                        <w:rFonts w:ascii="Calibri" w:hAnsi="Calibri" w:cs="Calibri"/>
                        <w:color w:val="000000"/>
                        <w:sz w:val="18"/>
                      </w:rPr>
                    </w:pPr>
                    <w:r w:rsidRPr="004D4EFD">
                      <w:rPr>
                        <w:rFonts w:ascii="Calibri" w:hAnsi="Calibri" w:cs="Calibri"/>
                        <w:color w:val="000000"/>
                        <w:sz w:val="18"/>
                      </w:rPr>
                      <w:t xml:space="preserve">Klasifikace informací: Neveřejné </w:t>
                    </w:r>
                  </w:p>
                </w:txbxContent>
              </v:textbox>
              <w10:wrap anchorx="page" anchory="page"/>
            </v:shape>
          </w:pict>
        </mc:Fallback>
      </mc:AlternateContent>
    </w:r>
    <w:r w:rsidRPr="00F27FC4">
      <w:rPr>
        <w:rFonts w:cs="Tahoma"/>
        <w:szCs w:val="20"/>
      </w:rPr>
      <w:fldChar w:fldCharType="begin"/>
    </w:r>
    <w:r w:rsidRPr="00F27FC4">
      <w:rPr>
        <w:rFonts w:cs="Tahoma"/>
        <w:szCs w:val="20"/>
      </w:rPr>
      <w:instrText>PAGE   \* MERGEFORMAT</w:instrText>
    </w:r>
    <w:r w:rsidRPr="00F27FC4">
      <w:rPr>
        <w:rFonts w:cs="Tahoma"/>
        <w:szCs w:val="20"/>
      </w:rPr>
      <w:fldChar w:fldCharType="separate"/>
    </w:r>
    <w:r>
      <w:rPr>
        <w:rFonts w:cs="Tahoma"/>
        <w:noProof/>
        <w:szCs w:val="20"/>
      </w:rPr>
      <w:t>28</w:t>
    </w:r>
    <w:r w:rsidRPr="00F27FC4">
      <w:rPr>
        <w:rFonts w:cs="Tahoma"/>
        <w:szCs w:val="20"/>
      </w:rPr>
      <w:fldChar w:fldCharType="end"/>
    </w:r>
  </w:p>
  <w:p w14:paraId="586AA6D2" w14:textId="77777777" w:rsidR="00373AF0" w:rsidRDefault="00373AF0">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6AA6D4" w14:textId="240F805A" w:rsidR="00373AF0" w:rsidRPr="00120D12" w:rsidRDefault="00373AF0">
    <w:pPr>
      <w:pStyle w:val="Zpat"/>
      <w:jc w:val="center"/>
      <w:rPr>
        <w:rFonts w:cs="Tahoma"/>
        <w:szCs w:val="20"/>
      </w:rPr>
    </w:pPr>
    <w:r>
      <w:rPr>
        <w:rFonts w:cs="Tahoma"/>
        <w:noProof/>
        <w:szCs w:val="20"/>
      </w:rPr>
      <mc:AlternateContent>
        <mc:Choice Requires="wps">
          <w:drawing>
            <wp:anchor distT="0" distB="0" distL="114300" distR="114300" simplePos="0" relativeHeight="251660288" behindDoc="0" locked="0" layoutInCell="0" allowOverlap="1" wp14:anchorId="7F3656BF" wp14:editId="5A36FE4B">
              <wp:simplePos x="0" y="0"/>
              <wp:positionH relativeFrom="page">
                <wp:posOffset>0</wp:posOffset>
              </wp:positionH>
              <wp:positionV relativeFrom="page">
                <wp:posOffset>10227945</wp:posOffset>
              </wp:positionV>
              <wp:extent cx="7560310" cy="273050"/>
              <wp:effectExtent l="0" t="0" r="0" b="12700"/>
              <wp:wrapNone/>
              <wp:docPr id="3" name="MSIPCM99514a5ea6f96ce464a6da7a" descr="{&quot;HashCode&quot;:-1685027980,&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E00561F" w14:textId="0B89A03E" w:rsidR="00373AF0" w:rsidRPr="004D4EFD" w:rsidRDefault="00373AF0" w:rsidP="004D4EFD">
                          <w:pPr>
                            <w:spacing w:after="0"/>
                            <w:jc w:val="left"/>
                            <w:rPr>
                              <w:rFonts w:ascii="Calibri" w:hAnsi="Calibri" w:cs="Calibri"/>
                              <w:color w:val="000000"/>
                              <w:sz w:val="18"/>
                            </w:rPr>
                          </w:pPr>
                          <w:r w:rsidRPr="004D4EFD">
                            <w:rPr>
                              <w:rFonts w:ascii="Calibri" w:hAnsi="Calibri" w:cs="Calibri"/>
                              <w:color w:val="000000"/>
                              <w:sz w:val="18"/>
                            </w:rPr>
                            <w:t xml:space="preserve">Klasifikace informací: Neveřejné </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7F3656BF" id="_x0000_t202" coordsize="21600,21600" o:spt="202" path="m,l,21600r21600,l21600,xe">
              <v:stroke joinstyle="miter"/>
              <v:path gradientshapeok="t" o:connecttype="rect"/>
            </v:shapetype>
            <v:shape id="MSIPCM99514a5ea6f96ce464a6da7a" o:spid="_x0000_s1027" type="#_x0000_t202" alt="{&quot;HashCode&quot;:-1685027980,&quot;Height&quot;:841.0,&quot;Width&quot;:595.0,&quot;Placement&quot;:&quot;Footer&quot;,&quot;Index&quot;:&quot;FirstPage&quot;,&quot;Section&quot;:1,&quot;Top&quot;:0.0,&quot;Left&quot;:0.0}" style="position:absolute;left:0;text-align:left;margin-left:0;margin-top:805.35pt;width:595.3pt;height:21.5pt;z-index:25166028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" o:allowincell="f" filled="f" stroked="f" strokeweight=".5pt">
              <v:textbox inset="20pt,0,,0">
                <w:txbxContent>
                  <w:p w14:paraId="6E00561F" w14:textId="0B89A03E" w:rsidR="00373AF0" w:rsidRPr="004D4EFD" w:rsidRDefault="00373AF0" w:rsidP="004D4EFD">
                    <w:pPr>
                      <w:spacing w:after="0"/>
                      <w:jc w:val="left"/>
                      <w:rPr>
                        <w:rFonts w:ascii="Calibri" w:hAnsi="Calibri" w:cs="Calibri"/>
                        <w:color w:val="000000"/>
                        <w:sz w:val="18"/>
                      </w:rPr>
                    </w:pPr>
                    <w:r w:rsidRPr="004D4EFD">
                      <w:rPr>
                        <w:rFonts w:ascii="Calibri" w:hAnsi="Calibri" w:cs="Calibri"/>
                        <w:color w:val="000000"/>
                        <w:sz w:val="18"/>
                      </w:rPr>
                      <w:t xml:space="preserve">Klasifikace informací: Neveřejné </w:t>
                    </w:r>
                  </w:p>
                </w:txbxContent>
              </v:textbox>
              <w10:wrap anchorx="page" anchory="page"/>
            </v:shape>
          </w:pict>
        </mc:Fallback>
      </mc:AlternateContent>
    </w:r>
    <w:r w:rsidRPr="00120D12">
      <w:rPr>
        <w:rFonts w:cs="Tahoma"/>
        <w:szCs w:val="20"/>
      </w:rPr>
      <w:fldChar w:fldCharType="begin"/>
    </w:r>
    <w:r w:rsidRPr="00120D12">
      <w:rPr>
        <w:rFonts w:cs="Tahoma"/>
        <w:szCs w:val="20"/>
      </w:rPr>
      <w:instrText>PAGE   \* MERGEFORMAT</w:instrText>
    </w:r>
    <w:r w:rsidRPr="00120D12">
      <w:rPr>
        <w:rFonts w:cs="Tahoma"/>
        <w:szCs w:val="20"/>
      </w:rPr>
      <w:fldChar w:fldCharType="separate"/>
    </w:r>
    <w:r>
      <w:rPr>
        <w:rFonts w:cs="Tahoma"/>
        <w:noProof/>
        <w:szCs w:val="20"/>
      </w:rPr>
      <w:t>1</w:t>
    </w:r>
    <w:r w:rsidRPr="00120D12">
      <w:rPr>
        <w:rFonts w:cs="Tahoma"/>
        <w:szCs w:val="20"/>
      </w:rPr>
      <w:fldChar w:fldCharType="end"/>
    </w:r>
  </w:p>
  <w:p w14:paraId="586AA6D5" w14:textId="77777777" w:rsidR="00373AF0" w:rsidRDefault="00373AF0">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160D69A" w14:textId="77777777" w:rsidR="000C60C6" w:rsidRDefault="000C60C6">
      <w:r>
        <w:separator/>
      </w:r>
    </w:p>
  </w:footnote>
  <w:footnote w:type="continuationSeparator" w:id="0">
    <w:p w14:paraId="6CEA0778" w14:textId="77777777" w:rsidR="000C60C6" w:rsidRDefault="000C60C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6AA6D3" w14:textId="77777777" w:rsidR="00373AF0" w:rsidRDefault="00373AF0">
    <w:pPr>
      <w:pStyle w:val="Zhlav"/>
    </w:pPr>
    <w:r>
      <w:t>Příloha č. 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22C077C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CCCEE3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2760E1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27E515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F089BC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650A64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D48DDA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AB86844"/>
    <w:lvl w:ilvl="0">
      <w:start w:val="1"/>
      <w:numFmt w:val="bullet"/>
      <w:pStyle w:val="Seznamsodrkami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76ED35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BACABFA"/>
    <w:lvl w:ilvl="0">
      <w:start w:val="1"/>
      <w:numFmt w:val="bullet"/>
      <w:pStyle w:val="Seznamsodrkami"/>
      <w:lvlText w:val=""/>
      <w:lvlJc w:val="left"/>
      <w:pPr>
        <w:tabs>
          <w:tab w:val="num" w:pos="360"/>
        </w:tabs>
        <w:ind w:left="360" w:hanging="360"/>
      </w:pPr>
      <w:rPr>
        <w:rFonts w:ascii="Symbol" w:hAnsi="Symbol" w:hint="default"/>
      </w:rPr>
    </w:lvl>
  </w:abstractNum>
  <w:abstractNum w:abstractNumId="10" w15:restartNumberingAfterBreak="0">
    <w:nsid w:val="0ADE1BA7"/>
    <w:multiLevelType w:val="hybridMultilevel"/>
    <w:tmpl w:val="53C6667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23CE4A6F"/>
    <w:multiLevelType w:val="hybridMultilevel"/>
    <w:tmpl w:val="025CE930"/>
    <w:lvl w:ilvl="0" w:tplc="DB4A292C">
      <w:start w:val="1"/>
      <w:numFmt w:val="lowerLetter"/>
      <w:lvlText w:val="%1)"/>
      <w:lvlJc w:val="left"/>
      <w:pPr>
        <w:ind w:left="337" w:hanging="360"/>
      </w:pPr>
      <w:rPr>
        <w:rFonts w:hint="default"/>
      </w:rPr>
    </w:lvl>
    <w:lvl w:ilvl="1" w:tplc="04050019" w:tentative="1">
      <w:start w:val="1"/>
      <w:numFmt w:val="lowerLetter"/>
      <w:lvlText w:val="%2."/>
      <w:lvlJc w:val="left"/>
      <w:pPr>
        <w:ind w:left="1057" w:hanging="360"/>
      </w:pPr>
    </w:lvl>
    <w:lvl w:ilvl="2" w:tplc="0405001B" w:tentative="1">
      <w:start w:val="1"/>
      <w:numFmt w:val="lowerRoman"/>
      <w:lvlText w:val="%3."/>
      <w:lvlJc w:val="right"/>
      <w:pPr>
        <w:ind w:left="1777" w:hanging="180"/>
      </w:pPr>
    </w:lvl>
    <w:lvl w:ilvl="3" w:tplc="0405000F" w:tentative="1">
      <w:start w:val="1"/>
      <w:numFmt w:val="decimal"/>
      <w:lvlText w:val="%4."/>
      <w:lvlJc w:val="left"/>
      <w:pPr>
        <w:ind w:left="2497" w:hanging="360"/>
      </w:pPr>
    </w:lvl>
    <w:lvl w:ilvl="4" w:tplc="04050019" w:tentative="1">
      <w:start w:val="1"/>
      <w:numFmt w:val="lowerLetter"/>
      <w:lvlText w:val="%5."/>
      <w:lvlJc w:val="left"/>
      <w:pPr>
        <w:ind w:left="3217" w:hanging="360"/>
      </w:pPr>
    </w:lvl>
    <w:lvl w:ilvl="5" w:tplc="0405001B" w:tentative="1">
      <w:start w:val="1"/>
      <w:numFmt w:val="lowerRoman"/>
      <w:lvlText w:val="%6."/>
      <w:lvlJc w:val="right"/>
      <w:pPr>
        <w:ind w:left="3937" w:hanging="180"/>
      </w:pPr>
    </w:lvl>
    <w:lvl w:ilvl="6" w:tplc="0405000F" w:tentative="1">
      <w:start w:val="1"/>
      <w:numFmt w:val="decimal"/>
      <w:lvlText w:val="%7."/>
      <w:lvlJc w:val="left"/>
      <w:pPr>
        <w:ind w:left="4657" w:hanging="360"/>
      </w:pPr>
    </w:lvl>
    <w:lvl w:ilvl="7" w:tplc="04050019" w:tentative="1">
      <w:start w:val="1"/>
      <w:numFmt w:val="lowerLetter"/>
      <w:lvlText w:val="%8."/>
      <w:lvlJc w:val="left"/>
      <w:pPr>
        <w:ind w:left="5377" w:hanging="360"/>
      </w:pPr>
    </w:lvl>
    <w:lvl w:ilvl="8" w:tplc="0405001B" w:tentative="1">
      <w:start w:val="1"/>
      <w:numFmt w:val="lowerRoman"/>
      <w:lvlText w:val="%9."/>
      <w:lvlJc w:val="right"/>
      <w:pPr>
        <w:ind w:left="6097" w:hanging="180"/>
      </w:pPr>
    </w:lvl>
  </w:abstractNum>
  <w:abstractNum w:abstractNumId="12" w15:restartNumberingAfterBreak="0">
    <w:nsid w:val="265414E0"/>
    <w:multiLevelType w:val="hybridMultilevel"/>
    <w:tmpl w:val="AD263DFA"/>
    <w:lvl w:ilvl="0" w:tplc="255486B8">
      <w:numFmt w:val="bullet"/>
      <w:lvlText w:val="-"/>
      <w:lvlJc w:val="left"/>
      <w:pPr>
        <w:ind w:left="720" w:hanging="360"/>
      </w:pPr>
      <w:rPr>
        <w:rFonts w:ascii="Tahoma" w:eastAsia="Times New Roman" w:hAnsi="Tahoma" w:cs="Tahoma"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269715EF"/>
    <w:multiLevelType w:val="hybridMultilevel"/>
    <w:tmpl w:val="CBFC0D8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27CF786F"/>
    <w:multiLevelType w:val="multilevel"/>
    <w:tmpl w:val="EE8067B0"/>
    <w:lvl w:ilvl="0">
      <w:start w:val="1"/>
      <w:numFmt w:val="decimal"/>
      <w:lvlText w:val="%1"/>
      <w:lvlJc w:val="left"/>
      <w:pPr>
        <w:tabs>
          <w:tab w:val="num" w:pos="624"/>
        </w:tabs>
        <w:ind w:left="624" w:hanging="624"/>
      </w:pPr>
      <w:rPr>
        <w:rFonts w:ascii="Tahoma" w:hAnsi="Tahoma" w:hint="default"/>
        <w:b/>
        <w:i w:val="0"/>
        <w:sz w:val="20"/>
      </w:rPr>
    </w:lvl>
    <w:lvl w:ilvl="1">
      <w:start w:val="1"/>
      <w:numFmt w:val="decimal"/>
      <w:lvlRestart w:val="0"/>
      <w:suff w:val="space"/>
      <w:lvlText w:val="Tabulka %2:"/>
      <w:lvlJc w:val="left"/>
      <w:pPr>
        <w:ind w:left="1333" w:hanging="624"/>
      </w:pPr>
      <w:rPr>
        <w:rFonts w:ascii="Tahoma" w:hAnsi="Tahoma" w:hint="default"/>
        <w:b w:val="0"/>
        <w:i w:val="0"/>
        <w:color w:val="auto"/>
        <w:sz w:val="20"/>
        <w:szCs w:val="20"/>
      </w:rPr>
    </w:lvl>
    <w:lvl w:ilvl="2">
      <w:start w:val="1"/>
      <w:numFmt w:val="decimal"/>
      <w:lvlText w:val="%1.%2.%3"/>
      <w:lvlJc w:val="left"/>
      <w:pPr>
        <w:tabs>
          <w:tab w:val="num" w:pos="624"/>
        </w:tabs>
        <w:ind w:left="624" w:hanging="624"/>
      </w:pPr>
      <w:rPr>
        <w:rFonts w:ascii="Times New Roman" w:hAnsi="Times New Roman" w:hint="default"/>
        <w:b/>
        <w:i w:val="0"/>
        <w:sz w:val="24"/>
      </w:rPr>
    </w:lvl>
    <w:lvl w:ilvl="3">
      <w:start w:val="1"/>
      <w:numFmt w:val="decimal"/>
      <w:lvlText w:val="%1.%2.%3.%4"/>
      <w:lvlJc w:val="left"/>
      <w:pPr>
        <w:tabs>
          <w:tab w:val="num" w:pos="624"/>
        </w:tabs>
        <w:ind w:left="624" w:hanging="624"/>
      </w:pPr>
      <w:rPr>
        <w:rFonts w:hint="default"/>
      </w:rPr>
    </w:lvl>
    <w:lvl w:ilvl="4">
      <w:start w:val="1"/>
      <w:numFmt w:val="decimal"/>
      <w:lvlText w:val="%1.%2.%3.%4.%5"/>
      <w:lvlJc w:val="left"/>
      <w:pPr>
        <w:tabs>
          <w:tab w:val="num" w:pos="624"/>
        </w:tabs>
        <w:ind w:left="624" w:hanging="624"/>
      </w:pPr>
      <w:rPr>
        <w:rFonts w:hint="default"/>
      </w:rPr>
    </w:lvl>
    <w:lvl w:ilvl="5">
      <w:start w:val="1"/>
      <w:numFmt w:val="decimal"/>
      <w:lvlText w:val="%1.%2.%3.%4.%5.%6"/>
      <w:lvlJc w:val="left"/>
      <w:pPr>
        <w:tabs>
          <w:tab w:val="num" w:pos="624"/>
        </w:tabs>
        <w:ind w:left="624" w:hanging="624"/>
      </w:pPr>
      <w:rPr>
        <w:rFonts w:hint="default"/>
      </w:rPr>
    </w:lvl>
    <w:lvl w:ilvl="6">
      <w:start w:val="1"/>
      <w:numFmt w:val="decimal"/>
      <w:lvlText w:val="%1.%2.%3.%4.%5.%6.%7"/>
      <w:lvlJc w:val="left"/>
      <w:pPr>
        <w:tabs>
          <w:tab w:val="num" w:pos="624"/>
        </w:tabs>
        <w:ind w:left="624" w:hanging="624"/>
      </w:pPr>
      <w:rPr>
        <w:rFonts w:hint="default"/>
      </w:rPr>
    </w:lvl>
    <w:lvl w:ilvl="7">
      <w:start w:val="1"/>
      <w:numFmt w:val="decimal"/>
      <w:lvlText w:val="%1.%2.%3.%4.%5.%6.%7.%8"/>
      <w:lvlJc w:val="left"/>
      <w:pPr>
        <w:tabs>
          <w:tab w:val="num" w:pos="624"/>
        </w:tabs>
        <w:ind w:left="624" w:hanging="624"/>
      </w:pPr>
      <w:rPr>
        <w:rFonts w:hint="default"/>
      </w:rPr>
    </w:lvl>
    <w:lvl w:ilvl="8">
      <w:start w:val="1"/>
      <w:numFmt w:val="decimal"/>
      <w:lvlText w:val="%1.%2.%3.%4.%5.%6.%7.%8.%9"/>
      <w:lvlJc w:val="left"/>
      <w:pPr>
        <w:tabs>
          <w:tab w:val="num" w:pos="624"/>
        </w:tabs>
        <w:ind w:left="624" w:hanging="624"/>
      </w:pPr>
      <w:rPr>
        <w:rFonts w:hint="default"/>
      </w:rPr>
    </w:lvl>
  </w:abstractNum>
  <w:abstractNum w:abstractNumId="15" w15:restartNumberingAfterBreak="0">
    <w:nsid w:val="31262DBA"/>
    <w:multiLevelType w:val="hybridMultilevel"/>
    <w:tmpl w:val="4014D1E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31CF0570"/>
    <w:multiLevelType w:val="hybridMultilevel"/>
    <w:tmpl w:val="1B969E28"/>
    <w:lvl w:ilvl="0" w:tplc="E272AAD6">
      <w:start w:val="1"/>
      <w:numFmt w:val="decimal"/>
      <w:pStyle w:val="Styltab"/>
      <w:suff w:val="space"/>
      <w:lvlText w:val="Tabulka %1:"/>
      <w:lvlJc w:val="left"/>
      <w:pPr>
        <w:ind w:left="567" w:hanging="567"/>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325C2F5A"/>
    <w:multiLevelType w:val="hybridMultilevel"/>
    <w:tmpl w:val="89C26F88"/>
    <w:lvl w:ilvl="0" w:tplc="443033CC">
      <w:start w:val="1"/>
      <w:numFmt w:val="upperRoman"/>
      <w:pStyle w:val="Nadpis4"/>
      <w:lvlText w:val="%1."/>
      <w:lvlJc w:val="left"/>
      <w:pPr>
        <w:tabs>
          <w:tab w:val="num" w:pos="1080"/>
        </w:tabs>
        <w:ind w:left="1080" w:hanging="72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33837383"/>
    <w:multiLevelType w:val="hybridMultilevel"/>
    <w:tmpl w:val="4F56F3F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38C6350F"/>
    <w:multiLevelType w:val="hybridMultilevel"/>
    <w:tmpl w:val="AC0E341C"/>
    <w:lvl w:ilvl="0" w:tplc="78165394">
      <w:numFmt w:val="bullet"/>
      <w:lvlText w:val="-"/>
      <w:lvlJc w:val="left"/>
      <w:pPr>
        <w:ind w:left="720" w:hanging="360"/>
      </w:pPr>
      <w:rPr>
        <w:rFonts w:ascii="Calibri" w:eastAsiaTheme="minorHAnsi" w:hAnsi="Calibri" w:cs="Calibri"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20" w15:restartNumberingAfterBreak="0">
    <w:nsid w:val="40734E6A"/>
    <w:multiLevelType w:val="hybridMultilevel"/>
    <w:tmpl w:val="7FF44F84"/>
    <w:lvl w:ilvl="0" w:tplc="75525F0A">
      <w:start w:val="1"/>
      <w:numFmt w:val="decimal"/>
      <w:lvlText w:val="%1)"/>
      <w:lvlJc w:val="left"/>
      <w:pPr>
        <w:tabs>
          <w:tab w:val="num" w:pos="435"/>
        </w:tabs>
        <w:ind w:left="435" w:hanging="435"/>
      </w:pPr>
    </w:lvl>
    <w:lvl w:ilvl="1" w:tplc="04050019">
      <w:start w:val="1"/>
      <w:numFmt w:val="lowerLetter"/>
      <w:lvlText w:val="%2."/>
      <w:lvlJc w:val="left"/>
      <w:pPr>
        <w:tabs>
          <w:tab w:val="num" w:pos="1080"/>
        </w:tabs>
        <w:ind w:left="1080" w:hanging="360"/>
      </w:pPr>
    </w:lvl>
    <w:lvl w:ilvl="2" w:tplc="0405001B">
      <w:start w:val="1"/>
      <w:numFmt w:val="lowerRoman"/>
      <w:lvlText w:val="%3."/>
      <w:lvlJc w:val="right"/>
      <w:pPr>
        <w:tabs>
          <w:tab w:val="num" w:pos="1800"/>
        </w:tabs>
        <w:ind w:left="1800" w:hanging="180"/>
      </w:pPr>
    </w:lvl>
    <w:lvl w:ilvl="3" w:tplc="0405000F">
      <w:start w:val="1"/>
      <w:numFmt w:val="decimal"/>
      <w:lvlText w:val="%4."/>
      <w:lvlJc w:val="left"/>
      <w:pPr>
        <w:tabs>
          <w:tab w:val="num" w:pos="2520"/>
        </w:tabs>
        <w:ind w:left="2520" w:hanging="360"/>
      </w:pPr>
    </w:lvl>
    <w:lvl w:ilvl="4" w:tplc="04050019">
      <w:start w:val="1"/>
      <w:numFmt w:val="lowerLetter"/>
      <w:lvlText w:val="%5."/>
      <w:lvlJc w:val="left"/>
      <w:pPr>
        <w:tabs>
          <w:tab w:val="num" w:pos="3240"/>
        </w:tabs>
        <w:ind w:left="3240" w:hanging="360"/>
      </w:pPr>
    </w:lvl>
    <w:lvl w:ilvl="5" w:tplc="0405001B">
      <w:start w:val="1"/>
      <w:numFmt w:val="lowerRoman"/>
      <w:lvlText w:val="%6."/>
      <w:lvlJc w:val="right"/>
      <w:pPr>
        <w:tabs>
          <w:tab w:val="num" w:pos="3960"/>
        </w:tabs>
        <w:ind w:left="3960" w:hanging="180"/>
      </w:pPr>
    </w:lvl>
    <w:lvl w:ilvl="6" w:tplc="0405000F">
      <w:start w:val="1"/>
      <w:numFmt w:val="decimal"/>
      <w:lvlText w:val="%7."/>
      <w:lvlJc w:val="left"/>
      <w:pPr>
        <w:tabs>
          <w:tab w:val="num" w:pos="4680"/>
        </w:tabs>
        <w:ind w:left="4680" w:hanging="360"/>
      </w:pPr>
    </w:lvl>
    <w:lvl w:ilvl="7" w:tplc="04050019">
      <w:start w:val="1"/>
      <w:numFmt w:val="lowerLetter"/>
      <w:lvlText w:val="%8."/>
      <w:lvlJc w:val="left"/>
      <w:pPr>
        <w:tabs>
          <w:tab w:val="num" w:pos="5400"/>
        </w:tabs>
        <w:ind w:left="5400" w:hanging="360"/>
      </w:pPr>
    </w:lvl>
    <w:lvl w:ilvl="8" w:tplc="0405001B">
      <w:start w:val="1"/>
      <w:numFmt w:val="lowerRoman"/>
      <w:lvlText w:val="%9."/>
      <w:lvlJc w:val="right"/>
      <w:pPr>
        <w:tabs>
          <w:tab w:val="num" w:pos="6120"/>
        </w:tabs>
        <w:ind w:left="6120" w:hanging="180"/>
      </w:pPr>
    </w:lvl>
  </w:abstractNum>
  <w:abstractNum w:abstractNumId="21" w15:restartNumberingAfterBreak="0">
    <w:nsid w:val="45272B65"/>
    <w:multiLevelType w:val="hybridMultilevel"/>
    <w:tmpl w:val="7278EB6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47500E28"/>
    <w:multiLevelType w:val="hybridMultilevel"/>
    <w:tmpl w:val="B9101298"/>
    <w:lvl w:ilvl="0" w:tplc="FD7E8D6A">
      <w:numFmt w:val="bullet"/>
      <w:lvlText w:val="-"/>
      <w:lvlJc w:val="left"/>
      <w:pPr>
        <w:tabs>
          <w:tab w:val="num" w:pos="720"/>
        </w:tabs>
        <w:ind w:left="720" w:hanging="360"/>
      </w:pPr>
      <w:rPr>
        <w:rFonts w:ascii="Tahoma" w:eastAsia="Times New Roman" w:hAnsi="Tahoma"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E491D5E"/>
    <w:multiLevelType w:val="hybridMultilevel"/>
    <w:tmpl w:val="E57E8F7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507D0B35"/>
    <w:multiLevelType w:val="hybridMultilevel"/>
    <w:tmpl w:val="2440F8E0"/>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509E155E"/>
    <w:multiLevelType w:val="hybridMultilevel"/>
    <w:tmpl w:val="E0FCBFD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5C770502"/>
    <w:multiLevelType w:val="hybridMultilevel"/>
    <w:tmpl w:val="B8A88108"/>
    <w:lvl w:ilvl="0" w:tplc="78165394">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60BD7096"/>
    <w:multiLevelType w:val="hybridMultilevel"/>
    <w:tmpl w:val="4F56F3F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63700293"/>
    <w:multiLevelType w:val="multilevel"/>
    <w:tmpl w:val="04A803E6"/>
    <w:lvl w:ilvl="0">
      <w:start w:val="1"/>
      <w:numFmt w:val="decimal"/>
      <w:lvlText w:val="%1"/>
      <w:lvlJc w:val="left"/>
      <w:pPr>
        <w:ind w:left="375" w:hanging="37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9" w15:restartNumberingAfterBreak="0">
    <w:nsid w:val="63724CAC"/>
    <w:multiLevelType w:val="hybridMultilevel"/>
    <w:tmpl w:val="54000758"/>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30" w15:restartNumberingAfterBreak="0">
    <w:nsid w:val="695A78F9"/>
    <w:multiLevelType w:val="hybridMultilevel"/>
    <w:tmpl w:val="6082F74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15:restartNumberingAfterBreak="0">
    <w:nsid w:val="6A564485"/>
    <w:multiLevelType w:val="multilevel"/>
    <w:tmpl w:val="3D1E11F8"/>
    <w:lvl w:ilvl="0">
      <w:start w:val="1"/>
      <w:numFmt w:val="none"/>
      <w:pStyle w:val="MSKNavrhusneseniZacatek"/>
      <w:suff w:val="nothing"/>
      <w:lvlText w:val=""/>
      <w:lvlJc w:val="left"/>
      <w:pPr>
        <w:ind w:left="0" w:firstLine="0"/>
      </w:pPr>
      <w:rPr>
        <w:rFonts w:ascii="Tahoma" w:hAnsi="Tahoma" w:hint="default"/>
        <w:b w:val="0"/>
        <w:i w:val="0"/>
        <w:sz w:val="24"/>
      </w:rPr>
    </w:lvl>
    <w:lvl w:ilvl="1">
      <w:start w:val="1"/>
      <w:numFmt w:val="decimal"/>
      <w:pStyle w:val="MSKDoplnek"/>
      <w:suff w:val="nothing"/>
      <w:lvlText w:val="%2. "/>
      <w:lvlJc w:val="left"/>
      <w:pPr>
        <w:ind w:left="0" w:firstLine="0"/>
      </w:pPr>
      <w:rPr>
        <w:rFonts w:ascii="Tahoma" w:hAnsi="Tahoma" w:hint="default"/>
        <w:b w:val="0"/>
        <w:i w:val="0"/>
        <w:sz w:val="24"/>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2" w15:restartNumberingAfterBreak="0">
    <w:nsid w:val="751A3131"/>
    <w:multiLevelType w:val="hybridMultilevel"/>
    <w:tmpl w:val="A508D31A"/>
    <w:lvl w:ilvl="0" w:tplc="73A88DC8">
      <w:start w:val="1"/>
      <w:numFmt w:val="bullet"/>
      <w:lvlText w:val=""/>
      <w:lvlJc w:val="left"/>
      <w:pPr>
        <w:ind w:left="720" w:hanging="360"/>
      </w:pPr>
      <w:rPr>
        <w:rFonts w:ascii="Symbol" w:hAnsi="Symbol" w:hint="default"/>
      </w:rPr>
    </w:lvl>
    <w:lvl w:ilvl="1" w:tplc="D5969D5C" w:tentative="1">
      <w:start w:val="1"/>
      <w:numFmt w:val="bullet"/>
      <w:lvlText w:val="o"/>
      <w:lvlJc w:val="left"/>
      <w:pPr>
        <w:ind w:left="1440" w:hanging="360"/>
      </w:pPr>
      <w:rPr>
        <w:rFonts w:ascii="Courier New" w:hAnsi="Courier New" w:cs="Courier New" w:hint="default"/>
      </w:rPr>
    </w:lvl>
    <w:lvl w:ilvl="2" w:tplc="4604713A" w:tentative="1">
      <w:start w:val="1"/>
      <w:numFmt w:val="bullet"/>
      <w:lvlText w:val=""/>
      <w:lvlJc w:val="left"/>
      <w:pPr>
        <w:ind w:left="2160" w:hanging="360"/>
      </w:pPr>
      <w:rPr>
        <w:rFonts w:ascii="Wingdings" w:hAnsi="Wingdings" w:hint="default"/>
      </w:rPr>
    </w:lvl>
    <w:lvl w:ilvl="3" w:tplc="4BBA7DBA" w:tentative="1">
      <w:start w:val="1"/>
      <w:numFmt w:val="bullet"/>
      <w:lvlText w:val=""/>
      <w:lvlJc w:val="left"/>
      <w:pPr>
        <w:ind w:left="2880" w:hanging="360"/>
      </w:pPr>
      <w:rPr>
        <w:rFonts w:ascii="Symbol" w:hAnsi="Symbol" w:hint="default"/>
      </w:rPr>
    </w:lvl>
    <w:lvl w:ilvl="4" w:tplc="DB784A64" w:tentative="1">
      <w:start w:val="1"/>
      <w:numFmt w:val="bullet"/>
      <w:lvlText w:val="o"/>
      <w:lvlJc w:val="left"/>
      <w:pPr>
        <w:ind w:left="3600" w:hanging="360"/>
      </w:pPr>
      <w:rPr>
        <w:rFonts w:ascii="Courier New" w:hAnsi="Courier New" w:cs="Courier New" w:hint="default"/>
      </w:rPr>
    </w:lvl>
    <w:lvl w:ilvl="5" w:tplc="45C0569C" w:tentative="1">
      <w:start w:val="1"/>
      <w:numFmt w:val="bullet"/>
      <w:lvlText w:val=""/>
      <w:lvlJc w:val="left"/>
      <w:pPr>
        <w:ind w:left="4320" w:hanging="360"/>
      </w:pPr>
      <w:rPr>
        <w:rFonts w:ascii="Wingdings" w:hAnsi="Wingdings" w:hint="default"/>
      </w:rPr>
    </w:lvl>
    <w:lvl w:ilvl="6" w:tplc="0DF025F8" w:tentative="1">
      <w:start w:val="1"/>
      <w:numFmt w:val="bullet"/>
      <w:lvlText w:val=""/>
      <w:lvlJc w:val="left"/>
      <w:pPr>
        <w:ind w:left="5040" w:hanging="360"/>
      </w:pPr>
      <w:rPr>
        <w:rFonts w:ascii="Symbol" w:hAnsi="Symbol" w:hint="default"/>
      </w:rPr>
    </w:lvl>
    <w:lvl w:ilvl="7" w:tplc="104CB4EC" w:tentative="1">
      <w:start w:val="1"/>
      <w:numFmt w:val="bullet"/>
      <w:lvlText w:val="o"/>
      <w:lvlJc w:val="left"/>
      <w:pPr>
        <w:ind w:left="5760" w:hanging="360"/>
      </w:pPr>
      <w:rPr>
        <w:rFonts w:ascii="Courier New" w:hAnsi="Courier New" w:cs="Courier New" w:hint="default"/>
      </w:rPr>
    </w:lvl>
    <w:lvl w:ilvl="8" w:tplc="6F42B1B2" w:tentative="1">
      <w:start w:val="1"/>
      <w:numFmt w:val="bullet"/>
      <w:lvlText w:val=""/>
      <w:lvlJc w:val="left"/>
      <w:pPr>
        <w:ind w:left="6480" w:hanging="360"/>
      </w:pPr>
      <w:rPr>
        <w:rFonts w:ascii="Wingdings" w:hAnsi="Wingdings" w:hint="default"/>
      </w:rPr>
    </w:lvl>
  </w:abstractNum>
  <w:abstractNum w:abstractNumId="33" w15:restartNumberingAfterBreak="0">
    <w:nsid w:val="78257F25"/>
    <w:multiLevelType w:val="hybridMultilevel"/>
    <w:tmpl w:val="16ECBDAA"/>
    <w:lvl w:ilvl="0" w:tplc="255486B8">
      <w:numFmt w:val="bullet"/>
      <w:lvlText w:val="-"/>
      <w:lvlJc w:val="left"/>
      <w:pPr>
        <w:ind w:left="1080" w:hanging="360"/>
      </w:pPr>
      <w:rPr>
        <w:rFonts w:ascii="Tahoma" w:eastAsia="Times New Roman" w:hAnsi="Tahoma" w:cs="Tahoma"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num w:numId="1">
    <w:abstractNumId w:val="17"/>
  </w:num>
  <w:num w:numId="2">
    <w:abstractNumId w:val="9"/>
  </w:num>
  <w:num w:numId="3">
    <w:abstractNumId w:val="7"/>
  </w:num>
  <w:num w:numId="4">
    <w:abstractNumId w:val="22"/>
  </w:num>
  <w:num w:numId="5">
    <w:abstractNumId w:val="28"/>
  </w:num>
  <w:num w:numId="6">
    <w:abstractNumId w:val="25"/>
  </w:num>
  <w:num w:numId="7">
    <w:abstractNumId w:val="24"/>
  </w:num>
  <w:num w:numId="8">
    <w:abstractNumId w:val="27"/>
  </w:num>
  <w:num w:numId="9">
    <w:abstractNumId w:val="12"/>
  </w:num>
  <w:num w:numId="10">
    <w:abstractNumId w:val="33"/>
  </w:num>
  <w:num w:numId="11">
    <w:abstractNumId w:val="10"/>
  </w:num>
  <w:num w:numId="12">
    <w:abstractNumId w:val="14"/>
  </w:num>
  <w:num w:numId="13">
    <w:abstractNumId w:val="8"/>
  </w:num>
  <w:num w:numId="14">
    <w:abstractNumId w:val="3"/>
  </w:num>
  <w:num w:numId="15">
    <w:abstractNumId w:val="2"/>
  </w:num>
  <w:num w:numId="16">
    <w:abstractNumId w:val="1"/>
  </w:num>
  <w:num w:numId="17">
    <w:abstractNumId w:val="0"/>
  </w:num>
  <w:num w:numId="18">
    <w:abstractNumId w:val="14"/>
  </w:num>
  <w:num w:numId="19">
    <w:abstractNumId w:val="6"/>
  </w:num>
  <w:num w:numId="20">
    <w:abstractNumId w:val="5"/>
  </w:num>
  <w:num w:numId="21">
    <w:abstractNumId w:val="4"/>
  </w:num>
  <w:num w:numId="22">
    <w:abstractNumId w:val="14"/>
  </w:num>
  <w:num w:numId="23">
    <w:abstractNumId w:val="14"/>
  </w:num>
  <w:num w:numId="24">
    <w:abstractNumId w:val="14"/>
  </w:num>
  <w:num w:numId="2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0"/>
  </w:num>
  <w:num w:numId="27">
    <w:abstractNumId w:val="31"/>
  </w:num>
  <w:num w:numId="2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6"/>
  </w:num>
  <w:num w:numId="32">
    <w:abstractNumId w:val="16"/>
  </w:num>
  <w:num w:numId="33">
    <w:abstractNumId w:val="16"/>
  </w:num>
  <w:num w:numId="34">
    <w:abstractNumId w:val="33"/>
  </w:num>
  <w:num w:numId="35">
    <w:abstractNumId w:val="32"/>
  </w:num>
  <w:num w:numId="36">
    <w:abstractNumId w:val="21"/>
  </w:num>
  <w:num w:numId="37">
    <w:abstractNumId w:val="15"/>
  </w:num>
  <w:num w:numId="38">
    <w:abstractNumId w:val="18"/>
  </w:num>
  <w:num w:numId="39">
    <w:abstractNumId w:val="33"/>
  </w:num>
  <w:num w:numId="40">
    <w:abstractNumId w:val="19"/>
  </w:num>
  <w:num w:numId="41">
    <w:abstractNumId w:val="11"/>
  </w:num>
  <w:num w:numId="42">
    <w:abstractNumId w:val="33"/>
  </w:num>
  <w:num w:numId="43">
    <w:abstractNumId w:val="26"/>
  </w:num>
  <w:num w:numId="44">
    <w:abstractNumId w:val="23"/>
  </w:num>
  <w:num w:numId="45">
    <w:abstractNumId w:val="13"/>
  </w:num>
  <w:num w:numId="46">
    <w:abstractNumId w:val="3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embedSystemFont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0"/>
  <w:defaultTabStop w:val="709"/>
  <w:hyphenationZone w:val="425"/>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0E4F"/>
    <w:rsid w:val="0000019C"/>
    <w:rsid w:val="000002CC"/>
    <w:rsid w:val="000003EA"/>
    <w:rsid w:val="000008F3"/>
    <w:rsid w:val="00000A1E"/>
    <w:rsid w:val="00000AFF"/>
    <w:rsid w:val="00000BBE"/>
    <w:rsid w:val="00000D71"/>
    <w:rsid w:val="0000103B"/>
    <w:rsid w:val="000010E6"/>
    <w:rsid w:val="00001224"/>
    <w:rsid w:val="000012C5"/>
    <w:rsid w:val="00001314"/>
    <w:rsid w:val="00001548"/>
    <w:rsid w:val="0000157C"/>
    <w:rsid w:val="00001830"/>
    <w:rsid w:val="000019B3"/>
    <w:rsid w:val="00001C43"/>
    <w:rsid w:val="00001DEE"/>
    <w:rsid w:val="00002228"/>
    <w:rsid w:val="000024BB"/>
    <w:rsid w:val="000024EA"/>
    <w:rsid w:val="00002A8E"/>
    <w:rsid w:val="00002F09"/>
    <w:rsid w:val="0000302E"/>
    <w:rsid w:val="00003431"/>
    <w:rsid w:val="000034FD"/>
    <w:rsid w:val="000037C2"/>
    <w:rsid w:val="00003857"/>
    <w:rsid w:val="00003903"/>
    <w:rsid w:val="00003AB3"/>
    <w:rsid w:val="00003C16"/>
    <w:rsid w:val="00003CD7"/>
    <w:rsid w:val="00003E72"/>
    <w:rsid w:val="000042A0"/>
    <w:rsid w:val="00004494"/>
    <w:rsid w:val="0000454F"/>
    <w:rsid w:val="000046FE"/>
    <w:rsid w:val="000048E0"/>
    <w:rsid w:val="00005037"/>
    <w:rsid w:val="00005061"/>
    <w:rsid w:val="000051CE"/>
    <w:rsid w:val="00005256"/>
    <w:rsid w:val="00005880"/>
    <w:rsid w:val="00005C40"/>
    <w:rsid w:val="00005E27"/>
    <w:rsid w:val="00005E84"/>
    <w:rsid w:val="00005EA2"/>
    <w:rsid w:val="00005EC6"/>
    <w:rsid w:val="00005EC8"/>
    <w:rsid w:val="0000609A"/>
    <w:rsid w:val="0000612C"/>
    <w:rsid w:val="0000668B"/>
    <w:rsid w:val="00006BE5"/>
    <w:rsid w:val="00006C8D"/>
    <w:rsid w:val="00006D1F"/>
    <w:rsid w:val="00006E76"/>
    <w:rsid w:val="00007567"/>
    <w:rsid w:val="000076CF"/>
    <w:rsid w:val="000077F5"/>
    <w:rsid w:val="00007944"/>
    <w:rsid w:val="00007C33"/>
    <w:rsid w:val="00007E14"/>
    <w:rsid w:val="00010170"/>
    <w:rsid w:val="0001036E"/>
    <w:rsid w:val="000103C1"/>
    <w:rsid w:val="00010512"/>
    <w:rsid w:val="0001066E"/>
    <w:rsid w:val="000109A3"/>
    <w:rsid w:val="000111FB"/>
    <w:rsid w:val="00011549"/>
    <w:rsid w:val="000116CA"/>
    <w:rsid w:val="00011769"/>
    <w:rsid w:val="0001191D"/>
    <w:rsid w:val="00011936"/>
    <w:rsid w:val="00011C9A"/>
    <w:rsid w:val="00011CA4"/>
    <w:rsid w:val="00011CFB"/>
    <w:rsid w:val="000123D1"/>
    <w:rsid w:val="00012854"/>
    <w:rsid w:val="00012928"/>
    <w:rsid w:val="00012938"/>
    <w:rsid w:val="00013197"/>
    <w:rsid w:val="0001319A"/>
    <w:rsid w:val="00013548"/>
    <w:rsid w:val="000137CB"/>
    <w:rsid w:val="00013805"/>
    <w:rsid w:val="00013897"/>
    <w:rsid w:val="00013A48"/>
    <w:rsid w:val="00013BB3"/>
    <w:rsid w:val="00013C3E"/>
    <w:rsid w:val="00013C91"/>
    <w:rsid w:val="00013E4F"/>
    <w:rsid w:val="000141E3"/>
    <w:rsid w:val="00014912"/>
    <w:rsid w:val="00014AAB"/>
    <w:rsid w:val="00014B18"/>
    <w:rsid w:val="00014C04"/>
    <w:rsid w:val="0001563A"/>
    <w:rsid w:val="00015AC2"/>
    <w:rsid w:val="00016024"/>
    <w:rsid w:val="0001603C"/>
    <w:rsid w:val="000163E5"/>
    <w:rsid w:val="000163E6"/>
    <w:rsid w:val="0001645B"/>
    <w:rsid w:val="000166A6"/>
    <w:rsid w:val="000166D5"/>
    <w:rsid w:val="00016807"/>
    <w:rsid w:val="0001684A"/>
    <w:rsid w:val="000169F3"/>
    <w:rsid w:val="00017006"/>
    <w:rsid w:val="00017405"/>
    <w:rsid w:val="0001744C"/>
    <w:rsid w:val="000175F6"/>
    <w:rsid w:val="00017720"/>
    <w:rsid w:val="0001773D"/>
    <w:rsid w:val="000177A8"/>
    <w:rsid w:val="00020117"/>
    <w:rsid w:val="000206F4"/>
    <w:rsid w:val="000208D8"/>
    <w:rsid w:val="0002099D"/>
    <w:rsid w:val="00020B7E"/>
    <w:rsid w:val="00020D67"/>
    <w:rsid w:val="00020DA3"/>
    <w:rsid w:val="00020E1C"/>
    <w:rsid w:val="00021020"/>
    <w:rsid w:val="000212C6"/>
    <w:rsid w:val="000214EF"/>
    <w:rsid w:val="00021683"/>
    <w:rsid w:val="000217F2"/>
    <w:rsid w:val="00021807"/>
    <w:rsid w:val="00021941"/>
    <w:rsid w:val="000219FD"/>
    <w:rsid w:val="00021E0B"/>
    <w:rsid w:val="00021E6C"/>
    <w:rsid w:val="0002251C"/>
    <w:rsid w:val="00022608"/>
    <w:rsid w:val="0002260B"/>
    <w:rsid w:val="00022F9F"/>
    <w:rsid w:val="000230ED"/>
    <w:rsid w:val="00023133"/>
    <w:rsid w:val="0002325F"/>
    <w:rsid w:val="00023354"/>
    <w:rsid w:val="000236ED"/>
    <w:rsid w:val="000237B1"/>
    <w:rsid w:val="00023821"/>
    <w:rsid w:val="000238EE"/>
    <w:rsid w:val="000238FE"/>
    <w:rsid w:val="00023CAE"/>
    <w:rsid w:val="00023DC2"/>
    <w:rsid w:val="00023DF8"/>
    <w:rsid w:val="0002414C"/>
    <w:rsid w:val="00024483"/>
    <w:rsid w:val="00024987"/>
    <w:rsid w:val="000249A5"/>
    <w:rsid w:val="00024B50"/>
    <w:rsid w:val="00024CAC"/>
    <w:rsid w:val="00024F31"/>
    <w:rsid w:val="0002578C"/>
    <w:rsid w:val="00025C6D"/>
    <w:rsid w:val="00025F38"/>
    <w:rsid w:val="0002604A"/>
    <w:rsid w:val="000262DD"/>
    <w:rsid w:val="0002656E"/>
    <w:rsid w:val="000265AD"/>
    <w:rsid w:val="000265BE"/>
    <w:rsid w:val="000267BD"/>
    <w:rsid w:val="0002698B"/>
    <w:rsid w:val="00026B50"/>
    <w:rsid w:val="00027099"/>
    <w:rsid w:val="000271F7"/>
    <w:rsid w:val="000272DC"/>
    <w:rsid w:val="000272E1"/>
    <w:rsid w:val="000276E7"/>
    <w:rsid w:val="000277A0"/>
    <w:rsid w:val="0002799E"/>
    <w:rsid w:val="00027EA6"/>
    <w:rsid w:val="0003004D"/>
    <w:rsid w:val="000300E3"/>
    <w:rsid w:val="00030303"/>
    <w:rsid w:val="000304BB"/>
    <w:rsid w:val="00030512"/>
    <w:rsid w:val="000305D3"/>
    <w:rsid w:val="0003062F"/>
    <w:rsid w:val="00030B69"/>
    <w:rsid w:val="000311BD"/>
    <w:rsid w:val="000312C6"/>
    <w:rsid w:val="00031569"/>
    <w:rsid w:val="000315A6"/>
    <w:rsid w:val="00031891"/>
    <w:rsid w:val="00031A76"/>
    <w:rsid w:val="00031B0F"/>
    <w:rsid w:val="00031D32"/>
    <w:rsid w:val="000323B9"/>
    <w:rsid w:val="00032448"/>
    <w:rsid w:val="00032452"/>
    <w:rsid w:val="000329E4"/>
    <w:rsid w:val="00032C9B"/>
    <w:rsid w:val="00032E3B"/>
    <w:rsid w:val="00033044"/>
    <w:rsid w:val="0003373B"/>
    <w:rsid w:val="000337A0"/>
    <w:rsid w:val="00033970"/>
    <w:rsid w:val="00033A5C"/>
    <w:rsid w:val="00033AA0"/>
    <w:rsid w:val="00033C57"/>
    <w:rsid w:val="00033D2C"/>
    <w:rsid w:val="0003483C"/>
    <w:rsid w:val="00034C42"/>
    <w:rsid w:val="0003532B"/>
    <w:rsid w:val="000353AE"/>
    <w:rsid w:val="000355B4"/>
    <w:rsid w:val="000359A7"/>
    <w:rsid w:val="00035A3B"/>
    <w:rsid w:val="00035B27"/>
    <w:rsid w:val="00035B3E"/>
    <w:rsid w:val="00035C58"/>
    <w:rsid w:val="00035F1D"/>
    <w:rsid w:val="00036220"/>
    <w:rsid w:val="00036231"/>
    <w:rsid w:val="00036295"/>
    <w:rsid w:val="00036370"/>
    <w:rsid w:val="000365D2"/>
    <w:rsid w:val="00036742"/>
    <w:rsid w:val="00036BDC"/>
    <w:rsid w:val="00036DB6"/>
    <w:rsid w:val="00036DF9"/>
    <w:rsid w:val="00036E35"/>
    <w:rsid w:val="00036EC9"/>
    <w:rsid w:val="00037017"/>
    <w:rsid w:val="0003767C"/>
    <w:rsid w:val="000376FB"/>
    <w:rsid w:val="00037862"/>
    <w:rsid w:val="00037C15"/>
    <w:rsid w:val="00037C2C"/>
    <w:rsid w:val="00037D85"/>
    <w:rsid w:val="00037EE8"/>
    <w:rsid w:val="000402A5"/>
    <w:rsid w:val="00040840"/>
    <w:rsid w:val="00040C0A"/>
    <w:rsid w:val="00040C5C"/>
    <w:rsid w:val="0004112D"/>
    <w:rsid w:val="000418A9"/>
    <w:rsid w:val="00041EDE"/>
    <w:rsid w:val="00041F26"/>
    <w:rsid w:val="00042229"/>
    <w:rsid w:val="0004294B"/>
    <w:rsid w:val="00042A54"/>
    <w:rsid w:val="00042B10"/>
    <w:rsid w:val="00042E0A"/>
    <w:rsid w:val="00042FBC"/>
    <w:rsid w:val="0004353A"/>
    <w:rsid w:val="00043CA8"/>
    <w:rsid w:val="00044387"/>
    <w:rsid w:val="00044521"/>
    <w:rsid w:val="00044836"/>
    <w:rsid w:val="0004486A"/>
    <w:rsid w:val="00044D18"/>
    <w:rsid w:val="00044EBA"/>
    <w:rsid w:val="00044ECA"/>
    <w:rsid w:val="00044ED4"/>
    <w:rsid w:val="00044F15"/>
    <w:rsid w:val="0004507B"/>
    <w:rsid w:val="0004520F"/>
    <w:rsid w:val="000454D3"/>
    <w:rsid w:val="000456BA"/>
    <w:rsid w:val="000457A3"/>
    <w:rsid w:val="00045817"/>
    <w:rsid w:val="00045911"/>
    <w:rsid w:val="00045B63"/>
    <w:rsid w:val="00046338"/>
    <w:rsid w:val="000463CB"/>
    <w:rsid w:val="00046611"/>
    <w:rsid w:val="00046B52"/>
    <w:rsid w:val="00046C77"/>
    <w:rsid w:val="00046DD0"/>
    <w:rsid w:val="00046E20"/>
    <w:rsid w:val="00047314"/>
    <w:rsid w:val="00047361"/>
    <w:rsid w:val="00047397"/>
    <w:rsid w:val="000478E7"/>
    <w:rsid w:val="00047EFE"/>
    <w:rsid w:val="00047F89"/>
    <w:rsid w:val="00050551"/>
    <w:rsid w:val="000506FA"/>
    <w:rsid w:val="000507C7"/>
    <w:rsid w:val="00050960"/>
    <w:rsid w:val="00050AF7"/>
    <w:rsid w:val="00050B3D"/>
    <w:rsid w:val="00050C2E"/>
    <w:rsid w:val="00050C67"/>
    <w:rsid w:val="00050C7A"/>
    <w:rsid w:val="00050CA0"/>
    <w:rsid w:val="00050DB3"/>
    <w:rsid w:val="00050E5F"/>
    <w:rsid w:val="00050EE5"/>
    <w:rsid w:val="00051045"/>
    <w:rsid w:val="000510E6"/>
    <w:rsid w:val="000512DA"/>
    <w:rsid w:val="000515FD"/>
    <w:rsid w:val="00051F95"/>
    <w:rsid w:val="000522BE"/>
    <w:rsid w:val="00052466"/>
    <w:rsid w:val="00052CED"/>
    <w:rsid w:val="00052FA0"/>
    <w:rsid w:val="00053371"/>
    <w:rsid w:val="00053485"/>
    <w:rsid w:val="00053556"/>
    <w:rsid w:val="00053633"/>
    <w:rsid w:val="000537FD"/>
    <w:rsid w:val="000538C7"/>
    <w:rsid w:val="000539D4"/>
    <w:rsid w:val="00053A27"/>
    <w:rsid w:val="00053A3A"/>
    <w:rsid w:val="00053B66"/>
    <w:rsid w:val="00053C30"/>
    <w:rsid w:val="00053DA6"/>
    <w:rsid w:val="00054046"/>
    <w:rsid w:val="00054205"/>
    <w:rsid w:val="000544D0"/>
    <w:rsid w:val="0005456A"/>
    <w:rsid w:val="00054B19"/>
    <w:rsid w:val="00055039"/>
    <w:rsid w:val="00055076"/>
    <w:rsid w:val="0005525F"/>
    <w:rsid w:val="000555D2"/>
    <w:rsid w:val="00055676"/>
    <w:rsid w:val="000557B0"/>
    <w:rsid w:val="000558BC"/>
    <w:rsid w:val="00055A51"/>
    <w:rsid w:val="00055C49"/>
    <w:rsid w:val="00055D69"/>
    <w:rsid w:val="000560ED"/>
    <w:rsid w:val="00056660"/>
    <w:rsid w:val="000566E0"/>
    <w:rsid w:val="0005692C"/>
    <w:rsid w:val="00056B79"/>
    <w:rsid w:val="00056C10"/>
    <w:rsid w:val="00056C64"/>
    <w:rsid w:val="00056D6E"/>
    <w:rsid w:val="00056E78"/>
    <w:rsid w:val="00056EB4"/>
    <w:rsid w:val="00057345"/>
    <w:rsid w:val="000573AD"/>
    <w:rsid w:val="00057478"/>
    <w:rsid w:val="0005751C"/>
    <w:rsid w:val="00057552"/>
    <w:rsid w:val="000575AC"/>
    <w:rsid w:val="000576E6"/>
    <w:rsid w:val="00057AF8"/>
    <w:rsid w:val="00057B45"/>
    <w:rsid w:val="00057BB3"/>
    <w:rsid w:val="00057D3A"/>
    <w:rsid w:val="00057E4B"/>
    <w:rsid w:val="0006019F"/>
    <w:rsid w:val="0006035A"/>
    <w:rsid w:val="00060904"/>
    <w:rsid w:val="000610FE"/>
    <w:rsid w:val="00061106"/>
    <w:rsid w:val="00061223"/>
    <w:rsid w:val="0006129B"/>
    <w:rsid w:val="000613C0"/>
    <w:rsid w:val="00061469"/>
    <w:rsid w:val="00061998"/>
    <w:rsid w:val="00061E36"/>
    <w:rsid w:val="00061FB1"/>
    <w:rsid w:val="000620A5"/>
    <w:rsid w:val="0006244C"/>
    <w:rsid w:val="00062688"/>
    <w:rsid w:val="000628A3"/>
    <w:rsid w:val="00062ED6"/>
    <w:rsid w:val="0006334E"/>
    <w:rsid w:val="00063383"/>
    <w:rsid w:val="000634F7"/>
    <w:rsid w:val="000635A3"/>
    <w:rsid w:val="00063775"/>
    <w:rsid w:val="00063AC0"/>
    <w:rsid w:val="00063B5D"/>
    <w:rsid w:val="00063D20"/>
    <w:rsid w:val="00063E4A"/>
    <w:rsid w:val="00063EAC"/>
    <w:rsid w:val="00063EF0"/>
    <w:rsid w:val="00064515"/>
    <w:rsid w:val="000649DF"/>
    <w:rsid w:val="00064AC8"/>
    <w:rsid w:val="00064C00"/>
    <w:rsid w:val="00064FB3"/>
    <w:rsid w:val="000651D0"/>
    <w:rsid w:val="00065576"/>
    <w:rsid w:val="000657AD"/>
    <w:rsid w:val="00066235"/>
    <w:rsid w:val="00066292"/>
    <w:rsid w:val="000663A9"/>
    <w:rsid w:val="000663BB"/>
    <w:rsid w:val="000665DC"/>
    <w:rsid w:val="00066A41"/>
    <w:rsid w:val="00067138"/>
    <w:rsid w:val="00067289"/>
    <w:rsid w:val="00067460"/>
    <w:rsid w:val="0006788A"/>
    <w:rsid w:val="00067C0A"/>
    <w:rsid w:val="00067E27"/>
    <w:rsid w:val="00067E7E"/>
    <w:rsid w:val="00067F0C"/>
    <w:rsid w:val="00067F1B"/>
    <w:rsid w:val="00070009"/>
    <w:rsid w:val="0007007F"/>
    <w:rsid w:val="0007009F"/>
    <w:rsid w:val="000704FF"/>
    <w:rsid w:val="0007075C"/>
    <w:rsid w:val="00070864"/>
    <w:rsid w:val="00070877"/>
    <w:rsid w:val="00070880"/>
    <w:rsid w:val="0007098A"/>
    <w:rsid w:val="00070BC6"/>
    <w:rsid w:val="00070CF7"/>
    <w:rsid w:val="00070E88"/>
    <w:rsid w:val="00070F3F"/>
    <w:rsid w:val="00071135"/>
    <w:rsid w:val="00071262"/>
    <w:rsid w:val="00071382"/>
    <w:rsid w:val="00071638"/>
    <w:rsid w:val="0007173D"/>
    <w:rsid w:val="000718C4"/>
    <w:rsid w:val="00071F8F"/>
    <w:rsid w:val="00072094"/>
    <w:rsid w:val="0007211A"/>
    <w:rsid w:val="000727C5"/>
    <w:rsid w:val="0007296A"/>
    <w:rsid w:val="00072B1D"/>
    <w:rsid w:val="00072C37"/>
    <w:rsid w:val="00073129"/>
    <w:rsid w:val="000733B2"/>
    <w:rsid w:val="000734E2"/>
    <w:rsid w:val="00073591"/>
    <w:rsid w:val="0007387A"/>
    <w:rsid w:val="00073CA0"/>
    <w:rsid w:val="00074247"/>
    <w:rsid w:val="00074353"/>
    <w:rsid w:val="00074509"/>
    <w:rsid w:val="000746D9"/>
    <w:rsid w:val="00074732"/>
    <w:rsid w:val="00074780"/>
    <w:rsid w:val="000747E0"/>
    <w:rsid w:val="000747EC"/>
    <w:rsid w:val="00074935"/>
    <w:rsid w:val="00074DED"/>
    <w:rsid w:val="000751BC"/>
    <w:rsid w:val="000752D0"/>
    <w:rsid w:val="000752DB"/>
    <w:rsid w:val="000752F6"/>
    <w:rsid w:val="0007533B"/>
    <w:rsid w:val="00075368"/>
    <w:rsid w:val="000755AC"/>
    <w:rsid w:val="00075600"/>
    <w:rsid w:val="0007577D"/>
    <w:rsid w:val="00075B55"/>
    <w:rsid w:val="00075BA5"/>
    <w:rsid w:val="00075F8B"/>
    <w:rsid w:val="00076461"/>
    <w:rsid w:val="00076FA9"/>
    <w:rsid w:val="00076FB8"/>
    <w:rsid w:val="00076FCF"/>
    <w:rsid w:val="000770F9"/>
    <w:rsid w:val="000772D5"/>
    <w:rsid w:val="000774CB"/>
    <w:rsid w:val="00077862"/>
    <w:rsid w:val="00077980"/>
    <w:rsid w:val="00077A0F"/>
    <w:rsid w:val="00077C5E"/>
    <w:rsid w:val="00077D43"/>
    <w:rsid w:val="00077E0F"/>
    <w:rsid w:val="00077E46"/>
    <w:rsid w:val="00080022"/>
    <w:rsid w:val="00080C9E"/>
    <w:rsid w:val="000811D1"/>
    <w:rsid w:val="00081740"/>
    <w:rsid w:val="00081AB0"/>
    <w:rsid w:val="00081F56"/>
    <w:rsid w:val="00081F99"/>
    <w:rsid w:val="0008206E"/>
    <w:rsid w:val="000823C0"/>
    <w:rsid w:val="00082526"/>
    <w:rsid w:val="00082557"/>
    <w:rsid w:val="00082583"/>
    <w:rsid w:val="000825B6"/>
    <w:rsid w:val="00082AF7"/>
    <w:rsid w:val="00082DC2"/>
    <w:rsid w:val="00082EF1"/>
    <w:rsid w:val="000834B9"/>
    <w:rsid w:val="000834CD"/>
    <w:rsid w:val="0008361F"/>
    <w:rsid w:val="00083729"/>
    <w:rsid w:val="000838AE"/>
    <w:rsid w:val="00083AA0"/>
    <w:rsid w:val="00083B30"/>
    <w:rsid w:val="00083CDF"/>
    <w:rsid w:val="00083F86"/>
    <w:rsid w:val="0008432C"/>
    <w:rsid w:val="0008444B"/>
    <w:rsid w:val="00084562"/>
    <w:rsid w:val="0008478A"/>
    <w:rsid w:val="00084BF0"/>
    <w:rsid w:val="00084FC9"/>
    <w:rsid w:val="00085235"/>
    <w:rsid w:val="0008559B"/>
    <w:rsid w:val="000855F8"/>
    <w:rsid w:val="000856D9"/>
    <w:rsid w:val="000859A5"/>
    <w:rsid w:val="00085A69"/>
    <w:rsid w:val="00085B6D"/>
    <w:rsid w:val="00085DD1"/>
    <w:rsid w:val="00085F68"/>
    <w:rsid w:val="000868E4"/>
    <w:rsid w:val="0008694E"/>
    <w:rsid w:val="00086BD9"/>
    <w:rsid w:val="00086CF4"/>
    <w:rsid w:val="00086D44"/>
    <w:rsid w:val="00086F07"/>
    <w:rsid w:val="00086FC4"/>
    <w:rsid w:val="0008717F"/>
    <w:rsid w:val="000873F0"/>
    <w:rsid w:val="00087466"/>
    <w:rsid w:val="0008758E"/>
    <w:rsid w:val="000876CC"/>
    <w:rsid w:val="000877D7"/>
    <w:rsid w:val="00087B02"/>
    <w:rsid w:val="00087C06"/>
    <w:rsid w:val="00087CE1"/>
    <w:rsid w:val="00087F38"/>
    <w:rsid w:val="000903A7"/>
    <w:rsid w:val="00090C6A"/>
    <w:rsid w:val="00090F2A"/>
    <w:rsid w:val="00090F70"/>
    <w:rsid w:val="0009101A"/>
    <w:rsid w:val="0009173A"/>
    <w:rsid w:val="00091886"/>
    <w:rsid w:val="000918BD"/>
    <w:rsid w:val="00091947"/>
    <w:rsid w:val="0009196F"/>
    <w:rsid w:val="00091A3C"/>
    <w:rsid w:val="0009204D"/>
    <w:rsid w:val="000922F7"/>
    <w:rsid w:val="000927EF"/>
    <w:rsid w:val="00092961"/>
    <w:rsid w:val="00092B0B"/>
    <w:rsid w:val="00092B59"/>
    <w:rsid w:val="00092CD7"/>
    <w:rsid w:val="00092D2B"/>
    <w:rsid w:val="000930A7"/>
    <w:rsid w:val="000930B4"/>
    <w:rsid w:val="00093739"/>
    <w:rsid w:val="00093905"/>
    <w:rsid w:val="00093930"/>
    <w:rsid w:val="00093A8F"/>
    <w:rsid w:val="00093C71"/>
    <w:rsid w:val="00093E98"/>
    <w:rsid w:val="00094009"/>
    <w:rsid w:val="0009416D"/>
    <w:rsid w:val="00094480"/>
    <w:rsid w:val="00094503"/>
    <w:rsid w:val="00094867"/>
    <w:rsid w:val="00094B60"/>
    <w:rsid w:val="00094BD8"/>
    <w:rsid w:val="00094DB3"/>
    <w:rsid w:val="00095002"/>
    <w:rsid w:val="00095A08"/>
    <w:rsid w:val="00095F22"/>
    <w:rsid w:val="0009621B"/>
    <w:rsid w:val="0009655B"/>
    <w:rsid w:val="000966B8"/>
    <w:rsid w:val="000967D1"/>
    <w:rsid w:val="000969C0"/>
    <w:rsid w:val="00096BD9"/>
    <w:rsid w:val="00096EEA"/>
    <w:rsid w:val="0009708D"/>
    <w:rsid w:val="00097280"/>
    <w:rsid w:val="00097407"/>
    <w:rsid w:val="00097541"/>
    <w:rsid w:val="000976B8"/>
    <w:rsid w:val="00097A9D"/>
    <w:rsid w:val="000A014E"/>
    <w:rsid w:val="000A0173"/>
    <w:rsid w:val="000A01FE"/>
    <w:rsid w:val="000A0278"/>
    <w:rsid w:val="000A03F6"/>
    <w:rsid w:val="000A043B"/>
    <w:rsid w:val="000A05B3"/>
    <w:rsid w:val="000A0AF5"/>
    <w:rsid w:val="000A0B03"/>
    <w:rsid w:val="000A0C64"/>
    <w:rsid w:val="000A0C99"/>
    <w:rsid w:val="000A0CD5"/>
    <w:rsid w:val="000A0DBD"/>
    <w:rsid w:val="000A0F77"/>
    <w:rsid w:val="000A117C"/>
    <w:rsid w:val="000A14A9"/>
    <w:rsid w:val="000A1760"/>
    <w:rsid w:val="000A1986"/>
    <w:rsid w:val="000A1AFE"/>
    <w:rsid w:val="000A1DCC"/>
    <w:rsid w:val="000A1E09"/>
    <w:rsid w:val="000A1ED6"/>
    <w:rsid w:val="000A229D"/>
    <w:rsid w:val="000A2A4F"/>
    <w:rsid w:val="000A2B46"/>
    <w:rsid w:val="000A30F0"/>
    <w:rsid w:val="000A3316"/>
    <w:rsid w:val="000A344F"/>
    <w:rsid w:val="000A3510"/>
    <w:rsid w:val="000A3729"/>
    <w:rsid w:val="000A3772"/>
    <w:rsid w:val="000A38EB"/>
    <w:rsid w:val="000A4293"/>
    <w:rsid w:val="000A42A7"/>
    <w:rsid w:val="000A43CB"/>
    <w:rsid w:val="000A4410"/>
    <w:rsid w:val="000A4674"/>
    <w:rsid w:val="000A483B"/>
    <w:rsid w:val="000A4B31"/>
    <w:rsid w:val="000A4CF5"/>
    <w:rsid w:val="000A535F"/>
    <w:rsid w:val="000A5E6E"/>
    <w:rsid w:val="000A5F64"/>
    <w:rsid w:val="000A6641"/>
    <w:rsid w:val="000A6751"/>
    <w:rsid w:val="000A6973"/>
    <w:rsid w:val="000A7456"/>
    <w:rsid w:val="000A760D"/>
    <w:rsid w:val="000A762D"/>
    <w:rsid w:val="000A772B"/>
    <w:rsid w:val="000A7B02"/>
    <w:rsid w:val="000A7BD3"/>
    <w:rsid w:val="000B0560"/>
    <w:rsid w:val="000B0682"/>
    <w:rsid w:val="000B071A"/>
    <w:rsid w:val="000B0720"/>
    <w:rsid w:val="000B09B7"/>
    <w:rsid w:val="000B119F"/>
    <w:rsid w:val="000B135A"/>
    <w:rsid w:val="000B13B3"/>
    <w:rsid w:val="000B1707"/>
    <w:rsid w:val="000B1735"/>
    <w:rsid w:val="000B17F5"/>
    <w:rsid w:val="000B181D"/>
    <w:rsid w:val="000B186B"/>
    <w:rsid w:val="000B1BC4"/>
    <w:rsid w:val="000B1E4D"/>
    <w:rsid w:val="000B25F0"/>
    <w:rsid w:val="000B263F"/>
    <w:rsid w:val="000B28A2"/>
    <w:rsid w:val="000B29AA"/>
    <w:rsid w:val="000B2B0A"/>
    <w:rsid w:val="000B2B47"/>
    <w:rsid w:val="000B2BFF"/>
    <w:rsid w:val="000B2D8F"/>
    <w:rsid w:val="000B3110"/>
    <w:rsid w:val="000B319C"/>
    <w:rsid w:val="000B35CE"/>
    <w:rsid w:val="000B3616"/>
    <w:rsid w:val="000B3643"/>
    <w:rsid w:val="000B36C5"/>
    <w:rsid w:val="000B387B"/>
    <w:rsid w:val="000B393B"/>
    <w:rsid w:val="000B3B3B"/>
    <w:rsid w:val="000B3D61"/>
    <w:rsid w:val="000B3D6E"/>
    <w:rsid w:val="000B3E1B"/>
    <w:rsid w:val="000B4055"/>
    <w:rsid w:val="000B40F6"/>
    <w:rsid w:val="000B4225"/>
    <w:rsid w:val="000B422D"/>
    <w:rsid w:val="000B43D4"/>
    <w:rsid w:val="000B44DA"/>
    <w:rsid w:val="000B464D"/>
    <w:rsid w:val="000B4960"/>
    <w:rsid w:val="000B4BF0"/>
    <w:rsid w:val="000B4CB8"/>
    <w:rsid w:val="000B4D20"/>
    <w:rsid w:val="000B4D2B"/>
    <w:rsid w:val="000B4DB5"/>
    <w:rsid w:val="000B4DFF"/>
    <w:rsid w:val="000B51B1"/>
    <w:rsid w:val="000B56C6"/>
    <w:rsid w:val="000B599F"/>
    <w:rsid w:val="000B5B3A"/>
    <w:rsid w:val="000B5B87"/>
    <w:rsid w:val="000B5BFE"/>
    <w:rsid w:val="000B5C80"/>
    <w:rsid w:val="000B5EB8"/>
    <w:rsid w:val="000B607E"/>
    <w:rsid w:val="000B6B43"/>
    <w:rsid w:val="000B6CA4"/>
    <w:rsid w:val="000B6F68"/>
    <w:rsid w:val="000B728F"/>
    <w:rsid w:val="000B7418"/>
    <w:rsid w:val="000B7459"/>
    <w:rsid w:val="000B7754"/>
    <w:rsid w:val="000B7CB2"/>
    <w:rsid w:val="000B7D05"/>
    <w:rsid w:val="000C0088"/>
    <w:rsid w:val="000C00D0"/>
    <w:rsid w:val="000C0484"/>
    <w:rsid w:val="000C08D2"/>
    <w:rsid w:val="000C0954"/>
    <w:rsid w:val="000C10A2"/>
    <w:rsid w:val="000C10F3"/>
    <w:rsid w:val="000C1195"/>
    <w:rsid w:val="000C14A6"/>
    <w:rsid w:val="000C15F0"/>
    <w:rsid w:val="000C1828"/>
    <w:rsid w:val="000C1BA1"/>
    <w:rsid w:val="000C1CC7"/>
    <w:rsid w:val="000C1DF5"/>
    <w:rsid w:val="000C205F"/>
    <w:rsid w:val="000C21C9"/>
    <w:rsid w:val="000C2BFF"/>
    <w:rsid w:val="000C2E38"/>
    <w:rsid w:val="000C3491"/>
    <w:rsid w:val="000C3543"/>
    <w:rsid w:val="000C3765"/>
    <w:rsid w:val="000C3893"/>
    <w:rsid w:val="000C38EA"/>
    <w:rsid w:val="000C3E79"/>
    <w:rsid w:val="000C3F3E"/>
    <w:rsid w:val="000C40E2"/>
    <w:rsid w:val="000C4120"/>
    <w:rsid w:val="000C419A"/>
    <w:rsid w:val="000C4411"/>
    <w:rsid w:val="000C464A"/>
    <w:rsid w:val="000C478B"/>
    <w:rsid w:val="000C48FE"/>
    <w:rsid w:val="000C4BED"/>
    <w:rsid w:val="000C4CE3"/>
    <w:rsid w:val="000C4E10"/>
    <w:rsid w:val="000C4F66"/>
    <w:rsid w:val="000C5098"/>
    <w:rsid w:val="000C50E4"/>
    <w:rsid w:val="000C516E"/>
    <w:rsid w:val="000C5428"/>
    <w:rsid w:val="000C57C1"/>
    <w:rsid w:val="000C591D"/>
    <w:rsid w:val="000C59C9"/>
    <w:rsid w:val="000C5AA5"/>
    <w:rsid w:val="000C5BF2"/>
    <w:rsid w:val="000C5F1F"/>
    <w:rsid w:val="000C5F52"/>
    <w:rsid w:val="000C5F9F"/>
    <w:rsid w:val="000C5FF7"/>
    <w:rsid w:val="000C60C6"/>
    <w:rsid w:val="000C61BB"/>
    <w:rsid w:val="000C624F"/>
    <w:rsid w:val="000C6640"/>
    <w:rsid w:val="000C68B5"/>
    <w:rsid w:val="000C6BCD"/>
    <w:rsid w:val="000C6F5E"/>
    <w:rsid w:val="000C70BD"/>
    <w:rsid w:val="000C761F"/>
    <w:rsid w:val="000C7683"/>
    <w:rsid w:val="000C7FA4"/>
    <w:rsid w:val="000C7FCA"/>
    <w:rsid w:val="000D00E2"/>
    <w:rsid w:val="000D028A"/>
    <w:rsid w:val="000D04B0"/>
    <w:rsid w:val="000D0762"/>
    <w:rsid w:val="000D0ADD"/>
    <w:rsid w:val="000D0B85"/>
    <w:rsid w:val="000D0C55"/>
    <w:rsid w:val="000D115F"/>
    <w:rsid w:val="000D1318"/>
    <w:rsid w:val="000D1589"/>
    <w:rsid w:val="000D192C"/>
    <w:rsid w:val="000D1C5F"/>
    <w:rsid w:val="000D1CA0"/>
    <w:rsid w:val="000D1DE8"/>
    <w:rsid w:val="000D1EEE"/>
    <w:rsid w:val="000D1FE5"/>
    <w:rsid w:val="000D234F"/>
    <w:rsid w:val="000D23F8"/>
    <w:rsid w:val="000D25A7"/>
    <w:rsid w:val="000D2704"/>
    <w:rsid w:val="000D2804"/>
    <w:rsid w:val="000D291C"/>
    <w:rsid w:val="000D2DB1"/>
    <w:rsid w:val="000D2DB7"/>
    <w:rsid w:val="000D2E38"/>
    <w:rsid w:val="000D323A"/>
    <w:rsid w:val="000D330D"/>
    <w:rsid w:val="000D3357"/>
    <w:rsid w:val="000D3666"/>
    <w:rsid w:val="000D37A5"/>
    <w:rsid w:val="000D37AB"/>
    <w:rsid w:val="000D3817"/>
    <w:rsid w:val="000D3883"/>
    <w:rsid w:val="000D3C63"/>
    <w:rsid w:val="000D3CF1"/>
    <w:rsid w:val="000D3DE4"/>
    <w:rsid w:val="000D3E64"/>
    <w:rsid w:val="000D3F3D"/>
    <w:rsid w:val="000D3FDE"/>
    <w:rsid w:val="000D40DE"/>
    <w:rsid w:val="000D42C4"/>
    <w:rsid w:val="000D451A"/>
    <w:rsid w:val="000D48FE"/>
    <w:rsid w:val="000D4947"/>
    <w:rsid w:val="000D49FA"/>
    <w:rsid w:val="000D4D0B"/>
    <w:rsid w:val="000D4D62"/>
    <w:rsid w:val="000D4E15"/>
    <w:rsid w:val="000D4E60"/>
    <w:rsid w:val="000D5A66"/>
    <w:rsid w:val="000D5C65"/>
    <w:rsid w:val="000D5DB4"/>
    <w:rsid w:val="000D5DFD"/>
    <w:rsid w:val="000D61C2"/>
    <w:rsid w:val="000D645E"/>
    <w:rsid w:val="000D654E"/>
    <w:rsid w:val="000D6654"/>
    <w:rsid w:val="000D66C4"/>
    <w:rsid w:val="000D6A81"/>
    <w:rsid w:val="000D6A94"/>
    <w:rsid w:val="000D6FCF"/>
    <w:rsid w:val="000D726D"/>
    <w:rsid w:val="000D7731"/>
    <w:rsid w:val="000D77FA"/>
    <w:rsid w:val="000D7C6C"/>
    <w:rsid w:val="000D7DAF"/>
    <w:rsid w:val="000E0063"/>
    <w:rsid w:val="000E02D7"/>
    <w:rsid w:val="000E04FD"/>
    <w:rsid w:val="000E05FA"/>
    <w:rsid w:val="000E0652"/>
    <w:rsid w:val="000E0729"/>
    <w:rsid w:val="000E0C50"/>
    <w:rsid w:val="000E0E37"/>
    <w:rsid w:val="000E132A"/>
    <w:rsid w:val="000E18E4"/>
    <w:rsid w:val="000E1918"/>
    <w:rsid w:val="000E1EB9"/>
    <w:rsid w:val="000E1FF1"/>
    <w:rsid w:val="000E202F"/>
    <w:rsid w:val="000E2404"/>
    <w:rsid w:val="000E27AC"/>
    <w:rsid w:val="000E2916"/>
    <w:rsid w:val="000E2D24"/>
    <w:rsid w:val="000E2EA6"/>
    <w:rsid w:val="000E2FA1"/>
    <w:rsid w:val="000E31B5"/>
    <w:rsid w:val="000E33E8"/>
    <w:rsid w:val="000E34A2"/>
    <w:rsid w:val="000E3647"/>
    <w:rsid w:val="000E3742"/>
    <w:rsid w:val="000E3773"/>
    <w:rsid w:val="000E37FB"/>
    <w:rsid w:val="000E3C25"/>
    <w:rsid w:val="000E3C5A"/>
    <w:rsid w:val="000E3CCB"/>
    <w:rsid w:val="000E4250"/>
    <w:rsid w:val="000E42EF"/>
    <w:rsid w:val="000E481C"/>
    <w:rsid w:val="000E4B32"/>
    <w:rsid w:val="000E4DE8"/>
    <w:rsid w:val="000E54A6"/>
    <w:rsid w:val="000E554A"/>
    <w:rsid w:val="000E56AA"/>
    <w:rsid w:val="000E589E"/>
    <w:rsid w:val="000E5AD0"/>
    <w:rsid w:val="000E5F7D"/>
    <w:rsid w:val="000E6379"/>
    <w:rsid w:val="000E638C"/>
    <w:rsid w:val="000E6392"/>
    <w:rsid w:val="000E6626"/>
    <w:rsid w:val="000E6781"/>
    <w:rsid w:val="000E6823"/>
    <w:rsid w:val="000E69ED"/>
    <w:rsid w:val="000E6A6B"/>
    <w:rsid w:val="000E7344"/>
    <w:rsid w:val="000E7516"/>
    <w:rsid w:val="000E772B"/>
    <w:rsid w:val="000E7FB0"/>
    <w:rsid w:val="000F005F"/>
    <w:rsid w:val="000F02B9"/>
    <w:rsid w:val="000F02D9"/>
    <w:rsid w:val="000F02E5"/>
    <w:rsid w:val="000F0484"/>
    <w:rsid w:val="000F0BC2"/>
    <w:rsid w:val="000F0F0C"/>
    <w:rsid w:val="000F1154"/>
    <w:rsid w:val="000F1345"/>
    <w:rsid w:val="000F1391"/>
    <w:rsid w:val="000F15A9"/>
    <w:rsid w:val="000F165C"/>
    <w:rsid w:val="000F1737"/>
    <w:rsid w:val="000F1817"/>
    <w:rsid w:val="000F1B46"/>
    <w:rsid w:val="000F1B89"/>
    <w:rsid w:val="000F1E84"/>
    <w:rsid w:val="000F2061"/>
    <w:rsid w:val="000F2704"/>
    <w:rsid w:val="000F2C89"/>
    <w:rsid w:val="000F2CEB"/>
    <w:rsid w:val="000F3065"/>
    <w:rsid w:val="000F3077"/>
    <w:rsid w:val="000F32B7"/>
    <w:rsid w:val="000F3301"/>
    <w:rsid w:val="000F33A0"/>
    <w:rsid w:val="000F33BB"/>
    <w:rsid w:val="000F345B"/>
    <w:rsid w:val="000F347D"/>
    <w:rsid w:val="000F36C6"/>
    <w:rsid w:val="000F3D5E"/>
    <w:rsid w:val="000F3D6C"/>
    <w:rsid w:val="000F3EF1"/>
    <w:rsid w:val="000F3F37"/>
    <w:rsid w:val="000F3FA4"/>
    <w:rsid w:val="000F4CB7"/>
    <w:rsid w:val="000F4F55"/>
    <w:rsid w:val="000F5060"/>
    <w:rsid w:val="000F5202"/>
    <w:rsid w:val="000F5504"/>
    <w:rsid w:val="000F5848"/>
    <w:rsid w:val="000F594A"/>
    <w:rsid w:val="000F5BAC"/>
    <w:rsid w:val="000F5C99"/>
    <w:rsid w:val="000F5CB9"/>
    <w:rsid w:val="000F60D2"/>
    <w:rsid w:val="000F6240"/>
    <w:rsid w:val="000F630D"/>
    <w:rsid w:val="000F658D"/>
    <w:rsid w:val="000F6C88"/>
    <w:rsid w:val="000F6D04"/>
    <w:rsid w:val="000F6D60"/>
    <w:rsid w:val="000F7074"/>
    <w:rsid w:val="000F727D"/>
    <w:rsid w:val="000F7488"/>
    <w:rsid w:val="000F7A59"/>
    <w:rsid w:val="000F7DA3"/>
    <w:rsid w:val="000F7FDF"/>
    <w:rsid w:val="00100A9C"/>
    <w:rsid w:val="00100BF9"/>
    <w:rsid w:val="00100E29"/>
    <w:rsid w:val="00100E31"/>
    <w:rsid w:val="00100EF7"/>
    <w:rsid w:val="0010105F"/>
    <w:rsid w:val="00101293"/>
    <w:rsid w:val="0010171E"/>
    <w:rsid w:val="001017F5"/>
    <w:rsid w:val="00101831"/>
    <w:rsid w:val="00101D60"/>
    <w:rsid w:val="00101DEF"/>
    <w:rsid w:val="001021C6"/>
    <w:rsid w:val="00102499"/>
    <w:rsid w:val="0010271D"/>
    <w:rsid w:val="00102936"/>
    <w:rsid w:val="00102AAF"/>
    <w:rsid w:val="00102F58"/>
    <w:rsid w:val="00102F73"/>
    <w:rsid w:val="00103135"/>
    <w:rsid w:val="001032BA"/>
    <w:rsid w:val="001032BD"/>
    <w:rsid w:val="001032D4"/>
    <w:rsid w:val="001033B6"/>
    <w:rsid w:val="00103479"/>
    <w:rsid w:val="00103747"/>
    <w:rsid w:val="00103790"/>
    <w:rsid w:val="001038DD"/>
    <w:rsid w:val="00104182"/>
    <w:rsid w:val="001042E8"/>
    <w:rsid w:val="0010440F"/>
    <w:rsid w:val="0010446C"/>
    <w:rsid w:val="00104754"/>
    <w:rsid w:val="00104967"/>
    <w:rsid w:val="00104B50"/>
    <w:rsid w:val="00104DDD"/>
    <w:rsid w:val="00104F4F"/>
    <w:rsid w:val="00104FBF"/>
    <w:rsid w:val="00105088"/>
    <w:rsid w:val="0010508F"/>
    <w:rsid w:val="00105130"/>
    <w:rsid w:val="0010516D"/>
    <w:rsid w:val="001053DC"/>
    <w:rsid w:val="001055B7"/>
    <w:rsid w:val="00105866"/>
    <w:rsid w:val="00105CFB"/>
    <w:rsid w:val="00105FCC"/>
    <w:rsid w:val="00106748"/>
    <w:rsid w:val="00106783"/>
    <w:rsid w:val="00106A3F"/>
    <w:rsid w:val="00106B50"/>
    <w:rsid w:val="00106E7F"/>
    <w:rsid w:val="00106F66"/>
    <w:rsid w:val="00107059"/>
    <w:rsid w:val="00107112"/>
    <w:rsid w:val="001073EA"/>
    <w:rsid w:val="00107614"/>
    <w:rsid w:val="00107B30"/>
    <w:rsid w:val="00107E6F"/>
    <w:rsid w:val="0011019D"/>
    <w:rsid w:val="0011066C"/>
    <w:rsid w:val="00110D98"/>
    <w:rsid w:val="00110EE8"/>
    <w:rsid w:val="00111057"/>
    <w:rsid w:val="001110BA"/>
    <w:rsid w:val="001110F8"/>
    <w:rsid w:val="001115A5"/>
    <w:rsid w:val="00111760"/>
    <w:rsid w:val="00111B7F"/>
    <w:rsid w:val="00112297"/>
    <w:rsid w:val="00112327"/>
    <w:rsid w:val="001127CB"/>
    <w:rsid w:val="00112A26"/>
    <w:rsid w:val="00112A45"/>
    <w:rsid w:val="00112B99"/>
    <w:rsid w:val="00112F56"/>
    <w:rsid w:val="001133CF"/>
    <w:rsid w:val="00113562"/>
    <w:rsid w:val="00113575"/>
    <w:rsid w:val="001135E9"/>
    <w:rsid w:val="00113A58"/>
    <w:rsid w:val="00114204"/>
    <w:rsid w:val="001143E0"/>
    <w:rsid w:val="00114411"/>
    <w:rsid w:val="0011453C"/>
    <w:rsid w:val="001147C6"/>
    <w:rsid w:val="00114A38"/>
    <w:rsid w:val="00114B56"/>
    <w:rsid w:val="00114BE6"/>
    <w:rsid w:val="00114F45"/>
    <w:rsid w:val="001152C6"/>
    <w:rsid w:val="001154D8"/>
    <w:rsid w:val="001154F6"/>
    <w:rsid w:val="001156E9"/>
    <w:rsid w:val="001157BE"/>
    <w:rsid w:val="00115B02"/>
    <w:rsid w:val="00115D37"/>
    <w:rsid w:val="00115EA6"/>
    <w:rsid w:val="00116738"/>
    <w:rsid w:val="00116AE9"/>
    <w:rsid w:val="00116D84"/>
    <w:rsid w:val="00116E2C"/>
    <w:rsid w:val="00116EF9"/>
    <w:rsid w:val="001170EB"/>
    <w:rsid w:val="00117138"/>
    <w:rsid w:val="0011734E"/>
    <w:rsid w:val="00117654"/>
    <w:rsid w:val="00117A5B"/>
    <w:rsid w:val="00117B07"/>
    <w:rsid w:val="00117F0E"/>
    <w:rsid w:val="00120106"/>
    <w:rsid w:val="001209A8"/>
    <w:rsid w:val="00120AC2"/>
    <w:rsid w:val="00120D12"/>
    <w:rsid w:val="001214CC"/>
    <w:rsid w:val="0012184F"/>
    <w:rsid w:val="00121AA8"/>
    <w:rsid w:val="00121B7A"/>
    <w:rsid w:val="00121D0B"/>
    <w:rsid w:val="001220B8"/>
    <w:rsid w:val="00122134"/>
    <w:rsid w:val="001222F3"/>
    <w:rsid w:val="0012233E"/>
    <w:rsid w:val="00122341"/>
    <w:rsid w:val="00122481"/>
    <w:rsid w:val="0012248E"/>
    <w:rsid w:val="001225A2"/>
    <w:rsid w:val="001226A2"/>
    <w:rsid w:val="00122C21"/>
    <w:rsid w:val="00122F5A"/>
    <w:rsid w:val="00123057"/>
    <w:rsid w:val="001230D9"/>
    <w:rsid w:val="001230E3"/>
    <w:rsid w:val="001234B8"/>
    <w:rsid w:val="00123D11"/>
    <w:rsid w:val="00124231"/>
    <w:rsid w:val="0012431C"/>
    <w:rsid w:val="00124510"/>
    <w:rsid w:val="00124A6C"/>
    <w:rsid w:val="00124C83"/>
    <w:rsid w:val="00124F25"/>
    <w:rsid w:val="001250C1"/>
    <w:rsid w:val="00125204"/>
    <w:rsid w:val="00125372"/>
    <w:rsid w:val="001253AB"/>
    <w:rsid w:val="00125C38"/>
    <w:rsid w:val="00125C69"/>
    <w:rsid w:val="001269B9"/>
    <w:rsid w:val="00126A03"/>
    <w:rsid w:val="00126BE1"/>
    <w:rsid w:val="00126C2F"/>
    <w:rsid w:val="00126CCB"/>
    <w:rsid w:val="00126CEF"/>
    <w:rsid w:val="00126D92"/>
    <w:rsid w:val="00126DDE"/>
    <w:rsid w:val="00126FCF"/>
    <w:rsid w:val="00127015"/>
    <w:rsid w:val="001272DE"/>
    <w:rsid w:val="00127557"/>
    <w:rsid w:val="0012779A"/>
    <w:rsid w:val="001277F0"/>
    <w:rsid w:val="00127A3C"/>
    <w:rsid w:val="00127B3B"/>
    <w:rsid w:val="00127D24"/>
    <w:rsid w:val="0013007A"/>
    <w:rsid w:val="001308A2"/>
    <w:rsid w:val="001308FA"/>
    <w:rsid w:val="0013123C"/>
    <w:rsid w:val="00131619"/>
    <w:rsid w:val="001318CF"/>
    <w:rsid w:val="00131F9A"/>
    <w:rsid w:val="0013260D"/>
    <w:rsid w:val="0013273A"/>
    <w:rsid w:val="001328F3"/>
    <w:rsid w:val="001332A7"/>
    <w:rsid w:val="001332B3"/>
    <w:rsid w:val="0013343B"/>
    <w:rsid w:val="00133788"/>
    <w:rsid w:val="001337C2"/>
    <w:rsid w:val="001338DB"/>
    <w:rsid w:val="00133C2F"/>
    <w:rsid w:val="00133CFA"/>
    <w:rsid w:val="00133E26"/>
    <w:rsid w:val="001343D6"/>
    <w:rsid w:val="00134650"/>
    <w:rsid w:val="00134827"/>
    <w:rsid w:val="00134ACE"/>
    <w:rsid w:val="00134CDA"/>
    <w:rsid w:val="001351CD"/>
    <w:rsid w:val="00135243"/>
    <w:rsid w:val="0013537F"/>
    <w:rsid w:val="00135418"/>
    <w:rsid w:val="001358FD"/>
    <w:rsid w:val="00135980"/>
    <w:rsid w:val="001360C3"/>
    <w:rsid w:val="00136239"/>
    <w:rsid w:val="001362A6"/>
    <w:rsid w:val="001362A8"/>
    <w:rsid w:val="001365D2"/>
    <w:rsid w:val="0013662E"/>
    <w:rsid w:val="0013695F"/>
    <w:rsid w:val="001369B8"/>
    <w:rsid w:val="00136A4F"/>
    <w:rsid w:val="00136E06"/>
    <w:rsid w:val="001372AB"/>
    <w:rsid w:val="001373EF"/>
    <w:rsid w:val="00137881"/>
    <w:rsid w:val="001378C8"/>
    <w:rsid w:val="00137DB9"/>
    <w:rsid w:val="001400E5"/>
    <w:rsid w:val="0014097C"/>
    <w:rsid w:val="00140A64"/>
    <w:rsid w:val="00140EA6"/>
    <w:rsid w:val="0014114D"/>
    <w:rsid w:val="001412B4"/>
    <w:rsid w:val="00141300"/>
    <w:rsid w:val="00141394"/>
    <w:rsid w:val="001414E3"/>
    <w:rsid w:val="001419B1"/>
    <w:rsid w:val="00141A1A"/>
    <w:rsid w:val="00141A7D"/>
    <w:rsid w:val="00141CA7"/>
    <w:rsid w:val="00141CDC"/>
    <w:rsid w:val="00141D4D"/>
    <w:rsid w:val="00141FD7"/>
    <w:rsid w:val="00142169"/>
    <w:rsid w:val="001421C2"/>
    <w:rsid w:val="001424EE"/>
    <w:rsid w:val="00142833"/>
    <w:rsid w:val="0014290D"/>
    <w:rsid w:val="00142A5F"/>
    <w:rsid w:val="00142B06"/>
    <w:rsid w:val="00142B5E"/>
    <w:rsid w:val="00142BCC"/>
    <w:rsid w:val="00142DB3"/>
    <w:rsid w:val="00142E2D"/>
    <w:rsid w:val="00142F50"/>
    <w:rsid w:val="001431DE"/>
    <w:rsid w:val="00143951"/>
    <w:rsid w:val="0014398E"/>
    <w:rsid w:val="00143E52"/>
    <w:rsid w:val="001443E4"/>
    <w:rsid w:val="00144483"/>
    <w:rsid w:val="001444C1"/>
    <w:rsid w:val="001448A3"/>
    <w:rsid w:val="00144919"/>
    <w:rsid w:val="0014494C"/>
    <w:rsid w:val="00144987"/>
    <w:rsid w:val="00144CE2"/>
    <w:rsid w:val="00144FC1"/>
    <w:rsid w:val="001457B2"/>
    <w:rsid w:val="001457F7"/>
    <w:rsid w:val="001459D6"/>
    <w:rsid w:val="00145A8A"/>
    <w:rsid w:val="00145B63"/>
    <w:rsid w:val="00146875"/>
    <w:rsid w:val="00147037"/>
    <w:rsid w:val="00147143"/>
    <w:rsid w:val="001472BA"/>
    <w:rsid w:val="001475A5"/>
    <w:rsid w:val="0014768B"/>
    <w:rsid w:val="00147C41"/>
    <w:rsid w:val="00147CF9"/>
    <w:rsid w:val="00147D24"/>
    <w:rsid w:val="00147D37"/>
    <w:rsid w:val="00147F83"/>
    <w:rsid w:val="00150301"/>
    <w:rsid w:val="001505E7"/>
    <w:rsid w:val="001506AF"/>
    <w:rsid w:val="00150737"/>
    <w:rsid w:val="001507EB"/>
    <w:rsid w:val="00150A29"/>
    <w:rsid w:val="00150ADD"/>
    <w:rsid w:val="00150E30"/>
    <w:rsid w:val="0015108C"/>
    <w:rsid w:val="001515F2"/>
    <w:rsid w:val="00151C22"/>
    <w:rsid w:val="00151C95"/>
    <w:rsid w:val="00151E87"/>
    <w:rsid w:val="0015208D"/>
    <w:rsid w:val="0015256F"/>
    <w:rsid w:val="00152683"/>
    <w:rsid w:val="00152707"/>
    <w:rsid w:val="001527E7"/>
    <w:rsid w:val="0015284D"/>
    <w:rsid w:val="00152A7F"/>
    <w:rsid w:val="00152B64"/>
    <w:rsid w:val="00153065"/>
    <w:rsid w:val="001533DC"/>
    <w:rsid w:val="001537A8"/>
    <w:rsid w:val="00153ADB"/>
    <w:rsid w:val="00153B0B"/>
    <w:rsid w:val="00153B81"/>
    <w:rsid w:val="00153E00"/>
    <w:rsid w:val="00154129"/>
    <w:rsid w:val="00154221"/>
    <w:rsid w:val="001543A2"/>
    <w:rsid w:val="001543FF"/>
    <w:rsid w:val="00154446"/>
    <w:rsid w:val="00154482"/>
    <w:rsid w:val="001546B9"/>
    <w:rsid w:val="001546C7"/>
    <w:rsid w:val="00154CBE"/>
    <w:rsid w:val="00154EC4"/>
    <w:rsid w:val="00154FBA"/>
    <w:rsid w:val="00154FC4"/>
    <w:rsid w:val="00155134"/>
    <w:rsid w:val="0015529D"/>
    <w:rsid w:val="001557FC"/>
    <w:rsid w:val="00155C9E"/>
    <w:rsid w:val="001560FA"/>
    <w:rsid w:val="0015635F"/>
    <w:rsid w:val="00156A9C"/>
    <w:rsid w:val="00156CF2"/>
    <w:rsid w:val="00156E1F"/>
    <w:rsid w:val="00156E6F"/>
    <w:rsid w:val="00156F90"/>
    <w:rsid w:val="00157037"/>
    <w:rsid w:val="00157AA9"/>
    <w:rsid w:val="00157E63"/>
    <w:rsid w:val="00157E72"/>
    <w:rsid w:val="00157F58"/>
    <w:rsid w:val="00160030"/>
    <w:rsid w:val="001602A6"/>
    <w:rsid w:val="00160BB6"/>
    <w:rsid w:val="00161060"/>
    <w:rsid w:val="001610D2"/>
    <w:rsid w:val="00161189"/>
    <w:rsid w:val="001614D5"/>
    <w:rsid w:val="0016158F"/>
    <w:rsid w:val="00161C85"/>
    <w:rsid w:val="00161DF0"/>
    <w:rsid w:val="00161E24"/>
    <w:rsid w:val="0016213B"/>
    <w:rsid w:val="00162169"/>
    <w:rsid w:val="001621DF"/>
    <w:rsid w:val="001627A1"/>
    <w:rsid w:val="001627B8"/>
    <w:rsid w:val="001628F2"/>
    <w:rsid w:val="00162C35"/>
    <w:rsid w:val="00162F60"/>
    <w:rsid w:val="00163064"/>
    <w:rsid w:val="001631AA"/>
    <w:rsid w:val="00163201"/>
    <w:rsid w:val="00163337"/>
    <w:rsid w:val="00163389"/>
    <w:rsid w:val="001634F9"/>
    <w:rsid w:val="00163689"/>
    <w:rsid w:val="00163748"/>
    <w:rsid w:val="00163792"/>
    <w:rsid w:val="00163813"/>
    <w:rsid w:val="00163993"/>
    <w:rsid w:val="00163B34"/>
    <w:rsid w:val="00163F9A"/>
    <w:rsid w:val="001640D4"/>
    <w:rsid w:val="001641AF"/>
    <w:rsid w:val="00164602"/>
    <w:rsid w:val="00164606"/>
    <w:rsid w:val="00164925"/>
    <w:rsid w:val="001649E2"/>
    <w:rsid w:val="00164AEC"/>
    <w:rsid w:val="00164D4C"/>
    <w:rsid w:val="001650EC"/>
    <w:rsid w:val="00165418"/>
    <w:rsid w:val="001655F9"/>
    <w:rsid w:val="00165646"/>
    <w:rsid w:val="00165AF4"/>
    <w:rsid w:val="00165B6E"/>
    <w:rsid w:val="00165D35"/>
    <w:rsid w:val="00165E16"/>
    <w:rsid w:val="00165EFC"/>
    <w:rsid w:val="00166373"/>
    <w:rsid w:val="001666E7"/>
    <w:rsid w:val="00166A55"/>
    <w:rsid w:val="00166C68"/>
    <w:rsid w:val="00166DB6"/>
    <w:rsid w:val="00166F92"/>
    <w:rsid w:val="001670A2"/>
    <w:rsid w:val="001670B2"/>
    <w:rsid w:val="001672A7"/>
    <w:rsid w:val="0016736A"/>
    <w:rsid w:val="00167454"/>
    <w:rsid w:val="00167471"/>
    <w:rsid w:val="00167A1E"/>
    <w:rsid w:val="00167CAA"/>
    <w:rsid w:val="00167CE3"/>
    <w:rsid w:val="00167E6E"/>
    <w:rsid w:val="00167F54"/>
    <w:rsid w:val="00167F76"/>
    <w:rsid w:val="0017006D"/>
    <w:rsid w:val="00170315"/>
    <w:rsid w:val="001705AD"/>
    <w:rsid w:val="00170B78"/>
    <w:rsid w:val="00170C4B"/>
    <w:rsid w:val="00170DCF"/>
    <w:rsid w:val="001712BE"/>
    <w:rsid w:val="00171318"/>
    <w:rsid w:val="001716B9"/>
    <w:rsid w:val="00171895"/>
    <w:rsid w:val="00171A65"/>
    <w:rsid w:val="00171BC0"/>
    <w:rsid w:val="001720FC"/>
    <w:rsid w:val="00172213"/>
    <w:rsid w:val="00172700"/>
    <w:rsid w:val="00172F8A"/>
    <w:rsid w:val="00173034"/>
    <w:rsid w:val="0017323E"/>
    <w:rsid w:val="00173429"/>
    <w:rsid w:val="00173A4F"/>
    <w:rsid w:val="00173BD3"/>
    <w:rsid w:val="00173CB6"/>
    <w:rsid w:val="00173FCC"/>
    <w:rsid w:val="00173FCF"/>
    <w:rsid w:val="00174121"/>
    <w:rsid w:val="00174295"/>
    <w:rsid w:val="00174A7E"/>
    <w:rsid w:val="00174CA9"/>
    <w:rsid w:val="00174EAE"/>
    <w:rsid w:val="00174EE8"/>
    <w:rsid w:val="00174F7F"/>
    <w:rsid w:val="001751A7"/>
    <w:rsid w:val="001755EA"/>
    <w:rsid w:val="001759F2"/>
    <w:rsid w:val="00175B3A"/>
    <w:rsid w:val="00175ED5"/>
    <w:rsid w:val="001768EE"/>
    <w:rsid w:val="00176ADD"/>
    <w:rsid w:val="00176DDC"/>
    <w:rsid w:val="00176F76"/>
    <w:rsid w:val="001774C1"/>
    <w:rsid w:val="0017753F"/>
    <w:rsid w:val="00177681"/>
    <w:rsid w:val="00177D4D"/>
    <w:rsid w:val="00177EF6"/>
    <w:rsid w:val="001801FC"/>
    <w:rsid w:val="0018039D"/>
    <w:rsid w:val="001804D1"/>
    <w:rsid w:val="00180785"/>
    <w:rsid w:val="00180AEF"/>
    <w:rsid w:val="00180C03"/>
    <w:rsid w:val="00180D5C"/>
    <w:rsid w:val="00180E4E"/>
    <w:rsid w:val="00181127"/>
    <w:rsid w:val="001811F9"/>
    <w:rsid w:val="00181519"/>
    <w:rsid w:val="0018172D"/>
    <w:rsid w:val="00181C4B"/>
    <w:rsid w:val="00181CBD"/>
    <w:rsid w:val="00181E00"/>
    <w:rsid w:val="00181F2F"/>
    <w:rsid w:val="00182AD1"/>
    <w:rsid w:val="00182C64"/>
    <w:rsid w:val="00182C7D"/>
    <w:rsid w:val="00182CCA"/>
    <w:rsid w:val="00182DB3"/>
    <w:rsid w:val="00183289"/>
    <w:rsid w:val="0018350A"/>
    <w:rsid w:val="00183DE3"/>
    <w:rsid w:val="00183E3D"/>
    <w:rsid w:val="001840AD"/>
    <w:rsid w:val="001841AE"/>
    <w:rsid w:val="001845E2"/>
    <w:rsid w:val="00184AC0"/>
    <w:rsid w:val="00184EF0"/>
    <w:rsid w:val="001852B2"/>
    <w:rsid w:val="001856EB"/>
    <w:rsid w:val="00185886"/>
    <w:rsid w:val="00185B5D"/>
    <w:rsid w:val="00185D5A"/>
    <w:rsid w:val="00185D8F"/>
    <w:rsid w:val="00185DE1"/>
    <w:rsid w:val="00186079"/>
    <w:rsid w:val="00186752"/>
    <w:rsid w:val="00186938"/>
    <w:rsid w:val="00186AB5"/>
    <w:rsid w:val="00186D2E"/>
    <w:rsid w:val="00186EBA"/>
    <w:rsid w:val="001871A4"/>
    <w:rsid w:val="001872A5"/>
    <w:rsid w:val="001873F1"/>
    <w:rsid w:val="001874F5"/>
    <w:rsid w:val="001874FF"/>
    <w:rsid w:val="00187B68"/>
    <w:rsid w:val="00187BFF"/>
    <w:rsid w:val="00187C44"/>
    <w:rsid w:val="00187D3A"/>
    <w:rsid w:val="00187F43"/>
    <w:rsid w:val="001901B2"/>
    <w:rsid w:val="00190267"/>
    <w:rsid w:val="0019045A"/>
    <w:rsid w:val="001904B3"/>
    <w:rsid w:val="00190625"/>
    <w:rsid w:val="00190665"/>
    <w:rsid w:val="00190813"/>
    <w:rsid w:val="0019097E"/>
    <w:rsid w:val="001909D6"/>
    <w:rsid w:val="001914D1"/>
    <w:rsid w:val="0019185B"/>
    <w:rsid w:val="0019189B"/>
    <w:rsid w:val="00191FDF"/>
    <w:rsid w:val="001922F0"/>
    <w:rsid w:val="00192400"/>
    <w:rsid w:val="00192844"/>
    <w:rsid w:val="00192C29"/>
    <w:rsid w:val="00192C42"/>
    <w:rsid w:val="00192DBC"/>
    <w:rsid w:val="00192F10"/>
    <w:rsid w:val="00192F87"/>
    <w:rsid w:val="001930AC"/>
    <w:rsid w:val="001935B9"/>
    <w:rsid w:val="00193658"/>
    <w:rsid w:val="00193FD9"/>
    <w:rsid w:val="0019429B"/>
    <w:rsid w:val="001944C0"/>
    <w:rsid w:val="0019464A"/>
    <w:rsid w:val="001946FC"/>
    <w:rsid w:val="00194E4B"/>
    <w:rsid w:val="00194FDE"/>
    <w:rsid w:val="00195075"/>
    <w:rsid w:val="00195434"/>
    <w:rsid w:val="00195506"/>
    <w:rsid w:val="00195760"/>
    <w:rsid w:val="00195834"/>
    <w:rsid w:val="00195B5E"/>
    <w:rsid w:val="00195CB9"/>
    <w:rsid w:val="00195D48"/>
    <w:rsid w:val="00195DE4"/>
    <w:rsid w:val="001961C6"/>
    <w:rsid w:val="001961D3"/>
    <w:rsid w:val="001962B6"/>
    <w:rsid w:val="00196779"/>
    <w:rsid w:val="00196AF9"/>
    <w:rsid w:val="00196DDE"/>
    <w:rsid w:val="001972C5"/>
    <w:rsid w:val="00197360"/>
    <w:rsid w:val="00197B15"/>
    <w:rsid w:val="001A00C5"/>
    <w:rsid w:val="001A0300"/>
    <w:rsid w:val="001A050B"/>
    <w:rsid w:val="001A055F"/>
    <w:rsid w:val="001A069E"/>
    <w:rsid w:val="001A09F3"/>
    <w:rsid w:val="001A0C02"/>
    <w:rsid w:val="001A0E98"/>
    <w:rsid w:val="001A0F8E"/>
    <w:rsid w:val="001A139F"/>
    <w:rsid w:val="001A151E"/>
    <w:rsid w:val="001A17D2"/>
    <w:rsid w:val="001A1CA9"/>
    <w:rsid w:val="001A22B9"/>
    <w:rsid w:val="001A243E"/>
    <w:rsid w:val="001A244A"/>
    <w:rsid w:val="001A2499"/>
    <w:rsid w:val="001A26E3"/>
    <w:rsid w:val="001A27F5"/>
    <w:rsid w:val="001A28A4"/>
    <w:rsid w:val="001A2A64"/>
    <w:rsid w:val="001A2CF4"/>
    <w:rsid w:val="001A2FAF"/>
    <w:rsid w:val="001A34FC"/>
    <w:rsid w:val="001A3737"/>
    <w:rsid w:val="001A377A"/>
    <w:rsid w:val="001A3B5E"/>
    <w:rsid w:val="001A3DCA"/>
    <w:rsid w:val="001A413D"/>
    <w:rsid w:val="001A4224"/>
    <w:rsid w:val="001A46A3"/>
    <w:rsid w:val="001A476D"/>
    <w:rsid w:val="001A47AE"/>
    <w:rsid w:val="001A48E2"/>
    <w:rsid w:val="001A49A0"/>
    <w:rsid w:val="001A4CD9"/>
    <w:rsid w:val="001A4FAC"/>
    <w:rsid w:val="001A514B"/>
    <w:rsid w:val="001A5658"/>
    <w:rsid w:val="001A5767"/>
    <w:rsid w:val="001A5955"/>
    <w:rsid w:val="001A5B2D"/>
    <w:rsid w:val="001A5BC9"/>
    <w:rsid w:val="001A61B5"/>
    <w:rsid w:val="001A629C"/>
    <w:rsid w:val="001A64CC"/>
    <w:rsid w:val="001A67A7"/>
    <w:rsid w:val="001A6881"/>
    <w:rsid w:val="001A707B"/>
    <w:rsid w:val="001A7141"/>
    <w:rsid w:val="001A729E"/>
    <w:rsid w:val="001A7387"/>
    <w:rsid w:val="001A73B0"/>
    <w:rsid w:val="001A73BC"/>
    <w:rsid w:val="001A77D7"/>
    <w:rsid w:val="001A7887"/>
    <w:rsid w:val="001A7891"/>
    <w:rsid w:val="001A7A7A"/>
    <w:rsid w:val="001A7CEF"/>
    <w:rsid w:val="001A7EB8"/>
    <w:rsid w:val="001A7FD5"/>
    <w:rsid w:val="001B08F7"/>
    <w:rsid w:val="001B0BE6"/>
    <w:rsid w:val="001B0E90"/>
    <w:rsid w:val="001B132F"/>
    <w:rsid w:val="001B158A"/>
    <w:rsid w:val="001B16C1"/>
    <w:rsid w:val="001B1847"/>
    <w:rsid w:val="001B1C06"/>
    <w:rsid w:val="001B1CB0"/>
    <w:rsid w:val="001B1D3B"/>
    <w:rsid w:val="001B2157"/>
    <w:rsid w:val="001B2896"/>
    <w:rsid w:val="001B2A34"/>
    <w:rsid w:val="001B2A52"/>
    <w:rsid w:val="001B2B88"/>
    <w:rsid w:val="001B2BF8"/>
    <w:rsid w:val="001B313D"/>
    <w:rsid w:val="001B31A1"/>
    <w:rsid w:val="001B31D2"/>
    <w:rsid w:val="001B33A3"/>
    <w:rsid w:val="001B3826"/>
    <w:rsid w:val="001B3946"/>
    <w:rsid w:val="001B3B9A"/>
    <w:rsid w:val="001B3CC8"/>
    <w:rsid w:val="001B414B"/>
    <w:rsid w:val="001B42A1"/>
    <w:rsid w:val="001B4414"/>
    <w:rsid w:val="001B4545"/>
    <w:rsid w:val="001B4550"/>
    <w:rsid w:val="001B4AAC"/>
    <w:rsid w:val="001B4AE3"/>
    <w:rsid w:val="001B4B21"/>
    <w:rsid w:val="001B4FAE"/>
    <w:rsid w:val="001B5343"/>
    <w:rsid w:val="001B53A7"/>
    <w:rsid w:val="001B568A"/>
    <w:rsid w:val="001B57FC"/>
    <w:rsid w:val="001B5BC7"/>
    <w:rsid w:val="001B60E4"/>
    <w:rsid w:val="001B6135"/>
    <w:rsid w:val="001B6435"/>
    <w:rsid w:val="001B68BE"/>
    <w:rsid w:val="001B6B4A"/>
    <w:rsid w:val="001B6CDC"/>
    <w:rsid w:val="001B6EC6"/>
    <w:rsid w:val="001B7109"/>
    <w:rsid w:val="001B7160"/>
    <w:rsid w:val="001B71D1"/>
    <w:rsid w:val="001B7600"/>
    <w:rsid w:val="001B787E"/>
    <w:rsid w:val="001B7990"/>
    <w:rsid w:val="001B7FC7"/>
    <w:rsid w:val="001C0184"/>
    <w:rsid w:val="001C05EE"/>
    <w:rsid w:val="001C0B22"/>
    <w:rsid w:val="001C0B7C"/>
    <w:rsid w:val="001C0CE2"/>
    <w:rsid w:val="001C0D65"/>
    <w:rsid w:val="001C0ED1"/>
    <w:rsid w:val="001C1047"/>
    <w:rsid w:val="001C1084"/>
    <w:rsid w:val="001C12FC"/>
    <w:rsid w:val="001C14D9"/>
    <w:rsid w:val="001C18D2"/>
    <w:rsid w:val="001C1CCA"/>
    <w:rsid w:val="001C1CEC"/>
    <w:rsid w:val="001C1D85"/>
    <w:rsid w:val="001C1FBD"/>
    <w:rsid w:val="001C221C"/>
    <w:rsid w:val="001C22E9"/>
    <w:rsid w:val="001C26A0"/>
    <w:rsid w:val="001C2738"/>
    <w:rsid w:val="001C2A11"/>
    <w:rsid w:val="001C2A6C"/>
    <w:rsid w:val="001C2C6A"/>
    <w:rsid w:val="001C2D17"/>
    <w:rsid w:val="001C2EDB"/>
    <w:rsid w:val="001C2F80"/>
    <w:rsid w:val="001C3059"/>
    <w:rsid w:val="001C324A"/>
    <w:rsid w:val="001C353C"/>
    <w:rsid w:val="001C3546"/>
    <w:rsid w:val="001C35F7"/>
    <w:rsid w:val="001C3B9F"/>
    <w:rsid w:val="001C3DFA"/>
    <w:rsid w:val="001C41B5"/>
    <w:rsid w:val="001C44C2"/>
    <w:rsid w:val="001C459A"/>
    <w:rsid w:val="001C4787"/>
    <w:rsid w:val="001C4A16"/>
    <w:rsid w:val="001C4C2F"/>
    <w:rsid w:val="001C5061"/>
    <w:rsid w:val="001C52CA"/>
    <w:rsid w:val="001C5573"/>
    <w:rsid w:val="001C56E8"/>
    <w:rsid w:val="001C5755"/>
    <w:rsid w:val="001C5767"/>
    <w:rsid w:val="001C5846"/>
    <w:rsid w:val="001C5932"/>
    <w:rsid w:val="001C5A0C"/>
    <w:rsid w:val="001C5E1E"/>
    <w:rsid w:val="001C6458"/>
    <w:rsid w:val="001C6478"/>
    <w:rsid w:val="001C65B7"/>
    <w:rsid w:val="001C6608"/>
    <w:rsid w:val="001C67A4"/>
    <w:rsid w:val="001C6935"/>
    <w:rsid w:val="001C6B0D"/>
    <w:rsid w:val="001C6C13"/>
    <w:rsid w:val="001C6C5C"/>
    <w:rsid w:val="001C6CA7"/>
    <w:rsid w:val="001C70C3"/>
    <w:rsid w:val="001C769C"/>
    <w:rsid w:val="001C777D"/>
    <w:rsid w:val="001C7798"/>
    <w:rsid w:val="001C77C7"/>
    <w:rsid w:val="001C77DD"/>
    <w:rsid w:val="001C7BDE"/>
    <w:rsid w:val="001D01D2"/>
    <w:rsid w:val="001D0435"/>
    <w:rsid w:val="001D0769"/>
    <w:rsid w:val="001D08F6"/>
    <w:rsid w:val="001D091C"/>
    <w:rsid w:val="001D0971"/>
    <w:rsid w:val="001D0A0B"/>
    <w:rsid w:val="001D0C39"/>
    <w:rsid w:val="001D0E7A"/>
    <w:rsid w:val="001D0F89"/>
    <w:rsid w:val="001D123D"/>
    <w:rsid w:val="001D12E7"/>
    <w:rsid w:val="001D1341"/>
    <w:rsid w:val="001D180E"/>
    <w:rsid w:val="001D1A0C"/>
    <w:rsid w:val="001D1ADB"/>
    <w:rsid w:val="001D1C0F"/>
    <w:rsid w:val="001D1F72"/>
    <w:rsid w:val="001D2384"/>
    <w:rsid w:val="001D2513"/>
    <w:rsid w:val="001D25C4"/>
    <w:rsid w:val="001D2647"/>
    <w:rsid w:val="001D2BAE"/>
    <w:rsid w:val="001D2C38"/>
    <w:rsid w:val="001D2DDF"/>
    <w:rsid w:val="001D2EC1"/>
    <w:rsid w:val="001D37BC"/>
    <w:rsid w:val="001D386A"/>
    <w:rsid w:val="001D3B73"/>
    <w:rsid w:val="001D3D11"/>
    <w:rsid w:val="001D3D6C"/>
    <w:rsid w:val="001D3ED3"/>
    <w:rsid w:val="001D4010"/>
    <w:rsid w:val="001D411B"/>
    <w:rsid w:val="001D42A4"/>
    <w:rsid w:val="001D4466"/>
    <w:rsid w:val="001D4AF1"/>
    <w:rsid w:val="001D4E63"/>
    <w:rsid w:val="001D4EFB"/>
    <w:rsid w:val="001D4F79"/>
    <w:rsid w:val="001D4F88"/>
    <w:rsid w:val="001D4FC2"/>
    <w:rsid w:val="001D4FEA"/>
    <w:rsid w:val="001D5259"/>
    <w:rsid w:val="001D52B3"/>
    <w:rsid w:val="001D5A5E"/>
    <w:rsid w:val="001D5CD6"/>
    <w:rsid w:val="001D629C"/>
    <w:rsid w:val="001D69FE"/>
    <w:rsid w:val="001D6A0C"/>
    <w:rsid w:val="001D6B9D"/>
    <w:rsid w:val="001D6C9F"/>
    <w:rsid w:val="001D6FA3"/>
    <w:rsid w:val="001D784C"/>
    <w:rsid w:val="001D7877"/>
    <w:rsid w:val="001D7E24"/>
    <w:rsid w:val="001D7E80"/>
    <w:rsid w:val="001E007B"/>
    <w:rsid w:val="001E0127"/>
    <w:rsid w:val="001E066C"/>
    <w:rsid w:val="001E0767"/>
    <w:rsid w:val="001E09CC"/>
    <w:rsid w:val="001E0DB0"/>
    <w:rsid w:val="001E0DE1"/>
    <w:rsid w:val="001E0EA8"/>
    <w:rsid w:val="001E1021"/>
    <w:rsid w:val="001E1090"/>
    <w:rsid w:val="001E11B4"/>
    <w:rsid w:val="001E145E"/>
    <w:rsid w:val="001E18F6"/>
    <w:rsid w:val="001E1A57"/>
    <w:rsid w:val="001E1C5D"/>
    <w:rsid w:val="001E1D06"/>
    <w:rsid w:val="001E21F2"/>
    <w:rsid w:val="001E25FF"/>
    <w:rsid w:val="001E2A0B"/>
    <w:rsid w:val="001E2A97"/>
    <w:rsid w:val="001E2CCC"/>
    <w:rsid w:val="001E3588"/>
    <w:rsid w:val="001E3641"/>
    <w:rsid w:val="001E365F"/>
    <w:rsid w:val="001E366E"/>
    <w:rsid w:val="001E3752"/>
    <w:rsid w:val="001E3EA2"/>
    <w:rsid w:val="001E41D3"/>
    <w:rsid w:val="001E4493"/>
    <w:rsid w:val="001E47C5"/>
    <w:rsid w:val="001E48EF"/>
    <w:rsid w:val="001E4CA9"/>
    <w:rsid w:val="001E4D4A"/>
    <w:rsid w:val="001E4E63"/>
    <w:rsid w:val="001E56BE"/>
    <w:rsid w:val="001E5784"/>
    <w:rsid w:val="001E57D9"/>
    <w:rsid w:val="001E592E"/>
    <w:rsid w:val="001E5AA4"/>
    <w:rsid w:val="001E5CED"/>
    <w:rsid w:val="001E5F26"/>
    <w:rsid w:val="001E637A"/>
    <w:rsid w:val="001E64ED"/>
    <w:rsid w:val="001E6845"/>
    <w:rsid w:val="001E688A"/>
    <w:rsid w:val="001E6BF1"/>
    <w:rsid w:val="001E6D8C"/>
    <w:rsid w:val="001E6F76"/>
    <w:rsid w:val="001E766A"/>
    <w:rsid w:val="001E78EE"/>
    <w:rsid w:val="001E7A8F"/>
    <w:rsid w:val="001E7CF7"/>
    <w:rsid w:val="001E7E12"/>
    <w:rsid w:val="001F04C5"/>
    <w:rsid w:val="001F0879"/>
    <w:rsid w:val="001F09A7"/>
    <w:rsid w:val="001F0A54"/>
    <w:rsid w:val="001F0E28"/>
    <w:rsid w:val="001F0EE1"/>
    <w:rsid w:val="001F0FDB"/>
    <w:rsid w:val="001F10B2"/>
    <w:rsid w:val="001F14B1"/>
    <w:rsid w:val="001F14C1"/>
    <w:rsid w:val="001F152E"/>
    <w:rsid w:val="001F1589"/>
    <w:rsid w:val="001F1BC1"/>
    <w:rsid w:val="001F1C66"/>
    <w:rsid w:val="001F1F67"/>
    <w:rsid w:val="001F203F"/>
    <w:rsid w:val="001F2499"/>
    <w:rsid w:val="001F2577"/>
    <w:rsid w:val="001F2F0D"/>
    <w:rsid w:val="001F2FB7"/>
    <w:rsid w:val="001F3863"/>
    <w:rsid w:val="001F3ACA"/>
    <w:rsid w:val="001F3ADA"/>
    <w:rsid w:val="001F3D9A"/>
    <w:rsid w:val="001F405B"/>
    <w:rsid w:val="001F43C2"/>
    <w:rsid w:val="001F5088"/>
    <w:rsid w:val="001F53CF"/>
    <w:rsid w:val="001F5B31"/>
    <w:rsid w:val="001F5E40"/>
    <w:rsid w:val="001F5FA8"/>
    <w:rsid w:val="001F6819"/>
    <w:rsid w:val="001F6C16"/>
    <w:rsid w:val="001F70FA"/>
    <w:rsid w:val="001F74CB"/>
    <w:rsid w:val="001F7BDF"/>
    <w:rsid w:val="001F7C93"/>
    <w:rsid w:val="001F7CD9"/>
    <w:rsid w:val="001F7E95"/>
    <w:rsid w:val="001F7EBE"/>
    <w:rsid w:val="00200002"/>
    <w:rsid w:val="00200136"/>
    <w:rsid w:val="00200505"/>
    <w:rsid w:val="00200510"/>
    <w:rsid w:val="002005A5"/>
    <w:rsid w:val="0020090C"/>
    <w:rsid w:val="002009B1"/>
    <w:rsid w:val="00200BEF"/>
    <w:rsid w:val="00200CA0"/>
    <w:rsid w:val="00200D8A"/>
    <w:rsid w:val="00200E36"/>
    <w:rsid w:val="00200E38"/>
    <w:rsid w:val="00200EE7"/>
    <w:rsid w:val="00201445"/>
    <w:rsid w:val="00201658"/>
    <w:rsid w:val="00201A8C"/>
    <w:rsid w:val="00201D17"/>
    <w:rsid w:val="002020A6"/>
    <w:rsid w:val="00202160"/>
    <w:rsid w:val="002022B7"/>
    <w:rsid w:val="00202554"/>
    <w:rsid w:val="0020268D"/>
    <w:rsid w:val="0020290A"/>
    <w:rsid w:val="002029B9"/>
    <w:rsid w:val="00202C01"/>
    <w:rsid w:val="00202E23"/>
    <w:rsid w:val="00202F0B"/>
    <w:rsid w:val="00203089"/>
    <w:rsid w:val="002032BA"/>
    <w:rsid w:val="00203CA7"/>
    <w:rsid w:val="00203D9B"/>
    <w:rsid w:val="00203DF9"/>
    <w:rsid w:val="00203F56"/>
    <w:rsid w:val="00203FBC"/>
    <w:rsid w:val="002041D5"/>
    <w:rsid w:val="00204370"/>
    <w:rsid w:val="00204AB4"/>
    <w:rsid w:val="00204B4B"/>
    <w:rsid w:val="00204B5E"/>
    <w:rsid w:val="00204C41"/>
    <w:rsid w:val="00204E7D"/>
    <w:rsid w:val="002050FF"/>
    <w:rsid w:val="002055C6"/>
    <w:rsid w:val="00205625"/>
    <w:rsid w:val="002056DA"/>
    <w:rsid w:val="002057A3"/>
    <w:rsid w:val="00205B10"/>
    <w:rsid w:val="00205C3F"/>
    <w:rsid w:val="00205F19"/>
    <w:rsid w:val="00206458"/>
    <w:rsid w:val="0020673E"/>
    <w:rsid w:val="00206901"/>
    <w:rsid w:val="002069C2"/>
    <w:rsid w:val="00207037"/>
    <w:rsid w:val="00207219"/>
    <w:rsid w:val="002075E8"/>
    <w:rsid w:val="00207C51"/>
    <w:rsid w:val="00207E33"/>
    <w:rsid w:val="0021003C"/>
    <w:rsid w:val="00210157"/>
    <w:rsid w:val="00210320"/>
    <w:rsid w:val="002103C1"/>
    <w:rsid w:val="00210593"/>
    <w:rsid w:val="00210F1A"/>
    <w:rsid w:val="0021142D"/>
    <w:rsid w:val="002116A8"/>
    <w:rsid w:val="002117C3"/>
    <w:rsid w:val="00211D8F"/>
    <w:rsid w:val="002122CF"/>
    <w:rsid w:val="00212517"/>
    <w:rsid w:val="002125B2"/>
    <w:rsid w:val="00212604"/>
    <w:rsid w:val="00212703"/>
    <w:rsid w:val="00212A17"/>
    <w:rsid w:val="00212C26"/>
    <w:rsid w:val="00212D48"/>
    <w:rsid w:val="00213079"/>
    <w:rsid w:val="002131DF"/>
    <w:rsid w:val="00213294"/>
    <w:rsid w:val="002132B1"/>
    <w:rsid w:val="0021380E"/>
    <w:rsid w:val="0021384A"/>
    <w:rsid w:val="00213A90"/>
    <w:rsid w:val="00213CED"/>
    <w:rsid w:val="00213E96"/>
    <w:rsid w:val="00213FFD"/>
    <w:rsid w:val="002141A8"/>
    <w:rsid w:val="0021422D"/>
    <w:rsid w:val="00214436"/>
    <w:rsid w:val="002149A4"/>
    <w:rsid w:val="00214A4B"/>
    <w:rsid w:val="00214B2C"/>
    <w:rsid w:val="00214DB8"/>
    <w:rsid w:val="00214DE4"/>
    <w:rsid w:val="002153E4"/>
    <w:rsid w:val="002157DA"/>
    <w:rsid w:val="00215C4A"/>
    <w:rsid w:val="00215F47"/>
    <w:rsid w:val="0021609E"/>
    <w:rsid w:val="002162BB"/>
    <w:rsid w:val="00216328"/>
    <w:rsid w:val="00216720"/>
    <w:rsid w:val="00216742"/>
    <w:rsid w:val="00216826"/>
    <w:rsid w:val="0021692A"/>
    <w:rsid w:val="00216A22"/>
    <w:rsid w:val="00216A7E"/>
    <w:rsid w:val="00216AD2"/>
    <w:rsid w:val="00216B0C"/>
    <w:rsid w:val="00216CED"/>
    <w:rsid w:val="00216D48"/>
    <w:rsid w:val="002173D7"/>
    <w:rsid w:val="0021744E"/>
    <w:rsid w:val="002177F4"/>
    <w:rsid w:val="00217ADE"/>
    <w:rsid w:val="00217B1E"/>
    <w:rsid w:val="00217B51"/>
    <w:rsid w:val="00217B71"/>
    <w:rsid w:val="00217C19"/>
    <w:rsid w:val="00217C3C"/>
    <w:rsid w:val="00217C44"/>
    <w:rsid w:val="00217CB7"/>
    <w:rsid w:val="002201D9"/>
    <w:rsid w:val="0022048D"/>
    <w:rsid w:val="002207D7"/>
    <w:rsid w:val="00220E26"/>
    <w:rsid w:val="00220EA5"/>
    <w:rsid w:val="00220FFD"/>
    <w:rsid w:val="00221231"/>
    <w:rsid w:val="00221B32"/>
    <w:rsid w:val="00221D96"/>
    <w:rsid w:val="002224DD"/>
    <w:rsid w:val="00222843"/>
    <w:rsid w:val="002229BD"/>
    <w:rsid w:val="002229D6"/>
    <w:rsid w:val="00222A1C"/>
    <w:rsid w:val="00223047"/>
    <w:rsid w:val="0022329E"/>
    <w:rsid w:val="002233C0"/>
    <w:rsid w:val="00223509"/>
    <w:rsid w:val="002235BC"/>
    <w:rsid w:val="0022379C"/>
    <w:rsid w:val="0022453E"/>
    <w:rsid w:val="0022470F"/>
    <w:rsid w:val="002247BE"/>
    <w:rsid w:val="002247FE"/>
    <w:rsid w:val="00225048"/>
    <w:rsid w:val="002251AA"/>
    <w:rsid w:val="00225360"/>
    <w:rsid w:val="0022593F"/>
    <w:rsid w:val="00225948"/>
    <w:rsid w:val="00225C8C"/>
    <w:rsid w:val="00225EFD"/>
    <w:rsid w:val="00225F54"/>
    <w:rsid w:val="00225F88"/>
    <w:rsid w:val="002260C0"/>
    <w:rsid w:val="00226343"/>
    <w:rsid w:val="0022638E"/>
    <w:rsid w:val="0022683A"/>
    <w:rsid w:val="002269DA"/>
    <w:rsid w:val="002271DC"/>
    <w:rsid w:val="00227249"/>
    <w:rsid w:val="002274E2"/>
    <w:rsid w:val="0022759D"/>
    <w:rsid w:val="002276E5"/>
    <w:rsid w:val="002300AD"/>
    <w:rsid w:val="002304F8"/>
    <w:rsid w:val="002306CC"/>
    <w:rsid w:val="0023071A"/>
    <w:rsid w:val="002308F4"/>
    <w:rsid w:val="00230B59"/>
    <w:rsid w:val="00230BDC"/>
    <w:rsid w:val="00230F11"/>
    <w:rsid w:val="00230F3B"/>
    <w:rsid w:val="00230F64"/>
    <w:rsid w:val="00231525"/>
    <w:rsid w:val="002315F7"/>
    <w:rsid w:val="002315FB"/>
    <w:rsid w:val="00231631"/>
    <w:rsid w:val="00231B77"/>
    <w:rsid w:val="00231CE2"/>
    <w:rsid w:val="002320B0"/>
    <w:rsid w:val="002320F3"/>
    <w:rsid w:val="00232149"/>
    <w:rsid w:val="002322E8"/>
    <w:rsid w:val="0023237B"/>
    <w:rsid w:val="002323E8"/>
    <w:rsid w:val="0023246A"/>
    <w:rsid w:val="002325A7"/>
    <w:rsid w:val="002325A8"/>
    <w:rsid w:val="002325D4"/>
    <w:rsid w:val="00232921"/>
    <w:rsid w:val="00232A09"/>
    <w:rsid w:val="00232B08"/>
    <w:rsid w:val="00232B84"/>
    <w:rsid w:val="00232CBB"/>
    <w:rsid w:val="00233112"/>
    <w:rsid w:val="00233A79"/>
    <w:rsid w:val="00233CF6"/>
    <w:rsid w:val="0023408B"/>
    <w:rsid w:val="002349EC"/>
    <w:rsid w:val="00234CB5"/>
    <w:rsid w:val="00234F02"/>
    <w:rsid w:val="00234F75"/>
    <w:rsid w:val="0023504F"/>
    <w:rsid w:val="002355FD"/>
    <w:rsid w:val="00235781"/>
    <w:rsid w:val="00235A41"/>
    <w:rsid w:val="00235AC4"/>
    <w:rsid w:val="00235AD5"/>
    <w:rsid w:val="002360EE"/>
    <w:rsid w:val="0023625B"/>
    <w:rsid w:val="00236275"/>
    <w:rsid w:val="00236D9B"/>
    <w:rsid w:val="00236DA7"/>
    <w:rsid w:val="00236E0B"/>
    <w:rsid w:val="00236FFB"/>
    <w:rsid w:val="002371B9"/>
    <w:rsid w:val="002374EA"/>
    <w:rsid w:val="00237E8C"/>
    <w:rsid w:val="0024019A"/>
    <w:rsid w:val="00240238"/>
    <w:rsid w:val="0024033C"/>
    <w:rsid w:val="00240465"/>
    <w:rsid w:val="0024079B"/>
    <w:rsid w:val="00240837"/>
    <w:rsid w:val="00240DB0"/>
    <w:rsid w:val="00240F9C"/>
    <w:rsid w:val="002414F6"/>
    <w:rsid w:val="002415F7"/>
    <w:rsid w:val="002416BC"/>
    <w:rsid w:val="00241836"/>
    <w:rsid w:val="002418D8"/>
    <w:rsid w:val="00241B64"/>
    <w:rsid w:val="00241C05"/>
    <w:rsid w:val="00241C26"/>
    <w:rsid w:val="00241D08"/>
    <w:rsid w:val="00241E2D"/>
    <w:rsid w:val="00242162"/>
    <w:rsid w:val="002422E0"/>
    <w:rsid w:val="0024246E"/>
    <w:rsid w:val="0024279B"/>
    <w:rsid w:val="00242D32"/>
    <w:rsid w:val="00242DC3"/>
    <w:rsid w:val="0024316A"/>
    <w:rsid w:val="0024343A"/>
    <w:rsid w:val="002435D0"/>
    <w:rsid w:val="002437B0"/>
    <w:rsid w:val="0024390D"/>
    <w:rsid w:val="00243B1F"/>
    <w:rsid w:val="00243B34"/>
    <w:rsid w:val="00243C57"/>
    <w:rsid w:val="0024412C"/>
    <w:rsid w:val="00244211"/>
    <w:rsid w:val="00244858"/>
    <w:rsid w:val="002449A4"/>
    <w:rsid w:val="00244E11"/>
    <w:rsid w:val="0024534F"/>
    <w:rsid w:val="0024545D"/>
    <w:rsid w:val="00245587"/>
    <w:rsid w:val="00245829"/>
    <w:rsid w:val="00245A90"/>
    <w:rsid w:val="00245E65"/>
    <w:rsid w:val="00245EE0"/>
    <w:rsid w:val="00245FDF"/>
    <w:rsid w:val="002460DC"/>
    <w:rsid w:val="00246369"/>
    <w:rsid w:val="00246468"/>
    <w:rsid w:val="002465BA"/>
    <w:rsid w:val="0024682E"/>
    <w:rsid w:val="002470E7"/>
    <w:rsid w:val="00247144"/>
    <w:rsid w:val="002472B8"/>
    <w:rsid w:val="0024765F"/>
    <w:rsid w:val="00247857"/>
    <w:rsid w:val="00247AA1"/>
    <w:rsid w:val="00247B9D"/>
    <w:rsid w:val="00247BE8"/>
    <w:rsid w:val="002503D3"/>
    <w:rsid w:val="002503D9"/>
    <w:rsid w:val="002506AC"/>
    <w:rsid w:val="00250A05"/>
    <w:rsid w:val="00250BF0"/>
    <w:rsid w:val="00250D04"/>
    <w:rsid w:val="00250DA5"/>
    <w:rsid w:val="00250EC6"/>
    <w:rsid w:val="002511A9"/>
    <w:rsid w:val="002512B1"/>
    <w:rsid w:val="0025133D"/>
    <w:rsid w:val="00251529"/>
    <w:rsid w:val="002518D2"/>
    <w:rsid w:val="0025192F"/>
    <w:rsid w:val="00251A0B"/>
    <w:rsid w:val="00251D55"/>
    <w:rsid w:val="00251E2B"/>
    <w:rsid w:val="002523EA"/>
    <w:rsid w:val="002526DD"/>
    <w:rsid w:val="00252B7D"/>
    <w:rsid w:val="00252F67"/>
    <w:rsid w:val="00253383"/>
    <w:rsid w:val="00253A07"/>
    <w:rsid w:val="00253AF3"/>
    <w:rsid w:val="00253C04"/>
    <w:rsid w:val="00254097"/>
    <w:rsid w:val="002543DC"/>
    <w:rsid w:val="002548A2"/>
    <w:rsid w:val="00254918"/>
    <w:rsid w:val="0025501B"/>
    <w:rsid w:val="00255046"/>
    <w:rsid w:val="00255170"/>
    <w:rsid w:val="00255239"/>
    <w:rsid w:val="0025563B"/>
    <w:rsid w:val="00255B64"/>
    <w:rsid w:val="00256318"/>
    <w:rsid w:val="00256323"/>
    <w:rsid w:val="00256343"/>
    <w:rsid w:val="00256408"/>
    <w:rsid w:val="00257070"/>
    <w:rsid w:val="002570DE"/>
    <w:rsid w:val="00257121"/>
    <w:rsid w:val="0025718C"/>
    <w:rsid w:val="0025734C"/>
    <w:rsid w:val="002575D7"/>
    <w:rsid w:val="00257741"/>
    <w:rsid w:val="00257CED"/>
    <w:rsid w:val="0026008A"/>
    <w:rsid w:val="0026016B"/>
    <w:rsid w:val="002603D5"/>
    <w:rsid w:val="002605AD"/>
    <w:rsid w:val="00260E49"/>
    <w:rsid w:val="0026154E"/>
    <w:rsid w:val="00261829"/>
    <w:rsid w:val="00261918"/>
    <w:rsid w:val="00261948"/>
    <w:rsid w:val="00261A7E"/>
    <w:rsid w:val="00261E78"/>
    <w:rsid w:val="00261FCA"/>
    <w:rsid w:val="002621D1"/>
    <w:rsid w:val="00262291"/>
    <w:rsid w:val="00262589"/>
    <w:rsid w:val="002627A2"/>
    <w:rsid w:val="00262845"/>
    <w:rsid w:val="00262865"/>
    <w:rsid w:val="00262B00"/>
    <w:rsid w:val="00262C43"/>
    <w:rsid w:val="00262DD0"/>
    <w:rsid w:val="00262E44"/>
    <w:rsid w:val="0026328C"/>
    <w:rsid w:val="002633B8"/>
    <w:rsid w:val="002635D4"/>
    <w:rsid w:val="00263603"/>
    <w:rsid w:val="0026373D"/>
    <w:rsid w:val="0026377A"/>
    <w:rsid w:val="002637A5"/>
    <w:rsid w:val="002637A8"/>
    <w:rsid w:val="00263803"/>
    <w:rsid w:val="002638F2"/>
    <w:rsid w:val="00263968"/>
    <w:rsid w:val="002639EF"/>
    <w:rsid w:val="00263C01"/>
    <w:rsid w:val="00263CEE"/>
    <w:rsid w:val="00264705"/>
    <w:rsid w:val="002647D1"/>
    <w:rsid w:val="00264ACB"/>
    <w:rsid w:val="00264BFE"/>
    <w:rsid w:val="00264C36"/>
    <w:rsid w:val="00264DA5"/>
    <w:rsid w:val="002653DF"/>
    <w:rsid w:val="002656CB"/>
    <w:rsid w:val="00265A7F"/>
    <w:rsid w:val="00265D5F"/>
    <w:rsid w:val="00265EBD"/>
    <w:rsid w:val="00266156"/>
    <w:rsid w:val="002662D8"/>
    <w:rsid w:val="0026688B"/>
    <w:rsid w:val="00266E45"/>
    <w:rsid w:val="0026792D"/>
    <w:rsid w:val="002679F2"/>
    <w:rsid w:val="00267E68"/>
    <w:rsid w:val="0027044C"/>
    <w:rsid w:val="00270500"/>
    <w:rsid w:val="00270557"/>
    <w:rsid w:val="00270662"/>
    <w:rsid w:val="00270719"/>
    <w:rsid w:val="00270CD9"/>
    <w:rsid w:val="00270F23"/>
    <w:rsid w:val="0027130A"/>
    <w:rsid w:val="00271381"/>
    <w:rsid w:val="0027152C"/>
    <w:rsid w:val="00271544"/>
    <w:rsid w:val="00271AFF"/>
    <w:rsid w:val="00272434"/>
    <w:rsid w:val="0027251E"/>
    <w:rsid w:val="0027272F"/>
    <w:rsid w:val="002727E0"/>
    <w:rsid w:val="002729BB"/>
    <w:rsid w:val="00272A18"/>
    <w:rsid w:val="00272C96"/>
    <w:rsid w:val="00272F21"/>
    <w:rsid w:val="00272F52"/>
    <w:rsid w:val="002732E4"/>
    <w:rsid w:val="0027350F"/>
    <w:rsid w:val="002736BA"/>
    <w:rsid w:val="00273771"/>
    <w:rsid w:val="00273788"/>
    <w:rsid w:val="002737C6"/>
    <w:rsid w:val="002737E8"/>
    <w:rsid w:val="002738F7"/>
    <w:rsid w:val="002739D6"/>
    <w:rsid w:val="00273A15"/>
    <w:rsid w:val="00273B66"/>
    <w:rsid w:val="00273B79"/>
    <w:rsid w:val="00273DE8"/>
    <w:rsid w:val="00274195"/>
    <w:rsid w:val="00274509"/>
    <w:rsid w:val="00274623"/>
    <w:rsid w:val="002749D8"/>
    <w:rsid w:val="00274DC9"/>
    <w:rsid w:val="0027503C"/>
    <w:rsid w:val="002751E7"/>
    <w:rsid w:val="0027528B"/>
    <w:rsid w:val="002754EA"/>
    <w:rsid w:val="00275619"/>
    <w:rsid w:val="002758A2"/>
    <w:rsid w:val="00275D7F"/>
    <w:rsid w:val="00275F9D"/>
    <w:rsid w:val="002760E5"/>
    <w:rsid w:val="0027631A"/>
    <w:rsid w:val="0027637D"/>
    <w:rsid w:val="002763C5"/>
    <w:rsid w:val="00276569"/>
    <w:rsid w:val="00276AE9"/>
    <w:rsid w:val="00276C1D"/>
    <w:rsid w:val="00276C9B"/>
    <w:rsid w:val="00276EA1"/>
    <w:rsid w:val="00276F8C"/>
    <w:rsid w:val="0027759B"/>
    <w:rsid w:val="002776A1"/>
    <w:rsid w:val="00277894"/>
    <w:rsid w:val="002779FD"/>
    <w:rsid w:val="00277B10"/>
    <w:rsid w:val="00280075"/>
    <w:rsid w:val="0028016A"/>
    <w:rsid w:val="002801A8"/>
    <w:rsid w:val="002801ED"/>
    <w:rsid w:val="002804D4"/>
    <w:rsid w:val="002805D2"/>
    <w:rsid w:val="002806DF"/>
    <w:rsid w:val="0028086E"/>
    <w:rsid w:val="002808E5"/>
    <w:rsid w:val="00280AB8"/>
    <w:rsid w:val="00280C27"/>
    <w:rsid w:val="00280EFA"/>
    <w:rsid w:val="0028120B"/>
    <w:rsid w:val="00281399"/>
    <w:rsid w:val="002814EB"/>
    <w:rsid w:val="002815AE"/>
    <w:rsid w:val="0028162E"/>
    <w:rsid w:val="0028167E"/>
    <w:rsid w:val="00281846"/>
    <w:rsid w:val="00281987"/>
    <w:rsid w:val="002819A2"/>
    <w:rsid w:val="00281B5D"/>
    <w:rsid w:val="00281C8E"/>
    <w:rsid w:val="00281D59"/>
    <w:rsid w:val="00281DDF"/>
    <w:rsid w:val="00282636"/>
    <w:rsid w:val="00282637"/>
    <w:rsid w:val="002826ED"/>
    <w:rsid w:val="00282CF4"/>
    <w:rsid w:val="00282DF5"/>
    <w:rsid w:val="00283251"/>
    <w:rsid w:val="0028326E"/>
    <w:rsid w:val="002838AB"/>
    <w:rsid w:val="00283A28"/>
    <w:rsid w:val="00283ADD"/>
    <w:rsid w:val="00283AF1"/>
    <w:rsid w:val="00283C56"/>
    <w:rsid w:val="002840CC"/>
    <w:rsid w:val="002843B4"/>
    <w:rsid w:val="0028443C"/>
    <w:rsid w:val="00284454"/>
    <w:rsid w:val="0028452F"/>
    <w:rsid w:val="00284904"/>
    <w:rsid w:val="00284B5E"/>
    <w:rsid w:val="002852A7"/>
    <w:rsid w:val="00285364"/>
    <w:rsid w:val="0028554C"/>
    <w:rsid w:val="002855EA"/>
    <w:rsid w:val="0028598A"/>
    <w:rsid w:val="00285AAC"/>
    <w:rsid w:val="00285AD6"/>
    <w:rsid w:val="00285B7C"/>
    <w:rsid w:val="00285C7B"/>
    <w:rsid w:val="00285C8D"/>
    <w:rsid w:val="00285CEB"/>
    <w:rsid w:val="00285E42"/>
    <w:rsid w:val="00286149"/>
    <w:rsid w:val="002864BB"/>
    <w:rsid w:val="0028674B"/>
    <w:rsid w:val="00286D19"/>
    <w:rsid w:val="00286D29"/>
    <w:rsid w:val="00287A8C"/>
    <w:rsid w:val="00287B59"/>
    <w:rsid w:val="0029006E"/>
    <w:rsid w:val="002905AE"/>
    <w:rsid w:val="002906B0"/>
    <w:rsid w:val="00290898"/>
    <w:rsid w:val="002909A3"/>
    <w:rsid w:val="00290F2A"/>
    <w:rsid w:val="002912D3"/>
    <w:rsid w:val="0029175A"/>
    <w:rsid w:val="00291831"/>
    <w:rsid w:val="002918C9"/>
    <w:rsid w:val="00291D23"/>
    <w:rsid w:val="00292217"/>
    <w:rsid w:val="0029223A"/>
    <w:rsid w:val="00292478"/>
    <w:rsid w:val="002924BA"/>
    <w:rsid w:val="002929FF"/>
    <w:rsid w:val="0029301A"/>
    <w:rsid w:val="00293684"/>
    <w:rsid w:val="00293722"/>
    <w:rsid w:val="00293A82"/>
    <w:rsid w:val="00293F73"/>
    <w:rsid w:val="0029408D"/>
    <w:rsid w:val="0029411D"/>
    <w:rsid w:val="00294302"/>
    <w:rsid w:val="0029452D"/>
    <w:rsid w:val="0029474C"/>
    <w:rsid w:val="00294BD1"/>
    <w:rsid w:val="00294F86"/>
    <w:rsid w:val="00295503"/>
    <w:rsid w:val="0029552B"/>
    <w:rsid w:val="0029591D"/>
    <w:rsid w:val="00295AA8"/>
    <w:rsid w:val="00295AB6"/>
    <w:rsid w:val="00295EEC"/>
    <w:rsid w:val="00296236"/>
    <w:rsid w:val="00296339"/>
    <w:rsid w:val="002964F6"/>
    <w:rsid w:val="0029655A"/>
    <w:rsid w:val="0029677E"/>
    <w:rsid w:val="002967F0"/>
    <w:rsid w:val="002969AC"/>
    <w:rsid w:val="00296C0C"/>
    <w:rsid w:val="00296E4E"/>
    <w:rsid w:val="00297107"/>
    <w:rsid w:val="0029719C"/>
    <w:rsid w:val="0029743D"/>
    <w:rsid w:val="00297628"/>
    <w:rsid w:val="002978DC"/>
    <w:rsid w:val="00297C09"/>
    <w:rsid w:val="00297C1A"/>
    <w:rsid w:val="00297DEE"/>
    <w:rsid w:val="002A05A3"/>
    <w:rsid w:val="002A05ED"/>
    <w:rsid w:val="002A0630"/>
    <w:rsid w:val="002A06C2"/>
    <w:rsid w:val="002A0850"/>
    <w:rsid w:val="002A0957"/>
    <w:rsid w:val="002A0A7E"/>
    <w:rsid w:val="002A0CCA"/>
    <w:rsid w:val="002A0D08"/>
    <w:rsid w:val="002A0FAD"/>
    <w:rsid w:val="002A12DE"/>
    <w:rsid w:val="002A1A44"/>
    <w:rsid w:val="002A1A89"/>
    <w:rsid w:val="002A1CB2"/>
    <w:rsid w:val="002A1D00"/>
    <w:rsid w:val="002A1D34"/>
    <w:rsid w:val="002A205F"/>
    <w:rsid w:val="002A2077"/>
    <w:rsid w:val="002A2171"/>
    <w:rsid w:val="002A21DD"/>
    <w:rsid w:val="002A2222"/>
    <w:rsid w:val="002A2245"/>
    <w:rsid w:val="002A2369"/>
    <w:rsid w:val="002A245C"/>
    <w:rsid w:val="002A24CA"/>
    <w:rsid w:val="002A2643"/>
    <w:rsid w:val="002A26C5"/>
    <w:rsid w:val="002A284B"/>
    <w:rsid w:val="002A2973"/>
    <w:rsid w:val="002A2E0F"/>
    <w:rsid w:val="002A31E6"/>
    <w:rsid w:val="002A39F1"/>
    <w:rsid w:val="002A3BCC"/>
    <w:rsid w:val="002A3DA0"/>
    <w:rsid w:val="002A3DF4"/>
    <w:rsid w:val="002A3E82"/>
    <w:rsid w:val="002A3F70"/>
    <w:rsid w:val="002A41B4"/>
    <w:rsid w:val="002A42A4"/>
    <w:rsid w:val="002A4390"/>
    <w:rsid w:val="002A4466"/>
    <w:rsid w:val="002A455D"/>
    <w:rsid w:val="002A45E1"/>
    <w:rsid w:val="002A49D6"/>
    <w:rsid w:val="002A4A5C"/>
    <w:rsid w:val="002A4AF5"/>
    <w:rsid w:val="002A4CA8"/>
    <w:rsid w:val="002A4D41"/>
    <w:rsid w:val="002A51AF"/>
    <w:rsid w:val="002A520C"/>
    <w:rsid w:val="002A52DD"/>
    <w:rsid w:val="002A5772"/>
    <w:rsid w:val="002A5BC4"/>
    <w:rsid w:val="002A5C22"/>
    <w:rsid w:val="002A5CAB"/>
    <w:rsid w:val="002A65E9"/>
    <w:rsid w:val="002A688F"/>
    <w:rsid w:val="002A6BE7"/>
    <w:rsid w:val="002A6CC9"/>
    <w:rsid w:val="002A6D56"/>
    <w:rsid w:val="002A706C"/>
    <w:rsid w:val="002A70BB"/>
    <w:rsid w:val="002A7BC7"/>
    <w:rsid w:val="002A7D87"/>
    <w:rsid w:val="002B070F"/>
    <w:rsid w:val="002B0967"/>
    <w:rsid w:val="002B0EFD"/>
    <w:rsid w:val="002B13F5"/>
    <w:rsid w:val="002B1422"/>
    <w:rsid w:val="002B1439"/>
    <w:rsid w:val="002B187D"/>
    <w:rsid w:val="002B1982"/>
    <w:rsid w:val="002B1A89"/>
    <w:rsid w:val="002B21D5"/>
    <w:rsid w:val="002B2416"/>
    <w:rsid w:val="002B2432"/>
    <w:rsid w:val="002B279B"/>
    <w:rsid w:val="002B27CF"/>
    <w:rsid w:val="002B29C3"/>
    <w:rsid w:val="002B2B71"/>
    <w:rsid w:val="002B2BDA"/>
    <w:rsid w:val="002B2D03"/>
    <w:rsid w:val="002B2DD0"/>
    <w:rsid w:val="002B2DF9"/>
    <w:rsid w:val="002B2E30"/>
    <w:rsid w:val="002B2E40"/>
    <w:rsid w:val="002B2F7E"/>
    <w:rsid w:val="002B3179"/>
    <w:rsid w:val="002B317B"/>
    <w:rsid w:val="002B3405"/>
    <w:rsid w:val="002B3457"/>
    <w:rsid w:val="002B370A"/>
    <w:rsid w:val="002B3966"/>
    <w:rsid w:val="002B3C8C"/>
    <w:rsid w:val="002B3D2D"/>
    <w:rsid w:val="002B443B"/>
    <w:rsid w:val="002B4486"/>
    <w:rsid w:val="002B471A"/>
    <w:rsid w:val="002B4819"/>
    <w:rsid w:val="002B481A"/>
    <w:rsid w:val="002B5067"/>
    <w:rsid w:val="002B5158"/>
    <w:rsid w:val="002B52A5"/>
    <w:rsid w:val="002B5617"/>
    <w:rsid w:val="002B57D5"/>
    <w:rsid w:val="002B5807"/>
    <w:rsid w:val="002B59DA"/>
    <w:rsid w:val="002B5A3E"/>
    <w:rsid w:val="002B5DA3"/>
    <w:rsid w:val="002B6013"/>
    <w:rsid w:val="002B6238"/>
    <w:rsid w:val="002B65F5"/>
    <w:rsid w:val="002B6600"/>
    <w:rsid w:val="002B69A2"/>
    <w:rsid w:val="002B6E5E"/>
    <w:rsid w:val="002B70AA"/>
    <w:rsid w:val="002B7205"/>
    <w:rsid w:val="002B72B1"/>
    <w:rsid w:val="002B74B0"/>
    <w:rsid w:val="002B7C1D"/>
    <w:rsid w:val="002B7E06"/>
    <w:rsid w:val="002C0003"/>
    <w:rsid w:val="002C0049"/>
    <w:rsid w:val="002C0120"/>
    <w:rsid w:val="002C0703"/>
    <w:rsid w:val="002C0808"/>
    <w:rsid w:val="002C08EF"/>
    <w:rsid w:val="002C0FD2"/>
    <w:rsid w:val="002C11BE"/>
    <w:rsid w:val="002C1299"/>
    <w:rsid w:val="002C12A6"/>
    <w:rsid w:val="002C16F0"/>
    <w:rsid w:val="002C17B7"/>
    <w:rsid w:val="002C196D"/>
    <w:rsid w:val="002C1B5A"/>
    <w:rsid w:val="002C2048"/>
    <w:rsid w:val="002C20F6"/>
    <w:rsid w:val="002C2149"/>
    <w:rsid w:val="002C2428"/>
    <w:rsid w:val="002C2442"/>
    <w:rsid w:val="002C2B1E"/>
    <w:rsid w:val="002C2CD7"/>
    <w:rsid w:val="002C2CEF"/>
    <w:rsid w:val="002C3393"/>
    <w:rsid w:val="002C33B3"/>
    <w:rsid w:val="002C372D"/>
    <w:rsid w:val="002C39D1"/>
    <w:rsid w:val="002C3BB6"/>
    <w:rsid w:val="002C3DC5"/>
    <w:rsid w:val="002C3EA1"/>
    <w:rsid w:val="002C43BA"/>
    <w:rsid w:val="002C4402"/>
    <w:rsid w:val="002C44EB"/>
    <w:rsid w:val="002C475F"/>
    <w:rsid w:val="002C4CBC"/>
    <w:rsid w:val="002C4F68"/>
    <w:rsid w:val="002C4FD7"/>
    <w:rsid w:val="002C5196"/>
    <w:rsid w:val="002C51B2"/>
    <w:rsid w:val="002C5232"/>
    <w:rsid w:val="002C554E"/>
    <w:rsid w:val="002C5725"/>
    <w:rsid w:val="002C5D87"/>
    <w:rsid w:val="002C6037"/>
    <w:rsid w:val="002C64E4"/>
    <w:rsid w:val="002C65F3"/>
    <w:rsid w:val="002C6816"/>
    <w:rsid w:val="002C690B"/>
    <w:rsid w:val="002C6B14"/>
    <w:rsid w:val="002C6B83"/>
    <w:rsid w:val="002C6BE4"/>
    <w:rsid w:val="002C6FDE"/>
    <w:rsid w:val="002C7183"/>
    <w:rsid w:val="002C7560"/>
    <w:rsid w:val="002C77EE"/>
    <w:rsid w:val="002C7DDD"/>
    <w:rsid w:val="002D0046"/>
    <w:rsid w:val="002D0065"/>
    <w:rsid w:val="002D01B8"/>
    <w:rsid w:val="002D0AD9"/>
    <w:rsid w:val="002D0D3B"/>
    <w:rsid w:val="002D1180"/>
    <w:rsid w:val="002D138B"/>
    <w:rsid w:val="002D14D0"/>
    <w:rsid w:val="002D178D"/>
    <w:rsid w:val="002D1883"/>
    <w:rsid w:val="002D2147"/>
    <w:rsid w:val="002D240D"/>
    <w:rsid w:val="002D24FE"/>
    <w:rsid w:val="002D25DA"/>
    <w:rsid w:val="002D273B"/>
    <w:rsid w:val="002D284F"/>
    <w:rsid w:val="002D3091"/>
    <w:rsid w:val="002D3192"/>
    <w:rsid w:val="002D3639"/>
    <w:rsid w:val="002D36B1"/>
    <w:rsid w:val="002D3ABB"/>
    <w:rsid w:val="002D3B05"/>
    <w:rsid w:val="002D3C21"/>
    <w:rsid w:val="002D3C40"/>
    <w:rsid w:val="002D4021"/>
    <w:rsid w:val="002D44EC"/>
    <w:rsid w:val="002D45BD"/>
    <w:rsid w:val="002D47EE"/>
    <w:rsid w:val="002D4D5C"/>
    <w:rsid w:val="002D4F01"/>
    <w:rsid w:val="002D52B1"/>
    <w:rsid w:val="002D52EC"/>
    <w:rsid w:val="002D5623"/>
    <w:rsid w:val="002D56F0"/>
    <w:rsid w:val="002D594E"/>
    <w:rsid w:val="002D5CC7"/>
    <w:rsid w:val="002D5E3A"/>
    <w:rsid w:val="002D6022"/>
    <w:rsid w:val="002D60FA"/>
    <w:rsid w:val="002D64FA"/>
    <w:rsid w:val="002D6713"/>
    <w:rsid w:val="002D692A"/>
    <w:rsid w:val="002D6D6E"/>
    <w:rsid w:val="002D6E06"/>
    <w:rsid w:val="002D6ED4"/>
    <w:rsid w:val="002D700F"/>
    <w:rsid w:val="002D7220"/>
    <w:rsid w:val="002D72D9"/>
    <w:rsid w:val="002D7326"/>
    <w:rsid w:val="002D7472"/>
    <w:rsid w:val="002D7913"/>
    <w:rsid w:val="002D7B2D"/>
    <w:rsid w:val="002D7B92"/>
    <w:rsid w:val="002D7CB8"/>
    <w:rsid w:val="002D7DBA"/>
    <w:rsid w:val="002D7EF2"/>
    <w:rsid w:val="002D7F79"/>
    <w:rsid w:val="002E00E5"/>
    <w:rsid w:val="002E03B3"/>
    <w:rsid w:val="002E0509"/>
    <w:rsid w:val="002E079A"/>
    <w:rsid w:val="002E0C92"/>
    <w:rsid w:val="002E0E3B"/>
    <w:rsid w:val="002E0FF9"/>
    <w:rsid w:val="002E110E"/>
    <w:rsid w:val="002E135C"/>
    <w:rsid w:val="002E15DC"/>
    <w:rsid w:val="002E16EF"/>
    <w:rsid w:val="002E19DE"/>
    <w:rsid w:val="002E1A48"/>
    <w:rsid w:val="002E1C6B"/>
    <w:rsid w:val="002E26C2"/>
    <w:rsid w:val="002E2D8D"/>
    <w:rsid w:val="002E2EE2"/>
    <w:rsid w:val="002E2F3C"/>
    <w:rsid w:val="002E30A4"/>
    <w:rsid w:val="002E30DD"/>
    <w:rsid w:val="002E30FE"/>
    <w:rsid w:val="002E30FF"/>
    <w:rsid w:val="002E3524"/>
    <w:rsid w:val="002E3532"/>
    <w:rsid w:val="002E36DE"/>
    <w:rsid w:val="002E374E"/>
    <w:rsid w:val="002E37AA"/>
    <w:rsid w:val="002E3B1B"/>
    <w:rsid w:val="002E3B44"/>
    <w:rsid w:val="002E3C9D"/>
    <w:rsid w:val="002E3EB0"/>
    <w:rsid w:val="002E3F12"/>
    <w:rsid w:val="002E3FF4"/>
    <w:rsid w:val="002E42DF"/>
    <w:rsid w:val="002E4525"/>
    <w:rsid w:val="002E475D"/>
    <w:rsid w:val="002E4B31"/>
    <w:rsid w:val="002E4C17"/>
    <w:rsid w:val="002E4D18"/>
    <w:rsid w:val="002E4EDB"/>
    <w:rsid w:val="002E500F"/>
    <w:rsid w:val="002E5358"/>
    <w:rsid w:val="002E53AA"/>
    <w:rsid w:val="002E5623"/>
    <w:rsid w:val="002E5805"/>
    <w:rsid w:val="002E5B71"/>
    <w:rsid w:val="002E6498"/>
    <w:rsid w:val="002E6AC5"/>
    <w:rsid w:val="002E6BE8"/>
    <w:rsid w:val="002E6C1E"/>
    <w:rsid w:val="002E6CD7"/>
    <w:rsid w:val="002E6ED6"/>
    <w:rsid w:val="002E6F76"/>
    <w:rsid w:val="002E6F8E"/>
    <w:rsid w:val="002E7033"/>
    <w:rsid w:val="002E736C"/>
    <w:rsid w:val="002E7373"/>
    <w:rsid w:val="002E7AB5"/>
    <w:rsid w:val="002E7C7A"/>
    <w:rsid w:val="002E7DB9"/>
    <w:rsid w:val="002E7F1B"/>
    <w:rsid w:val="002F0075"/>
    <w:rsid w:val="002F03B1"/>
    <w:rsid w:val="002F0748"/>
    <w:rsid w:val="002F08DD"/>
    <w:rsid w:val="002F0AFA"/>
    <w:rsid w:val="002F0C5C"/>
    <w:rsid w:val="002F0E82"/>
    <w:rsid w:val="002F12A9"/>
    <w:rsid w:val="002F1315"/>
    <w:rsid w:val="002F1343"/>
    <w:rsid w:val="002F155B"/>
    <w:rsid w:val="002F18B5"/>
    <w:rsid w:val="002F1E12"/>
    <w:rsid w:val="002F1FF6"/>
    <w:rsid w:val="002F2201"/>
    <w:rsid w:val="002F223C"/>
    <w:rsid w:val="002F2493"/>
    <w:rsid w:val="002F2E5D"/>
    <w:rsid w:val="002F2EAB"/>
    <w:rsid w:val="002F2FBD"/>
    <w:rsid w:val="002F329B"/>
    <w:rsid w:val="002F32F4"/>
    <w:rsid w:val="002F3340"/>
    <w:rsid w:val="002F3ABA"/>
    <w:rsid w:val="002F4114"/>
    <w:rsid w:val="002F4168"/>
    <w:rsid w:val="002F4BBE"/>
    <w:rsid w:val="002F4C86"/>
    <w:rsid w:val="002F4E1A"/>
    <w:rsid w:val="002F505F"/>
    <w:rsid w:val="002F5273"/>
    <w:rsid w:val="002F533E"/>
    <w:rsid w:val="002F5693"/>
    <w:rsid w:val="002F599D"/>
    <w:rsid w:val="002F5A1E"/>
    <w:rsid w:val="002F5D12"/>
    <w:rsid w:val="002F618B"/>
    <w:rsid w:val="002F63A7"/>
    <w:rsid w:val="002F63FE"/>
    <w:rsid w:val="002F643D"/>
    <w:rsid w:val="002F6628"/>
    <w:rsid w:val="002F6670"/>
    <w:rsid w:val="002F6AEE"/>
    <w:rsid w:val="002F6D8A"/>
    <w:rsid w:val="002F6E06"/>
    <w:rsid w:val="002F7263"/>
    <w:rsid w:val="002F7386"/>
    <w:rsid w:val="002F7853"/>
    <w:rsid w:val="002F7893"/>
    <w:rsid w:val="002F7E71"/>
    <w:rsid w:val="003000C1"/>
    <w:rsid w:val="003004EC"/>
    <w:rsid w:val="00300530"/>
    <w:rsid w:val="003005BC"/>
    <w:rsid w:val="0030071E"/>
    <w:rsid w:val="00300762"/>
    <w:rsid w:val="003008D3"/>
    <w:rsid w:val="00300E17"/>
    <w:rsid w:val="00300FFB"/>
    <w:rsid w:val="00301263"/>
    <w:rsid w:val="003012EC"/>
    <w:rsid w:val="00301442"/>
    <w:rsid w:val="00301642"/>
    <w:rsid w:val="00301B78"/>
    <w:rsid w:val="00301BE8"/>
    <w:rsid w:val="00301F29"/>
    <w:rsid w:val="00302031"/>
    <w:rsid w:val="0030223E"/>
    <w:rsid w:val="003022DE"/>
    <w:rsid w:val="003024E7"/>
    <w:rsid w:val="003024F0"/>
    <w:rsid w:val="003025D5"/>
    <w:rsid w:val="0030296D"/>
    <w:rsid w:val="00302B24"/>
    <w:rsid w:val="00303104"/>
    <w:rsid w:val="003031AF"/>
    <w:rsid w:val="0030363F"/>
    <w:rsid w:val="003037BF"/>
    <w:rsid w:val="00303A45"/>
    <w:rsid w:val="00303A56"/>
    <w:rsid w:val="00303C89"/>
    <w:rsid w:val="00304599"/>
    <w:rsid w:val="00304799"/>
    <w:rsid w:val="003049DD"/>
    <w:rsid w:val="00304A95"/>
    <w:rsid w:val="00304B80"/>
    <w:rsid w:val="00304CBC"/>
    <w:rsid w:val="00304CF0"/>
    <w:rsid w:val="00304F39"/>
    <w:rsid w:val="003052B2"/>
    <w:rsid w:val="0030560E"/>
    <w:rsid w:val="003058C5"/>
    <w:rsid w:val="00305961"/>
    <w:rsid w:val="003059A3"/>
    <w:rsid w:val="00305C2F"/>
    <w:rsid w:val="00305F42"/>
    <w:rsid w:val="00306340"/>
    <w:rsid w:val="00306A10"/>
    <w:rsid w:val="00306A81"/>
    <w:rsid w:val="00306A85"/>
    <w:rsid w:val="00306C1C"/>
    <w:rsid w:val="00306D29"/>
    <w:rsid w:val="00306DB6"/>
    <w:rsid w:val="0030706F"/>
    <w:rsid w:val="003071A6"/>
    <w:rsid w:val="003073C0"/>
    <w:rsid w:val="00307723"/>
    <w:rsid w:val="00307DF8"/>
    <w:rsid w:val="00307E79"/>
    <w:rsid w:val="00310902"/>
    <w:rsid w:val="00310A65"/>
    <w:rsid w:val="00310CF4"/>
    <w:rsid w:val="00310E21"/>
    <w:rsid w:val="00311004"/>
    <w:rsid w:val="0031102D"/>
    <w:rsid w:val="00311281"/>
    <w:rsid w:val="0031155E"/>
    <w:rsid w:val="0031157F"/>
    <w:rsid w:val="00311785"/>
    <w:rsid w:val="00311FF0"/>
    <w:rsid w:val="00312514"/>
    <w:rsid w:val="00312816"/>
    <w:rsid w:val="00312931"/>
    <w:rsid w:val="00312A1E"/>
    <w:rsid w:val="00312A20"/>
    <w:rsid w:val="00312A2D"/>
    <w:rsid w:val="00312CB6"/>
    <w:rsid w:val="00312D92"/>
    <w:rsid w:val="00312F2B"/>
    <w:rsid w:val="00313145"/>
    <w:rsid w:val="00313AA1"/>
    <w:rsid w:val="003141D0"/>
    <w:rsid w:val="0031435B"/>
    <w:rsid w:val="00314468"/>
    <w:rsid w:val="00314482"/>
    <w:rsid w:val="003145AF"/>
    <w:rsid w:val="00314AB9"/>
    <w:rsid w:val="0031508D"/>
    <w:rsid w:val="003150BA"/>
    <w:rsid w:val="00315329"/>
    <w:rsid w:val="0031536C"/>
    <w:rsid w:val="00315488"/>
    <w:rsid w:val="0031577E"/>
    <w:rsid w:val="00315B2A"/>
    <w:rsid w:val="00315F91"/>
    <w:rsid w:val="0031626D"/>
    <w:rsid w:val="00316625"/>
    <w:rsid w:val="00316671"/>
    <w:rsid w:val="00316EEA"/>
    <w:rsid w:val="0031724D"/>
    <w:rsid w:val="00317479"/>
    <w:rsid w:val="00317766"/>
    <w:rsid w:val="003178F4"/>
    <w:rsid w:val="00317AE6"/>
    <w:rsid w:val="00317B17"/>
    <w:rsid w:val="00317C07"/>
    <w:rsid w:val="00317C2D"/>
    <w:rsid w:val="00317F96"/>
    <w:rsid w:val="0032016F"/>
    <w:rsid w:val="00320238"/>
    <w:rsid w:val="0032025E"/>
    <w:rsid w:val="0032039F"/>
    <w:rsid w:val="003203EC"/>
    <w:rsid w:val="003205B0"/>
    <w:rsid w:val="00320CFC"/>
    <w:rsid w:val="00320EBE"/>
    <w:rsid w:val="00320F41"/>
    <w:rsid w:val="003212E8"/>
    <w:rsid w:val="00321459"/>
    <w:rsid w:val="003215C6"/>
    <w:rsid w:val="0032163B"/>
    <w:rsid w:val="00321994"/>
    <w:rsid w:val="003219EE"/>
    <w:rsid w:val="00321A9C"/>
    <w:rsid w:val="00321EEA"/>
    <w:rsid w:val="00321EFC"/>
    <w:rsid w:val="00322316"/>
    <w:rsid w:val="0032250B"/>
    <w:rsid w:val="0032295B"/>
    <w:rsid w:val="00322AED"/>
    <w:rsid w:val="00322EF8"/>
    <w:rsid w:val="00322FB8"/>
    <w:rsid w:val="003230E6"/>
    <w:rsid w:val="0032399B"/>
    <w:rsid w:val="00323C73"/>
    <w:rsid w:val="00323EA3"/>
    <w:rsid w:val="00323EB5"/>
    <w:rsid w:val="00323F57"/>
    <w:rsid w:val="00324066"/>
    <w:rsid w:val="0032463E"/>
    <w:rsid w:val="0032472B"/>
    <w:rsid w:val="00324831"/>
    <w:rsid w:val="003248C2"/>
    <w:rsid w:val="00324CCF"/>
    <w:rsid w:val="00324E99"/>
    <w:rsid w:val="003250F6"/>
    <w:rsid w:val="00325349"/>
    <w:rsid w:val="003256AA"/>
    <w:rsid w:val="003258A2"/>
    <w:rsid w:val="00325991"/>
    <w:rsid w:val="00325BAA"/>
    <w:rsid w:val="00325C1C"/>
    <w:rsid w:val="00325C77"/>
    <w:rsid w:val="00325F02"/>
    <w:rsid w:val="00325F64"/>
    <w:rsid w:val="00325FC2"/>
    <w:rsid w:val="00326028"/>
    <w:rsid w:val="003260CF"/>
    <w:rsid w:val="00326113"/>
    <w:rsid w:val="0032622B"/>
    <w:rsid w:val="003262E4"/>
    <w:rsid w:val="00326352"/>
    <w:rsid w:val="00326354"/>
    <w:rsid w:val="0032637E"/>
    <w:rsid w:val="0032655C"/>
    <w:rsid w:val="0032665F"/>
    <w:rsid w:val="00326669"/>
    <w:rsid w:val="00326857"/>
    <w:rsid w:val="0032693B"/>
    <w:rsid w:val="003269EF"/>
    <w:rsid w:val="00326B4D"/>
    <w:rsid w:val="00326BC5"/>
    <w:rsid w:val="00326CD7"/>
    <w:rsid w:val="00326D41"/>
    <w:rsid w:val="00326DA8"/>
    <w:rsid w:val="00327091"/>
    <w:rsid w:val="003276AA"/>
    <w:rsid w:val="003277E4"/>
    <w:rsid w:val="0032792F"/>
    <w:rsid w:val="003300E9"/>
    <w:rsid w:val="003301B9"/>
    <w:rsid w:val="003302E3"/>
    <w:rsid w:val="00330FE3"/>
    <w:rsid w:val="00330FFB"/>
    <w:rsid w:val="00331139"/>
    <w:rsid w:val="0033117D"/>
    <w:rsid w:val="003312A0"/>
    <w:rsid w:val="00331385"/>
    <w:rsid w:val="00331523"/>
    <w:rsid w:val="00331625"/>
    <w:rsid w:val="003316B6"/>
    <w:rsid w:val="00331817"/>
    <w:rsid w:val="00331977"/>
    <w:rsid w:val="003319F9"/>
    <w:rsid w:val="00331BEF"/>
    <w:rsid w:val="00331EDD"/>
    <w:rsid w:val="00332CBE"/>
    <w:rsid w:val="0033301C"/>
    <w:rsid w:val="003330C7"/>
    <w:rsid w:val="00333574"/>
    <w:rsid w:val="003336AF"/>
    <w:rsid w:val="00333744"/>
    <w:rsid w:val="00333B48"/>
    <w:rsid w:val="00333B90"/>
    <w:rsid w:val="00333BFB"/>
    <w:rsid w:val="00333DC8"/>
    <w:rsid w:val="00333E69"/>
    <w:rsid w:val="00334179"/>
    <w:rsid w:val="0033433D"/>
    <w:rsid w:val="00334560"/>
    <w:rsid w:val="00334593"/>
    <w:rsid w:val="0033460F"/>
    <w:rsid w:val="003346B4"/>
    <w:rsid w:val="003347CA"/>
    <w:rsid w:val="003347CB"/>
    <w:rsid w:val="00334938"/>
    <w:rsid w:val="00334960"/>
    <w:rsid w:val="0033498E"/>
    <w:rsid w:val="00334CC8"/>
    <w:rsid w:val="00334F30"/>
    <w:rsid w:val="00335175"/>
    <w:rsid w:val="00335C1B"/>
    <w:rsid w:val="00335C41"/>
    <w:rsid w:val="00335E1A"/>
    <w:rsid w:val="00335FE1"/>
    <w:rsid w:val="003362FA"/>
    <w:rsid w:val="00336375"/>
    <w:rsid w:val="003365FB"/>
    <w:rsid w:val="00337173"/>
    <w:rsid w:val="0033745F"/>
    <w:rsid w:val="00337736"/>
    <w:rsid w:val="003377A2"/>
    <w:rsid w:val="00337E1A"/>
    <w:rsid w:val="00337F1A"/>
    <w:rsid w:val="00340047"/>
    <w:rsid w:val="0034015E"/>
    <w:rsid w:val="0034023D"/>
    <w:rsid w:val="003408DC"/>
    <w:rsid w:val="00340CD8"/>
    <w:rsid w:val="00341361"/>
    <w:rsid w:val="0034149F"/>
    <w:rsid w:val="00341B6D"/>
    <w:rsid w:val="0034212B"/>
    <w:rsid w:val="00342291"/>
    <w:rsid w:val="00342393"/>
    <w:rsid w:val="003423FE"/>
    <w:rsid w:val="00342B3E"/>
    <w:rsid w:val="00342CC7"/>
    <w:rsid w:val="00343511"/>
    <w:rsid w:val="003435FB"/>
    <w:rsid w:val="0034372D"/>
    <w:rsid w:val="00343C37"/>
    <w:rsid w:val="003440CE"/>
    <w:rsid w:val="003445F9"/>
    <w:rsid w:val="00344A87"/>
    <w:rsid w:val="00344B5B"/>
    <w:rsid w:val="00344EB0"/>
    <w:rsid w:val="00345107"/>
    <w:rsid w:val="00345226"/>
    <w:rsid w:val="0034527A"/>
    <w:rsid w:val="003455A2"/>
    <w:rsid w:val="00345724"/>
    <w:rsid w:val="00345831"/>
    <w:rsid w:val="003458F6"/>
    <w:rsid w:val="0034597E"/>
    <w:rsid w:val="00345C8B"/>
    <w:rsid w:val="00345D29"/>
    <w:rsid w:val="00345D8C"/>
    <w:rsid w:val="00345E5E"/>
    <w:rsid w:val="003462F6"/>
    <w:rsid w:val="00346566"/>
    <w:rsid w:val="00346599"/>
    <w:rsid w:val="00346631"/>
    <w:rsid w:val="00346641"/>
    <w:rsid w:val="00346820"/>
    <w:rsid w:val="00346922"/>
    <w:rsid w:val="00346D8E"/>
    <w:rsid w:val="00346EAA"/>
    <w:rsid w:val="00346ED3"/>
    <w:rsid w:val="00346F14"/>
    <w:rsid w:val="00346F26"/>
    <w:rsid w:val="0034731C"/>
    <w:rsid w:val="00347651"/>
    <w:rsid w:val="00347779"/>
    <w:rsid w:val="00347B9D"/>
    <w:rsid w:val="00347D18"/>
    <w:rsid w:val="00347D42"/>
    <w:rsid w:val="00350211"/>
    <w:rsid w:val="0035041A"/>
    <w:rsid w:val="003504AC"/>
    <w:rsid w:val="00350500"/>
    <w:rsid w:val="003506CB"/>
    <w:rsid w:val="00350772"/>
    <w:rsid w:val="00350AF7"/>
    <w:rsid w:val="00350B6B"/>
    <w:rsid w:val="00350E02"/>
    <w:rsid w:val="00351091"/>
    <w:rsid w:val="003516DE"/>
    <w:rsid w:val="00351D2C"/>
    <w:rsid w:val="00351F38"/>
    <w:rsid w:val="0035202A"/>
    <w:rsid w:val="00352284"/>
    <w:rsid w:val="003525B1"/>
    <w:rsid w:val="00352AEC"/>
    <w:rsid w:val="00352BEC"/>
    <w:rsid w:val="00352CE3"/>
    <w:rsid w:val="00352EEF"/>
    <w:rsid w:val="003534FC"/>
    <w:rsid w:val="00353660"/>
    <w:rsid w:val="0035381E"/>
    <w:rsid w:val="003538CC"/>
    <w:rsid w:val="00353EBE"/>
    <w:rsid w:val="00354044"/>
    <w:rsid w:val="0035428A"/>
    <w:rsid w:val="00354342"/>
    <w:rsid w:val="00354632"/>
    <w:rsid w:val="0035471B"/>
    <w:rsid w:val="00354A7B"/>
    <w:rsid w:val="00354EEA"/>
    <w:rsid w:val="00355123"/>
    <w:rsid w:val="003552B7"/>
    <w:rsid w:val="0035557D"/>
    <w:rsid w:val="0035585F"/>
    <w:rsid w:val="003558FD"/>
    <w:rsid w:val="00355A3F"/>
    <w:rsid w:val="00355CD2"/>
    <w:rsid w:val="00355D97"/>
    <w:rsid w:val="00355DB7"/>
    <w:rsid w:val="00355E02"/>
    <w:rsid w:val="00355E41"/>
    <w:rsid w:val="00355FDD"/>
    <w:rsid w:val="00356362"/>
    <w:rsid w:val="003565B0"/>
    <w:rsid w:val="003566B7"/>
    <w:rsid w:val="00356CE7"/>
    <w:rsid w:val="0035732D"/>
    <w:rsid w:val="00357A50"/>
    <w:rsid w:val="00357A8F"/>
    <w:rsid w:val="00357B7B"/>
    <w:rsid w:val="00357B8C"/>
    <w:rsid w:val="00357F20"/>
    <w:rsid w:val="00360143"/>
    <w:rsid w:val="003602D5"/>
    <w:rsid w:val="003605F2"/>
    <w:rsid w:val="00360791"/>
    <w:rsid w:val="0036088E"/>
    <w:rsid w:val="00360AD3"/>
    <w:rsid w:val="00360CCA"/>
    <w:rsid w:val="00360D70"/>
    <w:rsid w:val="00360DA1"/>
    <w:rsid w:val="00360F1F"/>
    <w:rsid w:val="0036108D"/>
    <w:rsid w:val="0036122B"/>
    <w:rsid w:val="003612EA"/>
    <w:rsid w:val="003614E9"/>
    <w:rsid w:val="003616CA"/>
    <w:rsid w:val="00361813"/>
    <w:rsid w:val="00361CAF"/>
    <w:rsid w:val="00361D37"/>
    <w:rsid w:val="00362250"/>
    <w:rsid w:val="00362691"/>
    <w:rsid w:val="003627C8"/>
    <w:rsid w:val="0036286B"/>
    <w:rsid w:val="00362D37"/>
    <w:rsid w:val="00362D9F"/>
    <w:rsid w:val="00362E89"/>
    <w:rsid w:val="00363043"/>
    <w:rsid w:val="003634AC"/>
    <w:rsid w:val="00363AAA"/>
    <w:rsid w:val="00363C3F"/>
    <w:rsid w:val="00364064"/>
    <w:rsid w:val="003646FA"/>
    <w:rsid w:val="003647F6"/>
    <w:rsid w:val="00364820"/>
    <w:rsid w:val="00364827"/>
    <w:rsid w:val="00364838"/>
    <w:rsid w:val="003648B6"/>
    <w:rsid w:val="00364B98"/>
    <w:rsid w:val="00364F20"/>
    <w:rsid w:val="00365168"/>
    <w:rsid w:val="0036550E"/>
    <w:rsid w:val="003656A5"/>
    <w:rsid w:val="00365D6F"/>
    <w:rsid w:val="0036686D"/>
    <w:rsid w:val="00366C37"/>
    <w:rsid w:val="00366F06"/>
    <w:rsid w:val="00366F37"/>
    <w:rsid w:val="0036719E"/>
    <w:rsid w:val="00367498"/>
    <w:rsid w:val="003678B5"/>
    <w:rsid w:val="00367D16"/>
    <w:rsid w:val="00367D93"/>
    <w:rsid w:val="00367EDF"/>
    <w:rsid w:val="003707C8"/>
    <w:rsid w:val="00370C69"/>
    <w:rsid w:val="00370FE0"/>
    <w:rsid w:val="00371037"/>
    <w:rsid w:val="00371163"/>
    <w:rsid w:val="00371196"/>
    <w:rsid w:val="0037124C"/>
    <w:rsid w:val="003712BA"/>
    <w:rsid w:val="00371869"/>
    <w:rsid w:val="003718FA"/>
    <w:rsid w:val="003719E9"/>
    <w:rsid w:val="00371A3E"/>
    <w:rsid w:val="00371B18"/>
    <w:rsid w:val="00371F1E"/>
    <w:rsid w:val="003720C6"/>
    <w:rsid w:val="00372494"/>
    <w:rsid w:val="00372596"/>
    <w:rsid w:val="00372B0B"/>
    <w:rsid w:val="0037363D"/>
    <w:rsid w:val="003736C7"/>
    <w:rsid w:val="0037382B"/>
    <w:rsid w:val="00373AF0"/>
    <w:rsid w:val="00373C76"/>
    <w:rsid w:val="00373DE5"/>
    <w:rsid w:val="00373E6B"/>
    <w:rsid w:val="00374571"/>
    <w:rsid w:val="003748B5"/>
    <w:rsid w:val="003748CB"/>
    <w:rsid w:val="00374C43"/>
    <w:rsid w:val="00374D7A"/>
    <w:rsid w:val="00374E10"/>
    <w:rsid w:val="0037573B"/>
    <w:rsid w:val="00375A64"/>
    <w:rsid w:val="00375B9A"/>
    <w:rsid w:val="00375CAF"/>
    <w:rsid w:val="00376065"/>
    <w:rsid w:val="00376111"/>
    <w:rsid w:val="003761B9"/>
    <w:rsid w:val="00376351"/>
    <w:rsid w:val="003765C8"/>
    <w:rsid w:val="00376631"/>
    <w:rsid w:val="003767D7"/>
    <w:rsid w:val="0037689A"/>
    <w:rsid w:val="00377173"/>
    <w:rsid w:val="00377335"/>
    <w:rsid w:val="00377510"/>
    <w:rsid w:val="003776B0"/>
    <w:rsid w:val="00377757"/>
    <w:rsid w:val="003779D6"/>
    <w:rsid w:val="00377DB8"/>
    <w:rsid w:val="00377E7B"/>
    <w:rsid w:val="0038033D"/>
    <w:rsid w:val="00380406"/>
    <w:rsid w:val="003804AE"/>
    <w:rsid w:val="003804C5"/>
    <w:rsid w:val="00380505"/>
    <w:rsid w:val="00380653"/>
    <w:rsid w:val="00380B31"/>
    <w:rsid w:val="00380C34"/>
    <w:rsid w:val="00380CC8"/>
    <w:rsid w:val="00381066"/>
    <w:rsid w:val="003810F7"/>
    <w:rsid w:val="003813C4"/>
    <w:rsid w:val="0038155B"/>
    <w:rsid w:val="003815FD"/>
    <w:rsid w:val="003820F2"/>
    <w:rsid w:val="0038220F"/>
    <w:rsid w:val="003822B9"/>
    <w:rsid w:val="0038237A"/>
    <w:rsid w:val="003824C3"/>
    <w:rsid w:val="003824FA"/>
    <w:rsid w:val="003829EA"/>
    <w:rsid w:val="00382BF9"/>
    <w:rsid w:val="00382C85"/>
    <w:rsid w:val="00382D65"/>
    <w:rsid w:val="00383180"/>
    <w:rsid w:val="00383787"/>
    <w:rsid w:val="00383915"/>
    <w:rsid w:val="0038397F"/>
    <w:rsid w:val="00383B3C"/>
    <w:rsid w:val="00383BF5"/>
    <w:rsid w:val="00383F69"/>
    <w:rsid w:val="00384012"/>
    <w:rsid w:val="0038406A"/>
    <w:rsid w:val="00384579"/>
    <w:rsid w:val="003849B5"/>
    <w:rsid w:val="00384BB4"/>
    <w:rsid w:val="0038540F"/>
    <w:rsid w:val="003854D7"/>
    <w:rsid w:val="003857D9"/>
    <w:rsid w:val="00385854"/>
    <w:rsid w:val="0038598B"/>
    <w:rsid w:val="003859F6"/>
    <w:rsid w:val="00385A1C"/>
    <w:rsid w:val="00385A6D"/>
    <w:rsid w:val="00385B7E"/>
    <w:rsid w:val="00385D5B"/>
    <w:rsid w:val="00385DA8"/>
    <w:rsid w:val="003863AE"/>
    <w:rsid w:val="003865FE"/>
    <w:rsid w:val="00386684"/>
    <w:rsid w:val="00386913"/>
    <w:rsid w:val="00386A41"/>
    <w:rsid w:val="00387483"/>
    <w:rsid w:val="003876A9"/>
    <w:rsid w:val="00387C0C"/>
    <w:rsid w:val="00387C2B"/>
    <w:rsid w:val="00387CFC"/>
    <w:rsid w:val="00387DFD"/>
    <w:rsid w:val="00387E82"/>
    <w:rsid w:val="0039004A"/>
    <w:rsid w:val="003900AE"/>
    <w:rsid w:val="0039012C"/>
    <w:rsid w:val="00390304"/>
    <w:rsid w:val="003903DB"/>
    <w:rsid w:val="0039057C"/>
    <w:rsid w:val="00390958"/>
    <w:rsid w:val="00390F53"/>
    <w:rsid w:val="0039116B"/>
    <w:rsid w:val="00391298"/>
    <w:rsid w:val="003915ED"/>
    <w:rsid w:val="003917A3"/>
    <w:rsid w:val="003919EB"/>
    <w:rsid w:val="00391D78"/>
    <w:rsid w:val="00391F81"/>
    <w:rsid w:val="0039201E"/>
    <w:rsid w:val="003922FA"/>
    <w:rsid w:val="003927AF"/>
    <w:rsid w:val="003929D3"/>
    <w:rsid w:val="00392B53"/>
    <w:rsid w:val="003930F5"/>
    <w:rsid w:val="00393606"/>
    <w:rsid w:val="00393755"/>
    <w:rsid w:val="00393CEA"/>
    <w:rsid w:val="00393D04"/>
    <w:rsid w:val="0039461E"/>
    <w:rsid w:val="00394A95"/>
    <w:rsid w:val="00394D3F"/>
    <w:rsid w:val="003954E8"/>
    <w:rsid w:val="003955D1"/>
    <w:rsid w:val="00395E5E"/>
    <w:rsid w:val="00395E7E"/>
    <w:rsid w:val="00396538"/>
    <w:rsid w:val="00396550"/>
    <w:rsid w:val="00396606"/>
    <w:rsid w:val="00396628"/>
    <w:rsid w:val="00396D9E"/>
    <w:rsid w:val="00397498"/>
    <w:rsid w:val="003976BF"/>
    <w:rsid w:val="00397F8E"/>
    <w:rsid w:val="003A02F1"/>
    <w:rsid w:val="003A054D"/>
    <w:rsid w:val="003A06CF"/>
    <w:rsid w:val="003A0773"/>
    <w:rsid w:val="003A0947"/>
    <w:rsid w:val="003A09EF"/>
    <w:rsid w:val="003A0B4B"/>
    <w:rsid w:val="003A0D2C"/>
    <w:rsid w:val="003A0FF0"/>
    <w:rsid w:val="003A123E"/>
    <w:rsid w:val="003A1861"/>
    <w:rsid w:val="003A1BB7"/>
    <w:rsid w:val="003A1BCB"/>
    <w:rsid w:val="003A1DB7"/>
    <w:rsid w:val="003A1E3C"/>
    <w:rsid w:val="003A27FE"/>
    <w:rsid w:val="003A2BA8"/>
    <w:rsid w:val="003A2E65"/>
    <w:rsid w:val="003A30B9"/>
    <w:rsid w:val="003A31A5"/>
    <w:rsid w:val="003A330C"/>
    <w:rsid w:val="003A3476"/>
    <w:rsid w:val="003A357F"/>
    <w:rsid w:val="003A35CA"/>
    <w:rsid w:val="003A3669"/>
    <w:rsid w:val="003A3688"/>
    <w:rsid w:val="003A37DC"/>
    <w:rsid w:val="003A38AB"/>
    <w:rsid w:val="003A397E"/>
    <w:rsid w:val="003A3BDF"/>
    <w:rsid w:val="003A3DD4"/>
    <w:rsid w:val="003A3F00"/>
    <w:rsid w:val="003A4038"/>
    <w:rsid w:val="003A4088"/>
    <w:rsid w:val="003A42C4"/>
    <w:rsid w:val="003A4B13"/>
    <w:rsid w:val="003A4D6A"/>
    <w:rsid w:val="003A4F44"/>
    <w:rsid w:val="003A505B"/>
    <w:rsid w:val="003A51A8"/>
    <w:rsid w:val="003A5228"/>
    <w:rsid w:val="003A576A"/>
    <w:rsid w:val="003A5BB2"/>
    <w:rsid w:val="003A5C07"/>
    <w:rsid w:val="003A5D0F"/>
    <w:rsid w:val="003A5FDC"/>
    <w:rsid w:val="003A6080"/>
    <w:rsid w:val="003A6281"/>
    <w:rsid w:val="003A67CD"/>
    <w:rsid w:val="003A6D58"/>
    <w:rsid w:val="003A6D6B"/>
    <w:rsid w:val="003A70B1"/>
    <w:rsid w:val="003A71AE"/>
    <w:rsid w:val="003A74A6"/>
    <w:rsid w:val="003A772C"/>
    <w:rsid w:val="003A7940"/>
    <w:rsid w:val="003A795B"/>
    <w:rsid w:val="003A7CD0"/>
    <w:rsid w:val="003A7D14"/>
    <w:rsid w:val="003A7D58"/>
    <w:rsid w:val="003B02FD"/>
    <w:rsid w:val="003B0760"/>
    <w:rsid w:val="003B080A"/>
    <w:rsid w:val="003B0D15"/>
    <w:rsid w:val="003B1202"/>
    <w:rsid w:val="003B196F"/>
    <w:rsid w:val="003B1995"/>
    <w:rsid w:val="003B1E63"/>
    <w:rsid w:val="003B218F"/>
    <w:rsid w:val="003B274B"/>
    <w:rsid w:val="003B2E9C"/>
    <w:rsid w:val="003B2EFA"/>
    <w:rsid w:val="003B2F78"/>
    <w:rsid w:val="003B3365"/>
    <w:rsid w:val="003B34C5"/>
    <w:rsid w:val="003B3738"/>
    <w:rsid w:val="003B3884"/>
    <w:rsid w:val="003B3947"/>
    <w:rsid w:val="003B3B52"/>
    <w:rsid w:val="003B3B54"/>
    <w:rsid w:val="003B3C9E"/>
    <w:rsid w:val="003B418F"/>
    <w:rsid w:val="003B4542"/>
    <w:rsid w:val="003B45DE"/>
    <w:rsid w:val="003B479D"/>
    <w:rsid w:val="003B48D6"/>
    <w:rsid w:val="003B4BA2"/>
    <w:rsid w:val="003B4C1E"/>
    <w:rsid w:val="003B4F05"/>
    <w:rsid w:val="003B519C"/>
    <w:rsid w:val="003B52C0"/>
    <w:rsid w:val="003B54B1"/>
    <w:rsid w:val="003B54CF"/>
    <w:rsid w:val="003B56D3"/>
    <w:rsid w:val="003B59A1"/>
    <w:rsid w:val="003B5ABA"/>
    <w:rsid w:val="003B5C60"/>
    <w:rsid w:val="003B5F11"/>
    <w:rsid w:val="003B5F6B"/>
    <w:rsid w:val="003B5F82"/>
    <w:rsid w:val="003B6019"/>
    <w:rsid w:val="003B618B"/>
    <w:rsid w:val="003B62B0"/>
    <w:rsid w:val="003B62EB"/>
    <w:rsid w:val="003B646A"/>
    <w:rsid w:val="003B6954"/>
    <w:rsid w:val="003B6C4D"/>
    <w:rsid w:val="003B6C56"/>
    <w:rsid w:val="003B6D75"/>
    <w:rsid w:val="003B6E45"/>
    <w:rsid w:val="003B73A7"/>
    <w:rsid w:val="003B74B2"/>
    <w:rsid w:val="003B767F"/>
    <w:rsid w:val="003B79E3"/>
    <w:rsid w:val="003B7A66"/>
    <w:rsid w:val="003B7D9E"/>
    <w:rsid w:val="003B7F22"/>
    <w:rsid w:val="003B7F26"/>
    <w:rsid w:val="003C0062"/>
    <w:rsid w:val="003C05C7"/>
    <w:rsid w:val="003C0DB9"/>
    <w:rsid w:val="003C0F64"/>
    <w:rsid w:val="003C0FA1"/>
    <w:rsid w:val="003C1167"/>
    <w:rsid w:val="003C1253"/>
    <w:rsid w:val="003C127F"/>
    <w:rsid w:val="003C12D5"/>
    <w:rsid w:val="003C1451"/>
    <w:rsid w:val="003C159C"/>
    <w:rsid w:val="003C1630"/>
    <w:rsid w:val="003C1DDB"/>
    <w:rsid w:val="003C1F43"/>
    <w:rsid w:val="003C239C"/>
    <w:rsid w:val="003C2844"/>
    <w:rsid w:val="003C2901"/>
    <w:rsid w:val="003C2A83"/>
    <w:rsid w:val="003C2E76"/>
    <w:rsid w:val="003C2EBD"/>
    <w:rsid w:val="003C3391"/>
    <w:rsid w:val="003C3502"/>
    <w:rsid w:val="003C35D0"/>
    <w:rsid w:val="003C37F5"/>
    <w:rsid w:val="003C3AF0"/>
    <w:rsid w:val="003C3BB4"/>
    <w:rsid w:val="003C3CE0"/>
    <w:rsid w:val="003C3D0F"/>
    <w:rsid w:val="003C3D2E"/>
    <w:rsid w:val="003C3E6F"/>
    <w:rsid w:val="003C42AA"/>
    <w:rsid w:val="003C4336"/>
    <w:rsid w:val="003C43D7"/>
    <w:rsid w:val="003C4847"/>
    <w:rsid w:val="003C4BDA"/>
    <w:rsid w:val="003C4E03"/>
    <w:rsid w:val="003C554E"/>
    <w:rsid w:val="003C5A63"/>
    <w:rsid w:val="003C5AF9"/>
    <w:rsid w:val="003C5BE5"/>
    <w:rsid w:val="003C5F95"/>
    <w:rsid w:val="003C6212"/>
    <w:rsid w:val="003C628D"/>
    <w:rsid w:val="003C62DB"/>
    <w:rsid w:val="003C6487"/>
    <w:rsid w:val="003C676C"/>
    <w:rsid w:val="003C67B1"/>
    <w:rsid w:val="003C68DC"/>
    <w:rsid w:val="003C6ADE"/>
    <w:rsid w:val="003C6BCB"/>
    <w:rsid w:val="003C6D13"/>
    <w:rsid w:val="003C6E3C"/>
    <w:rsid w:val="003C6FCA"/>
    <w:rsid w:val="003C70F5"/>
    <w:rsid w:val="003C743E"/>
    <w:rsid w:val="003C75C3"/>
    <w:rsid w:val="003C7755"/>
    <w:rsid w:val="003C7795"/>
    <w:rsid w:val="003C78BA"/>
    <w:rsid w:val="003C7E63"/>
    <w:rsid w:val="003D00B3"/>
    <w:rsid w:val="003D01BA"/>
    <w:rsid w:val="003D0463"/>
    <w:rsid w:val="003D0B81"/>
    <w:rsid w:val="003D0BF0"/>
    <w:rsid w:val="003D0FC7"/>
    <w:rsid w:val="003D11CB"/>
    <w:rsid w:val="003D12DE"/>
    <w:rsid w:val="003D18A7"/>
    <w:rsid w:val="003D1AF5"/>
    <w:rsid w:val="003D1B2C"/>
    <w:rsid w:val="003D1BBC"/>
    <w:rsid w:val="003D1CD3"/>
    <w:rsid w:val="003D1D9C"/>
    <w:rsid w:val="003D1FAC"/>
    <w:rsid w:val="003D2173"/>
    <w:rsid w:val="003D23D8"/>
    <w:rsid w:val="003D2884"/>
    <w:rsid w:val="003D2AC4"/>
    <w:rsid w:val="003D2B9E"/>
    <w:rsid w:val="003D301F"/>
    <w:rsid w:val="003D30C6"/>
    <w:rsid w:val="003D3122"/>
    <w:rsid w:val="003D3439"/>
    <w:rsid w:val="003D34D5"/>
    <w:rsid w:val="003D3958"/>
    <w:rsid w:val="003D39CD"/>
    <w:rsid w:val="003D3E27"/>
    <w:rsid w:val="003D3E51"/>
    <w:rsid w:val="003D41CE"/>
    <w:rsid w:val="003D4B12"/>
    <w:rsid w:val="003D4BA6"/>
    <w:rsid w:val="003D4E54"/>
    <w:rsid w:val="003D4F69"/>
    <w:rsid w:val="003D513E"/>
    <w:rsid w:val="003D53FA"/>
    <w:rsid w:val="003D5590"/>
    <w:rsid w:val="003D564B"/>
    <w:rsid w:val="003D56F1"/>
    <w:rsid w:val="003D59A8"/>
    <w:rsid w:val="003D6365"/>
    <w:rsid w:val="003D64C0"/>
    <w:rsid w:val="003D6652"/>
    <w:rsid w:val="003D680F"/>
    <w:rsid w:val="003D6D16"/>
    <w:rsid w:val="003D709C"/>
    <w:rsid w:val="003D7189"/>
    <w:rsid w:val="003D73E6"/>
    <w:rsid w:val="003D73F0"/>
    <w:rsid w:val="003D744A"/>
    <w:rsid w:val="003D7926"/>
    <w:rsid w:val="003D794A"/>
    <w:rsid w:val="003D7BCF"/>
    <w:rsid w:val="003D7C5E"/>
    <w:rsid w:val="003D7D19"/>
    <w:rsid w:val="003D7EA4"/>
    <w:rsid w:val="003E0387"/>
    <w:rsid w:val="003E043D"/>
    <w:rsid w:val="003E0559"/>
    <w:rsid w:val="003E0D32"/>
    <w:rsid w:val="003E0EF5"/>
    <w:rsid w:val="003E119A"/>
    <w:rsid w:val="003E11F4"/>
    <w:rsid w:val="003E18DE"/>
    <w:rsid w:val="003E1A48"/>
    <w:rsid w:val="003E1B31"/>
    <w:rsid w:val="003E1C5F"/>
    <w:rsid w:val="003E1F9C"/>
    <w:rsid w:val="003E2041"/>
    <w:rsid w:val="003E25B7"/>
    <w:rsid w:val="003E25E5"/>
    <w:rsid w:val="003E2797"/>
    <w:rsid w:val="003E2E21"/>
    <w:rsid w:val="003E2F42"/>
    <w:rsid w:val="003E3661"/>
    <w:rsid w:val="003E3A2A"/>
    <w:rsid w:val="003E3CE3"/>
    <w:rsid w:val="003E3D6F"/>
    <w:rsid w:val="003E3E36"/>
    <w:rsid w:val="003E3F9A"/>
    <w:rsid w:val="003E405C"/>
    <w:rsid w:val="003E4287"/>
    <w:rsid w:val="003E43A6"/>
    <w:rsid w:val="003E446C"/>
    <w:rsid w:val="003E46C2"/>
    <w:rsid w:val="003E492D"/>
    <w:rsid w:val="003E49DE"/>
    <w:rsid w:val="003E4CB8"/>
    <w:rsid w:val="003E4FC8"/>
    <w:rsid w:val="003E50E2"/>
    <w:rsid w:val="003E5412"/>
    <w:rsid w:val="003E58AF"/>
    <w:rsid w:val="003E5A47"/>
    <w:rsid w:val="003E5D51"/>
    <w:rsid w:val="003E61A0"/>
    <w:rsid w:val="003E635A"/>
    <w:rsid w:val="003E64B7"/>
    <w:rsid w:val="003E64D8"/>
    <w:rsid w:val="003E658F"/>
    <w:rsid w:val="003E68A3"/>
    <w:rsid w:val="003E6997"/>
    <w:rsid w:val="003E69A4"/>
    <w:rsid w:val="003E6A8D"/>
    <w:rsid w:val="003E6BD3"/>
    <w:rsid w:val="003E6E52"/>
    <w:rsid w:val="003E707E"/>
    <w:rsid w:val="003E7213"/>
    <w:rsid w:val="003E748E"/>
    <w:rsid w:val="003E78F8"/>
    <w:rsid w:val="003E7956"/>
    <w:rsid w:val="003E7981"/>
    <w:rsid w:val="003E7CD6"/>
    <w:rsid w:val="003E7E7C"/>
    <w:rsid w:val="003E7EDC"/>
    <w:rsid w:val="003E7F75"/>
    <w:rsid w:val="003F0111"/>
    <w:rsid w:val="003F015A"/>
    <w:rsid w:val="003F0668"/>
    <w:rsid w:val="003F0985"/>
    <w:rsid w:val="003F099C"/>
    <w:rsid w:val="003F0B11"/>
    <w:rsid w:val="003F0B55"/>
    <w:rsid w:val="003F0E00"/>
    <w:rsid w:val="003F0E03"/>
    <w:rsid w:val="003F0E08"/>
    <w:rsid w:val="003F0ED2"/>
    <w:rsid w:val="003F0FBA"/>
    <w:rsid w:val="003F10E0"/>
    <w:rsid w:val="003F11E3"/>
    <w:rsid w:val="003F12D7"/>
    <w:rsid w:val="003F177E"/>
    <w:rsid w:val="003F1A23"/>
    <w:rsid w:val="003F1B8D"/>
    <w:rsid w:val="003F1BC9"/>
    <w:rsid w:val="003F1D84"/>
    <w:rsid w:val="003F1E46"/>
    <w:rsid w:val="003F1E4A"/>
    <w:rsid w:val="003F1FFE"/>
    <w:rsid w:val="003F21DC"/>
    <w:rsid w:val="003F2208"/>
    <w:rsid w:val="003F236F"/>
    <w:rsid w:val="003F2443"/>
    <w:rsid w:val="003F25B1"/>
    <w:rsid w:val="003F27BA"/>
    <w:rsid w:val="003F2A28"/>
    <w:rsid w:val="003F2E82"/>
    <w:rsid w:val="003F32F4"/>
    <w:rsid w:val="003F34B8"/>
    <w:rsid w:val="003F34F3"/>
    <w:rsid w:val="003F35F4"/>
    <w:rsid w:val="003F36F1"/>
    <w:rsid w:val="003F3918"/>
    <w:rsid w:val="003F3C84"/>
    <w:rsid w:val="003F3EFE"/>
    <w:rsid w:val="003F3F57"/>
    <w:rsid w:val="003F4849"/>
    <w:rsid w:val="003F48AB"/>
    <w:rsid w:val="003F48D9"/>
    <w:rsid w:val="003F49EC"/>
    <w:rsid w:val="003F4DBC"/>
    <w:rsid w:val="003F4DE3"/>
    <w:rsid w:val="003F4DF8"/>
    <w:rsid w:val="003F4EFB"/>
    <w:rsid w:val="003F51A9"/>
    <w:rsid w:val="003F51D1"/>
    <w:rsid w:val="003F5527"/>
    <w:rsid w:val="003F5789"/>
    <w:rsid w:val="003F5D4C"/>
    <w:rsid w:val="003F6031"/>
    <w:rsid w:val="003F6597"/>
    <w:rsid w:val="003F674B"/>
    <w:rsid w:val="003F6876"/>
    <w:rsid w:val="003F6EFD"/>
    <w:rsid w:val="003F77AE"/>
    <w:rsid w:val="003F7B64"/>
    <w:rsid w:val="003F7B74"/>
    <w:rsid w:val="003F7B81"/>
    <w:rsid w:val="003F7D6D"/>
    <w:rsid w:val="0040003D"/>
    <w:rsid w:val="0040015B"/>
    <w:rsid w:val="0040019B"/>
    <w:rsid w:val="0040053E"/>
    <w:rsid w:val="00400573"/>
    <w:rsid w:val="00400633"/>
    <w:rsid w:val="004008C1"/>
    <w:rsid w:val="00401163"/>
    <w:rsid w:val="004011AB"/>
    <w:rsid w:val="004011D8"/>
    <w:rsid w:val="004012BB"/>
    <w:rsid w:val="004013CC"/>
    <w:rsid w:val="004014D2"/>
    <w:rsid w:val="004014FE"/>
    <w:rsid w:val="00401692"/>
    <w:rsid w:val="00401759"/>
    <w:rsid w:val="00401774"/>
    <w:rsid w:val="00401DEC"/>
    <w:rsid w:val="00402183"/>
    <w:rsid w:val="0040224F"/>
    <w:rsid w:val="00402658"/>
    <w:rsid w:val="00402BD2"/>
    <w:rsid w:val="00402D3F"/>
    <w:rsid w:val="00402E33"/>
    <w:rsid w:val="00402E60"/>
    <w:rsid w:val="00403018"/>
    <w:rsid w:val="004030A3"/>
    <w:rsid w:val="004031FD"/>
    <w:rsid w:val="00403357"/>
    <w:rsid w:val="00403773"/>
    <w:rsid w:val="0040396E"/>
    <w:rsid w:val="00403A30"/>
    <w:rsid w:val="00403BEA"/>
    <w:rsid w:val="00403F1D"/>
    <w:rsid w:val="00404059"/>
    <w:rsid w:val="004043B1"/>
    <w:rsid w:val="0040444A"/>
    <w:rsid w:val="0040485D"/>
    <w:rsid w:val="00404BBB"/>
    <w:rsid w:val="00404C0B"/>
    <w:rsid w:val="00404F76"/>
    <w:rsid w:val="00405232"/>
    <w:rsid w:val="00405465"/>
    <w:rsid w:val="00405515"/>
    <w:rsid w:val="004055BF"/>
    <w:rsid w:val="00405924"/>
    <w:rsid w:val="00405B4E"/>
    <w:rsid w:val="004063A9"/>
    <w:rsid w:val="00406544"/>
    <w:rsid w:val="004065C6"/>
    <w:rsid w:val="004066D5"/>
    <w:rsid w:val="00406737"/>
    <w:rsid w:val="00406B43"/>
    <w:rsid w:val="00406C21"/>
    <w:rsid w:val="00406DF4"/>
    <w:rsid w:val="004072DF"/>
    <w:rsid w:val="00407634"/>
    <w:rsid w:val="00407642"/>
    <w:rsid w:val="00407B1B"/>
    <w:rsid w:val="004100F4"/>
    <w:rsid w:val="00410167"/>
    <w:rsid w:val="00410346"/>
    <w:rsid w:val="0041038D"/>
    <w:rsid w:val="00410971"/>
    <w:rsid w:val="00410A03"/>
    <w:rsid w:val="00410AF6"/>
    <w:rsid w:val="00410B8D"/>
    <w:rsid w:val="00410C92"/>
    <w:rsid w:val="00410CDE"/>
    <w:rsid w:val="00410E88"/>
    <w:rsid w:val="004111B9"/>
    <w:rsid w:val="00411682"/>
    <w:rsid w:val="004116F3"/>
    <w:rsid w:val="00411B05"/>
    <w:rsid w:val="00411B5D"/>
    <w:rsid w:val="00411B6E"/>
    <w:rsid w:val="00411BD4"/>
    <w:rsid w:val="00411CD0"/>
    <w:rsid w:val="00411DEF"/>
    <w:rsid w:val="00411E68"/>
    <w:rsid w:val="00412011"/>
    <w:rsid w:val="0041228C"/>
    <w:rsid w:val="00412373"/>
    <w:rsid w:val="004126F4"/>
    <w:rsid w:val="00412CDC"/>
    <w:rsid w:val="00412FAC"/>
    <w:rsid w:val="00412FF8"/>
    <w:rsid w:val="0041312C"/>
    <w:rsid w:val="0041321A"/>
    <w:rsid w:val="004133BB"/>
    <w:rsid w:val="00413527"/>
    <w:rsid w:val="004135E2"/>
    <w:rsid w:val="004137CF"/>
    <w:rsid w:val="004138F1"/>
    <w:rsid w:val="00413B10"/>
    <w:rsid w:val="00413B12"/>
    <w:rsid w:val="00413E07"/>
    <w:rsid w:val="00413FB3"/>
    <w:rsid w:val="004140A9"/>
    <w:rsid w:val="004142ED"/>
    <w:rsid w:val="004143CF"/>
    <w:rsid w:val="004146C6"/>
    <w:rsid w:val="00414B3C"/>
    <w:rsid w:val="00414DC4"/>
    <w:rsid w:val="004151E0"/>
    <w:rsid w:val="00415342"/>
    <w:rsid w:val="004153A4"/>
    <w:rsid w:val="004158A5"/>
    <w:rsid w:val="004158BC"/>
    <w:rsid w:val="0041598F"/>
    <w:rsid w:val="00415A2E"/>
    <w:rsid w:val="00415A65"/>
    <w:rsid w:val="00415AE2"/>
    <w:rsid w:val="00415C42"/>
    <w:rsid w:val="00415E22"/>
    <w:rsid w:val="00415FF3"/>
    <w:rsid w:val="00416013"/>
    <w:rsid w:val="00416160"/>
    <w:rsid w:val="004161A2"/>
    <w:rsid w:val="004162E6"/>
    <w:rsid w:val="004162FA"/>
    <w:rsid w:val="00416BBE"/>
    <w:rsid w:val="0041712F"/>
    <w:rsid w:val="0041720A"/>
    <w:rsid w:val="00417594"/>
    <w:rsid w:val="0041795E"/>
    <w:rsid w:val="00417AEE"/>
    <w:rsid w:val="00417BD1"/>
    <w:rsid w:val="00417E91"/>
    <w:rsid w:val="0042011B"/>
    <w:rsid w:val="00420523"/>
    <w:rsid w:val="004206DC"/>
    <w:rsid w:val="0042077C"/>
    <w:rsid w:val="004209BA"/>
    <w:rsid w:val="004209C4"/>
    <w:rsid w:val="004209DD"/>
    <w:rsid w:val="00420B41"/>
    <w:rsid w:val="00420D10"/>
    <w:rsid w:val="00420E43"/>
    <w:rsid w:val="004211C6"/>
    <w:rsid w:val="00421223"/>
    <w:rsid w:val="0042138F"/>
    <w:rsid w:val="00421A6C"/>
    <w:rsid w:val="00421CE0"/>
    <w:rsid w:val="00421D64"/>
    <w:rsid w:val="00421E22"/>
    <w:rsid w:val="00421EE9"/>
    <w:rsid w:val="004225FC"/>
    <w:rsid w:val="0042276F"/>
    <w:rsid w:val="004229FF"/>
    <w:rsid w:val="00422BF5"/>
    <w:rsid w:val="004231CA"/>
    <w:rsid w:val="004234D3"/>
    <w:rsid w:val="0042361C"/>
    <w:rsid w:val="00423849"/>
    <w:rsid w:val="004238C9"/>
    <w:rsid w:val="00423C0B"/>
    <w:rsid w:val="00423DD3"/>
    <w:rsid w:val="00423E4C"/>
    <w:rsid w:val="00423FC1"/>
    <w:rsid w:val="0042423F"/>
    <w:rsid w:val="00424520"/>
    <w:rsid w:val="004248E2"/>
    <w:rsid w:val="004249BD"/>
    <w:rsid w:val="00424B15"/>
    <w:rsid w:val="00424EC5"/>
    <w:rsid w:val="0042507F"/>
    <w:rsid w:val="00425286"/>
    <w:rsid w:val="00425422"/>
    <w:rsid w:val="0042546A"/>
    <w:rsid w:val="004255E7"/>
    <w:rsid w:val="00425A19"/>
    <w:rsid w:val="00425C83"/>
    <w:rsid w:val="00425C92"/>
    <w:rsid w:val="00425E49"/>
    <w:rsid w:val="00425FC3"/>
    <w:rsid w:val="004260E1"/>
    <w:rsid w:val="00426BE4"/>
    <w:rsid w:val="00426D04"/>
    <w:rsid w:val="00426DC2"/>
    <w:rsid w:val="00426E68"/>
    <w:rsid w:val="00427364"/>
    <w:rsid w:val="004274B9"/>
    <w:rsid w:val="0042764F"/>
    <w:rsid w:val="004279A7"/>
    <w:rsid w:val="00427CE7"/>
    <w:rsid w:val="00427D52"/>
    <w:rsid w:val="00427D7B"/>
    <w:rsid w:val="00427E98"/>
    <w:rsid w:val="00427FCC"/>
    <w:rsid w:val="00430429"/>
    <w:rsid w:val="00430553"/>
    <w:rsid w:val="00430579"/>
    <w:rsid w:val="00430D0D"/>
    <w:rsid w:val="00430F6E"/>
    <w:rsid w:val="004310B8"/>
    <w:rsid w:val="004312BE"/>
    <w:rsid w:val="00431638"/>
    <w:rsid w:val="0043175E"/>
    <w:rsid w:val="00431826"/>
    <w:rsid w:val="00431C7E"/>
    <w:rsid w:val="004320CE"/>
    <w:rsid w:val="00432102"/>
    <w:rsid w:val="004322E2"/>
    <w:rsid w:val="00432686"/>
    <w:rsid w:val="004326A0"/>
    <w:rsid w:val="004326BF"/>
    <w:rsid w:val="004329B9"/>
    <w:rsid w:val="00432ADC"/>
    <w:rsid w:val="0043301D"/>
    <w:rsid w:val="00433172"/>
    <w:rsid w:val="004337B4"/>
    <w:rsid w:val="00433A49"/>
    <w:rsid w:val="00433A9D"/>
    <w:rsid w:val="00433BAE"/>
    <w:rsid w:val="00433CEA"/>
    <w:rsid w:val="00433D1B"/>
    <w:rsid w:val="00433F17"/>
    <w:rsid w:val="00434176"/>
    <w:rsid w:val="0043418F"/>
    <w:rsid w:val="0043466B"/>
    <w:rsid w:val="00434768"/>
    <w:rsid w:val="004349A4"/>
    <w:rsid w:val="00434BCF"/>
    <w:rsid w:val="00434DC6"/>
    <w:rsid w:val="00434EDB"/>
    <w:rsid w:val="00435320"/>
    <w:rsid w:val="0043557C"/>
    <w:rsid w:val="004355A5"/>
    <w:rsid w:val="004355FA"/>
    <w:rsid w:val="00435644"/>
    <w:rsid w:val="004357B1"/>
    <w:rsid w:val="00435852"/>
    <w:rsid w:val="00435AA3"/>
    <w:rsid w:val="00435F4A"/>
    <w:rsid w:val="00436263"/>
    <w:rsid w:val="0043656C"/>
    <w:rsid w:val="004365F2"/>
    <w:rsid w:val="00436635"/>
    <w:rsid w:val="00436A62"/>
    <w:rsid w:val="00436B66"/>
    <w:rsid w:val="00436C1A"/>
    <w:rsid w:val="00436DC6"/>
    <w:rsid w:val="00436F4B"/>
    <w:rsid w:val="0043761B"/>
    <w:rsid w:val="0043761C"/>
    <w:rsid w:val="00437759"/>
    <w:rsid w:val="004377B6"/>
    <w:rsid w:val="004379A8"/>
    <w:rsid w:val="00437A3A"/>
    <w:rsid w:val="00437E92"/>
    <w:rsid w:val="00437F82"/>
    <w:rsid w:val="00440333"/>
    <w:rsid w:val="0044048F"/>
    <w:rsid w:val="00440718"/>
    <w:rsid w:val="0044079E"/>
    <w:rsid w:val="0044116D"/>
    <w:rsid w:val="0044129D"/>
    <w:rsid w:val="00441339"/>
    <w:rsid w:val="00441650"/>
    <w:rsid w:val="00441680"/>
    <w:rsid w:val="00441ACE"/>
    <w:rsid w:val="00441B81"/>
    <w:rsid w:val="00441BC8"/>
    <w:rsid w:val="00441D23"/>
    <w:rsid w:val="00441DCF"/>
    <w:rsid w:val="00441F6F"/>
    <w:rsid w:val="004425A4"/>
    <w:rsid w:val="00442671"/>
    <w:rsid w:val="0044305A"/>
    <w:rsid w:val="004431F1"/>
    <w:rsid w:val="0044337E"/>
    <w:rsid w:val="004433CD"/>
    <w:rsid w:val="00443620"/>
    <w:rsid w:val="004436AE"/>
    <w:rsid w:val="004437BE"/>
    <w:rsid w:val="004438C7"/>
    <w:rsid w:val="00443A84"/>
    <w:rsid w:val="00443B00"/>
    <w:rsid w:val="00444330"/>
    <w:rsid w:val="00444700"/>
    <w:rsid w:val="00444AAA"/>
    <w:rsid w:val="00444C63"/>
    <w:rsid w:val="00445177"/>
    <w:rsid w:val="00445522"/>
    <w:rsid w:val="00445862"/>
    <w:rsid w:val="004458E3"/>
    <w:rsid w:val="004458FB"/>
    <w:rsid w:val="00445956"/>
    <w:rsid w:val="00445997"/>
    <w:rsid w:val="004459D6"/>
    <w:rsid w:val="00445B38"/>
    <w:rsid w:val="00445BEA"/>
    <w:rsid w:val="00445E35"/>
    <w:rsid w:val="00445E96"/>
    <w:rsid w:val="00445F0F"/>
    <w:rsid w:val="004464AF"/>
    <w:rsid w:val="0044659A"/>
    <w:rsid w:val="00446736"/>
    <w:rsid w:val="00446844"/>
    <w:rsid w:val="0044696F"/>
    <w:rsid w:val="00446BE9"/>
    <w:rsid w:val="00447147"/>
    <w:rsid w:val="004475A5"/>
    <w:rsid w:val="0044767B"/>
    <w:rsid w:val="0044777F"/>
    <w:rsid w:val="004477C9"/>
    <w:rsid w:val="00447CF0"/>
    <w:rsid w:val="0045028C"/>
    <w:rsid w:val="0045038F"/>
    <w:rsid w:val="00450673"/>
    <w:rsid w:val="004509D1"/>
    <w:rsid w:val="00450C6B"/>
    <w:rsid w:val="00450E04"/>
    <w:rsid w:val="00450FB7"/>
    <w:rsid w:val="00451609"/>
    <w:rsid w:val="00451ABD"/>
    <w:rsid w:val="00451B0E"/>
    <w:rsid w:val="00451B4E"/>
    <w:rsid w:val="00451BA7"/>
    <w:rsid w:val="00451FC4"/>
    <w:rsid w:val="0045201F"/>
    <w:rsid w:val="004521A3"/>
    <w:rsid w:val="004523E0"/>
    <w:rsid w:val="004525DD"/>
    <w:rsid w:val="00452604"/>
    <w:rsid w:val="00452927"/>
    <w:rsid w:val="004529D9"/>
    <w:rsid w:val="00452C07"/>
    <w:rsid w:val="00452E35"/>
    <w:rsid w:val="00452FB9"/>
    <w:rsid w:val="0045305D"/>
    <w:rsid w:val="0045307F"/>
    <w:rsid w:val="004530C1"/>
    <w:rsid w:val="00453318"/>
    <w:rsid w:val="004535D6"/>
    <w:rsid w:val="0045365E"/>
    <w:rsid w:val="00453AF4"/>
    <w:rsid w:val="00453BA1"/>
    <w:rsid w:val="0045417F"/>
    <w:rsid w:val="004541C4"/>
    <w:rsid w:val="004544A4"/>
    <w:rsid w:val="004544C2"/>
    <w:rsid w:val="0045484A"/>
    <w:rsid w:val="00454955"/>
    <w:rsid w:val="004551B8"/>
    <w:rsid w:val="00455B55"/>
    <w:rsid w:val="00455D02"/>
    <w:rsid w:val="00455E1C"/>
    <w:rsid w:val="00456031"/>
    <w:rsid w:val="00456179"/>
    <w:rsid w:val="00456546"/>
    <w:rsid w:val="0045679E"/>
    <w:rsid w:val="00456919"/>
    <w:rsid w:val="00456BCC"/>
    <w:rsid w:val="00456C69"/>
    <w:rsid w:val="00456D04"/>
    <w:rsid w:val="00456D67"/>
    <w:rsid w:val="0045726F"/>
    <w:rsid w:val="00457974"/>
    <w:rsid w:val="00460047"/>
    <w:rsid w:val="00460489"/>
    <w:rsid w:val="00460551"/>
    <w:rsid w:val="004606E2"/>
    <w:rsid w:val="004607FC"/>
    <w:rsid w:val="00460911"/>
    <w:rsid w:val="00460A32"/>
    <w:rsid w:val="00460AB7"/>
    <w:rsid w:val="00460EE6"/>
    <w:rsid w:val="0046110F"/>
    <w:rsid w:val="004615E9"/>
    <w:rsid w:val="004615EF"/>
    <w:rsid w:val="004617ED"/>
    <w:rsid w:val="00461846"/>
    <w:rsid w:val="004618A2"/>
    <w:rsid w:val="004618BA"/>
    <w:rsid w:val="0046198F"/>
    <w:rsid w:val="004619D3"/>
    <w:rsid w:val="004619D8"/>
    <w:rsid w:val="00461CC9"/>
    <w:rsid w:val="00461D20"/>
    <w:rsid w:val="00461E3B"/>
    <w:rsid w:val="00461FB1"/>
    <w:rsid w:val="00462092"/>
    <w:rsid w:val="0046212C"/>
    <w:rsid w:val="00462185"/>
    <w:rsid w:val="0046271A"/>
    <w:rsid w:val="004629F0"/>
    <w:rsid w:val="00462B6C"/>
    <w:rsid w:val="00462C8D"/>
    <w:rsid w:val="00462E11"/>
    <w:rsid w:val="00462FF6"/>
    <w:rsid w:val="00463312"/>
    <w:rsid w:val="004636A3"/>
    <w:rsid w:val="00463ABD"/>
    <w:rsid w:val="00463B2A"/>
    <w:rsid w:val="00463C43"/>
    <w:rsid w:val="00463E49"/>
    <w:rsid w:val="00464395"/>
    <w:rsid w:val="00464460"/>
    <w:rsid w:val="00464929"/>
    <w:rsid w:val="004649AE"/>
    <w:rsid w:val="00464B12"/>
    <w:rsid w:val="00464F0C"/>
    <w:rsid w:val="00465259"/>
    <w:rsid w:val="0046526B"/>
    <w:rsid w:val="004652F8"/>
    <w:rsid w:val="0046540C"/>
    <w:rsid w:val="004656ED"/>
    <w:rsid w:val="00465719"/>
    <w:rsid w:val="00465AF9"/>
    <w:rsid w:val="00465E53"/>
    <w:rsid w:val="00465E7B"/>
    <w:rsid w:val="00465F90"/>
    <w:rsid w:val="00466211"/>
    <w:rsid w:val="0046636E"/>
    <w:rsid w:val="0046660F"/>
    <w:rsid w:val="004667B1"/>
    <w:rsid w:val="004667D5"/>
    <w:rsid w:val="00466AF5"/>
    <w:rsid w:val="00466B75"/>
    <w:rsid w:val="00466E5B"/>
    <w:rsid w:val="00466FBB"/>
    <w:rsid w:val="00466FE3"/>
    <w:rsid w:val="004670BF"/>
    <w:rsid w:val="004670E8"/>
    <w:rsid w:val="00467621"/>
    <w:rsid w:val="00467637"/>
    <w:rsid w:val="00467ADA"/>
    <w:rsid w:val="00467ADC"/>
    <w:rsid w:val="00467B75"/>
    <w:rsid w:val="00467CE6"/>
    <w:rsid w:val="00467CEE"/>
    <w:rsid w:val="00467E6D"/>
    <w:rsid w:val="0047036D"/>
    <w:rsid w:val="00470618"/>
    <w:rsid w:val="004709CA"/>
    <w:rsid w:val="00470AC8"/>
    <w:rsid w:val="00470C5E"/>
    <w:rsid w:val="00471662"/>
    <w:rsid w:val="00471688"/>
    <w:rsid w:val="0047168D"/>
    <w:rsid w:val="00471805"/>
    <w:rsid w:val="00471807"/>
    <w:rsid w:val="004719E8"/>
    <w:rsid w:val="00471F9A"/>
    <w:rsid w:val="004724B1"/>
    <w:rsid w:val="004728A8"/>
    <w:rsid w:val="00472E81"/>
    <w:rsid w:val="00472EAA"/>
    <w:rsid w:val="0047308F"/>
    <w:rsid w:val="00473130"/>
    <w:rsid w:val="004732DB"/>
    <w:rsid w:val="00473435"/>
    <w:rsid w:val="004734C7"/>
    <w:rsid w:val="004736EB"/>
    <w:rsid w:val="004738CA"/>
    <w:rsid w:val="0047426D"/>
    <w:rsid w:val="0047433C"/>
    <w:rsid w:val="004747E0"/>
    <w:rsid w:val="004748C9"/>
    <w:rsid w:val="00474A53"/>
    <w:rsid w:val="00474BA1"/>
    <w:rsid w:val="00474C12"/>
    <w:rsid w:val="00475179"/>
    <w:rsid w:val="00475377"/>
    <w:rsid w:val="00476111"/>
    <w:rsid w:val="004761CE"/>
    <w:rsid w:val="004764CE"/>
    <w:rsid w:val="00476971"/>
    <w:rsid w:val="00476FD4"/>
    <w:rsid w:val="00477037"/>
    <w:rsid w:val="004775E2"/>
    <w:rsid w:val="00477D11"/>
    <w:rsid w:val="00477E41"/>
    <w:rsid w:val="00480634"/>
    <w:rsid w:val="00480ADE"/>
    <w:rsid w:val="00480DB2"/>
    <w:rsid w:val="00481141"/>
    <w:rsid w:val="00481308"/>
    <w:rsid w:val="00481354"/>
    <w:rsid w:val="00482006"/>
    <w:rsid w:val="00482422"/>
    <w:rsid w:val="004824BD"/>
    <w:rsid w:val="004824ED"/>
    <w:rsid w:val="0048256B"/>
    <w:rsid w:val="004826EA"/>
    <w:rsid w:val="00482747"/>
    <w:rsid w:val="004828BC"/>
    <w:rsid w:val="00482B48"/>
    <w:rsid w:val="00482CBE"/>
    <w:rsid w:val="00482CFC"/>
    <w:rsid w:val="00482D4F"/>
    <w:rsid w:val="004832D7"/>
    <w:rsid w:val="00483555"/>
    <w:rsid w:val="00483585"/>
    <w:rsid w:val="00483938"/>
    <w:rsid w:val="0048397F"/>
    <w:rsid w:val="00483AB4"/>
    <w:rsid w:val="00483B3E"/>
    <w:rsid w:val="00483C8A"/>
    <w:rsid w:val="00483F4E"/>
    <w:rsid w:val="00484595"/>
    <w:rsid w:val="00484846"/>
    <w:rsid w:val="00484B11"/>
    <w:rsid w:val="00484BFB"/>
    <w:rsid w:val="00484CF2"/>
    <w:rsid w:val="00484D23"/>
    <w:rsid w:val="00484ED4"/>
    <w:rsid w:val="0048540E"/>
    <w:rsid w:val="0048540F"/>
    <w:rsid w:val="00485480"/>
    <w:rsid w:val="004859D0"/>
    <w:rsid w:val="00485BBC"/>
    <w:rsid w:val="00485C1C"/>
    <w:rsid w:val="00485F1C"/>
    <w:rsid w:val="00485FAC"/>
    <w:rsid w:val="00485FF2"/>
    <w:rsid w:val="004862A6"/>
    <w:rsid w:val="004866CA"/>
    <w:rsid w:val="004866DB"/>
    <w:rsid w:val="00486900"/>
    <w:rsid w:val="00486BA0"/>
    <w:rsid w:val="004870FE"/>
    <w:rsid w:val="004874C1"/>
    <w:rsid w:val="004875A1"/>
    <w:rsid w:val="00487607"/>
    <w:rsid w:val="00487822"/>
    <w:rsid w:val="00487A42"/>
    <w:rsid w:val="00487C8C"/>
    <w:rsid w:val="00487EA1"/>
    <w:rsid w:val="00487EE8"/>
    <w:rsid w:val="00490148"/>
    <w:rsid w:val="00490414"/>
    <w:rsid w:val="004904AD"/>
    <w:rsid w:val="00490619"/>
    <w:rsid w:val="004906B9"/>
    <w:rsid w:val="00490E3C"/>
    <w:rsid w:val="004911C1"/>
    <w:rsid w:val="004911C2"/>
    <w:rsid w:val="004911E1"/>
    <w:rsid w:val="0049140F"/>
    <w:rsid w:val="004915A3"/>
    <w:rsid w:val="00491A5F"/>
    <w:rsid w:val="00491BD8"/>
    <w:rsid w:val="0049262B"/>
    <w:rsid w:val="00492737"/>
    <w:rsid w:val="004927AC"/>
    <w:rsid w:val="00492B53"/>
    <w:rsid w:val="00492F7A"/>
    <w:rsid w:val="004932C3"/>
    <w:rsid w:val="0049353D"/>
    <w:rsid w:val="00493852"/>
    <w:rsid w:val="004939B1"/>
    <w:rsid w:val="00493A25"/>
    <w:rsid w:val="004941E4"/>
    <w:rsid w:val="00494291"/>
    <w:rsid w:val="004942C9"/>
    <w:rsid w:val="0049443F"/>
    <w:rsid w:val="00494538"/>
    <w:rsid w:val="00494811"/>
    <w:rsid w:val="004949B3"/>
    <w:rsid w:val="00494BA4"/>
    <w:rsid w:val="00494ED7"/>
    <w:rsid w:val="00495027"/>
    <w:rsid w:val="00495192"/>
    <w:rsid w:val="00495344"/>
    <w:rsid w:val="0049534F"/>
    <w:rsid w:val="0049544E"/>
    <w:rsid w:val="0049552D"/>
    <w:rsid w:val="004958A3"/>
    <w:rsid w:val="00495B22"/>
    <w:rsid w:val="00495B2C"/>
    <w:rsid w:val="00496397"/>
    <w:rsid w:val="004963D8"/>
    <w:rsid w:val="00496750"/>
    <w:rsid w:val="004967BF"/>
    <w:rsid w:val="00497184"/>
    <w:rsid w:val="00497213"/>
    <w:rsid w:val="004972B5"/>
    <w:rsid w:val="004975DF"/>
    <w:rsid w:val="00497A55"/>
    <w:rsid w:val="00497DA1"/>
    <w:rsid w:val="00497E91"/>
    <w:rsid w:val="004A00DF"/>
    <w:rsid w:val="004A01CF"/>
    <w:rsid w:val="004A031B"/>
    <w:rsid w:val="004A07B9"/>
    <w:rsid w:val="004A088D"/>
    <w:rsid w:val="004A0C86"/>
    <w:rsid w:val="004A1166"/>
    <w:rsid w:val="004A16F3"/>
    <w:rsid w:val="004A18C2"/>
    <w:rsid w:val="004A1971"/>
    <w:rsid w:val="004A1CC1"/>
    <w:rsid w:val="004A1E0E"/>
    <w:rsid w:val="004A1EE1"/>
    <w:rsid w:val="004A1FC2"/>
    <w:rsid w:val="004A223B"/>
    <w:rsid w:val="004A2CD1"/>
    <w:rsid w:val="004A31E8"/>
    <w:rsid w:val="004A34B6"/>
    <w:rsid w:val="004A3618"/>
    <w:rsid w:val="004A3638"/>
    <w:rsid w:val="004A374D"/>
    <w:rsid w:val="004A3A4F"/>
    <w:rsid w:val="004A3AE3"/>
    <w:rsid w:val="004A3BFE"/>
    <w:rsid w:val="004A3ED5"/>
    <w:rsid w:val="004A40F2"/>
    <w:rsid w:val="004A42B0"/>
    <w:rsid w:val="004A461D"/>
    <w:rsid w:val="004A4677"/>
    <w:rsid w:val="004A4712"/>
    <w:rsid w:val="004A4842"/>
    <w:rsid w:val="004A49A2"/>
    <w:rsid w:val="004A4AA2"/>
    <w:rsid w:val="004A4EDE"/>
    <w:rsid w:val="004A52B9"/>
    <w:rsid w:val="004A531D"/>
    <w:rsid w:val="004A556D"/>
    <w:rsid w:val="004A58AC"/>
    <w:rsid w:val="004A58B2"/>
    <w:rsid w:val="004A5A50"/>
    <w:rsid w:val="004A5A8E"/>
    <w:rsid w:val="004A5D28"/>
    <w:rsid w:val="004A5E33"/>
    <w:rsid w:val="004A60BC"/>
    <w:rsid w:val="004A615B"/>
    <w:rsid w:val="004A6364"/>
    <w:rsid w:val="004A65CC"/>
    <w:rsid w:val="004A65DF"/>
    <w:rsid w:val="004A66F8"/>
    <w:rsid w:val="004A68B4"/>
    <w:rsid w:val="004A68F1"/>
    <w:rsid w:val="004A6A14"/>
    <w:rsid w:val="004A6BE7"/>
    <w:rsid w:val="004A6C0D"/>
    <w:rsid w:val="004A6E46"/>
    <w:rsid w:val="004A6F1B"/>
    <w:rsid w:val="004A6F97"/>
    <w:rsid w:val="004A72F0"/>
    <w:rsid w:val="004A748A"/>
    <w:rsid w:val="004A74C2"/>
    <w:rsid w:val="004A7EAD"/>
    <w:rsid w:val="004B00AA"/>
    <w:rsid w:val="004B05CC"/>
    <w:rsid w:val="004B06B0"/>
    <w:rsid w:val="004B080E"/>
    <w:rsid w:val="004B0BD4"/>
    <w:rsid w:val="004B11E7"/>
    <w:rsid w:val="004B136B"/>
    <w:rsid w:val="004B1417"/>
    <w:rsid w:val="004B193F"/>
    <w:rsid w:val="004B1EB1"/>
    <w:rsid w:val="004B1ECC"/>
    <w:rsid w:val="004B2153"/>
    <w:rsid w:val="004B239F"/>
    <w:rsid w:val="004B23A4"/>
    <w:rsid w:val="004B2794"/>
    <w:rsid w:val="004B2A7F"/>
    <w:rsid w:val="004B2CAC"/>
    <w:rsid w:val="004B2EB5"/>
    <w:rsid w:val="004B3188"/>
    <w:rsid w:val="004B31C2"/>
    <w:rsid w:val="004B36CD"/>
    <w:rsid w:val="004B3A62"/>
    <w:rsid w:val="004B3FAC"/>
    <w:rsid w:val="004B4592"/>
    <w:rsid w:val="004B4D01"/>
    <w:rsid w:val="004B4E46"/>
    <w:rsid w:val="004B4FA8"/>
    <w:rsid w:val="004B506F"/>
    <w:rsid w:val="004B514A"/>
    <w:rsid w:val="004B528F"/>
    <w:rsid w:val="004B53EA"/>
    <w:rsid w:val="004B5663"/>
    <w:rsid w:val="004B5A9F"/>
    <w:rsid w:val="004B5B25"/>
    <w:rsid w:val="004B5FC2"/>
    <w:rsid w:val="004B605A"/>
    <w:rsid w:val="004B6173"/>
    <w:rsid w:val="004B627B"/>
    <w:rsid w:val="004B63DF"/>
    <w:rsid w:val="004B6513"/>
    <w:rsid w:val="004B6620"/>
    <w:rsid w:val="004B67D1"/>
    <w:rsid w:val="004B6A4E"/>
    <w:rsid w:val="004B6E1A"/>
    <w:rsid w:val="004B6EE1"/>
    <w:rsid w:val="004B6EE4"/>
    <w:rsid w:val="004B6FCF"/>
    <w:rsid w:val="004B7197"/>
    <w:rsid w:val="004B72C0"/>
    <w:rsid w:val="004B72D0"/>
    <w:rsid w:val="004B7337"/>
    <w:rsid w:val="004B742A"/>
    <w:rsid w:val="004B745A"/>
    <w:rsid w:val="004B762C"/>
    <w:rsid w:val="004B7633"/>
    <w:rsid w:val="004B76D4"/>
    <w:rsid w:val="004B7A79"/>
    <w:rsid w:val="004B7C22"/>
    <w:rsid w:val="004C0036"/>
    <w:rsid w:val="004C0206"/>
    <w:rsid w:val="004C02B3"/>
    <w:rsid w:val="004C05F3"/>
    <w:rsid w:val="004C0E0A"/>
    <w:rsid w:val="004C1185"/>
    <w:rsid w:val="004C18A1"/>
    <w:rsid w:val="004C19EC"/>
    <w:rsid w:val="004C1A5B"/>
    <w:rsid w:val="004C1B4B"/>
    <w:rsid w:val="004C1D92"/>
    <w:rsid w:val="004C224E"/>
    <w:rsid w:val="004C225B"/>
    <w:rsid w:val="004C2688"/>
    <w:rsid w:val="004C27AA"/>
    <w:rsid w:val="004C28BD"/>
    <w:rsid w:val="004C2905"/>
    <w:rsid w:val="004C2A4B"/>
    <w:rsid w:val="004C2FE3"/>
    <w:rsid w:val="004C3500"/>
    <w:rsid w:val="004C3784"/>
    <w:rsid w:val="004C38A2"/>
    <w:rsid w:val="004C3CAF"/>
    <w:rsid w:val="004C3ED7"/>
    <w:rsid w:val="004C3F2A"/>
    <w:rsid w:val="004C3F82"/>
    <w:rsid w:val="004C4003"/>
    <w:rsid w:val="004C4310"/>
    <w:rsid w:val="004C43ED"/>
    <w:rsid w:val="004C4C24"/>
    <w:rsid w:val="004C4E8B"/>
    <w:rsid w:val="004C4F54"/>
    <w:rsid w:val="004C51B2"/>
    <w:rsid w:val="004C5237"/>
    <w:rsid w:val="004C52A7"/>
    <w:rsid w:val="004C546C"/>
    <w:rsid w:val="004C55B5"/>
    <w:rsid w:val="004C572D"/>
    <w:rsid w:val="004C5DC8"/>
    <w:rsid w:val="004C5F35"/>
    <w:rsid w:val="004C6167"/>
    <w:rsid w:val="004C61AD"/>
    <w:rsid w:val="004C63E0"/>
    <w:rsid w:val="004C6536"/>
    <w:rsid w:val="004C662F"/>
    <w:rsid w:val="004C6D84"/>
    <w:rsid w:val="004C6DFF"/>
    <w:rsid w:val="004C7477"/>
    <w:rsid w:val="004C77CB"/>
    <w:rsid w:val="004C785E"/>
    <w:rsid w:val="004C78BF"/>
    <w:rsid w:val="004C7A11"/>
    <w:rsid w:val="004C7CF2"/>
    <w:rsid w:val="004C7E3B"/>
    <w:rsid w:val="004C7F0E"/>
    <w:rsid w:val="004D0218"/>
    <w:rsid w:val="004D08C1"/>
    <w:rsid w:val="004D0902"/>
    <w:rsid w:val="004D0C38"/>
    <w:rsid w:val="004D1118"/>
    <w:rsid w:val="004D1219"/>
    <w:rsid w:val="004D12D0"/>
    <w:rsid w:val="004D1624"/>
    <w:rsid w:val="004D1EB2"/>
    <w:rsid w:val="004D1EB7"/>
    <w:rsid w:val="004D20EA"/>
    <w:rsid w:val="004D233F"/>
    <w:rsid w:val="004D259F"/>
    <w:rsid w:val="004D28E8"/>
    <w:rsid w:val="004D2A1D"/>
    <w:rsid w:val="004D2C3A"/>
    <w:rsid w:val="004D2DCA"/>
    <w:rsid w:val="004D2E7D"/>
    <w:rsid w:val="004D2EE6"/>
    <w:rsid w:val="004D2FC8"/>
    <w:rsid w:val="004D2FF4"/>
    <w:rsid w:val="004D327D"/>
    <w:rsid w:val="004D342C"/>
    <w:rsid w:val="004D34DF"/>
    <w:rsid w:val="004D3512"/>
    <w:rsid w:val="004D35F8"/>
    <w:rsid w:val="004D4695"/>
    <w:rsid w:val="004D46F0"/>
    <w:rsid w:val="004D472D"/>
    <w:rsid w:val="004D4730"/>
    <w:rsid w:val="004D490F"/>
    <w:rsid w:val="004D4A63"/>
    <w:rsid w:val="004D4BD6"/>
    <w:rsid w:val="004D4EFD"/>
    <w:rsid w:val="004D517E"/>
    <w:rsid w:val="004D519D"/>
    <w:rsid w:val="004D5625"/>
    <w:rsid w:val="004D562C"/>
    <w:rsid w:val="004D56DB"/>
    <w:rsid w:val="004D5762"/>
    <w:rsid w:val="004D5902"/>
    <w:rsid w:val="004D5CBC"/>
    <w:rsid w:val="004D5D6E"/>
    <w:rsid w:val="004D5D7E"/>
    <w:rsid w:val="004D5F2E"/>
    <w:rsid w:val="004D6282"/>
    <w:rsid w:val="004D6518"/>
    <w:rsid w:val="004D6573"/>
    <w:rsid w:val="004D6602"/>
    <w:rsid w:val="004D663E"/>
    <w:rsid w:val="004D6BD4"/>
    <w:rsid w:val="004D6FCB"/>
    <w:rsid w:val="004D711D"/>
    <w:rsid w:val="004D7193"/>
    <w:rsid w:val="004D72C3"/>
    <w:rsid w:val="004D72C4"/>
    <w:rsid w:val="004D72C9"/>
    <w:rsid w:val="004D7318"/>
    <w:rsid w:val="004D74D4"/>
    <w:rsid w:val="004D7738"/>
    <w:rsid w:val="004D7873"/>
    <w:rsid w:val="004D78A1"/>
    <w:rsid w:val="004D7904"/>
    <w:rsid w:val="004D7B49"/>
    <w:rsid w:val="004D7CC2"/>
    <w:rsid w:val="004D7D40"/>
    <w:rsid w:val="004D7E86"/>
    <w:rsid w:val="004E00E0"/>
    <w:rsid w:val="004E067E"/>
    <w:rsid w:val="004E0E54"/>
    <w:rsid w:val="004E0ED0"/>
    <w:rsid w:val="004E0EF3"/>
    <w:rsid w:val="004E14DA"/>
    <w:rsid w:val="004E1620"/>
    <w:rsid w:val="004E1724"/>
    <w:rsid w:val="004E186B"/>
    <w:rsid w:val="004E1C39"/>
    <w:rsid w:val="004E1F39"/>
    <w:rsid w:val="004E2440"/>
    <w:rsid w:val="004E2F45"/>
    <w:rsid w:val="004E307A"/>
    <w:rsid w:val="004E31A0"/>
    <w:rsid w:val="004E34C1"/>
    <w:rsid w:val="004E3625"/>
    <w:rsid w:val="004E3860"/>
    <w:rsid w:val="004E3B39"/>
    <w:rsid w:val="004E3B88"/>
    <w:rsid w:val="004E4376"/>
    <w:rsid w:val="004E4499"/>
    <w:rsid w:val="004E460D"/>
    <w:rsid w:val="004E465B"/>
    <w:rsid w:val="004E4827"/>
    <w:rsid w:val="004E4FB8"/>
    <w:rsid w:val="004E511E"/>
    <w:rsid w:val="004E5269"/>
    <w:rsid w:val="004E5272"/>
    <w:rsid w:val="004E53E3"/>
    <w:rsid w:val="004E5961"/>
    <w:rsid w:val="004E5A61"/>
    <w:rsid w:val="004E5C11"/>
    <w:rsid w:val="004E64BB"/>
    <w:rsid w:val="004E64F1"/>
    <w:rsid w:val="004E6674"/>
    <w:rsid w:val="004E66E5"/>
    <w:rsid w:val="004E6740"/>
    <w:rsid w:val="004E69E7"/>
    <w:rsid w:val="004E6B47"/>
    <w:rsid w:val="004E6D53"/>
    <w:rsid w:val="004E6D6C"/>
    <w:rsid w:val="004E759E"/>
    <w:rsid w:val="004E76DC"/>
    <w:rsid w:val="004E7966"/>
    <w:rsid w:val="004E7A3F"/>
    <w:rsid w:val="004E7AAA"/>
    <w:rsid w:val="004E7AD8"/>
    <w:rsid w:val="004E7B6E"/>
    <w:rsid w:val="004E7B97"/>
    <w:rsid w:val="004E7C17"/>
    <w:rsid w:val="004E7EA3"/>
    <w:rsid w:val="004F0033"/>
    <w:rsid w:val="004F0069"/>
    <w:rsid w:val="004F01EA"/>
    <w:rsid w:val="004F0855"/>
    <w:rsid w:val="004F0A14"/>
    <w:rsid w:val="004F0F74"/>
    <w:rsid w:val="004F10C9"/>
    <w:rsid w:val="004F1324"/>
    <w:rsid w:val="004F14ED"/>
    <w:rsid w:val="004F15F0"/>
    <w:rsid w:val="004F1902"/>
    <w:rsid w:val="004F1FD7"/>
    <w:rsid w:val="004F2403"/>
    <w:rsid w:val="004F2412"/>
    <w:rsid w:val="004F2445"/>
    <w:rsid w:val="004F24DF"/>
    <w:rsid w:val="004F2A06"/>
    <w:rsid w:val="004F2A75"/>
    <w:rsid w:val="004F3198"/>
    <w:rsid w:val="004F31CD"/>
    <w:rsid w:val="004F3450"/>
    <w:rsid w:val="004F34C4"/>
    <w:rsid w:val="004F3746"/>
    <w:rsid w:val="004F3B93"/>
    <w:rsid w:val="004F3C02"/>
    <w:rsid w:val="004F3DA0"/>
    <w:rsid w:val="004F3DB9"/>
    <w:rsid w:val="004F3F6E"/>
    <w:rsid w:val="004F4829"/>
    <w:rsid w:val="004F494E"/>
    <w:rsid w:val="004F50C5"/>
    <w:rsid w:val="004F5450"/>
    <w:rsid w:val="004F565B"/>
    <w:rsid w:val="004F569A"/>
    <w:rsid w:val="004F56D3"/>
    <w:rsid w:val="004F57B9"/>
    <w:rsid w:val="004F5835"/>
    <w:rsid w:val="004F5A03"/>
    <w:rsid w:val="004F5A4E"/>
    <w:rsid w:val="004F5C79"/>
    <w:rsid w:val="004F5DB4"/>
    <w:rsid w:val="004F5FFA"/>
    <w:rsid w:val="004F604B"/>
    <w:rsid w:val="004F6739"/>
    <w:rsid w:val="004F6795"/>
    <w:rsid w:val="004F6FED"/>
    <w:rsid w:val="004F709E"/>
    <w:rsid w:val="004F72E2"/>
    <w:rsid w:val="004F7537"/>
    <w:rsid w:val="004F7597"/>
    <w:rsid w:val="004F76BA"/>
    <w:rsid w:val="004F7903"/>
    <w:rsid w:val="004F7A8C"/>
    <w:rsid w:val="005000CF"/>
    <w:rsid w:val="0050049B"/>
    <w:rsid w:val="0050064C"/>
    <w:rsid w:val="00500848"/>
    <w:rsid w:val="005008EC"/>
    <w:rsid w:val="00500A48"/>
    <w:rsid w:val="00500CA6"/>
    <w:rsid w:val="00500DF5"/>
    <w:rsid w:val="00500E13"/>
    <w:rsid w:val="00500E40"/>
    <w:rsid w:val="00501026"/>
    <w:rsid w:val="005011B9"/>
    <w:rsid w:val="00501280"/>
    <w:rsid w:val="005012D4"/>
    <w:rsid w:val="005012E5"/>
    <w:rsid w:val="005013C6"/>
    <w:rsid w:val="005014CC"/>
    <w:rsid w:val="00501534"/>
    <w:rsid w:val="00501962"/>
    <w:rsid w:val="00501B92"/>
    <w:rsid w:val="00501D0D"/>
    <w:rsid w:val="0050200E"/>
    <w:rsid w:val="00502123"/>
    <w:rsid w:val="005023B7"/>
    <w:rsid w:val="00502572"/>
    <w:rsid w:val="005025E4"/>
    <w:rsid w:val="00502B2C"/>
    <w:rsid w:val="00502B2D"/>
    <w:rsid w:val="00503268"/>
    <w:rsid w:val="00503344"/>
    <w:rsid w:val="00503539"/>
    <w:rsid w:val="0050383A"/>
    <w:rsid w:val="00503891"/>
    <w:rsid w:val="00503E3A"/>
    <w:rsid w:val="00503E86"/>
    <w:rsid w:val="00503ED5"/>
    <w:rsid w:val="00504165"/>
    <w:rsid w:val="00504289"/>
    <w:rsid w:val="005048AC"/>
    <w:rsid w:val="00504A4F"/>
    <w:rsid w:val="00504A6C"/>
    <w:rsid w:val="00504AC7"/>
    <w:rsid w:val="00504C24"/>
    <w:rsid w:val="00504E2D"/>
    <w:rsid w:val="00504E70"/>
    <w:rsid w:val="00504F77"/>
    <w:rsid w:val="0050502A"/>
    <w:rsid w:val="005050AA"/>
    <w:rsid w:val="005050FA"/>
    <w:rsid w:val="0050522F"/>
    <w:rsid w:val="00505272"/>
    <w:rsid w:val="005052E4"/>
    <w:rsid w:val="005054B6"/>
    <w:rsid w:val="005054E2"/>
    <w:rsid w:val="0050550C"/>
    <w:rsid w:val="0050570F"/>
    <w:rsid w:val="00505BE6"/>
    <w:rsid w:val="00505CF7"/>
    <w:rsid w:val="00505EAD"/>
    <w:rsid w:val="005061DD"/>
    <w:rsid w:val="005061E1"/>
    <w:rsid w:val="00506408"/>
    <w:rsid w:val="0050645A"/>
    <w:rsid w:val="005064B6"/>
    <w:rsid w:val="00506583"/>
    <w:rsid w:val="00506721"/>
    <w:rsid w:val="005067B8"/>
    <w:rsid w:val="00506AF6"/>
    <w:rsid w:val="00506B45"/>
    <w:rsid w:val="00506DD1"/>
    <w:rsid w:val="00506E97"/>
    <w:rsid w:val="00506EFD"/>
    <w:rsid w:val="005077D0"/>
    <w:rsid w:val="005078AF"/>
    <w:rsid w:val="005100AC"/>
    <w:rsid w:val="0051011A"/>
    <w:rsid w:val="00510F0E"/>
    <w:rsid w:val="00510F51"/>
    <w:rsid w:val="0051136D"/>
    <w:rsid w:val="005113ED"/>
    <w:rsid w:val="0051154A"/>
    <w:rsid w:val="00511576"/>
    <w:rsid w:val="00511600"/>
    <w:rsid w:val="005119A7"/>
    <w:rsid w:val="00511BC3"/>
    <w:rsid w:val="00511F35"/>
    <w:rsid w:val="0051221A"/>
    <w:rsid w:val="0051224C"/>
    <w:rsid w:val="0051225F"/>
    <w:rsid w:val="005123C6"/>
    <w:rsid w:val="005124E9"/>
    <w:rsid w:val="00512B0A"/>
    <w:rsid w:val="00512C2B"/>
    <w:rsid w:val="00512F06"/>
    <w:rsid w:val="00512F8E"/>
    <w:rsid w:val="005135A0"/>
    <w:rsid w:val="0051393A"/>
    <w:rsid w:val="00513A95"/>
    <w:rsid w:val="00513D0C"/>
    <w:rsid w:val="00513E70"/>
    <w:rsid w:val="00513F08"/>
    <w:rsid w:val="005143E9"/>
    <w:rsid w:val="00514678"/>
    <w:rsid w:val="00514A29"/>
    <w:rsid w:val="00514FC7"/>
    <w:rsid w:val="00514FF2"/>
    <w:rsid w:val="0051564A"/>
    <w:rsid w:val="00515AED"/>
    <w:rsid w:val="00515C2A"/>
    <w:rsid w:val="00515D20"/>
    <w:rsid w:val="00515E31"/>
    <w:rsid w:val="00515EA9"/>
    <w:rsid w:val="00515F68"/>
    <w:rsid w:val="00515FCC"/>
    <w:rsid w:val="005164EF"/>
    <w:rsid w:val="0051651A"/>
    <w:rsid w:val="005165F0"/>
    <w:rsid w:val="0051682F"/>
    <w:rsid w:val="005168E2"/>
    <w:rsid w:val="005169DD"/>
    <w:rsid w:val="00516B42"/>
    <w:rsid w:val="00516BFE"/>
    <w:rsid w:val="00516EF1"/>
    <w:rsid w:val="00517842"/>
    <w:rsid w:val="005178D6"/>
    <w:rsid w:val="00517CED"/>
    <w:rsid w:val="00517D14"/>
    <w:rsid w:val="00517D29"/>
    <w:rsid w:val="00517D4F"/>
    <w:rsid w:val="00520263"/>
    <w:rsid w:val="00520421"/>
    <w:rsid w:val="0052054E"/>
    <w:rsid w:val="00520594"/>
    <w:rsid w:val="0052080F"/>
    <w:rsid w:val="00520814"/>
    <w:rsid w:val="00520949"/>
    <w:rsid w:val="00520CE2"/>
    <w:rsid w:val="00520F8A"/>
    <w:rsid w:val="0052115C"/>
    <w:rsid w:val="00521760"/>
    <w:rsid w:val="005218E7"/>
    <w:rsid w:val="00521A24"/>
    <w:rsid w:val="00521A94"/>
    <w:rsid w:val="00521E6F"/>
    <w:rsid w:val="005220B7"/>
    <w:rsid w:val="005222AD"/>
    <w:rsid w:val="005224B4"/>
    <w:rsid w:val="00522557"/>
    <w:rsid w:val="0052262F"/>
    <w:rsid w:val="005228BC"/>
    <w:rsid w:val="00522A9C"/>
    <w:rsid w:val="005231BD"/>
    <w:rsid w:val="00523354"/>
    <w:rsid w:val="0052351A"/>
    <w:rsid w:val="00523574"/>
    <w:rsid w:val="00523677"/>
    <w:rsid w:val="005238BD"/>
    <w:rsid w:val="005238F3"/>
    <w:rsid w:val="00523A46"/>
    <w:rsid w:val="00523A53"/>
    <w:rsid w:val="00523B12"/>
    <w:rsid w:val="00523B27"/>
    <w:rsid w:val="00523C2C"/>
    <w:rsid w:val="00523CCA"/>
    <w:rsid w:val="00523CF6"/>
    <w:rsid w:val="005244E8"/>
    <w:rsid w:val="005248EC"/>
    <w:rsid w:val="005249EB"/>
    <w:rsid w:val="00524D54"/>
    <w:rsid w:val="00524E3A"/>
    <w:rsid w:val="00524FC9"/>
    <w:rsid w:val="00525142"/>
    <w:rsid w:val="005255BD"/>
    <w:rsid w:val="0052567D"/>
    <w:rsid w:val="00525913"/>
    <w:rsid w:val="00525A10"/>
    <w:rsid w:val="00525A95"/>
    <w:rsid w:val="00525BD2"/>
    <w:rsid w:val="00525CD1"/>
    <w:rsid w:val="00525D38"/>
    <w:rsid w:val="00525D94"/>
    <w:rsid w:val="00525E45"/>
    <w:rsid w:val="0052616A"/>
    <w:rsid w:val="005262A7"/>
    <w:rsid w:val="00526363"/>
    <w:rsid w:val="005263E2"/>
    <w:rsid w:val="00526497"/>
    <w:rsid w:val="005265CB"/>
    <w:rsid w:val="005267EC"/>
    <w:rsid w:val="0052698B"/>
    <w:rsid w:val="00526BFE"/>
    <w:rsid w:val="00526CD0"/>
    <w:rsid w:val="00526E0D"/>
    <w:rsid w:val="005277CC"/>
    <w:rsid w:val="00527D5F"/>
    <w:rsid w:val="00527D90"/>
    <w:rsid w:val="00527D96"/>
    <w:rsid w:val="00527F94"/>
    <w:rsid w:val="0053004F"/>
    <w:rsid w:val="0053018C"/>
    <w:rsid w:val="00530577"/>
    <w:rsid w:val="0053068D"/>
    <w:rsid w:val="00530693"/>
    <w:rsid w:val="0053069C"/>
    <w:rsid w:val="00530703"/>
    <w:rsid w:val="00530926"/>
    <w:rsid w:val="00530B12"/>
    <w:rsid w:val="00530BC8"/>
    <w:rsid w:val="00531332"/>
    <w:rsid w:val="00531CCA"/>
    <w:rsid w:val="00531ECD"/>
    <w:rsid w:val="00531EE4"/>
    <w:rsid w:val="00531FE6"/>
    <w:rsid w:val="0053200F"/>
    <w:rsid w:val="0053233D"/>
    <w:rsid w:val="00532371"/>
    <w:rsid w:val="005324C5"/>
    <w:rsid w:val="00532511"/>
    <w:rsid w:val="00532690"/>
    <w:rsid w:val="0053284E"/>
    <w:rsid w:val="00532B81"/>
    <w:rsid w:val="0053337F"/>
    <w:rsid w:val="0053359D"/>
    <w:rsid w:val="005336C8"/>
    <w:rsid w:val="00533836"/>
    <w:rsid w:val="00533A5C"/>
    <w:rsid w:val="00533FD7"/>
    <w:rsid w:val="005340DC"/>
    <w:rsid w:val="0053476B"/>
    <w:rsid w:val="005347E4"/>
    <w:rsid w:val="0053484D"/>
    <w:rsid w:val="0053497D"/>
    <w:rsid w:val="00534C62"/>
    <w:rsid w:val="00534F73"/>
    <w:rsid w:val="005351B4"/>
    <w:rsid w:val="005357CC"/>
    <w:rsid w:val="00535DE8"/>
    <w:rsid w:val="00535DF8"/>
    <w:rsid w:val="00536322"/>
    <w:rsid w:val="005363C2"/>
    <w:rsid w:val="00536603"/>
    <w:rsid w:val="00536A2B"/>
    <w:rsid w:val="00536AAB"/>
    <w:rsid w:val="00536E33"/>
    <w:rsid w:val="00536FF4"/>
    <w:rsid w:val="005370AD"/>
    <w:rsid w:val="005375A2"/>
    <w:rsid w:val="00540155"/>
    <w:rsid w:val="00540537"/>
    <w:rsid w:val="0054078D"/>
    <w:rsid w:val="00540BB1"/>
    <w:rsid w:val="00540C66"/>
    <w:rsid w:val="005410BB"/>
    <w:rsid w:val="005410FD"/>
    <w:rsid w:val="0054144D"/>
    <w:rsid w:val="00541451"/>
    <w:rsid w:val="00541480"/>
    <w:rsid w:val="005417B4"/>
    <w:rsid w:val="00541B38"/>
    <w:rsid w:val="00542513"/>
    <w:rsid w:val="005426BD"/>
    <w:rsid w:val="005427F0"/>
    <w:rsid w:val="00542833"/>
    <w:rsid w:val="00542D75"/>
    <w:rsid w:val="00542F8F"/>
    <w:rsid w:val="00543A25"/>
    <w:rsid w:val="00543ABD"/>
    <w:rsid w:val="00543F5F"/>
    <w:rsid w:val="0054456B"/>
    <w:rsid w:val="005446E5"/>
    <w:rsid w:val="00544753"/>
    <w:rsid w:val="00544D9E"/>
    <w:rsid w:val="0054575C"/>
    <w:rsid w:val="00545802"/>
    <w:rsid w:val="00545B33"/>
    <w:rsid w:val="00545CF8"/>
    <w:rsid w:val="00545D0D"/>
    <w:rsid w:val="00545E19"/>
    <w:rsid w:val="00545EA7"/>
    <w:rsid w:val="00545FF9"/>
    <w:rsid w:val="00546088"/>
    <w:rsid w:val="00546811"/>
    <w:rsid w:val="00546997"/>
    <w:rsid w:val="00546B6B"/>
    <w:rsid w:val="00546C3C"/>
    <w:rsid w:val="00546CDF"/>
    <w:rsid w:val="00546E8C"/>
    <w:rsid w:val="0054743F"/>
    <w:rsid w:val="005476B5"/>
    <w:rsid w:val="00547732"/>
    <w:rsid w:val="005478A8"/>
    <w:rsid w:val="00547A1E"/>
    <w:rsid w:val="00547A85"/>
    <w:rsid w:val="00547AFD"/>
    <w:rsid w:val="00547C5D"/>
    <w:rsid w:val="00547CB7"/>
    <w:rsid w:val="00547CDD"/>
    <w:rsid w:val="00547CF9"/>
    <w:rsid w:val="00547E9B"/>
    <w:rsid w:val="005500FD"/>
    <w:rsid w:val="0055016B"/>
    <w:rsid w:val="00550203"/>
    <w:rsid w:val="005504CA"/>
    <w:rsid w:val="0055067D"/>
    <w:rsid w:val="005506F7"/>
    <w:rsid w:val="00550772"/>
    <w:rsid w:val="00550916"/>
    <w:rsid w:val="00550D05"/>
    <w:rsid w:val="00550EE7"/>
    <w:rsid w:val="0055116D"/>
    <w:rsid w:val="00551178"/>
    <w:rsid w:val="0055126A"/>
    <w:rsid w:val="005514AA"/>
    <w:rsid w:val="00551850"/>
    <w:rsid w:val="00551920"/>
    <w:rsid w:val="00551A8B"/>
    <w:rsid w:val="00551DBD"/>
    <w:rsid w:val="00551EC4"/>
    <w:rsid w:val="00551EFE"/>
    <w:rsid w:val="00551FBE"/>
    <w:rsid w:val="00551FC1"/>
    <w:rsid w:val="00552028"/>
    <w:rsid w:val="00552112"/>
    <w:rsid w:val="005521F6"/>
    <w:rsid w:val="00552294"/>
    <w:rsid w:val="005522C3"/>
    <w:rsid w:val="0055292E"/>
    <w:rsid w:val="00552AB7"/>
    <w:rsid w:val="00552B99"/>
    <w:rsid w:val="00552BEF"/>
    <w:rsid w:val="00552C5E"/>
    <w:rsid w:val="00552D60"/>
    <w:rsid w:val="00552DD9"/>
    <w:rsid w:val="00552E46"/>
    <w:rsid w:val="00552FAA"/>
    <w:rsid w:val="0055305D"/>
    <w:rsid w:val="005530BC"/>
    <w:rsid w:val="00553207"/>
    <w:rsid w:val="00553245"/>
    <w:rsid w:val="00553249"/>
    <w:rsid w:val="00553334"/>
    <w:rsid w:val="0055357A"/>
    <w:rsid w:val="00553611"/>
    <w:rsid w:val="0055376D"/>
    <w:rsid w:val="00553804"/>
    <w:rsid w:val="005539EC"/>
    <w:rsid w:val="00553AFE"/>
    <w:rsid w:val="00553E97"/>
    <w:rsid w:val="0055410A"/>
    <w:rsid w:val="00554469"/>
    <w:rsid w:val="0055465D"/>
    <w:rsid w:val="0055492B"/>
    <w:rsid w:val="00555144"/>
    <w:rsid w:val="0055530B"/>
    <w:rsid w:val="00555470"/>
    <w:rsid w:val="005558A7"/>
    <w:rsid w:val="0055595B"/>
    <w:rsid w:val="00555CF1"/>
    <w:rsid w:val="00555E31"/>
    <w:rsid w:val="005561BF"/>
    <w:rsid w:val="0055624A"/>
    <w:rsid w:val="005563C0"/>
    <w:rsid w:val="005565A0"/>
    <w:rsid w:val="00556A42"/>
    <w:rsid w:val="0055713F"/>
    <w:rsid w:val="005573D0"/>
    <w:rsid w:val="0055764E"/>
    <w:rsid w:val="00557E61"/>
    <w:rsid w:val="005605E9"/>
    <w:rsid w:val="0056064B"/>
    <w:rsid w:val="00560695"/>
    <w:rsid w:val="00560AC0"/>
    <w:rsid w:val="00560BD9"/>
    <w:rsid w:val="00560D42"/>
    <w:rsid w:val="0056113E"/>
    <w:rsid w:val="005611A5"/>
    <w:rsid w:val="0056136B"/>
    <w:rsid w:val="0056138D"/>
    <w:rsid w:val="005615C6"/>
    <w:rsid w:val="00561677"/>
    <w:rsid w:val="00561711"/>
    <w:rsid w:val="0056177C"/>
    <w:rsid w:val="00561E4F"/>
    <w:rsid w:val="00562267"/>
    <w:rsid w:val="00562313"/>
    <w:rsid w:val="00562B76"/>
    <w:rsid w:val="00562C0A"/>
    <w:rsid w:val="00562FFF"/>
    <w:rsid w:val="005631BF"/>
    <w:rsid w:val="0056337A"/>
    <w:rsid w:val="00563967"/>
    <w:rsid w:val="00563AA9"/>
    <w:rsid w:val="00563C80"/>
    <w:rsid w:val="00563D46"/>
    <w:rsid w:val="00563D9D"/>
    <w:rsid w:val="00563E53"/>
    <w:rsid w:val="005642D7"/>
    <w:rsid w:val="0056444E"/>
    <w:rsid w:val="005647EC"/>
    <w:rsid w:val="00564979"/>
    <w:rsid w:val="00564BE9"/>
    <w:rsid w:val="00564EA4"/>
    <w:rsid w:val="0056506D"/>
    <w:rsid w:val="00565128"/>
    <w:rsid w:val="00565347"/>
    <w:rsid w:val="005654F3"/>
    <w:rsid w:val="00565612"/>
    <w:rsid w:val="0056586B"/>
    <w:rsid w:val="00565C0C"/>
    <w:rsid w:val="00565CAF"/>
    <w:rsid w:val="005661F5"/>
    <w:rsid w:val="005664BC"/>
    <w:rsid w:val="0056684A"/>
    <w:rsid w:val="00566A6F"/>
    <w:rsid w:val="00566B59"/>
    <w:rsid w:val="005672D4"/>
    <w:rsid w:val="00570195"/>
    <w:rsid w:val="005702F7"/>
    <w:rsid w:val="005703B4"/>
    <w:rsid w:val="0057055E"/>
    <w:rsid w:val="005707AE"/>
    <w:rsid w:val="00570843"/>
    <w:rsid w:val="005709AF"/>
    <w:rsid w:val="00570C24"/>
    <w:rsid w:val="00570D68"/>
    <w:rsid w:val="00570D6A"/>
    <w:rsid w:val="00570F51"/>
    <w:rsid w:val="005711A4"/>
    <w:rsid w:val="005712E8"/>
    <w:rsid w:val="00571510"/>
    <w:rsid w:val="00571639"/>
    <w:rsid w:val="00571990"/>
    <w:rsid w:val="00571CE1"/>
    <w:rsid w:val="00571D0E"/>
    <w:rsid w:val="00571D4E"/>
    <w:rsid w:val="0057225C"/>
    <w:rsid w:val="005722BD"/>
    <w:rsid w:val="00572669"/>
    <w:rsid w:val="005726E4"/>
    <w:rsid w:val="00572842"/>
    <w:rsid w:val="00572954"/>
    <w:rsid w:val="005731AE"/>
    <w:rsid w:val="0057372E"/>
    <w:rsid w:val="005739C5"/>
    <w:rsid w:val="00573BAF"/>
    <w:rsid w:val="00573F64"/>
    <w:rsid w:val="00573F69"/>
    <w:rsid w:val="00573FFD"/>
    <w:rsid w:val="00574013"/>
    <w:rsid w:val="0057415B"/>
    <w:rsid w:val="005741C4"/>
    <w:rsid w:val="005741F9"/>
    <w:rsid w:val="0057430D"/>
    <w:rsid w:val="00574579"/>
    <w:rsid w:val="005745BF"/>
    <w:rsid w:val="00574AC0"/>
    <w:rsid w:val="00574D7F"/>
    <w:rsid w:val="0057510D"/>
    <w:rsid w:val="00575267"/>
    <w:rsid w:val="0057528D"/>
    <w:rsid w:val="005752CE"/>
    <w:rsid w:val="005753A8"/>
    <w:rsid w:val="0057543E"/>
    <w:rsid w:val="0057565D"/>
    <w:rsid w:val="005758C9"/>
    <w:rsid w:val="005759F8"/>
    <w:rsid w:val="00575BA3"/>
    <w:rsid w:val="00575C8E"/>
    <w:rsid w:val="005762F5"/>
    <w:rsid w:val="0057636C"/>
    <w:rsid w:val="0057656E"/>
    <w:rsid w:val="00576911"/>
    <w:rsid w:val="005769B9"/>
    <w:rsid w:val="00576A83"/>
    <w:rsid w:val="00576AA0"/>
    <w:rsid w:val="00576F6E"/>
    <w:rsid w:val="0057705E"/>
    <w:rsid w:val="005776FA"/>
    <w:rsid w:val="00577A54"/>
    <w:rsid w:val="00577CA7"/>
    <w:rsid w:val="00577E07"/>
    <w:rsid w:val="00577ED4"/>
    <w:rsid w:val="00580658"/>
    <w:rsid w:val="00580664"/>
    <w:rsid w:val="00580932"/>
    <w:rsid w:val="00580965"/>
    <w:rsid w:val="0058103E"/>
    <w:rsid w:val="005810A6"/>
    <w:rsid w:val="0058118E"/>
    <w:rsid w:val="005811BF"/>
    <w:rsid w:val="0058154F"/>
    <w:rsid w:val="00581C88"/>
    <w:rsid w:val="00581FAC"/>
    <w:rsid w:val="00582306"/>
    <w:rsid w:val="00582996"/>
    <w:rsid w:val="00582C94"/>
    <w:rsid w:val="00582E46"/>
    <w:rsid w:val="00583210"/>
    <w:rsid w:val="00583552"/>
    <w:rsid w:val="005835B1"/>
    <w:rsid w:val="0058390E"/>
    <w:rsid w:val="00583B6D"/>
    <w:rsid w:val="0058438A"/>
    <w:rsid w:val="0058440D"/>
    <w:rsid w:val="00584414"/>
    <w:rsid w:val="00584459"/>
    <w:rsid w:val="00584487"/>
    <w:rsid w:val="0058473A"/>
    <w:rsid w:val="0058476A"/>
    <w:rsid w:val="005847E3"/>
    <w:rsid w:val="0058488A"/>
    <w:rsid w:val="00584A2D"/>
    <w:rsid w:val="00584BCE"/>
    <w:rsid w:val="00584D11"/>
    <w:rsid w:val="00584DFB"/>
    <w:rsid w:val="005855AF"/>
    <w:rsid w:val="005859DB"/>
    <w:rsid w:val="00585A19"/>
    <w:rsid w:val="00585AD7"/>
    <w:rsid w:val="00585D06"/>
    <w:rsid w:val="00585F26"/>
    <w:rsid w:val="0058608F"/>
    <w:rsid w:val="00586210"/>
    <w:rsid w:val="0058637E"/>
    <w:rsid w:val="005863DB"/>
    <w:rsid w:val="005864CC"/>
    <w:rsid w:val="005865B2"/>
    <w:rsid w:val="00586680"/>
    <w:rsid w:val="00586734"/>
    <w:rsid w:val="00586735"/>
    <w:rsid w:val="00586CDA"/>
    <w:rsid w:val="00586EA6"/>
    <w:rsid w:val="00586EDE"/>
    <w:rsid w:val="00587028"/>
    <w:rsid w:val="005873FC"/>
    <w:rsid w:val="005874AD"/>
    <w:rsid w:val="005875AA"/>
    <w:rsid w:val="00587A14"/>
    <w:rsid w:val="00587B4A"/>
    <w:rsid w:val="00587C7A"/>
    <w:rsid w:val="00587CE1"/>
    <w:rsid w:val="0059008A"/>
    <w:rsid w:val="005901D2"/>
    <w:rsid w:val="00590545"/>
    <w:rsid w:val="0059055B"/>
    <w:rsid w:val="005906C3"/>
    <w:rsid w:val="00590700"/>
    <w:rsid w:val="005907F7"/>
    <w:rsid w:val="005907FA"/>
    <w:rsid w:val="00590875"/>
    <w:rsid w:val="00590AA2"/>
    <w:rsid w:val="00590B1C"/>
    <w:rsid w:val="00590D02"/>
    <w:rsid w:val="005913A2"/>
    <w:rsid w:val="005913C5"/>
    <w:rsid w:val="0059172F"/>
    <w:rsid w:val="00591EC3"/>
    <w:rsid w:val="00592007"/>
    <w:rsid w:val="00592207"/>
    <w:rsid w:val="005924A2"/>
    <w:rsid w:val="0059267F"/>
    <w:rsid w:val="005926F4"/>
    <w:rsid w:val="0059290B"/>
    <w:rsid w:val="00592F8A"/>
    <w:rsid w:val="00592FFD"/>
    <w:rsid w:val="0059310C"/>
    <w:rsid w:val="0059328A"/>
    <w:rsid w:val="0059333C"/>
    <w:rsid w:val="005934CA"/>
    <w:rsid w:val="005935DB"/>
    <w:rsid w:val="005935E4"/>
    <w:rsid w:val="00593600"/>
    <w:rsid w:val="00593805"/>
    <w:rsid w:val="00593B8B"/>
    <w:rsid w:val="00593C83"/>
    <w:rsid w:val="00593E57"/>
    <w:rsid w:val="00594126"/>
    <w:rsid w:val="005944C3"/>
    <w:rsid w:val="005945F3"/>
    <w:rsid w:val="005947B0"/>
    <w:rsid w:val="0059499D"/>
    <w:rsid w:val="00594A2B"/>
    <w:rsid w:val="00594D76"/>
    <w:rsid w:val="00594E4D"/>
    <w:rsid w:val="00594F08"/>
    <w:rsid w:val="005950C8"/>
    <w:rsid w:val="005952D7"/>
    <w:rsid w:val="0059589C"/>
    <w:rsid w:val="005958B3"/>
    <w:rsid w:val="00595A34"/>
    <w:rsid w:val="00595ADD"/>
    <w:rsid w:val="00595B23"/>
    <w:rsid w:val="00595B3F"/>
    <w:rsid w:val="00595EA0"/>
    <w:rsid w:val="00595ED6"/>
    <w:rsid w:val="00595FAD"/>
    <w:rsid w:val="00596312"/>
    <w:rsid w:val="0059680B"/>
    <w:rsid w:val="005968F0"/>
    <w:rsid w:val="005969C4"/>
    <w:rsid w:val="00596ABD"/>
    <w:rsid w:val="00596BB3"/>
    <w:rsid w:val="00596F7E"/>
    <w:rsid w:val="00596FD9"/>
    <w:rsid w:val="005970E7"/>
    <w:rsid w:val="00597391"/>
    <w:rsid w:val="005979C7"/>
    <w:rsid w:val="00597A95"/>
    <w:rsid w:val="00597B9F"/>
    <w:rsid w:val="00597BAF"/>
    <w:rsid w:val="00597DCE"/>
    <w:rsid w:val="00597E69"/>
    <w:rsid w:val="005A00F4"/>
    <w:rsid w:val="005A0129"/>
    <w:rsid w:val="005A01EA"/>
    <w:rsid w:val="005A0462"/>
    <w:rsid w:val="005A071E"/>
    <w:rsid w:val="005A08A0"/>
    <w:rsid w:val="005A09EF"/>
    <w:rsid w:val="005A0A49"/>
    <w:rsid w:val="005A0C74"/>
    <w:rsid w:val="005A0CE0"/>
    <w:rsid w:val="005A0FB6"/>
    <w:rsid w:val="005A1382"/>
    <w:rsid w:val="005A1419"/>
    <w:rsid w:val="005A1422"/>
    <w:rsid w:val="005A15FF"/>
    <w:rsid w:val="005A16D7"/>
    <w:rsid w:val="005A17DE"/>
    <w:rsid w:val="005A182F"/>
    <w:rsid w:val="005A1C89"/>
    <w:rsid w:val="005A1DEA"/>
    <w:rsid w:val="005A1FE0"/>
    <w:rsid w:val="005A2032"/>
    <w:rsid w:val="005A2104"/>
    <w:rsid w:val="005A2138"/>
    <w:rsid w:val="005A236C"/>
    <w:rsid w:val="005A256B"/>
    <w:rsid w:val="005A2673"/>
    <w:rsid w:val="005A272F"/>
    <w:rsid w:val="005A28A4"/>
    <w:rsid w:val="005A2BD3"/>
    <w:rsid w:val="005A30D9"/>
    <w:rsid w:val="005A3122"/>
    <w:rsid w:val="005A3385"/>
    <w:rsid w:val="005A33B5"/>
    <w:rsid w:val="005A3405"/>
    <w:rsid w:val="005A3754"/>
    <w:rsid w:val="005A3A25"/>
    <w:rsid w:val="005A3F16"/>
    <w:rsid w:val="005A40B6"/>
    <w:rsid w:val="005A43E2"/>
    <w:rsid w:val="005A45C7"/>
    <w:rsid w:val="005A46A1"/>
    <w:rsid w:val="005A4DDD"/>
    <w:rsid w:val="005A4E30"/>
    <w:rsid w:val="005A4F5C"/>
    <w:rsid w:val="005A501E"/>
    <w:rsid w:val="005A56B8"/>
    <w:rsid w:val="005A58FF"/>
    <w:rsid w:val="005A5AC7"/>
    <w:rsid w:val="005A5DAB"/>
    <w:rsid w:val="005A5DF1"/>
    <w:rsid w:val="005A5E64"/>
    <w:rsid w:val="005A5E82"/>
    <w:rsid w:val="005A62F3"/>
    <w:rsid w:val="005A6388"/>
    <w:rsid w:val="005A663A"/>
    <w:rsid w:val="005A692D"/>
    <w:rsid w:val="005A6A9A"/>
    <w:rsid w:val="005A6CB2"/>
    <w:rsid w:val="005A6D41"/>
    <w:rsid w:val="005A6F76"/>
    <w:rsid w:val="005A71A5"/>
    <w:rsid w:val="005A728D"/>
    <w:rsid w:val="005A7375"/>
    <w:rsid w:val="005A7B31"/>
    <w:rsid w:val="005A7BD5"/>
    <w:rsid w:val="005A7E23"/>
    <w:rsid w:val="005B03A2"/>
    <w:rsid w:val="005B0504"/>
    <w:rsid w:val="005B0575"/>
    <w:rsid w:val="005B0633"/>
    <w:rsid w:val="005B09F4"/>
    <w:rsid w:val="005B0E00"/>
    <w:rsid w:val="005B0F4F"/>
    <w:rsid w:val="005B0FD1"/>
    <w:rsid w:val="005B10FE"/>
    <w:rsid w:val="005B1176"/>
    <w:rsid w:val="005B119B"/>
    <w:rsid w:val="005B1297"/>
    <w:rsid w:val="005B1899"/>
    <w:rsid w:val="005B1957"/>
    <w:rsid w:val="005B1B5F"/>
    <w:rsid w:val="005B20A4"/>
    <w:rsid w:val="005B24CB"/>
    <w:rsid w:val="005B27AF"/>
    <w:rsid w:val="005B3364"/>
    <w:rsid w:val="005B3975"/>
    <w:rsid w:val="005B3A80"/>
    <w:rsid w:val="005B3C3A"/>
    <w:rsid w:val="005B45E4"/>
    <w:rsid w:val="005B4644"/>
    <w:rsid w:val="005B47E6"/>
    <w:rsid w:val="005B48DD"/>
    <w:rsid w:val="005B4CB5"/>
    <w:rsid w:val="005B4EDC"/>
    <w:rsid w:val="005B547F"/>
    <w:rsid w:val="005B56B6"/>
    <w:rsid w:val="005B597F"/>
    <w:rsid w:val="005B5A03"/>
    <w:rsid w:val="005B5A91"/>
    <w:rsid w:val="005B5B3F"/>
    <w:rsid w:val="005B5B4F"/>
    <w:rsid w:val="005B5BB6"/>
    <w:rsid w:val="005B5C2C"/>
    <w:rsid w:val="005B5CB1"/>
    <w:rsid w:val="005B60A5"/>
    <w:rsid w:val="005B60EB"/>
    <w:rsid w:val="005B6101"/>
    <w:rsid w:val="005B6F52"/>
    <w:rsid w:val="005B70B0"/>
    <w:rsid w:val="005B71CA"/>
    <w:rsid w:val="005B72BD"/>
    <w:rsid w:val="005B75EA"/>
    <w:rsid w:val="005B760E"/>
    <w:rsid w:val="005B7703"/>
    <w:rsid w:val="005B7EB5"/>
    <w:rsid w:val="005B7EF2"/>
    <w:rsid w:val="005B7FD3"/>
    <w:rsid w:val="005C0092"/>
    <w:rsid w:val="005C01F4"/>
    <w:rsid w:val="005C04A5"/>
    <w:rsid w:val="005C0655"/>
    <w:rsid w:val="005C09CC"/>
    <w:rsid w:val="005C0D9D"/>
    <w:rsid w:val="005C104B"/>
    <w:rsid w:val="005C12C5"/>
    <w:rsid w:val="005C1D48"/>
    <w:rsid w:val="005C1E59"/>
    <w:rsid w:val="005C224C"/>
    <w:rsid w:val="005C24B3"/>
    <w:rsid w:val="005C2722"/>
    <w:rsid w:val="005C279F"/>
    <w:rsid w:val="005C2826"/>
    <w:rsid w:val="005C2984"/>
    <w:rsid w:val="005C2C45"/>
    <w:rsid w:val="005C2C92"/>
    <w:rsid w:val="005C2D98"/>
    <w:rsid w:val="005C2DC7"/>
    <w:rsid w:val="005C2E64"/>
    <w:rsid w:val="005C3468"/>
    <w:rsid w:val="005C3737"/>
    <w:rsid w:val="005C3BD6"/>
    <w:rsid w:val="005C3ECF"/>
    <w:rsid w:val="005C4458"/>
    <w:rsid w:val="005C46F6"/>
    <w:rsid w:val="005C4736"/>
    <w:rsid w:val="005C4E4C"/>
    <w:rsid w:val="005C4E8E"/>
    <w:rsid w:val="005C5244"/>
    <w:rsid w:val="005C53EF"/>
    <w:rsid w:val="005C54B7"/>
    <w:rsid w:val="005C54D7"/>
    <w:rsid w:val="005C5627"/>
    <w:rsid w:val="005C56F0"/>
    <w:rsid w:val="005C5C09"/>
    <w:rsid w:val="005C5EAD"/>
    <w:rsid w:val="005C5F6C"/>
    <w:rsid w:val="005C60FB"/>
    <w:rsid w:val="005C62BB"/>
    <w:rsid w:val="005C693C"/>
    <w:rsid w:val="005C6A80"/>
    <w:rsid w:val="005C6CA9"/>
    <w:rsid w:val="005C6D33"/>
    <w:rsid w:val="005C6FFD"/>
    <w:rsid w:val="005C7137"/>
    <w:rsid w:val="005C71C8"/>
    <w:rsid w:val="005C736B"/>
    <w:rsid w:val="005C7415"/>
    <w:rsid w:val="005C74C6"/>
    <w:rsid w:val="005C75CE"/>
    <w:rsid w:val="005C76C3"/>
    <w:rsid w:val="005C7BF0"/>
    <w:rsid w:val="005C7E74"/>
    <w:rsid w:val="005D0364"/>
    <w:rsid w:val="005D13A0"/>
    <w:rsid w:val="005D13C5"/>
    <w:rsid w:val="005D143A"/>
    <w:rsid w:val="005D151D"/>
    <w:rsid w:val="005D16E7"/>
    <w:rsid w:val="005D175A"/>
    <w:rsid w:val="005D17C7"/>
    <w:rsid w:val="005D18B0"/>
    <w:rsid w:val="005D1C78"/>
    <w:rsid w:val="005D2E8C"/>
    <w:rsid w:val="005D32D8"/>
    <w:rsid w:val="005D357D"/>
    <w:rsid w:val="005D3A1B"/>
    <w:rsid w:val="005D3C7E"/>
    <w:rsid w:val="005D3CF3"/>
    <w:rsid w:val="005D3DA4"/>
    <w:rsid w:val="005D4028"/>
    <w:rsid w:val="005D429D"/>
    <w:rsid w:val="005D434F"/>
    <w:rsid w:val="005D4600"/>
    <w:rsid w:val="005D462C"/>
    <w:rsid w:val="005D469B"/>
    <w:rsid w:val="005D4C0A"/>
    <w:rsid w:val="005D4E3E"/>
    <w:rsid w:val="005D4F79"/>
    <w:rsid w:val="005D5015"/>
    <w:rsid w:val="005D5079"/>
    <w:rsid w:val="005D536D"/>
    <w:rsid w:val="005D58DE"/>
    <w:rsid w:val="005D5E34"/>
    <w:rsid w:val="005D5E6A"/>
    <w:rsid w:val="005D5FB8"/>
    <w:rsid w:val="005D63DB"/>
    <w:rsid w:val="005D6518"/>
    <w:rsid w:val="005D67D1"/>
    <w:rsid w:val="005D6985"/>
    <w:rsid w:val="005D6ADB"/>
    <w:rsid w:val="005D6F13"/>
    <w:rsid w:val="005D7561"/>
    <w:rsid w:val="005D7736"/>
    <w:rsid w:val="005D77F7"/>
    <w:rsid w:val="005D7CFF"/>
    <w:rsid w:val="005D7D00"/>
    <w:rsid w:val="005D7E1D"/>
    <w:rsid w:val="005D7F46"/>
    <w:rsid w:val="005D7F4E"/>
    <w:rsid w:val="005E061B"/>
    <w:rsid w:val="005E070C"/>
    <w:rsid w:val="005E0754"/>
    <w:rsid w:val="005E081E"/>
    <w:rsid w:val="005E091C"/>
    <w:rsid w:val="005E0B4F"/>
    <w:rsid w:val="005E0D27"/>
    <w:rsid w:val="005E0F2A"/>
    <w:rsid w:val="005E0F6C"/>
    <w:rsid w:val="005E10B9"/>
    <w:rsid w:val="005E1966"/>
    <w:rsid w:val="005E1AB9"/>
    <w:rsid w:val="005E1DEE"/>
    <w:rsid w:val="005E2147"/>
    <w:rsid w:val="005E224D"/>
    <w:rsid w:val="005E24E0"/>
    <w:rsid w:val="005E27DF"/>
    <w:rsid w:val="005E2942"/>
    <w:rsid w:val="005E2D72"/>
    <w:rsid w:val="005E2DC5"/>
    <w:rsid w:val="005E3116"/>
    <w:rsid w:val="005E35B3"/>
    <w:rsid w:val="005E37CF"/>
    <w:rsid w:val="005E38E1"/>
    <w:rsid w:val="005E39DA"/>
    <w:rsid w:val="005E3A92"/>
    <w:rsid w:val="005E3B6C"/>
    <w:rsid w:val="005E3FA8"/>
    <w:rsid w:val="005E460D"/>
    <w:rsid w:val="005E469B"/>
    <w:rsid w:val="005E4778"/>
    <w:rsid w:val="005E47FF"/>
    <w:rsid w:val="005E4837"/>
    <w:rsid w:val="005E4A02"/>
    <w:rsid w:val="005E4A62"/>
    <w:rsid w:val="005E4C3E"/>
    <w:rsid w:val="005E4DFE"/>
    <w:rsid w:val="005E4E88"/>
    <w:rsid w:val="005E4EFE"/>
    <w:rsid w:val="005E5031"/>
    <w:rsid w:val="005E5061"/>
    <w:rsid w:val="005E5112"/>
    <w:rsid w:val="005E5302"/>
    <w:rsid w:val="005E5445"/>
    <w:rsid w:val="005E5713"/>
    <w:rsid w:val="005E57B0"/>
    <w:rsid w:val="005E5977"/>
    <w:rsid w:val="005E598C"/>
    <w:rsid w:val="005E5BB3"/>
    <w:rsid w:val="005E5C8A"/>
    <w:rsid w:val="005E5EB1"/>
    <w:rsid w:val="005E610C"/>
    <w:rsid w:val="005E6175"/>
    <w:rsid w:val="005E61CB"/>
    <w:rsid w:val="005E62A4"/>
    <w:rsid w:val="005E6992"/>
    <w:rsid w:val="005E7196"/>
    <w:rsid w:val="005E72D6"/>
    <w:rsid w:val="005E75F2"/>
    <w:rsid w:val="005E7825"/>
    <w:rsid w:val="005E7D3C"/>
    <w:rsid w:val="005E7FD1"/>
    <w:rsid w:val="005F00D6"/>
    <w:rsid w:val="005F0663"/>
    <w:rsid w:val="005F082B"/>
    <w:rsid w:val="005F08B5"/>
    <w:rsid w:val="005F0C1A"/>
    <w:rsid w:val="005F0D17"/>
    <w:rsid w:val="005F0D49"/>
    <w:rsid w:val="005F11C5"/>
    <w:rsid w:val="005F13F1"/>
    <w:rsid w:val="005F16AC"/>
    <w:rsid w:val="005F1774"/>
    <w:rsid w:val="005F17E6"/>
    <w:rsid w:val="005F1969"/>
    <w:rsid w:val="005F19CA"/>
    <w:rsid w:val="005F1B64"/>
    <w:rsid w:val="005F1BA0"/>
    <w:rsid w:val="005F1F28"/>
    <w:rsid w:val="005F205A"/>
    <w:rsid w:val="005F247E"/>
    <w:rsid w:val="005F24B7"/>
    <w:rsid w:val="005F2929"/>
    <w:rsid w:val="005F2A2B"/>
    <w:rsid w:val="005F2B38"/>
    <w:rsid w:val="005F2CE3"/>
    <w:rsid w:val="005F2D17"/>
    <w:rsid w:val="005F2D5D"/>
    <w:rsid w:val="005F379D"/>
    <w:rsid w:val="005F3823"/>
    <w:rsid w:val="005F3D2A"/>
    <w:rsid w:val="005F3D56"/>
    <w:rsid w:val="005F3DF2"/>
    <w:rsid w:val="005F3FF5"/>
    <w:rsid w:val="005F422C"/>
    <w:rsid w:val="005F43D3"/>
    <w:rsid w:val="005F4445"/>
    <w:rsid w:val="005F4A7F"/>
    <w:rsid w:val="005F5102"/>
    <w:rsid w:val="005F5130"/>
    <w:rsid w:val="005F52FF"/>
    <w:rsid w:val="005F5CA6"/>
    <w:rsid w:val="005F5F15"/>
    <w:rsid w:val="005F6338"/>
    <w:rsid w:val="005F638E"/>
    <w:rsid w:val="005F64A2"/>
    <w:rsid w:val="005F68B6"/>
    <w:rsid w:val="005F6A06"/>
    <w:rsid w:val="005F6C06"/>
    <w:rsid w:val="005F6E5C"/>
    <w:rsid w:val="005F6F8A"/>
    <w:rsid w:val="005F7174"/>
    <w:rsid w:val="005F7232"/>
    <w:rsid w:val="005F7574"/>
    <w:rsid w:val="005F7917"/>
    <w:rsid w:val="005F7934"/>
    <w:rsid w:val="005F7B4C"/>
    <w:rsid w:val="005F7DDC"/>
    <w:rsid w:val="006001FF"/>
    <w:rsid w:val="0060024C"/>
    <w:rsid w:val="00600318"/>
    <w:rsid w:val="00600344"/>
    <w:rsid w:val="00600651"/>
    <w:rsid w:val="00600700"/>
    <w:rsid w:val="00600763"/>
    <w:rsid w:val="006009FF"/>
    <w:rsid w:val="00600B19"/>
    <w:rsid w:val="00600B5E"/>
    <w:rsid w:val="00600C36"/>
    <w:rsid w:val="00600C3D"/>
    <w:rsid w:val="00600CF5"/>
    <w:rsid w:val="00600FC1"/>
    <w:rsid w:val="00600FCD"/>
    <w:rsid w:val="00600FE6"/>
    <w:rsid w:val="00601071"/>
    <w:rsid w:val="00601478"/>
    <w:rsid w:val="006015D1"/>
    <w:rsid w:val="006019D2"/>
    <w:rsid w:val="00601BAB"/>
    <w:rsid w:val="00601BD6"/>
    <w:rsid w:val="00601E66"/>
    <w:rsid w:val="00601F9F"/>
    <w:rsid w:val="00602142"/>
    <w:rsid w:val="0060217E"/>
    <w:rsid w:val="006021A7"/>
    <w:rsid w:val="00602749"/>
    <w:rsid w:val="006029E7"/>
    <w:rsid w:val="00602B67"/>
    <w:rsid w:val="0060316D"/>
    <w:rsid w:val="00603180"/>
    <w:rsid w:val="0060331A"/>
    <w:rsid w:val="006033D7"/>
    <w:rsid w:val="00603435"/>
    <w:rsid w:val="00603BED"/>
    <w:rsid w:val="00604090"/>
    <w:rsid w:val="00604118"/>
    <w:rsid w:val="006042C2"/>
    <w:rsid w:val="006043E9"/>
    <w:rsid w:val="006047D6"/>
    <w:rsid w:val="00604850"/>
    <w:rsid w:val="00604F8C"/>
    <w:rsid w:val="00605157"/>
    <w:rsid w:val="00605198"/>
    <w:rsid w:val="006052B0"/>
    <w:rsid w:val="00605339"/>
    <w:rsid w:val="0060549B"/>
    <w:rsid w:val="006054E0"/>
    <w:rsid w:val="00605ACA"/>
    <w:rsid w:val="00605AE1"/>
    <w:rsid w:val="00605B63"/>
    <w:rsid w:val="0060648E"/>
    <w:rsid w:val="006064BB"/>
    <w:rsid w:val="0060673F"/>
    <w:rsid w:val="0060686B"/>
    <w:rsid w:val="006068F6"/>
    <w:rsid w:val="00606D87"/>
    <w:rsid w:val="00607E28"/>
    <w:rsid w:val="00610172"/>
    <w:rsid w:val="006104E3"/>
    <w:rsid w:val="00610B2E"/>
    <w:rsid w:val="00611076"/>
    <w:rsid w:val="006110C7"/>
    <w:rsid w:val="0061115A"/>
    <w:rsid w:val="00611346"/>
    <w:rsid w:val="006124D9"/>
    <w:rsid w:val="006125F4"/>
    <w:rsid w:val="0061261B"/>
    <w:rsid w:val="006127B2"/>
    <w:rsid w:val="00612936"/>
    <w:rsid w:val="00612BBD"/>
    <w:rsid w:val="00612D64"/>
    <w:rsid w:val="00612E09"/>
    <w:rsid w:val="00612F8A"/>
    <w:rsid w:val="00613002"/>
    <w:rsid w:val="00613171"/>
    <w:rsid w:val="00613289"/>
    <w:rsid w:val="00613444"/>
    <w:rsid w:val="0061397B"/>
    <w:rsid w:val="0061398B"/>
    <w:rsid w:val="00614497"/>
    <w:rsid w:val="006146E0"/>
    <w:rsid w:val="00614F53"/>
    <w:rsid w:val="00615001"/>
    <w:rsid w:val="006150CB"/>
    <w:rsid w:val="006153F9"/>
    <w:rsid w:val="006155D8"/>
    <w:rsid w:val="0061592B"/>
    <w:rsid w:val="00615B24"/>
    <w:rsid w:val="00615C90"/>
    <w:rsid w:val="0061628F"/>
    <w:rsid w:val="0061667F"/>
    <w:rsid w:val="00616B10"/>
    <w:rsid w:val="00617400"/>
    <w:rsid w:val="00617502"/>
    <w:rsid w:val="006178B1"/>
    <w:rsid w:val="00617C68"/>
    <w:rsid w:val="00617FFC"/>
    <w:rsid w:val="006201E1"/>
    <w:rsid w:val="006202F3"/>
    <w:rsid w:val="006206EA"/>
    <w:rsid w:val="00620747"/>
    <w:rsid w:val="00620824"/>
    <w:rsid w:val="00620972"/>
    <w:rsid w:val="00620A2D"/>
    <w:rsid w:val="00620CAE"/>
    <w:rsid w:val="00620DCA"/>
    <w:rsid w:val="006212CA"/>
    <w:rsid w:val="006217B0"/>
    <w:rsid w:val="00622431"/>
    <w:rsid w:val="00622725"/>
    <w:rsid w:val="006229D0"/>
    <w:rsid w:val="00622C12"/>
    <w:rsid w:val="0062319C"/>
    <w:rsid w:val="00623255"/>
    <w:rsid w:val="006233C7"/>
    <w:rsid w:val="00623732"/>
    <w:rsid w:val="006238C2"/>
    <w:rsid w:val="0062397C"/>
    <w:rsid w:val="00623AB3"/>
    <w:rsid w:val="00623AC3"/>
    <w:rsid w:val="00623D2D"/>
    <w:rsid w:val="0062482A"/>
    <w:rsid w:val="00624BBA"/>
    <w:rsid w:val="00624FAA"/>
    <w:rsid w:val="006252FE"/>
    <w:rsid w:val="0062540C"/>
    <w:rsid w:val="00625665"/>
    <w:rsid w:val="00625687"/>
    <w:rsid w:val="00625AEB"/>
    <w:rsid w:val="00625D98"/>
    <w:rsid w:val="00625F90"/>
    <w:rsid w:val="00626373"/>
    <w:rsid w:val="006264E9"/>
    <w:rsid w:val="00626623"/>
    <w:rsid w:val="0062675E"/>
    <w:rsid w:val="00626773"/>
    <w:rsid w:val="00626936"/>
    <w:rsid w:val="00626BD1"/>
    <w:rsid w:val="00626DB1"/>
    <w:rsid w:val="0062708D"/>
    <w:rsid w:val="006270DB"/>
    <w:rsid w:val="006272FA"/>
    <w:rsid w:val="00627376"/>
    <w:rsid w:val="006275B5"/>
    <w:rsid w:val="00627654"/>
    <w:rsid w:val="00627DB4"/>
    <w:rsid w:val="0063033D"/>
    <w:rsid w:val="0063050C"/>
    <w:rsid w:val="006307B3"/>
    <w:rsid w:val="00630930"/>
    <w:rsid w:val="00630962"/>
    <w:rsid w:val="006309B2"/>
    <w:rsid w:val="00630A0A"/>
    <w:rsid w:val="00630B2E"/>
    <w:rsid w:val="00630C53"/>
    <w:rsid w:val="00630C5B"/>
    <w:rsid w:val="00630C66"/>
    <w:rsid w:val="00630C90"/>
    <w:rsid w:val="00630E06"/>
    <w:rsid w:val="00630FA0"/>
    <w:rsid w:val="006313A8"/>
    <w:rsid w:val="0063157B"/>
    <w:rsid w:val="00631761"/>
    <w:rsid w:val="0063194E"/>
    <w:rsid w:val="00631C5D"/>
    <w:rsid w:val="00631D3A"/>
    <w:rsid w:val="00631E55"/>
    <w:rsid w:val="00631F07"/>
    <w:rsid w:val="00631FBE"/>
    <w:rsid w:val="006320CA"/>
    <w:rsid w:val="006325F7"/>
    <w:rsid w:val="00632647"/>
    <w:rsid w:val="00632668"/>
    <w:rsid w:val="0063275C"/>
    <w:rsid w:val="00632BAA"/>
    <w:rsid w:val="00632D99"/>
    <w:rsid w:val="0063376C"/>
    <w:rsid w:val="00633AB8"/>
    <w:rsid w:val="00633B19"/>
    <w:rsid w:val="00633B35"/>
    <w:rsid w:val="00633E4B"/>
    <w:rsid w:val="00633F30"/>
    <w:rsid w:val="0063417C"/>
    <w:rsid w:val="006342D6"/>
    <w:rsid w:val="006342EF"/>
    <w:rsid w:val="00634701"/>
    <w:rsid w:val="0063490E"/>
    <w:rsid w:val="00634986"/>
    <w:rsid w:val="00634B21"/>
    <w:rsid w:val="00634D91"/>
    <w:rsid w:val="006351DD"/>
    <w:rsid w:val="00635348"/>
    <w:rsid w:val="00635553"/>
    <w:rsid w:val="006363A9"/>
    <w:rsid w:val="0063659F"/>
    <w:rsid w:val="006367C5"/>
    <w:rsid w:val="00636B79"/>
    <w:rsid w:val="00636E61"/>
    <w:rsid w:val="00636EAB"/>
    <w:rsid w:val="00636FA2"/>
    <w:rsid w:val="006372C1"/>
    <w:rsid w:val="0063731A"/>
    <w:rsid w:val="0063741B"/>
    <w:rsid w:val="00637647"/>
    <w:rsid w:val="00637798"/>
    <w:rsid w:val="006377A8"/>
    <w:rsid w:val="00637A8E"/>
    <w:rsid w:val="00637B82"/>
    <w:rsid w:val="00637C2B"/>
    <w:rsid w:val="00637FD5"/>
    <w:rsid w:val="006401AC"/>
    <w:rsid w:val="00640273"/>
    <w:rsid w:val="00640321"/>
    <w:rsid w:val="00640565"/>
    <w:rsid w:val="00640727"/>
    <w:rsid w:val="00640A20"/>
    <w:rsid w:val="00640D44"/>
    <w:rsid w:val="00640E26"/>
    <w:rsid w:val="00640FB3"/>
    <w:rsid w:val="00641079"/>
    <w:rsid w:val="0064140F"/>
    <w:rsid w:val="0064144E"/>
    <w:rsid w:val="00641510"/>
    <w:rsid w:val="006415C8"/>
    <w:rsid w:val="00641B8D"/>
    <w:rsid w:val="00641CE9"/>
    <w:rsid w:val="00642026"/>
    <w:rsid w:val="006420D1"/>
    <w:rsid w:val="00642167"/>
    <w:rsid w:val="00642169"/>
    <w:rsid w:val="0064238A"/>
    <w:rsid w:val="006425B5"/>
    <w:rsid w:val="006427D4"/>
    <w:rsid w:val="0064282D"/>
    <w:rsid w:val="006428FE"/>
    <w:rsid w:val="00642A5E"/>
    <w:rsid w:val="00642AB5"/>
    <w:rsid w:val="00642BB9"/>
    <w:rsid w:val="00642C34"/>
    <w:rsid w:val="00642DF0"/>
    <w:rsid w:val="00642EE1"/>
    <w:rsid w:val="00643082"/>
    <w:rsid w:val="006433C4"/>
    <w:rsid w:val="006435B3"/>
    <w:rsid w:val="006435F5"/>
    <w:rsid w:val="00643B4D"/>
    <w:rsid w:val="0064411E"/>
    <w:rsid w:val="006441D9"/>
    <w:rsid w:val="0064494C"/>
    <w:rsid w:val="00644AD0"/>
    <w:rsid w:val="00644F00"/>
    <w:rsid w:val="00644FAC"/>
    <w:rsid w:val="006454BD"/>
    <w:rsid w:val="00645A7A"/>
    <w:rsid w:val="00645B8D"/>
    <w:rsid w:val="00645E95"/>
    <w:rsid w:val="00645F66"/>
    <w:rsid w:val="0064637A"/>
    <w:rsid w:val="00646447"/>
    <w:rsid w:val="006464C1"/>
    <w:rsid w:val="006464D1"/>
    <w:rsid w:val="00646B8C"/>
    <w:rsid w:val="00646BCC"/>
    <w:rsid w:val="00646D2B"/>
    <w:rsid w:val="00646DA8"/>
    <w:rsid w:val="00646E2B"/>
    <w:rsid w:val="00647416"/>
    <w:rsid w:val="00647688"/>
    <w:rsid w:val="006476C2"/>
    <w:rsid w:val="006477AB"/>
    <w:rsid w:val="006478E1"/>
    <w:rsid w:val="00647A7E"/>
    <w:rsid w:val="00647DA0"/>
    <w:rsid w:val="00650226"/>
    <w:rsid w:val="006503C7"/>
    <w:rsid w:val="0065040E"/>
    <w:rsid w:val="00650697"/>
    <w:rsid w:val="00650991"/>
    <w:rsid w:val="00650B0F"/>
    <w:rsid w:val="00650D0D"/>
    <w:rsid w:val="00650D5B"/>
    <w:rsid w:val="00650DAD"/>
    <w:rsid w:val="00651465"/>
    <w:rsid w:val="006516DE"/>
    <w:rsid w:val="00651B01"/>
    <w:rsid w:val="00651D9C"/>
    <w:rsid w:val="006521A5"/>
    <w:rsid w:val="00652454"/>
    <w:rsid w:val="0065255B"/>
    <w:rsid w:val="006526FD"/>
    <w:rsid w:val="00652762"/>
    <w:rsid w:val="00652A68"/>
    <w:rsid w:val="00652A8D"/>
    <w:rsid w:val="00652DAB"/>
    <w:rsid w:val="00652FBB"/>
    <w:rsid w:val="006532D3"/>
    <w:rsid w:val="00653345"/>
    <w:rsid w:val="00653A64"/>
    <w:rsid w:val="00653ADF"/>
    <w:rsid w:val="00653C96"/>
    <w:rsid w:val="0065412C"/>
    <w:rsid w:val="006541B0"/>
    <w:rsid w:val="006542BC"/>
    <w:rsid w:val="006543DB"/>
    <w:rsid w:val="0065470C"/>
    <w:rsid w:val="006548A6"/>
    <w:rsid w:val="00654B1C"/>
    <w:rsid w:val="00654CDE"/>
    <w:rsid w:val="00654E16"/>
    <w:rsid w:val="006551A2"/>
    <w:rsid w:val="006553A3"/>
    <w:rsid w:val="00655445"/>
    <w:rsid w:val="00655487"/>
    <w:rsid w:val="00655620"/>
    <w:rsid w:val="0065567E"/>
    <w:rsid w:val="00655A33"/>
    <w:rsid w:val="00655D38"/>
    <w:rsid w:val="006568EA"/>
    <w:rsid w:val="006569FC"/>
    <w:rsid w:val="00656D50"/>
    <w:rsid w:val="00656D81"/>
    <w:rsid w:val="00656E29"/>
    <w:rsid w:val="00656E52"/>
    <w:rsid w:val="006570AA"/>
    <w:rsid w:val="006570B6"/>
    <w:rsid w:val="00657355"/>
    <w:rsid w:val="006573E5"/>
    <w:rsid w:val="00657524"/>
    <w:rsid w:val="006575BA"/>
    <w:rsid w:val="00657663"/>
    <w:rsid w:val="0065790B"/>
    <w:rsid w:val="00657AEB"/>
    <w:rsid w:val="00657BA7"/>
    <w:rsid w:val="00657C59"/>
    <w:rsid w:val="00657E4D"/>
    <w:rsid w:val="00657E57"/>
    <w:rsid w:val="006602DB"/>
    <w:rsid w:val="00660391"/>
    <w:rsid w:val="006608B3"/>
    <w:rsid w:val="006608F9"/>
    <w:rsid w:val="00660CCE"/>
    <w:rsid w:val="00660D4D"/>
    <w:rsid w:val="00661078"/>
    <w:rsid w:val="0066139A"/>
    <w:rsid w:val="006613F9"/>
    <w:rsid w:val="00661487"/>
    <w:rsid w:val="006618AE"/>
    <w:rsid w:val="00661BAC"/>
    <w:rsid w:val="00661C66"/>
    <w:rsid w:val="00662151"/>
    <w:rsid w:val="0066215E"/>
    <w:rsid w:val="006623F5"/>
    <w:rsid w:val="0066253C"/>
    <w:rsid w:val="0066293D"/>
    <w:rsid w:val="00662BD0"/>
    <w:rsid w:val="00662E4A"/>
    <w:rsid w:val="0066300C"/>
    <w:rsid w:val="00663112"/>
    <w:rsid w:val="00663395"/>
    <w:rsid w:val="00663478"/>
    <w:rsid w:val="006636B8"/>
    <w:rsid w:val="00663999"/>
    <w:rsid w:val="00663BE5"/>
    <w:rsid w:val="00663EA0"/>
    <w:rsid w:val="00663EA5"/>
    <w:rsid w:val="00663EF0"/>
    <w:rsid w:val="00663FD8"/>
    <w:rsid w:val="00663FE4"/>
    <w:rsid w:val="00664367"/>
    <w:rsid w:val="00664496"/>
    <w:rsid w:val="00664587"/>
    <w:rsid w:val="0066476E"/>
    <w:rsid w:val="0066498B"/>
    <w:rsid w:val="00664A0C"/>
    <w:rsid w:val="00664BB3"/>
    <w:rsid w:val="00664C20"/>
    <w:rsid w:val="00665042"/>
    <w:rsid w:val="00665075"/>
    <w:rsid w:val="0066524F"/>
    <w:rsid w:val="00665565"/>
    <w:rsid w:val="006656FD"/>
    <w:rsid w:val="0066571B"/>
    <w:rsid w:val="006658EE"/>
    <w:rsid w:val="00666064"/>
    <w:rsid w:val="006662A7"/>
    <w:rsid w:val="006663D5"/>
    <w:rsid w:val="0066664A"/>
    <w:rsid w:val="006668DD"/>
    <w:rsid w:val="00666C46"/>
    <w:rsid w:val="00667A49"/>
    <w:rsid w:val="00667B37"/>
    <w:rsid w:val="00667E54"/>
    <w:rsid w:val="00670400"/>
    <w:rsid w:val="006705A6"/>
    <w:rsid w:val="006708D8"/>
    <w:rsid w:val="00670B99"/>
    <w:rsid w:val="00670C15"/>
    <w:rsid w:val="00670C2D"/>
    <w:rsid w:val="00670D32"/>
    <w:rsid w:val="00670E34"/>
    <w:rsid w:val="00670E40"/>
    <w:rsid w:val="00670E55"/>
    <w:rsid w:val="006714BC"/>
    <w:rsid w:val="006714F8"/>
    <w:rsid w:val="00671504"/>
    <w:rsid w:val="00671623"/>
    <w:rsid w:val="0067187B"/>
    <w:rsid w:val="00671AAB"/>
    <w:rsid w:val="00671BFD"/>
    <w:rsid w:val="00672553"/>
    <w:rsid w:val="0067264F"/>
    <w:rsid w:val="00672660"/>
    <w:rsid w:val="006726EE"/>
    <w:rsid w:val="00672705"/>
    <w:rsid w:val="00672746"/>
    <w:rsid w:val="0067295B"/>
    <w:rsid w:val="00672A82"/>
    <w:rsid w:val="00672AEB"/>
    <w:rsid w:val="00672F9C"/>
    <w:rsid w:val="006735D6"/>
    <w:rsid w:val="00673C0E"/>
    <w:rsid w:val="00673E15"/>
    <w:rsid w:val="00673FBF"/>
    <w:rsid w:val="00674301"/>
    <w:rsid w:val="006745D1"/>
    <w:rsid w:val="00674E6D"/>
    <w:rsid w:val="00674F1B"/>
    <w:rsid w:val="00674F8E"/>
    <w:rsid w:val="006752C1"/>
    <w:rsid w:val="006752C4"/>
    <w:rsid w:val="00675424"/>
    <w:rsid w:val="006754A5"/>
    <w:rsid w:val="006757C7"/>
    <w:rsid w:val="00675827"/>
    <w:rsid w:val="0067589D"/>
    <w:rsid w:val="00675CBE"/>
    <w:rsid w:val="00676091"/>
    <w:rsid w:val="006760DD"/>
    <w:rsid w:val="00676303"/>
    <w:rsid w:val="00676921"/>
    <w:rsid w:val="00676BED"/>
    <w:rsid w:val="00676CF2"/>
    <w:rsid w:val="00677075"/>
    <w:rsid w:val="0067740E"/>
    <w:rsid w:val="00677BBF"/>
    <w:rsid w:val="00677FA2"/>
    <w:rsid w:val="006800B9"/>
    <w:rsid w:val="006801C6"/>
    <w:rsid w:val="006803EF"/>
    <w:rsid w:val="00680A8F"/>
    <w:rsid w:val="00680D4F"/>
    <w:rsid w:val="00680D8C"/>
    <w:rsid w:val="00680E2F"/>
    <w:rsid w:val="00680F71"/>
    <w:rsid w:val="00680F77"/>
    <w:rsid w:val="0068104F"/>
    <w:rsid w:val="0068113C"/>
    <w:rsid w:val="0068126A"/>
    <w:rsid w:val="00681582"/>
    <w:rsid w:val="006815AD"/>
    <w:rsid w:val="00681862"/>
    <w:rsid w:val="00681B21"/>
    <w:rsid w:val="00681B22"/>
    <w:rsid w:val="00681B91"/>
    <w:rsid w:val="00681BCA"/>
    <w:rsid w:val="00681D41"/>
    <w:rsid w:val="00681E0E"/>
    <w:rsid w:val="00682257"/>
    <w:rsid w:val="0068267D"/>
    <w:rsid w:val="00682746"/>
    <w:rsid w:val="006834C5"/>
    <w:rsid w:val="0068367D"/>
    <w:rsid w:val="00683882"/>
    <w:rsid w:val="00683960"/>
    <w:rsid w:val="00683B52"/>
    <w:rsid w:val="00683C55"/>
    <w:rsid w:val="006842A4"/>
    <w:rsid w:val="006843FB"/>
    <w:rsid w:val="0068452D"/>
    <w:rsid w:val="00684627"/>
    <w:rsid w:val="00684726"/>
    <w:rsid w:val="006847CC"/>
    <w:rsid w:val="006847CF"/>
    <w:rsid w:val="00684C0B"/>
    <w:rsid w:val="00684ED6"/>
    <w:rsid w:val="00685354"/>
    <w:rsid w:val="0068553F"/>
    <w:rsid w:val="0068591F"/>
    <w:rsid w:val="0068592D"/>
    <w:rsid w:val="006859A7"/>
    <w:rsid w:val="006859FF"/>
    <w:rsid w:val="00685B5E"/>
    <w:rsid w:val="00685E75"/>
    <w:rsid w:val="0068602D"/>
    <w:rsid w:val="006866F8"/>
    <w:rsid w:val="00686DFF"/>
    <w:rsid w:val="00686F67"/>
    <w:rsid w:val="00686FAC"/>
    <w:rsid w:val="006872A2"/>
    <w:rsid w:val="00687B2C"/>
    <w:rsid w:val="00687C2D"/>
    <w:rsid w:val="006901B7"/>
    <w:rsid w:val="006905AF"/>
    <w:rsid w:val="006905EA"/>
    <w:rsid w:val="006905F8"/>
    <w:rsid w:val="00690648"/>
    <w:rsid w:val="00690789"/>
    <w:rsid w:val="006908A0"/>
    <w:rsid w:val="0069092D"/>
    <w:rsid w:val="006910E5"/>
    <w:rsid w:val="0069119E"/>
    <w:rsid w:val="006911EC"/>
    <w:rsid w:val="00691241"/>
    <w:rsid w:val="006914B6"/>
    <w:rsid w:val="0069166B"/>
    <w:rsid w:val="0069183E"/>
    <w:rsid w:val="00691A88"/>
    <w:rsid w:val="00691D21"/>
    <w:rsid w:val="00691DC2"/>
    <w:rsid w:val="00692253"/>
    <w:rsid w:val="00692431"/>
    <w:rsid w:val="00692B8B"/>
    <w:rsid w:val="00692DE6"/>
    <w:rsid w:val="00692E83"/>
    <w:rsid w:val="00693072"/>
    <w:rsid w:val="006931DD"/>
    <w:rsid w:val="00693296"/>
    <w:rsid w:val="0069334A"/>
    <w:rsid w:val="00693526"/>
    <w:rsid w:val="0069363C"/>
    <w:rsid w:val="006936EC"/>
    <w:rsid w:val="00693A0A"/>
    <w:rsid w:val="00693B64"/>
    <w:rsid w:val="00693D03"/>
    <w:rsid w:val="00693EC6"/>
    <w:rsid w:val="00694374"/>
    <w:rsid w:val="006943DB"/>
    <w:rsid w:val="00694507"/>
    <w:rsid w:val="006946E9"/>
    <w:rsid w:val="00694CA4"/>
    <w:rsid w:val="00694D17"/>
    <w:rsid w:val="00694EDA"/>
    <w:rsid w:val="00694EF2"/>
    <w:rsid w:val="00695051"/>
    <w:rsid w:val="006953BA"/>
    <w:rsid w:val="006959F4"/>
    <w:rsid w:val="00695AD6"/>
    <w:rsid w:val="0069640E"/>
    <w:rsid w:val="00696500"/>
    <w:rsid w:val="0069652B"/>
    <w:rsid w:val="006966F1"/>
    <w:rsid w:val="0069682B"/>
    <w:rsid w:val="00696979"/>
    <w:rsid w:val="00696997"/>
    <w:rsid w:val="00696A85"/>
    <w:rsid w:val="00696DA0"/>
    <w:rsid w:val="00696F09"/>
    <w:rsid w:val="00696F1E"/>
    <w:rsid w:val="006971E2"/>
    <w:rsid w:val="0069725C"/>
    <w:rsid w:val="0069729A"/>
    <w:rsid w:val="0069788C"/>
    <w:rsid w:val="00697994"/>
    <w:rsid w:val="006979A8"/>
    <w:rsid w:val="00697C32"/>
    <w:rsid w:val="00697EF3"/>
    <w:rsid w:val="006A0192"/>
    <w:rsid w:val="006A026D"/>
    <w:rsid w:val="006A04C5"/>
    <w:rsid w:val="006A0686"/>
    <w:rsid w:val="006A06F4"/>
    <w:rsid w:val="006A09E7"/>
    <w:rsid w:val="006A0A3E"/>
    <w:rsid w:val="006A0AF3"/>
    <w:rsid w:val="006A0D20"/>
    <w:rsid w:val="006A0F83"/>
    <w:rsid w:val="006A106A"/>
    <w:rsid w:val="006A11D0"/>
    <w:rsid w:val="006A11D6"/>
    <w:rsid w:val="006A1232"/>
    <w:rsid w:val="006A1406"/>
    <w:rsid w:val="006A1AC6"/>
    <w:rsid w:val="006A1EFF"/>
    <w:rsid w:val="006A1FB4"/>
    <w:rsid w:val="006A2041"/>
    <w:rsid w:val="006A274D"/>
    <w:rsid w:val="006A2C77"/>
    <w:rsid w:val="006A2DB8"/>
    <w:rsid w:val="006A3302"/>
    <w:rsid w:val="006A3563"/>
    <w:rsid w:val="006A35D0"/>
    <w:rsid w:val="006A36BD"/>
    <w:rsid w:val="006A36C2"/>
    <w:rsid w:val="006A4206"/>
    <w:rsid w:val="006A43AA"/>
    <w:rsid w:val="006A44C0"/>
    <w:rsid w:val="006A46EE"/>
    <w:rsid w:val="006A4753"/>
    <w:rsid w:val="006A4872"/>
    <w:rsid w:val="006A4E53"/>
    <w:rsid w:val="006A514E"/>
    <w:rsid w:val="006A5928"/>
    <w:rsid w:val="006A59FA"/>
    <w:rsid w:val="006A5B05"/>
    <w:rsid w:val="006A5BF1"/>
    <w:rsid w:val="006A5CC6"/>
    <w:rsid w:val="006A5D71"/>
    <w:rsid w:val="006A5EDB"/>
    <w:rsid w:val="006A5F57"/>
    <w:rsid w:val="006A6081"/>
    <w:rsid w:val="006A624C"/>
    <w:rsid w:val="006A64C5"/>
    <w:rsid w:val="006A6A8F"/>
    <w:rsid w:val="006A6C00"/>
    <w:rsid w:val="006A709A"/>
    <w:rsid w:val="006A73C1"/>
    <w:rsid w:val="006A73F4"/>
    <w:rsid w:val="006A73FA"/>
    <w:rsid w:val="006A76A1"/>
    <w:rsid w:val="006A7BDB"/>
    <w:rsid w:val="006A7F78"/>
    <w:rsid w:val="006A7FDE"/>
    <w:rsid w:val="006B0133"/>
    <w:rsid w:val="006B0294"/>
    <w:rsid w:val="006B0744"/>
    <w:rsid w:val="006B084A"/>
    <w:rsid w:val="006B0AFE"/>
    <w:rsid w:val="006B0B2C"/>
    <w:rsid w:val="006B0BDA"/>
    <w:rsid w:val="006B0BF3"/>
    <w:rsid w:val="006B0DD8"/>
    <w:rsid w:val="006B0E2D"/>
    <w:rsid w:val="006B194A"/>
    <w:rsid w:val="006B194C"/>
    <w:rsid w:val="006B1A94"/>
    <w:rsid w:val="006B1D2C"/>
    <w:rsid w:val="006B21E4"/>
    <w:rsid w:val="006B232D"/>
    <w:rsid w:val="006B24D6"/>
    <w:rsid w:val="006B25AF"/>
    <w:rsid w:val="006B2642"/>
    <w:rsid w:val="006B2FB8"/>
    <w:rsid w:val="006B32BC"/>
    <w:rsid w:val="006B3498"/>
    <w:rsid w:val="006B374A"/>
    <w:rsid w:val="006B37BB"/>
    <w:rsid w:val="006B3805"/>
    <w:rsid w:val="006B42B2"/>
    <w:rsid w:val="006B447B"/>
    <w:rsid w:val="006B45B4"/>
    <w:rsid w:val="006B4959"/>
    <w:rsid w:val="006B496D"/>
    <w:rsid w:val="006B49F5"/>
    <w:rsid w:val="006B4CD3"/>
    <w:rsid w:val="006B4E93"/>
    <w:rsid w:val="006B5267"/>
    <w:rsid w:val="006B526F"/>
    <w:rsid w:val="006B55BA"/>
    <w:rsid w:val="006B5930"/>
    <w:rsid w:val="006B5A35"/>
    <w:rsid w:val="006B5CD1"/>
    <w:rsid w:val="006B5D0A"/>
    <w:rsid w:val="006B5E43"/>
    <w:rsid w:val="006B5EBE"/>
    <w:rsid w:val="006B5F81"/>
    <w:rsid w:val="006B62F1"/>
    <w:rsid w:val="006B631F"/>
    <w:rsid w:val="006B692B"/>
    <w:rsid w:val="006B6C71"/>
    <w:rsid w:val="006B6E0C"/>
    <w:rsid w:val="006B6FF6"/>
    <w:rsid w:val="006B707F"/>
    <w:rsid w:val="006B7E1A"/>
    <w:rsid w:val="006B7FE8"/>
    <w:rsid w:val="006C0371"/>
    <w:rsid w:val="006C0483"/>
    <w:rsid w:val="006C05FC"/>
    <w:rsid w:val="006C07F3"/>
    <w:rsid w:val="006C1123"/>
    <w:rsid w:val="006C16E5"/>
    <w:rsid w:val="006C17B8"/>
    <w:rsid w:val="006C17FF"/>
    <w:rsid w:val="006C1CC0"/>
    <w:rsid w:val="006C1D2F"/>
    <w:rsid w:val="006C1E03"/>
    <w:rsid w:val="006C1E2E"/>
    <w:rsid w:val="006C2657"/>
    <w:rsid w:val="006C275C"/>
    <w:rsid w:val="006C3168"/>
    <w:rsid w:val="006C32BF"/>
    <w:rsid w:val="006C33FD"/>
    <w:rsid w:val="006C37B9"/>
    <w:rsid w:val="006C3B95"/>
    <w:rsid w:val="006C3D6C"/>
    <w:rsid w:val="006C40BD"/>
    <w:rsid w:val="006C40BE"/>
    <w:rsid w:val="006C4221"/>
    <w:rsid w:val="006C42A9"/>
    <w:rsid w:val="006C47C5"/>
    <w:rsid w:val="006C48C5"/>
    <w:rsid w:val="006C48F9"/>
    <w:rsid w:val="006C4949"/>
    <w:rsid w:val="006C49B0"/>
    <w:rsid w:val="006C4BAE"/>
    <w:rsid w:val="006C4C9E"/>
    <w:rsid w:val="006C51C5"/>
    <w:rsid w:val="006C51E5"/>
    <w:rsid w:val="006C52CD"/>
    <w:rsid w:val="006C54BF"/>
    <w:rsid w:val="006C57B3"/>
    <w:rsid w:val="006C57F0"/>
    <w:rsid w:val="006C58E4"/>
    <w:rsid w:val="006C5AD0"/>
    <w:rsid w:val="006C5C1F"/>
    <w:rsid w:val="006C5CF6"/>
    <w:rsid w:val="006C60AC"/>
    <w:rsid w:val="006C618C"/>
    <w:rsid w:val="006C62CE"/>
    <w:rsid w:val="006C6533"/>
    <w:rsid w:val="006C66D6"/>
    <w:rsid w:val="006C6B1D"/>
    <w:rsid w:val="006C6CBF"/>
    <w:rsid w:val="006C6D11"/>
    <w:rsid w:val="006C6D33"/>
    <w:rsid w:val="006C6E0A"/>
    <w:rsid w:val="006C70CF"/>
    <w:rsid w:val="006C7671"/>
    <w:rsid w:val="006C7C43"/>
    <w:rsid w:val="006C7CE2"/>
    <w:rsid w:val="006C7D28"/>
    <w:rsid w:val="006C7D39"/>
    <w:rsid w:val="006C7FCE"/>
    <w:rsid w:val="006D05A6"/>
    <w:rsid w:val="006D07FA"/>
    <w:rsid w:val="006D0850"/>
    <w:rsid w:val="006D0B1D"/>
    <w:rsid w:val="006D0C65"/>
    <w:rsid w:val="006D0ECC"/>
    <w:rsid w:val="006D1026"/>
    <w:rsid w:val="006D10B2"/>
    <w:rsid w:val="006D1375"/>
    <w:rsid w:val="006D1BA5"/>
    <w:rsid w:val="006D1C18"/>
    <w:rsid w:val="006D1DB3"/>
    <w:rsid w:val="006D20EE"/>
    <w:rsid w:val="006D2412"/>
    <w:rsid w:val="006D2437"/>
    <w:rsid w:val="006D2582"/>
    <w:rsid w:val="006D29C7"/>
    <w:rsid w:val="006D2C20"/>
    <w:rsid w:val="006D2D4F"/>
    <w:rsid w:val="006D3051"/>
    <w:rsid w:val="006D329C"/>
    <w:rsid w:val="006D336B"/>
    <w:rsid w:val="006D364B"/>
    <w:rsid w:val="006D386B"/>
    <w:rsid w:val="006D3B5A"/>
    <w:rsid w:val="006D3B75"/>
    <w:rsid w:val="006D3BD4"/>
    <w:rsid w:val="006D3C0D"/>
    <w:rsid w:val="006D3E21"/>
    <w:rsid w:val="006D400C"/>
    <w:rsid w:val="006D40E7"/>
    <w:rsid w:val="006D41B6"/>
    <w:rsid w:val="006D44DD"/>
    <w:rsid w:val="006D457D"/>
    <w:rsid w:val="006D45ED"/>
    <w:rsid w:val="006D474A"/>
    <w:rsid w:val="006D4907"/>
    <w:rsid w:val="006D4935"/>
    <w:rsid w:val="006D4B81"/>
    <w:rsid w:val="006D4FE5"/>
    <w:rsid w:val="006D56DE"/>
    <w:rsid w:val="006D59D5"/>
    <w:rsid w:val="006D5CFC"/>
    <w:rsid w:val="006D5E00"/>
    <w:rsid w:val="006D5F39"/>
    <w:rsid w:val="006D6389"/>
    <w:rsid w:val="006D6393"/>
    <w:rsid w:val="006D669D"/>
    <w:rsid w:val="006D679A"/>
    <w:rsid w:val="006D6E57"/>
    <w:rsid w:val="006D7168"/>
    <w:rsid w:val="006D7229"/>
    <w:rsid w:val="006D72B3"/>
    <w:rsid w:val="006D75CF"/>
    <w:rsid w:val="006D79AF"/>
    <w:rsid w:val="006D7C82"/>
    <w:rsid w:val="006D7D82"/>
    <w:rsid w:val="006D7F96"/>
    <w:rsid w:val="006E014E"/>
    <w:rsid w:val="006E016E"/>
    <w:rsid w:val="006E0504"/>
    <w:rsid w:val="006E0817"/>
    <w:rsid w:val="006E0B3C"/>
    <w:rsid w:val="006E0CEF"/>
    <w:rsid w:val="006E0D20"/>
    <w:rsid w:val="006E0FEE"/>
    <w:rsid w:val="006E1006"/>
    <w:rsid w:val="006E1197"/>
    <w:rsid w:val="006E1280"/>
    <w:rsid w:val="006E12A0"/>
    <w:rsid w:val="006E1392"/>
    <w:rsid w:val="006E14B4"/>
    <w:rsid w:val="006E16ED"/>
    <w:rsid w:val="006E176C"/>
    <w:rsid w:val="006E1C5A"/>
    <w:rsid w:val="006E1FC3"/>
    <w:rsid w:val="006E2038"/>
    <w:rsid w:val="006E260A"/>
    <w:rsid w:val="006E26EF"/>
    <w:rsid w:val="006E2716"/>
    <w:rsid w:val="006E29AB"/>
    <w:rsid w:val="006E2B68"/>
    <w:rsid w:val="006E2D1C"/>
    <w:rsid w:val="006E2DFB"/>
    <w:rsid w:val="006E2EAF"/>
    <w:rsid w:val="006E2F6A"/>
    <w:rsid w:val="006E30A9"/>
    <w:rsid w:val="006E31A8"/>
    <w:rsid w:val="006E31C7"/>
    <w:rsid w:val="006E3780"/>
    <w:rsid w:val="006E3867"/>
    <w:rsid w:val="006E3CEE"/>
    <w:rsid w:val="006E3D56"/>
    <w:rsid w:val="006E3D9A"/>
    <w:rsid w:val="006E3DE3"/>
    <w:rsid w:val="006E3F07"/>
    <w:rsid w:val="006E3F5D"/>
    <w:rsid w:val="006E41B4"/>
    <w:rsid w:val="006E42C1"/>
    <w:rsid w:val="006E44E2"/>
    <w:rsid w:val="006E4721"/>
    <w:rsid w:val="006E49BC"/>
    <w:rsid w:val="006E4C69"/>
    <w:rsid w:val="006E4C7E"/>
    <w:rsid w:val="006E4CD3"/>
    <w:rsid w:val="006E4D8B"/>
    <w:rsid w:val="006E4FC5"/>
    <w:rsid w:val="006E597D"/>
    <w:rsid w:val="006E59F1"/>
    <w:rsid w:val="006E5B32"/>
    <w:rsid w:val="006E5BA1"/>
    <w:rsid w:val="006E5C46"/>
    <w:rsid w:val="006E63CE"/>
    <w:rsid w:val="006E66BF"/>
    <w:rsid w:val="006E674A"/>
    <w:rsid w:val="006E68E8"/>
    <w:rsid w:val="006E6957"/>
    <w:rsid w:val="006E6EC6"/>
    <w:rsid w:val="006E6FA4"/>
    <w:rsid w:val="006E6FD2"/>
    <w:rsid w:val="006E708E"/>
    <w:rsid w:val="006E718E"/>
    <w:rsid w:val="006E72F8"/>
    <w:rsid w:val="006E76E2"/>
    <w:rsid w:val="006E7729"/>
    <w:rsid w:val="006E7B68"/>
    <w:rsid w:val="006E7B7C"/>
    <w:rsid w:val="006E7B93"/>
    <w:rsid w:val="006E7D5E"/>
    <w:rsid w:val="006F01F3"/>
    <w:rsid w:val="006F0526"/>
    <w:rsid w:val="006F076A"/>
    <w:rsid w:val="006F0AA1"/>
    <w:rsid w:val="006F0AD8"/>
    <w:rsid w:val="006F0BF7"/>
    <w:rsid w:val="006F0C3D"/>
    <w:rsid w:val="006F1247"/>
    <w:rsid w:val="006F19F3"/>
    <w:rsid w:val="006F1B28"/>
    <w:rsid w:val="006F1F80"/>
    <w:rsid w:val="006F2420"/>
    <w:rsid w:val="006F247E"/>
    <w:rsid w:val="006F25EF"/>
    <w:rsid w:val="006F26DD"/>
    <w:rsid w:val="006F274F"/>
    <w:rsid w:val="006F2873"/>
    <w:rsid w:val="006F2E30"/>
    <w:rsid w:val="006F305B"/>
    <w:rsid w:val="006F30DD"/>
    <w:rsid w:val="006F3115"/>
    <w:rsid w:val="006F38EC"/>
    <w:rsid w:val="006F393D"/>
    <w:rsid w:val="006F3CAF"/>
    <w:rsid w:val="006F408F"/>
    <w:rsid w:val="006F41C7"/>
    <w:rsid w:val="006F46BB"/>
    <w:rsid w:val="006F479A"/>
    <w:rsid w:val="006F50F1"/>
    <w:rsid w:val="006F523A"/>
    <w:rsid w:val="006F54AB"/>
    <w:rsid w:val="006F56D5"/>
    <w:rsid w:val="006F5871"/>
    <w:rsid w:val="006F593F"/>
    <w:rsid w:val="006F59F5"/>
    <w:rsid w:val="006F5B8A"/>
    <w:rsid w:val="006F5BE7"/>
    <w:rsid w:val="006F5C75"/>
    <w:rsid w:val="006F5D70"/>
    <w:rsid w:val="006F5DCB"/>
    <w:rsid w:val="006F622E"/>
    <w:rsid w:val="006F69EF"/>
    <w:rsid w:val="006F6A27"/>
    <w:rsid w:val="006F6C59"/>
    <w:rsid w:val="006F6DA6"/>
    <w:rsid w:val="006F71D0"/>
    <w:rsid w:val="006F7216"/>
    <w:rsid w:val="006F73F5"/>
    <w:rsid w:val="006F74EA"/>
    <w:rsid w:val="006F7592"/>
    <w:rsid w:val="006F7A32"/>
    <w:rsid w:val="006F7DB2"/>
    <w:rsid w:val="007001DB"/>
    <w:rsid w:val="007006DB"/>
    <w:rsid w:val="00700943"/>
    <w:rsid w:val="007009AD"/>
    <w:rsid w:val="00700C71"/>
    <w:rsid w:val="00700E41"/>
    <w:rsid w:val="00700FA4"/>
    <w:rsid w:val="00701C3B"/>
    <w:rsid w:val="0070203A"/>
    <w:rsid w:val="007020EE"/>
    <w:rsid w:val="00702237"/>
    <w:rsid w:val="0070225F"/>
    <w:rsid w:val="0070229C"/>
    <w:rsid w:val="00702335"/>
    <w:rsid w:val="00702E6D"/>
    <w:rsid w:val="00703190"/>
    <w:rsid w:val="00703421"/>
    <w:rsid w:val="007036A2"/>
    <w:rsid w:val="007038C8"/>
    <w:rsid w:val="00703924"/>
    <w:rsid w:val="00703948"/>
    <w:rsid w:val="007039BC"/>
    <w:rsid w:val="00703F78"/>
    <w:rsid w:val="00704636"/>
    <w:rsid w:val="00704680"/>
    <w:rsid w:val="007046B4"/>
    <w:rsid w:val="00704788"/>
    <w:rsid w:val="0070481D"/>
    <w:rsid w:val="00704B76"/>
    <w:rsid w:val="00704D81"/>
    <w:rsid w:val="007052CF"/>
    <w:rsid w:val="007058D0"/>
    <w:rsid w:val="00705B2A"/>
    <w:rsid w:val="00705D8D"/>
    <w:rsid w:val="00705E75"/>
    <w:rsid w:val="00705F12"/>
    <w:rsid w:val="0070612C"/>
    <w:rsid w:val="007061AD"/>
    <w:rsid w:val="00706200"/>
    <w:rsid w:val="00706270"/>
    <w:rsid w:val="00706280"/>
    <w:rsid w:val="0070633B"/>
    <w:rsid w:val="007064F6"/>
    <w:rsid w:val="0070671D"/>
    <w:rsid w:val="00706910"/>
    <w:rsid w:val="00706E13"/>
    <w:rsid w:val="00706E59"/>
    <w:rsid w:val="00707041"/>
    <w:rsid w:val="007075E2"/>
    <w:rsid w:val="0070778C"/>
    <w:rsid w:val="00707859"/>
    <w:rsid w:val="00707B4A"/>
    <w:rsid w:val="00707E13"/>
    <w:rsid w:val="00707F30"/>
    <w:rsid w:val="00710549"/>
    <w:rsid w:val="007105AF"/>
    <w:rsid w:val="007112A0"/>
    <w:rsid w:val="00711467"/>
    <w:rsid w:val="007115A5"/>
    <w:rsid w:val="00711683"/>
    <w:rsid w:val="007116F8"/>
    <w:rsid w:val="00711A6C"/>
    <w:rsid w:val="00711DEF"/>
    <w:rsid w:val="007120A5"/>
    <w:rsid w:val="007121F9"/>
    <w:rsid w:val="00712490"/>
    <w:rsid w:val="00712EE2"/>
    <w:rsid w:val="0071309A"/>
    <w:rsid w:val="007133C9"/>
    <w:rsid w:val="007135F3"/>
    <w:rsid w:val="00713CEE"/>
    <w:rsid w:val="00713D1C"/>
    <w:rsid w:val="0071417D"/>
    <w:rsid w:val="00714298"/>
    <w:rsid w:val="007144E7"/>
    <w:rsid w:val="0071458F"/>
    <w:rsid w:val="00714690"/>
    <w:rsid w:val="007147BF"/>
    <w:rsid w:val="00714B5A"/>
    <w:rsid w:val="00715241"/>
    <w:rsid w:val="007153A9"/>
    <w:rsid w:val="00715604"/>
    <w:rsid w:val="0071577A"/>
    <w:rsid w:val="00715B0C"/>
    <w:rsid w:val="00715BDD"/>
    <w:rsid w:val="00715BE8"/>
    <w:rsid w:val="00715CF0"/>
    <w:rsid w:val="00715F74"/>
    <w:rsid w:val="00715FF7"/>
    <w:rsid w:val="007160A3"/>
    <w:rsid w:val="00716881"/>
    <w:rsid w:val="00716A2C"/>
    <w:rsid w:val="00716B6B"/>
    <w:rsid w:val="00716E18"/>
    <w:rsid w:val="007171EE"/>
    <w:rsid w:val="00717315"/>
    <w:rsid w:val="00717FBA"/>
    <w:rsid w:val="00720136"/>
    <w:rsid w:val="007205FE"/>
    <w:rsid w:val="00720875"/>
    <w:rsid w:val="00720ABA"/>
    <w:rsid w:val="00720AD8"/>
    <w:rsid w:val="00720BCE"/>
    <w:rsid w:val="00720E40"/>
    <w:rsid w:val="00721144"/>
    <w:rsid w:val="00721630"/>
    <w:rsid w:val="00721673"/>
    <w:rsid w:val="0072186A"/>
    <w:rsid w:val="0072187A"/>
    <w:rsid w:val="00721C5F"/>
    <w:rsid w:val="00721CB2"/>
    <w:rsid w:val="00721DB2"/>
    <w:rsid w:val="00721DDC"/>
    <w:rsid w:val="00721F0C"/>
    <w:rsid w:val="00721FB0"/>
    <w:rsid w:val="007220D0"/>
    <w:rsid w:val="0072292A"/>
    <w:rsid w:val="00722BB2"/>
    <w:rsid w:val="00722E0B"/>
    <w:rsid w:val="00722ECC"/>
    <w:rsid w:val="007230DC"/>
    <w:rsid w:val="00723157"/>
    <w:rsid w:val="00723230"/>
    <w:rsid w:val="0072329E"/>
    <w:rsid w:val="00723416"/>
    <w:rsid w:val="007234F4"/>
    <w:rsid w:val="007235A3"/>
    <w:rsid w:val="007237FB"/>
    <w:rsid w:val="00723B99"/>
    <w:rsid w:val="00723DB2"/>
    <w:rsid w:val="00723E19"/>
    <w:rsid w:val="007240B7"/>
    <w:rsid w:val="007240CE"/>
    <w:rsid w:val="00724133"/>
    <w:rsid w:val="007248C2"/>
    <w:rsid w:val="00724C1E"/>
    <w:rsid w:val="00724C58"/>
    <w:rsid w:val="00724C60"/>
    <w:rsid w:val="0072536B"/>
    <w:rsid w:val="007253BD"/>
    <w:rsid w:val="00725436"/>
    <w:rsid w:val="00725496"/>
    <w:rsid w:val="007254E1"/>
    <w:rsid w:val="00725604"/>
    <w:rsid w:val="00725B16"/>
    <w:rsid w:val="00725B90"/>
    <w:rsid w:val="00725C4C"/>
    <w:rsid w:val="00725FF3"/>
    <w:rsid w:val="0072616A"/>
    <w:rsid w:val="007262AC"/>
    <w:rsid w:val="007262FB"/>
    <w:rsid w:val="007267B4"/>
    <w:rsid w:val="007267DA"/>
    <w:rsid w:val="00726934"/>
    <w:rsid w:val="00726BB7"/>
    <w:rsid w:val="00726C33"/>
    <w:rsid w:val="00726DA8"/>
    <w:rsid w:val="00726E9A"/>
    <w:rsid w:val="007270C3"/>
    <w:rsid w:val="0072760F"/>
    <w:rsid w:val="00727632"/>
    <w:rsid w:val="00727788"/>
    <w:rsid w:val="007279CD"/>
    <w:rsid w:val="00727ECC"/>
    <w:rsid w:val="007300F1"/>
    <w:rsid w:val="0073031C"/>
    <w:rsid w:val="00730715"/>
    <w:rsid w:val="0073074C"/>
    <w:rsid w:val="0073096F"/>
    <w:rsid w:val="00730A9B"/>
    <w:rsid w:val="00730B08"/>
    <w:rsid w:val="0073172A"/>
    <w:rsid w:val="00731AF6"/>
    <w:rsid w:val="00731BC2"/>
    <w:rsid w:val="00731CFF"/>
    <w:rsid w:val="00731F72"/>
    <w:rsid w:val="00731F8E"/>
    <w:rsid w:val="00732196"/>
    <w:rsid w:val="0073253D"/>
    <w:rsid w:val="0073258D"/>
    <w:rsid w:val="007328A5"/>
    <w:rsid w:val="00732AD5"/>
    <w:rsid w:val="00732C2E"/>
    <w:rsid w:val="00732DE2"/>
    <w:rsid w:val="00733038"/>
    <w:rsid w:val="0073305C"/>
    <w:rsid w:val="007330BA"/>
    <w:rsid w:val="0073323F"/>
    <w:rsid w:val="0073383B"/>
    <w:rsid w:val="00733B1C"/>
    <w:rsid w:val="00733CE4"/>
    <w:rsid w:val="00733EE7"/>
    <w:rsid w:val="00733F14"/>
    <w:rsid w:val="00733FC0"/>
    <w:rsid w:val="007340D8"/>
    <w:rsid w:val="0073432F"/>
    <w:rsid w:val="007344D2"/>
    <w:rsid w:val="00734560"/>
    <w:rsid w:val="00734571"/>
    <w:rsid w:val="007348AC"/>
    <w:rsid w:val="00734AAA"/>
    <w:rsid w:val="00734AE6"/>
    <w:rsid w:val="00734BC2"/>
    <w:rsid w:val="00734CDA"/>
    <w:rsid w:val="00734EF0"/>
    <w:rsid w:val="00735594"/>
    <w:rsid w:val="0073593B"/>
    <w:rsid w:val="00735972"/>
    <w:rsid w:val="007359CF"/>
    <w:rsid w:val="00735A4E"/>
    <w:rsid w:val="00735ADE"/>
    <w:rsid w:val="00735C5C"/>
    <w:rsid w:val="00735DAD"/>
    <w:rsid w:val="00735FA2"/>
    <w:rsid w:val="00735FC3"/>
    <w:rsid w:val="007360E9"/>
    <w:rsid w:val="00736876"/>
    <w:rsid w:val="00736BA7"/>
    <w:rsid w:val="00736CC5"/>
    <w:rsid w:val="00736FAC"/>
    <w:rsid w:val="00736FF5"/>
    <w:rsid w:val="00737073"/>
    <w:rsid w:val="00737166"/>
    <w:rsid w:val="00737338"/>
    <w:rsid w:val="007375BC"/>
    <w:rsid w:val="00737F54"/>
    <w:rsid w:val="00740062"/>
    <w:rsid w:val="0074006A"/>
    <w:rsid w:val="00740451"/>
    <w:rsid w:val="00740825"/>
    <w:rsid w:val="007408F6"/>
    <w:rsid w:val="00740CC8"/>
    <w:rsid w:val="00740D6F"/>
    <w:rsid w:val="00740FC9"/>
    <w:rsid w:val="007410B6"/>
    <w:rsid w:val="007410E5"/>
    <w:rsid w:val="007410F8"/>
    <w:rsid w:val="007413DE"/>
    <w:rsid w:val="0074155C"/>
    <w:rsid w:val="0074175A"/>
    <w:rsid w:val="007417AE"/>
    <w:rsid w:val="00741941"/>
    <w:rsid w:val="00741FA6"/>
    <w:rsid w:val="0074242F"/>
    <w:rsid w:val="0074255C"/>
    <w:rsid w:val="00742595"/>
    <w:rsid w:val="0074270F"/>
    <w:rsid w:val="007428DF"/>
    <w:rsid w:val="0074290C"/>
    <w:rsid w:val="00742A7D"/>
    <w:rsid w:val="00742B24"/>
    <w:rsid w:val="00742BAD"/>
    <w:rsid w:val="00742DF7"/>
    <w:rsid w:val="00742F58"/>
    <w:rsid w:val="00742F83"/>
    <w:rsid w:val="00743157"/>
    <w:rsid w:val="007431D4"/>
    <w:rsid w:val="00743373"/>
    <w:rsid w:val="007435A0"/>
    <w:rsid w:val="0074370F"/>
    <w:rsid w:val="00743922"/>
    <w:rsid w:val="00743E1C"/>
    <w:rsid w:val="0074414E"/>
    <w:rsid w:val="00744190"/>
    <w:rsid w:val="0074427C"/>
    <w:rsid w:val="0074452D"/>
    <w:rsid w:val="00744731"/>
    <w:rsid w:val="00744924"/>
    <w:rsid w:val="007454E0"/>
    <w:rsid w:val="0074553E"/>
    <w:rsid w:val="007455B5"/>
    <w:rsid w:val="007457E7"/>
    <w:rsid w:val="007457F2"/>
    <w:rsid w:val="007459AF"/>
    <w:rsid w:val="00745CDF"/>
    <w:rsid w:val="00746034"/>
    <w:rsid w:val="00746209"/>
    <w:rsid w:val="00746296"/>
    <w:rsid w:val="007467EF"/>
    <w:rsid w:val="00746A2C"/>
    <w:rsid w:val="00746A46"/>
    <w:rsid w:val="0074706D"/>
    <w:rsid w:val="0074769F"/>
    <w:rsid w:val="0074797F"/>
    <w:rsid w:val="00747CBC"/>
    <w:rsid w:val="00747F0F"/>
    <w:rsid w:val="00747FFE"/>
    <w:rsid w:val="007500A7"/>
    <w:rsid w:val="007500B0"/>
    <w:rsid w:val="00750347"/>
    <w:rsid w:val="00750365"/>
    <w:rsid w:val="007506B7"/>
    <w:rsid w:val="00750874"/>
    <w:rsid w:val="007508BD"/>
    <w:rsid w:val="007509B7"/>
    <w:rsid w:val="007509DD"/>
    <w:rsid w:val="00750A09"/>
    <w:rsid w:val="00750B2A"/>
    <w:rsid w:val="00750E52"/>
    <w:rsid w:val="00751569"/>
    <w:rsid w:val="0075183E"/>
    <w:rsid w:val="007519BF"/>
    <w:rsid w:val="00751D82"/>
    <w:rsid w:val="00751DAA"/>
    <w:rsid w:val="00751E7F"/>
    <w:rsid w:val="00751ECA"/>
    <w:rsid w:val="00751F13"/>
    <w:rsid w:val="007521D3"/>
    <w:rsid w:val="0075237A"/>
    <w:rsid w:val="00752513"/>
    <w:rsid w:val="007526CC"/>
    <w:rsid w:val="00752AEF"/>
    <w:rsid w:val="00752AFA"/>
    <w:rsid w:val="00753035"/>
    <w:rsid w:val="00753474"/>
    <w:rsid w:val="00753B1C"/>
    <w:rsid w:val="00753CB8"/>
    <w:rsid w:val="00754123"/>
    <w:rsid w:val="0075456D"/>
    <w:rsid w:val="0075457B"/>
    <w:rsid w:val="007545D9"/>
    <w:rsid w:val="007547C3"/>
    <w:rsid w:val="007549CD"/>
    <w:rsid w:val="00754DB8"/>
    <w:rsid w:val="0075564E"/>
    <w:rsid w:val="00755781"/>
    <w:rsid w:val="00755858"/>
    <w:rsid w:val="00755C40"/>
    <w:rsid w:val="00755CFC"/>
    <w:rsid w:val="00755D3E"/>
    <w:rsid w:val="00755EFE"/>
    <w:rsid w:val="00755FA4"/>
    <w:rsid w:val="007564E9"/>
    <w:rsid w:val="0075650E"/>
    <w:rsid w:val="007565DE"/>
    <w:rsid w:val="007569B1"/>
    <w:rsid w:val="00757006"/>
    <w:rsid w:val="007575A9"/>
    <w:rsid w:val="007576C2"/>
    <w:rsid w:val="007576F0"/>
    <w:rsid w:val="00757762"/>
    <w:rsid w:val="007579C6"/>
    <w:rsid w:val="00757AEE"/>
    <w:rsid w:val="00757BA1"/>
    <w:rsid w:val="00757C97"/>
    <w:rsid w:val="007600FF"/>
    <w:rsid w:val="007602E5"/>
    <w:rsid w:val="00760F87"/>
    <w:rsid w:val="007612E8"/>
    <w:rsid w:val="007619BD"/>
    <w:rsid w:val="00761A81"/>
    <w:rsid w:val="00761B63"/>
    <w:rsid w:val="00761F2B"/>
    <w:rsid w:val="007620B2"/>
    <w:rsid w:val="007627B4"/>
    <w:rsid w:val="00762A6D"/>
    <w:rsid w:val="00762EF1"/>
    <w:rsid w:val="00763047"/>
    <w:rsid w:val="0076313B"/>
    <w:rsid w:val="007634A8"/>
    <w:rsid w:val="00763777"/>
    <w:rsid w:val="007637C8"/>
    <w:rsid w:val="00763C30"/>
    <w:rsid w:val="00763D0D"/>
    <w:rsid w:val="007641CD"/>
    <w:rsid w:val="0076472A"/>
    <w:rsid w:val="007649E1"/>
    <w:rsid w:val="00764A8F"/>
    <w:rsid w:val="00764D61"/>
    <w:rsid w:val="00764D9A"/>
    <w:rsid w:val="00764E2C"/>
    <w:rsid w:val="00764F6F"/>
    <w:rsid w:val="0076503C"/>
    <w:rsid w:val="007651DE"/>
    <w:rsid w:val="007655A4"/>
    <w:rsid w:val="0076563B"/>
    <w:rsid w:val="007656F5"/>
    <w:rsid w:val="00765A8E"/>
    <w:rsid w:val="0076606C"/>
    <w:rsid w:val="007662E6"/>
    <w:rsid w:val="007662FC"/>
    <w:rsid w:val="0076639D"/>
    <w:rsid w:val="00766C21"/>
    <w:rsid w:val="00766F12"/>
    <w:rsid w:val="0076737D"/>
    <w:rsid w:val="007674DE"/>
    <w:rsid w:val="007676D8"/>
    <w:rsid w:val="0076780C"/>
    <w:rsid w:val="00767C58"/>
    <w:rsid w:val="00767D6E"/>
    <w:rsid w:val="00767FA4"/>
    <w:rsid w:val="00767FB5"/>
    <w:rsid w:val="00770025"/>
    <w:rsid w:val="007700AD"/>
    <w:rsid w:val="00770429"/>
    <w:rsid w:val="00770750"/>
    <w:rsid w:val="00770A82"/>
    <w:rsid w:val="00770A99"/>
    <w:rsid w:val="00770C2A"/>
    <w:rsid w:val="00770CDE"/>
    <w:rsid w:val="00770D56"/>
    <w:rsid w:val="00770DA3"/>
    <w:rsid w:val="0077105F"/>
    <w:rsid w:val="007711F3"/>
    <w:rsid w:val="007713C1"/>
    <w:rsid w:val="00771529"/>
    <w:rsid w:val="0077174E"/>
    <w:rsid w:val="00771776"/>
    <w:rsid w:val="0077187E"/>
    <w:rsid w:val="007719F8"/>
    <w:rsid w:val="00771A96"/>
    <w:rsid w:val="00771B77"/>
    <w:rsid w:val="00771FC5"/>
    <w:rsid w:val="00771FCB"/>
    <w:rsid w:val="007722EE"/>
    <w:rsid w:val="007728F5"/>
    <w:rsid w:val="00772944"/>
    <w:rsid w:val="00772C34"/>
    <w:rsid w:val="007732C0"/>
    <w:rsid w:val="007733BF"/>
    <w:rsid w:val="00773654"/>
    <w:rsid w:val="007736FC"/>
    <w:rsid w:val="00773788"/>
    <w:rsid w:val="00773908"/>
    <w:rsid w:val="00773B9C"/>
    <w:rsid w:val="00773BEC"/>
    <w:rsid w:val="007741FA"/>
    <w:rsid w:val="00774362"/>
    <w:rsid w:val="0077444B"/>
    <w:rsid w:val="007745DD"/>
    <w:rsid w:val="007747AD"/>
    <w:rsid w:val="00774A38"/>
    <w:rsid w:val="007751A5"/>
    <w:rsid w:val="0077526C"/>
    <w:rsid w:val="0077530E"/>
    <w:rsid w:val="00775682"/>
    <w:rsid w:val="007757BE"/>
    <w:rsid w:val="007759D8"/>
    <w:rsid w:val="00775BB3"/>
    <w:rsid w:val="00775D22"/>
    <w:rsid w:val="00775F56"/>
    <w:rsid w:val="00775FBC"/>
    <w:rsid w:val="00775FFD"/>
    <w:rsid w:val="0077603B"/>
    <w:rsid w:val="00776401"/>
    <w:rsid w:val="00776703"/>
    <w:rsid w:val="00776745"/>
    <w:rsid w:val="00776AB3"/>
    <w:rsid w:val="00776EE0"/>
    <w:rsid w:val="00776EFA"/>
    <w:rsid w:val="007770B6"/>
    <w:rsid w:val="007770DA"/>
    <w:rsid w:val="0077714C"/>
    <w:rsid w:val="00777249"/>
    <w:rsid w:val="007775B8"/>
    <w:rsid w:val="0077765F"/>
    <w:rsid w:val="00777BDF"/>
    <w:rsid w:val="00777E53"/>
    <w:rsid w:val="00777FED"/>
    <w:rsid w:val="0078030E"/>
    <w:rsid w:val="007805D5"/>
    <w:rsid w:val="00780655"/>
    <w:rsid w:val="007809C3"/>
    <w:rsid w:val="00780AAF"/>
    <w:rsid w:val="00780BF9"/>
    <w:rsid w:val="00780C57"/>
    <w:rsid w:val="00780F6B"/>
    <w:rsid w:val="00780F89"/>
    <w:rsid w:val="00780F96"/>
    <w:rsid w:val="00781190"/>
    <w:rsid w:val="0078137D"/>
    <w:rsid w:val="00781434"/>
    <w:rsid w:val="00781561"/>
    <w:rsid w:val="0078168D"/>
    <w:rsid w:val="00781A14"/>
    <w:rsid w:val="00781F99"/>
    <w:rsid w:val="007820A6"/>
    <w:rsid w:val="007820F8"/>
    <w:rsid w:val="007821A4"/>
    <w:rsid w:val="007821E8"/>
    <w:rsid w:val="0078245D"/>
    <w:rsid w:val="00782680"/>
    <w:rsid w:val="00782797"/>
    <w:rsid w:val="00782A49"/>
    <w:rsid w:val="00782AA7"/>
    <w:rsid w:val="00782BC7"/>
    <w:rsid w:val="00782E14"/>
    <w:rsid w:val="00783233"/>
    <w:rsid w:val="007834EF"/>
    <w:rsid w:val="00783772"/>
    <w:rsid w:val="007837A3"/>
    <w:rsid w:val="007838ED"/>
    <w:rsid w:val="00783AE2"/>
    <w:rsid w:val="00783B74"/>
    <w:rsid w:val="00783C9F"/>
    <w:rsid w:val="00783FB1"/>
    <w:rsid w:val="00784357"/>
    <w:rsid w:val="00784AD6"/>
    <w:rsid w:val="00784C71"/>
    <w:rsid w:val="00784EDE"/>
    <w:rsid w:val="007850A1"/>
    <w:rsid w:val="007850D6"/>
    <w:rsid w:val="00785327"/>
    <w:rsid w:val="00785993"/>
    <w:rsid w:val="00785A22"/>
    <w:rsid w:val="00785FC8"/>
    <w:rsid w:val="007860B1"/>
    <w:rsid w:val="007861FC"/>
    <w:rsid w:val="007864F6"/>
    <w:rsid w:val="007866AB"/>
    <w:rsid w:val="00786890"/>
    <w:rsid w:val="007868EB"/>
    <w:rsid w:val="00786A48"/>
    <w:rsid w:val="00786AF7"/>
    <w:rsid w:val="00786E05"/>
    <w:rsid w:val="0078714E"/>
    <w:rsid w:val="007871B8"/>
    <w:rsid w:val="00787494"/>
    <w:rsid w:val="00787501"/>
    <w:rsid w:val="0078762C"/>
    <w:rsid w:val="007876E9"/>
    <w:rsid w:val="0078785E"/>
    <w:rsid w:val="00787A97"/>
    <w:rsid w:val="00787F9A"/>
    <w:rsid w:val="0079033B"/>
    <w:rsid w:val="00790470"/>
    <w:rsid w:val="00790698"/>
    <w:rsid w:val="007906DB"/>
    <w:rsid w:val="007906DC"/>
    <w:rsid w:val="00790D86"/>
    <w:rsid w:val="00790E57"/>
    <w:rsid w:val="00790EC7"/>
    <w:rsid w:val="00790ECA"/>
    <w:rsid w:val="0079107D"/>
    <w:rsid w:val="0079107E"/>
    <w:rsid w:val="00791377"/>
    <w:rsid w:val="00791400"/>
    <w:rsid w:val="007914DA"/>
    <w:rsid w:val="00791806"/>
    <w:rsid w:val="00791879"/>
    <w:rsid w:val="00791A0E"/>
    <w:rsid w:val="00791B48"/>
    <w:rsid w:val="00791F07"/>
    <w:rsid w:val="007920F2"/>
    <w:rsid w:val="007921AC"/>
    <w:rsid w:val="0079239A"/>
    <w:rsid w:val="0079253B"/>
    <w:rsid w:val="007925E4"/>
    <w:rsid w:val="0079261F"/>
    <w:rsid w:val="00792BB8"/>
    <w:rsid w:val="00792BEA"/>
    <w:rsid w:val="00792CAD"/>
    <w:rsid w:val="00792F1C"/>
    <w:rsid w:val="00793030"/>
    <w:rsid w:val="007932BE"/>
    <w:rsid w:val="0079340E"/>
    <w:rsid w:val="007937E1"/>
    <w:rsid w:val="00793C8F"/>
    <w:rsid w:val="0079402C"/>
    <w:rsid w:val="0079407C"/>
    <w:rsid w:val="00794143"/>
    <w:rsid w:val="007942D2"/>
    <w:rsid w:val="007946FB"/>
    <w:rsid w:val="00795377"/>
    <w:rsid w:val="0079548F"/>
    <w:rsid w:val="00795627"/>
    <w:rsid w:val="00795722"/>
    <w:rsid w:val="007957B1"/>
    <w:rsid w:val="00795829"/>
    <w:rsid w:val="00795A12"/>
    <w:rsid w:val="00795A3D"/>
    <w:rsid w:val="00795A3E"/>
    <w:rsid w:val="00796020"/>
    <w:rsid w:val="007964F1"/>
    <w:rsid w:val="00796707"/>
    <w:rsid w:val="00796992"/>
    <w:rsid w:val="00796A51"/>
    <w:rsid w:val="00796C4F"/>
    <w:rsid w:val="00796CA0"/>
    <w:rsid w:val="00796E31"/>
    <w:rsid w:val="00797591"/>
    <w:rsid w:val="0079776D"/>
    <w:rsid w:val="0079786C"/>
    <w:rsid w:val="00797D6B"/>
    <w:rsid w:val="007A0299"/>
    <w:rsid w:val="007A064C"/>
    <w:rsid w:val="007A156E"/>
    <w:rsid w:val="007A17F3"/>
    <w:rsid w:val="007A1D0B"/>
    <w:rsid w:val="007A1DE4"/>
    <w:rsid w:val="007A2449"/>
    <w:rsid w:val="007A29BD"/>
    <w:rsid w:val="007A29CC"/>
    <w:rsid w:val="007A29F2"/>
    <w:rsid w:val="007A2A04"/>
    <w:rsid w:val="007A2A31"/>
    <w:rsid w:val="007A2AE6"/>
    <w:rsid w:val="007A2B31"/>
    <w:rsid w:val="007A2B39"/>
    <w:rsid w:val="007A2C2B"/>
    <w:rsid w:val="007A2D8E"/>
    <w:rsid w:val="007A3018"/>
    <w:rsid w:val="007A317B"/>
    <w:rsid w:val="007A31F2"/>
    <w:rsid w:val="007A3317"/>
    <w:rsid w:val="007A336F"/>
    <w:rsid w:val="007A363F"/>
    <w:rsid w:val="007A394E"/>
    <w:rsid w:val="007A3AB5"/>
    <w:rsid w:val="007A3AD6"/>
    <w:rsid w:val="007A3E9E"/>
    <w:rsid w:val="007A45BC"/>
    <w:rsid w:val="007A4787"/>
    <w:rsid w:val="007A49CF"/>
    <w:rsid w:val="007A4C50"/>
    <w:rsid w:val="007A4EB4"/>
    <w:rsid w:val="007A4FB2"/>
    <w:rsid w:val="007A526D"/>
    <w:rsid w:val="007A555F"/>
    <w:rsid w:val="007A55AA"/>
    <w:rsid w:val="007A5677"/>
    <w:rsid w:val="007A59AC"/>
    <w:rsid w:val="007A5BB0"/>
    <w:rsid w:val="007A5BB9"/>
    <w:rsid w:val="007A5CFE"/>
    <w:rsid w:val="007A5D06"/>
    <w:rsid w:val="007A5EB7"/>
    <w:rsid w:val="007A61FF"/>
    <w:rsid w:val="007A63C5"/>
    <w:rsid w:val="007A64EB"/>
    <w:rsid w:val="007A66E3"/>
    <w:rsid w:val="007A68E4"/>
    <w:rsid w:val="007A6C82"/>
    <w:rsid w:val="007A7399"/>
    <w:rsid w:val="007A768F"/>
    <w:rsid w:val="007A76A1"/>
    <w:rsid w:val="007A788F"/>
    <w:rsid w:val="007A7DED"/>
    <w:rsid w:val="007B021B"/>
    <w:rsid w:val="007B08DA"/>
    <w:rsid w:val="007B0AED"/>
    <w:rsid w:val="007B0B9F"/>
    <w:rsid w:val="007B0BC8"/>
    <w:rsid w:val="007B0F25"/>
    <w:rsid w:val="007B105B"/>
    <w:rsid w:val="007B1234"/>
    <w:rsid w:val="007B1275"/>
    <w:rsid w:val="007B1875"/>
    <w:rsid w:val="007B1999"/>
    <w:rsid w:val="007B19C0"/>
    <w:rsid w:val="007B1BB8"/>
    <w:rsid w:val="007B1C60"/>
    <w:rsid w:val="007B20B3"/>
    <w:rsid w:val="007B22A0"/>
    <w:rsid w:val="007B238F"/>
    <w:rsid w:val="007B23FE"/>
    <w:rsid w:val="007B2412"/>
    <w:rsid w:val="007B25D0"/>
    <w:rsid w:val="007B2C55"/>
    <w:rsid w:val="007B2CB9"/>
    <w:rsid w:val="007B3169"/>
    <w:rsid w:val="007B3291"/>
    <w:rsid w:val="007B3339"/>
    <w:rsid w:val="007B3720"/>
    <w:rsid w:val="007B37C0"/>
    <w:rsid w:val="007B38B4"/>
    <w:rsid w:val="007B38CD"/>
    <w:rsid w:val="007B3E00"/>
    <w:rsid w:val="007B42FC"/>
    <w:rsid w:val="007B465B"/>
    <w:rsid w:val="007B499F"/>
    <w:rsid w:val="007B4BD7"/>
    <w:rsid w:val="007B53E0"/>
    <w:rsid w:val="007B5477"/>
    <w:rsid w:val="007B55FC"/>
    <w:rsid w:val="007B572C"/>
    <w:rsid w:val="007B57C3"/>
    <w:rsid w:val="007B5CD1"/>
    <w:rsid w:val="007B5DD6"/>
    <w:rsid w:val="007B5E05"/>
    <w:rsid w:val="007B5E78"/>
    <w:rsid w:val="007B5F58"/>
    <w:rsid w:val="007B6014"/>
    <w:rsid w:val="007B6067"/>
    <w:rsid w:val="007B62D1"/>
    <w:rsid w:val="007B63BE"/>
    <w:rsid w:val="007B63C0"/>
    <w:rsid w:val="007B669D"/>
    <w:rsid w:val="007B66E6"/>
    <w:rsid w:val="007B6807"/>
    <w:rsid w:val="007B7013"/>
    <w:rsid w:val="007B701F"/>
    <w:rsid w:val="007B71F4"/>
    <w:rsid w:val="007B73DC"/>
    <w:rsid w:val="007B754A"/>
    <w:rsid w:val="007B7843"/>
    <w:rsid w:val="007B7B0D"/>
    <w:rsid w:val="007B7F65"/>
    <w:rsid w:val="007B7FF1"/>
    <w:rsid w:val="007C02BB"/>
    <w:rsid w:val="007C0341"/>
    <w:rsid w:val="007C0515"/>
    <w:rsid w:val="007C085E"/>
    <w:rsid w:val="007C08BB"/>
    <w:rsid w:val="007C0ACE"/>
    <w:rsid w:val="007C0C5E"/>
    <w:rsid w:val="007C0C8B"/>
    <w:rsid w:val="007C0E69"/>
    <w:rsid w:val="007C12AE"/>
    <w:rsid w:val="007C15AE"/>
    <w:rsid w:val="007C1660"/>
    <w:rsid w:val="007C1A25"/>
    <w:rsid w:val="007C1AAE"/>
    <w:rsid w:val="007C1B31"/>
    <w:rsid w:val="007C1B83"/>
    <w:rsid w:val="007C1BD5"/>
    <w:rsid w:val="007C1BE1"/>
    <w:rsid w:val="007C2064"/>
    <w:rsid w:val="007C245D"/>
    <w:rsid w:val="007C24D5"/>
    <w:rsid w:val="007C255D"/>
    <w:rsid w:val="007C25BD"/>
    <w:rsid w:val="007C26AE"/>
    <w:rsid w:val="007C2946"/>
    <w:rsid w:val="007C3178"/>
    <w:rsid w:val="007C3945"/>
    <w:rsid w:val="007C3BC5"/>
    <w:rsid w:val="007C3C99"/>
    <w:rsid w:val="007C3DC2"/>
    <w:rsid w:val="007C3DF6"/>
    <w:rsid w:val="007C4017"/>
    <w:rsid w:val="007C40A8"/>
    <w:rsid w:val="007C4137"/>
    <w:rsid w:val="007C41C0"/>
    <w:rsid w:val="007C4C51"/>
    <w:rsid w:val="007C53E0"/>
    <w:rsid w:val="007C5406"/>
    <w:rsid w:val="007C5591"/>
    <w:rsid w:val="007C5620"/>
    <w:rsid w:val="007C59BF"/>
    <w:rsid w:val="007C5E75"/>
    <w:rsid w:val="007C61FA"/>
    <w:rsid w:val="007C6261"/>
    <w:rsid w:val="007C6352"/>
    <w:rsid w:val="007C67D2"/>
    <w:rsid w:val="007C6835"/>
    <w:rsid w:val="007C6A80"/>
    <w:rsid w:val="007C6F54"/>
    <w:rsid w:val="007C7131"/>
    <w:rsid w:val="007C73E3"/>
    <w:rsid w:val="007C7492"/>
    <w:rsid w:val="007C77E5"/>
    <w:rsid w:val="007C78B2"/>
    <w:rsid w:val="007C7ACE"/>
    <w:rsid w:val="007C7CAA"/>
    <w:rsid w:val="007D013C"/>
    <w:rsid w:val="007D0208"/>
    <w:rsid w:val="007D0448"/>
    <w:rsid w:val="007D0648"/>
    <w:rsid w:val="007D07CB"/>
    <w:rsid w:val="007D087E"/>
    <w:rsid w:val="007D08BF"/>
    <w:rsid w:val="007D0D68"/>
    <w:rsid w:val="007D0EDB"/>
    <w:rsid w:val="007D1293"/>
    <w:rsid w:val="007D132D"/>
    <w:rsid w:val="007D1351"/>
    <w:rsid w:val="007D13A9"/>
    <w:rsid w:val="007D1453"/>
    <w:rsid w:val="007D14D6"/>
    <w:rsid w:val="007D15DF"/>
    <w:rsid w:val="007D16DB"/>
    <w:rsid w:val="007D1833"/>
    <w:rsid w:val="007D1A8F"/>
    <w:rsid w:val="007D21B2"/>
    <w:rsid w:val="007D24B6"/>
    <w:rsid w:val="007D25F6"/>
    <w:rsid w:val="007D2698"/>
    <w:rsid w:val="007D29FE"/>
    <w:rsid w:val="007D2B13"/>
    <w:rsid w:val="007D2B4E"/>
    <w:rsid w:val="007D2F17"/>
    <w:rsid w:val="007D3436"/>
    <w:rsid w:val="007D35F2"/>
    <w:rsid w:val="007D37D2"/>
    <w:rsid w:val="007D3DCA"/>
    <w:rsid w:val="007D3F05"/>
    <w:rsid w:val="007D4258"/>
    <w:rsid w:val="007D43DE"/>
    <w:rsid w:val="007D451F"/>
    <w:rsid w:val="007D475B"/>
    <w:rsid w:val="007D4B77"/>
    <w:rsid w:val="007D4C68"/>
    <w:rsid w:val="007D4E3B"/>
    <w:rsid w:val="007D561B"/>
    <w:rsid w:val="007D57F2"/>
    <w:rsid w:val="007D596B"/>
    <w:rsid w:val="007D5AD4"/>
    <w:rsid w:val="007D5C05"/>
    <w:rsid w:val="007D5E1F"/>
    <w:rsid w:val="007D5E3B"/>
    <w:rsid w:val="007D68DD"/>
    <w:rsid w:val="007D6E92"/>
    <w:rsid w:val="007D703C"/>
    <w:rsid w:val="007D7094"/>
    <w:rsid w:val="007D74D8"/>
    <w:rsid w:val="007D7685"/>
    <w:rsid w:val="007D7891"/>
    <w:rsid w:val="007D789D"/>
    <w:rsid w:val="007D7910"/>
    <w:rsid w:val="007D7958"/>
    <w:rsid w:val="007D7D3B"/>
    <w:rsid w:val="007D7F32"/>
    <w:rsid w:val="007E0160"/>
    <w:rsid w:val="007E0784"/>
    <w:rsid w:val="007E07E4"/>
    <w:rsid w:val="007E09E0"/>
    <w:rsid w:val="007E0FF8"/>
    <w:rsid w:val="007E105E"/>
    <w:rsid w:val="007E13D5"/>
    <w:rsid w:val="007E14B3"/>
    <w:rsid w:val="007E15F0"/>
    <w:rsid w:val="007E1E02"/>
    <w:rsid w:val="007E1F63"/>
    <w:rsid w:val="007E211A"/>
    <w:rsid w:val="007E21C2"/>
    <w:rsid w:val="007E2274"/>
    <w:rsid w:val="007E23BB"/>
    <w:rsid w:val="007E2844"/>
    <w:rsid w:val="007E2C78"/>
    <w:rsid w:val="007E3262"/>
    <w:rsid w:val="007E3285"/>
    <w:rsid w:val="007E3C70"/>
    <w:rsid w:val="007E3DF8"/>
    <w:rsid w:val="007E3E08"/>
    <w:rsid w:val="007E3E6C"/>
    <w:rsid w:val="007E4015"/>
    <w:rsid w:val="007E40CC"/>
    <w:rsid w:val="007E428C"/>
    <w:rsid w:val="007E4383"/>
    <w:rsid w:val="007E45FE"/>
    <w:rsid w:val="007E481E"/>
    <w:rsid w:val="007E4905"/>
    <w:rsid w:val="007E4D2B"/>
    <w:rsid w:val="007E4D58"/>
    <w:rsid w:val="007E4D95"/>
    <w:rsid w:val="007E4F6D"/>
    <w:rsid w:val="007E52B6"/>
    <w:rsid w:val="007E55B4"/>
    <w:rsid w:val="007E55D7"/>
    <w:rsid w:val="007E5618"/>
    <w:rsid w:val="007E57FA"/>
    <w:rsid w:val="007E5881"/>
    <w:rsid w:val="007E5FB3"/>
    <w:rsid w:val="007E6049"/>
    <w:rsid w:val="007E62A3"/>
    <w:rsid w:val="007E6684"/>
    <w:rsid w:val="007E67B1"/>
    <w:rsid w:val="007E6838"/>
    <w:rsid w:val="007E6994"/>
    <w:rsid w:val="007E6DEC"/>
    <w:rsid w:val="007E71B2"/>
    <w:rsid w:val="007E7BBE"/>
    <w:rsid w:val="007E7C11"/>
    <w:rsid w:val="007E7C4C"/>
    <w:rsid w:val="007E7DBF"/>
    <w:rsid w:val="007E7EB0"/>
    <w:rsid w:val="007F014C"/>
    <w:rsid w:val="007F01BB"/>
    <w:rsid w:val="007F02CD"/>
    <w:rsid w:val="007F0312"/>
    <w:rsid w:val="007F04E4"/>
    <w:rsid w:val="007F080B"/>
    <w:rsid w:val="007F0CBA"/>
    <w:rsid w:val="007F1104"/>
    <w:rsid w:val="007F1243"/>
    <w:rsid w:val="007F12B3"/>
    <w:rsid w:val="007F1610"/>
    <w:rsid w:val="007F173E"/>
    <w:rsid w:val="007F17E6"/>
    <w:rsid w:val="007F18D7"/>
    <w:rsid w:val="007F1A97"/>
    <w:rsid w:val="007F1AEC"/>
    <w:rsid w:val="007F2479"/>
    <w:rsid w:val="007F2AC3"/>
    <w:rsid w:val="007F2C25"/>
    <w:rsid w:val="007F2E07"/>
    <w:rsid w:val="007F329F"/>
    <w:rsid w:val="007F3AE8"/>
    <w:rsid w:val="007F3E19"/>
    <w:rsid w:val="007F4113"/>
    <w:rsid w:val="007F4601"/>
    <w:rsid w:val="007F4A82"/>
    <w:rsid w:val="007F4AEB"/>
    <w:rsid w:val="007F59B0"/>
    <w:rsid w:val="007F5C5F"/>
    <w:rsid w:val="007F5CD1"/>
    <w:rsid w:val="007F6315"/>
    <w:rsid w:val="007F63B4"/>
    <w:rsid w:val="007F65F7"/>
    <w:rsid w:val="007F67B0"/>
    <w:rsid w:val="007F6B3B"/>
    <w:rsid w:val="007F6C19"/>
    <w:rsid w:val="007F6C69"/>
    <w:rsid w:val="007F6DE7"/>
    <w:rsid w:val="007F6EB2"/>
    <w:rsid w:val="007F6F3B"/>
    <w:rsid w:val="007F72AC"/>
    <w:rsid w:val="007F7375"/>
    <w:rsid w:val="007F744E"/>
    <w:rsid w:val="007F7699"/>
    <w:rsid w:val="007F77A5"/>
    <w:rsid w:val="007F78AF"/>
    <w:rsid w:val="007F7BC0"/>
    <w:rsid w:val="0080008A"/>
    <w:rsid w:val="008004C9"/>
    <w:rsid w:val="00800CB2"/>
    <w:rsid w:val="00800EE4"/>
    <w:rsid w:val="0080136F"/>
    <w:rsid w:val="0080138B"/>
    <w:rsid w:val="00801481"/>
    <w:rsid w:val="00801C37"/>
    <w:rsid w:val="008026DD"/>
    <w:rsid w:val="0080290A"/>
    <w:rsid w:val="00802969"/>
    <w:rsid w:val="008034B2"/>
    <w:rsid w:val="00803547"/>
    <w:rsid w:val="008036FA"/>
    <w:rsid w:val="00803AA4"/>
    <w:rsid w:val="00803C66"/>
    <w:rsid w:val="00803C92"/>
    <w:rsid w:val="00803CFD"/>
    <w:rsid w:val="00803D19"/>
    <w:rsid w:val="0080404A"/>
    <w:rsid w:val="00804257"/>
    <w:rsid w:val="008042AC"/>
    <w:rsid w:val="0080467F"/>
    <w:rsid w:val="0080479B"/>
    <w:rsid w:val="008049E6"/>
    <w:rsid w:val="00804B84"/>
    <w:rsid w:val="00804D75"/>
    <w:rsid w:val="0080503B"/>
    <w:rsid w:val="00805194"/>
    <w:rsid w:val="0080529D"/>
    <w:rsid w:val="0080547D"/>
    <w:rsid w:val="00805501"/>
    <w:rsid w:val="008057D7"/>
    <w:rsid w:val="0080592F"/>
    <w:rsid w:val="00805BF2"/>
    <w:rsid w:val="00805CFC"/>
    <w:rsid w:val="00806451"/>
    <w:rsid w:val="008065E8"/>
    <w:rsid w:val="0080676B"/>
    <w:rsid w:val="00806913"/>
    <w:rsid w:val="00806950"/>
    <w:rsid w:val="00806993"/>
    <w:rsid w:val="00806F22"/>
    <w:rsid w:val="00806F44"/>
    <w:rsid w:val="008071FC"/>
    <w:rsid w:val="008076D8"/>
    <w:rsid w:val="00807946"/>
    <w:rsid w:val="0080799E"/>
    <w:rsid w:val="00807AE6"/>
    <w:rsid w:val="00807D34"/>
    <w:rsid w:val="00807E5A"/>
    <w:rsid w:val="0081007F"/>
    <w:rsid w:val="00810260"/>
    <w:rsid w:val="00810347"/>
    <w:rsid w:val="00810506"/>
    <w:rsid w:val="00810962"/>
    <w:rsid w:val="00810A11"/>
    <w:rsid w:val="00810D3E"/>
    <w:rsid w:val="00810FB7"/>
    <w:rsid w:val="0081105F"/>
    <w:rsid w:val="008112D3"/>
    <w:rsid w:val="0081131A"/>
    <w:rsid w:val="008113D6"/>
    <w:rsid w:val="008116C1"/>
    <w:rsid w:val="0081182A"/>
    <w:rsid w:val="00811C72"/>
    <w:rsid w:val="00811F52"/>
    <w:rsid w:val="008120FA"/>
    <w:rsid w:val="0081218E"/>
    <w:rsid w:val="008122AE"/>
    <w:rsid w:val="008122EF"/>
    <w:rsid w:val="00812649"/>
    <w:rsid w:val="00812BDF"/>
    <w:rsid w:val="0081338B"/>
    <w:rsid w:val="0081348A"/>
    <w:rsid w:val="008135F9"/>
    <w:rsid w:val="00813FFD"/>
    <w:rsid w:val="00814028"/>
    <w:rsid w:val="0081412F"/>
    <w:rsid w:val="0081414E"/>
    <w:rsid w:val="00814207"/>
    <w:rsid w:val="0081442F"/>
    <w:rsid w:val="008144B0"/>
    <w:rsid w:val="00814542"/>
    <w:rsid w:val="008145F9"/>
    <w:rsid w:val="0081473F"/>
    <w:rsid w:val="008147A1"/>
    <w:rsid w:val="008148C7"/>
    <w:rsid w:val="008149C0"/>
    <w:rsid w:val="00814B3F"/>
    <w:rsid w:val="00814C87"/>
    <w:rsid w:val="00814FE2"/>
    <w:rsid w:val="00815176"/>
    <w:rsid w:val="008151EC"/>
    <w:rsid w:val="0081572C"/>
    <w:rsid w:val="00815849"/>
    <w:rsid w:val="00815993"/>
    <w:rsid w:val="00815DF0"/>
    <w:rsid w:val="00816178"/>
    <w:rsid w:val="00816293"/>
    <w:rsid w:val="00816895"/>
    <w:rsid w:val="008168BE"/>
    <w:rsid w:val="0081697C"/>
    <w:rsid w:val="00816A38"/>
    <w:rsid w:val="00816BC1"/>
    <w:rsid w:val="00816E78"/>
    <w:rsid w:val="00816F02"/>
    <w:rsid w:val="008170B4"/>
    <w:rsid w:val="00817106"/>
    <w:rsid w:val="008171A4"/>
    <w:rsid w:val="008173B6"/>
    <w:rsid w:val="008178E5"/>
    <w:rsid w:val="00817BC9"/>
    <w:rsid w:val="00817C38"/>
    <w:rsid w:val="00820103"/>
    <w:rsid w:val="0082026A"/>
    <w:rsid w:val="008202B7"/>
    <w:rsid w:val="00820413"/>
    <w:rsid w:val="00820E28"/>
    <w:rsid w:val="008217C7"/>
    <w:rsid w:val="00821A10"/>
    <w:rsid w:val="00821BDE"/>
    <w:rsid w:val="00821E03"/>
    <w:rsid w:val="00821F4D"/>
    <w:rsid w:val="00821F86"/>
    <w:rsid w:val="00822196"/>
    <w:rsid w:val="0082219B"/>
    <w:rsid w:val="008224B0"/>
    <w:rsid w:val="00822621"/>
    <w:rsid w:val="008228EA"/>
    <w:rsid w:val="00822A28"/>
    <w:rsid w:val="00822A55"/>
    <w:rsid w:val="00822DB7"/>
    <w:rsid w:val="00822EDE"/>
    <w:rsid w:val="008232FD"/>
    <w:rsid w:val="0082337C"/>
    <w:rsid w:val="00823519"/>
    <w:rsid w:val="00823B77"/>
    <w:rsid w:val="00823D64"/>
    <w:rsid w:val="00824084"/>
    <w:rsid w:val="00824153"/>
    <w:rsid w:val="00824277"/>
    <w:rsid w:val="008243E0"/>
    <w:rsid w:val="008244BB"/>
    <w:rsid w:val="008247E5"/>
    <w:rsid w:val="00824A83"/>
    <w:rsid w:val="00824BC9"/>
    <w:rsid w:val="00825050"/>
    <w:rsid w:val="0082506C"/>
    <w:rsid w:val="00825159"/>
    <w:rsid w:val="00825581"/>
    <w:rsid w:val="0082589D"/>
    <w:rsid w:val="00825AE0"/>
    <w:rsid w:val="00825DA6"/>
    <w:rsid w:val="008262A0"/>
    <w:rsid w:val="00826368"/>
    <w:rsid w:val="00826494"/>
    <w:rsid w:val="00826AAF"/>
    <w:rsid w:val="00826B56"/>
    <w:rsid w:val="00826B78"/>
    <w:rsid w:val="00826BF2"/>
    <w:rsid w:val="00826E6F"/>
    <w:rsid w:val="00826EEC"/>
    <w:rsid w:val="00827224"/>
    <w:rsid w:val="0082722E"/>
    <w:rsid w:val="00827461"/>
    <w:rsid w:val="0082759A"/>
    <w:rsid w:val="008276CB"/>
    <w:rsid w:val="0082775D"/>
    <w:rsid w:val="0082780C"/>
    <w:rsid w:val="00827B83"/>
    <w:rsid w:val="00827EB2"/>
    <w:rsid w:val="008309B6"/>
    <w:rsid w:val="0083100B"/>
    <w:rsid w:val="008310F0"/>
    <w:rsid w:val="0083113D"/>
    <w:rsid w:val="0083121A"/>
    <w:rsid w:val="008312DF"/>
    <w:rsid w:val="008314CF"/>
    <w:rsid w:val="00831A6B"/>
    <w:rsid w:val="00831CF4"/>
    <w:rsid w:val="008321A5"/>
    <w:rsid w:val="008325DA"/>
    <w:rsid w:val="00832C09"/>
    <w:rsid w:val="00832C78"/>
    <w:rsid w:val="00832C93"/>
    <w:rsid w:val="00832CC9"/>
    <w:rsid w:val="00832DD6"/>
    <w:rsid w:val="00832FA2"/>
    <w:rsid w:val="00833113"/>
    <w:rsid w:val="0083313A"/>
    <w:rsid w:val="00833631"/>
    <w:rsid w:val="00833820"/>
    <w:rsid w:val="00833BB1"/>
    <w:rsid w:val="00833F8A"/>
    <w:rsid w:val="008344AC"/>
    <w:rsid w:val="0083489E"/>
    <w:rsid w:val="00834C5A"/>
    <w:rsid w:val="00834C99"/>
    <w:rsid w:val="00835604"/>
    <w:rsid w:val="0083576D"/>
    <w:rsid w:val="00835860"/>
    <w:rsid w:val="00835D6E"/>
    <w:rsid w:val="00835D74"/>
    <w:rsid w:val="00835EC7"/>
    <w:rsid w:val="00835F1B"/>
    <w:rsid w:val="0083608F"/>
    <w:rsid w:val="00836277"/>
    <w:rsid w:val="008363AC"/>
    <w:rsid w:val="008368BE"/>
    <w:rsid w:val="00837050"/>
    <w:rsid w:val="008370A0"/>
    <w:rsid w:val="00837113"/>
    <w:rsid w:val="008373C1"/>
    <w:rsid w:val="008373CE"/>
    <w:rsid w:val="0083744E"/>
    <w:rsid w:val="008378D5"/>
    <w:rsid w:val="00837C3C"/>
    <w:rsid w:val="00837D2D"/>
    <w:rsid w:val="00840147"/>
    <w:rsid w:val="0084065C"/>
    <w:rsid w:val="00840799"/>
    <w:rsid w:val="00840851"/>
    <w:rsid w:val="008409E0"/>
    <w:rsid w:val="00840C0B"/>
    <w:rsid w:val="00840EF3"/>
    <w:rsid w:val="0084113E"/>
    <w:rsid w:val="008413AD"/>
    <w:rsid w:val="0084145C"/>
    <w:rsid w:val="00841482"/>
    <w:rsid w:val="008417C0"/>
    <w:rsid w:val="008419A8"/>
    <w:rsid w:val="00841A2F"/>
    <w:rsid w:val="008420CF"/>
    <w:rsid w:val="008421BF"/>
    <w:rsid w:val="00842551"/>
    <w:rsid w:val="008427AE"/>
    <w:rsid w:val="00842DBA"/>
    <w:rsid w:val="00842FF1"/>
    <w:rsid w:val="008430C9"/>
    <w:rsid w:val="008432AE"/>
    <w:rsid w:val="00843592"/>
    <w:rsid w:val="008435B9"/>
    <w:rsid w:val="0084363D"/>
    <w:rsid w:val="00843821"/>
    <w:rsid w:val="008439AB"/>
    <w:rsid w:val="00843D38"/>
    <w:rsid w:val="00843D39"/>
    <w:rsid w:val="008440EE"/>
    <w:rsid w:val="00844183"/>
    <w:rsid w:val="008441AA"/>
    <w:rsid w:val="0084422B"/>
    <w:rsid w:val="00844439"/>
    <w:rsid w:val="008446AD"/>
    <w:rsid w:val="00844BFA"/>
    <w:rsid w:val="00844FDD"/>
    <w:rsid w:val="008450F2"/>
    <w:rsid w:val="00845292"/>
    <w:rsid w:val="0084537D"/>
    <w:rsid w:val="00845488"/>
    <w:rsid w:val="00845835"/>
    <w:rsid w:val="00845AC4"/>
    <w:rsid w:val="00845B09"/>
    <w:rsid w:val="00845B8F"/>
    <w:rsid w:val="00845BCA"/>
    <w:rsid w:val="00845DEA"/>
    <w:rsid w:val="00845DFC"/>
    <w:rsid w:val="0084600B"/>
    <w:rsid w:val="00846441"/>
    <w:rsid w:val="00846929"/>
    <w:rsid w:val="00846C50"/>
    <w:rsid w:val="00846CB7"/>
    <w:rsid w:val="0084720E"/>
    <w:rsid w:val="00847610"/>
    <w:rsid w:val="00847854"/>
    <w:rsid w:val="00847B21"/>
    <w:rsid w:val="00847C8C"/>
    <w:rsid w:val="00847CD4"/>
    <w:rsid w:val="00847D03"/>
    <w:rsid w:val="00847DD2"/>
    <w:rsid w:val="00847E19"/>
    <w:rsid w:val="00847EAB"/>
    <w:rsid w:val="00847EB0"/>
    <w:rsid w:val="00847ECF"/>
    <w:rsid w:val="008500C3"/>
    <w:rsid w:val="0085020B"/>
    <w:rsid w:val="008502EB"/>
    <w:rsid w:val="0085048E"/>
    <w:rsid w:val="00850579"/>
    <w:rsid w:val="00850CB6"/>
    <w:rsid w:val="00850FB4"/>
    <w:rsid w:val="00851043"/>
    <w:rsid w:val="00851106"/>
    <w:rsid w:val="00851304"/>
    <w:rsid w:val="0085148C"/>
    <w:rsid w:val="008517C2"/>
    <w:rsid w:val="00851830"/>
    <w:rsid w:val="00851867"/>
    <w:rsid w:val="00851A7D"/>
    <w:rsid w:val="00851D59"/>
    <w:rsid w:val="00851E57"/>
    <w:rsid w:val="00851F00"/>
    <w:rsid w:val="00852105"/>
    <w:rsid w:val="008521C8"/>
    <w:rsid w:val="008528EA"/>
    <w:rsid w:val="008535D7"/>
    <w:rsid w:val="00853B8F"/>
    <w:rsid w:val="00853BF3"/>
    <w:rsid w:val="00853EE3"/>
    <w:rsid w:val="00853EF4"/>
    <w:rsid w:val="00853F3E"/>
    <w:rsid w:val="008543DF"/>
    <w:rsid w:val="008547D9"/>
    <w:rsid w:val="00854A2A"/>
    <w:rsid w:val="00854BDF"/>
    <w:rsid w:val="00854D6A"/>
    <w:rsid w:val="00854DD3"/>
    <w:rsid w:val="00854EDA"/>
    <w:rsid w:val="00854F24"/>
    <w:rsid w:val="00854F48"/>
    <w:rsid w:val="008553C3"/>
    <w:rsid w:val="008554A2"/>
    <w:rsid w:val="00855706"/>
    <w:rsid w:val="00855A67"/>
    <w:rsid w:val="00855AE4"/>
    <w:rsid w:val="00855AF9"/>
    <w:rsid w:val="00855C4E"/>
    <w:rsid w:val="00855F32"/>
    <w:rsid w:val="00856072"/>
    <w:rsid w:val="008560CA"/>
    <w:rsid w:val="00856229"/>
    <w:rsid w:val="00856287"/>
    <w:rsid w:val="008567DC"/>
    <w:rsid w:val="00856E07"/>
    <w:rsid w:val="00856E08"/>
    <w:rsid w:val="00856E77"/>
    <w:rsid w:val="008571B9"/>
    <w:rsid w:val="00857381"/>
    <w:rsid w:val="0085744A"/>
    <w:rsid w:val="00857554"/>
    <w:rsid w:val="00857CD5"/>
    <w:rsid w:val="0086007F"/>
    <w:rsid w:val="008603D1"/>
    <w:rsid w:val="008604B4"/>
    <w:rsid w:val="00860D1C"/>
    <w:rsid w:val="00860D6F"/>
    <w:rsid w:val="00860E86"/>
    <w:rsid w:val="00860F59"/>
    <w:rsid w:val="00861034"/>
    <w:rsid w:val="008617AD"/>
    <w:rsid w:val="00862208"/>
    <w:rsid w:val="0086225C"/>
    <w:rsid w:val="00862D01"/>
    <w:rsid w:val="00862FF0"/>
    <w:rsid w:val="00863632"/>
    <w:rsid w:val="008637B4"/>
    <w:rsid w:val="00863866"/>
    <w:rsid w:val="008638CC"/>
    <w:rsid w:val="00863A87"/>
    <w:rsid w:val="00863B17"/>
    <w:rsid w:val="00863CB0"/>
    <w:rsid w:val="00863E77"/>
    <w:rsid w:val="00864023"/>
    <w:rsid w:val="008640FC"/>
    <w:rsid w:val="008642CD"/>
    <w:rsid w:val="0086434E"/>
    <w:rsid w:val="00864677"/>
    <w:rsid w:val="00864688"/>
    <w:rsid w:val="0086476F"/>
    <w:rsid w:val="00864B29"/>
    <w:rsid w:val="00864BD8"/>
    <w:rsid w:val="008650D6"/>
    <w:rsid w:val="008652F2"/>
    <w:rsid w:val="008653AD"/>
    <w:rsid w:val="0086569F"/>
    <w:rsid w:val="00865B3E"/>
    <w:rsid w:val="00865F6C"/>
    <w:rsid w:val="00866121"/>
    <w:rsid w:val="00866753"/>
    <w:rsid w:val="0086675A"/>
    <w:rsid w:val="00866AFE"/>
    <w:rsid w:val="00866C6B"/>
    <w:rsid w:val="00867063"/>
    <w:rsid w:val="008672C6"/>
    <w:rsid w:val="0086732A"/>
    <w:rsid w:val="0086772C"/>
    <w:rsid w:val="008679AA"/>
    <w:rsid w:val="00867B7B"/>
    <w:rsid w:val="00867F85"/>
    <w:rsid w:val="008702F5"/>
    <w:rsid w:val="008705C8"/>
    <w:rsid w:val="008707EF"/>
    <w:rsid w:val="00870838"/>
    <w:rsid w:val="00871078"/>
    <w:rsid w:val="0087109F"/>
    <w:rsid w:val="00871656"/>
    <w:rsid w:val="00871E74"/>
    <w:rsid w:val="0087207F"/>
    <w:rsid w:val="00872513"/>
    <w:rsid w:val="00872679"/>
    <w:rsid w:val="008727DB"/>
    <w:rsid w:val="0087286E"/>
    <w:rsid w:val="00872942"/>
    <w:rsid w:val="00872A80"/>
    <w:rsid w:val="00872AF3"/>
    <w:rsid w:val="00872CC4"/>
    <w:rsid w:val="008733EF"/>
    <w:rsid w:val="008734C3"/>
    <w:rsid w:val="008734CE"/>
    <w:rsid w:val="00873549"/>
    <w:rsid w:val="00873637"/>
    <w:rsid w:val="0087369D"/>
    <w:rsid w:val="0087370A"/>
    <w:rsid w:val="0087382E"/>
    <w:rsid w:val="008739C8"/>
    <w:rsid w:val="00873AB6"/>
    <w:rsid w:val="00873FC0"/>
    <w:rsid w:val="00874055"/>
    <w:rsid w:val="00874229"/>
    <w:rsid w:val="008742B6"/>
    <w:rsid w:val="00874434"/>
    <w:rsid w:val="0087459D"/>
    <w:rsid w:val="008745E5"/>
    <w:rsid w:val="00874774"/>
    <w:rsid w:val="008747F1"/>
    <w:rsid w:val="008748F4"/>
    <w:rsid w:val="00874C7A"/>
    <w:rsid w:val="00874DC9"/>
    <w:rsid w:val="00874F64"/>
    <w:rsid w:val="0087531E"/>
    <w:rsid w:val="008754BB"/>
    <w:rsid w:val="0087575B"/>
    <w:rsid w:val="00875901"/>
    <w:rsid w:val="008759CF"/>
    <w:rsid w:val="00875DDB"/>
    <w:rsid w:val="00876118"/>
    <w:rsid w:val="00876270"/>
    <w:rsid w:val="00876471"/>
    <w:rsid w:val="008766B1"/>
    <w:rsid w:val="008767D0"/>
    <w:rsid w:val="00876907"/>
    <w:rsid w:val="00876943"/>
    <w:rsid w:val="00876B1C"/>
    <w:rsid w:val="00876BCA"/>
    <w:rsid w:val="00876C82"/>
    <w:rsid w:val="0087709E"/>
    <w:rsid w:val="0087710D"/>
    <w:rsid w:val="00877129"/>
    <w:rsid w:val="0087730F"/>
    <w:rsid w:val="00877AF3"/>
    <w:rsid w:val="00877CC0"/>
    <w:rsid w:val="00877D37"/>
    <w:rsid w:val="008800B9"/>
    <w:rsid w:val="00880121"/>
    <w:rsid w:val="00880231"/>
    <w:rsid w:val="00880BAE"/>
    <w:rsid w:val="00880C52"/>
    <w:rsid w:val="00881399"/>
    <w:rsid w:val="0088151D"/>
    <w:rsid w:val="0088157A"/>
    <w:rsid w:val="00881A06"/>
    <w:rsid w:val="00881AD4"/>
    <w:rsid w:val="00881AD9"/>
    <w:rsid w:val="00881D6C"/>
    <w:rsid w:val="00881EB7"/>
    <w:rsid w:val="00881F66"/>
    <w:rsid w:val="00881FD4"/>
    <w:rsid w:val="0088209E"/>
    <w:rsid w:val="008820D0"/>
    <w:rsid w:val="00882282"/>
    <w:rsid w:val="00882A44"/>
    <w:rsid w:val="00882C2F"/>
    <w:rsid w:val="00882C60"/>
    <w:rsid w:val="00882E15"/>
    <w:rsid w:val="00882E40"/>
    <w:rsid w:val="00882EF5"/>
    <w:rsid w:val="00883097"/>
    <w:rsid w:val="0088314A"/>
    <w:rsid w:val="008831B3"/>
    <w:rsid w:val="008833AB"/>
    <w:rsid w:val="00883685"/>
    <w:rsid w:val="00883926"/>
    <w:rsid w:val="00883998"/>
    <w:rsid w:val="00883CE6"/>
    <w:rsid w:val="00883D59"/>
    <w:rsid w:val="00883E20"/>
    <w:rsid w:val="00884131"/>
    <w:rsid w:val="008841B5"/>
    <w:rsid w:val="008842FC"/>
    <w:rsid w:val="00884699"/>
    <w:rsid w:val="00884779"/>
    <w:rsid w:val="008848DD"/>
    <w:rsid w:val="008849C3"/>
    <w:rsid w:val="00884B4A"/>
    <w:rsid w:val="00884C1A"/>
    <w:rsid w:val="00884D5F"/>
    <w:rsid w:val="00884EA6"/>
    <w:rsid w:val="00884F42"/>
    <w:rsid w:val="00885147"/>
    <w:rsid w:val="00885293"/>
    <w:rsid w:val="00885805"/>
    <w:rsid w:val="00885883"/>
    <w:rsid w:val="00885A80"/>
    <w:rsid w:val="00885C54"/>
    <w:rsid w:val="00885F76"/>
    <w:rsid w:val="00885F84"/>
    <w:rsid w:val="008860E8"/>
    <w:rsid w:val="0088620E"/>
    <w:rsid w:val="00886274"/>
    <w:rsid w:val="00886366"/>
    <w:rsid w:val="008863F1"/>
    <w:rsid w:val="0088657A"/>
    <w:rsid w:val="0088689C"/>
    <w:rsid w:val="00886B95"/>
    <w:rsid w:val="00886F4D"/>
    <w:rsid w:val="00886F55"/>
    <w:rsid w:val="0088736B"/>
    <w:rsid w:val="00887384"/>
    <w:rsid w:val="0088739B"/>
    <w:rsid w:val="0088746D"/>
    <w:rsid w:val="00887506"/>
    <w:rsid w:val="0088770C"/>
    <w:rsid w:val="00887767"/>
    <w:rsid w:val="008877BD"/>
    <w:rsid w:val="00887B08"/>
    <w:rsid w:val="00887FD7"/>
    <w:rsid w:val="00890336"/>
    <w:rsid w:val="00890619"/>
    <w:rsid w:val="00890C18"/>
    <w:rsid w:val="00890C8A"/>
    <w:rsid w:val="00890D83"/>
    <w:rsid w:val="00890F5D"/>
    <w:rsid w:val="00891010"/>
    <w:rsid w:val="008917C7"/>
    <w:rsid w:val="00891960"/>
    <w:rsid w:val="0089196E"/>
    <w:rsid w:val="00891997"/>
    <w:rsid w:val="00891C32"/>
    <w:rsid w:val="00891E98"/>
    <w:rsid w:val="00891EA2"/>
    <w:rsid w:val="00892110"/>
    <w:rsid w:val="00892394"/>
    <w:rsid w:val="008923CF"/>
    <w:rsid w:val="0089283F"/>
    <w:rsid w:val="00892911"/>
    <w:rsid w:val="00892C7A"/>
    <w:rsid w:val="00892E20"/>
    <w:rsid w:val="008936B4"/>
    <w:rsid w:val="008936D6"/>
    <w:rsid w:val="008937F2"/>
    <w:rsid w:val="00893809"/>
    <w:rsid w:val="00893A37"/>
    <w:rsid w:val="00893BD9"/>
    <w:rsid w:val="00893D4F"/>
    <w:rsid w:val="00893F6B"/>
    <w:rsid w:val="0089415E"/>
    <w:rsid w:val="00894469"/>
    <w:rsid w:val="008945A2"/>
    <w:rsid w:val="008948AC"/>
    <w:rsid w:val="00894D21"/>
    <w:rsid w:val="00894DEE"/>
    <w:rsid w:val="00894FE7"/>
    <w:rsid w:val="008956D8"/>
    <w:rsid w:val="008959C4"/>
    <w:rsid w:val="00896214"/>
    <w:rsid w:val="00896396"/>
    <w:rsid w:val="0089650A"/>
    <w:rsid w:val="00896659"/>
    <w:rsid w:val="0089668F"/>
    <w:rsid w:val="008966C4"/>
    <w:rsid w:val="0089678E"/>
    <w:rsid w:val="008967FC"/>
    <w:rsid w:val="00896A80"/>
    <w:rsid w:val="00896B27"/>
    <w:rsid w:val="00896C5B"/>
    <w:rsid w:val="00896D34"/>
    <w:rsid w:val="00896DB5"/>
    <w:rsid w:val="00896F50"/>
    <w:rsid w:val="00896FE7"/>
    <w:rsid w:val="00897198"/>
    <w:rsid w:val="00897264"/>
    <w:rsid w:val="00897329"/>
    <w:rsid w:val="00897596"/>
    <w:rsid w:val="00897719"/>
    <w:rsid w:val="0089779E"/>
    <w:rsid w:val="00897990"/>
    <w:rsid w:val="00897E98"/>
    <w:rsid w:val="00897EF1"/>
    <w:rsid w:val="008A0111"/>
    <w:rsid w:val="008A03AB"/>
    <w:rsid w:val="008A045C"/>
    <w:rsid w:val="008A0616"/>
    <w:rsid w:val="008A0968"/>
    <w:rsid w:val="008A0AF9"/>
    <w:rsid w:val="008A1032"/>
    <w:rsid w:val="008A1187"/>
    <w:rsid w:val="008A1994"/>
    <w:rsid w:val="008A1AB3"/>
    <w:rsid w:val="008A1E83"/>
    <w:rsid w:val="008A230B"/>
    <w:rsid w:val="008A23B6"/>
    <w:rsid w:val="008A2684"/>
    <w:rsid w:val="008A27FF"/>
    <w:rsid w:val="008A2883"/>
    <w:rsid w:val="008A2EF7"/>
    <w:rsid w:val="008A3A20"/>
    <w:rsid w:val="008A3C0F"/>
    <w:rsid w:val="008A3C65"/>
    <w:rsid w:val="008A3DFD"/>
    <w:rsid w:val="008A47B0"/>
    <w:rsid w:val="008A4A33"/>
    <w:rsid w:val="008A4A53"/>
    <w:rsid w:val="008A4E30"/>
    <w:rsid w:val="008A540A"/>
    <w:rsid w:val="008A545A"/>
    <w:rsid w:val="008A5607"/>
    <w:rsid w:val="008A5903"/>
    <w:rsid w:val="008A59CC"/>
    <w:rsid w:val="008A5A90"/>
    <w:rsid w:val="008A5ADC"/>
    <w:rsid w:val="008A5CC9"/>
    <w:rsid w:val="008A5ED4"/>
    <w:rsid w:val="008A6076"/>
    <w:rsid w:val="008A62B4"/>
    <w:rsid w:val="008A63EE"/>
    <w:rsid w:val="008A64E0"/>
    <w:rsid w:val="008A6578"/>
    <w:rsid w:val="008A6F1A"/>
    <w:rsid w:val="008A72B8"/>
    <w:rsid w:val="008A7381"/>
    <w:rsid w:val="008A7780"/>
    <w:rsid w:val="008A7903"/>
    <w:rsid w:val="008A7981"/>
    <w:rsid w:val="008A7AB2"/>
    <w:rsid w:val="008A7B48"/>
    <w:rsid w:val="008A7F83"/>
    <w:rsid w:val="008A7FD4"/>
    <w:rsid w:val="008B0142"/>
    <w:rsid w:val="008B04D8"/>
    <w:rsid w:val="008B0FC0"/>
    <w:rsid w:val="008B1234"/>
    <w:rsid w:val="008B1297"/>
    <w:rsid w:val="008B1560"/>
    <w:rsid w:val="008B1866"/>
    <w:rsid w:val="008B1A25"/>
    <w:rsid w:val="008B1A7E"/>
    <w:rsid w:val="008B1DBC"/>
    <w:rsid w:val="008B1FAA"/>
    <w:rsid w:val="008B1FF8"/>
    <w:rsid w:val="008B20D5"/>
    <w:rsid w:val="008B22CC"/>
    <w:rsid w:val="008B2399"/>
    <w:rsid w:val="008B23E9"/>
    <w:rsid w:val="008B24C5"/>
    <w:rsid w:val="008B2974"/>
    <w:rsid w:val="008B2FFC"/>
    <w:rsid w:val="008B338B"/>
    <w:rsid w:val="008B341B"/>
    <w:rsid w:val="008B3590"/>
    <w:rsid w:val="008B36C5"/>
    <w:rsid w:val="008B372D"/>
    <w:rsid w:val="008B39E3"/>
    <w:rsid w:val="008B3C68"/>
    <w:rsid w:val="008B3E4A"/>
    <w:rsid w:val="008B4434"/>
    <w:rsid w:val="008B478F"/>
    <w:rsid w:val="008B48E0"/>
    <w:rsid w:val="008B497C"/>
    <w:rsid w:val="008B4AB0"/>
    <w:rsid w:val="008B4AC4"/>
    <w:rsid w:val="008B53ED"/>
    <w:rsid w:val="008B5542"/>
    <w:rsid w:val="008B57D3"/>
    <w:rsid w:val="008B5A33"/>
    <w:rsid w:val="008B5AEB"/>
    <w:rsid w:val="008B5CCA"/>
    <w:rsid w:val="008B64FD"/>
    <w:rsid w:val="008B67CE"/>
    <w:rsid w:val="008B6B89"/>
    <w:rsid w:val="008B6D05"/>
    <w:rsid w:val="008B7180"/>
    <w:rsid w:val="008B7235"/>
    <w:rsid w:val="008B77AD"/>
    <w:rsid w:val="008B7801"/>
    <w:rsid w:val="008B7EEE"/>
    <w:rsid w:val="008B7FBC"/>
    <w:rsid w:val="008C04A2"/>
    <w:rsid w:val="008C050F"/>
    <w:rsid w:val="008C055F"/>
    <w:rsid w:val="008C073E"/>
    <w:rsid w:val="008C08C1"/>
    <w:rsid w:val="008C0AB4"/>
    <w:rsid w:val="008C16E3"/>
    <w:rsid w:val="008C19AC"/>
    <w:rsid w:val="008C19C0"/>
    <w:rsid w:val="008C1B8C"/>
    <w:rsid w:val="008C1FC6"/>
    <w:rsid w:val="008C204E"/>
    <w:rsid w:val="008C23A8"/>
    <w:rsid w:val="008C24DD"/>
    <w:rsid w:val="008C2761"/>
    <w:rsid w:val="008C277F"/>
    <w:rsid w:val="008C2842"/>
    <w:rsid w:val="008C2895"/>
    <w:rsid w:val="008C2951"/>
    <w:rsid w:val="008C2B5F"/>
    <w:rsid w:val="008C2E43"/>
    <w:rsid w:val="008C2EA5"/>
    <w:rsid w:val="008C3128"/>
    <w:rsid w:val="008C3307"/>
    <w:rsid w:val="008C3318"/>
    <w:rsid w:val="008C3355"/>
    <w:rsid w:val="008C3527"/>
    <w:rsid w:val="008C3576"/>
    <w:rsid w:val="008C3725"/>
    <w:rsid w:val="008C3A9C"/>
    <w:rsid w:val="008C3CF7"/>
    <w:rsid w:val="008C4172"/>
    <w:rsid w:val="008C41C6"/>
    <w:rsid w:val="008C434C"/>
    <w:rsid w:val="008C43DC"/>
    <w:rsid w:val="008C44BF"/>
    <w:rsid w:val="008C4603"/>
    <w:rsid w:val="008C49DF"/>
    <w:rsid w:val="008C4B4A"/>
    <w:rsid w:val="008C4DB9"/>
    <w:rsid w:val="008C5125"/>
    <w:rsid w:val="008C52A9"/>
    <w:rsid w:val="008C556B"/>
    <w:rsid w:val="008C55DF"/>
    <w:rsid w:val="008C56D2"/>
    <w:rsid w:val="008C5A21"/>
    <w:rsid w:val="008C5B8D"/>
    <w:rsid w:val="008C619F"/>
    <w:rsid w:val="008C61E4"/>
    <w:rsid w:val="008C6390"/>
    <w:rsid w:val="008C66B8"/>
    <w:rsid w:val="008C6AA3"/>
    <w:rsid w:val="008C6AE7"/>
    <w:rsid w:val="008C6CE7"/>
    <w:rsid w:val="008C6D5E"/>
    <w:rsid w:val="008C6DE4"/>
    <w:rsid w:val="008C6EE1"/>
    <w:rsid w:val="008C738E"/>
    <w:rsid w:val="008C73B5"/>
    <w:rsid w:val="008C7676"/>
    <w:rsid w:val="008C776A"/>
    <w:rsid w:val="008C77B3"/>
    <w:rsid w:val="008C7AC5"/>
    <w:rsid w:val="008C7AE5"/>
    <w:rsid w:val="008C7FA0"/>
    <w:rsid w:val="008D0432"/>
    <w:rsid w:val="008D0444"/>
    <w:rsid w:val="008D0662"/>
    <w:rsid w:val="008D08BB"/>
    <w:rsid w:val="008D0918"/>
    <w:rsid w:val="008D0B5B"/>
    <w:rsid w:val="008D0F81"/>
    <w:rsid w:val="008D1005"/>
    <w:rsid w:val="008D1781"/>
    <w:rsid w:val="008D1BDB"/>
    <w:rsid w:val="008D1C61"/>
    <w:rsid w:val="008D1E15"/>
    <w:rsid w:val="008D1E3C"/>
    <w:rsid w:val="008D22FD"/>
    <w:rsid w:val="008D23CA"/>
    <w:rsid w:val="008D2487"/>
    <w:rsid w:val="008D27A3"/>
    <w:rsid w:val="008D27D3"/>
    <w:rsid w:val="008D2825"/>
    <w:rsid w:val="008D2912"/>
    <w:rsid w:val="008D2A7E"/>
    <w:rsid w:val="008D2CD3"/>
    <w:rsid w:val="008D2E91"/>
    <w:rsid w:val="008D33EB"/>
    <w:rsid w:val="008D3423"/>
    <w:rsid w:val="008D3517"/>
    <w:rsid w:val="008D3673"/>
    <w:rsid w:val="008D384F"/>
    <w:rsid w:val="008D3E09"/>
    <w:rsid w:val="008D4064"/>
    <w:rsid w:val="008D4225"/>
    <w:rsid w:val="008D4303"/>
    <w:rsid w:val="008D477E"/>
    <w:rsid w:val="008D48B6"/>
    <w:rsid w:val="008D4942"/>
    <w:rsid w:val="008D4BB9"/>
    <w:rsid w:val="008D4CBB"/>
    <w:rsid w:val="008D4EE3"/>
    <w:rsid w:val="008D5042"/>
    <w:rsid w:val="008D5089"/>
    <w:rsid w:val="008D5119"/>
    <w:rsid w:val="008D55EE"/>
    <w:rsid w:val="008D55F3"/>
    <w:rsid w:val="008D5877"/>
    <w:rsid w:val="008D5BC2"/>
    <w:rsid w:val="008D6514"/>
    <w:rsid w:val="008D65E8"/>
    <w:rsid w:val="008D66EF"/>
    <w:rsid w:val="008D68A5"/>
    <w:rsid w:val="008D6A96"/>
    <w:rsid w:val="008D6BC7"/>
    <w:rsid w:val="008D6D6A"/>
    <w:rsid w:val="008D6FA1"/>
    <w:rsid w:val="008D6FC3"/>
    <w:rsid w:val="008D7399"/>
    <w:rsid w:val="008D76D0"/>
    <w:rsid w:val="008D76D4"/>
    <w:rsid w:val="008D7752"/>
    <w:rsid w:val="008D7799"/>
    <w:rsid w:val="008D7B23"/>
    <w:rsid w:val="008D7DFF"/>
    <w:rsid w:val="008D7FBE"/>
    <w:rsid w:val="008D7FE6"/>
    <w:rsid w:val="008E012B"/>
    <w:rsid w:val="008E0D5E"/>
    <w:rsid w:val="008E1075"/>
    <w:rsid w:val="008E12EE"/>
    <w:rsid w:val="008E13BE"/>
    <w:rsid w:val="008E164A"/>
    <w:rsid w:val="008E18A3"/>
    <w:rsid w:val="008E1CC2"/>
    <w:rsid w:val="008E1E0A"/>
    <w:rsid w:val="008E20A6"/>
    <w:rsid w:val="008E27CB"/>
    <w:rsid w:val="008E2A89"/>
    <w:rsid w:val="008E2B17"/>
    <w:rsid w:val="008E2C08"/>
    <w:rsid w:val="008E2EBF"/>
    <w:rsid w:val="008E304A"/>
    <w:rsid w:val="008E30F7"/>
    <w:rsid w:val="008E312B"/>
    <w:rsid w:val="008E3184"/>
    <w:rsid w:val="008E3393"/>
    <w:rsid w:val="008E341C"/>
    <w:rsid w:val="008E36E4"/>
    <w:rsid w:val="008E3CF3"/>
    <w:rsid w:val="008E3EAD"/>
    <w:rsid w:val="008E431E"/>
    <w:rsid w:val="008E464D"/>
    <w:rsid w:val="008E49D9"/>
    <w:rsid w:val="008E4A9C"/>
    <w:rsid w:val="008E4B6F"/>
    <w:rsid w:val="008E4C81"/>
    <w:rsid w:val="008E4E0B"/>
    <w:rsid w:val="008E4EC9"/>
    <w:rsid w:val="008E54ED"/>
    <w:rsid w:val="008E56D0"/>
    <w:rsid w:val="008E576D"/>
    <w:rsid w:val="008E5868"/>
    <w:rsid w:val="008E5C96"/>
    <w:rsid w:val="008E5E08"/>
    <w:rsid w:val="008E60C0"/>
    <w:rsid w:val="008E6295"/>
    <w:rsid w:val="008E63E6"/>
    <w:rsid w:val="008E670C"/>
    <w:rsid w:val="008E674F"/>
    <w:rsid w:val="008E695D"/>
    <w:rsid w:val="008E6BE5"/>
    <w:rsid w:val="008E6D1B"/>
    <w:rsid w:val="008E6E99"/>
    <w:rsid w:val="008E6EBF"/>
    <w:rsid w:val="008E6F51"/>
    <w:rsid w:val="008E75A4"/>
    <w:rsid w:val="008E75A5"/>
    <w:rsid w:val="008E76C2"/>
    <w:rsid w:val="008E79DA"/>
    <w:rsid w:val="008E7A59"/>
    <w:rsid w:val="008F01B4"/>
    <w:rsid w:val="008F0353"/>
    <w:rsid w:val="008F040B"/>
    <w:rsid w:val="008F06A5"/>
    <w:rsid w:val="008F0782"/>
    <w:rsid w:val="008F08A6"/>
    <w:rsid w:val="008F0B64"/>
    <w:rsid w:val="008F0CAB"/>
    <w:rsid w:val="008F0D2B"/>
    <w:rsid w:val="008F0E4F"/>
    <w:rsid w:val="008F1096"/>
    <w:rsid w:val="008F111E"/>
    <w:rsid w:val="008F1267"/>
    <w:rsid w:val="008F129C"/>
    <w:rsid w:val="008F1860"/>
    <w:rsid w:val="008F1ADF"/>
    <w:rsid w:val="008F1C66"/>
    <w:rsid w:val="008F2D38"/>
    <w:rsid w:val="008F2EC1"/>
    <w:rsid w:val="008F32A8"/>
    <w:rsid w:val="008F34F1"/>
    <w:rsid w:val="008F3563"/>
    <w:rsid w:val="008F3581"/>
    <w:rsid w:val="008F36BD"/>
    <w:rsid w:val="008F36F0"/>
    <w:rsid w:val="008F3721"/>
    <w:rsid w:val="008F374B"/>
    <w:rsid w:val="008F3A86"/>
    <w:rsid w:val="008F3C00"/>
    <w:rsid w:val="008F3F1F"/>
    <w:rsid w:val="008F4086"/>
    <w:rsid w:val="008F430B"/>
    <w:rsid w:val="008F43A8"/>
    <w:rsid w:val="008F4454"/>
    <w:rsid w:val="008F4570"/>
    <w:rsid w:val="008F47BE"/>
    <w:rsid w:val="008F47D4"/>
    <w:rsid w:val="008F4BC1"/>
    <w:rsid w:val="008F504F"/>
    <w:rsid w:val="008F50B2"/>
    <w:rsid w:val="008F5C15"/>
    <w:rsid w:val="008F5C2B"/>
    <w:rsid w:val="008F5E86"/>
    <w:rsid w:val="008F5FDC"/>
    <w:rsid w:val="008F6093"/>
    <w:rsid w:val="008F633D"/>
    <w:rsid w:val="008F6926"/>
    <w:rsid w:val="008F69E0"/>
    <w:rsid w:val="008F6F0D"/>
    <w:rsid w:val="008F70B6"/>
    <w:rsid w:val="008F7523"/>
    <w:rsid w:val="008F7C08"/>
    <w:rsid w:val="00900570"/>
    <w:rsid w:val="00900893"/>
    <w:rsid w:val="00900E6A"/>
    <w:rsid w:val="009011D6"/>
    <w:rsid w:val="00901607"/>
    <w:rsid w:val="0090190E"/>
    <w:rsid w:val="00901ECC"/>
    <w:rsid w:val="00901F0D"/>
    <w:rsid w:val="00902015"/>
    <w:rsid w:val="009020E7"/>
    <w:rsid w:val="0090210C"/>
    <w:rsid w:val="0090253D"/>
    <w:rsid w:val="00902596"/>
    <w:rsid w:val="009027B9"/>
    <w:rsid w:val="009027C8"/>
    <w:rsid w:val="00902992"/>
    <w:rsid w:val="009029D6"/>
    <w:rsid w:val="00902D66"/>
    <w:rsid w:val="009032FB"/>
    <w:rsid w:val="00903361"/>
    <w:rsid w:val="00903614"/>
    <w:rsid w:val="00903945"/>
    <w:rsid w:val="00903BB5"/>
    <w:rsid w:val="00903BDC"/>
    <w:rsid w:val="00903BF2"/>
    <w:rsid w:val="00903CFE"/>
    <w:rsid w:val="00903E29"/>
    <w:rsid w:val="009044A8"/>
    <w:rsid w:val="009048A2"/>
    <w:rsid w:val="009049BB"/>
    <w:rsid w:val="00904E66"/>
    <w:rsid w:val="00904FB8"/>
    <w:rsid w:val="00905410"/>
    <w:rsid w:val="009054A3"/>
    <w:rsid w:val="00905C33"/>
    <w:rsid w:val="009065AF"/>
    <w:rsid w:val="00906925"/>
    <w:rsid w:val="0090696C"/>
    <w:rsid w:val="00906DDC"/>
    <w:rsid w:val="00906E4A"/>
    <w:rsid w:val="00906E92"/>
    <w:rsid w:val="00906F05"/>
    <w:rsid w:val="00906F84"/>
    <w:rsid w:val="00906FBD"/>
    <w:rsid w:val="00906FFA"/>
    <w:rsid w:val="009070BB"/>
    <w:rsid w:val="00907108"/>
    <w:rsid w:val="0090716F"/>
    <w:rsid w:val="009075E4"/>
    <w:rsid w:val="009077FC"/>
    <w:rsid w:val="00907829"/>
    <w:rsid w:val="009078B1"/>
    <w:rsid w:val="00907F30"/>
    <w:rsid w:val="0091036D"/>
    <w:rsid w:val="009103FF"/>
    <w:rsid w:val="00910773"/>
    <w:rsid w:val="00910A18"/>
    <w:rsid w:val="00910C46"/>
    <w:rsid w:val="00910E40"/>
    <w:rsid w:val="009110CF"/>
    <w:rsid w:val="009112CD"/>
    <w:rsid w:val="0091139D"/>
    <w:rsid w:val="009119B7"/>
    <w:rsid w:val="00911B5D"/>
    <w:rsid w:val="00911FA7"/>
    <w:rsid w:val="009122B4"/>
    <w:rsid w:val="00912325"/>
    <w:rsid w:val="00912454"/>
    <w:rsid w:val="00912469"/>
    <w:rsid w:val="009125AE"/>
    <w:rsid w:val="0091263D"/>
    <w:rsid w:val="00912A8F"/>
    <w:rsid w:val="00912B7A"/>
    <w:rsid w:val="0091319C"/>
    <w:rsid w:val="009131AB"/>
    <w:rsid w:val="0091320A"/>
    <w:rsid w:val="009132C4"/>
    <w:rsid w:val="00913757"/>
    <w:rsid w:val="0091396E"/>
    <w:rsid w:val="00913C31"/>
    <w:rsid w:val="00913C8F"/>
    <w:rsid w:val="00913C9D"/>
    <w:rsid w:val="00913EA6"/>
    <w:rsid w:val="009141B3"/>
    <w:rsid w:val="0091422A"/>
    <w:rsid w:val="009142A2"/>
    <w:rsid w:val="00914517"/>
    <w:rsid w:val="009146AE"/>
    <w:rsid w:val="009148F8"/>
    <w:rsid w:val="00914994"/>
    <w:rsid w:val="00914A86"/>
    <w:rsid w:val="00914CDC"/>
    <w:rsid w:val="00915736"/>
    <w:rsid w:val="00915D58"/>
    <w:rsid w:val="00915F6E"/>
    <w:rsid w:val="009167A2"/>
    <w:rsid w:val="00916880"/>
    <w:rsid w:val="00916989"/>
    <w:rsid w:val="0091698F"/>
    <w:rsid w:val="00916BEA"/>
    <w:rsid w:val="00916C36"/>
    <w:rsid w:val="00916C79"/>
    <w:rsid w:val="00916E70"/>
    <w:rsid w:val="0091708B"/>
    <w:rsid w:val="0091727E"/>
    <w:rsid w:val="009172E1"/>
    <w:rsid w:val="00917439"/>
    <w:rsid w:val="009174B9"/>
    <w:rsid w:val="0091769D"/>
    <w:rsid w:val="00917791"/>
    <w:rsid w:val="009179D4"/>
    <w:rsid w:val="00917FA8"/>
    <w:rsid w:val="00917FCD"/>
    <w:rsid w:val="00920020"/>
    <w:rsid w:val="00920259"/>
    <w:rsid w:val="00920BB7"/>
    <w:rsid w:val="00920C47"/>
    <w:rsid w:val="00920F4F"/>
    <w:rsid w:val="0092117A"/>
    <w:rsid w:val="00921378"/>
    <w:rsid w:val="009216D1"/>
    <w:rsid w:val="00921710"/>
    <w:rsid w:val="009218C9"/>
    <w:rsid w:val="00921919"/>
    <w:rsid w:val="00921D82"/>
    <w:rsid w:val="00921E37"/>
    <w:rsid w:val="00921E8C"/>
    <w:rsid w:val="00922441"/>
    <w:rsid w:val="00922E26"/>
    <w:rsid w:val="00922F01"/>
    <w:rsid w:val="00922F61"/>
    <w:rsid w:val="00923651"/>
    <w:rsid w:val="009236D8"/>
    <w:rsid w:val="00923889"/>
    <w:rsid w:val="00923A02"/>
    <w:rsid w:val="00923B2A"/>
    <w:rsid w:val="00923C18"/>
    <w:rsid w:val="00923CC1"/>
    <w:rsid w:val="00923DEB"/>
    <w:rsid w:val="009244E8"/>
    <w:rsid w:val="0092455B"/>
    <w:rsid w:val="009245EC"/>
    <w:rsid w:val="00924709"/>
    <w:rsid w:val="00924904"/>
    <w:rsid w:val="00924CE4"/>
    <w:rsid w:val="00924D80"/>
    <w:rsid w:val="009255EF"/>
    <w:rsid w:val="00925639"/>
    <w:rsid w:val="009256BC"/>
    <w:rsid w:val="0092592D"/>
    <w:rsid w:val="00925962"/>
    <w:rsid w:val="0092658A"/>
    <w:rsid w:val="00926A65"/>
    <w:rsid w:val="00926ADA"/>
    <w:rsid w:val="00926E1E"/>
    <w:rsid w:val="00927148"/>
    <w:rsid w:val="009272FB"/>
    <w:rsid w:val="00927366"/>
    <w:rsid w:val="00927741"/>
    <w:rsid w:val="00927A5C"/>
    <w:rsid w:val="00927A5D"/>
    <w:rsid w:val="009301C0"/>
    <w:rsid w:val="009304B9"/>
    <w:rsid w:val="009304C9"/>
    <w:rsid w:val="00930517"/>
    <w:rsid w:val="00930647"/>
    <w:rsid w:val="00930708"/>
    <w:rsid w:val="00930897"/>
    <w:rsid w:val="00930D56"/>
    <w:rsid w:val="00930EFE"/>
    <w:rsid w:val="00930F26"/>
    <w:rsid w:val="00930F5A"/>
    <w:rsid w:val="00930FEA"/>
    <w:rsid w:val="00931095"/>
    <w:rsid w:val="00931220"/>
    <w:rsid w:val="0093123F"/>
    <w:rsid w:val="00931387"/>
    <w:rsid w:val="009314E3"/>
    <w:rsid w:val="00931522"/>
    <w:rsid w:val="009317BD"/>
    <w:rsid w:val="009319F9"/>
    <w:rsid w:val="0093220D"/>
    <w:rsid w:val="00932579"/>
    <w:rsid w:val="009326DD"/>
    <w:rsid w:val="009327B7"/>
    <w:rsid w:val="00932BBD"/>
    <w:rsid w:val="00932D23"/>
    <w:rsid w:val="00932E2E"/>
    <w:rsid w:val="00932F05"/>
    <w:rsid w:val="00932F92"/>
    <w:rsid w:val="00933100"/>
    <w:rsid w:val="009332AD"/>
    <w:rsid w:val="009332E0"/>
    <w:rsid w:val="00933525"/>
    <w:rsid w:val="009335BA"/>
    <w:rsid w:val="00933D86"/>
    <w:rsid w:val="00933F11"/>
    <w:rsid w:val="00933F16"/>
    <w:rsid w:val="00933F94"/>
    <w:rsid w:val="009341E0"/>
    <w:rsid w:val="00934297"/>
    <w:rsid w:val="00934663"/>
    <w:rsid w:val="00934685"/>
    <w:rsid w:val="00934DBE"/>
    <w:rsid w:val="00934DC9"/>
    <w:rsid w:val="00935149"/>
    <w:rsid w:val="0093541C"/>
    <w:rsid w:val="009354EC"/>
    <w:rsid w:val="00935B64"/>
    <w:rsid w:val="00935C68"/>
    <w:rsid w:val="00935D77"/>
    <w:rsid w:val="00936075"/>
    <w:rsid w:val="009360CD"/>
    <w:rsid w:val="0093627B"/>
    <w:rsid w:val="00936369"/>
    <w:rsid w:val="009369B4"/>
    <w:rsid w:val="00936FFF"/>
    <w:rsid w:val="009370C3"/>
    <w:rsid w:val="009370F7"/>
    <w:rsid w:val="009372FA"/>
    <w:rsid w:val="00937862"/>
    <w:rsid w:val="00937B9A"/>
    <w:rsid w:val="00937BCB"/>
    <w:rsid w:val="00937C87"/>
    <w:rsid w:val="00937E64"/>
    <w:rsid w:val="00937F35"/>
    <w:rsid w:val="00937F77"/>
    <w:rsid w:val="009401F1"/>
    <w:rsid w:val="009407CC"/>
    <w:rsid w:val="00940A62"/>
    <w:rsid w:val="00940C5E"/>
    <w:rsid w:val="00940D95"/>
    <w:rsid w:val="009412A4"/>
    <w:rsid w:val="00941A45"/>
    <w:rsid w:val="00941AE4"/>
    <w:rsid w:val="00942051"/>
    <w:rsid w:val="009420BD"/>
    <w:rsid w:val="0094242B"/>
    <w:rsid w:val="0094249C"/>
    <w:rsid w:val="009424FC"/>
    <w:rsid w:val="00942526"/>
    <w:rsid w:val="009429F9"/>
    <w:rsid w:val="00942D58"/>
    <w:rsid w:val="00942F51"/>
    <w:rsid w:val="00943135"/>
    <w:rsid w:val="0094316F"/>
    <w:rsid w:val="009435F0"/>
    <w:rsid w:val="0094367B"/>
    <w:rsid w:val="00943896"/>
    <w:rsid w:val="00943C5D"/>
    <w:rsid w:val="00943EF0"/>
    <w:rsid w:val="009443B3"/>
    <w:rsid w:val="00944495"/>
    <w:rsid w:val="009445C3"/>
    <w:rsid w:val="00944713"/>
    <w:rsid w:val="00944768"/>
    <w:rsid w:val="009449F2"/>
    <w:rsid w:val="00944A2A"/>
    <w:rsid w:val="00944B71"/>
    <w:rsid w:val="00944C95"/>
    <w:rsid w:val="0094568A"/>
    <w:rsid w:val="00945815"/>
    <w:rsid w:val="00945ADE"/>
    <w:rsid w:val="00945CF9"/>
    <w:rsid w:val="009462DE"/>
    <w:rsid w:val="009463B2"/>
    <w:rsid w:val="009464CB"/>
    <w:rsid w:val="0094659F"/>
    <w:rsid w:val="009465CD"/>
    <w:rsid w:val="00946B27"/>
    <w:rsid w:val="00946C12"/>
    <w:rsid w:val="00946C26"/>
    <w:rsid w:val="00946C81"/>
    <w:rsid w:val="00946CE2"/>
    <w:rsid w:val="00947142"/>
    <w:rsid w:val="00947297"/>
    <w:rsid w:val="0094747C"/>
    <w:rsid w:val="00947530"/>
    <w:rsid w:val="0094755F"/>
    <w:rsid w:val="00947F74"/>
    <w:rsid w:val="0095001B"/>
    <w:rsid w:val="00950763"/>
    <w:rsid w:val="00950961"/>
    <w:rsid w:val="00950C36"/>
    <w:rsid w:val="00950C5F"/>
    <w:rsid w:val="00950CD0"/>
    <w:rsid w:val="0095102C"/>
    <w:rsid w:val="00951261"/>
    <w:rsid w:val="00951429"/>
    <w:rsid w:val="0095185A"/>
    <w:rsid w:val="0095195F"/>
    <w:rsid w:val="00951CA7"/>
    <w:rsid w:val="00951EC0"/>
    <w:rsid w:val="009520BE"/>
    <w:rsid w:val="0095210E"/>
    <w:rsid w:val="009523C7"/>
    <w:rsid w:val="009523F2"/>
    <w:rsid w:val="0095243F"/>
    <w:rsid w:val="0095275A"/>
    <w:rsid w:val="00952974"/>
    <w:rsid w:val="00952AB5"/>
    <w:rsid w:val="00952B56"/>
    <w:rsid w:val="00952C3C"/>
    <w:rsid w:val="00952DAF"/>
    <w:rsid w:val="00952ED5"/>
    <w:rsid w:val="00953244"/>
    <w:rsid w:val="0095359C"/>
    <w:rsid w:val="00953A33"/>
    <w:rsid w:val="00953A9A"/>
    <w:rsid w:val="00953B5D"/>
    <w:rsid w:val="00953CDA"/>
    <w:rsid w:val="00954093"/>
    <w:rsid w:val="009540C1"/>
    <w:rsid w:val="009540DA"/>
    <w:rsid w:val="00954674"/>
    <w:rsid w:val="00954AD2"/>
    <w:rsid w:val="00954FEB"/>
    <w:rsid w:val="009550C4"/>
    <w:rsid w:val="00955316"/>
    <w:rsid w:val="0095532D"/>
    <w:rsid w:val="00955339"/>
    <w:rsid w:val="00955346"/>
    <w:rsid w:val="00955360"/>
    <w:rsid w:val="009553FE"/>
    <w:rsid w:val="0095568E"/>
    <w:rsid w:val="009556E1"/>
    <w:rsid w:val="00956402"/>
    <w:rsid w:val="0095670D"/>
    <w:rsid w:val="00956CEE"/>
    <w:rsid w:val="00956E38"/>
    <w:rsid w:val="00956E97"/>
    <w:rsid w:val="00957161"/>
    <w:rsid w:val="0095718F"/>
    <w:rsid w:val="0095723A"/>
    <w:rsid w:val="00957C21"/>
    <w:rsid w:val="00957DF2"/>
    <w:rsid w:val="00957F44"/>
    <w:rsid w:val="009600C1"/>
    <w:rsid w:val="00960144"/>
    <w:rsid w:val="0096020A"/>
    <w:rsid w:val="00960608"/>
    <w:rsid w:val="00960614"/>
    <w:rsid w:val="00960797"/>
    <w:rsid w:val="009608CE"/>
    <w:rsid w:val="00960944"/>
    <w:rsid w:val="00960AC6"/>
    <w:rsid w:val="00960C87"/>
    <w:rsid w:val="00960E57"/>
    <w:rsid w:val="00960F40"/>
    <w:rsid w:val="0096103E"/>
    <w:rsid w:val="0096120E"/>
    <w:rsid w:val="009612AB"/>
    <w:rsid w:val="0096135E"/>
    <w:rsid w:val="009613CB"/>
    <w:rsid w:val="00961413"/>
    <w:rsid w:val="00961466"/>
    <w:rsid w:val="0096166A"/>
    <w:rsid w:val="00961983"/>
    <w:rsid w:val="00961BDF"/>
    <w:rsid w:val="00961FA5"/>
    <w:rsid w:val="00962325"/>
    <w:rsid w:val="009623F6"/>
    <w:rsid w:val="0096292A"/>
    <w:rsid w:val="00962974"/>
    <w:rsid w:val="00962EE5"/>
    <w:rsid w:val="009630B5"/>
    <w:rsid w:val="0096345C"/>
    <w:rsid w:val="0096365E"/>
    <w:rsid w:val="009638CF"/>
    <w:rsid w:val="00963A03"/>
    <w:rsid w:val="00963A22"/>
    <w:rsid w:val="00963BD7"/>
    <w:rsid w:val="00963D2C"/>
    <w:rsid w:val="009645EA"/>
    <w:rsid w:val="00964742"/>
    <w:rsid w:val="00964BB7"/>
    <w:rsid w:val="00964BC8"/>
    <w:rsid w:val="00964F6B"/>
    <w:rsid w:val="009653D7"/>
    <w:rsid w:val="0096546D"/>
    <w:rsid w:val="0096557B"/>
    <w:rsid w:val="00965637"/>
    <w:rsid w:val="00965AF8"/>
    <w:rsid w:val="00965C6E"/>
    <w:rsid w:val="009663E7"/>
    <w:rsid w:val="00966986"/>
    <w:rsid w:val="00966A87"/>
    <w:rsid w:val="00966BAC"/>
    <w:rsid w:val="00966D79"/>
    <w:rsid w:val="00966F0D"/>
    <w:rsid w:val="00967001"/>
    <w:rsid w:val="00967032"/>
    <w:rsid w:val="00967315"/>
    <w:rsid w:val="0096738B"/>
    <w:rsid w:val="0096743C"/>
    <w:rsid w:val="009674DB"/>
    <w:rsid w:val="009678B8"/>
    <w:rsid w:val="009679C0"/>
    <w:rsid w:val="00967B96"/>
    <w:rsid w:val="00967FBB"/>
    <w:rsid w:val="009708F7"/>
    <w:rsid w:val="00970A69"/>
    <w:rsid w:val="00970EB2"/>
    <w:rsid w:val="00970F84"/>
    <w:rsid w:val="00970FE6"/>
    <w:rsid w:val="00971201"/>
    <w:rsid w:val="00971291"/>
    <w:rsid w:val="00971574"/>
    <w:rsid w:val="009715BB"/>
    <w:rsid w:val="00971750"/>
    <w:rsid w:val="009720B5"/>
    <w:rsid w:val="0097226E"/>
    <w:rsid w:val="0097273F"/>
    <w:rsid w:val="00972AE0"/>
    <w:rsid w:val="00972BC2"/>
    <w:rsid w:val="00973058"/>
    <w:rsid w:val="009730F6"/>
    <w:rsid w:val="0097321D"/>
    <w:rsid w:val="00973685"/>
    <w:rsid w:val="009738E8"/>
    <w:rsid w:val="00973B3C"/>
    <w:rsid w:val="009743C4"/>
    <w:rsid w:val="00974450"/>
    <w:rsid w:val="009744C5"/>
    <w:rsid w:val="00974B8C"/>
    <w:rsid w:val="00974DB2"/>
    <w:rsid w:val="00974E7A"/>
    <w:rsid w:val="00974F9C"/>
    <w:rsid w:val="009754CC"/>
    <w:rsid w:val="00975562"/>
    <w:rsid w:val="009755DE"/>
    <w:rsid w:val="0097585D"/>
    <w:rsid w:val="00975CF9"/>
    <w:rsid w:val="00975E27"/>
    <w:rsid w:val="00975E96"/>
    <w:rsid w:val="009762F4"/>
    <w:rsid w:val="009763C9"/>
    <w:rsid w:val="00976697"/>
    <w:rsid w:val="00976760"/>
    <w:rsid w:val="00976C0F"/>
    <w:rsid w:val="00976DA0"/>
    <w:rsid w:val="00976F20"/>
    <w:rsid w:val="00976F4D"/>
    <w:rsid w:val="00977296"/>
    <w:rsid w:val="00977367"/>
    <w:rsid w:val="009773C9"/>
    <w:rsid w:val="00977616"/>
    <w:rsid w:val="0097772B"/>
    <w:rsid w:val="00977799"/>
    <w:rsid w:val="0097783C"/>
    <w:rsid w:val="00977A23"/>
    <w:rsid w:val="00977BDB"/>
    <w:rsid w:val="00977CE0"/>
    <w:rsid w:val="00977EEE"/>
    <w:rsid w:val="00980130"/>
    <w:rsid w:val="0098025E"/>
    <w:rsid w:val="00980269"/>
    <w:rsid w:val="00980449"/>
    <w:rsid w:val="009806CA"/>
    <w:rsid w:val="0098075F"/>
    <w:rsid w:val="0098086A"/>
    <w:rsid w:val="00980892"/>
    <w:rsid w:val="00980936"/>
    <w:rsid w:val="00980A23"/>
    <w:rsid w:val="0098144F"/>
    <w:rsid w:val="00981487"/>
    <w:rsid w:val="009814EA"/>
    <w:rsid w:val="00981A23"/>
    <w:rsid w:val="00981AFD"/>
    <w:rsid w:val="00981B59"/>
    <w:rsid w:val="00981CF5"/>
    <w:rsid w:val="00982175"/>
    <w:rsid w:val="0098222A"/>
    <w:rsid w:val="00982359"/>
    <w:rsid w:val="00982448"/>
    <w:rsid w:val="00982586"/>
    <w:rsid w:val="009827C4"/>
    <w:rsid w:val="00982931"/>
    <w:rsid w:val="00982A60"/>
    <w:rsid w:val="00983038"/>
    <w:rsid w:val="009831C2"/>
    <w:rsid w:val="00983666"/>
    <w:rsid w:val="00983739"/>
    <w:rsid w:val="009838D8"/>
    <w:rsid w:val="00983969"/>
    <w:rsid w:val="00983A94"/>
    <w:rsid w:val="00983B89"/>
    <w:rsid w:val="00984228"/>
    <w:rsid w:val="00985092"/>
    <w:rsid w:val="00985205"/>
    <w:rsid w:val="009852AF"/>
    <w:rsid w:val="00985534"/>
    <w:rsid w:val="0098591C"/>
    <w:rsid w:val="009859A6"/>
    <w:rsid w:val="00985D47"/>
    <w:rsid w:val="00985F5A"/>
    <w:rsid w:val="0098604E"/>
    <w:rsid w:val="009861D1"/>
    <w:rsid w:val="00986CCF"/>
    <w:rsid w:val="00986D31"/>
    <w:rsid w:val="00986D6F"/>
    <w:rsid w:val="00986D78"/>
    <w:rsid w:val="00986FB8"/>
    <w:rsid w:val="009871AB"/>
    <w:rsid w:val="009871D7"/>
    <w:rsid w:val="00987689"/>
    <w:rsid w:val="00987976"/>
    <w:rsid w:val="009879E0"/>
    <w:rsid w:val="00987B00"/>
    <w:rsid w:val="00987C52"/>
    <w:rsid w:val="00987CA7"/>
    <w:rsid w:val="00987D88"/>
    <w:rsid w:val="00987DBA"/>
    <w:rsid w:val="009902CE"/>
    <w:rsid w:val="009903C3"/>
    <w:rsid w:val="009903CC"/>
    <w:rsid w:val="0099053F"/>
    <w:rsid w:val="009905DF"/>
    <w:rsid w:val="00990880"/>
    <w:rsid w:val="00990949"/>
    <w:rsid w:val="009909F5"/>
    <w:rsid w:val="00990B1D"/>
    <w:rsid w:val="00990C94"/>
    <w:rsid w:val="00990F0C"/>
    <w:rsid w:val="00991142"/>
    <w:rsid w:val="00991237"/>
    <w:rsid w:val="009913FD"/>
    <w:rsid w:val="0099173E"/>
    <w:rsid w:val="009917C2"/>
    <w:rsid w:val="00991919"/>
    <w:rsid w:val="00991A0B"/>
    <w:rsid w:val="00991A33"/>
    <w:rsid w:val="00991B57"/>
    <w:rsid w:val="00991DCD"/>
    <w:rsid w:val="00992115"/>
    <w:rsid w:val="0099227E"/>
    <w:rsid w:val="0099283A"/>
    <w:rsid w:val="00992CDB"/>
    <w:rsid w:val="00992F9B"/>
    <w:rsid w:val="00992FD4"/>
    <w:rsid w:val="009930BE"/>
    <w:rsid w:val="00993299"/>
    <w:rsid w:val="0099329E"/>
    <w:rsid w:val="00993484"/>
    <w:rsid w:val="00993617"/>
    <w:rsid w:val="0099370E"/>
    <w:rsid w:val="00993993"/>
    <w:rsid w:val="00993A1E"/>
    <w:rsid w:val="00993B7E"/>
    <w:rsid w:val="00993D4B"/>
    <w:rsid w:val="00993DC5"/>
    <w:rsid w:val="00994837"/>
    <w:rsid w:val="00994F37"/>
    <w:rsid w:val="00994F96"/>
    <w:rsid w:val="00994FEF"/>
    <w:rsid w:val="0099507D"/>
    <w:rsid w:val="00995135"/>
    <w:rsid w:val="00995177"/>
    <w:rsid w:val="00995235"/>
    <w:rsid w:val="00995798"/>
    <w:rsid w:val="0099581D"/>
    <w:rsid w:val="00995939"/>
    <w:rsid w:val="00995D53"/>
    <w:rsid w:val="0099634F"/>
    <w:rsid w:val="009963FA"/>
    <w:rsid w:val="00996650"/>
    <w:rsid w:val="00996725"/>
    <w:rsid w:val="009967C9"/>
    <w:rsid w:val="009967E1"/>
    <w:rsid w:val="00996A88"/>
    <w:rsid w:val="00996F1F"/>
    <w:rsid w:val="009970A5"/>
    <w:rsid w:val="0099727C"/>
    <w:rsid w:val="009973DC"/>
    <w:rsid w:val="0099761E"/>
    <w:rsid w:val="00997936"/>
    <w:rsid w:val="00997C45"/>
    <w:rsid w:val="00997EE9"/>
    <w:rsid w:val="00997F43"/>
    <w:rsid w:val="00997FDE"/>
    <w:rsid w:val="009A00E9"/>
    <w:rsid w:val="009A026C"/>
    <w:rsid w:val="009A02AA"/>
    <w:rsid w:val="009A03F1"/>
    <w:rsid w:val="009A064E"/>
    <w:rsid w:val="009A0777"/>
    <w:rsid w:val="009A0836"/>
    <w:rsid w:val="009A0848"/>
    <w:rsid w:val="009A09AE"/>
    <w:rsid w:val="009A09F0"/>
    <w:rsid w:val="009A0D64"/>
    <w:rsid w:val="009A138E"/>
    <w:rsid w:val="009A16DC"/>
    <w:rsid w:val="009A16FF"/>
    <w:rsid w:val="009A1C6E"/>
    <w:rsid w:val="009A1CF8"/>
    <w:rsid w:val="009A1D6D"/>
    <w:rsid w:val="009A2459"/>
    <w:rsid w:val="009A25ED"/>
    <w:rsid w:val="009A290E"/>
    <w:rsid w:val="009A2912"/>
    <w:rsid w:val="009A29F6"/>
    <w:rsid w:val="009A2EDF"/>
    <w:rsid w:val="009A31F8"/>
    <w:rsid w:val="009A3988"/>
    <w:rsid w:val="009A3FC4"/>
    <w:rsid w:val="009A423B"/>
    <w:rsid w:val="009A446C"/>
    <w:rsid w:val="009A46C8"/>
    <w:rsid w:val="009A4B86"/>
    <w:rsid w:val="009A4D24"/>
    <w:rsid w:val="009A4D73"/>
    <w:rsid w:val="009A4FA2"/>
    <w:rsid w:val="009A52D6"/>
    <w:rsid w:val="009A54D2"/>
    <w:rsid w:val="009A57A9"/>
    <w:rsid w:val="009A58C1"/>
    <w:rsid w:val="009A5912"/>
    <w:rsid w:val="009A5A1E"/>
    <w:rsid w:val="009A5AA5"/>
    <w:rsid w:val="009A5AF8"/>
    <w:rsid w:val="009A5AFF"/>
    <w:rsid w:val="009A5C1A"/>
    <w:rsid w:val="009A6316"/>
    <w:rsid w:val="009A65F9"/>
    <w:rsid w:val="009A6895"/>
    <w:rsid w:val="009A6A08"/>
    <w:rsid w:val="009A6AD1"/>
    <w:rsid w:val="009A6C72"/>
    <w:rsid w:val="009A6D80"/>
    <w:rsid w:val="009A6F50"/>
    <w:rsid w:val="009A6FAE"/>
    <w:rsid w:val="009A7350"/>
    <w:rsid w:val="009A73D3"/>
    <w:rsid w:val="009A73F2"/>
    <w:rsid w:val="009A747D"/>
    <w:rsid w:val="009A7613"/>
    <w:rsid w:val="009A7641"/>
    <w:rsid w:val="009A77F5"/>
    <w:rsid w:val="009A7957"/>
    <w:rsid w:val="009A796C"/>
    <w:rsid w:val="009A7D39"/>
    <w:rsid w:val="009A7E6D"/>
    <w:rsid w:val="009B02B7"/>
    <w:rsid w:val="009B076A"/>
    <w:rsid w:val="009B086D"/>
    <w:rsid w:val="009B0B10"/>
    <w:rsid w:val="009B0B77"/>
    <w:rsid w:val="009B0DBB"/>
    <w:rsid w:val="009B1119"/>
    <w:rsid w:val="009B1289"/>
    <w:rsid w:val="009B1339"/>
    <w:rsid w:val="009B1697"/>
    <w:rsid w:val="009B17A8"/>
    <w:rsid w:val="009B1A04"/>
    <w:rsid w:val="009B1B59"/>
    <w:rsid w:val="009B1D58"/>
    <w:rsid w:val="009B2107"/>
    <w:rsid w:val="009B2256"/>
    <w:rsid w:val="009B23FC"/>
    <w:rsid w:val="009B27B9"/>
    <w:rsid w:val="009B29B9"/>
    <w:rsid w:val="009B2B0D"/>
    <w:rsid w:val="009B2DCE"/>
    <w:rsid w:val="009B2F23"/>
    <w:rsid w:val="009B2F4B"/>
    <w:rsid w:val="009B372D"/>
    <w:rsid w:val="009B3BB1"/>
    <w:rsid w:val="009B3C37"/>
    <w:rsid w:val="009B3C6A"/>
    <w:rsid w:val="009B3ED5"/>
    <w:rsid w:val="009B3F9A"/>
    <w:rsid w:val="009B3FFE"/>
    <w:rsid w:val="009B496D"/>
    <w:rsid w:val="009B4A11"/>
    <w:rsid w:val="009B4C0C"/>
    <w:rsid w:val="009B4C66"/>
    <w:rsid w:val="009B4EB4"/>
    <w:rsid w:val="009B4F26"/>
    <w:rsid w:val="009B4FD2"/>
    <w:rsid w:val="009B57FB"/>
    <w:rsid w:val="009B594B"/>
    <w:rsid w:val="009B5D0C"/>
    <w:rsid w:val="009B5EF6"/>
    <w:rsid w:val="009B6047"/>
    <w:rsid w:val="009B6C7B"/>
    <w:rsid w:val="009B6D33"/>
    <w:rsid w:val="009B6D35"/>
    <w:rsid w:val="009B6FEE"/>
    <w:rsid w:val="009B7038"/>
    <w:rsid w:val="009B7443"/>
    <w:rsid w:val="009B773E"/>
    <w:rsid w:val="009B781B"/>
    <w:rsid w:val="009B78A9"/>
    <w:rsid w:val="009B7CE8"/>
    <w:rsid w:val="009C008D"/>
    <w:rsid w:val="009C02A9"/>
    <w:rsid w:val="009C045E"/>
    <w:rsid w:val="009C0AE6"/>
    <w:rsid w:val="009C0B1B"/>
    <w:rsid w:val="009C0DDF"/>
    <w:rsid w:val="009C0E96"/>
    <w:rsid w:val="009C0EC5"/>
    <w:rsid w:val="009C1255"/>
    <w:rsid w:val="009C1284"/>
    <w:rsid w:val="009C130E"/>
    <w:rsid w:val="009C1870"/>
    <w:rsid w:val="009C1BEE"/>
    <w:rsid w:val="009C2077"/>
    <w:rsid w:val="009C208A"/>
    <w:rsid w:val="009C20F8"/>
    <w:rsid w:val="009C25D2"/>
    <w:rsid w:val="009C27A3"/>
    <w:rsid w:val="009C29E0"/>
    <w:rsid w:val="009C2AAC"/>
    <w:rsid w:val="009C2C24"/>
    <w:rsid w:val="009C2DE1"/>
    <w:rsid w:val="009C2ED5"/>
    <w:rsid w:val="009C3497"/>
    <w:rsid w:val="009C3A49"/>
    <w:rsid w:val="009C3AD9"/>
    <w:rsid w:val="009C40FE"/>
    <w:rsid w:val="009C4188"/>
    <w:rsid w:val="009C46FF"/>
    <w:rsid w:val="009C49EB"/>
    <w:rsid w:val="009C4C35"/>
    <w:rsid w:val="009C4D58"/>
    <w:rsid w:val="009C501F"/>
    <w:rsid w:val="009C509B"/>
    <w:rsid w:val="009C51A2"/>
    <w:rsid w:val="009C541F"/>
    <w:rsid w:val="009C5529"/>
    <w:rsid w:val="009C5677"/>
    <w:rsid w:val="009C5A98"/>
    <w:rsid w:val="009C5E6B"/>
    <w:rsid w:val="009C6405"/>
    <w:rsid w:val="009C65A4"/>
    <w:rsid w:val="009C6932"/>
    <w:rsid w:val="009C6A36"/>
    <w:rsid w:val="009C6CA4"/>
    <w:rsid w:val="009C6FC6"/>
    <w:rsid w:val="009C7531"/>
    <w:rsid w:val="009C75C1"/>
    <w:rsid w:val="009C75C4"/>
    <w:rsid w:val="009C76AE"/>
    <w:rsid w:val="009C7B01"/>
    <w:rsid w:val="009C7C4A"/>
    <w:rsid w:val="009C7D74"/>
    <w:rsid w:val="009C7DC2"/>
    <w:rsid w:val="009C7E73"/>
    <w:rsid w:val="009D00DE"/>
    <w:rsid w:val="009D05C7"/>
    <w:rsid w:val="009D080E"/>
    <w:rsid w:val="009D0DDD"/>
    <w:rsid w:val="009D0E7E"/>
    <w:rsid w:val="009D11E9"/>
    <w:rsid w:val="009D1257"/>
    <w:rsid w:val="009D1261"/>
    <w:rsid w:val="009D126F"/>
    <w:rsid w:val="009D1437"/>
    <w:rsid w:val="009D14A5"/>
    <w:rsid w:val="009D155B"/>
    <w:rsid w:val="009D2057"/>
    <w:rsid w:val="009D2389"/>
    <w:rsid w:val="009D2C54"/>
    <w:rsid w:val="009D2EF4"/>
    <w:rsid w:val="009D325F"/>
    <w:rsid w:val="009D389D"/>
    <w:rsid w:val="009D3988"/>
    <w:rsid w:val="009D3EFA"/>
    <w:rsid w:val="009D3F29"/>
    <w:rsid w:val="009D3F94"/>
    <w:rsid w:val="009D4092"/>
    <w:rsid w:val="009D40F2"/>
    <w:rsid w:val="009D41D0"/>
    <w:rsid w:val="009D431D"/>
    <w:rsid w:val="009D43F2"/>
    <w:rsid w:val="009D4527"/>
    <w:rsid w:val="009D452E"/>
    <w:rsid w:val="009D465A"/>
    <w:rsid w:val="009D4924"/>
    <w:rsid w:val="009D4B35"/>
    <w:rsid w:val="009D4B52"/>
    <w:rsid w:val="009D4FFE"/>
    <w:rsid w:val="009D5102"/>
    <w:rsid w:val="009D53A3"/>
    <w:rsid w:val="009D5B0A"/>
    <w:rsid w:val="009D5C57"/>
    <w:rsid w:val="009D5CE7"/>
    <w:rsid w:val="009D640A"/>
    <w:rsid w:val="009D6696"/>
    <w:rsid w:val="009D67FA"/>
    <w:rsid w:val="009D6A01"/>
    <w:rsid w:val="009D6A49"/>
    <w:rsid w:val="009D6AC2"/>
    <w:rsid w:val="009D6C95"/>
    <w:rsid w:val="009D6DB1"/>
    <w:rsid w:val="009D6F0D"/>
    <w:rsid w:val="009D7018"/>
    <w:rsid w:val="009D70C7"/>
    <w:rsid w:val="009D74B1"/>
    <w:rsid w:val="009D7CD9"/>
    <w:rsid w:val="009D7CF8"/>
    <w:rsid w:val="009E0180"/>
    <w:rsid w:val="009E039E"/>
    <w:rsid w:val="009E07A8"/>
    <w:rsid w:val="009E07D5"/>
    <w:rsid w:val="009E0CA4"/>
    <w:rsid w:val="009E0CE7"/>
    <w:rsid w:val="009E0F6B"/>
    <w:rsid w:val="009E11A9"/>
    <w:rsid w:val="009E1362"/>
    <w:rsid w:val="009E1539"/>
    <w:rsid w:val="009E168D"/>
    <w:rsid w:val="009E1708"/>
    <w:rsid w:val="009E1BC4"/>
    <w:rsid w:val="009E1C04"/>
    <w:rsid w:val="009E1D33"/>
    <w:rsid w:val="009E1E7F"/>
    <w:rsid w:val="009E1FEC"/>
    <w:rsid w:val="009E231F"/>
    <w:rsid w:val="009E24E3"/>
    <w:rsid w:val="009E2600"/>
    <w:rsid w:val="009E267F"/>
    <w:rsid w:val="009E269E"/>
    <w:rsid w:val="009E26A8"/>
    <w:rsid w:val="009E2785"/>
    <w:rsid w:val="009E27F0"/>
    <w:rsid w:val="009E2800"/>
    <w:rsid w:val="009E2853"/>
    <w:rsid w:val="009E2A3D"/>
    <w:rsid w:val="009E2B66"/>
    <w:rsid w:val="009E2DB6"/>
    <w:rsid w:val="009E332F"/>
    <w:rsid w:val="009E33DB"/>
    <w:rsid w:val="009E346E"/>
    <w:rsid w:val="009E42D0"/>
    <w:rsid w:val="009E4436"/>
    <w:rsid w:val="009E44BE"/>
    <w:rsid w:val="009E463C"/>
    <w:rsid w:val="009E4A4C"/>
    <w:rsid w:val="009E5358"/>
    <w:rsid w:val="009E5564"/>
    <w:rsid w:val="009E55C7"/>
    <w:rsid w:val="009E5732"/>
    <w:rsid w:val="009E5A45"/>
    <w:rsid w:val="009E5B6D"/>
    <w:rsid w:val="009E5EDF"/>
    <w:rsid w:val="009E660B"/>
    <w:rsid w:val="009E6908"/>
    <w:rsid w:val="009E6AD3"/>
    <w:rsid w:val="009E6B94"/>
    <w:rsid w:val="009E6C3D"/>
    <w:rsid w:val="009E6CAE"/>
    <w:rsid w:val="009E6D67"/>
    <w:rsid w:val="009E6EB2"/>
    <w:rsid w:val="009E703D"/>
    <w:rsid w:val="009E7335"/>
    <w:rsid w:val="009E7343"/>
    <w:rsid w:val="009E74C8"/>
    <w:rsid w:val="009E74D8"/>
    <w:rsid w:val="009E7597"/>
    <w:rsid w:val="009E75CF"/>
    <w:rsid w:val="009E75D6"/>
    <w:rsid w:val="009E7B40"/>
    <w:rsid w:val="009E7B91"/>
    <w:rsid w:val="009E7E0C"/>
    <w:rsid w:val="009F029F"/>
    <w:rsid w:val="009F049C"/>
    <w:rsid w:val="009F0898"/>
    <w:rsid w:val="009F09B5"/>
    <w:rsid w:val="009F0B57"/>
    <w:rsid w:val="009F0CD6"/>
    <w:rsid w:val="009F0D20"/>
    <w:rsid w:val="009F0F41"/>
    <w:rsid w:val="009F1022"/>
    <w:rsid w:val="009F12B2"/>
    <w:rsid w:val="009F1350"/>
    <w:rsid w:val="009F1484"/>
    <w:rsid w:val="009F1686"/>
    <w:rsid w:val="009F186A"/>
    <w:rsid w:val="009F1ACD"/>
    <w:rsid w:val="009F1B10"/>
    <w:rsid w:val="009F1B12"/>
    <w:rsid w:val="009F1EB9"/>
    <w:rsid w:val="009F1F15"/>
    <w:rsid w:val="009F2321"/>
    <w:rsid w:val="009F24B6"/>
    <w:rsid w:val="009F25B4"/>
    <w:rsid w:val="009F2F48"/>
    <w:rsid w:val="009F3307"/>
    <w:rsid w:val="009F3544"/>
    <w:rsid w:val="009F369F"/>
    <w:rsid w:val="009F376A"/>
    <w:rsid w:val="009F3E01"/>
    <w:rsid w:val="009F3F52"/>
    <w:rsid w:val="009F459B"/>
    <w:rsid w:val="009F4A24"/>
    <w:rsid w:val="009F4BAE"/>
    <w:rsid w:val="009F4E34"/>
    <w:rsid w:val="009F50B9"/>
    <w:rsid w:val="009F52E6"/>
    <w:rsid w:val="009F531C"/>
    <w:rsid w:val="009F5411"/>
    <w:rsid w:val="009F542E"/>
    <w:rsid w:val="009F570C"/>
    <w:rsid w:val="009F57B5"/>
    <w:rsid w:val="009F5981"/>
    <w:rsid w:val="009F5A74"/>
    <w:rsid w:val="009F5B12"/>
    <w:rsid w:val="009F6070"/>
    <w:rsid w:val="009F631D"/>
    <w:rsid w:val="009F6554"/>
    <w:rsid w:val="009F6791"/>
    <w:rsid w:val="009F6A8B"/>
    <w:rsid w:val="009F6B64"/>
    <w:rsid w:val="009F6F66"/>
    <w:rsid w:val="009F6FF4"/>
    <w:rsid w:val="009F7012"/>
    <w:rsid w:val="009F72EB"/>
    <w:rsid w:val="009F7349"/>
    <w:rsid w:val="009F7434"/>
    <w:rsid w:val="009F777A"/>
    <w:rsid w:val="009F781B"/>
    <w:rsid w:val="009F7AE2"/>
    <w:rsid w:val="009F7DFB"/>
    <w:rsid w:val="00A003E8"/>
    <w:rsid w:val="00A005C4"/>
    <w:rsid w:val="00A008F8"/>
    <w:rsid w:val="00A00A16"/>
    <w:rsid w:val="00A00B5C"/>
    <w:rsid w:val="00A00EC8"/>
    <w:rsid w:val="00A00EDA"/>
    <w:rsid w:val="00A00F27"/>
    <w:rsid w:val="00A00FD0"/>
    <w:rsid w:val="00A011E9"/>
    <w:rsid w:val="00A01274"/>
    <w:rsid w:val="00A013A0"/>
    <w:rsid w:val="00A0169E"/>
    <w:rsid w:val="00A01726"/>
    <w:rsid w:val="00A01826"/>
    <w:rsid w:val="00A019A9"/>
    <w:rsid w:val="00A01C40"/>
    <w:rsid w:val="00A01C7C"/>
    <w:rsid w:val="00A01D00"/>
    <w:rsid w:val="00A01D3B"/>
    <w:rsid w:val="00A01FA4"/>
    <w:rsid w:val="00A02262"/>
    <w:rsid w:val="00A0234D"/>
    <w:rsid w:val="00A025FE"/>
    <w:rsid w:val="00A02849"/>
    <w:rsid w:val="00A02D34"/>
    <w:rsid w:val="00A02DEE"/>
    <w:rsid w:val="00A02E90"/>
    <w:rsid w:val="00A02F03"/>
    <w:rsid w:val="00A030A2"/>
    <w:rsid w:val="00A032AA"/>
    <w:rsid w:val="00A0345A"/>
    <w:rsid w:val="00A039AC"/>
    <w:rsid w:val="00A03B22"/>
    <w:rsid w:val="00A03C46"/>
    <w:rsid w:val="00A03CF8"/>
    <w:rsid w:val="00A04318"/>
    <w:rsid w:val="00A043C4"/>
    <w:rsid w:val="00A0449C"/>
    <w:rsid w:val="00A0458C"/>
    <w:rsid w:val="00A0486A"/>
    <w:rsid w:val="00A04A55"/>
    <w:rsid w:val="00A04AF1"/>
    <w:rsid w:val="00A04AF4"/>
    <w:rsid w:val="00A05178"/>
    <w:rsid w:val="00A051C1"/>
    <w:rsid w:val="00A0525A"/>
    <w:rsid w:val="00A05359"/>
    <w:rsid w:val="00A0554E"/>
    <w:rsid w:val="00A05667"/>
    <w:rsid w:val="00A05957"/>
    <w:rsid w:val="00A05C0B"/>
    <w:rsid w:val="00A06442"/>
    <w:rsid w:val="00A068D5"/>
    <w:rsid w:val="00A06CED"/>
    <w:rsid w:val="00A06DD4"/>
    <w:rsid w:val="00A06DE9"/>
    <w:rsid w:val="00A070E6"/>
    <w:rsid w:val="00A07258"/>
    <w:rsid w:val="00A075EA"/>
    <w:rsid w:val="00A07794"/>
    <w:rsid w:val="00A07B1F"/>
    <w:rsid w:val="00A07B69"/>
    <w:rsid w:val="00A07C82"/>
    <w:rsid w:val="00A07FF8"/>
    <w:rsid w:val="00A101B6"/>
    <w:rsid w:val="00A10653"/>
    <w:rsid w:val="00A10869"/>
    <w:rsid w:val="00A1094A"/>
    <w:rsid w:val="00A109FF"/>
    <w:rsid w:val="00A10A76"/>
    <w:rsid w:val="00A10C56"/>
    <w:rsid w:val="00A11213"/>
    <w:rsid w:val="00A11409"/>
    <w:rsid w:val="00A11AD7"/>
    <w:rsid w:val="00A11E07"/>
    <w:rsid w:val="00A12484"/>
    <w:rsid w:val="00A128B4"/>
    <w:rsid w:val="00A12947"/>
    <w:rsid w:val="00A1299D"/>
    <w:rsid w:val="00A12B8E"/>
    <w:rsid w:val="00A12E54"/>
    <w:rsid w:val="00A12EAC"/>
    <w:rsid w:val="00A1329B"/>
    <w:rsid w:val="00A133A0"/>
    <w:rsid w:val="00A134D0"/>
    <w:rsid w:val="00A138AC"/>
    <w:rsid w:val="00A13927"/>
    <w:rsid w:val="00A139B1"/>
    <w:rsid w:val="00A13A1F"/>
    <w:rsid w:val="00A13B10"/>
    <w:rsid w:val="00A13C72"/>
    <w:rsid w:val="00A13C84"/>
    <w:rsid w:val="00A13E02"/>
    <w:rsid w:val="00A13E94"/>
    <w:rsid w:val="00A13EC6"/>
    <w:rsid w:val="00A1401E"/>
    <w:rsid w:val="00A14100"/>
    <w:rsid w:val="00A14326"/>
    <w:rsid w:val="00A14531"/>
    <w:rsid w:val="00A1453B"/>
    <w:rsid w:val="00A1465E"/>
    <w:rsid w:val="00A14780"/>
    <w:rsid w:val="00A149C8"/>
    <w:rsid w:val="00A14B11"/>
    <w:rsid w:val="00A14C6B"/>
    <w:rsid w:val="00A14EC4"/>
    <w:rsid w:val="00A15034"/>
    <w:rsid w:val="00A1506E"/>
    <w:rsid w:val="00A150FC"/>
    <w:rsid w:val="00A15206"/>
    <w:rsid w:val="00A154F7"/>
    <w:rsid w:val="00A15616"/>
    <w:rsid w:val="00A1567E"/>
    <w:rsid w:val="00A15D1D"/>
    <w:rsid w:val="00A16389"/>
    <w:rsid w:val="00A163C0"/>
    <w:rsid w:val="00A163F9"/>
    <w:rsid w:val="00A163FD"/>
    <w:rsid w:val="00A16932"/>
    <w:rsid w:val="00A16BA9"/>
    <w:rsid w:val="00A16E6C"/>
    <w:rsid w:val="00A16EAF"/>
    <w:rsid w:val="00A16F84"/>
    <w:rsid w:val="00A17279"/>
    <w:rsid w:val="00A17436"/>
    <w:rsid w:val="00A1795A"/>
    <w:rsid w:val="00A17ADA"/>
    <w:rsid w:val="00A2016B"/>
    <w:rsid w:val="00A20217"/>
    <w:rsid w:val="00A203E5"/>
    <w:rsid w:val="00A20643"/>
    <w:rsid w:val="00A20C38"/>
    <w:rsid w:val="00A20F42"/>
    <w:rsid w:val="00A2104A"/>
    <w:rsid w:val="00A211CE"/>
    <w:rsid w:val="00A211FB"/>
    <w:rsid w:val="00A21270"/>
    <w:rsid w:val="00A2130C"/>
    <w:rsid w:val="00A21359"/>
    <w:rsid w:val="00A213B6"/>
    <w:rsid w:val="00A21522"/>
    <w:rsid w:val="00A2164E"/>
    <w:rsid w:val="00A21B44"/>
    <w:rsid w:val="00A21B99"/>
    <w:rsid w:val="00A21D36"/>
    <w:rsid w:val="00A22034"/>
    <w:rsid w:val="00A22994"/>
    <w:rsid w:val="00A22A2C"/>
    <w:rsid w:val="00A232D5"/>
    <w:rsid w:val="00A2357F"/>
    <w:rsid w:val="00A236DC"/>
    <w:rsid w:val="00A23746"/>
    <w:rsid w:val="00A23C37"/>
    <w:rsid w:val="00A23CCA"/>
    <w:rsid w:val="00A23F5A"/>
    <w:rsid w:val="00A240F5"/>
    <w:rsid w:val="00A24105"/>
    <w:rsid w:val="00A241DF"/>
    <w:rsid w:val="00A2429E"/>
    <w:rsid w:val="00A25217"/>
    <w:rsid w:val="00A2525E"/>
    <w:rsid w:val="00A25425"/>
    <w:rsid w:val="00A25476"/>
    <w:rsid w:val="00A255BF"/>
    <w:rsid w:val="00A2578E"/>
    <w:rsid w:val="00A25843"/>
    <w:rsid w:val="00A25C07"/>
    <w:rsid w:val="00A26179"/>
    <w:rsid w:val="00A263E4"/>
    <w:rsid w:val="00A26669"/>
    <w:rsid w:val="00A267DF"/>
    <w:rsid w:val="00A26875"/>
    <w:rsid w:val="00A26B0B"/>
    <w:rsid w:val="00A26B1B"/>
    <w:rsid w:val="00A27329"/>
    <w:rsid w:val="00A273A2"/>
    <w:rsid w:val="00A273A3"/>
    <w:rsid w:val="00A273A9"/>
    <w:rsid w:val="00A27464"/>
    <w:rsid w:val="00A27528"/>
    <w:rsid w:val="00A275C1"/>
    <w:rsid w:val="00A2786F"/>
    <w:rsid w:val="00A27B8F"/>
    <w:rsid w:val="00A27CEF"/>
    <w:rsid w:val="00A27D1C"/>
    <w:rsid w:val="00A30089"/>
    <w:rsid w:val="00A301D3"/>
    <w:rsid w:val="00A30383"/>
    <w:rsid w:val="00A30392"/>
    <w:rsid w:val="00A3046C"/>
    <w:rsid w:val="00A309A1"/>
    <w:rsid w:val="00A30BAD"/>
    <w:rsid w:val="00A30C9A"/>
    <w:rsid w:val="00A30E0E"/>
    <w:rsid w:val="00A3122B"/>
    <w:rsid w:val="00A313E5"/>
    <w:rsid w:val="00A316D5"/>
    <w:rsid w:val="00A31A53"/>
    <w:rsid w:val="00A31D37"/>
    <w:rsid w:val="00A31D8A"/>
    <w:rsid w:val="00A31DD9"/>
    <w:rsid w:val="00A31EEA"/>
    <w:rsid w:val="00A320D2"/>
    <w:rsid w:val="00A320E5"/>
    <w:rsid w:val="00A32143"/>
    <w:rsid w:val="00A329E0"/>
    <w:rsid w:val="00A329F6"/>
    <w:rsid w:val="00A32AF0"/>
    <w:rsid w:val="00A32C3A"/>
    <w:rsid w:val="00A32E09"/>
    <w:rsid w:val="00A32FAF"/>
    <w:rsid w:val="00A3305E"/>
    <w:rsid w:val="00A33915"/>
    <w:rsid w:val="00A33AE5"/>
    <w:rsid w:val="00A33B32"/>
    <w:rsid w:val="00A33DE2"/>
    <w:rsid w:val="00A3417E"/>
    <w:rsid w:val="00A341B8"/>
    <w:rsid w:val="00A3447D"/>
    <w:rsid w:val="00A34517"/>
    <w:rsid w:val="00A34746"/>
    <w:rsid w:val="00A3479B"/>
    <w:rsid w:val="00A34D76"/>
    <w:rsid w:val="00A34FD5"/>
    <w:rsid w:val="00A3524D"/>
    <w:rsid w:val="00A3532C"/>
    <w:rsid w:val="00A3533D"/>
    <w:rsid w:val="00A353E6"/>
    <w:rsid w:val="00A35429"/>
    <w:rsid w:val="00A35542"/>
    <w:rsid w:val="00A35B1C"/>
    <w:rsid w:val="00A35BA4"/>
    <w:rsid w:val="00A35C54"/>
    <w:rsid w:val="00A35EA0"/>
    <w:rsid w:val="00A36013"/>
    <w:rsid w:val="00A36186"/>
    <w:rsid w:val="00A361C5"/>
    <w:rsid w:val="00A362B8"/>
    <w:rsid w:val="00A3632A"/>
    <w:rsid w:val="00A36A7D"/>
    <w:rsid w:val="00A36AA5"/>
    <w:rsid w:val="00A36CA9"/>
    <w:rsid w:val="00A36D62"/>
    <w:rsid w:val="00A36D69"/>
    <w:rsid w:val="00A36F55"/>
    <w:rsid w:val="00A36FF6"/>
    <w:rsid w:val="00A372BB"/>
    <w:rsid w:val="00A37568"/>
    <w:rsid w:val="00A37731"/>
    <w:rsid w:val="00A37A6A"/>
    <w:rsid w:val="00A37B52"/>
    <w:rsid w:val="00A37F09"/>
    <w:rsid w:val="00A400E0"/>
    <w:rsid w:val="00A40404"/>
    <w:rsid w:val="00A404A1"/>
    <w:rsid w:val="00A40618"/>
    <w:rsid w:val="00A408C3"/>
    <w:rsid w:val="00A41358"/>
    <w:rsid w:val="00A414B8"/>
    <w:rsid w:val="00A417DE"/>
    <w:rsid w:val="00A418F6"/>
    <w:rsid w:val="00A41AF3"/>
    <w:rsid w:val="00A4209A"/>
    <w:rsid w:val="00A4211F"/>
    <w:rsid w:val="00A421E3"/>
    <w:rsid w:val="00A42562"/>
    <w:rsid w:val="00A426A3"/>
    <w:rsid w:val="00A426D6"/>
    <w:rsid w:val="00A42A81"/>
    <w:rsid w:val="00A42B6B"/>
    <w:rsid w:val="00A42C62"/>
    <w:rsid w:val="00A42C6C"/>
    <w:rsid w:val="00A42E3D"/>
    <w:rsid w:val="00A4317F"/>
    <w:rsid w:val="00A4319B"/>
    <w:rsid w:val="00A4322A"/>
    <w:rsid w:val="00A43313"/>
    <w:rsid w:val="00A43342"/>
    <w:rsid w:val="00A4369C"/>
    <w:rsid w:val="00A436C9"/>
    <w:rsid w:val="00A437E3"/>
    <w:rsid w:val="00A43920"/>
    <w:rsid w:val="00A43A94"/>
    <w:rsid w:val="00A43ECA"/>
    <w:rsid w:val="00A44159"/>
    <w:rsid w:val="00A44187"/>
    <w:rsid w:val="00A44277"/>
    <w:rsid w:val="00A443F7"/>
    <w:rsid w:val="00A445C7"/>
    <w:rsid w:val="00A44B16"/>
    <w:rsid w:val="00A44CB3"/>
    <w:rsid w:val="00A44CC8"/>
    <w:rsid w:val="00A44DD6"/>
    <w:rsid w:val="00A44EF2"/>
    <w:rsid w:val="00A450DD"/>
    <w:rsid w:val="00A457F4"/>
    <w:rsid w:val="00A45825"/>
    <w:rsid w:val="00A45A87"/>
    <w:rsid w:val="00A45C1D"/>
    <w:rsid w:val="00A45C21"/>
    <w:rsid w:val="00A45D9E"/>
    <w:rsid w:val="00A46035"/>
    <w:rsid w:val="00A4643F"/>
    <w:rsid w:val="00A46469"/>
    <w:rsid w:val="00A464BB"/>
    <w:rsid w:val="00A46567"/>
    <w:rsid w:val="00A466FA"/>
    <w:rsid w:val="00A46704"/>
    <w:rsid w:val="00A46851"/>
    <w:rsid w:val="00A46A6B"/>
    <w:rsid w:val="00A46B6C"/>
    <w:rsid w:val="00A46D30"/>
    <w:rsid w:val="00A46DB2"/>
    <w:rsid w:val="00A46E1A"/>
    <w:rsid w:val="00A46EE0"/>
    <w:rsid w:val="00A46F98"/>
    <w:rsid w:val="00A4725A"/>
    <w:rsid w:val="00A47389"/>
    <w:rsid w:val="00A47500"/>
    <w:rsid w:val="00A4795C"/>
    <w:rsid w:val="00A47BEA"/>
    <w:rsid w:val="00A47E74"/>
    <w:rsid w:val="00A50C92"/>
    <w:rsid w:val="00A50D86"/>
    <w:rsid w:val="00A50E72"/>
    <w:rsid w:val="00A50F3B"/>
    <w:rsid w:val="00A51227"/>
    <w:rsid w:val="00A514DD"/>
    <w:rsid w:val="00A51A5A"/>
    <w:rsid w:val="00A51BAE"/>
    <w:rsid w:val="00A51FE4"/>
    <w:rsid w:val="00A524F2"/>
    <w:rsid w:val="00A52618"/>
    <w:rsid w:val="00A52A1C"/>
    <w:rsid w:val="00A52C8B"/>
    <w:rsid w:val="00A52CE1"/>
    <w:rsid w:val="00A52DDC"/>
    <w:rsid w:val="00A52F4A"/>
    <w:rsid w:val="00A5307D"/>
    <w:rsid w:val="00A530AE"/>
    <w:rsid w:val="00A53741"/>
    <w:rsid w:val="00A537A0"/>
    <w:rsid w:val="00A537AC"/>
    <w:rsid w:val="00A537E5"/>
    <w:rsid w:val="00A53944"/>
    <w:rsid w:val="00A53967"/>
    <w:rsid w:val="00A54084"/>
    <w:rsid w:val="00A544DA"/>
    <w:rsid w:val="00A54573"/>
    <w:rsid w:val="00A54641"/>
    <w:rsid w:val="00A5467C"/>
    <w:rsid w:val="00A547E5"/>
    <w:rsid w:val="00A5483D"/>
    <w:rsid w:val="00A54AD1"/>
    <w:rsid w:val="00A54B00"/>
    <w:rsid w:val="00A550FB"/>
    <w:rsid w:val="00A55435"/>
    <w:rsid w:val="00A55439"/>
    <w:rsid w:val="00A5569A"/>
    <w:rsid w:val="00A55B32"/>
    <w:rsid w:val="00A55E35"/>
    <w:rsid w:val="00A562AE"/>
    <w:rsid w:val="00A56591"/>
    <w:rsid w:val="00A5662D"/>
    <w:rsid w:val="00A56A22"/>
    <w:rsid w:val="00A56B99"/>
    <w:rsid w:val="00A56E5C"/>
    <w:rsid w:val="00A56F09"/>
    <w:rsid w:val="00A56FA1"/>
    <w:rsid w:val="00A573FE"/>
    <w:rsid w:val="00A57441"/>
    <w:rsid w:val="00A57497"/>
    <w:rsid w:val="00A5775B"/>
    <w:rsid w:val="00A5793F"/>
    <w:rsid w:val="00A579BE"/>
    <w:rsid w:val="00A57A68"/>
    <w:rsid w:val="00A57B40"/>
    <w:rsid w:val="00A57B67"/>
    <w:rsid w:val="00A57C64"/>
    <w:rsid w:val="00A60147"/>
    <w:rsid w:val="00A60966"/>
    <w:rsid w:val="00A60C66"/>
    <w:rsid w:val="00A60DBE"/>
    <w:rsid w:val="00A60E47"/>
    <w:rsid w:val="00A60FAC"/>
    <w:rsid w:val="00A611AC"/>
    <w:rsid w:val="00A61227"/>
    <w:rsid w:val="00A6136A"/>
    <w:rsid w:val="00A61429"/>
    <w:rsid w:val="00A6156D"/>
    <w:rsid w:val="00A61725"/>
    <w:rsid w:val="00A6180F"/>
    <w:rsid w:val="00A618FC"/>
    <w:rsid w:val="00A61935"/>
    <w:rsid w:val="00A61B38"/>
    <w:rsid w:val="00A61CC8"/>
    <w:rsid w:val="00A61CCD"/>
    <w:rsid w:val="00A61DF1"/>
    <w:rsid w:val="00A622A9"/>
    <w:rsid w:val="00A62641"/>
    <w:rsid w:val="00A62689"/>
    <w:rsid w:val="00A62953"/>
    <w:rsid w:val="00A62BDE"/>
    <w:rsid w:val="00A62CE7"/>
    <w:rsid w:val="00A6334E"/>
    <w:rsid w:val="00A63398"/>
    <w:rsid w:val="00A634D9"/>
    <w:rsid w:val="00A634E5"/>
    <w:rsid w:val="00A6357E"/>
    <w:rsid w:val="00A63791"/>
    <w:rsid w:val="00A63D5B"/>
    <w:rsid w:val="00A63E5D"/>
    <w:rsid w:val="00A642DA"/>
    <w:rsid w:val="00A6452D"/>
    <w:rsid w:val="00A64585"/>
    <w:rsid w:val="00A64705"/>
    <w:rsid w:val="00A64841"/>
    <w:rsid w:val="00A64A41"/>
    <w:rsid w:val="00A64BBC"/>
    <w:rsid w:val="00A64F80"/>
    <w:rsid w:val="00A6518D"/>
    <w:rsid w:val="00A65A76"/>
    <w:rsid w:val="00A65AD9"/>
    <w:rsid w:val="00A664F3"/>
    <w:rsid w:val="00A66598"/>
    <w:rsid w:val="00A668F8"/>
    <w:rsid w:val="00A66A92"/>
    <w:rsid w:val="00A67164"/>
    <w:rsid w:val="00A67187"/>
    <w:rsid w:val="00A67951"/>
    <w:rsid w:val="00A67BB0"/>
    <w:rsid w:val="00A67CF4"/>
    <w:rsid w:val="00A67ED7"/>
    <w:rsid w:val="00A70367"/>
    <w:rsid w:val="00A7046E"/>
    <w:rsid w:val="00A7055D"/>
    <w:rsid w:val="00A70929"/>
    <w:rsid w:val="00A70A39"/>
    <w:rsid w:val="00A70D89"/>
    <w:rsid w:val="00A70D9F"/>
    <w:rsid w:val="00A71226"/>
    <w:rsid w:val="00A71355"/>
    <w:rsid w:val="00A7139D"/>
    <w:rsid w:val="00A713BF"/>
    <w:rsid w:val="00A718A2"/>
    <w:rsid w:val="00A71BC7"/>
    <w:rsid w:val="00A71BFB"/>
    <w:rsid w:val="00A7214E"/>
    <w:rsid w:val="00A721D8"/>
    <w:rsid w:val="00A72249"/>
    <w:rsid w:val="00A729E9"/>
    <w:rsid w:val="00A72C6A"/>
    <w:rsid w:val="00A72FF9"/>
    <w:rsid w:val="00A7309E"/>
    <w:rsid w:val="00A731DD"/>
    <w:rsid w:val="00A73313"/>
    <w:rsid w:val="00A7363A"/>
    <w:rsid w:val="00A7383D"/>
    <w:rsid w:val="00A738F3"/>
    <w:rsid w:val="00A73973"/>
    <w:rsid w:val="00A73D19"/>
    <w:rsid w:val="00A73EF4"/>
    <w:rsid w:val="00A740A6"/>
    <w:rsid w:val="00A741B1"/>
    <w:rsid w:val="00A74327"/>
    <w:rsid w:val="00A74454"/>
    <w:rsid w:val="00A744A3"/>
    <w:rsid w:val="00A74511"/>
    <w:rsid w:val="00A7466C"/>
    <w:rsid w:val="00A74B94"/>
    <w:rsid w:val="00A74F41"/>
    <w:rsid w:val="00A7506C"/>
    <w:rsid w:val="00A7523D"/>
    <w:rsid w:val="00A7529F"/>
    <w:rsid w:val="00A7543D"/>
    <w:rsid w:val="00A75588"/>
    <w:rsid w:val="00A756E5"/>
    <w:rsid w:val="00A75ADF"/>
    <w:rsid w:val="00A75B71"/>
    <w:rsid w:val="00A7613C"/>
    <w:rsid w:val="00A767A7"/>
    <w:rsid w:val="00A769F0"/>
    <w:rsid w:val="00A76BC3"/>
    <w:rsid w:val="00A76CFF"/>
    <w:rsid w:val="00A76D81"/>
    <w:rsid w:val="00A76E06"/>
    <w:rsid w:val="00A77282"/>
    <w:rsid w:val="00A777D9"/>
    <w:rsid w:val="00A77B1B"/>
    <w:rsid w:val="00A77E2F"/>
    <w:rsid w:val="00A80119"/>
    <w:rsid w:val="00A802B5"/>
    <w:rsid w:val="00A804A2"/>
    <w:rsid w:val="00A8074E"/>
    <w:rsid w:val="00A807FA"/>
    <w:rsid w:val="00A80816"/>
    <w:rsid w:val="00A8085F"/>
    <w:rsid w:val="00A80963"/>
    <w:rsid w:val="00A80BF0"/>
    <w:rsid w:val="00A80E4F"/>
    <w:rsid w:val="00A8125A"/>
    <w:rsid w:val="00A81273"/>
    <w:rsid w:val="00A815FD"/>
    <w:rsid w:val="00A817D3"/>
    <w:rsid w:val="00A81B4D"/>
    <w:rsid w:val="00A81B93"/>
    <w:rsid w:val="00A81D4F"/>
    <w:rsid w:val="00A81F10"/>
    <w:rsid w:val="00A81FD2"/>
    <w:rsid w:val="00A8223D"/>
    <w:rsid w:val="00A822E4"/>
    <w:rsid w:val="00A8252D"/>
    <w:rsid w:val="00A8278D"/>
    <w:rsid w:val="00A82815"/>
    <w:rsid w:val="00A8287B"/>
    <w:rsid w:val="00A83012"/>
    <w:rsid w:val="00A8309E"/>
    <w:rsid w:val="00A832F9"/>
    <w:rsid w:val="00A83505"/>
    <w:rsid w:val="00A835DB"/>
    <w:rsid w:val="00A838D9"/>
    <w:rsid w:val="00A83DBD"/>
    <w:rsid w:val="00A83F15"/>
    <w:rsid w:val="00A8431B"/>
    <w:rsid w:val="00A844D3"/>
    <w:rsid w:val="00A844E2"/>
    <w:rsid w:val="00A846D1"/>
    <w:rsid w:val="00A846F1"/>
    <w:rsid w:val="00A84BEF"/>
    <w:rsid w:val="00A84BF5"/>
    <w:rsid w:val="00A84DD6"/>
    <w:rsid w:val="00A8511E"/>
    <w:rsid w:val="00A85197"/>
    <w:rsid w:val="00A8524E"/>
    <w:rsid w:val="00A856A5"/>
    <w:rsid w:val="00A85A1D"/>
    <w:rsid w:val="00A85A9C"/>
    <w:rsid w:val="00A85CFE"/>
    <w:rsid w:val="00A85D00"/>
    <w:rsid w:val="00A85FF7"/>
    <w:rsid w:val="00A861EC"/>
    <w:rsid w:val="00A862C5"/>
    <w:rsid w:val="00A86471"/>
    <w:rsid w:val="00A86589"/>
    <w:rsid w:val="00A86960"/>
    <w:rsid w:val="00A86D72"/>
    <w:rsid w:val="00A86D7B"/>
    <w:rsid w:val="00A86E41"/>
    <w:rsid w:val="00A87054"/>
    <w:rsid w:val="00A8705B"/>
    <w:rsid w:val="00A873A7"/>
    <w:rsid w:val="00A87446"/>
    <w:rsid w:val="00A876C5"/>
    <w:rsid w:val="00A87823"/>
    <w:rsid w:val="00A8789F"/>
    <w:rsid w:val="00A87934"/>
    <w:rsid w:val="00A87A59"/>
    <w:rsid w:val="00A900E2"/>
    <w:rsid w:val="00A9025B"/>
    <w:rsid w:val="00A904EE"/>
    <w:rsid w:val="00A905F7"/>
    <w:rsid w:val="00A906F0"/>
    <w:rsid w:val="00A90AA5"/>
    <w:rsid w:val="00A913A0"/>
    <w:rsid w:val="00A91523"/>
    <w:rsid w:val="00A915DC"/>
    <w:rsid w:val="00A915E0"/>
    <w:rsid w:val="00A916A1"/>
    <w:rsid w:val="00A9177C"/>
    <w:rsid w:val="00A918B4"/>
    <w:rsid w:val="00A918DF"/>
    <w:rsid w:val="00A91F3C"/>
    <w:rsid w:val="00A92341"/>
    <w:rsid w:val="00A92419"/>
    <w:rsid w:val="00A925DB"/>
    <w:rsid w:val="00A9291D"/>
    <w:rsid w:val="00A92A17"/>
    <w:rsid w:val="00A92AD3"/>
    <w:rsid w:val="00A93574"/>
    <w:rsid w:val="00A936F9"/>
    <w:rsid w:val="00A93726"/>
    <w:rsid w:val="00A9380F"/>
    <w:rsid w:val="00A93A22"/>
    <w:rsid w:val="00A93A44"/>
    <w:rsid w:val="00A93AC8"/>
    <w:rsid w:val="00A93ACF"/>
    <w:rsid w:val="00A93DFD"/>
    <w:rsid w:val="00A94261"/>
    <w:rsid w:val="00A942E0"/>
    <w:rsid w:val="00A943EE"/>
    <w:rsid w:val="00A943F1"/>
    <w:rsid w:val="00A94468"/>
    <w:rsid w:val="00A946D0"/>
    <w:rsid w:val="00A94AC5"/>
    <w:rsid w:val="00A94B75"/>
    <w:rsid w:val="00A94D9A"/>
    <w:rsid w:val="00A94DED"/>
    <w:rsid w:val="00A95191"/>
    <w:rsid w:val="00A9543E"/>
    <w:rsid w:val="00A95463"/>
    <w:rsid w:val="00A954B3"/>
    <w:rsid w:val="00A95639"/>
    <w:rsid w:val="00A957C1"/>
    <w:rsid w:val="00A957FC"/>
    <w:rsid w:val="00A95854"/>
    <w:rsid w:val="00A9592C"/>
    <w:rsid w:val="00A95993"/>
    <w:rsid w:val="00A95A6A"/>
    <w:rsid w:val="00A9601C"/>
    <w:rsid w:val="00A96386"/>
    <w:rsid w:val="00A963BB"/>
    <w:rsid w:val="00A966A8"/>
    <w:rsid w:val="00A96781"/>
    <w:rsid w:val="00A96978"/>
    <w:rsid w:val="00A96CDE"/>
    <w:rsid w:val="00A96F17"/>
    <w:rsid w:val="00A971D8"/>
    <w:rsid w:val="00A97376"/>
    <w:rsid w:val="00A97473"/>
    <w:rsid w:val="00A974A9"/>
    <w:rsid w:val="00A979D9"/>
    <w:rsid w:val="00A97A2D"/>
    <w:rsid w:val="00A97C01"/>
    <w:rsid w:val="00A97C6E"/>
    <w:rsid w:val="00AA029E"/>
    <w:rsid w:val="00AA04A2"/>
    <w:rsid w:val="00AA04F2"/>
    <w:rsid w:val="00AA051B"/>
    <w:rsid w:val="00AA05A7"/>
    <w:rsid w:val="00AA094A"/>
    <w:rsid w:val="00AA0995"/>
    <w:rsid w:val="00AA0C67"/>
    <w:rsid w:val="00AA0F52"/>
    <w:rsid w:val="00AA11C2"/>
    <w:rsid w:val="00AA11FA"/>
    <w:rsid w:val="00AA131A"/>
    <w:rsid w:val="00AA144B"/>
    <w:rsid w:val="00AA17B2"/>
    <w:rsid w:val="00AA1853"/>
    <w:rsid w:val="00AA18F4"/>
    <w:rsid w:val="00AA19BA"/>
    <w:rsid w:val="00AA1AB2"/>
    <w:rsid w:val="00AA1EA1"/>
    <w:rsid w:val="00AA2137"/>
    <w:rsid w:val="00AA2151"/>
    <w:rsid w:val="00AA2245"/>
    <w:rsid w:val="00AA254B"/>
    <w:rsid w:val="00AA2553"/>
    <w:rsid w:val="00AA25AA"/>
    <w:rsid w:val="00AA264A"/>
    <w:rsid w:val="00AA2970"/>
    <w:rsid w:val="00AA29AE"/>
    <w:rsid w:val="00AA2A68"/>
    <w:rsid w:val="00AA2AFB"/>
    <w:rsid w:val="00AA2EA0"/>
    <w:rsid w:val="00AA2F16"/>
    <w:rsid w:val="00AA3183"/>
    <w:rsid w:val="00AA34D5"/>
    <w:rsid w:val="00AA358D"/>
    <w:rsid w:val="00AA37C0"/>
    <w:rsid w:val="00AA3A8B"/>
    <w:rsid w:val="00AA3F32"/>
    <w:rsid w:val="00AA4864"/>
    <w:rsid w:val="00AA4B0F"/>
    <w:rsid w:val="00AA4CDD"/>
    <w:rsid w:val="00AA4F14"/>
    <w:rsid w:val="00AA51D4"/>
    <w:rsid w:val="00AA5328"/>
    <w:rsid w:val="00AA5614"/>
    <w:rsid w:val="00AA5A0D"/>
    <w:rsid w:val="00AA5A2B"/>
    <w:rsid w:val="00AA5C32"/>
    <w:rsid w:val="00AA6441"/>
    <w:rsid w:val="00AA64F2"/>
    <w:rsid w:val="00AA65E0"/>
    <w:rsid w:val="00AA68F8"/>
    <w:rsid w:val="00AA6B04"/>
    <w:rsid w:val="00AA6BF6"/>
    <w:rsid w:val="00AA6C27"/>
    <w:rsid w:val="00AA6F63"/>
    <w:rsid w:val="00AA6F7E"/>
    <w:rsid w:val="00AA718D"/>
    <w:rsid w:val="00AA74D7"/>
    <w:rsid w:val="00AA7909"/>
    <w:rsid w:val="00AA792A"/>
    <w:rsid w:val="00AA7AB8"/>
    <w:rsid w:val="00AA7FA7"/>
    <w:rsid w:val="00AB04A2"/>
    <w:rsid w:val="00AB04B7"/>
    <w:rsid w:val="00AB06E3"/>
    <w:rsid w:val="00AB074E"/>
    <w:rsid w:val="00AB08C2"/>
    <w:rsid w:val="00AB1712"/>
    <w:rsid w:val="00AB1B45"/>
    <w:rsid w:val="00AB2068"/>
    <w:rsid w:val="00AB24A0"/>
    <w:rsid w:val="00AB24AA"/>
    <w:rsid w:val="00AB26B0"/>
    <w:rsid w:val="00AB2741"/>
    <w:rsid w:val="00AB27E5"/>
    <w:rsid w:val="00AB299A"/>
    <w:rsid w:val="00AB2F33"/>
    <w:rsid w:val="00AB30D5"/>
    <w:rsid w:val="00AB314A"/>
    <w:rsid w:val="00AB3276"/>
    <w:rsid w:val="00AB33DA"/>
    <w:rsid w:val="00AB3799"/>
    <w:rsid w:val="00AB381C"/>
    <w:rsid w:val="00AB38C4"/>
    <w:rsid w:val="00AB39B6"/>
    <w:rsid w:val="00AB3FE8"/>
    <w:rsid w:val="00AB409F"/>
    <w:rsid w:val="00AB412C"/>
    <w:rsid w:val="00AB41D1"/>
    <w:rsid w:val="00AB4329"/>
    <w:rsid w:val="00AB4362"/>
    <w:rsid w:val="00AB4575"/>
    <w:rsid w:val="00AB461B"/>
    <w:rsid w:val="00AB48D7"/>
    <w:rsid w:val="00AB4940"/>
    <w:rsid w:val="00AB49DC"/>
    <w:rsid w:val="00AB4DB2"/>
    <w:rsid w:val="00AB4DD1"/>
    <w:rsid w:val="00AB541A"/>
    <w:rsid w:val="00AB5E3B"/>
    <w:rsid w:val="00AB5E67"/>
    <w:rsid w:val="00AB5FA0"/>
    <w:rsid w:val="00AB6107"/>
    <w:rsid w:val="00AB619A"/>
    <w:rsid w:val="00AB63F3"/>
    <w:rsid w:val="00AB6A7B"/>
    <w:rsid w:val="00AB6CA7"/>
    <w:rsid w:val="00AB6D0D"/>
    <w:rsid w:val="00AB6E9A"/>
    <w:rsid w:val="00AB709B"/>
    <w:rsid w:val="00AB71AC"/>
    <w:rsid w:val="00AB71AD"/>
    <w:rsid w:val="00AB7224"/>
    <w:rsid w:val="00AB775C"/>
    <w:rsid w:val="00AB7993"/>
    <w:rsid w:val="00AB7AE5"/>
    <w:rsid w:val="00AC01BD"/>
    <w:rsid w:val="00AC0298"/>
    <w:rsid w:val="00AC031E"/>
    <w:rsid w:val="00AC0451"/>
    <w:rsid w:val="00AC0C28"/>
    <w:rsid w:val="00AC0FAB"/>
    <w:rsid w:val="00AC13DD"/>
    <w:rsid w:val="00AC1828"/>
    <w:rsid w:val="00AC18AF"/>
    <w:rsid w:val="00AC19D9"/>
    <w:rsid w:val="00AC19E9"/>
    <w:rsid w:val="00AC1FD1"/>
    <w:rsid w:val="00AC2298"/>
    <w:rsid w:val="00AC23E0"/>
    <w:rsid w:val="00AC2618"/>
    <w:rsid w:val="00AC26C4"/>
    <w:rsid w:val="00AC286C"/>
    <w:rsid w:val="00AC2908"/>
    <w:rsid w:val="00AC2DBD"/>
    <w:rsid w:val="00AC3C4F"/>
    <w:rsid w:val="00AC3E1A"/>
    <w:rsid w:val="00AC3F53"/>
    <w:rsid w:val="00AC40B0"/>
    <w:rsid w:val="00AC42E4"/>
    <w:rsid w:val="00AC43FF"/>
    <w:rsid w:val="00AC44ED"/>
    <w:rsid w:val="00AC47D0"/>
    <w:rsid w:val="00AC4A0E"/>
    <w:rsid w:val="00AC4D1D"/>
    <w:rsid w:val="00AC4E98"/>
    <w:rsid w:val="00AC5082"/>
    <w:rsid w:val="00AC5359"/>
    <w:rsid w:val="00AC55A5"/>
    <w:rsid w:val="00AC56E9"/>
    <w:rsid w:val="00AC5B3A"/>
    <w:rsid w:val="00AC5B71"/>
    <w:rsid w:val="00AC5D26"/>
    <w:rsid w:val="00AC5F02"/>
    <w:rsid w:val="00AC5F2E"/>
    <w:rsid w:val="00AC60C0"/>
    <w:rsid w:val="00AC631E"/>
    <w:rsid w:val="00AC64C1"/>
    <w:rsid w:val="00AC66D9"/>
    <w:rsid w:val="00AC66FB"/>
    <w:rsid w:val="00AC6747"/>
    <w:rsid w:val="00AC67BC"/>
    <w:rsid w:val="00AC695C"/>
    <w:rsid w:val="00AC6A1F"/>
    <w:rsid w:val="00AC6C89"/>
    <w:rsid w:val="00AC6E6B"/>
    <w:rsid w:val="00AC70CF"/>
    <w:rsid w:val="00AC73A2"/>
    <w:rsid w:val="00AC7E8E"/>
    <w:rsid w:val="00AD0500"/>
    <w:rsid w:val="00AD0A0D"/>
    <w:rsid w:val="00AD0A7E"/>
    <w:rsid w:val="00AD1078"/>
    <w:rsid w:val="00AD10E6"/>
    <w:rsid w:val="00AD12D8"/>
    <w:rsid w:val="00AD188E"/>
    <w:rsid w:val="00AD1A29"/>
    <w:rsid w:val="00AD1A7E"/>
    <w:rsid w:val="00AD1B0B"/>
    <w:rsid w:val="00AD1D91"/>
    <w:rsid w:val="00AD1DED"/>
    <w:rsid w:val="00AD20AB"/>
    <w:rsid w:val="00AD234C"/>
    <w:rsid w:val="00AD24E1"/>
    <w:rsid w:val="00AD2854"/>
    <w:rsid w:val="00AD2C6A"/>
    <w:rsid w:val="00AD33B2"/>
    <w:rsid w:val="00AD368F"/>
    <w:rsid w:val="00AD3708"/>
    <w:rsid w:val="00AD3AD1"/>
    <w:rsid w:val="00AD3BC8"/>
    <w:rsid w:val="00AD3EFD"/>
    <w:rsid w:val="00AD3F53"/>
    <w:rsid w:val="00AD3F6A"/>
    <w:rsid w:val="00AD403A"/>
    <w:rsid w:val="00AD42BB"/>
    <w:rsid w:val="00AD42F3"/>
    <w:rsid w:val="00AD446D"/>
    <w:rsid w:val="00AD456A"/>
    <w:rsid w:val="00AD46FC"/>
    <w:rsid w:val="00AD4916"/>
    <w:rsid w:val="00AD4C4F"/>
    <w:rsid w:val="00AD4F30"/>
    <w:rsid w:val="00AD4FD4"/>
    <w:rsid w:val="00AD5145"/>
    <w:rsid w:val="00AD52D9"/>
    <w:rsid w:val="00AD54E5"/>
    <w:rsid w:val="00AD589F"/>
    <w:rsid w:val="00AD59C3"/>
    <w:rsid w:val="00AD5A44"/>
    <w:rsid w:val="00AD5AF4"/>
    <w:rsid w:val="00AD5D9E"/>
    <w:rsid w:val="00AD6085"/>
    <w:rsid w:val="00AD616E"/>
    <w:rsid w:val="00AD63D2"/>
    <w:rsid w:val="00AD6612"/>
    <w:rsid w:val="00AD6BAA"/>
    <w:rsid w:val="00AD6BDF"/>
    <w:rsid w:val="00AD73F2"/>
    <w:rsid w:val="00AD744B"/>
    <w:rsid w:val="00AD79B0"/>
    <w:rsid w:val="00AD7B9E"/>
    <w:rsid w:val="00AD7DC0"/>
    <w:rsid w:val="00AE0047"/>
    <w:rsid w:val="00AE0446"/>
    <w:rsid w:val="00AE08D4"/>
    <w:rsid w:val="00AE0C19"/>
    <w:rsid w:val="00AE0DC4"/>
    <w:rsid w:val="00AE0FB5"/>
    <w:rsid w:val="00AE1293"/>
    <w:rsid w:val="00AE147E"/>
    <w:rsid w:val="00AE16A2"/>
    <w:rsid w:val="00AE16CD"/>
    <w:rsid w:val="00AE175A"/>
    <w:rsid w:val="00AE1B35"/>
    <w:rsid w:val="00AE1DFD"/>
    <w:rsid w:val="00AE1ECC"/>
    <w:rsid w:val="00AE1EE9"/>
    <w:rsid w:val="00AE2721"/>
    <w:rsid w:val="00AE2ABF"/>
    <w:rsid w:val="00AE2BB8"/>
    <w:rsid w:val="00AE2E31"/>
    <w:rsid w:val="00AE2EA2"/>
    <w:rsid w:val="00AE3B6D"/>
    <w:rsid w:val="00AE3D3A"/>
    <w:rsid w:val="00AE3F0D"/>
    <w:rsid w:val="00AE4125"/>
    <w:rsid w:val="00AE4266"/>
    <w:rsid w:val="00AE46AB"/>
    <w:rsid w:val="00AE4787"/>
    <w:rsid w:val="00AE4A05"/>
    <w:rsid w:val="00AE4BB5"/>
    <w:rsid w:val="00AE4E1A"/>
    <w:rsid w:val="00AE4E56"/>
    <w:rsid w:val="00AE4FB7"/>
    <w:rsid w:val="00AE52C5"/>
    <w:rsid w:val="00AE5904"/>
    <w:rsid w:val="00AE59EF"/>
    <w:rsid w:val="00AE5C71"/>
    <w:rsid w:val="00AE5E02"/>
    <w:rsid w:val="00AE608A"/>
    <w:rsid w:val="00AE68BF"/>
    <w:rsid w:val="00AE699F"/>
    <w:rsid w:val="00AE6C6C"/>
    <w:rsid w:val="00AE6F0B"/>
    <w:rsid w:val="00AE6F48"/>
    <w:rsid w:val="00AE7463"/>
    <w:rsid w:val="00AE74AC"/>
    <w:rsid w:val="00AE7914"/>
    <w:rsid w:val="00AE7C33"/>
    <w:rsid w:val="00AE7F78"/>
    <w:rsid w:val="00AF038D"/>
    <w:rsid w:val="00AF03BC"/>
    <w:rsid w:val="00AF06CD"/>
    <w:rsid w:val="00AF06E7"/>
    <w:rsid w:val="00AF07C9"/>
    <w:rsid w:val="00AF0A4B"/>
    <w:rsid w:val="00AF0FF0"/>
    <w:rsid w:val="00AF10E8"/>
    <w:rsid w:val="00AF164E"/>
    <w:rsid w:val="00AF1763"/>
    <w:rsid w:val="00AF1C08"/>
    <w:rsid w:val="00AF1D6F"/>
    <w:rsid w:val="00AF1F73"/>
    <w:rsid w:val="00AF214F"/>
    <w:rsid w:val="00AF25FC"/>
    <w:rsid w:val="00AF2781"/>
    <w:rsid w:val="00AF2888"/>
    <w:rsid w:val="00AF2911"/>
    <w:rsid w:val="00AF2DCA"/>
    <w:rsid w:val="00AF30B2"/>
    <w:rsid w:val="00AF3445"/>
    <w:rsid w:val="00AF3816"/>
    <w:rsid w:val="00AF3B2A"/>
    <w:rsid w:val="00AF3C2D"/>
    <w:rsid w:val="00AF3C56"/>
    <w:rsid w:val="00AF3D05"/>
    <w:rsid w:val="00AF3FCB"/>
    <w:rsid w:val="00AF41E0"/>
    <w:rsid w:val="00AF4205"/>
    <w:rsid w:val="00AF44E7"/>
    <w:rsid w:val="00AF4509"/>
    <w:rsid w:val="00AF45EF"/>
    <w:rsid w:val="00AF487D"/>
    <w:rsid w:val="00AF48B0"/>
    <w:rsid w:val="00AF48D3"/>
    <w:rsid w:val="00AF4B5A"/>
    <w:rsid w:val="00AF4DFE"/>
    <w:rsid w:val="00AF518A"/>
    <w:rsid w:val="00AF5367"/>
    <w:rsid w:val="00AF5377"/>
    <w:rsid w:val="00AF54CC"/>
    <w:rsid w:val="00AF590B"/>
    <w:rsid w:val="00AF5AD3"/>
    <w:rsid w:val="00AF5F72"/>
    <w:rsid w:val="00AF62BE"/>
    <w:rsid w:val="00AF65CE"/>
    <w:rsid w:val="00AF6708"/>
    <w:rsid w:val="00AF6791"/>
    <w:rsid w:val="00AF67C0"/>
    <w:rsid w:val="00AF6821"/>
    <w:rsid w:val="00AF6824"/>
    <w:rsid w:val="00AF6972"/>
    <w:rsid w:val="00AF6CE5"/>
    <w:rsid w:val="00AF6D99"/>
    <w:rsid w:val="00AF715A"/>
    <w:rsid w:val="00AF7232"/>
    <w:rsid w:val="00AF7C52"/>
    <w:rsid w:val="00AF7DDF"/>
    <w:rsid w:val="00AF7F05"/>
    <w:rsid w:val="00B00001"/>
    <w:rsid w:val="00B00638"/>
    <w:rsid w:val="00B00865"/>
    <w:rsid w:val="00B00B8F"/>
    <w:rsid w:val="00B00C82"/>
    <w:rsid w:val="00B00E35"/>
    <w:rsid w:val="00B00F02"/>
    <w:rsid w:val="00B011AE"/>
    <w:rsid w:val="00B01376"/>
    <w:rsid w:val="00B01480"/>
    <w:rsid w:val="00B016AC"/>
    <w:rsid w:val="00B01A73"/>
    <w:rsid w:val="00B01AFB"/>
    <w:rsid w:val="00B01CDB"/>
    <w:rsid w:val="00B01D77"/>
    <w:rsid w:val="00B01DD6"/>
    <w:rsid w:val="00B01E1B"/>
    <w:rsid w:val="00B021B1"/>
    <w:rsid w:val="00B0231D"/>
    <w:rsid w:val="00B02397"/>
    <w:rsid w:val="00B0239F"/>
    <w:rsid w:val="00B024F6"/>
    <w:rsid w:val="00B02525"/>
    <w:rsid w:val="00B02A25"/>
    <w:rsid w:val="00B02D60"/>
    <w:rsid w:val="00B02DB1"/>
    <w:rsid w:val="00B0302C"/>
    <w:rsid w:val="00B0312E"/>
    <w:rsid w:val="00B03620"/>
    <w:rsid w:val="00B03661"/>
    <w:rsid w:val="00B036A5"/>
    <w:rsid w:val="00B037A7"/>
    <w:rsid w:val="00B03A3A"/>
    <w:rsid w:val="00B03E2C"/>
    <w:rsid w:val="00B03E69"/>
    <w:rsid w:val="00B03ED1"/>
    <w:rsid w:val="00B04516"/>
    <w:rsid w:val="00B049FA"/>
    <w:rsid w:val="00B04B8B"/>
    <w:rsid w:val="00B04F31"/>
    <w:rsid w:val="00B050B4"/>
    <w:rsid w:val="00B05A10"/>
    <w:rsid w:val="00B05CAE"/>
    <w:rsid w:val="00B05D19"/>
    <w:rsid w:val="00B05D20"/>
    <w:rsid w:val="00B05DAA"/>
    <w:rsid w:val="00B05ECF"/>
    <w:rsid w:val="00B05F1B"/>
    <w:rsid w:val="00B06082"/>
    <w:rsid w:val="00B0626E"/>
    <w:rsid w:val="00B06485"/>
    <w:rsid w:val="00B065FD"/>
    <w:rsid w:val="00B06625"/>
    <w:rsid w:val="00B06713"/>
    <w:rsid w:val="00B0689B"/>
    <w:rsid w:val="00B068D4"/>
    <w:rsid w:val="00B06DC3"/>
    <w:rsid w:val="00B06F87"/>
    <w:rsid w:val="00B0701B"/>
    <w:rsid w:val="00B073D9"/>
    <w:rsid w:val="00B07409"/>
    <w:rsid w:val="00B076DF"/>
    <w:rsid w:val="00B077DA"/>
    <w:rsid w:val="00B0784C"/>
    <w:rsid w:val="00B0793C"/>
    <w:rsid w:val="00B07CF5"/>
    <w:rsid w:val="00B07D62"/>
    <w:rsid w:val="00B07FC3"/>
    <w:rsid w:val="00B103D4"/>
    <w:rsid w:val="00B104FB"/>
    <w:rsid w:val="00B106EF"/>
    <w:rsid w:val="00B106F3"/>
    <w:rsid w:val="00B10C46"/>
    <w:rsid w:val="00B111B8"/>
    <w:rsid w:val="00B111E7"/>
    <w:rsid w:val="00B11725"/>
    <w:rsid w:val="00B11BBF"/>
    <w:rsid w:val="00B11C77"/>
    <w:rsid w:val="00B12727"/>
    <w:rsid w:val="00B1294F"/>
    <w:rsid w:val="00B12E9D"/>
    <w:rsid w:val="00B1307F"/>
    <w:rsid w:val="00B13082"/>
    <w:rsid w:val="00B13108"/>
    <w:rsid w:val="00B13683"/>
    <w:rsid w:val="00B13876"/>
    <w:rsid w:val="00B13A4B"/>
    <w:rsid w:val="00B13C40"/>
    <w:rsid w:val="00B14247"/>
    <w:rsid w:val="00B145ED"/>
    <w:rsid w:val="00B14699"/>
    <w:rsid w:val="00B14C6F"/>
    <w:rsid w:val="00B14CA3"/>
    <w:rsid w:val="00B14D9C"/>
    <w:rsid w:val="00B1561C"/>
    <w:rsid w:val="00B1576D"/>
    <w:rsid w:val="00B15E12"/>
    <w:rsid w:val="00B15F6E"/>
    <w:rsid w:val="00B1641D"/>
    <w:rsid w:val="00B16472"/>
    <w:rsid w:val="00B164E2"/>
    <w:rsid w:val="00B16648"/>
    <w:rsid w:val="00B16771"/>
    <w:rsid w:val="00B16887"/>
    <w:rsid w:val="00B16DCC"/>
    <w:rsid w:val="00B16EC4"/>
    <w:rsid w:val="00B16EF0"/>
    <w:rsid w:val="00B17181"/>
    <w:rsid w:val="00B171A5"/>
    <w:rsid w:val="00B17268"/>
    <w:rsid w:val="00B1735F"/>
    <w:rsid w:val="00B173A0"/>
    <w:rsid w:val="00B1795A"/>
    <w:rsid w:val="00B17CFF"/>
    <w:rsid w:val="00B17DF8"/>
    <w:rsid w:val="00B17FC4"/>
    <w:rsid w:val="00B207DB"/>
    <w:rsid w:val="00B20CB6"/>
    <w:rsid w:val="00B20F3C"/>
    <w:rsid w:val="00B20F62"/>
    <w:rsid w:val="00B21041"/>
    <w:rsid w:val="00B21350"/>
    <w:rsid w:val="00B215AC"/>
    <w:rsid w:val="00B21726"/>
    <w:rsid w:val="00B2181D"/>
    <w:rsid w:val="00B21AF8"/>
    <w:rsid w:val="00B21BF0"/>
    <w:rsid w:val="00B21CE9"/>
    <w:rsid w:val="00B21F99"/>
    <w:rsid w:val="00B22079"/>
    <w:rsid w:val="00B221C0"/>
    <w:rsid w:val="00B223D0"/>
    <w:rsid w:val="00B2241C"/>
    <w:rsid w:val="00B22622"/>
    <w:rsid w:val="00B22635"/>
    <w:rsid w:val="00B227C5"/>
    <w:rsid w:val="00B22AB1"/>
    <w:rsid w:val="00B22B95"/>
    <w:rsid w:val="00B22B9C"/>
    <w:rsid w:val="00B22D13"/>
    <w:rsid w:val="00B22D21"/>
    <w:rsid w:val="00B22FC4"/>
    <w:rsid w:val="00B2382B"/>
    <w:rsid w:val="00B23A45"/>
    <w:rsid w:val="00B23AD6"/>
    <w:rsid w:val="00B23C02"/>
    <w:rsid w:val="00B23C3E"/>
    <w:rsid w:val="00B23E1C"/>
    <w:rsid w:val="00B24150"/>
    <w:rsid w:val="00B245FA"/>
    <w:rsid w:val="00B24760"/>
    <w:rsid w:val="00B24DEE"/>
    <w:rsid w:val="00B24ECD"/>
    <w:rsid w:val="00B252C2"/>
    <w:rsid w:val="00B25304"/>
    <w:rsid w:val="00B255CE"/>
    <w:rsid w:val="00B256BD"/>
    <w:rsid w:val="00B25870"/>
    <w:rsid w:val="00B258A8"/>
    <w:rsid w:val="00B258F9"/>
    <w:rsid w:val="00B25BD7"/>
    <w:rsid w:val="00B25CA2"/>
    <w:rsid w:val="00B25EB8"/>
    <w:rsid w:val="00B25F04"/>
    <w:rsid w:val="00B26946"/>
    <w:rsid w:val="00B26F8B"/>
    <w:rsid w:val="00B2700D"/>
    <w:rsid w:val="00B273B4"/>
    <w:rsid w:val="00B27556"/>
    <w:rsid w:val="00B27A9E"/>
    <w:rsid w:val="00B27C2E"/>
    <w:rsid w:val="00B27CBF"/>
    <w:rsid w:val="00B27DAB"/>
    <w:rsid w:val="00B27E11"/>
    <w:rsid w:val="00B300E8"/>
    <w:rsid w:val="00B302DF"/>
    <w:rsid w:val="00B30400"/>
    <w:rsid w:val="00B305BD"/>
    <w:rsid w:val="00B30AB2"/>
    <w:rsid w:val="00B30C3F"/>
    <w:rsid w:val="00B30DCF"/>
    <w:rsid w:val="00B310BE"/>
    <w:rsid w:val="00B311DB"/>
    <w:rsid w:val="00B3130C"/>
    <w:rsid w:val="00B313DE"/>
    <w:rsid w:val="00B3169D"/>
    <w:rsid w:val="00B31954"/>
    <w:rsid w:val="00B319EE"/>
    <w:rsid w:val="00B31A75"/>
    <w:rsid w:val="00B31B34"/>
    <w:rsid w:val="00B31C31"/>
    <w:rsid w:val="00B320E7"/>
    <w:rsid w:val="00B326D1"/>
    <w:rsid w:val="00B3283A"/>
    <w:rsid w:val="00B32842"/>
    <w:rsid w:val="00B32A91"/>
    <w:rsid w:val="00B32B62"/>
    <w:rsid w:val="00B32E43"/>
    <w:rsid w:val="00B33028"/>
    <w:rsid w:val="00B333D1"/>
    <w:rsid w:val="00B33445"/>
    <w:rsid w:val="00B33694"/>
    <w:rsid w:val="00B33C2B"/>
    <w:rsid w:val="00B33C64"/>
    <w:rsid w:val="00B33E40"/>
    <w:rsid w:val="00B33EBF"/>
    <w:rsid w:val="00B342FA"/>
    <w:rsid w:val="00B34332"/>
    <w:rsid w:val="00B34712"/>
    <w:rsid w:val="00B34AA4"/>
    <w:rsid w:val="00B34B17"/>
    <w:rsid w:val="00B34CB3"/>
    <w:rsid w:val="00B34D80"/>
    <w:rsid w:val="00B34E0E"/>
    <w:rsid w:val="00B352DE"/>
    <w:rsid w:val="00B352EA"/>
    <w:rsid w:val="00B355C9"/>
    <w:rsid w:val="00B3575A"/>
    <w:rsid w:val="00B35AF3"/>
    <w:rsid w:val="00B35C17"/>
    <w:rsid w:val="00B35EC1"/>
    <w:rsid w:val="00B35F3D"/>
    <w:rsid w:val="00B36483"/>
    <w:rsid w:val="00B364A4"/>
    <w:rsid w:val="00B364F4"/>
    <w:rsid w:val="00B3656C"/>
    <w:rsid w:val="00B365C5"/>
    <w:rsid w:val="00B367B2"/>
    <w:rsid w:val="00B3680A"/>
    <w:rsid w:val="00B36984"/>
    <w:rsid w:val="00B36FE4"/>
    <w:rsid w:val="00B370BC"/>
    <w:rsid w:val="00B372E8"/>
    <w:rsid w:val="00B3758C"/>
    <w:rsid w:val="00B376A3"/>
    <w:rsid w:val="00B376C6"/>
    <w:rsid w:val="00B3792C"/>
    <w:rsid w:val="00B4002D"/>
    <w:rsid w:val="00B4045A"/>
    <w:rsid w:val="00B40870"/>
    <w:rsid w:val="00B40F68"/>
    <w:rsid w:val="00B41023"/>
    <w:rsid w:val="00B41826"/>
    <w:rsid w:val="00B41A53"/>
    <w:rsid w:val="00B41A5D"/>
    <w:rsid w:val="00B41E29"/>
    <w:rsid w:val="00B41E2A"/>
    <w:rsid w:val="00B41EAE"/>
    <w:rsid w:val="00B41F04"/>
    <w:rsid w:val="00B420F5"/>
    <w:rsid w:val="00B42170"/>
    <w:rsid w:val="00B42252"/>
    <w:rsid w:val="00B4241D"/>
    <w:rsid w:val="00B42BD2"/>
    <w:rsid w:val="00B42C02"/>
    <w:rsid w:val="00B42CDF"/>
    <w:rsid w:val="00B43109"/>
    <w:rsid w:val="00B437F5"/>
    <w:rsid w:val="00B43917"/>
    <w:rsid w:val="00B43A2E"/>
    <w:rsid w:val="00B43AA4"/>
    <w:rsid w:val="00B43CE5"/>
    <w:rsid w:val="00B442FF"/>
    <w:rsid w:val="00B4485C"/>
    <w:rsid w:val="00B448EF"/>
    <w:rsid w:val="00B44E00"/>
    <w:rsid w:val="00B456B2"/>
    <w:rsid w:val="00B45A73"/>
    <w:rsid w:val="00B45CE2"/>
    <w:rsid w:val="00B45DC0"/>
    <w:rsid w:val="00B462C1"/>
    <w:rsid w:val="00B4634B"/>
    <w:rsid w:val="00B46453"/>
    <w:rsid w:val="00B464A7"/>
    <w:rsid w:val="00B468FD"/>
    <w:rsid w:val="00B46A63"/>
    <w:rsid w:val="00B46C0E"/>
    <w:rsid w:val="00B46CB3"/>
    <w:rsid w:val="00B46D66"/>
    <w:rsid w:val="00B46EDE"/>
    <w:rsid w:val="00B46F08"/>
    <w:rsid w:val="00B47169"/>
    <w:rsid w:val="00B472BA"/>
    <w:rsid w:val="00B472E4"/>
    <w:rsid w:val="00B474E1"/>
    <w:rsid w:val="00B478AE"/>
    <w:rsid w:val="00B47A28"/>
    <w:rsid w:val="00B47A68"/>
    <w:rsid w:val="00B47ABE"/>
    <w:rsid w:val="00B47B0F"/>
    <w:rsid w:val="00B47D6C"/>
    <w:rsid w:val="00B47D8E"/>
    <w:rsid w:val="00B47F62"/>
    <w:rsid w:val="00B5018F"/>
    <w:rsid w:val="00B505B0"/>
    <w:rsid w:val="00B50812"/>
    <w:rsid w:val="00B50C9D"/>
    <w:rsid w:val="00B50D36"/>
    <w:rsid w:val="00B510A3"/>
    <w:rsid w:val="00B51545"/>
    <w:rsid w:val="00B516F9"/>
    <w:rsid w:val="00B5190D"/>
    <w:rsid w:val="00B51F03"/>
    <w:rsid w:val="00B51F47"/>
    <w:rsid w:val="00B52051"/>
    <w:rsid w:val="00B520CF"/>
    <w:rsid w:val="00B5212C"/>
    <w:rsid w:val="00B5217B"/>
    <w:rsid w:val="00B5218D"/>
    <w:rsid w:val="00B52412"/>
    <w:rsid w:val="00B5262D"/>
    <w:rsid w:val="00B52720"/>
    <w:rsid w:val="00B527D1"/>
    <w:rsid w:val="00B52A22"/>
    <w:rsid w:val="00B52AF9"/>
    <w:rsid w:val="00B52BC6"/>
    <w:rsid w:val="00B52BED"/>
    <w:rsid w:val="00B53347"/>
    <w:rsid w:val="00B535CE"/>
    <w:rsid w:val="00B53891"/>
    <w:rsid w:val="00B538AE"/>
    <w:rsid w:val="00B53B76"/>
    <w:rsid w:val="00B53BEC"/>
    <w:rsid w:val="00B53F3B"/>
    <w:rsid w:val="00B5404E"/>
    <w:rsid w:val="00B54109"/>
    <w:rsid w:val="00B54821"/>
    <w:rsid w:val="00B548CA"/>
    <w:rsid w:val="00B548FC"/>
    <w:rsid w:val="00B54BB3"/>
    <w:rsid w:val="00B54DB5"/>
    <w:rsid w:val="00B54DDC"/>
    <w:rsid w:val="00B54F7A"/>
    <w:rsid w:val="00B54F9C"/>
    <w:rsid w:val="00B554BF"/>
    <w:rsid w:val="00B558FC"/>
    <w:rsid w:val="00B55A41"/>
    <w:rsid w:val="00B55A9A"/>
    <w:rsid w:val="00B56008"/>
    <w:rsid w:val="00B561A7"/>
    <w:rsid w:val="00B565FB"/>
    <w:rsid w:val="00B5674B"/>
    <w:rsid w:val="00B56B0B"/>
    <w:rsid w:val="00B56C59"/>
    <w:rsid w:val="00B571C3"/>
    <w:rsid w:val="00B572BC"/>
    <w:rsid w:val="00B5747E"/>
    <w:rsid w:val="00B57865"/>
    <w:rsid w:val="00B57FE9"/>
    <w:rsid w:val="00B600C6"/>
    <w:rsid w:val="00B60117"/>
    <w:rsid w:val="00B60405"/>
    <w:rsid w:val="00B6067F"/>
    <w:rsid w:val="00B60C06"/>
    <w:rsid w:val="00B60C8B"/>
    <w:rsid w:val="00B60E9C"/>
    <w:rsid w:val="00B60F30"/>
    <w:rsid w:val="00B610F4"/>
    <w:rsid w:val="00B61366"/>
    <w:rsid w:val="00B61D14"/>
    <w:rsid w:val="00B61D20"/>
    <w:rsid w:val="00B61D36"/>
    <w:rsid w:val="00B61DD8"/>
    <w:rsid w:val="00B620C6"/>
    <w:rsid w:val="00B6250D"/>
    <w:rsid w:val="00B62C2A"/>
    <w:rsid w:val="00B62D16"/>
    <w:rsid w:val="00B62DBD"/>
    <w:rsid w:val="00B62ED5"/>
    <w:rsid w:val="00B62F92"/>
    <w:rsid w:val="00B62FB6"/>
    <w:rsid w:val="00B63581"/>
    <w:rsid w:val="00B63753"/>
    <w:rsid w:val="00B6394A"/>
    <w:rsid w:val="00B63CB9"/>
    <w:rsid w:val="00B64302"/>
    <w:rsid w:val="00B64483"/>
    <w:rsid w:val="00B64B13"/>
    <w:rsid w:val="00B64F01"/>
    <w:rsid w:val="00B6521F"/>
    <w:rsid w:val="00B652B4"/>
    <w:rsid w:val="00B655CF"/>
    <w:rsid w:val="00B659AD"/>
    <w:rsid w:val="00B65B6C"/>
    <w:rsid w:val="00B65D1D"/>
    <w:rsid w:val="00B66039"/>
    <w:rsid w:val="00B66452"/>
    <w:rsid w:val="00B665B3"/>
    <w:rsid w:val="00B6661E"/>
    <w:rsid w:val="00B668A2"/>
    <w:rsid w:val="00B66AC3"/>
    <w:rsid w:val="00B66B6C"/>
    <w:rsid w:val="00B670F4"/>
    <w:rsid w:val="00B67D8A"/>
    <w:rsid w:val="00B67E24"/>
    <w:rsid w:val="00B67F54"/>
    <w:rsid w:val="00B7009F"/>
    <w:rsid w:val="00B701CA"/>
    <w:rsid w:val="00B7024F"/>
    <w:rsid w:val="00B704C4"/>
    <w:rsid w:val="00B707E1"/>
    <w:rsid w:val="00B70987"/>
    <w:rsid w:val="00B70BFC"/>
    <w:rsid w:val="00B70E2F"/>
    <w:rsid w:val="00B71665"/>
    <w:rsid w:val="00B71717"/>
    <w:rsid w:val="00B7171E"/>
    <w:rsid w:val="00B71859"/>
    <w:rsid w:val="00B71D0D"/>
    <w:rsid w:val="00B729E8"/>
    <w:rsid w:val="00B72AE9"/>
    <w:rsid w:val="00B72C22"/>
    <w:rsid w:val="00B72D0D"/>
    <w:rsid w:val="00B72F66"/>
    <w:rsid w:val="00B730AE"/>
    <w:rsid w:val="00B7327D"/>
    <w:rsid w:val="00B732B9"/>
    <w:rsid w:val="00B73856"/>
    <w:rsid w:val="00B73EBF"/>
    <w:rsid w:val="00B73F95"/>
    <w:rsid w:val="00B74405"/>
    <w:rsid w:val="00B744F5"/>
    <w:rsid w:val="00B74715"/>
    <w:rsid w:val="00B74770"/>
    <w:rsid w:val="00B74A35"/>
    <w:rsid w:val="00B74A5C"/>
    <w:rsid w:val="00B74D4D"/>
    <w:rsid w:val="00B74EE3"/>
    <w:rsid w:val="00B7509C"/>
    <w:rsid w:val="00B754E2"/>
    <w:rsid w:val="00B7554C"/>
    <w:rsid w:val="00B7564B"/>
    <w:rsid w:val="00B75835"/>
    <w:rsid w:val="00B75B98"/>
    <w:rsid w:val="00B75BE2"/>
    <w:rsid w:val="00B75CB6"/>
    <w:rsid w:val="00B75D6D"/>
    <w:rsid w:val="00B75E41"/>
    <w:rsid w:val="00B75E46"/>
    <w:rsid w:val="00B75E8C"/>
    <w:rsid w:val="00B760FE"/>
    <w:rsid w:val="00B761D5"/>
    <w:rsid w:val="00B76335"/>
    <w:rsid w:val="00B765C4"/>
    <w:rsid w:val="00B7673D"/>
    <w:rsid w:val="00B76811"/>
    <w:rsid w:val="00B769C8"/>
    <w:rsid w:val="00B76AD9"/>
    <w:rsid w:val="00B76E47"/>
    <w:rsid w:val="00B77152"/>
    <w:rsid w:val="00B7730E"/>
    <w:rsid w:val="00B77534"/>
    <w:rsid w:val="00B775B3"/>
    <w:rsid w:val="00B77709"/>
    <w:rsid w:val="00B77973"/>
    <w:rsid w:val="00B77E25"/>
    <w:rsid w:val="00B77FC2"/>
    <w:rsid w:val="00B800AB"/>
    <w:rsid w:val="00B80487"/>
    <w:rsid w:val="00B805D9"/>
    <w:rsid w:val="00B809BC"/>
    <w:rsid w:val="00B809CD"/>
    <w:rsid w:val="00B80A10"/>
    <w:rsid w:val="00B80A7A"/>
    <w:rsid w:val="00B80C09"/>
    <w:rsid w:val="00B81360"/>
    <w:rsid w:val="00B815E3"/>
    <w:rsid w:val="00B81627"/>
    <w:rsid w:val="00B81903"/>
    <w:rsid w:val="00B81B34"/>
    <w:rsid w:val="00B822A9"/>
    <w:rsid w:val="00B8234D"/>
    <w:rsid w:val="00B8247F"/>
    <w:rsid w:val="00B827D2"/>
    <w:rsid w:val="00B82DFA"/>
    <w:rsid w:val="00B83083"/>
    <w:rsid w:val="00B8375D"/>
    <w:rsid w:val="00B83AA3"/>
    <w:rsid w:val="00B83B8C"/>
    <w:rsid w:val="00B83CED"/>
    <w:rsid w:val="00B83E85"/>
    <w:rsid w:val="00B842E6"/>
    <w:rsid w:val="00B849BC"/>
    <w:rsid w:val="00B84C42"/>
    <w:rsid w:val="00B84C52"/>
    <w:rsid w:val="00B84CAB"/>
    <w:rsid w:val="00B84F03"/>
    <w:rsid w:val="00B85354"/>
    <w:rsid w:val="00B85507"/>
    <w:rsid w:val="00B855B9"/>
    <w:rsid w:val="00B856D3"/>
    <w:rsid w:val="00B85839"/>
    <w:rsid w:val="00B861A3"/>
    <w:rsid w:val="00B86673"/>
    <w:rsid w:val="00B86949"/>
    <w:rsid w:val="00B86B13"/>
    <w:rsid w:val="00B86D35"/>
    <w:rsid w:val="00B86ED7"/>
    <w:rsid w:val="00B87185"/>
    <w:rsid w:val="00B872BC"/>
    <w:rsid w:val="00B8744C"/>
    <w:rsid w:val="00B875BA"/>
    <w:rsid w:val="00B8769B"/>
    <w:rsid w:val="00B877BF"/>
    <w:rsid w:val="00B87A13"/>
    <w:rsid w:val="00B87AD6"/>
    <w:rsid w:val="00B87CEF"/>
    <w:rsid w:val="00B87D59"/>
    <w:rsid w:val="00B87E1F"/>
    <w:rsid w:val="00B87FC4"/>
    <w:rsid w:val="00B900BB"/>
    <w:rsid w:val="00B9034F"/>
    <w:rsid w:val="00B9075E"/>
    <w:rsid w:val="00B90ACE"/>
    <w:rsid w:val="00B90ADD"/>
    <w:rsid w:val="00B90B0F"/>
    <w:rsid w:val="00B91278"/>
    <w:rsid w:val="00B912ED"/>
    <w:rsid w:val="00B91435"/>
    <w:rsid w:val="00B916F9"/>
    <w:rsid w:val="00B9170D"/>
    <w:rsid w:val="00B91764"/>
    <w:rsid w:val="00B918FC"/>
    <w:rsid w:val="00B91AED"/>
    <w:rsid w:val="00B91DD6"/>
    <w:rsid w:val="00B91E3B"/>
    <w:rsid w:val="00B920FE"/>
    <w:rsid w:val="00B921E6"/>
    <w:rsid w:val="00B923BB"/>
    <w:rsid w:val="00B92686"/>
    <w:rsid w:val="00B92A2E"/>
    <w:rsid w:val="00B92E3F"/>
    <w:rsid w:val="00B9305B"/>
    <w:rsid w:val="00B9366E"/>
    <w:rsid w:val="00B93A04"/>
    <w:rsid w:val="00B93A0F"/>
    <w:rsid w:val="00B93CA4"/>
    <w:rsid w:val="00B93E34"/>
    <w:rsid w:val="00B93FB9"/>
    <w:rsid w:val="00B94442"/>
    <w:rsid w:val="00B945DA"/>
    <w:rsid w:val="00B945F7"/>
    <w:rsid w:val="00B94876"/>
    <w:rsid w:val="00B94AE8"/>
    <w:rsid w:val="00B94B98"/>
    <w:rsid w:val="00B94C45"/>
    <w:rsid w:val="00B95060"/>
    <w:rsid w:val="00B95122"/>
    <w:rsid w:val="00B951EE"/>
    <w:rsid w:val="00B9536B"/>
    <w:rsid w:val="00B953EB"/>
    <w:rsid w:val="00B95480"/>
    <w:rsid w:val="00B9585D"/>
    <w:rsid w:val="00B95C49"/>
    <w:rsid w:val="00B95FC4"/>
    <w:rsid w:val="00B96035"/>
    <w:rsid w:val="00B960A3"/>
    <w:rsid w:val="00B9611F"/>
    <w:rsid w:val="00B96300"/>
    <w:rsid w:val="00B963F5"/>
    <w:rsid w:val="00B96566"/>
    <w:rsid w:val="00B968AB"/>
    <w:rsid w:val="00B968E7"/>
    <w:rsid w:val="00B96BB0"/>
    <w:rsid w:val="00B970A4"/>
    <w:rsid w:val="00B97171"/>
    <w:rsid w:val="00B972E2"/>
    <w:rsid w:val="00B97AC8"/>
    <w:rsid w:val="00B97ACF"/>
    <w:rsid w:val="00BA030A"/>
    <w:rsid w:val="00BA0A14"/>
    <w:rsid w:val="00BA11A2"/>
    <w:rsid w:val="00BA1278"/>
    <w:rsid w:val="00BA17B7"/>
    <w:rsid w:val="00BA1E56"/>
    <w:rsid w:val="00BA1E59"/>
    <w:rsid w:val="00BA1F3B"/>
    <w:rsid w:val="00BA1F61"/>
    <w:rsid w:val="00BA2433"/>
    <w:rsid w:val="00BA243F"/>
    <w:rsid w:val="00BA255E"/>
    <w:rsid w:val="00BA25D8"/>
    <w:rsid w:val="00BA2CF9"/>
    <w:rsid w:val="00BA2EAD"/>
    <w:rsid w:val="00BA30D9"/>
    <w:rsid w:val="00BA3737"/>
    <w:rsid w:val="00BA375C"/>
    <w:rsid w:val="00BA3B43"/>
    <w:rsid w:val="00BA3B83"/>
    <w:rsid w:val="00BA3D18"/>
    <w:rsid w:val="00BA3D7B"/>
    <w:rsid w:val="00BA3FAC"/>
    <w:rsid w:val="00BA4114"/>
    <w:rsid w:val="00BA4631"/>
    <w:rsid w:val="00BA479F"/>
    <w:rsid w:val="00BA5118"/>
    <w:rsid w:val="00BA597B"/>
    <w:rsid w:val="00BA5982"/>
    <w:rsid w:val="00BA5BA8"/>
    <w:rsid w:val="00BA5E1E"/>
    <w:rsid w:val="00BA63DA"/>
    <w:rsid w:val="00BA6432"/>
    <w:rsid w:val="00BA65CD"/>
    <w:rsid w:val="00BA6970"/>
    <w:rsid w:val="00BA6ACA"/>
    <w:rsid w:val="00BA6B5B"/>
    <w:rsid w:val="00BA6BA0"/>
    <w:rsid w:val="00BA6C08"/>
    <w:rsid w:val="00BA7030"/>
    <w:rsid w:val="00BA741B"/>
    <w:rsid w:val="00BA748D"/>
    <w:rsid w:val="00BA75A6"/>
    <w:rsid w:val="00BA7A09"/>
    <w:rsid w:val="00BA7A4E"/>
    <w:rsid w:val="00BA7A62"/>
    <w:rsid w:val="00BA7C62"/>
    <w:rsid w:val="00BA7FA8"/>
    <w:rsid w:val="00BB0158"/>
    <w:rsid w:val="00BB0800"/>
    <w:rsid w:val="00BB0F7E"/>
    <w:rsid w:val="00BB11CB"/>
    <w:rsid w:val="00BB1228"/>
    <w:rsid w:val="00BB134F"/>
    <w:rsid w:val="00BB1464"/>
    <w:rsid w:val="00BB16EA"/>
    <w:rsid w:val="00BB1707"/>
    <w:rsid w:val="00BB1855"/>
    <w:rsid w:val="00BB194A"/>
    <w:rsid w:val="00BB1ACA"/>
    <w:rsid w:val="00BB1E44"/>
    <w:rsid w:val="00BB1EDD"/>
    <w:rsid w:val="00BB2134"/>
    <w:rsid w:val="00BB2288"/>
    <w:rsid w:val="00BB2389"/>
    <w:rsid w:val="00BB2410"/>
    <w:rsid w:val="00BB248C"/>
    <w:rsid w:val="00BB2953"/>
    <w:rsid w:val="00BB2A30"/>
    <w:rsid w:val="00BB2BD4"/>
    <w:rsid w:val="00BB2D57"/>
    <w:rsid w:val="00BB3039"/>
    <w:rsid w:val="00BB308C"/>
    <w:rsid w:val="00BB312D"/>
    <w:rsid w:val="00BB313C"/>
    <w:rsid w:val="00BB3193"/>
    <w:rsid w:val="00BB31A0"/>
    <w:rsid w:val="00BB32D6"/>
    <w:rsid w:val="00BB34C5"/>
    <w:rsid w:val="00BB35DE"/>
    <w:rsid w:val="00BB37EB"/>
    <w:rsid w:val="00BB3967"/>
    <w:rsid w:val="00BB4105"/>
    <w:rsid w:val="00BB43F4"/>
    <w:rsid w:val="00BB45C3"/>
    <w:rsid w:val="00BB4CF3"/>
    <w:rsid w:val="00BB4E3F"/>
    <w:rsid w:val="00BB4E6B"/>
    <w:rsid w:val="00BB5453"/>
    <w:rsid w:val="00BB5775"/>
    <w:rsid w:val="00BB5869"/>
    <w:rsid w:val="00BB5A1A"/>
    <w:rsid w:val="00BB5A5B"/>
    <w:rsid w:val="00BB5D22"/>
    <w:rsid w:val="00BB60C8"/>
    <w:rsid w:val="00BB61AC"/>
    <w:rsid w:val="00BB6240"/>
    <w:rsid w:val="00BB66C0"/>
    <w:rsid w:val="00BB679A"/>
    <w:rsid w:val="00BB72E1"/>
    <w:rsid w:val="00BB7519"/>
    <w:rsid w:val="00BB75EF"/>
    <w:rsid w:val="00BB76CD"/>
    <w:rsid w:val="00BB78A5"/>
    <w:rsid w:val="00BC00FA"/>
    <w:rsid w:val="00BC0426"/>
    <w:rsid w:val="00BC0532"/>
    <w:rsid w:val="00BC0A8A"/>
    <w:rsid w:val="00BC0E49"/>
    <w:rsid w:val="00BC11A1"/>
    <w:rsid w:val="00BC1296"/>
    <w:rsid w:val="00BC14AC"/>
    <w:rsid w:val="00BC15BC"/>
    <w:rsid w:val="00BC170C"/>
    <w:rsid w:val="00BC1A3C"/>
    <w:rsid w:val="00BC1D56"/>
    <w:rsid w:val="00BC207F"/>
    <w:rsid w:val="00BC21C1"/>
    <w:rsid w:val="00BC2579"/>
    <w:rsid w:val="00BC29B6"/>
    <w:rsid w:val="00BC2CC9"/>
    <w:rsid w:val="00BC338B"/>
    <w:rsid w:val="00BC3636"/>
    <w:rsid w:val="00BC36C8"/>
    <w:rsid w:val="00BC36DB"/>
    <w:rsid w:val="00BC375F"/>
    <w:rsid w:val="00BC3E77"/>
    <w:rsid w:val="00BC3F0B"/>
    <w:rsid w:val="00BC3F94"/>
    <w:rsid w:val="00BC40F5"/>
    <w:rsid w:val="00BC41E5"/>
    <w:rsid w:val="00BC444E"/>
    <w:rsid w:val="00BC458D"/>
    <w:rsid w:val="00BC469E"/>
    <w:rsid w:val="00BC4719"/>
    <w:rsid w:val="00BC48F0"/>
    <w:rsid w:val="00BC4A3D"/>
    <w:rsid w:val="00BC4B0D"/>
    <w:rsid w:val="00BC4B80"/>
    <w:rsid w:val="00BC4BCF"/>
    <w:rsid w:val="00BC504F"/>
    <w:rsid w:val="00BC51FC"/>
    <w:rsid w:val="00BC5337"/>
    <w:rsid w:val="00BC53B5"/>
    <w:rsid w:val="00BC5606"/>
    <w:rsid w:val="00BC56E8"/>
    <w:rsid w:val="00BC576F"/>
    <w:rsid w:val="00BC58A2"/>
    <w:rsid w:val="00BC5F3F"/>
    <w:rsid w:val="00BC61D0"/>
    <w:rsid w:val="00BC6267"/>
    <w:rsid w:val="00BC64D1"/>
    <w:rsid w:val="00BC65BB"/>
    <w:rsid w:val="00BC6647"/>
    <w:rsid w:val="00BC67A9"/>
    <w:rsid w:val="00BC69B9"/>
    <w:rsid w:val="00BC6A2F"/>
    <w:rsid w:val="00BC6C24"/>
    <w:rsid w:val="00BC6E87"/>
    <w:rsid w:val="00BC701D"/>
    <w:rsid w:val="00BC703A"/>
    <w:rsid w:val="00BC71B7"/>
    <w:rsid w:val="00BC71C4"/>
    <w:rsid w:val="00BC722E"/>
    <w:rsid w:val="00BC727D"/>
    <w:rsid w:val="00BC7AC8"/>
    <w:rsid w:val="00BC7B8D"/>
    <w:rsid w:val="00BD038B"/>
    <w:rsid w:val="00BD071A"/>
    <w:rsid w:val="00BD090A"/>
    <w:rsid w:val="00BD09B0"/>
    <w:rsid w:val="00BD0ADE"/>
    <w:rsid w:val="00BD0F84"/>
    <w:rsid w:val="00BD1000"/>
    <w:rsid w:val="00BD1743"/>
    <w:rsid w:val="00BD1887"/>
    <w:rsid w:val="00BD1AE1"/>
    <w:rsid w:val="00BD1B86"/>
    <w:rsid w:val="00BD1CB1"/>
    <w:rsid w:val="00BD1D07"/>
    <w:rsid w:val="00BD1FDB"/>
    <w:rsid w:val="00BD2021"/>
    <w:rsid w:val="00BD2098"/>
    <w:rsid w:val="00BD223E"/>
    <w:rsid w:val="00BD2757"/>
    <w:rsid w:val="00BD304A"/>
    <w:rsid w:val="00BD3159"/>
    <w:rsid w:val="00BD3207"/>
    <w:rsid w:val="00BD34C5"/>
    <w:rsid w:val="00BD350F"/>
    <w:rsid w:val="00BD382F"/>
    <w:rsid w:val="00BD3902"/>
    <w:rsid w:val="00BD397C"/>
    <w:rsid w:val="00BD3A6F"/>
    <w:rsid w:val="00BD3A96"/>
    <w:rsid w:val="00BD3AA6"/>
    <w:rsid w:val="00BD3B4E"/>
    <w:rsid w:val="00BD407B"/>
    <w:rsid w:val="00BD4226"/>
    <w:rsid w:val="00BD43F5"/>
    <w:rsid w:val="00BD4715"/>
    <w:rsid w:val="00BD4766"/>
    <w:rsid w:val="00BD481F"/>
    <w:rsid w:val="00BD5141"/>
    <w:rsid w:val="00BD5176"/>
    <w:rsid w:val="00BD54DF"/>
    <w:rsid w:val="00BD58D7"/>
    <w:rsid w:val="00BD5C7F"/>
    <w:rsid w:val="00BD62D9"/>
    <w:rsid w:val="00BD63BA"/>
    <w:rsid w:val="00BD6536"/>
    <w:rsid w:val="00BD67A0"/>
    <w:rsid w:val="00BD6951"/>
    <w:rsid w:val="00BD6D53"/>
    <w:rsid w:val="00BD6D9C"/>
    <w:rsid w:val="00BD6E4E"/>
    <w:rsid w:val="00BD7002"/>
    <w:rsid w:val="00BD70E6"/>
    <w:rsid w:val="00BD717D"/>
    <w:rsid w:val="00BD71FF"/>
    <w:rsid w:val="00BD7217"/>
    <w:rsid w:val="00BD73E1"/>
    <w:rsid w:val="00BD7411"/>
    <w:rsid w:val="00BD74BF"/>
    <w:rsid w:val="00BD7696"/>
    <w:rsid w:val="00BD7AF6"/>
    <w:rsid w:val="00BD7BA5"/>
    <w:rsid w:val="00BD7C46"/>
    <w:rsid w:val="00BE051A"/>
    <w:rsid w:val="00BE054D"/>
    <w:rsid w:val="00BE0642"/>
    <w:rsid w:val="00BE06C0"/>
    <w:rsid w:val="00BE082A"/>
    <w:rsid w:val="00BE09EA"/>
    <w:rsid w:val="00BE0A20"/>
    <w:rsid w:val="00BE0A48"/>
    <w:rsid w:val="00BE0C08"/>
    <w:rsid w:val="00BE0CA8"/>
    <w:rsid w:val="00BE0E98"/>
    <w:rsid w:val="00BE0FC1"/>
    <w:rsid w:val="00BE10DA"/>
    <w:rsid w:val="00BE11D9"/>
    <w:rsid w:val="00BE1356"/>
    <w:rsid w:val="00BE135C"/>
    <w:rsid w:val="00BE1412"/>
    <w:rsid w:val="00BE15DB"/>
    <w:rsid w:val="00BE1999"/>
    <w:rsid w:val="00BE1B25"/>
    <w:rsid w:val="00BE1DF2"/>
    <w:rsid w:val="00BE233F"/>
    <w:rsid w:val="00BE242C"/>
    <w:rsid w:val="00BE245D"/>
    <w:rsid w:val="00BE26A6"/>
    <w:rsid w:val="00BE28BE"/>
    <w:rsid w:val="00BE29C4"/>
    <w:rsid w:val="00BE2E18"/>
    <w:rsid w:val="00BE2E7E"/>
    <w:rsid w:val="00BE310E"/>
    <w:rsid w:val="00BE3358"/>
    <w:rsid w:val="00BE384B"/>
    <w:rsid w:val="00BE3C75"/>
    <w:rsid w:val="00BE3CC5"/>
    <w:rsid w:val="00BE3CFB"/>
    <w:rsid w:val="00BE3D08"/>
    <w:rsid w:val="00BE3FDC"/>
    <w:rsid w:val="00BE40D1"/>
    <w:rsid w:val="00BE4173"/>
    <w:rsid w:val="00BE49BF"/>
    <w:rsid w:val="00BE506F"/>
    <w:rsid w:val="00BE51D8"/>
    <w:rsid w:val="00BE56D6"/>
    <w:rsid w:val="00BE5811"/>
    <w:rsid w:val="00BE58DF"/>
    <w:rsid w:val="00BE5940"/>
    <w:rsid w:val="00BE5A3B"/>
    <w:rsid w:val="00BE5B4D"/>
    <w:rsid w:val="00BE5B68"/>
    <w:rsid w:val="00BE5D7E"/>
    <w:rsid w:val="00BE60E4"/>
    <w:rsid w:val="00BE61E7"/>
    <w:rsid w:val="00BE67BC"/>
    <w:rsid w:val="00BE67CD"/>
    <w:rsid w:val="00BE67F5"/>
    <w:rsid w:val="00BE6815"/>
    <w:rsid w:val="00BE69D2"/>
    <w:rsid w:val="00BE6A5A"/>
    <w:rsid w:val="00BE6BDD"/>
    <w:rsid w:val="00BE71D9"/>
    <w:rsid w:val="00BE7390"/>
    <w:rsid w:val="00BE73C3"/>
    <w:rsid w:val="00BE7466"/>
    <w:rsid w:val="00BE7D10"/>
    <w:rsid w:val="00BE7EDE"/>
    <w:rsid w:val="00BE7F52"/>
    <w:rsid w:val="00BF033D"/>
    <w:rsid w:val="00BF0469"/>
    <w:rsid w:val="00BF07E9"/>
    <w:rsid w:val="00BF0F27"/>
    <w:rsid w:val="00BF1114"/>
    <w:rsid w:val="00BF17C2"/>
    <w:rsid w:val="00BF1C8F"/>
    <w:rsid w:val="00BF1EB0"/>
    <w:rsid w:val="00BF1EB1"/>
    <w:rsid w:val="00BF1F7E"/>
    <w:rsid w:val="00BF213E"/>
    <w:rsid w:val="00BF2433"/>
    <w:rsid w:val="00BF257B"/>
    <w:rsid w:val="00BF25A3"/>
    <w:rsid w:val="00BF25F7"/>
    <w:rsid w:val="00BF2A47"/>
    <w:rsid w:val="00BF2C72"/>
    <w:rsid w:val="00BF3097"/>
    <w:rsid w:val="00BF31D5"/>
    <w:rsid w:val="00BF39FA"/>
    <w:rsid w:val="00BF3CC4"/>
    <w:rsid w:val="00BF3D34"/>
    <w:rsid w:val="00BF3DA6"/>
    <w:rsid w:val="00BF3F8D"/>
    <w:rsid w:val="00BF4383"/>
    <w:rsid w:val="00BF441D"/>
    <w:rsid w:val="00BF4663"/>
    <w:rsid w:val="00BF49BA"/>
    <w:rsid w:val="00BF4A01"/>
    <w:rsid w:val="00BF4F2E"/>
    <w:rsid w:val="00BF5110"/>
    <w:rsid w:val="00BF541A"/>
    <w:rsid w:val="00BF5446"/>
    <w:rsid w:val="00BF578C"/>
    <w:rsid w:val="00BF5E7E"/>
    <w:rsid w:val="00BF6178"/>
    <w:rsid w:val="00BF62F9"/>
    <w:rsid w:val="00BF6750"/>
    <w:rsid w:val="00BF6A2E"/>
    <w:rsid w:val="00BF6A6F"/>
    <w:rsid w:val="00BF6A9E"/>
    <w:rsid w:val="00BF6B94"/>
    <w:rsid w:val="00BF6E07"/>
    <w:rsid w:val="00BF6F0A"/>
    <w:rsid w:val="00BF7037"/>
    <w:rsid w:val="00BF7043"/>
    <w:rsid w:val="00BF71B2"/>
    <w:rsid w:val="00BF7206"/>
    <w:rsid w:val="00BF7B81"/>
    <w:rsid w:val="00BF7C30"/>
    <w:rsid w:val="00BF7E1C"/>
    <w:rsid w:val="00BF7F7D"/>
    <w:rsid w:val="00C00141"/>
    <w:rsid w:val="00C001D4"/>
    <w:rsid w:val="00C00617"/>
    <w:rsid w:val="00C006F7"/>
    <w:rsid w:val="00C0088D"/>
    <w:rsid w:val="00C00981"/>
    <w:rsid w:val="00C0099E"/>
    <w:rsid w:val="00C01097"/>
    <w:rsid w:val="00C01268"/>
    <w:rsid w:val="00C01F19"/>
    <w:rsid w:val="00C02063"/>
    <w:rsid w:val="00C0218F"/>
    <w:rsid w:val="00C02424"/>
    <w:rsid w:val="00C0255F"/>
    <w:rsid w:val="00C02709"/>
    <w:rsid w:val="00C0281C"/>
    <w:rsid w:val="00C028C3"/>
    <w:rsid w:val="00C028E9"/>
    <w:rsid w:val="00C02921"/>
    <w:rsid w:val="00C02AB9"/>
    <w:rsid w:val="00C02AF4"/>
    <w:rsid w:val="00C02C96"/>
    <w:rsid w:val="00C02E89"/>
    <w:rsid w:val="00C02E8A"/>
    <w:rsid w:val="00C031E7"/>
    <w:rsid w:val="00C032B2"/>
    <w:rsid w:val="00C03B5D"/>
    <w:rsid w:val="00C03BFF"/>
    <w:rsid w:val="00C03C42"/>
    <w:rsid w:val="00C03CB4"/>
    <w:rsid w:val="00C03D43"/>
    <w:rsid w:val="00C041D9"/>
    <w:rsid w:val="00C04329"/>
    <w:rsid w:val="00C0434C"/>
    <w:rsid w:val="00C0445C"/>
    <w:rsid w:val="00C04539"/>
    <w:rsid w:val="00C048D1"/>
    <w:rsid w:val="00C04B74"/>
    <w:rsid w:val="00C055C9"/>
    <w:rsid w:val="00C057AC"/>
    <w:rsid w:val="00C057AF"/>
    <w:rsid w:val="00C05A4B"/>
    <w:rsid w:val="00C05AE1"/>
    <w:rsid w:val="00C05AFD"/>
    <w:rsid w:val="00C05DF0"/>
    <w:rsid w:val="00C05FC4"/>
    <w:rsid w:val="00C06000"/>
    <w:rsid w:val="00C06085"/>
    <w:rsid w:val="00C063F5"/>
    <w:rsid w:val="00C06511"/>
    <w:rsid w:val="00C06ABD"/>
    <w:rsid w:val="00C06AF0"/>
    <w:rsid w:val="00C06F37"/>
    <w:rsid w:val="00C06FBF"/>
    <w:rsid w:val="00C0703D"/>
    <w:rsid w:val="00C071B6"/>
    <w:rsid w:val="00C07241"/>
    <w:rsid w:val="00C07581"/>
    <w:rsid w:val="00C07926"/>
    <w:rsid w:val="00C0795C"/>
    <w:rsid w:val="00C106E7"/>
    <w:rsid w:val="00C108BA"/>
    <w:rsid w:val="00C108FA"/>
    <w:rsid w:val="00C10B62"/>
    <w:rsid w:val="00C10B6E"/>
    <w:rsid w:val="00C10BE8"/>
    <w:rsid w:val="00C111DF"/>
    <w:rsid w:val="00C1124D"/>
    <w:rsid w:val="00C112F7"/>
    <w:rsid w:val="00C1151D"/>
    <w:rsid w:val="00C11785"/>
    <w:rsid w:val="00C11B0F"/>
    <w:rsid w:val="00C11DED"/>
    <w:rsid w:val="00C11F4F"/>
    <w:rsid w:val="00C12A4A"/>
    <w:rsid w:val="00C12A81"/>
    <w:rsid w:val="00C12B34"/>
    <w:rsid w:val="00C12CAB"/>
    <w:rsid w:val="00C12E44"/>
    <w:rsid w:val="00C13336"/>
    <w:rsid w:val="00C133D4"/>
    <w:rsid w:val="00C134DE"/>
    <w:rsid w:val="00C134E9"/>
    <w:rsid w:val="00C13545"/>
    <w:rsid w:val="00C135FA"/>
    <w:rsid w:val="00C13943"/>
    <w:rsid w:val="00C13DBD"/>
    <w:rsid w:val="00C14003"/>
    <w:rsid w:val="00C14035"/>
    <w:rsid w:val="00C14085"/>
    <w:rsid w:val="00C140E9"/>
    <w:rsid w:val="00C14239"/>
    <w:rsid w:val="00C143D6"/>
    <w:rsid w:val="00C14425"/>
    <w:rsid w:val="00C14519"/>
    <w:rsid w:val="00C14537"/>
    <w:rsid w:val="00C145ED"/>
    <w:rsid w:val="00C145F1"/>
    <w:rsid w:val="00C14AA6"/>
    <w:rsid w:val="00C1500F"/>
    <w:rsid w:val="00C150D4"/>
    <w:rsid w:val="00C1521C"/>
    <w:rsid w:val="00C152BA"/>
    <w:rsid w:val="00C155CC"/>
    <w:rsid w:val="00C1595F"/>
    <w:rsid w:val="00C15F0C"/>
    <w:rsid w:val="00C15FB7"/>
    <w:rsid w:val="00C1635F"/>
    <w:rsid w:val="00C163AA"/>
    <w:rsid w:val="00C16833"/>
    <w:rsid w:val="00C1688A"/>
    <w:rsid w:val="00C16925"/>
    <w:rsid w:val="00C1694B"/>
    <w:rsid w:val="00C17371"/>
    <w:rsid w:val="00C17475"/>
    <w:rsid w:val="00C17913"/>
    <w:rsid w:val="00C17CA5"/>
    <w:rsid w:val="00C17DB9"/>
    <w:rsid w:val="00C17FF7"/>
    <w:rsid w:val="00C208BD"/>
    <w:rsid w:val="00C20B20"/>
    <w:rsid w:val="00C20B4E"/>
    <w:rsid w:val="00C2102B"/>
    <w:rsid w:val="00C21780"/>
    <w:rsid w:val="00C2185B"/>
    <w:rsid w:val="00C21969"/>
    <w:rsid w:val="00C21CE3"/>
    <w:rsid w:val="00C21FE3"/>
    <w:rsid w:val="00C221A1"/>
    <w:rsid w:val="00C224DC"/>
    <w:rsid w:val="00C226A8"/>
    <w:rsid w:val="00C22765"/>
    <w:rsid w:val="00C227BE"/>
    <w:rsid w:val="00C22941"/>
    <w:rsid w:val="00C22ABC"/>
    <w:rsid w:val="00C22C6C"/>
    <w:rsid w:val="00C22CF6"/>
    <w:rsid w:val="00C22DB3"/>
    <w:rsid w:val="00C22EC9"/>
    <w:rsid w:val="00C22F56"/>
    <w:rsid w:val="00C22FB9"/>
    <w:rsid w:val="00C23020"/>
    <w:rsid w:val="00C23181"/>
    <w:rsid w:val="00C2341C"/>
    <w:rsid w:val="00C2360E"/>
    <w:rsid w:val="00C23A31"/>
    <w:rsid w:val="00C23B59"/>
    <w:rsid w:val="00C23DA3"/>
    <w:rsid w:val="00C240DE"/>
    <w:rsid w:val="00C24146"/>
    <w:rsid w:val="00C24314"/>
    <w:rsid w:val="00C2434B"/>
    <w:rsid w:val="00C24423"/>
    <w:rsid w:val="00C24505"/>
    <w:rsid w:val="00C246A4"/>
    <w:rsid w:val="00C248E7"/>
    <w:rsid w:val="00C24E11"/>
    <w:rsid w:val="00C253F3"/>
    <w:rsid w:val="00C25786"/>
    <w:rsid w:val="00C25CD0"/>
    <w:rsid w:val="00C25E50"/>
    <w:rsid w:val="00C264B8"/>
    <w:rsid w:val="00C2679D"/>
    <w:rsid w:val="00C26B6C"/>
    <w:rsid w:val="00C26DEA"/>
    <w:rsid w:val="00C272D6"/>
    <w:rsid w:val="00C273EA"/>
    <w:rsid w:val="00C27471"/>
    <w:rsid w:val="00C279A3"/>
    <w:rsid w:val="00C279B8"/>
    <w:rsid w:val="00C27BDC"/>
    <w:rsid w:val="00C27DCC"/>
    <w:rsid w:val="00C27DFB"/>
    <w:rsid w:val="00C303EB"/>
    <w:rsid w:val="00C30443"/>
    <w:rsid w:val="00C3086D"/>
    <w:rsid w:val="00C30D9C"/>
    <w:rsid w:val="00C30FF1"/>
    <w:rsid w:val="00C3114E"/>
    <w:rsid w:val="00C311D5"/>
    <w:rsid w:val="00C31237"/>
    <w:rsid w:val="00C3169E"/>
    <w:rsid w:val="00C31750"/>
    <w:rsid w:val="00C31993"/>
    <w:rsid w:val="00C31A11"/>
    <w:rsid w:val="00C31CAC"/>
    <w:rsid w:val="00C31D6E"/>
    <w:rsid w:val="00C31E46"/>
    <w:rsid w:val="00C31F09"/>
    <w:rsid w:val="00C321D2"/>
    <w:rsid w:val="00C324AB"/>
    <w:rsid w:val="00C32618"/>
    <w:rsid w:val="00C32C21"/>
    <w:rsid w:val="00C32C7D"/>
    <w:rsid w:val="00C33188"/>
    <w:rsid w:val="00C333F8"/>
    <w:rsid w:val="00C33554"/>
    <w:rsid w:val="00C33797"/>
    <w:rsid w:val="00C337DF"/>
    <w:rsid w:val="00C33A9F"/>
    <w:rsid w:val="00C33AE3"/>
    <w:rsid w:val="00C33B79"/>
    <w:rsid w:val="00C340C3"/>
    <w:rsid w:val="00C34F9A"/>
    <w:rsid w:val="00C3576C"/>
    <w:rsid w:val="00C35B40"/>
    <w:rsid w:val="00C35B59"/>
    <w:rsid w:val="00C36147"/>
    <w:rsid w:val="00C362F7"/>
    <w:rsid w:val="00C36345"/>
    <w:rsid w:val="00C36416"/>
    <w:rsid w:val="00C365CE"/>
    <w:rsid w:val="00C36905"/>
    <w:rsid w:val="00C369F2"/>
    <w:rsid w:val="00C36E1A"/>
    <w:rsid w:val="00C36EBC"/>
    <w:rsid w:val="00C37656"/>
    <w:rsid w:val="00C3767A"/>
    <w:rsid w:val="00C37A0F"/>
    <w:rsid w:val="00C37A41"/>
    <w:rsid w:val="00C37DC3"/>
    <w:rsid w:val="00C37F04"/>
    <w:rsid w:val="00C400B7"/>
    <w:rsid w:val="00C4018A"/>
    <w:rsid w:val="00C403B8"/>
    <w:rsid w:val="00C40745"/>
    <w:rsid w:val="00C40BC2"/>
    <w:rsid w:val="00C40DC1"/>
    <w:rsid w:val="00C40E2A"/>
    <w:rsid w:val="00C412CE"/>
    <w:rsid w:val="00C413C0"/>
    <w:rsid w:val="00C413FB"/>
    <w:rsid w:val="00C41560"/>
    <w:rsid w:val="00C41776"/>
    <w:rsid w:val="00C41810"/>
    <w:rsid w:val="00C41A17"/>
    <w:rsid w:val="00C41C45"/>
    <w:rsid w:val="00C41EDB"/>
    <w:rsid w:val="00C425F0"/>
    <w:rsid w:val="00C42824"/>
    <w:rsid w:val="00C42DDA"/>
    <w:rsid w:val="00C42DE9"/>
    <w:rsid w:val="00C435B8"/>
    <w:rsid w:val="00C437C0"/>
    <w:rsid w:val="00C43BF7"/>
    <w:rsid w:val="00C43CA4"/>
    <w:rsid w:val="00C43CCD"/>
    <w:rsid w:val="00C43CD5"/>
    <w:rsid w:val="00C43D25"/>
    <w:rsid w:val="00C4417D"/>
    <w:rsid w:val="00C45AA5"/>
    <w:rsid w:val="00C45BC9"/>
    <w:rsid w:val="00C45BF5"/>
    <w:rsid w:val="00C45D53"/>
    <w:rsid w:val="00C45FC4"/>
    <w:rsid w:val="00C465D1"/>
    <w:rsid w:val="00C467D9"/>
    <w:rsid w:val="00C46801"/>
    <w:rsid w:val="00C46922"/>
    <w:rsid w:val="00C46989"/>
    <w:rsid w:val="00C46B89"/>
    <w:rsid w:val="00C47225"/>
    <w:rsid w:val="00C4734E"/>
    <w:rsid w:val="00C47757"/>
    <w:rsid w:val="00C47C37"/>
    <w:rsid w:val="00C47D15"/>
    <w:rsid w:val="00C5019A"/>
    <w:rsid w:val="00C501D7"/>
    <w:rsid w:val="00C502FB"/>
    <w:rsid w:val="00C50509"/>
    <w:rsid w:val="00C50535"/>
    <w:rsid w:val="00C505D8"/>
    <w:rsid w:val="00C5092D"/>
    <w:rsid w:val="00C50AA5"/>
    <w:rsid w:val="00C50B9E"/>
    <w:rsid w:val="00C51005"/>
    <w:rsid w:val="00C51085"/>
    <w:rsid w:val="00C512B0"/>
    <w:rsid w:val="00C51323"/>
    <w:rsid w:val="00C51FCB"/>
    <w:rsid w:val="00C5211D"/>
    <w:rsid w:val="00C52160"/>
    <w:rsid w:val="00C523AE"/>
    <w:rsid w:val="00C523D9"/>
    <w:rsid w:val="00C528C9"/>
    <w:rsid w:val="00C52E16"/>
    <w:rsid w:val="00C53282"/>
    <w:rsid w:val="00C5338F"/>
    <w:rsid w:val="00C53847"/>
    <w:rsid w:val="00C53AAC"/>
    <w:rsid w:val="00C54069"/>
    <w:rsid w:val="00C54083"/>
    <w:rsid w:val="00C5408A"/>
    <w:rsid w:val="00C54123"/>
    <w:rsid w:val="00C54173"/>
    <w:rsid w:val="00C5422E"/>
    <w:rsid w:val="00C54313"/>
    <w:rsid w:val="00C5488D"/>
    <w:rsid w:val="00C54D9E"/>
    <w:rsid w:val="00C54F26"/>
    <w:rsid w:val="00C54FC7"/>
    <w:rsid w:val="00C5523D"/>
    <w:rsid w:val="00C5550E"/>
    <w:rsid w:val="00C55A97"/>
    <w:rsid w:val="00C55C1A"/>
    <w:rsid w:val="00C55CDB"/>
    <w:rsid w:val="00C55DD1"/>
    <w:rsid w:val="00C55FC7"/>
    <w:rsid w:val="00C5624E"/>
    <w:rsid w:val="00C56869"/>
    <w:rsid w:val="00C5690C"/>
    <w:rsid w:val="00C576A9"/>
    <w:rsid w:val="00C576E0"/>
    <w:rsid w:val="00C5778C"/>
    <w:rsid w:val="00C57824"/>
    <w:rsid w:val="00C57851"/>
    <w:rsid w:val="00C57B1D"/>
    <w:rsid w:val="00C57D20"/>
    <w:rsid w:val="00C57DB3"/>
    <w:rsid w:val="00C604E0"/>
    <w:rsid w:val="00C60541"/>
    <w:rsid w:val="00C6054E"/>
    <w:rsid w:val="00C60776"/>
    <w:rsid w:val="00C60B0A"/>
    <w:rsid w:val="00C60B55"/>
    <w:rsid w:val="00C60DBB"/>
    <w:rsid w:val="00C60EF0"/>
    <w:rsid w:val="00C60F88"/>
    <w:rsid w:val="00C60FDA"/>
    <w:rsid w:val="00C60FE8"/>
    <w:rsid w:val="00C61320"/>
    <w:rsid w:val="00C61531"/>
    <w:rsid w:val="00C61764"/>
    <w:rsid w:val="00C61767"/>
    <w:rsid w:val="00C619B8"/>
    <w:rsid w:val="00C61AE6"/>
    <w:rsid w:val="00C61B0A"/>
    <w:rsid w:val="00C61BC8"/>
    <w:rsid w:val="00C61C7F"/>
    <w:rsid w:val="00C61D87"/>
    <w:rsid w:val="00C61F04"/>
    <w:rsid w:val="00C61FC9"/>
    <w:rsid w:val="00C62052"/>
    <w:rsid w:val="00C62130"/>
    <w:rsid w:val="00C6228A"/>
    <w:rsid w:val="00C62485"/>
    <w:rsid w:val="00C6289E"/>
    <w:rsid w:val="00C632C9"/>
    <w:rsid w:val="00C6349F"/>
    <w:rsid w:val="00C634B9"/>
    <w:rsid w:val="00C634DE"/>
    <w:rsid w:val="00C63A4A"/>
    <w:rsid w:val="00C63AD1"/>
    <w:rsid w:val="00C63BF9"/>
    <w:rsid w:val="00C63F05"/>
    <w:rsid w:val="00C641B2"/>
    <w:rsid w:val="00C64236"/>
    <w:rsid w:val="00C6458E"/>
    <w:rsid w:val="00C6523B"/>
    <w:rsid w:val="00C65375"/>
    <w:rsid w:val="00C653C9"/>
    <w:rsid w:val="00C6579E"/>
    <w:rsid w:val="00C65CE4"/>
    <w:rsid w:val="00C65FE8"/>
    <w:rsid w:val="00C66314"/>
    <w:rsid w:val="00C66745"/>
    <w:rsid w:val="00C667F2"/>
    <w:rsid w:val="00C66C9E"/>
    <w:rsid w:val="00C66FF8"/>
    <w:rsid w:val="00C67193"/>
    <w:rsid w:val="00C673C3"/>
    <w:rsid w:val="00C674C1"/>
    <w:rsid w:val="00C67940"/>
    <w:rsid w:val="00C679CF"/>
    <w:rsid w:val="00C67BF6"/>
    <w:rsid w:val="00C67F04"/>
    <w:rsid w:val="00C7060F"/>
    <w:rsid w:val="00C707C9"/>
    <w:rsid w:val="00C70D19"/>
    <w:rsid w:val="00C70DAD"/>
    <w:rsid w:val="00C71052"/>
    <w:rsid w:val="00C71074"/>
    <w:rsid w:val="00C711B8"/>
    <w:rsid w:val="00C7147D"/>
    <w:rsid w:val="00C71607"/>
    <w:rsid w:val="00C71913"/>
    <w:rsid w:val="00C71943"/>
    <w:rsid w:val="00C71A2D"/>
    <w:rsid w:val="00C71C21"/>
    <w:rsid w:val="00C71EA5"/>
    <w:rsid w:val="00C71F08"/>
    <w:rsid w:val="00C7268D"/>
    <w:rsid w:val="00C73246"/>
    <w:rsid w:val="00C73438"/>
    <w:rsid w:val="00C73502"/>
    <w:rsid w:val="00C73976"/>
    <w:rsid w:val="00C73C23"/>
    <w:rsid w:val="00C73E0A"/>
    <w:rsid w:val="00C74060"/>
    <w:rsid w:val="00C74260"/>
    <w:rsid w:val="00C744BF"/>
    <w:rsid w:val="00C748CF"/>
    <w:rsid w:val="00C74B47"/>
    <w:rsid w:val="00C74BEA"/>
    <w:rsid w:val="00C752FD"/>
    <w:rsid w:val="00C7554B"/>
    <w:rsid w:val="00C757F2"/>
    <w:rsid w:val="00C75909"/>
    <w:rsid w:val="00C75B2C"/>
    <w:rsid w:val="00C75BA0"/>
    <w:rsid w:val="00C75BDD"/>
    <w:rsid w:val="00C75E4A"/>
    <w:rsid w:val="00C7631D"/>
    <w:rsid w:val="00C76360"/>
    <w:rsid w:val="00C76519"/>
    <w:rsid w:val="00C76A6D"/>
    <w:rsid w:val="00C76BE5"/>
    <w:rsid w:val="00C76EDC"/>
    <w:rsid w:val="00C77172"/>
    <w:rsid w:val="00C77335"/>
    <w:rsid w:val="00C777B7"/>
    <w:rsid w:val="00C77C05"/>
    <w:rsid w:val="00C77CAB"/>
    <w:rsid w:val="00C77CE4"/>
    <w:rsid w:val="00C800CE"/>
    <w:rsid w:val="00C803CF"/>
    <w:rsid w:val="00C805EA"/>
    <w:rsid w:val="00C8072D"/>
    <w:rsid w:val="00C81047"/>
    <w:rsid w:val="00C8106B"/>
    <w:rsid w:val="00C8150F"/>
    <w:rsid w:val="00C81741"/>
    <w:rsid w:val="00C8199B"/>
    <w:rsid w:val="00C819AA"/>
    <w:rsid w:val="00C81CF2"/>
    <w:rsid w:val="00C81EF1"/>
    <w:rsid w:val="00C81F00"/>
    <w:rsid w:val="00C82150"/>
    <w:rsid w:val="00C821F3"/>
    <w:rsid w:val="00C823B8"/>
    <w:rsid w:val="00C82433"/>
    <w:rsid w:val="00C82510"/>
    <w:rsid w:val="00C82591"/>
    <w:rsid w:val="00C825D4"/>
    <w:rsid w:val="00C82E19"/>
    <w:rsid w:val="00C82F8F"/>
    <w:rsid w:val="00C831CA"/>
    <w:rsid w:val="00C83343"/>
    <w:rsid w:val="00C83505"/>
    <w:rsid w:val="00C835DA"/>
    <w:rsid w:val="00C83746"/>
    <w:rsid w:val="00C83772"/>
    <w:rsid w:val="00C83809"/>
    <w:rsid w:val="00C83A64"/>
    <w:rsid w:val="00C8445A"/>
    <w:rsid w:val="00C845CF"/>
    <w:rsid w:val="00C84838"/>
    <w:rsid w:val="00C84A6F"/>
    <w:rsid w:val="00C84B91"/>
    <w:rsid w:val="00C84C30"/>
    <w:rsid w:val="00C84DAD"/>
    <w:rsid w:val="00C84F6E"/>
    <w:rsid w:val="00C84FF8"/>
    <w:rsid w:val="00C85084"/>
    <w:rsid w:val="00C850CC"/>
    <w:rsid w:val="00C85202"/>
    <w:rsid w:val="00C852B7"/>
    <w:rsid w:val="00C857F8"/>
    <w:rsid w:val="00C8581E"/>
    <w:rsid w:val="00C858DF"/>
    <w:rsid w:val="00C85B97"/>
    <w:rsid w:val="00C85B9A"/>
    <w:rsid w:val="00C861CE"/>
    <w:rsid w:val="00C86264"/>
    <w:rsid w:val="00C8642D"/>
    <w:rsid w:val="00C8680C"/>
    <w:rsid w:val="00C86AE0"/>
    <w:rsid w:val="00C86B80"/>
    <w:rsid w:val="00C86E88"/>
    <w:rsid w:val="00C87203"/>
    <w:rsid w:val="00C87220"/>
    <w:rsid w:val="00C876B2"/>
    <w:rsid w:val="00C87782"/>
    <w:rsid w:val="00C9001A"/>
    <w:rsid w:val="00C905C1"/>
    <w:rsid w:val="00C90B22"/>
    <w:rsid w:val="00C911D4"/>
    <w:rsid w:val="00C91A38"/>
    <w:rsid w:val="00C91AC2"/>
    <w:rsid w:val="00C91EB7"/>
    <w:rsid w:val="00C91FD6"/>
    <w:rsid w:val="00C922DE"/>
    <w:rsid w:val="00C9257E"/>
    <w:rsid w:val="00C925CE"/>
    <w:rsid w:val="00C92691"/>
    <w:rsid w:val="00C926C9"/>
    <w:rsid w:val="00C92920"/>
    <w:rsid w:val="00C92C1A"/>
    <w:rsid w:val="00C93234"/>
    <w:rsid w:val="00C93357"/>
    <w:rsid w:val="00C934A3"/>
    <w:rsid w:val="00C93564"/>
    <w:rsid w:val="00C93F5D"/>
    <w:rsid w:val="00C93FD6"/>
    <w:rsid w:val="00C94218"/>
    <w:rsid w:val="00C94381"/>
    <w:rsid w:val="00C94619"/>
    <w:rsid w:val="00C946C9"/>
    <w:rsid w:val="00C946E5"/>
    <w:rsid w:val="00C947E3"/>
    <w:rsid w:val="00C94ABC"/>
    <w:rsid w:val="00C94D66"/>
    <w:rsid w:val="00C94E58"/>
    <w:rsid w:val="00C94FAD"/>
    <w:rsid w:val="00C94FCC"/>
    <w:rsid w:val="00C955FC"/>
    <w:rsid w:val="00C95643"/>
    <w:rsid w:val="00C956B8"/>
    <w:rsid w:val="00C957B7"/>
    <w:rsid w:val="00C95C80"/>
    <w:rsid w:val="00C95CB9"/>
    <w:rsid w:val="00C95E95"/>
    <w:rsid w:val="00C95F7C"/>
    <w:rsid w:val="00C9601E"/>
    <w:rsid w:val="00C965C6"/>
    <w:rsid w:val="00C96A03"/>
    <w:rsid w:val="00C96B28"/>
    <w:rsid w:val="00C96D1B"/>
    <w:rsid w:val="00C96D1F"/>
    <w:rsid w:val="00C96D34"/>
    <w:rsid w:val="00C9721C"/>
    <w:rsid w:val="00C9745E"/>
    <w:rsid w:val="00C975AF"/>
    <w:rsid w:val="00C9793B"/>
    <w:rsid w:val="00C97A21"/>
    <w:rsid w:val="00C97B95"/>
    <w:rsid w:val="00C97BC3"/>
    <w:rsid w:val="00C97C92"/>
    <w:rsid w:val="00C97CFD"/>
    <w:rsid w:val="00C97DFC"/>
    <w:rsid w:val="00CA0123"/>
    <w:rsid w:val="00CA0125"/>
    <w:rsid w:val="00CA0650"/>
    <w:rsid w:val="00CA077F"/>
    <w:rsid w:val="00CA07DA"/>
    <w:rsid w:val="00CA0AC2"/>
    <w:rsid w:val="00CA0B3B"/>
    <w:rsid w:val="00CA1101"/>
    <w:rsid w:val="00CA1443"/>
    <w:rsid w:val="00CA1489"/>
    <w:rsid w:val="00CA1698"/>
    <w:rsid w:val="00CA1999"/>
    <w:rsid w:val="00CA1A44"/>
    <w:rsid w:val="00CA1AFC"/>
    <w:rsid w:val="00CA1B05"/>
    <w:rsid w:val="00CA1B62"/>
    <w:rsid w:val="00CA1DD6"/>
    <w:rsid w:val="00CA2184"/>
    <w:rsid w:val="00CA247F"/>
    <w:rsid w:val="00CA24B0"/>
    <w:rsid w:val="00CA26BE"/>
    <w:rsid w:val="00CA2905"/>
    <w:rsid w:val="00CA2BA9"/>
    <w:rsid w:val="00CA2E96"/>
    <w:rsid w:val="00CA35B1"/>
    <w:rsid w:val="00CA3621"/>
    <w:rsid w:val="00CA38B6"/>
    <w:rsid w:val="00CA3A77"/>
    <w:rsid w:val="00CA40B7"/>
    <w:rsid w:val="00CA4203"/>
    <w:rsid w:val="00CA444F"/>
    <w:rsid w:val="00CA4723"/>
    <w:rsid w:val="00CA48EE"/>
    <w:rsid w:val="00CA495B"/>
    <w:rsid w:val="00CA4A16"/>
    <w:rsid w:val="00CA4AC5"/>
    <w:rsid w:val="00CA4B43"/>
    <w:rsid w:val="00CA4D06"/>
    <w:rsid w:val="00CA4D0A"/>
    <w:rsid w:val="00CA4FB1"/>
    <w:rsid w:val="00CA5007"/>
    <w:rsid w:val="00CA535E"/>
    <w:rsid w:val="00CA5571"/>
    <w:rsid w:val="00CA558A"/>
    <w:rsid w:val="00CA55E7"/>
    <w:rsid w:val="00CA592D"/>
    <w:rsid w:val="00CA5E57"/>
    <w:rsid w:val="00CA62C9"/>
    <w:rsid w:val="00CA6497"/>
    <w:rsid w:val="00CA654C"/>
    <w:rsid w:val="00CA6556"/>
    <w:rsid w:val="00CA66C4"/>
    <w:rsid w:val="00CA6A8A"/>
    <w:rsid w:val="00CA6BEE"/>
    <w:rsid w:val="00CA6C11"/>
    <w:rsid w:val="00CA7151"/>
    <w:rsid w:val="00CA7280"/>
    <w:rsid w:val="00CA742F"/>
    <w:rsid w:val="00CA75E2"/>
    <w:rsid w:val="00CA78D1"/>
    <w:rsid w:val="00CA7AF4"/>
    <w:rsid w:val="00CA7EB2"/>
    <w:rsid w:val="00CB002A"/>
    <w:rsid w:val="00CB045C"/>
    <w:rsid w:val="00CB06B8"/>
    <w:rsid w:val="00CB0FB6"/>
    <w:rsid w:val="00CB12E4"/>
    <w:rsid w:val="00CB136C"/>
    <w:rsid w:val="00CB142B"/>
    <w:rsid w:val="00CB1B0D"/>
    <w:rsid w:val="00CB1B4D"/>
    <w:rsid w:val="00CB1CE9"/>
    <w:rsid w:val="00CB227B"/>
    <w:rsid w:val="00CB2420"/>
    <w:rsid w:val="00CB2476"/>
    <w:rsid w:val="00CB24AD"/>
    <w:rsid w:val="00CB2823"/>
    <w:rsid w:val="00CB28A9"/>
    <w:rsid w:val="00CB28B5"/>
    <w:rsid w:val="00CB294B"/>
    <w:rsid w:val="00CB2B4D"/>
    <w:rsid w:val="00CB2B89"/>
    <w:rsid w:val="00CB2C9C"/>
    <w:rsid w:val="00CB2D6A"/>
    <w:rsid w:val="00CB30C1"/>
    <w:rsid w:val="00CB324D"/>
    <w:rsid w:val="00CB3397"/>
    <w:rsid w:val="00CB354A"/>
    <w:rsid w:val="00CB371D"/>
    <w:rsid w:val="00CB3774"/>
    <w:rsid w:val="00CB3931"/>
    <w:rsid w:val="00CB3AB7"/>
    <w:rsid w:val="00CB3B3E"/>
    <w:rsid w:val="00CB3CF7"/>
    <w:rsid w:val="00CB3DDE"/>
    <w:rsid w:val="00CB3F64"/>
    <w:rsid w:val="00CB3FC1"/>
    <w:rsid w:val="00CB3FC3"/>
    <w:rsid w:val="00CB423E"/>
    <w:rsid w:val="00CB43FD"/>
    <w:rsid w:val="00CB45DD"/>
    <w:rsid w:val="00CB470D"/>
    <w:rsid w:val="00CB4720"/>
    <w:rsid w:val="00CB4CB5"/>
    <w:rsid w:val="00CB4DCD"/>
    <w:rsid w:val="00CB54B5"/>
    <w:rsid w:val="00CB5595"/>
    <w:rsid w:val="00CB5EF7"/>
    <w:rsid w:val="00CB605D"/>
    <w:rsid w:val="00CB65BF"/>
    <w:rsid w:val="00CB6802"/>
    <w:rsid w:val="00CB6E62"/>
    <w:rsid w:val="00CB72B3"/>
    <w:rsid w:val="00CB72EE"/>
    <w:rsid w:val="00CB73CA"/>
    <w:rsid w:val="00CB75EA"/>
    <w:rsid w:val="00CB7EF7"/>
    <w:rsid w:val="00CC0184"/>
    <w:rsid w:val="00CC028B"/>
    <w:rsid w:val="00CC05D4"/>
    <w:rsid w:val="00CC0854"/>
    <w:rsid w:val="00CC0872"/>
    <w:rsid w:val="00CC08FB"/>
    <w:rsid w:val="00CC0A53"/>
    <w:rsid w:val="00CC0AF3"/>
    <w:rsid w:val="00CC0FDC"/>
    <w:rsid w:val="00CC1523"/>
    <w:rsid w:val="00CC177F"/>
    <w:rsid w:val="00CC1BB9"/>
    <w:rsid w:val="00CC1D5A"/>
    <w:rsid w:val="00CC2348"/>
    <w:rsid w:val="00CC247E"/>
    <w:rsid w:val="00CC24E8"/>
    <w:rsid w:val="00CC2651"/>
    <w:rsid w:val="00CC2811"/>
    <w:rsid w:val="00CC28A3"/>
    <w:rsid w:val="00CC2C7F"/>
    <w:rsid w:val="00CC2FE4"/>
    <w:rsid w:val="00CC3456"/>
    <w:rsid w:val="00CC35A9"/>
    <w:rsid w:val="00CC36EE"/>
    <w:rsid w:val="00CC3BBE"/>
    <w:rsid w:val="00CC42A5"/>
    <w:rsid w:val="00CC458E"/>
    <w:rsid w:val="00CC463F"/>
    <w:rsid w:val="00CC48BD"/>
    <w:rsid w:val="00CC4BCA"/>
    <w:rsid w:val="00CC4BD5"/>
    <w:rsid w:val="00CC4C6A"/>
    <w:rsid w:val="00CC4CAF"/>
    <w:rsid w:val="00CC4E43"/>
    <w:rsid w:val="00CC50BE"/>
    <w:rsid w:val="00CC5210"/>
    <w:rsid w:val="00CC52B8"/>
    <w:rsid w:val="00CC569C"/>
    <w:rsid w:val="00CC587E"/>
    <w:rsid w:val="00CC58B0"/>
    <w:rsid w:val="00CC58D8"/>
    <w:rsid w:val="00CC5C6F"/>
    <w:rsid w:val="00CC5F0C"/>
    <w:rsid w:val="00CC6125"/>
    <w:rsid w:val="00CC617A"/>
    <w:rsid w:val="00CC6185"/>
    <w:rsid w:val="00CC63E1"/>
    <w:rsid w:val="00CC6739"/>
    <w:rsid w:val="00CC67A4"/>
    <w:rsid w:val="00CC68BC"/>
    <w:rsid w:val="00CC6DE8"/>
    <w:rsid w:val="00CC6F5F"/>
    <w:rsid w:val="00CC7A41"/>
    <w:rsid w:val="00CC7C57"/>
    <w:rsid w:val="00CC7D10"/>
    <w:rsid w:val="00CD0319"/>
    <w:rsid w:val="00CD0370"/>
    <w:rsid w:val="00CD05F7"/>
    <w:rsid w:val="00CD08E7"/>
    <w:rsid w:val="00CD09D5"/>
    <w:rsid w:val="00CD0CBC"/>
    <w:rsid w:val="00CD0DC8"/>
    <w:rsid w:val="00CD16C9"/>
    <w:rsid w:val="00CD17AB"/>
    <w:rsid w:val="00CD1AA3"/>
    <w:rsid w:val="00CD1B55"/>
    <w:rsid w:val="00CD1F49"/>
    <w:rsid w:val="00CD2007"/>
    <w:rsid w:val="00CD215B"/>
    <w:rsid w:val="00CD2983"/>
    <w:rsid w:val="00CD2C4D"/>
    <w:rsid w:val="00CD2F53"/>
    <w:rsid w:val="00CD30F0"/>
    <w:rsid w:val="00CD310F"/>
    <w:rsid w:val="00CD3121"/>
    <w:rsid w:val="00CD33D9"/>
    <w:rsid w:val="00CD3A0F"/>
    <w:rsid w:val="00CD3B3B"/>
    <w:rsid w:val="00CD3BD1"/>
    <w:rsid w:val="00CD3E32"/>
    <w:rsid w:val="00CD41E4"/>
    <w:rsid w:val="00CD42FC"/>
    <w:rsid w:val="00CD431A"/>
    <w:rsid w:val="00CD4355"/>
    <w:rsid w:val="00CD43AC"/>
    <w:rsid w:val="00CD4ABE"/>
    <w:rsid w:val="00CD4B87"/>
    <w:rsid w:val="00CD4D49"/>
    <w:rsid w:val="00CD4E47"/>
    <w:rsid w:val="00CD4ECA"/>
    <w:rsid w:val="00CD5B81"/>
    <w:rsid w:val="00CD5BA6"/>
    <w:rsid w:val="00CD5D54"/>
    <w:rsid w:val="00CD5D9E"/>
    <w:rsid w:val="00CD5E6E"/>
    <w:rsid w:val="00CD62E6"/>
    <w:rsid w:val="00CD6687"/>
    <w:rsid w:val="00CD695D"/>
    <w:rsid w:val="00CD6A15"/>
    <w:rsid w:val="00CD6A8A"/>
    <w:rsid w:val="00CD71BC"/>
    <w:rsid w:val="00CD73A8"/>
    <w:rsid w:val="00CD744C"/>
    <w:rsid w:val="00CD749E"/>
    <w:rsid w:val="00CD776E"/>
    <w:rsid w:val="00CD79BA"/>
    <w:rsid w:val="00CD79D3"/>
    <w:rsid w:val="00CD7C11"/>
    <w:rsid w:val="00CD7CD5"/>
    <w:rsid w:val="00CD7E31"/>
    <w:rsid w:val="00CE01C5"/>
    <w:rsid w:val="00CE0415"/>
    <w:rsid w:val="00CE06E3"/>
    <w:rsid w:val="00CE09FE"/>
    <w:rsid w:val="00CE0C49"/>
    <w:rsid w:val="00CE0FE9"/>
    <w:rsid w:val="00CE11BB"/>
    <w:rsid w:val="00CE12DF"/>
    <w:rsid w:val="00CE1469"/>
    <w:rsid w:val="00CE14F7"/>
    <w:rsid w:val="00CE196A"/>
    <w:rsid w:val="00CE1B5B"/>
    <w:rsid w:val="00CE1BF9"/>
    <w:rsid w:val="00CE1E76"/>
    <w:rsid w:val="00CE1FE3"/>
    <w:rsid w:val="00CE202A"/>
    <w:rsid w:val="00CE22F3"/>
    <w:rsid w:val="00CE250F"/>
    <w:rsid w:val="00CE26A7"/>
    <w:rsid w:val="00CE26BE"/>
    <w:rsid w:val="00CE2A09"/>
    <w:rsid w:val="00CE2B7B"/>
    <w:rsid w:val="00CE2E1D"/>
    <w:rsid w:val="00CE2ECE"/>
    <w:rsid w:val="00CE3079"/>
    <w:rsid w:val="00CE3100"/>
    <w:rsid w:val="00CE31D1"/>
    <w:rsid w:val="00CE35EB"/>
    <w:rsid w:val="00CE3BDA"/>
    <w:rsid w:val="00CE405C"/>
    <w:rsid w:val="00CE40AC"/>
    <w:rsid w:val="00CE40C5"/>
    <w:rsid w:val="00CE425B"/>
    <w:rsid w:val="00CE4408"/>
    <w:rsid w:val="00CE475A"/>
    <w:rsid w:val="00CE4EE7"/>
    <w:rsid w:val="00CE5041"/>
    <w:rsid w:val="00CE5306"/>
    <w:rsid w:val="00CE5390"/>
    <w:rsid w:val="00CE578E"/>
    <w:rsid w:val="00CE5875"/>
    <w:rsid w:val="00CE58AF"/>
    <w:rsid w:val="00CE5AA2"/>
    <w:rsid w:val="00CE5E99"/>
    <w:rsid w:val="00CE6126"/>
    <w:rsid w:val="00CE626C"/>
    <w:rsid w:val="00CE6316"/>
    <w:rsid w:val="00CE65F5"/>
    <w:rsid w:val="00CE6705"/>
    <w:rsid w:val="00CE67A0"/>
    <w:rsid w:val="00CE6CBD"/>
    <w:rsid w:val="00CE759B"/>
    <w:rsid w:val="00CE7704"/>
    <w:rsid w:val="00CE7D4E"/>
    <w:rsid w:val="00CE7DF3"/>
    <w:rsid w:val="00CE7EF6"/>
    <w:rsid w:val="00CF0157"/>
    <w:rsid w:val="00CF0703"/>
    <w:rsid w:val="00CF0B4D"/>
    <w:rsid w:val="00CF0BBB"/>
    <w:rsid w:val="00CF0F88"/>
    <w:rsid w:val="00CF12EF"/>
    <w:rsid w:val="00CF155C"/>
    <w:rsid w:val="00CF1682"/>
    <w:rsid w:val="00CF18D3"/>
    <w:rsid w:val="00CF19BB"/>
    <w:rsid w:val="00CF1A5C"/>
    <w:rsid w:val="00CF1A6A"/>
    <w:rsid w:val="00CF1C09"/>
    <w:rsid w:val="00CF1C1A"/>
    <w:rsid w:val="00CF1F8E"/>
    <w:rsid w:val="00CF23CF"/>
    <w:rsid w:val="00CF276D"/>
    <w:rsid w:val="00CF28F4"/>
    <w:rsid w:val="00CF2919"/>
    <w:rsid w:val="00CF2A2D"/>
    <w:rsid w:val="00CF2EEA"/>
    <w:rsid w:val="00CF35A5"/>
    <w:rsid w:val="00CF35CA"/>
    <w:rsid w:val="00CF3895"/>
    <w:rsid w:val="00CF38AD"/>
    <w:rsid w:val="00CF3B01"/>
    <w:rsid w:val="00CF3C16"/>
    <w:rsid w:val="00CF3F79"/>
    <w:rsid w:val="00CF45A0"/>
    <w:rsid w:val="00CF4787"/>
    <w:rsid w:val="00CF4966"/>
    <w:rsid w:val="00CF4B5B"/>
    <w:rsid w:val="00CF4D2F"/>
    <w:rsid w:val="00CF4DB8"/>
    <w:rsid w:val="00CF4ECB"/>
    <w:rsid w:val="00CF56EA"/>
    <w:rsid w:val="00CF5913"/>
    <w:rsid w:val="00CF59C6"/>
    <w:rsid w:val="00CF5E65"/>
    <w:rsid w:val="00CF646C"/>
    <w:rsid w:val="00CF662A"/>
    <w:rsid w:val="00CF68AB"/>
    <w:rsid w:val="00CF6A36"/>
    <w:rsid w:val="00CF6A63"/>
    <w:rsid w:val="00CF6D13"/>
    <w:rsid w:val="00CF6F17"/>
    <w:rsid w:val="00CF714F"/>
    <w:rsid w:val="00CF74D5"/>
    <w:rsid w:val="00CF74D9"/>
    <w:rsid w:val="00CF79AA"/>
    <w:rsid w:val="00CF79B9"/>
    <w:rsid w:val="00CF7D2E"/>
    <w:rsid w:val="00CF7D95"/>
    <w:rsid w:val="00CF7F0A"/>
    <w:rsid w:val="00D00104"/>
    <w:rsid w:val="00D00351"/>
    <w:rsid w:val="00D00354"/>
    <w:rsid w:val="00D003F8"/>
    <w:rsid w:val="00D004E8"/>
    <w:rsid w:val="00D0064B"/>
    <w:rsid w:val="00D006EF"/>
    <w:rsid w:val="00D008A9"/>
    <w:rsid w:val="00D00BE4"/>
    <w:rsid w:val="00D00CB0"/>
    <w:rsid w:val="00D01218"/>
    <w:rsid w:val="00D012CE"/>
    <w:rsid w:val="00D0135F"/>
    <w:rsid w:val="00D015E9"/>
    <w:rsid w:val="00D017FC"/>
    <w:rsid w:val="00D01918"/>
    <w:rsid w:val="00D01B0F"/>
    <w:rsid w:val="00D01C59"/>
    <w:rsid w:val="00D01D27"/>
    <w:rsid w:val="00D01DE2"/>
    <w:rsid w:val="00D023B1"/>
    <w:rsid w:val="00D02411"/>
    <w:rsid w:val="00D0250D"/>
    <w:rsid w:val="00D0269C"/>
    <w:rsid w:val="00D02AA4"/>
    <w:rsid w:val="00D02C0A"/>
    <w:rsid w:val="00D03112"/>
    <w:rsid w:val="00D03382"/>
    <w:rsid w:val="00D0343E"/>
    <w:rsid w:val="00D034F8"/>
    <w:rsid w:val="00D03896"/>
    <w:rsid w:val="00D039A8"/>
    <w:rsid w:val="00D03A7D"/>
    <w:rsid w:val="00D03D71"/>
    <w:rsid w:val="00D03E7B"/>
    <w:rsid w:val="00D042F9"/>
    <w:rsid w:val="00D0441B"/>
    <w:rsid w:val="00D04B0A"/>
    <w:rsid w:val="00D04B6E"/>
    <w:rsid w:val="00D04BCC"/>
    <w:rsid w:val="00D04DC7"/>
    <w:rsid w:val="00D04F7A"/>
    <w:rsid w:val="00D04F9E"/>
    <w:rsid w:val="00D04FF1"/>
    <w:rsid w:val="00D05093"/>
    <w:rsid w:val="00D052AB"/>
    <w:rsid w:val="00D05483"/>
    <w:rsid w:val="00D054B7"/>
    <w:rsid w:val="00D054E1"/>
    <w:rsid w:val="00D05547"/>
    <w:rsid w:val="00D058C9"/>
    <w:rsid w:val="00D0597F"/>
    <w:rsid w:val="00D059C8"/>
    <w:rsid w:val="00D059D7"/>
    <w:rsid w:val="00D05AE7"/>
    <w:rsid w:val="00D05CE3"/>
    <w:rsid w:val="00D05DD6"/>
    <w:rsid w:val="00D05F83"/>
    <w:rsid w:val="00D061D8"/>
    <w:rsid w:val="00D064CC"/>
    <w:rsid w:val="00D06C3B"/>
    <w:rsid w:val="00D06D89"/>
    <w:rsid w:val="00D070EB"/>
    <w:rsid w:val="00D072CF"/>
    <w:rsid w:val="00D07A2A"/>
    <w:rsid w:val="00D07B1C"/>
    <w:rsid w:val="00D07B48"/>
    <w:rsid w:val="00D07BC2"/>
    <w:rsid w:val="00D07C71"/>
    <w:rsid w:val="00D100E9"/>
    <w:rsid w:val="00D10213"/>
    <w:rsid w:val="00D10354"/>
    <w:rsid w:val="00D10483"/>
    <w:rsid w:val="00D10621"/>
    <w:rsid w:val="00D10895"/>
    <w:rsid w:val="00D10C8E"/>
    <w:rsid w:val="00D10CE8"/>
    <w:rsid w:val="00D10D6D"/>
    <w:rsid w:val="00D11038"/>
    <w:rsid w:val="00D115A6"/>
    <w:rsid w:val="00D11A30"/>
    <w:rsid w:val="00D11CC0"/>
    <w:rsid w:val="00D11CD5"/>
    <w:rsid w:val="00D11D28"/>
    <w:rsid w:val="00D11DF7"/>
    <w:rsid w:val="00D1289C"/>
    <w:rsid w:val="00D12DDE"/>
    <w:rsid w:val="00D13018"/>
    <w:rsid w:val="00D132ED"/>
    <w:rsid w:val="00D135D0"/>
    <w:rsid w:val="00D135DC"/>
    <w:rsid w:val="00D13616"/>
    <w:rsid w:val="00D13701"/>
    <w:rsid w:val="00D137B0"/>
    <w:rsid w:val="00D13BF0"/>
    <w:rsid w:val="00D13C0D"/>
    <w:rsid w:val="00D14243"/>
    <w:rsid w:val="00D14464"/>
    <w:rsid w:val="00D145BC"/>
    <w:rsid w:val="00D14884"/>
    <w:rsid w:val="00D14B56"/>
    <w:rsid w:val="00D150FB"/>
    <w:rsid w:val="00D1515E"/>
    <w:rsid w:val="00D151EE"/>
    <w:rsid w:val="00D15656"/>
    <w:rsid w:val="00D158DF"/>
    <w:rsid w:val="00D15924"/>
    <w:rsid w:val="00D15989"/>
    <w:rsid w:val="00D159DA"/>
    <w:rsid w:val="00D15A58"/>
    <w:rsid w:val="00D16042"/>
    <w:rsid w:val="00D16343"/>
    <w:rsid w:val="00D1643B"/>
    <w:rsid w:val="00D16445"/>
    <w:rsid w:val="00D16495"/>
    <w:rsid w:val="00D1658F"/>
    <w:rsid w:val="00D166A7"/>
    <w:rsid w:val="00D16AA2"/>
    <w:rsid w:val="00D16BAD"/>
    <w:rsid w:val="00D16C2B"/>
    <w:rsid w:val="00D16D80"/>
    <w:rsid w:val="00D17114"/>
    <w:rsid w:val="00D17228"/>
    <w:rsid w:val="00D172AE"/>
    <w:rsid w:val="00D17689"/>
    <w:rsid w:val="00D1795B"/>
    <w:rsid w:val="00D179FB"/>
    <w:rsid w:val="00D17A50"/>
    <w:rsid w:val="00D17E90"/>
    <w:rsid w:val="00D20036"/>
    <w:rsid w:val="00D20308"/>
    <w:rsid w:val="00D2053C"/>
    <w:rsid w:val="00D2061C"/>
    <w:rsid w:val="00D20655"/>
    <w:rsid w:val="00D206EA"/>
    <w:rsid w:val="00D20C1C"/>
    <w:rsid w:val="00D20DEE"/>
    <w:rsid w:val="00D20F95"/>
    <w:rsid w:val="00D211C6"/>
    <w:rsid w:val="00D21663"/>
    <w:rsid w:val="00D21712"/>
    <w:rsid w:val="00D2193F"/>
    <w:rsid w:val="00D2198C"/>
    <w:rsid w:val="00D2199A"/>
    <w:rsid w:val="00D219E2"/>
    <w:rsid w:val="00D21A02"/>
    <w:rsid w:val="00D21C9B"/>
    <w:rsid w:val="00D21D92"/>
    <w:rsid w:val="00D220BA"/>
    <w:rsid w:val="00D22346"/>
    <w:rsid w:val="00D2236F"/>
    <w:rsid w:val="00D22565"/>
    <w:rsid w:val="00D226A9"/>
    <w:rsid w:val="00D2277D"/>
    <w:rsid w:val="00D22FD0"/>
    <w:rsid w:val="00D23232"/>
    <w:rsid w:val="00D237EF"/>
    <w:rsid w:val="00D23A42"/>
    <w:rsid w:val="00D23BA1"/>
    <w:rsid w:val="00D23D27"/>
    <w:rsid w:val="00D23DFB"/>
    <w:rsid w:val="00D23ECE"/>
    <w:rsid w:val="00D23F72"/>
    <w:rsid w:val="00D2461D"/>
    <w:rsid w:val="00D24A5E"/>
    <w:rsid w:val="00D24B9F"/>
    <w:rsid w:val="00D24D92"/>
    <w:rsid w:val="00D2502F"/>
    <w:rsid w:val="00D254DC"/>
    <w:rsid w:val="00D255E3"/>
    <w:rsid w:val="00D2567A"/>
    <w:rsid w:val="00D2577D"/>
    <w:rsid w:val="00D257A3"/>
    <w:rsid w:val="00D25847"/>
    <w:rsid w:val="00D259F8"/>
    <w:rsid w:val="00D2603A"/>
    <w:rsid w:val="00D26227"/>
    <w:rsid w:val="00D2625D"/>
    <w:rsid w:val="00D2663B"/>
    <w:rsid w:val="00D266B4"/>
    <w:rsid w:val="00D26865"/>
    <w:rsid w:val="00D26C9A"/>
    <w:rsid w:val="00D26F5D"/>
    <w:rsid w:val="00D27286"/>
    <w:rsid w:val="00D275D2"/>
    <w:rsid w:val="00D27774"/>
    <w:rsid w:val="00D27A97"/>
    <w:rsid w:val="00D27AA2"/>
    <w:rsid w:val="00D27B4C"/>
    <w:rsid w:val="00D27C8D"/>
    <w:rsid w:val="00D3007E"/>
    <w:rsid w:val="00D302DF"/>
    <w:rsid w:val="00D303B8"/>
    <w:rsid w:val="00D3054A"/>
    <w:rsid w:val="00D3076E"/>
    <w:rsid w:val="00D307E8"/>
    <w:rsid w:val="00D30A11"/>
    <w:rsid w:val="00D30DA9"/>
    <w:rsid w:val="00D30EA7"/>
    <w:rsid w:val="00D3123D"/>
    <w:rsid w:val="00D316CC"/>
    <w:rsid w:val="00D31805"/>
    <w:rsid w:val="00D318D3"/>
    <w:rsid w:val="00D31ED6"/>
    <w:rsid w:val="00D31F03"/>
    <w:rsid w:val="00D3280D"/>
    <w:rsid w:val="00D32814"/>
    <w:rsid w:val="00D32FEF"/>
    <w:rsid w:val="00D3305B"/>
    <w:rsid w:val="00D331F6"/>
    <w:rsid w:val="00D33380"/>
    <w:rsid w:val="00D33AB7"/>
    <w:rsid w:val="00D33C79"/>
    <w:rsid w:val="00D345F4"/>
    <w:rsid w:val="00D346B4"/>
    <w:rsid w:val="00D34775"/>
    <w:rsid w:val="00D3491B"/>
    <w:rsid w:val="00D34A32"/>
    <w:rsid w:val="00D34A5A"/>
    <w:rsid w:val="00D354E8"/>
    <w:rsid w:val="00D3558A"/>
    <w:rsid w:val="00D3588C"/>
    <w:rsid w:val="00D360BE"/>
    <w:rsid w:val="00D36296"/>
    <w:rsid w:val="00D36997"/>
    <w:rsid w:val="00D36B2C"/>
    <w:rsid w:val="00D36EFE"/>
    <w:rsid w:val="00D36FAF"/>
    <w:rsid w:val="00D3714C"/>
    <w:rsid w:val="00D372CB"/>
    <w:rsid w:val="00D37D60"/>
    <w:rsid w:val="00D37F9E"/>
    <w:rsid w:val="00D404C9"/>
    <w:rsid w:val="00D40603"/>
    <w:rsid w:val="00D407CB"/>
    <w:rsid w:val="00D40884"/>
    <w:rsid w:val="00D40A28"/>
    <w:rsid w:val="00D40B7D"/>
    <w:rsid w:val="00D40D91"/>
    <w:rsid w:val="00D40E9C"/>
    <w:rsid w:val="00D4138D"/>
    <w:rsid w:val="00D41523"/>
    <w:rsid w:val="00D4169C"/>
    <w:rsid w:val="00D4185F"/>
    <w:rsid w:val="00D418E5"/>
    <w:rsid w:val="00D41968"/>
    <w:rsid w:val="00D419A3"/>
    <w:rsid w:val="00D41B1B"/>
    <w:rsid w:val="00D41FE0"/>
    <w:rsid w:val="00D4233C"/>
    <w:rsid w:val="00D4245B"/>
    <w:rsid w:val="00D42639"/>
    <w:rsid w:val="00D427E4"/>
    <w:rsid w:val="00D427EE"/>
    <w:rsid w:val="00D429EB"/>
    <w:rsid w:val="00D42A0C"/>
    <w:rsid w:val="00D42A0F"/>
    <w:rsid w:val="00D42B84"/>
    <w:rsid w:val="00D43050"/>
    <w:rsid w:val="00D43209"/>
    <w:rsid w:val="00D4333C"/>
    <w:rsid w:val="00D4336E"/>
    <w:rsid w:val="00D433C8"/>
    <w:rsid w:val="00D43477"/>
    <w:rsid w:val="00D434E9"/>
    <w:rsid w:val="00D434EA"/>
    <w:rsid w:val="00D436AD"/>
    <w:rsid w:val="00D436C4"/>
    <w:rsid w:val="00D43753"/>
    <w:rsid w:val="00D4440E"/>
    <w:rsid w:val="00D44517"/>
    <w:rsid w:val="00D4481E"/>
    <w:rsid w:val="00D44B99"/>
    <w:rsid w:val="00D44C2E"/>
    <w:rsid w:val="00D44C59"/>
    <w:rsid w:val="00D44D1D"/>
    <w:rsid w:val="00D44D29"/>
    <w:rsid w:val="00D44DCB"/>
    <w:rsid w:val="00D4537A"/>
    <w:rsid w:val="00D45813"/>
    <w:rsid w:val="00D45A99"/>
    <w:rsid w:val="00D45AB3"/>
    <w:rsid w:val="00D45BB1"/>
    <w:rsid w:val="00D45CAB"/>
    <w:rsid w:val="00D46198"/>
    <w:rsid w:val="00D46DE3"/>
    <w:rsid w:val="00D4711A"/>
    <w:rsid w:val="00D47406"/>
    <w:rsid w:val="00D4743C"/>
    <w:rsid w:val="00D47805"/>
    <w:rsid w:val="00D4781E"/>
    <w:rsid w:val="00D478B2"/>
    <w:rsid w:val="00D47991"/>
    <w:rsid w:val="00D47BE8"/>
    <w:rsid w:val="00D47C4A"/>
    <w:rsid w:val="00D500D2"/>
    <w:rsid w:val="00D50175"/>
    <w:rsid w:val="00D5031A"/>
    <w:rsid w:val="00D50548"/>
    <w:rsid w:val="00D507FA"/>
    <w:rsid w:val="00D50A06"/>
    <w:rsid w:val="00D50C0F"/>
    <w:rsid w:val="00D50CB4"/>
    <w:rsid w:val="00D50F2E"/>
    <w:rsid w:val="00D51019"/>
    <w:rsid w:val="00D51082"/>
    <w:rsid w:val="00D51310"/>
    <w:rsid w:val="00D5131F"/>
    <w:rsid w:val="00D515D8"/>
    <w:rsid w:val="00D5181B"/>
    <w:rsid w:val="00D5186D"/>
    <w:rsid w:val="00D518E9"/>
    <w:rsid w:val="00D51A05"/>
    <w:rsid w:val="00D51B03"/>
    <w:rsid w:val="00D51D4A"/>
    <w:rsid w:val="00D51DB4"/>
    <w:rsid w:val="00D52152"/>
    <w:rsid w:val="00D52940"/>
    <w:rsid w:val="00D52993"/>
    <w:rsid w:val="00D529AF"/>
    <w:rsid w:val="00D52C13"/>
    <w:rsid w:val="00D52C30"/>
    <w:rsid w:val="00D52C8D"/>
    <w:rsid w:val="00D531AC"/>
    <w:rsid w:val="00D5330F"/>
    <w:rsid w:val="00D53B76"/>
    <w:rsid w:val="00D53BCE"/>
    <w:rsid w:val="00D53C7C"/>
    <w:rsid w:val="00D53DDE"/>
    <w:rsid w:val="00D53F25"/>
    <w:rsid w:val="00D541B4"/>
    <w:rsid w:val="00D541EB"/>
    <w:rsid w:val="00D5446C"/>
    <w:rsid w:val="00D54626"/>
    <w:rsid w:val="00D54BB5"/>
    <w:rsid w:val="00D54DEE"/>
    <w:rsid w:val="00D54FE7"/>
    <w:rsid w:val="00D55105"/>
    <w:rsid w:val="00D55388"/>
    <w:rsid w:val="00D55411"/>
    <w:rsid w:val="00D55615"/>
    <w:rsid w:val="00D5565F"/>
    <w:rsid w:val="00D55741"/>
    <w:rsid w:val="00D557E1"/>
    <w:rsid w:val="00D55A76"/>
    <w:rsid w:val="00D55B95"/>
    <w:rsid w:val="00D55EF2"/>
    <w:rsid w:val="00D5612B"/>
    <w:rsid w:val="00D561F1"/>
    <w:rsid w:val="00D56515"/>
    <w:rsid w:val="00D566DB"/>
    <w:rsid w:val="00D56704"/>
    <w:rsid w:val="00D567DE"/>
    <w:rsid w:val="00D56AD0"/>
    <w:rsid w:val="00D56CD8"/>
    <w:rsid w:val="00D56FE1"/>
    <w:rsid w:val="00D57056"/>
    <w:rsid w:val="00D5761B"/>
    <w:rsid w:val="00D57747"/>
    <w:rsid w:val="00D57CB7"/>
    <w:rsid w:val="00D57D3C"/>
    <w:rsid w:val="00D6001B"/>
    <w:rsid w:val="00D6069D"/>
    <w:rsid w:val="00D60E7D"/>
    <w:rsid w:val="00D61085"/>
    <w:rsid w:val="00D61B5E"/>
    <w:rsid w:val="00D61B97"/>
    <w:rsid w:val="00D6232B"/>
    <w:rsid w:val="00D62519"/>
    <w:rsid w:val="00D6257F"/>
    <w:rsid w:val="00D62717"/>
    <w:rsid w:val="00D6287E"/>
    <w:rsid w:val="00D62A32"/>
    <w:rsid w:val="00D62AB0"/>
    <w:rsid w:val="00D62FA2"/>
    <w:rsid w:val="00D63187"/>
    <w:rsid w:val="00D6320F"/>
    <w:rsid w:val="00D6327C"/>
    <w:rsid w:val="00D63943"/>
    <w:rsid w:val="00D63A51"/>
    <w:rsid w:val="00D63EB9"/>
    <w:rsid w:val="00D64289"/>
    <w:rsid w:val="00D6479D"/>
    <w:rsid w:val="00D64939"/>
    <w:rsid w:val="00D64F18"/>
    <w:rsid w:val="00D64FC2"/>
    <w:rsid w:val="00D650FA"/>
    <w:rsid w:val="00D650FD"/>
    <w:rsid w:val="00D6537E"/>
    <w:rsid w:val="00D65615"/>
    <w:rsid w:val="00D65973"/>
    <w:rsid w:val="00D65BF4"/>
    <w:rsid w:val="00D65EFB"/>
    <w:rsid w:val="00D66217"/>
    <w:rsid w:val="00D662D2"/>
    <w:rsid w:val="00D66784"/>
    <w:rsid w:val="00D667B6"/>
    <w:rsid w:val="00D66C2B"/>
    <w:rsid w:val="00D66CF3"/>
    <w:rsid w:val="00D66DC7"/>
    <w:rsid w:val="00D66ECD"/>
    <w:rsid w:val="00D66F7B"/>
    <w:rsid w:val="00D67352"/>
    <w:rsid w:val="00D67C44"/>
    <w:rsid w:val="00D67E4D"/>
    <w:rsid w:val="00D67E5E"/>
    <w:rsid w:val="00D7017E"/>
    <w:rsid w:val="00D703DB"/>
    <w:rsid w:val="00D703E4"/>
    <w:rsid w:val="00D70522"/>
    <w:rsid w:val="00D70708"/>
    <w:rsid w:val="00D7082E"/>
    <w:rsid w:val="00D70A33"/>
    <w:rsid w:val="00D70B46"/>
    <w:rsid w:val="00D70C33"/>
    <w:rsid w:val="00D70D41"/>
    <w:rsid w:val="00D70D4D"/>
    <w:rsid w:val="00D71299"/>
    <w:rsid w:val="00D712EA"/>
    <w:rsid w:val="00D71399"/>
    <w:rsid w:val="00D717E0"/>
    <w:rsid w:val="00D71DCA"/>
    <w:rsid w:val="00D71FF5"/>
    <w:rsid w:val="00D72711"/>
    <w:rsid w:val="00D72826"/>
    <w:rsid w:val="00D72870"/>
    <w:rsid w:val="00D72A14"/>
    <w:rsid w:val="00D72A84"/>
    <w:rsid w:val="00D72BB6"/>
    <w:rsid w:val="00D72CF4"/>
    <w:rsid w:val="00D72DA0"/>
    <w:rsid w:val="00D72E47"/>
    <w:rsid w:val="00D7302E"/>
    <w:rsid w:val="00D73070"/>
    <w:rsid w:val="00D7330C"/>
    <w:rsid w:val="00D733D7"/>
    <w:rsid w:val="00D739C3"/>
    <w:rsid w:val="00D73A50"/>
    <w:rsid w:val="00D74099"/>
    <w:rsid w:val="00D740DC"/>
    <w:rsid w:val="00D743D3"/>
    <w:rsid w:val="00D743DD"/>
    <w:rsid w:val="00D746B4"/>
    <w:rsid w:val="00D74AA4"/>
    <w:rsid w:val="00D74AAA"/>
    <w:rsid w:val="00D750A8"/>
    <w:rsid w:val="00D75357"/>
    <w:rsid w:val="00D753E9"/>
    <w:rsid w:val="00D758A8"/>
    <w:rsid w:val="00D75997"/>
    <w:rsid w:val="00D75CC7"/>
    <w:rsid w:val="00D7619C"/>
    <w:rsid w:val="00D76307"/>
    <w:rsid w:val="00D7648B"/>
    <w:rsid w:val="00D76812"/>
    <w:rsid w:val="00D76818"/>
    <w:rsid w:val="00D769C5"/>
    <w:rsid w:val="00D76A4B"/>
    <w:rsid w:val="00D76D15"/>
    <w:rsid w:val="00D76DDC"/>
    <w:rsid w:val="00D771F9"/>
    <w:rsid w:val="00D77261"/>
    <w:rsid w:val="00D77604"/>
    <w:rsid w:val="00D776AD"/>
    <w:rsid w:val="00D77783"/>
    <w:rsid w:val="00D77835"/>
    <w:rsid w:val="00D7783B"/>
    <w:rsid w:val="00D77C56"/>
    <w:rsid w:val="00D77CDC"/>
    <w:rsid w:val="00D80161"/>
    <w:rsid w:val="00D803B6"/>
    <w:rsid w:val="00D805F0"/>
    <w:rsid w:val="00D80E0D"/>
    <w:rsid w:val="00D80F93"/>
    <w:rsid w:val="00D80FC0"/>
    <w:rsid w:val="00D80FCC"/>
    <w:rsid w:val="00D813D2"/>
    <w:rsid w:val="00D8141F"/>
    <w:rsid w:val="00D81447"/>
    <w:rsid w:val="00D81549"/>
    <w:rsid w:val="00D81BAF"/>
    <w:rsid w:val="00D81BD3"/>
    <w:rsid w:val="00D81CBD"/>
    <w:rsid w:val="00D82108"/>
    <w:rsid w:val="00D82118"/>
    <w:rsid w:val="00D82175"/>
    <w:rsid w:val="00D8222B"/>
    <w:rsid w:val="00D822A5"/>
    <w:rsid w:val="00D822D9"/>
    <w:rsid w:val="00D82AB7"/>
    <w:rsid w:val="00D82DC1"/>
    <w:rsid w:val="00D832C1"/>
    <w:rsid w:val="00D83502"/>
    <w:rsid w:val="00D836BD"/>
    <w:rsid w:val="00D838C5"/>
    <w:rsid w:val="00D83D0B"/>
    <w:rsid w:val="00D83E47"/>
    <w:rsid w:val="00D84083"/>
    <w:rsid w:val="00D8427D"/>
    <w:rsid w:val="00D842E5"/>
    <w:rsid w:val="00D84CB3"/>
    <w:rsid w:val="00D84EFC"/>
    <w:rsid w:val="00D84F7E"/>
    <w:rsid w:val="00D85134"/>
    <w:rsid w:val="00D852A8"/>
    <w:rsid w:val="00D853AE"/>
    <w:rsid w:val="00D85444"/>
    <w:rsid w:val="00D85585"/>
    <w:rsid w:val="00D8591E"/>
    <w:rsid w:val="00D859BC"/>
    <w:rsid w:val="00D86531"/>
    <w:rsid w:val="00D866A3"/>
    <w:rsid w:val="00D86A1B"/>
    <w:rsid w:val="00D86C7B"/>
    <w:rsid w:val="00D86CC3"/>
    <w:rsid w:val="00D87064"/>
    <w:rsid w:val="00D870AD"/>
    <w:rsid w:val="00D870FD"/>
    <w:rsid w:val="00D875BD"/>
    <w:rsid w:val="00D877CB"/>
    <w:rsid w:val="00D87B15"/>
    <w:rsid w:val="00D87C50"/>
    <w:rsid w:val="00D90126"/>
    <w:rsid w:val="00D904B3"/>
    <w:rsid w:val="00D9053A"/>
    <w:rsid w:val="00D905E4"/>
    <w:rsid w:val="00D90694"/>
    <w:rsid w:val="00D907AF"/>
    <w:rsid w:val="00D907F6"/>
    <w:rsid w:val="00D90CC6"/>
    <w:rsid w:val="00D90DDE"/>
    <w:rsid w:val="00D91024"/>
    <w:rsid w:val="00D910B3"/>
    <w:rsid w:val="00D914CF"/>
    <w:rsid w:val="00D915F5"/>
    <w:rsid w:val="00D91754"/>
    <w:rsid w:val="00D91761"/>
    <w:rsid w:val="00D919C7"/>
    <w:rsid w:val="00D91BCC"/>
    <w:rsid w:val="00D91BD5"/>
    <w:rsid w:val="00D92218"/>
    <w:rsid w:val="00D9233E"/>
    <w:rsid w:val="00D924F5"/>
    <w:rsid w:val="00D92C36"/>
    <w:rsid w:val="00D92D0C"/>
    <w:rsid w:val="00D92D41"/>
    <w:rsid w:val="00D92E6A"/>
    <w:rsid w:val="00D93334"/>
    <w:rsid w:val="00D9338A"/>
    <w:rsid w:val="00D93450"/>
    <w:rsid w:val="00D93598"/>
    <w:rsid w:val="00D9397D"/>
    <w:rsid w:val="00D939F7"/>
    <w:rsid w:val="00D93FB4"/>
    <w:rsid w:val="00D940D4"/>
    <w:rsid w:val="00D941D9"/>
    <w:rsid w:val="00D94758"/>
    <w:rsid w:val="00D9480A"/>
    <w:rsid w:val="00D94B5D"/>
    <w:rsid w:val="00D94EA6"/>
    <w:rsid w:val="00D95333"/>
    <w:rsid w:val="00D95440"/>
    <w:rsid w:val="00D95719"/>
    <w:rsid w:val="00D95B66"/>
    <w:rsid w:val="00D96403"/>
    <w:rsid w:val="00D965EE"/>
    <w:rsid w:val="00D96608"/>
    <w:rsid w:val="00D966CC"/>
    <w:rsid w:val="00D96D24"/>
    <w:rsid w:val="00D9727A"/>
    <w:rsid w:val="00D973EF"/>
    <w:rsid w:val="00D97437"/>
    <w:rsid w:val="00D97B17"/>
    <w:rsid w:val="00D97C67"/>
    <w:rsid w:val="00D97F8C"/>
    <w:rsid w:val="00DA0336"/>
    <w:rsid w:val="00DA0418"/>
    <w:rsid w:val="00DA07FD"/>
    <w:rsid w:val="00DA0CE3"/>
    <w:rsid w:val="00DA0DD0"/>
    <w:rsid w:val="00DA11DE"/>
    <w:rsid w:val="00DA13A7"/>
    <w:rsid w:val="00DA1894"/>
    <w:rsid w:val="00DA1944"/>
    <w:rsid w:val="00DA1ACA"/>
    <w:rsid w:val="00DA1D87"/>
    <w:rsid w:val="00DA1E17"/>
    <w:rsid w:val="00DA2533"/>
    <w:rsid w:val="00DA275B"/>
    <w:rsid w:val="00DA29D0"/>
    <w:rsid w:val="00DA2BE2"/>
    <w:rsid w:val="00DA2DC1"/>
    <w:rsid w:val="00DA2F71"/>
    <w:rsid w:val="00DA3026"/>
    <w:rsid w:val="00DA3188"/>
    <w:rsid w:val="00DA3275"/>
    <w:rsid w:val="00DA3322"/>
    <w:rsid w:val="00DA33BD"/>
    <w:rsid w:val="00DA3516"/>
    <w:rsid w:val="00DA3692"/>
    <w:rsid w:val="00DA36C5"/>
    <w:rsid w:val="00DA37EE"/>
    <w:rsid w:val="00DA381F"/>
    <w:rsid w:val="00DA3898"/>
    <w:rsid w:val="00DA38CE"/>
    <w:rsid w:val="00DA3992"/>
    <w:rsid w:val="00DA3B11"/>
    <w:rsid w:val="00DA3C8B"/>
    <w:rsid w:val="00DA3CC1"/>
    <w:rsid w:val="00DA3F76"/>
    <w:rsid w:val="00DA40D8"/>
    <w:rsid w:val="00DA41AD"/>
    <w:rsid w:val="00DA44AD"/>
    <w:rsid w:val="00DA4AB6"/>
    <w:rsid w:val="00DA4BA7"/>
    <w:rsid w:val="00DA4C80"/>
    <w:rsid w:val="00DA4CD3"/>
    <w:rsid w:val="00DA4E7C"/>
    <w:rsid w:val="00DA51CB"/>
    <w:rsid w:val="00DA530B"/>
    <w:rsid w:val="00DA5408"/>
    <w:rsid w:val="00DA54BA"/>
    <w:rsid w:val="00DA569E"/>
    <w:rsid w:val="00DA5AA3"/>
    <w:rsid w:val="00DA5AB6"/>
    <w:rsid w:val="00DA5E76"/>
    <w:rsid w:val="00DA5F34"/>
    <w:rsid w:val="00DA5F45"/>
    <w:rsid w:val="00DA622D"/>
    <w:rsid w:val="00DA6401"/>
    <w:rsid w:val="00DA651C"/>
    <w:rsid w:val="00DA66F8"/>
    <w:rsid w:val="00DA67CD"/>
    <w:rsid w:val="00DA6B65"/>
    <w:rsid w:val="00DA6BDC"/>
    <w:rsid w:val="00DA6BDF"/>
    <w:rsid w:val="00DA6DB5"/>
    <w:rsid w:val="00DA6E1F"/>
    <w:rsid w:val="00DA793E"/>
    <w:rsid w:val="00DA79E8"/>
    <w:rsid w:val="00DA7A19"/>
    <w:rsid w:val="00DA7C94"/>
    <w:rsid w:val="00DA7DD5"/>
    <w:rsid w:val="00DB0238"/>
    <w:rsid w:val="00DB02FD"/>
    <w:rsid w:val="00DB03C2"/>
    <w:rsid w:val="00DB0452"/>
    <w:rsid w:val="00DB0890"/>
    <w:rsid w:val="00DB08A6"/>
    <w:rsid w:val="00DB08DE"/>
    <w:rsid w:val="00DB09CF"/>
    <w:rsid w:val="00DB0C9D"/>
    <w:rsid w:val="00DB0D1E"/>
    <w:rsid w:val="00DB1442"/>
    <w:rsid w:val="00DB1593"/>
    <w:rsid w:val="00DB1BBD"/>
    <w:rsid w:val="00DB1C00"/>
    <w:rsid w:val="00DB1C60"/>
    <w:rsid w:val="00DB1DBF"/>
    <w:rsid w:val="00DB27B7"/>
    <w:rsid w:val="00DB2A7C"/>
    <w:rsid w:val="00DB2E80"/>
    <w:rsid w:val="00DB2F65"/>
    <w:rsid w:val="00DB313A"/>
    <w:rsid w:val="00DB32D8"/>
    <w:rsid w:val="00DB358C"/>
    <w:rsid w:val="00DB38DC"/>
    <w:rsid w:val="00DB3ACF"/>
    <w:rsid w:val="00DB3E47"/>
    <w:rsid w:val="00DB423F"/>
    <w:rsid w:val="00DB431E"/>
    <w:rsid w:val="00DB44B6"/>
    <w:rsid w:val="00DB4736"/>
    <w:rsid w:val="00DB477E"/>
    <w:rsid w:val="00DB49E8"/>
    <w:rsid w:val="00DB4A25"/>
    <w:rsid w:val="00DB4BAA"/>
    <w:rsid w:val="00DB4BD2"/>
    <w:rsid w:val="00DB4DC2"/>
    <w:rsid w:val="00DB51CD"/>
    <w:rsid w:val="00DB53A6"/>
    <w:rsid w:val="00DB5C1A"/>
    <w:rsid w:val="00DB5F25"/>
    <w:rsid w:val="00DB61C7"/>
    <w:rsid w:val="00DB61E2"/>
    <w:rsid w:val="00DB68C2"/>
    <w:rsid w:val="00DB6DD8"/>
    <w:rsid w:val="00DB70E6"/>
    <w:rsid w:val="00DB71A1"/>
    <w:rsid w:val="00DB73E7"/>
    <w:rsid w:val="00DB74A4"/>
    <w:rsid w:val="00DB79C3"/>
    <w:rsid w:val="00DB7A12"/>
    <w:rsid w:val="00DB7DFE"/>
    <w:rsid w:val="00DB7F22"/>
    <w:rsid w:val="00DB7F87"/>
    <w:rsid w:val="00DC0538"/>
    <w:rsid w:val="00DC0578"/>
    <w:rsid w:val="00DC070A"/>
    <w:rsid w:val="00DC1481"/>
    <w:rsid w:val="00DC16D2"/>
    <w:rsid w:val="00DC1776"/>
    <w:rsid w:val="00DC190D"/>
    <w:rsid w:val="00DC2093"/>
    <w:rsid w:val="00DC231F"/>
    <w:rsid w:val="00DC232D"/>
    <w:rsid w:val="00DC2420"/>
    <w:rsid w:val="00DC25AB"/>
    <w:rsid w:val="00DC284B"/>
    <w:rsid w:val="00DC2B50"/>
    <w:rsid w:val="00DC2CBB"/>
    <w:rsid w:val="00DC2D19"/>
    <w:rsid w:val="00DC3253"/>
    <w:rsid w:val="00DC3318"/>
    <w:rsid w:val="00DC3548"/>
    <w:rsid w:val="00DC379E"/>
    <w:rsid w:val="00DC386D"/>
    <w:rsid w:val="00DC3BF0"/>
    <w:rsid w:val="00DC3EF1"/>
    <w:rsid w:val="00DC3F3A"/>
    <w:rsid w:val="00DC4162"/>
    <w:rsid w:val="00DC4454"/>
    <w:rsid w:val="00DC4800"/>
    <w:rsid w:val="00DC4B0C"/>
    <w:rsid w:val="00DC4BC8"/>
    <w:rsid w:val="00DC4CB6"/>
    <w:rsid w:val="00DC580F"/>
    <w:rsid w:val="00DC5B5E"/>
    <w:rsid w:val="00DC5C57"/>
    <w:rsid w:val="00DC5EB2"/>
    <w:rsid w:val="00DC6140"/>
    <w:rsid w:val="00DC621E"/>
    <w:rsid w:val="00DC63CE"/>
    <w:rsid w:val="00DC6717"/>
    <w:rsid w:val="00DC671D"/>
    <w:rsid w:val="00DC6CC3"/>
    <w:rsid w:val="00DC6F45"/>
    <w:rsid w:val="00DC716A"/>
    <w:rsid w:val="00DC71EC"/>
    <w:rsid w:val="00DC79E7"/>
    <w:rsid w:val="00DC7B58"/>
    <w:rsid w:val="00DC7BA7"/>
    <w:rsid w:val="00DD028A"/>
    <w:rsid w:val="00DD042A"/>
    <w:rsid w:val="00DD0535"/>
    <w:rsid w:val="00DD0565"/>
    <w:rsid w:val="00DD085E"/>
    <w:rsid w:val="00DD0896"/>
    <w:rsid w:val="00DD0A13"/>
    <w:rsid w:val="00DD0E79"/>
    <w:rsid w:val="00DD1244"/>
    <w:rsid w:val="00DD1294"/>
    <w:rsid w:val="00DD149A"/>
    <w:rsid w:val="00DD17AB"/>
    <w:rsid w:val="00DD18DF"/>
    <w:rsid w:val="00DD1D2B"/>
    <w:rsid w:val="00DD1DDB"/>
    <w:rsid w:val="00DD1E33"/>
    <w:rsid w:val="00DD1F4A"/>
    <w:rsid w:val="00DD289F"/>
    <w:rsid w:val="00DD28F1"/>
    <w:rsid w:val="00DD2A3E"/>
    <w:rsid w:val="00DD2BA4"/>
    <w:rsid w:val="00DD2BAF"/>
    <w:rsid w:val="00DD2DE6"/>
    <w:rsid w:val="00DD2FF2"/>
    <w:rsid w:val="00DD301C"/>
    <w:rsid w:val="00DD3066"/>
    <w:rsid w:val="00DD3603"/>
    <w:rsid w:val="00DD360C"/>
    <w:rsid w:val="00DD3682"/>
    <w:rsid w:val="00DD368C"/>
    <w:rsid w:val="00DD3898"/>
    <w:rsid w:val="00DD3921"/>
    <w:rsid w:val="00DD3DB1"/>
    <w:rsid w:val="00DD40D9"/>
    <w:rsid w:val="00DD4194"/>
    <w:rsid w:val="00DD4643"/>
    <w:rsid w:val="00DD47DA"/>
    <w:rsid w:val="00DD48B3"/>
    <w:rsid w:val="00DD4A09"/>
    <w:rsid w:val="00DD4A4A"/>
    <w:rsid w:val="00DD4D76"/>
    <w:rsid w:val="00DD4EF1"/>
    <w:rsid w:val="00DD5148"/>
    <w:rsid w:val="00DD519C"/>
    <w:rsid w:val="00DD5425"/>
    <w:rsid w:val="00DD55BD"/>
    <w:rsid w:val="00DD56AF"/>
    <w:rsid w:val="00DD5800"/>
    <w:rsid w:val="00DD5A61"/>
    <w:rsid w:val="00DD5C1E"/>
    <w:rsid w:val="00DD5FF0"/>
    <w:rsid w:val="00DD6256"/>
    <w:rsid w:val="00DD645E"/>
    <w:rsid w:val="00DD68A2"/>
    <w:rsid w:val="00DD6915"/>
    <w:rsid w:val="00DD694E"/>
    <w:rsid w:val="00DD6B1C"/>
    <w:rsid w:val="00DD6C5A"/>
    <w:rsid w:val="00DD6C63"/>
    <w:rsid w:val="00DD6E88"/>
    <w:rsid w:val="00DD6F32"/>
    <w:rsid w:val="00DD700B"/>
    <w:rsid w:val="00DD7116"/>
    <w:rsid w:val="00DD7250"/>
    <w:rsid w:val="00DD74A4"/>
    <w:rsid w:val="00DD74C3"/>
    <w:rsid w:val="00DD74FE"/>
    <w:rsid w:val="00DD78F8"/>
    <w:rsid w:val="00DD7911"/>
    <w:rsid w:val="00DD7B64"/>
    <w:rsid w:val="00DD7C49"/>
    <w:rsid w:val="00DD7D59"/>
    <w:rsid w:val="00DE0147"/>
    <w:rsid w:val="00DE0306"/>
    <w:rsid w:val="00DE0E3A"/>
    <w:rsid w:val="00DE0EBC"/>
    <w:rsid w:val="00DE0F76"/>
    <w:rsid w:val="00DE1135"/>
    <w:rsid w:val="00DE11C7"/>
    <w:rsid w:val="00DE133A"/>
    <w:rsid w:val="00DE1540"/>
    <w:rsid w:val="00DE17EC"/>
    <w:rsid w:val="00DE1B5E"/>
    <w:rsid w:val="00DE1C8A"/>
    <w:rsid w:val="00DE21E4"/>
    <w:rsid w:val="00DE260B"/>
    <w:rsid w:val="00DE26A6"/>
    <w:rsid w:val="00DE2775"/>
    <w:rsid w:val="00DE2A03"/>
    <w:rsid w:val="00DE2A2B"/>
    <w:rsid w:val="00DE3326"/>
    <w:rsid w:val="00DE350C"/>
    <w:rsid w:val="00DE353C"/>
    <w:rsid w:val="00DE392A"/>
    <w:rsid w:val="00DE3AFB"/>
    <w:rsid w:val="00DE3CF2"/>
    <w:rsid w:val="00DE3EE1"/>
    <w:rsid w:val="00DE4000"/>
    <w:rsid w:val="00DE4129"/>
    <w:rsid w:val="00DE41FE"/>
    <w:rsid w:val="00DE45ED"/>
    <w:rsid w:val="00DE4757"/>
    <w:rsid w:val="00DE47D5"/>
    <w:rsid w:val="00DE4C9B"/>
    <w:rsid w:val="00DE4F4D"/>
    <w:rsid w:val="00DE5046"/>
    <w:rsid w:val="00DE577D"/>
    <w:rsid w:val="00DE57AD"/>
    <w:rsid w:val="00DE58C6"/>
    <w:rsid w:val="00DE5AD8"/>
    <w:rsid w:val="00DE5B6C"/>
    <w:rsid w:val="00DE5C99"/>
    <w:rsid w:val="00DE5D14"/>
    <w:rsid w:val="00DE5F2C"/>
    <w:rsid w:val="00DE6190"/>
    <w:rsid w:val="00DE63F0"/>
    <w:rsid w:val="00DE65BA"/>
    <w:rsid w:val="00DE65D5"/>
    <w:rsid w:val="00DE66AD"/>
    <w:rsid w:val="00DE6B4D"/>
    <w:rsid w:val="00DE6F79"/>
    <w:rsid w:val="00DE71DF"/>
    <w:rsid w:val="00DE724E"/>
    <w:rsid w:val="00DE745B"/>
    <w:rsid w:val="00DE7658"/>
    <w:rsid w:val="00DE7787"/>
    <w:rsid w:val="00DE7B99"/>
    <w:rsid w:val="00DE7CEE"/>
    <w:rsid w:val="00DE7FD1"/>
    <w:rsid w:val="00DF0444"/>
    <w:rsid w:val="00DF0718"/>
    <w:rsid w:val="00DF0857"/>
    <w:rsid w:val="00DF0D5C"/>
    <w:rsid w:val="00DF117B"/>
    <w:rsid w:val="00DF16FB"/>
    <w:rsid w:val="00DF18FC"/>
    <w:rsid w:val="00DF1995"/>
    <w:rsid w:val="00DF1C3A"/>
    <w:rsid w:val="00DF1D9F"/>
    <w:rsid w:val="00DF1DF0"/>
    <w:rsid w:val="00DF2378"/>
    <w:rsid w:val="00DF2E56"/>
    <w:rsid w:val="00DF30C7"/>
    <w:rsid w:val="00DF3669"/>
    <w:rsid w:val="00DF368D"/>
    <w:rsid w:val="00DF3745"/>
    <w:rsid w:val="00DF37D5"/>
    <w:rsid w:val="00DF395C"/>
    <w:rsid w:val="00DF4096"/>
    <w:rsid w:val="00DF4114"/>
    <w:rsid w:val="00DF41DE"/>
    <w:rsid w:val="00DF4216"/>
    <w:rsid w:val="00DF42F5"/>
    <w:rsid w:val="00DF4482"/>
    <w:rsid w:val="00DF44BA"/>
    <w:rsid w:val="00DF457C"/>
    <w:rsid w:val="00DF492F"/>
    <w:rsid w:val="00DF4CE1"/>
    <w:rsid w:val="00DF53E4"/>
    <w:rsid w:val="00DF560F"/>
    <w:rsid w:val="00DF58DE"/>
    <w:rsid w:val="00DF5D4A"/>
    <w:rsid w:val="00DF5F80"/>
    <w:rsid w:val="00DF61A2"/>
    <w:rsid w:val="00DF632D"/>
    <w:rsid w:val="00DF6820"/>
    <w:rsid w:val="00DF698E"/>
    <w:rsid w:val="00DF6D6E"/>
    <w:rsid w:val="00DF6E41"/>
    <w:rsid w:val="00DF720E"/>
    <w:rsid w:val="00DF7441"/>
    <w:rsid w:val="00DF7661"/>
    <w:rsid w:val="00DF76D5"/>
    <w:rsid w:val="00DF7A43"/>
    <w:rsid w:val="00DF7ACF"/>
    <w:rsid w:val="00DF7B4D"/>
    <w:rsid w:val="00DF7B98"/>
    <w:rsid w:val="00DF7FC5"/>
    <w:rsid w:val="00E005BF"/>
    <w:rsid w:val="00E005ED"/>
    <w:rsid w:val="00E00855"/>
    <w:rsid w:val="00E015E9"/>
    <w:rsid w:val="00E01827"/>
    <w:rsid w:val="00E01896"/>
    <w:rsid w:val="00E01AA4"/>
    <w:rsid w:val="00E01C71"/>
    <w:rsid w:val="00E02099"/>
    <w:rsid w:val="00E020C2"/>
    <w:rsid w:val="00E02705"/>
    <w:rsid w:val="00E0285D"/>
    <w:rsid w:val="00E029A8"/>
    <w:rsid w:val="00E02A75"/>
    <w:rsid w:val="00E03120"/>
    <w:rsid w:val="00E0318D"/>
    <w:rsid w:val="00E032CA"/>
    <w:rsid w:val="00E0344D"/>
    <w:rsid w:val="00E03501"/>
    <w:rsid w:val="00E036EB"/>
    <w:rsid w:val="00E03795"/>
    <w:rsid w:val="00E03E16"/>
    <w:rsid w:val="00E0418A"/>
    <w:rsid w:val="00E045ED"/>
    <w:rsid w:val="00E0463C"/>
    <w:rsid w:val="00E04CE4"/>
    <w:rsid w:val="00E05015"/>
    <w:rsid w:val="00E055F1"/>
    <w:rsid w:val="00E0569F"/>
    <w:rsid w:val="00E05762"/>
    <w:rsid w:val="00E05E42"/>
    <w:rsid w:val="00E05E78"/>
    <w:rsid w:val="00E05EC1"/>
    <w:rsid w:val="00E06482"/>
    <w:rsid w:val="00E067FA"/>
    <w:rsid w:val="00E068F0"/>
    <w:rsid w:val="00E06904"/>
    <w:rsid w:val="00E06A0F"/>
    <w:rsid w:val="00E06ADE"/>
    <w:rsid w:val="00E06B35"/>
    <w:rsid w:val="00E06C22"/>
    <w:rsid w:val="00E0708C"/>
    <w:rsid w:val="00E070F1"/>
    <w:rsid w:val="00E07506"/>
    <w:rsid w:val="00E07C18"/>
    <w:rsid w:val="00E07D32"/>
    <w:rsid w:val="00E07F2D"/>
    <w:rsid w:val="00E1020A"/>
    <w:rsid w:val="00E107E5"/>
    <w:rsid w:val="00E10EEC"/>
    <w:rsid w:val="00E114C2"/>
    <w:rsid w:val="00E115AE"/>
    <w:rsid w:val="00E11744"/>
    <w:rsid w:val="00E11911"/>
    <w:rsid w:val="00E11A0D"/>
    <w:rsid w:val="00E11F03"/>
    <w:rsid w:val="00E121F2"/>
    <w:rsid w:val="00E125BC"/>
    <w:rsid w:val="00E125FE"/>
    <w:rsid w:val="00E12824"/>
    <w:rsid w:val="00E12835"/>
    <w:rsid w:val="00E1293C"/>
    <w:rsid w:val="00E129BC"/>
    <w:rsid w:val="00E12AB7"/>
    <w:rsid w:val="00E12D7B"/>
    <w:rsid w:val="00E12ED1"/>
    <w:rsid w:val="00E132DD"/>
    <w:rsid w:val="00E13562"/>
    <w:rsid w:val="00E1364D"/>
    <w:rsid w:val="00E13A0D"/>
    <w:rsid w:val="00E13B0B"/>
    <w:rsid w:val="00E13CCC"/>
    <w:rsid w:val="00E13E06"/>
    <w:rsid w:val="00E13F64"/>
    <w:rsid w:val="00E141DE"/>
    <w:rsid w:val="00E1447A"/>
    <w:rsid w:val="00E14645"/>
    <w:rsid w:val="00E1494F"/>
    <w:rsid w:val="00E14BE6"/>
    <w:rsid w:val="00E14EBC"/>
    <w:rsid w:val="00E15132"/>
    <w:rsid w:val="00E154B9"/>
    <w:rsid w:val="00E15608"/>
    <w:rsid w:val="00E15846"/>
    <w:rsid w:val="00E159B5"/>
    <w:rsid w:val="00E15A26"/>
    <w:rsid w:val="00E15AF4"/>
    <w:rsid w:val="00E15C09"/>
    <w:rsid w:val="00E15D58"/>
    <w:rsid w:val="00E15DB0"/>
    <w:rsid w:val="00E15DD5"/>
    <w:rsid w:val="00E15FB4"/>
    <w:rsid w:val="00E1629E"/>
    <w:rsid w:val="00E16ACF"/>
    <w:rsid w:val="00E16E4E"/>
    <w:rsid w:val="00E1731F"/>
    <w:rsid w:val="00E1740F"/>
    <w:rsid w:val="00E17565"/>
    <w:rsid w:val="00E1758C"/>
    <w:rsid w:val="00E1777E"/>
    <w:rsid w:val="00E178EA"/>
    <w:rsid w:val="00E179CC"/>
    <w:rsid w:val="00E179D5"/>
    <w:rsid w:val="00E17F0E"/>
    <w:rsid w:val="00E17FB2"/>
    <w:rsid w:val="00E200EB"/>
    <w:rsid w:val="00E20168"/>
    <w:rsid w:val="00E201A0"/>
    <w:rsid w:val="00E2028B"/>
    <w:rsid w:val="00E20496"/>
    <w:rsid w:val="00E205DA"/>
    <w:rsid w:val="00E2082C"/>
    <w:rsid w:val="00E20B51"/>
    <w:rsid w:val="00E20CD0"/>
    <w:rsid w:val="00E20E81"/>
    <w:rsid w:val="00E20EB5"/>
    <w:rsid w:val="00E210C2"/>
    <w:rsid w:val="00E2129F"/>
    <w:rsid w:val="00E2138F"/>
    <w:rsid w:val="00E21685"/>
    <w:rsid w:val="00E21783"/>
    <w:rsid w:val="00E218BC"/>
    <w:rsid w:val="00E21ABA"/>
    <w:rsid w:val="00E21ABF"/>
    <w:rsid w:val="00E21CCE"/>
    <w:rsid w:val="00E221DD"/>
    <w:rsid w:val="00E2233B"/>
    <w:rsid w:val="00E2234A"/>
    <w:rsid w:val="00E226CE"/>
    <w:rsid w:val="00E22752"/>
    <w:rsid w:val="00E22C19"/>
    <w:rsid w:val="00E22D8A"/>
    <w:rsid w:val="00E22E3A"/>
    <w:rsid w:val="00E22F30"/>
    <w:rsid w:val="00E2306D"/>
    <w:rsid w:val="00E233FF"/>
    <w:rsid w:val="00E23482"/>
    <w:rsid w:val="00E2348C"/>
    <w:rsid w:val="00E234E0"/>
    <w:rsid w:val="00E235CA"/>
    <w:rsid w:val="00E238F2"/>
    <w:rsid w:val="00E239F1"/>
    <w:rsid w:val="00E23D9F"/>
    <w:rsid w:val="00E23DBA"/>
    <w:rsid w:val="00E23FE8"/>
    <w:rsid w:val="00E24183"/>
    <w:rsid w:val="00E24375"/>
    <w:rsid w:val="00E243A7"/>
    <w:rsid w:val="00E24BF7"/>
    <w:rsid w:val="00E24D13"/>
    <w:rsid w:val="00E24D61"/>
    <w:rsid w:val="00E25116"/>
    <w:rsid w:val="00E255DA"/>
    <w:rsid w:val="00E2561A"/>
    <w:rsid w:val="00E2571A"/>
    <w:rsid w:val="00E25B74"/>
    <w:rsid w:val="00E25C5D"/>
    <w:rsid w:val="00E25E6D"/>
    <w:rsid w:val="00E25FB5"/>
    <w:rsid w:val="00E263FF"/>
    <w:rsid w:val="00E26486"/>
    <w:rsid w:val="00E26636"/>
    <w:rsid w:val="00E267BE"/>
    <w:rsid w:val="00E26847"/>
    <w:rsid w:val="00E2693A"/>
    <w:rsid w:val="00E26CD2"/>
    <w:rsid w:val="00E278A6"/>
    <w:rsid w:val="00E278E2"/>
    <w:rsid w:val="00E27B7B"/>
    <w:rsid w:val="00E27E48"/>
    <w:rsid w:val="00E30155"/>
    <w:rsid w:val="00E301F7"/>
    <w:rsid w:val="00E3021A"/>
    <w:rsid w:val="00E302E0"/>
    <w:rsid w:val="00E307E3"/>
    <w:rsid w:val="00E30A91"/>
    <w:rsid w:val="00E30DED"/>
    <w:rsid w:val="00E3101A"/>
    <w:rsid w:val="00E310A1"/>
    <w:rsid w:val="00E31113"/>
    <w:rsid w:val="00E3124F"/>
    <w:rsid w:val="00E31334"/>
    <w:rsid w:val="00E314B6"/>
    <w:rsid w:val="00E31809"/>
    <w:rsid w:val="00E31A01"/>
    <w:rsid w:val="00E31A2D"/>
    <w:rsid w:val="00E31C75"/>
    <w:rsid w:val="00E31E84"/>
    <w:rsid w:val="00E31EEE"/>
    <w:rsid w:val="00E3230E"/>
    <w:rsid w:val="00E324A7"/>
    <w:rsid w:val="00E324E1"/>
    <w:rsid w:val="00E32645"/>
    <w:rsid w:val="00E327B4"/>
    <w:rsid w:val="00E328D7"/>
    <w:rsid w:val="00E32901"/>
    <w:rsid w:val="00E32AFD"/>
    <w:rsid w:val="00E32D3B"/>
    <w:rsid w:val="00E33163"/>
    <w:rsid w:val="00E33171"/>
    <w:rsid w:val="00E3352D"/>
    <w:rsid w:val="00E335A5"/>
    <w:rsid w:val="00E3365B"/>
    <w:rsid w:val="00E336B0"/>
    <w:rsid w:val="00E336BC"/>
    <w:rsid w:val="00E338F7"/>
    <w:rsid w:val="00E33A55"/>
    <w:rsid w:val="00E33F85"/>
    <w:rsid w:val="00E3400A"/>
    <w:rsid w:val="00E34416"/>
    <w:rsid w:val="00E3455C"/>
    <w:rsid w:val="00E34586"/>
    <w:rsid w:val="00E34642"/>
    <w:rsid w:val="00E3486B"/>
    <w:rsid w:val="00E34892"/>
    <w:rsid w:val="00E3492B"/>
    <w:rsid w:val="00E34A1E"/>
    <w:rsid w:val="00E34B46"/>
    <w:rsid w:val="00E34B81"/>
    <w:rsid w:val="00E34BC2"/>
    <w:rsid w:val="00E34BEE"/>
    <w:rsid w:val="00E34CB7"/>
    <w:rsid w:val="00E34D52"/>
    <w:rsid w:val="00E34F58"/>
    <w:rsid w:val="00E3548F"/>
    <w:rsid w:val="00E3555D"/>
    <w:rsid w:val="00E357CF"/>
    <w:rsid w:val="00E3584F"/>
    <w:rsid w:val="00E35D04"/>
    <w:rsid w:val="00E360AB"/>
    <w:rsid w:val="00E362B9"/>
    <w:rsid w:val="00E362BF"/>
    <w:rsid w:val="00E36483"/>
    <w:rsid w:val="00E365DF"/>
    <w:rsid w:val="00E36613"/>
    <w:rsid w:val="00E367C5"/>
    <w:rsid w:val="00E36B7F"/>
    <w:rsid w:val="00E36DC9"/>
    <w:rsid w:val="00E36E1F"/>
    <w:rsid w:val="00E37174"/>
    <w:rsid w:val="00E371B9"/>
    <w:rsid w:val="00E373B7"/>
    <w:rsid w:val="00E37400"/>
    <w:rsid w:val="00E3749D"/>
    <w:rsid w:val="00E37981"/>
    <w:rsid w:val="00E37FD2"/>
    <w:rsid w:val="00E40096"/>
    <w:rsid w:val="00E4010D"/>
    <w:rsid w:val="00E404C2"/>
    <w:rsid w:val="00E4060F"/>
    <w:rsid w:val="00E40641"/>
    <w:rsid w:val="00E406E7"/>
    <w:rsid w:val="00E40AE5"/>
    <w:rsid w:val="00E40B1B"/>
    <w:rsid w:val="00E41207"/>
    <w:rsid w:val="00E41A60"/>
    <w:rsid w:val="00E41A6B"/>
    <w:rsid w:val="00E41BF6"/>
    <w:rsid w:val="00E41D47"/>
    <w:rsid w:val="00E41DD5"/>
    <w:rsid w:val="00E41E83"/>
    <w:rsid w:val="00E42013"/>
    <w:rsid w:val="00E42655"/>
    <w:rsid w:val="00E42A49"/>
    <w:rsid w:val="00E42B32"/>
    <w:rsid w:val="00E42DA6"/>
    <w:rsid w:val="00E430B1"/>
    <w:rsid w:val="00E433A9"/>
    <w:rsid w:val="00E43524"/>
    <w:rsid w:val="00E4416D"/>
    <w:rsid w:val="00E4439C"/>
    <w:rsid w:val="00E44472"/>
    <w:rsid w:val="00E44722"/>
    <w:rsid w:val="00E448E5"/>
    <w:rsid w:val="00E44B0F"/>
    <w:rsid w:val="00E44B8A"/>
    <w:rsid w:val="00E44DC8"/>
    <w:rsid w:val="00E44E15"/>
    <w:rsid w:val="00E44F81"/>
    <w:rsid w:val="00E452A7"/>
    <w:rsid w:val="00E45421"/>
    <w:rsid w:val="00E45544"/>
    <w:rsid w:val="00E458F3"/>
    <w:rsid w:val="00E459EF"/>
    <w:rsid w:val="00E45FAA"/>
    <w:rsid w:val="00E4604B"/>
    <w:rsid w:val="00E46342"/>
    <w:rsid w:val="00E46460"/>
    <w:rsid w:val="00E46643"/>
    <w:rsid w:val="00E468DE"/>
    <w:rsid w:val="00E46B26"/>
    <w:rsid w:val="00E46D2C"/>
    <w:rsid w:val="00E47126"/>
    <w:rsid w:val="00E472B5"/>
    <w:rsid w:val="00E47486"/>
    <w:rsid w:val="00E477A9"/>
    <w:rsid w:val="00E477E2"/>
    <w:rsid w:val="00E47C44"/>
    <w:rsid w:val="00E47DB4"/>
    <w:rsid w:val="00E47E8C"/>
    <w:rsid w:val="00E5005A"/>
    <w:rsid w:val="00E5039F"/>
    <w:rsid w:val="00E50851"/>
    <w:rsid w:val="00E5090E"/>
    <w:rsid w:val="00E5099C"/>
    <w:rsid w:val="00E50A20"/>
    <w:rsid w:val="00E50AFC"/>
    <w:rsid w:val="00E50C12"/>
    <w:rsid w:val="00E50C5E"/>
    <w:rsid w:val="00E5105C"/>
    <w:rsid w:val="00E513CF"/>
    <w:rsid w:val="00E516F1"/>
    <w:rsid w:val="00E516F6"/>
    <w:rsid w:val="00E5183D"/>
    <w:rsid w:val="00E5183E"/>
    <w:rsid w:val="00E51D6B"/>
    <w:rsid w:val="00E521FB"/>
    <w:rsid w:val="00E5269D"/>
    <w:rsid w:val="00E5288C"/>
    <w:rsid w:val="00E52897"/>
    <w:rsid w:val="00E52FE5"/>
    <w:rsid w:val="00E5316E"/>
    <w:rsid w:val="00E531C0"/>
    <w:rsid w:val="00E535DB"/>
    <w:rsid w:val="00E5361E"/>
    <w:rsid w:val="00E53710"/>
    <w:rsid w:val="00E53936"/>
    <w:rsid w:val="00E53B85"/>
    <w:rsid w:val="00E53BB9"/>
    <w:rsid w:val="00E53F42"/>
    <w:rsid w:val="00E540EB"/>
    <w:rsid w:val="00E541DF"/>
    <w:rsid w:val="00E5436B"/>
    <w:rsid w:val="00E543DB"/>
    <w:rsid w:val="00E54543"/>
    <w:rsid w:val="00E545BA"/>
    <w:rsid w:val="00E545DA"/>
    <w:rsid w:val="00E54746"/>
    <w:rsid w:val="00E54D21"/>
    <w:rsid w:val="00E54DDE"/>
    <w:rsid w:val="00E54E58"/>
    <w:rsid w:val="00E54E70"/>
    <w:rsid w:val="00E55201"/>
    <w:rsid w:val="00E557C0"/>
    <w:rsid w:val="00E55833"/>
    <w:rsid w:val="00E55AD4"/>
    <w:rsid w:val="00E55AFC"/>
    <w:rsid w:val="00E55C89"/>
    <w:rsid w:val="00E55D15"/>
    <w:rsid w:val="00E55EBF"/>
    <w:rsid w:val="00E55EDF"/>
    <w:rsid w:val="00E55F88"/>
    <w:rsid w:val="00E562CA"/>
    <w:rsid w:val="00E56361"/>
    <w:rsid w:val="00E56B17"/>
    <w:rsid w:val="00E56C9E"/>
    <w:rsid w:val="00E56E54"/>
    <w:rsid w:val="00E56FFA"/>
    <w:rsid w:val="00E574BD"/>
    <w:rsid w:val="00E577AE"/>
    <w:rsid w:val="00E5782B"/>
    <w:rsid w:val="00E578E6"/>
    <w:rsid w:val="00E57C85"/>
    <w:rsid w:val="00E57DDF"/>
    <w:rsid w:val="00E57F20"/>
    <w:rsid w:val="00E60038"/>
    <w:rsid w:val="00E60817"/>
    <w:rsid w:val="00E608D0"/>
    <w:rsid w:val="00E60DB8"/>
    <w:rsid w:val="00E60F16"/>
    <w:rsid w:val="00E60F57"/>
    <w:rsid w:val="00E610A2"/>
    <w:rsid w:val="00E614E9"/>
    <w:rsid w:val="00E6152F"/>
    <w:rsid w:val="00E61556"/>
    <w:rsid w:val="00E616C2"/>
    <w:rsid w:val="00E616EC"/>
    <w:rsid w:val="00E6181E"/>
    <w:rsid w:val="00E61944"/>
    <w:rsid w:val="00E61A30"/>
    <w:rsid w:val="00E61EC1"/>
    <w:rsid w:val="00E620DA"/>
    <w:rsid w:val="00E62272"/>
    <w:rsid w:val="00E622EE"/>
    <w:rsid w:val="00E623D9"/>
    <w:rsid w:val="00E625BC"/>
    <w:rsid w:val="00E62FF7"/>
    <w:rsid w:val="00E630F1"/>
    <w:rsid w:val="00E63481"/>
    <w:rsid w:val="00E63629"/>
    <w:rsid w:val="00E63654"/>
    <w:rsid w:val="00E63719"/>
    <w:rsid w:val="00E63918"/>
    <w:rsid w:val="00E63BF1"/>
    <w:rsid w:val="00E63C5D"/>
    <w:rsid w:val="00E63D0E"/>
    <w:rsid w:val="00E63E37"/>
    <w:rsid w:val="00E63FBE"/>
    <w:rsid w:val="00E63FC7"/>
    <w:rsid w:val="00E6447A"/>
    <w:rsid w:val="00E64616"/>
    <w:rsid w:val="00E648CB"/>
    <w:rsid w:val="00E64BE2"/>
    <w:rsid w:val="00E64F64"/>
    <w:rsid w:val="00E650C4"/>
    <w:rsid w:val="00E659F9"/>
    <w:rsid w:val="00E65C0B"/>
    <w:rsid w:val="00E663AE"/>
    <w:rsid w:val="00E66529"/>
    <w:rsid w:val="00E66C89"/>
    <w:rsid w:val="00E66F3C"/>
    <w:rsid w:val="00E66FEB"/>
    <w:rsid w:val="00E6718C"/>
    <w:rsid w:val="00E67213"/>
    <w:rsid w:val="00E67252"/>
    <w:rsid w:val="00E67431"/>
    <w:rsid w:val="00E67677"/>
    <w:rsid w:val="00E67A3C"/>
    <w:rsid w:val="00E67D22"/>
    <w:rsid w:val="00E67F71"/>
    <w:rsid w:val="00E701FF"/>
    <w:rsid w:val="00E704E2"/>
    <w:rsid w:val="00E70BFB"/>
    <w:rsid w:val="00E70C9A"/>
    <w:rsid w:val="00E711F3"/>
    <w:rsid w:val="00E713D4"/>
    <w:rsid w:val="00E71442"/>
    <w:rsid w:val="00E71A95"/>
    <w:rsid w:val="00E71B38"/>
    <w:rsid w:val="00E72083"/>
    <w:rsid w:val="00E720E0"/>
    <w:rsid w:val="00E7223C"/>
    <w:rsid w:val="00E72489"/>
    <w:rsid w:val="00E72BCF"/>
    <w:rsid w:val="00E72DA0"/>
    <w:rsid w:val="00E73631"/>
    <w:rsid w:val="00E737C7"/>
    <w:rsid w:val="00E73820"/>
    <w:rsid w:val="00E738C7"/>
    <w:rsid w:val="00E73A5E"/>
    <w:rsid w:val="00E73C22"/>
    <w:rsid w:val="00E73CFD"/>
    <w:rsid w:val="00E73F72"/>
    <w:rsid w:val="00E74142"/>
    <w:rsid w:val="00E74536"/>
    <w:rsid w:val="00E74CD1"/>
    <w:rsid w:val="00E74E0B"/>
    <w:rsid w:val="00E74EF1"/>
    <w:rsid w:val="00E74F06"/>
    <w:rsid w:val="00E751D2"/>
    <w:rsid w:val="00E75206"/>
    <w:rsid w:val="00E75278"/>
    <w:rsid w:val="00E7532A"/>
    <w:rsid w:val="00E7555B"/>
    <w:rsid w:val="00E7557E"/>
    <w:rsid w:val="00E7572A"/>
    <w:rsid w:val="00E757A8"/>
    <w:rsid w:val="00E75A5F"/>
    <w:rsid w:val="00E7635F"/>
    <w:rsid w:val="00E7645A"/>
    <w:rsid w:val="00E76850"/>
    <w:rsid w:val="00E7703E"/>
    <w:rsid w:val="00E77879"/>
    <w:rsid w:val="00E77884"/>
    <w:rsid w:val="00E77915"/>
    <w:rsid w:val="00E77B50"/>
    <w:rsid w:val="00E77B6B"/>
    <w:rsid w:val="00E77CFF"/>
    <w:rsid w:val="00E77E36"/>
    <w:rsid w:val="00E802FC"/>
    <w:rsid w:val="00E803CC"/>
    <w:rsid w:val="00E80502"/>
    <w:rsid w:val="00E80517"/>
    <w:rsid w:val="00E80583"/>
    <w:rsid w:val="00E8079E"/>
    <w:rsid w:val="00E8081B"/>
    <w:rsid w:val="00E808B8"/>
    <w:rsid w:val="00E80A9F"/>
    <w:rsid w:val="00E80B8E"/>
    <w:rsid w:val="00E80D47"/>
    <w:rsid w:val="00E8167F"/>
    <w:rsid w:val="00E819C7"/>
    <w:rsid w:val="00E81A75"/>
    <w:rsid w:val="00E822A7"/>
    <w:rsid w:val="00E82302"/>
    <w:rsid w:val="00E825C8"/>
    <w:rsid w:val="00E82C8A"/>
    <w:rsid w:val="00E82D6F"/>
    <w:rsid w:val="00E82F5B"/>
    <w:rsid w:val="00E8344B"/>
    <w:rsid w:val="00E83702"/>
    <w:rsid w:val="00E83902"/>
    <w:rsid w:val="00E839B4"/>
    <w:rsid w:val="00E83BA8"/>
    <w:rsid w:val="00E83F7E"/>
    <w:rsid w:val="00E840A0"/>
    <w:rsid w:val="00E843B6"/>
    <w:rsid w:val="00E84588"/>
    <w:rsid w:val="00E84941"/>
    <w:rsid w:val="00E84988"/>
    <w:rsid w:val="00E84ACD"/>
    <w:rsid w:val="00E84B2A"/>
    <w:rsid w:val="00E84B35"/>
    <w:rsid w:val="00E84CFD"/>
    <w:rsid w:val="00E84D6A"/>
    <w:rsid w:val="00E84FFB"/>
    <w:rsid w:val="00E8517B"/>
    <w:rsid w:val="00E852AF"/>
    <w:rsid w:val="00E855B0"/>
    <w:rsid w:val="00E8589B"/>
    <w:rsid w:val="00E85949"/>
    <w:rsid w:val="00E85A4B"/>
    <w:rsid w:val="00E85B46"/>
    <w:rsid w:val="00E85CDE"/>
    <w:rsid w:val="00E860A5"/>
    <w:rsid w:val="00E862FA"/>
    <w:rsid w:val="00E863CD"/>
    <w:rsid w:val="00E86481"/>
    <w:rsid w:val="00E8660B"/>
    <w:rsid w:val="00E8699A"/>
    <w:rsid w:val="00E86B2A"/>
    <w:rsid w:val="00E86C31"/>
    <w:rsid w:val="00E86E8F"/>
    <w:rsid w:val="00E87304"/>
    <w:rsid w:val="00E8740D"/>
    <w:rsid w:val="00E8745C"/>
    <w:rsid w:val="00E878F9"/>
    <w:rsid w:val="00E87980"/>
    <w:rsid w:val="00E87A91"/>
    <w:rsid w:val="00E87B83"/>
    <w:rsid w:val="00E87F62"/>
    <w:rsid w:val="00E900DD"/>
    <w:rsid w:val="00E903B3"/>
    <w:rsid w:val="00E9096E"/>
    <w:rsid w:val="00E90B70"/>
    <w:rsid w:val="00E90C79"/>
    <w:rsid w:val="00E90F6D"/>
    <w:rsid w:val="00E914BB"/>
    <w:rsid w:val="00E91628"/>
    <w:rsid w:val="00E91B03"/>
    <w:rsid w:val="00E91F60"/>
    <w:rsid w:val="00E91F65"/>
    <w:rsid w:val="00E9203D"/>
    <w:rsid w:val="00E922DE"/>
    <w:rsid w:val="00E92598"/>
    <w:rsid w:val="00E927E4"/>
    <w:rsid w:val="00E92A5F"/>
    <w:rsid w:val="00E93082"/>
    <w:rsid w:val="00E93233"/>
    <w:rsid w:val="00E9358D"/>
    <w:rsid w:val="00E935F0"/>
    <w:rsid w:val="00E937DE"/>
    <w:rsid w:val="00E93940"/>
    <w:rsid w:val="00E9397E"/>
    <w:rsid w:val="00E93A49"/>
    <w:rsid w:val="00E93BB2"/>
    <w:rsid w:val="00E93D01"/>
    <w:rsid w:val="00E93DBA"/>
    <w:rsid w:val="00E94353"/>
    <w:rsid w:val="00E95171"/>
    <w:rsid w:val="00E957FC"/>
    <w:rsid w:val="00E95957"/>
    <w:rsid w:val="00E95BD1"/>
    <w:rsid w:val="00E95E31"/>
    <w:rsid w:val="00E95F1F"/>
    <w:rsid w:val="00E95F4C"/>
    <w:rsid w:val="00E960D2"/>
    <w:rsid w:val="00E9671E"/>
    <w:rsid w:val="00E96CF8"/>
    <w:rsid w:val="00E96E1D"/>
    <w:rsid w:val="00E96F2A"/>
    <w:rsid w:val="00E97200"/>
    <w:rsid w:val="00E9733E"/>
    <w:rsid w:val="00E975A5"/>
    <w:rsid w:val="00E975F1"/>
    <w:rsid w:val="00E97606"/>
    <w:rsid w:val="00E9760C"/>
    <w:rsid w:val="00E9783F"/>
    <w:rsid w:val="00E97CDE"/>
    <w:rsid w:val="00E97CEF"/>
    <w:rsid w:val="00E97F57"/>
    <w:rsid w:val="00EA0401"/>
    <w:rsid w:val="00EA05A6"/>
    <w:rsid w:val="00EA0710"/>
    <w:rsid w:val="00EA0928"/>
    <w:rsid w:val="00EA0979"/>
    <w:rsid w:val="00EA0D9E"/>
    <w:rsid w:val="00EA0F19"/>
    <w:rsid w:val="00EA1009"/>
    <w:rsid w:val="00EA1352"/>
    <w:rsid w:val="00EA192C"/>
    <w:rsid w:val="00EA1F71"/>
    <w:rsid w:val="00EA200C"/>
    <w:rsid w:val="00EA25B6"/>
    <w:rsid w:val="00EA2641"/>
    <w:rsid w:val="00EA2718"/>
    <w:rsid w:val="00EA2936"/>
    <w:rsid w:val="00EA2A73"/>
    <w:rsid w:val="00EA2A80"/>
    <w:rsid w:val="00EA2AE7"/>
    <w:rsid w:val="00EA2B72"/>
    <w:rsid w:val="00EA2CCA"/>
    <w:rsid w:val="00EA2F4F"/>
    <w:rsid w:val="00EA2FFB"/>
    <w:rsid w:val="00EA3062"/>
    <w:rsid w:val="00EA30B7"/>
    <w:rsid w:val="00EA33EE"/>
    <w:rsid w:val="00EA3424"/>
    <w:rsid w:val="00EA3468"/>
    <w:rsid w:val="00EA34F3"/>
    <w:rsid w:val="00EA36CF"/>
    <w:rsid w:val="00EA374A"/>
    <w:rsid w:val="00EA380E"/>
    <w:rsid w:val="00EA3DBF"/>
    <w:rsid w:val="00EA3EBD"/>
    <w:rsid w:val="00EA3F99"/>
    <w:rsid w:val="00EA421B"/>
    <w:rsid w:val="00EA4470"/>
    <w:rsid w:val="00EA45FE"/>
    <w:rsid w:val="00EA46CB"/>
    <w:rsid w:val="00EA4DC1"/>
    <w:rsid w:val="00EA4E5B"/>
    <w:rsid w:val="00EA50EF"/>
    <w:rsid w:val="00EA54A7"/>
    <w:rsid w:val="00EA5571"/>
    <w:rsid w:val="00EA55F6"/>
    <w:rsid w:val="00EA5C84"/>
    <w:rsid w:val="00EA5DB6"/>
    <w:rsid w:val="00EA642D"/>
    <w:rsid w:val="00EA66BB"/>
    <w:rsid w:val="00EA66DF"/>
    <w:rsid w:val="00EA69A9"/>
    <w:rsid w:val="00EA6B9B"/>
    <w:rsid w:val="00EA71B4"/>
    <w:rsid w:val="00EA7610"/>
    <w:rsid w:val="00EA76B5"/>
    <w:rsid w:val="00EA7AF7"/>
    <w:rsid w:val="00EA7BD2"/>
    <w:rsid w:val="00EA7D2B"/>
    <w:rsid w:val="00EA7D8F"/>
    <w:rsid w:val="00EA7E60"/>
    <w:rsid w:val="00EB0230"/>
    <w:rsid w:val="00EB03FE"/>
    <w:rsid w:val="00EB059D"/>
    <w:rsid w:val="00EB05BD"/>
    <w:rsid w:val="00EB0817"/>
    <w:rsid w:val="00EB08F2"/>
    <w:rsid w:val="00EB0BAC"/>
    <w:rsid w:val="00EB0CF5"/>
    <w:rsid w:val="00EB0E05"/>
    <w:rsid w:val="00EB0F16"/>
    <w:rsid w:val="00EB0F55"/>
    <w:rsid w:val="00EB18FC"/>
    <w:rsid w:val="00EB195C"/>
    <w:rsid w:val="00EB1992"/>
    <w:rsid w:val="00EB19CB"/>
    <w:rsid w:val="00EB1A55"/>
    <w:rsid w:val="00EB1D8F"/>
    <w:rsid w:val="00EB1DC8"/>
    <w:rsid w:val="00EB2287"/>
    <w:rsid w:val="00EB24A4"/>
    <w:rsid w:val="00EB2825"/>
    <w:rsid w:val="00EB29BD"/>
    <w:rsid w:val="00EB2C7A"/>
    <w:rsid w:val="00EB2F6C"/>
    <w:rsid w:val="00EB300E"/>
    <w:rsid w:val="00EB36D2"/>
    <w:rsid w:val="00EB377E"/>
    <w:rsid w:val="00EB39A9"/>
    <w:rsid w:val="00EB3A7A"/>
    <w:rsid w:val="00EB3EB7"/>
    <w:rsid w:val="00EB41E6"/>
    <w:rsid w:val="00EB458B"/>
    <w:rsid w:val="00EB462A"/>
    <w:rsid w:val="00EB4EAA"/>
    <w:rsid w:val="00EB5265"/>
    <w:rsid w:val="00EB52C5"/>
    <w:rsid w:val="00EB53F0"/>
    <w:rsid w:val="00EB58F9"/>
    <w:rsid w:val="00EB5B76"/>
    <w:rsid w:val="00EB5BA9"/>
    <w:rsid w:val="00EB5C9E"/>
    <w:rsid w:val="00EB686F"/>
    <w:rsid w:val="00EB69C9"/>
    <w:rsid w:val="00EB69DA"/>
    <w:rsid w:val="00EB6A98"/>
    <w:rsid w:val="00EB6B41"/>
    <w:rsid w:val="00EB6C7F"/>
    <w:rsid w:val="00EB6E76"/>
    <w:rsid w:val="00EB6F5F"/>
    <w:rsid w:val="00EB70D5"/>
    <w:rsid w:val="00EB7259"/>
    <w:rsid w:val="00EB760C"/>
    <w:rsid w:val="00EB7805"/>
    <w:rsid w:val="00EB7A88"/>
    <w:rsid w:val="00EB7C87"/>
    <w:rsid w:val="00EB7D05"/>
    <w:rsid w:val="00EB7DBD"/>
    <w:rsid w:val="00EB7F17"/>
    <w:rsid w:val="00EC02CC"/>
    <w:rsid w:val="00EC0353"/>
    <w:rsid w:val="00EC03B0"/>
    <w:rsid w:val="00EC0405"/>
    <w:rsid w:val="00EC0584"/>
    <w:rsid w:val="00EC0A52"/>
    <w:rsid w:val="00EC0AAB"/>
    <w:rsid w:val="00EC0CF3"/>
    <w:rsid w:val="00EC0DA9"/>
    <w:rsid w:val="00EC0E5A"/>
    <w:rsid w:val="00EC15C8"/>
    <w:rsid w:val="00EC192F"/>
    <w:rsid w:val="00EC1946"/>
    <w:rsid w:val="00EC1A50"/>
    <w:rsid w:val="00EC1D44"/>
    <w:rsid w:val="00EC1D97"/>
    <w:rsid w:val="00EC1FC0"/>
    <w:rsid w:val="00EC2016"/>
    <w:rsid w:val="00EC2327"/>
    <w:rsid w:val="00EC2578"/>
    <w:rsid w:val="00EC2910"/>
    <w:rsid w:val="00EC2A7D"/>
    <w:rsid w:val="00EC2B1D"/>
    <w:rsid w:val="00EC2B59"/>
    <w:rsid w:val="00EC2C08"/>
    <w:rsid w:val="00EC2EB2"/>
    <w:rsid w:val="00EC3043"/>
    <w:rsid w:val="00EC304A"/>
    <w:rsid w:val="00EC30AD"/>
    <w:rsid w:val="00EC31A8"/>
    <w:rsid w:val="00EC31FA"/>
    <w:rsid w:val="00EC3354"/>
    <w:rsid w:val="00EC3506"/>
    <w:rsid w:val="00EC3BD9"/>
    <w:rsid w:val="00EC3CFF"/>
    <w:rsid w:val="00EC437E"/>
    <w:rsid w:val="00EC4482"/>
    <w:rsid w:val="00EC4511"/>
    <w:rsid w:val="00EC460D"/>
    <w:rsid w:val="00EC4665"/>
    <w:rsid w:val="00EC46AA"/>
    <w:rsid w:val="00EC4781"/>
    <w:rsid w:val="00EC482D"/>
    <w:rsid w:val="00EC48EF"/>
    <w:rsid w:val="00EC4DE7"/>
    <w:rsid w:val="00EC4FBE"/>
    <w:rsid w:val="00EC50C4"/>
    <w:rsid w:val="00EC562D"/>
    <w:rsid w:val="00EC5848"/>
    <w:rsid w:val="00EC5916"/>
    <w:rsid w:val="00EC5963"/>
    <w:rsid w:val="00EC5AFB"/>
    <w:rsid w:val="00EC5CB0"/>
    <w:rsid w:val="00EC605A"/>
    <w:rsid w:val="00EC66DB"/>
    <w:rsid w:val="00EC6790"/>
    <w:rsid w:val="00EC6A50"/>
    <w:rsid w:val="00EC6A6A"/>
    <w:rsid w:val="00EC6BBA"/>
    <w:rsid w:val="00EC6BDD"/>
    <w:rsid w:val="00EC6BF5"/>
    <w:rsid w:val="00EC6D4F"/>
    <w:rsid w:val="00EC72D3"/>
    <w:rsid w:val="00EC7741"/>
    <w:rsid w:val="00EC7978"/>
    <w:rsid w:val="00EC7B49"/>
    <w:rsid w:val="00EC7CFA"/>
    <w:rsid w:val="00EC7D6E"/>
    <w:rsid w:val="00ED0086"/>
    <w:rsid w:val="00ED06A1"/>
    <w:rsid w:val="00ED06AC"/>
    <w:rsid w:val="00ED0B20"/>
    <w:rsid w:val="00ED0C79"/>
    <w:rsid w:val="00ED0C8C"/>
    <w:rsid w:val="00ED1393"/>
    <w:rsid w:val="00ED14FC"/>
    <w:rsid w:val="00ED17A2"/>
    <w:rsid w:val="00ED1C43"/>
    <w:rsid w:val="00ED1E0C"/>
    <w:rsid w:val="00ED1FCB"/>
    <w:rsid w:val="00ED2322"/>
    <w:rsid w:val="00ED2347"/>
    <w:rsid w:val="00ED23C1"/>
    <w:rsid w:val="00ED2556"/>
    <w:rsid w:val="00ED26DC"/>
    <w:rsid w:val="00ED2B2D"/>
    <w:rsid w:val="00ED30F9"/>
    <w:rsid w:val="00ED3468"/>
    <w:rsid w:val="00ED3819"/>
    <w:rsid w:val="00ED390E"/>
    <w:rsid w:val="00ED3AF0"/>
    <w:rsid w:val="00ED3F5A"/>
    <w:rsid w:val="00ED4361"/>
    <w:rsid w:val="00ED443D"/>
    <w:rsid w:val="00ED4558"/>
    <w:rsid w:val="00ED45C9"/>
    <w:rsid w:val="00ED46FC"/>
    <w:rsid w:val="00ED4945"/>
    <w:rsid w:val="00ED4F92"/>
    <w:rsid w:val="00ED520A"/>
    <w:rsid w:val="00ED52BB"/>
    <w:rsid w:val="00ED5598"/>
    <w:rsid w:val="00ED5CE1"/>
    <w:rsid w:val="00ED61E8"/>
    <w:rsid w:val="00ED68AC"/>
    <w:rsid w:val="00ED69F1"/>
    <w:rsid w:val="00ED6C59"/>
    <w:rsid w:val="00ED6D13"/>
    <w:rsid w:val="00ED70DC"/>
    <w:rsid w:val="00ED7249"/>
    <w:rsid w:val="00ED7491"/>
    <w:rsid w:val="00ED75B7"/>
    <w:rsid w:val="00ED7AC1"/>
    <w:rsid w:val="00ED7B14"/>
    <w:rsid w:val="00ED7C60"/>
    <w:rsid w:val="00ED7CB8"/>
    <w:rsid w:val="00ED7D4F"/>
    <w:rsid w:val="00ED7F36"/>
    <w:rsid w:val="00EE0119"/>
    <w:rsid w:val="00EE0393"/>
    <w:rsid w:val="00EE0545"/>
    <w:rsid w:val="00EE0612"/>
    <w:rsid w:val="00EE0D82"/>
    <w:rsid w:val="00EE0F15"/>
    <w:rsid w:val="00EE1BB8"/>
    <w:rsid w:val="00EE1DE2"/>
    <w:rsid w:val="00EE1E1D"/>
    <w:rsid w:val="00EE1FEE"/>
    <w:rsid w:val="00EE2184"/>
    <w:rsid w:val="00EE25A8"/>
    <w:rsid w:val="00EE26CD"/>
    <w:rsid w:val="00EE2B46"/>
    <w:rsid w:val="00EE2C19"/>
    <w:rsid w:val="00EE2D66"/>
    <w:rsid w:val="00EE2DAC"/>
    <w:rsid w:val="00EE2DD0"/>
    <w:rsid w:val="00EE2DDE"/>
    <w:rsid w:val="00EE31EA"/>
    <w:rsid w:val="00EE360A"/>
    <w:rsid w:val="00EE370C"/>
    <w:rsid w:val="00EE37C1"/>
    <w:rsid w:val="00EE3C8F"/>
    <w:rsid w:val="00EE3CFC"/>
    <w:rsid w:val="00EE3F93"/>
    <w:rsid w:val="00EE404A"/>
    <w:rsid w:val="00EE4198"/>
    <w:rsid w:val="00EE4433"/>
    <w:rsid w:val="00EE4561"/>
    <w:rsid w:val="00EE462F"/>
    <w:rsid w:val="00EE466F"/>
    <w:rsid w:val="00EE47CE"/>
    <w:rsid w:val="00EE4928"/>
    <w:rsid w:val="00EE4D64"/>
    <w:rsid w:val="00EE54AB"/>
    <w:rsid w:val="00EE577F"/>
    <w:rsid w:val="00EE58A3"/>
    <w:rsid w:val="00EE58AE"/>
    <w:rsid w:val="00EE5A13"/>
    <w:rsid w:val="00EE5DB3"/>
    <w:rsid w:val="00EE62F5"/>
    <w:rsid w:val="00EE657A"/>
    <w:rsid w:val="00EE66DF"/>
    <w:rsid w:val="00EE6A6B"/>
    <w:rsid w:val="00EE6C4F"/>
    <w:rsid w:val="00EE72B2"/>
    <w:rsid w:val="00EE741F"/>
    <w:rsid w:val="00EE747E"/>
    <w:rsid w:val="00EE76CC"/>
    <w:rsid w:val="00EE7D76"/>
    <w:rsid w:val="00EE7D80"/>
    <w:rsid w:val="00EE7E68"/>
    <w:rsid w:val="00EE7FD7"/>
    <w:rsid w:val="00EF009F"/>
    <w:rsid w:val="00EF021F"/>
    <w:rsid w:val="00EF0434"/>
    <w:rsid w:val="00EF0689"/>
    <w:rsid w:val="00EF07AE"/>
    <w:rsid w:val="00EF0B4A"/>
    <w:rsid w:val="00EF0D25"/>
    <w:rsid w:val="00EF100D"/>
    <w:rsid w:val="00EF112E"/>
    <w:rsid w:val="00EF131B"/>
    <w:rsid w:val="00EF145E"/>
    <w:rsid w:val="00EF228E"/>
    <w:rsid w:val="00EF2490"/>
    <w:rsid w:val="00EF2600"/>
    <w:rsid w:val="00EF2764"/>
    <w:rsid w:val="00EF27D4"/>
    <w:rsid w:val="00EF2BE4"/>
    <w:rsid w:val="00EF2C04"/>
    <w:rsid w:val="00EF2DB5"/>
    <w:rsid w:val="00EF3258"/>
    <w:rsid w:val="00EF329B"/>
    <w:rsid w:val="00EF32A4"/>
    <w:rsid w:val="00EF32C3"/>
    <w:rsid w:val="00EF3746"/>
    <w:rsid w:val="00EF3E1C"/>
    <w:rsid w:val="00EF3E33"/>
    <w:rsid w:val="00EF4035"/>
    <w:rsid w:val="00EF4531"/>
    <w:rsid w:val="00EF4B79"/>
    <w:rsid w:val="00EF4C7B"/>
    <w:rsid w:val="00EF4EB3"/>
    <w:rsid w:val="00EF521F"/>
    <w:rsid w:val="00EF5490"/>
    <w:rsid w:val="00EF5582"/>
    <w:rsid w:val="00EF5A27"/>
    <w:rsid w:val="00EF5B9A"/>
    <w:rsid w:val="00EF607C"/>
    <w:rsid w:val="00EF613D"/>
    <w:rsid w:val="00EF637E"/>
    <w:rsid w:val="00EF6454"/>
    <w:rsid w:val="00EF65D2"/>
    <w:rsid w:val="00EF6709"/>
    <w:rsid w:val="00EF6998"/>
    <w:rsid w:val="00EF6E35"/>
    <w:rsid w:val="00EF6EA8"/>
    <w:rsid w:val="00EF70AE"/>
    <w:rsid w:val="00EF739E"/>
    <w:rsid w:val="00EF74F2"/>
    <w:rsid w:val="00EF75C6"/>
    <w:rsid w:val="00EF760A"/>
    <w:rsid w:val="00EF76C0"/>
    <w:rsid w:val="00EF76D0"/>
    <w:rsid w:val="00EF77DE"/>
    <w:rsid w:val="00EF78F2"/>
    <w:rsid w:val="00EF7B01"/>
    <w:rsid w:val="00EF7BF2"/>
    <w:rsid w:val="00EF7E74"/>
    <w:rsid w:val="00F0005D"/>
    <w:rsid w:val="00F0034E"/>
    <w:rsid w:val="00F00A6E"/>
    <w:rsid w:val="00F00DEE"/>
    <w:rsid w:val="00F00F64"/>
    <w:rsid w:val="00F01BB0"/>
    <w:rsid w:val="00F01F93"/>
    <w:rsid w:val="00F01FC6"/>
    <w:rsid w:val="00F0248C"/>
    <w:rsid w:val="00F02622"/>
    <w:rsid w:val="00F02632"/>
    <w:rsid w:val="00F02796"/>
    <w:rsid w:val="00F02C06"/>
    <w:rsid w:val="00F02CEF"/>
    <w:rsid w:val="00F02D19"/>
    <w:rsid w:val="00F03030"/>
    <w:rsid w:val="00F030BA"/>
    <w:rsid w:val="00F0314F"/>
    <w:rsid w:val="00F03396"/>
    <w:rsid w:val="00F03A11"/>
    <w:rsid w:val="00F0415D"/>
    <w:rsid w:val="00F04402"/>
    <w:rsid w:val="00F0447A"/>
    <w:rsid w:val="00F04628"/>
    <w:rsid w:val="00F049AB"/>
    <w:rsid w:val="00F04A56"/>
    <w:rsid w:val="00F04E81"/>
    <w:rsid w:val="00F04F3D"/>
    <w:rsid w:val="00F050D8"/>
    <w:rsid w:val="00F050DA"/>
    <w:rsid w:val="00F05344"/>
    <w:rsid w:val="00F05660"/>
    <w:rsid w:val="00F05A2F"/>
    <w:rsid w:val="00F05C9B"/>
    <w:rsid w:val="00F05CB7"/>
    <w:rsid w:val="00F05FE2"/>
    <w:rsid w:val="00F0605B"/>
    <w:rsid w:val="00F060C2"/>
    <w:rsid w:val="00F063B4"/>
    <w:rsid w:val="00F06AC6"/>
    <w:rsid w:val="00F06C6A"/>
    <w:rsid w:val="00F06CB0"/>
    <w:rsid w:val="00F06CC9"/>
    <w:rsid w:val="00F06D52"/>
    <w:rsid w:val="00F06EE5"/>
    <w:rsid w:val="00F070ED"/>
    <w:rsid w:val="00F076BF"/>
    <w:rsid w:val="00F0774E"/>
    <w:rsid w:val="00F0790E"/>
    <w:rsid w:val="00F07996"/>
    <w:rsid w:val="00F07B93"/>
    <w:rsid w:val="00F07D57"/>
    <w:rsid w:val="00F10107"/>
    <w:rsid w:val="00F10136"/>
    <w:rsid w:val="00F10618"/>
    <w:rsid w:val="00F10995"/>
    <w:rsid w:val="00F10B7A"/>
    <w:rsid w:val="00F10D51"/>
    <w:rsid w:val="00F10E6A"/>
    <w:rsid w:val="00F113B5"/>
    <w:rsid w:val="00F114B5"/>
    <w:rsid w:val="00F1198C"/>
    <w:rsid w:val="00F11B65"/>
    <w:rsid w:val="00F12185"/>
    <w:rsid w:val="00F1251E"/>
    <w:rsid w:val="00F126F8"/>
    <w:rsid w:val="00F12A5A"/>
    <w:rsid w:val="00F12B17"/>
    <w:rsid w:val="00F12DD5"/>
    <w:rsid w:val="00F12F68"/>
    <w:rsid w:val="00F1322E"/>
    <w:rsid w:val="00F13486"/>
    <w:rsid w:val="00F13DE4"/>
    <w:rsid w:val="00F145A4"/>
    <w:rsid w:val="00F145F1"/>
    <w:rsid w:val="00F146C5"/>
    <w:rsid w:val="00F14C33"/>
    <w:rsid w:val="00F15008"/>
    <w:rsid w:val="00F151CE"/>
    <w:rsid w:val="00F152BC"/>
    <w:rsid w:val="00F152D9"/>
    <w:rsid w:val="00F15419"/>
    <w:rsid w:val="00F1592C"/>
    <w:rsid w:val="00F15938"/>
    <w:rsid w:val="00F15D69"/>
    <w:rsid w:val="00F15F5F"/>
    <w:rsid w:val="00F16076"/>
    <w:rsid w:val="00F162B3"/>
    <w:rsid w:val="00F164F6"/>
    <w:rsid w:val="00F1664A"/>
    <w:rsid w:val="00F1676E"/>
    <w:rsid w:val="00F1697D"/>
    <w:rsid w:val="00F16B3B"/>
    <w:rsid w:val="00F16D28"/>
    <w:rsid w:val="00F16E7E"/>
    <w:rsid w:val="00F17080"/>
    <w:rsid w:val="00F173BF"/>
    <w:rsid w:val="00F1742E"/>
    <w:rsid w:val="00F17546"/>
    <w:rsid w:val="00F176A3"/>
    <w:rsid w:val="00F17764"/>
    <w:rsid w:val="00F178E4"/>
    <w:rsid w:val="00F20112"/>
    <w:rsid w:val="00F2012B"/>
    <w:rsid w:val="00F203A3"/>
    <w:rsid w:val="00F20453"/>
    <w:rsid w:val="00F20830"/>
    <w:rsid w:val="00F20CFB"/>
    <w:rsid w:val="00F20D9B"/>
    <w:rsid w:val="00F20FBF"/>
    <w:rsid w:val="00F21375"/>
    <w:rsid w:val="00F214CC"/>
    <w:rsid w:val="00F214D5"/>
    <w:rsid w:val="00F2174F"/>
    <w:rsid w:val="00F21907"/>
    <w:rsid w:val="00F21C55"/>
    <w:rsid w:val="00F21F89"/>
    <w:rsid w:val="00F2218B"/>
    <w:rsid w:val="00F22196"/>
    <w:rsid w:val="00F223FB"/>
    <w:rsid w:val="00F22593"/>
    <w:rsid w:val="00F225D9"/>
    <w:rsid w:val="00F22BB6"/>
    <w:rsid w:val="00F22FAE"/>
    <w:rsid w:val="00F2307E"/>
    <w:rsid w:val="00F23493"/>
    <w:rsid w:val="00F2362A"/>
    <w:rsid w:val="00F23700"/>
    <w:rsid w:val="00F238A4"/>
    <w:rsid w:val="00F239F5"/>
    <w:rsid w:val="00F24042"/>
    <w:rsid w:val="00F24105"/>
    <w:rsid w:val="00F24330"/>
    <w:rsid w:val="00F24765"/>
    <w:rsid w:val="00F24854"/>
    <w:rsid w:val="00F24B1E"/>
    <w:rsid w:val="00F24CDF"/>
    <w:rsid w:val="00F24DB8"/>
    <w:rsid w:val="00F2500A"/>
    <w:rsid w:val="00F2524C"/>
    <w:rsid w:val="00F256B3"/>
    <w:rsid w:val="00F25A17"/>
    <w:rsid w:val="00F25E28"/>
    <w:rsid w:val="00F2613C"/>
    <w:rsid w:val="00F265B9"/>
    <w:rsid w:val="00F26DC7"/>
    <w:rsid w:val="00F26E51"/>
    <w:rsid w:val="00F26FD4"/>
    <w:rsid w:val="00F27069"/>
    <w:rsid w:val="00F2726B"/>
    <w:rsid w:val="00F273CD"/>
    <w:rsid w:val="00F2746A"/>
    <w:rsid w:val="00F277F6"/>
    <w:rsid w:val="00F27895"/>
    <w:rsid w:val="00F2793D"/>
    <w:rsid w:val="00F27C6B"/>
    <w:rsid w:val="00F27CAA"/>
    <w:rsid w:val="00F27FC4"/>
    <w:rsid w:val="00F30290"/>
    <w:rsid w:val="00F30337"/>
    <w:rsid w:val="00F30383"/>
    <w:rsid w:val="00F30522"/>
    <w:rsid w:val="00F305F5"/>
    <w:rsid w:val="00F305F8"/>
    <w:rsid w:val="00F30C4C"/>
    <w:rsid w:val="00F30EB6"/>
    <w:rsid w:val="00F30EE3"/>
    <w:rsid w:val="00F310AB"/>
    <w:rsid w:val="00F312A7"/>
    <w:rsid w:val="00F313DE"/>
    <w:rsid w:val="00F31BB9"/>
    <w:rsid w:val="00F31DBC"/>
    <w:rsid w:val="00F32972"/>
    <w:rsid w:val="00F329BD"/>
    <w:rsid w:val="00F329C3"/>
    <w:rsid w:val="00F33125"/>
    <w:rsid w:val="00F332E8"/>
    <w:rsid w:val="00F337D0"/>
    <w:rsid w:val="00F33A4B"/>
    <w:rsid w:val="00F33D3A"/>
    <w:rsid w:val="00F33DEA"/>
    <w:rsid w:val="00F33DEC"/>
    <w:rsid w:val="00F33EB1"/>
    <w:rsid w:val="00F33F8F"/>
    <w:rsid w:val="00F34407"/>
    <w:rsid w:val="00F3478B"/>
    <w:rsid w:val="00F347E2"/>
    <w:rsid w:val="00F34A9D"/>
    <w:rsid w:val="00F34C88"/>
    <w:rsid w:val="00F34D58"/>
    <w:rsid w:val="00F34DE3"/>
    <w:rsid w:val="00F3517E"/>
    <w:rsid w:val="00F353BF"/>
    <w:rsid w:val="00F35772"/>
    <w:rsid w:val="00F35901"/>
    <w:rsid w:val="00F35AFF"/>
    <w:rsid w:val="00F35BE3"/>
    <w:rsid w:val="00F35DF6"/>
    <w:rsid w:val="00F35F4A"/>
    <w:rsid w:val="00F36002"/>
    <w:rsid w:val="00F3613F"/>
    <w:rsid w:val="00F36172"/>
    <w:rsid w:val="00F36269"/>
    <w:rsid w:val="00F36333"/>
    <w:rsid w:val="00F363E1"/>
    <w:rsid w:val="00F3640D"/>
    <w:rsid w:val="00F3663C"/>
    <w:rsid w:val="00F366BE"/>
    <w:rsid w:val="00F366CA"/>
    <w:rsid w:val="00F3673F"/>
    <w:rsid w:val="00F36922"/>
    <w:rsid w:val="00F36C00"/>
    <w:rsid w:val="00F36F49"/>
    <w:rsid w:val="00F3731F"/>
    <w:rsid w:val="00F37873"/>
    <w:rsid w:val="00F37A14"/>
    <w:rsid w:val="00F37A1C"/>
    <w:rsid w:val="00F37BB0"/>
    <w:rsid w:val="00F37D4D"/>
    <w:rsid w:val="00F37EBA"/>
    <w:rsid w:val="00F400A8"/>
    <w:rsid w:val="00F40973"/>
    <w:rsid w:val="00F409F1"/>
    <w:rsid w:val="00F40B3F"/>
    <w:rsid w:val="00F40C71"/>
    <w:rsid w:val="00F40E5B"/>
    <w:rsid w:val="00F40EFB"/>
    <w:rsid w:val="00F41235"/>
    <w:rsid w:val="00F4145A"/>
    <w:rsid w:val="00F41B20"/>
    <w:rsid w:val="00F41BDC"/>
    <w:rsid w:val="00F41C71"/>
    <w:rsid w:val="00F41C7E"/>
    <w:rsid w:val="00F423A2"/>
    <w:rsid w:val="00F424F3"/>
    <w:rsid w:val="00F425F0"/>
    <w:rsid w:val="00F42639"/>
    <w:rsid w:val="00F42A54"/>
    <w:rsid w:val="00F43148"/>
    <w:rsid w:val="00F431B6"/>
    <w:rsid w:val="00F43378"/>
    <w:rsid w:val="00F43BD5"/>
    <w:rsid w:val="00F43C60"/>
    <w:rsid w:val="00F43C66"/>
    <w:rsid w:val="00F43E79"/>
    <w:rsid w:val="00F4492F"/>
    <w:rsid w:val="00F44C37"/>
    <w:rsid w:val="00F44DEB"/>
    <w:rsid w:val="00F44F71"/>
    <w:rsid w:val="00F44FC2"/>
    <w:rsid w:val="00F450E3"/>
    <w:rsid w:val="00F450E9"/>
    <w:rsid w:val="00F452ED"/>
    <w:rsid w:val="00F4530A"/>
    <w:rsid w:val="00F45606"/>
    <w:rsid w:val="00F4567C"/>
    <w:rsid w:val="00F4590C"/>
    <w:rsid w:val="00F45B16"/>
    <w:rsid w:val="00F460D2"/>
    <w:rsid w:val="00F4621B"/>
    <w:rsid w:val="00F46244"/>
    <w:rsid w:val="00F4650D"/>
    <w:rsid w:val="00F46612"/>
    <w:rsid w:val="00F46CE8"/>
    <w:rsid w:val="00F46FA4"/>
    <w:rsid w:val="00F47085"/>
    <w:rsid w:val="00F470F5"/>
    <w:rsid w:val="00F47379"/>
    <w:rsid w:val="00F4792B"/>
    <w:rsid w:val="00F479B1"/>
    <w:rsid w:val="00F479D2"/>
    <w:rsid w:val="00F47B7B"/>
    <w:rsid w:val="00F50203"/>
    <w:rsid w:val="00F503FA"/>
    <w:rsid w:val="00F506C2"/>
    <w:rsid w:val="00F50782"/>
    <w:rsid w:val="00F50CB0"/>
    <w:rsid w:val="00F50DA0"/>
    <w:rsid w:val="00F50EFC"/>
    <w:rsid w:val="00F51596"/>
    <w:rsid w:val="00F51B96"/>
    <w:rsid w:val="00F51C2F"/>
    <w:rsid w:val="00F51CE6"/>
    <w:rsid w:val="00F51F07"/>
    <w:rsid w:val="00F52059"/>
    <w:rsid w:val="00F520EC"/>
    <w:rsid w:val="00F52254"/>
    <w:rsid w:val="00F52AE0"/>
    <w:rsid w:val="00F52EB5"/>
    <w:rsid w:val="00F5320F"/>
    <w:rsid w:val="00F53A3F"/>
    <w:rsid w:val="00F53AC5"/>
    <w:rsid w:val="00F53BFB"/>
    <w:rsid w:val="00F53C3C"/>
    <w:rsid w:val="00F53F87"/>
    <w:rsid w:val="00F53FA6"/>
    <w:rsid w:val="00F54045"/>
    <w:rsid w:val="00F5404E"/>
    <w:rsid w:val="00F54354"/>
    <w:rsid w:val="00F54823"/>
    <w:rsid w:val="00F54891"/>
    <w:rsid w:val="00F548C4"/>
    <w:rsid w:val="00F548DB"/>
    <w:rsid w:val="00F54A78"/>
    <w:rsid w:val="00F54FEB"/>
    <w:rsid w:val="00F551E1"/>
    <w:rsid w:val="00F55340"/>
    <w:rsid w:val="00F55479"/>
    <w:rsid w:val="00F557BF"/>
    <w:rsid w:val="00F55980"/>
    <w:rsid w:val="00F559DE"/>
    <w:rsid w:val="00F559F2"/>
    <w:rsid w:val="00F55AB8"/>
    <w:rsid w:val="00F55B66"/>
    <w:rsid w:val="00F55E30"/>
    <w:rsid w:val="00F5602E"/>
    <w:rsid w:val="00F561CC"/>
    <w:rsid w:val="00F56223"/>
    <w:rsid w:val="00F56591"/>
    <w:rsid w:val="00F568FC"/>
    <w:rsid w:val="00F56A1F"/>
    <w:rsid w:val="00F56DF4"/>
    <w:rsid w:val="00F56E98"/>
    <w:rsid w:val="00F56F0E"/>
    <w:rsid w:val="00F56F81"/>
    <w:rsid w:val="00F56FA2"/>
    <w:rsid w:val="00F57376"/>
    <w:rsid w:val="00F573F1"/>
    <w:rsid w:val="00F57B13"/>
    <w:rsid w:val="00F57CCF"/>
    <w:rsid w:val="00F57FE0"/>
    <w:rsid w:val="00F6015A"/>
    <w:rsid w:val="00F6074C"/>
    <w:rsid w:val="00F609E6"/>
    <w:rsid w:val="00F60C13"/>
    <w:rsid w:val="00F60C78"/>
    <w:rsid w:val="00F61029"/>
    <w:rsid w:val="00F611D6"/>
    <w:rsid w:val="00F61461"/>
    <w:rsid w:val="00F6150B"/>
    <w:rsid w:val="00F61626"/>
    <w:rsid w:val="00F6221D"/>
    <w:rsid w:val="00F62244"/>
    <w:rsid w:val="00F624BA"/>
    <w:rsid w:val="00F624C3"/>
    <w:rsid w:val="00F62661"/>
    <w:rsid w:val="00F6296B"/>
    <w:rsid w:val="00F6297B"/>
    <w:rsid w:val="00F62BAB"/>
    <w:rsid w:val="00F62CC3"/>
    <w:rsid w:val="00F640CC"/>
    <w:rsid w:val="00F641C6"/>
    <w:rsid w:val="00F641E0"/>
    <w:rsid w:val="00F644FB"/>
    <w:rsid w:val="00F64504"/>
    <w:rsid w:val="00F6453C"/>
    <w:rsid w:val="00F646CD"/>
    <w:rsid w:val="00F64CF2"/>
    <w:rsid w:val="00F64D0A"/>
    <w:rsid w:val="00F64E31"/>
    <w:rsid w:val="00F64F63"/>
    <w:rsid w:val="00F64FD2"/>
    <w:rsid w:val="00F65296"/>
    <w:rsid w:val="00F65361"/>
    <w:rsid w:val="00F65365"/>
    <w:rsid w:val="00F65658"/>
    <w:rsid w:val="00F657B6"/>
    <w:rsid w:val="00F65A5D"/>
    <w:rsid w:val="00F65BB4"/>
    <w:rsid w:val="00F65DFF"/>
    <w:rsid w:val="00F66063"/>
    <w:rsid w:val="00F66659"/>
    <w:rsid w:val="00F66AB6"/>
    <w:rsid w:val="00F66B1B"/>
    <w:rsid w:val="00F670EA"/>
    <w:rsid w:val="00F67D64"/>
    <w:rsid w:val="00F70165"/>
    <w:rsid w:val="00F703BB"/>
    <w:rsid w:val="00F70844"/>
    <w:rsid w:val="00F70891"/>
    <w:rsid w:val="00F71029"/>
    <w:rsid w:val="00F71160"/>
    <w:rsid w:val="00F711B7"/>
    <w:rsid w:val="00F7147E"/>
    <w:rsid w:val="00F71641"/>
    <w:rsid w:val="00F71938"/>
    <w:rsid w:val="00F7199A"/>
    <w:rsid w:val="00F71FD6"/>
    <w:rsid w:val="00F722F6"/>
    <w:rsid w:val="00F72521"/>
    <w:rsid w:val="00F725E6"/>
    <w:rsid w:val="00F727FE"/>
    <w:rsid w:val="00F72DDA"/>
    <w:rsid w:val="00F72EAB"/>
    <w:rsid w:val="00F72F67"/>
    <w:rsid w:val="00F7322E"/>
    <w:rsid w:val="00F73422"/>
    <w:rsid w:val="00F735A1"/>
    <w:rsid w:val="00F73600"/>
    <w:rsid w:val="00F7363B"/>
    <w:rsid w:val="00F736B1"/>
    <w:rsid w:val="00F7385F"/>
    <w:rsid w:val="00F73865"/>
    <w:rsid w:val="00F739E7"/>
    <w:rsid w:val="00F73B3C"/>
    <w:rsid w:val="00F73D03"/>
    <w:rsid w:val="00F73E8A"/>
    <w:rsid w:val="00F74093"/>
    <w:rsid w:val="00F74134"/>
    <w:rsid w:val="00F74404"/>
    <w:rsid w:val="00F74424"/>
    <w:rsid w:val="00F7447C"/>
    <w:rsid w:val="00F745EA"/>
    <w:rsid w:val="00F749F3"/>
    <w:rsid w:val="00F74A54"/>
    <w:rsid w:val="00F74AEA"/>
    <w:rsid w:val="00F74B27"/>
    <w:rsid w:val="00F74C87"/>
    <w:rsid w:val="00F74E26"/>
    <w:rsid w:val="00F74FFA"/>
    <w:rsid w:val="00F7500F"/>
    <w:rsid w:val="00F753E1"/>
    <w:rsid w:val="00F75601"/>
    <w:rsid w:val="00F7570E"/>
    <w:rsid w:val="00F75B03"/>
    <w:rsid w:val="00F75D87"/>
    <w:rsid w:val="00F75FEE"/>
    <w:rsid w:val="00F768AA"/>
    <w:rsid w:val="00F76A54"/>
    <w:rsid w:val="00F76A8D"/>
    <w:rsid w:val="00F76B30"/>
    <w:rsid w:val="00F770E0"/>
    <w:rsid w:val="00F77117"/>
    <w:rsid w:val="00F771CF"/>
    <w:rsid w:val="00F7721A"/>
    <w:rsid w:val="00F774D6"/>
    <w:rsid w:val="00F77512"/>
    <w:rsid w:val="00F775E4"/>
    <w:rsid w:val="00F777FD"/>
    <w:rsid w:val="00F77933"/>
    <w:rsid w:val="00F77B48"/>
    <w:rsid w:val="00F77BAF"/>
    <w:rsid w:val="00F77C50"/>
    <w:rsid w:val="00F8028C"/>
    <w:rsid w:val="00F805FF"/>
    <w:rsid w:val="00F8085A"/>
    <w:rsid w:val="00F80A2C"/>
    <w:rsid w:val="00F80AFC"/>
    <w:rsid w:val="00F80CDF"/>
    <w:rsid w:val="00F81315"/>
    <w:rsid w:val="00F81589"/>
    <w:rsid w:val="00F81787"/>
    <w:rsid w:val="00F817D7"/>
    <w:rsid w:val="00F819D9"/>
    <w:rsid w:val="00F81D70"/>
    <w:rsid w:val="00F81FBB"/>
    <w:rsid w:val="00F828DD"/>
    <w:rsid w:val="00F82BB2"/>
    <w:rsid w:val="00F82CBE"/>
    <w:rsid w:val="00F82D9B"/>
    <w:rsid w:val="00F830C0"/>
    <w:rsid w:val="00F830C4"/>
    <w:rsid w:val="00F830EA"/>
    <w:rsid w:val="00F83471"/>
    <w:rsid w:val="00F83592"/>
    <w:rsid w:val="00F8375B"/>
    <w:rsid w:val="00F83861"/>
    <w:rsid w:val="00F838C7"/>
    <w:rsid w:val="00F83901"/>
    <w:rsid w:val="00F8390C"/>
    <w:rsid w:val="00F839BE"/>
    <w:rsid w:val="00F839D6"/>
    <w:rsid w:val="00F83A87"/>
    <w:rsid w:val="00F84095"/>
    <w:rsid w:val="00F841DE"/>
    <w:rsid w:val="00F84203"/>
    <w:rsid w:val="00F84278"/>
    <w:rsid w:val="00F843EA"/>
    <w:rsid w:val="00F843F9"/>
    <w:rsid w:val="00F8456D"/>
    <w:rsid w:val="00F845BD"/>
    <w:rsid w:val="00F84A32"/>
    <w:rsid w:val="00F84FA7"/>
    <w:rsid w:val="00F85279"/>
    <w:rsid w:val="00F85626"/>
    <w:rsid w:val="00F85732"/>
    <w:rsid w:val="00F85A0E"/>
    <w:rsid w:val="00F85C54"/>
    <w:rsid w:val="00F85D78"/>
    <w:rsid w:val="00F85E72"/>
    <w:rsid w:val="00F86008"/>
    <w:rsid w:val="00F860E4"/>
    <w:rsid w:val="00F8639A"/>
    <w:rsid w:val="00F863E5"/>
    <w:rsid w:val="00F8667F"/>
    <w:rsid w:val="00F86915"/>
    <w:rsid w:val="00F86B2F"/>
    <w:rsid w:val="00F86C9C"/>
    <w:rsid w:val="00F86F43"/>
    <w:rsid w:val="00F870FB"/>
    <w:rsid w:val="00F871B8"/>
    <w:rsid w:val="00F87267"/>
    <w:rsid w:val="00F875D7"/>
    <w:rsid w:val="00F87CB3"/>
    <w:rsid w:val="00F87E4C"/>
    <w:rsid w:val="00F90199"/>
    <w:rsid w:val="00F9034A"/>
    <w:rsid w:val="00F90493"/>
    <w:rsid w:val="00F9053A"/>
    <w:rsid w:val="00F9063A"/>
    <w:rsid w:val="00F911E5"/>
    <w:rsid w:val="00F91358"/>
    <w:rsid w:val="00F91382"/>
    <w:rsid w:val="00F91579"/>
    <w:rsid w:val="00F91A49"/>
    <w:rsid w:val="00F91C4D"/>
    <w:rsid w:val="00F91CCA"/>
    <w:rsid w:val="00F91E1D"/>
    <w:rsid w:val="00F9233F"/>
    <w:rsid w:val="00F92360"/>
    <w:rsid w:val="00F925B5"/>
    <w:rsid w:val="00F92682"/>
    <w:rsid w:val="00F9278D"/>
    <w:rsid w:val="00F92BDA"/>
    <w:rsid w:val="00F92CEC"/>
    <w:rsid w:val="00F92D92"/>
    <w:rsid w:val="00F9318A"/>
    <w:rsid w:val="00F93732"/>
    <w:rsid w:val="00F93AE1"/>
    <w:rsid w:val="00F93D16"/>
    <w:rsid w:val="00F93D1B"/>
    <w:rsid w:val="00F940AF"/>
    <w:rsid w:val="00F9419F"/>
    <w:rsid w:val="00F943AC"/>
    <w:rsid w:val="00F946EB"/>
    <w:rsid w:val="00F9471D"/>
    <w:rsid w:val="00F94899"/>
    <w:rsid w:val="00F94BD7"/>
    <w:rsid w:val="00F94C5D"/>
    <w:rsid w:val="00F95063"/>
    <w:rsid w:val="00F950AE"/>
    <w:rsid w:val="00F95360"/>
    <w:rsid w:val="00F9571D"/>
    <w:rsid w:val="00F95924"/>
    <w:rsid w:val="00F959A5"/>
    <w:rsid w:val="00F95A32"/>
    <w:rsid w:val="00F95C11"/>
    <w:rsid w:val="00F95EC7"/>
    <w:rsid w:val="00F96098"/>
    <w:rsid w:val="00F964C1"/>
    <w:rsid w:val="00F967C2"/>
    <w:rsid w:val="00F9691D"/>
    <w:rsid w:val="00F96993"/>
    <w:rsid w:val="00F969AC"/>
    <w:rsid w:val="00F96D77"/>
    <w:rsid w:val="00F96D96"/>
    <w:rsid w:val="00F96F10"/>
    <w:rsid w:val="00F96FAF"/>
    <w:rsid w:val="00F97272"/>
    <w:rsid w:val="00F9731F"/>
    <w:rsid w:val="00F9742B"/>
    <w:rsid w:val="00F9785D"/>
    <w:rsid w:val="00F97A71"/>
    <w:rsid w:val="00F97AFB"/>
    <w:rsid w:val="00F97D2B"/>
    <w:rsid w:val="00FA0054"/>
    <w:rsid w:val="00FA06A3"/>
    <w:rsid w:val="00FA13E9"/>
    <w:rsid w:val="00FA13EA"/>
    <w:rsid w:val="00FA14BE"/>
    <w:rsid w:val="00FA1712"/>
    <w:rsid w:val="00FA17C9"/>
    <w:rsid w:val="00FA1C85"/>
    <w:rsid w:val="00FA2242"/>
    <w:rsid w:val="00FA2B91"/>
    <w:rsid w:val="00FA2BDF"/>
    <w:rsid w:val="00FA2C34"/>
    <w:rsid w:val="00FA2EE6"/>
    <w:rsid w:val="00FA2F2C"/>
    <w:rsid w:val="00FA2FE5"/>
    <w:rsid w:val="00FA3108"/>
    <w:rsid w:val="00FA3298"/>
    <w:rsid w:val="00FA36A9"/>
    <w:rsid w:val="00FA3836"/>
    <w:rsid w:val="00FA3990"/>
    <w:rsid w:val="00FA39D6"/>
    <w:rsid w:val="00FA3A51"/>
    <w:rsid w:val="00FA3A58"/>
    <w:rsid w:val="00FA3DED"/>
    <w:rsid w:val="00FA3E30"/>
    <w:rsid w:val="00FA42AE"/>
    <w:rsid w:val="00FA47FC"/>
    <w:rsid w:val="00FA4896"/>
    <w:rsid w:val="00FA4C40"/>
    <w:rsid w:val="00FA4F21"/>
    <w:rsid w:val="00FA5689"/>
    <w:rsid w:val="00FA57EE"/>
    <w:rsid w:val="00FA5926"/>
    <w:rsid w:val="00FA5A9C"/>
    <w:rsid w:val="00FA5B65"/>
    <w:rsid w:val="00FA5CE7"/>
    <w:rsid w:val="00FA5D0F"/>
    <w:rsid w:val="00FA5D94"/>
    <w:rsid w:val="00FA5DB0"/>
    <w:rsid w:val="00FA5F72"/>
    <w:rsid w:val="00FA6337"/>
    <w:rsid w:val="00FA67DB"/>
    <w:rsid w:val="00FA6907"/>
    <w:rsid w:val="00FA718A"/>
    <w:rsid w:val="00FA71F6"/>
    <w:rsid w:val="00FA751C"/>
    <w:rsid w:val="00FA765A"/>
    <w:rsid w:val="00FA7671"/>
    <w:rsid w:val="00FA76AD"/>
    <w:rsid w:val="00FA7C18"/>
    <w:rsid w:val="00FA7D1D"/>
    <w:rsid w:val="00FA7DA1"/>
    <w:rsid w:val="00FB00BB"/>
    <w:rsid w:val="00FB0380"/>
    <w:rsid w:val="00FB0734"/>
    <w:rsid w:val="00FB0979"/>
    <w:rsid w:val="00FB09DC"/>
    <w:rsid w:val="00FB0A78"/>
    <w:rsid w:val="00FB0B8E"/>
    <w:rsid w:val="00FB0D7E"/>
    <w:rsid w:val="00FB0DFC"/>
    <w:rsid w:val="00FB0E41"/>
    <w:rsid w:val="00FB0E6B"/>
    <w:rsid w:val="00FB15B7"/>
    <w:rsid w:val="00FB183C"/>
    <w:rsid w:val="00FB18D7"/>
    <w:rsid w:val="00FB19A4"/>
    <w:rsid w:val="00FB1A91"/>
    <w:rsid w:val="00FB1ECE"/>
    <w:rsid w:val="00FB1F2A"/>
    <w:rsid w:val="00FB2462"/>
    <w:rsid w:val="00FB25C3"/>
    <w:rsid w:val="00FB2A2C"/>
    <w:rsid w:val="00FB2C09"/>
    <w:rsid w:val="00FB2E08"/>
    <w:rsid w:val="00FB2EEA"/>
    <w:rsid w:val="00FB2EEF"/>
    <w:rsid w:val="00FB3185"/>
    <w:rsid w:val="00FB31C6"/>
    <w:rsid w:val="00FB328A"/>
    <w:rsid w:val="00FB3388"/>
    <w:rsid w:val="00FB34FD"/>
    <w:rsid w:val="00FB3631"/>
    <w:rsid w:val="00FB363E"/>
    <w:rsid w:val="00FB39F3"/>
    <w:rsid w:val="00FB3A61"/>
    <w:rsid w:val="00FB3C6F"/>
    <w:rsid w:val="00FB3DC8"/>
    <w:rsid w:val="00FB3F54"/>
    <w:rsid w:val="00FB4055"/>
    <w:rsid w:val="00FB4167"/>
    <w:rsid w:val="00FB4261"/>
    <w:rsid w:val="00FB4409"/>
    <w:rsid w:val="00FB46C3"/>
    <w:rsid w:val="00FB4DB3"/>
    <w:rsid w:val="00FB4E1D"/>
    <w:rsid w:val="00FB4F92"/>
    <w:rsid w:val="00FB50EE"/>
    <w:rsid w:val="00FB538D"/>
    <w:rsid w:val="00FB54D8"/>
    <w:rsid w:val="00FB5696"/>
    <w:rsid w:val="00FB56ED"/>
    <w:rsid w:val="00FB599C"/>
    <w:rsid w:val="00FB59DB"/>
    <w:rsid w:val="00FB5A78"/>
    <w:rsid w:val="00FB5B12"/>
    <w:rsid w:val="00FB5B5F"/>
    <w:rsid w:val="00FB6420"/>
    <w:rsid w:val="00FB64D6"/>
    <w:rsid w:val="00FB6808"/>
    <w:rsid w:val="00FB6ACA"/>
    <w:rsid w:val="00FB7048"/>
    <w:rsid w:val="00FB7064"/>
    <w:rsid w:val="00FB70C8"/>
    <w:rsid w:val="00FB7104"/>
    <w:rsid w:val="00FB71BC"/>
    <w:rsid w:val="00FB72D4"/>
    <w:rsid w:val="00FB74A2"/>
    <w:rsid w:val="00FB7697"/>
    <w:rsid w:val="00FB79E7"/>
    <w:rsid w:val="00FB7BB9"/>
    <w:rsid w:val="00FB7BE5"/>
    <w:rsid w:val="00FC028E"/>
    <w:rsid w:val="00FC039A"/>
    <w:rsid w:val="00FC0484"/>
    <w:rsid w:val="00FC05CB"/>
    <w:rsid w:val="00FC0600"/>
    <w:rsid w:val="00FC073D"/>
    <w:rsid w:val="00FC09C2"/>
    <w:rsid w:val="00FC09EE"/>
    <w:rsid w:val="00FC0D2D"/>
    <w:rsid w:val="00FC0D64"/>
    <w:rsid w:val="00FC0FAC"/>
    <w:rsid w:val="00FC11F5"/>
    <w:rsid w:val="00FC1776"/>
    <w:rsid w:val="00FC1EEA"/>
    <w:rsid w:val="00FC205C"/>
    <w:rsid w:val="00FC22D4"/>
    <w:rsid w:val="00FC241C"/>
    <w:rsid w:val="00FC2449"/>
    <w:rsid w:val="00FC247F"/>
    <w:rsid w:val="00FC2505"/>
    <w:rsid w:val="00FC256E"/>
    <w:rsid w:val="00FC265C"/>
    <w:rsid w:val="00FC2884"/>
    <w:rsid w:val="00FC29C5"/>
    <w:rsid w:val="00FC2DA8"/>
    <w:rsid w:val="00FC2E3B"/>
    <w:rsid w:val="00FC3616"/>
    <w:rsid w:val="00FC3B86"/>
    <w:rsid w:val="00FC3BD4"/>
    <w:rsid w:val="00FC3C85"/>
    <w:rsid w:val="00FC3DD9"/>
    <w:rsid w:val="00FC3F73"/>
    <w:rsid w:val="00FC4903"/>
    <w:rsid w:val="00FC4991"/>
    <w:rsid w:val="00FC4A05"/>
    <w:rsid w:val="00FC4A70"/>
    <w:rsid w:val="00FC4AEA"/>
    <w:rsid w:val="00FC4B6E"/>
    <w:rsid w:val="00FC50B9"/>
    <w:rsid w:val="00FC5360"/>
    <w:rsid w:val="00FC5A70"/>
    <w:rsid w:val="00FC5AA4"/>
    <w:rsid w:val="00FC5BF6"/>
    <w:rsid w:val="00FC5CF7"/>
    <w:rsid w:val="00FC5D78"/>
    <w:rsid w:val="00FC5E74"/>
    <w:rsid w:val="00FC60D6"/>
    <w:rsid w:val="00FC62CB"/>
    <w:rsid w:val="00FC6322"/>
    <w:rsid w:val="00FC63F1"/>
    <w:rsid w:val="00FC64D5"/>
    <w:rsid w:val="00FC67C8"/>
    <w:rsid w:val="00FC67F3"/>
    <w:rsid w:val="00FC69F7"/>
    <w:rsid w:val="00FC6C04"/>
    <w:rsid w:val="00FC6C7E"/>
    <w:rsid w:val="00FC6D47"/>
    <w:rsid w:val="00FC6EF2"/>
    <w:rsid w:val="00FC71F7"/>
    <w:rsid w:val="00FC7637"/>
    <w:rsid w:val="00FC7D0E"/>
    <w:rsid w:val="00FD0543"/>
    <w:rsid w:val="00FD096B"/>
    <w:rsid w:val="00FD0B45"/>
    <w:rsid w:val="00FD0F30"/>
    <w:rsid w:val="00FD13CB"/>
    <w:rsid w:val="00FD172E"/>
    <w:rsid w:val="00FD1734"/>
    <w:rsid w:val="00FD17F7"/>
    <w:rsid w:val="00FD193F"/>
    <w:rsid w:val="00FD1B5F"/>
    <w:rsid w:val="00FD1CB4"/>
    <w:rsid w:val="00FD1EC0"/>
    <w:rsid w:val="00FD20E8"/>
    <w:rsid w:val="00FD229E"/>
    <w:rsid w:val="00FD236A"/>
    <w:rsid w:val="00FD23BF"/>
    <w:rsid w:val="00FD24A8"/>
    <w:rsid w:val="00FD318D"/>
    <w:rsid w:val="00FD3295"/>
    <w:rsid w:val="00FD3349"/>
    <w:rsid w:val="00FD33B0"/>
    <w:rsid w:val="00FD361F"/>
    <w:rsid w:val="00FD380E"/>
    <w:rsid w:val="00FD3882"/>
    <w:rsid w:val="00FD391D"/>
    <w:rsid w:val="00FD397F"/>
    <w:rsid w:val="00FD3E4C"/>
    <w:rsid w:val="00FD3F8E"/>
    <w:rsid w:val="00FD4106"/>
    <w:rsid w:val="00FD4136"/>
    <w:rsid w:val="00FD45A7"/>
    <w:rsid w:val="00FD45DE"/>
    <w:rsid w:val="00FD47F8"/>
    <w:rsid w:val="00FD4E0C"/>
    <w:rsid w:val="00FD51FE"/>
    <w:rsid w:val="00FD530A"/>
    <w:rsid w:val="00FD5739"/>
    <w:rsid w:val="00FD58A3"/>
    <w:rsid w:val="00FD5E64"/>
    <w:rsid w:val="00FD6261"/>
    <w:rsid w:val="00FD66B2"/>
    <w:rsid w:val="00FD6761"/>
    <w:rsid w:val="00FD6833"/>
    <w:rsid w:val="00FD6A2C"/>
    <w:rsid w:val="00FD6ADF"/>
    <w:rsid w:val="00FD6CC6"/>
    <w:rsid w:val="00FD6E55"/>
    <w:rsid w:val="00FD7053"/>
    <w:rsid w:val="00FD750B"/>
    <w:rsid w:val="00FD7841"/>
    <w:rsid w:val="00FD7874"/>
    <w:rsid w:val="00FD7A6E"/>
    <w:rsid w:val="00FD7BD6"/>
    <w:rsid w:val="00FD7C90"/>
    <w:rsid w:val="00FD7EA3"/>
    <w:rsid w:val="00FE00B4"/>
    <w:rsid w:val="00FE021C"/>
    <w:rsid w:val="00FE0292"/>
    <w:rsid w:val="00FE04E7"/>
    <w:rsid w:val="00FE0748"/>
    <w:rsid w:val="00FE0858"/>
    <w:rsid w:val="00FE08C6"/>
    <w:rsid w:val="00FE0A1D"/>
    <w:rsid w:val="00FE0A71"/>
    <w:rsid w:val="00FE12B9"/>
    <w:rsid w:val="00FE14CB"/>
    <w:rsid w:val="00FE1575"/>
    <w:rsid w:val="00FE157C"/>
    <w:rsid w:val="00FE16D4"/>
    <w:rsid w:val="00FE17F6"/>
    <w:rsid w:val="00FE1AA2"/>
    <w:rsid w:val="00FE1ADE"/>
    <w:rsid w:val="00FE21CC"/>
    <w:rsid w:val="00FE26FB"/>
    <w:rsid w:val="00FE2715"/>
    <w:rsid w:val="00FE2B24"/>
    <w:rsid w:val="00FE2CCD"/>
    <w:rsid w:val="00FE2DEA"/>
    <w:rsid w:val="00FE308F"/>
    <w:rsid w:val="00FE32D5"/>
    <w:rsid w:val="00FE34E1"/>
    <w:rsid w:val="00FE3648"/>
    <w:rsid w:val="00FE36FF"/>
    <w:rsid w:val="00FE37AC"/>
    <w:rsid w:val="00FE399D"/>
    <w:rsid w:val="00FE3B89"/>
    <w:rsid w:val="00FE3D83"/>
    <w:rsid w:val="00FE3E6E"/>
    <w:rsid w:val="00FE4210"/>
    <w:rsid w:val="00FE429F"/>
    <w:rsid w:val="00FE4455"/>
    <w:rsid w:val="00FE4597"/>
    <w:rsid w:val="00FE4910"/>
    <w:rsid w:val="00FE507D"/>
    <w:rsid w:val="00FE55F6"/>
    <w:rsid w:val="00FE5857"/>
    <w:rsid w:val="00FE58ED"/>
    <w:rsid w:val="00FE5900"/>
    <w:rsid w:val="00FE59B4"/>
    <w:rsid w:val="00FE5E65"/>
    <w:rsid w:val="00FE5E72"/>
    <w:rsid w:val="00FE5EC6"/>
    <w:rsid w:val="00FE5F32"/>
    <w:rsid w:val="00FE60E4"/>
    <w:rsid w:val="00FE6AA0"/>
    <w:rsid w:val="00FE6AA6"/>
    <w:rsid w:val="00FE73EF"/>
    <w:rsid w:val="00FE7512"/>
    <w:rsid w:val="00FE79EF"/>
    <w:rsid w:val="00FE7C09"/>
    <w:rsid w:val="00FE7D31"/>
    <w:rsid w:val="00FE7DFF"/>
    <w:rsid w:val="00FE7E79"/>
    <w:rsid w:val="00FF0042"/>
    <w:rsid w:val="00FF04F0"/>
    <w:rsid w:val="00FF0721"/>
    <w:rsid w:val="00FF0B2B"/>
    <w:rsid w:val="00FF0F11"/>
    <w:rsid w:val="00FF0FB1"/>
    <w:rsid w:val="00FF13B5"/>
    <w:rsid w:val="00FF14AA"/>
    <w:rsid w:val="00FF15B2"/>
    <w:rsid w:val="00FF19D0"/>
    <w:rsid w:val="00FF1A1E"/>
    <w:rsid w:val="00FF22FE"/>
    <w:rsid w:val="00FF25B5"/>
    <w:rsid w:val="00FF2798"/>
    <w:rsid w:val="00FF28D4"/>
    <w:rsid w:val="00FF2986"/>
    <w:rsid w:val="00FF2B49"/>
    <w:rsid w:val="00FF2E18"/>
    <w:rsid w:val="00FF2E3E"/>
    <w:rsid w:val="00FF2FF4"/>
    <w:rsid w:val="00FF32B4"/>
    <w:rsid w:val="00FF33C8"/>
    <w:rsid w:val="00FF33DF"/>
    <w:rsid w:val="00FF3565"/>
    <w:rsid w:val="00FF413F"/>
    <w:rsid w:val="00FF4322"/>
    <w:rsid w:val="00FF4FF8"/>
    <w:rsid w:val="00FF50AD"/>
    <w:rsid w:val="00FF5131"/>
    <w:rsid w:val="00FF538E"/>
    <w:rsid w:val="00FF54C3"/>
    <w:rsid w:val="00FF5581"/>
    <w:rsid w:val="00FF564E"/>
    <w:rsid w:val="00FF5692"/>
    <w:rsid w:val="00FF584D"/>
    <w:rsid w:val="00FF5CB9"/>
    <w:rsid w:val="00FF5CFB"/>
    <w:rsid w:val="00FF5D36"/>
    <w:rsid w:val="00FF5DCA"/>
    <w:rsid w:val="00FF5F5A"/>
    <w:rsid w:val="00FF6040"/>
    <w:rsid w:val="00FF605E"/>
    <w:rsid w:val="00FF60B6"/>
    <w:rsid w:val="00FF66C0"/>
    <w:rsid w:val="00FF6BA2"/>
    <w:rsid w:val="00FF6C30"/>
    <w:rsid w:val="00FF6E08"/>
    <w:rsid w:val="00FF6EFB"/>
    <w:rsid w:val="00FF6F64"/>
    <w:rsid w:val="00FF792B"/>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o:shapelayout v:ext="edit">
      <o:idmap v:ext="edit" data="1"/>
    </o:shapelayout>
  </w:shapeDefaults>
  <w:decimalSymbol w:val=","/>
  <w:listSeparator w:val=";"/>
  <w14:docId w14:val="586AA4C9"/>
  <w15:docId w15:val="{6F0436BE-4CF6-4EA8-9A06-0C079990FD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1F04C5"/>
    <w:pPr>
      <w:spacing w:after="200"/>
      <w:jc w:val="both"/>
    </w:pPr>
    <w:rPr>
      <w:rFonts w:ascii="Tahoma" w:hAnsi="Tahoma"/>
      <w:szCs w:val="24"/>
    </w:rPr>
  </w:style>
  <w:style w:type="paragraph" w:styleId="Nadpis1">
    <w:name w:val="heading 1"/>
    <w:basedOn w:val="Normln"/>
    <w:next w:val="Normln"/>
    <w:link w:val="Nadpis1Char"/>
    <w:uiPriority w:val="9"/>
    <w:qFormat/>
    <w:rsid w:val="003E25B7"/>
    <w:pPr>
      <w:keepNext/>
      <w:tabs>
        <w:tab w:val="num" w:pos="624"/>
      </w:tabs>
      <w:ind w:left="624" w:hanging="624"/>
      <w:outlineLvl w:val="0"/>
    </w:pPr>
    <w:rPr>
      <w:b/>
      <w:bCs/>
      <w:sz w:val="32"/>
    </w:rPr>
  </w:style>
  <w:style w:type="paragraph" w:styleId="Nadpis2">
    <w:name w:val="heading 2"/>
    <w:basedOn w:val="Normln"/>
    <w:next w:val="Normln"/>
    <w:link w:val="Nadpis2Char"/>
    <w:uiPriority w:val="9"/>
    <w:qFormat/>
    <w:rsid w:val="00094480"/>
    <w:pPr>
      <w:keepNext/>
      <w:tabs>
        <w:tab w:val="num" w:pos="624"/>
      </w:tabs>
      <w:spacing w:before="360" w:after="240"/>
      <w:ind w:left="624" w:hanging="624"/>
      <w:outlineLvl w:val="1"/>
    </w:pPr>
    <w:rPr>
      <w:b/>
      <w:sz w:val="28"/>
      <w:u w:val="single"/>
    </w:rPr>
  </w:style>
  <w:style w:type="paragraph" w:styleId="Nadpis3">
    <w:name w:val="heading 3"/>
    <w:basedOn w:val="Normln"/>
    <w:next w:val="Normln"/>
    <w:link w:val="Nadpis3Char"/>
    <w:uiPriority w:val="9"/>
    <w:qFormat/>
    <w:rsid w:val="001459D6"/>
    <w:pPr>
      <w:keepNext/>
      <w:tabs>
        <w:tab w:val="num" w:pos="720"/>
      </w:tabs>
      <w:spacing w:before="400"/>
      <w:outlineLvl w:val="2"/>
    </w:pPr>
    <w:rPr>
      <w:b/>
      <w:sz w:val="22"/>
    </w:rPr>
  </w:style>
  <w:style w:type="paragraph" w:styleId="Nadpis4">
    <w:name w:val="heading 4"/>
    <w:basedOn w:val="Normln"/>
    <w:next w:val="Normln"/>
    <w:link w:val="Nadpis4Char"/>
    <w:uiPriority w:val="9"/>
    <w:qFormat/>
    <w:rsid w:val="00D034F8"/>
    <w:pPr>
      <w:keepNext/>
      <w:numPr>
        <w:numId w:val="1"/>
      </w:numPr>
      <w:tabs>
        <w:tab w:val="clear" w:pos="1080"/>
        <w:tab w:val="num" w:pos="720"/>
      </w:tabs>
      <w:ind w:hanging="1080"/>
      <w:outlineLvl w:val="3"/>
    </w:pPr>
    <w:rPr>
      <w:b/>
      <w:bCs/>
      <w:sz w:val="28"/>
    </w:rPr>
  </w:style>
  <w:style w:type="paragraph" w:styleId="Nadpis5">
    <w:name w:val="heading 5"/>
    <w:basedOn w:val="Normln"/>
    <w:next w:val="Normln"/>
    <w:link w:val="Nadpis5Char"/>
    <w:uiPriority w:val="9"/>
    <w:qFormat/>
    <w:rsid w:val="001459D6"/>
    <w:pPr>
      <w:keepNext/>
      <w:tabs>
        <w:tab w:val="num" w:pos="720"/>
      </w:tabs>
      <w:outlineLvl w:val="4"/>
    </w:pPr>
    <w:rPr>
      <w:i/>
      <w:u w:val="single"/>
    </w:rPr>
  </w:style>
  <w:style w:type="paragraph" w:styleId="Nadpis6">
    <w:name w:val="heading 6"/>
    <w:basedOn w:val="Normln"/>
    <w:next w:val="Normln"/>
    <w:link w:val="Nadpis6Char"/>
    <w:uiPriority w:val="9"/>
    <w:qFormat/>
    <w:rsid w:val="00D034F8"/>
    <w:pPr>
      <w:keepNext/>
      <w:outlineLvl w:val="5"/>
    </w:pPr>
    <w:rPr>
      <w:b/>
      <w:bCs/>
      <w:sz w:val="28"/>
    </w:rPr>
  </w:style>
  <w:style w:type="paragraph" w:styleId="Nadpis7">
    <w:name w:val="heading 7"/>
    <w:basedOn w:val="Normln"/>
    <w:next w:val="Normln"/>
    <w:link w:val="Nadpis7Char"/>
    <w:uiPriority w:val="9"/>
    <w:qFormat/>
    <w:rsid w:val="00D034F8"/>
    <w:pPr>
      <w:keepNext/>
      <w:jc w:val="center"/>
      <w:outlineLvl w:val="6"/>
    </w:pPr>
    <w:rPr>
      <w:sz w:val="28"/>
    </w:rPr>
  </w:style>
  <w:style w:type="paragraph" w:styleId="Nadpis8">
    <w:name w:val="heading 8"/>
    <w:basedOn w:val="Normln"/>
    <w:next w:val="Normln"/>
    <w:link w:val="Nadpis8Char"/>
    <w:uiPriority w:val="9"/>
    <w:qFormat/>
    <w:rsid w:val="00D034F8"/>
    <w:pPr>
      <w:keepNext/>
      <w:tabs>
        <w:tab w:val="num" w:pos="0"/>
      </w:tabs>
      <w:outlineLvl w:val="7"/>
    </w:pPr>
    <w:rPr>
      <w:sz w:val="28"/>
    </w:rPr>
  </w:style>
  <w:style w:type="paragraph" w:styleId="Nadpis9">
    <w:name w:val="heading 9"/>
    <w:basedOn w:val="Normln"/>
    <w:next w:val="Normln"/>
    <w:link w:val="Nadpis9Char"/>
    <w:uiPriority w:val="9"/>
    <w:qFormat/>
    <w:rsid w:val="00D034F8"/>
    <w:pPr>
      <w:keepNext/>
      <w:jc w:val="center"/>
      <w:outlineLvl w:val="8"/>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uiPriority w:val="9"/>
    <w:rsid w:val="003E25B7"/>
    <w:rPr>
      <w:rFonts w:ascii="Tahoma" w:hAnsi="Tahoma"/>
      <w:b/>
      <w:bCs/>
      <w:sz w:val="32"/>
      <w:szCs w:val="24"/>
    </w:rPr>
  </w:style>
  <w:style w:type="character" w:customStyle="1" w:styleId="Nadpis2Char">
    <w:name w:val="Nadpis 2 Char"/>
    <w:link w:val="Nadpis2"/>
    <w:uiPriority w:val="9"/>
    <w:rsid w:val="00094480"/>
    <w:rPr>
      <w:rFonts w:ascii="Tahoma" w:hAnsi="Tahoma"/>
      <w:b/>
      <w:sz w:val="28"/>
      <w:szCs w:val="24"/>
      <w:u w:val="single"/>
    </w:rPr>
  </w:style>
  <w:style w:type="character" w:customStyle="1" w:styleId="Nadpis3Char">
    <w:name w:val="Nadpis 3 Char"/>
    <w:link w:val="Nadpis3"/>
    <w:uiPriority w:val="9"/>
    <w:rsid w:val="001459D6"/>
    <w:rPr>
      <w:rFonts w:ascii="Tahoma" w:hAnsi="Tahoma"/>
      <w:b/>
      <w:sz w:val="22"/>
      <w:szCs w:val="24"/>
    </w:rPr>
  </w:style>
  <w:style w:type="character" w:customStyle="1" w:styleId="Nadpis4Char">
    <w:name w:val="Nadpis 4 Char"/>
    <w:link w:val="Nadpis4"/>
    <w:uiPriority w:val="9"/>
    <w:rsid w:val="00E96998"/>
    <w:rPr>
      <w:b/>
      <w:bCs/>
      <w:sz w:val="28"/>
      <w:szCs w:val="24"/>
    </w:rPr>
  </w:style>
  <w:style w:type="character" w:customStyle="1" w:styleId="Nadpis5Char">
    <w:name w:val="Nadpis 5 Char"/>
    <w:link w:val="Nadpis5"/>
    <w:uiPriority w:val="9"/>
    <w:rsid w:val="001459D6"/>
    <w:rPr>
      <w:rFonts w:ascii="Tahoma" w:hAnsi="Tahoma"/>
      <w:i/>
      <w:szCs w:val="24"/>
      <w:u w:val="single"/>
    </w:rPr>
  </w:style>
  <w:style w:type="character" w:customStyle="1" w:styleId="Nadpis6Char">
    <w:name w:val="Nadpis 6 Char"/>
    <w:link w:val="Nadpis6"/>
    <w:uiPriority w:val="9"/>
    <w:semiHidden/>
    <w:rsid w:val="00E96998"/>
    <w:rPr>
      <w:rFonts w:ascii="Calibri" w:eastAsia="Times New Roman" w:hAnsi="Calibri" w:cs="Times New Roman"/>
      <w:b/>
      <w:bCs/>
      <w:sz w:val="22"/>
      <w:szCs w:val="22"/>
    </w:rPr>
  </w:style>
  <w:style w:type="character" w:customStyle="1" w:styleId="Nadpis7Char">
    <w:name w:val="Nadpis 7 Char"/>
    <w:link w:val="Nadpis7"/>
    <w:uiPriority w:val="9"/>
    <w:semiHidden/>
    <w:rsid w:val="00E96998"/>
    <w:rPr>
      <w:rFonts w:ascii="Calibri" w:eastAsia="Times New Roman" w:hAnsi="Calibri" w:cs="Times New Roman"/>
      <w:sz w:val="24"/>
      <w:szCs w:val="24"/>
    </w:rPr>
  </w:style>
  <w:style w:type="character" w:customStyle="1" w:styleId="Nadpis8Char">
    <w:name w:val="Nadpis 8 Char"/>
    <w:link w:val="Nadpis8"/>
    <w:uiPriority w:val="9"/>
    <w:semiHidden/>
    <w:rsid w:val="00E96998"/>
    <w:rPr>
      <w:rFonts w:ascii="Calibri" w:eastAsia="Times New Roman" w:hAnsi="Calibri" w:cs="Times New Roman"/>
      <w:i/>
      <w:iCs/>
      <w:sz w:val="24"/>
      <w:szCs w:val="24"/>
    </w:rPr>
  </w:style>
  <w:style w:type="character" w:customStyle="1" w:styleId="Nadpis9Char">
    <w:name w:val="Nadpis 9 Char"/>
    <w:link w:val="Nadpis9"/>
    <w:uiPriority w:val="9"/>
    <w:semiHidden/>
    <w:rsid w:val="00E96998"/>
    <w:rPr>
      <w:rFonts w:ascii="Cambria" w:eastAsia="Times New Roman" w:hAnsi="Cambria" w:cs="Times New Roman"/>
      <w:sz w:val="22"/>
      <w:szCs w:val="22"/>
    </w:rPr>
  </w:style>
  <w:style w:type="paragraph" w:styleId="Zkladntext">
    <w:name w:val="Body Text"/>
    <w:aliases w:val="Char,subtitle2,Základní tZákladní text,Mgr. Rudolf Krejčík,Mgr. Rudolf Krejeík,Standard paragraph, Char,Body Text"/>
    <w:basedOn w:val="Normln"/>
    <w:link w:val="ZkladntextChar"/>
    <w:rsid w:val="00044D18"/>
    <w:pPr>
      <w:tabs>
        <w:tab w:val="num" w:pos="720"/>
      </w:tabs>
      <w:spacing w:before="120"/>
    </w:pPr>
    <w:rPr>
      <w:sz w:val="28"/>
    </w:rPr>
  </w:style>
  <w:style w:type="character" w:customStyle="1" w:styleId="BodyTextChar">
    <w:name w:val="Body Text Char"/>
    <w:aliases w:val="Char Char,subtitle2 Char,Základní tZákladní text Char,Mgr. Rudolf Krejčík Char,Mgr. Rudolf Krejeík Char,Standard paragraph Char"/>
    <w:uiPriority w:val="99"/>
    <w:semiHidden/>
    <w:rsid w:val="00E96998"/>
    <w:rPr>
      <w:sz w:val="24"/>
      <w:szCs w:val="24"/>
    </w:rPr>
  </w:style>
  <w:style w:type="paragraph" w:styleId="Zkladntext2">
    <w:name w:val="Body Text 2"/>
    <w:basedOn w:val="Normln"/>
    <w:link w:val="Zkladntext2Char"/>
    <w:uiPriority w:val="99"/>
    <w:rsid w:val="00D034F8"/>
    <w:rPr>
      <w:sz w:val="28"/>
    </w:rPr>
  </w:style>
  <w:style w:type="character" w:customStyle="1" w:styleId="Zkladntext2Char">
    <w:name w:val="Základní text 2 Char"/>
    <w:link w:val="Zkladntext2"/>
    <w:uiPriority w:val="99"/>
    <w:semiHidden/>
    <w:rsid w:val="00E96998"/>
    <w:rPr>
      <w:sz w:val="24"/>
      <w:szCs w:val="24"/>
    </w:rPr>
  </w:style>
  <w:style w:type="paragraph" w:styleId="Zkladntextodsazen2">
    <w:name w:val="Body Text Indent 2"/>
    <w:basedOn w:val="Normln"/>
    <w:link w:val="Zkladntextodsazen2Char"/>
    <w:uiPriority w:val="99"/>
    <w:rsid w:val="00D034F8"/>
    <w:pPr>
      <w:ind w:left="360"/>
    </w:pPr>
    <w:rPr>
      <w:sz w:val="28"/>
    </w:rPr>
  </w:style>
  <w:style w:type="character" w:customStyle="1" w:styleId="Zkladntextodsazen2Char">
    <w:name w:val="Základní text odsazený 2 Char"/>
    <w:link w:val="Zkladntextodsazen2"/>
    <w:uiPriority w:val="99"/>
    <w:semiHidden/>
    <w:rsid w:val="00E96998"/>
    <w:rPr>
      <w:sz w:val="24"/>
      <w:szCs w:val="24"/>
    </w:rPr>
  </w:style>
  <w:style w:type="paragraph" w:styleId="Zkladntext3">
    <w:name w:val="Body Text 3"/>
    <w:basedOn w:val="Normln"/>
    <w:link w:val="Zkladntext3Char"/>
    <w:rsid w:val="00D034F8"/>
    <w:rPr>
      <w:color w:val="FF0000"/>
      <w:sz w:val="28"/>
    </w:rPr>
  </w:style>
  <w:style w:type="character" w:customStyle="1" w:styleId="Zkladntext3Char">
    <w:name w:val="Základní text 3 Char"/>
    <w:link w:val="Zkladntext3"/>
    <w:rsid w:val="00E96998"/>
    <w:rPr>
      <w:sz w:val="16"/>
      <w:szCs w:val="16"/>
    </w:rPr>
  </w:style>
  <w:style w:type="paragraph" w:styleId="Podnadpis">
    <w:name w:val="Subtitle"/>
    <w:basedOn w:val="Normln"/>
    <w:link w:val="PodnadpisChar"/>
    <w:uiPriority w:val="11"/>
    <w:qFormat/>
    <w:rsid w:val="00D034F8"/>
    <w:rPr>
      <w:b/>
      <w:bCs/>
    </w:rPr>
  </w:style>
  <w:style w:type="character" w:customStyle="1" w:styleId="PodnadpisChar">
    <w:name w:val="Podnadpis Char"/>
    <w:link w:val="Podnadpis"/>
    <w:uiPriority w:val="11"/>
    <w:rsid w:val="00E96998"/>
    <w:rPr>
      <w:rFonts w:ascii="Cambria" w:eastAsia="Times New Roman" w:hAnsi="Cambria" w:cs="Times New Roman"/>
      <w:sz w:val="24"/>
      <w:szCs w:val="24"/>
    </w:rPr>
  </w:style>
  <w:style w:type="paragraph" w:styleId="Zpat">
    <w:name w:val="footer"/>
    <w:basedOn w:val="Normln"/>
    <w:link w:val="ZpatChar"/>
    <w:uiPriority w:val="99"/>
    <w:rsid w:val="00D034F8"/>
    <w:pPr>
      <w:tabs>
        <w:tab w:val="center" w:pos="4536"/>
        <w:tab w:val="right" w:pos="9072"/>
      </w:tabs>
    </w:pPr>
  </w:style>
  <w:style w:type="character" w:customStyle="1" w:styleId="ZpatChar">
    <w:name w:val="Zápatí Char"/>
    <w:link w:val="Zpat"/>
    <w:uiPriority w:val="99"/>
    <w:rsid w:val="00E96998"/>
    <w:rPr>
      <w:sz w:val="24"/>
      <w:szCs w:val="24"/>
    </w:rPr>
  </w:style>
  <w:style w:type="character" w:styleId="slostrnky">
    <w:name w:val="page number"/>
    <w:uiPriority w:val="99"/>
    <w:rsid w:val="00D034F8"/>
    <w:rPr>
      <w:rFonts w:cs="Times New Roman"/>
    </w:rPr>
  </w:style>
  <w:style w:type="paragraph" w:styleId="Zhlav">
    <w:name w:val="header"/>
    <w:basedOn w:val="Normln"/>
    <w:link w:val="ZhlavChar"/>
    <w:uiPriority w:val="99"/>
    <w:rsid w:val="00D034F8"/>
    <w:pPr>
      <w:tabs>
        <w:tab w:val="center" w:pos="4536"/>
        <w:tab w:val="right" w:pos="9072"/>
      </w:tabs>
    </w:pPr>
  </w:style>
  <w:style w:type="character" w:customStyle="1" w:styleId="ZhlavChar">
    <w:name w:val="Záhlaví Char"/>
    <w:link w:val="Zhlav"/>
    <w:uiPriority w:val="99"/>
    <w:semiHidden/>
    <w:rsid w:val="00E96998"/>
    <w:rPr>
      <w:sz w:val="24"/>
      <w:szCs w:val="24"/>
    </w:rPr>
  </w:style>
  <w:style w:type="paragraph" w:styleId="Zkladntextodsazen">
    <w:name w:val="Body Text Indent"/>
    <w:basedOn w:val="Normln"/>
    <w:link w:val="ZkladntextodsazenChar"/>
    <w:uiPriority w:val="99"/>
    <w:rsid w:val="00D034F8"/>
    <w:pPr>
      <w:ind w:firstLine="540"/>
    </w:pPr>
    <w:rPr>
      <w:sz w:val="28"/>
    </w:rPr>
  </w:style>
  <w:style w:type="character" w:customStyle="1" w:styleId="ZkladntextodsazenChar">
    <w:name w:val="Základní text odsazený Char"/>
    <w:link w:val="Zkladntextodsazen"/>
    <w:uiPriority w:val="99"/>
    <w:semiHidden/>
    <w:rsid w:val="00E96998"/>
    <w:rPr>
      <w:sz w:val="24"/>
      <w:szCs w:val="24"/>
    </w:rPr>
  </w:style>
  <w:style w:type="paragraph" w:styleId="Zkladntextodsazen3">
    <w:name w:val="Body Text Indent 3"/>
    <w:basedOn w:val="Normln"/>
    <w:link w:val="Zkladntextodsazen3Char"/>
    <w:uiPriority w:val="99"/>
    <w:rsid w:val="00D034F8"/>
    <w:pPr>
      <w:tabs>
        <w:tab w:val="num" w:pos="0"/>
      </w:tabs>
      <w:ind w:right="-110" w:firstLine="540"/>
    </w:pPr>
    <w:rPr>
      <w:sz w:val="28"/>
    </w:rPr>
  </w:style>
  <w:style w:type="character" w:customStyle="1" w:styleId="Zkladntextodsazen3Char">
    <w:name w:val="Základní text odsazený 3 Char"/>
    <w:link w:val="Zkladntextodsazen3"/>
    <w:uiPriority w:val="99"/>
    <w:semiHidden/>
    <w:rsid w:val="00E96998"/>
    <w:rPr>
      <w:sz w:val="16"/>
      <w:szCs w:val="16"/>
    </w:rPr>
  </w:style>
  <w:style w:type="paragraph" w:styleId="Textbubliny">
    <w:name w:val="Balloon Text"/>
    <w:basedOn w:val="Normln"/>
    <w:link w:val="TextbublinyChar"/>
    <w:uiPriority w:val="99"/>
    <w:semiHidden/>
    <w:rsid w:val="00480DB2"/>
    <w:rPr>
      <w:rFonts w:cs="Tahoma"/>
      <w:sz w:val="16"/>
      <w:szCs w:val="16"/>
    </w:rPr>
  </w:style>
  <w:style w:type="character" w:customStyle="1" w:styleId="TextbublinyChar">
    <w:name w:val="Text bubliny Char"/>
    <w:link w:val="Textbubliny"/>
    <w:uiPriority w:val="99"/>
    <w:semiHidden/>
    <w:rsid w:val="00E96998"/>
    <w:rPr>
      <w:sz w:val="0"/>
      <w:szCs w:val="0"/>
    </w:rPr>
  </w:style>
  <w:style w:type="character" w:customStyle="1" w:styleId="ZkladntextChar">
    <w:name w:val="Základní text Char"/>
    <w:aliases w:val="Char Char1,subtitle2 Char1,Základní tZákladní text Char1,Mgr. Rudolf Krejčík Char1,Mgr. Rudolf Krejeík Char1,Standard paragraph Char1, Char Char,Body Text Char1"/>
    <w:link w:val="Zkladntext"/>
    <w:locked/>
    <w:rsid w:val="002C1B5A"/>
    <w:rPr>
      <w:sz w:val="24"/>
      <w:lang w:val="cs-CZ" w:eastAsia="cs-CZ"/>
    </w:rPr>
  </w:style>
  <w:style w:type="character" w:styleId="Odkaznakoment">
    <w:name w:val="annotation reference"/>
    <w:uiPriority w:val="99"/>
    <w:semiHidden/>
    <w:rsid w:val="006570AA"/>
    <w:rPr>
      <w:sz w:val="16"/>
    </w:rPr>
  </w:style>
  <w:style w:type="paragraph" w:styleId="Textkomente">
    <w:name w:val="annotation text"/>
    <w:basedOn w:val="Normln"/>
    <w:link w:val="TextkomenteChar"/>
    <w:uiPriority w:val="99"/>
    <w:semiHidden/>
    <w:rsid w:val="006570AA"/>
    <w:rPr>
      <w:szCs w:val="20"/>
    </w:rPr>
  </w:style>
  <w:style w:type="character" w:customStyle="1" w:styleId="TextkomenteChar">
    <w:name w:val="Text komentáře Char"/>
    <w:basedOn w:val="Standardnpsmoodstavce"/>
    <w:link w:val="Textkomente"/>
    <w:uiPriority w:val="99"/>
    <w:semiHidden/>
    <w:rsid w:val="00E96998"/>
  </w:style>
  <w:style w:type="paragraph" w:styleId="Pedmtkomente">
    <w:name w:val="annotation subject"/>
    <w:basedOn w:val="Textkomente"/>
    <w:next w:val="Textkomente"/>
    <w:link w:val="PedmtkomenteChar"/>
    <w:uiPriority w:val="99"/>
    <w:semiHidden/>
    <w:rsid w:val="006570AA"/>
    <w:rPr>
      <w:b/>
      <w:bCs/>
    </w:rPr>
  </w:style>
  <w:style w:type="character" w:customStyle="1" w:styleId="PedmtkomenteChar">
    <w:name w:val="Předmět komentáře Char"/>
    <w:link w:val="Pedmtkomente"/>
    <w:uiPriority w:val="99"/>
    <w:semiHidden/>
    <w:rsid w:val="00E96998"/>
    <w:rPr>
      <w:b/>
      <w:bCs/>
    </w:rPr>
  </w:style>
  <w:style w:type="character" w:styleId="Hypertextovodkaz">
    <w:name w:val="Hyperlink"/>
    <w:uiPriority w:val="99"/>
    <w:rsid w:val="00253C04"/>
    <w:rPr>
      <w:color w:val="0000FF"/>
      <w:u w:val="single"/>
    </w:rPr>
  </w:style>
  <w:style w:type="character" w:customStyle="1" w:styleId="CharChar3">
    <w:name w:val="Char Char3"/>
    <w:rsid w:val="00B535CE"/>
    <w:rPr>
      <w:sz w:val="24"/>
      <w:lang w:val="cs-CZ" w:eastAsia="cs-CZ"/>
    </w:rPr>
  </w:style>
  <w:style w:type="character" w:styleId="Sledovanodkaz">
    <w:name w:val="FollowedHyperlink"/>
    <w:uiPriority w:val="99"/>
    <w:rsid w:val="0010171E"/>
    <w:rPr>
      <w:color w:val="800080"/>
      <w:u w:val="single"/>
    </w:rPr>
  </w:style>
  <w:style w:type="paragraph" w:customStyle="1" w:styleId="KUMS-adresa">
    <w:name w:val="KUMS-adresa"/>
    <w:basedOn w:val="Normln"/>
    <w:rsid w:val="00264ACB"/>
    <w:pPr>
      <w:spacing w:line="280" w:lineRule="exact"/>
    </w:pPr>
    <w:rPr>
      <w:rFonts w:cs="Tahoma"/>
      <w:noProof/>
      <w:szCs w:val="20"/>
    </w:rPr>
  </w:style>
  <w:style w:type="paragraph" w:styleId="Seznamsodrkami">
    <w:name w:val="List Bullet"/>
    <w:basedOn w:val="Normln"/>
    <w:autoRedefine/>
    <w:uiPriority w:val="99"/>
    <w:rsid w:val="006B3498"/>
    <w:pPr>
      <w:numPr>
        <w:numId w:val="2"/>
      </w:numPr>
    </w:pPr>
  </w:style>
  <w:style w:type="paragraph" w:styleId="Seznamsodrkami2">
    <w:name w:val="List Bullet 2"/>
    <w:basedOn w:val="Normln"/>
    <w:autoRedefine/>
    <w:uiPriority w:val="99"/>
    <w:rsid w:val="006B3498"/>
    <w:pPr>
      <w:numPr>
        <w:numId w:val="3"/>
      </w:numPr>
    </w:pPr>
  </w:style>
  <w:style w:type="paragraph" w:customStyle="1" w:styleId="xl33">
    <w:name w:val="xl33"/>
    <w:basedOn w:val="Normln"/>
    <w:rsid w:val="008842FC"/>
    <w:pPr>
      <w:spacing w:before="100" w:beforeAutospacing="1" w:after="100" w:afterAutospacing="1"/>
      <w:textAlignment w:val="top"/>
    </w:pPr>
    <w:rPr>
      <w:b/>
      <w:bCs/>
      <w:sz w:val="28"/>
      <w:szCs w:val="28"/>
    </w:rPr>
  </w:style>
  <w:style w:type="paragraph" w:styleId="FormtovanvHTML">
    <w:name w:val="HTML Preformatted"/>
    <w:basedOn w:val="Normln"/>
    <w:link w:val="FormtovanvHTMLChar"/>
    <w:uiPriority w:val="99"/>
    <w:rsid w:val="00F40E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FormtovanvHTMLChar">
    <w:name w:val="Formátovaný v HTML Char"/>
    <w:link w:val="FormtovanvHTML"/>
    <w:uiPriority w:val="99"/>
    <w:locked/>
    <w:rsid w:val="00364838"/>
    <w:rPr>
      <w:rFonts w:ascii="Courier New" w:hAnsi="Courier New"/>
    </w:rPr>
  </w:style>
  <w:style w:type="table" w:styleId="Mkatabulky">
    <w:name w:val="Table Grid"/>
    <w:basedOn w:val="Normlntabulka"/>
    <w:uiPriority w:val="39"/>
    <w:rsid w:val="008F5F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jtext">
    <w:name w:val="Můj text"/>
    <w:basedOn w:val="Normln"/>
    <w:link w:val="MjtextChar"/>
    <w:rsid w:val="006D679A"/>
    <w:pPr>
      <w:spacing w:before="120" w:after="240"/>
    </w:pPr>
    <w:rPr>
      <w:rFonts w:cs="Tahoma"/>
    </w:rPr>
  </w:style>
  <w:style w:type="character" w:customStyle="1" w:styleId="MjtextChar">
    <w:name w:val="Můj text Char"/>
    <w:link w:val="Mjtext"/>
    <w:locked/>
    <w:rsid w:val="006D679A"/>
    <w:rPr>
      <w:rFonts w:ascii="Tahoma" w:hAnsi="Tahoma"/>
      <w:sz w:val="24"/>
      <w:lang w:val="cs-CZ" w:eastAsia="cs-CZ"/>
    </w:rPr>
  </w:style>
  <w:style w:type="paragraph" w:customStyle="1" w:styleId="Styltab">
    <w:name w:val="Styl tab."/>
    <w:basedOn w:val="Normln"/>
    <w:next w:val="Normln"/>
    <w:link w:val="StyltabChar"/>
    <w:autoRedefine/>
    <w:qFormat/>
    <w:rsid w:val="00CE0C49"/>
    <w:pPr>
      <w:keepNext/>
      <w:numPr>
        <w:numId w:val="31"/>
      </w:numPr>
      <w:tabs>
        <w:tab w:val="right" w:pos="9072"/>
      </w:tabs>
      <w:spacing w:before="240" w:after="240"/>
      <w:ind w:left="0" w:firstLine="0"/>
      <w:jc w:val="left"/>
      <w:outlineLvl w:val="1"/>
    </w:pPr>
    <w:rPr>
      <w:rFonts w:cs="Tahoma"/>
      <w:bCs/>
      <w:szCs w:val="20"/>
    </w:rPr>
  </w:style>
  <w:style w:type="paragraph" w:customStyle="1" w:styleId="CharChar2">
    <w:name w:val="Char Char2"/>
    <w:basedOn w:val="Normln"/>
    <w:rsid w:val="00D33380"/>
    <w:pPr>
      <w:spacing w:after="160" w:line="240" w:lineRule="exact"/>
    </w:pPr>
    <w:rPr>
      <w:rFonts w:ascii="Times New Roman Bold" w:hAnsi="Times New Roman Bold"/>
      <w:sz w:val="22"/>
      <w:szCs w:val="26"/>
      <w:lang w:val="sk-SK" w:eastAsia="en-US"/>
    </w:rPr>
  </w:style>
  <w:style w:type="paragraph" w:customStyle="1" w:styleId="Char4CharCharCharCharCharCharCharCharChar">
    <w:name w:val="Char4 Char Char Char Char Char Char Char Char Char"/>
    <w:basedOn w:val="Normln"/>
    <w:rsid w:val="00E33163"/>
    <w:pPr>
      <w:spacing w:after="160" w:line="240" w:lineRule="exact"/>
    </w:pPr>
    <w:rPr>
      <w:rFonts w:ascii="Times New Roman Bold" w:hAnsi="Times New Roman Bold"/>
      <w:sz w:val="22"/>
      <w:szCs w:val="26"/>
      <w:lang w:val="sk-SK" w:eastAsia="en-US"/>
    </w:rPr>
  </w:style>
  <w:style w:type="character" w:styleId="Siln">
    <w:name w:val="Strong"/>
    <w:uiPriority w:val="22"/>
    <w:qFormat/>
    <w:rsid w:val="00816A38"/>
    <w:rPr>
      <w:b/>
    </w:rPr>
  </w:style>
  <w:style w:type="paragraph" w:customStyle="1" w:styleId="CharChar8CharCharCharCharCharCharCharCharCharCharCharCharCharCharCharCharCharCharCharCharCharCharCharCharCharCharCharCharCharCharCharCharCharCharCharCharChar">
    <w:name w:val="Char Char8 Char Char Char Char Char Char Char Char Char Char Char Char Char Char Char Char Char Char Char Char Char Char Char Char Char Char Char Char Char Char Char Char Char Char Char Char Char"/>
    <w:basedOn w:val="Normln"/>
    <w:rsid w:val="005A3F16"/>
    <w:pPr>
      <w:spacing w:after="160" w:line="240" w:lineRule="exact"/>
    </w:pPr>
    <w:rPr>
      <w:rFonts w:ascii="Verdana" w:hAnsi="Verdana"/>
      <w:szCs w:val="20"/>
      <w:lang w:val="en-US" w:eastAsia="en-US"/>
    </w:rPr>
  </w:style>
  <w:style w:type="paragraph" w:customStyle="1" w:styleId="CharChar20">
    <w:name w:val="Char Char2"/>
    <w:basedOn w:val="Normln"/>
    <w:rsid w:val="004C1A5B"/>
    <w:pPr>
      <w:spacing w:after="160" w:line="240" w:lineRule="exact"/>
    </w:pPr>
    <w:rPr>
      <w:rFonts w:ascii="Times New Roman Bold" w:hAnsi="Times New Roman Bold"/>
      <w:sz w:val="22"/>
      <w:szCs w:val="26"/>
      <w:lang w:val="sk-SK" w:eastAsia="en-US"/>
    </w:rPr>
  </w:style>
  <w:style w:type="paragraph" w:customStyle="1" w:styleId="CharChar21">
    <w:name w:val="Char Char2"/>
    <w:basedOn w:val="Normln"/>
    <w:rsid w:val="0081338B"/>
    <w:pPr>
      <w:spacing w:after="160" w:line="240" w:lineRule="exact"/>
    </w:pPr>
    <w:rPr>
      <w:rFonts w:ascii="Times New Roman Bold" w:hAnsi="Times New Roman Bold"/>
      <w:sz w:val="22"/>
      <w:szCs w:val="26"/>
      <w:lang w:val="sk-SK" w:eastAsia="en-US"/>
    </w:rPr>
  </w:style>
  <w:style w:type="paragraph" w:customStyle="1" w:styleId="CharChar22">
    <w:name w:val="Char Char2"/>
    <w:basedOn w:val="Normln"/>
    <w:rsid w:val="003B080A"/>
    <w:pPr>
      <w:spacing w:after="160" w:line="240" w:lineRule="exact"/>
    </w:pPr>
    <w:rPr>
      <w:rFonts w:ascii="Times New Roman Bold" w:hAnsi="Times New Roman Bold"/>
      <w:sz w:val="22"/>
      <w:szCs w:val="26"/>
      <w:lang w:val="sk-SK" w:eastAsia="en-US"/>
    </w:rPr>
  </w:style>
  <w:style w:type="paragraph" w:customStyle="1" w:styleId="CharChar23">
    <w:name w:val="Char Char2"/>
    <w:basedOn w:val="Normln"/>
    <w:rsid w:val="00CA7EB2"/>
    <w:pPr>
      <w:spacing w:after="160" w:line="240" w:lineRule="exact"/>
    </w:pPr>
    <w:rPr>
      <w:rFonts w:ascii="Times New Roman Bold" w:hAnsi="Times New Roman Bold"/>
      <w:sz w:val="22"/>
      <w:szCs w:val="26"/>
      <w:lang w:val="sk-SK" w:eastAsia="en-US"/>
    </w:rPr>
  </w:style>
  <w:style w:type="paragraph" w:customStyle="1" w:styleId="CharChar24">
    <w:name w:val="Char Char2"/>
    <w:basedOn w:val="Normln"/>
    <w:rsid w:val="00D76307"/>
    <w:pPr>
      <w:spacing w:after="160" w:line="240" w:lineRule="exact"/>
    </w:pPr>
    <w:rPr>
      <w:rFonts w:ascii="Times New Roman Bold" w:hAnsi="Times New Roman Bold"/>
      <w:sz w:val="22"/>
      <w:szCs w:val="26"/>
      <w:lang w:val="sk-SK" w:eastAsia="en-US"/>
    </w:rPr>
  </w:style>
  <w:style w:type="paragraph" w:customStyle="1" w:styleId="CharChar25">
    <w:name w:val="Char Char2"/>
    <w:basedOn w:val="Normln"/>
    <w:rsid w:val="00D9338A"/>
    <w:pPr>
      <w:spacing w:after="160" w:line="240" w:lineRule="exact"/>
    </w:pPr>
    <w:rPr>
      <w:rFonts w:ascii="Times New Roman Bold" w:hAnsi="Times New Roman Bold"/>
      <w:sz w:val="22"/>
      <w:szCs w:val="26"/>
      <w:lang w:val="sk-SK" w:eastAsia="en-US"/>
    </w:rPr>
  </w:style>
  <w:style w:type="character" w:customStyle="1" w:styleId="StyltabChar">
    <w:name w:val="Styl tab. Char"/>
    <w:link w:val="Styltab"/>
    <w:rsid w:val="00CE0C49"/>
    <w:rPr>
      <w:rFonts w:ascii="Tahoma" w:hAnsi="Tahoma" w:cs="Tahoma"/>
      <w:bCs/>
    </w:rPr>
  </w:style>
  <w:style w:type="paragraph" w:customStyle="1" w:styleId="CharChar26">
    <w:name w:val="Char Char2"/>
    <w:basedOn w:val="Normln"/>
    <w:rsid w:val="00961FA5"/>
    <w:pPr>
      <w:spacing w:after="160" w:line="240" w:lineRule="exact"/>
    </w:pPr>
    <w:rPr>
      <w:rFonts w:ascii="Times New Roman Bold" w:hAnsi="Times New Roman Bold"/>
      <w:sz w:val="22"/>
      <w:szCs w:val="26"/>
      <w:lang w:val="sk-SK" w:eastAsia="en-US"/>
    </w:rPr>
  </w:style>
  <w:style w:type="paragraph" w:styleId="Odstavecseseznamem">
    <w:name w:val="List Paragraph"/>
    <w:basedOn w:val="Normln"/>
    <w:uiPriority w:val="34"/>
    <w:qFormat/>
    <w:rsid w:val="009D5102"/>
    <w:pPr>
      <w:ind w:left="720"/>
      <w:contextualSpacing/>
    </w:pPr>
  </w:style>
  <w:style w:type="paragraph" w:customStyle="1" w:styleId="KUMS-text">
    <w:name w:val="KUMS-text"/>
    <w:basedOn w:val="Normln"/>
    <w:rsid w:val="009049BB"/>
    <w:pPr>
      <w:spacing w:after="280" w:line="280" w:lineRule="exact"/>
    </w:pPr>
    <w:rPr>
      <w:rFonts w:eastAsia="Calibri" w:cs="Tahoma"/>
      <w:szCs w:val="20"/>
    </w:rPr>
  </w:style>
  <w:style w:type="paragraph" w:customStyle="1" w:styleId="MSKNormal">
    <w:name w:val="MSK_Normal"/>
    <w:basedOn w:val="Normln"/>
    <w:link w:val="MSKNormalChar"/>
    <w:qFormat/>
    <w:rsid w:val="007871B8"/>
    <w:rPr>
      <w:rFonts w:eastAsia="Calibri"/>
    </w:rPr>
  </w:style>
  <w:style w:type="character" w:styleId="Zdraznnjemn">
    <w:name w:val="Subtle Emphasis"/>
    <w:aliases w:val="Graf"/>
    <w:basedOn w:val="StyltabChar"/>
    <w:uiPriority w:val="19"/>
    <w:qFormat/>
    <w:rsid w:val="001F04C5"/>
    <w:rPr>
      <w:rFonts w:ascii="Tahoma" w:hAnsi="Tahoma" w:cs="Tahoma"/>
      <w:bCs/>
      <w:i w:val="0"/>
      <w:iCs/>
      <w:color w:val="404040" w:themeColor="text1" w:themeTint="BF"/>
      <w:sz w:val="20"/>
    </w:rPr>
  </w:style>
  <w:style w:type="paragraph" w:styleId="Normlnweb">
    <w:name w:val="Normal (Web)"/>
    <w:basedOn w:val="Normln"/>
    <w:uiPriority w:val="99"/>
    <w:unhideWhenUsed/>
    <w:rsid w:val="003A0D2C"/>
    <w:pPr>
      <w:spacing w:after="150"/>
      <w:jc w:val="left"/>
      <w:textAlignment w:val="top"/>
    </w:pPr>
    <w:rPr>
      <w:rFonts w:ascii="Times New Roman" w:hAnsi="Times New Roman"/>
      <w:sz w:val="24"/>
    </w:rPr>
  </w:style>
  <w:style w:type="paragraph" w:customStyle="1" w:styleId="MSKNavrhusneseniZacatek">
    <w:name w:val="MSK_Navrh usneseni_Zacatek"/>
    <w:basedOn w:val="MSKNormal"/>
    <w:next w:val="MSKNormal"/>
    <w:qFormat/>
    <w:rsid w:val="009D40F2"/>
    <w:pPr>
      <w:numPr>
        <w:numId w:val="27"/>
      </w:numPr>
      <w:spacing w:after="0"/>
    </w:pPr>
    <w:rPr>
      <w:sz w:val="24"/>
    </w:rPr>
  </w:style>
  <w:style w:type="paragraph" w:customStyle="1" w:styleId="MSKDoplnek">
    <w:name w:val="MSK_Doplnek"/>
    <w:basedOn w:val="MSKNormal"/>
    <w:next w:val="MSKNormal"/>
    <w:qFormat/>
    <w:rsid w:val="009D40F2"/>
    <w:pPr>
      <w:numPr>
        <w:ilvl w:val="1"/>
        <w:numId w:val="27"/>
      </w:numPr>
      <w:spacing w:after="0"/>
    </w:pPr>
    <w:rPr>
      <w:sz w:val="24"/>
    </w:rPr>
  </w:style>
  <w:style w:type="character" w:customStyle="1" w:styleId="MSKNormalChar">
    <w:name w:val="MSK_Normal Char"/>
    <w:basedOn w:val="Standardnpsmoodstavce"/>
    <w:link w:val="MSKNormal"/>
    <w:rsid w:val="009D40F2"/>
    <w:rPr>
      <w:rFonts w:ascii="Tahoma" w:eastAsia="Calibri" w:hAnsi="Tahom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9647689">
      <w:bodyDiv w:val="1"/>
      <w:marLeft w:val="0"/>
      <w:marRight w:val="0"/>
      <w:marTop w:val="0"/>
      <w:marBottom w:val="0"/>
      <w:divBdr>
        <w:top w:val="none" w:sz="0" w:space="0" w:color="auto"/>
        <w:left w:val="none" w:sz="0" w:space="0" w:color="auto"/>
        <w:bottom w:val="none" w:sz="0" w:space="0" w:color="auto"/>
        <w:right w:val="none" w:sz="0" w:space="0" w:color="auto"/>
      </w:divBdr>
      <w:divsChild>
        <w:div w:id="1034772507">
          <w:marLeft w:val="0"/>
          <w:marRight w:val="0"/>
          <w:marTop w:val="0"/>
          <w:marBottom w:val="0"/>
          <w:divBdr>
            <w:top w:val="none" w:sz="0" w:space="0" w:color="auto"/>
            <w:left w:val="none" w:sz="0" w:space="0" w:color="auto"/>
            <w:bottom w:val="none" w:sz="0" w:space="0" w:color="auto"/>
            <w:right w:val="none" w:sz="0" w:space="0" w:color="auto"/>
          </w:divBdr>
          <w:divsChild>
            <w:div w:id="1144002920">
              <w:marLeft w:val="0"/>
              <w:marRight w:val="0"/>
              <w:marTop w:val="0"/>
              <w:marBottom w:val="0"/>
              <w:divBdr>
                <w:top w:val="none" w:sz="0" w:space="0" w:color="auto"/>
                <w:left w:val="none" w:sz="0" w:space="0" w:color="auto"/>
                <w:bottom w:val="none" w:sz="0" w:space="0" w:color="auto"/>
                <w:right w:val="none" w:sz="0" w:space="0" w:color="auto"/>
              </w:divBdr>
              <w:divsChild>
                <w:div w:id="1747847327">
                  <w:marLeft w:val="0"/>
                  <w:marRight w:val="0"/>
                  <w:marTop w:val="0"/>
                  <w:marBottom w:val="0"/>
                  <w:divBdr>
                    <w:top w:val="none" w:sz="0" w:space="0" w:color="auto"/>
                    <w:left w:val="none" w:sz="0" w:space="0" w:color="auto"/>
                    <w:bottom w:val="none" w:sz="0" w:space="0" w:color="auto"/>
                    <w:right w:val="none" w:sz="0" w:space="0" w:color="auto"/>
                  </w:divBdr>
                  <w:divsChild>
                    <w:div w:id="653142809">
                      <w:marLeft w:val="0"/>
                      <w:marRight w:val="0"/>
                      <w:marTop w:val="0"/>
                      <w:marBottom w:val="0"/>
                      <w:divBdr>
                        <w:top w:val="none" w:sz="0" w:space="0" w:color="auto"/>
                        <w:left w:val="none" w:sz="0" w:space="0" w:color="auto"/>
                        <w:bottom w:val="none" w:sz="0" w:space="0" w:color="auto"/>
                        <w:right w:val="none" w:sz="0" w:space="0" w:color="auto"/>
                      </w:divBdr>
                      <w:divsChild>
                        <w:div w:id="1639724851">
                          <w:marLeft w:val="0"/>
                          <w:marRight w:val="0"/>
                          <w:marTop w:val="0"/>
                          <w:marBottom w:val="0"/>
                          <w:divBdr>
                            <w:top w:val="none" w:sz="0" w:space="0" w:color="auto"/>
                            <w:left w:val="none" w:sz="0" w:space="0" w:color="auto"/>
                            <w:bottom w:val="none" w:sz="0" w:space="0" w:color="auto"/>
                            <w:right w:val="none" w:sz="0" w:space="0" w:color="auto"/>
                          </w:divBdr>
                          <w:divsChild>
                            <w:div w:id="784353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452334">
      <w:bodyDiv w:val="1"/>
      <w:marLeft w:val="0"/>
      <w:marRight w:val="0"/>
      <w:marTop w:val="0"/>
      <w:marBottom w:val="0"/>
      <w:divBdr>
        <w:top w:val="none" w:sz="0" w:space="0" w:color="auto"/>
        <w:left w:val="none" w:sz="0" w:space="0" w:color="auto"/>
        <w:bottom w:val="none" w:sz="0" w:space="0" w:color="auto"/>
        <w:right w:val="none" w:sz="0" w:space="0" w:color="auto"/>
      </w:divBdr>
    </w:div>
    <w:div w:id="60639902">
      <w:bodyDiv w:val="1"/>
      <w:marLeft w:val="0"/>
      <w:marRight w:val="0"/>
      <w:marTop w:val="0"/>
      <w:marBottom w:val="0"/>
      <w:divBdr>
        <w:top w:val="none" w:sz="0" w:space="0" w:color="auto"/>
        <w:left w:val="none" w:sz="0" w:space="0" w:color="auto"/>
        <w:bottom w:val="none" w:sz="0" w:space="0" w:color="auto"/>
        <w:right w:val="none" w:sz="0" w:space="0" w:color="auto"/>
      </w:divBdr>
    </w:div>
    <w:div w:id="64649102">
      <w:bodyDiv w:val="1"/>
      <w:marLeft w:val="0"/>
      <w:marRight w:val="0"/>
      <w:marTop w:val="0"/>
      <w:marBottom w:val="0"/>
      <w:divBdr>
        <w:top w:val="none" w:sz="0" w:space="0" w:color="auto"/>
        <w:left w:val="none" w:sz="0" w:space="0" w:color="auto"/>
        <w:bottom w:val="none" w:sz="0" w:space="0" w:color="auto"/>
        <w:right w:val="none" w:sz="0" w:space="0" w:color="auto"/>
      </w:divBdr>
    </w:div>
    <w:div w:id="68964656">
      <w:bodyDiv w:val="1"/>
      <w:marLeft w:val="0"/>
      <w:marRight w:val="0"/>
      <w:marTop w:val="0"/>
      <w:marBottom w:val="0"/>
      <w:divBdr>
        <w:top w:val="none" w:sz="0" w:space="0" w:color="auto"/>
        <w:left w:val="none" w:sz="0" w:space="0" w:color="auto"/>
        <w:bottom w:val="none" w:sz="0" w:space="0" w:color="auto"/>
        <w:right w:val="none" w:sz="0" w:space="0" w:color="auto"/>
      </w:divBdr>
    </w:div>
    <w:div w:id="90050942">
      <w:bodyDiv w:val="1"/>
      <w:marLeft w:val="0"/>
      <w:marRight w:val="0"/>
      <w:marTop w:val="0"/>
      <w:marBottom w:val="0"/>
      <w:divBdr>
        <w:top w:val="none" w:sz="0" w:space="0" w:color="auto"/>
        <w:left w:val="none" w:sz="0" w:space="0" w:color="auto"/>
        <w:bottom w:val="none" w:sz="0" w:space="0" w:color="auto"/>
        <w:right w:val="none" w:sz="0" w:space="0" w:color="auto"/>
      </w:divBdr>
      <w:divsChild>
        <w:div w:id="2014068303">
          <w:marLeft w:val="0"/>
          <w:marRight w:val="0"/>
          <w:marTop w:val="0"/>
          <w:marBottom w:val="0"/>
          <w:divBdr>
            <w:top w:val="none" w:sz="0" w:space="0" w:color="auto"/>
            <w:left w:val="none" w:sz="0" w:space="0" w:color="auto"/>
            <w:bottom w:val="none" w:sz="0" w:space="0" w:color="auto"/>
            <w:right w:val="none" w:sz="0" w:space="0" w:color="auto"/>
          </w:divBdr>
          <w:divsChild>
            <w:div w:id="990863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254214">
      <w:bodyDiv w:val="1"/>
      <w:marLeft w:val="0"/>
      <w:marRight w:val="0"/>
      <w:marTop w:val="0"/>
      <w:marBottom w:val="0"/>
      <w:divBdr>
        <w:top w:val="none" w:sz="0" w:space="0" w:color="auto"/>
        <w:left w:val="none" w:sz="0" w:space="0" w:color="auto"/>
        <w:bottom w:val="none" w:sz="0" w:space="0" w:color="auto"/>
        <w:right w:val="none" w:sz="0" w:space="0" w:color="auto"/>
      </w:divBdr>
    </w:div>
    <w:div w:id="122427539">
      <w:bodyDiv w:val="1"/>
      <w:marLeft w:val="0"/>
      <w:marRight w:val="0"/>
      <w:marTop w:val="0"/>
      <w:marBottom w:val="0"/>
      <w:divBdr>
        <w:top w:val="none" w:sz="0" w:space="0" w:color="auto"/>
        <w:left w:val="none" w:sz="0" w:space="0" w:color="auto"/>
        <w:bottom w:val="none" w:sz="0" w:space="0" w:color="auto"/>
        <w:right w:val="none" w:sz="0" w:space="0" w:color="auto"/>
      </w:divBdr>
      <w:divsChild>
        <w:div w:id="1951693099">
          <w:marLeft w:val="0"/>
          <w:marRight w:val="0"/>
          <w:marTop w:val="0"/>
          <w:marBottom w:val="0"/>
          <w:divBdr>
            <w:top w:val="none" w:sz="0" w:space="0" w:color="auto"/>
            <w:left w:val="none" w:sz="0" w:space="0" w:color="auto"/>
            <w:bottom w:val="none" w:sz="0" w:space="0" w:color="auto"/>
            <w:right w:val="none" w:sz="0" w:space="0" w:color="auto"/>
          </w:divBdr>
          <w:divsChild>
            <w:div w:id="269243598">
              <w:marLeft w:val="0"/>
              <w:marRight w:val="0"/>
              <w:marTop w:val="0"/>
              <w:marBottom w:val="0"/>
              <w:divBdr>
                <w:top w:val="none" w:sz="0" w:space="0" w:color="auto"/>
                <w:left w:val="none" w:sz="0" w:space="0" w:color="auto"/>
                <w:bottom w:val="none" w:sz="0" w:space="0" w:color="auto"/>
                <w:right w:val="none" w:sz="0" w:space="0" w:color="auto"/>
              </w:divBdr>
              <w:divsChild>
                <w:div w:id="1711539404">
                  <w:marLeft w:val="0"/>
                  <w:marRight w:val="0"/>
                  <w:marTop w:val="0"/>
                  <w:marBottom w:val="0"/>
                  <w:divBdr>
                    <w:top w:val="none" w:sz="0" w:space="0" w:color="auto"/>
                    <w:left w:val="none" w:sz="0" w:space="0" w:color="auto"/>
                    <w:bottom w:val="none" w:sz="0" w:space="0" w:color="auto"/>
                    <w:right w:val="none" w:sz="0" w:space="0" w:color="auto"/>
                  </w:divBdr>
                  <w:divsChild>
                    <w:div w:id="1605460584">
                      <w:marLeft w:val="0"/>
                      <w:marRight w:val="0"/>
                      <w:marTop w:val="0"/>
                      <w:marBottom w:val="0"/>
                      <w:divBdr>
                        <w:top w:val="none" w:sz="0" w:space="0" w:color="auto"/>
                        <w:left w:val="none" w:sz="0" w:space="0" w:color="auto"/>
                        <w:bottom w:val="none" w:sz="0" w:space="0" w:color="auto"/>
                        <w:right w:val="none" w:sz="0" w:space="0" w:color="auto"/>
                      </w:divBdr>
                      <w:divsChild>
                        <w:div w:id="1211385096">
                          <w:marLeft w:val="0"/>
                          <w:marRight w:val="0"/>
                          <w:marTop w:val="0"/>
                          <w:marBottom w:val="0"/>
                          <w:divBdr>
                            <w:top w:val="none" w:sz="0" w:space="0" w:color="auto"/>
                            <w:left w:val="none" w:sz="0" w:space="0" w:color="auto"/>
                            <w:bottom w:val="none" w:sz="0" w:space="0" w:color="auto"/>
                            <w:right w:val="none" w:sz="0" w:space="0" w:color="auto"/>
                          </w:divBdr>
                          <w:divsChild>
                            <w:div w:id="739061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4545664">
      <w:bodyDiv w:val="1"/>
      <w:marLeft w:val="0"/>
      <w:marRight w:val="0"/>
      <w:marTop w:val="0"/>
      <w:marBottom w:val="0"/>
      <w:divBdr>
        <w:top w:val="none" w:sz="0" w:space="0" w:color="auto"/>
        <w:left w:val="none" w:sz="0" w:space="0" w:color="auto"/>
        <w:bottom w:val="none" w:sz="0" w:space="0" w:color="auto"/>
        <w:right w:val="none" w:sz="0" w:space="0" w:color="auto"/>
      </w:divBdr>
      <w:divsChild>
        <w:div w:id="676612592">
          <w:marLeft w:val="0"/>
          <w:marRight w:val="0"/>
          <w:marTop w:val="0"/>
          <w:marBottom w:val="0"/>
          <w:divBdr>
            <w:top w:val="none" w:sz="0" w:space="0" w:color="auto"/>
            <w:left w:val="none" w:sz="0" w:space="0" w:color="auto"/>
            <w:bottom w:val="none" w:sz="0" w:space="0" w:color="auto"/>
            <w:right w:val="none" w:sz="0" w:space="0" w:color="auto"/>
          </w:divBdr>
          <w:divsChild>
            <w:div w:id="1813717275">
              <w:marLeft w:val="0"/>
              <w:marRight w:val="0"/>
              <w:marTop w:val="0"/>
              <w:marBottom w:val="0"/>
              <w:divBdr>
                <w:top w:val="none" w:sz="0" w:space="0" w:color="auto"/>
                <w:left w:val="none" w:sz="0" w:space="0" w:color="auto"/>
                <w:bottom w:val="none" w:sz="0" w:space="0" w:color="auto"/>
                <w:right w:val="none" w:sz="0" w:space="0" w:color="auto"/>
              </w:divBdr>
              <w:divsChild>
                <w:div w:id="1790470848">
                  <w:marLeft w:val="0"/>
                  <w:marRight w:val="0"/>
                  <w:marTop w:val="0"/>
                  <w:marBottom w:val="0"/>
                  <w:divBdr>
                    <w:top w:val="none" w:sz="0" w:space="0" w:color="auto"/>
                    <w:left w:val="none" w:sz="0" w:space="0" w:color="auto"/>
                    <w:bottom w:val="none" w:sz="0" w:space="0" w:color="auto"/>
                    <w:right w:val="none" w:sz="0" w:space="0" w:color="auto"/>
                  </w:divBdr>
                  <w:divsChild>
                    <w:div w:id="875195906">
                      <w:marLeft w:val="0"/>
                      <w:marRight w:val="0"/>
                      <w:marTop w:val="0"/>
                      <w:marBottom w:val="0"/>
                      <w:divBdr>
                        <w:top w:val="none" w:sz="0" w:space="0" w:color="auto"/>
                        <w:left w:val="none" w:sz="0" w:space="0" w:color="auto"/>
                        <w:bottom w:val="none" w:sz="0" w:space="0" w:color="auto"/>
                        <w:right w:val="none" w:sz="0" w:space="0" w:color="auto"/>
                      </w:divBdr>
                      <w:divsChild>
                        <w:div w:id="162740272">
                          <w:marLeft w:val="0"/>
                          <w:marRight w:val="0"/>
                          <w:marTop w:val="0"/>
                          <w:marBottom w:val="0"/>
                          <w:divBdr>
                            <w:top w:val="none" w:sz="0" w:space="0" w:color="auto"/>
                            <w:left w:val="none" w:sz="0" w:space="0" w:color="auto"/>
                            <w:bottom w:val="none" w:sz="0" w:space="0" w:color="auto"/>
                            <w:right w:val="none" w:sz="0" w:space="0" w:color="auto"/>
                          </w:divBdr>
                          <w:divsChild>
                            <w:div w:id="2023169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056093">
      <w:bodyDiv w:val="1"/>
      <w:marLeft w:val="0"/>
      <w:marRight w:val="0"/>
      <w:marTop w:val="0"/>
      <w:marBottom w:val="0"/>
      <w:divBdr>
        <w:top w:val="none" w:sz="0" w:space="0" w:color="auto"/>
        <w:left w:val="none" w:sz="0" w:space="0" w:color="auto"/>
        <w:bottom w:val="none" w:sz="0" w:space="0" w:color="auto"/>
        <w:right w:val="none" w:sz="0" w:space="0" w:color="auto"/>
      </w:divBdr>
    </w:div>
    <w:div w:id="145365669">
      <w:bodyDiv w:val="1"/>
      <w:marLeft w:val="0"/>
      <w:marRight w:val="0"/>
      <w:marTop w:val="0"/>
      <w:marBottom w:val="0"/>
      <w:divBdr>
        <w:top w:val="none" w:sz="0" w:space="0" w:color="auto"/>
        <w:left w:val="none" w:sz="0" w:space="0" w:color="auto"/>
        <w:bottom w:val="none" w:sz="0" w:space="0" w:color="auto"/>
        <w:right w:val="none" w:sz="0" w:space="0" w:color="auto"/>
      </w:divBdr>
    </w:div>
    <w:div w:id="146868482">
      <w:bodyDiv w:val="1"/>
      <w:marLeft w:val="0"/>
      <w:marRight w:val="0"/>
      <w:marTop w:val="0"/>
      <w:marBottom w:val="0"/>
      <w:divBdr>
        <w:top w:val="none" w:sz="0" w:space="0" w:color="auto"/>
        <w:left w:val="none" w:sz="0" w:space="0" w:color="auto"/>
        <w:bottom w:val="none" w:sz="0" w:space="0" w:color="auto"/>
        <w:right w:val="none" w:sz="0" w:space="0" w:color="auto"/>
      </w:divBdr>
    </w:div>
    <w:div w:id="150414450">
      <w:bodyDiv w:val="1"/>
      <w:marLeft w:val="0"/>
      <w:marRight w:val="0"/>
      <w:marTop w:val="0"/>
      <w:marBottom w:val="0"/>
      <w:divBdr>
        <w:top w:val="none" w:sz="0" w:space="0" w:color="auto"/>
        <w:left w:val="none" w:sz="0" w:space="0" w:color="auto"/>
        <w:bottom w:val="none" w:sz="0" w:space="0" w:color="auto"/>
        <w:right w:val="none" w:sz="0" w:space="0" w:color="auto"/>
      </w:divBdr>
      <w:divsChild>
        <w:div w:id="1032456009">
          <w:marLeft w:val="0"/>
          <w:marRight w:val="0"/>
          <w:marTop w:val="0"/>
          <w:marBottom w:val="0"/>
          <w:divBdr>
            <w:top w:val="none" w:sz="0" w:space="0" w:color="auto"/>
            <w:left w:val="none" w:sz="0" w:space="0" w:color="auto"/>
            <w:bottom w:val="none" w:sz="0" w:space="0" w:color="auto"/>
            <w:right w:val="none" w:sz="0" w:space="0" w:color="auto"/>
          </w:divBdr>
          <w:divsChild>
            <w:div w:id="2083404275">
              <w:marLeft w:val="0"/>
              <w:marRight w:val="0"/>
              <w:marTop w:val="0"/>
              <w:marBottom w:val="0"/>
              <w:divBdr>
                <w:top w:val="none" w:sz="0" w:space="0" w:color="auto"/>
                <w:left w:val="none" w:sz="0" w:space="0" w:color="auto"/>
                <w:bottom w:val="none" w:sz="0" w:space="0" w:color="auto"/>
                <w:right w:val="none" w:sz="0" w:space="0" w:color="auto"/>
              </w:divBdr>
              <w:divsChild>
                <w:div w:id="1890221054">
                  <w:marLeft w:val="0"/>
                  <w:marRight w:val="0"/>
                  <w:marTop w:val="0"/>
                  <w:marBottom w:val="0"/>
                  <w:divBdr>
                    <w:top w:val="none" w:sz="0" w:space="0" w:color="auto"/>
                    <w:left w:val="none" w:sz="0" w:space="0" w:color="auto"/>
                    <w:bottom w:val="none" w:sz="0" w:space="0" w:color="auto"/>
                    <w:right w:val="none" w:sz="0" w:space="0" w:color="auto"/>
                  </w:divBdr>
                  <w:divsChild>
                    <w:div w:id="1707637581">
                      <w:marLeft w:val="0"/>
                      <w:marRight w:val="0"/>
                      <w:marTop w:val="0"/>
                      <w:marBottom w:val="0"/>
                      <w:divBdr>
                        <w:top w:val="none" w:sz="0" w:space="0" w:color="auto"/>
                        <w:left w:val="none" w:sz="0" w:space="0" w:color="auto"/>
                        <w:bottom w:val="none" w:sz="0" w:space="0" w:color="auto"/>
                        <w:right w:val="none" w:sz="0" w:space="0" w:color="auto"/>
                      </w:divBdr>
                      <w:divsChild>
                        <w:div w:id="1415973574">
                          <w:marLeft w:val="0"/>
                          <w:marRight w:val="0"/>
                          <w:marTop w:val="0"/>
                          <w:marBottom w:val="0"/>
                          <w:divBdr>
                            <w:top w:val="none" w:sz="0" w:space="0" w:color="auto"/>
                            <w:left w:val="none" w:sz="0" w:space="0" w:color="auto"/>
                            <w:bottom w:val="none" w:sz="0" w:space="0" w:color="auto"/>
                            <w:right w:val="none" w:sz="0" w:space="0" w:color="auto"/>
                          </w:divBdr>
                          <w:divsChild>
                            <w:div w:id="2069839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4788745">
      <w:bodyDiv w:val="1"/>
      <w:marLeft w:val="0"/>
      <w:marRight w:val="0"/>
      <w:marTop w:val="0"/>
      <w:marBottom w:val="0"/>
      <w:divBdr>
        <w:top w:val="none" w:sz="0" w:space="0" w:color="auto"/>
        <w:left w:val="none" w:sz="0" w:space="0" w:color="auto"/>
        <w:bottom w:val="none" w:sz="0" w:space="0" w:color="auto"/>
        <w:right w:val="none" w:sz="0" w:space="0" w:color="auto"/>
      </w:divBdr>
    </w:div>
    <w:div w:id="193232463">
      <w:bodyDiv w:val="1"/>
      <w:marLeft w:val="0"/>
      <w:marRight w:val="0"/>
      <w:marTop w:val="0"/>
      <w:marBottom w:val="0"/>
      <w:divBdr>
        <w:top w:val="none" w:sz="0" w:space="0" w:color="auto"/>
        <w:left w:val="none" w:sz="0" w:space="0" w:color="auto"/>
        <w:bottom w:val="none" w:sz="0" w:space="0" w:color="auto"/>
        <w:right w:val="none" w:sz="0" w:space="0" w:color="auto"/>
      </w:divBdr>
    </w:div>
    <w:div w:id="194582985">
      <w:bodyDiv w:val="1"/>
      <w:marLeft w:val="0"/>
      <w:marRight w:val="0"/>
      <w:marTop w:val="0"/>
      <w:marBottom w:val="0"/>
      <w:divBdr>
        <w:top w:val="none" w:sz="0" w:space="0" w:color="auto"/>
        <w:left w:val="none" w:sz="0" w:space="0" w:color="auto"/>
        <w:bottom w:val="none" w:sz="0" w:space="0" w:color="auto"/>
        <w:right w:val="none" w:sz="0" w:space="0" w:color="auto"/>
      </w:divBdr>
    </w:div>
    <w:div w:id="220408116">
      <w:bodyDiv w:val="1"/>
      <w:marLeft w:val="0"/>
      <w:marRight w:val="0"/>
      <w:marTop w:val="0"/>
      <w:marBottom w:val="0"/>
      <w:divBdr>
        <w:top w:val="none" w:sz="0" w:space="0" w:color="auto"/>
        <w:left w:val="none" w:sz="0" w:space="0" w:color="auto"/>
        <w:bottom w:val="none" w:sz="0" w:space="0" w:color="auto"/>
        <w:right w:val="none" w:sz="0" w:space="0" w:color="auto"/>
      </w:divBdr>
      <w:divsChild>
        <w:div w:id="475998748">
          <w:marLeft w:val="0"/>
          <w:marRight w:val="0"/>
          <w:marTop w:val="0"/>
          <w:marBottom w:val="0"/>
          <w:divBdr>
            <w:top w:val="none" w:sz="0" w:space="0" w:color="auto"/>
            <w:left w:val="none" w:sz="0" w:space="0" w:color="auto"/>
            <w:bottom w:val="none" w:sz="0" w:space="0" w:color="auto"/>
            <w:right w:val="none" w:sz="0" w:space="0" w:color="auto"/>
          </w:divBdr>
          <w:divsChild>
            <w:div w:id="1736010683">
              <w:marLeft w:val="0"/>
              <w:marRight w:val="0"/>
              <w:marTop w:val="0"/>
              <w:marBottom w:val="0"/>
              <w:divBdr>
                <w:top w:val="none" w:sz="0" w:space="0" w:color="auto"/>
                <w:left w:val="none" w:sz="0" w:space="0" w:color="auto"/>
                <w:bottom w:val="none" w:sz="0" w:space="0" w:color="auto"/>
                <w:right w:val="none" w:sz="0" w:space="0" w:color="auto"/>
              </w:divBdr>
              <w:divsChild>
                <w:div w:id="493954297">
                  <w:marLeft w:val="0"/>
                  <w:marRight w:val="0"/>
                  <w:marTop w:val="0"/>
                  <w:marBottom w:val="0"/>
                  <w:divBdr>
                    <w:top w:val="none" w:sz="0" w:space="0" w:color="auto"/>
                    <w:left w:val="none" w:sz="0" w:space="0" w:color="auto"/>
                    <w:bottom w:val="none" w:sz="0" w:space="0" w:color="auto"/>
                    <w:right w:val="none" w:sz="0" w:space="0" w:color="auto"/>
                  </w:divBdr>
                  <w:divsChild>
                    <w:div w:id="110782519">
                      <w:marLeft w:val="0"/>
                      <w:marRight w:val="0"/>
                      <w:marTop w:val="0"/>
                      <w:marBottom w:val="0"/>
                      <w:divBdr>
                        <w:top w:val="none" w:sz="0" w:space="0" w:color="auto"/>
                        <w:left w:val="none" w:sz="0" w:space="0" w:color="auto"/>
                        <w:bottom w:val="none" w:sz="0" w:space="0" w:color="auto"/>
                        <w:right w:val="none" w:sz="0" w:space="0" w:color="auto"/>
                      </w:divBdr>
                      <w:divsChild>
                        <w:div w:id="1273517706">
                          <w:marLeft w:val="0"/>
                          <w:marRight w:val="0"/>
                          <w:marTop w:val="0"/>
                          <w:marBottom w:val="0"/>
                          <w:divBdr>
                            <w:top w:val="none" w:sz="0" w:space="0" w:color="auto"/>
                            <w:left w:val="none" w:sz="0" w:space="0" w:color="auto"/>
                            <w:bottom w:val="none" w:sz="0" w:space="0" w:color="auto"/>
                            <w:right w:val="none" w:sz="0" w:space="0" w:color="auto"/>
                          </w:divBdr>
                          <w:divsChild>
                            <w:div w:id="350762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25338626">
      <w:bodyDiv w:val="1"/>
      <w:marLeft w:val="0"/>
      <w:marRight w:val="0"/>
      <w:marTop w:val="0"/>
      <w:marBottom w:val="0"/>
      <w:divBdr>
        <w:top w:val="none" w:sz="0" w:space="0" w:color="auto"/>
        <w:left w:val="none" w:sz="0" w:space="0" w:color="auto"/>
        <w:bottom w:val="none" w:sz="0" w:space="0" w:color="auto"/>
        <w:right w:val="none" w:sz="0" w:space="0" w:color="auto"/>
      </w:divBdr>
    </w:div>
    <w:div w:id="228661404">
      <w:bodyDiv w:val="1"/>
      <w:marLeft w:val="0"/>
      <w:marRight w:val="0"/>
      <w:marTop w:val="0"/>
      <w:marBottom w:val="0"/>
      <w:divBdr>
        <w:top w:val="none" w:sz="0" w:space="0" w:color="auto"/>
        <w:left w:val="none" w:sz="0" w:space="0" w:color="auto"/>
        <w:bottom w:val="none" w:sz="0" w:space="0" w:color="auto"/>
        <w:right w:val="none" w:sz="0" w:space="0" w:color="auto"/>
      </w:divBdr>
      <w:divsChild>
        <w:div w:id="1514492627">
          <w:marLeft w:val="0"/>
          <w:marRight w:val="0"/>
          <w:marTop w:val="0"/>
          <w:marBottom w:val="0"/>
          <w:divBdr>
            <w:top w:val="none" w:sz="0" w:space="0" w:color="auto"/>
            <w:left w:val="none" w:sz="0" w:space="0" w:color="auto"/>
            <w:bottom w:val="none" w:sz="0" w:space="0" w:color="auto"/>
            <w:right w:val="none" w:sz="0" w:space="0" w:color="auto"/>
          </w:divBdr>
          <w:divsChild>
            <w:div w:id="1043557843">
              <w:marLeft w:val="0"/>
              <w:marRight w:val="0"/>
              <w:marTop w:val="0"/>
              <w:marBottom w:val="0"/>
              <w:divBdr>
                <w:top w:val="none" w:sz="0" w:space="0" w:color="auto"/>
                <w:left w:val="none" w:sz="0" w:space="0" w:color="auto"/>
                <w:bottom w:val="none" w:sz="0" w:space="0" w:color="auto"/>
                <w:right w:val="none" w:sz="0" w:space="0" w:color="auto"/>
              </w:divBdr>
              <w:divsChild>
                <w:div w:id="548690682">
                  <w:marLeft w:val="0"/>
                  <w:marRight w:val="0"/>
                  <w:marTop w:val="0"/>
                  <w:marBottom w:val="0"/>
                  <w:divBdr>
                    <w:top w:val="none" w:sz="0" w:space="0" w:color="auto"/>
                    <w:left w:val="none" w:sz="0" w:space="0" w:color="auto"/>
                    <w:bottom w:val="none" w:sz="0" w:space="0" w:color="auto"/>
                    <w:right w:val="none" w:sz="0" w:space="0" w:color="auto"/>
                  </w:divBdr>
                  <w:divsChild>
                    <w:div w:id="1771778953">
                      <w:marLeft w:val="0"/>
                      <w:marRight w:val="0"/>
                      <w:marTop w:val="0"/>
                      <w:marBottom w:val="0"/>
                      <w:divBdr>
                        <w:top w:val="none" w:sz="0" w:space="0" w:color="auto"/>
                        <w:left w:val="none" w:sz="0" w:space="0" w:color="auto"/>
                        <w:bottom w:val="none" w:sz="0" w:space="0" w:color="auto"/>
                        <w:right w:val="none" w:sz="0" w:space="0" w:color="auto"/>
                      </w:divBdr>
                      <w:divsChild>
                        <w:div w:id="1363944670">
                          <w:marLeft w:val="0"/>
                          <w:marRight w:val="0"/>
                          <w:marTop w:val="0"/>
                          <w:marBottom w:val="0"/>
                          <w:divBdr>
                            <w:top w:val="none" w:sz="0" w:space="0" w:color="auto"/>
                            <w:left w:val="none" w:sz="0" w:space="0" w:color="auto"/>
                            <w:bottom w:val="none" w:sz="0" w:space="0" w:color="auto"/>
                            <w:right w:val="none" w:sz="0" w:space="0" w:color="auto"/>
                          </w:divBdr>
                          <w:divsChild>
                            <w:div w:id="1828399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5090729">
      <w:bodyDiv w:val="1"/>
      <w:marLeft w:val="0"/>
      <w:marRight w:val="0"/>
      <w:marTop w:val="0"/>
      <w:marBottom w:val="0"/>
      <w:divBdr>
        <w:top w:val="none" w:sz="0" w:space="0" w:color="auto"/>
        <w:left w:val="none" w:sz="0" w:space="0" w:color="auto"/>
        <w:bottom w:val="none" w:sz="0" w:space="0" w:color="auto"/>
        <w:right w:val="none" w:sz="0" w:space="0" w:color="auto"/>
      </w:divBdr>
    </w:div>
    <w:div w:id="276957424">
      <w:bodyDiv w:val="1"/>
      <w:marLeft w:val="0"/>
      <w:marRight w:val="0"/>
      <w:marTop w:val="0"/>
      <w:marBottom w:val="0"/>
      <w:divBdr>
        <w:top w:val="none" w:sz="0" w:space="0" w:color="auto"/>
        <w:left w:val="none" w:sz="0" w:space="0" w:color="auto"/>
        <w:bottom w:val="none" w:sz="0" w:space="0" w:color="auto"/>
        <w:right w:val="none" w:sz="0" w:space="0" w:color="auto"/>
      </w:divBdr>
      <w:divsChild>
        <w:div w:id="1372732594">
          <w:marLeft w:val="0"/>
          <w:marRight w:val="0"/>
          <w:marTop w:val="0"/>
          <w:marBottom w:val="0"/>
          <w:divBdr>
            <w:top w:val="none" w:sz="0" w:space="0" w:color="auto"/>
            <w:left w:val="none" w:sz="0" w:space="0" w:color="auto"/>
            <w:bottom w:val="none" w:sz="0" w:space="0" w:color="auto"/>
            <w:right w:val="none" w:sz="0" w:space="0" w:color="auto"/>
          </w:divBdr>
          <w:divsChild>
            <w:div w:id="1669676202">
              <w:marLeft w:val="0"/>
              <w:marRight w:val="0"/>
              <w:marTop w:val="0"/>
              <w:marBottom w:val="0"/>
              <w:divBdr>
                <w:top w:val="none" w:sz="0" w:space="0" w:color="auto"/>
                <w:left w:val="none" w:sz="0" w:space="0" w:color="auto"/>
                <w:bottom w:val="none" w:sz="0" w:space="0" w:color="auto"/>
                <w:right w:val="none" w:sz="0" w:space="0" w:color="auto"/>
              </w:divBdr>
              <w:divsChild>
                <w:div w:id="1262254768">
                  <w:marLeft w:val="0"/>
                  <w:marRight w:val="0"/>
                  <w:marTop w:val="0"/>
                  <w:marBottom w:val="0"/>
                  <w:divBdr>
                    <w:top w:val="none" w:sz="0" w:space="0" w:color="auto"/>
                    <w:left w:val="none" w:sz="0" w:space="0" w:color="auto"/>
                    <w:bottom w:val="none" w:sz="0" w:space="0" w:color="auto"/>
                    <w:right w:val="none" w:sz="0" w:space="0" w:color="auto"/>
                  </w:divBdr>
                  <w:divsChild>
                    <w:div w:id="954871610">
                      <w:marLeft w:val="0"/>
                      <w:marRight w:val="0"/>
                      <w:marTop w:val="0"/>
                      <w:marBottom w:val="0"/>
                      <w:divBdr>
                        <w:top w:val="none" w:sz="0" w:space="0" w:color="auto"/>
                        <w:left w:val="none" w:sz="0" w:space="0" w:color="auto"/>
                        <w:bottom w:val="none" w:sz="0" w:space="0" w:color="auto"/>
                        <w:right w:val="none" w:sz="0" w:space="0" w:color="auto"/>
                      </w:divBdr>
                      <w:divsChild>
                        <w:div w:id="2023897070">
                          <w:marLeft w:val="0"/>
                          <w:marRight w:val="0"/>
                          <w:marTop w:val="0"/>
                          <w:marBottom w:val="0"/>
                          <w:divBdr>
                            <w:top w:val="none" w:sz="0" w:space="0" w:color="auto"/>
                            <w:left w:val="none" w:sz="0" w:space="0" w:color="auto"/>
                            <w:bottom w:val="none" w:sz="0" w:space="0" w:color="auto"/>
                            <w:right w:val="none" w:sz="0" w:space="0" w:color="auto"/>
                          </w:divBdr>
                          <w:divsChild>
                            <w:div w:id="62050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79654401">
      <w:bodyDiv w:val="1"/>
      <w:marLeft w:val="0"/>
      <w:marRight w:val="0"/>
      <w:marTop w:val="0"/>
      <w:marBottom w:val="0"/>
      <w:divBdr>
        <w:top w:val="none" w:sz="0" w:space="0" w:color="auto"/>
        <w:left w:val="none" w:sz="0" w:space="0" w:color="auto"/>
        <w:bottom w:val="none" w:sz="0" w:space="0" w:color="auto"/>
        <w:right w:val="none" w:sz="0" w:space="0" w:color="auto"/>
      </w:divBdr>
    </w:div>
    <w:div w:id="320501637">
      <w:bodyDiv w:val="1"/>
      <w:marLeft w:val="0"/>
      <w:marRight w:val="0"/>
      <w:marTop w:val="0"/>
      <w:marBottom w:val="0"/>
      <w:divBdr>
        <w:top w:val="none" w:sz="0" w:space="0" w:color="auto"/>
        <w:left w:val="none" w:sz="0" w:space="0" w:color="auto"/>
        <w:bottom w:val="none" w:sz="0" w:space="0" w:color="auto"/>
        <w:right w:val="none" w:sz="0" w:space="0" w:color="auto"/>
      </w:divBdr>
    </w:div>
    <w:div w:id="337923732">
      <w:bodyDiv w:val="1"/>
      <w:marLeft w:val="0"/>
      <w:marRight w:val="0"/>
      <w:marTop w:val="0"/>
      <w:marBottom w:val="0"/>
      <w:divBdr>
        <w:top w:val="none" w:sz="0" w:space="0" w:color="auto"/>
        <w:left w:val="none" w:sz="0" w:space="0" w:color="auto"/>
        <w:bottom w:val="none" w:sz="0" w:space="0" w:color="auto"/>
        <w:right w:val="none" w:sz="0" w:space="0" w:color="auto"/>
      </w:divBdr>
    </w:div>
    <w:div w:id="360325318">
      <w:bodyDiv w:val="1"/>
      <w:marLeft w:val="0"/>
      <w:marRight w:val="0"/>
      <w:marTop w:val="0"/>
      <w:marBottom w:val="0"/>
      <w:divBdr>
        <w:top w:val="none" w:sz="0" w:space="0" w:color="auto"/>
        <w:left w:val="none" w:sz="0" w:space="0" w:color="auto"/>
        <w:bottom w:val="none" w:sz="0" w:space="0" w:color="auto"/>
        <w:right w:val="none" w:sz="0" w:space="0" w:color="auto"/>
      </w:divBdr>
    </w:div>
    <w:div w:id="361784426">
      <w:bodyDiv w:val="1"/>
      <w:marLeft w:val="0"/>
      <w:marRight w:val="0"/>
      <w:marTop w:val="0"/>
      <w:marBottom w:val="0"/>
      <w:divBdr>
        <w:top w:val="none" w:sz="0" w:space="0" w:color="auto"/>
        <w:left w:val="none" w:sz="0" w:space="0" w:color="auto"/>
        <w:bottom w:val="none" w:sz="0" w:space="0" w:color="auto"/>
        <w:right w:val="none" w:sz="0" w:space="0" w:color="auto"/>
      </w:divBdr>
    </w:div>
    <w:div w:id="372461872">
      <w:bodyDiv w:val="1"/>
      <w:marLeft w:val="0"/>
      <w:marRight w:val="0"/>
      <w:marTop w:val="0"/>
      <w:marBottom w:val="0"/>
      <w:divBdr>
        <w:top w:val="none" w:sz="0" w:space="0" w:color="auto"/>
        <w:left w:val="none" w:sz="0" w:space="0" w:color="auto"/>
        <w:bottom w:val="none" w:sz="0" w:space="0" w:color="auto"/>
        <w:right w:val="none" w:sz="0" w:space="0" w:color="auto"/>
      </w:divBdr>
    </w:div>
    <w:div w:id="380398051">
      <w:bodyDiv w:val="1"/>
      <w:marLeft w:val="0"/>
      <w:marRight w:val="0"/>
      <w:marTop w:val="0"/>
      <w:marBottom w:val="0"/>
      <w:divBdr>
        <w:top w:val="none" w:sz="0" w:space="0" w:color="auto"/>
        <w:left w:val="none" w:sz="0" w:space="0" w:color="auto"/>
        <w:bottom w:val="none" w:sz="0" w:space="0" w:color="auto"/>
        <w:right w:val="none" w:sz="0" w:space="0" w:color="auto"/>
      </w:divBdr>
    </w:div>
    <w:div w:id="396705601">
      <w:bodyDiv w:val="1"/>
      <w:marLeft w:val="0"/>
      <w:marRight w:val="0"/>
      <w:marTop w:val="0"/>
      <w:marBottom w:val="0"/>
      <w:divBdr>
        <w:top w:val="none" w:sz="0" w:space="0" w:color="auto"/>
        <w:left w:val="none" w:sz="0" w:space="0" w:color="auto"/>
        <w:bottom w:val="none" w:sz="0" w:space="0" w:color="auto"/>
        <w:right w:val="none" w:sz="0" w:space="0" w:color="auto"/>
      </w:divBdr>
    </w:div>
    <w:div w:id="414207952">
      <w:bodyDiv w:val="1"/>
      <w:marLeft w:val="0"/>
      <w:marRight w:val="0"/>
      <w:marTop w:val="0"/>
      <w:marBottom w:val="0"/>
      <w:divBdr>
        <w:top w:val="none" w:sz="0" w:space="0" w:color="auto"/>
        <w:left w:val="none" w:sz="0" w:space="0" w:color="auto"/>
        <w:bottom w:val="none" w:sz="0" w:space="0" w:color="auto"/>
        <w:right w:val="none" w:sz="0" w:space="0" w:color="auto"/>
      </w:divBdr>
    </w:div>
    <w:div w:id="420758672">
      <w:bodyDiv w:val="1"/>
      <w:marLeft w:val="0"/>
      <w:marRight w:val="0"/>
      <w:marTop w:val="0"/>
      <w:marBottom w:val="0"/>
      <w:divBdr>
        <w:top w:val="none" w:sz="0" w:space="0" w:color="auto"/>
        <w:left w:val="none" w:sz="0" w:space="0" w:color="auto"/>
        <w:bottom w:val="none" w:sz="0" w:space="0" w:color="auto"/>
        <w:right w:val="none" w:sz="0" w:space="0" w:color="auto"/>
      </w:divBdr>
      <w:divsChild>
        <w:div w:id="1092624283">
          <w:marLeft w:val="0"/>
          <w:marRight w:val="0"/>
          <w:marTop w:val="0"/>
          <w:marBottom w:val="0"/>
          <w:divBdr>
            <w:top w:val="none" w:sz="0" w:space="0" w:color="auto"/>
            <w:left w:val="none" w:sz="0" w:space="0" w:color="auto"/>
            <w:bottom w:val="none" w:sz="0" w:space="0" w:color="auto"/>
            <w:right w:val="none" w:sz="0" w:space="0" w:color="auto"/>
          </w:divBdr>
          <w:divsChild>
            <w:div w:id="486408811">
              <w:marLeft w:val="0"/>
              <w:marRight w:val="0"/>
              <w:marTop w:val="0"/>
              <w:marBottom w:val="0"/>
              <w:divBdr>
                <w:top w:val="none" w:sz="0" w:space="0" w:color="auto"/>
                <w:left w:val="none" w:sz="0" w:space="0" w:color="auto"/>
                <w:bottom w:val="none" w:sz="0" w:space="0" w:color="auto"/>
                <w:right w:val="none" w:sz="0" w:space="0" w:color="auto"/>
              </w:divBdr>
              <w:divsChild>
                <w:div w:id="1909222305">
                  <w:marLeft w:val="0"/>
                  <w:marRight w:val="0"/>
                  <w:marTop w:val="0"/>
                  <w:marBottom w:val="0"/>
                  <w:divBdr>
                    <w:top w:val="none" w:sz="0" w:space="0" w:color="auto"/>
                    <w:left w:val="none" w:sz="0" w:space="0" w:color="auto"/>
                    <w:bottom w:val="none" w:sz="0" w:space="0" w:color="auto"/>
                    <w:right w:val="none" w:sz="0" w:space="0" w:color="auto"/>
                  </w:divBdr>
                  <w:divsChild>
                    <w:div w:id="1642149835">
                      <w:marLeft w:val="0"/>
                      <w:marRight w:val="0"/>
                      <w:marTop w:val="0"/>
                      <w:marBottom w:val="0"/>
                      <w:divBdr>
                        <w:top w:val="none" w:sz="0" w:space="0" w:color="auto"/>
                        <w:left w:val="none" w:sz="0" w:space="0" w:color="auto"/>
                        <w:bottom w:val="none" w:sz="0" w:space="0" w:color="auto"/>
                        <w:right w:val="none" w:sz="0" w:space="0" w:color="auto"/>
                      </w:divBdr>
                      <w:divsChild>
                        <w:div w:id="775247390">
                          <w:marLeft w:val="0"/>
                          <w:marRight w:val="0"/>
                          <w:marTop w:val="0"/>
                          <w:marBottom w:val="0"/>
                          <w:divBdr>
                            <w:top w:val="none" w:sz="0" w:space="0" w:color="auto"/>
                            <w:left w:val="none" w:sz="0" w:space="0" w:color="auto"/>
                            <w:bottom w:val="none" w:sz="0" w:space="0" w:color="auto"/>
                            <w:right w:val="none" w:sz="0" w:space="0" w:color="auto"/>
                          </w:divBdr>
                          <w:divsChild>
                            <w:div w:id="1890264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20954125">
      <w:bodyDiv w:val="1"/>
      <w:marLeft w:val="0"/>
      <w:marRight w:val="0"/>
      <w:marTop w:val="0"/>
      <w:marBottom w:val="0"/>
      <w:divBdr>
        <w:top w:val="none" w:sz="0" w:space="0" w:color="auto"/>
        <w:left w:val="none" w:sz="0" w:space="0" w:color="auto"/>
        <w:bottom w:val="none" w:sz="0" w:space="0" w:color="auto"/>
        <w:right w:val="none" w:sz="0" w:space="0" w:color="auto"/>
      </w:divBdr>
    </w:div>
    <w:div w:id="445349035">
      <w:bodyDiv w:val="1"/>
      <w:marLeft w:val="0"/>
      <w:marRight w:val="0"/>
      <w:marTop w:val="0"/>
      <w:marBottom w:val="0"/>
      <w:divBdr>
        <w:top w:val="none" w:sz="0" w:space="0" w:color="auto"/>
        <w:left w:val="none" w:sz="0" w:space="0" w:color="auto"/>
        <w:bottom w:val="none" w:sz="0" w:space="0" w:color="auto"/>
        <w:right w:val="none" w:sz="0" w:space="0" w:color="auto"/>
      </w:divBdr>
    </w:div>
    <w:div w:id="465705217">
      <w:bodyDiv w:val="1"/>
      <w:marLeft w:val="0"/>
      <w:marRight w:val="0"/>
      <w:marTop w:val="0"/>
      <w:marBottom w:val="0"/>
      <w:divBdr>
        <w:top w:val="none" w:sz="0" w:space="0" w:color="auto"/>
        <w:left w:val="none" w:sz="0" w:space="0" w:color="auto"/>
        <w:bottom w:val="none" w:sz="0" w:space="0" w:color="auto"/>
        <w:right w:val="none" w:sz="0" w:space="0" w:color="auto"/>
      </w:divBdr>
      <w:divsChild>
        <w:div w:id="1534919007">
          <w:marLeft w:val="0"/>
          <w:marRight w:val="0"/>
          <w:marTop w:val="0"/>
          <w:marBottom w:val="0"/>
          <w:divBdr>
            <w:top w:val="none" w:sz="0" w:space="0" w:color="auto"/>
            <w:left w:val="none" w:sz="0" w:space="0" w:color="auto"/>
            <w:bottom w:val="none" w:sz="0" w:space="0" w:color="auto"/>
            <w:right w:val="none" w:sz="0" w:space="0" w:color="auto"/>
          </w:divBdr>
          <w:divsChild>
            <w:div w:id="1205292870">
              <w:marLeft w:val="0"/>
              <w:marRight w:val="0"/>
              <w:marTop w:val="0"/>
              <w:marBottom w:val="0"/>
              <w:divBdr>
                <w:top w:val="none" w:sz="0" w:space="0" w:color="auto"/>
                <w:left w:val="none" w:sz="0" w:space="0" w:color="auto"/>
                <w:bottom w:val="none" w:sz="0" w:space="0" w:color="auto"/>
                <w:right w:val="none" w:sz="0" w:space="0" w:color="auto"/>
              </w:divBdr>
              <w:divsChild>
                <w:div w:id="84303493">
                  <w:marLeft w:val="0"/>
                  <w:marRight w:val="0"/>
                  <w:marTop w:val="0"/>
                  <w:marBottom w:val="0"/>
                  <w:divBdr>
                    <w:top w:val="none" w:sz="0" w:space="0" w:color="auto"/>
                    <w:left w:val="none" w:sz="0" w:space="0" w:color="auto"/>
                    <w:bottom w:val="none" w:sz="0" w:space="0" w:color="auto"/>
                    <w:right w:val="none" w:sz="0" w:space="0" w:color="auto"/>
                  </w:divBdr>
                  <w:divsChild>
                    <w:div w:id="936905996">
                      <w:marLeft w:val="0"/>
                      <w:marRight w:val="0"/>
                      <w:marTop w:val="0"/>
                      <w:marBottom w:val="0"/>
                      <w:divBdr>
                        <w:top w:val="none" w:sz="0" w:space="0" w:color="auto"/>
                        <w:left w:val="none" w:sz="0" w:space="0" w:color="auto"/>
                        <w:bottom w:val="none" w:sz="0" w:space="0" w:color="auto"/>
                        <w:right w:val="none" w:sz="0" w:space="0" w:color="auto"/>
                      </w:divBdr>
                      <w:divsChild>
                        <w:div w:id="547453365">
                          <w:marLeft w:val="0"/>
                          <w:marRight w:val="0"/>
                          <w:marTop w:val="0"/>
                          <w:marBottom w:val="0"/>
                          <w:divBdr>
                            <w:top w:val="none" w:sz="0" w:space="0" w:color="auto"/>
                            <w:left w:val="none" w:sz="0" w:space="0" w:color="auto"/>
                            <w:bottom w:val="none" w:sz="0" w:space="0" w:color="auto"/>
                            <w:right w:val="none" w:sz="0" w:space="0" w:color="auto"/>
                          </w:divBdr>
                          <w:divsChild>
                            <w:div w:id="675227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91146231">
      <w:bodyDiv w:val="1"/>
      <w:marLeft w:val="0"/>
      <w:marRight w:val="0"/>
      <w:marTop w:val="0"/>
      <w:marBottom w:val="0"/>
      <w:divBdr>
        <w:top w:val="none" w:sz="0" w:space="0" w:color="auto"/>
        <w:left w:val="none" w:sz="0" w:space="0" w:color="auto"/>
        <w:bottom w:val="none" w:sz="0" w:space="0" w:color="auto"/>
        <w:right w:val="none" w:sz="0" w:space="0" w:color="auto"/>
      </w:divBdr>
    </w:div>
    <w:div w:id="509686921">
      <w:bodyDiv w:val="1"/>
      <w:marLeft w:val="0"/>
      <w:marRight w:val="0"/>
      <w:marTop w:val="0"/>
      <w:marBottom w:val="0"/>
      <w:divBdr>
        <w:top w:val="none" w:sz="0" w:space="0" w:color="auto"/>
        <w:left w:val="none" w:sz="0" w:space="0" w:color="auto"/>
        <w:bottom w:val="none" w:sz="0" w:space="0" w:color="auto"/>
        <w:right w:val="none" w:sz="0" w:space="0" w:color="auto"/>
      </w:divBdr>
    </w:div>
    <w:div w:id="512184960">
      <w:bodyDiv w:val="1"/>
      <w:marLeft w:val="0"/>
      <w:marRight w:val="0"/>
      <w:marTop w:val="0"/>
      <w:marBottom w:val="0"/>
      <w:divBdr>
        <w:top w:val="none" w:sz="0" w:space="0" w:color="auto"/>
        <w:left w:val="none" w:sz="0" w:space="0" w:color="auto"/>
        <w:bottom w:val="none" w:sz="0" w:space="0" w:color="auto"/>
        <w:right w:val="none" w:sz="0" w:space="0" w:color="auto"/>
      </w:divBdr>
      <w:divsChild>
        <w:div w:id="1368876897">
          <w:marLeft w:val="0"/>
          <w:marRight w:val="0"/>
          <w:marTop w:val="0"/>
          <w:marBottom w:val="0"/>
          <w:divBdr>
            <w:top w:val="none" w:sz="0" w:space="0" w:color="auto"/>
            <w:left w:val="none" w:sz="0" w:space="0" w:color="auto"/>
            <w:bottom w:val="none" w:sz="0" w:space="0" w:color="auto"/>
            <w:right w:val="none" w:sz="0" w:space="0" w:color="auto"/>
          </w:divBdr>
          <w:divsChild>
            <w:div w:id="731083973">
              <w:marLeft w:val="0"/>
              <w:marRight w:val="0"/>
              <w:marTop w:val="0"/>
              <w:marBottom w:val="0"/>
              <w:divBdr>
                <w:top w:val="none" w:sz="0" w:space="0" w:color="auto"/>
                <w:left w:val="none" w:sz="0" w:space="0" w:color="auto"/>
                <w:bottom w:val="none" w:sz="0" w:space="0" w:color="auto"/>
                <w:right w:val="none" w:sz="0" w:space="0" w:color="auto"/>
              </w:divBdr>
              <w:divsChild>
                <w:div w:id="658266306">
                  <w:marLeft w:val="0"/>
                  <w:marRight w:val="0"/>
                  <w:marTop w:val="0"/>
                  <w:marBottom w:val="0"/>
                  <w:divBdr>
                    <w:top w:val="none" w:sz="0" w:space="0" w:color="auto"/>
                    <w:left w:val="none" w:sz="0" w:space="0" w:color="auto"/>
                    <w:bottom w:val="none" w:sz="0" w:space="0" w:color="auto"/>
                    <w:right w:val="none" w:sz="0" w:space="0" w:color="auto"/>
                  </w:divBdr>
                  <w:divsChild>
                    <w:div w:id="501631309">
                      <w:marLeft w:val="0"/>
                      <w:marRight w:val="0"/>
                      <w:marTop w:val="0"/>
                      <w:marBottom w:val="0"/>
                      <w:divBdr>
                        <w:top w:val="none" w:sz="0" w:space="0" w:color="auto"/>
                        <w:left w:val="none" w:sz="0" w:space="0" w:color="auto"/>
                        <w:bottom w:val="none" w:sz="0" w:space="0" w:color="auto"/>
                        <w:right w:val="none" w:sz="0" w:space="0" w:color="auto"/>
                      </w:divBdr>
                      <w:divsChild>
                        <w:div w:id="865364730">
                          <w:marLeft w:val="0"/>
                          <w:marRight w:val="0"/>
                          <w:marTop w:val="0"/>
                          <w:marBottom w:val="0"/>
                          <w:divBdr>
                            <w:top w:val="none" w:sz="0" w:space="0" w:color="auto"/>
                            <w:left w:val="none" w:sz="0" w:space="0" w:color="auto"/>
                            <w:bottom w:val="none" w:sz="0" w:space="0" w:color="auto"/>
                            <w:right w:val="none" w:sz="0" w:space="0" w:color="auto"/>
                          </w:divBdr>
                          <w:divsChild>
                            <w:div w:id="1653605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30413431">
      <w:bodyDiv w:val="1"/>
      <w:marLeft w:val="0"/>
      <w:marRight w:val="0"/>
      <w:marTop w:val="0"/>
      <w:marBottom w:val="0"/>
      <w:divBdr>
        <w:top w:val="none" w:sz="0" w:space="0" w:color="auto"/>
        <w:left w:val="none" w:sz="0" w:space="0" w:color="auto"/>
        <w:bottom w:val="none" w:sz="0" w:space="0" w:color="auto"/>
        <w:right w:val="none" w:sz="0" w:space="0" w:color="auto"/>
      </w:divBdr>
    </w:div>
    <w:div w:id="539055516">
      <w:bodyDiv w:val="1"/>
      <w:marLeft w:val="0"/>
      <w:marRight w:val="0"/>
      <w:marTop w:val="0"/>
      <w:marBottom w:val="0"/>
      <w:divBdr>
        <w:top w:val="none" w:sz="0" w:space="0" w:color="auto"/>
        <w:left w:val="none" w:sz="0" w:space="0" w:color="auto"/>
        <w:bottom w:val="none" w:sz="0" w:space="0" w:color="auto"/>
        <w:right w:val="none" w:sz="0" w:space="0" w:color="auto"/>
      </w:divBdr>
    </w:div>
    <w:div w:id="541092708">
      <w:bodyDiv w:val="1"/>
      <w:marLeft w:val="0"/>
      <w:marRight w:val="0"/>
      <w:marTop w:val="0"/>
      <w:marBottom w:val="0"/>
      <w:divBdr>
        <w:top w:val="none" w:sz="0" w:space="0" w:color="auto"/>
        <w:left w:val="none" w:sz="0" w:space="0" w:color="auto"/>
        <w:bottom w:val="none" w:sz="0" w:space="0" w:color="auto"/>
        <w:right w:val="none" w:sz="0" w:space="0" w:color="auto"/>
      </w:divBdr>
    </w:div>
    <w:div w:id="552691094">
      <w:bodyDiv w:val="1"/>
      <w:marLeft w:val="0"/>
      <w:marRight w:val="0"/>
      <w:marTop w:val="0"/>
      <w:marBottom w:val="0"/>
      <w:divBdr>
        <w:top w:val="none" w:sz="0" w:space="0" w:color="auto"/>
        <w:left w:val="none" w:sz="0" w:space="0" w:color="auto"/>
        <w:bottom w:val="none" w:sz="0" w:space="0" w:color="auto"/>
        <w:right w:val="none" w:sz="0" w:space="0" w:color="auto"/>
      </w:divBdr>
    </w:div>
    <w:div w:id="560336841">
      <w:bodyDiv w:val="1"/>
      <w:marLeft w:val="0"/>
      <w:marRight w:val="0"/>
      <w:marTop w:val="0"/>
      <w:marBottom w:val="0"/>
      <w:divBdr>
        <w:top w:val="none" w:sz="0" w:space="0" w:color="auto"/>
        <w:left w:val="none" w:sz="0" w:space="0" w:color="auto"/>
        <w:bottom w:val="none" w:sz="0" w:space="0" w:color="auto"/>
        <w:right w:val="none" w:sz="0" w:space="0" w:color="auto"/>
      </w:divBdr>
    </w:div>
    <w:div w:id="567149239">
      <w:bodyDiv w:val="1"/>
      <w:marLeft w:val="0"/>
      <w:marRight w:val="0"/>
      <w:marTop w:val="0"/>
      <w:marBottom w:val="0"/>
      <w:divBdr>
        <w:top w:val="none" w:sz="0" w:space="0" w:color="auto"/>
        <w:left w:val="none" w:sz="0" w:space="0" w:color="auto"/>
        <w:bottom w:val="none" w:sz="0" w:space="0" w:color="auto"/>
        <w:right w:val="none" w:sz="0" w:space="0" w:color="auto"/>
      </w:divBdr>
      <w:divsChild>
        <w:div w:id="151525048">
          <w:marLeft w:val="0"/>
          <w:marRight w:val="0"/>
          <w:marTop w:val="0"/>
          <w:marBottom w:val="0"/>
          <w:divBdr>
            <w:top w:val="none" w:sz="0" w:space="0" w:color="auto"/>
            <w:left w:val="none" w:sz="0" w:space="0" w:color="auto"/>
            <w:bottom w:val="none" w:sz="0" w:space="0" w:color="auto"/>
            <w:right w:val="none" w:sz="0" w:space="0" w:color="auto"/>
          </w:divBdr>
          <w:divsChild>
            <w:div w:id="1313680948">
              <w:marLeft w:val="0"/>
              <w:marRight w:val="0"/>
              <w:marTop w:val="0"/>
              <w:marBottom w:val="0"/>
              <w:divBdr>
                <w:top w:val="none" w:sz="0" w:space="0" w:color="auto"/>
                <w:left w:val="none" w:sz="0" w:space="0" w:color="auto"/>
                <w:bottom w:val="none" w:sz="0" w:space="0" w:color="auto"/>
                <w:right w:val="none" w:sz="0" w:space="0" w:color="auto"/>
              </w:divBdr>
              <w:divsChild>
                <w:div w:id="2000424759">
                  <w:marLeft w:val="0"/>
                  <w:marRight w:val="0"/>
                  <w:marTop w:val="0"/>
                  <w:marBottom w:val="0"/>
                  <w:divBdr>
                    <w:top w:val="none" w:sz="0" w:space="0" w:color="auto"/>
                    <w:left w:val="none" w:sz="0" w:space="0" w:color="auto"/>
                    <w:bottom w:val="none" w:sz="0" w:space="0" w:color="auto"/>
                    <w:right w:val="none" w:sz="0" w:space="0" w:color="auto"/>
                  </w:divBdr>
                  <w:divsChild>
                    <w:div w:id="920532008">
                      <w:marLeft w:val="0"/>
                      <w:marRight w:val="0"/>
                      <w:marTop w:val="0"/>
                      <w:marBottom w:val="0"/>
                      <w:divBdr>
                        <w:top w:val="none" w:sz="0" w:space="0" w:color="auto"/>
                        <w:left w:val="none" w:sz="0" w:space="0" w:color="auto"/>
                        <w:bottom w:val="none" w:sz="0" w:space="0" w:color="auto"/>
                        <w:right w:val="none" w:sz="0" w:space="0" w:color="auto"/>
                      </w:divBdr>
                      <w:divsChild>
                        <w:div w:id="901259791">
                          <w:marLeft w:val="0"/>
                          <w:marRight w:val="0"/>
                          <w:marTop w:val="0"/>
                          <w:marBottom w:val="0"/>
                          <w:divBdr>
                            <w:top w:val="none" w:sz="0" w:space="0" w:color="auto"/>
                            <w:left w:val="none" w:sz="0" w:space="0" w:color="auto"/>
                            <w:bottom w:val="none" w:sz="0" w:space="0" w:color="auto"/>
                            <w:right w:val="none" w:sz="0" w:space="0" w:color="auto"/>
                          </w:divBdr>
                          <w:divsChild>
                            <w:div w:id="2062707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4606667">
      <w:bodyDiv w:val="1"/>
      <w:marLeft w:val="0"/>
      <w:marRight w:val="0"/>
      <w:marTop w:val="0"/>
      <w:marBottom w:val="0"/>
      <w:divBdr>
        <w:top w:val="none" w:sz="0" w:space="0" w:color="auto"/>
        <w:left w:val="none" w:sz="0" w:space="0" w:color="auto"/>
        <w:bottom w:val="none" w:sz="0" w:space="0" w:color="auto"/>
        <w:right w:val="none" w:sz="0" w:space="0" w:color="auto"/>
      </w:divBdr>
      <w:divsChild>
        <w:div w:id="1840000711">
          <w:marLeft w:val="0"/>
          <w:marRight w:val="0"/>
          <w:marTop w:val="0"/>
          <w:marBottom w:val="0"/>
          <w:divBdr>
            <w:top w:val="none" w:sz="0" w:space="0" w:color="auto"/>
            <w:left w:val="none" w:sz="0" w:space="0" w:color="auto"/>
            <w:bottom w:val="none" w:sz="0" w:space="0" w:color="auto"/>
            <w:right w:val="none" w:sz="0" w:space="0" w:color="auto"/>
          </w:divBdr>
          <w:divsChild>
            <w:div w:id="898589162">
              <w:marLeft w:val="0"/>
              <w:marRight w:val="0"/>
              <w:marTop w:val="0"/>
              <w:marBottom w:val="0"/>
              <w:divBdr>
                <w:top w:val="none" w:sz="0" w:space="0" w:color="auto"/>
                <w:left w:val="none" w:sz="0" w:space="0" w:color="auto"/>
                <w:bottom w:val="none" w:sz="0" w:space="0" w:color="auto"/>
                <w:right w:val="none" w:sz="0" w:space="0" w:color="auto"/>
              </w:divBdr>
              <w:divsChild>
                <w:div w:id="797600934">
                  <w:marLeft w:val="0"/>
                  <w:marRight w:val="0"/>
                  <w:marTop w:val="0"/>
                  <w:marBottom w:val="0"/>
                  <w:divBdr>
                    <w:top w:val="none" w:sz="0" w:space="0" w:color="auto"/>
                    <w:left w:val="none" w:sz="0" w:space="0" w:color="auto"/>
                    <w:bottom w:val="none" w:sz="0" w:space="0" w:color="auto"/>
                    <w:right w:val="none" w:sz="0" w:space="0" w:color="auto"/>
                  </w:divBdr>
                  <w:divsChild>
                    <w:div w:id="480926044">
                      <w:marLeft w:val="0"/>
                      <w:marRight w:val="0"/>
                      <w:marTop w:val="0"/>
                      <w:marBottom w:val="0"/>
                      <w:divBdr>
                        <w:top w:val="none" w:sz="0" w:space="0" w:color="auto"/>
                        <w:left w:val="none" w:sz="0" w:space="0" w:color="auto"/>
                        <w:bottom w:val="none" w:sz="0" w:space="0" w:color="auto"/>
                        <w:right w:val="none" w:sz="0" w:space="0" w:color="auto"/>
                      </w:divBdr>
                      <w:divsChild>
                        <w:div w:id="1473014959">
                          <w:marLeft w:val="0"/>
                          <w:marRight w:val="0"/>
                          <w:marTop w:val="0"/>
                          <w:marBottom w:val="0"/>
                          <w:divBdr>
                            <w:top w:val="none" w:sz="0" w:space="0" w:color="auto"/>
                            <w:left w:val="none" w:sz="0" w:space="0" w:color="auto"/>
                            <w:bottom w:val="none" w:sz="0" w:space="0" w:color="auto"/>
                            <w:right w:val="none" w:sz="0" w:space="0" w:color="auto"/>
                          </w:divBdr>
                          <w:divsChild>
                            <w:div w:id="1083333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5656325">
      <w:bodyDiv w:val="1"/>
      <w:marLeft w:val="0"/>
      <w:marRight w:val="0"/>
      <w:marTop w:val="0"/>
      <w:marBottom w:val="0"/>
      <w:divBdr>
        <w:top w:val="none" w:sz="0" w:space="0" w:color="auto"/>
        <w:left w:val="none" w:sz="0" w:space="0" w:color="auto"/>
        <w:bottom w:val="none" w:sz="0" w:space="0" w:color="auto"/>
        <w:right w:val="none" w:sz="0" w:space="0" w:color="auto"/>
      </w:divBdr>
    </w:div>
    <w:div w:id="592008563">
      <w:bodyDiv w:val="1"/>
      <w:marLeft w:val="0"/>
      <w:marRight w:val="0"/>
      <w:marTop w:val="0"/>
      <w:marBottom w:val="0"/>
      <w:divBdr>
        <w:top w:val="none" w:sz="0" w:space="0" w:color="auto"/>
        <w:left w:val="none" w:sz="0" w:space="0" w:color="auto"/>
        <w:bottom w:val="none" w:sz="0" w:space="0" w:color="auto"/>
        <w:right w:val="none" w:sz="0" w:space="0" w:color="auto"/>
      </w:divBdr>
    </w:div>
    <w:div w:id="607200250">
      <w:bodyDiv w:val="1"/>
      <w:marLeft w:val="0"/>
      <w:marRight w:val="0"/>
      <w:marTop w:val="0"/>
      <w:marBottom w:val="0"/>
      <w:divBdr>
        <w:top w:val="none" w:sz="0" w:space="0" w:color="auto"/>
        <w:left w:val="none" w:sz="0" w:space="0" w:color="auto"/>
        <w:bottom w:val="none" w:sz="0" w:space="0" w:color="auto"/>
        <w:right w:val="none" w:sz="0" w:space="0" w:color="auto"/>
      </w:divBdr>
    </w:div>
    <w:div w:id="632174971">
      <w:bodyDiv w:val="1"/>
      <w:marLeft w:val="0"/>
      <w:marRight w:val="0"/>
      <w:marTop w:val="0"/>
      <w:marBottom w:val="0"/>
      <w:divBdr>
        <w:top w:val="none" w:sz="0" w:space="0" w:color="auto"/>
        <w:left w:val="none" w:sz="0" w:space="0" w:color="auto"/>
        <w:bottom w:val="none" w:sz="0" w:space="0" w:color="auto"/>
        <w:right w:val="none" w:sz="0" w:space="0" w:color="auto"/>
      </w:divBdr>
    </w:div>
    <w:div w:id="632977235">
      <w:bodyDiv w:val="1"/>
      <w:marLeft w:val="0"/>
      <w:marRight w:val="0"/>
      <w:marTop w:val="0"/>
      <w:marBottom w:val="0"/>
      <w:divBdr>
        <w:top w:val="none" w:sz="0" w:space="0" w:color="auto"/>
        <w:left w:val="none" w:sz="0" w:space="0" w:color="auto"/>
        <w:bottom w:val="none" w:sz="0" w:space="0" w:color="auto"/>
        <w:right w:val="none" w:sz="0" w:space="0" w:color="auto"/>
      </w:divBdr>
    </w:div>
    <w:div w:id="674768068">
      <w:bodyDiv w:val="1"/>
      <w:marLeft w:val="0"/>
      <w:marRight w:val="0"/>
      <w:marTop w:val="0"/>
      <w:marBottom w:val="0"/>
      <w:divBdr>
        <w:top w:val="none" w:sz="0" w:space="0" w:color="auto"/>
        <w:left w:val="none" w:sz="0" w:space="0" w:color="auto"/>
        <w:bottom w:val="none" w:sz="0" w:space="0" w:color="auto"/>
        <w:right w:val="none" w:sz="0" w:space="0" w:color="auto"/>
      </w:divBdr>
    </w:div>
    <w:div w:id="679696357">
      <w:marLeft w:val="0"/>
      <w:marRight w:val="0"/>
      <w:marTop w:val="0"/>
      <w:marBottom w:val="0"/>
      <w:divBdr>
        <w:top w:val="none" w:sz="0" w:space="0" w:color="auto"/>
        <w:left w:val="none" w:sz="0" w:space="0" w:color="auto"/>
        <w:bottom w:val="none" w:sz="0" w:space="0" w:color="auto"/>
        <w:right w:val="none" w:sz="0" w:space="0" w:color="auto"/>
      </w:divBdr>
    </w:div>
    <w:div w:id="679696359">
      <w:marLeft w:val="0"/>
      <w:marRight w:val="0"/>
      <w:marTop w:val="0"/>
      <w:marBottom w:val="0"/>
      <w:divBdr>
        <w:top w:val="none" w:sz="0" w:space="0" w:color="auto"/>
        <w:left w:val="none" w:sz="0" w:space="0" w:color="auto"/>
        <w:bottom w:val="none" w:sz="0" w:space="0" w:color="auto"/>
        <w:right w:val="none" w:sz="0" w:space="0" w:color="auto"/>
      </w:divBdr>
    </w:div>
    <w:div w:id="679696360">
      <w:marLeft w:val="0"/>
      <w:marRight w:val="0"/>
      <w:marTop w:val="0"/>
      <w:marBottom w:val="0"/>
      <w:divBdr>
        <w:top w:val="none" w:sz="0" w:space="0" w:color="auto"/>
        <w:left w:val="none" w:sz="0" w:space="0" w:color="auto"/>
        <w:bottom w:val="none" w:sz="0" w:space="0" w:color="auto"/>
        <w:right w:val="none" w:sz="0" w:space="0" w:color="auto"/>
      </w:divBdr>
      <w:divsChild>
        <w:div w:id="679696749">
          <w:marLeft w:val="0"/>
          <w:marRight w:val="0"/>
          <w:marTop w:val="0"/>
          <w:marBottom w:val="0"/>
          <w:divBdr>
            <w:top w:val="none" w:sz="0" w:space="0" w:color="auto"/>
            <w:left w:val="none" w:sz="0" w:space="0" w:color="auto"/>
            <w:bottom w:val="none" w:sz="0" w:space="0" w:color="auto"/>
            <w:right w:val="none" w:sz="0" w:space="0" w:color="auto"/>
          </w:divBdr>
        </w:div>
      </w:divsChild>
    </w:div>
    <w:div w:id="679696361">
      <w:marLeft w:val="0"/>
      <w:marRight w:val="0"/>
      <w:marTop w:val="0"/>
      <w:marBottom w:val="0"/>
      <w:divBdr>
        <w:top w:val="none" w:sz="0" w:space="0" w:color="auto"/>
        <w:left w:val="none" w:sz="0" w:space="0" w:color="auto"/>
        <w:bottom w:val="none" w:sz="0" w:space="0" w:color="auto"/>
        <w:right w:val="none" w:sz="0" w:space="0" w:color="auto"/>
      </w:divBdr>
    </w:div>
    <w:div w:id="679696362">
      <w:marLeft w:val="0"/>
      <w:marRight w:val="0"/>
      <w:marTop w:val="0"/>
      <w:marBottom w:val="0"/>
      <w:divBdr>
        <w:top w:val="none" w:sz="0" w:space="0" w:color="auto"/>
        <w:left w:val="none" w:sz="0" w:space="0" w:color="auto"/>
        <w:bottom w:val="none" w:sz="0" w:space="0" w:color="auto"/>
        <w:right w:val="none" w:sz="0" w:space="0" w:color="auto"/>
      </w:divBdr>
      <w:divsChild>
        <w:div w:id="679696506">
          <w:marLeft w:val="0"/>
          <w:marRight w:val="0"/>
          <w:marTop w:val="0"/>
          <w:marBottom w:val="0"/>
          <w:divBdr>
            <w:top w:val="none" w:sz="0" w:space="0" w:color="auto"/>
            <w:left w:val="none" w:sz="0" w:space="0" w:color="auto"/>
            <w:bottom w:val="none" w:sz="0" w:space="0" w:color="auto"/>
            <w:right w:val="none" w:sz="0" w:space="0" w:color="auto"/>
          </w:divBdr>
        </w:div>
      </w:divsChild>
    </w:div>
    <w:div w:id="679696364">
      <w:marLeft w:val="0"/>
      <w:marRight w:val="0"/>
      <w:marTop w:val="0"/>
      <w:marBottom w:val="0"/>
      <w:divBdr>
        <w:top w:val="none" w:sz="0" w:space="0" w:color="auto"/>
        <w:left w:val="none" w:sz="0" w:space="0" w:color="auto"/>
        <w:bottom w:val="none" w:sz="0" w:space="0" w:color="auto"/>
        <w:right w:val="none" w:sz="0" w:space="0" w:color="auto"/>
      </w:divBdr>
    </w:div>
    <w:div w:id="679696366">
      <w:marLeft w:val="0"/>
      <w:marRight w:val="0"/>
      <w:marTop w:val="0"/>
      <w:marBottom w:val="0"/>
      <w:divBdr>
        <w:top w:val="none" w:sz="0" w:space="0" w:color="auto"/>
        <w:left w:val="none" w:sz="0" w:space="0" w:color="auto"/>
        <w:bottom w:val="none" w:sz="0" w:space="0" w:color="auto"/>
        <w:right w:val="none" w:sz="0" w:space="0" w:color="auto"/>
      </w:divBdr>
    </w:div>
    <w:div w:id="679696368">
      <w:marLeft w:val="0"/>
      <w:marRight w:val="0"/>
      <w:marTop w:val="0"/>
      <w:marBottom w:val="0"/>
      <w:divBdr>
        <w:top w:val="none" w:sz="0" w:space="0" w:color="auto"/>
        <w:left w:val="none" w:sz="0" w:space="0" w:color="auto"/>
        <w:bottom w:val="none" w:sz="0" w:space="0" w:color="auto"/>
        <w:right w:val="none" w:sz="0" w:space="0" w:color="auto"/>
      </w:divBdr>
    </w:div>
    <w:div w:id="679696369">
      <w:marLeft w:val="0"/>
      <w:marRight w:val="0"/>
      <w:marTop w:val="0"/>
      <w:marBottom w:val="0"/>
      <w:divBdr>
        <w:top w:val="none" w:sz="0" w:space="0" w:color="auto"/>
        <w:left w:val="none" w:sz="0" w:space="0" w:color="auto"/>
        <w:bottom w:val="none" w:sz="0" w:space="0" w:color="auto"/>
        <w:right w:val="none" w:sz="0" w:space="0" w:color="auto"/>
      </w:divBdr>
    </w:div>
    <w:div w:id="679696371">
      <w:marLeft w:val="0"/>
      <w:marRight w:val="0"/>
      <w:marTop w:val="0"/>
      <w:marBottom w:val="0"/>
      <w:divBdr>
        <w:top w:val="none" w:sz="0" w:space="0" w:color="auto"/>
        <w:left w:val="none" w:sz="0" w:space="0" w:color="auto"/>
        <w:bottom w:val="none" w:sz="0" w:space="0" w:color="auto"/>
        <w:right w:val="none" w:sz="0" w:space="0" w:color="auto"/>
      </w:divBdr>
    </w:div>
    <w:div w:id="679696373">
      <w:marLeft w:val="0"/>
      <w:marRight w:val="0"/>
      <w:marTop w:val="0"/>
      <w:marBottom w:val="0"/>
      <w:divBdr>
        <w:top w:val="none" w:sz="0" w:space="0" w:color="auto"/>
        <w:left w:val="none" w:sz="0" w:space="0" w:color="auto"/>
        <w:bottom w:val="none" w:sz="0" w:space="0" w:color="auto"/>
        <w:right w:val="none" w:sz="0" w:space="0" w:color="auto"/>
      </w:divBdr>
    </w:div>
    <w:div w:id="679696374">
      <w:marLeft w:val="0"/>
      <w:marRight w:val="0"/>
      <w:marTop w:val="0"/>
      <w:marBottom w:val="0"/>
      <w:divBdr>
        <w:top w:val="none" w:sz="0" w:space="0" w:color="auto"/>
        <w:left w:val="none" w:sz="0" w:space="0" w:color="auto"/>
        <w:bottom w:val="none" w:sz="0" w:space="0" w:color="auto"/>
        <w:right w:val="none" w:sz="0" w:space="0" w:color="auto"/>
      </w:divBdr>
    </w:div>
    <w:div w:id="679696376">
      <w:marLeft w:val="0"/>
      <w:marRight w:val="0"/>
      <w:marTop w:val="0"/>
      <w:marBottom w:val="0"/>
      <w:divBdr>
        <w:top w:val="none" w:sz="0" w:space="0" w:color="auto"/>
        <w:left w:val="none" w:sz="0" w:space="0" w:color="auto"/>
        <w:bottom w:val="none" w:sz="0" w:space="0" w:color="auto"/>
        <w:right w:val="none" w:sz="0" w:space="0" w:color="auto"/>
      </w:divBdr>
    </w:div>
    <w:div w:id="679696377">
      <w:marLeft w:val="0"/>
      <w:marRight w:val="0"/>
      <w:marTop w:val="0"/>
      <w:marBottom w:val="0"/>
      <w:divBdr>
        <w:top w:val="none" w:sz="0" w:space="0" w:color="auto"/>
        <w:left w:val="none" w:sz="0" w:space="0" w:color="auto"/>
        <w:bottom w:val="none" w:sz="0" w:space="0" w:color="auto"/>
        <w:right w:val="none" w:sz="0" w:space="0" w:color="auto"/>
      </w:divBdr>
    </w:div>
    <w:div w:id="679696378">
      <w:marLeft w:val="0"/>
      <w:marRight w:val="0"/>
      <w:marTop w:val="0"/>
      <w:marBottom w:val="0"/>
      <w:divBdr>
        <w:top w:val="none" w:sz="0" w:space="0" w:color="auto"/>
        <w:left w:val="none" w:sz="0" w:space="0" w:color="auto"/>
        <w:bottom w:val="none" w:sz="0" w:space="0" w:color="auto"/>
        <w:right w:val="none" w:sz="0" w:space="0" w:color="auto"/>
      </w:divBdr>
    </w:div>
    <w:div w:id="679696379">
      <w:marLeft w:val="0"/>
      <w:marRight w:val="0"/>
      <w:marTop w:val="0"/>
      <w:marBottom w:val="0"/>
      <w:divBdr>
        <w:top w:val="none" w:sz="0" w:space="0" w:color="auto"/>
        <w:left w:val="none" w:sz="0" w:space="0" w:color="auto"/>
        <w:bottom w:val="none" w:sz="0" w:space="0" w:color="auto"/>
        <w:right w:val="none" w:sz="0" w:space="0" w:color="auto"/>
      </w:divBdr>
    </w:div>
    <w:div w:id="679696380">
      <w:marLeft w:val="0"/>
      <w:marRight w:val="0"/>
      <w:marTop w:val="0"/>
      <w:marBottom w:val="0"/>
      <w:divBdr>
        <w:top w:val="none" w:sz="0" w:space="0" w:color="auto"/>
        <w:left w:val="none" w:sz="0" w:space="0" w:color="auto"/>
        <w:bottom w:val="none" w:sz="0" w:space="0" w:color="auto"/>
        <w:right w:val="none" w:sz="0" w:space="0" w:color="auto"/>
      </w:divBdr>
    </w:div>
    <w:div w:id="679696381">
      <w:marLeft w:val="0"/>
      <w:marRight w:val="0"/>
      <w:marTop w:val="0"/>
      <w:marBottom w:val="0"/>
      <w:divBdr>
        <w:top w:val="none" w:sz="0" w:space="0" w:color="auto"/>
        <w:left w:val="none" w:sz="0" w:space="0" w:color="auto"/>
        <w:bottom w:val="none" w:sz="0" w:space="0" w:color="auto"/>
        <w:right w:val="none" w:sz="0" w:space="0" w:color="auto"/>
      </w:divBdr>
    </w:div>
    <w:div w:id="679696384">
      <w:marLeft w:val="0"/>
      <w:marRight w:val="0"/>
      <w:marTop w:val="0"/>
      <w:marBottom w:val="0"/>
      <w:divBdr>
        <w:top w:val="none" w:sz="0" w:space="0" w:color="auto"/>
        <w:left w:val="none" w:sz="0" w:space="0" w:color="auto"/>
        <w:bottom w:val="none" w:sz="0" w:space="0" w:color="auto"/>
        <w:right w:val="none" w:sz="0" w:space="0" w:color="auto"/>
      </w:divBdr>
    </w:div>
    <w:div w:id="679696385">
      <w:marLeft w:val="0"/>
      <w:marRight w:val="0"/>
      <w:marTop w:val="0"/>
      <w:marBottom w:val="0"/>
      <w:divBdr>
        <w:top w:val="none" w:sz="0" w:space="0" w:color="auto"/>
        <w:left w:val="none" w:sz="0" w:space="0" w:color="auto"/>
        <w:bottom w:val="none" w:sz="0" w:space="0" w:color="auto"/>
        <w:right w:val="none" w:sz="0" w:space="0" w:color="auto"/>
      </w:divBdr>
    </w:div>
    <w:div w:id="679696387">
      <w:marLeft w:val="0"/>
      <w:marRight w:val="0"/>
      <w:marTop w:val="0"/>
      <w:marBottom w:val="0"/>
      <w:divBdr>
        <w:top w:val="none" w:sz="0" w:space="0" w:color="auto"/>
        <w:left w:val="none" w:sz="0" w:space="0" w:color="auto"/>
        <w:bottom w:val="none" w:sz="0" w:space="0" w:color="auto"/>
        <w:right w:val="none" w:sz="0" w:space="0" w:color="auto"/>
      </w:divBdr>
    </w:div>
    <w:div w:id="679696388">
      <w:marLeft w:val="0"/>
      <w:marRight w:val="0"/>
      <w:marTop w:val="0"/>
      <w:marBottom w:val="0"/>
      <w:divBdr>
        <w:top w:val="none" w:sz="0" w:space="0" w:color="auto"/>
        <w:left w:val="none" w:sz="0" w:space="0" w:color="auto"/>
        <w:bottom w:val="none" w:sz="0" w:space="0" w:color="auto"/>
        <w:right w:val="none" w:sz="0" w:space="0" w:color="auto"/>
      </w:divBdr>
    </w:div>
    <w:div w:id="679696391">
      <w:marLeft w:val="0"/>
      <w:marRight w:val="0"/>
      <w:marTop w:val="0"/>
      <w:marBottom w:val="0"/>
      <w:divBdr>
        <w:top w:val="none" w:sz="0" w:space="0" w:color="auto"/>
        <w:left w:val="none" w:sz="0" w:space="0" w:color="auto"/>
        <w:bottom w:val="none" w:sz="0" w:space="0" w:color="auto"/>
        <w:right w:val="none" w:sz="0" w:space="0" w:color="auto"/>
      </w:divBdr>
      <w:divsChild>
        <w:div w:id="679696490">
          <w:marLeft w:val="0"/>
          <w:marRight w:val="0"/>
          <w:marTop w:val="0"/>
          <w:marBottom w:val="0"/>
          <w:divBdr>
            <w:top w:val="none" w:sz="0" w:space="0" w:color="auto"/>
            <w:left w:val="none" w:sz="0" w:space="0" w:color="auto"/>
            <w:bottom w:val="none" w:sz="0" w:space="0" w:color="auto"/>
            <w:right w:val="none" w:sz="0" w:space="0" w:color="auto"/>
          </w:divBdr>
        </w:div>
      </w:divsChild>
    </w:div>
    <w:div w:id="679696392">
      <w:marLeft w:val="0"/>
      <w:marRight w:val="0"/>
      <w:marTop w:val="0"/>
      <w:marBottom w:val="0"/>
      <w:divBdr>
        <w:top w:val="none" w:sz="0" w:space="0" w:color="auto"/>
        <w:left w:val="none" w:sz="0" w:space="0" w:color="auto"/>
        <w:bottom w:val="none" w:sz="0" w:space="0" w:color="auto"/>
        <w:right w:val="none" w:sz="0" w:space="0" w:color="auto"/>
      </w:divBdr>
      <w:divsChild>
        <w:div w:id="679696471">
          <w:marLeft w:val="0"/>
          <w:marRight w:val="0"/>
          <w:marTop w:val="0"/>
          <w:marBottom w:val="0"/>
          <w:divBdr>
            <w:top w:val="none" w:sz="0" w:space="0" w:color="auto"/>
            <w:left w:val="none" w:sz="0" w:space="0" w:color="auto"/>
            <w:bottom w:val="none" w:sz="0" w:space="0" w:color="auto"/>
            <w:right w:val="none" w:sz="0" w:space="0" w:color="auto"/>
          </w:divBdr>
          <w:divsChild>
            <w:div w:id="679696590">
              <w:marLeft w:val="0"/>
              <w:marRight w:val="0"/>
              <w:marTop w:val="0"/>
              <w:marBottom w:val="0"/>
              <w:divBdr>
                <w:top w:val="none" w:sz="0" w:space="0" w:color="auto"/>
                <w:left w:val="none" w:sz="0" w:space="0" w:color="auto"/>
                <w:bottom w:val="none" w:sz="0" w:space="0" w:color="auto"/>
                <w:right w:val="none" w:sz="0" w:space="0" w:color="auto"/>
              </w:divBdr>
              <w:divsChild>
                <w:div w:id="679696441">
                  <w:marLeft w:val="0"/>
                  <w:marRight w:val="0"/>
                  <w:marTop w:val="0"/>
                  <w:marBottom w:val="0"/>
                  <w:divBdr>
                    <w:top w:val="none" w:sz="0" w:space="0" w:color="auto"/>
                    <w:left w:val="none" w:sz="0" w:space="0" w:color="auto"/>
                    <w:bottom w:val="none" w:sz="0" w:space="0" w:color="auto"/>
                    <w:right w:val="none" w:sz="0" w:space="0" w:color="auto"/>
                  </w:divBdr>
                  <w:divsChild>
                    <w:div w:id="679696614">
                      <w:marLeft w:val="0"/>
                      <w:marRight w:val="0"/>
                      <w:marTop w:val="0"/>
                      <w:marBottom w:val="0"/>
                      <w:divBdr>
                        <w:top w:val="none" w:sz="0" w:space="0" w:color="auto"/>
                        <w:left w:val="none" w:sz="0" w:space="0" w:color="auto"/>
                        <w:bottom w:val="none" w:sz="0" w:space="0" w:color="auto"/>
                        <w:right w:val="none" w:sz="0" w:space="0" w:color="auto"/>
                      </w:divBdr>
                      <w:divsChild>
                        <w:div w:id="679696668">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9696394">
      <w:marLeft w:val="0"/>
      <w:marRight w:val="0"/>
      <w:marTop w:val="0"/>
      <w:marBottom w:val="0"/>
      <w:divBdr>
        <w:top w:val="none" w:sz="0" w:space="0" w:color="auto"/>
        <w:left w:val="none" w:sz="0" w:space="0" w:color="auto"/>
        <w:bottom w:val="none" w:sz="0" w:space="0" w:color="auto"/>
        <w:right w:val="none" w:sz="0" w:space="0" w:color="auto"/>
      </w:divBdr>
      <w:divsChild>
        <w:div w:id="679696654">
          <w:marLeft w:val="0"/>
          <w:marRight w:val="0"/>
          <w:marTop w:val="0"/>
          <w:marBottom w:val="0"/>
          <w:divBdr>
            <w:top w:val="none" w:sz="0" w:space="0" w:color="auto"/>
            <w:left w:val="none" w:sz="0" w:space="0" w:color="auto"/>
            <w:bottom w:val="none" w:sz="0" w:space="0" w:color="auto"/>
            <w:right w:val="none" w:sz="0" w:space="0" w:color="auto"/>
          </w:divBdr>
          <w:divsChild>
            <w:div w:id="679696573">
              <w:marLeft w:val="0"/>
              <w:marRight w:val="0"/>
              <w:marTop w:val="0"/>
              <w:marBottom w:val="0"/>
              <w:divBdr>
                <w:top w:val="none" w:sz="0" w:space="0" w:color="auto"/>
                <w:left w:val="none" w:sz="0" w:space="0" w:color="auto"/>
                <w:bottom w:val="none" w:sz="0" w:space="0" w:color="auto"/>
                <w:right w:val="none" w:sz="0" w:space="0" w:color="auto"/>
              </w:divBdr>
              <w:divsChild>
                <w:div w:id="679696477">
                  <w:marLeft w:val="0"/>
                  <w:marRight w:val="0"/>
                  <w:marTop w:val="0"/>
                  <w:marBottom w:val="0"/>
                  <w:divBdr>
                    <w:top w:val="none" w:sz="0" w:space="0" w:color="auto"/>
                    <w:left w:val="none" w:sz="0" w:space="0" w:color="auto"/>
                    <w:bottom w:val="none" w:sz="0" w:space="0" w:color="auto"/>
                    <w:right w:val="none" w:sz="0" w:space="0" w:color="auto"/>
                  </w:divBdr>
                  <w:divsChild>
                    <w:div w:id="679696404">
                      <w:marLeft w:val="0"/>
                      <w:marRight w:val="0"/>
                      <w:marTop w:val="0"/>
                      <w:marBottom w:val="0"/>
                      <w:divBdr>
                        <w:top w:val="none" w:sz="0" w:space="0" w:color="auto"/>
                        <w:left w:val="none" w:sz="0" w:space="0" w:color="auto"/>
                        <w:bottom w:val="none" w:sz="0" w:space="0" w:color="auto"/>
                        <w:right w:val="none" w:sz="0" w:space="0" w:color="auto"/>
                      </w:divBdr>
                      <w:divsChild>
                        <w:div w:id="679696367">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9696395">
      <w:marLeft w:val="0"/>
      <w:marRight w:val="0"/>
      <w:marTop w:val="0"/>
      <w:marBottom w:val="0"/>
      <w:divBdr>
        <w:top w:val="none" w:sz="0" w:space="0" w:color="auto"/>
        <w:left w:val="none" w:sz="0" w:space="0" w:color="auto"/>
        <w:bottom w:val="none" w:sz="0" w:space="0" w:color="auto"/>
        <w:right w:val="none" w:sz="0" w:space="0" w:color="auto"/>
      </w:divBdr>
    </w:div>
    <w:div w:id="679696397">
      <w:marLeft w:val="0"/>
      <w:marRight w:val="0"/>
      <w:marTop w:val="0"/>
      <w:marBottom w:val="0"/>
      <w:divBdr>
        <w:top w:val="none" w:sz="0" w:space="0" w:color="auto"/>
        <w:left w:val="none" w:sz="0" w:space="0" w:color="auto"/>
        <w:bottom w:val="none" w:sz="0" w:space="0" w:color="auto"/>
        <w:right w:val="none" w:sz="0" w:space="0" w:color="auto"/>
      </w:divBdr>
    </w:div>
    <w:div w:id="679696398">
      <w:marLeft w:val="0"/>
      <w:marRight w:val="0"/>
      <w:marTop w:val="0"/>
      <w:marBottom w:val="0"/>
      <w:divBdr>
        <w:top w:val="none" w:sz="0" w:space="0" w:color="auto"/>
        <w:left w:val="none" w:sz="0" w:space="0" w:color="auto"/>
        <w:bottom w:val="none" w:sz="0" w:space="0" w:color="auto"/>
        <w:right w:val="none" w:sz="0" w:space="0" w:color="auto"/>
      </w:divBdr>
    </w:div>
    <w:div w:id="679696399">
      <w:marLeft w:val="0"/>
      <w:marRight w:val="0"/>
      <w:marTop w:val="0"/>
      <w:marBottom w:val="0"/>
      <w:divBdr>
        <w:top w:val="none" w:sz="0" w:space="0" w:color="auto"/>
        <w:left w:val="none" w:sz="0" w:space="0" w:color="auto"/>
        <w:bottom w:val="none" w:sz="0" w:space="0" w:color="auto"/>
        <w:right w:val="none" w:sz="0" w:space="0" w:color="auto"/>
      </w:divBdr>
      <w:divsChild>
        <w:div w:id="679696449">
          <w:marLeft w:val="0"/>
          <w:marRight w:val="0"/>
          <w:marTop w:val="0"/>
          <w:marBottom w:val="0"/>
          <w:divBdr>
            <w:top w:val="none" w:sz="0" w:space="0" w:color="auto"/>
            <w:left w:val="none" w:sz="0" w:space="0" w:color="auto"/>
            <w:bottom w:val="none" w:sz="0" w:space="0" w:color="auto"/>
            <w:right w:val="none" w:sz="0" w:space="0" w:color="auto"/>
          </w:divBdr>
        </w:div>
        <w:div w:id="679696723">
          <w:marLeft w:val="0"/>
          <w:marRight w:val="0"/>
          <w:marTop w:val="0"/>
          <w:marBottom w:val="0"/>
          <w:divBdr>
            <w:top w:val="none" w:sz="0" w:space="0" w:color="auto"/>
            <w:left w:val="none" w:sz="0" w:space="0" w:color="auto"/>
            <w:bottom w:val="none" w:sz="0" w:space="0" w:color="auto"/>
            <w:right w:val="none" w:sz="0" w:space="0" w:color="auto"/>
          </w:divBdr>
        </w:div>
      </w:divsChild>
    </w:div>
    <w:div w:id="679696400">
      <w:marLeft w:val="0"/>
      <w:marRight w:val="0"/>
      <w:marTop w:val="0"/>
      <w:marBottom w:val="0"/>
      <w:divBdr>
        <w:top w:val="none" w:sz="0" w:space="0" w:color="auto"/>
        <w:left w:val="none" w:sz="0" w:space="0" w:color="auto"/>
        <w:bottom w:val="none" w:sz="0" w:space="0" w:color="auto"/>
        <w:right w:val="none" w:sz="0" w:space="0" w:color="auto"/>
      </w:divBdr>
    </w:div>
    <w:div w:id="679696401">
      <w:marLeft w:val="0"/>
      <w:marRight w:val="0"/>
      <w:marTop w:val="0"/>
      <w:marBottom w:val="0"/>
      <w:divBdr>
        <w:top w:val="none" w:sz="0" w:space="0" w:color="auto"/>
        <w:left w:val="none" w:sz="0" w:space="0" w:color="auto"/>
        <w:bottom w:val="none" w:sz="0" w:space="0" w:color="auto"/>
        <w:right w:val="none" w:sz="0" w:space="0" w:color="auto"/>
      </w:divBdr>
    </w:div>
    <w:div w:id="679696402">
      <w:marLeft w:val="0"/>
      <w:marRight w:val="0"/>
      <w:marTop w:val="0"/>
      <w:marBottom w:val="0"/>
      <w:divBdr>
        <w:top w:val="none" w:sz="0" w:space="0" w:color="auto"/>
        <w:left w:val="none" w:sz="0" w:space="0" w:color="auto"/>
        <w:bottom w:val="none" w:sz="0" w:space="0" w:color="auto"/>
        <w:right w:val="none" w:sz="0" w:space="0" w:color="auto"/>
      </w:divBdr>
    </w:div>
    <w:div w:id="679696405">
      <w:marLeft w:val="0"/>
      <w:marRight w:val="0"/>
      <w:marTop w:val="0"/>
      <w:marBottom w:val="0"/>
      <w:divBdr>
        <w:top w:val="none" w:sz="0" w:space="0" w:color="auto"/>
        <w:left w:val="none" w:sz="0" w:space="0" w:color="auto"/>
        <w:bottom w:val="none" w:sz="0" w:space="0" w:color="auto"/>
        <w:right w:val="none" w:sz="0" w:space="0" w:color="auto"/>
      </w:divBdr>
    </w:div>
    <w:div w:id="679696407">
      <w:marLeft w:val="0"/>
      <w:marRight w:val="0"/>
      <w:marTop w:val="0"/>
      <w:marBottom w:val="0"/>
      <w:divBdr>
        <w:top w:val="none" w:sz="0" w:space="0" w:color="auto"/>
        <w:left w:val="none" w:sz="0" w:space="0" w:color="auto"/>
        <w:bottom w:val="none" w:sz="0" w:space="0" w:color="auto"/>
        <w:right w:val="none" w:sz="0" w:space="0" w:color="auto"/>
      </w:divBdr>
    </w:div>
    <w:div w:id="679696408">
      <w:marLeft w:val="0"/>
      <w:marRight w:val="0"/>
      <w:marTop w:val="0"/>
      <w:marBottom w:val="0"/>
      <w:divBdr>
        <w:top w:val="none" w:sz="0" w:space="0" w:color="auto"/>
        <w:left w:val="none" w:sz="0" w:space="0" w:color="auto"/>
        <w:bottom w:val="none" w:sz="0" w:space="0" w:color="auto"/>
        <w:right w:val="none" w:sz="0" w:space="0" w:color="auto"/>
      </w:divBdr>
    </w:div>
    <w:div w:id="679696409">
      <w:marLeft w:val="0"/>
      <w:marRight w:val="0"/>
      <w:marTop w:val="0"/>
      <w:marBottom w:val="0"/>
      <w:divBdr>
        <w:top w:val="none" w:sz="0" w:space="0" w:color="auto"/>
        <w:left w:val="none" w:sz="0" w:space="0" w:color="auto"/>
        <w:bottom w:val="none" w:sz="0" w:space="0" w:color="auto"/>
        <w:right w:val="none" w:sz="0" w:space="0" w:color="auto"/>
      </w:divBdr>
    </w:div>
    <w:div w:id="679696410">
      <w:marLeft w:val="0"/>
      <w:marRight w:val="0"/>
      <w:marTop w:val="0"/>
      <w:marBottom w:val="0"/>
      <w:divBdr>
        <w:top w:val="none" w:sz="0" w:space="0" w:color="auto"/>
        <w:left w:val="none" w:sz="0" w:space="0" w:color="auto"/>
        <w:bottom w:val="none" w:sz="0" w:space="0" w:color="auto"/>
        <w:right w:val="none" w:sz="0" w:space="0" w:color="auto"/>
      </w:divBdr>
    </w:div>
    <w:div w:id="679696411">
      <w:marLeft w:val="0"/>
      <w:marRight w:val="0"/>
      <w:marTop w:val="0"/>
      <w:marBottom w:val="0"/>
      <w:divBdr>
        <w:top w:val="none" w:sz="0" w:space="0" w:color="auto"/>
        <w:left w:val="none" w:sz="0" w:space="0" w:color="auto"/>
        <w:bottom w:val="none" w:sz="0" w:space="0" w:color="auto"/>
        <w:right w:val="none" w:sz="0" w:space="0" w:color="auto"/>
      </w:divBdr>
    </w:div>
    <w:div w:id="679696412">
      <w:marLeft w:val="0"/>
      <w:marRight w:val="0"/>
      <w:marTop w:val="0"/>
      <w:marBottom w:val="0"/>
      <w:divBdr>
        <w:top w:val="none" w:sz="0" w:space="0" w:color="auto"/>
        <w:left w:val="none" w:sz="0" w:space="0" w:color="auto"/>
        <w:bottom w:val="none" w:sz="0" w:space="0" w:color="auto"/>
        <w:right w:val="none" w:sz="0" w:space="0" w:color="auto"/>
      </w:divBdr>
    </w:div>
    <w:div w:id="679696413">
      <w:marLeft w:val="0"/>
      <w:marRight w:val="0"/>
      <w:marTop w:val="0"/>
      <w:marBottom w:val="0"/>
      <w:divBdr>
        <w:top w:val="none" w:sz="0" w:space="0" w:color="auto"/>
        <w:left w:val="none" w:sz="0" w:space="0" w:color="auto"/>
        <w:bottom w:val="none" w:sz="0" w:space="0" w:color="auto"/>
        <w:right w:val="none" w:sz="0" w:space="0" w:color="auto"/>
      </w:divBdr>
    </w:div>
    <w:div w:id="679696416">
      <w:marLeft w:val="0"/>
      <w:marRight w:val="0"/>
      <w:marTop w:val="0"/>
      <w:marBottom w:val="0"/>
      <w:divBdr>
        <w:top w:val="none" w:sz="0" w:space="0" w:color="auto"/>
        <w:left w:val="none" w:sz="0" w:space="0" w:color="auto"/>
        <w:bottom w:val="none" w:sz="0" w:space="0" w:color="auto"/>
        <w:right w:val="none" w:sz="0" w:space="0" w:color="auto"/>
      </w:divBdr>
    </w:div>
    <w:div w:id="679696417">
      <w:marLeft w:val="0"/>
      <w:marRight w:val="0"/>
      <w:marTop w:val="0"/>
      <w:marBottom w:val="0"/>
      <w:divBdr>
        <w:top w:val="none" w:sz="0" w:space="0" w:color="auto"/>
        <w:left w:val="none" w:sz="0" w:space="0" w:color="auto"/>
        <w:bottom w:val="none" w:sz="0" w:space="0" w:color="auto"/>
        <w:right w:val="none" w:sz="0" w:space="0" w:color="auto"/>
      </w:divBdr>
      <w:divsChild>
        <w:div w:id="679696386">
          <w:marLeft w:val="0"/>
          <w:marRight w:val="0"/>
          <w:marTop w:val="0"/>
          <w:marBottom w:val="0"/>
          <w:divBdr>
            <w:top w:val="none" w:sz="0" w:space="0" w:color="auto"/>
            <w:left w:val="none" w:sz="0" w:space="0" w:color="auto"/>
            <w:bottom w:val="none" w:sz="0" w:space="0" w:color="auto"/>
            <w:right w:val="none" w:sz="0" w:space="0" w:color="auto"/>
          </w:divBdr>
          <w:divsChild>
            <w:div w:id="679696480">
              <w:marLeft w:val="0"/>
              <w:marRight w:val="0"/>
              <w:marTop w:val="0"/>
              <w:marBottom w:val="0"/>
              <w:divBdr>
                <w:top w:val="none" w:sz="0" w:space="0" w:color="auto"/>
                <w:left w:val="none" w:sz="0" w:space="0" w:color="auto"/>
                <w:bottom w:val="none" w:sz="0" w:space="0" w:color="auto"/>
                <w:right w:val="none" w:sz="0" w:space="0" w:color="auto"/>
              </w:divBdr>
              <w:divsChild>
                <w:div w:id="679696649">
                  <w:marLeft w:val="0"/>
                  <w:marRight w:val="0"/>
                  <w:marTop w:val="0"/>
                  <w:marBottom w:val="0"/>
                  <w:divBdr>
                    <w:top w:val="none" w:sz="0" w:space="0" w:color="auto"/>
                    <w:left w:val="none" w:sz="0" w:space="0" w:color="auto"/>
                    <w:bottom w:val="none" w:sz="0" w:space="0" w:color="auto"/>
                    <w:right w:val="none" w:sz="0" w:space="0" w:color="auto"/>
                  </w:divBdr>
                  <w:divsChild>
                    <w:div w:id="679696670">
                      <w:marLeft w:val="0"/>
                      <w:marRight w:val="0"/>
                      <w:marTop w:val="0"/>
                      <w:marBottom w:val="0"/>
                      <w:divBdr>
                        <w:top w:val="none" w:sz="0" w:space="0" w:color="auto"/>
                        <w:left w:val="none" w:sz="0" w:space="0" w:color="auto"/>
                        <w:bottom w:val="none" w:sz="0" w:space="0" w:color="auto"/>
                        <w:right w:val="none" w:sz="0" w:space="0" w:color="auto"/>
                      </w:divBdr>
                      <w:divsChild>
                        <w:div w:id="679696579">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9696418">
      <w:marLeft w:val="0"/>
      <w:marRight w:val="0"/>
      <w:marTop w:val="0"/>
      <w:marBottom w:val="0"/>
      <w:divBdr>
        <w:top w:val="none" w:sz="0" w:space="0" w:color="auto"/>
        <w:left w:val="none" w:sz="0" w:space="0" w:color="auto"/>
        <w:bottom w:val="none" w:sz="0" w:space="0" w:color="auto"/>
        <w:right w:val="none" w:sz="0" w:space="0" w:color="auto"/>
      </w:divBdr>
    </w:div>
    <w:div w:id="679696421">
      <w:marLeft w:val="0"/>
      <w:marRight w:val="0"/>
      <w:marTop w:val="0"/>
      <w:marBottom w:val="0"/>
      <w:divBdr>
        <w:top w:val="none" w:sz="0" w:space="0" w:color="auto"/>
        <w:left w:val="none" w:sz="0" w:space="0" w:color="auto"/>
        <w:bottom w:val="none" w:sz="0" w:space="0" w:color="auto"/>
        <w:right w:val="none" w:sz="0" w:space="0" w:color="auto"/>
      </w:divBdr>
      <w:divsChild>
        <w:div w:id="679696714">
          <w:marLeft w:val="0"/>
          <w:marRight w:val="0"/>
          <w:marTop w:val="0"/>
          <w:marBottom w:val="0"/>
          <w:divBdr>
            <w:top w:val="none" w:sz="0" w:space="0" w:color="auto"/>
            <w:left w:val="none" w:sz="0" w:space="0" w:color="auto"/>
            <w:bottom w:val="none" w:sz="0" w:space="0" w:color="auto"/>
            <w:right w:val="none" w:sz="0" w:space="0" w:color="auto"/>
          </w:divBdr>
        </w:div>
      </w:divsChild>
    </w:div>
    <w:div w:id="679696423">
      <w:marLeft w:val="0"/>
      <w:marRight w:val="0"/>
      <w:marTop w:val="0"/>
      <w:marBottom w:val="0"/>
      <w:divBdr>
        <w:top w:val="none" w:sz="0" w:space="0" w:color="auto"/>
        <w:left w:val="none" w:sz="0" w:space="0" w:color="auto"/>
        <w:bottom w:val="none" w:sz="0" w:space="0" w:color="auto"/>
        <w:right w:val="none" w:sz="0" w:space="0" w:color="auto"/>
      </w:divBdr>
    </w:div>
    <w:div w:id="679696425">
      <w:marLeft w:val="0"/>
      <w:marRight w:val="0"/>
      <w:marTop w:val="0"/>
      <w:marBottom w:val="0"/>
      <w:divBdr>
        <w:top w:val="none" w:sz="0" w:space="0" w:color="auto"/>
        <w:left w:val="none" w:sz="0" w:space="0" w:color="auto"/>
        <w:bottom w:val="none" w:sz="0" w:space="0" w:color="auto"/>
        <w:right w:val="none" w:sz="0" w:space="0" w:color="auto"/>
      </w:divBdr>
    </w:div>
    <w:div w:id="679696427">
      <w:marLeft w:val="0"/>
      <w:marRight w:val="0"/>
      <w:marTop w:val="0"/>
      <w:marBottom w:val="0"/>
      <w:divBdr>
        <w:top w:val="none" w:sz="0" w:space="0" w:color="auto"/>
        <w:left w:val="none" w:sz="0" w:space="0" w:color="auto"/>
        <w:bottom w:val="none" w:sz="0" w:space="0" w:color="auto"/>
        <w:right w:val="none" w:sz="0" w:space="0" w:color="auto"/>
      </w:divBdr>
    </w:div>
    <w:div w:id="679696428">
      <w:marLeft w:val="0"/>
      <w:marRight w:val="0"/>
      <w:marTop w:val="0"/>
      <w:marBottom w:val="0"/>
      <w:divBdr>
        <w:top w:val="none" w:sz="0" w:space="0" w:color="auto"/>
        <w:left w:val="none" w:sz="0" w:space="0" w:color="auto"/>
        <w:bottom w:val="none" w:sz="0" w:space="0" w:color="auto"/>
        <w:right w:val="none" w:sz="0" w:space="0" w:color="auto"/>
      </w:divBdr>
      <w:divsChild>
        <w:div w:id="679696389">
          <w:marLeft w:val="0"/>
          <w:marRight w:val="0"/>
          <w:marTop w:val="0"/>
          <w:marBottom w:val="0"/>
          <w:divBdr>
            <w:top w:val="none" w:sz="0" w:space="0" w:color="auto"/>
            <w:left w:val="none" w:sz="0" w:space="0" w:color="auto"/>
            <w:bottom w:val="none" w:sz="0" w:space="0" w:color="auto"/>
            <w:right w:val="none" w:sz="0" w:space="0" w:color="auto"/>
          </w:divBdr>
        </w:div>
      </w:divsChild>
    </w:div>
    <w:div w:id="679696429">
      <w:marLeft w:val="0"/>
      <w:marRight w:val="0"/>
      <w:marTop w:val="0"/>
      <w:marBottom w:val="0"/>
      <w:divBdr>
        <w:top w:val="none" w:sz="0" w:space="0" w:color="auto"/>
        <w:left w:val="none" w:sz="0" w:space="0" w:color="auto"/>
        <w:bottom w:val="none" w:sz="0" w:space="0" w:color="auto"/>
        <w:right w:val="none" w:sz="0" w:space="0" w:color="auto"/>
      </w:divBdr>
    </w:div>
    <w:div w:id="679696430">
      <w:marLeft w:val="0"/>
      <w:marRight w:val="0"/>
      <w:marTop w:val="0"/>
      <w:marBottom w:val="0"/>
      <w:divBdr>
        <w:top w:val="none" w:sz="0" w:space="0" w:color="auto"/>
        <w:left w:val="none" w:sz="0" w:space="0" w:color="auto"/>
        <w:bottom w:val="none" w:sz="0" w:space="0" w:color="auto"/>
        <w:right w:val="none" w:sz="0" w:space="0" w:color="auto"/>
      </w:divBdr>
    </w:div>
    <w:div w:id="679696431">
      <w:marLeft w:val="0"/>
      <w:marRight w:val="0"/>
      <w:marTop w:val="0"/>
      <w:marBottom w:val="0"/>
      <w:divBdr>
        <w:top w:val="none" w:sz="0" w:space="0" w:color="auto"/>
        <w:left w:val="none" w:sz="0" w:space="0" w:color="auto"/>
        <w:bottom w:val="none" w:sz="0" w:space="0" w:color="auto"/>
        <w:right w:val="none" w:sz="0" w:space="0" w:color="auto"/>
      </w:divBdr>
      <w:divsChild>
        <w:div w:id="679696597">
          <w:marLeft w:val="0"/>
          <w:marRight w:val="0"/>
          <w:marTop w:val="0"/>
          <w:marBottom w:val="0"/>
          <w:divBdr>
            <w:top w:val="none" w:sz="0" w:space="0" w:color="auto"/>
            <w:left w:val="none" w:sz="0" w:space="0" w:color="auto"/>
            <w:bottom w:val="none" w:sz="0" w:space="0" w:color="auto"/>
            <w:right w:val="none" w:sz="0" w:space="0" w:color="auto"/>
          </w:divBdr>
          <w:divsChild>
            <w:div w:id="679696744">
              <w:marLeft w:val="0"/>
              <w:marRight w:val="0"/>
              <w:marTop w:val="0"/>
              <w:marBottom w:val="0"/>
              <w:divBdr>
                <w:top w:val="none" w:sz="0" w:space="0" w:color="auto"/>
                <w:left w:val="none" w:sz="0" w:space="0" w:color="auto"/>
                <w:bottom w:val="none" w:sz="0" w:space="0" w:color="auto"/>
                <w:right w:val="none" w:sz="0" w:space="0" w:color="auto"/>
              </w:divBdr>
              <w:divsChild>
                <w:div w:id="679696415">
                  <w:marLeft w:val="0"/>
                  <w:marRight w:val="0"/>
                  <w:marTop w:val="0"/>
                  <w:marBottom w:val="0"/>
                  <w:divBdr>
                    <w:top w:val="none" w:sz="0" w:space="0" w:color="auto"/>
                    <w:left w:val="none" w:sz="0" w:space="0" w:color="auto"/>
                    <w:bottom w:val="none" w:sz="0" w:space="0" w:color="auto"/>
                    <w:right w:val="none" w:sz="0" w:space="0" w:color="auto"/>
                  </w:divBdr>
                  <w:divsChild>
                    <w:div w:id="679696665">
                      <w:marLeft w:val="0"/>
                      <w:marRight w:val="0"/>
                      <w:marTop w:val="0"/>
                      <w:marBottom w:val="0"/>
                      <w:divBdr>
                        <w:top w:val="none" w:sz="0" w:space="0" w:color="auto"/>
                        <w:left w:val="none" w:sz="0" w:space="0" w:color="auto"/>
                        <w:bottom w:val="none" w:sz="0" w:space="0" w:color="auto"/>
                        <w:right w:val="none" w:sz="0" w:space="0" w:color="auto"/>
                      </w:divBdr>
                      <w:divsChild>
                        <w:div w:id="679696692">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9696432">
      <w:marLeft w:val="0"/>
      <w:marRight w:val="0"/>
      <w:marTop w:val="0"/>
      <w:marBottom w:val="0"/>
      <w:divBdr>
        <w:top w:val="none" w:sz="0" w:space="0" w:color="auto"/>
        <w:left w:val="none" w:sz="0" w:space="0" w:color="auto"/>
        <w:bottom w:val="none" w:sz="0" w:space="0" w:color="auto"/>
        <w:right w:val="none" w:sz="0" w:space="0" w:color="auto"/>
      </w:divBdr>
    </w:div>
    <w:div w:id="679696433">
      <w:marLeft w:val="0"/>
      <w:marRight w:val="0"/>
      <w:marTop w:val="0"/>
      <w:marBottom w:val="0"/>
      <w:divBdr>
        <w:top w:val="none" w:sz="0" w:space="0" w:color="auto"/>
        <w:left w:val="none" w:sz="0" w:space="0" w:color="auto"/>
        <w:bottom w:val="none" w:sz="0" w:space="0" w:color="auto"/>
        <w:right w:val="none" w:sz="0" w:space="0" w:color="auto"/>
      </w:divBdr>
      <w:divsChild>
        <w:div w:id="679696672">
          <w:marLeft w:val="0"/>
          <w:marRight w:val="0"/>
          <w:marTop w:val="0"/>
          <w:marBottom w:val="0"/>
          <w:divBdr>
            <w:top w:val="none" w:sz="0" w:space="0" w:color="auto"/>
            <w:left w:val="none" w:sz="0" w:space="0" w:color="auto"/>
            <w:bottom w:val="none" w:sz="0" w:space="0" w:color="auto"/>
            <w:right w:val="none" w:sz="0" w:space="0" w:color="auto"/>
          </w:divBdr>
          <w:divsChild>
            <w:div w:id="679696585">
              <w:marLeft w:val="0"/>
              <w:marRight w:val="0"/>
              <w:marTop w:val="0"/>
              <w:marBottom w:val="0"/>
              <w:divBdr>
                <w:top w:val="none" w:sz="0" w:space="0" w:color="auto"/>
                <w:left w:val="none" w:sz="0" w:space="0" w:color="auto"/>
                <w:bottom w:val="none" w:sz="0" w:space="0" w:color="auto"/>
                <w:right w:val="none" w:sz="0" w:space="0" w:color="auto"/>
              </w:divBdr>
              <w:divsChild>
                <w:div w:id="679696624">
                  <w:marLeft w:val="0"/>
                  <w:marRight w:val="0"/>
                  <w:marTop w:val="0"/>
                  <w:marBottom w:val="0"/>
                  <w:divBdr>
                    <w:top w:val="none" w:sz="0" w:space="0" w:color="auto"/>
                    <w:left w:val="none" w:sz="0" w:space="0" w:color="auto"/>
                    <w:bottom w:val="none" w:sz="0" w:space="0" w:color="auto"/>
                    <w:right w:val="none" w:sz="0" w:space="0" w:color="auto"/>
                  </w:divBdr>
                  <w:divsChild>
                    <w:div w:id="679696552">
                      <w:marLeft w:val="0"/>
                      <w:marRight w:val="0"/>
                      <w:marTop w:val="0"/>
                      <w:marBottom w:val="0"/>
                      <w:divBdr>
                        <w:top w:val="none" w:sz="0" w:space="0" w:color="auto"/>
                        <w:left w:val="none" w:sz="0" w:space="0" w:color="auto"/>
                        <w:bottom w:val="none" w:sz="0" w:space="0" w:color="auto"/>
                        <w:right w:val="none" w:sz="0" w:space="0" w:color="auto"/>
                      </w:divBdr>
                      <w:divsChild>
                        <w:div w:id="679696414">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9696434">
      <w:marLeft w:val="0"/>
      <w:marRight w:val="0"/>
      <w:marTop w:val="0"/>
      <w:marBottom w:val="0"/>
      <w:divBdr>
        <w:top w:val="none" w:sz="0" w:space="0" w:color="auto"/>
        <w:left w:val="none" w:sz="0" w:space="0" w:color="auto"/>
        <w:bottom w:val="none" w:sz="0" w:space="0" w:color="auto"/>
        <w:right w:val="none" w:sz="0" w:space="0" w:color="auto"/>
      </w:divBdr>
    </w:div>
    <w:div w:id="679696435">
      <w:marLeft w:val="0"/>
      <w:marRight w:val="0"/>
      <w:marTop w:val="0"/>
      <w:marBottom w:val="0"/>
      <w:divBdr>
        <w:top w:val="none" w:sz="0" w:space="0" w:color="auto"/>
        <w:left w:val="none" w:sz="0" w:space="0" w:color="auto"/>
        <w:bottom w:val="none" w:sz="0" w:space="0" w:color="auto"/>
        <w:right w:val="none" w:sz="0" w:space="0" w:color="auto"/>
      </w:divBdr>
    </w:div>
    <w:div w:id="679696436">
      <w:marLeft w:val="0"/>
      <w:marRight w:val="0"/>
      <w:marTop w:val="0"/>
      <w:marBottom w:val="0"/>
      <w:divBdr>
        <w:top w:val="none" w:sz="0" w:space="0" w:color="auto"/>
        <w:left w:val="none" w:sz="0" w:space="0" w:color="auto"/>
        <w:bottom w:val="none" w:sz="0" w:space="0" w:color="auto"/>
        <w:right w:val="none" w:sz="0" w:space="0" w:color="auto"/>
      </w:divBdr>
    </w:div>
    <w:div w:id="679696437">
      <w:marLeft w:val="0"/>
      <w:marRight w:val="0"/>
      <w:marTop w:val="0"/>
      <w:marBottom w:val="0"/>
      <w:divBdr>
        <w:top w:val="none" w:sz="0" w:space="0" w:color="auto"/>
        <w:left w:val="none" w:sz="0" w:space="0" w:color="auto"/>
        <w:bottom w:val="none" w:sz="0" w:space="0" w:color="auto"/>
        <w:right w:val="none" w:sz="0" w:space="0" w:color="auto"/>
      </w:divBdr>
    </w:div>
    <w:div w:id="679696438">
      <w:marLeft w:val="0"/>
      <w:marRight w:val="0"/>
      <w:marTop w:val="0"/>
      <w:marBottom w:val="0"/>
      <w:divBdr>
        <w:top w:val="none" w:sz="0" w:space="0" w:color="auto"/>
        <w:left w:val="none" w:sz="0" w:space="0" w:color="auto"/>
        <w:bottom w:val="none" w:sz="0" w:space="0" w:color="auto"/>
        <w:right w:val="none" w:sz="0" w:space="0" w:color="auto"/>
      </w:divBdr>
    </w:div>
    <w:div w:id="679696439">
      <w:marLeft w:val="0"/>
      <w:marRight w:val="0"/>
      <w:marTop w:val="0"/>
      <w:marBottom w:val="0"/>
      <w:divBdr>
        <w:top w:val="none" w:sz="0" w:space="0" w:color="auto"/>
        <w:left w:val="none" w:sz="0" w:space="0" w:color="auto"/>
        <w:bottom w:val="none" w:sz="0" w:space="0" w:color="auto"/>
        <w:right w:val="none" w:sz="0" w:space="0" w:color="auto"/>
      </w:divBdr>
    </w:div>
    <w:div w:id="679696440">
      <w:marLeft w:val="0"/>
      <w:marRight w:val="0"/>
      <w:marTop w:val="0"/>
      <w:marBottom w:val="0"/>
      <w:divBdr>
        <w:top w:val="none" w:sz="0" w:space="0" w:color="auto"/>
        <w:left w:val="none" w:sz="0" w:space="0" w:color="auto"/>
        <w:bottom w:val="none" w:sz="0" w:space="0" w:color="auto"/>
        <w:right w:val="none" w:sz="0" w:space="0" w:color="auto"/>
      </w:divBdr>
    </w:div>
    <w:div w:id="679696442">
      <w:marLeft w:val="0"/>
      <w:marRight w:val="0"/>
      <w:marTop w:val="0"/>
      <w:marBottom w:val="0"/>
      <w:divBdr>
        <w:top w:val="none" w:sz="0" w:space="0" w:color="auto"/>
        <w:left w:val="none" w:sz="0" w:space="0" w:color="auto"/>
        <w:bottom w:val="none" w:sz="0" w:space="0" w:color="auto"/>
        <w:right w:val="none" w:sz="0" w:space="0" w:color="auto"/>
      </w:divBdr>
    </w:div>
    <w:div w:id="679696443">
      <w:marLeft w:val="0"/>
      <w:marRight w:val="0"/>
      <w:marTop w:val="0"/>
      <w:marBottom w:val="0"/>
      <w:divBdr>
        <w:top w:val="none" w:sz="0" w:space="0" w:color="auto"/>
        <w:left w:val="none" w:sz="0" w:space="0" w:color="auto"/>
        <w:bottom w:val="none" w:sz="0" w:space="0" w:color="auto"/>
        <w:right w:val="none" w:sz="0" w:space="0" w:color="auto"/>
      </w:divBdr>
      <w:divsChild>
        <w:div w:id="679696457">
          <w:marLeft w:val="0"/>
          <w:marRight w:val="0"/>
          <w:marTop w:val="0"/>
          <w:marBottom w:val="0"/>
          <w:divBdr>
            <w:top w:val="none" w:sz="0" w:space="0" w:color="auto"/>
            <w:left w:val="none" w:sz="0" w:space="0" w:color="auto"/>
            <w:bottom w:val="none" w:sz="0" w:space="0" w:color="auto"/>
            <w:right w:val="none" w:sz="0" w:space="0" w:color="auto"/>
          </w:divBdr>
        </w:div>
        <w:div w:id="679696704">
          <w:marLeft w:val="0"/>
          <w:marRight w:val="0"/>
          <w:marTop w:val="0"/>
          <w:marBottom w:val="0"/>
          <w:divBdr>
            <w:top w:val="none" w:sz="0" w:space="0" w:color="auto"/>
            <w:left w:val="none" w:sz="0" w:space="0" w:color="auto"/>
            <w:bottom w:val="none" w:sz="0" w:space="0" w:color="auto"/>
            <w:right w:val="none" w:sz="0" w:space="0" w:color="auto"/>
          </w:divBdr>
        </w:div>
        <w:div w:id="679696706">
          <w:marLeft w:val="0"/>
          <w:marRight w:val="0"/>
          <w:marTop w:val="0"/>
          <w:marBottom w:val="0"/>
          <w:divBdr>
            <w:top w:val="none" w:sz="0" w:space="0" w:color="auto"/>
            <w:left w:val="none" w:sz="0" w:space="0" w:color="auto"/>
            <w:bottom w:val="none" w:sz="0" w:space="0" w:color="auto"/>
            <w:right w:val="none" w:sz="0" w:space="0" w:color="auto"/>
          </w:divBdr>
        </w:div>
      </w:divsChild>
    </w:div>
    <w:div w:id="679696444">
      <w:marLeft w:val="0"/>
      <w:marRight w:val="0"/>
      <w:marTop w:val="0"/>
      <w:marBottom w:val="0"/>
      <w:divBdr>
        <w:top w:val="none" w:sz="0" w:space="0" w:color="auto"/>
        <w:left w:val="none" w:sz="0" w:space="0" w:color="auto"/>
        <w:bottom w:val="none" w:sz="0" w:space="0" w:color="auto"/>
        <w:right w:val="none" w:sz="0" w:space="0" w:color="auto"/>
      </w:divBdr>
    </w:div>
    <w:div w:id="679696445">
      <w:marLeft w:val="0"/>
      <w:marRight w:val="0"/>
      <w:marTop w:val="0"/>
      <w:marBottom w:val="0"/>
      <w:divBdr>
        <w:top w:val="none" w:sz="0" w:space="0" w:color="auto"/>
        <w:left w:val="none" w:sz="0" w:space="0" w:color="auto"/>
        <w:bottom w:val="none" w:sz="0" w:space="0" w:color="auto"/>
        <w:right w:val="none" w:sz="0" w:space="0" w:color="auto"/>
      </w:divBdr>
    </w:div>
    <w:div w:id="679696446">
      <w:marLeft w:val="0"/>
      <w:marRight w:val="0"/>
      <w:marTop w:val="0"/>
      <w:marBottom w:val="0"/>
      <w:divBdr>
        <w:top w:val="none" w:sz="0" w:space="0" w:color="auto"/>
        <w:left w:val="none" w:sz="0" w:space="0" w:color="auto"/>
        <w:bottom w:val="none" w:sz="0" w:space="0" w:color="auto"/>
        <w:right w:val="none" w:sz="0" w:space="0" w:color="auto"/>
      </w:divBdr>
    </w:div>
    <w:div w:id="679696448">
      <w:marLeft w:val="0"/>
      <w:marRight w:val="0"/>
      <w:marTop w:val="0"/>
      <w:marBottom w:val="0"/>
      <w:divBdr>
        <w:top w:val="none" w:sz="0" w:space="0" w:color="auto"/>
        <w:left w:val="none" w:sz="0" w:space="0" w:color="auto"/>
        <w:bottom w:val="none" w:sz="0" w:space="0" w:color="auto"/>
        <w:right w:val="none" w:sz="0" w:space="0" w:color="auto"/>
      </w:divBdr>
    </w:div>
    <w:div w:id="679696451">
      <w:marLeft w:val="0"/>
      <w:marRight w:val="0"/>
      <w:marTop w:val="0"/>
      <w:marBottom w:val="0"/>
      <w:divBdr>
        <w:top w:val="none" w:sz="0" w:space="0" w:color="auto"/>
        <w:left w:val="none" w:sz="0" w:space="0" w:color="auto"/>
        <w:bottom w:val="none" w:sz="0" w:space="0" w:color="auto"/>
        <w:right w:val="none" w:sz="0" w:space="0" w:color="auto"/>
      </w:divBdr>
    </w:div>
    <w:div w:id="679696452">
      <w:marLeft w:val="0"/>
      <w:marRight w:val="0"/>
      <w:marTop w:val="0"/>
      <w:marBottom w:val="0"/>
      <w:divBdr>
        <w:top w:val="none" w:sz="0" w:space="0" w:color="auto"/>
        <w:left w:val="none" w:sz="0" w:space="0" w:color="auto"/>
        <w:bottom w:val="none" w:sz="0" w:space="0" w:color="auto"/>
        <w:right w:val="none" w:sz="0" w:space="0" w:color="auto"/>
      </w:divBdr>
    </w:div>
    <w:div w:id="679696453">
      <w:marLeft w:val="0"/>
      <w:marRight w:val="0"/>
      <w:marTop w:val="0"/>
      <w:marBottom w:val="0"/>
      <w:divBdr>
        <w:top w:val="none" w:sz="0" w:space="0" w:color="auto"/>
        <w:left w:val="none" w:sz="0" w:space="0" w:color="auto"/>
        <w:bottom w:val="none" w:sz="0" w:space="0" w:color="auto"/>
        <w:right w:val="none" w:sz="0" w:space="0" w:color="auto"/>
      </w:divBdr>
      <w:divsChild>
        <w:div w:id="679696426">
          <w:marLeft w:val="0"/>
          <w:marRight w:val="0"/>
          <w:marTop w:val="0"/>
          <w:marBottom w:val="0"/>
          <w:divBdr>
            <w:top w:val="none" w:sz="0" w:space="0" w:color="auto"/>
            <w:left w:val="none" w:sz="0" w:space="0" w:color="auto"/>
            <w:bottom w:val="none" w:sz="0" w:space="0" w:color="auto"/>
            <w:right w:val="none" w:sz="0" w:space="0" w:color="auto"/>
          </w:divBdr>
          <w:divsChild>
            <w:div w:id="679696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9696454">
      <w:marLeft w:val="0"/>
      <w:marRight w:val="0"/>
      <w:marTop w:val="0"/>
      <w:marBottom w:val="0"/>
      <w:divBdr>
        <w:top w:val="none" w:sz="0" w:space="0" w:color="auto"/>
        <w:left w:val="none" w:sz="0" w:space="0" w:color="auto"/>
        <w:bottom w:val="none" w:sz="0" w:space="0" w:color="auto"/>
        <w:right w:val="none" w:sz="0" w:space="0" w:color="auto"/>
      </w:divBdr>
    </w:div>
    <w:div w:id="679696455">
      <w:marLeft w:val="0"/>
      <w:marRight w:val="0"/>
      <w:marTop w:val="0"/>
      <w:marBottom w:val="0"/>
      <w:divBdr>
        <w:top w:val="none" w:sz="0" w:space="0" w:color="auto"/>
        <w:left w:val="none" w:sz="0" w:space="0" w:color="auto"/>
        <w:bottom w:val="none" w:sz="0" w:space="0" w:color="auto"/>
        <w:right w:val="none" w:sz="0" w:space="0" w:color="auto"/>
      </w:divBdr>
    </w:div>
    <w:div w:id="679696456">
      <w:marLeft w:val="0"/>
      <w:marRight w:val="0"/>
      <w:marTop w:val="0"/>
      <w:marBottom w:val="0"/>
      <w:divBdr>
        <w:top w:val="none" w:sz="0" w:space="0" w:color="auto"/>
        <w:left w:val="none" w:sz="0" w:space="0" w:color="auto"/>
        <w:bottom w:val="none" w:sz="0" w:space="0" w:color="auto"/>
        <w:right w:val="none" w:sz="0" w:space="0" w:color="auto"/>
      </w:divBdr>
    </w:div>
    <w:div w:id="679696458">
      <w:marLeft w:val="0"/>
      <w:marRight w:val="0"/>
      <w:marTop w:val="0"/>
      <w:marBottom w:val="0"/>
      <w:divBdr>
        <w:top w:val="none" w:sz="0" w:space="0" w:color="auto"/>
        <w:left w:val="none" w:sz="0" w:space="0" w:color="auto"/>
        <w:bottom w:val="none" w:sz="0" w:space="0" w:color="auto"/>
        <w:right w:val="none" w:sz="0" w:space="0" w:color="auto"/>
      </w:divBdr>
    </w:div>
    <w:div w:id="679696459">
      <w:marLeft w:val="0"/>
      <w:marRight w:val="0"/>
      <w:marTop w:val="0"/>
      <w:marBottom w:val="0"/>
      <w:divBdr>
        <w:top w:val="none" w:sz="0" w:space="0" w:color="auto"/>
        <w:left w:val="none" w:sz="0" w:space="0" w:color="auto"/>
        <w:bottom w:val="none" w:sz="0" w:space="0" w:color="auto"/>
        <w:right w:val="none" w:sz="0" w:space="0" w:color="auto"/>
      </w:divBdr>
    </w:div>
    <w:div w:id="679696460">
      <w:marLeft w:val="0"/>
      <w:marRight w:val="0"/>
      <w:marTop w:val="0"/>
      <w:marBottom w:val="0"/>
      <w:divBdr>
        <w:top w:val="none" w:sz="0" w:space="0" w:color="auto"/>
        <w:left w:val="none" w:sz="0" w:space="0" w:color="auto"/>
        <w:bottom w:val="none" w:sz="0" w:space="0" w:color="auto"/>
        <w:right w:val="none" w:sz="0" w:space="0" w:color="auto"/>
      </w:divBdr>
    </w:div>
    <w:div w:id="679696461">
      <w:marLeft w:val="0"/>
      <w:marRight w:val="0"/>
      <w:marTop w:val="0"/>
      <w:marBottom w:val="0"/>
      <w:divBdr>
        <w:top w:val="none" w:sz="0" w:space="0" w:color="auto"/>
        <w:left w:val="none" w:sz="0" w:space="0" w:color="auto"/>
        <w:bottom w:val="none" w:sz="0" w:space="0" w:color="auto"/>
        <w:right w:val="none" w:sz="0" w:space="0" w:color="auto"/>
      </w:divBdr>
    </w:div>
    <w:div w:id="679696462">
      <w:marLeft w:val="0"/>
      <w:marRight w:val="0"/>
      <w:marTop w:val="0"/>
      <w:marBottom w:val="0"/>
      <w:divBdr>
        <w:top w:val="none" w:sz="0" w:space="0" w:color="auto"/>
        <w:left w:val="none" w:sz="0" w:space="0" w:color="auto"/>
        <w:bottom w:val="none" w:sz="0" w:space="0" w:color="auto"/>
        <w:right w:val="none" w:sz="0" w:space="0" w:color="auto"/>
      </w:divBdr>
      <w:divsChild>
        <w:div w:id="679696363">
          <w:marLeft w:val="0"/>
          <w:marRight w:val="0"/>
          <w:marTop w:val="0"/>
          <w:marBottom w:val="0"/>
          <w:divBdr>
            <w:top w:val="none" w:sz="0" w:space="0" w:color="auto"/>
            <w:left w:val="none" w:sz="0" w:space="0" w:color="auto"/>
            <w:bottom w:val="none" w:sz="0" w:space="0" w:color="auto"/>
            <w:right w:val="none" w:sz="0" w:space="0" w:color="auto"/>
          </w:divBdr>
        </w:div>
      </w:divsChild>
    </w:div>
    <w:div w:id="679696463">
      <w:marLeft w:val="0"/>
      <w:marRight w:val="0"/>
      <w:marTop w:val="0"/>
      <w:marBottom w:val="0"/>
      <w:divBdr>
        <w:top w:val="none" w:sz="0" w:space="0" w:color="auto"/>
        <w:left w:val="none" w:sz="0" w:space="0" w:color="auto"/>
        <w:bottom w:val="none" w:sz="0" w:space="0" w:color="auto"/>
        <w:right w:val="none" w:sz="0" w:space="0" w:color="auto"/>
      </w:divBdr>
    </w:div>
    <w:div w:id="679696464">
      <w:marLeft w:val="0"/>
      <w:marRight w:val="0"/>
      <w:marTop w:val="0"/>
      <w:marBottom w:val="0"/>
      <w:divBdr>
        <w:top w:val="none" w:sz="0" w:space="0" w:color="auto"/>
        <w:left w:val="none" w:sz="0" w:space="0" w:color="auto"/>
        <w:bottom w:val="none" w:sz="0" w:space="0" w:color="auto"/>
        <w:right w:val="none" w:sz="0" w:space="0" w:color="auto"/>
      </w:divBdr>
    </w:div>
    <w:div w:id="679696465">
      <w:marLeft w:val="0"/>
      <w:marRight w:val="0"/>
      <w:marTop w:val="0"/>
      <w:marBottom w:val="0"/>
      <w:divBdr>
        <w:top w:val="none" w:sz="0" w:space="0" w:color="auto"/>
        <w:left w:val="none" w:sz="0" w:space="0" w:color="auto"/>
        <w:bottom w:val="none" w:sz="0" w:space="0" w:color="auto"/>
        <w:right w:val="none" w:sz="0" w:space="0" w:color="auto"/>
      </w:divBdr>
    </w:div>
    <w:div w:id="679696466">
      <w:marLeft w:val="0"/>
      <w:marRight w:val="0"/>
      <w:marTop w:val="0"/>
      <w:marBottom w:val="0"/>
      <w:divBdr>
        <w:top w:val="none" w:sz="0" w:space="0" w:color="auto"/>
        <w:left w:val="none" w:sz="0" w:space="0" w:color="auto"/>
        <w:bottom w:val="none" w:sz="0" w:space="0" w:color="auto"/>
        <w:right w:val="none" w:sz="0" w:space="0" w:color="auto"/>
      </w:divBdr>
    </w:div>
    <w:div w:id="679696467">
      <w:marLeft w:val="0"/>
      <w:marRight w:val="0"/>
      <w:marTop w:val="0"/>
      <w:marBottom w:val="0"/>
      <w:divBdr>
        <w:top w:val="none" w:sz="0" w:space="0" w:color="auto"/>
        <w:left w:val="none" w:sz="0" w:space="0" w:color="auto"/>
        <w:bottom w:val="none" w:sz="0" w:space="0" w:color="auto"/>
        <w:right w:val="none" w:sz="0" w:space="0" w:color="auto"/>
      </w:divBdr>
      <w:divsChild>
        <w:div w:id="679696383">
          <w:marLeft w:val="0"/>
          <w:marRight w:val="0"/>
          <w:marTop w:val="0"/>
          <w:marBottom w:val="0"/>
          <w:divBdr>
            <w:top w:val="none" w:sz="0" w:space="0" w:color="auto"/>
            <w:left w:val="none" w:sz="0" w:space="0" w:color="auto"/>
            <w:bottom w:val="none" w:sz="0" w:space="0" w:color="auto"/>
            <w:right w:val="none" w:sz="0" w:space="0" w:color="auto"/>
          </w:divBdr>
          <w:divsChild>
            <w:div w:id="679696637">
              <w:marLeft w:val="0"/>
              <w:marRight w:val="0"/>
              <w:marTop w:val="0"/>
              <w:marBottom w:val="0"/>
              <w:divBdr>
                <w:top w:val="none" w:sz="0" w:space="0" w:color="auto"/>
                <w:left w:val="none" w:sz="0" w:space="0" w:color="auto"/>
                <w:bottom w:val="none" w:sz="0" w:space="0" w:color="auto"/>
                <w:right w:val="none" w:sz="0" w:space="0" w:color="auto"/>
              </w:divBdr>
              <w:divsChild>
                <w:div w:id="679696519">
                  <w:marLeft w:val="0"/>
                  <w:marRight w:val="0"/>
                  <w:marTop w:val="0"/>
                  <w:marBottom w:val="0"/>
                  <w:divBdr>
                    <w:top w:val="none" w:sz="0" w:space="0" w:color="auto"/>
                    <w:left w:val="none" w:sz="0" w:space="0" w:color="auto"/>
                    <w:bottom w:val="none" w:sz="0" w:space="0" w:color="auto"/>
                    <w:right w:val="none" w:sz="0" w:space="0" w:color="auto"/>
                  </w:divBdr>
                  <w:divsChild>
                    <w:div w:id="679696420">
                      <w:marLeft w:val="0"/>
                      <w:marRight w:val="0"/>
                      <w:marTop w:val="0"/>
                      <w:marBottom w:val="0"/>
                      <w:divBdr>
                        <w:top w:val="none" w:sz="0" w:space="0" w:color="auto"/>
                        <w:left w:val="none" w:sz="0" w:space="0" w:color="auto"/>
                        <w:bottom w:val="none" w:sz="0" w:space="0" w:color="auto"/>
                        <w:right w:val="none" w:sz="0" w:space="0" w:color="auto"/>
                      </w:divBdr>
                      <w:divsChild>
                        <w:div w:id="679696651">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9696470">
      <w:marLeft w:val="0"/>
      <w:marRight w:val="0"/>
      <w:marTop w:val="0"/>
      <w:marBottom w:val="0"/>
      <w:divBdr>
        <w:top w:val="none" w:sz="0" w:space="0" w:color="auto"/>
        <w:left w:val="none" w:sz="0" w:space="0" w:color="auto"/>
        <w:bottom w:val="none" w:sz="0" w:space="0" w:color="auto"/>
        <w:right w:val="none" w:sz="0" w:space="0" w:color="auto"/>
      </w:divBdr>
      <w:divsChild>
        <w:div w:id="679696540">
          <w:marLeft w:val="0"/>
          <w:marRight w:val="0"/>
          <w:marTop w:val="0"/>
          <w:marBottom w:val="0"/>
          <w:divBdr>
            <w:top w:val="none" w:sz="0" w:space="0" w:color="auto"/>
            <w:left w:val="none" w:sz="0" w:space="0" w:color="auto"/>
            <w:bottom w:val="none" w:sz="0" w:space="0" w:color="auto"/>
            <w:right w:val="none" w:sz="0" w:space="0" w:color="auto"/>
          </w:divBdr>
          <w:divsChild>
            <w:div w:id="679696541">
              <w:marLeft w:val="0"/>
              <w:marRight w:val="0"/>
              <w:marTop w:val="0"/>
              <w:marBottom w:val="0"/>
              <w:divBdr>
                <w:top w:val="none" w:sz="0" w:space="0" w:color="auto"/>
                <w:left w:val="none" w:sz="0" w:space="0" w:color="auto"/>
                <w:bottom w:val="none" w:sz="0" w:space="0" w:color="auto"/>
                <w:right w:val="none" w:sz="0" w:space="0" w:color="auto"/>
              </w:divBdr>
              <w:divsChild>
                <w:div w:id="679696731">
                  <w:marLeft w:val="0"/>
                  <w:marRight w:val="0"/>
                  <w:marTop w:val="0"/>
                  <w:marBottom w:val="0"/>
                  <w:divBdr>
                    <w:top w:val="none" w:sz="0" w:space="0" w:color="auto"/>
                    <w:left w:val="none" w:sz="0" w:space="0" w:color="auto"/>
                    <w:bottom w:val="none" w:sz="0" w:space="0" w:color="auto"/>
                    <w:right w:val="none" w:sz="0" w:space="0" w:color="auto"/>
                  </w:divBdr>
                  <w:divsChild>
                    <w:div w:id="679696580">
                      <w:marLeft w:val="0"/>
                      <w:marRight w:val="0"/>
                      <w:marTop w:val="0"/>
                      <w:marBottom w:val="0"/>
                      <w:divBdr>
                        <w:top w:val="none" w:sz="0" w:space="0" w:color="auto"/>
                        <w:left w:val="none" w:sz="0" w:space="0" w:color="auto"/>
                        <w:bottom w:val="none" w:sz="0" w:space="0" w:color="auto"/>
                        <w:right w:val="none" w:sz="0" w:space="0" w:color="auto"/>
                      </w:divBdr>
                      <w:divsChild>
                        <w:div w:id="679696650">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9696472">
      <w:marLeft w:val="0"/>
      <w:marRight w:val="0"/>
      <w:marTop w:val="0"/>
      <w:marBottom w:val="0"/>
      <w:divBdr>
        <w:top w:val="none" w:sz="0" w:space="0" w:color="auto"/>
        <w:left w:val="none" w:sz="0" w:space="0" w:color="auto"/>
        <w:bottom w:val="none" w:sz="0" w:space="0" w:color="auto"/>
        <w:right w:val="none" w:sz="0" w:space="0" w:color="auto"/>
      </w:divBdr>
    </w:div>
    <w:div w:id="679696473">
      <w:marLeft w:val="0"/>
      <w:marRight w:val="0"/>
      <w:marTop w:val="0"/>
      <w:marBottom w:val="0"/>
      <w:divBdr>
        <w:top w:val="none" w:sz="0" w:space="0" w:color="auto"/>
        <w:left w:val="none" w:sz="0" w:space="0" w:color="auto"/>
        <w:bottom w:val="none" w:sz="0" w:space="0" w:color="auto"/>
        <w:right w:val="none" w:sz="0" w:space="0" w:color="auto"/>
      </w:divBdr>
    </w:div>
    <w:div w:id="679696474">
      <w:marLeft w:val="0"/>
      <w:marRight w:val="0"/>
      <w:marTop w:val="0"/>
      <w:marBottom w:val="0"/>
      <w:divBdr>
        <w:top w:val="none" w:sz="0" w:space="0" w:color="auto"/>
        <w:left w:val="none" w:sz="0" w:space="0" w:color="auto"/>
        <w:bottom w:val="none" w:sz="0" w:space="0" w:color="auto"/>
        <w:right w:val="none" w:sz="0" w:space="0" w:color="auto"/>
      </w:divBdr>
    </w:div>
    <w:div w:id="679696476">
      <w:marLeft w:val="0"/>
      <w:marRight w:val="0"/>
      <w:marTop w:val="0"/>
      <w:marBottom w:val="0"/>
      <w:divBdr>
        <w:top w:val="none" w:sz="0" w:space="0" w:color="auto"/>
        <w:left w:val="none" w:sz="0" w:space="0" w:color="auto"/>
        <w:bottom w:val="none" w:sz="0" w:space="0" w:color="auto"/>
        <w:right w:val="none" w:sz="0" w:space="0" w:color="auto"/>
      </w:divBdr>
    </w:div>
    <w:div w:id="679696478">
      <w:marLeft w:val="0"/>
      <w:marRight w:val="0"/>
      <w:marTop w:val="0"/>
      <w:marBottom w:val="0"/>
      <w:divBdr>
        <w:top w:val="none" w:sz="0" w:space="0" w:color="auto"/>
        <w:left w:val="none" w:sz="0" w:space="0" w:color="auto"/>
        <w:bottom w:val="none" w:sz="0" w:space="0" w:color="auto"/>
        <w:right w:val="none" w:sz="0" w:space="0" w:color="auto"/>
      </w:divBdr>
    </w:div>
    <w:div w:id="679696479">
      <w:marLeft w:val="0"/>
      <w:marRight w:val="0"/>
      <w:marTop w:val="0"/>
      <w:marBottom w:val="0"/>
      <w:divBdr>
        <w:top w:val="none" w:sz="0" w:space="0" w:color="auto"/>
        <w:left w:val="none" w:sz="0" w:space="0" w:color="auto"/>
        <w:bottom w:val="none" w:sz="0" w:space="0" w:color="auto"/>
        <w:right w:val="none" w:sz="0" w:space="0" w:color="auto"/>
      </w:divBdr>
    </w:div>
    <w:div w:id="679696482">
      <w:marLeft w:val="0"/>
      <w:marRight w:val="0"/>
      <w:marTop w:val="0"/>
      <w:marBottom w:val="0"/>
      <w:divBdr>
        <w:top w:val="none" w:sz="0" w:space="0" w:color="auto"/>
        <w:left w:val="none" w:sz="0" w:space="0" w:color="auto"/>
        <w:bottom w:val="none" w:sz="0" w:space="0" w:color="auto"/>
        <w:right w:val="none" w:sz="0" w:space="0" w:color="auto"/>
      </w:divBdr>
    </w:div>
    <w:div w:id="679696483">
      <w:marLeft w:val="0"/>
      <w:marRight w:val="0"/>
      <w:marTop w:val="0"/>
      <w:marBottom w:val="0"/>
      <w:divBdr>
        <w:top w:val="none" w:sz="0" w:space="0" w:color="auto"/>
        <w:left w:val="none" w:sz="0" w:space="0" w:color="auto"/>
        <w:bottom w:val="none" w:sz="0" w:space="0" w:color="auto"/>
        <w:right w:val="none" w:sz="0" w:space="0" w:color="auto"/>
      </w:divBdr>
    </w:div>
    <w:div w:id="679696484">
      <w:marLeft w:val="0"/>
      <w:marRight w:val="0"/>
      <w:marTop w:val="0"/>
      <w:marBottom w:val="0"/>
      <w:divBdr>
        <w:top w:val="none" w:sz="0" w:space="0" w:color="auto"/>
        <w:left w:val="none" w:sz="0" w:space="0" w:color="auto"/>
        <w:bottom w:val="none" w:sz="0" w:space="0" w:color="auto"/>
        <w:right w:val="none" w:sz="0" w:space="0" w:color="auto"/>
      </w:divBdr>
    </w:div>
    <w:div w:id="679696485">
      <w:marLeft w:val="0"/>
      <w:marRight w:val="0"/>
      <w:marTop w:val="0"/>
      <w:marBottom w:val="0"/>
      <w:divBdr>
        <w:top w:val="none" w:sz="0" w:space="0" w:color="auto"/>
        <w:left w:val="none" w:sz="0" w:space="0" w:color="auto"/>
        <w:bottom w:val="none" w:sz="0" w:space="0" w:color="auto"/>
        <w:right w:val="none" w:sz="0" w:space="0" w:color="auto"/>
      </w:divBdr>
    </w:div>
    <w:div w:id="679696486">
      <w:marLeft w:val="0"/>
      <w:marRight w:val="0"/>
      <w:marTop w:val="0"/>
      <w:marBottom w:val="0"/>
      <w:divBdr>
        <w:top w:val="none" w:sz="0" w:space="0" w:color="auto"/>
        <w:left w:val="none" w:sz="0" w:space="0" w:color="auto"/>
        <w:bottom w:val="none" w:sz="0" w:space="0" w:color="auto"/>
        <w:right w:val="none" w:sz="0" w:space="0" w:color="auto"/>
      </w:divBdr>
    </w:div>
    <w:div w:id="679696487">
      <w:marLeft w:val="0"/>
      <w:marRight w:val="0"/>
      <w:marTop w:val="0"/>
      <w:marBottom w:val="0"/>
      <w:divBdr>
        <w:top w:val="none" w:sz="0" w:space="0" w:color="auto"/>
        <w:left w:val="none" w:sz="0" w:space="0" w:color="auto"/>
        <w:bottom w:val="none" w:sz="0" w:space="0" w:color="auto"/>
        <w:right w:val="none" w:sz="0" w:space="0" w:color="auto"/>
      </w:divBdr>
      <w:divsChild>
        <w:div w:id="679696475">
          <w:marLeft w:val="0"/>
          <w:marRight w:val="0"/>
          <w:marTop w:val="0"/>
          <w:marBottom w:val="0"/>
          <w:divBdr>
            <w:top w:val="none" w:sz="0" w:space="0" w:color="auto"/>
            <w:left w:val="none" w:sz="0" w:space="0" w:color="auto"/>
            <w:bottom w:val="none" w:sz="0" w:space="0" w:color="auto"/>
            <w:right w:val="none" w:sz="0" w:space="0" w:color="auto"/>
          </w:divBdr>
          <w:divsChild>
            <w:div w:id="679696503">
              <w:marLeft w:val="0"/>
              <w:marRight w:val="0"/>
              <w:marTop w:val="0"/>
              <w:marBottom w:val="0"/>
              <w:divBdr>
                <w:top w:val="none" w:sz="0" w:space="0" w:color="auto"/>
                <w:left w:val="none" w:sz="0" w:space="0" w:color="auto"/>
                <w:bottom w:val="none" w:sz="0" w:space="0" w:color="auto"/>
                <w:right w:val="none" w:sz="0" w:space="0" w:color="auto"/>
              </w:divBdr>
              <w:divsChild>
                <w:div w:id="679696615">
                  <w:marLeft w:val="0"/>
                  <w:marRight w:val="0"/>
                  <w:marTop w:val="0"/>
                  <w:marBottom w:val="0"/>
                  <w:divBdr>
                    <w:top w:val="none" w:sz="0" w:space="0" w:color="auto"/>
                    <w:left w:val="none" w:sz="0" w:space="0" w:color="auto"/>
                    <w:bottom w:val="none" w:sz="0" w:space="0" w:color="auto"/>
                    <w:right w:val="none" w:sz="0" w:space="0" w:color="auto"/>
                  </w:divBdr>
                  <w:divsChild>
                    <w:div w:id="679696450">
                      <w:marLeft w:val="0"/>
                      <w:marRight w:val="0"/>
                      <w:marTop w:val="0"/>
                      <w:marBottom w:val="0"/>
                      <w:divBdr>
                        <w:top w:val="none" w:sz="0" w:space="0" w:color="auto"/>
                        <w:left w:val="none" w:sz="0" w:space="0" w:color="auto"/>
                        <w:bottom w:val="none" w:sz="0" w:space="0" w:color="auto"/>
                        <w:right w:val="none" w:sz="0" w:space="0" w:color="auto"/>
                      </w:divBdr>
                      <w:divsChild>
                        <w:div w:id="679696768">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9696488">
      <w:marLeft w:val="0"/>
      <w:marRight w:val="0"/>
      <w:marTop w:val="0"/>
      <w:marBottom w:val="0"/>
      <w:divBdr>
        <w:top w:val="none" w:sz="0" w:space="0" w:color="auto"/>
        <w:left w:val="none" w:sz="0" w:space="0" w:color="auto"/>
        <w:bottom w:val="none" w:sz="0" w:space="0" w:color="auto"/>
        <w:right w:val="none" w:sz="0" w:space="0" w:color="auto"/>
      </w:divBdr>
      <w:divsChild>
        <w:div w:id="679696537">
          <w:marLeft w:val="0"/>
          <w:marRight w:val="0"/>
          <w:marTop w:val="0"/>
          <w:marBottom w:val="0"/>
          <w:divBdr>
            <w:top w:val="none" w:sz="0" w:space="0" w:color="auto"/>
            <w:left w:val="none" w:sz="0" w:space="0" w:color="auto"/>
            <w:bottom w:val="none" w:sz="0" w:space="0" w:color="auto"/>
            <w:right w:val="none" w:sz="0" w:space="0" w:color="auto"/>
          </w:divBdr>
          <w:divsChild>
            <w:div w:id="679696502">
              <w:marLeft w:val="0"/>
              <w:marRight w:val="0"/>
              <w:marTop w:val="0"/>
              <w:marBottom w:val="0"/>
              <w:divBdr>
                <w:top w:val="none" w:sz="0" w:space="0" w:color="auto"/>
                <w:left w:val="none" w:sz="0" w:space="0" w:color="auto"/>
                <w:bottom w:val="none" w:sz="0" w:space="0" w:color="auto"/>
                <w:right w:val="none" w:sz="0" w:space="0" w:color="auto"/>
              </w:divBdr>
              <w:divsChild>
                <w:div w:id="679696664">
                  <w:marLeft w:val="0"/>
                  <w:marRight w:val="0"/>
                  <w:marTop w:val="0"/>
                  <w:marBottom w:val="0"/>
                  <w:divBdr>
                    <w:top w:val="none" w:sz="0" w:space="0" w:color="auto"/>
                    <w:left w:val="none" w:sz="0" w:space="0" w:color="auto"/>
                    <w:bottom w:val="none" w:sz="0" w:space="0" w:color="auto"/>
                    <w:right w:val="none" w:sz="0" w:space="0" w:color="auto"/>
                  </w:divBdr>
                  <w:divsChild>
                    <w:div w:id="679696634">
                      <w:marLeft w:val="0"/>
                      <w:marRight w:val="0"/>
                      <w:marTop w:val="0"/>
                      <w:marBottom w:val="0"/>
                      <w:divBdr>
                        <w:top w:val="none" w:sz="0" w:space="0" w:color="auto"/>
                        <w:left w:val="none" w:sz="0" w:space="0" w:color="auto"/>
                        <w:bottom w:val="none" w:sz="0" w:space="0" w:color="auto"/>
                        <w:right w:val="none" w:sz="0" w:space="0" w:color="auto"/>
                      </w:divBdr>
                      <w:divsChild>
                        <w:div w:id="679696481">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9696489">
      <w:marLeft w:val="0"/>
      <w:marRight w:val="0"/>
      <w:marTop w:val="0"/>
      <w:marBottom w:val="0"/>
      <w:divBdr>
        <w:top w:val="none" w:sz="0" w:space="0" w:color="auto"/>
        <w:left w:val="none" w:sz="0" w:space="0" w:color="auto"/>
        <w:bottom w:val="none" w:sz="0" w:space="0" w:color="auto"/>
        <w:right w:val="none" w:sz="0" w:space="0" w:color="auto"/>
      </w:divBdr>
    </w:div>
    <w:div w:id="679696491">
      <w:marLeft w:val="0"/>
      <w:marRight w:val="0"/>
      <w:marTop w:val="0"/>
      <w:marBottom w:val="0"/>
      <w:divBdr>
        <w:top w:val="none" w:sz="0" w:space="0" w:color="auto"/>
        <w:left w:val="none" w:sz="0" w:space="0" w:color="auto"/>
        <w:bottom w:val="none" w:sz="0" w:space="0" w:color="auto"/>
        <w:right w:val="none" w:sz="0" w:space="0" w:color="auto"/>
      </w:divBdr>
      <w:divsChild>
        <w:div w:id="679696735">
          <w:marLeft w:val="0"/>
          <w:marRight w:val="0"/>
          <w:marTop w:val="0"/>
          <w:marBottom w:val="0"/>
          <w:divBdr>
            <w:top w:val="none" w:sz="0" w:space="0" w:color="auto"/>
            <w:left w:val="none" w:sz="0" w:space="0" w:color="auto"/>
            <w:bottom w:val="none" w:sz="0" w:space="0" w:color="auto"/>
            <w:right w:val="none" w:sz="0" w:space="0" w:color="auto"/>
          </w:divBdr>
        </w:div>
      </w:divsChild>
    </w:div>
    <w:div w:id="679696492">
      <w:marLeft w:val="0"/>
      <w:marRight w:val="0"/>
      <w:marTop w:val="0"/>
      <w:marBottom w:val="0"/>
      <w:divBdr>
        <w:top w:val="none" w:sz="0" w:space="0" w:color="auto"/>
        <w:left w:val="none" w:sz="0" w:space="0" w:color="auto"/>
        <w:bottom w:val="none" w:sz="0" w:space="0" w:color="auto"/>
        <w:right w:val="none" w:sz="0" w:space="0" w:color="auto"/>
      </w:divBdr>
    </w:div>
    <w:div w:id="679696493">
      <w:marLeft w:val="0"/>
      <w:marRight w:val="0"/>
      <w:marTop w:val="0"/>
      <w:marBottom w:val="0"/>
      <w:divBdr>
        <w:top w:val="none" w:sz="0" w:space="0" w:color="auto"/>
        <w:left w:val="none" w:sz="0" w:space="0" w:color="auto"/>
        <w:bottom w:val="none" w:sz="0" w:space="0" w:color="auto"/>
        <w:right w:val="none" w:sz="0" w:space="0" w:color="auto"/>
      </w:divBdr>
    </w:div>
    <w:div w:id="679696494">
      <w:marLeft w:val="0"/>
      <w:marRight w:val="0"/>
      <w:marTop w:val="0"/>
      <w:marBottom w:val="0"/>
      <w:divBdr>
        <w:top w:val="none" w:sz="0" w:space="0" w:color="auto"/>
        <w:left w:val="none" w:sz="0" w:space="0" w:color="auto"/>
        <w:bottom w:val="none" w:sz="0" w:space="0" w:color="auto"/>
        <w:right w:val="none" w:sz="0" w:space="0" w:color="auto"/>
      </w:divBdr>
    </w:div>
    <w:div w:id="679696495">
      <w:marLeft w:val="0"/>
      <w:marRight w:val="0"/>
      <w:marTop w:val="0"/>
      <w:marBottom w:val="0"/>
      <w:divBdr>
        <w:top w:val="none" w:sz="0" w:space="0" w:color="auto"/>
        <w:left w:val="none" w:sz="0" w:space="0" w:color="auto"/>
        <w:bottom w:val="none" w:sz="0" w:space="0" w:color="auto"/>
        <w:right w:val="none" w:sz="0" w:space="0" w:color="auto"/>
      </w:divBdr>
    </w:div>
    <w:div w:id="679696496">
      <w:marLeft w:val="0"/>
      <w:marRight w:val="0"/>
      <w:marTop w:val="0"/>
      <w:marBottom w:val="0"/>
      <w:divBdr>
        <w:top w:val="none" w:sz="0" w:space="0" w:color="auto"/>
        <w:left w:val="none" w:sz="0" w:space="0" w:color="auto"/>
        <w:bottom w:val="none" w:sz="0" w:space="0" w:color="auto"/>
        <w:right w:val="none" w:sz="0" w:space="0" w:color="auto"/>
      </w:divBdr>
    </w:div>
    <w:div w:id="679696497">
      <w:marLeft w:val="0"/>
      <w:marRight w:val="0"/>
      <w:marTop w:val="0"/>
      <w:marBottom w:val="0"/>
      <w:divBdr>
        <w:top w:val="none" w:sz="0" w:space="0" w:color="auto"/>
        <w:left w:val="none" w:sz="0" w:space="0" w:color="auto"/>
        <w:bottom w:val="none" w:sz="0" w:space="0" w:color="auto"/>
        <w:right w:val="none" w:sz="0" w:space="0" w:color="auto"/>
      </w:divBdr>
    </w:div>
    <w:div w:id="679696498">
      <w:marLeft w:val="0"/>
      <w:marRight w:val="0"/>
      <w:marTop w:val="0"/>
      <w:marBottom w:val="0"/>
      <w:divBdr>
        <w:top w:val="none" w:sz="0" w:space="0" w:color="auto"/>
        <w:left w:val="none" w:sz="0" w:space="0" w:color="auto"/>
        <w:bottom w:val="none" w:sz="0" w:space="0" w:color="auto"/>
        <w:right w:val="none" w:sz="0" w:space="0" w:color="auto"/>
      </w:divBdr>
    </w:div>
    <w:div w:id="679696499">
      <w:marLeft w:val="0"/>
      <w:marRight w:val="0"/>
      <w:marTop w:val="0"/>
      <w:marBottom w:val="0"/>
      <w:divBdr>
        <w:top w:val="none" w:sz="0" w:space="0" w:color="auto"/>
        <w:left w:val="none" w:sz="0" w:space="0" w:color="auto"/>
        <w:bottom w:val="none" w:sz="0" w:space="0" w:color="auto"/>
        <w:right w:val="none" w:sz="0" w:space="0" w:color="auto"/>
      </w:divBdr>
    </w:div>
    <w:div w:id="679696501">
      <w:marLeft w:val="0"/>
      <w:marRight w:val="0"/>
      <w:marTop w:val="0"/>
      <w:marBottom w:val="0"/>
      <w:divBdr>
        <w:top w:val="none" w:sz="0" w:space="0" w:color="auto"/>
        <w:left w:val="none" w:sz="0" w:space="0" w:color="auto"/>
        <w:bottom w:val="none" w:sz="0" w:space="0" w:color="auto"/>
        <w:right w:val="none" w:sz="0" w:space="0" w:color="auto"/>
      </w:divBdr>
    </w:div>
    <w:div w:id="679696504">
      <w:marLeft w:val="0"/>
      <w:marRight w:val="0"/>
      <w:marTop w:val="0"/>
      <w:marBottom w:val="0"/>
      <w:divBdr>
        <w:top w:val="none" w:sz="0" w:space="0" w:color="auto"/>
        <w:left w:val="none" w:sz="0" w:space="0" w:color="auto"/>
        <w:bottom w:val="none" w:sz="0" w:space="0" w:color="auto"/>
        <w:right w:val="none" w:sz="0" w:space="0" w:color="auto"/>
      </w:divBdr>
    </w:div>
    <w:div w:id="679696505">
      <w:marLeft w:val="0"/>
      <w:marRight w:val="0"/>
      <w:marTop w:val="0"/>
      <w:marBottom w:val="0"/>
      <w:divBdr>
        <w:top w:val="none" w:sz="0" w:space="0" w:color="auto"/>
        <w:left w:val="none" w:sz="0" w:space="0" w:color="auto"/>
        <w:bottom w:val="none" w:sz="0" w:space="0" w:color="auto"/>
        <w:right w:val="none" w:sz="0" w:space="0" w:color="auto"/>
      </w:divBdr>
    </w:div>
    <w:div w:id="679696507">
      <w:marLeft w:val="0"/>
      <w:marRight w:val="0"/>
      <w:marTop w:val="0"/>
      <w:marBottom w:val="0"/>
      <w:divBdr>
        <w:top w:val="none" w:sz="0" w:space="0" w:color="auto"/>
        <w:left w:val="none" w:sz="0" w:space="0" w:color="auto"/>
        <w:bottom w:val="none" w:sz="0" w:space="0" w:color="auto"/>
        <w:right w:val="none" w:sz="0" w:space="0" w:color="auto"/>
      </w:divBdr>
    </w:div>
    <w:div w:id="679696508">
      <w:marLeft w:val="0"/>
      <w:marRight w:val="0"/>
      <w:marTop w:val="0"/>
      <w:marBottom w:val="0"/>
      <w:divBdr>
        <w:top w:val="none" w:sz="0" w:space="0" w:color="auto"/>
        <w:left w:val="none" w:sz="0" w:space="0" w:color="auto"/>
        <w:bottom w:val="none" w:sz="0" w:space="0" w:color="auto"/>
        <w:right w:val="none" w:sz="0" w:space="0" w:color="auto"/>
      </w:divBdr>
    </w:div>
    <w:div w:id="679696509">
      <w:marLeft w:val="0"/>
      <w:marRight w:val="0"/>
      <w:marTop w:val="0"/>
      <w:marBottom w:val="0"/>
      <w:divBdr>
        <w:top w:val="none" w:sz="0" w:space="0" w:color="auto"/>
        <w:left w:val="none" w:sz="0" w:space="0" w:color="auto"/>
        <w:bottom w:val="none" w:sz="0" w:space="0" w:color="auto"/>
        <w:right w:val="none" w:sz="0" w:space="0" w:color="auto"/>
      </w:divBdr>
      <w:divsChild>
        <w:div w:id="679696522">
          <w:marLeft w:val="0"/>
          <w:marRight w:val="0"/>
          <w:marTop w:val="0"/>
          <w:marBottom w:val="0"/>
          <w:divBdr>
            <w:top w:val="none" w:sz="0" w:space="0" w:color="auto"/>
            <w:left w:val="none" w:sz="0" w:space="0" w:color="auto"/>
            <w:bottom w:val="none" w:sz="0" w:space="0" w:color="auto"/>
            <w:right w:val="none" w:sz="0" w:space="0" w:color="auto"/>
          </w:divBdr>
        </w:div>
      </w:divsChild>
    </w:div>
    <w:div w:id="679696510">
      <w:marLeft w:val="0"/>
      <w:marRight w:val="0"/>
      <w:marTop w:val="0"/>
      <w:marBottom w:val="0"/>
      <w:divBdr>
        <w:top w:val="none" w:sz="0" w:space="0" w:color="auto"/>
        <w:left w:val="none" w:sz="0" w:space="0" w:color="auto"/>
        <w:bottom w:val="none" w:sz="0" w:space="0" w:color="auto"/>
        <w:right w:val="none" w:sz="0" w:space="0" w:color="auto"/>
      </w:divBdr>
      <w:divsChild>
        <w:div w:id="679696764">
          <w:marLeft w:val="0"/>
          <w:marRight w:val="0"/>
          <w:marTop w:val="0"/>
          <w:marBottom w:val="0"/>
          <w:divBdr>
            <w:top w:val="none" w:sz="0" w:space="0" w:color="auto"/>
            <w:left w:val="none" w:sz="0" w:space="0" w:color="auto"/>
            <w:bottom w:val="none" w:sz="0" w:space="0" w:color="auto"/>
            <w:right w:val="none" w:sz="0" w:space="0" w:color="auto"/>
          </w:divBdr>
          <w:divsChild>
            <w:div w:id="679696422">
              <w:marLeft w:val="0"/>
              <w:marRight w:val="0"/>
              <w:marTop w:val="0"/>
              <w:marBottom w:val="0"/>
              <w:divBdr>
                <w:top w:val="none" w:sz="0" w:space="0" w:color="auto"/>
                <w:left w:val="none" w:sz="0" w:space="0" w:color="auto"/>
                <w:bottom w:val="none" w:sz="0" w:space="0" w:color="auto"/>
                <w:right w:val="none" w:sz="0" w:space="0" w:color="auto"/>
              </w:divBdr>
              <w:divsChild>
                <w:div w:id="679696468">
                  <w:marLeft w:val="0"/>
                  <w:marRight w:val="0"/>
                  <w:marTop w:val="0"/>
                  <w:marBottom w:val="0"/>
                  <w:divBdr>
                    <w:top w:val="none" w:sz="0" w:space="0" w:color="auto"/>
                    <w:left w:val="none" w:sz="0" w:space="0" w:color="auto"/>
                    <w:bottom w:val="none" w:sz="0" w:space="0" w:color="auto"/>
                    <w:right w:val="none" w:sz="0" w:space="0" w:color="auto"/>
                  </w:divBdr>
                  <w:divsChild>
                    <w:div w:id="679696396">
                      <w:marLeft w:val="0"/>
                      <w:marRight w:val="0"/>
                      <w:marTop w:val="0"/>
                      <w:marBottom w:val="0"/>
                      <w:divBdr>
                        <w:top w:val="none" w:sz="0" w:space="0" w:color="auto"/>
                        <w:left w:val="none" w:sz="0" w:space="0" w:color="auto"/>
                        <w:bottom w:val="none" w:sz="0" w:space="0" w:color="auto"/>
                        <w:right w:val="none" w:sz="0" w:space="0" w:color="auto"/>
                      </w:divBdr>
                      <w:divsChild>
                        <w:div w:id="679696550">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9696511">
      <w:marLeft w:val="0"/>
      <w:marRight w:val="0"/>
      <w:marTop w:val="0"/>
      <w:marBottom w:val="0"/>
      <w:divBdr>
        <w:top w:val="none" w:sz="0" w:space="0" w:color="auto"/>
        <w:left w:val="none" w:sz="0" w:space="0" w:color="auto"/>
        <w:bottom w:val="none" w:sz="0" w:space="0" w:color="auto"/>
        <w:right w:val="none" w:sz="0" w:space="0" w:color="auto"/>
      </w:divBdr>
    </w:div>
    <w:div w:id="679696512">
      <w:marLeft w:val="0"/>
      <w:marRight w:val="0"/>
      <w:marTop w:val="0"/>
      <w:marBottom w:val="0"/>
      <w:divBdr>
        <w:top w:val="none" w:sz="0" w:space="0" w:color="auto"/>
        <w:left w:val="none" w:sz="0" w:space="0" w:color="auto"/>
        <w:bottom w:val="none" w:sz="0" w:space="0" w:color="auto"/>
        <w:right w:val="none" w:sz="0" w:space="0" w:color="auto"/>
      </w:divBdr>
    </w:div>
    <w:div w:id="679696513">
      <w:marLeft w:val="0"/>
      <w:marRight w:val="0"/>
      <w:marTop w:val="0"/>
      <w:marBottom w:val="0"/>
      <w:divBdr>
        <w:top w:val="none" w:sz="0" w:space="0" w:color="auto"/>
        <w:left w:val="none" w:sz="0" w:space="0" w:color="auto"/>
        <w:bottom w:val="none" w:sz="0" w:space="0" w:color="auto"/>
        <w:right w:val="none" w:sz="0" w:space="0" w:color="auto"/>
      </w:divBdr>
    </w:div>
    <w:div w:id="679696514">
      <w:marLeft w:val="0"/>
      <w:marRight w:val="0"/>
      <w:marTop w:val="0"/>
      <w:marBottom w:val="0"/>
      <w:divBdr>
        <w:top w:val="none" w:sz="0" w:space="0" w:color="auto"/>
        <w:left w:val="none" w:sz="0" w:space="0" w:color="auto"/>
        <w:bottom w:val="none" w:sz="0" w:space="0" w:color="auto"/>
        <w:right w:val="none" w:sz="0" w:space="0" w:color="auto"/>
      </w:divBdr>
    </w:div>
    <w:div w:id="679696515">
      <w:marLeft w:val="0"/>
      <w:marRight w:val="0"/>
      <w:marTop w:val="0"/>
      <w:marBottom w:val="0"/>
      <w:divBdr>
        <w:top w:val="none" w:sz="0" w:space="0" w:color="auto"/>
        <w:left w:val="none" w:sz="0" w:space="0" w:color="auto"/>
        <w:bottom w:val="none" w:sz="0" w:space="0" w:color="auto"/>
        <w:right w:val="none" w:sz="0" w:space="0" w:color="auto"/>
      </w:divBdr>
    </w:div>
    <w:div w:id="679696517">
      <w:marLeft w:val="0"/>
      <w:marRight w:val="0"/>
      <w:marTop w:val="0"/>
      <w:marBottom w:val="0"/>
      <w:divBdr>
        <w:top w:val="none" w:sz="0" w:space="0" w:color="auto"/>
        <w:left w:val="none" w:sz="0" w:space="0" w:color="auto"/>
        <w:bottom w:val="none" w:sz="0" w:space="0" w:color="auto"/>
        <w:right w:val="none" w:sz="0" w:space="0" w:color="auto"/>
      </w:divBdr>
    </w:div>
    <w:div w:id="679696520">
      <w:marLeft w:val="0"/>
      <w:marRight w:val="0"/>
      <w:marTop w:val="0"/>
      <w:marBottom w:val="0"/>
      <w:divBdr>
        <w:top w:val="none" w:sz="0" w:space="0" w:color="auto"/>
        <w:left w:val="none" w:sz="0" w:space="0" w:color="auto"/>
        <w:bottom w:val="none" w:sz="0" w:space="0" w:color="auto"/>
        <w:right w:val="none" w:sz="0" w:space="0" w:color="auto"/>
      </w:divBdr>
    </w:div>
    <w:div w:id="679696521">
      <w:marLeft w:val="0"/>
      <w:marRight w:val="0"/>
      <w:marTop w:val="0"/>
      <w:marBottom w:val="0"/>
      <w:divBdr>
        <w:top w:val="none" w:sz="0" w:space="0" w:color="auto"/>
        <w:left w:val="none" w:sz="0" w:space="0" w:color="auto"/>
        <w:bottom w:val="none" w:sz="0" w:space="0" w:color="auto"/>
        <w:right w:val="none" w:sz="0" w:space="0" w:color="auto"/>
      </w:divBdr>
    </w:div>
    <w:div w:id="679696523">
      <w:marLeft w:val="0"/>
      <w:marRight w:val="0"/>
      <w:marTop w:val="0"/>
      <w:marBottom w:val="0"/>
      <w:divBdr>
        <w:top w:val="none" w:sz="0" w:space="0" w:color="auto"/>
        <w:left w:val="none" w:sz="0" w:space="0" w:color="auto"/>
        <w:bottom w:val="none" w:sz="0" w:space="0" w:color="auto"/>
        <w:right w:val="none" w:sz="0" w:space="0" w:color="auto"/>
      </w:divBdr>
      <w:divsChild>
        <w:div w:id="679696500">
          <w:marLeft w:val="0"/>
          <w:marRight w:val="0"/>
          <w:marTop w:val="0"/>
          <w:marBottom w:val="0"/>
          <w:divBdr>
            <w:top w:val="none" w:sz="0" w:space="0" w:color="auto"/>
            <w:left w:val="none" w:sz="0" w:space="0" w:color="auto"/>
            <w:bottom w:val="none" w:sz="0" w:space="0" w:color="auto"/>
            <w:right w:val="none" w:sz="0" w:space="0" w:color="auto"/>
          </w:divBdr>
        </w:div>
      </w:divsChild>
    </w:div>
    <w:div w:id="679696524">
      <w:marLeft w:val="0"/>
      <w:marRight w:val="0"/>
      <w:marTop w:val="0"/>
      <w:marBottom w:val="0"/>
      <w:divBdr>
        <w:top w:val="none" w:sz="0" w:space="0" w:color="auto"/>
        <w:left w:val="none" w:sz="0" w:space="0" w:color="auto"/>
        <w:bottom w:val="none" w:sz="0" w:space="0" w:color="auto"/>
        <w:right w:val="none" w:sz="0" w:space="0" w:color="auto"/>
      </w:divBdr>
    </w:div>
    <w:div w:id="679696525">
      <w:marLeft w:val="0"/>
      <w:marRight w:val="0"/>
      <w:marTop w:val="0"/>
      <w:marBottom w:val="0"/>
      <w:divBdr>
        <w:top w:val="none" w:sz="0" w:space="0" w:color="auto"/>
        <w:left w:val="none" w:sz="0" w:space="0" w:color="auto"/>
        <w:bottom w:val="none" w:sz="0" w:space="0" w:color="auto"/>
        <w:right w:val="none" w:sz="0" w:space="0" w:color="auto"/>
      </w:divBdr>
    </w:div>
    <w:div w:id="679696526">
      <w:marLeft w:val="0"/>
      <w:marRight w:val="0"/>
      <w:marTop w:val="0"/>
      <w:marBottom w:val="0"/>
      <w:divBdr>
        <w:top w:val="none" w:sz="0" w:space="0" w:color="auto"/>
        <w:left w:val="none" w:sz="0" w:space="0" w:color="auto"/>
        <w:bottom w:val="none" w:sz="0" w:space="0" w:color="auto"/>
        <w:right w:val="none" w:sz="0" w:space="0" w:color="auto"/>
      </w:divBdr>
      <w:divsChild>
        <w:div w:id="679696724">
          <w:marLeft w:val="0"/>
          <w:marRight w:val="0"/>
          <w:marTop w:val="0"/>
          <w:marBottom w:val="0"/>
          <w:divBdr>
            <w:top w:val="none" w:sz="0" w:space="0" w:color="auto"/>
            <w:left w:val="none" w:sz="0" w:space="0" w:color="auto"/>
            <w:bottom w:val="none" w:sz="0" w:space="0" w:color="auto"/>
            <w:right w:val="none" w:sz="0" w:space="0" w:color="auto"/>
          </w:divBdr>
          <w:divsChild>
            <w:div w:id="679696739">
              <w:marLeft w:val="0"/>
              <w:marRight w:val="0"/>
              <w:marTop w:val="0"/>
              <w:marBottom w:val="0"/>
              <w:divBdr>
                <w:top w:val="none" w:sz="0" w:space="0" w:color="auto"/>
                <w:left w:val="none" w:sz="0" w:space="0" w:color="auto"/>
                <w:bottom w:val="none" w:sz="0" w:space="0" w:color="auto"/>
                <w:right w:val="none" w:sz="0" w:space="0" w:color="auto"/>
              </w:divBdr>
              <w:divsChild>
                <w:div w:id="679696516">
                  <w:marLeft w:val="0"/>
                  <w:marRight w:val="0"/>
                  <w:marTop w:val="0"/>
                  <w:marBottom w:val="0"/>
                  <w:divBdr>
                    <w:top w:val="none" w:sz="0" w:space="0" w:color="auto"/>
                    <w:left w:val="none" w:sz="0" w:space="0" w:color="auto"/>
                    <w:bottom w:val="none" w:sz="0" w:space="0" w:color="auto"/>
                    <w:right w:val="none" w:sz="0" w:space="0" w:color="auto"/>
                  </w:divBdr>
                  <w:divsChild>
                    <w:div w:id="679696671">
                      <w:marLeft w:val="0"/>
                      <w:marRight w:val="0"/>
                      <w:marTop w:val="0"/>
                      <w:marBottom w:val="0"/>
                      <w:divBdr>
                        <w:top w:val="none" w:sz="0" w:space="0" w:color="auto"/>
                        <w:left w:val="none" w:sz="0" w:space="0" w:color="auto"/>
                        <w:bottom w:val="none" w:sz="0" w:space="0" w:color="auto"/>
                        <w:right w:val="none" w:sz="0" w:space="0" w:color="auto"/>
                      </w:divBdr>
                      <w:divsChild>
                        <w:div w:id="679696375">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9696527">
      <w:marLeft w:val="0"/>
      <w:marRight w:val="0"/>
      <w:marTop w:val="0"/>
      <w:marBottom w:val="0"/>
      <w:divBdr>
        <w:top w:val="none" w:sz="0" w:space="0" w:color="auto"/>
        <w:left w:val="none" w:sz="0" w:space="0" w:color="auto"/>
        <w:bottom w:val="none" w:sz="0" w:space="0" w:color="auto"/>
        <w:right w:val="none" w:sz="0" w:space="0" w:color="auto"/>
      </w:divBdr>
    </w:div>
    <w:div w:id="679696528">
      <w:marLeft w:val="0"/>
      <w:marRight w:val="0"/>
      <w:marTop w:val="0"/>
      <w:marBottom w:val="0"/>
      <w:divBdr>
        <w:top w:val="none" w:sz="0" w:space="0" w:color="auto"/>
        <w:left w:val="none" w:sz="0" w:space="0" w:color="auto"/>
        <w:bottom w:val="none" w:sz="0" w:space="0" w:color="auto"/>
        <w:right w:val="none" w:sz="0" w:space="0" w:color="auto"/>
      </w:divBdr>
      <w:divsChild>
        <w:div w:id="679696370">
          <w:marLeft w:val="0"/>
          <w:marRight w:val="0"/>
          <w:marTop w:val="0"/>
          <w:marBottom w:val="0"/>
          <w:divBdr>
            <w:top w:val="none" w:sz="0" w:space="0" w:color="auto"/>
            <w:left w:val="none" w:sz="0" w:space="0" w:color="auto"/>
            <w:bottom w:val="none" w:sz="0" w:space="0" w:color="auto"/>
            <w:right w:val="none" w:sz="0" w:space="0" w:color="auto"/>
          </w:divBdr>
        </w:div>
      </w:divsChild>
    </w:div>
    <w:div w:id="679696529">
      <w:marLeft w:val="0"/>
      <w:marRight w:val="0"/>
      <w:marTop w:val="0"/>
      <w:marBottom w:val="0"/>
      <w:divBdr>
        <w:top w:val="none" w:sz="0" w:space="0" w:color="auto"/>
        <w:left w:val="none" w:sz="0" w:space="0" w:color="auto"/>
        <w:bottom w:val="none" w:sz="0" w:space="0" w:color="auto"/>
        <w:right w:val="none" w:sz="0" w:space="0" w:color="auto"/>
      </w:divBdr>
    </w:div>
    <w:div w:id="679696530">
      <w:marLeft w:val="0"/>
      <w:marRight w:val="0"/>
      <w:marTop w:val="0"/>
      <w:marBottom w:val="0"/>
      <w:divBdr>
        <w:top w:val="none" w:sz="0" w:space="0" w:color="auto"/>
        <w:left w:val="none" w:sz="0" w:space="0" w:color="auto"/>
        <w:bottom w:val="none" w:sz="0" w:space="0" w:color="auto"/>
        <w:right w:val="none" w:sz="0" w:space="0" w:color="auto"/>
      </w:divBdr>
    </w:div>
    <w:div w:id="679696531">
      <w:marLeft w:val="0"/>
      <w:marRight w:val="0"/>
      <w:marTop w:val="0"/>
      <w:marBottom w:val="0"/>
      <w:divBdr>
        <w:top w:val="none" w:sz="0" w:space="0" w:color="auto"/>
        <w:left w:val="none" w:sz="0" w:space="0" w:color="auto"/>
        <w:bottom w:val="none" w:sz="0" w:space="0" w:color="auto"/>
        <w:right w:val="none" w:sz="0" w:space="0" w:color="auto"/>
      </w:divBdr>
    </w:div>
    <w:div w:id="679696532">
      <w:marLeft w:val="0"/>
      <w:marRight w:val="0"/>
      <w:marTop w:val="0"/>
      <w:marBottom w:val="0"/>
      <w:divBdr>
        <w:top w:val="none" w:sz="0" w:space="0" w:color="auto"/>
        <w:left w:val="none" w:sz="0" w:space="0" w:color="auto"/>
        <w:bottom w:val="none" w:sz="0" w:space="0" w:color="auto"/>
        <w:right w:val="none" w:sz="0" w:space="0" w:color="auto"/>
      </w:divBdr>
    </w:div>
    <w:div w:id="679696533">
      <w:marLeft w:val="0"/>
      <w:marRight w:val="0"/>
      <w:marTop w:val="0"/>
      <w:marBottom w:val="0"/>
      <w:divBdr>
        <w:top w:val="none" w:sz="0" w:space="0" w:color="auto"/>
        <w:left w:val="none" w:sz="0" w:space="0" w:color="auto"/>
        <w:bottom w:val="none" w:sz="0" w:space="0" w:color="auto"/>
        <w:right w:val="none" w:sz="0" w:space="0" w:color="auto"/>
      </w:divBdr>
    </w:div>
    <w:div w:id="679696534">
      <w:marLeft w:val="0"/>
      <w:marRight w:val="0"/>
      <w:marTop w:val="0"/>
      <w:marBottom w:val="0"/>
      <w:divBdr>
        <w:top w:val="none" w:sz="0" w:space="0" w:color="auto"/>
        <w:left w:val="none" w:sz="0" w:space="0" w:color="auto"/>
        <w:bottom w:val="none" w:sz="0" w:space="0" w:color="auto"/>
        <w:right w:val="none" w:sz="0" w:space="0" w:color="auto"/>
      </w:divBdr>
    </w:div>
    <w:div w:id="679696535">
      <w:marLeft w:val="0"/>
      <w:marRight w:val="0"/>
      <w:marTop w:val="0"/>
      <w:marBottom w:val="0"/>
      <w:divBdr>
        <w:top w:val="none" w:sz="0" w:space="0" w:color="auto"/>
        <w:left w:val="none" w:sz="0" w:space="0" w:color="auto"/>
        <w:bottom w:val="none" w:sz="0" w:space="0" w:color="auto"/>
        <w:right w:val="none" w:sz="0" w:space="0" w:color="auto"/>
      </w:divBdr>
    </w:div>
    <w:div w:id="679696538">
      <w:marLeft w:val="0"/>
      <w:marRight w:val="0"/>
      <w:marTop w:val="0"/>
      <w:marBottom w:val="0"/>
      <w:divBdr>
        <w:top w:val="none" w:sz="0" w:space="0" w:color="auto"/>
        <w:left w:val="none" w:sz="0" w:space="0" w:color="auto"/>
        <w:bottom w:val="none" w:sz="0" w:space="0" w:color="auto"/>
        <w:right w:val="none" w:sz="0" w:space="0" w:color="auto"/>
      </w:divBdr>
    </w:div>
    <w:div w:id="679696539">
      <w:marLeft w:val="0"/>
      <w:marRight w:val="0"/>
      <w:marTop w:val="0"/>
      <w:marBottom w:val="0"/>
      <w:divBdr>
        <w:top w:val="none" w:sz="0" w:space="0" w:color="auto"/>
        <w:left w:val="none" w:sz="0" w:space="0" w:color="auto"/>
        <w:bottom w:val="none" w:sz="0" w:space="0" w:color="auto"/>
        <w:right w:val="none" w:sz="0" w:space="0" w:color="auto"/>
      </w:divBdr>
    </w:div>
    <w:div w:id="679696542">
      <w:marLeft w:val="0"/>
      <w:marRight w:val="0"/>
      <w:marTop w:val="0"/>
      <w:marBottom w:val="0"/>
      <w:divBdr>
        <w:top w:val="none" w:sz="0" w:space="0" w:color="auto"/>
        <w:left w:val="none" w:sz="0" w:space="0" w:color="auto"/>
        <w:bottom w:val="none" w:sz="0" w:space="0" w:color="auto"/>
        <w:right w:val="none" w:sz="0" w:space="0" w:color="auto"/>
      </w:divBdr>
    </w:div>
    <w:div w:id="679696544">
      <w:marLeft w:val="0"/>
      <w:marRight w:val="0"/>
      <w:marTop w:val="0"/>
      <w:marBottom w:val="0"/>
      <w:divBdr>
        <w:top w:val="none" w:sz="0" w:space="0" w:color="auto"/>
        <w:left w:val="none" w:sz="0" w:space="0" w:color="auto"/>
        <w:bottom w:val="none" w:sz="0" w:space="0" w:color="auto"/>
        <w:right w:val="none" w:sz="0" w:space="0" w:color="auto"/>
      </w:divBdr>
    </w:div>
    <w:div w:id="679696545">
      <w:marLeft w:val="0"/>
      <w:marRight w:val="0"/>
      <w:marTop w:val="0"/>
      <w:marBottom w:val="0"/>
      <w:divBdr>
        <w:top w:val="none" w:sz="0" w:space="0" w:color="auto"/>
        <w:left w:val="none" w:sz="0" w:space="0" w:color="auto"/>
        <w:bottom w:val="none" w:sz="0" w:space="0" w:color="auto"/>
        <w:right w:val="none" w:sz="0" w:space="0" w:color="auto"/>
      </w:divBdr>
    </w:div>
    <w:div w:id="679696546">
      <w:marLeft w:val="0"/>
      <w:marRight w:val="0"/>
      <w:marTop w:val="0"/>
      <w:marBottom w:val="0"/>
      <w:divBdr>
        <w:top w:val="none" w:sz="0" w:space="0" w:color="auto"/>
        <w:left w:val="none" w:sz="0" w:space="0" w:color="auto"/>
        <w:bottom w:val="none" w:sz="0" w:space="0" w:color="auto"/>
        <w:right w:val="none" w:sz="0" w:space="0" w:color="auto"/>
      </w:divBdr>
    </w:div>
    <w:div w:id="679696548">
      <w:marLeft w:val="0"/>
      <w:marRight w:val="0"/>
      <w:marTop w:val="0"/>
      <w:marBottom w:val="0"/>
      <w:divBdr>
        <w:top w:val="none" w:sz="0" w:space="0" w:color="auto"/>
        <w:left w:val="none" w:sz="0" w:space="0" w:color="auto"/>
        <w:bottom w:val="none" w:sz="0" w:space="0" w:color="auto"/>
        <w:right w:val="none" w:sz="0" w:space="0" w:color="auto"/>
      </w:divBdr>
    </w:div>
    <w:div w:id="679696549">
      <w:marLeft w:val="0"/>
      <w:marRight w:val="0"/>
      <w:marTop w:val="0"/>
      <w:marBottom w:val="0"/>
      <w:divBdr>
        <w:top w:val="none" w:sz="0" w:space="0" w:color="auto"/>
        <w:left w:val="none" w:sz="0" w:space="0" w:color="auto"/>
        <w:bottom w:val="none" w:sz="0" w:space="0" w:color="auto"/>
        <w:right w:val="none" w:sz="0" w:space="0" w:color="auto"/>
      </w:divBdr>
    </w:div>
    <w:div w:id="679696551">
      <w:marLeft w:val="0"/>
      <w:marRight w:val="0"/>
      <w:marTop w:val="0"/>
      <w:marBottom w:val="0"/>
      <w:divBdr>
        <w:top w:val="none" w:sz="0" w:space="0" w:color="auto"/>
        <w:left w:val="none" w:sz="0" w:space="0" w:color="auto"/>
        <w:bottom w:val="none" w:sz="0" w:space="0" w:color="auto"/>
        <w:right w:val="none" w:sz="0" w:space="0" w:color="auto"/>
      </w:divBdr>
    </w:div>
    <w:div w:id="679696553">
      <w:marLeft w:val="0"/>
      <w:marRight w:val="0"/>
      <w:marTop w:val="0"/>
      <w:marBottom w:val="0"/>
      <w:divBdr>
        <w:top w:val="none" w:sz="0" w:space="0" w:color="auto"/>
        <w:left w:val="none" w:sz="0" w:space="0" w:color="auto"/>
        <w:bottom w:val="none" w:sz="0" w:space="0" w:color="auto"/>
        <w:right w:val="none" w:sz="0" w:space="0" w:color="auto"/>
      </w:divBdr>
    </w:div>
    <w:div w:id="679696554">
      <w:marLeft w:val="0"/>
      <w:marRight w:val="0"/>
      <w:marTop w:val="0"/>
      <w:marBottom w:val="0"/>
      <w:divBdr>
        <w:top w:val="none" w:sz="0" w:space="0" w:color="auto"/>
        <w:left w:val="none" w:sz="0" w:space="0" w:color="auto"/>
        <w:bottom w:val="none" w:sz="0" w:space="0" w:color="auto"/>
        <w:right w:val="none" w:sz="0" w:space="0" w:color="auto"/>
      </w:divBdr>
      <w:divsChild>
        <w:div w:id="679696561">
          <w:marLeft w:val="0"/>
          <w:marRight w:val="0"/>
          <w:marTop w:val="0"/>
          <w:marBottom w:val="0"/>
          <w:divBdr>
            <w:top w:val="none" w:sz="0" w:space="0" w:color="auto"/>
            <w:left w:val="none" w:sz="0" w:space="0" w:color="auto"/>
            <w:bottom w:val="none" w:sz="0" w:space="0" w:color="auto"/>
            <w:right w:val="none" w:sz="0" w:space="0" w:color="auto"/>
          </w:divBdr>
          <w:divsChild>
            <w:div w:id="679696618">
              <w:marLeft w:val="0"/>
              <w:marRight w:val="0"/>
              <w:marTop w:val="0"/>
              <w:marBottom w:val="0"/>
              <w:divBdr>
                <w:top w:val="none" w:sz="0" w:space="0" w:color="auto"/>
                <w:left w:val="none" w:sz="0" w:space="0" w:color="auto"/>
                <w:bottom w:val="none" w:sz="0" w:space="0" w:color="auto"/>
                <w:right w:val="none" w:sz="0" w:space="0" w:color="auto"/>
              </w:divBdr>
              <w:divsChild>
                <w:div w:id="679696617">
                  <w:marLeft w:val="0"/>
                  <w:marRight w:val="0"/>
                  <w:marTop w:val="0"/>
                  <w:marBottom w:val="0"/>
                  <w:divBdr>
                    <w:top w:val="none" w:sz="0" w:space="0" w:color="auto"/>
                    <w:left w:val="none" w:sz="0" w:space="0" w:color="auto"/>
                    <w:bottom w:val="none" w:sz="0" w:space="0" w:color="auto"/>
                    <w:right w:val="none" w:sz="0" w:space="0" w:color="auto"/>
                  </w:divBdr>
                  <w:divsChild>
                    <w:div w:id="679696584">
                      <w:marLeft w:val="0"/>
                      <w:marRight w:val="0"/>
                      <w:marTop w:val="0"/>
                      <w:marBottom w:val="0"/>
                      <w:divBdr>
                        <w:top w:val="none" w:sz="0" w:space="0" w:color="auto"/>
                        <w:left w:val="none" w:sz="0" w:space="0" w:color="auto"/>
                        <w:bottom w:val="none" w:sz="0" w:space="0" w:color="auto"/>
                        <w:right w:val="none" w:sz="0" w:space="0" w:color="auto"/>
                      </w:divBdr>
                      <w:divsChild>
                        <w:div w:id="679696393">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9696555">
      <w:marLeft w:val="0"/>
      <w:marRight w:val="0"/>
      <w:marTop w:val="0"/>
      <w:marBottom w:val="0"/>
      <w:divBdr>
        <w:top w:val="none" w:sz="0" w:space="0" w:color="auto"/>
        <w:left w:val="none" w:sz="0" w:space="0" w:color="auto"/>
        <w:bottom w:val="none" w:sz="0" w:space="0" w:color="auto"/>
        <w:right w:val="none" w:sz="0" w:space="0" w:color="auto"/>
      </w:divBdr>
    </w:div>
    <w:div w:id="679696556">
      <w:marLeft w:val="0"/>
      <w:marRight w:val="0"/>
      <w:marTop w:val="0"/>
      <w:marBottom w:val="0"/>
      <w:divBdr>
        <w:top w:val="none" w:sz="0" w:space="0" w:color="auto"/>
        <w:left w:val="none" w:sz="0" w:space="0" w:color="auto"/>
        <w:bottom w:val="none" w:sz="0" w:space="0" w:color="auto"/>
        <w:right w:val="none" w:sz="0" w:space="0" w:color="auto"/>
      </w:divBdr>
    </w:div>
    <w:div w:id="679696557">
      <w:marLeft w:val="0"/>
      <w:marRight w:val="0"/>
      <w:marTop w:val="0"/>
      <w:marBottom w:val="0"/>
      <w:divBdr>
        <w:top w:val="none" w:sz="0" w:space="0" w:color="auto"/>
        <w:left w:val="none" w:sz="0" w:space="0" w:color="auto"/>
        <w:bottom w:val="none" w:sz="0" w:space="0" w:color="auto"/>
        <w:right w:val="none" w:sz="0" w:space="0" w:color="auto"/>
      </w:divBdr>
    </w:div>
    <w:div w:id="679696558">
      <w:marLeft w:val="0"/>
      <w:marRight w:val="0"/>
      <w:marTop w:val="0"/>
      <w:marBottom w:val="0"/>
      <w:divBdr>
        <w:top w:val="none" w:sz="0" w:space="0" w:color="auto"/>
        <w:left w:val="none" w:sz="0" w:space="0" w:color="auto"/>
        <w:bottom w:val="none" w:sz="0" w:space="0" w:color="auto"/>
        <w:right w:val="none" w:sz="0" w:space="0" w:color="auto"/>
      </w:divBdr>
      <w:divsChild>
        <w:div w:id="679696752">
          <w:marLeft w:val="0"/>
          <w:marRight w:val="0"/>
          <w:marTop w:val="0"/>
          <w:marBottom w:val="0"/>
          <w:divBdr>
            <w:top w:val="none" w:sz="0" w:space="0" w:color="auto"/>
            <w:left w:val="none" w:sz="0" w:space="0" w:color="auto"/>
            <w:bottom w:val="none" w:sz="0" w:space="0" w:color="auto"/>
            <w:right w:val="none" w:sz="0" w:space="0" w:color="auto"/>
          </w:divBdr>
          <w:divsChild>
            <w:div w:id="679696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9696560">
      <w:marLeft w:val="0"/>
      <w:marRight w:val="0"/>
      <w:marTop w:val="0"/>
      <w:marBottom w:val="0"/>
      <w:divBdr>
        <w:top w:val="none" w:sz="0" w:space="0" w:color="auto"/>
        <w:left w:val="none" w:sz="0" w:space="0" w:color="auto"/>
        <w:bottom w:val="none" w:sz="0" w:space="0" w:color="auto"/>
        <w:right w:val="none" w:sz="0" w:space="0" w:color="auto"/>
      </w:divBdr>
    </w:div>
    <w:div w:id="679696562">
      <w:marLeft w:val="0"/>
      <w:marRight w:val="0"/>
      <w:marTop w:val="0"/>
      <w:marBottom w:val="0"/>
      <w:divBdr>
        <w:top w:val="none" w:sz="0" w:space="0" w:color="auto"/>
        <w:left w:val="none" w:sz="0" w:space="0" w:color="auto"/>
        <w:bottom w:val="none" w:sz="0" w:space="0" w:color="auto"/>
        <w:right w:val="none" w:sz="0" w:space="0" w:color="auto"/>
      </w:divBdr>
    </w:div>
    <w:div w:id="679696563">
      <w:marLeft w:val="0"/>
      <w:marRight w:val="0"/>
      <w:marTop w:val="0"/>
      <w:marBottom w:val="0"/>
      <w:divBdr>
        <w:top w:val="none" w:sz="0" w:space="0" w:color="auto"/>
        <w:left w:val="none" w:sz="0" w:space="0" w:color="auto"/>
        <w:bottom w:val="none" w:sz="0" w:space="0" w:color="auto"/>
        <w:right w:val="none" w:sz="0" w:space="0" w:color="auto"/>
      </w:divBdr>
    </w:div>
    <w:div w:id="679696564">
      <w:marLeft w:val="0"/>
      <w:marRight w:val="0"/>
      <w:marTop w:val="0"/>
      <w:marBottom w:val="0"/>
      <w:divBdr>
        <w:top w:val="none" w:sz="0" w:space="0" w:color="auto"/>
        <w:left w:val="none" w:sz="0" w:space="0" w:color="auto"/>
        <w:bottom w:val="none" w:sz="0" w:space="0" w:color="auto"/>
        <w:right w:val="none" w:sz="0" w:space="0" w:color="auto"/>
      </w:divBdr>
    </w:div>
    <w:div w:id="679696565">
      <w:marLeft w:val="0"/>
      <w:marRight w:val="0"/>
      <w:marTop w:val="0"/>
      <w:marBottom w:val="0"/>
      <w:divBdr>
        <w:top w:val="none" w:sz="0" w:space="0" w:color="auto"/>
        <w:left w:val="none" w:sz="0" w:space="0" w:color="auto"/>
        <w:bottom w:val="none" w:sz="0" w:space="0" w:color="auto"/>
        <w:right w:val="none" w:sz="0" w:space="0" w:color="auto"/>
      </w:divBdr>
    </w:div>
    <w:div w:id="679696566">
      <w:marLeft w:val="0"/>
      <w:marRight w:val="0"/>
      <w:marTop w:val="0"/>
      <w:marBottom w:val="0"/>
      <w:divBdr>
        <w:top w:val="none" w:sz="0" w:space="0" w:color="auto"/>
        <w:left w:val="none" w:sz="0" w:space="0" w:color="auto"/>
        <w:bottom w:val="none" w:sz="0" w:space="0" w:color="auto"/>
        <w:right w:val="none" w:sz="0" w:space="0" w:color="auto"/>
      </w:divBdr>
    </w:div>
    <w:div w:id="679696567">
      <w:marLeft w:val="0"/>
      <w:marRight w:val="0"/>
      <w:marTop w:val="0"/>
      <w:marBottom w:val="0"/>
      <w:divBdr>
        <w:top w:val="none" w:sz="0" w:space="0" w:color="auto"/>
        <w:left w:val="none" w:sz="0" w:space="0" w:color="auto"/>
        <w:bottom w:val="none" w:sz="0" w:space="0" w:color="auto"/>
        <w:right w:val="none" w:sz="0" w:space="0" w:color="auto"/>
      </w:divBdr>
    </w:div>
    <w:div w:id="679696568">
      <w:marLeft w:val="0"/>
      <w:marRight w:val="0"/>
      <w:marTop w:val="0"/>
      <w:marBottom w:val="0"/>
      <w:divBdr>
        <w:top w:val="none" w:sz="0" w:space="0" w:color="auto"/>
        <w:left w:val="none" w:sz="0" w:space="0" w:color="auto"/>
        <w:bottom w:val="none" w:sz="0" w:space="0" w:color="auto"/>
        <w:right w:val="none" w:sz="0" w:space="0" w:color="auto"/>
      </w:divBdr>
    </w:div>
    <w:div w:id="679696569">
      <w:marLeft w:val="0"/>
      <w:marRight w:val="0"/>
      <w:marTop w:val="0"/>
      <w:marBottom w:val="0"/>
      <w:divBdr>
        <w:top w:val="none" w:sz="0" w:space="0" w:color="auto"/>
        <w:left w:val="none" w:sz="0" w:space="0" w:color="auto"/>
        <w:bottom w:val="none" w:sz="0" w:space="0" w:color="auto"/>
        <w:right w:val="none" w:sz="0" w:space="0" w:color="auto"/>
      </w:divBdr>
    </w:div>
    <w:div w:id="679696570">
      <w:marLeft w:val="0"/>
      <w:marRight w:val="0"/>
      <w:marTop w:val="0"/>
      <w:marBottom w:val="0"/>
      <w:divBdr>
        <w:top w:val="none" w:sz="0" w:space="0" w:color="auto"/>
        <w:left w:val="none" w:sz="0" w:space="0" w:color="auto"/>
        <w:bottom w:val="none" w:sz="0" w:space="0" w:color="auto"/>
        <w:right w:val="none" w:sz="0" w:space="0" w:color="auto"/>
      </w:divBdr>
    </w:div>
    <w:div w:id="679696571">
      <w:marLeft w:val="0"/>
      <w:marRight w:val="0"/>
      <w:marTop w:val="0"/>
      <w:marBottom w:val="0"/>
      <w:divBdr>
        <w:top w:val="none" w:sz="0" w:space="0" w:color="auto"/>
        <w:left w:val="none" w:sz="0" w:space="0" w:color="auto"/>
        <w:bottom w:val="none" w:sz="0" w:space="0" w:color="auto"/>
        <w:right w:val="none" w:sz="0" w:space="0" w:color="auto"/>
      </w:divBdr>
    </w:div>
    <w:div w:id="679696575">
      <w:marLeft w:val="0"/>
      <w:marRight w:val="0"/>
      <w:marTop w:val="0"/>
      <w:marBottom w:val="0"/>
      <w:divBdr>
        <w:top w:val="none" w:sz="0" w:space="0" w:color="auto"/>
        <w:left w:val="none" w:sz="0" w:space="0" w:color="auto"/>
        <w:bottom w:val="none" w:sz="0" w:space="0" w:color="auto"/>
        <w:right w:val="none" w:sz="0" w:space="0" w:color="auto"/>
      </w:divBdr>
    </w:div>
    <w:div w:id="679696576">
      <w:marLeft w:val="0"/>
      <w:marRight w:val="0"/>
      <w:marTop w:val="0"/>
      <w:marBottom w:val="0"/>
      <w:divBdr>
        <w:top w:val="none" w:sz="0" w:space="0" w:color="auto"/>
        <w:left w:val="none" w:sz="0" w:space="0" w:color="auto"/>
        <w:bottom w:val="none" w:sz="0" w:space="0" w:color="auto"/>
        <w:right w:val="none" w:sz="0" w:space="0" w:color="auto"/>
      </w:divBdr>
    </w:div>
    <w:div w:id="679696577">
      <w:marLeft w:val="0"/>
      <w:marRight w:val="0"/>
      <w:marTop w:val="0"/>
      <w:marBottom w:val="0"/>
      <w:divBdr>
        <w:top w:val="none" w:sz="0" w:space="0" w:color="auto"/>
        <w:left w:val="none" w:sz="0" w:space="0" w:color="auto"/>
        <w:bottom w:val="none" w:sz="0" w:space="0" w:color="auto"/>
        <w:right w:val="none" w:sz="0" w:space="0" w:color="auto"/>
      </w:divBdr>
    </w:div>
    <w:div w:id="679696578">
      <w:marLeft w:val="0"/>
      <w:marRight w:val="0"/>
      <w:marTop w:val="0"/>
      <w:marBottom w:val="0"/>
      <w:divBdr>
        <w:top w:val="none" w:sz="0" w:space="0" w:color="auto"/>
        <w:left w:val="none" w:sz="0" w:space="0" w:color="auto"/>
        <w:bottom w:val="none" w:sz="0" w:space="0" w:color="auto"/>
        <w:right w:val="none" w:sz="0" w:space="0" w:color="auto"/>
      </w:divBdr>
      <w:divsChild>
        <w:div w:id="679696627">
          <w:marLeft w:val="0"/>
          <w:marRight w:val="0"/>
          <w:marTop w:val="0"/>
          <w:marBottom w:val="0"/>
          <w:divBdr>
            <w:top w:val="none" w:sz="0" w:space="0" w:color="auto"/>
            <w:left w:val="none" w:sz="0" w:space="0" w:color="auto"/>
            <w:bottom w:val="none" w:sz="0" w:space="0" w:color="auto"/>
            <w:right w:val="none" w:sz="0" w:space="0" w:color="auto"/>
          </w:divBdr>
        </w:div>
      </w:divsChild>
    </w:div>
    <w:div w:id="679696582">
      <w:marLeft w:val="0"/>
      <w:marRight w:val="0"/>
      <w:marTop w:val="0"/>
      <w:marBottom w:val="0"/>
      <w:divBdr>
        <w:top w:val="none" w:sz="0" w:space="0" w:color="auto"/>
        <w:left w:val="none" w:sz="0" w:space="0" w:color="auto"/>
        <w:bottom w:val="none" w:sz="0" w:space="0" w:color="auto"/>
        <w:right w:val="none" w:sz="0" w:space="0" w:color="auto"/>
      </w:divBdr>
    </w:div>
    <w:div w:id="679696583">
      <w:marLeft w:val="0"/>
      <w:marRight w:val="0"/>
      <w:marTop w:val="0"/>
      <w:marBottom w:val="0"/>
      <w:divBdr>
        <w:top w:val="none" w:sz="0" w:space="0" w:color="auto"/>
        <w:left w:val="none" w:sz="0" w:space="0" w:color="auto"/>
        <w:bottom w:val="none" w:sz="0" w:space="0" w:color="auto"/>
        <w:right w:val="none" w:sz="0" w:space="0" w:color="auto"/>
      </w:divBdr>
    </w:div>
    <w:div w:id="679696587">
      <w:marLeft w:val="0"/>
      <w:marRight w:val="0"/>
      <w:marTop w:val="0"/>
      <w:marBottom w:val="0"/>
      <w:divBdr>
        <w:top w:val="none" w:sz="0" w:space="0" w:color="auto"/>
        <w:left w:val="none" w:sz="0" w:space="0" w:color="auto"/>
        <w:bottom w:val="none" w:sz="0" w:space="0" w:color="auto"/>
        <w:right w:val="none" w:sz="0" w:space="0" w:color="auto"/>
      </w:divBdr>
    </w:div>
    <w:div w:id="679696588">
      <w:marLeft w:val="0"/>
      <w:marRight w:val="0"/>
      <w:marTop w:val="0"/>
      <w:marBottom w:val="0"/>
      <w:divBdr>
        <w:top w:val="none" w:sz="0" w:space="0" w:color="auto"/>
        <w:left w:val="none" w:sz="0" w:space="0" w:color="auto"/>
        <w:bottom w:val="none" w:sz="0" w:space="0" w:color="auto"/>
        <w:right w:val="none" w:sz="0" w:space="0" w:color="auto"/>
      </w:divBdr>
    </w:div>
    <w:div w:id="679696589">
      <w:marLeft w:val="0"/>
      <w:marRight w:val="0"/>
      <w:marTop w:val="0"/>
      <w:marBottom w:val="0"/>
      <w:divBdr>
        <w:top w:val="none" w:sz="0" w:space="0" w:color="auto"/>
        <w:left w:val="none" w:sz="0" w:space="0" w:color="auto"/>
        <w:bottom w:val="none" w:sz="0" w:space="0" w:color="auto"/>
        <w:right w:val="none" w:sz="0" w:space="0" w:color="auto"/>
      </w:divBdr>
    </w:div>
    <w:div w:id="679696592">
      <w:marLeft w:val="0"/>
      <w:marRight w:val="0"/>
      <w:marTop w:val="0"/>
      <w:marBottom w:val="0"/>
      <w:divBdr>
        <w:top w:val="none" w:sz="0" w:space="0" w:color="auto"/>
        <w:left w:val="none" w:sz="0" w:space="0" w:color="auto"/>
        <w:bottom w:val="none" w:sz="0" w:space="0" w:color="auto"/>
        <w:right w:val="none" w:sz="0" w:space="0" w:color="auto"/>
      </w:divBdr>
    </w:div>
    <w:div w:id="679696593">
      <w:marLeft w:val="0"/>
      <w:marRight w:val="0"/>
      <w:marTop w:val="0"/>
      <w:marBottom w:val="0"/>
      <w:divBdr>
        <w:top w:val="none" w:sz="0" w:space="0" w:color="auto"/>
        <w:left w:val="none" w:sz="0" w:space="0" w:color="auto"/>
        <w:bottom w:val="none" w:sz="0" w:space="0" w:color="auto"/>
        <w:right w:val="none" w:sz="0" w:space="0" w:color="auto"/>
      </w:divBdr>
    </w:div>
    <w:div w:id="679696595">
      <w:marLeft w:val="0"/>
      <w:marRight w:val="0"/>
      <w:marTop w:val="0"/>
      <w:marBottom w:val="0"/>
      <w:divBdr>
        <w:top w:val="none" w:sz="0" w:space="0" w:color="auto"/>
        <w:left w:val="none" w:sz="0" w:space="0" w:color="auto"/>
        <w:bottom w:val="none" w:sz="0" w:space="0" w:color="auto"/>
        <w:right w:val="none" w:sz="0" w:space="0" w:color="auto"/>
      </w:divBdr>
    </w:div>
    <w:div w:id="679696596">
      <w:marLeft w:val="0"/>
      <w:marRight w:val="0"/>
      <w:marTop w:val="0"/>
      <w:marBottom w:val="0"/>
      <w:divBdr>
        <w:top w:val="none" w:sz="0" w:space="0" w:color="auto"/>
        <w:left w:val="none" w:sz="0" w:space="0" w:color="auto"/>
        <w:bottom w:val="none" w:sz="0" w:space="0" w:color="auto"/>
        <w:right w:val="none" w:sz="0" w:space="0" w:color="auto"/>
      </w:divBdr>
    </w:div>
    <w:div w:id="679696598">
      <w:marLeft w:val="0"/>
      <w:marRight w:val="0"/>
      <w:marTop w:val="0"/>
      <w:marBottom w:val="0"/>
      <w:divBdr>
        <w:top w:val="none" w:sz="0" w:space="0" w:color="auto"/>
        <w:left w:val="none" w:sz="0" w:space="0" w:color="auto"/>
        <w:bottom w:val="none" w:sz="0" w:space="0" w:color="auto"/>
        <w:right w:val="none" w:sz="0" w:space="0" w:color="auto"/>
      </w:divBdr>
    </w:div>
    <w:div w:id="679696599">
      <w:marLeft w:val="0"/>
      <w:marRight w:val="0"/>
      <w:marTop w:val="0"/>
      <w:marBottom w:val="0"/>
      <w:divBdr>
        <w:top w:val="none" w:sz="0" w:space="0" w:color="auto"/>
        <w:left w:val="none" w:sz="0" w:space="0" w:color="auto"/>
        <w:bottom w:val="none" w:sz="0" w:space="0" w:color="auto"/>
        <w:right w:val="none" w:sz="0" w:space="0" w:color="auto"/>
      </w:divBdr>
    </w:div>
    <w:div w:id="679696600">
      <w:marLeft w:val="0"/>
      <w:marRight w:val="0"/>
      <w:marTop w:val="0"/>
      <w:marBottom w:val="0"/>
      <w:divBdr>
        <w:top w:val="none" w:sz="0" w:space="0" w:color="auto"/>
        <w:left w:val="none" w:sz="0" w:space="0" w:color="auto"/>
        <w:bottom w:val="none" w:sz="0" w:space="0" w:color="auto"/>
        <w:right w:val="none" w:sz="0" w:space="0" w:color="auto"/>
      </w:divBdr>
    </w:div>
    <w:div w:id="679696601">
      <w:marLeft w:val="0"/>
      <w:marRight w:val="0"/>
      <w:marTop w:val="0"/>
      <w:marBottom w:val="0"/>
      <w:divBdr>
        <w:top w:val="none" w:sz="0" w:space="0" w:color="auto"/>
        <w:left w:val="none" w:sz="0" w:space="0" w:color="auto"/>
        <w:bottom w:val="none" w:sz="0" w:space="0" w:color="auto"/>
        <w:right w:val="none" w:sz="0" w:space="0" w:color="auto"/>
      </w:divBdr>
    </w:div>
    <w:div w:id="679696603">
      <w:marLeft w:val="0"/>
      <w:marRight w:val="0"/>
      <w:marTop w:val="0"/>
      <w:marBottom w:val="0"/>
      <w:divBdr>
        <w:top w:val="none" w:sz="0" w:space="0" w:color="auto"/>
        <w:left w:val="none" w:sz="0" w:space="0" w:color="auto"/>
        <w:bottom w:val="none" w:sz="0" w:space="0" w:color="auto"/>
        <w:right w:val="none" w:sz="0" w:space="0" w:color="auto"/>
      </w:divBdr>
    </w:div>
    <w:div w:id="679696604">
      <w:marLeft w:val="0"/>
      <w:marRight w:val="0"/>
      <w:marTop w:val="0"/>
      <w:marBottom w:val="0"/>
      <w:divBdr>
        <w:top w:val="none" w:sz="0" w:space="0" w:color="auto"/>
        <w:left w:val="none" w:sz="0" w:space="0" w:color="auto"/>
        <w:bottom w:val="none" w:sz="0" w:space="0" w:color="auto"/>
        <w:right w:val="none" w:sz="0" w:space="0" w:color="auto"/>
      </w:divBdr>
    </w:div>
    <w:div w:id="679696605">
      <w:marLeft w:val="0"/>
      <w:marRight w:val="0"/>
      <w:marTop w:val="0"/>
      <w:marBottom w:val="0"/>
      <w:divBdr>
        <w:top w:val="none" w:sz="0" w:space="0" w:color="auto"/>
        <w:left w:val="none" w:sz="0" w:space="0" w:color="auto"/>
        <w:bottom w:val="none" w:sz="0" w:space="0" w:color="auto"/>
        <w:right w:val="none" w:sz="0" w:space="0" w:color="auto"/>
      </w:divBdr>
    </w:div>
    <w:div w:id="679696606">
      <w:marLeft w:val="0"/>
      <w:marRight w:val="0"/>
      <w:marTop w:val="0"/>
      <w:marBottom w:val="0"/>
      <w:divBdr>
        <w:top w:val="none" w:sz="0" w:space="0" w:color="auto"/>
        <w:left w:val="none" w:sz="0" w:space="0" w:color="auto"/>
        <w:bottom w:val="none" w:sz="0" w:space="0" w:color="auto"/>
        <w:right w:val="none" w:sz="0" w:space="0" w:color="auto"/>
      </w:divBdr>
    </w:div>
    <w:div w:id="679696609">
      <w:marLeft w:val="0"/>
      <w:marRight w:val="0"/>
      <w:marTop w:val="0"/>
      <w:marBottom w:val="0"/>
      <w:divBdr>
        <w:top w:val="none" w:sz="0" w:space="0" w:color="auto"/>
        <w:left w:val="none" w:sz="0" w:space="0" w:color="auto"/>
        <w:bottom w:val="none" w:sz="0" w:space="0" w:color="auto"/>
        <w:right w:val="none" w:sz="0" w:space="0" w:color="auto"/>
      </w:divBdr>
    </w:div>
    <w:div w:id="679696610">
      <w:marLeft w:val="0"/>
      <w:marRight w:val="0"/>
      <w:marTop w:val="0"/>
      <w:marBottom w:val="0"/>
      <w:divBdr>
        <w:top w:val="none" w:sz="0" w:space="0" w:color="auto"/>
        <w:left w:val="none" w:sz="0" w:space="0" w:color="auto"/>
        <w:bottom w:val="none" w:sz="0" w:space="0" w:color="auto"/>
        <w:right w:val="none" w:sz="0" w:space="0" w:color="auto"/>
      </w:divBdr>
    </w:div>
    <w:div w:id="679696611">
      <w:marLeft w:val="0"/>
      <w:marRight w:val="0"/>
      <w:marTop w:val="0"/>
      <w:marBottom w:val="0"/>
      <w:divBdr>
        <w:top w:val="none" w:sz="0" w:space="0" w:color="auto"/>
        <w:left w:val="none" w:sz="0" w:space="0" w:color="auto"/>
        <w:bottom w:val="none" w:sz="0" w:space="0" w:color="auto"/>
        <w:right w:val="none" w:sz="0" w:space="0" w:color="auto"/>
      </w:divBdr>
    </w:div>
    <w:div w:id="679696612">
      <w:marLeft w:val="0"/>
      <w:marRight w:val="0"/>
      <w:marTop w:val="0"/>
      <w:marBottom w:val="0"/>
      <w:divBdr>
        <w:top w:val="none" w:sz="0" w:space="0" w:color="auto"/>
        <w:left w:val="none" w:sz="0" w:space="0" w:color="auto"/>
        <w:bottom w:val="none" w:sz="0" w:space="0" w:color="auto"/>
        <w:right w:val="none" w:sz="0" w:space="0" w:color="auto"/>
      </w:divBdr>
    </w:div>
    <w:div w:id="679696613">
      <w:marLeft w:val="0"/>
      <w:marRight w:val="0"/>
      <w:marTop w:val="0"/>
      <w:marBottom w:val="0"/>
      <w:divBdr>
        <w:top w:val="none" w:sz="0" w:space="0" w:color="auto"/>
        <w:left w:val="none" w:sz="0" w:space="0" w:color="auto"/>
        <w:bottom w:val="none" w:sz="0" w:space="0" w:color="auto"/>
        <w:right w:val="none" w:sz="0" w:space="0" w:color="auto"/>
      </w:divBdr>
    </w:div>
    <w:div w:id="679696616">
      <w:marLeft w:val="0"/>
      <w:marRight w:val="0"/>
      <w:marTop w:val="0"/>
      <w:marBottom w:val="0"/>
      <w:divBdr>
        <w:top w:val="none" w:sz="0" w:space="0" w:color="auto"/>
        <w:left w:val="none" w:sz="0" w:space="0" w:color="auto"/>
        <w:bottom w:val="none" w:sz="0" w:space="0" w:color="auto"/>
        <w:right w:val="none" w:sz="0" w:space="0" w:color="auto"/>
      </w:divBdr>
    </w:div>
    <w:div w:id="679696619">
      <w:marLeft w:val="0"/>
      <w:marRight w:val="0"/>
      <w:marTop w:val="0"/>
      <w:marBottom w:val="0"/>
      <w:divBdr>
        <w:top w:val="none" w:sz="0" w:space="0" w:color="auto"/>
        <w:left w:val="none" w:sz="0" w:space="0" w:color="auto"/>
        <w:bottom w:val="none" w:sz="0" w:space="0" w:color="auto"/>
        <w:right w:val="none" w:sz="0" w:space="0" w:color="auto"/>
      </w:divBdr>
    </w:div>
    <w:div w:id="679696620">
      <w:marLeft w:val="0"/>
      <w:marRight w:val="0"/>
      <w:marTop w:val="0"/>
      <w:marBottom w:val="0"/>
      <w:divBdr>
        <w:top w:val="none" w:sz="0" w:space="0" w:color="auto"/>
        <w:left w:val="none" w:sz="0" w:space="0" w:color="auto"/>
        <w:bottom w:val="none" w:sz="0" w:space="0" w:color="auto"/>
        <w:right w:val="none" w:sz="0" w:space="0" w:color="auto"/>
      </w:divBdr>
    </w:div>
    <w:div w:id="679696621">
      <w:marLeft w:val="0"/>
      <w:marRight w:val="0"/>
      <w:marTop w:val="0"/>
      <w:marBottom w:val="0"/>
      <w:divBdr>
        <w:top w:val="none" w:sz="0" w:space="0" w:color="auto"/>
        <w:left w:val="none" w:sz="0" w:space="0" w:color="auto"/>
        <w:bottom w:val="none" w:sz="0" w:space="0" w:color="auto"/>
        <w:right w:val="none" w:sz="0" w:space="0" w:color="auto"/>
      </w:divBdr>
    </w:div>
    <w:div w:id="679696622">
      <w:marLeft w:val="0"/>
      <w:marRight w:val="0"/>
      <w:marTop w:val="0"/>
      <w:marBottom w:val="0"/>
      <w:divBdr>
        <w:top w:val="none" w:sz="0" w:space="0" w:color="auto"/>
        <w:left w:val="none" w:sz="0" w:space="0" w:color="auto"/>
        <w:bottom w:val="none" w:sz="0" w:space="0" w:color="auto"/>
        <w:right w:val="none" w:sz="0" w:space="0" w:color="auto"/>
      </w:divBdr>
    </w:div>
    <w:div w:id="679696623">
      <w:marLeft w:val="0"/>
      <w:marRight w:val="0"/>
      <w:marTop w:val="0"/>
      <w:marBottom w:val="0"/>
      <w:divBdr>
        <w:top w:val="none" w:sz="0" w:space="0" w:color="auto"/>
        <w:left w:val="none" w:sz="0" w:space="0" w:color="auto"/>
        <w:bottom w:val="none" w:sz="0" w:space="0" w:color="auto"/>
        <w:right w:val="none" w:sz="0" w:space="0" w:color="auto"/>
      </w:divBdr>
    </w:div>
    <w:div w:id="679696625">
      <w:marLeft w:val="0"/>
      <w:marRight w:val="0"/>
      <w:marTop w:val="0"/>
      <w:marBottom w:val="0"/>
      <w:divBdr>
        <w:top w:val="none" w:sz="0" w:space="0" w:color="auto"/>
        <w:left w:val="none" w:sz="0" w:space="0" w:color="auto"/>
        <w:bottom w:val="none" w:sz="0" w:space="0" w:color="auto"/>
        <w:right w:val="none" w:sz="0" w:space="0" w:color="auto"/>
      </w:divBdr>
    </w:div>
    <w:div w:id="679696626">
      <w:marLeft w:val="0"/>
      <w:marRight w:val="0"/>
      <w:marTop w:val="0"/>
      <w:marBottom w:val="0"/>
      <w:divBdr>
        <w:top w:val="none" w:sz="0" w:space="0" w:color="auto"/>
        <w:left w:val="none" w:sz="0" w:space="0" w:color="auto"/>
        <w:bottom w:val="none" w:sz="0" w:space="0" w:color="auto"/>
        <w:right w:val="none" w:sz="0" w:space="0" w:color="auto"/>
      </w:divBdr>
    </w:div>
    <w:div w:id="679696628">
      <w:marLeft w:val="0"/>
      <w:marRight w:val="0"/>
      <w:marTop w:val="0"/>
      <w:marBottom w:val="0"/>
      <w:divBdr>
        <w:top w:val="none" w:sz="0" w:space="0" w:color="auto"/>
        <w:left w:val="none" w:sz="0" w:space="0" w:color="auto"/>
        <w:bottom w:val="none" w:sz="0" w:space="0" w:color="auto"/>
        <w:right w:val="none" w:sz="0" w:space="0" w:color="auto"/>
      </w:divBdr>
      <w:divsChild>
        <w:div w:id="679696390">
          <w:marLeft w:val="0"/>
          <w:marRight w:val="0"/>
          <w:marTop w:val="0"/>
          <w:marBottom w:val="0"/>
          <w:divBdr>
            <w:top w:val="none" w:sz="0" w:space="0" w:color="auto"/>
            <w:left w:val="none" w:sz="0" w:space="0" w:color="auto"/>
            <w:bottom w:val="none" w:sz="0" w:space="0" w:color="auto"/>
            <w:right w:val="none" w:sz="0" w:space="0" w:color="auto"/>
          </w:divBdr>
          <w:divsChild>
            <w:div w:id="679696365">
              <w:marLeft w:val="0"/>
              <w:marRight w:val="0"/>
              <w:marTop w:val="0"/>
              <w:marBottom w:val="0"/>
              <w:divBdr>
                <w:top w:val="none" w:sz="0" w:space="0" w:color="auto"/>
                <w:left w:val="none" w:sz="0" w:space="0" w:color="auto"/>
                <w:bottom w:val="none" w:sz="0" w:space="0" w:color="auto"/>
                <w:right w:val="none" w:sz="0" w:space="0" w:color="auto"/>
              </w:divBdr>
              <w:divsChild>
                <w:div w:id="679696755">
                  <w:marLeft w:val="0"/>
                  <w:marRight w:val="0"/>
                  <w:marTop w:val="0"/>
                  <w:marBottom w:val="0"/>
                  <w:divBdr>
                    <w:top w:val="none" w:sz="0" w:space="0" w:color="auto"/>
                    <w:left w:val="none" w:sz="0" w:space="0" w:color="auto"/>
                    <w:bottom w:val="none" w:sz="0" w:space="0" w:color="auto"/>
                    <w:right w:val="none" w:sz="0" w:space="0" w:color="auto"/>
                  </w:divBdr>
                  <w:divsChild>
                    <w:div w:id="679696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9696630">
      <w:marLeft w:val="0"/>
      <w:marRight w:val="0"/>
      <w:marTop w:val="0"/>
      <w:marBottom w:val="0"/>
      <w:divBdr>
        <w:top w:val="none" w:sz="0" w:space="0" w:color="auto"/>
        <w:left w:val="none" w:sz="0" w:space="0" w:color="auto"/>
        <w:bottom w:val="none" w:sz="0" w:space="0" w:color="auto"/>
        <w:right w:val="none" w:sz="0" w:space="0" w:color="auto"/>
      </w:divBdr>
    </w:div>
    <w:div w:id="679696631">
      <w:marLeft w:val="0"/>
      <w:marRight w:val="0"/>
      <w:marTop w:val="0"/>
      <w:marBottom w:val="0"/>
      <w:divBdr>
        <w:top w:val="none" w:sz="0" w:space="0" w:color="auto"/>
        <w:left w:val="none" w:sz="0" w:space="0" w:color="auto"/>
        <w:bottom w:val="none" w:sz="0" w:space="0" w:color="auto"/>
        <w:right w:val="none" w:sz="0" w:space="0" w:color="auto"/>
      </w:divBdr>
    </w:div>
    <w:div w:id="679696632">
      <w:marLeft w:val="0"/>
      <w:marRight w:val="0"/>
      <w:marTop w:val="0"/>
      <w:marBottom w:val="0"/>
      <w:divBdr>
        <w:top w:val="none" w:sz="0" w:space="0" w:color="auto"/>
        <w:left w:val="none" w:sz="0" w:space="0" w:color="auto"/>
        <w:bottom w:val="none" w:sz="0" w:space="0" w:color="auto"/>
        <w:right w:val="none" w:sz="0" w:space="0" w:color="auto"/>
      </w:divBdr>
      <w:divsChild>
        <w:div w:id="679696406">
          <w:marLeft w:val="0"/>
          <w:marRight w:val="0"/>
          <w:marTop w:val="0"/>
          <w:marBottom w:val="0"/>
          <w:divBdr>
            <w:top w:val="none" w:sz="0" w:space="0" w:color="auto"/>
            <w:left w:val="none" w:sz="0" w:space="0" w:color="auto"/>
            <w:bottom w:val="none" w:sz="0" w:space="0" w:color="auto"/>
            <w:right w:val="none" w:sz="0" w:space="0" w:color="auto"/>
          </w:divBdr>
        </w:div>
      </w:divsChild>
    </w:div>
    <w:div w:id="679696633">
      <w:marLeft w:val="0"/>
      <w:marRight w:val="0"/>
      <w:marTop w:val="0"/>
      <w:marBottom w:val="0"/>
      <w:divBdr>
        <w:top w:val="none" w:sz="0" w:space="0" w:color="auto"/>
        <w:left w:val="none" w:sz="0" w:space="0" w:color="auto"/>
        <w:bottom w:val="none" w:sz="0" w:space="0" w:color="auto"/>
        <w:right w:val="none" w:sz="0" w:space="0" w:color="auto"/>
      </w:divBdr>
    </w:div>
    <w:div w:id="679696635">
      <w:marLeft w:val="0"/>
      <w:marRight w:val="0"/>
      <w:marTop w:val="0"/>
      <w:marBottom w:val="0"/>
      <w:divBdr>
        <w:top w:val="none" w:sz="0" w:space="0" w:color="auto"/>
        <w:left w:val="none" w:sz="0" w:space="0" w:color="auto"/>
        <w:bottom w:val="none" w:sz="0" w:space="0" w:color="auto"/>
        <w:right w:val="none" w:sz="0" w:space="0" w:color="auto"/>
      </w:divBdr>
    </w:div>
    <w:div w:id="679696638">
      <w:marLeft w:val="0"/>
      <w:marRight w:val="0"/>
      <w:marTop w:val="0"/>
      <w:marBottom w:val="0"/>
      <w:divBdr>
        <w:top w:val="none" w:sz="0" w:space="0" w:color="auto"/>
        <w:left w:val="none" w:sz="0" w:space="0" w:color="auto"/>
        <w:bottom w:val="none" w:sz="0" w:space="0" w:color="auto"/>
        <w:right w:val="none" w:sz="0" w:space="0" w:color="auto"/>
      </w:divBdr>
    </w:div>
    <w:div w:id="679696639">
      <w:marLeft w:val="0"/>
      <w:marRight w:val="0"/>
      <w:marTop w:val="0"/>
      <w:marBottom w:val="0"/>
      <w:divBdr>
        <w:top w:val="none" w:sz="0" w:space="0" w:color="auto"/>
        <w:left w:val="none" w:sz="0" w:space="0" w:color="auto"/>
        <w:bottom w:val="none" w:sz="0" w:space="0" w:color="auto"/>
        <w:right w:val="none" w:sz="0" w:space="0" w:color="auto"/>
      </w:divBdr>
    </w:div>
    <w:div w:id="679696640">
      <w:marLeft w:val="0"/>
      <w:marRight w:val="0"/>
      <w:marTop w:val="0"/>
      <w:marBottom w:val="0"/>
      <w:divBdr>
        <w:top w:val="none" w:sz="0" w:space="0" w:color="auto"/>
        <w:left w:val="none" w:sz="0" w:space="0" w:color="auto"/>
        <w:bottom w:val="none" w:sz="0" w:space="0" w:color="auto"/>
        <w:right w:val="none" w:sz="0" w:space="0" w:color="auto"/>
      </w:divBdr>
    </w:div>
    <w:div w:id="679696641">
      <w:marLeft w:val="0"/>
      <w:marRight w:val="0"/>
      <w:marTop w:val="0"/>
      <w:marBottom w:val="0"/>
      <w:divBdr>
        <w:top w:val="none" w:sz="0" w:space="0" w:color="auto"/>
        <w:left w:val="none" w:sz="0" w:space="0" w:color="auto"/>
        <w:bottom w:val="none" w:sz="0" w:space="0" w:color="auto"/>
        <w:right w:val="none" w:sz="0" w:space="0" w:color="auto"/>
      </w:divBdr>
    </w:div>
    <w:div w:id="679696642">
      <w:marLeft w:val="0"/>
      <w:marRight w:val="0"/>
      <w:marTop w:val="0"/>
      <w:marBottom w:val="0"/>
      <w:divBdr>
        <w:top w:val="none" w:sz="0" w:space="0" w:color="auto"/>
        <w:left w:val="none" w:sz="0" w:space="0" w:color="auto"/>
        <w:bottom w:val="none" w:sz="0" w:space="0" w:color="auto"/>
        <w:right w:val="none" w:sz="0" w:space="0" w:color="auto"/>
      </w:divBdr>
    </w:div>
    <w:div w:id="679696643">
      <w:marLeft w:val="0"/>
      <w:marRight w:val="0"/>
      <w:marTop w:val="0"/>
      <w:marBottom w:val="0"/>
      <w:divBdr>
        <w:top w:val="none" w:sz="0" w:space="0" w:color="auto"/>
        <w:left w:val="none" w:sz="0" w:space="0" w:color="auto"/>
        <w:bottom w:val="none" w:sz="0" w:space="0" w:color="auto"/>
        <w:right w:val="none" w:sz="0" w:space="0" w:color="auto"/>
      </w:divBdr>
    </w:div>
    <w:div w:id="679696644">
      <w:marLeft w:val="0"/>
      <w:marRight w:val="0"/>
      <w:marTop w:val="0"/>
      <w:marBottom w:val="0"/>
      <w:divBdr>
        <w:top w:val="none" w:sz="0" w:space="0" w:color="auto"/>
        <w:left w:val="none" w:sz="0" w:space="0" w:color="auto"/>
        <w:bottom w:val="none" w:sz="0" w:space="0" w:color="auto"/>
        <w:right w:val="none" w:sz="0" w:space="0" w:color="auto"/>
      </w:divBdr>
    </w:div>
    <w:div w:id="679696645">
      <w:marLeft w:val="0"/>
      <w:marRight w:val="0"/>
      <w:marTop w:val="0"/>
      <w:marBottom w:val="0"/>
      <w:divBdr>
        <w:top w:val="none" w:sz="0" w:space="0" w:color="auto"/>
        <w:left w:val="none" w:sz="0" w:space="0" w:color="auto"/>
        <w:bottom w:val="none" w:sz="0" w:space="0" w:color="auto"/>
        <w:right w:val="none" w:sz="0" w:space="0" w:color="auto"/>
      </w:divBdr>
    </w:div>
    <w:div w:id="679696646">
      <w:marLeft w:val="0"/>
      <w:marRight w:val="0"/>
      <w:marTop w:val="0"/>
      <w:marBottom w:val="0"/>
      <w:divBdr>
        <w:top w:val="none" w:sz="0" w:space="0" w:color="auto"/>
        <w:left w:val="none" w:sz="0" w:space="0" w:color="auto"/>
        <w:bottom w:val="none" w:sz="0" w:space="0" w:color="auto"/>
        <w:right w:val="none" w:sz="0" w:space="0" w:color="auto"/>
      </w:divBdr>
    </w:div>
    <w:div w:id="679696647">
      <w:marLeft w:val="0"/>
      <w:marRight w:val="0"/>
      <w:marTop w:val="0"/>
      <w:marBottom w:val="0"/>
      <w:divBdr>
        <w:top w:val="none" w:sz="0" w:space="0" w:color="auto"/>
        <w:left w:val="none" w:sz="0" w:space="0" w:color="auto"/>
        <w:bottom w:val="none" w:sz="0" w:space="0" w:color="auto"/>
        <w:right w:val="none" w:sz="0" w:space="0" w:color="auto"/>
      </w:divBdr>
    </w:div>
    <w:div w:id="679696648">
      <w:marLeft w:val="0"/>
      <w:marRight w:val="0"/>
      <w:marTop w:val="0"/>
      <w:marBottom w:val="0"/>
      <w:divBdr>
        <w:top w:val="none" w:sz="0" w:space="0" w:color="auto"/>
        <w:left w:val="none" w:sz="0" w:space="0" w:color="auto"/>
        <w:bottom w:val="none" w:sz="0" w:space="0" w:color="auto"/>
        <w:right w:val="none" w:sz="0" w:space="0" w:color="auto"/>
      </w:divBdr>
      <w:divsChild>
        <w:div w:id="679696574">
          <w:marLeft w:val="0"/>
          <w:marRight w:val="0"/>
          <w:marTop w:val="0"/>
          <w:marBottom w:val="0"/>
          <w:divBdr>
            <w:top w:val="none" w:sz="0" w:space="0" w:color="auto"/>
            <w:left w:val="none" w:sz="0" w:space="0" w:color="auto"/>
            <w:bottom w:val="none" w:sz="0" w:space="0" w:color="auto"/>
            <w:right w:val="none" w:sz="0" w:space="0" w:color="auto"/>
          </w:divBdr>
          <w:divsChild>
            <w:div w:id="679696586">
              <w:marLeft w:val="0"/>
              <w:marRight w:val="0"/>
              <w:marTop w:val="0"/>
              <w:marBottom w:val="0"/>
              <w:divBdr>
                <w:top w:val="none" w:sz="0" w:space="0" w:color="auto"/>
                <w:left w:val="none" w:sz="0" w:space="0" w:color="auto"/>
                <w:bottom w:val="none" w:sz="0" w:space="0" w:color="auto"/>
                <w:right w:val="none" w:sz="0" w:space="0" w:color="auto"/>
              </w:divBdr>
              <w:divsChild>
                <w:div w:id="679696682">
                  <w:marLeft w:val="0"/>
                  <w:marRight w:val="0"/>
                  <w:marTop w:val="0"/>
                  <w:marBottom w:val="0"/>
                  <w:divBdr>
                    <w:top w:val="none" w:sz="0" w:space="0" w:color="auto"/>
                    <w:left w:val="none" w:sz="0" w:space="0" w:color="auto"/>
                    <w:bottom w:val="none" w:sz="0" w:space="0" w:color="auto"/>
                    <w:right w:val="none" w:sz="0" w:space="0" w:color="auto"/>
                  </w:divBdr>
                  <w:divsChild>
                    <w:div w:id="679696753">
                      <w:marLeft w:val="0"/>
                      <w:marRight w:val="0"/>
                      <w:marTop w:val="0"/>
                      <w:marBottom w:val="0"/>
                      <w:divBdr>
                        <w:top w:val="none" w:sz="0" w:space="0" w:color="auto"/>
                        <w:left w:val="none" w:sz="0" w:space="0" w:color="auto"/>
                        <w:bottom w:val="none" w:sz="0" w:space="0" w:color="auto"/>
                        <w:right w:val="none" w:sz="0" w:space="0" w:color="auto"/>
                      </w:divBdr>
                      <w:divsChild>
                        <w:div w:id="679696536">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9696652">
      <w:marLeft w:val="0"/>
      <w:marRight w:val="0"/>
      <w:marTop w:val="0"/>
      <w:marBottom w:val="0"/>
      <w:divBdr>
        <w:top w:val="none" w:sz="0" w:space="0" w:color="auto"/>
        <w:left w:val="none" w:sz="0" w:space="0" w:color="auto"/>
        <w:bottom w:val="none" w:sz="0" w:space="0" w:color="auto"/>
        <w:right w:val="none" w:sz="0" w:space="0" w:color="auto"/>
      </w:divBdr>
    </w:div>
    <w:div w:id="679696653">
      <w:marLeft w:val="0"/>
      <w:marRight w:val="0"/>
      <w:marTop w:val="0"/>
      <w:marBottom w:val="0"/>
      <w:divBdr>
        <w:top w:val="none" w:sz="0" w:space="0" w:color="auto"/>
        <w:left w:val="none" w:sz="0" w:space="0" w:color="auto"/>
        <w:bottom w:val="none" w:sz="0" w:space="0" w:color="auto"/>
        <w:right w:val="none" w:sz="0" w:space="0" w:color="auto"/>
      </w:divBdr>
    </w:div>
    <w:div w:id="679696655">
      <w:marLeft w:val="0"/>
      <w:marRight w:val="0"/>
      <w:marTop w:val="0"/>
      <w:marBottom w:val="0"/>
      <w:divBdr>
        <w:top w:val="none" w:sz="0" w:space="0" w:color="auto"/>
        <w:left w:val="none" w:sz="0" w:space="0" w:color="auto"/>
        <w:bottom w:val="none" w:sz="0" w:space="0" w:color="auto"/>
        <w:right w:val="none" w:sz="0" w:space="0" w:color="auto"/>
      </w:divBdr>
    </w:div>
    <w:div w:id="679696656">
      <w:marLeft w:val="0"/>
      <w:marRight w:val="0"/>
      <w:marTop w:val="0"/>
      <w:marBottom w:val="0"/>
      <w:divBdr>
        <w:top w:val="none" w:sz="0" w:space="0" w:color="auto"/>
        <w:left w:val="none" w:sz="0" w:space="0" w:color="auto"/>
        <w:bottom w:val="none" w:sz="0" w:space="0" w:color="auto"/>
        <w:right w:val="none" w:sz="0" w:space="0" w:color="auto"/>
      </w:divBdr>
    </w:div>
    <w:div w:id="679696657">
      <w:marLeft w:val="0"/>
      <w:marRight w:val="0"/>
      <w:marTop w:val="0"/>
      <w:marBottom w:val="0"/>
      <w:divBdr>
        <w:top w:val="none" w:sz="0" w:space="0" w:color="auto"/>
        <w:left w:val="none" w:sz="0" w:space="0" w:color="auto"/>
        <w:bottom w:val="none" w:sz="0" w:space="0" w:color="auto"/>
        <w:right w:val="none" w:sz="0" w:space="0" w:color="auto"/>
      </w:divBdr>
      <w:divsChild>
        <w:div w:id="679696372">
          <w:marLeft w:val="0"/>
          <w:marRight w:val="0"/>
          <w:marTop w:val="0"/>
          <w:marBottom w:val="0"/>
          <w:divBdr>
            <w:top w:val="none" w:sz="0" w:space="0" w:color="auto"/>
            <w:left w:val="none" w:sz="0" w:space="0" w:color="auto"/>
            <w:bottom w:val="none" w:sz="0" w:space="0" w:color="auto"/>
            <w:right w:val="none" w:sz="0" w:space="0" w:color="auto"/>
          </w:divBdr>
          <w:divsChild>
            <w:div w:id="679696543">
              <w:marLeft w:val="0"/>
              <w:marRight w:val="0"/>
              <w:marTop w:val="0"/>
              <w:marBottom w:val="0"/>
              <w:divBdr>
                <w:top w:val="none" w:sz="0" w:space="0" w:color="auto"/>
                <w:left w:val="none" w:sz="0" w:space="0" w:color="auto"/>
                <w:bottom w:val="none" w:sz="0" w:space="0" w:color="auto"/>
                <w:right w:val="none" w:sz="0" w:space="0" w:color="auto"/>
              </w:divBdr>
              <w:divsChild>
                <w:div w:id="679696607">
                  <w:marLeft w:val="0"/>
                  <w:marRight w:val="0"/>
                  <w:marTop w:val="0"/>
                  <w:marBottom w:val="0"/>
                  <w:divBdr>
                    <w:top w:val="none" w:sz="0" w:space="0" w:color="auto"/>
                    <w:left w:val="none" w:sz="0" w:space="0" w:color="auto"/>
                    <w:bottom w:val="none" w:sz="0" w:space="0" w:color="auto"/>
                    <w:right w:val="none" w:sz="0" w:space="0" w:color="auto"/>
                  </w:divBdr>
                  <w:divsChild>
                    <w:div w:id="679696719">
                      <w:marLeft w:val="0"/>
                      <w:marRight w:val="0"/>
                      <w:marTop w:val="0"/>
                      <w:marBottom w:val="0"/>
                      <w:divBdr>
                        <w:top w:val="none" w:sz="0" w:space="0" w:color="auto"/>
                        <w:left w:val="none" w:sz="0" w:space="0" w:color="auto"/>
                        <w:bottom w:val="none" w:sz="0" w:space="0" w:color="auto"/>
                        <w:right w:val="none" w:sz="0" w:space="0" w:color="auto"/>
                      </w:divBdr>
                      <w:divsChild>
                        <w:div w:id="679696594">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9696660">
      <w:marLeft w:val="0"/>
      <w:marRight w:val="0"/>
      <w:marTop w:val="0"/>
      <w:marBottom w:val="0"/>
      <w:divBdr>
        <w:top w:val="none" w:sz="0" w:space="0" w:color="auto"/>
        <w:left w:val="none" w:sz="0" w:space="0" w:color="auto"/>
        <w:bottom w:val="none" w:sz="0" w:space="0" w:color="auto"/>
        <w:right w:val="none" w:sz="0" w:space="0" w:color="auto"/>
      </w:divBdr>
    </w:div>
    <w:div w:id="679696661">
      <w:marLeft w:val="0"/>
      <w:marRight w:val="0"/>
      <w:marTop w:val="0"/>
      <w:marBottom w:val="0"/>
      <w:divBdr>
        <w:top w:val="none" w:sz="0" w:space="0" w:color="auto"/>
        <w:left w:val="none" w:sz="0" w:space="0" w:color="auto"/>
        <w:bottom w:val="none" w:sz="0" w:space="0" w:color="auto"/>
        <w:right w:val="none" w:sz="0" w:space="0" w:color="auto"/>
      </w:divBdr>
    </w:div>
    <w:div w:id="679696662">
      <w:marLeft w:val="0"/>
      <w:marRight w:val="0"/>
      <w:marTop w:val="0"/>
      <w:marBottom w:val="0"/>
      <w:divBdr>
        <w:top w:val="none" w:sz="0" w:space="0" w:color="auto"/>
        <w:left w:val="none" w:sz="0" w:space="0" w:color="auto"/>
        <w:bottom w:val="none" w:sz="0" w:space="0" w:color="auto"/>
        <w:right w:val="none" w:sz="0" w:space="0" w:color="auto"/>
      </w:divBdr>
    </w:div>
    <w:div w:id="679696663">
      <w:marLeft w:val="0"/>
      <w:marRight w:val="0"/>
      <w:marTop w:val="0"/>
      <w:marBottom w:val="0"/>
      <w:divBdr>
        <w:top w:val="none" w:sz="0" w:space="0" w:color="auto"/>
        <w:left w:val="none" w:sz="0" w:space="0" w:color="auto"/>
        <w:bottom w:val="none" w:sz="0" w:space="0" w:color="auto"/>
        <w:right w:val="none" w:sz="0" w:space="0" w:color="auto"/>
      </w:divBdr>
    </w:div>
    <w:div w:id="679696666">
      <w:marLeft w:val="0"/>
      <w:marRight w:val="0"/>
      <w:marTop w:val="0"/>
      <w:marBottom w:val="0"/>
      <w:divBdr>
        <w:top w:val="none" w:sz="0" w:space="0" w:color="auto"/>
        <w:left w:val="none" w:sz="0" w:space="0" w:color="auto"/>
        <w:bottom w:val="none" w:sz="0" w:space="0" w:color="auto"/>
        <w:right w:val="none" w:sz="0" w:space="0" w:color="auto"/>
      </w:divBdr>
    </w:div>
    <w:div w:id="679696667">
      <w:marLeft w:val="0"/>
      <w:marRight w:val="0"/>
      <w:marTop w:val="0"/>
      <w:marBottom w:val="0"/>
      <w:divBdr>
        <w:top w:val="none" w:sz="0" w:space="0" w:color="auto"/>
        <w:left w:val="none" w:sz="0" w:space="0" w:color="auto"/>
        <w:bottom w:val="none" w:sz="0" w:space="0" w:color="auto"/>
        <w:right w:val="none" w:sz="0" w:space="0" w:color="auto"/>
      </w:divBdr>
      <w:divsChild>
        <w:div w:id="679696518">
          <w:marLeft w:val="0"/>
          <w:marRight w:val="0"/>
          <w:marTop w:val="0"/>
          <w:marBottom w:val="0"/>
          <w:divBdr>
            <w:top w:val="none" w:sz="0" w:space="0" w:color="auto"/>
            <w:left w:val="none" w:sz="0" w:space="0" w:color="auto"/>
            <w:bottom w:val="none" w:sz="0" w:space="0" w:color="auto"/>
            <w:right w:val="none" w:sz="0" w:space="0" w:color="auto"/>
          </w:divBdr>
        </w:div>
      </w:divsChild>
    </w:div>
    <w:div w:id="679696669">
      <w:marLeft w:val="0"/>
      <w:marRight w:val="0"/>
      <w:marTop w:val="0"/>
      <w:marBottom w:val="0"/>
      <w:divBdr>
        <w:top w:val="none" w:sz="0" w:space="0" w:color="auto"/>
        <w:left w:val="none" w:sz="0" w:space="0" w:color="auto"/>
        <w:bottom w:val="none" w:sz="0" w:space="0" w:color="auto"/>
        <w:right w:val="none" w:sz="0" w:space="0" w:color="auto"/>
      </w:divBdr>
    </w:div>
    <w:div w:id="679696673">
      <w:marLeft w:val="0"/>
      <w:marRight w:val="0"/>
      <w:marTop w:val="0"/>
      <w:marBottom w:val="0"/>
      <w:divBdr>
        <w:top w:val="none" w:sz="0" w:space="0" w:color="auto"/>
        <w:left w:val="none" w:sz="0" w:space="0" w:color="auto"/>
        <w:bottom w:val="none" w:sz="0" w:space="0" w:color="auto"/>
        <w:right w:val="none" w:sz="0" w:space="0" w:color="auto"/>
      </w:divBdr>
    </w:div>
    <w:div w:id="679696674">
      <w:marLeft w:val="0"/>
      <w:marRight w:val="0"/>
      <w:marTop w:val="0"/>
      <w:marBottom w:val="0"/>
      <w:divBdr>
        <w:top w:val="none" w:sz="0" w:space="0" w:color="auto"/>
        <w:left w:val="none" w:sz="0" w:space="0" w:color="auto"/>
        <w:bottom w:val="none" w:sz="0" w:space="0" w:color="auto"/>
        <w:right w:val="none" w:sz="0" w:space="0" w:color="auto"/>
      </w:divBdr>
    </w:div>
    <w:div w:id="679696675">
      <w:marLeft w:val="0"/>
      <w:marRight w:val="0"/>
      <w:marTop w:val="0"/>
      <w:marBottom w:val="0"/>
      <w:divBdr>
        <w:top w:val="none" w:sz="0" w:space="0" w:color="auto"/>
        <w:left w:val="none" w:sz="0" w:space="0" w:color="auto"/>
        <w:bottom w:val="none" w:sz="0" w:space="0" w:color="auto"/>
        <w:right w:val="none" w:sz="0" w:space="0" w:color="auto"/>
      </w:divBdr>
    </w:div>
    <w:div w:id="679696676">
      <w:marLeft w:val="0"/>
      <w:marRight w:val="0"/>
      <w:marTop w:val="0"/>
      <w:marBottom w:val="0"/>
      <w:divBdr>
        <w:top w:val="none" w:sz="0" w:space="0" w:color="auto"/>
        <w:left w:val="none" w:sz="0" w:space="0" w:color="auto"/>
        <w:bottom w:val="none" w:sz="0" w:space="0" w:color="auto"/>
        <w:right w:val="none" w:sz="0" w:space="0" w:color="auto"/>
      </w:divBdr>
    </w:div>
    <w:div w:id="679696677">
      <w:marLeft w:val="0"/>
      <w:marRight w:val="0"/>
      <w:marTop w:val="0"/>
      <w:marBottom w:val="0"/>
      <w:divBdr>
        <w:top w:val="none" w:sz="0" w:space="0" w:color="auto"/>
        <w:left w:val="none" w:sz="0" w:space="0" w:color="auto"/>
        <w:bottom w:val="none" w:sz="0" w:space="0" w:color="auto"/>
        <w:right w:val="none" w:sz="0" w:space="0" w:color="auto"/>
      </w:divBdr>
    </w:div>
    <w:div w:id="679696678">
      <w:marLeft w:val="0"/>
      <w:marRight w:val="0"/>
      <w:marTop w:val="0"/>
      <w:marBottom w:val="0"/>
      <w:divBdr>
        <w:top w:val="none" w:sz="0" w:space="0" w:color="auto"/>
        <w:left w:val="none" w:sz="0" w:space="0" w:color="auto"/>
        <w:bottom w:val="none" w:sz="0" w:space="0" w:color="auto"/>
        <w:right w:val="none" w:sz="0" w:space="0" w:color="auto"/>
      </w:divBdr>
    </w:div>
    <w:div w:id="679696679">
      <w:marLeft w:val="0"/>
      <w:marRight w:val="0"/>
      <w:marTop w:val="0"/>
      <w:marBottom w:val="0"/>
      <w:divBdr>
        <w:top w:val="none" w:sz="0" w:space="0" w:color="auto"/>
        <w:left w:val="none" w:sz="0" w:space="0" w:color="auto"/>
        <w:bottom w:val="none" w:sz="0" w:space="0" w:color="auto"/>
        <w:right w:val="none" w:sz="0" w:space="0" w:color="auto"/>
      </w:divBdr>
    </w:div>
    <w:div w:id="679696680">
      <w:marLeft w:val="0"/>
      <w:marRight w:val="0"/>
      <w:marTop w:val="0"/>
      <w:marBottom w:val="0"/>
      <w:divBdr>
        <w:top w:val="none" w:sz="0" w:space="0" w:color="auto"/>
        <w:left w:val="none" w:sz="0" w:space="0" w:color="auto"/>
        <w:bottom w:val="none" w:sz="0" w:space="0" w:color="auto"/>
        <w:right w:val="none" w:sz="0" w:space="0" w:color="auto"/>
      </w:divBdr>
    </w:div>
    <w:div w:id="679696681">
      <w:marLeft w:val="0"/>
      <w:marRight w:val="0"/>
      <w:marTop w:val="0"/>
      <w:marBottom w:val="0"/>
      <w:divBdr>
        <w:top w:val="none" w:sz="0" w:space="0" w:color="auto"/>
        <w:left w:val="none" w:sz="0" w:space="0" w:color="auto"/>
        <w:bottom w:val="none" w:sz="0" w:space="0" w:color="auto"/>
        <w:right w:val="none" w:sz="0" w:space="0" w:color="auto"/>
      </w:divBdr>
    </w:div>
    <w:div w:id="679696683">
      <w:marLeft w:val="0"/>
      <w:marRight w:val="0"/>
      <w:marTop w:val="0"/>
      <w:marBottom w:val="0"/>
      <w:divBdr>
        <w:top w:val="none" w:sz="0" w:space="0" w:color="auto"/>
        <w:left w:val="none" w:sz="0" w:space="0" w:color="auto"/>
        <w:bottom w:val="none" w:sz="0" w:space="0" w:color="auto"/>
        <w:right w:val="none" w:sz="0" w:space="0" w:color="auto"/>
      </w:divBdr>
    </w:div>
    <w:div w:id="679696684">
      <w:marLeft w:val="0"/>
      <w:marRight w:val="0"/>
      <w:marTop w:val="0"/>
      <w:marBottom w:val="0"/>
      <w:divBdr>
        <w:top w:val="none" w:sz="0" w:space="0" w:color="auto"/>
        <w:left w:val="none" w:sz="0" w:space="0" w:color="auto"/>
        <w:bottom w:val="none" w:sz="0" w:space="0" w:color="auto"/>
        <w:right w:val="none" w:sz="0" w:space="0" w:color="auto"/>
      </w:divBdr>
    </w:div>
    <w:div w:id="679696686">
      <w:marLeft w:val="0"/>
      <w:marRight w:val="0"/>
      <w:marTop w:val="0"/>
      <w:marBottom w:val="0"/>
      <w:divBdr>
        <w:top w:val="none" w:sz="0" w:space="0" w:color="auto"/>
        <w:left w:val="none" w:sz="0" w:space="0" w:color="auto"/>
        <w:bottom w:val="none" w:sz="0" w:space="0" w:color="auto"/>
        <w:right w:val="none" w:sz="0" w:space="0" w:color="auto"/>
      </w:divBdr>
    </w:div>
    <w:div w:id="679696687">
      <w:marLeft w:val="0"/>
      <w:marRight w:val="0"/>
      <w:marTop w:val="0"/>
      <w:marBottom w:val="0"/>
      <w:divBdr>
        <w:top w:val="none" w:sz="0" w:space="0" w:color="auto"/>
        <w:left w:val="none" w:sz="0" w:space="0" w:color="auto"/>
        <w:bottom w:val="none" w:sz="0" w:space="0" w:color="auto"/>
        <w:right w:val="none" w:sz="0" w:space="0" w:color="auto"/>
      </w:divBdr>
    </w:div>
    <w:div w:id="679696688">
      <w:marLeft w:val="0"/>
      <w:marRight w:val="0"/>
      <w:marTop w:val="0"/>
      <w:marBottom w:val="0"/>
      <w:divBdr>
        <w:top w:val="none" w:sz="0" w:space="0" w:color="auto"/>
        <w:left w:val="none" w:sz="0" w:space="0" w:color="auto"/>
        <w:bottom w:val="none" w:sz="0" w:space="0" w:color="auto"/>
        <w:right w:val="none" w:sz="0" w:space="0" w:color="auto"/>
      </w:divBdr>
    </w:div>
    <w:div w:id="679696689">
      <w:marLeft w:val="0"/>
      <w:marRight w:val="0"/>
      <w:marTop w:val="0"/>
      <w:marBottom w:val="0"/>
      <w:divBdr>
        <w:top w:val="none" w:sz="0" w:space="0" w:color="auto"/>
        <w:left w:val="none" w:sz="0" w:space="0" w:color="auto"/>
        <w:bottom w:val="none" w:sz="0" w:space="0" w:color="auto"/>
        <w:right w:val="none" w:sz="0" w:space="0" w:color="auto"/>
      </w:divBdr>
    </w:div>
    <w:div w:id="679696690">
      <w:marLeft w:val="0"/>
      <w:marRight w:val="0"/>
      <w:marTop w:val="0"/>
      <w:marBottom w:val="0"/>
      <w:divBdr>
        <w:top w:val="none" w:sz="0" w:space="0" w:color="auto"/>
        <w:left w:val="none" w:sz="0" w:space="0" w:color="auto"/>
        <w:bottom w:val="none" w:sz="0" w:space="0" w:color="auto"/>
        <w:right w:val="none" w:sz="0" w:space="0" w:color="auto"/>
      </w:divBdr>
    </w:div>
    <w:div w:id="679696691">
      <w:marLeft w:val="0"/>
      <w:marRight w:val="0"/>
      <w:marTop w:val="0"/>
      <w:marBottom w:val="0"/>
      <w:divBdr>
        <w:top w:val="none" w:sz="0" w:space="0" w:color="auto"/>
        <w:left w:val="none" w:sz="0" w:space="0" w:color="auto"/>
        <w:bottom w:val="none" w:sz="0" w:space="0" w:color="auto"/>
        <w:right w:val="none" w:sz="0" w:space="0" w:color="auto"/>
      </w:divBdr>
    </w:div>
    <w:div w:id="679696693">
      <w:marLeft w:val="0"/>
      <w:marRight w:val="0"/>
      <w:marTop w:val="0"/>
      <w:marBottom w:val="0"/>
      <w:divBdr>
        <w:top w:val="none" w:sz="0" w:space="0" w:color="auto"/>
        <w:left w:val="none" w:sz="0" w:space="0" w:color="auto"/>
        <w:bottom w:val="none" w:sz="0" w:space="0" w:color="auto"/>
        <w:right w:val="none" w:sz="0" w:space="0" w:color="auto"/>
      </w:divBdr>
      <w:divsChild>
        <w:div w:id="679696747">
          <w:marLeft w:val="0"/>
          <w:marRight w:val="0"/>
          <w:marTop w:val="0"/>
          <w:marBottom w:val="0"/>
          <w:divBdr>
            <w:top w:val="none" w:sz="0" w:space="0" w:color="auto"/>
            <w:left w:val="none" w:sz="0" w:space="0" w:color="auto"/>
            <w:bottom w:val="none" w:sz="0" w:space="0" w:color="auto"/>
            <w:right w:val="none" w:sz="0" w:space="0" w:color="auto"/>
          </w:divBdr>
          <w:divsChild>
            <w:div w:id="679696636">
              <w:marLeft w:val="0"/>
              <w:marRight w:val="0"/>
              <w:marTop w:val="0"/>
              <w:marBottom w:val="0"/>
              <w:divBdr>
                <w:top w:val="none" w:sz="0" w:space="0" w:color="auto"/>
                <w:left w:val="none" w:sz="0" w:space="0" w:color="auto"/>
                <w:bottom w:val="none" w:sz="0" w:space="0" w:color="auto"/>
                <w:right w:val="none" w:sz="0" w:space="0" w:color="auto"/>
              </w:divBdr>
              <w:divsChild>
                <w:div w:id="679696608">
                  <w:marLeft w:val="0"/>
                  <w:marRight w:val="0"/>
                  <w:marTop w:val="0"/>
                  <w:marBottom w:val="0"/>
                  <w:divBdr>
                    <w:top w:val="none" w:sz="0" w:space="0" w:color="auto"/>
                    <w:left w:val="none" w:sz="0" w:space="0" w:color="auto"/>
                    <w:bottom w:val="none" w:sz="0" w:space="0" w:color="auto"/>
                    <w:right w:val="none" w:sz="0" w:space="0" w:color="auto"/>
                  </w:divBdr>
                  <w:divsChild>
                    <w:div w:id="679696559">
                      <w:marLeft w:val="0"/>
                      <w:marRight w:val="0"/>
                      <w:marTop w:val="0"/>
                      <w:marBottom w:val="0"/>
                      <w:divBdr>
                        <w:top w:val="none" w:sz="0" w:space="0" w:color="auto"/>
                        <w:left w:val="none" w:sz="0" w:space="0" w:color="auto"/>
                        <w:bottom w:val="none" w:sz="0" w:space="0" w:color="auto"/>
                        <w:right w:val="none" w:sz="0" w:space="0" w:color="auto"/>
                      </w:divBdr>
                      <w:divsChild>
                        <w:div w:id="679696591">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9696694">
      <w:marLeft w:val="0"/>
      <w:marRight w:val="0"/>
      <w:marTop w:val="0"/>
      <w:marBottom w:val="0"/>
      <w:divBdr>
        <w:top w:val="none" w:sz="0" w:space="0" w:color="auto"/>
        <w:left w:val="none" w:sz="0" w:space="0" w:color="auto"/>
        <w:bottom w:val="none" w:sz="0" w:space="0" w:color="auto"/>
        <w:right w:val="none" w:sz="0" w:space="0" w:color="auto"/>
      </w:divBdr>
    </w:div>
    <w:div w:id="679696695">
      <w:marLeft w:val="0"/>
      <w:marRight w:val="0"/>
      <w:marTop w:val="0"/>
      <w:marBottom w:val="0"/>
      <w:divBdr>
        <w:top w:val="none" w:sz="0" w:space="0" w:color="auto"/>
        <w:left w:val="none" w:sz="0" w:space="0" w:color="auto"/>
        <w:bottom w:val="none" w:sz="0" w:space="0" w:color="auto"/>
        <w:right w:val="none" w:sz="0" w:space="0" w:color="auto"/>
      </w:divBdr>
    </w:div>
    <w:div w:id="679696697">
      <w:marLeft w:val="0"/>
      <w:marRight w:val="0"/>
      <w:marTop w:val="0"/>
      <w:marBottom w:val="0"/>
      <w:divBdr>
        <w:top w:val="none" w:sz="0" w:space="0" w:color="auto"/>
        <w:left w:val="none" w:sz="0" w:space="0" w:color="auto"/>
        <w:bottom w:val="none" w:sz="0" w:space="0" w:color="auto"/>
        <w:right w:val="none" w:sz="0" w:space="0" w:color="auto"/>
      </w:divBdr>
    </w:div>
    <w:div w:id="679696698">
      <w:marLeft w:val="0"/>
      <w:marRight w:val="0"/>
      <w:marTop w:val="0"/>
      <w:marBottom w:val="0"/>
      <w:divBdr>
        <w:top w:val="none" w:sz="0" w:space="0" w:color="auto"/>
        <w:left w:val="none" w:sz="0" w:space="0" w:color="auto"/>
        <w:bottom w:val="none" w:sz="0" w:space="0" w:color="auto"/>
        <w:right w:val="none" w:sz="0" w:space="0" w:color="auto"/>
      </w:divBdr>
    </w:div>
    <w:div w:id="679696699">
      <w:marLeft w:val="0"/>
      <w:marRight w:val="0"/>
      <w:marTop w:val="0"/>
      <w:marBottom w:val="0"/>
      <w:divBdr>
        <w:top w:val="none" w:sz="0" w:space="0" w:color="auto"/>
        <w:left w:val="none" w:sz="0" w:space="0" w:color="auto"/>
        <w:bottom w:val="none" w:sz="0" w:space="0" w:color="auto"/>
        <w:right w:val="none" w:sz="0" w:space="0" w:color="auto"/>
      </w:divBdr>
    </w:div>
    <w:div w:id="679696700">
      <w:marLeft w:val="0"/>
      <w:marRight w:val="0"/>
      <w:marTop w:val="0"/>
      <w:marBottom w:val="0"/>
      <w:divBdr>
        <w:top w:val="none" w:sz="0" w:space="0" w:color="auto"/>
        <w:left w:val="none" w:sz="0" w:space="0" w:color="auto"/>
        <w:bottom w:val="none" w:sz="0" w:space="0" w:color="auto"/>
        <w:right w:val="none" w:sz="0" w:space="0" w:color="auto"/>
      </w:divBdr>
      <w:divsChild>
        <w:div w:id="679696710">
          <w:marLeft w:val="0"/>
          <w:marRight w:val="0"/>
          <w:marTop w:val="0"/>
          <w:marBottom w:val="0"/>
          <w:divBdr>
            <w:top w:val="none" w:sz="0" w:space="0" w:color="auto"/>
            <w:left w:val="none" w:sz="0" w:space="0" w:color="auto"/>
            <w:bottom w:val="none" w:sz="0" w:space="0" w:color="auto"/>
            <w:right w:val="none" w:sz="0" w:space="0" w:color="auto"/>
          </w:divBdr>
          <w:divsChild>
            <w:div w:id="679696717">
              <w:marLeft w:val="0"/>
              <w:marRight w:val="0"/>
              <w:marTop w:val="0"/>
              <w:marBottom w:val="0"/>
              <w:divBdr>
                <w:top w:val="none" w:sz="0" w:space="0" w:color="auto"/>
                <w:left w:val="none" w:sz="0" w:space="0" w:color="auto"/>
                <w:bottom w:val="none" w:sz="0" w:space="0" w:color="auto"/>
                <w:right w:val="none" w:sz="0" w:space="0" w:color="auto"/>
              </w:divBdr>
              <w:divsChild>
                <w:div w:id="679696629">
                  <w:marLeft w:val="0"/>
                  <w:marRight w:val="0"/>
                  <w:marTop w:val="0"/>
                  <w:marBottom w:val="0"/>
                  <w:divBdr>
                    <w:top w:val="none" w:sz="0" w:space="0" w:color="auto"/>
                    <w:left w:val="none" w:sz="0" w:space="0" w:color="auto"/>
                    <w:bottom w:val="none" w:sz="0" w:space="0" w:color="auto"/>
                    <w:right w:val="none" w:sz="0" w:space="0" w:color="auto"/>
                  </w:divBdr>
                  <w:divsChild>
                    <w:div w:id="679696751">
                      <w:marLeft w:val="0"/>
                      <w:marRight w:val="0"/>
                      <w:marTop w:val="0"/>
                      <w:marBottom w:val="0"/>
                      <w:divBdr>
                        <w:top w:val="none" w:sz="0" w:space="0" w:color="auto"/>
                        <w:left w:val="none" w:sz="0" w:space="0" w:color="auto"/>
                        <w:bottom w:val="none" w:sz="0" w:space="0" w:color="auto"/>
                        <w:right w:val="none" w:sz="0" w:space="0" w:color="auto"/>
                      </w:divBdr>
                      <w:divsChild>
                        <w:div w:id="679696658">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9696701">
      <w:marLeft w:val="0"/>
      <w:marRight w:val="0"/>
      <w:marTop w:val="0"/>
      <w:marBottom w:val="0"/>
      <w:divBdr>
        <w:top w:val="none" w:sz="0" w:space="0" w:color="auto"/>
        <w:left w:val="none" w:sz="0" w:space="0" w:color="auto"/>
        <w:bottom w:val="none" w:sz="0" w:space="0" w:color="auto"/>
        <w:right w:val="none" w:sz="0" w:space="0" w:color="auto"/>
      </w:divBdr>
    </w:div>
    <w:div w:id="679696702">
      <w:marLeft w:val="0"/>
      <w:marRight w:val="0"/>
      <w:marTop w:val="0"/>
      <w:marBottom w:val="0"/>
      <w:divBdr>
        <w:top w:val="none" w:sz="0" w:space="0" w:color="auto"/>
        <w:left w:val="none" w:sz="0" w:space="0" w:color="auto"/>
        <w:bottom w:val="none" w:sz="0" w:space="0" w:color="auto"/>
        <w:right w:val="none" w:sz="0" w:space="0" w:color="auto"/>
      </w:divBdr>
    </w:div>
    <w:div w:id="679696703">
      <w:marLeft w:val="0"/>
      <w:marRight w:val="0"/>
      <w:marTop w:val="0"/>
      <w:marBottom w:val="0"/>
      <w:divBdr>
        <w:top w:val="none" w:sz="0" w:space="0" w:color="auto"/>
        <w:left w:val="none" w:sz="0" w:space="0" w:color="auto"/>
        <w:bottom w:val="none" w:sz="0" w:space="0" w:color="auto"/>
        <w:right w:val="none" w:sz="0" w:space="0" w:color="auto"/>
      </w:divBdr>
    </w:div>
    <w:div w:id="679696707">
      <w:marLeft w:val="0"/>
      <w:marRight w:val="0"/>
      <w:marTop w:val="0"/>
      <w:marBottom w:val="0"/>
      <w:divBdr>
        <w:top w:val="none" w:sz="0" w:space="0" w:color="auto"/>
        <w:left w:val="none" w:sz="0" w:space="0" w:color="auto"/>
        <w:bottom w:val="none" w:sz="0" w:space="0" w:color="auto"/>
        <w:right w:val="none" w:sz="0" w:space="0" w:color="auto"/>
      </w:divBdr>
    </w:div>
    <w:div w:id="679696708">
      <w:marLeft w:val="0"/>
      <w:marRight w:val="0"/>
      <w:marTop w:val="0"/>
      <w:marBottom w:val="0"/>
      <w:divBdr>
        <w:top w:val="none" w:sz="0" w:space="0" w:color="auto"/>
        <w:left w:val="none" w:sz="0" w:space="0" w:color="auto"/>
        <w:bottom w:val="none" w:sz="0" w:space="0" w:color="auto"/>
        <w:right w:val="none" w:sz="0" w:space="0" w:color="auto"/>
      </w:divBdr>
    </w:div>
    <w:div w:id="679696709">
      <w:marLeft w:val="0"/>
      <w:marRight w:val="0"/>
      <w:marTop w:val="0"/>
      <w:marBottom w:val="0"/>
      <w:divBdr>
        <w:top w:val="none" w:sz="0" w:space="0" w:color="auto"/>
        <w:left w:val="none" w:sz="0" w:space="0" w:color="auto"/>
        <w:bottom w:val="none" w:sz="0" w:space="0" w:color="auto"/>
        <w:right w:val="none" w:sz="0" w:space="0" w:color="auto"/>
      </w:divBdr>
    </w:div>
    <w:div w:id="679696711">
      <w:marLeft w:val="0"/>
      <w:marRight w:val="0"/>
      <w:marTop w:val="0"/>
      <w:marBottom w:val="0"/>
      <w:divBdr>
        <w:top w:val="none" w:sz="0" w:space="0" w:color="auto"/>
        <w:left w:val="none" w:sz="0" w:space="0" w:color="auto"/>
        <w:bottom w:val="none" w:sz="0" w:space="0" w:color="auto"/>
        <w:right w:val="none" w:sz="0" w:space="0" w:color="auto"/>
      </w:divBdr>
    </w:div>
    <w:div w:id="679696712">
      <w:marLeft w:val="0"/>
      <w:marRight w:val="0"/>
      <w:marTop w:val="0"/>
      <w:marBottom w:val="0"/>
      <w:divBdr>
        <w:top w:val="none" w:sz="0" w:space="0" w:color="auto"/>
        <w:left w:val="none" w:sz="0" w:space="0" w:color="auto"/>
        <w:bottom w:val="none" w:sz="0" w:space="0" w:color="auto"/>
        <w:right w:val="none" w:sz="0" w:space="0" w:color="auto"/>
      </w:divBdr>
    </w:div>
    <w:div w:id="679696713">
      <w:marLeft w:val="0"/>
      <w:marRight w:val="0"/>
      <w:marTop w:val="0"/>
      <w:marBottom w:val="0"/>
      <w:divBdr>
        <w:top w:val="none" w:sz="0" w:space="0" w:color="auto"/>
        <w:left w:val="none" w:sz="0" w:space="0" w:color="auto"/>
        <w:bottom w:val="none" w:sz="0" w:space="0" w:color="auto"/>
        <w:right w:val="none" w:sz="0" w:space="0" w:color="auto"/>
      </w:divBdr>
    </w:div>
    <w:div w:id="679696715">
      <w:marLeft w:val="0"/>
      <w:marRight w:val="0"/>
      <w:marTop w:val="0"/>
      <w:marBottom w:val="0"/>
      <w:divBdr>
        <w:top w:val="none" w:sz="0" w:space="0" w:color="auto"/>
        <w:left w:val="none" w:sz="0" w:space="0" w:color="auto"/>
        <w:bottom w:val="none" w:sz="0" w:space="0" w:color="auto"/>
        <w:right w:val="none" w:sz="0" w:space="0" w:color="auto"/>
      </w:divBdr>
    </w:div>
    <w:div w:id="679696716">
      <w:marLeft w:val="0"/>
      <w:marRight w:val="0"/>
      <w:marTop w:val="0"/>
      <w:marBottom w:val="0"/>
      <w:divBdr>
        <w:top w:val="none" w:sz="0" w:space="0" w:color="auto"/>
        <w:left w:val="none" w:sz="0" w:space="0" w:color="auto"/>
        <w:bottom w:val="none" w:sz="0" w:space="0" w:color="auto"/>
        <w:right w:val="none" w:sz="0" w:space="0" w:color="auto"/>
      </w:divBdr>
    </w:div>
    <w:div w:id="679696720">
      <w:marLeft w:val="0"/>
      <w:marRight w:val="0"/>
      <w:marTop w:val="0"/>
      <w:marBottom w:val="0"/>
      <w:divBdr>
        <w:top w:val="none" w:sz="0" w:space="0" w:color="auto"/>
        <w:left w:val="none" w:sz="0" w:space="0" w:color="auto"/>
        <w:bottom w:val="none" w:sz="0" w:space="0" w:color="auto"/>
        <w:right w:val="none" w:sz="0" w:space="0" w:color="auto"/>
      </w:divBdr>
    </w:div>
    <w:div w:id="679696721">
      <w:marLeft w:val="0"/>
      <w:marRight w:val="0"/>
      <w:marTop w:val="0"/>
      <w:marBottom w:val="0"/>
      <w:divBdr>
        <w:top w:val="none" w:sz="0" w:space="0" w:color="auto"/>
        <w:left w:val="none" w:sz="0" w:space="0" w:color="auto"/>
        <w:bottom w:val="none" w:sz="0" w:space="0" w:color="auto"/>
        <w:right w:val="none" w:sz="0" w:space="0" w:color="auto"/>
      </w:divBdr>
    </w:div>
    <w:div w:id="679696722">
      <w:marLeft w:val="0"/>
      <w:marRight w:val="0"/>
      <w:marTop w:val="0"/>
      <w:marBottom w:val="0"/>
      <w:divBdr>
        <w:top w:val="none" w:sz="0" w:space="0" w:color="auto"/>
        <w:left w:val="none" w:sz="0" w:space="0" w:color="auto"/>
        <w:bottom w:val="none" w:sz="0" w:space="0" w:color="auto"/>
        <w:right w:val="none" w:sz="0" w:space="0" w:color="auto"/>
      </w:divBdr>
    </w:div>
    <w:div w:id="679696725">
      <w:marLeft w:val="0"/>
      <w:marRight w:val="0"/>
      <w:marTop w:val="0"/>
      <w:marBottom w:val="0"/>
      <w:divBdr>
        <w:top w:val="none" w:sz="0" w:space="0" w:color="auto"/>
        <w:left w:val="none" w:sz="0" w:space="0" w:color="auto"/>
        <w:bottom w:val="none" w:sz="0" w:space="0" w:color="auto"/>
        <w:right w:val="none" w:sz="0" w:space="0" w:color="auto"/>
      </w:divBdr>
    </w:div>
    <w:div w:id="679696726">
      <w:marLeft w:val="0"/>
      <w:marRight w:val="0"/>
      <w:marTop w:val="0"/>
      <w:marBottom w:val="0"/>
      <w:divBdr>
        <w:top w:val="none" w:sz="0" w:space="0" w:color="auto"/>
        <w:left w:val="none" w:sz="0" w:space="0" w:color="auto"/>
        <w:bottom w:val="none" w:sz="0" w:space="0" w:color="auto"/>
        <w:right w:val="none" w:sz="0" w:space="0" w:color="auto"/>
      </w:divBdr>
    </w:div>
    <w:div w:id="679696727">
      <w:marLeft w:val="0"/>
      <w:marRight w:val="0"/>
      <w:marTop w:val="0"/>
      <w:marBottom w:val="0"/>
      <w:divBdr>
        <w:top w:val="none" w:sz="0" w:space="0" w:color="auto"/>
        <w:left w:val="none" w:sz="0" w:space="0" w:color="auto"/>
        <w:bottom w:val="none" w:sz="0" w:space="0" w:color="auto"/>
        <w:right w:val="none" w:sz="0" w:space="0" w:color="auto"/>
      </w:divBdr>
      <w:divsChild>
        <w:div w:id="679696767">
          <w:marLeft w:val="0"/>
          <w:marRight w:val="0"/>
          <w:marTop w:val="0"/>
          <w:marBottom w:val="0"/>
          <w:divBdr>
            <w:top w:val="none" w:sz="0" w:space="0" w:color="auto"/>
            <w:left w:val="none" w:sz="0" w:space="0" w:color="auto"/>
            <w:bottom w:val="none" w:sz="0" w:space="0" w:color="auto"/>
            <w:right w:val="none" w:sz="0" w:space="0" w:color="auto"/>
          </w:divBdr>
        </w:div>
      </w:divsChild>
    </w:div>
    <w:div w:id="679696728">
      <w:marLeft w:val="0"/>
      <w:marRight w:val="0"/>
      <w:marTop w:val="0"/>
      <w:marBottom w:val="0"/>
      <w:divBdr>
        <w:top w:val="none" w:sz="0" w:space="0" w:color="auto"/>
        <w:left w:val="none" w:sz="0" w:space="0" w:color="auto"/>
        <w:bottom w:val="none" w:sz="0" w:space="0" w:color="auto"/>
        <w:right w:val="none" w:sz="0" w:space="0" w:color="auto"/>
      </w:divBdr>
    </w:div>
    <w:div w:id="679696729">
      <w:marLeft w:val="0"/>
      <w:marRight w:val="0"/>
      <w:marTop w:val="0"/>
      <w:marBottom w:val="0"/>
      <w:divBdr>
        <w:top w:val="none" w:sz="0" w:space="0" w:color="auto"/>
        <w:left w:val="none" w:sz="0" w:space="0" w:color="auto"/>
        <w:bottom w:val="none" w:sz="0" w:space="0" w:color="auto"/>
        <w:right w:val="none" w:sz="0" w:space="0" w:color="auto"/>
      </w:divBdr>
      <w:divsChild>
        <w:div w:id="679696745">
          <w:marLeft w:val="0"/>
          <w:marRight w:val="0"/>
          <w:marTop w:val="0"/>
          <w:marBottom w:val="0"/>
          <w:divBdr>
            <w:top w:val="none" w:sz="0" w:space="0" w:color="auto"/>
            <w:left w:val="none" w:sz="0" w:space="0" w:color="auto"/>
            <w:bottom w:val="none" w:sz="0" w:space="0" w:color="auto"/>
            <w:right w:val="none" w:sz="0" w:space="0" w:color="auto"/>
          </w:divBdr>
          <w:divsChild>
            <w:div w:id="679696685">
              <w:marLeft w:val="0"/>
              <w:marRight w:val="0"/>
              <w:marTop w:val="0"/>
              <w:marBottom w:val="0"/>
              <w:divBdr>
                <w:top w:val="none" w:sz="0" w:space="0" w:color="auto"/>
                <w:left w:val="none" w:sz="0" w:space="0" w:color="auto"/>
                <w:bottom w:val="none" w:sz="0" w:space="0" w:color="auto"/>
                <w:right w:val="none" w:sz="0" w:space="0" w:color="auto"/>
              </w:divBdr>
              <w:divsChild>
                <w:div w:id="679696737">
                  <w:marLeft w:val="0"/>
                  <w:marRight w:val="0"/>
                  <w:marTop w:val="0"/>
                  <w:marBottom w:val="0"/>
                  <w:divBdr>
                    <w:top w:val="none" w:sz="0" w:space="0" w:color="auto"/>
                    <w:left w:val="none" w:sz="0" w:space="0" w:color="auto"/>
                    <w:bottom w:val="none" w:sz="0" w:space="0" w:color="auto"/>
                    <w:right w:val="none" w:sz="0" w:space="0" w:color="auto"/>
                  </w:divBdr>
                  <w:divsChild>
                    <w:div w:id="679696572">
                      <w:marLeft w:val="0"/>
                      <w:marRight w:val="0"/>
                      <w:marTop w:val="0"/>
                      <w:marBottom w:val="0"/>
                      <w:divBdr>
                        <w:top w:val="none" w:sz="0" w:space="0" w:color="auto"/>
                        <w:left w:val="none" w:sz="0" w:space="0" w:color="auto"/>
                        <w:bottom w:val="none" w:sz="0" w:space="0" w:color="auto"/>
                        <w:right w:val="none" w:sz="0" w:space="0" w:color="auto"/>
                      </w:divBdr>
                      <w:divsChild>
                        <w:div w:id="679696447">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9696732">
      <w:marLeft w:val="0"/>
      <w:marRight w:val="0"/>
      <w:marTop w:val="0"/>
      <w:marBottom w:val="0"/>
      <w:divBdr>
        <w:top w:val="none" w:sz="0" w:space="0" w:color="auto"/>
        <w:left w:val="none" w:sz="0" w:space="0" w:color="auto"/>
        <w:bottom w:val="none" w:sz="0" w:space="0" w:color="auto"/>
        <w:right w:val="none" w:sz="0" w:space="0" w:color="auto"/>
      </w:divBdr>
    </w:div>
    <w:div w:id="679696733">
      <w:marLeft w:val="0"/>
      <w:marRight w:val="0"/>
      <w:marTop w:val="0"/>
      <w:marBottom w:val="0"/>
      <w:divBdr>
        <w:top w:val="none" w:sz="0" w:space="0" w:color="auto"/>
        <w:left w:val="none" w:sz="0" w:space="0" w:color="auto"/>
        <w:bottom w:val="none" w:sz="0" w:space="0" w:color="auto"/>
        <w:right w:val="none" w:sz="0" w:space="0" w:color="auto"/>
      </w:divBdr>
    </w:div>
    <w:div w:id="679696734">
      <w:marLeft w:val="0"/>
      <w:marRight w:val="0"/>
      <w:marTop w:val="0"/>
      <w:marBottom w:val="0"/>
      <w:divBdr>
        <w:top w:val="none" w:sz="0" w:space="0" w:color="auto"/>
        <w:left w:val="none" w:sz="0" w:space="0" w:color="auto"/>
        <w:bottom w:val="none" w:sz="0" w:space="0" w:color="auto"/>
        <w:right w:val="none" w:sz="0" w:space="0" w:color="auto"/>
      </w:divBdr>
      <w:divsChild>
        <w:div w:id="679696469">
          <w:marLeft w:val="0"/>
          <w:marRight w:val="0"/>
          <w:marTop w:val="0"/>
          <w:marBottom w:val="0"/>
          <w:divBdr>
            <w:top w:val="none" w:sz="0" w:space="0" w:color="auto"/>
            <w:left w:val="none" w:sz="0" w:space="0" w:color="auto"/>
            <w:bottom w:val="none" w:sz="0" w:space="0" w:color="auto"/>
            <w:right w:val="none" w:sz="0" w:space="0" w:color="auto"/>
          </w:divBdr>
        </w:div>
      </w:divsChild>
    </w:div>
    <w:div w:id="679696736">
      <w:marLeft w:val="0"/>
      <w:marRight w:val="0"/>
      <w:marTop w:val="0"/>
      <w:marBottom w:val="0"/>
      <w:divBdr>
        <w:top w:val="none" w:sz="0" w:space="0" w:color="auto"/>
        <w:left w:val="none" w:sz="0" w:space="0" w:color="auto"/>
        <w:bottom w:val="none" w:sz="0" w:space="0" w:color="auto"/>
        <w:right w:val="none" w:sz="0" w:space="0" w:color="auto"/>
      </w:divBdr>
    </w:div>
    <w:div w:id="679696738">
      <w:marLeft w:val="0"/>
      <w:marRight w:val="0"/>
      <w:marTop w:val="0"/>
      <w:marBottom w:val="0"/>
      <w:divBdr>
        <w:top w:val="none" w:sz="0" w:space="0" w:color="auto"/>
        <w:left w:val="none" w:sz="0" w:space="0" w:color="auto"/>
        <w:bottom w:val="none" w:sz="0" w:space="0" w:color="auto"/>
        <w:right w:val="none" w:sz="0" w:space="0" w:color="auto"/>
      </w:divBdr>
      <w:divsChild>
        <w:div w:id="679696358">
          <w:marLeft w:val="0"/>
          <w:marRight w:val="0"/>
          <w:marTop w:val="0"/>
          <w:marBottom w:val="0"/>
          <w:divBdr>
            <w:top w:val="none" w:sz="0" w:space="0" w:color="auto"/>
            <w:left w:val="none" w:sz="0" w:space="0" w:color="auto"/>
            <w:bottom w:val="none" w:sz="0" w:space="0" w:color="auto"/>
            <w:right w:val="none" w:sz="0" w:space="0" w:color="auto"/>
          </w:divBdr>
          <w:divsChild>
            <w:div w:id="679696581">
              <w:marLeft w:val="0"/>
              <w:marRight w:val="0"/>
              <w:marTop w:val="0"/>
              <w:marBottom w:val="0"/>
              <w:divBdr>
                <w:top w:val="none" w:sz="0" w:space="0" w:color="auto"/>
                <w:left w:val="none" w:sz="0" w:space="0" w:color="auto"/>
                <w:bottom w:val="none" w:sz="0" w:space="0" w:color="auto"/>
                <w:right w:val="none" w:sz="0" w:space="0" w:color="auto"/>
              </w:divBdr>
              <w:divsChild>
                <w:div w:id="679696382">
                  <w:marLeft w:val="0"/>
                  <w:marRight w:val="0"/>
                  <w:marTop w:val="0"/>
                  <w:marBottom w:val="0"/>
                  <w:divBdr>
                    <w:top w:val="none" w:sz="0" w:space="0" w:color="auto"/>
                    <w:left w:val="none" w:sz="0" w:space="0" w:color="auto"/>
                    <w:bottom w:val="none" w:sz="0" w:space="0" w:color="auto"/>
                    <w:right w:val="none" w:sz="0" w:space="0" w:color="auto"/>
                  </w:divBdr>
                  <w:divsChild>
                    <w:div w:id="679696696">
                      <w:marLeft w:val="0"/>
                      <w:marRight w:val="0"/>
                      <w:marTop w:val="0"/>
                      <w:marBottom w:val="0"/>
                      <w:divBdr>
                        <w:top w:val="none" w:sz="0" w:space="0" w:color="auto"/>
                        <w:left w:val="none" w:sz="0" w:space="0" w:color="auto"/>
                        <w:bottom w:val="none" w:sz="0" w:space="0" w:color="auto"/>
                        <w:right w:val="none" w:sz="0" w:space="0" w:color="auto"/>
                      </w:divBdr>
                      <w:divsChild>
                        <w:div w:id="679696659">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9696740">
      <w:marLeft w:val="0"/>
      <w:marRight w:val="0"/>
      <w:marTop w:val="0"/>
      <w:marBottom w:val="0"/>
      <w:divBdr>
        <w:top w:val="none" w:sz="0" w:space="0" w:color="auto"/>
        <w:left w:val="none" w:sz="0" w:space="0" w:color="auto"/>
        <w:bottom w:val="none" w:sz="0" w:space="0" w:color="auto"/>
        <w:right w:val="none" w:sz="0" w:space="0" w:color="auto"/>
      </w:divBdr>
    </w:div>
    <w:div w:id="679696741">
      <w:marLeft w:val="0"/>
      <w:marRight w:val="0"/>
      <w:marTop w:val="0"/>
      <w:marBottom w:val="0"/>
      <w:divBdr>
        <w:top w:val="none" w:sz="0" w:space="0" w:color="auto"/>
        <w:left w:val="none" w:sz="0" w:space="0" w:color="auto"/>
        <w:bottom w:val="none" w:sz="0" w:space="0" w:color="auto"/>
        <w:right w:val="none" w:sz="0" w:space="0" w:color="auto"/>
      </w:divBdr>
    </w:div>
    <w:div w:id="679696742">
      <w:marLeft w:val="0"/>
      <w:marRight w:val="0"/>
      <w:marTop w:val="0"/>
      <w:marBottom w:val="0"/>
      <w:divBdr>
        <w:top w:val="none" w:sz="0" w:space="0" w:color="auto"/>
        <w:left w:val="none" w:sz="0" w:space="0" w:color="auto"/>
        <w:bottom w:val="none" w:sz="0" w:space="0" w:color="auto"/>
        <w:right w:val="none" w:sz="0" w:space="0" w:color="auto"/>
      </w:divBdr>
    </w:div>
    <w:div w:id="679696743">
      <w:marLeft w:val="0"/>
      <w:marRight w:val="0"/>
      <w:marTop w:val="0"/>
      <w:marBottom w:val="0"/>
      <w:divBdr>
        <w:top w:val="none" w:sz="0" w:space="0" w:color="auto"/>
        <w:left w:val="none" w:sz="0" w:space="0" w:color="auto"/>
        <w:bottom w:val="none" w:sz="0" w:space="0" w:color="auto"/>
        <w:right w:val="none" w:sz="0" w:space="0" w:color="auto"/>
      </w:divBdr>
    </w:div>
    <w:div w:id="679696746">
      <w:marLeft w:val="0"/>
      <w:marRight w:val="0"/>
      <w:marTop w:val="0"/>
      <w:marBottom w:val="0"/>
      <w:divBdr>
        <w:top w:val="none" w:sz="0" w:space="0" w:color="auto"/>
        <w:left w:val="none" w:sz="0" w:space="0" w:color="auto"/>
        <w:bottom w:val="none" w:sz="0" w:space="0" w:color="auto"/>
        <w:right w:val="none" w:sz="0" w:space="0" w:color="auto"/>
      </w:divBdr>
    </w:div>
    <w:div w:id="679696748">
      <w:marLeft w:val="0"/>
      <w:marRight w:val="0"/>
      <w:marTop w:val="0"/>
      <w:marBottom w:val="0"/>
      <w:divBdr>
        <w:top w:val="none" w:sz="0" w:space="0" w:color="auto"/>
        <w:left w:val="none" w:sz="0" w:space="0" w:color="auto"/>
        <w:bottom w:val="none" w:sz="0" w:space="0" w:color="auto"/>
        <w:right w:val="none" w:sz="0" w:space="0" w:color="auto"/>
      </w:divBdr>
    </w:div>
    <w:div w:id="679696750">
      <w:marLeft w:val="0"/>
      <w:marRight w:val="0"/>
      <w:marTop w:val="0"/>
      <w:marBottom w:val="0"/>
      <w:divBdr>
        <w:top w:val="none" w:sz="0" w:space="0" w:color="auto"/>
        <w:left w:val="none" w:sz="0" w:space="0" w:color="auto"/>
        <w:bottom w:val="none" w:sz="0" w:space="0" w:color="auto"/>
        <w:right w:val="none" w:sz="0" w:space="0" w:color="auto"/>
      </w:divBdr>
    </w:div>
    <w:div w:id="679696754">
      <w:marLeft w:val="0"/>
      <w:marRight w:val="0"/>
      <w:marTop w:val="0"/>
      <w:marBottom w:val="0"/>
      <w:divBdr>
        <w:top w:val="none" w:sz="0" w:space="0" w:color="auto"/>
        <w:left w:val="none" w:sz="0" w:space="0" w:color="auto"/>
        <w:bottom w:val="none" w:sz="0" w:space="0" w:color="auto"/>
        <w:right w:val="none" w:sz="0" w:space="0" w:color="auto"/>
      </w:divBdr>
    </w:div>
    <w:div w:id="679696756">
      <w:marLeft w:val="0"/>
      <w:marRight w:val="0"/>
      <w:marTop w:val="0"/>
      <w:marBottom w:val="0"/>
      <w:divBdr>
        <w:top w:val="none" w:sz="0" w:space="0" w:color="auto"/>
        <w:left w:val="none" w:sz="0" w:space="0" w:color="auto"/>
        <w:bottom w:val="none" w:sz="0" w:space="0" w:color="auto"/>
        <w:right w:val="none" w:sz="0" w:space="0" w:color="auto"/>
      </w:divBdr>
      <w:divsChild>
        <w:div w:id="679696419">
          <w:marLeft w:val="0"/>
          <w:marRight w:val="0"/>
          <w:marTop w:val="0"/>
          <w:marBottom w:val="0"/>
          <w:divBdr>
            <w:top w:val="none" w:sz="0" w:space="0" w:color="auto"/>
            <w:left w:val="none" w:sz="0" w:space="0" w:color="auto"/>
            <w:bottom w:val="none" w:sz="0" w:space="0" w:color="auto"/>
            <w:right w:val="none" w:sz="0" w:space="0" w:color="auto"/>
          </w:divBdr>
          <w:divsChild>
            <w:div w:id="679696705">
              <w:marLeft w:val="0"/>
              <w:marRight w:val="0"/>
              <w:marTop w:val="0"/>
              <w:marBottom w:val="0"/>
              <w:divBdr>
                <w:top w:val="none" w:sz="0" w:space="0" w:color="auto"/>
                <w:left w:val="none" w:sz="0" w:space="0" w:color="auto"/>
                <w:bottom w:val="none" w:sz="0" w:space="0" w:color="auto"/>
                <w:right w:val="none" w:sz="0" w:space="0" w:color="auto"/>
              </w:divBdr>
              <w:divsChild>
                <w:div w:id="679696718">
                  <w:marLeft w:val="0"/>
                  <w:marRight w:val="0"/>
                  <w:marTop w:val="0"/>
                  <w:marBottom w:val="0"/>
                  <w:divBdr>
                    <w:top w:val="none" w:sz="0" w:space="0" w:color="auto"/>
                    <w:left w:val="none" w:sz="0" w:space="0" w:color="auto"/>
                    <w:bottom w:val="none" w:sz="0" w:space="0" w:color="auto"/>
                    <w:right w:val="none" w:sz="0" w:space="0" w:color="auto"/>
                  </w:divBdr>
                  <w:divsChild>
                    <w:div w:id="679696547">
                      <w:marLeft w:val="0"/>
                      <w:marRight w:val="0"/>
                      <w:marTop w:val="0"/>
                      <w:marBottom w:val="0"/>
                      <w:divBdr>
                        <w:top w:val="none" w:sz="0" w:space="0" w:color="auto"/>
                        <w:left w:val="none" w:sz="0" w:space="0" w:color="auto"/>
                        <w:bottom w:val="none" w:sz="0" w:space="0" w:color="auto"/>
                        <w:right w:val="none" w:sz="0" w:space="0" w:color="auto"/>
                      </w:divBdr>
                      <w:divsChild>
                        <w:div w:id="679696424">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9696757">
      <w:marLeft w:val="0"/>
      <w:marRight w:val="0"/>
      <w:marTop w:val="0"/>
      <w:marBottom w:val="0"/>
      <w:divBdr>
        <w:top w:val="none" w:sz="0" w:space="0" w:color="auto"/>
        <w:left w:val="none" w:sz="0" w:space="0" w:color="auto"/>
        <w:bottom w:val="none" w:sz="0" w:space="0" w:color="auto"/>
        <w:right w:val="none" w:sz="0" w:space="0" w:color="auto"/>
      </w:divBdr>
    </w:div>
    <w:div w:id="679696758">
      <w:marLeft w:val="0"/>
      <w:marRight w:val="0"/>
      <w:marTop w:val="0"/>
      <w:marBottom w:val="0"/>
      <w:divBdr>
        <w:top w:val="none" w:sz="0" w:space="0" w:color="auto"/>
        <w:left w:val="none" w:sz="0" w:space="0" w:color="auto"/>
        <w:bottom w:val="none" w:sz="0" w:space="0" w:color="auto"/>
        <w:right w:val="none" w:sz="0" w:space="0" w:color="auto"/>
      </w:divBdr>
    </w:div>
    <w:div w:id="679696759">
      <w:marLeft w:val="0"/>
      <w:marRight w:val="0"/>
      <w:marTop w:val="0"/>
      <w:marBottom w:val="0"/>
      <w:divBdr>
        <w:top w:val="none" w:sz="0" w:space="0" w:color="auto"/>
        <w:left w:val="none" w:sz="0" w:space="0" w:color="auto"/>
        <w:bottom w:val="none" w:sz="0" w:space="0" w:color="auto"/>
        <w:right w:val="none" w:sz="0" w:space="0" w:color="auto"/>
      </w:divBdr>
    </w:div>
    <w:div w:id="679696760">
      <w:marLeft w:val="0"/>
      <w:marRight w:val="0"/>
      <w:marTop w:val="0"/>
      <w:marBottom w:val="0"/>
      <w:divBdr>
        <w:top w:val="none" w:sz="0" w:space="0" w:color="auto"/>
        <w:left w:val="none" w:sz="0" w:space="0" w:color="auto"/>
        <w:bottom w:val="none" w:sz="0" w:space="0" w:color="auto"/>
        <w:right w:val="none" w:sz="0" w:space="0" w:color="auto"/>
      </w:divBdr>
    </w:div>
    <w:div w:id="679696761">
      <w:marLeft w:val="0"/>
      <w:marRight w:val="0"/>
      <w:marTop w:val="0"/>
      <w:marBottom w:val="0"/>
      <w:divBdr>
        <w:top w:val="none" w:sz="0" w:space="0" w:color="auto"/>
        <w:left w:val="none" w:sz="0" w:space="0" w:color="auto"/>
        <w:bottom w:val="none" w:sz="0" w:space="0" w:color="auto"/>
        <w:right w:val="none" w:sz="0" w:space="0" w:color="auto"/>
      </w:divBdr>
    </w:div>
    <w:div w:id="679696762">
      <w:marLeft w:val="0"/>
      <w:marRight w:val="0"/>
      <w:marTop w:val="0"/>
      <w:marBottom w:val="0"/>
      <w:divBdr>
        <w:top w:val="none" w:sz="0" w:space="0" w:color="auto"/>
        <w:left w:val="none" w:sz="0" w:space="0" w:color="auto"/>
        <w:bottom w:val="none" w:sz="0" w:space="0" w:color="auto"/>
        <w:right w:val="none" w:sz="0" w:space="0" w:color="auto"/>
      </w:divBdr>
    </w:div>
    <w:div w:id="679696763">
      <w:marLeft w:val="0"/>
      <w:marRight w:val="0"/>
      <w:marTop w:val="0"/>
      <w:marBottom w:val="0"/>
      <w:divBdr>
        <w:top w:val="none" w:sz="0" w:space="0" w:color="auto"/>
        <w:left w:val="none" w:sz="0" w:space="0" w:color="auto"/>
        <w:bottom w:val="none" w:sz="0" w:space="0" w:color="auto"/>
        <w:right w:val="none" w:sz="0" w:space="0" w:color="auto"/>
      </w:divBdr>
    </w:div>
    <w:div w:id="679696765">
      <w:marLeft w:val="0"/>
      <w:marRight w:val="0"/>
      <w:marTop w:val="0"/>
      <w:marBottom w:val="0"/>
      <w:divBdr>
        <w:top w:val="none" w:sz="0" w:space="0" w:color="auto"/>
        <w:left w:val="none" w:sz="0" w:space="0" w:color="auto"/>
        <w:bottom w:val="none" w:sz="0" w:space="0" w:color="auto"/>
        <w:right w:val="none" w:sz="0" w:space="0" w:color="auto"/>
      </w:divBdr>
    </w:div>
    <w:div w:id="679696766">
      <w:marLeft w:val="0"/>
      <w:marRight w:val="0"/>
      <w:marTop w:val="0"/>
      <w:marBottom w:val="0"/>
      <w:divBdr>
        <w:top w:val="none" w:sz="0" w:space="0" w:color="auto"/>
        <w:left w:val="none" w:sz="0" w:space="0" w:color="auto"/>
        <w:bottom w:val="none" w:sz="0" w:space="0" w:color="auto"/>
        <w:right w:val="none" w:sz="0" w:space="0" w:color="auto"/>
      </w:divBdr>
    </w:div>
    <w:div w:id="679696769">
      <w:marLeft w:val="0"/>
      <w:marRight w:val="0"/>
      <w:marTop w:val="0"/>
      <w:marBottom w:val="0"/>
      <w:divBdr>
        <w:top w:val="none" w:sz="0" w:space="0" w:color="auto"/>
        <w:left w:val="none" w:sz="0" w:space="0" w:color="auto"/>
        <w:bottom w:val="none" w:sz="0" w:space="0" w:color="auto"/>
        <w:right w:val="none" w:sz="0" w:space="0" w:color="auto"/>
      </w:divBdr>
    </w:div>
    <w:div w:id="701251925">
      <w:bodyDiv w:val="1"/>
      <w:marLeft w:val="0"/>
      <w:marRight w:val="0"/>
      <w:marTop w:val="0"/>
      <w:marBottom w:val="0"/>
      <w:divBdr>
        <w:top w:val="none" w:sz="0" w:space="0" w:color="auto"/>
        <w:left w:val="none" w:sz="0" w:space="0" w:color="auto"/>
        <w:bottom w:val="none" w:sz="0" w:space="0" w:color="auto"/>
        <w:right w:val="none" w:sz="0" w:space="0" w:color="auto"/>
      </w:divBdr>
    </w:div>
    <w:div w:id="716589307">
      <w:bodyDiv w:val="1"/>
      <w:marLeft w:val="0"/>
      <w:marRight w:val="0"/>
      <w:marTop w:val="0"/>
      <w:marBottom w:val="0"/>
      <w:divBdr>
        <w:top w:val="none" w:sz="0" w:space="0" w:color="auto"/>
        <w:left w:val="none" w:sz="0" w:space="0" w:color="auto"/>
        <w:bottom w:val="none" w:sz="0" w:space="0" w:color="auto"/>
        <w:right w:val="none" w:sz="0" w:space="0" w:color="auto"/>
      </w:divBdr>
    </w:div>
    <w:div w:id="723331576">
      <w:bodyDiv w:val="1"/>
      <w:marLeft w:val="0"/>
      <w:marRight w:val="0"/>
      <w:marTop w:val="0"/>
      <w:marBottom w:val="0"/>
      <w:divBdr>
        <w:top w:val="none" w:sz="0" w:space="0" w:color="auto"/>
        <w:left w:val="none" w:sz="0" w:space="0" w:color="auto"/>
        <w:bottom w:val="none" w:sz="0" w:space="0" w:color="auto"/>
        <w:right w:val="none" w:sz="0" w:space="0" w:color="auto"/>
      </w:divBdr>
      <w:divsChild>
        <w:div w:id="1355381296">
          <w:marLeft w:val="0"/>
          <w:marRight w:val="0"/>
          <w:marTop w:val="0"/>
          <w:marBottom w:val="0"/>
          <w:divBdr>
            <w:top w:val="none" w:sz="0" w:space="0" w:color="auto"/>
            <w:left w:val="none" w:sz="0" w:space="0" w:color="auto"/>
            <w:bottom w:val="none" w:sz="0" w:space="0" w:color="auto"/>
            <w:right w:val="none" w:sz="0" w:space="0" w:color="auto"/>
          </w:divBdr>
          <w:divsChild>
            <w:div w:id="383070624">
              <w:marLeft w:val="0"/>
              <w:marRight w:val="0"/>
              <w:marTop w:val="0"/>
              <w:marBottom w:val="0"/>
              <w:divBdr>
                <w:top w:val="none" w:sz="0" w:space="0" w:color="auto"/>
                <w:left w:val="none" w:sz="0" w:space="0" w:color="auto"/>
                <w:bottom w:val="none" w:sz="0" w:space="0" w:color="auto"/>
                <w:right w:val="none" w:sz="0" w:space="0" w:color="auto"/>
              </w:divBdr>
              <w:divsChild>
                <w:div w:id="1705059788">
                  <w:marLeft w:val="0"/>
                  <w:marRight w:val="0"/>
                  <w:marTop w:val="0"/>
                  <w:marBottom w:val="0"/>
                  <w:divBdr>
                    <w:top w:val="none" w:sz="0" w:space="0" w:color="auto"/>
                    <w:left w:val="none" w:sz="0" w:space="0" w:color="auto"/>
                    <w:bottom w:val="none" w:sz="0" w:space="0" w:color="auto"/>
                    <w:right w:val="none" w:sz="0" w:space="0" w:color="auto"/>
                  </w:divBdr>
                  <w:divsChild>
                    <w:div w:id="1816868220">
                      <w:marLeft w:val="0"/>
                      <w:marRight w:val="0"/>
                      <w:marTop w:val="0"/>
                      <w:marBottom w:val="0"/>
                      <w:divBdr>
                        <w:top w:val="none" w:sz="0" w:space="0" w:color="auto"/>
                        <w:left w:val="none" w:sz="0" w:space="0" w:color="auto"/>
                        <w:bottom w:val="none" w:sz="0" w:space="0" w:color="auto"/>
                        <w:right w:val="none" w:sz="0" w:space="0" w:color="auto"/>
                      </w:divBdr>
                      <w:divsChild>
                        <w:div w:id="1165558020">
                          <w:marLeft w:val="0"/>
                          <w:marRight w:val="0"/>
                          <w:marTop w:val="0"/>
                          <w:marBottom w:val="0"/>
                          <w:divBdr>
                            <w:top w:val="none" w:sz="0" w:space="0" w:color="auto"/>
                            <w:left w:val="none" w:sz="0" w:space="0" w:color="auto"/>
                            <w:bottom w:val="none" w:sz="0" w:space="0" w:color="auto"/>
                            <w:right w:val="none" w:sz="0" w:space="0" w:color="auto"/>
                          </w:divBdr>
                          <w:divsChild>
                            <w:div w:id="1751584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8387323">
      <w:bodyDiv w:val="1"/>
      <w:marLeft w:val="0"/>
      <w:marRight w:val="0"/>
      <w:marTop w:val="0"/>
      <w:marBottom w:val="0"/>
      <w:divBdr>
        <w:top w:val="none" w:sz="0" w:space="0" w:color="auto"/>
        <w:left w:val="none" w:sz="0" w:space="0" w:color="auto"/>
        <w:bottom w:val="none" w:sz="0" w:space="0" w:color="auto"/>
        <w:right w:val="none" w:sz="0" w:space="0" w:color="auto"/>
      </w:divBdr>
      <w:divsChild>
        <w:div w:id="1694652650">
          <w:marLeft w:val="0"/>
          <w:marRight w:val="0"/>
          <w:marTop w:val="0"/>
          <w:marBottom w:val="0"/>
          <w:divBdr>
            <w:top w:val="none" w:sz="0" w:space="0" w:color="auto"/>
            <w:left w:val="none" w:sz="0" w:space="0" w:color="auto"/>
            <w:bottom w:val="none" w:sz="0" w:space="0" w:color="auto"/>
            <w:right w:val="none" w:sz="0" w:space="0" w:color="auto"/>
          </w:divBdr>
          <w:divsChild>
            <w:div w:id="1036350581">
              <w:marLeft w:val="0"/>
              <w:marRight w:val="0"/>
              <w:marTop w:val="0"/>
              <w:marBottom w:val="0"/>
              <w:divBdr>
                <w:top w:val="none" w:sz="0" w:space="0" w:color="auto"/>
                <w:left w:val="none" w:sz="0" w:space="0" w:color="auto"/>
                <w:bottom w:val="none" w:sz="0" w:space="0" w:color="auto"/>
                <w:right w:val="none" w:sz="0" w:space="0" w:color="auto"/>
              </w:divBdr>
              <w:divsChild>
                <w:div w:id="53816865">
                  <w:marLeft w:val="0"/>
                  <w:marRight w:val="0"/>
                  <w:marTop w:val="0"/>
                  <w:marBottom w:val="0"/>
                  <w:divBdr>
                    <w:top w:val="none" w:sz="0" w:space="0" w:color="auto"/>
                    <w:left w:val="none" w:sz="0" w:space="0" w:color="auto"/>
                    <w:bottom w:val="none" w:sz="0" w:space="0" w:color="auto"/>
                    <w:right w:val="none" w:sz="0" w:space="0" w:color="auto"/>
                  </w:divBdr>
                  <w:divsChild>
                    <w:div w:id="983505051">
                      <w:marLeft w:val="0"/>
                      <w:marRight w:val="0"/>
                      <w:marTop w:val="0"/>
                      <w:marBottom w:val="0"/>
                      <w:divBdr>
                        <w:top w:val="none" w:sz="0" w:space="0" w:color="auto"/>
                        <w:left w:val="none" w:sz="0" w:space="0" w:color="auto"/>
                        <w:bottom w:val="none" w:sz="0" w:space="0" w:color="auto"/>
                        <w:right w:val="none" w:sz="0" w:space="0" w:color="auto"/>
                      </w:divBdr>
                      <w:divsChild>
                        <w:div w:id="1368482180">
                          <w:marLeft w:val="0"/>
                          <w:marRight w:val="0"/>
                          <w:marTop w:val="0"/>
                          <w:marBottom w:val="0"/>
                          <w:divBdr>
                            <w:top w:val="none" w:sz="0" w:space="0" w:color="auto"/>
                            <w:left w:val="none" w:sz="0" w:space="0" w:color="auto"/>
                            <w:bottom w:val="none" w:sz="0" w:space="0" w:color="auto"/>
                            <w:right w:val="none" w:sz="0" w:space="0" w:color="auto"/>
                          </w:divBdr>
                          <w:divsChild>
                            <w:div w:id="311762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50472721">
      <w:bodyDiv w:val="1"/>
      <w:marLeft w:val="0"/>
      <w:marRight w:val="0"/>
      <w:marTop w:val="0"/>
      <w:marBottom w:val="0"/>
      <w:divBdr>
        <w:top w:val="none" w:sz="0" w:space="0" w:color="auto"/>
        <w:left w:val="none" w:sz="0" w:space="0" w:color="auto"/>
        <w:bottom w:val="none" w:sz="0" w:space="0" w:color="auto"/>
        <w:right w:val="none" w:sz="0" w:space="0" w:color="auto"/>
      </w:divBdr>
      <w:divsChild>
        <w:div w:id="729380253">
          <w:marLeft w:val="0"/>
          <w:marRight w:val="0"/>
          <w:marTop w:val="0"/>
          <w:marBottom w:val="0"/>
          <w:divBdr>
            <w:top w:val="none" w:sz="0" w:space="0" w:color="auto"/>
            <w:left w:val="none" w:sz="0" w:space="0" w:color="auto"/>
            <w:bottom w:val="none" w:sz="0" w:space="0" w:color="auto"/>
            <w:right w:val="none" w:sz="0" w:space="0" w:color="auto"/>
          </w:divBdr>
          <w:divsChild>
            <w:div w:id="1720086350">
              <w:marLeft w:val="0"/>
              <w:marRight w:val="0"/>
              <w:marTop w:val="0"/>
              <w:marBottom w:val="0"/>
              <w:divBdr>
                <w:top w:val="none" w:sz="0" w:space="0" w:color="auto"/>
                <w:left w:val="none" w:sz="0" w:space="0" w:color="auto"/>
                <w:bottom w:val="none" w:sz="0" w:space="0" w:color="auto"/>
                <w:right w:val="none" w:sz="0" w:space="0" w:color="auto"/>
              </w:divBdr>
              <w:divsChild>
                <w:div w:id="523642158">
                  <w:marLeft w:val="0"/>
                  <w:marRight w:val="0"/>
                  <w:marTop w:val="0"/>
                  <w:marBottom w:val="0"/>
                  <w:divBdr>
                    <w:top w:val="none" w:sz="0" w:space="0" w:color="auto"/>
                    <w:left w:val="none" w:sz="0" w:space="0" w:color="auto"/>
                    <w:bottom w:val="none" w:sz="0" w:space="0" w:color="auto"/>
                    <w:right w:val="none" w:sz="0" w:space="0" w:color="auto"/>
                  </w:divBdr>
                  <w:divsChild>
                    <w:div w:id="283734201">
                      <w:marLeft w:val="0"/>
                      <w:marRight w:val="0"/>
                      <w:marTop w:val="0"/>
                      <w:marBottom w:val="0"/>
                      <w:divBdr>
                        <w:top w:val="none" w:sz="0" w:space="0" w:color="auto"/>
                        <w:left w:val="none" w:sz="0" w:space="0" w:color="auto"/>
                        <w:bottom w:val="none" w:sz="0" w:space="0" w:color="auto"/>
                        <w:right w:val="none" w:sz="0" w:space="0" w:color="auto"/>
                      </w:divBdr>
                      <w:divsChild>
                        <w:div w:id="406656315">
                          <w:marLeft w:val="0"/>
                          <w:marRight w:val="0"/>
                          <w:marTop w:val="0"/>
                          <w:marBottom w:val="0"/>
                          <w:divBdr>
                            <w:top w:val="none" w:sz="0" w:space="0" w:color="auto"/>
                            <w:left w:val="none" w:sz="0" w:space="0" w:color="auto"/>
                            <w:bottom w:val="none" w:sz="0" w:space="0" w:color="auto"/>
                            <w:right w:val="none" w:sz="0" w:space="0" w:color="auto"/>
                          </w:divBdr>
                          <w:divsChild>
                            <w:div w:id="422187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70665893">
      <w:bodyDiv w:val="1"/>
      <w:marLeft w:val="0"/>
      <w:marRight w:val="0"/>
      <w:marTop w:val="0"/>
      <w:marBottom w:val="0"/>
      <w:divBdr>
        <w:top w:val="none" w:sz="0" w:space="0" w:color="auto"/>
        <w:left w:val="none" w:sz="0" w:space="0" w:color="auto"/>
        <w:bottom w:val="none" w:sz="0" w:space="0" w:color="auto"/>
        <w:right w:val="none" w:sz="0" w:space="0" w:color="auto"/>
      </w:divBdr>
    </w:div>
    <w:div w:id="774442493">
      <w:bodyDiv w:val="1"/>
      <w:marLeft w:val="0"/>
      <w:marRight w:val="0"/>
      <w:marTop w:val="0"/>
      <w:marBottom w:val="0"/>
      <w:divBdr>
        <w:top w:val="none" w:sz="0" w:space="0" w:color="auto"/>
        <w:left w:val="none" w:sz="0" w:space="0" w:color="auto"/>
        <w:bottom w:val="none" w:sz="0" w:space="0" w:color="auto"/>
        <w:right w:val="none" w:sz="0" w:space="0" w:color="auto"/>
      </w:divBdr>
    </w:div>
    <w:div w:id="778641517">
      <w:bodyDiv w:val="1"/>
      <w:marLeft w:val="0"/>
      <w:marRight w:val="0"/>
      <w:marTop w:val="0"/>
      <w:marBottom w:val="0"/>
      <w:divBdr>
        <w:top w:val="none" w:sz="0" w:space="0" w:color="auto"/>
        <w:left w:val="none" w:sz="0" w:space="0" w:color="auto"/>
        <w:bottom w:val="none" w:sz="0" w:space="0" w:color="auto"/>
        <w:right w:val="none" w:sz="0" w:space="0" w:color="auto"/>
      </w:divBdr>
    </w:div>
    <w:div w:id="783579543">
      <w:bodyDiv w:val="1"/>
      <w:marLeft w:val="0"/>
      <w:marRight w:val="0"/>
      <w:marTop w:val="0"/>
      <w:marBottom w:val="0"/>
      <w:divBdr>
        <w:top w:val="none" w:sz="0" w:space="0" w:color="auto"/>
        <w:left w:val="none" w:sz="0" w:space="0" w:color="auto"/>
        <w:bottom w:val="none" w:sz="0" w:space="0" w:color="auto"/>
        <w:right w:val="none" w:sz="0" w:space="0" w:color="auto"/>
      </w:divBdr>
    </w:div>
    <w:div w:id="807698379">
      <w:bodyDiv w:val="1"/>
      <w:marLeft w:val="0"/>
      <w:marRight w:val="0"/>
      <w:marTop w:val="0"/>
      <w:marBottom w:val="0"/>
      <w:divBdr>
        <w:top w:val="none" w:sz="0" w:space="0" w:color="auto"/>
        <w:left w:val="none" w:sz="0" w:space="0" w:color="auto"/>
        <w:bottom w:val="none" w:sz="0" w:space="0" w:color="auto"/>
        <w:right w:val="none" w:sz="0" w:space="0" w:color="auto"/>
      </w:divBdr>
      <w:divsChild>
        <w:div w:id="805512309">
          <w:marLeft w:val="0"/>
          <w:marRight w:val="0"/>
          <w:marTop w:val="0"/>
          <w:marBottom w:val="0"/>
          <w:divBdr>
            <w:top w:val="none" w:sz="0" w:space="0" w:color="auto"/>
            <w:left w:val="none" w:sz="0" w:space="0" w:color="auto"/>
            <w:bottom w:val="none" w:sz="0" w:space="0" w:color="auto"/>
            <w:right w:val="none" w:sz="0" w:space="0" w:color="auto"/>
          </w:divBdr>
          <w:divsChild>
            <w:div w:id="1572235943">
              <w:marLeft w:val="0"/>
              <w:marRight w:val="0"/>
              <w:marTop w:val="0"/>
              <w:marBottom w:val="0"/>
              <w:divBdr>
                <w:top w:val="none" w:sz="0" w:space="0" w:color="auto"/>
                <w:left w:val="none" w:sz="0" w:space="0" w:color="auto"/>
                <w:bottom w:val="none" w:sz="0" w:space="0" w:color="auto"/>
                <w:right w:val="none" w:sz="0" w:space="0" w:color="auto"/>
              </w:divBdr>
              <w:divsChild>
                <w:div w:id="2137915735">
                  <w:marLeft w:val="0"/>
                  <w:marRight w:val="0"/>
                  <w:marTop w:val="0"/>
                  <w:marBottom w:val="0"/>
                  <w:divBdr>
                    <w:top w:val="none" w:sz="0" w:space="0" w:color="auto"/>
                    <w:left w:val="none" w:sz="0" w:space="0" w:color="auto"/>
                    <w:bottom w:val="none" w:sz="0" w:space="0" w:color="auto"/>
                    <w:right w:val="none" w:sz="0" w:space="0" w:color="auto"/>
                  </w:divBdr>
                  <w:divsChild>
                    <w:div w:id="225535377">
                      <w:marLeft w:val="0"/>
                      <w:marRight w:val="0"/>
                      <w:marTop w:val="0"/>
                      <w:marBottom w:val="0"/>
                      <w:divBdr>
                        <w:top w:val="none" w:sz="0" w:space="0" w:color="auto"/>
                        <w:left w:val="none" w:sz="0" w:space="0" w:color="auto"/>
                        <w:bottom w:val="none" w:sz="0" w:space="0" w:color="auto"/>
                        <w:right w:val="none" w:sz="0" w:space="0" w:color="auto"/>
                      </w:divBdr>
                      <w:divsChild>
                        <w:div w:id="699474867">
                          <w:marLeft w:val="0"/>
                          <w:marRight w:val="0"/>
                          <w:marTop w:val="0"/>
                          <w:marBottom w:val="0"/>
                          <w:divBdr>
                            <w:top w:val="none" w:sz="0" w:space="0" w:color="auto"/>
                            <w:left w:val="none" w:sz="0" w:space="0" w:color="auto"/>
                            <w:bottom w:val="none" w:sz="0" w:space="0" w:color="auto"/>
                            <w:right w:val="none" w:sz="0" w:space="0" w:color="auto"/>
                          </w:divBdr>
                          <w:divsChild>
                            <w:div w:id="969289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2023418">
      <w:bodyDiv w:val="1"/>
      <w:marLeft w:val="0"/>
      <w:marRight w:val="0"/>
      <w:marTop w:val="0"/>
      <w:marBottom w:val="0"/>
      <w:divBdr>
        <w:top w:val="none" w:sz="0" w:space="0" w:color="auto"/>
        <w:left w:val="none" w:sz="0" w:space="0" w:color="auto"/>
        <w:bottom w:val="none" w:sz="0" w:space="0" w:color="auto"/>
        <w:right w:val="none" w:sz="0" w:space="0" w:color="auto"/>
      </w:divBdr>
    </w:div>
    <w:div w:id="816386173">
      <w:bodyDiv w:val="1"/>
      <w:marLeft w:val="0"/>
      <w:marRight w:val="0"/>
      <w:marTop w:val="0"/>
      <w:marBottom w:val="0"/>
      <w:divBdr>
        <w:top w:val="none" w:sz="0" w:space="0" w:color="auto"/>
        <w:left w:val="none" w:sz="0" w:space="0" w:color="auto"/>
        <w:bottom w:val="none" w:sz="0" w:space="0" w:color="auto"/>
        <w:right w:val="none" w:sz="0" w:space="0" w:color="auto"/>
      </w:divBdr>
    </w:div>
    <w:div w:id="821042717">
      <w:bodyDiv w:val="1"/>
      <w:marLeft w:val="0"/>
      <w:marRight w:val="0"/>
      <w:marTop w:val="0"/>
      <w:marBottom w:val="0"/>
      <w:divBdr>
        <w:top w:val="none" w:sz="0" w:space="0" w:color="auto"/>
        <w:left w:val="none" w:sz="0" w:space="0" w:color="auto"/>
        <w:bottom w:val="none" w:sz="0" w:space="0" w:color="auto"/>
        <w:right w:val="none" w:sz="0" w:space="0" w:color="auto"/>
      </w:divBdr>
    </w:div>
    <w:div w:id="839930609">
      <w:bodyDiv w:val="1"/>
      <w:marLeft w:val="0"/>
      <w:marRight w:val="0"/>
      <w:marTop w:val="0"/>
      <w:marBottom w:val="0"/>
      <w:divBdr>
        <w:top w:val="none" w:sz="0" w:space="0" w:color="auto"/>
        <w:left w:val="none" w:sz="0" w:space="0" w:color="auto"/>
        <w:bottom w:val="none" w:sz="0" w:space="0" w:color="auto"/>
        <w:right w:val="none" w:sz="0" w:space="0" w:color="auto"/>
      </w:divBdr>
    </w:div>
    <w:div w:id="845436628">
      <w:bodyDiv w:val="1"/>
      <w:marLeft w:val="0"/>
      <w:marRight w:val="0"/>
      <w:marTop w:val="0"/>
      <w:marBottom w:val="0"/>
      <w:divBdr>
        <w:top w:val="none" w:sz="0" w:space="0" w:color="auto"/>
        <w:left w:val="none" w:sz="0" w:space="0" w:color="auto"/>
        <w:bottom w:val="none" w:sz="0" w:space="0" w:color="auto"/>
        <w:right w:val="none" w:sz="0" w:space="0" w:color="auto"/>
      </w:divBdr>
      <w:divsChild>
        <w:div w:id="669990430">
          <w:marLeft w:val="0"/>
          <w:marRight w:val="0"/>
          <w:marTop w:val="0"/>
          <w:marBottom w:val="0"/>
          <w:divBdr>
            <w:top w:val="none" w:sz="0" w:space="0" w:color="auto"/>
            <w:left w:val="none" w:sz="0" w:space="0" w:color="auto"/>
            <w:bottom w:val="none" w:sz="0" w:space="0" w:color="auto"/>
            <w:right w:val="none" w:sz="0" w:space="0" w:color="auto"/>
          </w:divBdr>
          <w:divsChild>
            <w:div w:id="2078820518">
              <w:marLeft w:val="0"/>
              <w:marRight w:val="0"/>
              <w:marTop w:val="0"/>
              <w:marBottom w:val="0"/>
              <w:divBdr>
                <w:top w:val="none" w:sz="0" w:space="0" w:color="auto"/>
                <w:left w:val="none" w:sz="0" w:space="0" w:color="auto"/>
                <w:bottom w:val="none" w:sz="0" w:space="0" w:color="auto"/>
                <w:right w:val="none" w:sz="0" w:space="0" w:color="auto"/>
              </w:divBdr>
              <w:divsChild>
                <w:div w:id="1603957558">
                  <w:marLeft w:val="0"/>
                  <w:marRight w:val="0"/>
                  <w:marTop w:val="0"/>
                  <w:marBottom w:val="0"/>
                  <w:divBdr>
                    <w:top w:val="none" w:sz="0" w:space="0" w:color="auto"/>
                    <w:left w:val="none" w:sz="0" w:space="0" w:color="auto"/>
                    <w:bottom w:val="none" w:sz="0" w:space="0" w:color="auto"/>
                    <w:right w:val="none" w:sz="0" w:space="0" w:color="auto"/>
                  </w:divBdr>
                  <w:divsChild>
                    <w:div w:id="754284515">
                      <w:marLeft w:val="0"/>
                      <w:marRight w:val="0"/>
                      <w:marTop w:val="0"/>
                      <w:marBottom w:val="0"/>
                      <w:divBdr>
                        <w:top w:val="none" w:sz="0" w:space="0" w:color="auto"/>
                        <w:left w:val="none" w:sz="0" w:space="0" w:color="auto"/>
                        <w:bottom w:val="none" w:sz="0" w:space="0" w:color="auto"/>
                        <w:right w:val="none" w:sz="0" w:space="0" w:color="auto"/>
                      </w:divBdr>
                      <w:divsChild>
                        <w:div w:id="384530909">
                          <w:marLeft w:val="0"/>
                          <w:marRight w:val="0"/>
                          <w:marTop w:val="0"/>
                          <w:marBottom w:val="0"/>
                          <w:divBdr>
                            <w:top w:val="none" w:sz="0" w:space="0" w:color="auto"/>
                            <w:left w:val="none" w:sz="0" w:space="0" w:color="auto"/>
                            <w:bottom w:val="none" w:sz="0" w:space="0" w:color="auto"/>
                            <w:right w:val="none" w:sz="0" w:space="0" w:color="auto"/>
                          </w:divBdr>
                          <w:divsChild>
                            <w:div w:id="623537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53230745">
      <w:bodyDiv w:val="1"/>
      <w:marLeft w:val="0"/>
      <w:marRight w:val="0"/>
      <w:marTop w:val="0"/>
      <w:marBottom w:val="0"/>
      <w:divBdr>
        <w:top w:val="none" w:sz="0" w:space="0" w:color="auto"/>
        <w:left w:val="none" w:sz="0" w:space="0" w:color="auto"/>
        <w:bottom w:val="none" w:sz="0" w:space="0" w:color="auto"/>
        <w:right w:val="none" w:sz="0" w:space="0" w:color="auto"/>
      </w:divBdr>
    </w:div>
    <w:div w:id="854802791">
      <w:bodyDiv w:val="1"/>
      <w:marLeft w:val="0"/>
      <w:marRight w:val="0"/>
      <w:marTop w:val="0"/>
      <w:marBottom w:val="0"/>
      <w:divBdr>
        <w:top w:val="none" w:sz="0" w:space="0" w:color="auto"/>
        <w:left w:val="none" w:sz="0" w:space="0" w:color="auto"/>
        <w:bottom w:val="none" w:sz="0" w:space="0" w:color="auto"/>
        <w:right w:val="none" w:sz="0" w:space="0" w:color="auto"/>
      </w:divBdr>
      <w:divsChild>
        <w:div w:id="173761394">
          <w:marLeft w:val="0"/>
          <w:marRight w:val="0"/>
          <w:marTop w:val="0"/>
          <w:marBottom w:val="0"/>
          <w:divBdr>
            <w:top w:val="none" w:sz="0" w:space="0" w:color="auto"/>
            <w:left w:val="none" w:sz="0" w:space="0" w:color="auto"/>
            <w:bottom w:val="none" w:sz="0" w:space="0" w:color="auto"/>
            <w:right w:val="none" w:sz="0" w:space="0" w:color="auto"/>
          </w:divBdr>
          <w:divsChild>
            <w:div w:id="1747605407">
              <w:marLeft w:val="0"/>
              <w:marRight w:val="0"/>
              <w:marTop w:val="0"/>
              <w:marBottom w:val="0"/>
              <w:divBdr>
                <w:top w:val="none" w:sz="0" w:space="0" w:color="auto"/>
                <w:left w:val="none" w:sz="0" w:space="0" w:color="auto"/>
                <w:bottom w:val="none" w:sz="0" w:space="0" w:color="auto"/>
                <w:right w:val="none" w:sz="0" w:space="0" w:color="auto"/>
              </w:divBdr>
              <w:divsChild>
                <w:div w:id="89006775">
                  <w:marLeft w:val="0"/>
                  <w:marRight w:val="0"/>
                  <w:marTop w:val="0"/>
                  <w:marBottom w:val="0"/>
                  <w:divBdr>
                    <w:top w:val="none" w:sz="0" w:space="0" w:color="auto"/>
                    <w:left w:val="none" w:sz="0" w:space="0" w:color="auto"/>
                    <w:bottom w:val="none" w:sz="0" w:space="0" w:color="auto"/>
                    <w:right w:val="none" w:sz="0" w:space="0" w:color="auto"/>
                  </w:divBdr>
                  <w:divsChild>
                    <w:div w:id="167716693">
                      <w:marLeft w:val="0"/>
                      <w:marRight w:val="0"/>
                      <w:marTop w:val="0"/>
                      <w:marBottom w:val="0"/>
                      <w:divBdr>
                        <w:top w:val="none" w:sz="0" w:space="0" w:color="auto"/>
                        <w:left w:val="none" w:sz="0" w:space="0" w:color="auto"/>
                        <w:bottom w:val="none" w:sz="0" w:space="0" w:color="auto"/>
                        <w:right w:val="none" w:sz="0" w:space="0" w:color="auto"/>
                      </w:divBdr>
                      <w:divsChild>
                        <w:div w:id="1874803379">
                          <w:marLeft w:val="0"/>
                          <w:marRight w:val="0"/>
                          <w:marTop w:val="0"/>
                          <w:marBottom w:val="0"/>
                          <w:divBdr>
                            <w:top w:val="none" w:sz="0" w:space="0" w:color="auto"/>
                            <w:left w:val="none" w:sz="0" w:space="0" w:color="auto"/>
                            <w:bottom w:val="none" w:sz="0" w:space="0" w:color="auto"/>
                            <w:right w:val="none" w:sz="0" w:space="0" w:color="auto"/>
                          </w:divBdr>
                          <w:divsChild>
                            <w:div w:id="1086414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60969691">
      <w:bodyDiv w:val="1"/>
      <w:marLeft w:val="0"/>
      <w:marRight w:val="0"/>
      <w:marTop w:val="0"/>
      <w:marBottom w:val="0"/>
      <w:divBdr>
        <w:top w:val="none" w:sz="0" w:space="0" w:color="auto"/>
        <w:left w:val="none" w:sz="0" w:space="0" w:color="auto"/>
        <w:bottom w:val="none" w:sz="0" w:space="0" w:color="auto"/>
        <w:right w:val="none" w:sz="0" w:space="0" w:color="auto"/>
      </w:divBdr>
    </w:div>
    <w:div w:id="861287980">
      <w:bodyDiv w:val="1"/>
      <w:marLeft w:val="0"/>
      <w:marRight w:val="0"/>
      <w:marTop w:val="0"/>
      <w:marBottom w:val="0"/>
      <w:divBdr>
        <w:top w:val="none" w:sz="0" w:space="0" w:color="auto"/>
        <w:left w:val="none" w:sz="0" w:space="0" w:color="auto"/>
        <w:bottom w:val="none" w:sz="0" w:space="0" w:color="auto"/>
        <w:right w:val="none" w:sz="0" w:space="0" w:color="auto"/>
      </w:divBdr>
      <w:divsChild>
        <w:div w:id="975840120">
          <w:marLeft w:val="0"/>
          <w:marRight w:val="0"/>
          <w:marTop w:val="0"/>
          <w:marBottom w:val="0"/>
          <w:divBdr>
            <w:top w:val="none" w:sz="0" w:space="0" w:color="auto"/>
            <w:left w:val="none" w:sz="0" w:space="0" w:color="auto"/>
            <w:bottom w:val="none" w:sz="0" w:space="0" w:color="auto"/>
            <w:right w:val="none" w:sz="0" w:space="0" w:color="auto"/>
          </w:divBdr>
          <w:divsChild>
            <w:div w:id="996804096">
              <w:marLeft w:val="0"/>
              <w:marRight w:val="0"/>
              <w:marTop w:val="0"/>
              <w:marBottom w:val="0"/>
              <w:divBdr>
                <w:top w:val="none" w:sz="0" w:space="0" w:color="auto"/>
                <w:left w:val="none" w:sz="0" w:space="0" w:color="auto"/>
                <w:bottom w:val="none" w:sz="0" w:space="0" w:color="auto"/>
                <w:right w:val="none" w:sz="0" w:space="0" w:color="auto"/>
              </w:divBdr>
              <w:divsChild>
                <w:div w:id="520359038">
                  <w:marLeft w:val="0"/>
                  <w:marRight w:val="0"/>
                  <w:marTop w:val="0"/>
                  <w:marBottom w:val="0"/>
                  <w:divBdr>
                    <w:top w:val="none" w:sz="0" w:space="0" w:color="auto"/>
                    <w:left w:val="none" w:sz="0" w:space="0" w:color="auto"/>
                    <w:bottom w:val="none" w:sz="0" w:space="0" w:color="auto"/>
                    <w:right w:val="none" w:sz="0" w:space="0" w:color="auto"/>
                  </w:divBdr>
                  <w:divsChild>
                    <w:div w:id="740248405">
                      <w:marLeft w:val="0"/>
                      <w:marRight w:val="0"/>
                      <w:marTop w:val="0"/>
                      <w:marBottom w:val="0"/>
                      <w:divBdr>
                        <w:top w:val="none" w:sz="0" w:space="0" w:color="auto"/>
                        <w:left w:val="none" w:sz="0" w:space="0" w:color="auto"/>
                        <w:bottom w:val="none" w:sz="0" w:space="0" w:color="auto"/>
                        <w:right w:val="none" w:sz="0" w:space="0" w:color="auto"/>
                      </w:divBdr>
                      <w:divsChild>
                        <w:div w:id="355542900">
                          <w:marLeft w:val="0"/>
                          <w:marRight w:val="0"/>
                          <w:marTop w:val="0"/>
                          <w:marBottom w:val="0"/>
                          <w:divBdr>
                            <w:top w:val="none" w:sz="0" w:space="0" w:color="auto"/>
                            <w:left w:val="none" w:sz="0" w:space="0" w:color="auto"/>
                            <w:bottom w:val="none" w:sz="0" w:space="0" w:color="auto"/>
                            <w:right w:val="none" w:sz="0" w:space="0" w:color="auto"/>
                          </w:divBdr>
                          <w:divsChild>
                            <w:div w:id="862789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62285680">
      <w:bodyDiv w:val="1"/>
      <w:marLeft w:val="0"/>
      <w:marRight w:val="0"/>
      <w:marTop w:val="0"/>
      <w:marBottom w:val="0"/>
      <w:divBdr>
        <w:top w:val="none" w:sz="0" w:space="0" w:color="auto"/>
        <w:left w:val="none" w:sz="0" w:space="0" w:color="auto"/>
        <w:bottom w:val="none" w:sz="0" w:space="0" w:color="auto"/>
        <w:right w:val="none" w:sz="0" w:space="0" w:color="auto"/>
      </w:divBdr>
    </w:div>
    <w:div w:id="871771476">
      <w:bodyDiv w:val="1"/>
      <w:marLeft w:val="0"/>
      <w:marRight w:val="0"/>
      <w:marTop w:val="0"/>
      <w:marBottom w:val="0"/>
      <w:divBdr>
        <w:top w:val="none" w:sz="0" w:space="0" w:color="auto"/>
        <w:left w:val="none" w:sz="0" w:space="0" w:color="auto"/>
        <w:bottom w:val="none" w:sz="0" w:space="0" w:color="auto"/>
        <w:right w:val="none" w:sz="0" w:space="0" w:color="auto"/>
      </w:divBdr>
    </w:div>
    <w:div w:id="877860693">
      <w:bodyDiv w:val="1"/>
      <w:marLeft w:val="0"/>
      <w:marRight w:val="0"/>
      <w:marTop w:val="0"/>
      <w:marBottom w:val="0"/>
      <w:divBdr>
        <w:top w:val="none" w:sz="0" w:space="0" w:color="auto"/>
        <w:left w:val="none" w:sz="0" w:space="0" w:color="auto"/>
        <w:bottom w:val="none" w:sz="0" w:space="0" w:color="auto"/>
        <w:right w:val="none" w:sz="0" w:space="0" w:color="auto"/>
      </w:divBdr>
    </w:div>
    <w:div w:id="882863852">
      <w:bodyDiv w:val="1"/>
      <w:marLeft w:val="0"/>
      <w:marRight w:val="0"/>
      <w:marTop w:val="0"/>
      <w:marBottom w:val="0"/>
      <w:divBdr>
        <w:top w:val="none" w:sz="0" w:space="0" w:color="auto"/>
        <w:left w:val="none" w:sz="0" w:space="0" w:color="auto"/>
        <w:bottom w:val="none" w:sz="0" w:space="0" w:color="auto"/>
        <w:right w:val="none" w:sz="0" w:space="0" w:color="auto"/>
      </w:divBdr>
    </w:div>
    <w:div w:id="887183545">
      <w:bodyDiv w:val="1"/>
      <w:marLeft w:val="0"/>
      <w:marRight w:val="0"/>
      <w:marTop w:val="0"/>
      <w:marBottom w:val="0"/>
      <w:divBdr>
        <w:top w:val="none" w:sz="0" w:space="0" w:color="auto"/>
        <w:left w:val="none" w:sz="0" w:space="0" w:color="auto"/>
        <w:bottom w:val="none" w:sz="0" w:space="0" w:color="auto"/>
        <w:right w:val="none" w:sz="0" w:space="0" w:color="auto"/>
      </w:divBdr>
    </w:div>
    <w:div w:id="892666707">
      <w:bodyDiv w:val="1"/>
      <w:marLeft w:val="0"/>
      <w:marRight w:val="0"/>
      <w:marTop w:val="0"/>
      <w:marBottom w:val="0"/>
      <w:divBdr>
        <w:top w:val="none" w:sz="0" w:space="0" w:color="auto"/>
        <w:left w:val="none" w:sz="0" w:space="0" w:color="auto"/>
        <w:bottom w:val="none" w:sz="0" w:space="0" w:color="auto"/>
        <w:right w:val="none" w:sz="0" w:space="0" w:color="auto"/>
      </w:divBdr>
      <w:divsChild>
        <w:div w:id="1641350159">
          <w:marLeft w:val="0"/>
          <w:marRight w:val="0"/>
          <w:marTop w:val="0"/>
          <w:marBottom w:val="0"/>
          <w:divBdr>
            <w:top w:val="none" w:sz="0" w:space="0" w:color="auto"/>
            <w:left w:val="none" w:sz="0" w:space="0" w:color="auto"/>
            <w:bottom w:val="none" w:sz="0" w:space="0" w:color="auto"/>
            <w:right w:val="none" w:sz="0" w:space="0" w:color="auto"/>
          </w:divBdr>
          <w:divsChild>
            <w:div w:id="1180698981">
              <w:marLeft w:val="0"/>
              <w:marRight w:val="0"/>
              <w:marTop w:val="0"/>
              <w:marBottom w:val="0"/>
              <w:divBdr>
                <w:top w:val="none" w:sz="0" w:space="0" w:color="auto"/>
                <w:left w:val="none" w:sz="0" w:space="0" w:color="auto"/>
                <w:bottom w:val="none" w:sz="0" w:space="0" w:color="auto"/>
                <w:right w:val="none" w:sz="0" w:space="0" w:color="auto"/>
              </w:divBdr>
              <w:divsChild>
                <w:div w:id="1054045851">
                  <w:marLeft w:val="0"/>
                  <w:marRight w:val="0"/>
                  <w:marTop w:val="0"/>
                  <w:marBottom w:val="0"/>
                  <w:divBdr>
                    <w:top w:val="none" w:sz="0" w:space="0" w:color="auto"/>
                    <w:left w:val="none" w:sz="0" w:space="0" w:color="auto"/>
                    <w:bottom w:val="none" w:sz="0" w:space="0" w:color="auto"/>
                    <w:right w:val="none" w:sz="0" w:space="0" w:color="auto"/>
                  </w:divBdr>
                  <w:divsChild>
                    <w:div w:id="1886137118">
                      <w:marLeft w:val="0"/>
                      <w:marRight w:val="0"/>
                      <w:marTop w:val="0"/>
                      <w:marBottom w:val="0"/>
                      <w:divBdr>
                        <w:top w:val="none" w:sz="0" w:space="0" w:color="auto"/>
                        <w:left w:val="none" w:sz="0" w:space="0" w:color="auto"/>
                        <w:bottom w:val="none" w:sz="0" w:space="0" w:color="auto"/>
                        <w:right w:val="none" w:sz="0" w:space="0" w:color="auto"/>
                      </w:divBdr>
                      <w:divsChild>
                        <w:div w:id="1644430983">
                          <w:marLeft w:val="0"/>
                          <w:marRight w:val="0"/>
                          <w:marTop w:val="0"/>
                          <w:marBottom w:val="0"/>
                          <w:divBdr>
                            <w:top w:val="none" w:sz="0" w:space="0" w:color="auto"/>
                            <w:left w:val="none" w:sz="0" w:space="0" w:color="auto"/>
                            <w:bottom w:val="none" w:sz="0" w:space="0" w:color="auto"/>
                            <w:right w:val="none" w:sz="0" w:space="0" w:color="auto"/>
                          </w:divBdr>
                          <w:divsChild>
                            <w:div w:id="354580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12009989">
      <w:bodyDiv w:val="1"/>
      <w:marLeft w:val="0"/>
      <w:marRight w:val="0"/>
      <w:marTop w:val="0"/>
      <w:marBottom w:val="0"/>
      <w:divBdr>
        <w:top w:val="none" w:sz="0" w:space="0" w:color="auto"/>
        <w:left w:val="none" w:sz="0" w:space="0" w:color="auto"/>
        <w:bottom w:val="none" w:sz="0" w:space="0" w:color="auto"/>
        <w:right w:val="none" w:sz="0" w:space="0" w:color="auto"/>
      </w:divBdr>
    </w:div>
    <w:div w:id="920484778">
      <w:bodyDiv w:val="1"/>
      <w:marLeft w:val="0"/>
      <w:marRight w:val="0"/>
      <w:marTop w:val="0"/>
      <w:marBottom w:val="0"/>
      <w:divBdr>
        <w:top w:val="none" w:sz="0" w:space="0" w:color="auto"/>
        <w:left w:val="none" w:sz="0" w:space="0" w:color="auto"/>
        <w:bottom w:val="none" w:sz="0" w:space="0" w:color="auto"/>
        <w:right w:val="none" w:sz="0" w:space="0" w:color="auto"/>
      </w:divBdr>
      <w:divsChild>
        <w:div w:id="1809594350">
          <w:marLeft w:val="0"/>
          <w:marRight w:val="0"/>
          <w:marTop w:val="0"/>
          <w:marBottom w:val="0"/>
          <w:divBdr>
            <w:top w:val="none" w:sz="0" w:space="0" w:color="auto"/>
            <w:left w:val="none" w:sz="0" w:space="0" w:color="auto"/>
            <w:bottom w:val="none" w:sz="0" w:space="0" w:color="auto"/>
            <w:right w:val="none" w:sz="0" w:space="0" w:color="auto"/>
          </w:divBdr>
          <w:divsChild>
            <w:div w:id="470485262">
              <w:marLeft w:val="0"/>
              <w:marRight w:val="0"/>
              <w:marTop w:val="0"/>
              <w:marBottom w:val="0"/>
              <w:divBdr>
                <w:top w:val="none" w:sz="0" w:space="0" w:color="auto"/>
                <w:left w:val="none" w:sz="0" w:space="0" w:color="auto"/>
                <w:bottom w:val="none" w:sz="0" w:space="0" w:color="auto"/>
                <w:right w:val="none" w:sz="0" w:space="0" w:color="auto"/>
              </w:divBdr>
              <w:divsChild>
                <w:div w:id="1099134685">
                  <w:marLeft w:val="0"/>
                  <w:marRight w:val="0"/>
                  <w:marTop w:val="0"/>
                  <w:marBottom w:val="0"/>
                  <w:divBdr>
                    <w:top w:val="none" w:sz="0" w:space="0" w:color="auto"/>
                    <w:left w:val="none" w:sz="0" w:space="0" w:color="auto"/>
                    <w:bottom w:val="none" w:sz="0" w:space="0" w:color="auto"/>
                    <w:right w:val="none" w:sz="0" w:space="0" w:color="auto"/>
                  </w:divBdr>
                  <w:divsChild>
                    <w:div w:id="758605259">
                      <w:marLeft w:val="0"/>
                      <w:marRight w:val="0"/>
                      <w:marTop w:val="0"/>
                      <w:marBottom w:val="0"/>
                      <w:divBdr>
                        <w:top w:val="none" w:sz="0" w:space="0" w:color="auto"/>
                        <w:left w:val="none" w:sz="0" w:space="0" w:color="auto"/>
                        <w:bottom w:val="none" w:sz="0" w:space="0" w:color="auto"/>
                        <w:right w:val="none" w:sz="0" w:space="0" w:color="auto"/>
                      </w:divBdr>
                      <w:divsChild>
                        <w:div w:id="93407408">
                          <w:marLeft w:val="0"/>
                          <w:marRight w:val="0"/>
                          <w:marTop w:val="0"/>
                          <w:marBottom w:val="0"/>
                          <w:divBdr>
                            <w:top w:val="none" w:sz="0" w:space="0" w:color="auto"/>
                            <w:left w:val="none" w:sz="0" w:space="0" w:color="auto"/>
                            <w:bottom w:val="none" w:sz="0" w:space="0" w:color="auto"/>
                            <w:right w:val="none" w:sz="0" w:space="0" w:color="auto"/>
                          </w:divBdr>
                          <w:divsChild>
                            <w:div w:id="357393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33318190">
      <w:bodyDiv w:val="1"/>
      <w:marLeft w:val="0"/>
      <w:marRight w:val="0"/>
      <w:marTop w:val="0"/>
      <w:marBottom w:val="0"/>
      <w:divBdr>
        <w:top w:val="none" w:sz="0" w:space="0" w:color="auto"/>
        <w:left w:val="none" w:sz="0" w:space="0" w:color="auto"/>
        <w:bottom w:val="none" w:sz="0" w:space="0" w:color="auto"/>
        <w:right w:val="none" w:sz="0" w:space="0" w:color="auto"/>
      </w:divBdr>
    </w:div>
    <w:div w:id="933516091">
      <w:bodyDiv w:val="1"/>
      <w:marLeft w:val="0"/>
      <w:marRight w:val="0"/>
      <w:marTop w:val="0"/>
      <w:marBottom w:val="0"/>
      <w:divBdr>
        <w:top w:val="none" w:sz="0" w:space="0" w:color="auto"/>
        <w:left w:val="none" w:sz="0" w:space="0" w:color="auto"/>
        <w:bottom w:val="none" w:sz="0" w:space="0" w:color="auto"/>
        <w:right w:val="none" w:sz="0" w:space="0" w:color="auto"/>
      </w:divBdr>
    </w:div>
    <w:div w:id="940911548">
      <w:bodyDiv w:val="1"/>
      <w:marLeft w:val="0"/>
      <w:marRight w:val="0"/>
      <w:marTop w:val="0"/>
      <w:marBottom w:val="0"/>
      <w:divBdr>
        <w:top w:val="none" w:sz="0" w:space="0" w:color="auto"/>
        <w:left w:val="none" w:sz="0" w:space="0" w:color="auto"/>
        <w:bottom w:val="none" w:sz="0" w:space="0" w:color="auto"/>
        <w:right w:val="none" w:sz="0" w:space="0" w:color="auto"/>
      </w:divBdr>
    </w:div>
    <w:div w:id="956372403">
      <w:bodyDiv w:val="1"/>
      <w:marLeft w:val="0"/>
      <w:marRight w:val="0"/>
      <w:marTop w:val="0"/>
      <w:marBottom w:val="0"/>
      <w:divBdr>
        <w:top w:val="none" w:sz="0" w:space="0" w:color="auto"/>
        <w:left w:val="none" w:sz="0" w:space="0" w:color="auto"/>
        <w:bottom w:val="none" w:sz="0" w:space="0" w:color="auto"/>
        <w:right w:val="none" w:sz="0" w:space="0" w:color="auto"/>
      </w:divBdr>
      <w:divsChild>
        <w:div w:id="2044474179">
          <w:marLeft w:val="0"/>
          <w:marRight w:val="0"/>
          <w:marTop w:val="0"/>
          <w:marBottom w:val="0"/>
          <w:divBdr>
            <w:top w:val="none" w:sz="0" w:space="0" w:color="auto"/>
            <w:left w:val="none" w:sz="0" w:space="0" w:color="auto"/>
            <w:bottom w:val="none" w:sz="0" w:space="0" w:color="auto"/>
            <w:right w:val="none" w:sz="0" w:space="0" w:color="auto"/>
          </w:divBdr>
          <w:divsChild>
            <w:div w:id="126363390">
              <w:marLeft w:val="0"/>
              <w:marRight w:val="0"/>
              <w:marTop w:val="0"/>
              <w:marBottom w:val="0"/>
              <w:divBdr>
                <w:top w:val="none" w:sz="0" w:space="0" w:color="auto"/>
                <w:left w:val="none" w:sz="0" w:space="0" w:color="auto"/>
                <w:bottom w:val="none" w:sz="0" w:space="0" w:color="auto"/>
                <w:right w:val="none" w:sz="0" w:space="0" w:color="auto"/>
              </w:divBdr>
              <w:divsChild>
                <w:div w:id="1258371340">
                  <w:marLeft w:val="0"/>
                  <w:marRight w:val="0"/>
                  <w:marTop w:val="0"/>
                  <w:marBottom w:val="0"/>
                  <w:divBdr>
                    <w:top w:val="none" w:sz="0" w:space="0" w:color="auto"/>
                    <w:left w:val="none" w:sz="0" w:space="0" w:color="auto"/>
                    <w:bottom w:val="none" w:sz="0" w:space="0" w:color="auto"/>
                    <w:right w:val="none" w:sz="0" w:space="0" w:color="auto"/>
                  </w:divBdr>
                  <w:divsChild>
                    <w:div w:id="443307913">
                      <w:marLeft w:val="0"/>
                      <w:marRight w:val="0"/>
                      <w:marTop w:val="0"/>
                      <w:marBottom w:val="0"/>
                      <w:divBdr>
                        <w:top w:val="none" w:sz="0" w:space="0" w:color="auto"/>
                        <w:left w:val="none" w:sz="0" w:space="0" w:color="auto"/>
                        <w:bottom w:val="none" w:sz="0" w:space="0" w:color="auto"/>
                        <w:right w:val="none" w:sz="0" w:space="0" w:color="auto"/>
                      </w:divBdr>
                      <w:divsChild>
                        <w:div w:id="1387294588">
                          <w:marLeft w:val="0"/>
                          <w:marRight w:val="0"/>
                          <w:marTop w:val="0"/>
                          <w:marBottom w:val="0"/>
                          <w:divBdr>
                            <w:top w:val="none" w:sz="0" w:space="0" w:color="auto"/>
                            <w:left w:val="none" w:sz="0" w:space="0" w:color="auto"/>
                            <w:bottom w:val="none" w:sz="0" w:space="0" w:color="auto"/>
                            <w:right w:val="none" w:sz="0" w:space="0" w:color="auto"/>
                          </w:divBdr>
                          <w:divsChild>
                            <w:div w:id="354112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9918344">
      <w:bodyDiv w:val="1"/>
      <w:marLeft w:val="0"/>
      <w:marRight w:val="0"/>
      <w:marTop w:val="0"/>
      <w:marBottom w:val="0"/>
      <w:divBdr>
        <w:top w:val="none" w:sz="0" w:space="0" w:color="auto"/>
        <w:left w:val="none" w:sz="0" w:space="0" w:color="auto"/>
        <w:bottom w:val="none" w:sz="0" w:space="0" w:color="auto"/>
        <w:right w:val="none" w:sz="0" w:space="0" w:color="auto"/>
      </w:divBdr>
      <w:divsChild>
        <w:div w:id="453134990">
          <w:marLeft w:val="0"/>
          <w:marRight w:val="0"/>
          <w:marTop w:val="0"/>
          <w:marBottom w:val="0"/>
          <w:divBdr>
            <w:top w:val="none" w:sz="0" w:space="0" w:color="auto"/>
            <w:left w:val="none" w:sz="0" w:space="0" w:color="auto"/>
            <w:bottom w:val="none" w:sz="0" w:space="0" w:color="auto"/>
            <w:right w:val="none" w:sz="0" w:space="0" w:color="auto"/>
          </w:divBdr>
          <w:divsChild>
            <w:div w:id="945116987">
              <w:marLeft w:val="0"/>
              <w:marRight w:val="0"/>
              <w:marTop w:val="0"/>
              <w:marBottom w:val="0"/>
              <w:divBdr>
                <w:top w:val="none" w:sz="0" w:space="0" w:color="auto"/>
                <w:left w:val="none" w:sz="0" w:space="0" w:color="auto"/>
                <w:bottom w:val="none" w:sz="0" w:space="0" w:color="auto"/>
                <w:right w:val="none" w:sz="0" w:space="0" w:color="auto"/>
              </w:divBdr>
              <w:divsChild>
                <w:div w:id="512187843">
                  <w:marLeft w:val="0"/>
                  <w:marRight w:val="0"/>
                  <w:marTop w:val="0"/>
                  <w:marBottom w:val="0"/>
                  <w:divBdr>
                    <w:top w:val="none" w:sz="0" w:space="0" w:color="auto"/>
                    <w:left w:val="none" w:sz="0" w:space="0" w:color="auto"/>
                    <w:bottom w:val="none" w:sz="0" w:space="0" w:color="auto"/>
                    <w:right w:val="none" w:sz="0" w:space="0" w:color="auto"/>
                  </w:divBdr>
                  <w:divsChild>
                    <w:div w:id="1293251616">
                      <w:marLeft w:val="0"/>
                      <w:marRight w:val="0"/>
                      <w:marTop w:val="0"/>
                      <w:marBottom w:val="0"/>
                      <w:divBdr>
                        <w:top w:val="none" w:sz="0" w:space="0" w:color="auto"/>
                        <w:left w:val="none" w:sz="0" w:space="0" w:color="auto"/>
                        <w:bottom w:val="none" w:sz="0" w:space="0" w:color="auto"/>
                        <w:right w:val="none" w:sz="0" w:space="0" w:color="auto"/>
                      </w:divBdr>
                      <w:divsChild>
                        <w:div w:id="1621720375">
                          <w:marLeft w:val="0"/>
                          <w:marRight w:val="0"/>
                          <w:marTop w:val="0"/>
                          <w:marBottom w:val="0"/>
                          <w:divBdr>
                            <w:top w:val="none" w:sz="0" w:space="0" w:color="auto"/>
                            <w:left w:val="none" w:sz="0" w:space="0" w:color="auto"/>
                            <w:bottom w:val="none" w:sz="0" w:space="0" w:color="auto"/>
                            <w:right w:val="none" w:sz="0" w:space="0" w:color="auto"/>
                          </w:divBdr>
                          <w:divsChild>
                            <w:div w:id="219945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4679069">
      <w:bodyDiv w:val="1"/>
      <w:marLeft w:val="0"/>
      <w:marRight w:val="0"/>
      <w:marTop w:val="0"/>
      <w:marBottom w:val="0"/>
      <w:divBdr>
        <w:top w:val="none" w:sz="0" w:space="0" w:color="auto"/>
        <w:left w:val="none" w:sz="0" w:space="0" w:color="auto"/>
        <w:bottom w:val="none" w:sz="0" w:space="0" w:color="auto"/>
        <w:right w:val="none" w:sz="0" w:space="0" w:color="auto"/>
      </w:divBdr>
    </w:div>
    <w:div w:id="1002008047">
      <w:bodyDiv w:val="1"/>
      <w:marLeft w:val="0"/>
      <w:marRight w:val="0"/>
      <w:marTop w:val="0"/>
      <w:marBottom w:val="0"/>
      <w:divBdr>
        <w:top w:val="none" w:sz="0" w:space="0" w:color="auto"/>
        <w:left w:val="none" w:sz="0" w:space="0" w:color="auto"/>
        <w:bottom w:val="none" w:sz="0" w:space="0" w:color="auto"/>
        <w:right w:val="none" w:sz="0" w:space="0" w:color="auto"/>
      </w:divBdr>
    </w:div>
    <w:div w:id="1019967502">
      <w:bodyDiv w:val="1"/>
      <w:marLeft w:val="0"/>
      <w:marRight w:val="0"/>
      <w:marTop w:val="0"/>
      <w:marBottom w:val="0"/>
      <w:divBdr>
        <w:top w:val="none" w:sz="0" w:space="0" w:color="auto"/>
        <w:left w:val="none" w:sz="0" w:space="0" w:color="auto"/>
        <w:bottom w:val="none" w:sz="0" w:space="0" w:color="auto"/>
        <w:right w:val="none" w:sz="0" w:space="0" w:color="auto"/>
      </w:divBdr>
    </w:div>
    <w:div w:id="1059018805">
      <w:bodyDiv w:val="1"/>
      <w:marLeft w:val="0"/>
      <w:marRight w:val="0"/>
      <w:marTop w:val="0"/>
      <w:marBottom w:val="0"/>
      <w:divBdr>
        <w:top w:val="none" w:sz="0" w:space="0" w:color="auto"/>
        <w:left w:val="none" w:sz="0" w:space="0" w:color="auto"/>
        <w:bottom w:val="none" w:sz="0" w:space="0" w:color="auto"/>
        <w:right w:val="none" w:sz="0" w:space="0" w:color="auto"/>
      </w:divBdr>
    </w:div>
    <w:div w:id="1060518271">
      <w:bodyDiv w:val="1"/>
      <w:marLeft w:val="0"/>
      <w:marRight w:val="0"/>
      <w:marTop w:val="0"/>
      <w:marBottom w:val="0"/>
      <w:divBdr>
        <w:top w:val="none" w:sz="0" w:space="0" w:color="auto"/>
        <w:left w:val="none" w:sz="0" w:space="0" w:color="auto"/>
        <w:bottom w:val="none" w:sz="0" w:space="0" w:color="auto"/>
        <w:right w:val="none" w:sz="0" w:space="0" w:color="auto"/>
      </w:divBdr>
      <w:divsChild>
        <w:div w:id="2097362502">
          <w:marLeft w:val="0"/>
          <w:marRight w:val="0"/>
          <w:marTop w:val="0"/>
          <w:marBottom w:val="0"/>
          <w:divBdr>
            <w:top w:val="none" w:sz="0" w:space="0" w:color="auto"/>
            <w:left w:val="none" w:sz="0" w:space="0" w:color="auto"/>
            <w:bottom w:val="none" w:sz="0" w:space="0" w:color="auto"/>
            <w:right w:val="none" w:sz="0" w:space="0" w:color="auto"/>
          </w:divBdr>
          <w:divsChild>
            <w:div w:id="76248883">
              <w:marLeft w:val="0"/>
              <w:marRight w:val="0"/>
              <w:marTop w:val="0"/>
              <w:marBottom w:val="0"/>
              <w:divBdr>
                <w:top w:val="none" w:sz="0" w:space="0" w:color="auto"/>
                <w:left w:val="none" w:sz="0" w:space="0" w:color="auto"/>
                <w:bottom w:val="none" w:sz="0" w:space="0" w:color="auto"/>
                <w:right w:val="none" w:sz="0" w:space="0" w:color="auto"/>
              </w:divBdr>
              <w:divsChild>
                <w:div w:id="1987316617">
                  <w:marLeft w:val="0"/>
                  <w:marRight w:val="0"/>
                  <w:marTop w:val="0"/>
                  <w:marBottom w:val="0"/>
                  <w:divBdr>
                    <w:top w:val="none" w:sz="0" w:space="0" w:color="auto"/>
                    <w:left w:val="none" w:sz="0" w:space="0" w:color="auto"/>
                    <w:bottom w:val="none" w:sz="0" w:space="0" w:color="auto"/>
                    <w:right w:val="none" w:sz="0" w:space="0" w:color="auto"/>
                  </w:divBdr>
                  <w:divsChild>
                    <w:div w:id="1249192042">
                      <w:marLeft w:val="0"/>
                      <w:marRight w:val="0"/>
                      <w:marTop w:val="0"/>
                      <w:marBottom w:val="0"/>
                      <w:divBdr>
                        <w:top w:val="none" w:sz="0" w:space="0" w:color="auto"/>
                        <w:left w:val="none" w:sz="0" w:space="0" w:color="auto"/>
                        <w:bottom w:val="none" w:sz="0" w:space="0" w:color="auto"/>
                        <w:right w:val="none" w:sz="0" w:space="0" w:color="auto"/>
                      </w:divBdr>
                      <w:divsChild>
                        <w:div w:id="934754396">
                          <w:marLeft w:val="0"/>
                          <w:marRight w:val="0"/>
                          <w:marTop w:val="0"/>
                          <w:marBottom w:val="0"/>
                          <w:divBdr>
                            <w:top w:val="none" w:sz="0" w:space="0" w:color="auto"/>
                            <w:left w:val="none" w:sz="0" w:space="0" w:color="auto"/>
                            <w:bottom w:val="none" w:sz="0" w:space="0" w:color="auto"/>
                            <w:right w:val="none" w:sz="0" w:space="0" w:color="auto"/>
                          </w:divBdr>
                          <w:divsChild>
                            <w:div w:id="38013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7532999">
      <w:bodyDiv w:val="1"/>
      <w:marLeft w:val="0"/>
      <w:marRight w:val="0"/>
      <w:marTop w:val="0"/>
      <w:marBottom w:val="0"/>
      <w:divBdr>
        <w:top w:val="none" w:sz="0" w:space="0" w:color="auto"/>
        <w:left w:val="none" w:sz="0" w:space="0" w:color="auto"/>
        <w:bottom w:val="none" w:sz="0" w:space="0" w:color="auto"/>
        <w:right w:val="none" w:sz="0" w:space="0" w:color="auto"/>
      </w:divBdr>
    </w:div>
    <w:div w:id="1113792379">
      <w:bodyDiv w:val="1"/>
      <w:marLeft w:val="0"/>
      <w:marRight w:val="0"/>
      <w:marTop w:val="0"/>
      <w:marBottom w:val="0"/>
      <w:divBdr>
        <w:top w:val="none" w:sz="0" w:space="0" w:color="auto"/>
        <w:left w:val="none" w:sz="0" w:space="0" w:color="auto"/>
        <w:bottom w:val="none" w:sz="0" w:space="0" w:color="auto"/>
        <w:right w:val="none" w:sz="0" w:space="0" w:color="auto"/>
      </w:divBdr>
      <w:divsChild>
        <w:div w:id="2053460516">
          <w:marLeft w:val="0"/>
          <w:marRight w:val="0"/>
          <w:marTop w:val="0"/>
          <w:marBottom w:val="0"/>
          <w:divBdr>
            <w:top w:val="none" w:sz="0" w:space="0" w:color="auto"/>
            <w:left w:val="none" w:sz="0" w:space="0" w:color="auto"/>
            <w:bottom w:val="none" w:sz="0" w:space="0" w:color="auto"/>
            <w:right w:val="none" w:sz="0" w:space="0" w:color="auto"/>
          </w:divBdr>
          <w:divsChild>
            <w:div w:id="1533567813">
              <w:marLeft w:val="0"/>
              <w:marRight w:val="0"/>
              <w:marTop w:val="0"/>
              <w:marBottom w:val="0"/>
              <w:divBdr>
                <w:top w:val="none" w:sz="0" w:space="0" w:color="auto"/>
                <w:left w:val="none" w:sz="0" w:space="0" w:color="auto"/>
                <w:bottom w:val="none" w:sz="0" w:space="0" w:color="auto"/>
                <w:right w:val="none" w:sz="0" w:space="0" w:color="auto"/>
              </w:divBdr>
              <w:divsChild>
                <w:div w:id="1231962756">
                  <w:marLeft w:val="0"/>
                  <w:marRight w:val="0"/>
                  <w:marTop w:val="0"/>
                  <w:marBottom w:val="0"/>
                  <w:divBdr>
                    <w:top w:val="none" w:sz="0" w:space="0" w:color="auto"/>
                    <w:left w:val="none" w:sz="0" w:space="0" w:color="auto"/>
                    <w:bottom w:val="none" w:sz="0" w:space="0" w:color="auto"/>
                    <w:right w:val="none" w:sz="0" w:space="0" w:color="auto"/>
                  </w:divBdr>
                  <w:divsChild>
                    <w:div w:id="964701946">
                      <w:marLeft w:val="0"/>
                      <w:marRight w:val="0"/>
                      <w:marTop w:val="0"/>
                      <w:marBottom w:val="0"/>
                      <w:divBdr>
                        <w:top w:val="none" w:sz="0" w:space="0" w:color="auto"/>
                        <w:left w:val="none" w:sz="0" w:space="0" w:color="auto"/>
                        <w:bottom w:val="none" w:sz="0" w:space="0" w:color="auto"/>
                        <w:right w:val="none" w:sz="0" w:space="0" w:color="auto"/>
                      </w:divBdr>
                      <w:divsChild>
                        <w:div w:id="2036349083">
                          <w:marLeft w:val="0"/>
                          <w:marRight w:val="0"/>
                          <w:marTop w:val="0"/>
                          <w:marBottom w:val="0"/>
                          <w:divBdr>
                            <w:top w:val="none" w:sz="0" w:space="0" w:color="auto"/>
                            <w:left w:val="none" w:sz="0" w:space="0" w:color="auto"/>
                            <w:bottom w:val="none" w:sz="0" w:space="0" w:color="auto"/>
                            <w:right w:val="none" w:sz="0" w:space="0" w:color="auto"/>
                          </w:divBdr>
                          <w:divsChild>
                            <w:div w:id="1422406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0565662">
      <w:bodyDiv w:val="1"/>
      <w:marLeft w:val="0"/>
      <w:marRight w:val="0"/>
      <w:marTop w:val="0"/>
      <w:marBottom w:val="0"/>
      <w:divBdr>
        <w:top w:val="none" w:sz="0" w:space="0" w:color="auto"/>
        <w:left w:val="none" w:sz="0" w:space="0" w:color="auto"/>
        <w:bottom w:val="none" w:sz="0" w:space="0" w:color="auto"/>
        <w:right w:val="none" w:sz="0" w:space="0" w:color="auto"/>
      </w:divBdr>
    </w:div>
    <w:div w:id="1128353286">
      <w:bodyDiv w:val="1"/>
      <w:marLeft w:val="0"/>
      <w:marRight w:val="0"/>
      <w:marTop w:val="0"/>
      <w:marBottom w:val="0"/>
      <w:divBdr>
        <w:top w:val="none" w:sz="0" w:space="0" w:color="auto"/>
        <w:left w:val="none" w:sz="0" w:space="0" w:color="auto"/>
        <w:bottom w:val="none" w:sz="0" w:space="0" w:color="auto"/>
        <w:right w:val="none" w:sz="0" w:space="0" w:color="auto"/>
      </w:divBdr>
      <w:divsChild>
        <w:div w:id="1476293422">
          <w:marLeft w:val="0"/>
          <w:marRight w:val="0"/>
          <w:marTop w:val="0"/>
          <w:marBottom w:val="0"/>
          <w:divBdr>
            <w:top w:val="none" w:sz="0" w:space="0" w:color="auto"/>
            <w:left w:val="none" w:sz="0" w:space="0" w:color="auto"/>
            <w:bottom w:val="none" w:sz="0" w:space="0" w:color="auto"/>
            <w:right w:val="none" w:sz="0" w:space="0" w:color="auto"/>
          </w:divBdr>
          <w:divsChild>
            <w:div w:id="1947082566">
              <w:marLeft w:val="0"/>
              <w:marRight w:val="0"/>
              <w:marTop w:val="0"/>
              <w:marBottom w:val="0"/>
              <w:divBdr>
                <w:top w:val="none" w:sz="0" w:space="0" w:color="auto"/>
                <w:left w:val="none" w:sz="0" w:space="0" w:color="auto"/>
                <w:bottom w:val="none" w:sz="0" w:space="0" w:color="auto"/>
                <w:right w:val="none" w:sz="0" w:space="0" w:color="auto"/>
              </w:divBdr>
              <w:divsChild>
                <w:div w:id="969897845">
                  <w:marLeft w:val="0"/>
                  <w:marRight w:val="0"/>
                  <w:marTop w:val="0"/>
                  <w:marBottom w:val="0"/>
                  <w:divBdr>
                    <w:top w:val="none" w:sz="0" w:space="0" w:color="auto"/>
                    <w:left w:val="none" w:sz="0" w:space="0" w:color="auto"/>
                    <w:bottom w:val="none" w:sz="0" w:space="0" w:color="auto"/>
                    <w:right w:val="none" w:sz="0" w:space="0" w:color="auto"/>
                  </w:divBdr>
                  <w:divsChild>
                    <w:div w:id="1565604683">
                      <w:marLeft w:val="0"/>
                      <w:marRight w:val="0"/>
                      <w:marTop w:val="0"/>
                      <w:marBottom w:val="0"/>
                      <w:divBdr>
                        <w:top w:val="none" w:sz="0" w:space="0" w:color="auto"/>
                        <w:left w:val="none" w:sz="0" w:space="0" w:color="auto"/>
                        <w:bottom w:val="none" w:sz="0" w:space="0" w:color="auto"/>
                        <w:right w:val="none" w:sz="0" w:space="0" w:color="auto"/>
                      </w:divBdr>
                      <w:divsChild>
                        <w:div w:id="919829598">
                          <w:marLeft w:val="0"/>
                          <w:marRight w:val="0"/>
                          <w:marTop w:val="0"/>
                          <w:marBottom w:val="0"/>
                          <w:divBdr>
                            <w:top w:val="none" w:sz="0" w:space="0" w:color="auto"/>
                            <w:left w:val="none" w:sz="0" w:space="0" w:color="auto"/>
                            <w:bottom w:val="none" w:sz="0" w:space="0" w:color="auto"/>
                            <w:right w:val="none" w:sz="0" w:space="0" w:color="auto"/>
                          </w:divBdr>
                          <w:divsChild>
                            <w:div w:id="1565674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2968949">
      <w:bodyDiv w:val="1"/>
      <w:marLeft w:val="0"/>
      <w:marRight w:val="0"/>
      <w:marTop w:val="0"/>
      <w:marBottom w:val="0"/>
      <w:divBdr>
        <w:top w:val="none" w:sz="0" w:space="0" w:color="auto"/>
        <w:left w:val="none" w:sz="0" w:space="0" w:color="auto"/>
        <w:bottom w:val="none" w:sz="0" w:space="0" w:color="auto"/>
        <w:right w:val="none" w:sz="0" w:space="0" w:color="auto"/>
      </w:divBdr>
    </w:div>
    <w:div w:id="1215502854">
      <w:bodyDiv w:val="1"/>
      <w:marLeft w:val="0"/>
      <w:marRight w:val="0"/>
      <w:marTop w:val="0"/>
      <w:marBottom w:val="0"/>
      <w:divBdr>
        <w:top w:val="none" w:sz="0" w:space="0" w:color="auto"/>
        <w:left w:val="none" w:sz="0" w:space="0" w:color="auto"/>
        <w:bottom w:val="none" w:sz="0" w:space="0" w:color="auto"/>
        <w:right w:val="none" w:sz="0" w:space="0" w:color="auto"/>
      </w:divBdr>
    </w:div>
    <w:div w:id="1233810787">
      <w:bodyDiv w:val="1"/>
      <w:marLeft w:val="0"/>
      <w:marRight w:val="0"/>
      <w:marTop w:val="0"/>
      <w:marBottom w:val="0"/>
      <w:divBdr>
        <w:top w:val="none" w:sz="0" w:space="0" w:color="auto"/>
        <w:left w:val="none" w:sz="0" w:space="0" w:color="auto"/>
        <w:bottom w:val="none" w:sz="0" w:space="0" w:color="auto"/>
        <w:right w:val="none" w:sz="0" w:space="0" w:color="auto"/>
      </w:divBdr>
    </w:div>
    <w:div w:id="1269772095">
      <w:bodyDiv w:val="1"/>
      <w:marLeft w:val="0"/>
      <w:marRight w:val="0"/>
      <w:marTop w:val="0"/>
      <w:marBottom w:val="0"/>
      <w:divBdr>
        <w:top w:val="none" w:sz="0" w:space="0" w:color="auto"/>
        <w:left w:val="none" w:sz="0" w:space="0" w:color="auto"/>
        <w:bottom w:val="none" w:sz="0" w:space="0" w:color="auto"/>
        <w:right w:val="none" w:sz="0" w:space="0" w:color="auto"/>
      </w:divBdr>
    </w:div>
    <w:div w:id="1285767903">
      <w:bodyDiv w:val="1"/>
      <w:marLeft w:val="0"/>
      <w:marRight w:val="0"/>
      <w:marTop w:val="0"/>
      <w:marBottom w:val="0"/>
      <w:divBdr>
        <w:top w:val="none" w:sz="0" w:space="0" w:color="auto"/>
        <w:left w:val="none" w:sz="0" w:space="0" w:color="auto"/>
        <w:bottom w:val="none" w:sz="0" w:space="0" w:color="auto"/>
        <w:right w:val="none" w:sz="0" w:space="0" w:color="auto"/>
      </w:divBdr>
    </w:div>
    <w:div w:id="1289121993">
      <w:bodyDiv w:val="1"/>
      <w:marLeft w:val="0"/>
      <w:marRight w:val="0"/>
      <w:marTop w:val="0"/>
      <w:marBottom w:val="0"/>
      <w:divBdr>
        <w:top w:val="none" w:sz="0" w:space="0" w:color="auto"/>
        <w:left w:val="none" w:sz="0" w:space="0" w:color="auto"/>
        <w:bottom w:val="none" w:sz="0" w:space="0" w:color="auto"/>
        <w:right w:val="none" w:sz="0" w:space="0" w:color="auto"/>
      </w:divBdr>
    </w:div>
    <w:div w:id="1293707803">
      <w:bodyDiv w:val="1"/>
      <w:marLeft w:val="0"/>
      <w:marRight w:val="0"/>
      <w:marTop w:val="0"/>
      <w:marBottom w:val="0"/>
      <w:divBdr>
        <w:top w:val="none" w:sz="0" w:space="0" w:color="auto"/>
        <w:left w:val="none" w:sz="0" w:space="0" w:color="auto"/>
        <w:bottom w:val="none" w:sz="0" w:space="0" w:color="auto"/>
        <w:right w:val="none" w:sz="0" w:space="0" w:color="auto"/>
      </w:divBdr>
      <w:divsChild>
        <w:div w:id="1516186199">
          <w:marLeft w:val="0"/>
          <w:marRight w:val="0"/>
          <w:marTop w:val="0"/>
          <w:marBottom w:val="0"/>
          <w:divBdr>
            <w:top w:val="none" w:sz="0" w:space="0" w:color="auto"/>
            <w:left w:val="none" w:sz="0" w:space="0" w:color="auto"/>
            <w:bottom w:val="none" w:sz="0" w:space="0" w:color="auto"/>
            <w:right w:val="none" w:sz="0" w:space="0" w:color="auto"/>
          </w:divBdr>
          <w:divsChild>
            <w:div w:id="709190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2566157">
      <w:bodyDiv w:val="1"/>
      <w:marLeft w:val="0"/>
      <w:marRight w:val="0"/>
      <w:marTop w:val="0"/>
      <w:marBottom w:val="0"/>
      <w:divBdr>
        <w:top w:val="none" w:sz="0" w:space="0" w:color="auto"/>
        <w:left w:val="none" w:sz="0" w:space="0" w:color="auto"/>
        <w:bottom w:val="none" w:sz="0" w:space="0" w:color="auto"/>
        <w:right w:val="none" w:sz="0" w:space="0" w:color="auto"/>
      </w:divBdr>
      <w:divsChild>
        <w:div w:id="336277256">
          <w:marLeft w:val="0"/>
          <w:marRight w:val="0"/>
          <w:marTop w:val="0"/>
          <w:marBottom w:val="0"/>
          <w:divBdr>
            <w:top w:val="none" w:sz="0" w:space="0" w:color="auto"/>
            <w:left w:val="none" w:sz="0" w:space="0" w:color="auto"/>
            <w:bottom w:val="none" w:sz="0" w:space="0" w:color="auto"/>
            <w:right w:val="none" w:sz="0" w:space="0" w:color="auto"/>
          </w:divBdr>
          <w:divsChild>
            <w:div w:id="2118014495">
              <w:marLeft w:val="0"/>
              <w:marRight w:val="0"/>
              <w:marTop w:val="0"/>
              <w:marBottom w:val="0"/>
              <w:divBdr>
                <w:top w:val="none" w:sz="0" w:space="0" w:color="auto"/>
                <w:left w:val="none" w:sz="0" w:space="0" w:color="auto"/>
                <w:bottom w:val="none" w:sz="0" w:space="0" w:color="auto"/>
                <w:right w:val="none" w:sz="0" w:space="0" w:color="auto"/>
              </w:divBdr>
              <w:divsChild>
                <w:div w:id="73401658">
                  <w:marLeft w:val="0"/>
                  <w:marRight w:val="0"/>
                  <w:marTop w:val="0"/>
                  <w:marBottom w:val="0"/>
                  <w:divBdr>
                    <w:top w:val="none" w:sz="0" w:space="0" w:color="auto"/>
                    <w:left w:val="none" w:sz="0" w:space="0" w:color="auto"/>
                    <w:bottom w:val="none" w:sz="0" w:space="0" w:color="auto"/>
                    <w:right w:val="none" w:sz="0" w:space="0" w:color="auto"/>
                  </w:divBdr>
                  <w:divsChild>
                    <w:div w:id="235945151">
                      <w:marLeft w:val="0"/>
                      <w:marRight w:val="0"/>
                      <w:marTop w:val="0"/>
                      <w:marBottom w:val="0"/>
                      <w:divBdr>
                        <w:top w:val="none" w:sz="0" w:space="0" w:color="auto"/>
                        <w:left w:val="none" w:sz="0" w:space="0" w:color="auto"/>
                        <w:bottom w:val="none" w:sz="0" w:space="0" w:color="auto"/>
                        <w:right w:val="none" w:sz="0" w:space="0" w:color="auto"/>
                      </w:divBdr>
                      <w:divsChild>
                        <w:div w:id="611210720">
                          <w:marLeft w:val="0"/>
                          <w:marRight w:val="0"/>
                          <w:marTop w:val="0"/>
                          <w:marBottom w:val="0"/>
                          <w:divBdr>
                            <w:top w:val="none" w:sz="0" w:space="0" w:color="auto"/>
                            <w:left w:val="none" w:sz="0" w:space="0" w:color="auto"/>
                            <w:bottom w:val="none" w:sz="0" w:space="0" w:color="auto"/>
                            <w:right w:val="none" w:sz="0" w:space="0" w:color="auto"/>
                          </w:divBdr>
                          <w:divsChild>
                            <w:div w:id="171261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8165643">
      <w:bodyDiv w:val="1"/>
      <w:marLeft w:val="0"/>
      <w:marRight w:val="0"/>
      <w:marTop w:val="0"/>
      <w:marBottom w:val="0"/>
      <w:divBdr>
        <w:top w:val="none" w:sz="0" w:space="0" w:color="auto"/>
        <w:left w:val="none" w:sz="0" w:space="0" w:color="auto"/>
        <w:bottom w:val="none" w:sz="0" w:space="0" w:color="auto"/>
        <w:right w:val="none" w:sz="0" w:space="0" w:color="auto"/>
      </w:divBdr>
    </w:div>
    <w:div w:id="1330325131">
      <w:bodyDiv w:val="1"/>
      <w:marLeft w:val="0"/>
      <w:marRight w:val="0"/>
      <w:marTop w:val="0"/>
      <w:marBottom w:val="0"/>
      <w:divBdr>
        <w:top w:val="none" w:sz="0" w:space="0" w:color="auto"/>
        <w:left w:val="none" w:sz="0" w:space="0" w:color="auto"/>
        <w:bottom w:val="none" w:sz="0" w:space="0" w:color="auto"/>
        <w:right w:val="none" w:sz="0" w:space="0" w:color="auto"/>
      </w:divBdr>
    </w:div>
    <w:div w:id="1368407608">
      <w:bodyDiv w:val="1"/>
      <w:marLeft w:val="0"/>
      <w:marRight w:val="0"/>
      <w:marTop w:val="0"/>
      <w:marBottom w:val="0"/>
      <w:divBdr>
        <w:top w:val="none" w:sz="0" w:space="0" w:color="auto"/>
        <w:left w:val="none" w:sz="0" w:space="0" w:color="auto"/>
        <w:bottom w:val="none" w:sz="0" w:space="0" w:color="auto"/>
        <w:right w:val="none" w:sz="0" w:space="0" w:color="auto"/>
      </w:divBdr>
      <w:divsChild>
        <w:div w:id="921138857">
          <w:marLeft w:val="0"/>
          <w:marRight w:val="0"/>
          <w:marTop w:val="0"/>
          <w:marBottom w:val="0"/>
          <w:divBdr>
            <w:top w:val="none" w:sz="0" w:space="0" w:color="auto"/>
            <w:left w:val="none" w:sz="0" w:space="0" w:color="auto"/>
            <w:bottom w:val="none" w:sz="0" w:space="0" w:color="auto"/>
            <w:right w:val="none" w:sz="0" w:space="0" w:color="auto"/>
          </w:divBdr>
          <w:divsChild>
            <w:div w:id="1656059817">
              <w:marLeft w:val="0"/>
              <w:marRight w:val="0"/>
              <w:marTop w:val="0"/>
              <w:marBottom w:val="0"/>
              <w:divBdr>
                <w:top w:val="none" w:sz="0" w:space="0" w:color="auto"/>
                <w:left w:val="none" w:sz="0" w:space="0" w:color="auto"/>
                <w:bottom w:val="none" w:sz="0" w:space="0" w:color="auto"/>
                <w:right w:val="none" w:sz="0" w:space="0" w:color="auto"/>
              </w:divBdr>
              <w:divsChild>
                <w:div w:id="1430930326">
                  <w:marLeft w:val="0"/>
                  <w:marRight w:val="0"/>
                  <w:marTop w:val="0"/>
                  <w:marBottom w:val="0"/>
                  <w:divBdr>
                    <w:top w:val="none" w:sz="0" w:space="0" w:color="auto"/>
                    <w:left w:val="none" w:sz="0" w:space="0" w:color="auto"/>
                    <w:bottom w:val="none" w:sz="0" w:space="0" w:color="auto"/>
                    <w:right w:val="none" w:sz="0" w:space="0" w:color="auto"/>
                  </w:divBdr>
                  <w:divsChild>
                    <w:div w:id="1849438771">
                      <w:marLeft w:val="0"/>
                      <w:marRight w:val="0"/>
                      <w:marTop w:val="0"/>
                      <w:marBottom w:val="0"/>
                      <w:divBdr>
                        <w:top w:val="none" w:sz="0" w:space="0" w:color="auto"/>
                        <w:left w:val="none" w:sz="0" w:space="0" w:color="auto"/>
                        <w:bottom w:val="none" w:sz="0" w:space="0" w:color="auto"/>
                        <w:right w:val="none" w:sz="0" w:space="0" w:color="auto"/>
                      </w:divBdr>
                      <w:divsChild>
                        <w:div w:id="1545174164">
                          <w:marLeft w:val="0"/>
                          <w:marRight w:val="0"/>
                          <w:marTop w:val="0"/>
                          <w:marBottom w:val="0"/>
                          <w:divBdr>
                            <w:top w:val="none" w:sz="0" w:space="0" w:color="auto"/>
                            <w:left w:val="none" w:sz="0" w:space="0" w:color="auto"/>
                            <w:bottom w:val="none" w:sz="0" w:space="0" w:color="auto"/>
                            <w:right w:val="none" w:sz="0" w:space="0" w:color="auto"/>
                          </w:divBdr>
                          <w:divsChild>
                            <w:div w:id="885021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79625396">
      <w:bodyDiv w:val="1"/>
      <w:marLeft w:val="0"/>
      <w:marRight w:val="0"/>
      <w:marTop w:val="0"/>
      <w:marBottom w:val="0"/>
      <w:divBdr>
        <w:top w:val="none" w:sz="0" w:space="0" w:color="auto"/>
        <w:left w:val="none" w:sz="0" w:space="0" w:color="auto"/>
        <w:bottom w:val="none" w:sz="0" w:space="0" w:color="auto"/>
        <w:right w:val="none" w:sz="0" w:space="0" w:color="auto"/>
      </w:divBdr>
      <w:divsChild>
        <w:div w:id="1085372543">
          <w:marLeft w:val="0"/>
          <w:marRight w:val="0"/>
          <w:marTop w:val="0"/>
          <w:marBottom w:val="0"/>
          <w:divBdr>
            <w:top w:val="none" w:sz="0" w:space="0" w:color="auto"/>
            <w:left w:val="none" w:sz="0" w:space="0" w:color="auto"/>
            <w:bottom w:val="none" w:sz="0" w:space="0" w:color="auto"/>
            <w:right w:val="none" w:sz="0" w:space="0" w:color="auto"/>
          </w:divBdr>
          <w:divsChild>
            <w:div w:id="1891308430">
              <w:marLeft w:val="0"/>
              <w:marRight w:val="0"/>
              <w:marTop w:val="0"/>
              <w:marBottom w:val="0"/>
              <w:divBdr>
                <w:top w:val="none" w:sz="0" w:space="0" w:color="auto"/>
                <w:left w:val="none" w:sz="0" w:space="0" w:color="auto"/>
                <w:bottom w:val="none" w:sz="0" w:space="0" w:color="auto"/>
                <w:right w:val="none" w:sz="0" w:space="0" w:color="auto"/>
              </w:divBdr>
              <w:divsChild>
                <w:div w:id="744378880">
                  <w:marLeft w:val="0"/>
                  <w:marRight w:val="0"/>
                  <w:marTop w:val="0"/>
                  <w:marBottom w:val="0"/>
                  <w:divBdr>
                    <w:top w:val="none" w:sz="0" w:space="0" w:color="auto"/>
                    <w:left w:val="none" w:sz="0" w:space="0" w:color="auto"/>
                    <w:bottom w:val="none" w:sz="0" w:space="0" w:color="auto"/>
                    <w:right w:val="none" w:sz="0" w:space="0" w:color="auto"/>
                  </w:divBdr>
                  <w:divsChild>
                    <w:div w:id="177817653">
                      <w:marLeft w:val="0"/>
                      <w:marRight w:val="0"/>
                      <w:marTop w:val="0"/>
                      <w:marBottom w:val="0"/>
                      <w:divBdr>
                        <w:top w:val="none" w:sz="0" w:space="0" w:color="auto"/>
                        <w:left w:val="none" w:sz="0" w:space="0" w:color="auto"/>
                        <w:bottom w:val="none" w:sz="0" w:space="0" w:color="auto"/>
                        <w:right w:val="none" w:sz="0" w:space="0" w:color="auto"/>
                      </w:divBdr>
                      <w:divsChild>
                        <w:div w:id="1680615147">
                          <w:marLeft w:val="0"/>
                          <w:marRight w:val="0"/>
                          <w:marTop w:val="0"/>
                          <w:marBottom w:val="0"/>
                          <w:divBdr>
                            <w:top w:val="none" w:sz="0" w:space="0" w:color="auto"/>
                            <w:left w:val="none" w:sz="0" w:space="0" w:color="auto"/>
                            <w:bottom w:val="none" w:sz="0" w:space="0" w:color="auto"/>
                            <w:right w:val="none" w:sz="0" w:space="0" w:color="auto"/>
                          </w:divBdr>
                          <w:divsChild>
                            <w:div w:id="2069526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87952818">
      <w:bodyDiv w:val="1"/>
      <w:marLeft w:val="0"/>
      <w:marRight w:val="0"/>
      <w:marTop w:val="0"/>
      <w:marBottom w:val="0"/>
      <w:divBdr>
        <w:top w:val="none" w:sz="0" w:space="0" w:color="auto"/>
        <w:left w:val="none" w:sz="0" w:space="0" w:color="auto"/>
        <w:bottom w:val="none" w:sz="0" w:space="0" w:color="auto"/>
        <w:right w:val="none" w:sz="0" w:space="0" w:color="auto"/>
      </w:divBdr>
    </w:div>
    <w:div w:id="1403869738">
      <w:bodyDiv w:val="1"/>
      <w:marLeft w:val="0"/>
      <w:marRight w:val="0"/>
      <w:marTop w:val="0"/>
      <w:marBottom w:val="0"/>
      <w:divBdr>
        <w:top w:val="none" w:sz="0" w:space="0" w:color="auto"/>
        <w:left w:val="none" w:sz="0" w:space="0" w:color="auto"/>
        <w:bottom w:val="none" w:sz="0" w:space="0" w:color="auto"/>
        <w:right w:val="none" w:sz="0" w:space="0" w:color="auto"/>
      </w:divBdr>
      <w:divsChild>
        <w:div w:id="141772460">
          <w:marLeft w:val="0"/>
          <w:marRight w:val="0"/>
          <w:marTop w:val="0"/>
          <w:marBottom w:val="0"/>
          <w:divBdr>
            <w:top w:val="none" w:sz="0" w:space="0" w:color="auto"/>
            <w:left w:val="none" w:sz="0" w:space="0" w:color="auto"/>
            <w:bottom w:val="none" w:sz="0" w:space="0" w:color="auto"/>
            <w:right w:val="none" w:sz="0" w:space="0" w:color="auto"/>
          </w:divBdr>
          <w:divsChild>
            <w:div w:id="198473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916726">
      <w:bodyDiv w:val="1"/>
      <w:marLeft w:val="0"/>
      <w:marRight w:val="0"/>
      <w:marTop w:val="0"/>
      <w:marBottom w:val="0"/>
      <w:divBdr>
        <w:top w:val="none" w:sz="0" w:space="0" w:color="auto"/>
        <w:left w:val="none" w:sz="0" w:space="0" w:color="auto"/>
        <w:bottom w:val="none" w:sz="0" w:space="0" w:color="auto"/>
        <w:right w:val="none" w:sz="0" w:space="0" w:color="auto"/>
      </w:divBdr>
    </w:div>
    <w:div w:id="1469057774">
      <w:bodyDiv w:val="1"/>
      <w:marLeft w:val="0"/>
      <w:marRight w:val="0"/>
      <w:marTop w:val="0"/>
      <w:marBottom w:val="0"/>
      <w:divBdr>
        <w:top w:val="none" w:sz="0" w:space="0" w:color="auto"/>
        <w:left w:val="none" w:sz="0" w:space="0" w:color="auto"/>
        <w:bottom w:val="none" w:sz="0" w:space="0" w:color="auto"/>
        <w:right w:val="none" w:sz="0" w:space="0" w:color="auto"/>
      </w:divBdr>
    </w:div>
    <w:div w:id="1545563354">
      <w:bodyDiv w:val="1"/>
      <w:marLeft w:val="0"/>
      <w:marRight w:val="0"/>
      <w:marTop w:val="0"/>
      <w:marBottom w:val="0"/>
      <w:divBdr>
        <w:top w:val="none" w:sz="0" w:space="0" w:color="auto"/>
        <w:left w:val="none" w:sz="0" w:space="0" w:color="auto"/>
        <w:bottom w:val="none" w:sz="0" w:space="0" w:color="auto"/>
        <w:right w:val="none" w:sz="0" w:space="0" w:color="auto"/>
      </w:divBdr>
    </w:div>
    <w:div w:id="1567259002">
      <w:bodyDiv w:val="1"/>
      <w:marLeft w:val="0"/>
      <w:marRight w:val="0"/>
      <w:marTop w:val="0"/>
      <w:marBottom w:val="0"/>
      <w:divBdr>
        <w:top w:val="none" w:sz="0" w:space="0" w:color="auto"/>
        <w:left w:val="none" w:sz="0" w:space="0" w:color="auto"/>
        <w:bottom w:val="none" w:sz="0" w:space="0" w:color="auto"/>
        <w:right w:val="none" w:sz="0" w:space="0" w:color="auto"/>
      </w:divBdr>
    </w:div>
    <w:div w:id="1569264542">
      <w:bodyDiv w:val="1"/>
      <w:marLeft w:val="0"/>
      <w:marRight w:val="0"/>
      <w:marTop w:val="0"/>
      <w:marBottom w:val="0"/>
      <w:divBdr>
        <w:top w:val="none" w:sz="0" w:space="0" w:color="auto"/>
        <w:left w:val="none" w:sz="0" w:space="0" w:color="auto"/>
        <w:bottom w:val="none" w:sz="0" w:space="0" w:color="auto"/>
        <w:right w:val="none" w:sz="0" w:space="0" w:color="auto"/>
      </w:divBdr>
    </w:div>
    <w:div w:id="1587960038">
      <w:bodyDiv w:val="1"/>
      <w:marLeft w:val="0"/>
      <w:marRight w:val="0"/>
      <w:marTop w:val="0"/>
      <w:marBottom w:val="0"/>
      <w:divBdr>
        <w:top w:val="none" w:sz="0" w:space="0" w:color="auto"/>
        <w:left w:val="none" w:sz="0" w:space="0" w:color="auto"/>
        <w:bottom w:val="none" w:sz="0" w:space="0" w:color="auto"/>
        <w:right w:val="none" w:sz="0" w:space="0" w:color="auto"/>
      </w:divBdr>
    </w:div>
    <w:div w:id="1594240901">
      <w:bodyDiv w:val="1"/>
      <w:marLeft w:val="0"/>
      <w:marRight w:val="0"/>
      <w:marTop w:val="0"/>
      <w:marBottom w:val="0"/>
      <w:divBdr>
        <w:top w:val="none" w:sz="0" w:space="0" w:color="auto"/>
        <w:left w:val="none" w:sz="0" w:space="0" w:color="auto"/>
        <w:bottom w:val="none" w:sz="0" w:space="0" w:color="auto"/>
        <w:right w:val="none" w:sz="0" w:space="0" w:color="auto"/>
      </w:divBdr>
    </w:div>
    <w:div w:id="1603142493">
      <w:bodyDiv w:val="1"/>
      <w:marLeft w:val="0"/>
      <w:marRight w:val="0"/>
      <w:marTop w:val="0"/>
      <w:marBottom w:val="0"/>
      <w:divBdr>
        <w:top w:val="none" w:sz="0" w:space="0" w:color="auto"/>
        <w:left w:val="none" w:sz="0" w:space="0" w:color="auto"/>
        <w:bottom w:val="none" w:sz="0" w:space="0" w:color="auto"/>
        <w:right w:val="none" w:sz="0" w:space="0" w:color="auto"/>
      </w:divBdr>
    </w:div>
    <w:div w:id="1640770130">
      <w:bodyDiv w:val="1"/>
      <w:marLeft w:val="0"/>
      <w:marRight w:val="0"/>
      <w:marTop w:val="0"/>
      <w:marBottom w:val="0"/>
      <w:divBdr>
        <w:top w:val="none" w:sz="0" w:space="0" w:color="auto"/>
        <w:left w:val="none" w:sz="0" w:space="0" w:color="auto"/>
        <w:bottom w:val="none" w:sz="0" w:space="0" w:color="auto"/>
        <w:right w:val="none" w:sz="0" w:space="0" w:color="auto"/>
      </w:divBdr>
      <w:divsChild>
        <w:div w:id="1277365969">
          <w:marLeft w:val="0"/>
          <w:marRight w:val="0"/>
          <w:marTop w:val="0"/>
          <w:marBottom w:val="0"/>
          <w:divBdr>
            <w:top w:val="none" w:sz="0" w:space="0" w:color="auto"/>
            <w:left w:val="none" w:sz="0" w:space="0" w:color="auto"/>
            <w:bottom w:val="none" w:sz="0" w:space="0" w:color="auto"/>
            <w:right w:val="none" w:sz="0" w:space="0" w:color="auto"/>
          </w:divBdr>
          <w:divsChild>
            <w:div w:id="1093207452">
              <w:marLeft w:val="0"/>
              <w:marRight w:val="0"/>
              <w:marTop w:val="0"/>
              <w:marBottom w:val="0"/>
              <w:divBdr>
                <w:top w:val="none" w:sz="0" w:space="0" w:color="auto"/>
                <w:left w:val="none" w:sz="0" w:space="0" w:color="auto"/>
                <w:bottom w:val="none" w:sz="0" w:space="0" w:color="auto"/>
                <w:right w:val="none" w:sz="0" w:space="0" w:color="auto"/>
              </w:divBdr>
              <w:divsChild>
                <w:div w:id="953901755">
                  <w:marLeft w:val="0"/>
                  <w:marRight w:val="0"/>
                  <w:marTop w:val="0"/>
                  <w:marBottom w:val="0"/>
                  <w:divBdr>
                    <w:top w:val="none" w:sz="0" w:space="0" w:color="auto"/>
                    <w:left w:val="none" w:sz="0" w:space="0" w:color="auto"/>
                    <w:bottom w:val="none" w:sz="0" w:space="0" w:color="auto"/>
                    <w:right w:val="none" w:sz="0" w:space="0" w:color="auto"/>
                  </w:divBdr>
                  <w:divsChild>
                    <w:div w:id="1401292822">
                      <w:marLeft w:val="0"/>
                      <w:marRight w:val="0"/>
                      <w:marTop w:val="0"/>
                      <w:marBottom w:val="0"/>
                      <w:divBdr>
                        <w:top w:val="none" w:sz="0" w:space="0" w:color="auto"/>
                        <w:left w:val="none" w:sz="0" w:space="0" w:color="auto"/>
                        <w:bottom w:val="none" w:sz="0" w:space="0" w:color="auto"/>
                        <w:right w:val="none" w:sz="0" w:space="0" w:color="auto"/>
                      </w:divBdr>
                      <w:divsChild>
                        <w:div w:id="1873882237">
                          <w:marLeft w:val="0"/>
                          <w:marRight w:val="0"/>
                          <w:marTop w:val="0"/>
                          <w:marBottom w:val="0"/>
                          <w:divBdr>
                            <w:top w:val="none" w:sz="0" w:space="0" w:color="auto"/>
                            <w:left w:val="none" w:sz="0" w:space="0" w:color="auto"/>
                            <w:bottom w:val="none" w:sz="0" w:space="0" w:color="auto"/>
                            <w:right w:val="none" w:sz="0" w:space="0" w:color="auto"/>
                          </w:divBdr>
                          <w:divsChild>
                            <w:div w:id="666597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9187667">
      <w:bodyDiv w:val="1"/>
      <w:marLeft w:val="0"/>
      <w:marRight w:val="0"/>
      <w:marTop w:val="0"/>
      <w:marBottom w:val="0"/>
      <w:divBdr>
        <w:top w:val="none" w:sz="0" w:space="0" w:color="auto"/>
        <w:left w:val="none" w:sz="0" w:space="0" w:color="auto"/>
        <w:bottom w:val="none" w:sz="0" w:space="0" w:color="auto"/>
        <w:right w:val="none" w:sz="0" w:space="0" w:color="auto"/>
      </w:divBdr>
    </w:div>
    <w:div w:id="1669599133">
      <w:bodyDiv w:val="1"/>
      <w:marLeft w:val="0"/>
      <w:marRight w:val="0"/>
      <w:marTop w:val="0"/>
      <w:marBottom w:val="0"/>
      <w:divBdr>
        <w:top w:val="none" w:sz="0" w:space="0" w:color="auto"/>
        <w:left w:val="none" w:sz="0" w:space="0" w:color="auto"/>
        <w:bottom w:val="none" w:sz="0" w:space="0" w:color="auto"/>
        <w:right w:val="none" w:sz="0" w:space="0" w:color="auto"/>
      </w:divBdr>
      <w:divsChild>
        <w:div w:id="1830947997">
          <w:marLeft w:val="0"/>
          <w:marRight w:val="0"/>
          <w:marTop w:val="0"/>
          <w:marBottom w:val="0"/>
          <w:divBdr>
            <w:top w:val="none" w:sz="0" w:space="0" w:color="auto"/>
            <w:left w:val="none" w:sz="0" w:space="0" w:color="auto"/>
            <w:bottom w:val="none" w:sz="0" w:space="0" w:color="auto"/>
            <w:right w:val="none" w:sz="0" w:space="0" w:color="auto"/>
          </w:divBdr>
          <w:divsChild>
            <w:div w:id="282687993">
              <w:marLeft w:val="0"/>
              <w:marRight w:val="0"/>
              <w:marTop w:val="0"/>
              <w:marBottom w:val="0"/>
              <w:divBdr>
                <w:top w:val="none" w:sz="0" w:space="0" w:color="auto"/>
                <w:left w:val="none" w:sz="0" w:space="0" w:color="auto"/>
                <w:bottom w:val="none" w:sz="0" w:space="0" w:color="auto"/>
                <w:right w:val="none" w:sz="0" w:space="0" w:color="auto"/>
              </w:divBdr>
              <w:divsChild>
                <w:div w:id="1760905622">
                  <w:marLeft w:val="0"/>
                  <w:marRight w:val="0"/>
                  <w:marTop w:val="0"/>
                  <w:marBottom w:val="0"/>
                  <w:divBdr>
                    <w:top w:val="none" w:sz="0" w:space="0" w:color="auto"/>
                    <w:left w:val="none" w:sz="0" w:space="0" w:color="auto"/>
                    <w:bottom w:val="none" w:sz="0" w:space="0" w:color="auto"/>
                    <w:right w:val="none" w:sz="0" w:space="0" w:color="auto"/>
                  </w:divBdr>
                  <w:divsChild>
                    <w:div w:id="2021541238">
                      <w:marLeft w:val="0"/>
                      <w:marRight w:val="0"/>
                      <w:marTop w:val="0"/>
                      <w:marBottom w:val="0"/>
                      <w:divBdr>
                        <w:top w:val="none" w:sz="0" w:space="0" w:color="auto"/>
                        <w:left w:val="none" w:sz="0" w:space="0" w:color="auto"/>
                        <w:bottom w:val="none" w:sz="0" w:space="0" w:color="auto"/>
                        <w:right w:val="none" w:sz="0" w:space="0" w:color="auto"/>
                      </w:divBdr>
                      <w:divsChild>
                        <w:div w:id="1996564566">
                          <w:marLeft w:val="0"/>
                          <w:marRight w:val="0"/>
                          <w:marTop w:val="0"/>
                          <w:marBottom w:val="0"/>
                          <w:divBdr>
                            <w:top w:val="none" w:sz="0" w:space="0" w:color="auto"/>
                            <w:left w:val="none" w:sz="0" w:space="0" w:color="auto"/>
                            <w:bottom w:val="none" w:sz="0" w:space="0" w:color="auto"/>
                            <w:right w:val="none" w:sz="0" w:space="0" w:color="auto"/>
                          </w:divBdr>
                          <w:divsChild>
                            <w:div w:id="380523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75106404">
      <w:bodyDiv w:val="1"/>
      <w:marLeft w:val="0"/>
      <w:marRight w:val="0"/>
      <w:marTop w:val="0"/>
      <w:marBottom w:val="0"/>
      <w:divBdr>
        <w:top w:val="none" w:sz="0" w:space="0" w:color="auto"/>
        <w:left w:val="none" w:sz="0" w:space="0" w:color="auto"/>
        <w:bottom w:val="none" w:sz="0" w:space="0" w:color="auto"/>
        <w:right w:val="none" w:sz="0" w:space="0" w:color="auto"/>
      </w:divBdr>
    </w:div>
    <w:div w:id="1768965945">
      <w:bodyDiv w:val="1"/>
      <w:marLeft w:val="0"/>
      <w:marRight w:val="0"/>
      <w:marTop w:val="0"/>
      <w:marBottom w:val="0"/>
      <w:divBdr>
        <w:top w:val="none" w:sz="0" w:space="0" w:color="auto"/>
        <w:left w:val="none" w:sz="0" w:space="0" w:color="auto"/>
        <w:bottom w:val="none" w:sz="0" w:space="0" w:color="auto"/>
        <w:right w:val="none" w:sz="0" w:space="0" w:color="auto"/>
      </w:divBdr>
    </w:div>
    <w:div w:id="1801417841">
      <w:bodyDiv w:val="1"/>
      <w:marLeft w:val="0"/>
      <w:marRight w:val="0"/>
      <w:marTop w:val="0"/>
      <w:marBottom w:val="0"/>
      <w:divBdr>
        <w:top w:val="none" w:sz="0" w:space="0" w:color="auto"/>
        <w:left w:val="none" w:sz="0" w:space="0" w:color="auto"/>
        <w:bottom w:val="none" w:sz="0" w:space="0" w:color="auto"/>
        <w:right w:val="none" w:sz="0" w:space="0" w:color="auto"/>
      </w:divBdr>
    </w:div>
    <w:div w:id="1825007454">
      <w:bodyDiv w:val="1"/>
      <w:marLeft w:val="0"/>
      <w:marRight w:val="0"/>
      <w:marTop w:val="0"/>
      <w:marBottom w:val="0"/>
      <w:divBdr>
        <w:top w:val="none" w:sz="0" w:space="0" w:color="auto"/>
        <w:left w:val="none" w:sz="0" w:space="0" w:color="auto"/>
        <w:bottom w:val="none" w:sz="0" w:space="0" w:color="auto"/>
        <w:right w:val="none" w:sz="0" w:space="0" w:color="auto"/>
      </w:divBdr>
    </w:div>
    <w:div w:id="1830559828">
      <w:bodyDiv w:val="1"/>
      <w:marLeft w:val="0"/>
      <w:marRight w:val="0"/>
      <w:marTop w:val="0"/>
      <w:marBottom w:val="0"/>
      <w:divBdr>
        <w:top w:val="none" w:sz="0" w:space="0" w:color="auto"/>
        <w:left w:val="none" w:sz="0" w:space="0" w:color="auto"/>
        <w:bottom w:val="none" w:sz="0" w:space="0" w:color="auto"/>
        <w:right w:val="none" w:sz="0" w:space="0" w:color="auto"/>
      </w:divBdr>
      <w:divsChild>
        <w:div w:id="1001542871">
          <w:marLeft w:val="0"/>
          <w:marRight w:val="0"/>
          <w:marTop w:val="0"/>
          <w:marBottom w:val="0"/>
          <w:divBdr>
            <w:top w:val="none" w:sz="0" w:space="0" w:color="auto"/>
            <w:left w:val="none" w:sz="0" w:space="0" w:color="auto"/>
            <w:bottom w:val="none" w:sz="0" w:space="0" w:color="auto"/>
            <w:right w:val="none" w:sz="0" w:space="0" w:color="auto"/>
          </w:divBdr>
          <w:divsChild>
            <w:div w:id="49153933">
              <w:marLeft w:val="0"/>
              <w:marRight w:val="0"/>
              <w:marTop w:val="0"/>
              <w:marBottom w:val="0"/>
              <w:divBdr>
                <w:top w:val="none" w:sz="0" w:space="0" w:color="auto"/>
                <w:left w:val="none" w:sz="0" w:space="0" w:color="auto"/>
                <w:bottom w:val="none" w:sz="0" w:space="0" w:color="auto"/>
                <w:right w:val="none" w:sz="0" w:space="0" w:color="auto"/>
              </w:divBdr>
              <w:divsChild>
                <w:div w:id="1131482486">
                  <w:marLeft w:val="0"/>
                  <w:marRight w:val="0"/>
                  <w:marTop w:val="0"/>
                  <w:marBottom w:val="0"/>
                  <w:divBdr>
                    <w:top w:val="none" w:sz="0" w:space="0" w:color="auto"/>
                    <w:left w:val="none" w:sz="0" w:space="0" w:color="auto"/>
                    <w:bottom w:val="none" w:sz="0" w:space="0" w:color="auto"/>
                    <w:right w:val="none" w:sz="0" w:space="0" w:color="auto"/>
                  </w:divBdr>
                  <w:divsChild>
                    <w:div w:id="894774614">
                      <w:marLeft w:val="0"/>
                      <w:marRight w:val="0"/>
                      <w:marTop w:val="0"/>
                      <w:marBottom w:val="0"/>
                      <w:divBdr>
                        <w:top w:val="none" w:sz="0" w:space="0" w:color="auto"/>
                        <w:left w:val="none" w:sz="0" w:space="0" w:color="auto"/>
                        <w:bottom w:val="none" w:sz="0" w:space="0" w:color="auto"/>
                        <w:right w:val="none" w:sz="0" w:space="0" w:color="auto"/>
                      </w:divBdr>
                      <w:divsChild>
                        <w:div w:id="275405445">
                          <w:marLeft w:val="0"/>
                          <w:marRight w:val="0"/>
                          <w:marTop w:val="0"/>
                          <w:marBottom w:val="0"/>
                          <w:divBdr>
                            <w:top w:val="none" w:sz="0" w:space="0" w:color="auto"/>
                            <w:left w:val="none" w:sz="0" w:space="0" w:color="auto"/>
                            <w:bottom w:val="none" w:sz="0" w:space="0" w:color="auto"/>
                            <w:right w:val="none" w:sz="0" w:space="0" w:color="auto"/>
                          </w:divBdr>
                          <w:divsChild>
                            <w:div w:id="1194728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71601756">
      <w:bodyDiv w:val="1"/>
      <w:marLeft w:val="0"/>
      <w:marRight w:val="0"/>
      <w:marTop w:val="0"/>
      <w:marBottom w:val="0"/>
      <w:divBdr>
        <w:top w:val="none" w:sz="0" w:space="0" w:color="auto"/>
        <w:left w:val="none" w:sz="0" w:space="0" w:color="auto"/>
        <w:bottom w:val="none" w:sz="0" w:space="0" w:color="auto"/>
        <w:right w:val="none" w:sz="0" w:space="0" w:color="auto"/>
      </w:divBdr>
    </w:div>
    <w:div w:id="1882934346">
      <w:bodyDiv w:val="1"/>
      <w:marLeft w:val="0"/>
      <w:marRight w:val="0"/>
      <w:marTop w:val="0"/>
      <w:marBottom w:val="0"/>
      <w:divBdr>
        <w:top w:val="none" w:sz="0" w:space="0" w:color="auto"/>
        <w:left w:val="none" w:sz="0" w:space="0" w:color="auto"/>
        <w:bottom w:val="none" w:sz="0" w:space="0" w:color="auto"/>
        <w:right w:val="none" w:sz="0" w:space="0" w:color="auto"/>
      </w:divBdr>
    </w:div>
    <w:div w:id="1896819648">
      <w:bodyDiv w:val="1"/>
      <w:marLeft w:val="0"/>
      <w:marRight w:val="0"/>
      <w:marTop w:val="0"/>
      <w:marBottom w:val="0"/>
      <w:divBdr>
        <w:top w:val="none" w:sz="0" w:space="0" w:color="auto"/>
        <w:left w:val="none" w:sz="0" w:space="0" w:color="auto"/>
        <w:bottom w:val="none" w:sz="0" w:space="0" w:color="auto"/>
        <w:right w:val="none" w:sz="0" w:space="0" w:color="auto"/>
      </w:divBdr>
    </w:div>
    <w:div w:id="1900364400">
      <w:bodyDiv w:val="1"/>
      <w:marLeft w:val="0"/>
      <w:marRight w:val="0"/>
      <w:marTop w:val="0"/>
      <w:marBottom w:val="0"/>
      <w:divBdr>
        <w:top w:val="none" w:sz="0" w:space="0" w:color="auto"/>
        <w:left w:val="none" w:sz="0" w:space="0" w:color="auto"/>
        <w:bottom w:val="none" w:sz="0" w:space="0" w:color="auto"/>
        <w:right w:val="none" w:sz="0" w:space="0" w:color="auto"/>
      </w:divBdr>
    </w:div>
    <w:div w:id="2014409014">
      <w:bodyDiv w:val="1"/>
      <w:marLeft w:val="0"/>
      <w:marRight w:val="0"/>
      <w:marTop w:val="0"/>
      <w:marBottom w:val="0"/>
      <w:divBdr>
        <w:top w:val="none" w:sz="0" w:space="0" w:color="auto"/>
        <w:left w:val="none" w:sz="0" w:space="0" w:color="auto"/>
        <w:bottom w:val="none" w:sz="0" w:space="0" w:color="auto"/>
        <w:right w:val="none" w:sz="0" w:space="0" w:color="auto"/>
      </w:divBdr>
    </w:div>
    <w:div w:id="2046562053">
      <w:bodyDiv w:val="1"/>
      <w:marLeft w:val="0"/>
      <w:marRight w:val="0"/>
      <w:marTop w:val="0"/>
      <w:marBottom w:val="0"/>
      <w:divBdr>
        <w:top w:val="none" w:sz="0" w:space="0" w:color="auto"/>
        <w:left w:val="none" w:sz="0" w:space="0" w:color="auto"/>
        <w:bottom w:val="none" w:sz="0" w:space="0" w:color="auto"/>
        <w:right w:val="none" w:sz="0" w:space="0" w:color="auto"/>
      </w:divBdr>
    </w:div>
    <w:div w:id="2056156930">
      <w:bodyDiv w:val="1"/>
      <w:marLeft w:val="0"/>
      <w:marRight w:val="0"/>
      <w:marTop w:val="0"/>
      <w:marBottom w:val="0"/>
      <w:divBdr>
        <w:top w:val="none" w:sz="0" w:space="0" w:color="auto"/>
        <w:left w:val="none" w:sz="0" w:space="0" w:color="auto"/>
        <w:bottom w:val="none" w:sz="0" w:space="0" w:color="auto"/>
        <w:right w:val="none" w:sz="0" w:space="0" w:color="auto"/>
      </w:divBdr>
    </w:div>
    <w:div w:id="2068215035">
      <w:bodyDiv w:val="1"/>
      <w:marLeft w:val="0"/>
      <w:marRight w:val="0"/>
      <w:marTop w:val="0"/>
      <w:marBottom w:val="0"/>
      <w:divBdr>
        <w:top w:val="none" w:sz="0" w:space="0" w:color="auto"/>
        <w:left w:val="none" w:sz="0" w:space="0" w:color="auto"/>
        <w:bottom w:val="none" w:sz="0" w:space="0" w:color="auto"/>
        <w:right w:val="none" w:sz="0" w:space="0" w:color="auto"/>
      </w:divBdr>
    </w:div>
    <w:div w:id="2090035540">
      <w:bodyDiv w:val="1"/>
      <w:marLeft w:val="0"/>
      <w:marRight w:val="0"/>
      <w:marTop w:val="0"/>
      <w:marBottom w:val="0"/>
      <w:divBdr>
        <w:top w:val="none" w:sz="0" w:space="0" w:color="auto"/>
        <w:left w:val="none" w:sz="0" w:space="0" w:color="auto"/>
        <w:bottom w:val="none" w:sz="0" w:space="0" w:color="auto"/>
        <w:right w:val="none" w:sz="0" w:space="0" w:color="auto"/>
      </w:divBdr>
    </w:div>
    <w:div w:id="2100640242">
      <w:bodyDiv w:val="1"/>
      <w:marLeft w:val="0"/>
      <w:marRight w:val="0"/>
      <w:marTop w:val="0"/>
      <w:marBottom w:val="0"/>
      <w:divBdr>
        <w:top w:val="none" w:sz="0" w:space="0" w:color="auto"/>
        <w:left w:val="none" w:sz="0" w:space="0" w:color="auto"/>
        <w:bottom w:val="none" w:sz="0" w:space="0" w:color="auto"/>
        <w:right w:val="none" w:sz="0" w:space="0" w:color="auto"/>
      </w:divBdr>
    </w:div>
    <w:div w:id="2110151653">
      <w:bodyDiv w:val="1"/>
      <w:marLeft w:val="0"/>
      <w:marRight w:val="0"/>
      <w:marTop w:val="0"/>
      <w:marBottom w:val="0"/>
      <w:divBdr>
        <w:top w:val="none" w:sz="0" w:space="0" w:color="auto"/>
        <w:left w:val="none" w:sz="0" w:space="0" w:color="auto"/>
        <w:bottom w:val="none" w:sz="0" w:space="0" w:color="auto"/>
        <w:right w:val="none" w:sz="0" w:space="0" w:color="auto"/>
      </w:divBdr>
    </w:div>
    <w:div w:id="2129007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package" Target="embeddings/Microsoft_Excel_Worksheet3.xlsx"/><Relationship Id="rId117" Type="http://schemas.openxmlformats.org/officeDocument/2006/relationships/header" Target="header1.xml"/><Relationship Id="rId21" Type="http://schemas.openxmlformats.org/officeDocument/2006/relationships/image" Target="media/image7.emf"/><Relationship Id="rId42" Type="http://schemas.openxmlformats.org/officeDocument/2006/relationships/oleObject" Target="embeddings/Microsoft_Excel_97-2003_Worksheet13.xls"/><Relationship Id="rId47" Type="http://schemas.openxmlformats.org/officeDocument/2006/relationships/image" Target="media/image20.emf"/><Relationship Id="rId63" Type="http://schemas.openxmlformats.org/officeDocument/2006/relationships/image" Target="media/image28.emf"/><Relationship Id="rId68" Type="http://schemas.openxmlformats.org/officeDocument/2006/relationships/oleObject" Target="embeddings/Microsoft_Excel_97-2003_Worksheet26.xls"/><Relationship Id="rId84" Type="http://schemas.openxmlformats.org/officeDocument/2006/relationships/oleObject" Target="embeddings/Microsoft_Excel_97-2003_Worksheet34.xls"/><Relationship Id="rId89" Type="http://schemas.openxmlformats.org/officeDocument/2006/relationships/image" Target="media/image41.emf"/><Relationship Id="rId112" Type="http://schemas.openxmlformats.org/officeDocument/2006/relationships/image" Target="media/image53.emf"/><Relationship Id="rId16" Type="http://schemas.openxmlformats.org/officeDocument/2006/relationships/oleObject" Target="embeddings/Microsoft_Excel_97-2003_Worksheet3.xls"/><Relationship Id="rId107" Type="http://schemas.openxmlformats.org/officeDocument/2006/relationships/oleObject" Target="embeddings/Microsoft_Excel_97-2003_Worksheet45.xls"/><Relationship Id="rId11" Type="http://schemas.openxmlformats.org/officeDocument/2006/relationships/oleObject" Target="embeddings/Microsoft_Excel_97-2003_Worksheet1.xls"/><Relationship Id="rId32" Type="http://schemas.openxmlformats.org/officeDocument/2006/relationships/oleObject" Target="embeddings/Microsoft_Excel_97-2003_Worksheet8.xls"/><Relationship Id="rId37" Type="http://schemas.openxmlformats.org/officeDocument/2006/relationships/image" Target="media/image15.emf"/><Relationship Id="rId53" Type="http://schemas.openxmlformats.org/officeDocument/2006/relationships/image" Target="media/image23.emf"/><Relationship Id="rId58" Type="http://schemas.openxmlformats.org/officeDocument/2006/relationships/oleObject" Target="embeddings/Microsoft_Excel_97-2003_Worksheet21.xls"/><Relationship Id="rId74" Type="http://schemas.openxmlformats.org/officeDocument/2006/relationships/oleObject" Target="embeddings/Microsoft_Excel_97-2003_Worksheet29.xls"/><Relationship Id="rId79" Type="http://schemas.openxmlformats.org/officeDocument/2006/relationships/image" Target="media/image36.emf"/><Relationship Id="rId102" Type="http://schemas.openxmlformats.org/officeDocument/2006/relationships/image" Target="media/image48.emf"/><Relationship Id="rId5" Type="http://schemas.openxmlformats.org/officeDocument/2006/relationships/webSettings" Target="webSettings.xml"/><Relationship Id="rId90" Type="http://schemas.openxmlformats.org/officeDocument/2006/relationships/oleObject" Target="embeddings/Microsoft_Excel_97-2003_Worksheet37.xls"/><Relationship Id="rId95" Type="http://schemas.openxmlformats.org/officeDocument/2006/relationships/oleObject" Target="embeddings/Microsoft_Excel_97-2003_Worksheet39.xls"/><Relationship Id="rId22" Type="http://schemas.openxmlformats.org/officeDocument/2006/relationships/package" Target="embeddings/Microsoft_Excel_Worksheet1.xlsx"/><Relationship Id="rId27" Type="http://schemas.openxmlformats.org/officeDocument/2006/relationships/image" Target="media/image10.emf"/><Relationship Id="rId43" Type="http://schemas.openxmlformats.org/officeDocument/2006/relationships/image" Target="media/image18.emf"/><Relationship Id="rId48" Type="http://schemas.openxmlformats.org/officeDocument/2006/relationships/oleObject" Target="embeddings/Microsoft_Excel_97-2003_Worksheet16.xls"/><Relationship Id="rId64" Type="http://schemas.openxmlformats.org/officeDocument/2006/relationships/oleObject" Target="embeddings/Microsoft_Excel_97-2003_Worksheet24.xls"/><Relationship Id="rId69" Type="http://schemas.openxmlformats.org/officeDocument/2006/relationships/image" Target="media/image31.emf"/><Relationship Id="rId113" Type="http://schemas.openxmlformats.org/officeDocument/2006/relationships/oleObject" Target="embeddings/Microsoft_Excel_97-2003_Worksheet48.xls"/><Relationship Id="rId118" Type="http://schemas.openxmlformats.org/officeDocument/2006/relationships/footer" Target="footer2.xml"/><Relationship Id="rId80" Type="http://schemas.openxmlformats.org/officeDocument/2006/relationships/oleObject" Target="embeddings/Microsoft_Excel_97-2003_Worksheet32.xls"/><Relationship Id="rId85" Type="http://schemas.openxmlformats.org/officeDocument/2006/relationships/image" Target="media/image39.emf"/><Relationship Id="rId12" Type="http://schemas.openxmlformats.org/officeDocument/2006/relationships/image" Target="media/image3.emf"/><Relationship Id="rId17" Type="http://schemas.openxmlformats.org/officeDocument/2006/relationships/image" Target="media/image5.emf"/><Relationship Id="rId33" Type="http://schemas.openxmlformats.org/officeDocument/2006/relationships/image" Target="media/image13.emf"/><Relationship Id="rId38" Type="http://schemas.openxmlformats.org/officeDocument/2006/relationships/oleObject" Target="embeddings/Microsoft_Excel_97-2003_Worksheet11.xls"/><Relationship Id="rId59" Type="http://schemas.openxmlformats.org/officeDocument/2006/relationships/image" Target="media/image26.emf"/><Relationship Id="rId103" Type="http://schemas.openxmlformats.org/officeDocument/2006/relationships/oleObject" Target="embeddings/Microsoft_Excel_97-2003_Worksheet43.xls"/><Relationship Id="rId108" Type="http://schemas.openxmlformats.org/officeDocument/2006/relationships/image" Target="media/image51.emf"/><Relationship Id="rId54" Type="http://schemas.openxmlformats.org/officeDocument/2006/relationships/oleObject" Target="embeddings/Microsoft_Excel_97-2003_Worksheet19.xls"/><Relationship Id="rId70" Type="http://schemas.openxmlformats.org/officeDocument/2006/relationships/oleObject" Target="embeddings/Microsoft_Excel_97-2003_Worksheet27.xls"/><Relationship Id="rId75" Type="http://schemas.openxmlformats.org/officeDocument/2006/relationships/image" Target="media/image34.emf"/><Relationship Id="rId91" Type="http://schemas.openxmlformats.org/officeDocument/2006/relationships/image" Target="media/image42.emf"/><Relationship Id="rId96" Type="http://schemas.openxmlformats.org/officeDocument/2006/relationships/image" Target="media/image45.emf"/><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8.emf"/><Relationship Id="rId28" Type="http://schemas.openxmlformats.org/officeDocument/2006/relationships/oleObject" Target="embeddings/Microsoft_Excel_97-2003_Worksheet6.xls"/><Relationship Id="rId49" Type="http://schemas.openxmlformats.org/officeDocument/2006/relationships/image" Target="media/image21.emf"/><Relationship Id="rId114" Type="http://schemas.openxmlformats.org/officeDocument/2006/relationships/image" Target="media/image54.emf"/><Relationship Id="rId119" Type="http://schemas.openxmlformats.org/officeDocument/2006/relationships/fontTable" Target="fontTable.xml"/><Relationship Id="rId10" Type="http://schemas.openxmlformats.org/officeDocument/2006/relationships/image" Target="media/image2.emf"/><Relationship Id="rId31" Type="http://schemas.openxmlformats.org/officeDocument/2006/relationships/image" Target="media/image12.emf"/><Relationship Id="rId44" Type="http://schemas.openxmlformats.org/officeDocument/2006/relationships/oleObject" Target="embeddings/Microsoft_Excel_97-2003_Worksheet14.xls"/><Relationship Id="rId52" Type="http://schemas.openxmlformats.org/officeDocument/2006/relationships/oleObject" Target="embeddings/Microsoft_Excel_97-2003_Worksheet18.xls"/><Relationship Id="rId60" Type="http://schemas.openxmlformats.org/officeDocument/2006/relationships/oleObject" Target="embeddings/Microsoft_Excel_97-2003_Worksheet22.xls"/><Relationship Id="rId65" Type="http://schemas.openxmlformats.org/officeDocument/2006/relationships/image" Target="media/image29.emf"/><Relationship Id="rId73" Type="http://schemas.openxmlformats.org/officeDocument/2006/relationships/image" Target="media/image33.emf"/><Relationship Id="rId78" Type="http://schemas.openxmlformats.org/officeDocument/2006/relationships/oleObject" Target="embeddings/Microsoft_Excel_97-2003_Worksheet31.xls"/><Relationship Id="rId81" Type="http://schemas.openxmlformats.org/officeDocument/2006/relationships/image" Target="media/image37.emf"/><Relationship Id="rId86" Type="http://schemas.openxmlformats.org/officeDocument/2006/relationships/oleObject" Target="embeddings/Microsoft_Excel_97-2003_Worksheet35.xls"/><Relationship Id="rId94" Type="http://schemas.openxmlformats.org/officeDocument/2006/relationships/image" Target="media/image44.emf"/><Relationship Id="rId99" Type="http://schemas.openxmlformats.org/officeDocument/2006/relationships/oleObject" Target="embeddings/Microsoft_Excel_97-2003_Worksheet41.xls"/><Relationship Id="rId101" Type="http://schemas.openxmlformats.org/officeDocument/2006/relationships/oleObject" Target="embeddings/Microsoft_Excel_97-2003_Worksheet42.xls"/><Relationship Id="rId4" Type="http://schemas.openxmlformats.org/officeDocument/2006/relationships/settings" Target="settings.xml"/><Relationship Id="rId9" Type="http://schemas.openxmlformats.org/officeDocument/2006/relationships/oleObject" Target="embeddings/Microsoft_Excel_97-2003_Worksheet.xls"/><Relationship Id="rId13" Type="http://schemas.openxmlformats.org/officeDocument/2006/relationships/oleObject" Target="embeddings/Microsoft_Excel_97-2003_Worksheet2.xls"/><Relationship Id="rId18" Type="http://schemas.openxmlformats.org/officeDocument/2006/relationships/oleObject" Target="embeddings/Microsoft_Excel_97-2003_Worksheet4.xls"/><Relationship Id="rId39" Type="http://schemas.openxmlformats.org/officeDocument/2006/relationships/image" Target="media/image16.emf"/><Relationship Id="rId109" Type="http://schemas.openxmlformats.org/officeDocument/2006/relationships/oleObject" Target="embeddings/Microsoft_Excel_97-2003_Worksheet46.xls"/><Relationship Id="rId34" Type="http://schemas.openxmlformats.org/officeDocument/2006/relationships/oleObject" Target="embeddings/Microsoft_Excel_97-2003_Worksheet9.xls"/><Relationship Id="rId50" Type="http://schemas.openxmlformats.org/officeDocument/2006/relationships/oleObject" Target="embeddings/Microsoft_Excel_97-2003_Worksheet17.xls"/><Relationship Id="rId55" Type="http://schemas.openxmlformats.org/officeDocument/2006/relationships/image" Target="media/image24.emf"/><Relationship Id="rId76" Type="http://schemas.openxmlformats.org/officeDocument/2006/relationships/oleObject" Target="embeddings/Microsoft_Excel_97-2003_Worksheet30.xls"/><Relationship Id="rId97" Type="http://schemas.openxmlformats.org/officeDocument/2006/relationships/oleObject" Target="embeddings/Microsoft_Excel_97-2003_Worksheet40.xls"/><Relationship Id="rId104" Type="http://schemas.openxmlformats.org/officeDocument/2006/relationships/image" Target="media/image49.emf"/><Relationship Id="rId120"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image" Target="media/image32.emf"/><Relationship Id="rId92" Type="http://schemas.openxmlformats.org/officeDocument/2006/relationships/image" Target="media/image43.emf"/><Relationship Id="rId2" Type="http://schemas.openxmlformats.org/officeDocument/2006/relationships/numbering" Target="numbering.xml"/><Relationship Id="rId29" Type="http://schemas.openxmlformats.org/officeDocument/2006/relationships/image" Target="media/image11.emf"/><Relationship Id="rId24" Type="http://schemas.openxmlformats.org/officeDocument/2006/relationships/package" Target="embeddings/Microsoft_Excel_Worksheet2.xlsx"/><Relationship Id="rId40" Type="http://schemas.openxmlformats.org/officeDocument/2006/relationships/oleObject" Target="embeddings/Microsoft_Excel_97-2003_Worksheet12.xls"/><Relationship Id="rId45" Type="http://schemas.openxmlformats.org/officeDocument/2006/relationships/image" Target="media/image19.emf"/><Relationship Id="rId66" Type="http://schemas.openxmlformats.org/officeDocument/2006/relationships/oleObject" Target="embeddings/Microsoft_Excel_97-2003_Worksheet25.xls"/><Relationship Id="rId87" Type="http://schemas.openxmlformats.org/officeDocument/2006/relationships/image" Target="media/image40.emf"/><Relationship Id="rId110" Type="http://schemas.openxmlformats.org/officeDocument/2006/relationships/image" Target="media/image52.emf"/><Relationship Id="rId115" Type="http://schemas.openxmlformats.org/officeDocument/2006/relationships/oleObject" Target="embeddings/Microsoft_Excel_97-2003_Worksheet49.xls"/><Relationship Id="rId61" Type="http://schemas.openxmlformats.org/officeDocument/2006/relationships/image" Target="media/image27.emf"/><Relationship Id="rId82" Type="http://schemas.openxmlformats.org/officeDocument/2006/relationships/oleObject" Target="embeddings/Microsoft_Excel_97-2003_Worksheet33.xls"/><Relationship Id="rId19" Type="http://schemas.openxmlformats.org/officeDocument/2006/relationships/image" Target="media/image6.emf"/><Relationship Id="rId14" Type="http://schemas.openxmlformats.org/officeDocument/2006/relationships/chart" Target="charts/chart1.xml"/><Relationship Id="rId30" Type="http://schemas.openxmlformats.org/officeDocument/2006/relationships/oleObject" Target="embeddings/Microsoft_Excel_97-2003_Worksheet7.xls"/><Relationship Id="rId35" Type="http://schemas.openxmlformats.org/officeDocument/2006/relationships/image" Target="media/image14.emf"/><Relationship Id="rId56" Type="http://schemas.openxmlformats.org/officeDocument/2006/relationships/oleObject" Target="embeddings/Microsoft_Excel_97-2003_Worksheet20.xls"/><Relationship Id="rId77" Type="http://schemas.openxmlformats.org/officeDocument/2006/relationships/image" Target="media/image35.emf"/><Relationship Id="rId100" Type="http://schemas.openxmlformats.org/officeDocument/2006/relationships/image" Target="media/image47.emf"/><Relationship Id="rId105" Type="http://schemas.openxmlformats.org/officeDocument/2006/relationships/oleObject" Target="embeddings/Microsoft_Excel_97-2003_Worksheet44.xls"/><Relationship Id="rId8" Type="http://schemas.openxmlformats.org/officeDocument/2006/relationships/image" Target="media/image1.emf"/><Relationship Id="rId51" Type="http://schemas.openxmlformats.org/officeDocument/2006/relationships/image" Target="media/image22.emf"/><Relationship Id="rId72" Type="http://schemas.openxmlformats.org/officeDocument/2006/relationships/oleObject" Target="embeddings/Microsoft_Excel_97-2003_Worksheet28.xls"/><Relationship Id="rId93" Type="http://schemas.openxmlformats.org/officeDocument/2006/relationships/oleObject" Target="embeddings/Microsoft_Excel_97-2003_Worksheet38.xls"/><Relationship Id="rId98" Type="http://schemas.openxmlformats.org/officeDocument/2006/relationships/image" Target="media/image46.emf"/><Relationship Id="rId3" Type="http://schemas.openxmlformats.org/officeDocument/2006/relationships/styles" Target="styles.xml"/><Relationship Id="rId25" Type="http://schemas.openxmlformats.org/officeDocument/2006/relationships/image" Target="media/image9.emf"/><Relationship Id="rId46" Type="http://schemas.openxmlformats.org/officeDocument/2006/relationships/oleObject" Target="embeddings/Microsoft_Excel_97-2003_Worksheet15.xls"/><Relationship Id="rId67" Type="http://schemas.openxmlformats.org/officeDocument/2006/relationships/image" Target="media/image30.emf"/><Relationship Id="rId116" Type="http://schemas.openxmlformats.org/officeDocument/2006/relationships/footer" Target="footer1.xml"/><Relationship Id="rId20" Type="http://schemas.openxmlformats.org/officeDocument/2006/relationships/oleObject" Target="embeddings/Microsoft_Excel_97-2003_Worksheet5.xls"/><Relationship Id="rId41" Type="http://schemas.openxmlformats.org/officeDocument/2006/relationships/image" Target="media/image17.emf"/><Relationship Id="rId62" Type="http://schemas.openxmlformats.org/officeDocument/2006/relationships/oleObject" Target="embeddings/Microsoft_Excel_97-2003_Worksheet23.xls"/><Relationship Id="rId83" Type="http://schemas.openxmlformats.org/officeDocument/2006/relationships/image" Target="media/image38.emf"/><Relationship Id="rId88" Type="http://schemas.openxmlformats.org/officeDocument/2006/relationships/oleObject" Target="embeddings/Microsoft_Excel_97-2003_Worksheet36.xls"/><Relationship Id="rId111" Type="http://schemas.openxmlformats.org/officeDocument/2006/relationships/oleObject" Target="embeddings/Microsoft_Excel_97-2003_Worksheet47.xls"/><Relationship Id="rId15" Type="http://schemas.openxmlformats.org/officeDocument/2006/relationships/image" Target="media/image4.emf"/><Relationship Id="rId36" Type="http://schemas.openxmlformats.org/officeDocument/2006/relationships/oleObject" Target="embeddings/Microsoft_Excel_97-2003_Worksheet10.xls"/><Relationship Id="rId57" Type="http://schemas.openxmlformats.org/officeDocument/2006/relationships/image" Target="media/image25.emf"/><Relationship Id="rId106" Type="http://schemas.openxmlformats.org/officeDocument/2006/relationships/image" Target="media/image50.emf"/></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2374256211985479"/>
          <c:y val="9.2980279648154487E-2"/>
          <c:w val="0.85731855973093185"/>
          <c:h val="0.80091066210225159"/>
        </c:manualLayout>
      </c:layout>
      <c:lineChart>
        <c:grouping val="standard"/>
        <c:varyColors val="0"/>
        <c:ser>
          <c:idx val="1"/>
          <c:order val="0"/>
          <c:tx>
            <c:strRef>
              <c:f>'Graf-data_2018'!$A$38</c:f>
              <c:strCache>
                <c:ptCount val="1"/>
                <c:pt idx="0">
                  <c:v>rok 2021</c:v>
                </c:pt>
              </c:strCache>
            </c:strRef>
          </c:tx>
          <c:spPr>
            <a:ln w="36000" cap="rnd" cmpd="sng" algn="ctr">
              <a:solidFill>
                <a:schemeClr val="bg1">
                  <a:lumMod val="75000"/>
                </a:schemeClr>
              </a:solidFill>
              <a:prstDash val="solid"/>
              <a:round/>
            </a:ln>
            <a:effectLst/>
          </c:spPr>
          <c:marker>
            <c:symbol val="triangle"/>
            <c:size val="7"/>
            <c:spPr>
              <a:solidFill>
                <a:schemeClr val="bg1">
                  <a:lumMod val="85000"/>
                </a:schemeClr>
              </a:solidFill>
              <a:ln w="12000" cap="flat" cmpd="sng" algn="ctr">
                <a:noFill/>
                <a:prstDash val="solid"/>
                <a:round/>
              </a:ln>
              <a:effectLst/>
            </c:spPr>
          </c:marker>
          <c:val>
            <c:numRef>
              <c:f>'Graf-data_2018'!$B$38:$M$38</c:f>
              <c:numCache>
                <c:formatCode>#,##0</c:formatCode>
                <c:ptCount val="12"/>
                <c:pt idx="0">
                  <c:v>623839.00208999997</c:v>
                </c:pt>
                <c:pt idx="1">
                  <c:v>581595.70056999999</c:v>
                </c:pt>
                <c:pt idx="2">
                  <c:v>577433.59943000006</c:v>
                </c:pt>
                <c:pt idx="3">
                  <c:v>377572.95299999998</c:v>
                </c:pt>
                <c:pt idx="4">
                  <c:v>508870.18686999998</c:v>
                </c:pt>
                <c:pt idx="5">
                  <c:v>777032.90164000005</c:v>
                </c:pt>
                <c:pt idx="6">
                  <c:v>919442.57877000002</c:v>
                </c:pt>
                <c:pt idx="7">
                  <c:v>590982.84933</c:v>
                </c:pt>
                <c:pt idx="8">
                  <c:v>745216.39405</c:v>
                </c:pt>
                <c:pt idx="9">
                  <c:v>559999.05781000003</c:v>
                </c:pt>
                <c:pt idx="10">
                  <c:v>636780.96610000008</c:v>
                </c:pt>
                <c:pt idx="11">
                  <c:v>956343.45950999996</c:v>
                </c:pt>
              </c:numCache>
            </c:numRef>
          </c:val>
          <c:smooth val="0"/>
          <c:extLst>
            <c:ext xmlns:c16="http://schemas.microsoft.com/office/drawing/2014/chart" uri="{C3380CC4-5D6E-409C-BE32-E72D297353CC}">
              <c16:uniqueId val="{00000000-FA4F-405E-813F-B43972D1B418}"/>
            </c:ext>
          </c:extLst>
        </c:ser>
        <c:ser>
          <c:idx val="2"/>
          <c:order val="1"/>
          <c:tx>
            <c:strRef>
              <c:f>'Graf-data_2018'!$A$37</c:f>
              <c:strCache>
                <c:ptCount val="1"/>
                <c:pt idx="0">
                  <c:v>rok 2020</c:v>
                </c:pt>
              </c:strCache>
            </c:strRef>
          </c:tx>
          <c:spPr>
            <a:ln w="36000" cap="rnd" cmpd="sng" algn="ctr">
              <a:solidFill>
                <a:schemeClr val="accent3">
                  <a:lumMod val="60000"/>
                  <a:lumOff val="40000"/>
                </a:schemeClr>
              </a:solidFill>
              <a:prstDash val="solid"/>
              <a:round/>
            </a:ln>
            <a:effectLst/>
          </c:spPr>
          <c:marker>
            <c:symbol val="square"/>
            <c:size val="7"/>
            <c:spPr>
              <a:solidFill>
                <a:schemeClr val="accent3">
                  <a:lumMod val="40000"/>
                  <a:lumOff val="60000"/>
                </a:schemeClr>
              </a:solidFill>
              <a:ln w="12000" cap="flat" cmpd="sng" algn="ctr">
                <a:noFill/>
                <a:prstDash val="solid"/>
                <a:round/>
              </a:ln>
              <a:effectLst/>
            </c:spPr>
          </c:marker>
          <c:val>
            <c:numRef>
              <c:f>'Graf-data_2018'!$B$37:$M$37</c:f>
              <c:numCache>
                <c:formatCode>#,##0</c:formatCode>
                <c:ptCount val="12"/>
                <c:pt idx="0">
                  <c:v>556266.32271999994</c:v>
                </c:pt>
                <c:pt idx="1">
                  <c:v>599458.14726999996</c:v>
                </c:pt>
                <c:pt idx="2">
                  <c:v>670646.07713999995</c:v>
                </c:pt>
                <c:pt idx="3">
                  <c:v>396320.77205999999</c:v>
                </c:pt>
                <c:pt idx="4">
                  <c:v>346727.58928000001</c:v>
                </c:pt>
                <c:pt idx="5">
                  <c:v>442665.35930999997</c:v>
                </c:pt>
                <c:pt idx="6">
                  <c:v>682598.30985999992</c:v>
                </c:pt>
                <c:pt idx="7">
                  <c:v>569238.87481000007</c:v>
                </c:pt>
                <c:pt idx="8">
                  <c:v>730727.50471000001</c:v>
                </c:pt>
                <c:pt idx="9">
                  <c:v>531877.97131000005</c:v>
                </c:pt>
                <c:pt idx="10">
                  <c:v>610603.71500000008</c:v>
                </c:pt>
                <c:pt idx="11">
                  <c:v>822069.54680999997</c:v>
                </c:pt>
              </c:numCache>
            </c:numRef>
          </c:val>
          <c:smooth val="0"/>
          <c:extLst>
            <c:ext xmlns:c16="http://schemas.microsoft.com/office/drawing/2014/chart" uri="{C3380CC4-5D6E-409C-BE32-E72D297353CC}">
              <c16:uniqueId val="{00000001-FA4F-405E-813F-B43972D1B418}"/>
            </c:ext>
          </c:extLst>
        </c:ser>
        <c:ser>
          <c:idx val="0"/>
          <c:order val="2"/>
          <c:tx>
            <c:strRef>
              <c:f>'Graf-data_2018'!$A$39</c:f>
              <c:strCache>
                <c:ptCount val="1"/>
                <c:pt idx="0">
                  <c:v>rok 2022</c:v>
                </c:pt>
              </c:strCache>
            </c:strRef>
          </c:tx>
          <c:spPr>
            <a:ln w="36000" cap="rnd" cmpd="sng" algn="ctr">
              <a:solidFill>
                <a:srgbClr val="FF0000"/>
              </a:solidFill>
              <a:prstDash val="solid"/>
              <a:round/>
            </a:ln>
            <a:effectLst/>
          </c:spPr>
          <c:marker>
            <c:spPr>
              <a:solidFill>
                <a:srgbClr val="FF0000"/>
              </a:solidFill>
              <a:ln w="12000" cap="flat" cmpd="sng" algn="ctr">
                <a:noFill/>
                <a:prstDash val="solid"/>
                <a:round/>
              </a:ln>
              <a:effectLst/>
            </c:spPr>
          </c:marker>
          <c:dPt>
            <c:idx val="1"/>
            <c:bubble3D val="0"/>
            <c:extLst>
              <c:ext xmlns:c16="http://schemas.microsoft.com/office/drawing/2014/chart" uri="{C3380CC4-5D6E-409C-BE32-E72D297353CC}">
                <c16:uniqueId val="{00000002-FA4F-405E-813F-B43972D1B418}"/>
              </c:ext>
            </c:extLst>
          </c:dPt>
          <c:dPt>
            <c:idx val="2"/>
            <c:bubble3D val="0"/>
            <c:extLst>
              <c:ext xmlns:c16="http://schemas.microsoft.com/office/drawing/2014/chart" uri="{C3380CC4-5D6E-409C-BE32-E72D297353CC}">
                <c16:uniqueId val="{00000003-FA4F-405E-813F-B43972D1B418}"/>
              </c:ext>
            </c:extLst>
          </c:dPt>
          <c:dPt>
            <c:idx val="3"/>
            <c:bubble3D val="0"/>
            <c:extLst>
              <c:ext xmlns:c16="http://schemas.microsoft.com/office/drawing/2014/chart" uri="{C3380CC4-5D6E-409C-BE32-E72D297353CC}">
                <c16:uniqueId val="{00000004-FA4F-405E-813F-B43972D1B418}"/>
              </c:ext>
            </c:extLst>
          </c:dPt>
          <c:dLbls>
            <c:dLbl>
              <c:idx val="0"/>
              <c:layout>
                <c:manualLayout>
                  <c:x val="-5.3791246784934188E-2"/>
                  <c:y val="-3.7877975310374554E-2"/>
                </c:manualLayout>
              </c:layout>
              <c:showLegendKey val="0"/>
              <c:showVal val="1"/>
              <c:showCatName val="0"/>
              <c:showSerName val="0"/>
              <c:showPercent val="0"/>
              <c:showBubbleSize val="0"/>
              <c:extLst>
                <c:ext xmlns:c15="http://schemas.microsoft.com/office/drawing/2012/chart" uri="{CE6537A1-D6FC-4f65-9D91-7224C49458BB}">
                  <c15:layout>
                    <c:manualLayout>
                      <c:w val="8.3667551471080279E-2"/>
                      <c:h val="5.8863418367973444E-2"/>
                    </c:manualLayout>
                  </c15:layout>
                </c:ext>
                <c:ext xmlns:c16="http://schemas.microsoft.com/office/drawing/2014/chart" uri="{C3380CC4-5D6E-409C-BE32-E72D297353CC}">
                  <c16:uniqueId val="{00000005-FA4F-405E-813F-B43972D1B418}"/>
                </c:ext>
              </c:extLst>
            </c:dLbl>
            <c:dLbl>
              <c:idx val="1"/>
              <c:layout>
                <c:manualLayout>
                  <c:x val="-4.2945729517521361E-2"/>
                  <c:y val="-5.3471466925959527E-2"/>
                </c:manualLayout>
              </c:layout>
              <c:spPr>
                <a:noFill/>
                <a:ln>
                  <a:noFill/>
                </a:ln>
                <a:effectLst/>
              </c:spPr>
              <c:txPr>
                <a:bodyPr rot="0" spcFirstLastPara="1" vertOverflow="ellipsis" vert="horz" wrap="square" lIns="38100" tIns="19050" rIns="38100" bIns="19050" anchor="ctr" anchorCtr="1">
                  <a:noAutofit/>
                </a:bodyPr>
                <a:lstStyle/>
                <a:p>
                  <a:pPr>
                    <a:defRPr sz="800" b="0" i="0" u="none" strike="noStrike" kern="1200" baseline="0">
                      <a:solidFill>
                        <a:schemeClr val="tx1"/>
                      </a:solidFill>
                      <a:latin typeface="+mn-lt"/>
                      <a:ea typeface="+mn-ea"/>
                      <a:cs typeface="+mn-cs"/>
                    </a:defRPr>
                  </a:pPr>
                  <a:endParaRPr lang="cs-CZ"/>
                </a:p>
              </c:txPr>
              <c:showLegendKey val="0"/>
              <c:showVal val="1"/>
              <c:showCatName val="0"/>
              <c:showSerName val="0"/>
              <c:showPercent val="0"/>
              <c:showBubbleSize val="0"/>
              <c:extLst>
                <c:ext xmlns:c15="http://schemas.microsoft.com/office/drawing/2012/chart" uri="{CE6537A1-D6FC-4f65-9D91-7224C49458BB}">
                  <c15:layout>
                    <c:manualLayout>
                      <c:w val="7.0037045107866638E-2"/>
                      <c:h val="6.3513418074390732E-2"/>
                    </c:manualLayout>
                  </c15:layout>
                </c:ext>
                <c:ext xmlns:c16="http://schemas.microsoft.com/office/drawing/2014/chart" uri="{C3380CC4-5D6E-409C-BE32-E72D297353CC}">
                  <c16:uniqueId val="{00000002-FA4F-405E-813F-B43972D1B418}"/>
                </c:ext>
              </c:extLst>
            </c:dLbl>
            <c:dLbl>
              <c:idx val="2"/>
              <c:layout>
                <c:manualLayout>
                  <c:x val="2.1791239921551534E-3"/>
                  <c:y val="-2.497732022835154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FA4F-405E-813F-B43972D1B418}"/>
                </c:ext>
              </c:extLst>
            </c:dLbl>
            <c:dLbl>
              <c:idx val="3"/>
              <c:layout>
                <c:manualLayout>
                  <c:x val="-3.915731387793131E-2"/>
                  <c:y val="4.7332140452526185E-2"/>
                </c:manualLayout>
              </c:layout>
              <c:spPr>
                <a:noFill/>
                <a:ln>
                  <a:noFill/>
                </a:ln>
                <a:effectLst/>
              </c:spPr>
              <c:txPr>
                <a:bodyPr rot="0" spcFirstLastPara="1" vertOverflow="ellipsis" vert="horz" wrap="square" lIns="38100" tIns="19050" rIns="38100" bIns="19050" anchor="ctr" anchorCtr="1">
                  <a:noAutofit/>
                </a:bodyPr>
                <a:lstStyle/>
                <a:p>
                  <a:pPr>
                    <a:defRPr sz="800" b="0" i="0" u="none" strike="noStrike" kern="1200" baseline="0">
                      <a:solidFill>
                        <a:schemeClr val="tx1"/>
                      </a:solidFill>
                      <a:latin typeface="+mn-lt"/>
                      <a:ea typeface="+mn-ea"/>
                      <a:cs typeface="+mn-cs"/>
                    </a:defRPr>
                  </a:pPr>
                  <a:endParaRPr lang="cs-CZ"/>
                </a:p>
              </c:txPr>
              <c:showLegendKey val="0"/>
              <c:showVal val="1"/>
              <c:showCatName val="0"/>
              <c:showSerName val="0"/>
              <c:showPercent val="0"/>
              <c:showBubbleSize val="0"/>
              <c:extLst>
                <c:ext xmlns:c15="http://schemas.microsoft.com/office/drawing/2012/chart" uri="{CE6537A1-D6FC-4f65-9D91-7224C49458BB}">
                  <c15:layout>
                    <c:manualLayout>
                      <c:w val="7.0037045107866638E-2"/>
                      <c:h val="5.3359415705123509E-2"/>
                    </c:manualLayout>
                  </c15:layout>
                </c:ext>
                <c:ext xmlns:c16="http://schemas.microsoft.com/office/drawing/2014/chart" uri="{C3380CC4-5D6E-409C-BE32-E72D297353CC}">
                  <c16:uniqueId val="{00000004-FA4F-405E-813F-B43972D1B418}"/>
                </c:ext>
              </c:extLst>
            </c:dLbl>
            <c:dLbl>
              <c:idx val="4"/>
              <c:layout>
                <c:manualLayout>
                  <c:x val="6.5373719764654607E-3"/>
                  <c:y val="1.0117767742431306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FA4F-405E-813F-B43972D1B418}"/>
                </c:ext>
              </c:extLst>
            </c:dLbl>
            <c:dLbl>
              <c:idx val="5"/>
              <c:layout>
                <c:manualLayout>
                  <c:x val="-8.3896273697973409E-2"/>
                  <c:y val="-4.9660429938300998E-2"/>
                </c:manualLayout>
              </c:layout>
              <c:spPr>
                <a:noFill/>
                <a:ln>
                  <a:noFill/>
                </a:ln>
                <a:effectLst/>
              </c:spPr>
              <c:txPr>
                <a:bodyPr rot="0" spcFirstLastPara="1" vertOverflow="ellipsis" vert="horz" wrap="square" lIns="38100" tIns="19050" rIns="38100" bIns="19050" anchor="ctr" anchorCtr="1">
                  <a:noAutofit/>
                </a:bodyPr>
                <a:lstStyle/>
                <a:p>
                  <a:pPr>
                    <a:defRPr sz="800" b="0" i="0" u="none" strike="noStrike" kern="1200" baseline="0">
                      <a:solidFill>
                        <a:schemeClr val="tx1"/>
                      </a:solidFill>
                      <a:latin typeface="+mn-lt"/>
                      <a:ea typeface="+mn-ea"/>
                      <a:cs typeface="+mn-cs"/>
                    </a:defRPr>
                  </a:pPr>
                  <a:endParaRPr lang="cs-CZ"/>
                </a:p>
              </c:txPr>
              <c:showLegendKey val="0"/>
              <c:showVal val="1"/>
              <c:showCatName val="0"/>
              <c:showSerName val="0"/>
              <c:showPercent val="0"/>
              <c:showBubbleSize val="0"/>
              <c:extLst>
                <c:ext xmlns:c15="http://schemas.microsoft.com/office/drawing/2012/chart" uri="{CE6537A1-D6FC-4f65-9D91-7224C49458BB}">
                  <c15:layout>
                    <c:manualLayout>
                      <c:w val="7.2216169100021793E-2"/>
                      <c:h val="5.8413067558152933E-2"/>
                    </c:manualLayout>
                  </c15:layout>
                </c:ext>
                <c:ext xmlns:c16="http://schemas.microsoft.com/office/drawing/2014/chart" uri="{C3380CC4-5D6E-409C-BE32-E72D297353CC}">
                  <c16:uniqueId val="{00000007-FA4F-405E-813F-B43972D1B418}"/>
                </c:ext>
              </c:extLst>
            </c:dLbl>
            <c:dLbl>
              <c:idx val="6"/>
              <c:layout>
                <c:manualLayout>
                  <c:x val="-8.7164959686206137E-3"/>
                  <c:y val="-2.2378878324486987E-2"/>
                </c:manualLayout>
              </c:layout>
              <c:spPr>
                <a:noFill/>
                <a:ln>
                  <a:noFill/>
                </a:ln>
                <a:effectLst/>
              </c:spPr>
              <c:txPr>
                <a:bodyPr rot="0" spcFirstLastPara="1" vertOverflow="ellipsis" vert="horz" wrap="square" lIns="38100" tIns="19050" rIns="38100" bIns="19050" anchor="ctr" anchorCtr="1">
                  <a:noAutofit/>
                </a:bodyPr>
                <a:lstStyle/>
                <a:p>
                  <a:pPr>
                    <a:defRPr sz="800" b="0" i="0" u="none" strike="noStrike" kern="1200" baseline="0">
                      <a:solidFill>
                        <a:schemeClr val="tx1"/>
                      </a:solidFill>
                      <a:latin typeface="+mn-lt"/>
                      <a:ea typeface="+mn-ea"/>
                      <a:cs typeface="+mn-cs"/>
                    </a:defRPr>
                  </a:pPr>
                  <a:endParaRPr lang="cs-CZ"/>
                </a:p>
              </c:txPr>
              <c:showLegendKey val="0"/>
              <c:showVal val="1"/>
              <c:showCatName val="0"/>
              <c:showSerName val="0"/>
              <c:showPercent val="0"/>
              <c:showBubbleSize val="0"/>
              <c:extLst>
                <c:ext xmlns:c15="http://schemas.microsoft.com/office/drawing/2012/chart" uri="{CE6537A1-D6FC-4f65-9D91-7224C49458BB}">
                  <c15:layout>
                    <c:manualLayout>
                      <c:w val="7.0037045107866638E-2"/>
                      <c:h val="5.8413067558152933E-2"/>
                    </c:manualLayout>
                  </c15:layout>
                </c:ext>
                <c:ext xmlns:c16="http://schemas.microsoft.com/office/drawing/2014/chart" uri="{C3380CC4-5D6E-409C-BE32-E72D297353CC}">
                  <c16:uniqueId val="{00000008-FA4F-405E-813F-B43972D1B418}"/>
                </c:ext>
              </c:extLst>
            </c:dLbl>
            <c:dLbl>
              <c:idx val="7"/>
              <c:layout>
                <c:manualLayout>
                  <c:x val="-3.0507735890172152E-2"/>
                  <c:y val="-0.12978209041501898"/>
                </c:manualLayout>
              </c:layout>
              <c:spPr>
                <a:noFill/>
                <a:ln>
                  <a:noFill/>
                </a:ln>
                <a:effectLst/>
              </c:spPr>
              <c:txPr>
                <a:bodyPr rot="0" spcFirstLastPara="1" vertOverflow="ellipsis" vert="horz" wrap="square" lIns="38100" tIns="19050" rIns="38100" bIns="19050" anchor="ctr" anchorCtr="1">
                  <a:noAutofit/>
                </a:bodyPr>
                <a:lstStyle/>
                <a:p>
                  <a:pPr>
                    <a:defRPr sz="800" b="0" i="0" u="none" strike="noStrike" kern="1200" baseline="0">
                      <a:solidFill>
                        <a:schemeClr val="tx1"/>
                      </a:solidFill>
                      <a:latin typeface="+mn-lt"/>
                      <a:ea typeface="+mn-ea"/>
                      <a:cs typeface="+mn-cs"/>
                    </a:defRPr>
                  </a:pPr>
                  <a:endParaRPr lang="cs-CZ"/>
                </a:p>
              </c:txPr>
              <c:showLegendKey val="0"/>
              <c:showVal val="1"/>
              <c:showCatName val="0"/>
              <c:showSerName val="0"/>
              <c:showPercent val="0"/>
              <c:showBubbleSize val="0"/>
              <c:extLst>
                <c:ext xmlns:c15="http://schemas.microsoft.com/office/drawing/2012/chart" uri="{CE6537A1-D6FC-4f65-9D91-7224C49458BB}">
                  <c15:layout>
                    <c:manualLayout>
                      <c:w val="7.0037045107866638E-2"/>
                      <c:h val="4.5682322809585146E-2"/>
                    </c:manualLayout>
                  </c15:layout>
                </c:ext>
                <c:ext xmlns:c16="http://schemas.microsoft.com/office/drawing/2014/chart" uri="{C3380CC4-5D6E-409C-BE32-E72D297353CC}">
                  <c16:uniqueId val="{00000009-FA4F-405E-813F-B43972D1B418}"/>
                </c:ext>
              </c:extLst>
            </c:dLbl>
            <c:dLbl>
              <c:idx val="8"/>
              <c:layout>
                <c:manualLayout>
                  <c:x val="-1.9612115929396382E-2"/>
                  <c:y val="-3.066605853135321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FA4F-405E-813F-B43972D1B418}"/>
                </c:ext>
              </c:extLst>
            </c:dLbl>
            <c:dLbl>
              <c:idx val="9"/>
              <c:layout>
                <c:manualLayout>
                  <c:x val="-2.8328611898017157E-2"/>
                  <c:y val="-9.148794338327068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FA4F-405E-813F-B43972D1B418}"/>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solidFill>
                    <a:latin typeface="+mn-lt"/>
                    <a:ea typeface="+mn-ea"/>
                    <a:cs typeface="+mn-cs"/>
                  </a:defRPr>
                </a:pPr>
                <a:endParaRPr lang="cs-CZ"/>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'Graf-data_2018'!$B$39:$M$39</c:f>
              <c:numCache>
                <c:formatCode>#,##0</c:formatCode>
                <c:ptCount val="12"/>
                <c:pt idx="0">
                  <c:v>605392.40871999995</c:v>
                </c:pt>
                <c:pt idx="1">
                  <c:v>630264.75638000004</c:v>
                </c:pt>
                <c:pt idx="2">
                  <c:v>650535.66839999997</c:v>
                </c:pt>
                <c:pt idx="3">
                  <c:v>528415.75176999997</c:v>
                </c:pt>
                <c:pt idx="4">
                  <c:v>563628.55595999991</c:v>
                </c:pt>
                <c:pt idx="6">
                  <c:v>0</c:v>
                </c:pt>
                <c:pt idx="7">
                  <c:v>0</c:v>
                </c:pt>
                <c:pt idx="8">
                  <c:v>0</c:v>
                </c:pt>
                <c:pt idx="9">
                  <c:v>0</c:v>
                </c:pt>
                <c:pt idx="10">
                  <c:v>0</c:v>
                </c:pt>
                <c:pt idx="11">
                  <c:v>0</c:v>
                </c:pt>
              </c:numCache>
            </c:numRef>
          </c:val>
          <c:smooth val="0"/>
          <c:extLst>
            <c:ext xmlns:c16="http://schemas.microsoft.com/office/drawing/2014/chart" uri="{C3380CC4-5D6E-409C-BE32-E72D297353CC}">
              <c16:uniqueId val="{0000000C-FA4F-405E-813F-B43972D1B418}"/>
            </c:ext>
          </c:extLst>
        </c:ser>
        <c:dLbls>
          <c:showLegendKey val="0"/>
          <c:showVal val="0"/>
          <c:showCatName val="0"/>
          <c:showSerName val="0"/>
          <c:showPercent val="0"/>
          <c:showBubbleSize val="0"/>
        </c:dLbls>
        <c:marker val="1"/>
        <c:smooth val="0"/>
        <c:axId val="295051952"/>
        <c:axId val="295050776"/>
      </c:lineChart>
      <c:catAx>
        <c:axId val="295051952"/>
        <c:scaling>
          <c:orientation val="minMax"/>
        </c:scaling>
        <c:delete val="0"/>
        <c:axPos val="b"/>
        <c:numFmt formatCode="General" sourceLinked="1"/>
        <c:majorTickMark val="out"/>
        <c:minorTickMark val="none"/>
        <c:tickLblPos val="nextTo"/>
        <c:spPr>
          <a:noFill/>
          <a:ln w="12000" cap="flat" cmpd="sng" algn="ctr">
            <a:solidFill>
              <a:schemeClr val="tx1">
                <a:tint val="75000"/>
              </a:schemeClr>
            </a:solidFill>
            <a:prstDash val="solid"/>
            <a:round/>
          </a:ln>
          <a:effectLst/>
        </c:spPr>
        <c:txPr>
          <a:bodyPr rot="-60000000" spcFirstLastPara="1" vertOverflow="ellipsis" vert="horz" wrap="square" anchor="ctr" anchorCtr="1"/>
          <a:lstStyle/>
          <a:p>
            <a:pPr>
              <a:defRPr sz="800" b="0" i="0" u="none" strike="noStrike" kern="1200" baseline="0">
                <a:solidFill>
                  <a:schemeClr val="tx1"/>
                </a:solidFill>
                <a:latin typeface="+mn-lt"/>
                <a:ea typeface="+mn-ea"/>
                <a:cs typeface="+mn-cs"/>
              </a:defRPr>
            </a:pPr>
            <a:endParaRPr lang="cs-CZ"/>
          </a:p>
        </c:txPr>
        <c:crossAx val="295050776"/>
        <c:crosses val="autoZero"/>
        <c:auto val="1"/>
        <c:lblAlgn val="ctr"/>
        <c:lblOffset val="100"/>
        <c:noMultiLvlLbl val="0"/>
      </c:catAx>
      <c:valAx>
        <c:axId val="295050776"/>
        <c:scaling>
          <c:orientation val="minMax"/>
          <c:min val="200000"/>
        </c:scaling>
        <c:delete val="0"/>
        <c:axPos val="l"/>
        <c:majorGridlines>
          <c:spPr>
            <a:ln w="12000" cap="flat" cmpd="sng" algn="ctr">
              <a:solidFill>
                <a:schemeClr val="tx1">
                  <a:tint val="75000"/>
                </a:schemeClr>
              </a:solidFill>
              <a:prstDash val="solid"/>
              <a:round/>
            </a:ln>
            <a:effectLst/>
          </c:spPr>
        </c:majorGridlines>
        <c:numFmt formatCode="#,##0" sourceLinked="1"/>
        <c:majorTickMark val="out"/>
        <c:minorTickMark val="none"/>
        <c:tickLblPos val="nextTo"/>
        <c:spPr>
          <a:noFill/>
          <a:ln w="12000" cap="flat" cmpd="sng" algn="ctr">
            <a:solidFill>
              <a:schemeClr val="tx1">
                <a:tint val="75000"/>
              </a:schemeClr>
            </a:solidFill>
            <a:prstDash val="solid"/>
            <a:round/>
          </a:ln>
          <a:effectLst/>
        </c:spPr>
        <c:txPr>
          <a:bodyPr rot="-60000000" spcFirstLastPara="1" vertOverflow="ellipsis" vert="horz" wrap="square" anchor="ctr" anchorCtr="1"/>
          <a:lstStyle/>
          <a:p>
            <a:pPr>
              <a:defRPr sz="800" b="0" i="0" u="none" strike="noStrike" kern="1200" baseline="0">
                <a:solidFill>
                  <a:schemeClr val="tx1"/>
                </a:solidFill>
                <a:latin typeface="+mn-lt"/>
                <a:ea typeface="+mn-ea"/>
                <a:cs typeface="+mn-cs"/>
              </a:defRPr>
            </a:pPr>
            <a:endParaRPr lang="cs-CZ"/>
          </a:p>
        </c:txPr>
        <c:crossAx val="295051952"/>
        <c:crosses val="autoZero"/>
        <c:crossBetween val="between"/>
      </c:valAx>
      <c:spPr>
        <a:noFill/>
        <a:ln>
          <a:noFill/>
        </a:ln>
        <a:effectLst/>
      </c:spPr>
    </c:plotArea>
    <c:legend>
      <c:legendPos val="b"/>
      <c:layout>
        <c:manualLayout>
          <c:xMode val="edge"/>
          <c:yMode val="edge"/>
          <c:x val="0.1517425270631757"/>
          <c:y val="0.94697132227231118"/>
          <c:w val="0.68344020192071753"/>
          <c:h val="5.3028677727688843E-2"/>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mn-lt"/>
              <a:ea typeface="+mn-ea"/>
              <a:cs typeface="+mn-cs"/>
            </a:defRPr>
          </a:pPr>
          <a:endParaRPr lang="cs-CZ"/>
        </a:p>
      </c:txPr>
    </c:legend>
    <c:plotVisOnly val="1"/>
    <c:dispBlanksAs val="gap"/>
    <c:showDLblsOverMax val="0"/>
  </c:chart>
  <c:spPr>
    <a:solidFill>
      <a:schemeClr val="bg1"/>
    </a:solidFill>
    <a:ln w="12000" cap="flat" cmpd="sng" algn="ctr">
      <a:solidFill>
        <a:schemeClr val="tx1">
          <a:tint val="75000"/>
        </a:schemeClr>
      </a:solidFill>
      <a:prstDash val="solid"/>
      <a:round/>
    </a:ln>
    <a:effectLst/>
  </c:spPr>
  <c:txPr>
    <a:bodyPr/>
    <a:lstStyle/>
    <a:p>
      <a:pPr>
        <a:defRPr sz="800" baseline="0"/>
      </a:pPr>
      <a:endParaRPr lang="cs-CZ"/>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Metro">
    <a:fillStyleLst>
      <a:solidFill>
        <a:schemeClr val="phClr"/>
      </a:solidFill>
      <a:gradFill rotWithShape="1">
        <a:gsLst>
          <a:gs pos="0">
            <a:schemeClr val="phClr">
              <a:tint val="25000"/>
              <a:satMod val="125000"/>
            </a:schemeClr>
          </a:gs>
          <a:gs pos="40000">
            <a:schemeClr val="phClr">
              <a:tint val="55000"/>
              <a:satMod val="130000"/>
            </a:schemeClr>
          </a:gs>
          <a:gs pos="50000">
            <a:schemeClr val="phClr">
              <a:tint val="59000"/>
              <a:satMod val="130000"/>
            </a:schemeClr>
          </a:gs>
          <a:gs pos="65000">
            <a:schemeClr val="phClr">
              <a:tint val="55000"/>
              <a:satMod val="130000"/>
            </a:schemeClr>
          </a:gs>
          <a:gs pos="100000">
            <a:schemeClr val="phClr">
              <a:tint val="20000"/>
              <a:satMod val="125000"/>
            </a:schemeClr>
          </a:gs>
        </a:gsLst>
        <a:lin ang="5400000" scaled="0"/>
      </a:gradFill>
      <a:gradFill rotWithShape="1">
        <a:gsLst>
          <a:gs pos="0">
            <a:schemeClr val="phClr">
              <a:tint val="48000"/>
              <a:satMod val="138000"/>
            </a:schemeClr>
          </a:gs>
          <a:gs pos="25000">
            <a:schemeClr val="phClr">
              <a:tint val="85000"/>
            </a:schemeClr>
          </a:gs>
          <a:gs pos="40000">
            <a:schemeClr val="phClr">
              <a:tint val="92000"/>
            </a:schemeClr>
          </a:gs>
          <a:gs pos="50000">
            <a:schemeClr val="phClr">
              <a:tint val="93000"/>
            </a:schemeClr>
          </a:gs>
          <a:gs pos="60000">
            <a:schemeClr val="phClr">
              <a:tint val="92000"/>
            </a:schemeClr>
          </a:gs>
          <a:gs pos="75000">
            <a:schemeClr val="phClr">
              <a:tint val="83000"/>
              <a:satMod val="108000"/>
            </a:schemeClr>
          </a:gs>
          <a:gs pos="100000">
            <a:schemeClr val="phClr">
              <a:tint val="48000"/>
              <a:satMod val="150000"/>
            </a:schemeClr>
          </a:gs>
        </a:gsLst>
        <a:lin ang="5400000" scaled="0"/>
      </a:gradFill>
    </a:fillStyleLst>
    <a:lnStyleLst>
      <a:ln w="12000" cap="flat" cmpd="sng" algn="ctr">
        <a:solidFill>
          <a:schemeClr val="phClr"/>
        </a:solidFill>
        <a:prstDash val="solid"/>
      </a:ln>
      <a:ln w="19050" cap="flat" cmpd="sng" algn="ctr">
        <a:solidFill>
          <a:schemeClr val="phClr"/>
        </a:solidFill>
        <a:prstDash val="solid"/>
      </a:ln>
      <a:ln w="38100" cap="flat" cmpd="sng" algn="ctr">
        <a:solidFill>
          <a:schemeClr val="phClr"/>
        </a:solidFill>
        <a:prstDash val="solid"/>
      </a:ln>
    </a:lnStyleLst>
    <a:effectStyleLst>
      <a:effectStyle>
        <a:effectLst>
          <a:glow rad="63500">
            <a:schemeClr val="phClr">
              <a:alpha val="45000"/>
              <a:satMod val="120000"/>
            </a:schemeClr>
          </a:glow>
        </a:effectLst>
      </a:effectStyle>
      <a:effectStyle>
        <a:effectLst>
          <a:glow rad="63500">
            <a:schemeClr val="phClr">
              <a:alpha val="45000"/>
              <a:satMod val="120000"/>
            </a:schemeClr>
          </a:glow>
        </a:effectLst>
        <a:scene3d>
          <a:camera prst="orthographicFront" fov="0">
            <a:rot lat="0" lon="0" rev="0"/>
          </a:camera>
          <a:lightRig rig="brightRoom" dir="tl">
            <a:rot lat="0" lon="0" rev="8700000"/>
          </a:lightRig>
        </a:scene3d>
        <a:sp3d>
          <a:bevelT w="0" h="0"/>
          <a:contourClr>
            <a:schemeClr val="phClr">
              <a:tint val="70000"/>
            </a:schemeClr>
          </a:contourClr>
        </a:sp3d>
      </a:effectStyle>
      <a:effectStyle>
        <a:effectLst>
          <a:glow rad="101500">
            <a:schemeClr val="phClr">
              <a:alpha val="42000"/>
              <a:satMod val="120000"/>
            </a:schemeClr>
          </a:glow>
        </a:effectLst>
        <a:scene3d>
          <a:camera prst="orthographicFront" fov="0">
            <a:rot lat="0" lon="0" rev="0"/>
          </a:camera>
          <a:lightRig rig="glow" dir="t">
            <a:rot lat="0" lon="0" rev="4800000"/>
          </a:lightRig>
        </a:scene3d>
        <a:sp3d prstMaterial="powder">
          <a:bevelT w="50800" h="50800"/>
          <a:contourClr>
            <a:schemeClr val="ph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707082-D104-4302-A846-9307B20333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1120</TotalTime>
  <Pages>37</Pages>
  <Words>9859</Words>
  <Characters>54592</Characters>
  <Application>Microsoft Office Word</Application>
  <DocSecurity>0</DocSecurity>
  <Lines>454</Lines>
  <Paragraphs>128</Paragraphs>
  <ScaleCrop>false</ScaleCrop>
  <HeadingPairs>
    <vt:vector size="2" baseType="variant">
      <vt:variant>
        <vt:lpstr>Název</vt:lpstr>
      </vt:variant>
      <vt:variant>
        <vt:i4>1</vt:i4>
      </vt:variant>
    </vt:vector>
  </HeadingPairs>
  <TitlesOfParts>
    <vt:vector size="1" baseType="lpstr">
      <vt:lpstr>Plnění rozpočtu MSK</vt:lpstr>
    </vt:vector>
  </TitlesOfParts>
  <Company>Krajský úřad</Company>
  <LinksUpToDate>false</LinksUpToDate>
  <CharactersWithSpaces>64323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Plnění rozpočtu MSK</dc:title>
  <dc:subject/>
  <dc:creator>metelkova</dc:creator>
  <cp:keywords/>
  <cp:lastModifiedBy>Klučková Pavla</cp:lastModifiedBy>
  <cp:revision>348</cp:revision>
  <cp:lastPrinted>2018-11-14T11:56:00Z</cp:lastPrinted>
  <dcterms:created xsi:type="dcterms:W3CDTF">2022-05-15T03:37:00Z</dcterms:created>
  <dcterms:modified xsi:type="dcterms:W3CDTF">2022-05-25T08:43:00Z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3ff9749-f68b-40ec-aa05-229831920469_Enabled">
    <vt:lpwstr>true</vt:lpwstr>
  </property>
  <property fmtid="{D5CDD505-2E9C-101B-9397-08002B2CF9AE}" pid="3" name="MSIP_Label_63ff9749-f68b-40ec-aa05-229831920469_SetDate">
    <vt:lpwstr>2022-04-28T06:22:17Z</vt:lpwstr>
  </property>
  <property fmtid="{D5CDD505-2E9C-101B-9397-08002B2CF9AE}" pid="4" name="MSIP_Label_63ff9749-f68b-40ec-aa05-229831920469_Method">
    <vt:lpwstr>Standard</vt:lpwstr>
  </property>
  <property fmtid="{D5CDD505-2E9C-101B-9397-08002B2CF9AE}" pid="5" name="MSIP_Label_63ff9749-f68b-40ec-aa05-229831920469_Name">
    <vt:lpwstr>Neveřejná informace</vt:lpwstr>
  </property>
  <property fmtid="{D5CDD505-2E9C-101B-9397-08002B2CF9AE}" pid="6" name="MSIP_Label_63ff9749-f68b-40ec-aa05-229831920469_SiteId">
    <vt:lpwstr>39f24d0b-aa30-4551-8e81-43c77cf1000e</vt:lpwstr>
  </property>
  <property fmtid="{D5CDD505-2E9C-101B-9397-08002B2CF9AE}" pid="7" name="MSIP_Label_63ff9749-f68b-40ec-aa05-229831920469_ActionId">
    <vt:lpwstr>b584e687-d0f6-4d61-a6b1-a583b22a5b83</vt:lpwstr>
  </property>
  <property fmtid="{D5CDD505-2E9C-101B-9397-08002B2CF9AE}" pid="8" name="MSIP_Label_63ff9749-f68b-40ec-aa05-229831920469_ContentBits">
    <vt:lpwstr>2</vt:lpwstr>
  </property>
</Properties>
</file>