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4872A2" w14:textId="20347CED" w:rsidR="00541D29" w:rsidRPr="00C82E9C" w:rsidRDefault="00E247B8" w:rsidP="00442DE8">
      <w:pPr>
        <w:pageBreakBefore/>
        <w:jc w:val="center"/>
        <w:rPr>
          <w:rFonts w:cstheme="minorHAnsi"/>
          <w:b/>
          <w:bCs/>
          <w:sz w:val="24"/>
          <w:szCs w:val="24"/>
        </w:rPr>
      </w:pPr>
      <w:bookmarkStart w:id="0" w:name="_Hlk102651724"/>
      <w:r w:rsidRPr="00C82E9C">
        <w:rPr>
          <w:rFonts w:cstheme="minorHAnsi"/>
          <w:b/>
          <w:bCs/>
          <w:sz w:val="24"/>
          <w:szCs w:val="24"/>
        </w:rPr>
        <w:t>Pověření</w:t>
      </w:r>
    </w:p>
    <w:p w14:paraId="546D2A3A" w14:textId="3D17CE49" w:rsidR="00E247B8" w:rsidRPr="00C82E9C" w:rsidRDefault="00E247B8" w:rsidP="00C82E9C">
      <w:pPr>
        <w:jc w:val="center"/>
        <w:rPr>
          <w:rFonts w:cstheme="minorHAnsi"/>
          <w:b/>
          <w:bCs/>
          <w:sz w:val="24"/>
          <w:szCs w:val="24"/>
        </w:rPr>
      </w:pPr>
      <w:r w:rsidRPr="00C82E9C">
        <w:rPr>
          <w:rFonts w:cstheme="minorHAnsi"/>
          <w:b/>
          <w:bCs/>
          <w:sz w:val="24"/>
          <w:szCs w:val="24"/>
        </w:rPr>
        <w:t>k výkonu služby obecného hospodářského zájmu</w:t>
      </w:r>
    </w:p>
    <w:p w14:paraId="274D91F8" w14:textId="043268DB" w:rsidR="00E247B8" w:rsidRPr="00C82E9C" w:rsidRDefault="00E247B8" w:rsidP="00C82E9C">
      <w:pPr>
        <w:jc w:val="center"/>
        <w:rPr>
          <w:rFonts w:cstheme="minorHAnsi"/>
        </w:rPr>
      </w:pPr>
      <w:r w:rsidRPr="00C82E9C">
        <w:rPr>
          <w:rFonts w:cstheme="minorHAnsi"/>
        </w:rPr>
        <w:t>(dále jen „pověření“)</w:t>
      </w:r>
    </w:p>
    <w:p w14:paraId="1BA611EE" w14:textId="0529404D" w:rsidR="00E247B8" w:rsidRPr="006343AF" w:rsidRDefault="006343AF" w:rsidP="00C82E9C">
      <w:pPr>
        <w:rPr>
          <w:rFonts w:cstheme="minorHAnsi"/>
        </w:rPr>
      </w:pPr>
      <w:r w:rsidRPr="006343AF">
        <w:rPr>
          <w:rFonts w:cstheme="minorHAnsi"/>
        </w:rPr>
        <w:t>Moravskoslezský kraj</w:t>
      </w:r>
    </w:p>
    <w:p w14:paraId="2ADFBFBA" w14:textId="5AD9C490" w:rsidR="00F800CF" w:rsidRPr="00C82E9C" w:rsidRDefault="00F800CF" w:rsidP="00C82E9C">
      <w:pPr>
        <w:rPr>
          <w:rFonts w:cstheme="minorHAnsi"/>
        </w:rPr>
      </w:pPr>
      <w:r w:rsidRPr="00C82E9C">
        <w:rPr>
          <w:rFonts w:cstheme="minorHAnsi"/>
        </w:rPr>
        <w:t>Sídlo:</w:t>
      </w:r>
      <w:r w:rsidR="006343AF">
        <w:rPr>
          <w:rFonts w:cstheme="minorHAnsi"/>
        </w:rPr>
        <w:t xml:space="preserve"> 28. října 2771/117, 702 18 Ostrava</w:t>
      </w:r>
    </w:p>
    <w:p w14:paraId="1C5E887A" w14:textId="32A4D2CA" w:rsidR="00AF147D" w:rsidRPr="00C82E9C" w:rsidRDefault="00AF147D" w:rsidP="00C82E9C">
      <w:pPr>
        <w:rPr>
          <w:rFonts w:cstheme="minorHAnsi"/>
        </w:rPr>
      </w:pPr>
      <w:r w:rsidRPr="005D236B">
        <w:rPr>
          <w:rFonts w:cstheme="minorHAnsi"/>
        </w:rPr>
        <w:t>Zastoupen:</w:t>
      </w:r>
    </w:p>
    <w:p w14:paraId="616F2346" w14:textId="74213E22" w:rsidR="00F800CF" w:rsidRPr="00C82E9C" w:rsidRDefault="00F800CF" w:rsidP="00C82E9C">
      <w:pPr>
        <w:rPr>
          <w:rFonts w:cstheme="minorHAnsi"/>
        </w:rPr>
      </w:pPr>
      <w:r w:rsidRPr="00C82E9C">
        <w:rPr>
          <w:rFonts w:cstheme="minorHAnsi"/>
        </w:rPr>
        <w:t>IČO:</w:t>
      </w:r>
      <w:r w:rsidR="006343AF">
        <w:rPr>
          <w:rFonts w:cstheme="minorHAnsi"/>
        </w:rPr>
        <w:t xml:space="preserve"> </w:t>
      </w:r>
      <w:r w:rsidR="00621715">
        <w:rPr>
          <w:rFonts w:cstheme="minorHAnsi"/>
        </w:rPr>
        <w:t>70890692</w:t>
      </w:r>
      <w:r w:rsidRPr="00C82E9C">
        <w:rPr>
          <w:rFonts w:cstheme="minorHAnsi"/>
        </w:rPr>
        <w:br/>
        <w:t>DIČ:</w:t>
      </w:r>
      <w:r w:rsidR="00F033FC">
        <w:rPr>
          <w:rFonts w:cstheme="minorHAnsi"/>
        </w:rPr>
        <w:t xml:space="preserve"> </w:t>
      </w:r>
      <w:r w:rsidR="00F033FC" w:rsidRPr="00F033FC">
        <w:rPr>
          <w:rFonts w:cstheme="minorHAnsi"/>
        </w:rPr>
        <w:t>CZ70890692</w:t>
      </w:r>
    </w:p>
    <w:p w14:paraId="65C58B24" w14:textId="30E0AAF1" w:rsidR="00F800CF" w:rsidRPr="00C82E9C" w:rsidRDefault="00F800CF" w:rsidP="00C82E9C">
      <w:pPr>
        <w:rPr>
          <w:rFonts w:cstheme="minorHAnsi"/>
        </w:rPr>
      </w:pPr>
      <w:r w:rsidRPr="00C82E9C">
        <w:rPr>
          <w:rFonts w:cstheme="minorHAnsi"/>
        </w:rPr>
        <w:t>(dále jen „pověřovatel“</w:t>
      </w:r>
      <w:r w:rsidR="00C62AB1" w:rsidRPr="00C82E9C">
        <w:rPr>
          <w:rFonts w:cstheme="minorHAnsi"/>
        </w:rPr>
        <w:t xml:space="preserve"> nebo „Kraj“</w:t>
      </w:r>
      <w:r w:rsidRPr="00C82E9C">
        <w:rPr>
          <w:rFonts w:cstheme="minorHAnsi"/>
        </w:rPr>
        <w:t>)</w:t>
      </w:r>
    </w:p>
    <w:p w14:paraId="7A99361E" w14:textId="62BE0AAB" w:rsidR="00F800CF" w:rsidRPr="00C82E9C" w:rsidRDefault="00F800CF" w:rsidP="00C82E9C">
      <w:pPr>
        <w:rPr>
          <w:rFonts w:cstheme="minorHAnsi"/>
        </w:rPr>
      </w:pPr>
    </w:p>
    <w:p w14:paraId="2FAC2002" w14:textId="2C392C0E" w:rsidR="00F800CF" w:rsidRPr="00C82E9C" w:rsidRDefault="00F800CF" w:rsidP="003B459D">
      <w:pPr>
        <w:jc w:val="both"/>
        <w:rPr>
          <w:rFonts w:cstheme="minorHAnsi"/>
        </w:rPr>
      </w:pPr>
      <w:r w:rsidRPr="00C82E9C">
        <w:rPr>
          <w:rFonts w:cstheme="minorHAnsi"/>
        </w:rPr>
        <w:t xml:space="preserve">V souladu s usnesením </w:t>
      </w:r>
      <w:r w:rsidR="006D23D7" w:rsidRPr="00C82E9C">
        <w:rPr>
          <w:rFonts w:cstheme="minorHAnsi"/>
        </w:rPr>
        <w:t>zastupitelstva</w:t>
      </w:r>
      <w:r w:rsidR="00984B26">
        <w:rPr>
          <w:rFonts w:cstheme="minorHAnsi"/>
        </w:rPr>
        <w:t xml:space="preserve"> kraje č</w:t>
      </w:r>
      <w:r w:rsidR="00984B26" w:rsidRPr="005D236B">
        <w:rPr>
          <w:rFonts w:cstheme="minorHAnsi"/>
        </w:rPr>
        <w:t>. ……</w:t>
      </w:r>
      <w:r w:rsidR="005D236B">
        <w:rPr>
          <w:rFonts w:cstheme="minorHAnsi"/>
        </w:rPr>
        <w:t>..</w:t>
      </w:r>
      <w:r w:rsidR="00984B26" w:rsidRPr="005D236B">
        <w:rPr>
          <w:rFonts w:cstheme="minorHAnsi"/>
        </w:rPr>
        <w:t>..</w:t>
      </w:r>
      <w:r w:rsidR="006D23D7" w:rsidRPr="005D236B">
        <w:rPr>
          <w:rFonts w:cstheme="minorHAnsi"/>
        </w:rPr>
        <w:t>, ze dne</w:t>
      </w:r>
      <w:r w:rsidR="006D23D7" w:rsidRPr="00C82E9C">
        <w:rPr>
          <w:rFonts w:cstheme="minorHAnsi"/>
        </w:rPr>
        <w:t xml:space="preserve"> </w:t>
      </w:r>
      <w:r w:rsidR="002F638E">
        <w:rPr>
          <w:rFonts w:cstheme="minorHAnsi"/>
        </w:rPr>
        <w:t>15. 9. 2022</w:t>
      </w:r>
      <w:r w:rsidR="004E1726" w:rsidRPr="00C82E9C">
        <w:rPr>
          <w:rFonts w:cstheme="minorHAnsi"/>
        </w:rPr>
        <w:t>, p</w:t>
      </w:r>
      <w:r w:rsidR="006D23D7" w:rsidRPr="00C82E9C">
        <w:rPr>
          <w:rFonts w:cstheme="minorHAnsi"/>
        </w:rPr>
        <w:t>odle Rozhodnutí Evropské komise č.</w:t>
      </w:r>
      <w:r w:rsidR="002F638E">
        <w:rPr>
          <w:rFonts w:cstheme="minorHAnsi"/>
        </w:rPr>
        <w:t> </w:t>
      </w:r>
      <w:r w:rsidR="006D23D7" w:rsidRPr="00C82E9C">
        <w:rPr>
          <w:rFonts w:cstheme="minorHAnsi"/>
        </w:rPr>
        <w:t>2012/21/EU  ze dne 20. 12. 2011 o použití čl. 106 odst. 2 Smlouvy o fungování Evropské unie na</w:t>
      </w:r>
      <w:r w:rsidR="002F638E">
        <w:rPr>
          <w:rFonts w:cstheme="minorHAnsi"/>
        </w:rPr>
        <w:t> </w:t>
      </w:r>
      <w:r w:rsidR="006D23D7" w:rsidRPr="00C82E9C">
        <w:rPr>
          <w:rFonts w:cstheme="minorHAnsi"/>
        </w:rPr>
        <w:t>státní podporu ve formě vyrovnávací platby za závazek veřejné služby udělené určitým podnikům pověřeným poskytováním služeb obecného hospodářského zájmu</w:t>
      </w:r>
    </w:p>
    <w:p w14:paraId="3C345B55" w14:textId="77777777" w:rsidR="007D7E7E" w:rsidRDefault="007D7E7E" w:rsidP="00C82E9C">
      <w:pPr>
        <w:jc w:val="center"/>
        <w:rPr>
          <w:rFonts w:cstheme="minorHAnsi"/>
          <w:b/>
          <w:bCs/>
        </w:rPr>
      </w:pPr>
    </w:p>
    <w:p w14:paraId="744E7E93" w14:textId="0EE32CA4" w:rsidR="006D23D7" w:rsidRPr="00C82E9C" w:rsidRDefault="006D23D7" w:rsidP="00C82E9C">
      <w:pPr>
        <w:jc w:val="center"/>
        <w:rPr>
          <w:rFonts w:cstheme="minorHAnsi"/>
          <w:b/>
          <w:bCs/>
        </w:rPr>
      </w:pPr>
      <w:r w:rsidRPr="00C82E9C">
        <w:rPr>
          <w:rFonts w:cstheme="minorHAnsi"/>
          <w:b/>
          <w:bCs/>
        </w:rPr>
        <w:t>Pověřuje</w:t>
      </w:r>
    </w:p>
    <w:p w14:paraId="7E3D173B" w14:textId="0473248D" w:rsidR="006D23D7" w:rsidRPr="00C82E9C" w:rsidRDefault="006D23D7" w:rsidP="00C82E9C">
      <w:pPr>
        <w:jc w:val="center"/>
        <w:rPr>
          <w:rFonts w:cstheme="minorHAnsi"/>
        </w:rPr>
      </w:pPr>
      <w:r w:rsidRPr="00C82E9C">
        <w:rPr>
          <w:rFonts w:cstheme="minorHAnsi"/>
        </w:rPr>
        <w:t>Poskytováním služby obecného hospodářského zájmu (dále jen „SOHZ“):</w:t>
      </w:r>
    </w:p>
    <w:p w14:paraId="504DE2EE" w14:textId="3AF835BF" w:rsidR="006D23D7" w:rsidRPr="00C82E9C" w:rsidRDefault="006D23D7" w:rsidP="00C82E9C">
      <w:pPr>
        <w:rPr>
          <w:rFonts w:cstheme="minorHAnsi"/>
        </w:rPr>
      </w:pPr>
      <w:r w:rsidRPr="00C82E9C">
        <w:rPr>
          <w:rFonts w:cstheme="minorHAnsi"/>
        </w:rPr>
        <w:t>Označení podniku</w:t>
      </w:r>
      <w:r w:rsidR="00D4612C">
        <w:rPr>
          <w:rFonts w:cstheme="minorHAnsi"/>
        </w:rPr>
        <w:t>: Charita Studénka</w:t>
      </w:r>
    </w:p>
    <w:p w14:paraId="2DA9F9E3" w14:textId="28C7FA45" w:rsidR="006D23D7" w:rsidRPr="00C82E9C" w:rsidRDefault="006D23D7" w:rsidP="00C82E9C">
      <w:pPr>
        <w:rPr>
          <w:rFonts w:cstheme="minorHAnsi"/>
        </w:rPr>
      </w:pPr>
      <w:r w:rsidRPr="00C82E9C">
        <w:rPr>
          <w:rFonts w:cstheme="minorHAnsi"/>
        </w:rPr>
        <w:t>Sídlo:</w:t>
      </w:r>
      <w:r w:rsidR="00D4612C">
        <w:rPr>
          <w:rFonts w:cstheme="minorHAnsi"/>
        </w:rPr>
        <w:t xml:space="preserve"> </w:t>
      </w:r>
      <w:r w:rsidR="00F10DEE">
        <w:rPr>
          <w:rFonts w:cstheme="minorHAnsi"/>
        </w:rPr>
        <w:t>Malá strana 216, 742 13 Studénka</w:t>
      </w:r>
    </w:p>
    <w:p w14:paraId="5ADE533B" w14:textId="62293B79" w:rsidR="006D23D7" w:rsidRPr="00C82E9C" w:rsidRDefault="006D23D7" w:rsidP="00C82E9C">
      <w:pPr>
        <w:rPr>
          <w:rFonts w:cstheme="minorHAnsi"/>
        </w:rPr>
      </w:pPr>
      <w:r w:rsidRPr="00C82E9C">
        <w:rPr>
          <w:rFonts w:cstheme="minorHAnsi"/>
        </w:rPr>
        <w:t>IČO:</w:t>
      </w:r>
      <w:r w:rsidR="00F10DEE">
        <w:rPr>
          <w:rFonts w:cstheme="minorHAnsi"/>
        </w:rPr>
        <w:t xml:space="preserve"> 44937377</w:t>
      </w:r>
    </w:p>
    <w:p w14:paraId="063CEC8C" w14:textId="0E8C1FAD" w:rsidR="006D23D7" w:rsidRPr="00C82E9C" w:rsidRDefault="006D23D7" w:rsidP="00C82E9C">
      <w:pPr>
        <w:rPr>
          <w:rFonts w:cstheme="minorHAnsi"/>
        </w:rPr>
      </w:pPr>
      <w:r w:rsidRPr="00C82E9C">
        <w:rPr>
          <w:rFonts w:cstheme="minorHAnsi"/>
        </w:rPr>
        <w:t>DIČ:</w:t>
      </w:r>
      <w:r w:rsidR="00F10DEE">
        <w:rPr>
          <w:rFonts w:cstheme="minorHAnsi"/>
        </w:rPr>
        <w:t xml:space="preserve"> CZ44937377</w:t>
      </w:r>
    </w:p>
    <w:p w14:paraId="5EBC3E08" w14:textId="138DB10C" w:rsidR="006D23D7" w:rsidRPr="00C82E9C" w:rsidRDefault="006D23D7" w:rsidP="00C82E9C">
      <w:pPr>
        <w:rPr>
          <w:rFonts w:cstheme="minorHAnsi"/>
        </w:rPr>
      </w:pPr>
      <w:r w:rsidRPr="00C82E9C">
        <w:rPr>
          <w:rFonts w:cstheme="minorHAnsi"/>
        </w:rPr>
        <w:t>Zastoupen:</w:t>
      </w:r>
      <w:r w:rsidR="00E17FDA">
        <w:rPr>
          <w:rFonts w:cstheme="minorHAnsi"/>
        </w:rPr>
        <w:t xml:space="preserve"> Bc. Jarmilou Pomikálkovou, DiS., ředitelkou</w:t>
      </w:r>
    </w:p>
    <w:p w14:paraId="15FF1D0E" w14:textId="2F18E3F0" w:rsidR="006D23D7" w:rsidRPr="00C82E9C" w:rsidRDefault="006D23D7" w:rsidP="00C82E9C">
      <w:pPr>
        <w:rPr>
          <w:rFonts w:cstheme="minorHAnsi"/>
        </w:rPr>
      </w:pPr>
      <w:r w:rsidRPr="00C82E9C">
        <w:rPr>
          <w:rFonts w:cstheme="minorHAnsi"/>
        </w:rPr>
        <w:t>(dále jen „podnik“ nebo „poskytovatel služby“)</w:t>
      </w:r>
    </w:p>
    <w:p w14:paraId="141C32DB" w14:textId="069614B5" w:rsidR="006D23D7" w:rsidRPr="00C82E9C" w:rsidRDefault="006D23D7" w:rsidP="00C82E9C">
      <w:pPr>
        <w:rPr>
          <w:rFonts w:cstheme="minorHAnsi"/>
        </w:rPr>
      </w:pPr>
      <w:r w:rsidRPr="00C82E9C">
        <w:rPr>
          <w:rFonts w:cstheme="minorHAnsi"/>
        </w:rPr>
        <w:t xml:space="preserve">Území, na kterém má být služba </w:t>
      </w:r>
      <w:r w:rsidRPr="009E651D">
        <w:rPr>
          <w:rFonts w:cstheme="minorHAnsi"/>
        </w:rPr>
        <w:t>poskytována:</w:t>
      </w:r>
      <w:r w:rsidR="00B13107" w:rsidRPr="009E651D">
        <w:rPr>
          <w:rFonts w:cstheme="minorHAnsi"/>
        </w:rPr>
        <w:t xml:space="preserve"> město Studénka</w:t>
      </w:r>
    </w:p>
    <w:p w14:paraId="5584F1C9" w14:textId="683C9870" w:rsidR="006D23D7" w:rsidRPr="00C82E9C" w:rsidRDefault="006D23D7" w:rsidP="00C82E9C">
      <w:pPr>
        <w:rPr>
          <w:rFonts w:cstheme="minorHAnsi"/>
        </w:rPr>
      </w:pPr>
    </w:p>
    <w:p w14:paraId="77B0FA85" w14:textId="3054E50D" w:rsidR="006D23D7" w:rsidRPr="00C82E9C" w:rsidRDefault="006D23D7" w:rsidP="00C82E9C">
      <w:pPr>
        <w:pStyle w:val="Odstavecseseznamem"/>
        <w:numPr>
          <w:ilvl w:val="0"/>
          <w:numId w:val="7"/>
        </w:numPr>
        <w:ind w:left="0"/>
        <w:contextualSpacing w:val="0"/>
        <w:rPr>
          <w:rFonts w:cstheme="minorHAnsi"/>
          <w:b/>
          <w:bCs/>
        </w:rPr>
      </w:pPr>
      <w:r w:rsidRPr="00C82E9C">
        <w:rPr>
          <w:rFonts w:cstheme="minorHAnsi"/>
          <w:b/>
          <w:bCs/>
        </w:rPr>
        <w:t>Náplň závazku veřejné služby</w:t>
      </w:r>
    </w:p>
    <w:p w14:paraId="15776CA6" w14:textId="7500E3D1" w:rsidR="004E1726" w:rsidRPr="00C82E9C" w:rsidRDefault="00971BEC" w:rsidP="003B459D">
      <w:pPr>
        <w:pStyle w:val="Odstavecseseznamem"/>
        <w:numPr>
          <w:ilvl w:val="0"/>
          <w:numId w:val="12"/>
        </w:numPr>
        <w:ind w:left="0"/>
        <w:contextualSpacing w:val="0"/>
        <w:jc w:val="both"/>
        <w:rPr>
          <w:rFonts w:cstheme="minorHAnsi"/>
        </w:rPr>
      </w:pPr>
      <w:r w:rsidRPr="00E4212C">
        <w:t xml:space="preserve">Přijetím pověření se podnik zavazuje </w:t>
      </w:r>
      <w:r>
        <w:rPr>
          <w:rFonts w:cstheme="minorHAnsi"/>
        </w:rPr>
        <w:t xml:space="preserve">výkonem </w:t>
      </w:r>
      <w:r w:rsidR="00E36BD4" w:rsidRPr="00C82E9C">
        <w:rPr>
          <w:rFonts w:cstheme="minorHAnsi"/>
        </w:rPr>
        <w:t>služby</w:t>
      </w:r>
      <w:r w:rsidR="00EC3BFC" w:rsidRPr="00C82E9C">
        <w:rPr>
          <w:rFonts w:cstheme="minorHAnsi"/>
        </w:rPr>
        <w:t xml:space="preserve"> obecného hospodářského zájmu (dále jen „</w:t>
      </w:r>
      <w:r w:rsidR="00E36BD4" w:rsidRPr="00C82E9C">
        <w:rPr>
          <w:rFonts w:cstheme="minorHAnsi"/>
        </w:rPr>
        <w:t>SOHZ</w:t>
      </w:r>
      <w:r w:rsidR="00EC3BFC" w:rsidRPr="00C82E9C">
        <w:rPr>
          <w:rFonts w:cstheme="minorHAnsi"/>
        </w:rPr>
        <w:t>“)</w:t>
      </w:r>
      <w:r w:rsidR="00E36BD4" w:rsidRPr="00C82E9C">
        <w:rPr>
          <w:rFonts w:cstheme="minorHAnsi"/>
        </w:rPr>
        <w:t xml:space="preserve">, která spočívá ve </w:t>
      </w:r>
      <w:r w:rsidR="008B016E" w:rsidRPr="00C82E9C">
        <w:rPr>
          <w:rFonts w:cstheme="minorHAnsi"/>
        </w:rPr>
        <w:t>vybudov</w:t>
      </w:r>
      <w:r w:rsidR="00E36BD4" w:rsidRPr="00C82E9C">
        <w:rPr>
          <w:rFonts w:cstheme="minorHAnsi"/>
        </w:rPr>
        <w:t>ání</w:t>
      </w:r>
      <w:r w:rsidR="008B016E" w:rsidRPr="00C82E9C">
        <w:rPr>
          <w:rFonts w:cstheme="minorHAnsi"/>
        </w:rPr>
        <w:t xml:space="preserve"> infrastruktur</w:t>
      </w:r>
      <w:r w:rsidR="00E36BD4" w:rsidRPr="00C82E9C">
        <w:rPr>
          <w:rFonts w:cstheme="minorHAnsi"/>
        </w:rPr>
        <w:t>y</w:t>
      </w:r>
      <w:r w:rsidR="00737107" w:rsidRPr="00C82E9C">
        <w:rPr>
          <w:rFonts w:cstheme="minorHAnsi"/>
        </w:rPr>
        <w:t xml:space="preserve"> pro následný provoz </w:t>
      </w:r>
      <w:r w:rsidR="00EC3BFC" w:rsidRPr="00C82E9C">
        <w:rPr>
          <w:rFonts w:cstheme="minorHAnsi"/>
        </w:rPr>
        <w:t xml:space="preserve">sociální služby poskytované dle </w:t>
      </w:r>
      <w:r w:rsidR="00352B8F" w:rsidRPr="00C82E9C">
        <w:rPr>
          <w:rFonts w:cstheme="minorHAnsi"/>
          <w:lang w:eastAsia="cs-CZ"/>
        </w:rPr>
        <w:t>z</w:t>
      </w:r>
      <w:r w:rsidR="00EC3BFC" w:rsidRPr="00C82E9C">
        <w:rPr>
          <w:rFonts w:cstheme="minorHAnsi"/>
          <w:lang w:eastAsia="cs-CZ"/>
        </w:rPr>
        <w:t>ákon</w:t>
      </w:r>
      <w:r w:rsidR="00352B8F" w:rsidRPr="00C82E9C">
        <w:rPr>
          <w:rFonts w:cstheme="minorHAnsi"/>
          <w:lang w:eastAsia="cs-CZ"/>
        </w:rPr>
        <w:t>a</w:t>
      </w:r>
      <w:r w:rsidR="00EC3BFC" w:rsidRPr="00C82E9C">
        <w:rPr>
          <w:rFonts w:cstheme="minorHAnsi"/>
          <w:lang w:eastAsia="cs-CZ"/>
        </w:rPr>
        <w:t xml:space="preserve"> č. 108/2006 Sb., zákon o sociálních službách, ve znění pozdějších předpisů</w:t>
      </w:r>
      <w:r w:rsidR="00352B8F" w:rsidRPr="00C82E9C">
        <w:rPr>
          <w:rFonts w:cstheme="minorHAnsi"/>
          <w:lang w:eastAsia="cs-CZ"/>
        </w:rPr>
        <w:t xml:space="preserve"> </w:t>
      </w:r>
      <w:r w:rsidR="00352B8F" w:rsidRPr="00C82E9C">
        <w:rPr>
          <w:rFonts w:cstheme="minorHAnsi"/>
        </w:rPr>
        <w:t>(dále jen „zákon o sociálních službách“)</w:t>
      </w:r>
      <w:r w:rsidR="00EC3BFC" w:rsidRPr="00C82E9C">
        <w:rPr>
          <w:rFonts w:cstheme="minorHAnsi"/>
          <w:lang w:eastAsia="cs-CZ"/>
        </w:rPr>
        <w:t xml:space="preserve">, </w:t>
      </w:r>
      <w:r w:rsidR="00E77CE7" w:rsidRPr="00C82E9C">
        <w:rPr>
          <w:rFonts w:cstheme="minorHAnsi"/>
        </w:rPr>
        <w:t>a to</w:t>
      </w:r>
      <w:r w:rsidR="008B016E" w:rsidRPr="00C82E9C">
        <w:rPr>
          <w:rFonts w:cstheme="minorHAnsi"/>
        </w:rPr>
        <w:t xml:space="preserve"> </w:t>
      </w:r>
      <w:r w:rsidR="00065761" w:rsidRPr="00C82E9C">
        <w:rPr>
          <w:rFonts w:cstheme="minorHAnsi"/>
        </w:rPr>
        <w:t>realizací</w:t>
      </w:r>
      <w:r w:rsidR="0071382A" w:rsidRPr="00C82E9C">
        <w:rPr>
          <w:rFonts w:cstheme="minorHAnsi"/>
        </w:rPr>
        <w:t xml:space="preserve"> projektu</w:t>
      </w:r>
      <w:r w:rsidR="00192388">
        <w:rPr>
          <w:rFonts w:cstheme="minorHAnsi"/>
        </w:rPr>
        <w:t xml:space="preserve"> „</w:t>
      </w:r>
      <w:r w:rsidR="00192388" w:rsidRPr="00192388">
        <w:rPr>
          <w:rFonts w:cstheme="minorHAnsi"/>
        </w:rPr>
        <w:t>Přístavba objektu sociálních služeb Charita Studénka – Dům sv. Jáchyma</w:t>
      </w:r>
      <w:r w:rsidR="00192388">
        <w:rPr>
          <w:rFonts w:cstheme="minorHAnsi"/>
        </w:rPr>
        <w:t xml:space="preserve">“ </w:t>
      </w:r>
      <w:r w:rsidR="007E4C8E" w:rsidRPr="00C82E9C">
        <w:rPr>
          <w:rFonts w:cstheme="minorHAnsi"/>
        </w:rPr>
        <w:t xml:space="preserve">registrační </w:t>
      </w:r>
      <w:r w:rsidR="007E4C8E" w:rsidRPr="001C7752">
        <w:rPr>
          <w:rFonts w:cstheme="minorHAnsi"/>
        </w:rPr>
        <w:t>číslo projektu……</w:t>
      </w:r>
      <w:r w:rsidR="002B2116" w:rsidRPr="001C7752">
        <w:rPr>
          <w:rFonts w:cstheme="minorHAnsi"/>
        </w:rPr>
        <w:t>………………</w:t>
      </w:r>
      <w:r w:rsidR="007E4C8E" w:rsidRPr="001C7752">
        <w:rPr>
          <w:rFonts w:cstheme="minorHAnsi"/>
        </w:rPr>
        <w:t>…</w:t>
      </w:r>
      <w:r w:rsidR="007E4C8E" w:rsidRPr="001C7752">
        <w:rPr>
          <w:rStyle w:val="Znakapoznpodarou"/>
          <w:rFonts w:cstheme="minorHAnsi"/>
        </w:rPr>
        <w:footnoteReference w:id="1"/>
      </w:r>
      <w:r w:rsidR="007E4C8E" w:rsidRPr="001C7752">
        <w:rPr>
          <w:rFonts w:cstheme="minorHAnsi"/>
        </w:rPr>
        <w:t xml:space="preserve"> (dále</w:t>
      </w:r>
      <w:r w:rsidR="007E4C8E" w:rsidRPr="00C82E9C">
        <w:rPr>
          <w:rFonts w:cstheme="minorHAnsi"/>
        </w:rPr>
        <w:t xml:space="preserve"> jen „projekt“) </w:t>
      </w:r>
      <w:r w:rsidR="00F12523" w:rsidRPr="00C82E9C">
        <w:rPr>
          <w:rFonts w:cstheme="minorHAnsi"/>
        </w:rPr>
        <w:t>spolufinancovaného</w:t>
      </w:r>
      <w:r w:rsidR="0071382A" w:rsidRPr="00C82E9C">
        <w:rPr>
          <w:rFonts w:cstheme="minorHAnsi"/>
        </w:rPr>
        <w:t xml:space="preserve"> z</w:t>
      </w:r>
      <w:r w:rsidR="005A4075" w:rsidRPr="00C82E9C">
        <w:rPr>
          <w:rFonts w:cstheme="minorHAnsi"/>
        </w:rPr>
        <w:t> </w:t>
      </w:r>
      <w:r w:rsidR="0071382A" w:rsidRPr="00C82E9C">
        <w:rPr>
          <w:rFonts w:cstheme="minorHAnsi"/>
        </w:rPr>
        <w:t>dotace</w:t>
      </w:r>
      <w:r w:rsidR="005A4075" w:rsidRPr="00C82E9C">
        <w:rPr>
          <w:rFonts w:cstheme="minorHAnsi"/>
        </w:rPr>
        <w:t xml:space="preserve"> poskytnuté M</w:t>
      </w:r>
      <w:r w:rsidR="00737107" w:rsidRPr="00C82E9C">
        <w:rPr>
          <w:rFonts w:cstheme="minorHAnsi"/>
        </w:rPr>
        <w:t xml:space="preserve">inisterstvem práce a sociálních věcí </w:t>
      </w:r>
      <w:r w:rsidR="00EC3BFC" w:rsidRPr="00C82E9C">
        <w:rPr>
          <w:rFonts w:cstheme="minorHAnsi"/>
        </w:rPr>
        <w:t xml:space="preserve">(dále jen „MPSV“) </w:t>
      </w:r>
      <w:r w:rsidR="00737107" w:rsidRPr="00C82E9C">
        <w:rPr>
          <w:rFonts w:cstheme="minorHAnsi"/>
        </w:rPr>
        <w:t xml:space="preserve">jakožto </w:t>
      </w:r>
      <w:r w:rsidR="005A4075" w:rsidRPr="00C82E9C">
        <w:rPr>
          <w:rFonts w:cstheme="minorHAnsi"/>
        </w:rPr>
        <w:t>vlastník</w:t>
      </w:r>
      <w:r w:rsidR="00737107" w:rsidRPr="00C82E9C">
        <w:rPr>
          <w:rFonts w:cstheme="minorHAnsi"/>
        </w:rPr>
        <w:t>em</w:t>
      </w:r>
      <w:r w:rsidR="005A4075" w:rsidRPr="00C82E9C">
        <w:rPr>
          <w:rFonts w:cstheme="minorHAnsi"/>
        </w:rPr>
        <w:t xml:space="preserve"> </w:t>
      </w:r>
      <w:r w:rsidR="005A4075" w:rsidRPr="00C82E9C">
        <w:rPr>
          <w:rFonts w:cstheme="minorHAnsi"/>
        </w:rPr>
        <w:lastRenderedPageBreak/>
        <w:t>komponenty 3.3. Národního plánu obnovy</w:t>
      </w:r>
      <w:r w:rsidR="0071382A" w:rsidRPr="00C82E9C">
        <w:rPr>
          <w:rFonts w:cstheme="minorHAnsi"/>
        </w:rPr>
        <w:t xml:space="preserve"> </w:t>
      </w:r>
      <w:r w:rsidR="007E4C8E" w:rsidRPr="00C82E9C">
        <w:rPr>
          <w:rFonts w:cstheme="minorHAnsi"/>
        </w:rPr>
        <w:t xml:space="preserve">(dále jen VK 3.3. NPO) </w:t>
      </w:r>
      <w:r w:rsidR="0071382A" w:rsidRPr="00C82E9C">
        <w:rPr>
          <w:rFonts w:cstheme="minorHAnsi"/>
        </w:rPr>
        <w:t>z Nástroje pro oživení a odolnost</w:t>
      </w:r>
      <w:r w:rsidR="007E4C8E" w:rsidRPr="00C82E9C">
        <w:rPr>
          <w:rFonts w:cstheme="minorHAnsi"/>
        </w:rPr>
        <w:t xml:space="preserve">. </w:t>
      </w:r>
      <w:r w:rsidR="00E36BD4" w:rsidRPr="00C82E9C">
        <w:rPr>
          <w:rFonts w:cstheme="minorHAnsi"/>
        </w:rPr>
        <w:t xml:space="preserve">Služba </w:t>
      </w:r>
      <w:r w:rsidR="00EC3BFC" w:rsidRPr="00C82E9C">
        <w:rPr>
          <w:rFonts w:cstheme="minorHAnsi"/>
        </w:rPr>
        <w:t xml:space="preserve">spolufinancovaná MPSV </w:t>
      </w:r>
      <w:r w:rsidR="00E36BD4" w:rsidRPr="00C82E9C">
        <w:rPr>
          <w:rFonts w:cstheme="minorHAnsi"/>
        </w:rPr>
        <w:t xml:space="preserve">je blíže </w:t>
      </w:r>
      <w:r w:rsidR="00CB7909" w:rsidRPr="00C82E9C">
        <w:rPr>
          <w:rFonts w:cstheme="minorHAnsi"/>
        </w:rPr>
        <w:t>specifikována</w:t>
      </w:r>
      <w:r w:rsidR="00E77CE7" w:rsidRPr="00C82E9C">
        <w:rPr>
          <w:rFonts w:cstheme="minorHAnsi"/>
        </w:rPr>
        <w:t xml:space="preserve"> </w:t>
      </w:r>
      <w:r w:rsidR="00E36BD4" w:rsidRPr="00C82E9C">
        <w:rPr>
          <w:rFonts w:cstheme="minorHAnsi"/>
        </w:rPr>
        <w:t xml:space="preserve">v příloze č. 1 tohoto </w:t>
      </w:r>
      <w:r w:rsidR="00F12523" w:rsidRPr="00C82E9C">
        <w:rPr>
          <w:rFonts w:cstheme="minorHAnsi"/>
        </w:rPr>
        <w:t>pověření</w:t>
      </w:r>
      <w:r w:rsidR="00E36BD4" w:rsidRPr="00C82E9C">
        <w:rPr>
          <w:rFonts w:cstheme="minorHAnsi"/>
        </w:rPr>
        <w:t>.</w:t>
      </w:r>
    </w:p>
    <w:p w14:paraId="0C129557" w14:textId="77777777" w:rsidR="008260B0" w:rsidRDefault="009F0C02" w:rsidP="003B459D">
      <w:pPr>
        <w:pStyle w:val="Odstavecseseznamem"/>
        <w:numPr>
          <w:ilvl w:val="0"/>
          <w:numId w:val="12"/>
        </w:numPr>
        <w:spacing w:before="240" w:after="120" w:line="240" w:lineRule="auto"/>
        <w:ind w:left="0"/>
        <w:contextualSpacing w:val="0"/>
        <w:jc w:val="both"/>
        <w:rPr>
          <w:rFonts w:cstheme="minorHAnsi"/>
        </w:rPr>
      </w:pPr>
      <w:bookmarkStart w:id="1" w:name="_Hlk102541098"/>
      <w:r w:rsidRPr="00C82E9C">
        <w:rPr>
          <w:rFonts w:cstheme="minorHAnsi"/>
        </w:rPr>
        <w:t>Dále se podnik přijetím tohoto pověření zavazuje k následnému poskytování služby obecného hospodářského zájmu</w:t>
      </w:r>
      <w:r w:rsidR="00352B8F" w:rsidRPr="00C82E9C">
        <w:rPr>
          <w:rFonts w:cstheme="minorHAnsi"/>
        </w:rPr>
        <w:t>, která je</w:t>
      </w:r>
      <w:r w:rsidR="008260B0">
        <w:rPr>
          <w:rFonts w:cstheme="minorHAnsi"/>
        </w:rPr>
        <w:t>:</w:t>
      </w:r>
    </w:p>
    <w:p w14:paraId="204AFBFD" w14:textId="073974BF" w:rsidR="00352B8F" w:rsidRDefault="00352B8F" w:rsidP="008260B0">
      <w:pPr>
        <w:pStyle w:val="Odstavecseseznamem"/>
        <w:numPr>
          <w:ilvl w:val="1"/>
          <w:numId w:val="12"/>
        </w:numPr>
        <w:spacing w:before="240" w:after="120" w:line="240" w:lineRule="auto"/>
        <w:ind w:left="357" w:hanging="357"/>
        <w:contextualSpacing w:val="0"/>
        <w:jc w:val="both"/>
        <w:rPr>
          <w:rFonts w:cstheme="minorHAnsi"/>
        </w:rPr>
      </w:pPr>
      <w:r w:rsidRPr="00C82E9C">
        <w:rPr>
          <w:rFonts w:cstheme="minorHAnsi"/>
        </w:rPr>
        <w:t>službou</w:t>
      </w:r>
      <w:r w:rsidR="008260B0">
        <w:rPr>
          <w:rFonts w:cstheme="minorHAnsi"/>
        </w:rPr>
        <w:t xml:space="preserve"> </w:t>
      </w:r>
      <w:r w:rsidR="001E6115">
        <w:rPr>
          <w:rFonts w:cstheme="minorHAnsi"/>
        </w:rPr>
        <w:t>domovy pro seniory</w:t>
      </w:r>
      <w:r w:rsidRPr="00C82E9C">
        <w:rPr>
          <w:rFonts w:cstheme="minorHAnsi"/>
        </w:rPr>
        <w:t xml:space="preserve"> podle §</w:t>
      </w:r>
      <w:r w:rsidR="001E6115">
        <w:rPr>
          <w:rFonts w:cstheme="minorHAnsi"/>
        </w:rPr>
        <w:t xml:space="preserve"> 49</w:t>
      </w:r>
      <w:r w:rsidRPr="00C82E9C">
        <w:rPr>
          <w:rFonts w:cstheme="minorHAnsi"/>
        </w:rPr>
        <w:t xml:space="preserve"> </w:t>
      </w:r>
      <w:r w:rsidR="0023145C" w:rsidRPr="00C82E9C">
        <w:rPr>
          <w:rFonts w:cstheme="minorHAnsi"/>
        </w:rPr>
        <w:t>zákona č. 108/2006 Sb., o sociálních službách ve znění pozdějších předpisů (dále jen „zákon o sociálních službách“)</w:t>
      </w:r>
      <w:r w:rsidR="003A38DD" w:rsidRPr="00C82E9C">
        <w:rPr>
          <w:rFonts w:cstheme="minorHAnsi"/>
        </w:rPr>
        <w:t>, jež bude poskytována</w:t>
      </w:r>
      <w:r w:rsidR="00E23CF1">
        <w:rPr>
          <w:rFonts w:cstheme="minorHAnsi"/>
        </w:rPr>
        <w:t xml:space="preserve"> pobytovou</w:t>
      </w:r>
      <w:r w:rsidR="003A38DD" w:rsidRPr="00C82E9C">
        <w:rPr>
          <w:rFonts w:cstheme="minorHAnsi"/>
        </w:rPr>
        <w:t xml:space="preserve"> formou </w:t>
      </w:r>
      <w:r w:rsidR="0023145C" w:rsidRPr="00C82E9C">
        <w:rPr>
          <w:rFonts w:cstheme="minorHAnsi"/>
        </w:rPr>
        <w:t xml:space="preserve">v kapacitě </w:t>
      </w:r>
      <w:r w:rsidR="00E23CF1">
        <w:rPr>
          <w:rFonts w:cstheme="minorHAnsi"/>
          <w:i/>
          <w:iCs/>
        </w:rPr>
        <w:t>18</w:t>
      </w:r>
      <w:r w:rsidR="0023145C" w:rsidRPr="00C82E9C">
        <w:rPr>
          <w:rFonts w:cstheme="minorHAnsi"/>
          <w:i/>
          <w:iCs/>
        </w:rPr>
        <w:t xml:space="preserve"> lůžek</w:t>
      </w:r>
      <w:r w:rsidR="0023145C" w:rsidRPr="00C82E9C">
        <w:rPr>
          <w:rFonts w:cstheme="minorHAnsi"/>
        </w:rPr>
        <w:t xml:space="preserve"> pro </w:t>
      </w:r>
      <w:r w:rsidR="00E23CF1">
        <w:rPr>
          <w:rFonts w:cstheme="minorHAnsi"/>
        </w:rPr>
        <w:t>seniory</w:t>
      </w:r>
      <w:r w:rsidRPr="00C82E9C">
        <w:rPr>
          <w:rFonts w:cstheme="minorHAnsi"/>
          <w:lang w:eastAsia="cs-CZ"/>
        </w:rPr>
        <w:t>, a jejíž výkon bude zahájen po dokončení výstavby infrastruktury</w:t>
      </w:r>
      <w:r w:rsidR="00C73C6E" w:rsidRPr="00C82E9C">
        <w:rPr>
          <w:rFonts w:cstheme="minorHAnsi"/>
          <w:lang w:eastAsia="cs-CZ"/>
        </w:rPr>
        <w:t xml:space="preserve"> (po její kolaudaci)</w:t>
      </w:r>
      <w:r w:rsidRPr="00C82E9C">
        <w:rPr>
          <w:rFonts w:cstheme="minorHAnsi"/>
          <w:lang w:eastAsia="cs-CZ"/>
        </w:rPr>
        <w:t xml:space="preserve"> dle odst. 1 tohoto článku,</w:t>
      </w:r>
      <w:r w:rsidR="00C73C6E" w:rsidRPr="00C82E9C">
        <w:rPr>
          <w:rFonts w:cstheme="minorHAnsi"/>
          <w:lang w:eastAsia="cs-CZ"/>
        </w:rPr>
        <w:t xml:space="preserve"> po vydání rozhodnutí o</w:t>
      </w:r>
      <w:r w:rsidRPr="00C82E9C">
        <w:rPr>
          <w:rFonts w:cstheme="minorHAnsi"/>
          <w:lang w:eastAsia="cs-CZ"/>
        </w:rPr>
        <w:t xml:space="preserve"> </w:t>
      </w:r>
      <w:r w:rsidR="005D63EC" w:rsidRPr="00C82E9C">
        <w:rPr>
          <w:rFonts w:cstheme="minorHAnsi"/>
          <w:lang w:eastAsia="cs-CZ"/>
        </w:rPr>
        <w:t>registraci</w:t>
      </w:r>
      <w:r w:rsidR="00C73C6E" w:rsidRPr="00C82E9C">
        <w:rPr>
          <w:rFonts w:cstheme="minorHAnsi"/>
          <w:lang w:eastAsia="cs-CZ"/>
        </w:rPr>
        <w:t xml:space="preserve"> této služby</w:t>
      </w:r>
      <w:r w:rsidR="005D63EC" w:rsidRPr="00C82E9C">
        <w:rPr>
          <w:rFonts w:cstheme="minorHAnsi"/>
          <w:lang w:eastAsia="cs-CZ"/>
        </w:rPr>
        <w:t xml:space="preserve"> a </w:t>
      </w:r>
      <w:r w:rsidRPr="00C82E9C">
        <w:rPr>
          <w:rFonts w:cstheme="minorHAnsi"/>
          <w:lang w:eastAsia="cs-CZ"/>
        </w:rPr>
        <w:t>po zařazení služby do Krajské sítě sociálních služeb</w:t>
      </w:r>
      <w:r w:rsidR="00E23CF1">
        <w:rPr>
          <w:rFonts w:cstheme="minorHAnsi"/>
          <w:lang w:eastAsia="cs-CZ"/>
        </w:rPr>
        <w:t>;</w:t>
      </w:r>
      <w:r w:rsidR="009F0C02" w:rsidRPr="00C82E9C">
        <w:rPr>
          <w:rFonts w:cstheme="minorHAnsi"/>
          <w:lang w:eastAsia="cs-CZ"/>
        </w:rPr>
        <w:t xml:space="preserve"> </w:t>
      </w:r>
    </w:p>
    <w:p w14:paraId="698A90BB" w14:textId="11D51C33" w:rsidR="00E23CF1" w:rsidRDefault="00E23CF1" w:rsidP="00E23CF1">
      <w:pPr>
        <w:pStyle w:val="Odstavecseseznamem"/>
        <w:numPr>
          <w:ilvl w:val="1"/>
          <w:numId w:val="12"/>
        </w:numPr>
        <w:spacing w:before="240" w:after="120" w:line="240" w:lineRule="auto"/>
        <w:ind w:left="357" w:hanging="357"/>
        <w:contextualSpacing w:val="0"/>
        <w:jc w:val="both"/>
        <w:rPr>
          <w:rFonts w:cstheme="minorHAnsi"/>
        </w:rPr>
      </w:pPr>
      <w:r w:rsidRPr="00C82E9C">
        <w:rPr>
          <w:rFonts w:cstheme="minorHAnsi"/>
        </w:rPr>
        <w:t>službou</w:t>
      </w:r>
      <w:r>
        <w:rPr>
          <w:rFonts w:cstheme="minorHAnsi"/>
        </w:rPr>
        <w:t xml:space="preserve"> </w:t>
      </w:r>
      <w:r w:rsidR="00C0203B">
        <w:rPr>
          <w:rFonts w:cstheme="minorHAnsi"/>
        </w:rPr>
        <w:t>odlehčovací služby</w:t>
      </w:r>
      <w:r w:rsidRPr="00C82E9C">
        <w:rPr>
          <w:rFonts w:cstheme="minorHAnsi"/>
        </w:rPr>
        <w:t xml:space="preserve"> podle §</w:t>
      </w:r>
      <w:r>
        <w:rPr>
          <w:rFonts w:cstheme="minorHAnsi"/>
        </w:rPr>
        <w:t xml:space="preserve"> 4</w:t>
      </w:r>
      <w:r w:rsidR="00C0203B">
        <w:rPr>
          <w:rFonts w:cstheme="minorHAnsi"/>
        </w:rPr>
        <w:t>4</w:t>
      </w:r>
      <w:r w:rsidRPr="00C82E9C">
        <w:rPr>
          <w:rFonts w:cstheme="minorHAnsi"/>
        </w:rPr>
        <w:t xml:space="preserve"> zákona </w:t>
      </w:r>
      <w:r w:rsidR="00C0203B">
        <w:rPr>
          <w:rFonts w:cstheme="minorHAnsi"/>
        </w:rPr>
        <w:t>o sociálních službách</w:t>
      </w:r>
      <w:r w:rsidRPr="00C82E9C">
        <w:rPr>
          <w:rFonts w:cstheme="minorHAnsi"/>
        </w:rPr>
        <w:t>, jež bude poskytována</w:t>
      </w:r>
      <w:r>
        <w:rPr>
          <w:rFonts w:cstheme="minorHAnsi"/>
        </w:rPr>
        <w:t xml:space="preserve"> </w:t>
      </w:r>
      <w:r w:rsidR="00F92ED4" w:rsidRPr="00C34CBC">
        <w:rPr>
          <w:rFonts w:cstheme="minorHAnsi"/>
        </w:rPr>
        <w:t>pobytovou</w:t>
      </w:r>
      <w:r w:rsidRPr="00C34CBC">
        <w:rPr>
          <w:rFonts w:cstheme="minorHAnsi"/>
        </w:rPr>
        <w:t xml:space="preserve"> formou v kapacitě </w:t>
      </w:r>
      <w:r w:rsidR="00184847" w:rsidRPr="00C34CBC">
        <w:rPr>
          <w:rFonts w:cstheme="minorHAnsi"/>
          <w:i/>
          <w:iCs/>
        </w:rPr>
        <w:t>5</w:t>
      </w:r>
      <w:r w:rsidRPr="00C34CBC">
        <w:rPr>
          <w:rFonts w:cstheme="minorHAnsi"/>
          <w:i/>
          <w:iCs/>
        </w:rPr>
        <w:t xml:space="preserve"> </w:t>
      </w:r>
      <w:r w:rsidR="006D3D9B">
        <w:rPr>
          <w:rFonts w:cstheme="minorHAnsi"/>
          <w:i/>
          <w:iCs/>
        </w:rPr>
        <w:t>lůžek</w:t>
      </w:r>
      <w:r w:rsidRPr="00C34CBC">
        <w:rPr>
          <w:rFonts w:cstheme="minorHAnsi"/>
        </w:rPr>
        <w:t xml:space="preserve"> pro seniory</w:t>
      </w:r>
      <w:r w:rsidRPr="00C82E9C">
        <w:rPr>
          <w:rFonts w:cstheme="minorHAnsi"/>
          <w:lang w:eastAsia="cs-CZ"/>
        </w:rPr>
        <w:t>, a jejíž výkon bude zahájen po dokončení výstavby infrastruktury (po její kolaudaci) dle odst. 1 tohoto článku, po vydání rozhodnutí o registraci této služby a po zařazení služby do Krajské sítě sociálních služeb</w:t>
      </w:r>
      <w:r w:rsidR="00184847">
        <w:rPr>
          <w:rFonts w:cstheme="minorHAnsi"/>
          <w:lang w:eastAsia="cs-CZ"/>
        </w:rPr>
        <w:t>;</w:t>
      </w:r>
    </w:p>
    <w:p w14:paraId="3CE3140E" w14:textId="6447411D" w:rsidR="00E23CF1" w:rsidRPr="00184847" w:rsidRDefault="00184847" w:rsidP="00184847">
      <w:pPr>
        <w:pStyle w:val="Odstavecseseznamem"/>
        <w:numPr>
          <w:ilvl w:val="1"/>
          <w:numId w:val="12"/>
        </w:numPr>
        <w:spacing w:before="240" w:after="120" w:line="240" w:lineRule="auto"/>
        <w:ind w:left="357" w:hanging="357"/>
        <w:contextualSpacing w:val="0"/>
        <w:jc w:val="both"/>
        <w:rPr>
          <w:rFonts w:cstheme="minorHAnsi"/>
        </w:rPr>
      </w:pPr>
      <w:r w:rsidRPr="00C82E9C">
        <w:rPr>
          <w:rFonts w:cstheme="minorHAnsi"/>
        </w:rPr>
        <w:t>službou</w:t>
      </w:r>
      <w:r>
        <w:rPr>
          <w:rFonts w:cstheme="minorHAnsi"/>
        </w:rPr>
        <w:t xml:space="preserve"> denní stacionáře</w:t>
      </w:r>
      <w:r w:rsidRPr="00C82E9C">
        <w:rPr>
          <w:rFonts w:cstheme="minorHAnsi"/>
        </w:rPr>
        <w:t xml:space="preserve"> podle §</w:t>
      </w:r>
      <w:r>
        <w:rPr>
          <w:rFonts w:cstheme="minorHAnsi"/>
        </w:rPr>
        <w:t xml:space="preserve"> 46</w:t>
      </w:r>
      <w:r w:rsidRPr="00C82E9C">
        <w:rPr>
          <w:rFonts w:cstheme="minorHAnsi"/>
        </w:rPr>
        <w:t xml:space="preserve"> zákona o sociálních, jež bude poskytována</w:t>
      </w:r>
      <w:r>
        <w:rPr>
          <w:rFonts w:cstheme="minorHAnsi"/>
        </w:rPr>
        <w:t xml:space="preserve"> </w:t>
      </w:r>
      <w:r w:rsidR="0065325B">
        <w:rPr>
          <w:rFonts w:cstheme="minorHAnsi"/>
        </w:rPr>
        <w:t>ambulantní</w:t>
      </w:r>
      <w:r w:rsidRPr="00C82E9C">
        <w:rPr>
          <w:rFonts w:cstheme="minorHAnsi"/>
        </w:rPr>
        <w:t xml:space="preserve"> formou v kapacitě </w:t>
      </w:r>
      <w:r w:rsidR="0065325B">
        <w:rPr>
          <w:rFonts w:cstheme="minorHAnsi"/>
          <w:i/>
          <w:iCs/>
        </w:rPr>
        <w:t xml:space="preserve">10 </w:t>
      </w:r>
      <w:r w:rsidR="005E3EDB">
        <w:rPr>
          <w:rFonts w:cstheme="minorHAnsi"/>
          <w:i/>
          <w:iCs/>
        </w:rPr>
        <w:t>klientů</w:t>
      </w:r>
      <w:r w:rsidRPr="00C82E9C">
        <w:rPr>
          <w:rFonts w:cstheme="minorHAnsi"/>
        </w:rPr>
        <w:t xml:space="preserve"> pro </w:t>
      </w:r>
      <w:r>
        <w:rPr>
          <w:rFonts w:cstheme="minorHAnsi"/>
        </w:rPr>
        <w:t>seniory</w:t>
      </w:r>
      <w:r w:rsidRPr="00C82E9C">
        <w:rPr>
          <w:rFonts w:cstheme="minorHAnsi"/>
          <w:lang w:eastAsia="cs-CZ"/>
        </w:rPr>
        <w:t xml:space="preserve">, a jejíž výkon bude zahájen po dokončení výstavby infrastruktury (po její kolaudaci) dle odst. 1 tohoto článku, po vydání rozhodnutí o registraci této služby a po zařazení služby do Krajské sítě sociálních služeb. </w:t>
      </w:r>
    </w:p>
    <w:bookmarkEnd w:id="1"/>
    <w:p w14:paraId="099ED968" w14:textId="454C6EFF" w:rsidR="0028790B" w:rsidRPr="00C82E9C" w:rsidRDefault="009C40A5" w:rsidP="00C82E9C">
      <w:pPr>
        <w:pStyle w:val="Odstavecseseznamem"/>
        <w:numPr>
          <w:ilvl w:val="0"/>
          <w:numId w:val="12"/>
        </w:numPr>
        <w:ind w:left="0"/>
        <w:contextualSpacing w:val="0"/>
        <w:rPr>
          <w:rFonts w:cstheme="minorHAnsi"/>
        </w:rPr>
      </w:pPr>
      <w:r w:rsidRPr="00C82E9C">
        <w:rPr>
          <w:rFonts w:cstheme="minorHAnsi"/>
        </w:rPr>
        <w:t xml:space="preserve">Tyto služby </w:t>
      </w:r>
      <w:r w:rsidR="004E1726" w:rsidRPr="00C82E9C">
        <w:rPr>
          <w:rFonts w:cstheme="minorHAnsi"/>
        </w:rPr>
        <w:t xml:space="preserve">budou vykonávány v režimu závazku veřejné služby. Jakoukoliv změnu činností, jejich rozšíření apod., musí podnik s pověřovatelem předem projednat. </w:t>
      </w:r>
    </w:p>
    <w:p w14:paraId="0FD0CA06" w14:textId="77777777" w:rsidR="00873160" w:rsidRPr="00C82E9C" w:rsidRDefault="00873160" w:rsidP="00C82E9C">
      <w:pPr>
        <w:shd w:val="clear" w:color="auto" w:fill="FFFFFF"/>
        <w:spacing w:after="0" w:line="240" w:lineRule="auto"/>
        <w:rPr>
          <w:rFonts w:eastAsia="Times New Roman" w:cstheme="minorHAnsi"/>
          <w:color w:val="323232"/>
          <w:sz w:val="6"/>
          <w:szCs w:val="6"/>
          <w:lang w:eastAsia="cs-CZ"/>
        </w:rPr>
      </w:pPr>
      <w:r w:rsidRPr="00C82E9C">
        <w:rPr>
          <w:rFonts w:eastAsia="Times New Roman" w:cstheme="minorHAnsi"/>
          <w:color w:val="323232"/>
          <w:sz w:val="6"/>
          <w:szCs w:val="6"/>
          <w:lang w:eastAsia="cs-CZ"/>
        </w:rPr>
        <w:t> </w:t>
      </w:r>
    </w:p>
    <w:p w14:paraId="2DB96624" w14:textId="2761BB61" w:rsidR="006D23D7" w:rsidRPr="00C82E9C" w:rsidRDefault="00840980" w:rsidP="00C82E9C">
      <w:pPr>
        <w:pStyle w:val="Odstavecseseznamem"/>
        <w:numPr>
          <w:ilvl w:val="0"/>
          <w:numId w:val="7"/>
        </w:numPr>
        <w:spacing w:before="240" w:after="120" w:line="240" w:lineRule="auto"/>
        <w:ind w:left="0"/>
        <w:contextualSpacing w:val="0"/>
        <w:rPr>
          <w:rFonts w:cstheme="minorHAnsi"/>
          <w:b/>
          <w:bCs/>
        </w:rPr>
      </w:pPr>
      <w:r w:rsidRPr="00C82E9C">
        <w:rPr>
          <w:rFonts w:cstheme="minorHAnsi"/>
          <w:b/>
          <w:bCs/>
        </w:rPr>
        <w:t>Doba t</w:t>
      </w:r>
      <w:r w:rsidR="00FA3ACD" w:rsidRPr="00C82E9C">
        <w:rPr>
          <w:rFonts w:cstheme="minorHAnsi"/>
          <w:b/>
          <w:bCs/>
        </w:rPr>
        <w:t>rvání závazku</w:t>
      </w:r>
      <w:r w:rsidRPr="00C82E9C">
        <w:rPr>
          <w:rFonts w:cstheme="minorHAnsi"/>
          <w:b/>
          <w:bCs/>
        </w:rPr>
        <w:t xml:space="preserve"> a místo výkonu</w:t>
      </w:r>
      <w:r w:rsidR="00FA3ACD" w:rsidRPr="00C82E9C">
        <w:rPr>
          <w:rFonts w:cstheme="minorHAnsi"/>
          <w:b/>
          <w:bCs/>
        </w:rPr>
        <w:t xml:space="preserve"> </w:t>
      </w:r>
      <w:r w:rsidRPr="00C82E9C">
        <w:rPr>
          <w:rFonts w:cstheme="minorHAnsi"/>
          <w:b/>
          <w:bCs/>
        </w:rPr>
        <w:t>závazku</w:t>
      </w:r>
    </w:p>
    <w:p w14:paraId="3EEA424F" w14:textId="641B7061" w:rsidR="001B6D69" w:rsidRPr="007E080D" w:rsidRDefault="008B016E" w:rsidP="007E080D">
      <w:pPr>
        <w:pStyle w:val="Odstavecseseznamem"/>
        <w:numPr>
          <w:ilvl w:val="0"/>
          <w:numId w:val="13"/>
        </w:numPr>
        <w:spacing w:before="240" w:after="120" w:line="240" w:lineRule="auto"/>
        <w:ind w:left="0" w:hanging="357"/>
        <w:contextualSpacing w:val="0"/>
        <w:jc w:val="both"/>
        <w:rPr>
          <w:rFonts w:cstheme="minorHAnsi"/>
        </w:rPr>
      </w:pPr>
      <w:r w:rsidRPr="00C82E9C">
        <w:rPr>
          <w:rFonts w:cstheme="minorHAnsi"/>
        </w:rPr>
        <w:t xml:space="preserve">Podnik se zavazuje </w:t>
      </w:r>
      <w:r w:rsidR="00352B8F" w:rsidRPr="00C82E9C">
        <w:rPr>
          <w:rFonts w:cstheme="minorHAnsi"/>
        </w:rPr>
        <w:t>k výkonu SOHZ definované v čl. I odst. 1</w:t>
      </w:r>
      <w:r w:rsidR="005D63EC" w:rsidRPr="00C82E9C">
        <w:rPr>
          <w:rFonts w:cstheme="minorHAnsi"/>
        </w:rPr>
        <w:t xml:space="preserve"> po období</w:t>
      </w:r>
      <w:r w:rsidR="009F5AD3" w:rsidRPr="00C82E9C">
        <w:rPr>
          <w:rFonts w:cstheme="minorHAnsi"/>
        </w:rPr>
        <w:t xml:space="preserve"> ode dne vydání</w:t>
      </w:r>
      <w:r w:rsidR="00352B8F" w:rsidRPr="00C82E9C">
        <w:rPr>
          <w:rFonts w:cstheme="minorHAnsi"/>
        </w:rPr>
        <w:t xml:space="preserve"> tohoto pověření </w:t>
      </w:r>
      <w:r w:rsidR="008C716D">
        <w:rPr>
          <w:rFonts w:cstheme="minorHAnsi"/>
        </w:rPr>
        <w:t xml:space="preserve">do </w:t>
      </w:r>
      <w:r w:rsidR="009F5AD3" w:rsidRPr="00C82E9C">
        <w:rPr>
          <w:rFonts w:cstheme="minorHAnsi"/>
        </w:rPr>
        <w:t xml:space="preserve"> ukončení realizace projektu</w:t>
      </w:r>
      <w:r w:rsidR="007E4C8E" w:rsidRPr="00C82E9C">
        <w:rPr>
          <w:rFonts w:cstheme="minorHAnsi"/>
        </w:rPr>
        <w:t>, uvedeném v právním aktu o poskytnutí podpory,</w:t>
      </w:r>
      <w:r w:rsidR="009F5AD3" w:rsidRPr="00C82E9C">
        <w:rPr>
          <w:rFonts w:cstheme="minorHAnsi"/>
        </w:rPr>
        <w:t xml:space="preserve"> nejpozději však do </w:t>
      </w:r>
      <w:r w:rsidR="00E3269D" w:rsidRPr="0034757E">
        <w:rPr>
          <w:rFonts w:cstheme="minorHAnsi"/>
        </w:rPr>
        <w:t>…</w:t>
      </w:r>
      <w:r w:rsidR="0034757E" w:rsidRPr="0034757E">
        <w:rPr>
          <w:rFonts w:cstheme="minorHAnsi"/>
        </w:rPr>
        <w:t>….</w:t>
      </w:r>
      <w:r w:rsidR="00E3269D" w:rsidRPr="0034757E">
        <w:rPr>
          <w:rFonts w:cstheme="minorHAnsi"/>
        </w:rPr>
        <w:t>………</w:t>
      </w:r>
      <w:r w:rsidR="009F5AD3" w:rsidRPr="0034757E">
        <w:rPr>
          <w:rFonts w:cstheme="minorHAnsi"/>
        </w:rPr>
        <w:t>.</w:t>
      </w:r>
      <w:r w:rsidR="0034757E" w:rsidRPr="0034757E">
        <w:rPr>
          <w:rStyle w:val="Znakapoznpodarou"/>
          <w:rFonts w:cstheme="minorHAnsi"/>
        </w:rPr>
        <w:footnoteReference w:id="2"/>
      </w:r>
      <w:r w:rsidR="0034757E" w:rsidRPr="0034757E">
        <w:rPr>
          <w:rFonts w:cstheme="minorHAnsi"/>
        </w:rPr>
        <w:t xml:space="preserve"> </w:t>
      </w:r>
      <w:r w:rsidR="009F5AD3" w:rsidRPr="0034757E">
        <w:rPr>
          <w:rFonts w:cstheme="minorHAnsi"/>
        </w:rPr>
        <w:t xml:space="preserve"> Dn</w:t>
      </w:r>
      <w:r w:rsidR="009F5AD3" w:rsidRPr="00C82E9C">
        <w:rPr>
          <w:rFonts w:cstheme="minorHAnsi"/>
        </w:rPr>
        <w:t>em ukončení realizace projektu se rozumí datum uvedené v</w:t>
      </w:r>
      <w:r w:rsidR="00CB7909" w:rsidRPr="00C82E9C">
        <w:rPr>
          <w:rFonts w:cstheme="minorHAnsi"/>
        </w:rPr>
        <w:t> právním aktu</w:t>
      </w:r>
      <w:r w:rsidR="0034757E">
        <w:rPr>
          <w:rFonts w:cstheme="minorHAnsi"/>
        </w:rPr>
        <w:t xml:space="preserve"> </w:t>
      </w:r>
      <w:r w:rsidR="007E4C8E" w:rsidRPr="00C82E9C">
        <w:rPr>
          <w:rFonts w:cstheme="minorHAnsi"/>
        </w:rPr>
        <w:t>vydaném VK 3.3 NPO</w:t>
      </w:r>
      <w:r w:rsidR="009F5AD3" w:rsidRPr="00C82E9C">
        <w:rPr>
          <w:rFonts w:cstheme="minorHAnsi"/>
        </w:rPr>
        <w:t xml:space="preserve"> o poskytnutí finančních prostředků </w:t>
      </w:r>
      <w:r w:rsidR="007E4C8E" w:rsidRPr="00C82E9C">
        <w:rPr>
          <w:rFonts w:cstheme="minorHAnsi"/>
        </w:rPr>
        <w:t>Nástroje pro oživení a odolnost</w:t>
      </w:r>
      <w:r w:rsidR="00065761" w:rsidRPr="00C82E9C">
        <w:rPr>
          <w:rFonts w:cstheme="minorHAnsi"/>
        </w:rPr>
        <w:t>.</w:t>
      </w:r>
      <w:r w:rsidR="00E47278" w:rsidRPr="00C82E9C">
        <w:rPr>
          <w:rFonts w:cstheme="minorHAnsi"/>
        </w:rPr>
        <w:t xml:space="preserve"> </w:t>
      </w:r>
      <w:r w:rsidR="00065761" w:rsidRPr="007E080D">
        <w:rPr>
          <w:rFonts w:cstheme="minorHAnsi"/>
        </w:rPr>
        <w:t xml:space="preserve"> </w:t>
      </w:r>
    </w:p>
    <w:p w14:paraId="0E3A92B9" w14:textId="62891F60" w:rsidR="00352B8F" w:rsidRDefault="00600012" w:rsidP="003B459D">
      <w:pPr>
        <w:pStyle w:val="Odstavecseseznamem"/>
        <w:numPr>
          <w:ilvl w:val="0"/>
          <w:numId w:val="13"/>
        </w:numPr>
        <w:spacing w:before="240" w:after="120" w:line="240" w:lineRule="auto"/>
        <w:ind w:left="0" w:hanging="357"/>
        <w:contextualSpacing w:val="0"/>
        <w:jc w:val="both"/>
        <w:rPr>
          <w:rFonts w:cstheme="minorHAnsi"/>
        </w:rPr>
      </w:pPr>
      <w:r w:rsidRPr="00C82E9C">
        <w:rPr>
          <w:rFonts w:cstheme="minorHAnsi"/>
        </w:rPr>
        <w:t>P</w:t>
      </w:r>
      <w:r w:rsidR="0023145C" w:rsidRPr="00C82E9C">
        <w:rPr>
          <w:rFonts w:cstheme="minorHAnsi"/>
        </w:rPr>
        <w:t xml:space="preserve">o vydání kolaudačního souhlasu, příp. kolaudačního rozhodnutí apod. dokládajícího ukončení výstavby zařízení sociální infrastruktury dle čl. I odst. 1 tohoto pověření se podnik zavazuje k bezodkladnému podání žádosti o vstup předmětné sociální služby, vymezené v čl. I odst. 2 do Krajské sítě sociálních služeb a žádosti o registraci sociální služby, jejíž vznik je cílem realizace projektu. </w:t>
      </w:r>
    </w:p>
    <w:p w14:paraId="41859C69" w14:textId="040A6FF2" w:rsidR="007E080D" w:rsidRPr="00C82E9C" w:rsidRDefault="007E080D" w:rsidP="003B459D">
      <w:pPr>
        <w:pStyle w:val="Odstavecseseznamem"/>
        <w:numPr>
          <w:ilvl w:val="0"/>
          <w:numId w:val="13"/>
        </w:numPr>
        <w:spacing w:before="240" w:after="120" w:line="240" w:lineRule="auto"/>
        <w:ind w:left="0" w:hanging="357"/>
        <w:contextualSpacing w:val="0"/>
        <w:jc w:val="both"/>
        <w:rPr>
          <w:rFonts w:cstheme="minorHAnsi"/>
        </w:rPr>
      </w:pPr>
      <w:r>
        <w:rPr>
          <w:rFonts w:cstheme="minorHAnsi"/>
        </w:rPr>
        <w:t xml:space="preserve">Podnik se zavazuje </w:t>
      </w:r>
      <w:r w:rsidR="00723612">
        <w:rPr>
          <w:rFonts w:cstheme="minorHAnsi"/>
        </w:rPr>
        <w:t>zahájit poskytování sociální služby d</w:t>
      </w:r>
      <w:r w:rsidR="00045F7A">
        <w:rPr>
          <w:rFonts w:cstheme="minorHAnsi"/>
        </w:rPr>
        <w:t>le</w:t>
      </w:r>
      <w:r w:rsidR="006252E9">
        <w:rPr>
          <w:rFonts w:cstheme="minorHAnsi"/>
        </w:rPr>
        <w:t xml:space="preserve"> čl. I odst. 2 tohoto pověření nejpozději do 12 měsíců ode dne ukončení realizace projektu, uvedeném v právním aktu o poskytnutí podpory.</w:t>
      </w:r>
      <w:r w:rsidR="006835F6">
        <w:rPr>
          <w:rFonts w:cstheme="minorHAnsi"/>
        </w:rPr>
        <w:t xml:space="preserve"> </w:t>
      </w:r>
      <w:r w:rsidR="006835F6" w:rsidRPr="0034757E">
        <w:rPr>
          <w:rFonts w:cstheme="minorHAnsi"/>
        </w:rPr>
        <w:t>Dn</w:t>
      </w:r>
      <w:r w:rsidR="006835F6" w:rsidRPr="00C82E9C">
        <w:rPr>
          <w:rFonts w:cstheme="minorHAnsi"/>
        </w:rPr>
        <w:t>em ukončení realizace projektu se rozumí datum uvedené v právním aktu</w:t>
      </w:r>
      <w:r w:rsidR="006835F6">
        <w:rPr>
          <w:rFonts w:cstheme="minorHAnsi"/>
        </w:rPr>
        <w:t xml:space="preserve"> </w:t>
      </w:r>
      <w:r w:rsidR="006835F6" w:rsidRPr="00C82E9C">
        <w:rPr>
          <w:rFonts w:cstheme="minorHAnsi"/>
        </w:rPr>
        <w:t>vydaném VK 3.3 NPO o poskytnutí finančních prostředků Nástroje pro oživení a odolnost</w:t>
      </w:r>
      <w:r w:rsidR="006835F6">
        <w:rPr>
          <w:rFonts w:cstheme="minorHAnsi"/>
        </w:rPr>
        <w:t>.</w:t>
      </w:r>
    </w:p>
    <w:p w14:paraId="05AAC968" w14:textId="20E86BDC" w:rsidR="00840980" w:rsidRPr="00C82E9C" w:rsidRDefault="00840980" w:rsidP="00C82E9C">
      <w:pPr>
        <w:pStyle w:val="Odstavecseseznamem"/>
        <w:numPr>
          <w:ilvl w:val="0"/>
          <w:numId w:val="13"/>
        </w:numPr>
        <w:spacing w:before="240" w:after="120" w:line="240" w:lineRule="auto"/>
        <w:ind w:left="0" w:hanging="357"/>
        <w:contextualSpacing w:val="0"/>
        <w:rPr>
          <w:rFonts w:cstheme="minorHAnsi"/>
        </w:rPr>
      </w:pPr>
      <w:r w:rsidRPr="00C82E9C">
        <w:rPr>
          <w:rFonts w:cstheme="minorHAnsi"/>
        </w:rPr>
        <w:t>Závazek bude vykonáván s dopadem na území Kraje</w:t>
      </w:r>
      <w:r w:rsidR="009F0A1D" w:rsidRPr="00C82E9C">
        <w:rPr>
          <w:rFonts w:cstheme="minorHAnsi"/>
        </w:rPr>
        <w:t>.</w:t>
      </w:r>
    </w:p>
    <w:p w14:paraId="78761A2A" w14:textId="1D0B633F" w:rsidR="00FA3ACD" w:rsidRPr="00C82E9C" w:rsidRDefault="00FA3ACD" w:rsidP="00C82E9C">
      <w:pPr>
        <w:pStyle w:val="Odstavecseseznamem"/>
        <w:numPr>
          <w:ilvl w:val="0"/>
          <w:numId w:val="13"/>
        </w:numPr>
        <w:spacing w:before="240" w:after="120" w:line="240" w:lineRule="auto"/>
        <w:ind w:left="0" w:hanging="357"/>
        <w:contextualSpacing w:val="0"/>
        <w:rPr>
          <w:rFonts w:cstheme="minorHAnsi"/>
        </w:rPr>
      </w:pPr>
      <w:r w:rsidRPr="00C82E9C">
        <w:rPr>
          <w:rFonts w:cstheme="minorHAnsi"/>
        </w:rPr>
        <w:t>Pověření zaniká:</w:t>
      </w:r>
    </w:p>
    <w:p w14:paraId="28CCDC2E" w14:textId="7D7CD257" w:rsidR="00FA3ACD" w:rsidRPr="00C82E9C" w:rsidRDefault="00FA3ACD" w:rsidP="00C82E9C">
      <w:pPr>
        <w:pStyle w:val="Odstavecseseznamem"/>
        <w:numPr>
          <w:ilvl w:val="0"/>
          <w:numId w:val="2"/>
        </w:numPr>
        <w:spacing w:before="240" w:after="120" w:line="240" w:lineRule="auto"/>
        <w:ind w:left="0" w:hanging="357"/>
        <w:contextualSpacing w:val="0"/>
        <w:rPr>
          <w:rFonts w:cstheme="minorHAnsi"/>
        </w:rPr>
      </w:pPr>
      <w:r w:rsidRPr="00C82E9C">
        <w:rPr>
          <w:rFonts w:cstheme="minorHAnsi"/>
        </w:rPr>
        <w:t xml:space="preserve">Uplynutím doby, na kterou je podnik pověřen výkonem </w:t>
      </w:r>
      <w:r w:rsidR="0070183F" w:rsidRPr="00C82E9C">
        <w:rPr>
          <w:rFonts w:cstheme="minorHAnsi"/>
        </w:rPr>
        <w:t xml:space="preserve">služeb uvedených </w:t>
      </w:r>
      <w:r w:rsidR="00E47278" w:rsidRPr="00C82E9C">
        <w:rPr>
          <w:rFonts w:cstheme="minorHAnsi"/>
        </w:rPr>
        <w:t xml:space="preserve">v odst. </w:t>
      </w:r>
      <w:r w:rsidR="007E4C8E" w:rsidRPr="00C82E9C">
        <w:rPr>
          <w:rFonts w:cstheme="minorHAnsi"/>
        </w:rPr>
        <w:t>II</w:t>
      </w:r>
      <w:r w:rsidR="00E47278" w:rsidRPr="00C82E9C">
        <w:rPr>
          <w:rFonts w:cstheme="minorHAnsi"/>
        </w:rPr>
        <w:t xml:space="preserve"> čl. </w:t>
      </w:r>
      <w:r w:rsidR="007E4C8E" w:rsidRPr="00C82E9C">
        <w:rPr>
          <w:rFonts w:cstheme="minorHAnsi"/>
        </w:rPr>
        <w:t>1</w:t>
      </w:r>
      <w:r w:rsidR="00E47278" w:rsidRPr="00C82E9C">
        <w:rPr>
          <w:rFonts w:cstheme="minorHAnsi"/>
        </w:rPr>
        <w:t xml:space="preserve"> tohoto</w:t>
      </w:r>
      <w:r w:rsidR="0070183F" w:rsidRPr="00C82E9C">
        <w:rPr>
          <w:rFonts w:cstheme="minorHAnsi"/>
        </w:rPr>
        <w:t xml:space="preserve"> pověření</w:t>
      </w:r>
      <w:r w:rsidRPr="00C82E9C">
        <w:rPr>
          <w:rFonts w:cstheme="minorHAnsi"/>
        </w:rPr>
        <w:t>,</w:t>
      </w:r>
    </w:p>
    <w:p w14:paraId="389E3FBA" w14:textId="12B2F98F" w:rsidR="007E4C8E" w:rsidRPr="00C82E9C" w:rsidRDefault="007E4C8E" w:rsidP="003B459D">
      <w:pPr>
        <w:pStyle w:val="Odstavecseseznamem"/>
        <w:numPr>
          <w:ilvl w:val="0"/>
          <w:numId w:val="2"/>
        </w:numPr>
        <w:spacing w:before="240" w:after="120" w:line="240" w:lineRule="auto"/>
        <w:ind w:left="0" w:hanging="357"/>
        <w:contextualSpacing w:val="0"/>
        <w:jc w:val="both"/>
        <w:rPr>
          <w:rFonts w:cstheme="minorHAnsi"/>
        </w:rPr>
      </w:pPr>
      <w:r w:rsidRPr="00C82E9C">
        <w:rPr>
          <w:rFonts w:cstheme="minorHAnsi"/>
        </w:rPr>
        <w:lastRenderedPageBreak/>
        <w:t xml:space="preserve">Nesplněním povinnosti podat </w:t>
      </w:r>
      <w:r w:rsidR="00600012" w:rsidRPr="00C82E9C">
        <w:rPr>
          <w:rFonts w:cstheme="minorHAnsi"/>
        </w:rPr>
        <w:t>žádost o vstup předmětné sociální služby, vymezené v čl. I odst. 2</w:t>
      </w:r>
      <w:r w:rsidR="004B2EE4" w:rsidRPr="00C82E9C">
        <w:rPr>
          <w:rFonts w:cstheme="minorHAnsi"/>
        </w:rPr>
        <w:t>,</w:t>
      </w:r>
      <w:r w:rsidR="00600012" w:rsidRPr="00C82E9C">
        <w:rPr>
          <w:rFonts w:cstheme="minorHAnsi"/>
        </w:rPr>
        <w:t xml:space="preserve"> do Krajské sítě sociálních služeb a žádost o registraci sociální služby</w:t>
      </w:r>
      <w:r w:rsidR="00CB7909" w:rsidRPr="00C82E9C">
        <w:rPr>
          <w:rFonts w:cstheme="minorHAnsi"/>
        </w:rPr>
        <w:t xml:space="preserve"> nejpozději do </w:t>
      </w:r>
      <w:r w:rsidR="00A11E9C">
        <w:rPr>
          <w:rFonts w:cstheme="minorHAnsi"/>
        </w:rPr>
        <w:t>6</w:t>
      </w:r>
      <w:r w:rsidR="00CB7909" w:rsidRPr="00C82E9C">
        <w:rPr>
          <w:rFonts w:cstheme="minorHAnsi"/>
        </w:rPr>
        <w:t xml:space="preserve"> měsíců od vydání kolaudačního rozhodnutí (souhlasu apod.),</w:t>
      </w:r>
    </w:p>
    <w:p w14:paraId="2D0F7A77" w14:textId="01B4013A" w:rsidR="003B0422" w:rsidRPr="00C82E9C" w:rsidRDefault="003B0422" w:rsidP="003B459D">
      <w:pPr>
        <w:pStyle w:val="Odstavecseseznamem"/>
        <w:numPr>
          <w:ilvl w:val="0"/>
          <w:numId w:val="2"/>
        </w:numPr>
        <w:spacing w:before="240" w:after="120" w:line="240" w:lineRule="auto"/>
        <w:ind w:left="0" w:hanging="357"/>
        <w:contextualSpacing w:val="0"/>
        <w:jc w:val="both"/>
        <w:rPr>
          <w:rFonts w:cstheme="minorHAnsi"/>
        </w:rPr>
      </w:pPr>
      <w:r w:rsidRPr="00C82E9C">
        <w:rPr>
          <w:rFonts w:cstheme="minorHAnsi"/>
        </w:rPr>
        <w:t xml:space="preserve">V případě, </w:t>
      </w:r>
      <w:r w:rsidR="002A517E" w:rsidRPr="00C82E9C">
        <w:rPr>
          <w:rFonts w:cstheme="minorHAnsi"/>
        </w:rPr>
        <w:t>kdy</w:t>
      </w:r>
      <w:r w:rsidRPr="00C82E9C">
        <w:rPr>
          <w:rFonts w:cstheme="minorHAnsi"/>
        </w:rPr>
        <w:t xml:space="preserve"> včasně podaná žádost o vstup předmětné sociální služby do Krajské sítě nebude ve lhůtě do </w:t>
      </w:r>
      <w:r w:rsidR="00A45BD7">
        <w:rPr>
          <w:rFonts w:cstheme="minorHAnsi"/>
        </w:rPr>
        <w:t>12</w:t>
      </w:r>
      <w:r w:rsidRPr="00C82E9C">
        <w:rPr>
          <w:rFonts w:cstheme="minorHAnsi"/>
        </w:rPr>
        <w:t xml:space="preserve"> měsíců od </w:t>
      </w:r>
      <w:r w:rsidR="004B2EE4" w:rsidRPr="00C82E9C">
        <w:rPr>
          <w:rFonts w:cstheme="minorHAnsi"/>
        </w:rPr>
        <w:t>vydání kolaudačního rozhodnutí</w:t>
      </w:r>
      <w:r w:rsidR="0085758D">
        <w:rPr>
          <w:rFonts w:cstheme="minorHAnsi"/>
        </w:rPr>
        <w:t xml:space="preserve"> </w:t>
      </w:r>
      <w:r w:rsidR="00E749F5">
        <w:rPr>
          <w:rFonts w:cstheme="minorHAnsi"/>
        </w:rPr>
        <w:t>(souhlasu</w:t>
      </w:r>
      <w:r w:rsidR="00E04F9C">
        <w:rPr>
          <w:rFonts w:cstheme="minorHAnsi"/>
        </w:rPr>
        <w:t xml:space="preserve"> apod.)</w:t>
      </w:r>
      <w:r w:rsidRPr="00C82E9C">
        <w:rPr>
          <w:rFonts w:cstheme="minorHAnsi"/>
        </w:rPr>
        <w:t xml:space="preserve"> splňovat veškeré náležitosti dle podmínek stanovených ve Střednědobém plánu rozvoje sociálních služeb, aktuálně platném ke dni podání této žádosti, a zákona o sociálních službách, a to včetně platného rozhodnutí o registraci sociální služby, jejíž vznik je cílem realizace projektu</w:t>
      </w:r>
      <w:r w:rsidR="002A517E" w:rsidRPr="00C82E9C">
        <w:rPr>
          <w:rFonts w:cstheme="minorHAnsi"/>
        </w:rPr>
        <w:t>,</w:t>
      </w:r>
    </w:p>
    <w:p w14:paraId="59D17B17" w14:textId="1FC62729" w:rsidR="00FA3ACD" w:rsidRPr="00C82E9C" w:rsidRDefault="00E36BD4" w:rsidP="003B459D">
      <w:pPr>
        <w:pStyle w:val="Odstavecseseznamem"/>
        <w:numPr>
          <w:ilvl w:val="0"/>
          <w:numId w:val="2"/>
        </w:numPr>
        <w:spacing w:before="240" w:after="120" w:line="240" w:lineRule="auto"/>
        <w:ind w:left="0" w:hanging="357"/>
        <w:contextualSpacing w:val="0"/>
        <w:jc w:val="both"/>
        <w:rPr>
          <w:rFonts w:cstheme="minorHAnsi"/>
        </w:rPr>
      </w:pPr>
      <w:r w:rsidRPr="00C82E9C">
        <w:rPr>
          <w:rFonts w:cstheme="minorHAnsi"/>
        </w:rPr>
        <w:t xml:space="preserve">Nezařazením </w:t>
      </w:r>
      <w:r w:rsidR="00352B8F" w:rsidRPr="00C82E9C">
        <w:rPr>
          <w:rFonts w:cstheme="minorHAnsi"/>
        </w:rPr>
        <w:t xml:space="preserve">služby vymezené v čl. </w:t>
      </w:r>
      <w:r w:rsidR="002A517E" w:rsidRPr="00C82E9C">
        <w:rPr>
          <w:rFonts w:cstheme="minorHAnsi"/>
        </w:rPr>
        <w:t>I odst. 2 tohoto pověření</w:t>
      </w:r>
      <w:r w:rsidRPr="00C82E9C">
        <w:rPr>
          <w:rFonts w:cstheme="minorHAnsi"/>
        </w:rPr>
        <w:t xml:space="preserve"> do Krajské sítě sociálních služeb do data ukončení realizace projektu</w:t>
      </w:r>
      <w:r w:rsidR="00E47278" w:rsidRPr="00C82E9C">
        <w:rPr>
          <w:rFonts w:cstheme="minorHAnsi"/>
        </w:rPr>
        <w:t xml:space="preserve"> uvedeného ve čl. II odst. 1 tohoto pověření</w:t>
      </w:r>
      <w:r w:rsidRPr="00C82E9C">
        <w:rPr>
          <w:rFonts w:cstheme="minorHAnsi"/>
        </w:rPr>
        <w:t>, příp. v</w:t>
      </w:r>
      <w:r w:rsidR="00FA3ACD" w:rsidRPr="00C82E9C">
        <w:rPr>
          <w:rFonts w:cstheme="minorHAnsi"/>
        </w:rPr>
        <w:t xml:space="preserve">yřazením podniku z </w:t>
      </w:r>
      <w:r w:rsidR="00E76AC9" w:rsidRPr="00C82E9C">
        <w:rPr>
          <w:rFonts w:cstheme="minorHAnsi"/>
        </w:rPr>
        <w:t>Krajské s</w:t>
      </w:r>
      <w:r w:rsidR="00FA3ACD" w:rsidRPr="00C82E9C">
        <w:rPr>
          <w:rFonts w:cstheme="minorHAnsi"/>
        </w:rPr>
        <w:t>ítě sociálních služeb</w:t>
      </w:r>
      <w:r w:rsidR="001B6D69" w:rsidRPr="00C82E9C">
        <w:rPr>
          <w:rFonts w:cstheme="minorHAnsi"/>
        </w:rPr>
        <w:t xml:space="preserve"> v době po ukončení realizace projektu ale před uplynutím lhůty uvedené v odst. </w:t>
      </w:r>
      <w:r w:rsidR="001B3D2B" w:rsidRPr="00C82E9C">
        <w:rPr>
          <w:rFonts w:cstheme="minorHAnsi"/>
        </w:rPr>
        <w:t>1</w:t>
      </w:r>
      <w:r w:rsidR="001B6D69" w:rsidRPr="00C82E9C">
        <w:rPr>
          <w:rFonts w:cstheme="minorHAnsi"/>
        </w:rPr>
        <w:t xml:space="preserve"> tohoto článku</w:t>
      </w:r>
      <w:r w:rsidR="00707BB5" w:rsidRPr="00C82E9C">
        <w:rPr>
          <w:rFonts w:cstheme="minorHAnsi"/>
        </w:rPr>
        <w:t>,</w:t>
      </w:r>
    </w:p>
    <w:p w14:paraId="356FFC27" w14:textId="0F222112" w:rsidR="00FA3ACD" w:rsidRDefault="00E47278" w:rsidP="003B459D">
      <w:pPr>
        <w:pStyle w:val="Odstavecseseznamem"/>
        <w:numPr>
          <w:ilvl w:val="0"/>
          <w:numId w:val="2"/>
        </w:numPr>
        <w:spacing w:before="240" w:after="120" w:line="240" w:lineRule="auto"/>
        <w:ind w:left="0" w:hanging="357"/>
        <w:contextualSpacing w:val="0"/>
        <w:jc w:val="both"/>
        <w:rPr>
          <w:rFonts w:cstheme="minorHAnsi"/>
        </w:rPr>
      </w:pPr>
      <w:r w:rsidRPr="00C82E9C">
        <w:rPr>
          <w:rFonts w:cstheme="minorHAnsi"/>
        </w:rPr>
        <w:t>Nevydáním oprávnění k poskytování sociální služby (registrace) dle zákona č. 108/2006 Sb., o sociálních službách, ve znění pozdějších předpisů, do data ukončení realizace projektu uvedeného ve čl. II odst. 1 tohoto pověření, případně z</w:t>
      </w:r>
      <w:r w:rsidR="00FA3ACD" w:rsidRPr="00C82E9C">
        <w:rPr>
          <w:rFonts w:cstheme="minorHAnsi"/>
        </w:rPr>
        <w:t>rušením oprávnění k poskytování sociální služby (registrace) dle zákona č. 108/2006 Sb., o</w:t>
      </w:r>
      <w:r w:rsidR="00707BB5" w:rsidRPr="00C82E9C">
        <w:rPr>
          <w:rFonts w:cstheme="minorHAnsi"/>
        </w:rPr>
        <w:t> </w:t>
      </w:r>
      <w:r w:rsidR="00FA3ACD" w:rsidRPr="00C82E9C">
        <w:rPr>
          <w:rFonts w:cstheme="minorHAnsi"/>
        </w:rPr>
        <w:t>sociálních službách, ve znění pozdějších předpisů</w:t>
      </w:r>
      <w:r w:rsidR="00707BB5" w:rsidRPr="00C82E9C">
        <w:rPr>
          <w:rFonts w:cstheme="minorHAnsi"/>
        </w:rPr>
        <w:t>,</w:t>
      </w:r>
      <w:r w:rsidRPr="00C82E9C">
        <w:rPr>
          <w:rFonts w:cstheme="minorHAnsi"/>
        </w:rPr>
        <w:t xml:space="preserve"> ve lhůtě od ukončení realizace projektu do lhůty uvedené v odst. </w:t>
      </w:r>
      <w:r w:rsidR="001B3D2B" w:rsidRPr="00C82E9C">
        <w:rPr>
          <w:rFonts w:cstheme="minorHAnsi"/>
        </w:rPr>
        <w:t>1</w:t>
      </w:r>
      <w:r w:rsidRPr="00C82E9C">
        <w:rPr>
          <w:rFonts w:cstheme="minorHAnsi"/>
        </w:rPr>
        <w:t xml:space="preserve"> tohoto článku.</w:t>
      </w:r>
    </w:p>
    <w:p w14:paraId="2B5B67A9" w14:textId="0804DD6E" w:rsidR="00A45BD7" w:rsidRPr="00C82E9C" w:rsidRDefault="00A45BD7" w:rsidP="003B459D">
      <w:pPr>
        <w:pStyle w:val="Odstavecseseznamem"/>
        <w:numPr>
          <w:ilvl w:val="0"/>
          <w:numId w:val="2"/>
        </w:numPr>
        <w:spacing w:before="240" w:after="120" w:line="240" w:lineRule="auto"/>
        <w:ind w:left="0" w:hanging="357"/>
        <w:contextualSpacing w:val="0"/>
        <w:jc w:val="both"/>
        <w:rPr>
          <w:rFonts w:cstheme="minorHAnsi"/>
        </w:rPr>
      </w:pPr>
      <w:r>
        <w:rPr>
          <w:rFonts w:cstheme="minorHAnsi"/>
        </w:rPr>
        <w:t xml:space="preserve">Nesplněním povinnosti zahájit poskytování sociální služby do 12 měsíců od ukončení realizace projektu dle </w:t>
      </w:r>
      <w:r w:rsidR="004B4B12">
        <w:rPr>
          <w:rFonts w:cstheme="minorHAnsi"/>
        </w:rPr>
        <w:t>čl. II odst. 3 tohoto Pověření.</w:t>
      </w:r>
    </w:p>
    <w:p w14:paraId="0CB13BD6" w14:textId="77777777" w:rsidR="002A517E" w:rsidRPr="00C82E9C" w:rsidRDefault="00707BB5" w:rsidP="003B459D">
      <w:pPr>
        <w:pStyle w:val="Odstavecseseznamem"/>
        <w:numPr>
          <w:ilvl w:val="0"/>
          <w:numId w:val="2"/>
        </w:numPr>
        <w:spacing w:before="240" w:after="120" w:line="240" w:lineRule="auto"/>
        <w:ind w:left="0" w:hanging="357"/>
        <w:contextualSpacing w:val="0"/>
        <w:jc w:val="both"/>
        <w:rPr>
          <w:rFonts w:cstheme="minorHAnsi"/>
        </w:rPr>
      </w:pPr>
      <w:r w:rsidRPr="00C82E9C">
        <w:rPr>
          <w:rFonts w:cstheme="minorHAnsi"/>
        </w:rPr>
        <w:t xml:space="preserve">Nesplněním podmínek podpory </w:t>
      </w:r>
      <w:r w:rsidR="002A517E" w:rsidRPr="00C82E9C">
        <w:rPr>
          <w:rFonts w:cstheme="minorHAnsi"/>
        </w:rPr>
        <w:t>pro vydání</w:t>
      </w:r>
      <w:r w:rsidR="003A38DD" w:rsidRPr="00C82E9C">
        <w:rPr>
          <w:rFonts w:cstheme="minorHAnsi"/>
        </w:rPr>
        <w:t xml:space="preserve"> právního aktu MPSV</w:t>
      </w:r>
      <w:r w:rsidR="002A517E" w:rsidRPr="00C82E9C">
        <w:rPr>
          <w:rFonts w:cstheme="minorHAnsi"/>
        </w:rPr>
        <w:t xml:space="preserve"> a následného ukončení administrace žádosti o podporu ze strany MPSV,</w:t>
      </w:r>
    </w:p>
    <w:p w14:paraId="3140DDC9" w14:textId="776AC210" w:rsidR="002A517E" w:rsidRPr="00C82E9C" w:rsidRDefault="002A517E" w:rsidP="00C82E9C">
      <w:pPr>
        <w:pStyle w:val="Odstavecseseznamem"/>
        <w:numPr>
          <w:ilvl w:val="0"/>
          <w:numId w:val="2"/>
        </w:numPr>
        <w:spacing w:before="240" w:after="120" w:line="240" w:lineRule="auto"/>
        <w:ind w:left="0" w:hanging="357"/>
        <w:contextualSpacing w:val="0"/>
        <w:rPr>
          <w:rFonts w:cstheme="minorHAnsi"/>
        </w:rPr>
      </w:pPr>
      <w:r w:rsidRPr="00C82E9C">
        <w:rPr>
          <w:rFonts w:cstheme="minorHAnsi"/>
        </w:rPr>
        <w:t xml:space="preserve">Odstoupením podniku od realizace projektu vymezeném v příloze č. 1 tohoto </w:t>
      </w:r>
      <w:r w:rsidR="004B4B12">
        <w:rPr>
          <w:rFonts w:cstheme="minorHAnsi"/>
        </w:rPr>
        <w:t>P</w:t>
      </w:r>
      <w:r w:rsidRPr="00C82E9C">
        <w:rPr>
          <w:rFonts w:cstheme="minorHAnsi"/>
        </w:rPr>
        <w:t xml:space="preserve">ověření. </w:t>
      </w:r>
    </w:p>
    <w:p w14:paraId="233D86A2" w14:textId="0A62AA5B" w:rsidR="00AB64EF" w:rsidRPr="00C82E9C" w:rsidRDefault="00AB64EF" w:rsidP="00C82E9C">
      <w:pPr>
        <w:rPr>
          <w:rFonts w:cstheme="minorHAnsi"/>
        </w:rPr>
      </w:pPr>
    </w:p>
    <w:p w14:paraId="062E0CB3" w14:textId="7CC1B51F" w:rsidR="00AB64EF" w:rsidRPr="00C82E9C" w:rsidRDefault="00AB64EF" w:rsidP="00C82E9C">
      <w:pPr>
        <w:pStyle w:val="Odstavecseseznamem"/>
        <w:numPr>
          <w:ilvl w:val="0"/>
          <w:numId w:val="7"/>
        </w:numPr>
        <w:ind w:left="0"/>
        <w:contextualSpacing w:val="0"/>
        <w:rPr>
          <w:rFonts w:cstheme="minorHAnsi"/>
          <w:b/>
          <w:bCs/>
        </w:rPr>
      </w:pPr>
      <w:r w:rsidRPr="00C82E9C">
        <w:rPr>
          <w:rFonts w:cstheme="minorHAnsi"/>
          <w:b/>
          <w:bCs/>
        </w:rPr>
        <w:t>Vyrovnávací platba</w:t>
      </w:r>
    </w:p>
    <w:p w14:paraId="2C3BD3DB" w14:textId="6D79FF62" w:rsidR="0004200E" w:rsidRPr="00C82E9C" w:rsidRDefault="0004200E" w:rsidP="003B459D">
      <w:pPr>
        <w:pStyle w:val="Odstavecseseznamem"/>
        <w:numPr>
          <w:ilvl w:val="0"/>
          <w:numId w:val="14"/>
        </w:numPr>
        <w:ind w:left="0"/>
        <w:contextualSpacing w:val="0"/>
        <w:jc w:val="both"/>
        <w:rPr>
          <w:rFonts w:cstheme="minorHAnsi"/>
        </w:rPr>
      </w:pPr>
      <w:r w:rsidRPr="00C82E9C">
        <w:rPr>
          <w:rFonts w:cstheme="minorHAnsi"/>
        </w:rPr>
        <w:t xml:space="preserve">Za výkon služeb v režimu závazku veřejné služby může být příjemci poskytnut příspěvek formou vyrovnávací platby. Vyrovnávací platba může být poskytována formou účelové dotace z rozpočtu Kraje nebo z jiných veřejných finančních zdrojů v souvislosti se zajišťováním služeb uvedených </w:t>
      </w:r>
      <w:r w:rsidR="00FD08F9" w:rsidRPr="00C82E9C">
        <w:rPr>
          <w:rFonts w:cstheme="minorHAnsi"/>
        </w:rPr>
        <w:t xml:space="preserve">v článku 1 tohoto </w:t>
      </w:r>
      <w:r w:rsidR="00F12523" w:rsidRPr="00C82E9C">
        <w:rPr>
          <w:rFonts w:cstheme="minorHAnsi"/>
        </w:rPr>
        <w:t>p</w:t>
      </w:r>
      <w:r w:rsidR="00FD08F9" w:rsidRPr="00C82E9C">
        <w:rPr>
          <w:rFonts w:cstheme="minorHAnsi"/>
        </w:rPr>
        <w:t>ověření</w:t>
      </w:r>
      <w:r w:rsidRPr="00C82E9C">
        <w:rPr>
          <w:rFonts w:cstheme="minorHAnsi"/>
        </w:rPr>
        <w:t xml:space="preserve">. Dotace z rozpočtu Kraje bude schvalována zastupitelstvem Kraje v souladu s platnými právními předpisy a finančními možnostmi kraje a poskytována na základě samostatné smlouvy o poskytnutí dotace. Smlouvy o poskytnutí dotace a usnesení </w:t>
      </w:r>
      <w:r w:rsidR="00C62AB1" w:rsidRPr="00C82E9C">
        <w:rPr>
          <w:rFonts w:cstheme="minorHAnsi"/>
        </w:rPr>
        <w:t xml:space="preserve">zastupitelstva Kraje </w:t>
      </w:r>
      <w:r w:rsidRPr="00C82E9C">
        <w:rPr>
          <w:rFonts w:cstheme="minorHAnsi"/>
        </w:rPr>
        <w:t xml:space="preserve">(dále jen „právní akty“) týkající se vyrovnávací platby dle tohoto ustanovení budou obsahovat odkaz na toto pověření. </w:t>
      </w:r>
      <w:r w:rsidR="00C62AB1" w:rsidRPr="00C82E9C">
        <w:rPr>
          <w:rFonts w:cstheme="minorHAnsi"/>
        </w:rPr>
        <w:t xml:space="preserve">Záležitosti neupravené v právních aktech týkajících vyrovnávací platby ve vztahu k příjemci se budou řídit </w:t>
      </w:r>
      <w:r w:rsidRPr="00C82E9C">
        <w:rPr>
          <w:rFonts w:cstheme="minorHAnsi"/>
        </w:rPr>
        <w:t>tímto pověřením.</w:t>
      </w:r>
    </w:p>
    <w:p w14:paraId="5E83D79F" w14:textId="1C550FC6" w:rsidR="00532027" w:rsidRPr="00C82E9C" w:rsidRDefault="00532027" w:rsidP="003B459D">
      <w:pPr>
        <w:pStyle w:val="Odstavecseseznamem"/>
        <w:numPr>
          <w:ilvl w:val="0"/>
          <w:numId w:val="14"/>
        </w:numPr>
        <w:ind w:left="0"/>
        <w:contextualSpacing w:val="0"/>
        <w:jc w:val="both"/>
        <w:rPr>
          <w:rFonts w:cstheme="minorHAnsi"/>
        </w:rPr>
      </w:pPr>
      <w:r w:rsidRPr="00C82E9C">
        <w:rPr>
          <w:rFonts w:cstheme="minorHAnsi"/>
        </w:rPr>
        <w:t>Kraj i </w:t>
      </w:r>
      <w:r w:rsidR="00541D29" w:rsidRPr="00C82E9C">
        <w:rPr>
          <w:rFonts w:cstheme="minorHAnsi"/>
        </w:rPr>
        <w:t>podnik</w:t>
      </w:r>
      <w:r w:rsidRPr="00C82E9C">
        <w:rPr>
          <w:rFonts w:cstheme="minorHAnsi"/>
        </w:rPr>
        <w:t xml:space="preserve"> berou na vědomí, že vyrovnávací platba je rovněž veřejnou podporou ve smyslu čl. 107 odst. 1 Smlouvy o fungování Evropské unie, která však naplňuje všechny podmínky Rozhodnutí Komise č. 2012/21/EU, a proto je vyňata z povinnosti ohlašování (notifikace) veřejné podpory před jejím poskytnutím.</w:t>
      </w:r>
    </w:p>
    <w:p w14:paraId="1E1E54DA" w14:textId="3E51C333" w:rsidR="00532027" w:rsidRDefault="00541D29" w:rsidP="003B459D">
      <w:pPr>
        <w:pStyle w:val="Odstavecseseznamem"/>
        <w:numPr>
          <w:ilvl w:val="0"/>
          <w:numId w:val="14"/>
        </w:numPr>
        <w:spacing w:before="240" w:after="240" w:line="240" w:lineRule="auto"/>
        <w:ind w:left="0"/>
        <w:contextualSpacing w:val="0"/>
        <w:jc w:val="both"/>
        <w:rPr>
          <w:rFonts w:cstheme="minorHAnsi"/>
        </w:rPr>
      </w:pPr>
      <w:r w:rsidRPr="00C82E9C">
        <w:rPr>
          <w:rFonts w:cstheme="minorHAnsi"/>
        </w:rPr>
        <w:t>Podnik</w:t>
      </w:r>
      <w:r w:rsidR="00532027" w:rsidRPr="00C82E9C">
        <w:rPr>
          <w:rFonts w:cstheme="minorHAnsi"/>
        </w:rPr>
        <w:t xml:space="preserve"> bere na vědomí, že Kraj je povinen průběžně ověřovat naplnění podmínek Rozhodnutí Komise č. 2012/21/EU a je srozuměn s tím, že v případě jejich nenaplnění bude Kraj postupovat podle příslušných předpisů pro oblast veřejné podpory. V takovém případě p</w:t>
      </w:r>
      <w:r w:rsidRPr="00C82E9C">
        <w:rPr>
          <w:rFonts w:cstheme="minorHAnsi"/>
        </w:rPr>
        <w:t>odnik</w:t>
      </w:r>
      <w:r w:rsidR="00532027" w:rsidRPr="00C82E9C">
        <w:rPr>
          <w:rFonts w:cstheme="minorHAnsi"/>
        </w:rPr>
        <w:t xml:space="preserve"> poskytne Kraji potřebnou součinnost.</w:t>
      </w:r>
    </w:p>
    <w:p w14:paraId="32C2F245" w14:textId="77777777" w:rsidR="005D7610" w:rsidRDefault="005D7610" w:rsidP="005D7610">
      <w:pPr>
        <w:pStyle w:val="Odstavecseseznamem"/>
        <w:spacing w:before="240" w:after="240" w:line="240" w:lineRule="auto"/>
        <w:ind w:left="0"/>
        <w:contextualSpacing w:val="0"/>
        <w:rPr>
          <w:rFonts w:cstheme="minorHAnsi"/>
          <w:b/>
          <w:bCs/>
        </w:rPr>
      </w:pPr>
    </w:p>
    <w:p w14:paraId="53EA2956" w14:textId="7D4748DB" w:rsidR="00C62AB1" w:rsidRPr="00C82E9C" w:rsidRDefault="003A38DD" w:rsidP="00C82E9C">
      <w:pPr>
        <w:pStyle w:val="Odstavecseseznamem"/>
        <w:numPr>
          <w:ilvl w:val="0"/>
          <w:numId w:val="7"/>
        </w:numPr>
        <w:spacing w:before="240" w:after="240" w:line="240" w:lineRule="auto"/>
        <w:ind w:left="0"/>
        <w:contextualSpacing w:val="0"/>
        <w:rPr>
          <w:rFonts w:cstheme="minorHAnsi"/>
          <w:b/>
          <w:bCs/>
        </w:rPr>
      </w:pPr>
      <w:r w:rsidRPr="00C82E9C">
        <w:rPr>
          <w:rFonts w:cstheme="minorHAnsi"/>
          <w:b/>
          <w:bCs/>
        </w:rPr>
        <w:t>Výpočet vyrovnávací platby</w:t>
      </w:r>
    </w:p>
    <w:p w14:paraId="7165F7E1" w14:textId="1BDA4319" w:rsidR="003A38DD" w:rsidRPr="00C82E9C" w:rsidRDefault="003A38DD" w:rsidP="003B459D">
      <w:pPr>
        <w:pStyle w:val="Odstavecseseznamem"/>
        <w:numPr>
          <w:ilvl w:val="0"/>
          <w:numId w:val="16"/>
        </w:numPr>
        <w:spacing w:before="240" w:after="120"/>
        <w:ind w:left="0"/>
        <w:contextualSpacing w:val="0"/>
        <w:jc w:val="both"/>
        <w:rPr>
          <w:rFonts w:cstheme="minorHAnsi"/>
        </w:rPr>
      </w:pPr>
      <w:r w:rsidRPr="00C82E9C">
        <w:rPr>
          <w:rFonts w:cstheme="minorHAnsi"/>
        </w:rPr>
        <w:t xml:space="preserve">Výše vyrovnávací platby nepřesáhne výši čistých nákladů vynaložených při plnění služeb vymezených v Příloze č. 1 </w:t>
      </w:r>
      <w:r w:rsidR="00F91B26" w:rsidRPr="00C82E9C">
        <w:rPr>
          <w:rFonts w:cstheme="minorHAnsi"/>
        </w:rPr>
        <w:t>tohoto pověření</w:t>
      </w:r>
      <w:r w:rsidRPr="00C82E9C">
        <w:rPr>
          <w:rFonts w:cstheme="minorHAnsi"/>
        </w:rPr>
        <w:t xml:space="preserve">. Čisté náklady budou vypočítány jako rozdíl mezi náklady, které </w:t>
      </w:r>
      <w:r w:rsidR="00F91B26" w:rsidRPr="00C82E9C">
        <w:rPr>
          <w:rFonts w:cstheme="minorHAnsi"/>
        </w:rPr>
        <w:t>podniku</w:t>
      </w:r>
      <w:r w:rsidRPr="00C82E9C">
        <w:rPr>
          <w:rFonts w:cstheme="minorHAnsi"/>
        </w:rPr>
        <w:t xml:space="preserve"> prokazatelně vzniknou v souvislosti s výkonem služeb v režimu závazku veřejné služby a budou uznány Krajem a prokazatelnými příjmy z takových služeb. V případě, že </w:t>
      </w:r>
      <w:r w:rsidR="00F91B26" w:rsidRPr="00C82E9C">
        <w:rPr>
          <w:rFonts w:cstheme="minorHAnsi"/>
        </w:rPr>
        <w:t>podnik</w:t>
      </w:r>
      <w:r w:rsidRPr="00C82E9C">
        <w:rPr>
          <w:rFonts w:cstheme="minorHAnsi"/>
        </w:rPr>
        <w:t xml:space="preserve"> obdrží v souvislosti s výkonem služeb v režimu závazku veřejné služby jiné veřejné prostředky, a to v jakékoliv formě, může být o jejich výši financování ze strany Kraje sníženo. Tuto skutečnost je </w:t>
      </w:r>
      <w:r w:rsidR="00F91B26" w:rsidRPr="00C82E9C">
        <w:rPr>
          <w:rFonts w:cstheme="minorHAnsi"/>
        </w:rPr>
        <w:t>podnik</w:t>
      </w:r>
      <w:r w:rsidRPr="00C82E9C">
        <w:rPr>
          <w:rFonts w:cstheme="minorHAnsi"/>
        </w:rPr>
        <w:t xml:space="preserve"> povinen Kraji písemně</w:t>
      </w:r>
      <w:r w:rsidR="00F91B26" w:rsidRPr="00C82E9C">
        <w:rPr>
          <w:rFonts w:cstheme="minorHAnsi"/>
        </w:rPr>
        <w:t xml:space="preserve"> sdělit.</w:t>
      </w:r>
    </w:p>
    <w:p w14:paraId="1F4CE73B" w14:textId="7E1542EE" w:rsidR="00F91B26" w:rsidRPr="00C82E9C" w:rsidRDefault="00F91B26" w:rsidP="003B459D">
      <w:pPr>
        <w:pStyle w:val="Odstavecseseznamem"/>
        <w:numPr>
          <w:ilvl w:val="0"/>
          <w:numId w:val="16"/>
        </w:numPr>
        <w:spacing w:before="240" w:after="120"/>
        <w:ind w:left="0"/>
        <w:contextualSpacing w:val="0"/>
        <w:jc w:val="both"/>
        <w:rPr>
          <w:rFonts w:cstheme="minorHAnsi"/>
        </w:rPr>
      </w:pPr>
      <w:r w:rsidRPr="00C82E9C">
        <w:rPr>
          <w:rFonts w:cstheme="minorHAnsi"/>
        </w:rPr>
        <w:t>Příslušné náklady a příjmy musí být vyúčtovány, uhrazeny a promítnuty v účetnictví podniku a doloženy Kraji, a to nejpozději ve lhůtě stanovené tímto pověřením.</w:t>
      </w:r>
    </w:p>
    <w:p w14:paraId="60116645" w14:textId="295862BC" w:rsidR="00F91B26" w:rsidRPr="00C82E9C" w:rsidRDefault="00F91B26" w:rsidP="003B459D">
      <w:pPr>
        <w:pStyle w:val="Odstavecseseznamem"/>
        <w:numPr>
          <w:ilvl w:val="0"/>
          <w:numId w:val="16"/>
        </w:numPr>
        <w:spacing w:before="240" w:after="120"/>
        <w:ind w:left="0"/>
        <w:contextualSpacing w:val="0"/>
        <w:jc w:val="both"/>
        <w:rPr>
          <w:rFonts w:cstheme="minorHAnsi"/>
        </w:rPr>
      </w:pPr>
      <w:r w:rsidRPr="00C82E9C">
        <w:rPr>
          <w:rFonts w:cstheme="minorHAnsi"/>
        </w:rPr>
        <w:t xml:space="preserve">Kraj je oprávněn požadovat po </w:t>
      </w:r>
      <w:r w:rsidR="00CB7909" w:rsidRPr="00C82E9C">
        <w:rPr>
          <w:rFonts w:cstheme="minorHAnsi"/>
        </w:rPr>
        <w:t xml:space="preserve">podniku </w:t>
      </w:r>
      <w:r w:rsidRPr="00C82E9C">
        <w:rPr>
          <w:rFonts w:cstheme="minorHAnsi"/>
        </w:rPr>
        <w:t xml:space="preserve">zdůvodnění nákladů a příjmů vzniklých v souvislosti s výkonem služeb v režimu závazku veřejné služby. Je rovněž oprávněn předložené náklady a příjmy neuznat. Příjmy vzniklé v souvislosti s výkonem služeb v režimu závazku veřejné služby nesmí být ze strany </w:t>
      </w:r>
      <w:r w:rsidR="00CB7909" w:rsidRPr="00C82E9C">
        <w:rPr>
          <w:rFonts w:cstheme="minorHAnsi"/>
        </w:rPr>
        <w:t>podniku</w:t>
      </w:r>
      <w:r w:rsidRPr="00C82E9C">
        <w:rPr>
          <w:rFonts w:cstheme="minorHAnsi"/>
        </w:rPr>
        <w:t xml:space="preserve"> bezdůvodně snižovány. Jakékoliv snížení je </w:t>
      </w:r>
      <w:r w:rsidR="00CB7909" w:rsidRPr="00C82E9C">
        <w:rPr>
          <w:rFonts w:cstheme="minorHAnsi"/>
        </w:rPr>
        <w:t>podnik</w:t>
      </w:r>
      <w:r w:rsidRPr="00C82E9C">
        <w:rPr>
          <w:rFonts w:cstheme="minorHAnsi"/>
        </w:rPr>
        <w:t xml:space="preserve"> povinen dopředu s Krajem písemně projednat.</w:t>
      </w:r>
    </w:p>
    <w:p w14:paraId="1EAD69E8" w14:textId="24E76EAF" w:rsidR="00F91B26" w:rsidRPr="00C82E9C" w:rsidRDefault="00F91B26" w:rsidP="003B459D">
      <w:pPr>
        <w:pStyle w:val="Odstavecseseznamem"/>
        <w:numPr>
          <w:ilvl w:val="0"/>
          <w:numId w:val="16"/>
        </w:numPr>
        <w:spacing w:before="240" w:after="120"/>
        <w:ind w:left="0"/>
        <w:contextualSpacing w:val="0"/>
        <w:jc w:val="both"/>
        <w:rPr>
          <w:rFonts w:cstheme="minorHAnsi"/>
        </w:rPr>
      </w:pPr>
      <w:r w:rsidRPr="00C82E9C">
        <w:rPr>
          <w:rFonts w:cstheme="minorHAnsi"/>
        </w:rPr>
        <w:t xml:space="preserve">Pokud budou prokazatelné a Krajem uznané náklady </w:t>
      </w:r>
      <w:r w:rsidR="00CB7909" w:rsidRPr="00C82E9C">
        <w:rPr>
          <w:rFonts w:cstheme="minorHAnsi"/>
        </w:rPr>
        <w:t>podniku</w:t>
      </w:r>
      <w:r w:rsidRPr="00C82E9C">
        <w:rPr>
          <w:rFonts w:cstheme="minorHAnsi"/>
        </w:rPr>
        <w:t xml:space="preserve"> vzniklé v souvislosti s výkonem služeb v režimu závazku veřejné služby po odečtení Krajem uznaných příjmů z takových služeb nižší než poskytnutá výše vyrovnávací platby (dále jen „nadměrná vyrovnávací platba“), je </w:t>
      </w:r>
      <w:r w:rsidR="00CB7909" w:rsidRPr="00C82E9C">
        <w:rPr>
          <w:rFonts w:cstheme="minorHAnsi"/>
        </w:rPr>
        <w:t>podnik</w:t>
      </w:r>
      <w:r w:rsidRPr="00C82E9C">
        <w:rPr>
          <w:rFonts w:cstheme="minorHAnsi"/>
        </w:rPr>
        <w:t xml:space="preserve"> povinen tuto nadměrnou vyrovnávací platbu vrátit do rozpočtu Kraje.</w:t>
      </w:r>
    </w:p>
    <w:p w14:paraId="03C5D108" w14:textId="508E8984" w:rsidR="00F91B26" w:rsidRDefault="00F91B26" w:rsidP="003B459D">
      <w:pPr>
        <w:pStyle w:val="Odstavecseseznamem"/>
        <w:numPr>
          <w:ilvl w:val="0"/>
          <w:numId w:val="16"/>
        </w:numPr>
        <w:spacing w:before="240" w:after="120"/>
        <w:ind w:left="0"/>
        <w:contextualSpacing w:val="0"/>
        <w:jc w:val="both"/>
        <w:rPr>
          <w:rFonts w:cstheme="minorHAnsi"/>
        </w:rPr>
      </w:pPr>
      <w:r w:rsidRPr="00C82E9C">
        <w:rPr>
          <w:rFonts w:cstheme="minorHAnsi"/>
        </w:rPr>
        <w:t>Vyrovnávací platba poskytnutá z rozpočtu Kraje bude hrazena v termínech stanovených ve smlouvě o poskytnutí dotace</w:t>
      </w:r>
      <w:r w:rsidR="0034757E">
        <w:rPr>
          <w:rFonts w:cstheme="minorHAnsi"/>
        </w:rPr>
        <w:t>.</w:t>
      </w:r>
    </w:p>
    <w:p w14:paraId="073E5D48" w14:textId="77777777" w:rsidR="0034757E" w:rsidRPr="00C82E9C" w:rsidRDefault="0034757E" w:rsidP="0034757E">
      <w:pPr>
        <w:pStyle w:val="Odstavecseseznamem"/>
        <w:spacing w:before="240" w:after="120"/>
        <w:ind w:left="0"/>
        <w:contextualSpacing w:val="0"/>
        <w:jc w:val="both"/>
        <w:rPr>
          <w:rFonts w:cstheme="minorHAnsi"/>
        </w:rPr>
      </w:pPr>
    </w:p>
    <w:p w14:paraId="78D615B3" w14:textId="52477752" w:rsidR="00707BB5" w:rsidRPr="00C82E9C" w:rsidRDefault="00707BB5" w:rsidP="00C82E9C">
      <w:pPr>
        <w:pStyle w:val="Odstavecseseznamem"/>
        <w:numPr>
          <w:ilvl w:val="0"/>
          <w:numId w:val="7"/>
        </w:numPr>
        <w:spacing w:before="240" w:after="120" w:line="240" w:lineRule="auto"/>
        <w:ind w:left="0"/>
        <w:contextualSpacing w:val="0"/>
        <w:rPr>
          <w:rFonts w:cstheme="minorHAnsi"/>
          <w:b/>
          <w:bCs/>
        </w:rPr>
      </w:pPr>
      <w:r w:rsidRPr="00C82E9C">
        <w:rPr>
          <w:rFonts w:cstheme="minorHAnsi"/>
          <w:b/>
          <w:bCs/>
        </w:rPr>
        <w:t>Povaha výhradních nebo zvláštních práv udělených podniku orgánem poskytujícím podporu</w:t>
      </w:r>
    </w:p>
    <w:p w14:paraId="3AF678BA" w14:textId="7E8D3BD7" w:rsidR="003A38DD" w:rsidRDefault="00707BB5" w:rsidP="003B459D">
      <w:pPr>
        <w:jc w:val="both"/>
        <w:rPr>
          <w:rFonts w:cstheme="minorHAnsi"/>
        </w:rPr>
      </w:pPr>
      <w:r w:rsidRPr="00C82E9C">
        <w:rPr>
          <w:rFonts w:cstheme="minorHAnsi"/>
        </w:rPr>
        <w:t>Podniku nejsou tímto pověřením udělena žádná výhradní ani zvláštní práva k poskytování sociálních služeb.</w:t>
      </w:r>
    </w:p>
    <w:p w14:paraId="0B3D9926" w14:textId="77777777" w:rsidR="0034757E" w:rsidRPr="00C82E9C" w:rsidRDefault="0034757E" w:rsidP="003B459D">
      <w:pPr>
        <w:jc w:val="both"/>
        <w:rPr>
          <w:rFonts w:cstheme="minorHAnsi"/>
        </w:rPr>
      </w:pPr>
    </w:p>
    <w:p w14:paraId="46EC81B7" w14:textId="1AC1B1B3" w:rsidR="00707BB5" w:rsidRPr="00C82E9C" w:rsidRDefault="00707BB5" w:rsidP="00C82E9C">
      <w:pPr>
        <w:pStyle w:val="Odstavecseseznamem"/>
        <w:numPr>
          <w:ilvl w:val="0"/>
          <w:numId w:val="7"/>
        </w:numPr>
        <w:ind w:left="0"/>
        <w:contextualSpacing w:val="0"/>
        <w:rPr>
          <w:rFonts w:cstheme="minorHAnsi"/>
          <w:b/>
          <w:bCs/>
        </w:rPr>
      </w:pPr>
      <w:r w:rsidRPr="00C82E9C">
        <w:rPr>
          <w:rFonts w:cstheme="minorHAnsi"/>
          <w:b/>
          <w:bCs/>
        </w:rPr>
        <w:t>Popis kompenzačního mechanismu a parametrů pro výpočet vyrovnávací platby</w:t>
      </w:r>
    </w:p>
    <w:p w14:paraId="20A77947" w14:textId="39A259A0" w:rsidR="00B21A09" w:rsidRDefault="00B21A09" w:rsidP="003B459D">
      <w:pPr>
        <w:pStyle w:val="Odstavecseseznamem"/>
        <w:numPr>
          <w:ilvl w:val="0"/>
          <w:numId w:val="17"/>
        </w:numPr>
        <w:ind w:left="0"/>
        <w:contextualSpacing w:val="0"/>
        <w:jc w:val="both"/>
        <w:rPr>
          <w:rFonts w:cstheme="minorHAnsi"/>
        </w:rPr>
      </w:pPr>
      <w:r w:rsidRPr="00C82E9C">
        <w:rPr>
          <w:rFonts w:cstheme="minorHAnsi"/>
        </w:rPr>
        <w:t>Kompenzační mechanismus</w:t>
      </w:r>
      <w:r w:rsidR="008E08CB" w:rsidRPr="00C82E9C">
        <w:rPr>
          <w:rFonts w:cstheme="minorHAnsi"/>
        </w:rPr>
        <w:t xml:space="preserve"> vč. parametrů pro výpočet, kontrolu a přezkoumání vyrovnávací platby</w:t>
      </w:r>
      <w:r w:rsidRPr="00C82E9C">
        <w:rPr>
          <w:rFonts w:cstheme="minorHAnsi"/>
        </w:rPr>
        <w:t xml:space="preserve"> pro </w:t>
      </w:r>
      <w:r w:rsidR="003066DA" w:rsidRPr="00C82E9C">
        <w:rPr>
          <w:rFonts w:cstheme="minorHAnsi"/>
        </w:rPr>
        <w:t>investiční</w:t>
      </w:r>
      <w:r w:rsidR="00F82183" w:rsidRPr="00C82E9C">
        <w:rPr>
          <w:rFonts w:cstheme="minorHAnsi"/>
        </w:rPr>
        <w:t xml:space="preserve"> </w:t>
      </w:r>
      <w:r w:rsidR="006C33BB" w:rsidRPr="00C82E9C">
        <w:rPr>
          <w:rFonts w:cstheme="minorHAnsi"/>
        </w:rPr>
        <w:t>podporu</w:t>
      </w:r>
      <w:r w:rsidR="00277972" w:rsidRPr="00C82E9C">
        <w:rPr>
          <w:rFonts w:cstheme="minorHAnsi"/>
        </w:rPr>
        <w:t xml:space="preserve"> – SOHZ vymezenou v čl. I odst. 1 tohoto pověření</w:t>
      </w:r>
      <w:r w:rsidR="00F82183" w:rsidRPr="00C82E9C">
        <w:rPr>
          <w:rFonts w:cstheme="minorHAnsi"/>
        </w:rPr>
        <w:t xml:space="preserve"> je upraven v podmínkách právního aktu</w:t>
      </w:r>
      <w:r w:rsidR="003066DA" w:rsidRPr="00C82E9C">
        <w:rPr>
          <w:rFonts w:cstheme="minorHAnsi"/>
        </w:rPr>
        <w:t>, který bude vydán</w:t>
      </w:r>
      <w:r w:rsidR="006C33BB" w:rsidRPr="00C82E9C">
        <w:rPr>
          <w:rFonts w:cstheme="minorHAnsi"/>
        </w:rPr>
        <w:t xml:space="preserve"> </w:t>
      </w:r>
      <w:r w:rsidR="003066DA" w:rsidRPr="00C82E9C">
        <w:rPr>
          <w:rFonts w:cstheme="minorHAnsi"/>
        </w:rPr>
        <w:t>Ministerstvem práce a sociálních věcí jakožto vlastníkem komponenty 3.3. Národního plánu obnovy na základě</w:t>
      </w:r>
      <w:r w:rsidR="00E77CE7" w:rsidRPr="00C82E9C">
        <w:rPr>
          <w:rFonts w:cstheme="minorHAnsi"/>
        </w:rPr>
        <w:t xml:space="preserve"> schválení projektu </w:t>
      </w:r>
      <w:r w:rsidR="00CB7909" w:rsidRPr="00C82E9C">
        <w:rPr>
          <w:rFonts w:cstheme="minorHAnsi"/>
        </w:rPr>
        <w:t xml:space="preserve">reg. číslo </w:t>
      </w:r>
      <w:r w:rsidR="00CB7909" w:rsidRPr="0034757E">
        <w:rPr>
          <w:rFonts w:cstheme="minorHAnsi"/>
        </w:rPr>
        <w:t>…………………..</w:t>
      </w:r>
      <w:r w:rsidR="00CB7909" w:rsidRPr="0034757E">
        <w:rPr>
          <w:rStyle w:val="Znakapoznpodarou"/>
          <w:rFonts w:cstheme="minorHAnsi"/>
        </w:rPr>
        <w:footnoteReference w:id="3"/>
      </w:r>
      <w:r w:rsidR="00CB7909" w:rsidRPr="0034757E">
        <w:rPr>
          <w:rFonts w:cstheme="minorHAnsi"/>
        </w:rPr>
        <w:t xml:space="preserve"> </w:t>
      </w:r>
      <w:r w:rsidR="00E77CE7" w:rsidRPr="0034757E">
        <w:rPr>
          <w:rFonts w:cstheme="minorHAnsi"/>
        </w:rPr>
        <w:t>předloženého</w:t>
      </w:r>
      <w:r w:rsidR="00E77CE7" w:rsidRPr="00C82E9C">
        <w:rPr>
          <w:rFonts w:cstheme="minorHAnsi"/>
        </w:rPr>
        <w:t xml:space="preserve"> v rámci</w:t>
      </w:r>
      <w:r w:rsidR="003066DA" w:rsidRPr="00C82E9C">
        <w:rPr>
          <w:rFonts w:cstheme="minorHAnsi"/>
        </w:rPr>
        <w:t xml:space="preserve"> výzvy č. 31_22_003. </w:t>
      </w:r>
    </w:p>
    <w:p w14:paraId="6884CD8F" w14:textId="49CEE7D3" w:rsidR="005D7610" w:rsidRDefault="005D7610" w:rsidP="00C82E9C">
      <w:pPr>
        <w:ind w:firstLine="348"/>
        <w:rPr>
          <w:rFonts w:cstheme="minorHAnsi"/>
        </w:rPr>
      </w:pPr>
    </w:p>
    <w:p w14:paraId="21A073AE" w14:textId="23828E83" w:rsidR="005D7610" w:rsidRDefault="005D7610" w:rsidP="00C82E9C">
      <w:pPr>
        <w:ind w:firstLine="348"/>
        <w:rPr>
          <w:rFonts w:cstheme="minorHAnsi"/>
        </w:rPr>
      </w:pPr>
    </w:p>
    <w:p w14:paraId="62A2092F" w14:textId="77777777" w:rsidR="005D7610" w:rsidRPr="00C82E9C" w:rsidRDefault="005D7610" w:rsidP="00C82E9C">
      <w:pPr>
        <w:ind w:firstLine="348"/>
        <w:rPr>
          <w:rFonts w:cstheme="minorHAnsi"/>
        </w:rPr>
      </w:pPr>
    </w:p>
    <w:p w14:paraId="772F63B4" w14:textId="77777777" w:rsidR="00541D29" w:rsidRPr="00C82E9C" w:rsidRDefault="00541D29" w:rsidP="00C82E9C">
      <w:pPr>
        <w:pStyle w:val="Odstavecseseznamem"/>
        <w:numPr>
          <w:ilvl w:val="0"/>
          <w:numId w:val="7"/>
        </w:numPr>
        <w:ind w:left="0"/>
        <w:contextualSpacing w:val="0"/>
        <w:rPr>
          <w:rFonts w:cstheme="minorHAnsi"/>
          <w:b/>
          <w:bCs/>
        </w:rPr>
      </w:pPr>
      <w:r w:rsidRPr="00C82E9C">
        <w:rPr>
          <w:rFonts w:cstheme="minorHAnsi"/>
          <w:b/>
          <w:bCs/>
        </w:rPr>
        <w:lastRenderedPageBreak/>
        <w:t>Kontrola</w:t>
      </w:r>
    </w:p>
    <w:p w14:paraId="7010D58B" w14:textId="7B8D7CE8" w:rsidR="00541D29" w:rsidRPr="00C82E9C" w:rsidRDefault="00541D29" w:rsidP="003B459D">
      <w:pPr>
        <w:pStyle w:val="Odstavecseseznamem"/>
        <w:numPr>
          <w:ilvl w:val="0"/>
          <w:numId w:val="18"/>
        </w:numPr>
        <w:ind w:left="0"/>
        <w:contextualSpacing w:val="0"/>
        <w:jc w:val="both"/>
        <w:rPr>
          <w:rFonts w:cstheme="minorHAnsi"/>
          <w:bCs/>
        </w:rPr>
      </w:pPr>
      <w:r w:rsidRPr="00C82E9C">
        <w:rPr>
          <w:rFonts w:cstheme="minorHAnsi"/>
        </w:rPr>
        <w:t>Příslušné orgány Kraje jsou oprávněny v souladu se zvláštními právními předpisy (např. zákon č. 320/2001 Sb., o finanční kontrole ve veřejné správě a o změně některých zákonů, ve znění pozdějších předpisů, zákon č. 129/2000 Sb., o krajích (krajské zřízení), ve znění pozdějších předpisů, zákon č. 250/2000 Sb., o rozpočtových pravidlech územních rozpočtů, ve znění pozdějších předpisů, dále jen „zákon č. 250/2000 Sb.“), kdykoli kontrolovat dodržení podmínek, za kterých byla vyrovnávací platba poskytnuta.</w:t>
      </w:r>
    </w:p>
    <w:p w14:paraId="4CE41981" w14:textId="6513B20D" w:rsidR="00541D29" w:rsidRPr="00C82E9C" w:rsidRDefault="00277AE2" w:rsidP="003B459D">
      <w:pPr>
        <w:pStyle w:val="Odstavecseseznamem"/>
        <w:numPr>
          <w:ilvl w:val="0"/>
          <w:numId w:val="18"/>
        </w:numPr>
        <w:ind w:left="0"/>
        <w:contextualSpacing w:val="0"/>
        <w:jc w:val="both"/>
        <w:rPr>
          <w:rFonts w:cstheme="minorHAnsi"/>
        </w:rPr>
      </w:pPr>
      <w:r w:rsidRPr="00C82E9C">
        <w:rPr>
          <w:rFonts w:cstheme="minorHAnsi"/>
        </w:rPr>
        <w:t>Podnik</w:t>
      </w:r>
      <w:r w:rsidR="00541D29" w:rsidRPr="00C82E9C">
        <w:rPr>
          <w:rFonts w:cstheme="minorHAnsi"/>
        </w:rPr>
        <w:t xml:space="preserve"> je povinen poskytnout součinnost při výkonu kontrolní činnosti dle odst. </w:t>
      </w:r>
      <w:r w:rsidR="00F91B26" w:rsidRPr="00C82E9C">
        <w:rPr>
          <w:rFonts w:cstheme="minorHAnsi"/>
        </w:rPr>
        <w:t>1</w:t>
      </w:r>
      <w:r w:rsidR="00541D29" w:rsidRPr="00C82E9C">
        <w:rPr>
          <w:rFonts w:cstheme="minorHAnsi"/>
        </w:rPr>
        <w:t xml:space="preserve"> tohoto článku </w:t>
      </w:r>
      <w:r w:rsidR="001E7EE8" w:rsidRPr="00C82E9C">
        <w:rPr>
          <w:rFonts w:cstheme="minorHAnsi"/>
        </w:rPr>
        <w:t>Pověření</w:t>
      </w:r>
      <w:r w:rsidR="00541D29" w:rsidRPr="00C82E9C">
        <w:rPr>
          <w:rFonts w:cstheme="minorHAnsi"/>
        </w:rPr>
        <w:t>, zejména předložit kontrolním orgánům Kraje kdykoliv k nahlédnutí originály všech účetních dokladů souvisejících s vyrovnávací platbou a dokumentaci, která naplňování parametrů Krajské sítě dokládá.</w:t>
      </w:r>
    </w:p>
    <w:p w14:paraId="65B34905" w14:textId="44D13E73" w:rsidR="00541D29" w:rsidRDefault="00277AE2" w:rsidP="003B459D">
      <w:pPr>
        <w:pStyle w:val="Odstavecseseznamem"/>
        <w:numPr>
          <w:ilvl w:val="0"/>
          <w:numId w:val="18"/>
        </w:numPr>
        <w:ind w:left="0"/>
        <w:contextualSpacing w:val="0"/>
        <w:jc w:val="both"/>
        <w:rPr>
          <w:rFonts w:cstheme="minorHAnsi"/>
        </w:rPr>
      </w:pPr>
      <w:r w:rsidRPr="00C82E9C">
        <w:rPr>
          <w:rFonts w:cstheme="minorHAnsi"/>
        </w:rPr>
        <w:t>Podnik</w:t>
      </w:r>
      <w:r w:rsidR="00541D29" w:rsidRPr="00C82E9C">
        <w:rPr>
          <w:rFonts w:cstheme="minorHAnsi"/>
        </w:rPr>
        <w:t xml:space="preserve"> je povinen umožnit příslušným orgánům Kraje provést kontrolu, jak v průběhu, tak i po ukončení realizace činností dle </w:t>
      </w:r>
      <w:r w:rsidR="001E7EE8" w:rsidRPr="00C82E9C">
        <w:rPr>
          <w:rFonts w:cstheme="minorHAnsi"/>
        </w:rPr>
        <w:t>tohoto Pověření</w:t>
      </w:r>
      <w:r w:rsidR="006264F3">
        <w:rPr>
          <w:rFonts w:cstheme="minorHAnsi"/>
        </w:rPr>
        <w:t>.</w:t>
      </w:r>
      <w:r w:rsidR="00541D29" w:rsidRPr="00C82E9C">
        <w:rPr>
          <w:rFonts w:cstheme="minorHAnsi"/>
        </w:rPr>
        <w:t xml:space="preserve"> </w:t>
      </w:r>
      <w:r w:rsidR="00FD7B87" w:rsidRPr="00C82E9C">
        <w:rPr>
          <w:rFonts w:cstheme="minorHAnsi"/>
        </w:rPr>
        <w:t xml:space="preserve"> </w:t>
      </w:r>
    </w:p>
    <w:p w14:paraId="3890E2C6" w14:textId="77777777" w:rsidR="006264F3" w:rsidRPr="00C82E9C" w:rsidRDefault="006264F3" w:rsidP="006264F3">
      <w:pPr>
        <w:pStyle w:val="Odstavecseseznamem"/>
        <w:ind w:left="0"/>
        <w:contextualSpacing w:val="0"/>
        <w:jc w:val="both"/>
        <w:rPr>
          <w:rFonts w:cstheme="minorHAnsi"/>
        </w:rPr>
      </w:pPr>
    </w:p>
    <w:p w14:paraId="542EEE7C" w14:textId="0AF173CA" w:rsidR="0000085F" w:rsidRPr="00C82E9C" w:rsidRDefault="0085492A" w:rsidP="00C82E9C">
      <w:pPr>
        <w:pStyle w:val="Odstavecseseznamem"/>
        <w:numPr>
          <w:ilvl w:val="0"/>
          <w:numId w:val="7"/>
        </w:numPr>
        <w:ind w:left="0"/>
        <w:contextualSpacing w:val="0"/>
        <w:rPr>
          <w:rFonts w:cstheme="minorHAnsi"/>
          <w:b/>
          <w:bCs/>
        </w:rPr>
      </w:pPr>
      <w:r w:rsidRPr="00C82E9C">
        <w:rPr>
          <w:rFonts w:cstheme="minorHAnsi"/>
          <w:b/>
          <w:bCs/>
        </w:rPr>
        <w:t>Přezkoumání vyrovnávací platby, opatření k zamezení a vrácení nadměrné vyrovnávací platby</w:t>
      </w:r>
    </w:p>
    <w:p w14:paraId="6BF3D0DD" w14:textId="02AA6620" w:rsidR="0085492A" w:rsidRPr="00C82E9C" w:rsidRDefault="0085492A" w:rsidP="003B459D">
      <w:pPr>
        <w:pStyle w:val="Odstavecseseznamem"/>
        <w:numPr>
          <w:ilvl w:val="0"/>
          <w:numId w:val="19"/>
        </w:numPr>
        <w:ind w:left="0"/>
        <w:contextualSpacing w:val="0"/>
        <w:jc w:val="both"/>
        <w:rPr>
          <w:rFonts w:cstheme="minorHAnsi"/>
        </w:rPr>
      </w:pPr>
      <w:r w:rsidRPr="00C82E9C">
        <w:rPr>
          <w:rFonts w:cstheme="minorHAnsi"/>
        </w:rPr>
        <w:t xml:space="preserve">K přezkoumání vyrovnávací platby za účelem zamezení a vrácení nadměrné vyrovnávací platby je pověřený podnik povinen poskytnout pověřovateli údaje o výši všech finančních prostředků poskytnutých z veřejných rozpočtů na zajištění závazků veřejné služby. Postup pro splnění této povinnosti se řídí </w:t>
      </w:r>
      <w:r w:rsidR="00FA0039">
        <w:rPr>
          <w:rFonts w:cstheme="minorHAnsi"/>
        </w:rPr>
        <w:t>podmínkami uvedenými v</w:t>
      </w:r>
      <w:r w:rsidR="00DB720D">
        <w:rPr>
          <w:rFonts w:cstheme="minorHAnsi"/>
        </w:rPr>
        <w:t> </w:t>
      </w:r>
      <w:r w:rsidR="00FA0039">
        <w:rPr>
          <w:rFonts w:cstheme="minorHAnsi"/>
        </w:rPr>
        <w:t>příloze</w:t>
      </w:r>
      <w:r w:rsidR="00DB720D">
        <w:rPr>
          <w:rFonts w:cstheme="minorHAnsi"/>
        </w:rPr>
        <w:t xml:space="preserve"> č. 2</w:t>
      </w:r>
      <w:r w:rsidR="00FA0039">
        <w:rPr>
          <w:rFonts w:cstheme="minorHAnsi"/>
        </w:rPr>
        <w:t xml:space="preserve"> t</w:t>
      </w:r>
      <w:r w:rsidR="00096B21">
        <w:rPr>
          <w:rFonts w:cstheme="minorHAnsi"/>
        </w:rPr>
        <w:t>ohoto Pověření.</w:t>
      </w:r>
    </w:p>
    <w:p w14:paraId="31F5D4A9" w14:textId="4B4C8A2C" w:rsidR="0085492A" w:rsidRDefault="0085492A" w:rsidP="003B459D">
      <w:pPr>
        <w:pStyle w:val="Odstavecseseznamem"/>
        <w:numPr>
          <w:ilvl w:val="0"/>
          <w:numId w:val="19"/>
        </w:numPr>
        <w:ind w:left="0" w:hanging="357"/>
        <w:contextualSpacing w:val="0"/>
        <w:jc w:val="both"/>
        <w:rPr>
          <w:rFonts w:cstheme="minorHAnsi"/>
        </w:rPr>
      </w:pPr>
      <w:r w:rsidRPr="00C82E9C">
        <w:rPr>
          <w:rFonts w:cstheme="minorHAnsi"/>
        </w:rPr>
        <w:t>Při poskytnutí prostředků z veřejných rozpočtů nad rámec maximální vyrovnávací platby jde o nepovolenou veřejnou podporu (tzv. překompenzaci), kterou je podnik povinen vrátit pověřovateli.</w:t>
      </w:r>
    </w:p>
    <w:p w14:paraId="525D9AF1" w14:textId="77777777" w:rsidR="005D7610" w:rsidRPr="00C82E9C" w:rsidRDefault="005D7610" w:rsidP="005D7610">
      <w:pPr>
        <w:pStyle w:val="Odstavecseseznamem"/>
        <w:ind w:left="0"/>
        <w:contextualSpacing w:val="0"/>
        <w:jc w:val="both"/>
        <w:rPr>
          <w:rFonts w:cstheme="minorHAnsi"/>
        </w:rPr>
      </w:pPr>
    </w:p>
    <w:p w14:paraId="3A688D0B" w14:textId="1E7F7C4F" w:rsidR="00873160" w:rsidRPr="00C82E9C" w:rsidRDefault="00873160" w:rsidP="00C82E9C">
      <w:pPr>
        <w:pStyle w:val="Odstavecseseznamem"/>
        <w:numPr>
          <w:ilvl w:val="0"/>
          <w:numId w:val="7"/>
        </w:numPr>
        <w:ind w:left="0"/>
        <w:contextualSpacing w:val="0"/>
        <w:rPr>
          <w:rFonts w:cstheme="minorHAnsi"/>
          <w:b/>
          <w:bCs/>
        </w:rPr>
      </w:pPr>
      <w:r w:rsidRPr="00C82E9C">
        <w:rPr>
          <w:rFonts w:cstheme="minorHAnsi"/>
          <w:b/>
          <w:bCs/>
        </w:rPr>
        <w:t>Další podmínky, práva a povinnosti</w:t>
      </w:r>
    </w:p>
    <w:p w14:paraId="7B0ED1C4" w14:textId="6B94CF80" w:rsidR="00873160" w:rsidRPr="00C82E9C" w:rsidRDefault="00873160" w:rsidP="00C82E9C">
      <w:pPr>
        <w:pStyle w:val="Odstavecseseznamem"/>
        <w:numPr>
          <w:ilvl w:val="0"/>
          <w:numId w:val="20"/>
        </w:numPr>
        <w:ind w:left="0"/>
        <w:contextualSpacing w:val="0"/>
        <w:rPr>
          <w:rFonts w:cstheme="minorHAnsi"/>
        </w:rPr>
      </w:pPr>
      <w:r w:rsidRPr="00C82E9C">
        <w:rPr>
          <w:rFonts w:cstheme="minorHAnsi"/>
        </w:rPr>
        <w:t>Pro výpočet výše vyrovnávací platby lze užít pouze náklady a příjmy vzniklé po dobu trvání závazku veřejné služby.</w:t>
      </w:r>
    </w:p>
    <w:p w14:paraId="4AFBAFAC" w14:textId="2CF8B16D" w:rsidR="00873160" w:rsidRPr="00C82E9C" w:rsidRDefault="00873160" w:rsidP="00C82E9C">
      <w:pPr>
        <w:pStyle w:val="Odstavecseseznamem"/>
        <w:numPr>
          <w:ilvl w:val="0"/>
          <w:numId w:val="20"/>
        </w:numPr>
        <w:ind w:left="0"/>
        <w:contextualSpacing w:val="0"/>
        <w:rPr>
          <w:rFonts w:cstheme="minorHAnsi"/>
        </w:rPr>
      </w:pPr>
      <w:r w:rsidRPr="00C82E9C">
        <w:rPr>
          <w:rFonts w:cstheme="minorHAnsi"/>
        </w:rPr>
        <w:t>Je-li podnik veřejným zadavatelem nebo splní-li definici zadavatele podle platného a účinného zákona o zadávání veřejných zakázek, je povinen postupovat podle tohoto zákona.</w:t>
      </w:r>
    </w:p>
    <w:p w14:paraId="52B91928" w14:textId="64BD4D48" w:rsidR="004540D6" w:rsidRPr="00C82E9C" w:rsidRDefault="00873160" w:rsidP="004E68EC">
      <w:pPr>
        <w:pStyle w:val="Odstavecseseznamem"/>
        <w:numPr>
          <w:ilvl w:val="0"/>
          <w:numId w:val="20"/>
        </w:numPr>
        <w:ind w:left="0"/>
        <w:contextualSpacing w:val="0"/>
        <w:jc w:val="both"/>
        <w:rPr>
          <w:rFonts w:cstheme="minorHAnsi"/>
        </w:rPr>
      </w:pPr>
      <w:r w:rsidRPr="00C82E9C">
        <w:rPr>
          <w:rFonts w:cstheme="minorHAnsi"/>
        </w:rPr>
        <w:t>Pokud podnik vykonává i jiné služby než</w:t>
      </w:r>
      <w:r w:rsidR="00D53317" w:rsidRPr="00C82E9C">
        <w:rPr>
          <w:rFonts w:cstheme="minorHAnsi"/>
        </w:rPr>
        <w:t xml:space="preserve"> služby uvedené v čl. I odst. 1 tohoto pověření</w:t>
      </w:r>
      <w:r w:rsidRPr="00C82E9C">
        <w:rPr>
          <w:rFonts w:cstheme="minorHAnsi"/>
        </w:rPr>
        <w:t>, zajistí ve svém účetnictví nebo daňové evidenci, v souladu s obecně platnými předpisy</w:t>
      </w:r>
      <w:r w:rsidR="004540D6" w:rsidRPr="00C82E9C">
        <w:rPr>
          <w:rFonts w:cstheme="minorHAnsi"/>
        </w:rPr>
        <w:t xml:space="preserve"> oddělené vykazování nákladů a příjmů vzniklých v souvislosti s výkonem služeb</w:t>
      </w:r>
      <w:r w:rsidR="00D53317" w:rsidRPr="00C82E9C">
        <w:rPr>
          <w:rFonts w:cstheme="minorHAnsi"/>
        </w:rPr>
        <w:t xml:space="preserve"> uvedených v čl. I odst. 1 a příloze</w:t>
      </w:r>
      <w:r w:rsidR="003B0422" w:rsidRPr="00C82E9C">
        <w:rPr>
          <w:rFonts w:cstheme="minorHAnsi"/>
        </w:rPr>
        <w:t xml:space="preserve"> č.</w:t>
      </w:r>
      <w:r w:rsidR="00D53317" w:rsidRPr="00C82E9C">
        <w:rPr>
          <w:rFonts w:cstheme="minorHAnsi"/>
        </w:rPr>
        <w:t xml:space="preserve"> 1 tohoto pověření</w:t>
      </w:r>
      <w:r w:rsidR="004540D6" w:rsidRPr="00C82E9C">
        <w:rPr>
          <w:rFonts w:cstheme="minorHAnsi"/>
        </w:rPr>
        <w:t>.</w:t>
      </w:r>
    </w:p>
    <w:p w14:paraId="73BC5173" w14:textId="50558492" w:rsidR="00873160" w:rsidRPr="00C82E9C" w:rsidRDefault="00277AE2" w:rsidP="004E68EC">
      <w:pPr>
        <w:pStyle w:val="Odstavecseseznamem"/>
        <w:numPr>
          <w:ilvl w:val="0"/>
          <w:numId w:val="20"/>
        </w:numPr>
        <w:ind w:left="0"/>
        <w:contextualSpacing w:val="0"/>
        <w:jc w:val="both"/>
        <w:rPr>
          <w:rFonts w:cstheme="minorHAnsi"/>
        </w:rPr>
      </w:pPr>
      <w:r w:rsidRPr="00C82E9C">
        <w:rPr>
          <w:rFonts w:cstheme="minorHAnsi"/>
        </w:rPr>
        <w:t>Podnik</w:t>
      </w:r>
      <w:r w:rsidR="004540D6" w:rsidRPr="00C82E9C">
        <w:rPr>
          <w:rFonts w:cstheme="minorHAnsi"/>
        </w:rPr>
        <w:t xml:space="preserve"> je povinen průběžně informovat Kraj o všech změnách, které by mohly při vymáhání zadržených nebo neoprávněně použitých prostředků vyrovnávací platby jeho pozici věřitele nebo nebytnost jeho pohledávky ztížit.</w:t>
      </w:r>
    </w:p>
    <w:p w14:paraId="1AA84372" w14:textId="77777777" w:rsidR="00D53317" w:rsidRPr="00C82E9C" w:rsidRDefault="00D53317" w:rsidP="00C82E9C">
      <w:pPr>
        <w:pStyle w:val="Odstavecseseznamem"/>
        <w:numPr>
          <w:ilvl w:val="0"/>
          <w:numId w:val="20"/>
        </w:numPr>
        <w:ind w:left="0"/>
        <w:contextualSpacing w:val="0"/>
        <w:rPr>
          <w:rFonts w:cstheme="minorHAnsi"/>
        </w:rPr>
      </w:pPr>
      <w:r w:rsidRPr="00C82E9C">
        <w:rPr>
          <w:rFonts w:cstheme="minorHAnsi"/>
        </w:rPr>
        <w:t>Po ukončení kalendářního roku předloží podnik Kraji zprávu o realizaci služeb vymezených v čl. I odst. 1 a příloze 1 tohoto pověření, a to v termínu a za podmínek stanovených v tomto pověření.</w:t>
      </w:r>
    </w:p>
    <w:p w14:paraId="11B0A5A2" w14:textId="4D4AAF0D" w:rsidR="001E7EE8" w:rsidRPr="00C82E9C" w:rsidRDefault="00277AE2" w:rsidP="004E68EC">
      <w:pPr>
        <w:pStyle w:val="Odstavecseseznamem"/>
        <w:numPr>
          <w:ilvl w:val="0"/>
          <w:numId w:val="20"/>
        </w:numPr>
        <w:ind w:left="0"/>
        <w:contextualSpacing w:val="0"/>
        <w:jc w:val="both"/>
        <w:rPr>
          <w:rFonts w:cstheme="minorHAnsi"/>
        </w:rPr>
      </w:pPr>
      <w:r w:rsidRPr="00C82E9C">
        <w:rPr>
          <w:rFonts w:cstheme="minorHAnsi"/>
        </w:rPr>
        <w:t>Podnik</w:t>
      </w:r>
      <w:r w:rsidR="001E7EE8" w:rsidRPr="00C82E9C">
        <w:rPr>
          <w:rFonts w:cstheme="minorHAnsi"/>
        </w:rPr>
        <w:t xml:space="preserve"> je povinen po dobu deseti let od ukončení závazku veřejné služby u sociálních služeb vymezených </w:t>
      </w:r>
      <w:r w:rsidR="00D53317" w:rsidRPr="00C82E9C">
        <w:rPr>
          <w:rFonts w:cstheme="minorHAnsi"/>
        </w:rPr>
        <w:t>čl. I odst. 1 a příloze č. 1</w:t>
      </w:r>
      <w:r w:rsidR="003B0422" w:rsidRPr="00C82E9C">
        <w:rPr>
          <w:rFonts w:cstheme="minorHAnsi"/>
        </w:rPr>
        <w:t xml:space="preserve"> </w:t>
      </w:r>
      <w:r w:rsidR="00D53317" w:rsidRPr="00C82E9C">
        <w:rPr>
          <w:rFonts w:cstheme="minorHAnsi"/>
        </w:rPr>
        <w:t>t</w:t>
      </w:r>
      <w:r w:rsidRPr="00C82E9C">
        <w:rPr>
          <w:rFonts w:cstheme="minorHAnsi"/>
        </w:rPr>
        <w:t>ohoto Pověření</w:t>
      </w:r>
      <w:r w:rsidR="001E7EE8" w:rsidRPr="00C82E9C">
        <w:rPr>
          <w:rFonts w:cstheme="minorHAnsi"/>
        </w:rPr>
        <w:t xml:space="preserve"> archivovat následující podkladové materiály:</w:t>
      </w:r>
    </w:p>
    <w:p w14:paraId="40CEEA5A" w14:textId="730B2116" w:rsidR="001E7EE8" w:rsidRPr="00C82E9C" w:rsidRDefault="001E7EE8" w:rsidP="00C82E9C">
      <w:pPr>
        <w:pStyle w:val="Odstavecseseznamem"/>
        <w:numPr>
          <w:ilvl w:val="0"/>
          <w:numId w:val="10"/>
        </w:numPr>
        <w:ind w:left="0"/>
        <w:contextualSpacing w:val="0"/>
        <w:rPr>
          <w:rFonts w:cstheme="minorHAnsi"/>
        </w:rPr>
      </w:pPr>
      <w:r w:rsidRPr="00C82E9C">
        <w:rPr>
          <w:rFonts w:cstheme="minorHAnsi"/>
        </w:rPr>
        <w:t>toto Pověření,</w:t>
      </w:r>
    </w:p>
    <w:p w14:paraId="5D0168DE" w14:textId="77777777" w:rsidR="001E7EE8" w:rsidRPr="00C82E9C" w:rsidRDefault="001E7EE8" w:rsidP="00C82E9C">
      <w:pPr>
        <w:pStyle w:val="Odstavecseseznamem"/>
        <w:numPr>
          <w:ilvl w:val="0"/>
          <w:numId w:val="10"/>
        </w:numPr>
        <w:ind w:left="0"/>
        <w:contextualSpacing w:val="0"/>
        <w:rPr>
          <w:rFonts w:cstheme="minorHAnsi"/>
        </w:rPr>
      </w:pPr>
      <w:r w:rsidRPr="00C82E9C">
        <w:rPr>
          <w:rFonts w:cstheme="minorHAnsi"/>
        </w:rPr>
        <w:lastRenderedPageBreak/>
        <w:t>smlouvu o poskytnutí dotace, na jejímž základě je vyrovnávací platba poskytnuta,</w:t>
      </w:r>
    </w:p>
    <w:p w14:paraId="1A20F540" w14:textId="77777777" w:rsidR="001E7EE8" w:rsidRPr="00C82E9C" w:rsidRDefault="001E7EE8" w:rsidP="00C82E9C">
      <w:pPr>
        <w:pStyle w:val="Odstavecseseznamem"/>
        <w:numPr>
          <w:ilvl w:val="0"/>
          <w:numId w:val="10"/>
        </w:numPr>
        <w:ind w:left="0"/>
        <w:contextualSpacing w:val="0"/>
        <w:rPr>
          <w:rFonts w:cstheme="minorHAnsi"/>
        </w:rPr>
      </w:pPr>
      <w:r w:rsidRPr="00C82E9C">
        <w:rPr>
          <w:rFonts w:cstheme="minorHAnsi"/>
        </w:rPr>
        <w:t>originály dokladů, prokazujících čerpání vyrovnávací platby,</w:t>
      </w:r>
    </w:p>
    <w:p w14:paraId="0E4CF95F" w14:textId="77777777" w:rsidR="003B0422" w:rsidRPr="00C82E9C" w:rsidRDefault="001E7EE8" w:rsidP="00C82E9C">
      <w:pPr>
        <w:pStyle w:val="Odstavecseseznamem"/>
        <w:numPr>
          <w:ilvl w:val="0"/>
          <w:numId w:val="10"/>
        </w:numPr>
        <w:ind w:left="0"/>
        <w:contextualSpacing w:val="0"/>
        <w:rPr>
          <w:rFonts w:cstheme="minorHAnsi"/>
        </w:rPr>
      </w:pPr>
      <w:r w:rsidRPr="00C82E9C">
        <w:rPr>
          <w:rFonts w:cstheme="minorHAnsi"/>
        </w:rPr>
        <w:t>dokumentaci o zadání veřejné zakázky, je-li zadávána,</w:t>
      </w:r>
    </w:p>
    <w:p w14:paraId="3BF3C3F0" w14:textId="5352106D" w:rsidR="001E7EE8" w:rsidRPr="00C82E9C" w:rsidRDefault="001E7EE8" w:rsidP="00C82E9C">
      <w:pPr>
        <w:pStyle w:val="Odstavecseseznamem"/>
        <w:numPr>
          <w:ilvl w:val="0"/>
          <w:numId w:val="10"/>
        </w:numPr>
        <w:ind w:left="0" w:hanging="357"/>
        <w:contextualSpacing w:val="0"/>
        <w:rPr>
          <w:rFonts w:cstheme="minorHAnsi"/>
        </w:rPr>
      </w:pPr>
      <w:r w:rsidRPr="00C82E9C">
        <w:rPr>
          <w:rFonts w:cstheme="minorHAnsi"/>
        </w:rPr>
        <w:t xml:space="preserve">závěrečné vyúčtování služeb </w:t>
      </w:r>
      <w:r w:rsidR="003B0422" w:rsidRPr="00C82E9C">
        <w:rPr>
          <w:rFonts w:cstheme="minorHAnsi"/>
        </w:rPr>
        <w:t xml:space="preserve">a každoroční zprávy o realizaci služeb </w:t>
      </w:r>
      <w:r w:rsidRPr="00C82E9C">
        <w:rPr>
          <w:rFonts w:cstheme="minorHAnsi"/>
        </w:rPr>
        <w:t>vymezených v</w:t>
      </w:r>
      <w:r w:rsidR="003B0422" w:rsidRPr="00C82E9C">
        <w:rPr>
          <w:rFonts w:cstheme="minorHAnsi"/>
        </w:rPr>
        <w:t> čl. I odst. 1 a příloze č. 1 tohoto Pověření.</w:t>
      </w:r>
    </w:p>
    <w:p w14:paraId="4074F6C5" w14:textId="37BB7926" w:rsidR="004540D6" w:rsidRPr="00C82E9C" w:rsidRDefault="005C6353" w:rsidP="004E68EC">
      <w:pPr>
        <w:pStyle w:val="Odstavecseseznamem"/>
        <w:numPr>
          <w:ilvl w:val="0"/>
          <w:numId w:val="20"/>
        </w:numPr>
        <w:ind w:left="0" w:hanging="357"/>
        <w:contextualSpacing w:val="0"/>
        <w:jc w:val="both"/>
        <w:rPr>
          <w:rFonts w:cstheme="minorHAnsi"/>
        </w:rPr>
      </w:pPr>
      <w:r w:rsidRPr="00C82E9C">
        <w:rPr>
          <w:rFonts w:cstheme="minorHAnsi"/>
        </w:rPr>
        <w:t>Podnik je povinen poskytnout Kraji součinnost při plnění všech povinností vyplývajících z pravidel pro oblast veřejné podpory vůči Úřadu pro ochranu hospodářské soutěže a Evropské komisi.</w:t>
      </w:r>
    </w:p>
    <w:p w14:paraId="2E2379AD" w14:textId="2A559E2A" w:rsidR="00B21A09" w:rsidRDefault="00B21A09" w:rsidP="004E68EC">
      <w:pPr>
        <w:pStyle w:val="Odstavecseseznamem"/>
        <w:numPr>
          <w:ilvl w:val="0"/>
          <w:numId w:val="20"/>
        </w:numPr>
        <w:ind w:left="0"/>
        <w:contextualSpacing w:val="0"/>
        <w:jc w:val="both"/>
        <w:rPr>
          <w:rFonts w:cstheme="minorHAnsi"/>
        </w:rPr>
      </w:pPr>
      <w:r w:rsidRPr="00C82E9C">
        <w:rPr>
          <w:rFonts w:cstheme="minorHAnsi"/>
        </w:rPr>
        <w:t>Pro investiční část podpory</w:t>
      </w:r>
      <w:r w:rsidR="003B0422" w:rsidRPr="00C82E9C">
        <w:rPr>
          <w:rFonts w:cstheme="minorHAnsi"/>
        </w:rPr>
        <w:t xml:space="preserve"> (vyrovnávací platby za závazek veřejné služby dle čl. I odst. 1 tohoto pověření)</w:t>
      </w:r>
      <w:r w:rsidRPr="00C82E9C">
        <w:rPr>
          <w:rFonts w:cstheme="minorHAnsi"/>
        </w:rPr>
        <w:t xml:space="preserve"> platí podmínky uvedené v</w:t>
      </w:r>
      <w:r w:rsidR="00F0309C" w:rsidRPr="00C82E9C">
        <w:rPr>
          <w:rFonts w:cstheme="minorHAnsi"/>
        </w:rPr>
        <w:t> právním aktu</w:t>
      </w:r>
      <w:r w:rsidR="006A593D" w:rsidRPr="00C82E9C">
        <w:rPr>
          <w:rFonts w:cstheme="minorHAnsi"/>
        </w:rPr>
        <w:t xml:space="preserve"> (</w:t>
      </w:r>
      <w:r w:rsidRPr="00C82E9C">
        <w:rPr>
          <w:rFonts w:cstheme="minorHAnsi"/>
        </w:rPr>
        <w:t>rozhodnutí</w:t>
      </w:r>
      <w:r w:rsidR="006A593D" w:rsidRPr="00C82E9C">
        <w:rPr>
          <w:rFonts w:cstheme="minorHAnsi"/>
        </w:rPr>
        <w:t>)</w:t>
      </w:r>
      <w:r w:rsidR="003066DA" w:rsidRPr="00C82E9C">
        <w:rPr>
          <w:rFonts w:cstheme="minorHAnsi"/>
        </w:rPr>
        <w:t xml:space="preserve"> </w:t>
      </w:r>
      <w:r w:rsidRPr="00C82E9C">
        <w:rPr>
          <w:rFonts w:cstheme="minorHAnsi"/>
        </w:rPr>
        <w:t>o poskytnutí podpory</w:t>
      </w:r>
      <w:r w:rsidR="006A593D" w:rsidRPr="00C82E9C">
        <w:rPr>
          <w:rFonts w:cstheme="minorHAnsi"/>
        </w:rPr>
        <w:t xml:space="preserve"> vydaném </w:t>
      </w:r>
      <w:r w:rsidR="003066DA" w:rsidRPr="00C82E9C">
        <w:rPr>
          <w:rFonts w:cstheme="minorHAnsi"/>
        </w:rPr>
        <w:t>Ministerstvem práce a sociálních věcí jako</w:t>
      </w:r>
      <w:r w:rsidR="004E50A6" w:rsidRPr="00C82E9C">
        <w:rPr>
          <w:rFonts w:cstheme="minorHAnsi"/>
        </w:rPr>
        <w:t xml:space="preserve"> </w:t>
      </w:r>
      <w:r w:rsidR="003066DA" w:rsidRPr="00C82E9C">
        <w:rPr>
          <w:rFonts w:cstheme="minorHAnsi"/>
        </w:rPr>
        <w:t>vlastníkem komponenty 3.3. Národního plánu obnovy na základě</w:t>
      </w:r>
      <w:r w:rsidR="00E77CE7" w:rsidRPr="00C82E9C">
        <w:rPr>
          <w:rFonts w:cstheme="minorHAnsi"/>
        </w:rPr>
        <w:t xml:space="preserve"> schválení projektu předloženého v rámci</w:t>
      </w:r>
      <w:r w:rsidR="003066DA" w:rsidRPr="00C82E9C">
        <w:rPr>
          <w:rFonts w:cstheme="minorHAnsi"/>
        </w:rPr>
        <w:t xml:space="preserve"> výzvy č.</w:t>
      </w:r>
      <w:r w:rsidR="006A593D" w:rsidRPr="00C82E9C">
        <w:rPr>
          <w:rFonts w:cstheme="minorHAnsi"/>
        </w:rPr>
        <w:t xml:space="preserve"> </w:t>
      </w:r>
      <w:r w:rsidR="003066DA" w:rsidRPr="00C82E9C">
        <w:rPr>
          <w:rFonts w:cstheme="minorHAnsi"/>
        </w:rPr>
        <w:t>31_22_003. Investiční podpora bude</w:t>
      </w:r>
      <w:r w:rsidRPr="00C82E9C">
        <w:rPr>
          <w:rFonts w:cstheme="minorHAnsi"/>
        </w:rPr>
        <w:t xml:space="preserve"> příjemci poskytnuta z </w:t>
      </w:r>
      <w:r w:rsidR="003066DA" w:rsidRPr="00C82E9C">
        <w:rPr>
          <w:rFonts w:cstheme="minorHAnsi"/>
        </w:rPr>
        <w:t xml:space="preserve">Nástroje pro oživení a odolnost </w:t>
      </w:r>
      <w:r w:rsidRPr="00C82E9C">
        <w:rPr>
          <w:rFonts w:cstheme="minorHAnsi"/>
        </w:rPr>
        <w:t>za účelem vybudování</w:t>
      </w:r>
      <w:r w:rsidR="00357A93" w:rsidRPr="00C82E9C">
        <w:rPr>
          <w:rFonts w:cstheme="minorHAnsi"/>
        </w:rPr>
        <w:t xml:space="preserve"> infrastruktury </w:t>
      </w:r>
      <w:r w:rsidR="004E50A6" w:rsidRPr="00C82E9C">
        <w:rPr>
          <w:rFonts w:cstheme="minorHAnsi"/>
        </w:rPr>
        <w:t xml:space="preserve">k </w:t>
      </w:r>
      <w:r w:rsidR="006A593D" w:rsidRPr="00C82E9C">
        <w:rPr>
          <w:rFonts w:cstheme="minorHAnsi"/>
        </w:rPr>
        <w:t>následnému provozování SOHZ</w:t>
      </w:r>
      <w:r w:rsidR="004E50A6" w:rsidRPr="00C82E9C">
        <w:rPr>
          <w:rFonts w:cstheme="minorHAnsi"/>
        </w:rPr>
        <w:t xml:space="preserve"> vymezené v čl. I </w:t>
      </w:r>
      <w:r w:rsidR="003B0422" w:rsidRPr="00C82E9C">
        <w:rPr>
          <w:rFonts w:cstheme="minorHAnsi"/>
        </w:rPr>
        <w:t xml:space="preserve">odst. 2 </w:t>
      </w:r>
      <w:r w:rsidR="004E50A6" w:rsidRPr="00C82E9C">
        <w:rPr>
          <w:rFonts w:cstheme="minorHAnsi"/>
        </w:rPr>
        <w:t>tohoto Pověření.</w:t>
      </w:r>
    </w:p>
    <w:p w14:paraId="31A189AD" w14:textId="77777777" w:rsidR="006264F3" w:rsidRPr="00C82E9C" w:rsidRDefault="006264F3" w:rsidP="006264F3">
      <w:pPr>
        <w:pStyle w:val="Odstavecseseznamem"/>
        <w:ind w:left="0"/>
        <w:contextualSpacing w:val="0"/>
        <w:jc w:val="both"/>
        <w:rPr>
          <w:rFonts w:cstheme="minorHAnsi"/>
        </w:rPr>
      </w:pPr>
    </w:p>
    <w:p w14:paraId="01F97220" w14:textId="65C3EF99" w:rsidR="005C6353" w:rsidRPr="00C82E9C" w:rsidRDefault="005C6353" w:rsidP="00C82E9C">
      <w:pPr>
        <w:pStyle w:val="Odstavecseseznamem"/>
        <w:numPr>
          <w:ilvl w:val="0"/>
          <w:numId w:val="7"/>
        </w:numPr>
        <w:ind w:left="0"/>
        <w:contextualSpacing w:val="0"/>
        <w:rPr>
          <w:rFonts w:cstheme="minorHAnsi"/>
          <w:b/>
          <w:bCs/>
        </w:rPr>
      </w:pPr>
      <w:r w:rsidRPr="00C82E9C">
        <w:rPr>
          <w:rFonts w:cstheme="minorHAnsi"/>
          <w:b/>
          <w:bCs/>
        </w:rPr>
        <w:t>Porušení rozpočtové kázně</w:t>
      </w:r>
    </w:p>
    <w:p w14:paraId="76BE6100" w14:textId="1D3FB1A9" w:rsidR="00541D29" w:rsidRPr="00C82E9C" w:rsidRDefault="00541D29" w:rsidP="00C82E9C">
      <w:pPr>
        <w:pStyle w:val="Odstavecseseznamem"/>
        <w:numPr>
          <w:ilvl w:val="0"/>
          <w:numId w:val="21"/>
        </w:numPr>
        <w:ind w:left="0" w:hanging="357"/>
        <w:contextualSpacing w:val="0"/>
        <w:rPr>
          <w:rFonts w:cstheme="minorHAnsi"/>
        </w:rPr>
      </w:pPr>
      <w:r w:rsidRPr="00C82E9C">
        <w:rPr>
          <w:rFonts w:cstheme="minorHAnsi"/>
        </w:rPr>
        <w:t>Neoprávněné použití vyrovnávací platby nebo zadržení prostředků poskytnutých z rozpočtu Kraje je porušením rozpočtové kázně podle § 22 zákona č. 250/2000 Sb. V případě porušení rozpočtové kázně bude postupováno dle zákona č. 250/2000 Sb.</w:t>
      </w:r>
    </w:p>
    <w:p w14:paraId="009C2FCB" w14:textId="1D2B7237" w:rsidR="00541D29" w:rsidRDefault="00541D29" w:rsidP="00C82E9C">
      <w:pPr>
        <w:pStyle w:val="Odstavecseseznamem"/>
        <w:numPr>
          <w:ilvl w:val="0"/>
          <w:numId w:val="21"/>
        </w:numPr>
        <w:ind w:left="0" w:hanging="357"/>
        <w:contextualSpacing w:val="0"/>
        <w:rPr>
          <w:rFonts w:cstheme="minorHAnsi"/>
        </w:rPr>
      </w:pPr>
      <w:r w:rsidRPr="00C82E9C">
        <w:rPr>
          <w:rFonts w:cstheme="minorHAnsi"/>
        </w:rPr>
        <w:t xml:space="preserve">Kraj je oprávněn při zjištění porušení podmínek </w:t>
      </w:r>
      <w:r w:rsidR="00277AE2" w:rsidRPr="00C82E9C">
        <w:rPr>
          <w:rFonts w:cstheme="minorHAnsi"/>
        </w:rPr>
        <w:t>těchto Podmínek</w:t>
      </w:r>
      <w:r w:rsidRPr="00C82E9C">
        <w:rPr>
          <w:rFonts w:cstheme="minorHAnsi"/>
        </w:rPr>
        <w:t xml:space="preserve"> ze strany </w:t>
      </w:r>
      <w:r w:rsidR="00277AE2" w:rsidRPr="00C82E9C">
        <w:rPr>
          <w:rFonts w:cstheme="minorHAnsi"/>
        </w:rPr>
        <w:t>podniku</w:t>
      </w:r>
      <w:r w:rsidRPr="00C82E9C">
        <w:rPr>
          <w:rFonts w:cstheme="minorHAnsi"/>
        </w:rPr>
        <w:t xml:space="preserve"> pozastavit uvolňování finančních prostředků. O pozastavení poskytování finančních prostředků Kraj písemně informuje </w:t>
      </w:r>
      <w:r w:rsidR="00277AE2" w:rsidRPr="00C82E9C">
        <w:rPr>
          <w:rFonts w:cstheme="minorHAnsi"/>
        </w:rPr>
        <w:t>podnik</w:t>
      </w:r>
      <w:r w:rsidRPr="00C82E9C">
        <w:rPr>
          <w:rFonts w:cstheme="minorHAnsi"/>
        </w:rPr>
        <w:t>.</w:t>
      </w:r>
    </w:p>
    <w:p w14:paraId="6CFEB027" w14:textId="77777777" w:rsidR="005D7610" w:rsidRDefault="005D7610" w:rsidP="006264F3">
      <w:pPr>
        <w:pStyle w:val="Odstavecseseznamem"/>
        <w:ind w:left="0"/>
        <w:contextualSpacing w:val="0"/>
        <w:rPr>
          <w:rFonts w:cstheme="minorHAnsi"/>
        </w:rPr>
      </w:pPr>
    </w:p>
    <w:p w14:paraId="2EE876D3" w14:textId="0A0205BE" w:rsidR="0085492A" w:rsidRPr="00C82E9C" w:rsidRDefault="0085492A" w:rsidP="00C82E9C">
      <w:pPr>
        <w:pStyle w:val="Odstavecseseznamem"/>
        <w:numPr>
          <w:ilvl w:val="0"/>
          <w:numId w:val="7"/>
        </w:numPr>
        <w:ind w:left="0"/>
        <w:contextualSpacing w:val="0"/>
        <w:rPr>
          <w:rFonts w:cstheme="minorHAnsi"/>
          <w:b/>
          <w:bCs/>
        </w:rPr>
      </w:pPr>
      <w:r w:rsidRPr="00C82E9C">
        <w:rPr>
          <w:rFonts w:cstheme="minorHAnsi"/>
          <w:b/>
          <w:bCs/>
        </w:rPr>
        <w:t>Závěrečná ustanovení</w:t>
      </w:r>
    </w:p>
    <w:p w14:paraId="28635A16" w14:textId="19E6145B" w:rsidR="001E7EE8" w:rsidRPr="00C82E9C" w:rsidRDefault="0085492A" w:rsidP="00C82E9C">
      <w:pPr>
        <w:pStyle w:val="Odstavecseseznamem"/>
        <w:numPr>
          <w:ilvl w:val="0"/>
          <w:numId w:val="22"/>
        </w:numPr>
        <w:ind w:left="0" w:hanging="357"/>
        <w:contextualSpacing w:val="0"/>
        <w:rPr>
          <w:rFonts w:cstheme="minorHAnsi"/>
        </w:rPr>
      </w:pPr>
      <w:r w:rsidRPr="00C82E9C">
        <w:rPr>
          <w:rFonts w:cstheme="minorHAnsi"/>
        </w:rPr>
        <w:t xml:space="preserve">Toto </w:t>
      </w:r>
      <w:r w:rsidR="001E7EE8" w:rsidRPr="00C82E9C">
        <w:rPr>
          <w:rFonts w:cstheme="minorHAnsi"/>
        </w:rPr>
        <w:t>P</w:t>
      </w:r>
      <w:r w:rsidRPr="00C82E9C">
        <w:rPr>
          <w:rFonts w:cstheme="minorHAnsi"/>
        </w:rPr>
        <w:t xml:space="preserve">ověření umožňuje příjemci čerpat </w:t>
      </w:r>
      <w:r w:rsidR="00AB64EF" w:rsidRPr="00C82E9C">
        <w:rPr>
          <w:rFonts w:cstheme="minorHAnsi"/>
        </w:rPr>
        <w:t>po</w:t>
      </w:r>
      <w:r w:rsidR="001E7EE8" w:rsidRPr="00C82E9C">
        <w:rPr>
          <w:rFonts w:cstheme="minorHAnsi"/>
        </w:rPr>
        <w:t>dniku finanční prostředky na zajištění závazku veřejné služby z veřejných rozpočtů vč. zdrojů EU v podmínkách vícezdrojového financování.</w:t>
      </w:r>
    </w:p>
    <w:p w14:paraId="019F352B" w14:textId="1AAECAA6" w:rsidR="00277AE2" w:rsidRPr="00C82E9C" w:rsidRDefault="00277AE2" w:rsidP="00C82E9C">
      <w:pPr>
        <w:pStyle w:val="Odstavecseseznamem"/>
        <w:numPr>
          <w:ilvl w:val="0"/>
          <w:numId w:val="22"/>
        </w:numPr>
        <w:ind w:left="0" w:hanging="357"/>
        <w:contextualSpacing w:val="0"/>
        <w:rPr>
          <w:rFonts w:cstheme="minorHAnsi"/>
        </w:rPr>
      </w:pPr>
      <w:r w:rsidRPr="00C82E9C">
        <w:rPr>
          <w:rFonts w:cstheme="minorHAnsi"/>
        </w:rPr>
        <w:t>Toto Pověření se vyhotovuje ve dvou stejnopisech s platností originálu, z nichž jeden obdrží pověřovatel a jeden podnik.</w:t>
      </w:r>
    </w:p>
    <w:p w14:paraId="612C77B0" w14:textId="6AFB11D4" w:rsidR="00277AE2" w:rsidRPr="00C82E9C" w:rsidRDefault="00277AE2" w:rsidP="00C82E9C">
      <w:pPr>
        <w:pStyle w:val="Odstavecseseznamem"/>
        <w:numPr>
          <w:ilvl w:val="0"/>
          <w:numId w:val="22"/>
        </w:numPr>
        <w:ind w:left="0" w:hanging="357"/>
        <w:contextualSpacing w:val="0"/>
        <w:rPr>
          <w:rFonts w:cstheme="minorHAnsi"/>
        </w:rPr>
      </w:pPr>
      <w:r w:rsidRPr="00C82E9C">
        <w:rPr>
          <w:rFonts w:cstheme="minorHAnsi"/>
        </w:rPr>
        <w:t>Přijetí Pověření stvrzuje podnik podpisem svého statutárního zástupce nebo jím pověřené osoby.</w:t>
      </w:r>
    </w:p>
    <w:p w14:paraId="6C2344DC" w14:textId="25E668CB" w:rsidR="00277AE2" w:rsidRDefault="00277AE2" w:rsidP="004E68EC">
      <w:pPr>
        <w:pStyle w:val="Odstavecseseznamem"/>
        <w:numPr>
          <w:ilvl w:val="0"/>
          <w:numId w:val="22"/>
        </w:numPr>
        <w:ind w:left="0"/>
        <w:contextualSpacing w:val="0"/>
        <w:jc w:val="both"/>
        <w:rPr>
          <w:rFonts w:cstheme="minorHAnsi"/>
        </w:rPr>
      </w:pPr>
      <w:r w:rsidRPr="00C82E9C">
        <w:rPr>
          <w:rFonts w:cstheme="minorHAnsi"/>
        </w:rPr>
        <w:t>Osobní údaje obsažené v</w:t>
      </w:r>
      <w:r w:rsidR="00E77CE7" w:rsidRPr="00C82E9C">
        <w:rPr>
          <w:rFonts w:cstheme="minorHAnsi"/>
        </w:rPr>
        <w:t> tomto Pověřovacím aktu</w:t>
      </w:r>
      <w:r w:rsidRPr="00C82E9C">
        <w:rPr>
          <w:rFonts w:cstheme="minorHAnsi"/>
        </w:rPr>
        <w:t xml:space="preserve"> budou </w:t>
      </w:r>
      <w:r w:rsidR="001C2FBB">
        <w:rPr>
          <w:rFonts w:cstheme="minorHAnsi"/>
        </w:rPr>
        <w:t>Moravskoslezským</w:t>
      </w:r>
      <w:r w:rsidRPr="00C82E9C">
        <w:rPr>
          <w:rFonts w:cstheme="minorHAnsi"/>
        </w:rPr>
        <w:t xml:space="preserve"> krajem zpracovávány pouze pro účely plnění práv a povinností vyplývajících z</w:t>
      </w:r>
      <w:r w:rsidR="00C1500B" w:rsidRPr="00C82E9C">
        <w:rPr>
          <w:rFonts w:cstheme="minorHAnsi"/>
        </w:rPr>
        <w:t> tohoto Pověření</w:t>
      </w:r>
      <w:r w:rsidRPr="00C82E9C">
        <w:rPr>
          <w:rFonts w:cstheme="minorHAnsi"/>
        </w:rPr>
        <w:t xml:space="preserve">; k jiným účelům nebudou tyto osobní údaje </w:t>
      </w:r>
      <w:r w:rsidR="001C2FBB">
        <w:rPr>
          <w:rFonts w:cstheme="minorHAnsi"/>
        </w:rPr>
        <w:t>Moravskoslezským</w:t>
      </w:r>
      <w:r w:rsidR="00C1500B" w:rsidRPr="00C82E9C">
        <w:rPr>
          <w:rFonts w:cstheme="minorHAnsi"/>
        </w:rPr>
        <w:t xml:space="preserve"> </w:t>
      </w:r>
      <w:r w:rsidRPr="00C82E9C">
        <w:rPr>
          <w:rFonts w:cstheme="minorHAnsi"/>
        </w:rPr>
        <w:t xml:space="preserve">krajem použity. </w:t>
      </w:r>
      <w:r w:rsidR="001C2FBB">
        <w:rPr>
          <w:rFonts w:cstheme="minorHAnsi"/>
        </w:rPr>
        <w:t>Moravskoslezský</w:t>
      </w:r>
      <w:r w:rsidRPr="00C82E9C">
        <w:rPr>
          <w:rFonts w:cstheme="minorHAnsi"/>
        </w:rPr>
        <w:t xml:space="preserve"> kraj při zpracovávání osobních údajů dodržuje platné právní předpisy. </w:t>
      </w:r>
    </w:p>
    <w:p w14:paraId="746DE5DF" w14:textId="3DECFEBA" w:rsidR="007D7E7E" w:rsidRDefault="007D7E7E">
      <w:r>
        <w:br w:type="page"/>
      </w:r>
    </w:p>
    <w:p w14:paraId="47F50687" w14:textId="77777777" w:rsidR="006F5C7D" w:rsidRPr="006F5C7D" w:rsidRDefault="006F5C7D" w:rsidP="006F5C7D"/>
    <w:p w14:paraId="20159B1E" w14:textId="2FD70796" w:rsidR="00277AE2" w:rsidRPr="00C82E9C" w:rsidRDefault="00277AE2" w:rsidP="004E68EC">
      <w:pPr>
        <w:jc w:val="both"/>
        <w:rPr>
          <w:rFonts w:cstheme="minorHAnsi"/>
        </w:rPr>
      </w:pPr>
      <w:bookmarkStart w:id="2" w:name="_Hlk102655008"/>
      <w:r w:rsidRPr="00C82E9C">
        <w:rPr>
          <w:rFonts w:cstheme="minorHAnsi"/>
        </w:rPr>
        <w:t>Doložka platnosti právního jednání dle § 23 zákona č. 129/2000 Sb., o krajích (krajské zřízení), ve znění pozdějších předpisů.</w:t>
      </w:r>
    </w:p>
    <w:p w14:paraId="77EC96A7" w14:textId="4049851F" w:rsidR="00277AE2" w:rsidRPr="00C82E9C" w:rsidRDefault="00277AE2" w:rsidP="004E68EC">
      <w:pPr>
        <w:jc w:val="both"/>
        <w:rPr>
          <w:rFonts w:cstheme="minorHAnsi"/>
        </w:rPr>
      </w:pPr>
      <w:r w:rsidRPr="00C82E9C">
        <w:rPr>
          <w:rFonts w:cstheme="minorHAnsi"/>
        </w:rPr>
        <w:t>O pověření poskytováním služeb obecného hospodářského zájmu a </w:t>
      </w:r>
      <w:r w:rsidR="00C1500B" w:rsidRPr="00C82E9C">
        <w:rPr>
          <w:rFonts w:cstheme="minorHAnsi"/>
        </w:rPr>
        <w:t>přijetí tohoto Pověření</w:t>
      </w:r>
      <w:r w:rsidRPr="00C82E9C">
        <w:rPr>
          <w:rFonts w:cstheme="minorHAnsi"/>
        </w:rPr>
        <w:t xml:space="preserve"> rozhodlo zastupitelstvo kraje svým </w:t>
      </w:r>
      <w:r w:rsidRPr="006264F3">
        <w:rPr>
          <w:rFonts w:cstheme="minorHAnsi"/>
        </w:rPr>
        <w:t>usnesením č. ……………… ze dne</w:t>
      </w:r>
      <w:r w:rsidRPr="00C82E9C">
        <w:rPr>
          <w:rFonts w:cstheme="minorHAnsi"/>
        </w:rPr>
        <w:t> </w:t>
      </w:r>
      <w:r w:rsidR="001C2FBB">
        <w:rPr>
          <w:rFonts w:cstheme="minorHAnsi"/>
        </w:rPr>
        <w:t>15. 9. 2022</w:t>
      </w:r>
    </w:p>
    <w:bookmarkEnd w:id="2"/>
    <w:p w14:paraId="41C98C97" w14:textId="77777777" w:rsidR="00277AE2" w:rsidRPr="00C82E9C" w:rsidRDefault="00277AE2" w:rsidP="00C82E9C">
      <w:pPr>
        <w:rPr>
          <w:rFonts w:cstheme="minorHAnsi"/>
        </w:rPr>
      </w:pPr>
    </w:p>
    <w:p w14:paraId="28E9ACAD" w14:textId="59B288C9" w:rsidR="00B6171F" w:rsidRPr="00C82E9C" w:rsidRDefault="00B6171F" w:rsidP="00C82E9C">
      <w:pPr>
        <w:keepNext/>
        <w:tabs>
          <w:tab w:val="left" w:pos="6237"/>
        </w:tabs>
        <w:spacing w:before="600"/>
        <w:rPr>
          <w:rFonts w:cstheme="minorHAnsi"/>
        </w:rPr>
      </w:pPr>
      <w:r w:rsidRPr="00C82E9C">
        <w:rPr>
          <w:rFonts w:cstheme="minorHAnsi"/>
        </w:rPr>
        <w:t>V……………..dne ………………</w:t>
      </w:r>
      <w:r w:rsidRPr="00C82E9C">
        <w:rPr>
          <w:rFonts w:cstheme="minorHAnsi"/>
        </w:rPr>
        <w:tab/>
        <w:t>V ………….. dne ………………</w:t>
      </w:r>
    </w:p>
    <w:p w14:paraId="279229E3" w14:textId="77777777" w:rsidR="00B6171F" w:rsidRPr="00C82E9C" w:rsidRDefault="00B6171F" w:rsidP="00C82E9C">
      <w:pPr>
        <w:tabs>
          <w:tab w:val="left" w:pos="6237"/>
        </w:tabs>
        <w:spacing w:before="960"/>
        <w:rPr>
          <w:rFonts w:cstheme="minorHAnsi"/>
        </w:rPr>
      </w:pPr>
      <w:r w:rsidRPr="00C82E9C">
        <w:rPr>
          <w:rFonts w:cstheme="minorHAnsi"/>
        </w:rPr>
        <w:t>……………………………………</w:t>
      </w:r>
      <w:r w:rsidRPr="00C82E9C">
        <w:rPr>
          <w:rFonts w:cstheme="minorHAnsi"/>
        </w:rPr>
        <w:tab/>
        <w:t>……………………………………</w:t>
      </w:r>
    </w:p>
    <w:p w14:paraId="2D5DB66B" w14:textId="1CCB6772" w:rsidR="00B6171F" w:rsidRPr="00C82E9C" w:rsidRDefault="00B6171F" w:rsidP="00C82E9C">
      <w:pPr>
        <w:pStyle w:val="Odstavecseseznamem"/>
        <w:tabs>
          <w:tab w:val="left" w:pos="6946"/>
        </w:tabs>
        <w:ind w:left="0"/>
        <w:contextualSpacing w:val="0"/>
        <w:jc w:val="both"/>
        <w:rPr>
          <w:rFonts w:cstheme="minorHAnsi"/>
        </w:rPr>
      </w:pPr>
      <w:r w:rsidRPr="00C82E9C">
        <w:rPr>
          <w:rFonts w:cstheme="minorHAnsi"/>
        </w:rPr>
        <w:t xml:space="preserve">za </w:t>
      </w:r>
      <w:r w:rsidR="007304B8">
        <w:rPr>
          <w:rFonts w:cstheme="minorHAnsi"/>
        </w:rPr>
        <w:t>Moravskoslezský</w:t>
      </w:r>
      <w:r w:rsidRPr="00C82E9C">
        <w:rPr>
          <w:rFonts w:cstheme="minorHAnsi"/>
        </w:rPr>
        <w:t xml:space="preserve"> kraj</w:t>
      </w:r>
      <w:r w:rsidRPr="00C82E9C">
        <w:rPr>
          <w:rFonts w:cstheme="minorHAnsi"/>
        </w:rPr>
        <w:tab/>
        <w:t xml:space="preserve">za </w:t>
      </w:r>
      <w:r w:rsidR="003B0422" w:rsidRPr="00C82E9C">
        <w:rPr>
          <w:rFonts w:cstheme="minorHAnsi"/>
        </w:rPr>
        <w:t>podnik</w:t>
      </w:r>
    </w:p>
    <w:p w14:paraId="3563E4F1" w14:textId="77777777" w:rsidR="00362EE5" w:rsidRPr="00C82E9C" w:rsidRDefault="00362EE5" w:rsidP="00C82E9C">
      <w:pPr>
        <w:pStyle w:val="Odstavecseseznamem"/>
        <w:tabs>
          <w:tab w:val="left" w:pos="6804"/>
        </w:tabs>
        <w:ind w:left="0"/>
        <w:contextualSpacing w:val="0"/>
        <w:jc w:val="both"/>
        <w:rPr>
          <w:rFonts w:cstheme="minorHAnsi"/>
        </w:rPr>
      </w:pPr>
    </w:p>
    <w:p w14:paraId="63F310CB" w14:textId="7ED824DE" w:rsidR="003E1EAD" w:rsidRPr="00C82E9C" w:rsidRDefault="00362EE5" w:rsidP="004E68EC">
      <w:pPr>
        <w:pStyle w:val="Odstavecseseznamem"/>
        <w:pageBreakBefore/>
        <w:tabs>
          <w:tab w:val="left" w:pos="6804"/>
        </w:tabs>
        <w:ind w:left="0"/>
        <w:contextualSpacing w:val="0"/>
        <w:rPr>
          <w:rFonts w:cstheme="minorHAnsi"/>
        </w:rPr>
      </w:pPr>
      <w:r w:rsidRPr="00C82E9C">
        <w:rPr>
          <w:rFonts w:cstheme="minorHAnsi"/>
        </w:rPr>
        <w:lastRenderedPageBreak/>
        <w:t>Příloha č. 1</w:t>
      </w:r>
    </w:p>
    <w:p w14:paraId="012FD225" w14:textId="703EEF6D" w:rsidR="003E1EAD" w:rsidRPr="00C82E9C" w:rsidRDefault="003E1EAD" w:rsidP="004E68EC">
      <w:pPr>
        <w:pStyle w:val="Bodytext20"/>
        <w:shd w:val="clear" w:color="auto" w:fill="auto"/>
        <w:spacing w:after="244" w:line="269" w:lineRule="exact"/>
        <w:ind w:firstLine="0"/>
        <w:jc w:val="left"/>
        <w:rPr>
          <w:rFonts w:cstheme="minorHAnsi"/>
        </w:rPr>
      </w:pPr>
      <w:r w:rsidRPr="00C82E9C">
        <w:rPr>
          <w:rFonts w:cstheme="minorHAnsi"/>
        </w:rPr>
        <w:t>Podrobný popis činností podniku, které budou realizovány v režimu závazku veřejné služby (NPO)</w:t>
      </w:r>
    </w:p>
    <w:p w14:paraId="11636F4B" w14:textId="41838E36" w:rsidR="003E1EAD" w:rsidRPr="00C82E9C" w:rsidRDefault="003E1EAD" w:rsidP="004E68EC">
      <w:pPr>
        <w:tabs>
          <w:tab w:val="center" w:pos="7513"/>
        </w:tabs>
        <w:spacing w:after="0" w:line="240" w:lineRule="auto"/>
        <w:rPr>
          <w:rFonts w:cstheme="minorHAnsi"/>
        </w:rPr>
      </w:pPr>
      <w:r w:rsidRPr="00C82E9C">
        <w:rPr>
          <w:rFonts w:cstheme="minorHAnsi"/>
        </w:rPr>
        <w:t xml:space="preserve">Podnik bude realizovat projekt </w:t>
      </w:r>
      <w:r w:rsidR="00192388">
        <w:rPr>
          <w:rFonts w:cstheme="minorHAnsi"/>
        </w:rPr>
        <w:t>„</w:t>
      </w:r>
      <w:r w:rsidR="00192388" w:rsidRPr="00192388">
        <w:rPr>
          <w:rFonts w:cstheme="minorHAnsi"/>
        </w:rPr>
        <w:t>Přístavba objektu sociálních služeb Charita Studénka – Dům sv. Jáchyma</w:t>
      </w:r>
      <w:r w:rsidR="00192388">
        <w:rPr>
          <w:rFonts w:cstheme="minorHAnsi"/>
        </w:rPr>
        <w:t>“</w:t>
      </w:r>
      <w:r w:rsidRPr="00C82E9C">
        <w:rPr>
          <w:rFonts w:cstheme="minorHAnsi"/>
        </w:rPr>
        <w:t xml:space="preserve"> spolufinancovaný v rámci výzvy č. 31_22_003 za podmínek rozhodnutí vlastníka komponenty 3.3 Národního plánu obnovy, o poskytnutí finančních prostředků v rámci Národního plánu obnovy z Nástroje pro oživení a odolnost.</w:t>
      </w:r>
    </w:p>
    <w:p w14:paraId="2F00813E" w14:textId="77777777" w:rsidR="003E1EAD" w:rsidRPr="00C82E9C" w:rsidRDefault="003E1EAD" w:rsidP="004E68EC">
      <w:pPr>
        <w:tabs>
          <w:tab w:val="center" w:pos="7513"/>
        </w:tabs>
        <w:spacing w:after="0" w:line="240" w:lineRule="auto"/>
        <w:rPr>
          <w:rFonts w:cstheme="minorHAnsi"/>
        </w:rPr>
      </w:pPr>
    </w:p>
    <w:p w14:paraId="2EB14A51" w14:textId="53605403" w:rsidR="003E1EAD" w:rsidRPr="00C82E9C" w:rsidRDefault="003E1EAD" w:rsidP="004E68EC">
      <w:pPr>
        <w:tabs>
          <w:tab w:val="center" w:pos="7513"/>
        </w:tabs>
        <w:rPr>
          <w:rFonts w:cstheme="minorHAnsi"/>
        </w:rPr>
      </w:pPr>
      <w:r w:rsidRPr="00C82E9C">
        <w:rPr>
          <w:rFonts w:cstheme="minorHAnsi"/>
          <w:b/>
          <w:bCs/>
        </w:rPr>
        <w:t>Výzva:</w:t>
      </w:r>
      <w:r w:rsidRPr="00C82E9C">
        <w:rPr>
          <w:rFonts w:cstheme="minorHAnsi"/>
        </w:rPr>
        <w:t xml:space="preserve"> č. 31_22_003</w:t>
      </w:r>
    </w:p>
    <w:p w14:paraId="627CD67F" w14:textId="31C7EFFA" w:rsidR="003E1EAD" w:rsidRPr="00C82E9C" w:rsidRDefault="003E1EAD" w:rsidP="004E68EC">
      <w:pPr>
        <w:tabs>
          <w:tab w:val="center" w:pos="7513"/>
        </w:tabs>
        <w:rPr>
          <w:rFonts w:cstheme="minorHAnsi"/>
        </w:rPr>
      </w:pPr>
      <w:r w:rsidRPr="00C82E9C">
        <w:rPr>
          <w:rFonts w:cstheme="minorHAnsi"/>
          <w:b/>
          <w:bCs/>
        </w:rPr>
        <w:t>Číslo a název programu</w:t>
      </w:r>
      <w:r w:rsidRPr="00C82E9C">
        <w:rPr>
          <w:rFonts w:cstheme="minorHAnsi"/>
        </w:rPr>
        <w:t xml:space="preserve">: </w:t>
      </w:r>
      <w:r w:rsidR="00440C6B" w:rsidRPr="00C82E9C">
        <w:rPr>
          <w:rFonts w:cstheme="minorHAnsi"/>
        </w:rPr>
        <w:t>31 Národní plán obnovy</w:t>
      </w:r>
    </w:p>
    <w:p w14:paraId="6A3DB481" w14:textId="5E645589" w:rsidR="003E1EAD" w:rsidRPr="00C82E9C" w:rsidRDefault="003E1EAD" w:rsidP="004E68EC">
      <w:pPr>
        <w:tabs>
          <w:tab w:val="center" w:pos="7513"/>
        </w:tabs>
        <w:rPr>
          <w:rFonts w:cstheme="minorHAnsi"/>
        </w:rPr>
      </w:pPr>
      <w:bookmarkStart w:id="3" w:name="_Hlk92455144"/>
      <w:r w:rsidRPr="00C82E9C">
        <w:rPr>
          <w:rFonts w:cstheme="minorHAnsi"/>
          <w:b/>
          <w:bCs/>
        </w:rPr>
        <w:t>Číslo a název prioritní osy</w:t>
      </w:r>
      <w:r w:rsidRPr="00C82E9C">
        <w:rPr>
          <w:rFonts w:cstheme="minorHAnsi"/>
        </w:rPr>
        <w:t xml:space="preserve">: </w:t>
      </w:r>
      <w:r w:rsidR="00440C6B" w:rsidRPr="00C82E9C">
        <w:rPr>
          <w:rFonts w:cstheme="minorHAnsi"/>
        </w:rPr>
        <w:t>31.6 Modernizace služeb v zaměstnanosti a rozvoj trhu práce</w:t>
      </w:r>
    </w:p>
    <w:bookmarkEnd w:id="3"/>
    <w:p w14:paraId="04361035" w14:textId="07DBC953" w:rsidR="003E1EAD" w:rsidRPr="00C82E9C" w:rsidRDefault="003E1EAD" w:rsidP="004E68EC">
      <w:pPr>
        <w:tabs>
          <w:tab w:val="center" w:pos="7513"/>
        </w:tabs>
        <w:rPr>
          <w:rFonts w:cstheme="minorHAnsi"/>
        </w:rPr>
      </w:pPr>
      <w:r w:rsidRPr="00C82E9C">
        <w:rPr>
          <w:rFonts w:cstheme="minorHAnsi"/>
          <w:b/>
          <w:bCs/>
        </w:rPr>
        <w:t xml:space="preserve">Specifický cíl: </w:t>
      </w:r>
      <w:r w:rsidR="00440C6B" w:rsidRPr="00C82E9C">
        <w:rPr>
          <w:rFonts w:cstheme="minorHAnsi"/>
        </w:rPr>
        <w:t>31.6.0.3 Rozvoj a modernizace materiálně technické základny sociálních služeb</w:t>
      </w:r>
    </w:p>
    <w:p w14:paraId="645D8BF1" w14:textId="59A45D1B" w:rsidR="003E1EAD" w:rsidRPr="00442DE8" w:rsidRDefault="003E1EAD" w:rsidP="004E68EC">
      <w:pPr>
        <w:tabs>
          <w:tab w:val="center" w:pos="7513"/>
        </w:tabs>
        <w:rPr>
          <w:rFonts w:cstheme="minorHAnsi"/>
          <w:b/>
          <w:bCs/>
        </w:rPr>
      </w:pPr>
      <w:r w:rsidRPr="00442DE8">
        <w:rPr>
          <w:rFonts w:cstheme="minorHAnsi"/>
          <w:b/>
          <w:bCs/>
        </w:rPr>
        <w:t>Registrační číslo projektu:</w:t>
      </w:r>
      <w:r w:rsidR="00666A04">
        <w:rPr>
          <w:rFonts w:cstheme="minorHAnsi"/>
          <w:b/>
          <w:bCs/>
        </w:rPr>
        <w:t xml:space="preserve"> </w:t>
      </w:r>
      <w:r w:rsidR="00442DE8" w:rsidRPr="006264F3">
        <w:rPr>
          <w:rFonts w:cstheme="minorHAnsi"/>
          <w:b/>
          <w:bCs/>
        </w:rPr>
        <w:t>………………………………….</w:t>
      </w:r>
      <w:r w:rsidR="00442DE8" w:rsidRPr="006264F3">
        <w:rPr>
          <w:rStyle w:val="Znakapoznpodarou"/>
          <w:rFonts w:cstheme="minorHAnsi"/>
          <w:b/>
          <w:bCs/>
        </w:rPr>
        <w:footnoteReference w:id="4"/>
      </w:r>
    </w:p>
    <w:p w14:paraId="2918830B" w14:textId="77777777" w:rsidR="003E1EAD" w:rsidRPr="00C82E9C" w:rsidRDefault="003E1EAD" w:rsidP="004E68EC">
      <w:pPr>
        <w:tabs>
          <w:tab w:val="center" w:pos="7513"/>
        </w:tabs>
        <w:rPr>
          <w:rFonts w:cstheme="minorHAnsi"/>
        </w:rPr>
      </w:pPr>
    </w:p>
    <w:p w14:paraId="450B52C8" w14:textId="171B6EB1" w:rsidR="003E1EAD" w:rsidRPr="00C82E9C" w:rsidRDefault="003E1EAD" w:rsidP="004E68EC">
      <w:pPr>
        <w:pStyle w:val="Odstavecseseznamem"/>
        <w:tabs>
          <w:tab w:val="left" w:pos="6804"/>
        </w:tabs>
        <w:ind w:left="0"/>
        <w:contextualSpacing w:val="0"/>
        <w:rPr>
          <w:rFonts w:cstheme="minorHAnsi"/>
        </w:rPr>
      </w:pPr>
      <w:r w:rsidRPr="00C82E9C">
        <w:rPr>
          <w:rFonts w:cstheme="minorHAnsi"/>
        </w:rPr>
        <w:t>Činnosti dle bodu 1 této přílohy budou vykonávány v režimu závazku veřejné služby v rozsahu a za podmínek rozho</w:t>
      </w:r>
      <w:r w:rsidR="00440C6B" w:rsidRPr="00C82E9C">
        <w:rPr>
          <w:rFonts w:cstheme="minorHAnsi"/>
        </w:rPr>
        <w:t>dnutí.</w:t>
      </w:r>
    </w:p>
    <w:p w14:paraId="127246EF" w14:textId="4517EF01" w:rsidR="00440C6B" w:rsidRPr="00C82E9C" w:rsidRDefault="00440C6B" w:rsidP="00C82E9C">
      <w:pPr>
        <w:pStyle w:val="Odstavecseseznamem"/>
        <w:tabs>
          <w:tab w:val="left" w:pos="6804"/>
        </w:tabs>
        <w:ind w:left="0"/>
        <w:contextualSpacing w:val="0"/>
        <w:jc w:val="both"/>
        <w:rPr>
          <w:rFonts w:cstheme="minorHAnsi"/>
        </w:rPr>
      </w:pPr>
    </w:p>
    <w:p w14:paraId="17DD7125" w14:textId="76771FEC" w:rsidR="00440C6B" w:rsidRPr="00C82E9C" w:rsidRDefault="00440C6B" w:rsidP="00C82E9C">
      <w:pPr>
        <w:pageBreakBefore/>
        <w:spacing w:after="233"/>
        <w:ind w:hanging="403"/>
        <w:jc w:val="both"/>
        <w:rPr>
          <w:rFonts w:cstheme="minorHAnsi"/>
          <w:b/>
          <w:bCs/>
        </w:rPr>
      </w:pPr>
      <w:bookmarkStart w:id="4" w:name="bookmark9"/>
      <w:r w:rsidRPr="00C82E9C">
        <w:rPr>
          <w:rFonts w:cstheme="minorHAnsi"/>
          <w:b/>
          <w:bCs/>
        </w:rPr>
        <w:lastRenderedPageBreak/>
        <w:t>Příloha č. 2: Pravidla pro výpočet vyrovnávací platby</w:t>
      </w:r>
      <w:bookmarkEnd w:id="4"/>
    </w:p>
    <w:p w14:paraId="254A562F" w14:textId="5D1E247A" w:rsidR="00440C6B" w:rsidRPr="00C82E9C" w:rsidRDefault="00440C6B" w:rsidP="00C82E9C">
      <w:pPr>
        <w:pStyle w:val="Bodytext20"/>
        <w:shd w:val="clear" w:color="auto" w:fill="auto"/>
        <w:spacing w:after="327" w:line="302" w:lineRule="exact"/>
        <w:ind w:firstLine="0"/>
        <w:rPr>
          <w:rFonts w:cstheme="minorHAnsi"/>
        </w:rPr>
      </w:pPr>
      <w:r w:rsidRPr="00C82E9C">
        <w:rPr>
          <w:rFonts w:cstheme="minorHAnsi"/>
        </w:rPr>
        <w:t>Účelem výpočtu a vypořádání vyrovnávací platby je zabezpečení poskytování veřejné služby a zároveň zamezení jejich nadměrného financování z veřejných rozpočtů (se zohledněním vícezdrojového financování zdravotních služeb, jak z veřejných, tak i ze soukromých zdrojů). Dle Rozhodnutí Komise č.</w:t>
      </w:r>
      <w:r w:rsidR="00894CCA">
        <w:rPr>
          <w:rFonts w:cstheme="minorHAnsi"/>
        </w:rPr>
        <w:t> </w:t>
      </w:r>
      <w:r w:rsidRPr="00C82E9C">
        <w:rPr>
          <w:rFonts w:cstheme="minorHAnsi"/>
        </w:rPr>
        <w:t>2012/21 /EU ze dne 20. prosince 2011 výše vyrovnávací platby nesmí přesáhnout rozsah nezbytný k</w:t>
      </w:r>
      <w:r w:rsidR="00894CCA">
        <w:rPr>
          <w:rFonts w:cstheme="minorHAnsi"/>
        </w:rPr>
        <w:t> </w:t>
      </w:r>
      <w:r w:rsidRPr="00C82E9C">
        <w:rPr>
          <w:rFonts w:cstheme="minorHAnsi"/>
        </w:rPr>
        <w:t>pokrytí čistých nákladů vynaložených při plnění závazků veřejné služby. Bližší postup pro výpočet vyrovnávací platby je uveden v následující části přílohy.</w:t>
      </w:r>
    </w:p>
    <w:p w14:paraId="2FD91654" w14:textId="79322E5B" w:rsidR="00440C6B" w:rsidRPr="00C82E9C" w:rsidRDefault="00440C6B" w:rsidP="00C82E9C">
      <w:pPr>
        <w:pStyle w:val="Odstavecseseznamem"/>
        <w:numPr>
          <w:ilvl w:val="0"/>
          <w:numId w:val="31"/>
        </w:numPr>
        <w:ind w:left="0"/>
        <w:contextualSpacing w:val="0"/>
        <w:jc w:val="both"/>
        <w:rPr>
          <w:rFonts w:cstheme="minorHAnsi"/>
        </w:rPr>
      </w:pPr>
      <w:bookmarkStart w:id="5" w:name="bookmark10"/>
      <w:r w:rsidRPr="00C82E9C">
        <w:rPr>
          <w:rStyle w:val="Heading20"/>
          <w:rFonts w:asciiTheme="minorHAnsi" w:eastAsiaTheme="minorHAnsi" w:hAnsiTheme="minorHAnsi" w:cstheme="minorHAnsi"/>
          <w:b w:val="0"/>
          <w:bCs w:val="0"/>
        </w:rPr>
        <w:t>Obecná ustanovení</w:t>
      </w:r>
      <w:bookmarkEnd w:id="5"/>
    </w:p>
    <w:p w14:paraId="363A5268" w14:textId="77777777" w:rsidR="00440C6B" w:rsidRPr="00C82E9C" w:rsidRDefault="00440C6B" w:rsidP="00C82E9C">
      <w:pPr>
        <w:pStyle w:val="Bodytext20"/>
        <w:numPr>
          <w:ilvl w:val="0"/>
          <w:numId w:val="25"/>
        </w:numPr>
        <w:shd w:val="clear" w:color="auto" w:fill="auto"/>
        <w:tabs>
          <w:tab w:val="left" w:pos="348"/>
        </w:tabs>
        <w:spacing w:line="302" w:lineRule="exact"/>
        <w:ind w:hanging="400"/>
        <w:rPr>
          <w:rFonts w:cstheme="minorHAnsi"/>
        </w:rPr>
      </w:pPr>
      <w:r w:rsidRPr="00C82E9C">
        <w:rPr>
          <w:rFonts w:cstheme="minorHAnsi"/>
        </w:rPr>
        <w:t>Vyrovnávací platbu lze poskytnout organizaci jen na ty činnosti, které jsou vymezené v pověření závazkem veřejné služby dle Smlouvy o závazku veřejné služby a vyrovnávací platbě za jeho výkon (dále také „činnosti").</w:t>
      </w:r>
    </w:p>
    <w:p w14:paraId="76783AF7" w14:textId="77777777" w:rsidR="00440C6B" w:rsidRPr="00C82E9C" w:rsidRDefault="00440C6B" w:rsidP="00C82E9C">
      <w:pPr>
        <w:pStyle w:val="Bodytext20"/>
        <w:numPr>
          <w:ilvl w:val="0"/>
          <w:numId w:val="25"/>
        </w:numPr>
        <w:shd w:val="clear" w:color="auto" w:fill="auto"/>
        <w:tabs>
          <w:tab w:val="left" w:pos="348"/>
        </w:tabs>
        <w:spacing w:line="302" w:lineRule="exact"/>
        <w:ind w:hanging="400"/>
        <w:rPr>
          <w:rFonts w:cstheme="minorHAnsi"/>
        </w:rPr>
      </w:pPr>
      <w:r w:rsidRPr="00C82E9C">
        <w:rPr>
          <w:rFonts w:cstheme="minorHAnsi"/>
        </w:rPr>
        <w:t>Účetnictví organizace musí být vedeno způsobem, který jednoznačně oddělí náklady a výnosy činností, které zakládají možnost vyrovnávací platby spojené s plněním závazku veřejné služby, od ostatních činností. Na takové činnosti nemůže být vyrovnávací platba vztahována.</w:t>
      </w:r>
    </w:p>
    <w:p w14:paraId="4DDE13AB" w14:textId="77777777" w:rsidR="00E45056" w:rsidRPr="00E45056" w:rsidRDefault="00440C6B" w:rsidP="00C82E9C">
      <w:pPr>
        <w:pStyle w:val="Odstavecseseznamem"/>
        <w:numPr>
          <w:ilvl w:val="0"/>
          <w:numId w:val="25"/>
        </w:numPr>
        <w:spacing w:after="0" w:line="240" w:lineRule="auto"/>
        <w:ind w:left="0" w:hanging="426"/>
        <w:contextualSpacing w:val="0"/>
        <w:rPr>
          <w:rFonts w:cstheme="minorHAnsi"/>
        </w:rPr>
      </w:pPr>
      <w:r w:rsidRPr="00C82E9C">
        <w:rPr>
          <w:rFonts w:cstheme="minorHAnsi"/>
          <w:b/>
          <w:bCs/>
        </w:rPr>
        <w:t>Roční strop pro vyrovnávací platbu jak provozního, tak investičního charakteru, je stanoven na</w:t>
      </w:r>
      <w:r w:rsidR="00E45056">
        <w:rPr>
          <w:rFonts w:cstheme="minorHAnsi"/>
          <w:b/>
          <w:bCs/>
        </w:rPr>
        <w:t>:</w:t>
      </w:r>
    </w:p>
    <w:p w14:paraId="5E4F1264" w14:textId="64FE1DFF" w:rsidR="0037127E" w:rsidRDefault="00BE350E" w:rsidP="00E45056">
      <w:pPr>
        <w:pStyle w:val="Odstavecseseznamem"/>
        <w:spacing w:after="0" w:line="240" w:lineRule="auto"/>
        <w:ind w:left="0"/>
        <w:contextualSpacing w:val="0"/>
        <w:rPr>
          <w:rFonts w:cstheme="minorHAnsi"/>
        </w:rPr>
      </w:pPr>
      <w:r>
        <w:rPr>
          <w:rFonts w:cstheme="minorHAnsi"/>
          <w:b/>
          <w:bCs/>
        </w:rPr>
        <w:t>35.000.000,00</w:t>
      </w:r>
      <w:r w:rsidR="00440C6B" w:rsidRPr="00C82E9C">
        <w:rPr>
          <w:rFonts w:cstheme="minorHAnsi"/>
          <w:b/>
          <w:bCs/>
        </w:rPr>
        <w:t xml:space="preserve"> Kč</w:t>
      </w:r>
      <w:r w:rsidR="00E45056">
        <w:rPr>
          <w:rFonts w:cstheme="minorHAnsi"/>
        </w:rPr>
        <w:t xml:space="preserve"> pro rok</w:t>
      </w:r>
      <w:r w:rsidR="0037127E">
        <w:rPr>
          <w:rFonts w:cstheme="minorHAnsi"/>
        </w:rPr>
        <w:t xml:space="preserve"> 2023,</w:t>
      </w:r>
    </w:p>
    <w:p w14:paraId="1AE432E5" w14:textId="7BEB4851" w:rsidR="0037127E" w:rsidRDefault="009520B3" w:rsidP="0037127E">
      <w:pPr>
        <w:pStyle w:val="Odstavecseseznamem"/>
        <w:spacing w:after="0" w:line="240" w:lineRule="auto"/>
        <w:ind w:left="0"/>
        <w:contextualSpacing w:val="0"/>
        <w:rPr>
          <w:rFonts w:cstheme="minorHAnsi"/>
        </w:rPr>
      </w:pPr>
      <w:r>
        <w:rPr>
          <w:rFonts w:cstheme="minorHAnsi"/>
          <w:b/>
          <w:bCs/>
        </w:rPr>
        <w:t>56</w:t>
      </w:r>
      <w:r w:rsidR="0037127E">
        <w:rPr>
          <w:rFonts w:cstheme="minorHAnsi"/>
          <w:b/>
          <w:bCs/>
        </w:rPr>
        <w:t>.</w:t>
      </w:r>
      <w:r>
        <w:rPr>
          <w:rFonts w:cstheme="minorHAnsi"/>
          <w:b/>
          <w:bCs/>
        </w:rPr>
        <w:t>30</w:t>
      </w:r>
      <w:r w:rsidR="0037127E">
        <w:rPr>
          <w:rFonts w:cstheme="minorHAnsi"/>
          <w:b/>
          <w:bCs/>
        </w:rPr>
        <w:t>0.000,00</w:t>
      </w:r>
      <w:r w:rsidR="0037127E" w:rsidRPr="00C82E9C">
        <w:rPr>
          <w:rFonts w:cstheme="minorHAnsi"/>
          <w:b/>
          <w:bCs/>
        </w:rPr>
        <w:t xml:space="preserve"> Kč</w:t>
      </w:r>
      <w:r w:rsidR="0037127E">
        <w:rPr>
          <w:rFonts w:cstheme="minorHAnsi"/>
        </w:rPr>
        <w:t xml:space="preserve"> pro rok 202</w:t>
      </w:r>
      <w:r w:rsidR="0037127E">
        <w:rPr>
          <w:rFonts w:cstheme="minorHAnsi"/>
        </w:rPr>
        <w:t>4,</w:t>
      </w:r>
    </w:p>
    <w:p w14:paraId="3F8143B9" w14:textId="7BF46AAA" w:rsidR="0037127E" w:rsidRDefault="009520B3" w:rsidP="0037127E">
      <w:pPr>
        <w:pStyle w:val="Odstavecseseznamem"/>
        <w:spacing w:after="0" w:line="240" w:lineRule="auto"/>
        <w:ind w:left="0"/>
        <w:contextualSpacing w:val="0"/>
        <w:rPr>
          <w:rFonts w:cstheme="minorHAnsi"/>
        </w:rPr>
      </w:pPr>
      <w:r>
        <w:rPr>
          <w:rFonts w:cstheme="minorHAnsi"/>
          <w:b/>
          <w:bCs/>
        </w:rPr>
        <w:t>13</w:t>
      </w:r>
      <w:r w:rsidR="0037127E">
        <w:rPr>
          <w:rFonts w:cstheme="minorHAnsi"/>
          <w:b/>
          <w:bCs/>
        </w:rPr>
        <w:t>.</w:t>
      </w:r>
      <w:r>
        <w:rPr>
          <w:rFonts w:cstheme="minorHAnsi"/>
          <w:b/>
          <w:bCs/>
        </w:rPr>
        <w:t>80</w:t>
      </w:r>
      <w:r w:rsidR="0037127E">
        <w:rPr>
          <w:rFonts w:cstheme="minorHAnsi"/>
          <w:b/>
          <w:bCs/>
        </w:rPr>
        <w:t>0.000,00</w:t>
      </w:r>
      <w:r w:rsidR="0037127E" w:rsidRPr="00C82E9C">
        <w:rPr>
          <w:rFonts w:cstheme="minorHAnsi"/>
          <w:b/>
          <w:bCs/>
        </w:rPr>
        <w:t xml:space="preserve"> Kč</w:t>
      </w:r>
      <w:r w:rsidR="0037127E">
        <w:rPr>
          <w:rFonts w:cstheme="minorHAnsi"/>
        </w:rPr>
        <w:t xml:space="preserve"> pro rok 202</w:t>
      </w:r>
      <w:r w:rsidR="0037127E">
        <w:rPr>
          <w:rFonts w:cstheme="minorHAnsi"/>
        </w:rPr>
        <w:t>5.</w:t>
      </w:r>
    </w:p>
    <w:p w14:paraId="7D7B181A" w14:textId="2FEB115B" w:rsidR="00440C6B" w:rsidRPr="00C82E9C" w:rsidRDefault="00440C6B" w:rsidP="00E45056">
      <w:pPr>
        <w:pStyle w:val="Odstavecseseznamem"/>
        <w:spacing w:after="0" w:line="240" w:lineRule="auto"/>
        <w:ind w:left="0"/>
        <w:contextualSpacing w:val="0"/>
        <w:rPr>
          <w:rFonts w:cstheme="minorHAnsi"/>
        </w:rPr>
      </w:pPr>
      <w:r w:rsidRPr="00C82E9C">
        <w:rPr>
          <w:rFonts w:cstheme="minorHAnsi"/>
        </w:rPr>
        <w:t xml:space="preserve"> </w:t>
      </w:r>
    </w:p>
    <w:p w14:paraId="76589FBE" w14:textId="77777777" w:rsidR="00440C6B" w:rsidRPr="00C82E9C" w:rsidRDefault="00440C6B" w:rsidP="00C82E9C">
      <w:pPr>
        <w:pStyle w:val="Bodytext20"/>
        <w:numPr>
          <w:ilvl w:val="0"/>
          <w:numId w:val="25"/>
        </w:numPr>
        <w:shd w:val="clear" w:color="auto" w:fill="auto"/>
        <w:tabs>
          <w:tab w:val="left" w:pos="348"/>
        </w:tabs>
        <w:spacing w:line="302" w:lineRule="exact"/>
        <w:ind w:hanging="400"/>
        <w:rPr>
          <w:rFonts w:cstheme="minorHAnsi"/>
        </w:rPr>
      </w:pPr>
      <w:r w:rsidRPr="00C82E9C">
        <w:rPr>
          <w:rFonts w:cstheme="minorHAnsi"/>
        </w:rPr>
        <w:t>Za každý kalendářní rok bude ze strany pověřovatele prováděna kontrola skutečných nákladů a výnosů u činností, vyplývajících z plnění závazku veřejné služby, a prověřována oprávněnost výše nárokované vyrovnávací platby za daný kalendářní rok.</w:t>
      </w:r>
    </w:p>
    <w:p w14:paraId="40F5376E" w14:textId="09582BC6" w:rsidR="00440C6B" w:rsidRPr="00C82E9C" w:rsidRDefault="00440C6B" w:rsidP="00C82E9C">
      <w:pPr>
        <w:pStyle w:val="Bodytext20"/>
        <w:numPr>
          <w:ilvl w:val="0"/>
          <w:numId w:val="25"/>
        </w:numPr>
        <w:shd w:val="clear" w:color="auto" w:fill="auto"/>
        <w:tabs>
          <w:tab w:val="left" w:pos="348"/>
        </w:tabs>
        <w:spacing w:after="227" w:line="302" w:lineRule="exact"/>
        <w:ind w:hanging="400"/>
        <w:rPr>
          <w:rFonts w:cstheme="minorHAnsi"/>
        </w:rPr>
      </w:pPr>
      <w:r w:rsidRPr="00C82E9C">
        <w:rPr>
          <w:rFonts w:cstheme="minorHAnsi"/>
        </w:rPr>
        <w:t xml:space="preserve">Podklady pro posouzení vyrovnávací platby musí být předloženy </w:t>
      </w:r>
      <w:r w:rsidR="001B290E">
        <w:rPr>
          <w:rFonts w:cstheme="minorHAnsi"/>
        </w:rPr>
        <w:t>v listinné podobě</w:t>
      </w:r>
      <w:r w:rsidR="00376A99">
        <w:rPr>
          <w:rFonts w:cstheme="minorHAnsi"/>
        </w:rPr>
        <w:t xml:space="preserve"> prostřednictvím provozovatele poštovních služeb nebo osobně na podatelně Krajského úřadu Moravskoslezského kraje</w:t>
      </w:r>
      <w:r w:rsidRPr="00C82E9C">
        <w:rPr>
          <w:rFonts w:cstheme="minorHAnsi"/>
        </w:rPr>
        <w:t xml:space="preserve"> na adresu:</w:t>
      </w:r>
    </w:p>
    <w:p w14:paraId="1A5C5719" w14:textId="0CAAFF78" w:rsidR="00440C6B" w:rsidRPr="001009C3" w:rsidRDefault="001D1A08" w:rsidP="00C82E9C">
      <w:pPr>
        <w:pStyle w:val="Bodytext20"/>
        <w:shd w:val="clear" w:color="auto" w:fill="auto"/>
        <w:spacing w:line="244" w:lineRule="exact"/>
        <w:ind w:hanging="340"/>
        <w:rPr>
          <w:rFonts w:cstheme="minorHAnsi"/>
        </w:rPr>
      </w:pPr>
      <w:r w:rsidRPr="001009C3">
        <w:rPr>
          <w:rFonts w:cstheme="minorHAnsi"/>
        </w:rPr>
        <w:t>Moravskoslezský</w:t>
      </w:r>
      <w:r w:rsidR="00440C6B" w:rsidRPr="001009C3">
        <w:rPr>
          <w:rFonts w:cstheme="minorHAnsi"/>
        </w:rPr>
        <w:t xml:space="preserve"> kraj - Krajský úřad</w:t>
      </w:r>
    </w:p>
    <w:p w14:paraId="644713AD" w14:textId="1FAED9FC" w:rsidR="001D1A08" w:rsidRPr="001009C3" w:rsidRDefault="001D1A08" w:rsidP="001D1A08">
      <w:pPr>
        <w:pStyle w:val="Bodytext20"/>
        <w:shd w:val="clear" w:color="auto" w:fill="auto"/>
        <w:spacing w:line="302" w:lineRule="exact"/>
        <w:ind w:hanging="340"/>
        <w:rPr>
          <w:rFonts w:cstheme="minorHAnsi"/>
        </w:rPr>
      </w:pPr>
      <w:r w:rsidRPr="001009C3">
        <w:rPr>
          <w:rFonts w:cstheme="minorHAnsi"/>
        </w:rPr>
        <w:t>O</w:t>
      </w:r>
      <w:r w:rsidR="00440C6B" w:rsidRPr="001009C3">
        <w:rPr>
          <w:rFonts w:cstheme="minorHAnsi"/>
        </w:rPr>
        <w:t>dbor</w:t>
      </w:r>
      <w:r w:rsidRPr="001009C3">
        <w:rPr>
          <w:rFonts w:cstheme="minorHAnsi"/>
        </w:rPr>
        <w:t xml:space="preserve"> sociální věcí</w:t>
      </w:r>
    </w:p>
    <w:p w14:paraId="39C6B9E8" w14:textId="1746F921" w:rsidR="001B290E" w:rsidRDefault="00440C6B" w:rsidP="001B290E">
      <w:pPr>
        <w:pStyle w:val="Bodytext20"/>
        <w:shd w:val="clear" w:color="auto" w:fill="auto"/>
        <w:spacing w:line="302" w:lineRule="exact"/>
        <w:ind w:hanging="340"/>
        <w:rPr>
          <w:rFonts w:cstheme="minorHAnsi"/>
        </w:rPr>
      </w:pPr>
      <w:r w:rsidRPr="001009C3">
        <w:rPr>
          <w:rFonts w:cstheme="minorHAnsi"/>
        </w:rPr>
        <w:t>Adresa:</w:t>
      </w:r>
      <w:r w:rsidR="00762EBC" w:rsidRPr="001009C3">
        <w:rPr>
          <w:rFonts w:cstheme="minorHAnsi"/>
        </w:rPr>
        <w:t xml:space="preserve"> 28. října 117, 702 18 Ostrava</w:t>
      </w:r>
      <w:r w:rsidR="001B290E">
        <w:rPr>
          <w:rFonts w:cstheme="minorHAnsi"/>
        </w:rPr>
        <w:t>,</w:t>
      </w:r>
    </w:p>
    <w:p w14:paraId="52CA51E5" w14:textId="77777777" w:rsidR="009E288D" w:rsidRDefault="009E288D" w:rsidP="001B290E">
      <w:pPr>
        <w:pStyle w:val="Bodytext20"/>
        <w:shd w:val="clear" w:color="auto" w:fill="auto"/>
        <w:spacing w:line="302" w:lineRule="exact"/>
        <w:ind w:hanging="340"/>
        <w:rPr>
          <w:rFonts w:cstheme="minorHAnsi"/>
        </w:rPr>
      </w:pPr>
    </w:p>
    <w:p w14:paraId="18D012D3" w14:textId="2FEB8CBD" w:rsidR="001B290E" w:rsidRDefault="00A37836" w:rsidP="001B290E">
      <w:pPr>
        <w:pStyle w:val="Bodytext20"/>
        <w:shd w:val="clear" w:color="auto" w:fill="auto"/>
        <w:spacing w:line="302" w:lineRule="exact"/>
        <w:ind w:hanging="340"/>
        <w:rPr>
          <w:rFonts w:cstheme="minorHAnsi"/>
        </w:rPr>
      </w:pPr>
      <w:r>
        <w:rPr>
          <w:rFonts w:cstheme="minorHAnsi"/>
        </w:rPr>
        <w:t>n</w:t>
      </w:r>
      <w:r w:rsidR="001B290E">
        <w:rPr>
          <w:rFonts w:cstheme="minorHAnsi"/>
        </w:rPr>
        <w:t>ebo</w:t>
      </w:r>
    </w:p>
    <w:p w14:paraId="0C2CB33E" w14:textId="77777777" w:rsidR="00A37836" w:rsidRDefault="00A37836" w:rsidP="001B290E">
      <w:pPr>
        <w:pStyle w:val="Bodytext20"/>
        <w:shd w:val="clear" w:color="auto" w:fill="auto"/>
        <w:spacing w:line="302" w:lineRule="exact"/>
        <w:ind w:hanging="340"/>
        <w:rPr>
          <w:rFonts w:cstheme="minorHAnsi"/>
        </w:rPr>
      </w:pPr>
    </w:p>
    <w:p w14:paraId="489E0390" w14:textId="7A82EF8B" w:rsidR="009E288D" w:rsidRDefault="00A37836" w:rsidP="001B290E">
      <w:pPr>
        <w:pStyle w:val="Bodytext20"/>
        <w:shd w:val="clear" w:color="auto" w:fill="auto"/>
        <w:spacing w:line="302" w:lineRule="exact"/>
        <w:ind w:hanging="340"/>
        <w:rPr>
          <w:rFonts w:cstheme="minorHAnsi"/>
        </w:rPr>
      </w:pPr>
      <w:r>
        <w:rPr>
          <w:rFonts w:cstheme="minorHAnsi"/>
        </w:rPr>
        <w:t>p</w:t>
      </w:r>
      <w:r w:rsidR="009E288D">
        <w:rPr>
          <w:rFonts w:cstheme="minorHAnsi"/>
        </w:rPr>
        <w:t>rostřednictvím informačního systému datových schránek do datové schránky Moravskoslezského kraje:</w:t>
      </w:r>
    </w:p>
    <w:p w14:paraId="34CDCE9B" w14:textId="1CC97B1B" w:rsidR="009E288D" w:rsidRDefault="009E288D" w:rsidP="001B290E">
      <w:pPr>
        <w:pStyle w:val="Bodytext20"/>
        <w:shd w:val="clear" w:color="auto" w:fill="auto"/>
        <w:spacing w:line="302" w:lineRule="exact"/>
        <w:ind w:hanging="340"/>
        <w:rPr>
          <w:rFonts w:cstheme="minorHAnsi"/>
        </w:rPr>
      </w:pPr>
      <w:r>
        <w:rPr>
          <w:rFonts w:cstheme="minorHAnsi"/>
        </w:rPr>
        <w:t>Název datové schránky: Moravskoslezský kraj</w:t>
      </w:r>
    </w:p>
    <w:p w14:paraId="78848AD4" w14:textId="6278F38F" w:rsidR="009E288D" w:rsidRDefault="009E288D" w:rsidP="001B290E">
      <w:pPr>
        <w:pStyle w:val="Bodytext20"/>
        <w:shd w:val="clear" w:color="auto" w:fill="auto"/>
        <w:spacing w:line="302" w:lineRule="exact"/>
        <w:ind w:hanging="340"/>
        <w:rPr>
          <w:rFonts w:cstheme="minorHAnsi"/>
        </w:rPr>
      </w:pPr>
      <w:r>
        <w:rPr>
          <w:rFonts w:cstheme="minorHAnsi"/>
        </w:rPr>
        <w:t xml:space="preserve">Identifikátor datové schránky: </w:t>
      </w:r>
      <w:r w:rsidR="00A37836">
        <w:rPr>
          <w:rFonts w:cstheme="minorHAnsi"/>
        </w:rPr>
        <w:t>8x6bxsd</w:t>
      </w:r>
    </w:p>
    <w:p w14:paraId="5A363F2C" w14:textId="77777777" w:rsidR="001009C3" w:rsidRDefault="001009C3" w:rsidP="00762EBC">
      <w:pPr>
        <w:pStyle w:val="Bodytext20"/>
        <w:shd w:val="clear" w:color="auto" w:fill="auto"/>
        <w:spacing w:line="302" w:lineRule="exact"/>
        <w:ind w:hanging="340"/>
        <w:rPr>
          <w:rFonts w:cstheme="minorHAnsi"/>
        </w:rPr>
      </w:pPr>
    </w:p>
    <w:p w14:paraId="2F1B6C0F" w14:textId="20915CC4" w:rsidR="00440C6B" w:rsidRPr="00C82E9C" w:rsidRDefault="00440C6B" w:rsidP="00762EBC">
      <w:pPr>
        <w:pStyle w:val="Bodytext20"/>
        <w:shd w:val="clear" w:color="auto" w:fill="auto"/>
        <w:spacing w:line="302" w:lineRule="exact"/>
        <w:ind w:hanging="340"/>
        <w:rPr>
          <w:rFonts w:cstheme="minorHAnsi"/>
        </w:rPr>
      </w:pPr>
      <w:r w:rsidRPr="00C82E9C">
        <w:rPr>
          <w:rFonts w:cstheme="minorHAnsi"/>
        </w:rPr>
        <w:t>Kraj si vyhrazuje právo s ohledem na vývoj právních názorů v otázce výpočtu vyrovnávací platby požadovat další informace o poskytovaných službách, které je příjemce povinen Kraji zaslat.</w:t>
      </w:r>
    </w:p>
    <w:p w14:paraId="4A0D42EE" w14:textId="438728D6" w:rsidR="00440C6B" w:rsidRPr="00C82E9C" w:rsidRDefault="00440C6B" w:rsidP="00C82E9C">
      <w:pPr>
        <w:pStyle w:val="Bodytext20"/>
        <w:numPr>
          <w:ilvl w:val="0"/>
          <w:numId w:val="25"/>
        </w:numPr>
        <w:shd w:val="clear" w:color="auto" w:fill="auto"/>
        <w:tabs>
          <w:tab w:val="left" w:pos="348"/>
        </w:tabs>
        <w:spacing w:line="302" w:lineRule="exact"/>
        <w:ind w:hanging="400"/>
        <w:rPr>
          <w:rFonts w:cstheme="minorHAnsi"/>
        </w:rPr>
      </w:pPr>
      <w:r w:rsidRPr="00C82E9C">
        <w:rPr>
          <w:rFonts w:cstheme="minorHAnsi"/>
          <w:b/>
          <w:bCs/>
        </w:rPr>
        <w:t>Podnik je povinen</w:t>
      </w:r>
      <w:r w:rsidRPr="00C82E9C">
        <w:rPr>
          <w:rFonts w:cstheme="minorHAnsi"/>
        </w:rPr>
        <w:t>:</w:t>
      </w:r>
    </w:p>
    <w:p w14:paraId="79CD893C" w14:textId="76ECE5BE" w:rsidR="00440C6B" w:rsidRPr="00C82E9C" w:rsidRDefault="00440C6B" w:rsidP="00C82E9C">
      <w:pPr>
        <w:pStyle w:val="Bodytext20"/>
        <w:numPr>
          <w:ilvl w:val="0"/>
          <w:numId w:val="26"/>
        </w:numPr>
        <w:shd w:val="clear" w:color="auto" w:fill="auto"/>
        <w:tabs>
          <w:tab w:val="left" w:pos="1068"/>
        </w:tabs>
        <w:spacing w:line="302" w:lineRule="exact"/>
        <w:ind w:hanging="340"/>
        <w:rPr>
          <w:rFonts w:cstheme="minorHAnsi"/>
        </w:rPr>
      </w:pPr>
      <w:r w:rsidRPr="00C82E9C">
        <w:rPr>
          <w:rFonts w:cstheme="minorHAnsi"/>
        </w:rPr>
        <w:t xml:space="preserve">předložit Kraji nejpozději do </w:t>
      </w:r>
      <w:r w:rsidR="009E56A0" w:rsidRPr="009E56A0">
        <w:rPr>
          <w:rFonts w:cstheme="minorHAnsi"/>
          <w:b/>
          <w:bCs/>
        </w:rPr>
        <w:t>30. 6.</w:t>
      </w:r>
      <w:r w:rsidRPr="00C82E9C">
        <w:rPr>
          <w:rFonts w:cstheme="minorHAnsi"/>
        </w:rPr>
        <w:t xml:space="preserve"> následujícího roku na předepsaných formulářích podklady k</w:t>
      </w:r>
      <w:r w:rsidR="00894CCA">
        <w:rPr>
          <w:rFonts w:cstheme="minorHAnsi"/>
        </w:rPr>
        <w:t> </w:t>
      </w:r>
      <w:r w:rsidRPr="00C82E9C">
        <w:rPr>
          <w:rFonts w:cstheme="minorHAnsi"/>
        </w:rPr>
        <w:t>závěrečnému posouzení vyrovnávací platby za předchozí kalendářní rok. Podklady k závěrečnému posouzení vyrovnávací platby se považují za předložené Kraji dnem jeho předání k přepravě provozovateli poštovních služeb nebo podáním na podatelně krajského úřadu,</w:t>
      </w:r>
    </w:p>
    <w:p w14:paraId="13A94294" w14:textId="77777777" w:rsidR="0027103D" w:rsidRPr="00C82E9C" w:rsidRDefault="00440C6B" w:rsidP="00C82E9C">
      <w:pPr>
        <w:pStyle w:val="Bodytext20"/>
        <w:numPr>
          <w:ilvl w:val="0"/>
          <w:numId w:val="26"/>
        </w:numPr>
        <w:shd w:val="clear" w:color="auto" w:fill="auto"/>
        <w:tabs>
          <w:tab w:val="left" w:pos="1068"/>
        </w:tabs>
        <w:spacing w:line="302" w:lineRule="exact"/>
        <w:ind w:hanging="340"/>
        <w:rPr>
          <w:rFonts w:cstheme="minorHAnsi"/>
        </w:rPr>
      </w:pPr>
      <w:r w:rsidRPr="00C82E9C">
        <w:rPr>
          <w:rFonts w:cstheme="minorHAnsi"/>
        </w:rPr>
        <w:t>předložit Kraji na předepsaných formulářích podklady k závěrečnému posouzení vyrovnávací platby úplné a bezchybné, včetně čestného prohlášení osoby oprávněné</w:t>
      </w:r>
      <w:r w:rsidR="0027103D" w:rsidRPr="00C82E9C">
        <w:rPr>
          <w:rFonts w:cstheme="minorHAnsi"/>
        </w:rPr>
        <w:t xml:space="preserve"> jednat za příjemce o úplnosti, </w:t>
      </w:r>
      <w:r w:rsidR="0027103D" w:rsidRPr="00C82E9C">
        <w:rPr>
          <w:rFonts w:cstheme="minorHAnsi"/>
        </w:rPr>
        <w:lastRenderedPageBreak/>
        <w:t>správnosti a pravdivosti všech doložených podkladů k závěrečnému posouzení,</w:t>
      </w:r>
    </w:p>
    <w:p w14:paraId="5D16CEC3" w14:textId="7E897025" w:rsidR="00440C6B" w:rsidRPr="00C82E9C" w:rsidRDefault="0027103D" w:rsidP="00C82E9C">
      <w:pPr>
        <w:pStyle w:val="Bodytext20"/>
        <w:numPr>
          <w:ilvl w:val="0"/>
          <w:numId w:val="26"/>
        </w:numPr>
        <w:shd w:val="clear" w:color="auto" w:fill="auto"/>
        <w:tabs>
          <w:tab w:val="left" w:pos="1068"/>
        </w:tabs>
        <w:spacing w:line="302" w:lineRule="exact"/>
        <w:ind w:hanging="340"/>
        <w:rPr>
          <w:rFonts w:cstheme="minorHAnsi"/>
        </w:rPr>
      </w:pPr>
      <w:r w:rsidRPr="00C82E9C">
        <w:rPr>
          <w:rFonts w:cstheme="minorHAnsi"/>
        </w:rPr>
        <w:t>v případě nadměrné vyrovnávací platby uhradit částku vypočtené nadměrné vyrovnávací platby na účet Kraje do 30 kalendářních dnů ode dne předložení podkladů k závěrečnému posouzení vyrovnávací platby, nejpozději však do 30 kalendářních dnů od termínu stanoveného pro předložení podkladů pro závěrečné posouzení vyrovnávací platby dle písm. a) tohoto odstavce. Rozhodným okamžikem vrácení nadměrné vyrovnávací platby zpět na účet Kraje je den jejich odepsání z účtu příjemce,</w:t>
      </w:r>
    </w:p>
    <w:p w14:paraId="152DE2E5" w14:textId="77777777" w:rsidR="0027103D" w:rsidRPr="00C82E9C" w:rsidRDefault="0027103D" w:rsidP="00C82E9C">
      <w:pPr>
        <w:pStyle w:val="Bodytext20"/>
        <w:shd w:val="clear" w:color="auto" w:fill="auto"/>
        <w:spacing w:after="291" w:line="307" w:lineRule="exact"/>
        <w:ind w:firstLine="0"/>
        <w:rPr>
          <w:rFonts w:cstheme="minorHAnsi"/>
        </w:rPr>
      </w:pPr>
      <w:r w:rsidRPr="00C82E9C">
        <w:rPr>
          <w:rFonts w:cstheme="minorHAnsi"/>
        </w:rPr>
        <w:t>Pro účely vypořádání vyrovnávací platby budou příjemci zaslány předepsané formuláře e</w:t>
      </w:r>
      <w:r w:rsidRPr="00C82E9C">
        <w:rPr>
          <w:rFonts w:cstheme="minorHAnsi"/>
        </w:rPr>
        <w:noBreakHyphen/>
        <w:t>mailem na základě jeho písemného vyžádání.</w:t>
      </w:r>
    </w:p>
    <w:p w14:paraId="2C51E731" w14:textId="684CCCCB" w:rsidR="0027103D" w:rsidRPr="00C82E9C" w:rsidRDefault="0027103D" w:rsidP="00C82E9C">
      <w:pPr>
        <w:pStyle w:val="Odstavecseseznamem"/>
        <w:numPr>
          <w:ilvl w:val="0"/>
          <w:numId w:val="31"/>
        </w:numPr>
        <w:ind w:left="0"/>
        <w:contextualSpacing w:val="0"/>
        <w:jc w:val="both"/>
        <w:rPr>
          <w:rFonts w:cstheme="minorHAnsi"/>
        </w:rPr>
      </w:pPr>
      <w:r w:rsidRPr="00C82E9C">
        <w:rPr>
          <w:rStyle w:val="Heading20"/>
          <w:rFonts w:asciiTheme="minorHAnsi" w:eastAsiaTheme="minorHAnsi" w:hAnsiTheme="minorHAnsi" w:cstheme="minorHAnsi"/>
          <w:b w:val="0"/>
          <w:bCs w:val="0"/>
        </w:rPr>
        <w:t>Provozní část veřejné služby</w:t>
      </w:r>
    </w:p>
    <w:p w14:paraId="5D1F19B7" w14:textId="77777777" w:rsidR="0027103D" w:rsidRPr="00C82E9C" w:rsidRDefault="0027103D" w:rsidP="00C82E9C">
      <w:pPr>
        <w:pStyle w:val="Bodytext20"/>
        <w:numPr>
          <w:ilvl w:val="0"/>
          <w:numId w:val="27"/>
        </w:numPr>
        <w:shd w:val="clear" w:color="auto" w:fill="auto"/>
        <w:tabs>
          <w:tab w:val="left" w:pos="345"/>
        </w:tabs>
        <w:spacing w:line="307" w:lineRule="exact"/>
        <w:ind w:hanging="380"/>
        <w:rPr>
          <w:rFonts w:cstheme="minorHAnsi"/>
        </w:rPr>
      </w:pPr>
      <w:r w:rsidRPr="00C82E9C">
        <w:rPr>
          <w:rFonts w:cstheme="minorHAnsi"/>
        </w:rPr>
        <w:t>Kalkulačním podkladem je plánovaný Výkaz zisku a ztráty (VZZ) vztažený na plnění závazku veřejné služby.</w:t>
      </w:r>
    </w:p>
    <w:p w14:paraId="0D2A764C" w14:textId="77777777" w:rsidR="0027103D" w:rsidRPr="00C82E9C" w:rsidRDefault="0027103D" w:rsidP="00C82E9C">
      <w:pPr>
        <w:pStyle w:val="Bodytext20"/>
        <w:numPr>
          <w:ilvl w:val="0"/>
          <w:numId w:val="27"/>
        </w:numPr>
        <w:shd w:val="clear" w:color="auto" w:fill="auto"/>
        <w:tabs>
          <w:tab w:val="left" w:pos="345"/>
        </w:tabs>
        <w:spacing w:after="291" w:line="307" w:lineRule="exact"/>
        <w:ind w:hanging="380"/>
        <w:rPr>
          <w:rFonts w:cstheme="minorHAnsi"/>
        </w:rPr>
      </w:pPr>
      <w:r w:rsidRPr="00C82E9C">
        <w:rPr>
          <w:rFonts w:cstheme="minorHAnsi"/>
        </w:rPr>
        <w:t>Kalkulační vzorec a náplň položek pro výpočet vyrovnávací platby provozního charakteru:</w:t>
      </w:r>
    </w:p>
    <w:p w14:paraId="3108FBE8" w14:textId="77777777" w:rsidR="0027103D" w:rsidRPr="00C82E9C" w:rsidRDefault="0027103D" w:rsidP="00C82E9C">
      <w:pPr>
        <w:pStyle w:val="Bodytext40"/>
        <w:shd w:val="clear" w:color="auto" w:fill="auto"/>
        <w:spacing w:after="240"/>
        <w:ind w:firstLine="0"/>
        <w:rPr>
          <w:rFonts w:cstheme="minorHAnsi"/>
        </w:rPr>
      </w:pPr>
      <w:r w:rsidRPr="00C82E9C">
        <w:rPr>
          <w:rFonts w:cstheme="minorHAnsi"/>
        </w:rPr>
        <w:t>VPP = NČ - VČ</w:t>
      </w:r>
    </w:p>
    <w:p w14:paraId="40B4B2E5" w14:textId="77777777" w:rsidR="0027103D" w:rsidRPr="00C82E9C" w:rsidRDefault="0027103D" w:rsidP="00C82E9C">
      <w:pPr>
        <w:pStyle w:val="Bodytext20"/>
        <w:shd w:val="clear" w:color="auto" w:fill="auto"/>
        <w:spacing w:after="104" w:line="244" w:lineRule="exact"/>
        <w:ind w:firstLine="0"/>
        <w:rPr>
          <w:rFonts w:cstheme="minorHAnsi"/>
        </w:rPr>
      </w:pPr>
      <w:r w:rsidRPr="00C82E9C">
        <w:rPr>
          <w:rFonts w:cstheme="minorHAnsi"/>
        </w:rPr>
        <w:t>kde:</w:t>
      </w:r>
    </w:p>
    <w:p w14:paraId="6F3FDD32" w14:textId="77777777" w:rsidR="0027103D" w:rsidRPr="00C82E9C" w:rsidRDefault="0027103D" w:rsidP="00C82E9C">
      <w:pPr>
        <w:pStyle w:val="Bodytext20"/>
        <w:shd w:val="clear" w:color="auto" w:fill="auto"/>
        <w:tabs>
          <w:tab w:val="left" w:pos="1390"/>
        </w:tabs>
        <w:spacing w:line="264" w:lineRule="exact"/>
        <w:ind w:firstLine="0"/>
        <w:jc w:val="left"/>
        <w:rPr>
          <w:rFonts w:cstheme="minorHAnsi"/>
        </w:rPr>
      </w:pPr>
      <w:r w:rsidRPr="00C82E9C">
        <w:rPr>
          <w:rFonts w:cstheme="minorHAnsi"/>
        </w:rPr>
        <w:t xml:space="preserve">VPP maximální povolená vyrovnávací platba pro provozní část (nesmí přesáhnout stanovenou maximální VPP dle bodu 1 c) této přílohy) </w:t>
      </w:r>
    </w:p>
    <w:p w14:paraId="0015B77C" w14:textId="77777777" w:rsidR="0027103D" w:rsidRPr="00C82E9C" w:rsidRDefault="0027103D" w:rsidP="00C82E9C">
      <w:pPr>
        <w:pStyle w:val="Bodytext20"/>
        <w:shd w:val="clear" w:color="auto" w:fill="auto"/>
        <w:tabs>
          <w:tab w:val="left" w:pos="1390"/>
        </w:tabs>
        <w:spacing w:line="264" w:lineRule="exact"/>
        <w:ind w:firstLine="0"/>
        <w:jc w:val="left"/>
        <w:rPr>
          <w:rFonts w:cstheme="minorHAnsi"/>
        </w:rPr>
      </w:pPr>
      <w:r w:rsidRPr="00C82E9C">
        <w:rPr>
          <w:rFonts w:cstheme="minorHAnsi"/>
        </w:rPr>
        <w:t>NČ</w:t>
      </w:r>
      <w:r w:rsidRPr="00C82E9C">
        <w:rPr>
          <w:rFonts w:cstheme="minorHAnsi"/>
        </w:rPr>
        <w:tab/>
        <w:t>náklady z činností v rámci závazku veřejné služby</w:t>
      </w:r>
    </w:p>
    <w:p w14:paraId="5C2CCE50" w14:textId="77777777" w:rsidR="0027103D" w:rsidRPr="00C82E9C" w:rsidRDefault="0027103D" w:rsidP="00C82E9C">
      <w:pPr>
        <w:pStyle w:val="Bodytext20"/>
        <w:shd w:val="clear" w:color="auto" w:fill="auto"/>
        <w:tabs>
          <w:tab w:val="left" w:pos="1390"/>
        </w:tabs>
        <w:spacing w:after="240" w:line="264" w:lineRule="exact"/>
        <w:ind w:firstLine="0"/>
        <w:rPr>
          <w:rFonts w:cstheme="minorHAnsi"/>
        </w:rPr>
      </w:pPr>
      <w:r w:rsidRPr="00C82E9C">
        <w:rPr>
          <w:rFonts w:cstheme="minorHAnsi"/>
        </w:rPr>
        <w:t>VČ</w:t>
      </w:r>
      <w:r w:rsidRPr="00C82E9C">
        <w:rPr>
          <w:rFonts w:cstheme="minorHAnsi"/>
        </w:rPr>
        <w:tab/>
        <w:t>výnosy z činností v rámci závazku veřejné služby</w:t>
      </w:r>
    </w:p>
    <w:p w14:paraId="3DF3AABB" w14:textId="77777777" w:rsidR="0027103D" w:rsidRPr="00C82E9C" w:rsidRDefault="0027103D" w:rsidP="00C82E9C">
      <w:pPr>
        <w:pStyle w:val="Bodytext20"/>
        <w:shd w:val="clear" w:color="auto" w:fill="auto"/>
        <w:spacing w:line="264" w:lineRule="exact"/>
        <w:ind w:firstLine="0"/>
        <w:rPr>
          <w:rFonts w:cstheme="minorHAnsi"/>
        </w:rPr>
      </w:pPr>
      <w:r w:rsidRPr="00C82E9C">
        <w:rPr>
          <w:rFonts w:cstheme="minorHAnsi"/>
        </w:rPr>
        <w:t>Náplň výše uvedených položek:</w:t>
      </w:r>
    </w:p>
    <w:p w14:paraId="47E99CFA" w14:textId="77777777" w:rsidR="0027103D" w:rsidRPr="00C82E9C" w:rsidRDefault="0027103D" w:rsidP="00C82E9C">
      <w:pPr>
        <w:pStyle w:val="Bodytext20"/>
        <w:shd w:val="clear" w:color="auto" w:fill="auto"/>
        <w:spacing w:after="240" w:line="264" w:lineRule="exact"/>
        <w:ind w:firstLine="0"/>
        <w:rPr>
          <w:rFonts w:cstheme="minorHAnsi"/>
        </w:rPr>
      </w:pPr>
      <w:r w:rsidRPr="00C82E9C">
        <w:rPr>
          <w:rStyle w:val="Bodytext2Bold"/>
          <w:rFonts w:asciiTheme="minorHAnsi" w:eastAsiaTheme="minorHAnsi" w:hAnsiTheme="minorHAnsi" w:cstheme="minorHAnsi"/>
        </w:rPr>
        <w:t xml:space="preserve">Náklady z činností v rámci závazku veřejné služby. </w:t>
      </w:r>
      <w:r w:rsidRPr="00C82E9C">
        <w:rPr>
          <w:rFonts w:cstheme="minorHAnsi"/>
        </w:rPr>
        <w:t>Do nákladů činnosti jsou zahrnuty ty nákladové položky, které se vztahují k plnění závazku veřejné služby. Do výpočtu vyrovnávací platby lze zahrnovat pouze náklady vzniklé od okamžiku pověření. Náklady činnosti zahrnují zejména spotřebu materiálu, osobní náklady ad.</w:t>
      </w:r>
    </w:p>
    <w:p w14:paraId="683802E0" w14:textId="77777777" w:rsidR="0027103D" w:rsidRPr="00C82E9C" w:rsidRDefault="0027103D" w:rsidP="00C82E9C">
      <w:pPr>
        <w:pStyle w:val="Bodytext20"/>
        <w:shd w:val="clear" w:color="auto" w:fill="auto"/>
        <w:spacing w:after="209" w:line="264" w:lineRule="exact"/>
        <w:ind w:firstLine="0"/>
        <w:rPr>
          <w:rFonts w:cstheme="minorHAnsi"/>
        </w:rPr>
      </w:pPr>
      <w:r w:rsidRPr="00C82E9C">
        <w:rPr>
          <w:rStyle w:val="Bodytext2Bold"/>
          <w:rFonts w:asciiTheme="minorHAnsi" w:eastAsiaTheme="minorHAnsi" w:hAnsiTheme="minorHAnsi" w:cstheme="minorHAnsi"/>
        </w:rPr>
        <w:t xml:space="preserve">Výnosy z činností v rámci závazku veřejné služby </w:t>
      </w:r>
      <w:r w:rsidRPr="00C82E9C">
        <w:rPr>
          <w:rFonts w:cstheme="minorHAnsi"/>
        </w:rPr>
        <w:t xml:space="preserve">se rozumí veškeré výnosy z poskytování služeb v rámci závazku veřejné služby. </w:t>
      </w:r>
    </w:p>
    <w:p w14:paraId="47D34655" w14:textId="77777777" w:rsidR="0027103D" w:rsidRPr="00C82E9C" w:rsidRDefault="0027103D" w:rsidP="00C82E9C">
      <w:pPr>
        <w:pStyle w:val="Bodytext20"/>
        <w:numPr>
          <w:ilvl w:val="0"/>
          <w:numId w:val="27"/>
        </w:numPr>
        <w:shd w:val="clear" w:color="auto" w:fill="auto"/>
        <w:tabs>
          <w:tab w:val="left" w:pos="345"/>
        </w:tabs>
        <w:spacing w:line="302" w:lineRule="exact"/>
        <w:ind w:hanging="380"/>
        <w:rPr>
          <w:rFonts w:cstheme="minorHAnsi"/>
        </w:rPr>
      </w:pPr>
      <w:r w:rsidRPr="00C82E9C">
        <w:rPr>
          <w:rFonts w:cstheme="minorHAnsi"/>
        </w:rPr>
        <w:t>K vyúčtování vyrovnávací platby dochází na základě skutečného vyhodnocení hospodaření organizace dle VZZ za příslušný kalendářní rok.</w:t>
      </w:r>
    </w:p>
    <w:p w14:paraId="0F3E077E" w14:textId="5C0BBE84" w:rsidR="0027103D" w:rsidRPr="00C82E9C" w:rsidRDefault="0027103D" w:rsidP="00C82E9C">
      <w:pPr>
        <w:pStyle w:val="Bodytext20"/>
        <w:numPr>
          <w:ilvl w:val="0"/>
          <w:numId w:val="27"/>
        </w:numPr>
        <w:shd w:val="clear" w:color="auto" w:fill="auto"/>
        <w:tabs>
          <w:tab w:val="left" w:pos="345"/>
        </w:tabs>
        <w:spacing w:line="302" w:lineRule="exact"/>
        <w:ind w:hanging="380"/>
        <w:rPr>
          <w:rFonts w:cstheme="minorHAnsi"/>
        </w:rPr>
      </w:pPr>
      <w:r w:rsidRPr="00C82E9C">
        <w:rPr>
          <w:rFonts w:cstheme="minorHAnsi"/>
        </w:rPr>
        <w:t>Příslušné orgány kraje mohou stanovit účel, na který bude vyrovnávací platba provozního charakteru použita.</w:t>
      </w:r>
    </w:p>
    <w:p w14:paraId="4998B162" w14:textId="01D9D7DE" w:rsidR="0027103D" w:rsidRPr="00C82E9C" w:rsidRDefault="0027103D" w:rsidP="00C82E9C">
      <w:pPr>
        <w:rPr>
          <w:rFonts w:cstheme="minorHAnsi"/>
        </w:rPr>
      </w:pPr>
    </w:p>
    <w:p w14:paraId="709AC962" w14:textId="77777777" w:rsidR="0027103D" w:rsidRPr="00C82E9C" w:rsidRDefault="0027103D" w:rsidP="00C82E9C">
      <w:pPr>
        <w:pStyle w:val="Odstavecseseznamem"/>
        <w:numPr>
          <w:ilvl w:val="0"/>
          <w:numId w:val="31"/>
        </w:numPr>
        <w:ind w:left="0"/>
        <w:contextualSpacing w:val="0"/>
        <w:jc w:val="both"/>
        <w:rPr>
          <w:rFonts w:cstheme="minorHAnsi"/>
        </w:rPr>
      </w:pPr>
      <w:r w:rsidRPr="00C82E9C">
        <w:rPr>
          <w:rStyle w:val="Heading20"/>
          <w:rFonts w:asciiTheme="minorHAnsi" w:eastAsiaTheme="minorHAnsi" w:hAnsiTheme="minorHAnsi" w:cstheme="minorHAnsi"/>
          <w:b w:val="0"/>
          <w:bCs w:val="0"/>
        </w:rPr>
        <w:t>Investiční část veřejné služby</w:t>
      </w:r>
    </w:p>
    <w:p w14:paraId="7D2CAC7C" w14:textId="77777777" w:rsidR="0027103D" w:rsidRPr="00C82E9C" w:rsidRDefault="0027103D" w:rsidP="00C82E9C">
      <w:pPr>
        <w:pStyle w:val="Bodytext20"/>
        <w:numPr>
          <w:ilvl w:val="0"/>
          <w:numId w:val="28"/>
        </w:numPr>
        <w:shd w:val="clear" w:color="auto" w:fill="auto"/>
        <w:tabs>
          <w:tab w:val="left" w:pos="376"/>
        </w:tabs>
        <w:spacing w:line="302" w:lineRule="exact"/>
        <w:rPr>
          <w:rFonts w:cstheme="minorHAnsi"/>
        </w:rPr>
      </w:pPr>
      <w:r w:rsidRPr="00C82E9C">
        <w:rPr>
          <w:rFonts w:cstheme="minorHAnsi"/>
        </w:rPr>
        <w:t>Finanční podpora investičního charakteru vychází z potřebnosti investic na příslušný kalendářní rok.</w:t>
      </w:r>
    </w:p>
    <w:p w14:paraId="35E202DD" w14:textId="77777777" w:rsidR="0027103D" w:rsidRPr="00C82E9C" w:rsidRDefault="0027103D" w:rsidP="00C82E9C">
      <w:pPr>
        <w:pStyle w:val="Bodytext20"/>
        <w:numPr>
          <w:ilvl w:val="0"/>
          <w:numId w:val="28"/>
        </w:numPr>
        <w:shd w:val="clear" w:color="auto" w:fill="auto"/>
        <w:tabs>
          <w:tab w:val="left" w:pos="376"/>
        </w:tabs>
        <w:spacing w:line="302" w:lineRule="exact"/>
        <w:rPr>
          <w:rFonts w:cstheme="minorHAnsi"/>
        </w:rPr>
      </w:pPr>
      <w:r w:rsidRPr="00C82E9C">
        <w:rPr>
          <w:rFonts w:cstheme="minorHAnsi"/>
        </w:rPr>
        <w:t>Při stanovení oprávněné podpory investičního charakteru musí být oddělen případný komerční podíl na investici. V případě účelu investice mimo rozsah závazku veřejné služby nárok na podporu nenáleží, tato investice musí být kryta výhradně vlastními či soukromými zdroji.</w:t>
      </w:r>
    </w:p>
    <w:p w14:paraId="3A94AED4" w14:textId="77777777" w:rsidR="0027103D" w:rsidRPr="00C82E9C" w:rsidRDefault="0027103D" w:rsidP="00C82E9C">
      <w:pPr>
        <w:pStyle w:val="Bodytext20"/>
        <w:numPr>
          <w:ilvl w:val="0"/>
          <w:numId w:val="28"/>
        </w:numPr>
        <w:shd w:val="clear" w:color="auto" w:fill="auto"/>
        <w:tabs>
          <w:tab w:val="left" w:pos="376"/>
        </w:tabs>
        <w:spacing w:line="302" w:lineRule="exact"/>
        <w:rPr>
          <w:rFonts w:cstheme="minorHAnsi"/>
        </w:rPr>
      </w:pPr>
      <w:r w:rsidRPr="00C82E9C">
        <w:rPr>
          <w:rFonts w:cstheme="minorHAnsi"/>
        </w:rPr>
        <w:t>Náklady spojené s investicemi mohou být zohledněny, pokud jsou nezbytné pro provozování veřejné služby.</w:t>
      </w:r>
    </w:p>
    <w:p w14:paraId="7503CCFC" w14:textId="77777777" w:rsidR="0027103D" w:rsidRPr="00C82E9C" w:rsidRDefault="0027103D" w:rsidP="00C82E9C">
      <w:pPr>
        <w:pStyle w:val="Bodytext20"/>
        <w:numPr>
          <w:ilvl w:val="0"/>
          <w:numId w:val="28"/>
        </w:numPr>
        <w:shd w:val="clear" w:color="auto" w:fill="auto"/>
        <w:tabs>
          <w:tab w:val="left" w:pos="376"/>
        </w:tabs>
        <w:spacing w:line="302" w:lineRule="exact"/>
        <w:rPr>
          <w:rFonts w:cstheme="minorHAnsi"/>
        </w:rPr>
      </w:pPr>
      <w:r w:rsidRPr="00C82E9C">
        <w:rPr>
          <w:rFonts w:cstheme="minorHAnsi"/>
        </w:rPr>
        <w:t>Každá investice se sleduje samostatně a vyhodnocuje se za celou dobu, po kterou jsou vynakládány prostředky na pořízení této investice. Posouzení vyrovnávací platby na úhradu nákladů spojených s investicemi v daném roce je potom souhrnem veřejných zdrojů jednotlivých investičních akcí realizovaných v daném roce.</w:t>
      </w:r>
    </w:p>
    <w:p w14:paraId="2DDBD4D0" w14:textId="77777777" w:rsidR="0027103D" w:rsidRPr="00C82E9C" w:rsidRDefault="0027103D" w:rsidP="00C82E9C">
      <w:pPr>
        <w:pStyle w:val="Bodytext20"/>
        <w:numPr>
          <w:ilvl w:val="0"/>
          <w:numId w:val="28"/>
        </w:numPr>
        <w:shd w:val="clear" w:color="auto" w:fill="auto"/>
        <w:tabs>
          <w:tab w:val="left" w:pos="376"/>
        </w:tabs>
        <w:spacing w:line="302" w:lineRule="exact"/>
        <w:rPr>
          <w:rFonts w:cstheme="minorHAnsi"/>
        </w:rPr>
      </w:pPr>
      <w:r w:rsidRPr="00C82E9C">
        <w:rPr>
          <w:rFonts w:cstheme="minorHAnsi"/>
        </w:rPr>
        <w:lastRenderedPageBreak/>
        <w:t>Posouzení vyrovnávací platby za investiční část je prováděno dle vzorce:</w:t>
      </w:r>
    </w:p>
    <w:p w14:paraId="657FED60" w14:textId="77777777" w:rsidR="0027103D" w:rsidRPr="00C82E9C" w:rsidRDefault="0027103D" w:rsidP="00C82E9C">
      <w:pPr>
        <w:spacing w:before="120" w:after="240"/>
        <w:jc w:val="both"/>
        <w:rPr>
          <w:rFonts w:cstheme="minorHAnsi"/>
        </w:rPr>
      </w:pPr>
      <w:r w:rsidRPr="00C82E9C">
        <w:rPr>
          <w:rFonts w:cstheme="minorHAnsi"/>
        </w:rPr>
        <w:t>VPI = IV - INV - VK +/- RP</w:t>
      </w:r>
    </w:p>
    <w:p w14:paraId="7A4746A2" w14:textId="6F9921AA" w:rsidR="0027103D" w:rsidRPr="00C82E9C" w:rsidRDefault="0027103D" w:rsidP="00C82E9C">
      <w:pPr>
        <w:spacing w:before="120" w:after="240"/>
        <w:jc w:val="both"/>
        <w:rPr>
          <w:rFonts w:cstheme="minorHAnsi"/>
        </w:rPr>
      </w:pPr>
      <w:r w:rsidRPr="00C82E9C">
        <w:rPr>
          <w:rFonts w:cstheme="minorHAnsi"/>
        </w:rPr>
        <w:t xml:space="preserve">kde VPI - je maximální povolená vyrovnávací platba na úhradu nákladů spojených s danou investiční akcí v daném roce. Výsledek rovnice </w:t>
      </w:r>
      <w:r w:rsidRPr="00C82E9C">
        <w:rPr>
          <w:rFonts w:cstheme="minorHAnsi"/>
          <w:b/>
          <w:bCs/>
        </w:rPr>
        <w:t>musí být nulový, či kladný</w:t>
      </w:r>
      <w:r w:rsidRPr="00C82E9C">
        <w:rPr>
          <w:rFonts w:cstheme="minorHAnsi"/>
        </w:rPr>
        <w:t xml:space="preserve">. Záporný výsledek VPI indikuje vznik nadměrné vyrovnávací platby za investiční část. </w:t>
      </w:r>
    </w:p>
    <w:p w14:paraId="1B6DB6DB" w14:textId="77777777" w:rsidR="0027103D" w:rsidRPr="00C82E9C" w:rsidRDefault="0027103D" w:rsidP="00C82E9C">
      <w:pPr>
        <w:spacing w:before="120" w:after="240"/>
        <w:jc w:val="both"/>
        <w:rPr>
          <w:rFonts w:cstheme="minorHAnsi"/>
        </w:rPr>
      </w:pPr>
      <w:r w:rsidRPr="00C82E9C">
        <w:rPr>
          <w:rFonts w:cstheme="minorHAnsi"/>
        </w:rPr>
        <w:t xml:space="preserve">IV - je výše investičních výdajů na akci v daném roce, nejvýše však obvyklá aktuální cena věci zařízení, přístroje, stavby nebo stavebních a jiných prací na trhu (dle plánu investic) </w:t>
      </w:r>
    </w:p>
    <w:p w14:paraId="5B0CA8BA" w14:textId="77777777" w:rsidR="0027103D" w:rsidRPr="00C82E9C" w:rsidRDefault="0027103D" w:rsidP="00C82E9C">
      <w:pPr>
        <w:spacing w:before="120" w:after="240"/>
        <w:jc w:val="both"/>
        <w:rPr>
          <w:rFonts w:cstheme="minorHAnsi"/>
        </w:rPr>
      </w:pPr>
      <w:r w:rsidRPr="00C82E9C">
        <w:rPr>
          <w:rFonts w:cstheme="minorHAnsi"/>
        </w:rPr>
        <w:t>INV - je Ostatní veřejná podpora přijatá v aktuálním roce (ISPROFIN, fondy EU) k dané investiční akci. Pokud je ostatní veřejná podpora přijímána až po ukončení akce zohlední se v plánované výši.</w:t>
      </w:r>
    </w:p>
    <w:p w14:paraId="0FB1D81E" w14:textId="77777777" w:rsidR="0027103D" w:rsidRPr="00C82E9C" w:rsidRDefault="0027103D" w:rsidP="00C82E9C">
      <w:pPr>
        <w:spacing w:before="120" w:after="240"/>
        <w:jc w:val="both"/>
        <w:rPr>
          <w:rFonts w:cstheme="minorHAnsi"/>
        </w:rPr>
      </w:pPr>
      <w:r w:rsidRPr="00C82E9C">
        <w:rPr>
          <w:rFonts w:cstheme="minorHAnsi"/>
        </w:rPr>
        <w:t>VK - jsou prostředky vlastního kapitálu a to v rozsahu, ve kterém jsou v daném roce určeny ke krytí nákladů spojených s investicemi, mimo investic uvedených v bodě b).</w:t>
      </w:r>
    </w:p>
    <w:p w14:paraId="34BCA3A2" w14:textId="77777777" w:rsidR="0027103D" w:rsidRPr="00C82E9C" w:rsidRDefault="0027103D" w:rsidP="00C82E9C">
      <w:pPr>
        <w:spacing w:before="120" w:after="240"/>
        <w:jc w:val="both"/>
        <w:rPr>
          <w:rFonts w:cstheme="minorHAnsi"/>
        </w:rPr>
      </w:pPr>
      <w:r w:rsidRPr="00C82E9C">
        <w:rPr>
          <w:rFonts w:cstheme="minorHAnsi"/>
        </w:rPr>
        <w:t>RP</w:t>
      </w:r>
      <w:r w:rsidRPr="00C82E9C">
        <w:rPr>
          <w:rFonts w:cstheme="minorHAnsi"/>
          <w:vertAlign w:val="subscript"/>
        </w:rPr>
        <w:t xml:space="preserve"> </w:t>
      </w:r>
      <w:r w:rsidRPr="00C82E9C">
        <w:rPr>
          <w:rFonts w:cstheme="minorHAnsi"/>
        </w:rPr>
        <w:t xml:space="preserve">- je meziroční převod.  Jedná se o převod přijatých prostředků veřejné podpory do dalšího roku, ve kterém má dojít k jejich vynaložení v souvislosti s investiční akcí (znaménko +), nebo naopak krytí výdajů na investiční akci z převodů prostředků z předchozích let (znaménko -). Celkový úhrn těchto převodů za všechny roky realizace investiční akce k datu jejího ukončení </w:t>
      </w:r>
      <w:r w:rsidRPr="00C82E9C">
        <w:rPr>
          <w:rFonts w:cstheme="minorHAnsi"/>
          <w:b/>
          <w:bCs/>
        </w:rPr>
        <w:t>musí být nulový</w:t>
      </w:r>
      <w:r w:rsidRPr="00C82E9C">
        <w:rPr>
          <w:rFonts w:cstheme="minorHAnsi"/>
        </w:rPr>
        <w:t>. Poskytovatel veřejné služby za tímto účelem povede příslušnou analytickou evidenci v účetnictví.</w:t>
      </w:r>
    </w:p>
    <w:p w14:paraId="177854A3" w14:textId="77777777" w:rsidR="00A37836" w:rsidRDefault="0027103D" w:rsidP="00F237B5">
      <w:pPr>
        <w:pStyle w:val="Bodytext20"/>
        <w:shd w:val="clear" w:color="auto" w:fill="auto"/>
        <w:tabs>
          <w:tab w:val="left" w:pos="376"/>
        </w:tabs>
        <w:spacing w:line="302" w:lineRule="exact"/>
        <w:ind w:firstLine="0"/>
        <w:rPr>
          <w:rFonts w:cstheme="minorHAnsi"/>
        </w:rPr>
      </w:pPr>
      <w:r w:rsidRPr="00A37836">
        <w:rPr>
          <w:rFonts w:cstheme="minorHAnsi"/>
        </w:rPr>
        <w:t>Příslušné orgány kraje mohou stanovit účel, na který bude vyrovnávací platba investičního charakteru použita.</w:t>
      </w:r>
    </w:p>
    <w:p w14:paraId="05978389" w14:textId="77777777" w:rsidR="00F237B5" w:rsidRDefault="00F237B5" w:rsidP="00F237B5">
      <w:pPr>
        <w:pStyle w:val="Bodytext20"/>
        <w:shd w:val="clear" w:color="auto" w:fill="auto"/>
        <w:tabs>
          <w:tab w:val="left" w:pos="376"/>
        </w:tabs>
        <w:spacing w:line="302" w:lineRule="exact"/>
        <w:ind w:firstLine="0"/>
        <w:rPr>
          <w:rFonts w:cstheme="minorHAnsi"/>
        </w:rPr>
      </w:pPr>
    </w:p>
    <w:p w14:paraId="4DE00194" w14:textId="492E058B" w:rsidR="0027103D" w:rsidRPr="00A37836" w:rsidRDefault="0027103D" w:rsidP="00240F06">
      <w:pPr>
        <w:pStyle w:val="Bodytext20"/>
        <w:numPr>
          <w:ilvl w:val="0"/>
          <w:numId w:val="31"/>
        </w:numPr>
        <w:shd w:val="clear" w:color="auto" w:fill="auto"/>
        <w:tabs>
          <w:tab w:val="left" w:pos="376"/>
        </w:tabs>
        <w:spacing w:line="302" w:lineRule="exact"/>
        <w:ind w:left="0"/>
        <w:rPr>
          <w:rFonts w:cstheme="minorHAnsi"/>
        </w:rPr>
      </w:pPr>
      <w:r w:rsidRPr="00A37836">
        <w:rPr>
          <w:rStyle w:val="Heading20"/>
          <w:rFonts w:asciiTheme="minorHAnsi" w:eastAsiaTheme="minorHAnsi" w:hAnsiTheme="minorHAnsi" w:cstheme="minorHAnsi"/>
          <w:b w:val="0"/>
          <w:bCs w:val="0"/>
        </w:rPr>
        <w:t>Nefinanční podpora</w:t>
      </w:r>
    </w:p>
    <w:p w14:paraId="25A96BBA" w14:textId="77777777" w:rsidR="0027103D" w:rsidRPr="00C82E9C" w:rsidRDefault="0027103D" w:rsidP="00C82E9C">
      <w:pPr>
        <w:pStyle w:val="Bodytext20"/>
        <w:numPr>
          <w:ilvl w:val="0"/>
          <w:numId w:val="29"/>
        </w:numPr>
        <w:shd w:val="clear" w:color="auto" w:fill="auto"/>
        <w:spacing w:after="200" w:line="302" w:lineRule="exact"/>
        <w:rPr>
          <w:rFonts w:cstheme="minorHAnsi"/>
        </w:rPr>
      </w:pPr>
      <w:r w:rsidRPr="00C82E9C">
        <w:rPr>
          <w:rFonts w:cstheme="minorHAnsi"/>
        </w:rPr>
        <w:t>V rámci vyrovnávací platby musí být posouzeny i poskytnuté podpory z veřejných zdrojů nefinanční povahy. Jedná se např. o:</w:t>
      </w:r>
    </w:p>
    <w:p w14:paraId="6F9673B1" w14:textId="77777777" w:rsidR="0027103D" w:rsidRPr="00C82E9C" w:rsidRDefault="0027103D" w:rsidP="00C82E9C">
      <w:pPr>
        <w:pStyle w:val="Bodytext20"/>
        <w:numPr>
          <w:ilvl w:val="0"/>
          <w:numId w:val="30"/>
        </w:numPr>
        <w:shd w:val="clear" w:color="auto" w:fill="auto"/>
        <w:tabs>
          <w:tab w:val="left" w:pos="766"/>
        </w:tabs>
        <w:spacing w:line="302" w:lineRule="exact"/>
        <w:ind w:hanging="320"/>
        <w:rPr>
          <w:rFonts w:cstheme="minorHAnsi"/>
        </w:rPr>
      </w:pPr>
      <w:r w:rsidRPr="00C82E9C">
        <w:rPr>
          <w:rFonts w:cstheme="minorHAnsi"/>
        </w:rPr>
        <w:t>Pronájem nemovitosti za symbolický příspěvek (výhoda pro poskytovatele veřejné služby ve formě nájmu za nižší cenu, než jaká je v tržních podmínkách) či umožnění bezplatného využití,</w:t>
      </w:r>
    </w:p>
    <w:p w14:paraId="79E1452F" w14:textId="77777777" w:rsidR="0027103D" w:rsidRPr="00C82E9C" w:rsidRDefault="0027103D" w:rsidP="00C82E9C">
      <w:pPr>
        <w:pStyle w:val="Bodytext20"/>
        <w:numPr>
          <w:ilvl w:val="0"/>
          <w:numId w:val="30"/>
        </w:numPr>
        <w:shd w:val="clear" w:color="auto" w:fill="auto"/>
        <w:tabs>
          <w:tab w:val="left" w:pos="766"/>
        </w:tabs>
        <w:spacing w:line="302" w:lineRule="exact"/>
        <w:ind w:hanging="320"/>
        <w:rPr>
          <w:rFonts w:cstheme="minorHAnsi"/>
        </w:rPr>
      </w:pPr>
      <w:r w:rsidRPr="00C82E9C">
        <w:rPr>
          <w:rFonts w:cstheme="minorHAnsi"/>
        </w:rPr>
        <w:t>Pronájem movité věci za symbolický příspěvek, či umožnění bezplatného využití (např. automobilu),</w:t>
      </w:r>
    </w:p>
    <w:p w14:paraId="52280DE4" w14:textId="77777777" w:rsidR="0027103D" w:rsidRPr="00C82E9C" w:rsidRDefault="0027103D" w:rsidP="00C82E9C">
      <w:pPr>
        <w:pStyle w:val="Bodytext20"/>
        <w:numPr>
          <w:ilvl w:val="0"/>
          <w:numId w:val="30"/>
        </w:numPr>
        <w:shd w:val="clear" w:color="auto" w:fill="auto"/>
        <w:tabs>
          <w:tab w:val="left" w:pos="766"/>
        </w:tabs>
        <w:spacing w:line="244" w:lineRule="exact"/>
        <w:ind w:hanging="320"/>
        <w:rPr>
          <w:rFonts w:cstheme="minorHAnsi"/>
        </w:rPr>
      </w:pPr>
      <w:r w:rsidRPr="00C82E9C">
        <w:rPr>
          <w:rFonts w:cstheme="minorHAnsi"/>
        </w:rPr>
        <w:t>Bezplatné školení či školení za symbolickou částku,</w:t>
      </w:r>
    </w:p>
    <w:p w14:paraId="65A9BA5E" w14:textId="77777777" w:rsidR="0027103D" w:rsidRPr="00C82E9C" w:rsidRDefault="0027103D" w:rsidP="00C82E9C">
      <w:pPr>
        <w:pStyle w:val="Bodytext20"/>
        <w:numPr>
          <w:ilvl w:val="0"/>
          <w:numId w:val="30"/>
        </w:numPr>
        <w:shd w:val="clear" w:color="auto" w:fill="auto"/>
        <w:tabs>
          <w:tab w:val="left" w:pos="766"/>
        </w:tabs>
        <w:spacing w:line="317" w:lineRule="exact"/>
        <w:ind w:hanging="320"/>
        <w:rPr>
          <w:rFonts w:cstheme="minorHAnsi"/>
        </w:rPr>
      </w:pPr>
      <w:r w:rsidRPr="00C82E9C">
        <w:rPr>
          <w:rFonts w:cstheme="minorHAnsi"/>
        </w:rPr>
        <w:t>Bezúročné návratné finanční výpomoci (půjčky),</w:t>
      </w:r>
    </w:p>
    <w:p w14:paraId="3B5FA07C" w14:textId="77777777" w:rsidR="0027103D" w:rsidRPr="00C82E9C" w:rsidRDefault="0027103D" w:rsidP="00C82E9C">
      <w:pPr>
        <w:pStyle w:val="Bodytext20"/>
        <w:numPr>
          <w:ilvl w:val="0"/>
          <w:numId w:val="30"/>
        </w:numPr>
        <w:shd w:val="clear" w:color="auto" w:fill="auto"/>
        <w:tabs>
          <w:tab w:val="left" w:pos="766"/>
        </w:tabs>
        <w:spacing w:line="317" w:lineRule="exact"/>
        <w:ind w:hanging="320"/>
        <w:rPr>
          <w:rFonts w:cstheme="minorHAnsi"/>
        </w:rPr>
      </w:pPr>
      <w:r w:rsidRPr="00C82E9C">
        <w:rPr>
          <w:rFonts w:cstheme="minorHAnsi"/>
        </w:rPr>
        <w:t>Darování movité či nemovité věci,</w:t>
      </w:r>
    </w:p>
    <w:p w14:paraId="5E9C83F2" w14:textId="77777777" w:rsidR="0027103D" w:rsidRPr="00C82E9C" w:rsidRDefault="0027103D" w:rsidP="00C82E9C">
      <w:pPr>
        <w:pStyle w:val="Bodytext20"/>
        <w:numPr>
          <w:ilvl w:val="0"/>
          <w:numId w:val="30"/>
        </w:numPr>
        <w:shd w:val="clear" w:color="auto" w:fill="auto"/>
        <w:tabs>
          <w:tab w:val="left" w:pos="766"/>
        </w:tabs>
        <w:spacing w:line="307" w:lineRule="exact"/>
        <w:ind w:hanging="320"/>
        <w:rPr>
          <w:rFonts w:cstheme="minorHAnsi"/>
        </w:rPr>
      </w:pPr>
      <w:r w:rsidRPr="00C82E9C">
        <w:rPr>
          <w:rFonts w:cstheme="minorHAnsi"/>
        </w:rPr>
        <w:t>Úhrada služeb za poskytovatele zdravotní služby (např. za energie, nájem),</w:t>
      </w:r>
    </w:p>
    <w:p w14:paraId="357EBF05" w14:textId="77777777" w:rsidR="0027103D" w:rsidRPr="00C82E9C" w:rsidRDefault="0027103D" w:rsidP="00C82E9C">
      <w:pPr>
        <w:pStyle w:val="Bodytext20"/>
        <w:numPr>
          <w:ilvl w:val="0"/>
          <w:numId w:val="30"/>
        </w:numPr>
        <w:shd w:val="clear" w:color="auto" w:fill="auto"/>
        <w:tabs>
          <w:tab w:val="left" w:pos="766"/>
        </w:tabs>
        <w:spacing w:after="204" w:line="307" w:lineRule="exact"/>
        <w:ind w:hanging="320"/>
        <w:rPr>
          <w:rFonts w:cstheme="minorHAnsi"/>
        </w:rPr>
      </w:pPr>
      <w:r w:rsidRPr="00C82E9C">
        <w:rPr>
          <w:rFonts w:cstheme="minorHAnsi"/>
        </w:rPr>
        <w:t>Jiné zvýhodnění, zvláštní či výlučná práva přiznaná poskytovateli veřejné služby dle Rozhodnutí.</w:t>
      </w:r>
    </w:p>
    <w:p w14:paraId="5A72F011" w14:textId="77777777" w:rsidR="0027103D" w:rsidRPr="00C82E9C" w:rsidRDefault="0027103D" w:rsidP="00C82E9C">
      <w:pPr>
        <w:pStyle w:val="Bodytext20"/>
        <w:numPr>
          <w:ilvl w:val="0"/>
          <w:numId w:val="29"/>
        </w:numPr>
        <w:shd w:val="clear" w:color="auto" w:fill="auto"/>
        <w:tabs>
          <w:tab w:val="left" w:pos="376"/>
        </w:tabs>
        <w:spacing w:after="200" w:line="302" w:lineRule="exact"/>
        <w:rPr>
          <w:rFonts w:cstheme="minorHAnsi"/>
        </w:rPr>
      </w:pPr>
      <w:r w:rsidRPr="00C82E9C">
        <w:rPr>
          <w:rFonts w:cstheme="minorHAnsi"/>
        </w:rPr>
        <w:t>Do režimu vyrovnávací platby musí být tato nefinanční podpora zařazena, a to ve výši, která odpovídá rozdílu mezi objemem finančních prostředků, který by poskytovatel musel vynaložit za získání předmětné služby (materiálu, nemovitosti atp.) za tržních podmínek v místě a čase obvyklých a objemem finančních prostředků, které vynaložil při poskytované veřejné podpoře (např. symbolická částka, zvýhodněná částka, nebo zcela bezplatně).</w:t>
      </w:r>
    </w:p>
    <w:p w14:paraId="458EDC50" w14:textId="77777777" w:rsidR="00971CBE" w:rsidRPr="00C82E9C" w:rsidRDefault="0027103D" w:rsidP="00C82E9C">
      <w:pPr>
        <w:pStyle w:val="Bodytext20"/>
        <w:numPr>
          <w:ilvl w:val="0"/>
          <w:numId w:val="29"/>
        </w:numPr>
        <w:shd w:val="clear" w:color="auto" w:fill="auto"/>
        <w:tabs>
          <w:tab w:val="left" w:pos="376"/>
        </w:tabs>
        <w:spacing w:after="200" w:line="302" w:lineRule="exact"/>
        <w:rPr>
          <w:rFonts w:cstheme="minorHAnsi"/>
        </w:rPr>
      </w:pPr>
      <w:r w:rsidRPr="00C82E9C">
        <w:rPr>
          <w:rFonts w:cstheme="minorHAnsi"/>
        </w:rPr>
        <w:t>Tato nefinanční podpora je považována za oprávněnou, je-li plně využita pro provozování služeb vymezených v pověření. Nesmí být zároveň využita i jiné aktivity poskytovatele (např. nelze považovat za oprávněnou podporu, pokud v části darované nemovitosti je poskytována či využívána ke školení jiných osob, jako konferenční prostory, k provozování jiných aktivit než služby vymezené v pověření).</w:t>
      </w:r>
      <w:r w:rsidR="00971CBE" w:rsidRPr="00C82E9C">
        <w:rPr>
          <w:rFonts w:cstheme="minorHAnsi"/>
        </w:rPr>
        <w:t xml:space="preserve"> </w:t>
      </w:r>
    </w:p>
    <w:p w14:paraId="0670A06F" w14:textId="14A6C30E" w:rsidR="0027103D" w:rsidRPr="00C82E9C" w:rsidRDefault="00971CBE" w:rsidP="00C82E9C">
      <w:pPr>
        <w:pStyle w:val="Bodytext20"/>
        <w:numPr>
          <w:ilvl w:val="0"/>
          <w:numId w:val="29"/>
        </w:numPr>
        <w:shd w:val="clear" w:color="auto" w:fill="auto"/>
        <w:tabs>
          <w:tab w:val="left" w:pos="376"/>
        </w:tabs>
        <w:spacing w:after="200" w:line="302" w:lineRule="exact"/>
        <w:rPr>
          <w:rFonts w:cstheme="minorHAnsi"/>
        </w:rPr>
      </w:pPr>
      <w:r w:rsidRPr="00C82E9C">
        <w:rPr>
          <w:rFonts w:cstheme="minorHAnsi"/>
        </w:rPr>
        <w:lastRenderedPageBreak/>
        <w:t xml:space="preserve">Oprávněná nefinanční podpora musí být připojena k výpočtu vyrovnávací platby a vykazována při posouzení vyrovnávací platby. Jedná-li se o nefinanční podporu </w:t>
      </w:r>
      <w:r w:rsidRPr="00C82E9C">
        <w:rPr>
          <w:rStyle w:val="Bodytext2Bold"/>
          <w:rFonts w:asciiTheme="minorHAnsi" w:eastAsiaTheme="minorHAnsi" w:hAnsiTheme="minorHAnsi" w:cstheme="minorHAnsi"/>
        </w:rPr>
        <w:t xml:space="preserve">investiční povahy, </w:t>
      </w:r>
      <w:r w:rsidRPr="00C82E9C">
        <w:rPr>
          <w:rFonts w:cstheme="minorHAnsi"/>
        </w:rPr>
        <w:t xml:space="preserve">bude posuzována její oprávněnost obdobně jako u investičních nákladů služby dle bodu 3 této přílohy. Jedná-li se o nefinanční podporu </w:t>
      </w:r>
      <w:r w:rsidRPr="00C82E9C">
        <w:rPr>
          <w:rStyle w:val="Bodytext2Bold"/>
          <w:rFonts w:asciiTheme="minorHAnsi" w:eastAsiaTheme="minorHAnsi" w:hAnsiTheme="minorHAnsi" w:cstheme="minorHAnsi"/>
        </w:rPr>
        <w:t xml:space="preserve">provozní povahy, </w:t>
      </w:r>
      <w:r w:rsidRPr="00C82E9C">
        <w:rPr>
          <w:rFonts w:cstheme="minorHAnsi"/>
        </w:rPr>
        <w:t>bude posuzována její oprávněnost obdobně jako u provozních nákladů služby dle bodu 2.</w:t>
      </w:r>
      <w:bookmarkEnd w:id="0"/>
    </w:p>
    <w:sectPr w:rsidR="0027103D" w:rsidRPr="00C82E9C" w:rsidSect="00C82E9C">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6C9292" w14:textId="77777777" w:rsidR="00AC1AD9" w:rsidRDefault="00AC1AD9" w:rsidP="006D23D7">
      <w:pPr>
        <w:spacing w:after="0" w:line="240" w:lineRule="auto"/>
      </w:pPr>
      <w:r>
        <w:separator/>
      </w:r>
    </w:p>
  </w:endnote>
  <w:endnote w:type="continuationSeparator" w:id="0">
    <w:p w14:paraId="6DA91F69" w14:textId="77777777" w:rsidR="00AC1AD9" w:rsidRDefault="00AC1AD9" w:rsidP="006D23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7D857" w14:textId="79D5D108" w:rsidR="001B3D2B" w:rsidRDefault="001B3D2B">
    <w:pPr>
      <w:pStyle w:val="Zpat"/>
      <w:jc w:val="right"/>
    </w:pPr>
  </w:p>
  <w:p w14:paraId="7C981ADF" w14:textId="77777777" w:rsidR="004540D6" w:rsidRDefault="004540D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4E266E" w14:textId="77777777" w:rsidR="00AC1AD9" w:rsidRDefault="00AC1AD9" w:rsidP="006D23D7">
      <w:pPr>
        <w:spacing w:after="0" w:line="240" w:lineRule="auto"/>
      </w:pPr>
      <w:r>
        <w:separator/>
      </w:r>
    </w:p>
  </w:footnote>
  <w:footnote w:type="continuationSeparator" w:id="0">
    <w:p w14:paraId="0084D985" w14:textId="77777777" w:rsidR="00AC1AD9" w:rsidRDefault="00AC1AD9" w:rsidP="006D23D7">
      <w:pPr>
        <w:spacing w:after="0" w:line="240" w:lineRule="auto"/>
      </w:pPr>
      <w:r>
        <w:continuationSeparator/>
      </w:r>
    </w:p>
  </w:footnote>
  <w:footnote w:id="1">
    <w:p w14:paraId="2F771581" w14:textId="77777777" w:rsidR="007E4C8E" w:rsidRPr="008E08CB" w:rsidRDefault="007E4C8E" w:rsidP="007E4C8E">
      <w:pPr>
        <w:pStyle w:val="Textpoznpodarou"/>
        <w:rPr>
          <w:sz w:val="18"/>
          <w:szCs w:val="18"/>
        </w:rPr>
      </w:pPr>
      <w:r w:rsidRPr="008E08CB">
        <w:rPr>
          <w:rStyle w:val="Znakapoznpodarou"/>
          <w:sz w:val="18"/>
          <w:szCs w:val="18"/>
        </w:rPr>
        <w:footnoteRef/>
      </w:r>
      <w:r w:rsidRPr="008E08CB">
        <w:rPr>
          <w:sz w:val="18"/>
          <w:szCs w:val="18"/>
        </w:rPr>
        <w:t xml:space="preserve"> Pověřovatel doplní na základě podkladů od podniku.</w:t>
      </w:r>
    </w:p>
  </w:footnote>
  <w:footnote w:id="2">
    <w:p w14:paraId="7BEED8E0" w14:textId="77777777" w:rsidR="0034757E" w:rsidRPr="008E08CB" w:rsidRDefault="0034757E" w:rsidP="0034757E">
      <w:pPr>
        <w:pStyle w:val="Textpoznpodarou"/>
        <w:rPr>
          <w:sz w:val="18"/>
          <w:szCs w:val="18"/>
        </w:rPr>
      </w:pPr>
      <w:r w:rsidRPr="008E08CB">
        <w:rPr>
          <w:rStyle w:val="Znakapoznpodarou"/>
          <w:sz w:val="18"/>
          <w:szCs w:val="18"/>
        </w:rPr>
        <w:footnoteRef/>
      </w:r>
      <w:r w:rsidRPr="008E08CB">
        <w:rPr>
          <w:sz w:val="18"/>
          <w:szCs w:val="18"/>
        </w:rPr>
        <w:t xml:space="preserve"> </w:t>
      </w:r>
      <w:r>
        <w:rPr>
          <w:sz w:val="18"/>
          <w:szCs w:val="18"/>
        </w:rPr>
        <w:t>Pověřovatel doplní na základě podkladů od podniku</w:t>
      </w:r>
    </w:p>
  </w:footnote>
  <w:footnote w:id="3">
    <w:p w14:paraId="3EF5942D" w14:textId="4E9DBE43" w:rsidR="00CB7909" w:rsidRPr="008E08CB" w:rsidRDefault="00CB7909">
      <w:pPr>
        <w:pStyle w:val="Textpoznpodarou"/>
        <w:rPr>
          <w:sz w:val="18"/>
          <w:szCs w:val="18"/>
        </w:rPr>
      </w:pPr>
      <w:r w:rsidRPr="008E08CB">
        <w:rPr>
          <w:rStyle w:val="Znakapoznpodarou"/>
          <w:sz w:val="18"/>
          <w:szCs w:val="18"/>
        </w:rPr>
        <w:footnoteRef/>
      </w:r>
      <w:r w:rsidRPr="008E08CB">
        <w:rPr>
          <w:sz w:val="18"/>
          <w:szCs w:val="18"/>
        </w:rPr>
        <w:t xml:space="preserve"> Pověřovatel doplní registrační číslo projektu.</w:t>
      </w:r>
    </w:p>
  </w:footnote>
  <w:footnote w:id="4">
    <w:p w14:paraId="4BAA045F" w14:textId="0DC7F458" w:rsidR="00442DE8" w:rsidRDefault="00442DE8">
      <w:pPr>
        <w:pStyle w:val="Textpoznpodarou"/>
      </w:pPr>
      <w:r>
        <w:rPr>
          <w:rStyle w:val="Znakapoznpodarou"/>
        </w:rPr>
        <w:footnoteRef/>
      </w:r>
      <w:r>
        <w:t xml:space="preserve"> </w:t>
      </w:r>
      <w:r w:rsidRPr="00442DE8">
        <w:rPr>
          <w:sz w:val="18"/>
          <w:szCs w:val="18"/>
        </w:rPr>
        <w:t>Pověřovatel doplní registrační číslo projektu.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87B2D"/>
    <w:multiLevelType w:val="hybridMultilevel"/>
    <w:tmpl w:val="A09C03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D60523A"/>
    <w:multiLevelType w:val="hybridMultilevel"/>
    <w:tmpl w:val="C1A2EAB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ED93FA0"/>
    <w:multiLevelType w:val="hybridMultilevel"/>
    <w:tmpl w:val="7B9EF82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0083EB2"/>
    <w:multiLevelType w:val="multilevel"/>
    <w:tmpl w:val="5E28B174"/>
    <w:lvl w:ilvl="0">
      <w:start w:val="1"/>
      <w:numFmt w:val="decimal"/>
      <w:lvlText w:val="%1."/>
      <w:lvlJc w:val="left"/>
      <w:pPr>
        <w:tabs>
          <w:tab w:val="num" w:pos="360"/>
        </w:tabs>
        <w:ind w:left="360" w:hanging="360"/>
      </w:pPr>
      <w:rPr>
        <w:rFonts w:hint="default"/>
        <w:b w:val="0"/>
        <w:i w:val="0"/>
        <w:sz w:val="22"/>
        <w:szCs w:val="22"/>
      </w:rPr>
    </w:lvl>
    <w:lvl w:ilvl="1">
      <w:start w:val="1"/>
      <w:numFmt w:val="lowerLetter"/>
      <w:lvlText w:val="%2)"/>
      <w:lvlJc w:val="left"/>
      <w:pPr>
        <w:tabs>
          <w:tab w:val="num" w:pos="720"/>
        </w:tabs>
        <w:ind w:left="720" w:hanging="363"/>
      </w:pPr>
      <w:rPr>
        <w:rFonts w:hint="default"/>
        <w:b w:val="0"/>
        <w:i w:val="0"/>
      </w:rPr>
    </w:lvl>
    <w:lvl w:ilvl="2">
      <w:start w:val="1"/>
      <w:numFmt w:val="bullet"/>
      <w:lvlText w:val="-"/>
      <w:lvlJc w:val="left"/>
      <w:pPr>
        <w:tabs>
          <w:tab w:val="num" w:pos="1077"/>
        </w:tabs>
        <w:ind w:left="1077" w:hanging="357"/>
      </w:pPr>
      <w:rPr>
        <w:rFonts w:ascii="Times New Roman" w:hAnsi="Times New Roman" w:cs="Times New Roman"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5296E51"/>
    <w:multiLevelType w:val="hybridMultilevel"/>
    <w:tmpl w:val="D0607B6C"/>
    <w:lvl w:ilvl="0" w:tplc="3E62C7CE">
      <w:start w:val="1"/>
      <w:numFmt w:val="decimal"/>
      <w:lvlText w:val="%1."/>
      <w:lvlJc w:val="left"/>
      <w:pPr>
        <w:ind w:left="720" w:hanging="360"/>
      </w:pPr>
      <w:rPr>
        <w:rFonts w:hint="default"/>
        <w:color w:val="000000"/>
        <w:u w:val="singl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84F31E8"/>
    <w:multiLevelType w:val="multilevel"/>
    <w:tmpl w:val="AD2AAD7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9A46346"/>
    <w:multiLevelType w:val="hybridMultilevel"/>
    <w:tmpl w:val="833406D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E821968"/>
    <w:multiLevelType w:val="hybridMultilevel"/>
    <w:tmpl w:val="E49252A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3386049"/>
    <w:multiLevelType w:val="hybridMultilevel"/>
    <w:tmpl w:val="AB4E611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8F44507"/>
    <w:multiLevelType w:val="multilevel"/>
    <w:tmpl w:val="FCA042DE"/>
    <w:lvl w:ilvl="0">
      <w:start w:val="1"/>
      <w:numFmt w:val="decimal"/>
      <w:lvlText w:val="%1."/>
      <w:lvlJc w:val="left"/>
      <w:pPr>
        <w:tabs>
          <w:tab w:val="num" w:pos="360"/>
        </w:tabs>
        <w:ind w:left="360" w:hanging="360"/>
      </w:pPr>
      <w:rPr>
        <w:rFonts w:hint="default"/>
        <w:b w:val="0"/>
        <w:i w:val="0"/>
        <w:sz w:val="22"/>
        <w:szCs w:val="22"/>
      </w:rPr>
    </w:lvl>
    <w:lvl w:ilvl="1">
      <w:start w:val="1"/>
      <w:numFmt w:val="lowerLetter"/>
      <w:lvlText w:val="%2)"/>
      <w:lvlJc w:val="left"/>
      <w:pPr>
        <w:tabs>
          <w:tab w:val="num" w:pos="720"/>
        </w:tabs>
        <w:ind w:left="720" w:hanging="363"/>
      </w:pPr>
      <w:rPr>
        <w:rFonts w:hint="default"/>
        <w:b w:val="0"/>
        <w:i w:val="0"/>
      </w:rPr>
    </w:lvl>
    <w:lvl w:ilvl="2">
      <w:start w:val="1"/>
      <w:numFmt w:val="bullet"/>
      <w:lvlText w:val="-"/>
      <w:lvlJc w:val="left"/>
      <w:pPr>
        <w:tabs>
          <w:tab w:val="num" w:pos="1077"/>
        </w:tabs>
        <w:ind w:left="1077" w:hanging="357"/>
      </w:pPr>
      <w:rPr>
        <w:rFonts w:ascii="Times New Roman" w:hAnsi="Times New Roman" w:cs="Times New Roman"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29D63734"/>
    <w:multiLevelType w:val="multilevel"/>
    <w:tmpl w:val="A0DCA534"/>
    <w:lvl w:ilvl="0">
      <w:start w:val="1"/>
      <w:numFmt w:val="decimal"/>
      <w:lvlText w:val="%1."/>
      <w:lvlJc w:val="left"/>
      <w:rPr>
        <w:rFonts w:ascii="Tahoma" w:eastAsia="Times New Roman" w:hAnsi="Tahoma" w:cs="Tahoma" w:hint="default"/>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AA77A21"/>
    <w:multiLevelType w:val="hybridMultilevel"/>
    <w:tmpl w:val="35020C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FA21D45"/>
    <w:multiLevelType w:val="multilevel"/>
    <w:tmpl w:val="0A385410"/>
    <w:lvl w:ilvl="0">
      <w:start w:val="1"/>
      <w:numFmt w:val="bullet"/>
      <w:lvlText w:val=""/>
      <w:lvlJc w:val="left"/>
      <w:rPr>
        <w:rFonts w:ascii="Symbol" w:hAnsi="Symbol" w:hint="default"/>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2715BD8"/>
    <w:multiLevelType w:val="hybridMultilevel"/>
    <w:tmpl w:val="45648CD0"/>
    <w:lvl w:ilvl="0" w:tplc="82A219B6">
      <w:start w:val="1"/>
      <w:numFmt w:val="lowerLetter"/>
      <w:lvlText w:val="%1)"/>
      <w:lvlJc w:val="left"/>
      <w:pPr>
        <w:ind w:left="720" w:hanging="360"/>
      </w:pPr>
      <w:rPr>
        <w:rFonts w:hint="default"/>
        <w:i w:val="0"/>
        <w:i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6B218CD"/>
    <w:multiLevelType w:val="hybridMultilevel"/>
    <w:tmpl w:val="F8A2F6D0"/>
    <w:lvl w:ilvl="0" w:tplc="F1A0208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BD215B6"/>
    <w:multiLevelType w:val="multilevel"/>
    <w:tmpl w:val="FFDAF9A0"/>
    <w:lvl w:ilvl="0">
      <w:start w:val="1"/>
      <w:numFmt w:val="decimal"/>
      <w:lvlText w:val="%1."/>
      <w:lvlJc w:val="left"/>
      <w:pPr>
        <w:tabs>
          <w:tab w:val="num" w:pos="360"/>
        </w:tabs>
        <w:ind w:left="360" w:hanging="360"/>
      </w:pPr>
      <w:rPr>
        <w:rFonts w:hint="default"/>
        <w:b w:val="0"/>
        <w:i w:val="0"/>
        <w:sz w:val="22"/>
        <w:szCs w:val="22"/>
      </w:rPr>
    </w:lvl>
    <w:lvl w:ilvl="1">
      <w:start w:val="1"/>
      <w:numFmt w:val="lowerLetter"/>
      <w:lvlText w:val="%2)"/>
      <w:lvlJc w:val="left"/>
      <w:pPr>
        <w:tabs>
          <w:tab w:val="num" w:pos="720"/>
        </w:tabs>
        <w:ind w:left="720" w:hanging="363"/>
      </w:pPr>
      <w:rPr>
        <w:rFonts w:hint="default"/>
        <w:b w:val="0"/>
        <w:i w:val="0"/>
      </w:rPr>
    </w:lvl>
    <w:lvl w:ilvl="2">
      <w:start w:val="1"/>
      <w:numFmt w:val="bullet"/>
      <w:lvlText w:val="-"/>
      <w:lvlJc w:val="left"/>
      <w:pPr>
        <w:tabs>
          <w:tab w:val="num" w:pos="1077"/>
        </w:tabs>
        <w:ind w:left="1077" w:hanging="357"/>
      </w:pPr>
      <w:rPr>
        <w:rFonts w:ascii="Times New Roman" w:hAnsi="Times New Roman" w:cs="Times New Roman"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3C6F331A"/>
    <w:multiLevelType w:val="hybridMultilevel"/>
    <w:tmpl w:val="B2FAD2A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F4D27DE"/>
    <w:multiLevelType w:val="hybridMultilevel"/>
    <w:tmpl w:val="C25030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0C61F84"/>
    <w:multiLevelType w:val="hybridMultilevel"/>
    <w:tmpl w:val="2EFCFEE8"/>
    <w:lvl w:ilvl="0" w:tplc="E01AF23A">
      <w:start w:val="1"/>
      <w:numFmt w:val="decimal"/>
      <w:lvlText w:val="%1."/>
      <w:lvlJc w:val="left"/>
      <w:pPr>
        <w:ind w:left="720" w:hanging="360"/>
      </w:pPr>
      <w:rPr>
        <w:rFonts w:ascii="Tahoma" w:hAnsi="Tahoma" w:cs="Tahoma" w:hint="default"/>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6E80097"/>
    <w:multiLevelType w:val="hybridMultilevel"/>
    <w:tmpl w:val="2D3E1C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82862BB"/>
    <w:multiLevelType w:val="multilevel"/>
    <w:tmpl w:val="FF480C9A"/>
    <w:lvl w:ilvl="0">
      <w:start w:val="1"/>
      <w:numFmt w:val="lowerLetter"/>
      <w:lvlText w:val="%1)"/>
      <w:lvlJc w:val="left"/>
      <w:rPr>
        <w:rFonts w:asciiTheme="minorHAnsi" w:eastAsia="Times New Roman" w:hAnsiTheme="minorHAnsi" w:cstheme="minorHAnsi" w:hint="default"/>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9D2518F"/>
    <w:multiLevelType w:val="multilevel"/>
    <w:tmpl w:val="789A4E68"/>
    <w:lvl w:ilvl="0">
      <w:start w:val="1"/>
      <w:numFmt w:val="lowerLetter"/>
      <w:lvlText w:val="%1)"/>
      <w:lvlJc w:val="left"/>
      <w:rPr>
        <w:rFonts w:asciiTheme="minorHAnsi" w:eastAsia="Times New Roman" w:hAnsiTheme="minorHAnsi" w:cstheme="minorHAnsi" w:hint="default"/>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E124EF3"/>
    <w:multiLevelType w:val="hybridMultilevel"/>
    <w:tmpl w:val="A7AA96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FE727AF"/>
    <w:multiLevelType w:val="multilevel"/>
    <w:tmpl w:val="87069B2A"/>
    <w:lvl w:ilvl="0">
      <w:start w:val="1"/>
      <w:numFmt w:val="decimal"/>
      <w:lvlText w:val="%1."/>
      <w:lvlJc w:val="left"/>
      <w:rPr>
        <w:rFonts w:ascii="Tahoma" w:eastAsia="Times New Roman" w:hAnsi="Tahoma" w:cs="Tahoma" w:hint="default"/>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E202FBA"/>
    <w:multiLevelType w:val="multilevel"/>
    <w:tmpl w:val="4286A306"/>
    <w:lvl w:ilvl="0">
      <w:start w:val="1"/>
      <w:numFmt w:val="lowerLetter"/>
      <w:lvlText w:val="%1)"/>
      <w:lvlJc w:val="left"/>
      <w:rPr>
        <w:rFonts w:asciiTheme="minorHAnsi" w:eastAsia="Times New Roman" w:hAnsiTheme="minorHAnsi" w:cstheme="minorHAnsi" w:hint="default"/>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78F319E"/>
    <w:multiLevelType w:val="multilevel"/>
    <w:tmpl w:val="45A2B8BE"/>
    <w:lvl w:ilvl="0">
      <w:start w:val="1"/>
      <w:numFmt w:val="decimal"/>
      <w:lvlText w:val="%1."/>
      <w:lvlJc w:val="left"/>
      <w:pPr>
        <w:tabs>
          <w:tab w:val="num" w:pos="360"/>
        </w:tabs>
        <w:ind w:left="360" w:hanging="360"/>
      </w:pPr>
      <w:rPr>
        <w:rFonts w:hint="default"/>
        <w:b w:val="0"/>
        <w:i w:val="0"/>
        <w:sz w:val="22"/>
        <w:szCs w:val="22"/>
      </w:rPr>
    </w:lvl>
    <w:lvl w:ilvl="1">
      <w:start w:val="1"/>
      <w:numFmt w:val="lowerLetter"/>
      <w:lvlText w:val="%2)"/>
      <w:lvlJc w:val="left"/>
      <w:pPr>
        <w:tabs>
          <w:tab w:val="num" w:pos="720"/>
        </w:tabs>
        <w:ind w:left="720" w:hanging="363"/>
      </w:pPr>
      <w:rPr>
        <w:rFonts w:hint="default"/>
        <w:b w:val="0"/>
        <w:i w:val="0"/>
      </w:rPr>
    </w:lvl>
    <w:lvl w:ilvl="2">
      <w:start w:val="1"/>
      <w:numFmt w:val="bullet"/>
      <w:lvlText w:val="-"/>
      <w:lvlJc w:val="left"/>
      <w:pPr>
        <w:tabs>
          <w:tab w:val="num" w:pos="1077"/>
        </w:tabs>
        <w:ind w:left="1077" w:hanging="357"/>
      </w:pPr>
      <w:rPr>
        <w:rFonts w:ascii="Times New Roman" w:hAnsi="Times New Roman" w:cs="Times New Roman"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6C89092D"/>
    <w:multiLevelType w:val="multilevel"/>
    <w:tmpl w:val="5356A1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3F0122C"/>
    <w:multiLevelType w:val="hybridMultilevel"/>
    <w:tmpl w:val="FC14189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49D72B5"/>
    <w:multiLevelType w:val="multilevel"/>
    <w:tmpl w:val="F16C7F74"/>
    <w:lvl w:ilvl="0">
      <w:start w:val="1"/>
      <w:numFmt w:val="lowerLetter"/>
      <w:lvlText w:val="%1)"/>
      <w:lvlJc w:val="left"/>
      <w:rPr>
        <w:rFonts w:asciiTheme="minorHAnsi" w:eastAsia="Times New Roman" w:hAnsiTheme="minorHAnsi" w:cstheme="minorHAnsi" w:hint="default"/>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A2655D3"/>
    <w:multiLevelType w:val="hybridMultilevel"/>
    <w:tmpl w:val="6394ACA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DFC0A4E"/>
    <w:multiLevelType w:val="hybridMultilevel"/>
    <w:tmpl w:val="98CC53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50555186">
    <w:abstractNumId w:val="27"/>
  </w:num>
  <w:num w:numId="2" w16cid:durableId="432014717">
    <w:abstractNumId w:val="13"/>
  </w:num>
  <w:num w:numId="3" w16cid:durableId="719674494">
    <w:abstractNumId w:val="0"/>
  </w:num>
  <w:num w:numId="4" w16cid:durableId="103812738">
    <w:abstractNumId w:val="26"/>
  </w:num>
  <w:num w:numId="5" w16cid:durableId="1263342219">
    <w:abstractNumId w:val="3"/>
  </w:num>
  <w:num w:numId="6" w16cid:durableId="2009554244">
    <w:abstractNumId w:val="6"/>
  </w:num>
  <w:num w:numId="7" w16cid:durableId="680551886">
    <w:abstractNumId w:val="14"/>
  </w:num>
  <w:num w:numId="8" w16cid:durableId="726299509">
    <w:abstractNumId w:val="25"/>
  </w:num>
  <w:num w:numId="9" w16cid:durableId="176886981">
    <w:abstractNumId w:val="15"/>
  </w:num>
  <w:num w:numId="10" w16cid:durableId="1216626301">
    <w:abstractNumId w:val="22"/>
  </w:num>
  <w:num w:numId="11" w16cid:durableId="2116703539">
    <w:abstractNumId w:val="9"/>
  </w:num>
  <w:num w:numId="12" w16cid:durableId="1683123155">
    <w:abstractNumId w:val="2"/>
  </w:num>
  <w:num w:numId="13" w16cid:durableId="358052200">
    <w:abstractNumId w:val="7"/>
  </w:num>
  <w:num w:numId="14" w16cid:durableId="1329139027">
    <w:abstractNumId w:val="1"/>
  </w:num>
  <w:num w:numId="15" w16cid:durableId="878274672">
    <w:abstractNumId w:val="23"/>
  </w:num>
  <w:num w:numId="16" w16cid:durableId="1840733479">
    <w:abstractNumId w:val="18"/>
  </w:num>
  <w:num w:numId="17" w16cid:durableId="246109780">
    <w:abstractNumId w:val="8"/>
  </w:num>
  <w:num w:numId="18" w16cid:durableId="1949193672">
    <w:abstractNumId w:val="30"/>
  </w:num>
  <w:num w:numId="19" w16cid:durableId="1489595432">
    <w:abstractNumId w:val="17"/>
  </w:num>
  <w:num w:numId="20" w16cid:durableId="1298879657">
    <w:abstractNumId w:val="19"/>
  </w:num>
  <w:num w:numId="21" w16cid:durableId="1923686330">
    <w:abstractNumId w:val="16"/>
  </w:num>
  <w:num w:numId="22" w16cid:durableId="260338081">
    <w:abstractNumId w:val="11"/>
  </w:num>
  <w:num w:numId="23" w16cid:durableId="376398001">
    <w:abstractNumId w:val="29"/>
  </w:num>
  <w:num w:numId="24" w16cid:durableId="1628194087">
    <w:abstractNumId w:val="10"/>
  </w:num>
  <w:num w:numId="25" w16cid:durableId="226034671">
    <w:abstractNumId w:val="21"/>
  </w:num>
  <w:num w:numId="26" w16cid:durableId="686059567">
    <w:abstractNumId w:val="12"/>
  </w:num>
  <w:num w:numId="27" w16cid:durableId="418867196">
    <w:abstractNumId w:val="24"/>
  </w:num>
  <w:num w:numId="28" w16cid:durableId="740635432">
    <w:abstractNumId w:val="20"/>
  </w:num>
  <w:num w:numId="29" w16cid:durableId="341204474">
    <w:abstractNumId w:val="28"/>
  </w:num>
  <w:num w:numId="30" w16cid:durableId="88624525">
    <w:abstractNumId w:val="5"/>
  </w:num>
  <w:num w:numId="31" w16cid:durableId="8607802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881"/>
    <w:rsid w:val="0000085F"/>
    <w:rsid w:val="00015C7B"/>
    <w:rsid w:val="0004200E"/>
    <w:rsid w:val="00045F7A"/>
    <w:rsid w:val="0005530D"/>
    <w:rsid w:val="00065761"/>
    <w:rsid w:val="00071D21"/>
    <w:rsid w:val="00080013"/>
    <w:rsid w:val="000808FF"/>
    <w:rsid w:val="00082468"/>
    <w:rsid w:val="00096B21"/>
    <w:rsid w:val="000B58DB"/>
    <w:rsid w:val="000F7984"/>
    <w:rsid w:val="001009C3"/>
    <w:rsid w:val="0014032C"/>
    <w:rsid w:val="00156174"/>
    <w:rsid w:val="001826F1"/>
    <w:rsid w:val="00184847"/>
    <w:rsid w:val="00192388"/>
    <w:rsid w:val="00194EC3"/>
    <w:rsid w:val="001B290E"/>
    <w:rsid w:val="001B3D2B"/>
    <w:rsid w:val="001B6B87"/>
    <w:rsid w:val="001B6D69"/>
    <w:rsid w:val="001C2FBB"/>
    <w:rsid w:val="001C7752"/>
    <w:rsid w:val="001D1A08"/>
    <w:rsid w:val="001E6115"/>
    <w:rsid w:val="001E75DB"/>
    <w:rsid w:val="001E7EE8"/>
    <w:rsid w:val="0023145C"/>
    <w:rsid w:val="00234149"/>
    <w:rsid w:val="0027103D"/>
    <w:rsid w:val="00277972"/>
    <w:rsid w:val="00277AE2"/>
    <w:rsid w:val="00281619"/>
    <w:rsid w:val="0028790B"/>
    <w:rsid w:val="002A517E"/>
    <w:rsid w:val="002B2116"/>
    <w:rsid w:val="002C1A7C"/>
    <w:rsid w:val="002D23DC"/>
    <w:rsid w:val="002E6296"/>
    <w:rsid w:val="002F638E"/>
    <w:rsid w:val="003066DA"/>
    <w:rsid w:val="00335C8A"/>
    <w:rsid w:val="00337173"/>
    <w:rsid w:val="0034757E"/>
    <w:rsid w:val="00352B8F"/>
    <w:rsid w:val="00357A93"/>
    <w:rsid w:val="00362EE5"/>
    <w:rsid w:val="0037127E"/>
    <w:rsid w:val="00376A99"/>
    <w:rsid w:val="003A38DD"/>
    <w:rsid w:val="003B0422"/>
    <w:rsid w:val="003B459D"/>
    <w:rsid w:val="003E1EAD"/>
    <w:rsid w:val="003F09F9"/>
    <w:rsid w:val="00400933"/>
    <w:rsid w:val="00440C6B"/>
    <w:rsid w:val="00442DE8"/>
    <w:rsid w:val="00443704"/>
    <w:rsid w:val="00450881"/>
    <w:rsid w:val="004540D6"/>
    <w:rsid w:val="0048337C"/>
    <w:rsid w:val="00483F3E"/>
    <w:rsid w:val="004B2EE4"/>
    <w:rsid w:val="004B4B12"/>
    <w:rsid w:val="004D0BFC"/>
    <w:rsid w:val="004E1726"/>
    <w:rsid w:val="004E50A6"/>
    <w:rsid w:val="004E68EC"/>
    <w:rsid w:val="00532027"/>
    <w:rsid w:val="00541D29"/>
    <w:rsid w:val="005A16E3"/>
    <w:rsid w:val="005A4075"/>
    <w:rsid w:val="005A581A"/>
    <w:rsid w:val="005A7AA7"/>
    <w:rsid w:val="005B420F"/>
    <w:rsid w:val="005C6353"/>
    <w:rsid w:val="005D236B"/>
    <w:rsid w:val="005D63EC"/>
    <w:rsid w:val="005D7610"/>
    <w:rsid w:val="005E3EDB"/>
    <w:rsid w:val="00600012"/>
    <w:rsid w:val="00616899"/>
    <w:rsid w:val="00621715"/>
    <w:rsid w:val="006252E9"/>
    <w:rsid w:val="00625509"/>
    <w:rsid w:val="006264F3"/>
    <w:rsid w:val="00633081"/>
    <w:rsid w:val="006343AF"/>
    <w:rsid w:val="0065325B"/>
    <w:rsid w:val="00666A04"/>
    <w:rsid w:val="006829E6"/>
    <w:rsid w:val="006835F6"/>
    <w:rsid w:val="006A593D"/>
    <w:rsid w:val="006B4101"/>
    <w:rsid w:val="006B7289"/>
    <w:rsid w:val="006C19B1"/>
    <w:rsid w:val="006C33BB"/>
    <w:rsid w:val="006D23D7"/>
    <w:rsid w:val="006D35FE"/>
    <w:rsid w:val="006D3D9B"/>
    <w:rsid w:val="006F5C7D"/>
    <w:rsid w:val="0070183F"/>
    <w:rsid w:val="00707BB5"/>
    <w:rsid w:val="0071382A"/>
    <w:rsid w:val="00723612"/>
    <w:rsid w:val="007304B8"/>
    <w:rsid w:val="00737107"/>
    <w:rsid w:val="0075513E"/>
    <w:rsid w:val="00762EBC"/>
    <w:rsid w:val="00782149"/>
    <w:rsid w:val="00794600"/>
    <w:rsid w:val="007D7E7E"/>
    <w:rsid w:val="007E080D"/>
    <w:rsid w:val="007E4C8E"/>
    <w:rsid w:val="0080164F"/>
    <w:rsid w:val="008260B0"/>
    <w:rsid w:val="00840980"/>
    <w:rsid w:val="0085492A"/>
    <w:rsid w:val="0085758D"/>
    <w:rsid w:val="00864B6B"/>
    <w:rsid w:val="00873160"/>
    <w:rsid w:val="00880FA0"/>
    <w:rsid w:val="00894864"/>
    <w:rsid w:val="00894CCA"/>
    <w:rsid w:val="008B016E"/>
    <w:rsid w:val="008B4397"/>
    <w:rsid w:val="008C716D"/>
    <w:rsid w:val="008E08CB"/>
    <w:rsid w:val="008E4A66"/>
    <w:rsid w:val="00906C8E"/>
    <w:rsid w:val="009240DE"/>
    <w:rsid w:val="00942614"/>
    <w:rsid w:val="009520B3"/>
    <w:rsid w:val="00971BEC"/>
    <w:rsid w:val="00971CBE"/>
    <w:rsid w:val="00984B26"/>
    <w:rsid w:val="009A3B47"/>
    <w:rsid w:val="009C40A5"/>
    <w:rsid w:val="009E1C21"/>
    <w:rsid w:val="009E288D"/>
    <w:rsid w:val="009E56A0"/>
    <w:rsid w:val="009E651D"/>
    <w:rsid w:val="009F0A1D"/>
    <w:rsid w:val="009F0C02"/>
    <w:rsid w:val="009F5AD3"/>
    <w:rsid w:val="009F6D50"/>
    <w:rsid w:val="00A11E9C"/>
    <w:rsid w:val="00A365D9"/>
    <w:rsid w:val="00A37836"/>
    <w:rsid w:val="00A45BD7"/>
    <w:rsid w:val="00A62492"/>
    <w:rsid w:val="00AB64EF"/>
    <w:rsid w:val="00AC1AD9"/>
    <w:rsid w:val="00AC50AF"/>
    <w:rsid w:val="00AC7BAF"/>
    <w:rsid w:val="00AD61B6"/>
    <w:rsid w:val="00AF147D"/>
    <w:rsid w:val="00B13107"/>
    <w:rsid w:val="00B17901"/>
    <w:rsid w:val="00B21A09"/>
    <w:rsid w:val="00B32F92"/>
    <w:rsid w:val="00B6171F"/>
    <w:rsid w:val="00B76643"/>
    <w:rsid w:val="00B76BB0"/>
    <w:rsid w:val="00BD7F0F"/>
    <w:rsid w:val="00BE350E"/>
    <w:rsid w:val="00BF1B4B"/>
    <w:rsid w:val="00C0203B"/>
    <w:rsid w:val="00C1500B"/>
    <w:rsid w:val="00C34CBC"/>
    <w:rsid w:val="00C3602C"/>
    <w:rsid w:val="00C570E9"/>
    <w:rsid w:val="00C60711"/>
    <w:rsid w:val="00C62AB1"/>
    <w:rsid w:val="00C73C6E"/>
    <w:rsid w:val="00C8142B"/>
    <w:rsid w:val="00C8183B"/>
    <w:rsid w:val="00C82E9C"/>
    <w:rsid w:val="00C93E14"/>
    <w:rsid w:val="00CA64F3"/>
    <w:rsid w:val="00CA75EB"/>
    <w:rsid w:val="00CB7909"/>
    <w:rsid w:val="00CE10A8"/>
    <w:rsid w:val="00CF7EE7"/>
    <w:rsid w:val="00D23665"/>
    <w:rsid w:val="00D26173"/>
    <w:rsid w:val="00D4612C"/>
    <w:rsid w:val="00D53317"/>
    <w:rsid w:val="00D57BE6"/>
    <w:rsid w:val="00D86BDA"/>
    <w:rsid w:val="00DB559C"/>
    <w:rsid w:val="00DB720D"/>
    <w:rsid w:val="00E008C5"/>
    <w:rsid w:val="00E04F9C"/>
    <w:rsid w:val="00E17FDA"/>
    <w:rsid w:val="00E23CF1"/>
    <w:rsid w:val="00E247B8"/>
    <w:rsid w:val="00E3269D"/>
    <w:rsid w:val="00E36BD4"/>
    <w:rsid w:val="00E4212C"/>
    <w:rsid w:val="00E45056"/>
    <w:rsid w:val="00E47278"/>
    <w:rsid w:val="00E749F5"/>
    <w:rsid w:val="00E76AC9"/>
    <w:rsid w:val="00E77CE7"/>
    <w:rsid w:val="00EA14CC"/>
    <w:rsid w:val="00EC3BFC"/>
    <w:rsid w:val="00EC7AA0"/>
    <w:rsid w:val="00EE13DE"/>
    <w:rsid w:val="00EF4DB2"/>
    <w:rsid w:val="00F0309C"/>
    <w:rsid w:val="00F033FC"/>
    <w:rsid w:val="00F10DEE"/>
    <w:rsid w:val="00F12523"/>
    <w:rsid w:val="00F237B5"/>
    <w:rsid w:val="00F557F3"/>
    <w:rsid w:val="00F71BA2"/>
    <w:rsid w:val="00F800CF"/>
    <w:rsid w:val="00F82183"/>
    <w:rsid w:val="00F91B26"/>
    <w:rsid w:val="00F92ED4"/>
    <w:rsid w:val="00FA0039"/>
    <w:rsid w:val="00FA3ACD"/>
    <w:rsid w:val="00FB0810"/>
    <w:rsid w:val="00FC6E24"/>
    <w:rsid w:val="00FD08F9"/>
    <w:rsid w:val="00FD10AE"/>
    <w:rsid w:val="00FD7B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A64EE6"/>
  <w15:chartTrackingRefBased/>
  <w15:docId w15:val="{2A7D20CF-5285-4FD5-9FCF-0FAF0AF36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aliases w:val="Text poznámky pod čiarou 007,Footnote,pozn. pod čarou,Schriftart: 9 pt,Schriftart: 10 pt,Schriftart: 8 pt,Podrozdział,Podrozdzia3,Char1,Fußnotentextf,Geneva 9,Font: Geneva 9,Boston 10,f,Text pozn. pod čarou1,Char Char Char1,o, Char1"/>
    <w:basedOn w:val="Normln"/>
    <w:link w:val="TextpoznpodarouChar"/>
    <w:uiPriority w:val="99"/>
    <w:unhideWhenUsed/>
    <w:qFormat/>
    <w:rsid w:val="006D23D7"/>
    <w:pPr>
      <w:spacing w:after="0" w:line="240" w:lineRule="auto"/>
    </w:pPr>
    <w:rPr>
      <w:sz w:val="20"/>
      <w:szCs w:val="20"/>
    </w:rPr>
  </w:style>
  <w:style w:type="character" w:customStyle="1" w:styleId="TextpoznpodarouChar">
    <w:name w:val="Text pozn. pod čarou Char"/>
    <w:aliases w:val="Text poznámky pod čiarou 007 Char,Footnote Char,pozn. pod čarou Char,Schriftart: 9 pt Char,Schriftart: 10 pt Char,Schriftart: 8 pt Char,Podrozdział Char,Podrozdzia3 Char,Char1 Char,Fußnotentextf Char,Geneva 9 Char,f Char,o Char"/>
    <w:basedOn w:val="Standardnpsmoodstavce"/>
    <w:link w:val="Textpoznpodarou"/>
    <w:uiPriority w:val="99"/>
    <w:rsid w:val="006D23D7"/>
    <w:rPr>
      <w:sz w:val="20"/>
      <w:szCs w:val="20"/>
    </w:rPr>
  </w:style>
  <w:style w:type="character" w:styleId="Znakapoznpodarou">
    <w:name w:val="footnote reference"/>
    <w:basedOn w:val="Standardnpsmoodstavce"/>
    <w:uiPriority w:val="99"/>
    <w:semiHidden/>
    <w:unhideWhenUsed/>
    <w:rsid w:val="006D23D7"/>
    <w:rPr>
      <w:vertAlign w:val="superscript"/>
    </w:rPr>
  </w:style>
  <w:style w:type="paragraph" w:styleId="Odstavecseseznamem">
    <w:name w:val="List Paragraph"/>
    <w:basedOn w:val="Normln"/>
    <w:uiPriority w:val="34"/>
    <w:qFormat/>
    <w:rsid w:val="0028790B"/>
    <w:pPr>
      <w:ind w:left="720"/>
      <w:contextualSpacing/>
    </w:pPr>
  </w:style>
  <w:style w:type="character" w:styleId="Hypertextovodkaz">
    <w:name w:val="Hyperlink"/>
    <w:basedOn w:val="Standardnpsmoodstavce"/>
    <w:unhideWhenUsed/>
    <w:rsid w:val="0028790B"/>
    <w:rPr>
      <w:color w:val="0000FF"/>
      <w:u w:val="single"/>
    </w:rPr>
  </w:style>
  <w:style w:type="character" w:styleId="Siln">
    <w:name w:val="Strong"/>
    <w:basedOn w:val="Standardnpsmoodstavce"/>
    <w:uiPriority w:val="22"/>
    <w:qFormat/>
    <w:rsid w:val="0028790B"/>
    <w:rPr>
      <w:b/>
      <w:bCs/>
    </w:rPr>
  </w:style>
  <w:style w:type="character" w:styleId="Nevyeenzmnka">
    <w:name w:val="Unresolved Mention"/>
    <w:basedOn w:val="Standardnpsmoodstavce"/>
    <w:uiPriority w:val="99"/>
    <w:semiHidden/>
    <w:unhideWhenUsed/>
    <w:rsid w:val="00FA3ACD"/>
    <w:rPr>
      <w:color w:val="605E5C"/>
      <w:shd w:val="clear" w:color="auto" w:fill="E1DFDD"/>
    </w:rPr>
  </w:style>
  <w:style w:type="paragraph" w:customStyle="1" w:styleId="important">
    <w:name w:val="important"/>
    <w:basedOn w:val="Normln"/>
    <w:rsid w:val="0087316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Zhlav">
    <w:name w:val="header"/>
    <w:basedOn w:val="Normln"/>
    <w:link w:val="ZhlavChar"/>
    <w:unhideWhenUsed/>
    <w:rsid w:val="004540D6"/>
    <w:pPr>
      <w:tabs>
        <w:tab w:val="center" w:pos="4536"/>
        <w:tab w:val="right" w:pos="9072"/>
      </w:tabs>
      <w:spacing w:after="0" w:line="240" w:lineRule="auto"/>
    </w:pPr>
  </w:style>
  <w:style w:type="character" w:customStyle="1" w:styleId="ZhlavChar">
    <w:name w:val="Záhlaví Char"/>
    <w:basedOn w:val="Standardnpsmoodstavce"/>
    <w:link w:val="Zhlav"/>
    <w:rsid w:val="004540D6"/>
  </w:style>
  <w:style w:type="paragraph" w:styleId="Zpat">
    <w:name w:val="footer"/>
    <w:basedOn w:val="Normln"/>
    <w:link w:val="ZpatChar"/>
    <w:uiPriority w:val="99"/>
    <w:unhideWhenUsed/>
    <w:rsid w:val="004540D6"/>
    <w:pPr>
      <w:tabs>
        <w:tab w:val="center" w:pos="4536"/>
        <w:tab w:val="right" w:pos="9072"/>
      </w:tabs>
      <w:spacing w:after="0" w:line="240" w:lineRule="auto"/>
    </w:pPr>
  </w:style>
  <w:style w:type="character" w:customStyle="1" w:styleId="ZpatChar">
    <w:name w:val="Zápatí Char"/>
    <w:basedOn w:val="Standardnpsmoodstavce"/>
    <w:link w:val="Zpat"/>
    <w:uiPriority w:val="99"/>
    <w:rsid w:val="004540D6"/>
  </w:style>
  <w:style w:type="paragraph" w:styleId="Zkladntext">
    <w:name w:val="Body Text"/>
    <w:basedOn w:val="Normln"/>
    <w:link w:val="ZkladntextChar"/>
    <w:uiPriority w:val="99"/>
    <w:semiHidden/>
    <w:unhideWhenUsed/>
    <w:rsid w:val="00541D29"/>
    <w:pPr>
      <w:spacing w:after="120" w:line="240" w:lineRule="auto"/>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semiHidden/>
    <w:rsid w:val="00541D29"/>
    <w:rPr>
      <w:rFonts w:ascii="Times New Roman" w:eastAsia="Times New Roman" w:hAnsi="Times New Roman" w:cs="Times New Roman"/>
      <w:sz w:val="24"/>
      <w:szCs w:val="24"/>
      <w:lang w:eastAsia="cs-CZ"/>
    </w:rPr>
  </w:style>
  <w:style w:type="character" w:styleId="slostrnky">
    <w:name w:val="page number"/>
    <w:basedOn w:val="Standardnpsmoodstavce"/>
    <w:semiHidden/>
    <w:rsid w:val="00B6171F"/>
  </w:style>
  <w:style w:type="character" w:styleId="Odkaznakoment">
    <w:name w:val="annotation reference"/>
    <w:basedOn w:val="Standardnpsmoodstavce"/>
    <w:uiPriority w:val="99"/>
    <w:semiHidden/>
    <w:unhideWhenUsed/>
    <w:rsid w:val="00E76AC9"/>
    <w:rPr>
      <w:sz w:val="16"/>
      <w:szCs w:val="16"/>
    </w:rPr>
  </w:style>
  <w:style w:type="paragraph" w:styleId="Textkomente">
    <w:name w:val="annotation text"/>
    <w:basedOn w:val="Normln"/>
    <w:link w:val="TextkomenteChar"/>
    <w:uiPriority w:val="99"/>
    <w:semiHidden/>
    <w:unhideWhenUsed/>
    <w:rsid w:val="00E76AC9"/>
    <w:pPr>
      <w:spacing w:line="240" w:lineRule="auto"/>
    </w:pPr>
    <w:rPr>
      <w:sz w:val="20"/>
      <w:szCs w:val="20"/>
    </w:rPr>
  </w:style>
  <w:style w:type="character" w:customStyle="1" w:styleId="TextkomenteChar">
    <w:name w:val="Text komentáře Char"/>
    <w:basedOn w:val="Standardnpsmoodstavce"/>
    <w:link w:val="Textkomente"/>
    <w:uiPriority w:val="99"/>
    <w:semiHidden/>
    <w:rsid w:val="00E76AC9"/>
    <w:rPr>
      <w:sz w:val="20"/>
      <w:szCs w:val="20"/>
    </w:rPr>
  </w:style>
  <w:style w:type="paragraph" w:styleId="Pedmtkomente">
    <w:name w:val="annotation subject"/>
    <w:basedOn w:val="Textkomente"/>
    <w:next w:val="Textkomente"/>
    <w:link w:val="PedmtkomenteChar"/>
    <w:uiPriority w:val="99"/>
    <w:semiHidden/>
    <w:unhideWhenUsed/>
    <w:rsid w:val="00E76AC9"/>
    <w:rPr>
      <w:b/>
      <w:bCs/>
    </w:rPr>
  </w:style>
  <w:style w:type="character" w:customStyle="1" w:styleId="PedmtkomenteChar">
    <w:name w:val="Předmět komentáře Char"/>
    <w:basedOn w:val="TextkomenteChar"/>
    <w:link w:val="Pedmtkomente"/>
    <w:uiPriority w:val="99"/>
    <w:semiHidden/>
    <w:rsid w:val="00E76AC9"/>
    <w:rPr>
      <w:b/>
      <w:bCs/>
      <w:sz w:val="20"/>
      <w:szCs w:val="20"/>
    </w:rPr>
  </w:style>
  <w:style w:type="character" w:customStyle="1" w:styleId="Bodytext2">
    <w:name w:val="Body text (2)_"/>
    <w:basedOn w:val="Standardnpsmoodstavce"/>
    <w:link w:val="Bodytext20"/>
    <w:rsid w:val="009F5AD3"/>
    <w:rPr>
      <w:shd w:val="clear" w:color="auto" w:fill="FFFFFF"/>
    </w:rPr>
  </w:style>
  <w:style w:type="paragraph" w:customStyle="1" w:styleId="Bodytext20">
    <w:name w:val="Body text (2)"/>
    <w:basedOn w:val="Normln"/>
    <w:link w:val="Bodytext2"/>
    <w:rsid w:val="009F5AD3"/>
    <w:pPr>
      <w:widowControl w:val="0"/>
      <w:shd w:val="clear" w:color="auto" w:fill="FFFFFF"/>
      <w:spacing w:after="0" w:line="259" w:lineRule="exact"/>
      <w:ind w:hanging="420"/>
      <w:jc w:val="both"/>
    </w:pPr>
  </w:style>
  <w:style w:type="character" w:customStyle="1" w:styleId="Bodytext4">
    <w:name w:val="Body text (4)_"/>
    <w:basedOn w:val="Standardnpsmoodstavce"/>
    <w:link w:val="Bodytext40"/>
    <w:rsid w:val="00440C6B"/>
    <w:rPr>
      <w:b/>
      <w:bCs/>
      <w:shd w:val="clear" w:color="auto" w:fill="FFFFFF"/>
    </w:rPr>
  </w:style>
  <w:style w:type="character" w:customStyle="1" w:styleId="Headerorfooter">
    <w:name w:val="Header or footer_"/>
    <w:basedOn w:val="Standardnpsmoodstavce"/>
    <w:link w:val="Headerorfooter0"/>
    <w:rsid w:val="00440C6B"/>
    <w:rPr>
      <w:shd w:val="clear" w:color="auto" w:fill="FFFFFF"/>
    </w:rPr>
  </w:style>
  <w:style w:type="character" w:customStyle="1" w:styleId="Heading2">
    <w:name w:val="Heading #2_"/>
    <w:basedOn w:val="Standardnpsmoodstavce"/>
    <w:rsid w:val="00440C6B"/>
    <w:rPr>
      <w:b/>
      <w:bCs/>
      <w:i w:val="0"/>
      <w:iCs w:val="0"/>
      <w:smallCaps w:val="0"/>
      <w:strike w:val="0"/>
      <w:sz w:val="22"/>
      <w:szCs w:val="22"/>
      <w:u w:val="none"/>
    </w:rPr>
  </w:style>
  <w:style w:type="character" w:customStyle="1" w:styleId="Bodytext2Bold">
    <w:name w:val="Body text (2) + Bold"/>
    <w:basedOn w:val="Bodytext2"/>
    <w:rsid w:val="00440C6B"/>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cs-CZ" w:eastAsia="cs-CZ" w:bidi="cs-CZ"/>
    </w:rPr>
  </w:style>
  <w:style w:type="character" w:customStyle="1" w:styleId="Heading20">
    <w:name w:val="Heading #2"/>
    <w:basedOn w:val="Heading2"/>
    <w:rsid w:val="00440C6B"/>
    <w:rPr>
      <w:rFonts w:ascii="Times New Roman" w:eastAsia="Times New Roman" w:hAnsi="Times New Roman" w:cs="Times New Roman"/>
      <w:b/>
      <w:bCs/>
      <w:i w:val="0"/>
      <w:iCs w:val="0"/>
      <w:smallCaps w:val="0"/>
      <w:strike w:val="0"/>
      <w:color w:val="000000"/>
      <w:spacing w:val="0"/>
      <w:w w:val="100"/>
      <w:position w:val="0"/>
      <w:sz w:val="22"/>
      <w:szCs w:val="22"/>
      <w:u w:val="single"/>
      <w:lang w:val="cs-CZ" w:eastAsia="cs-CZ" w:bidi="cs-CZ"/>
    </w:rPr>
  </w:style>
  <w:style w:type="paragraph" w:customStyle="1" w:styleId="Bodytext40">
    <w:name w:val="Body text (4)"/>
    <w:basedOn w:val="Normln"/>
    <w:link w:val="Bodytext4"/>
    <w:rsid w:val="00440C6B"/>
    <w:pPr>
      <w:widowControl w:val="0"/>
      <w:shd w:val="clear" w:color="auto" w:fill="FFFFFF"/>
      <w:spacing w:after="280" w:line="244" w:lineRule="exact"/>
      <w:ind w:hanging="420"/>
      <w:jc w:val="center"/>
    </w:pPr>
    <w:rPr>
      <w:b/>
      <w:bCs/>
    </w:rPr>
  </w:style>
  <w:style w:type="paragraph" w:customStyle="1" w:styleId="Headerorfooter0">
    <w:name w:val="Header or footer"/>
    <w:basedOn w:val="Normln"/>
    <w:link w:val="Headerorfooter"/>
    <w:rsid w:val="00440C6B"/>
    <w:pPr>
      <w:widowControl w:val="0"/>
      <w:shd w:val="clear" w:color="auto" w:fill="FFFFFF"/>
      <w:spacing w:after="0" w:line="244" w:lineRule="exact"/>
    </w:pPr>
  </w:style>
  <w:style w:type="paragraph" w:styleId="Revize">
    <w:name w:val="Revision"/>
    <w:hidden/>
    <w:uiPriority w:val="99"/>
    <w:semiHidden/>
    <w:rsid w:val="003F09F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452431">
      <w:bodyDiv w:val="1"/>
      <w:marLeft w:val="0"/>
      <w:marRight w:val="0"/>
      <w:marTop w:val="0"/>
      <w:marBottom w:val="0"/>
      <w:divBdr>
        <w:top w:val="none" w:sz="0" w:space="0" w:color="auto"/>
        <w:left w:val="none" w:sz="0" w:space="0" w:color="auto"/>
        <w:bottom w:val="none" w:sz="0" w:space="0" w:color="auto"/>
        <w:right w:val="none" w:sz="0" w:space="0" w:color="auto"/>
      </w:divBdr>
    </w:div>
    <w:div w:id="601186368">
      <w:bodyDiv w:val="1"/>
      <w:marLeft w:val="0"/>
      <w:marRight w:val="0"/>
      <w:marTop w:val="0"/>
      <w:marBottom w:val="0"/>
      <w:divBdr>
        <w:top w:val="none" w:sz="0" w:space="0" w:color="auto"/>
        <w:left w:val="none" w:sz="0" w:space="0" w:color="auto"/>
        <w:bottom w:val="none" w:sz="0" w:space="0" w:color="auto"/>
        <w:right w:val="none" w:sz="0" w:space="0" w:color="auto"/>
      </w:divBdr>
      <w:divsChild>
        <w:div w:id="197426686">
          <w:marLeft w:val="0"/>
          <w:marRight w:val="0"/>
          <w:marTop w:val="0"/>
          <w:marBottom w:val="0"/>
          <w:divBdr>
            <w:top w:val="none" w:sz="0" w:space="0" w:color="auto"/>
            <w:left w:val="none" w:sz="0" w:space="0" w:color="auto"/>
            <w:bottom w:val="none" w:sz="0" w:space="0" w:color="auto"/>
            <w:right w:val="none" w:sz="0" w:space="0" w:color="auto"/>
          </w:divBdr>
        </w:div>
        <w:div w:id="794179912">
          <w:marLeft w:val="0"/>
          <w:marRight w:val="0"/>
          <w:marTop w:val="0"/>
          <w:marBottom w:val="0"/>
          <w:divBdr>
            <w:top w:val="none" w:sz="0" w:space="0" w:color="auto"/>
            <w:left w:val="none" w:sz="0" w:space="0" w:color="auto"/>
            <w:bottom w:val="none" w:sz="0" w:space="0" w:color="auto"/>
            <w:right w:val="none" w:sz="0" w:space="0" w:color="auto"/>
          </w:divBdr>
        </w:div>
        <w:div w:id="1506166723">
          <w:marLeft w:val="0"/>
          <w:marRight w:val="0"/>
          <w:marTop w:val="0"/>
          <w:marBottom w:val="0"/>
          <w:divBdr>
            <w:top w:val="none" w:sz="0" w:space="0" w:color="auto"/>
            <w:left w:val="none" w:sz="0" w:space="0" w:color="auto"/>
            <w:bottom w:val="none" w:sz="0" w:space="0" w:color="auto"/>
            <w:right w:val="none" w:sz="0" w:space="0" w:color="auto"/>
          </w:divBdr>
          <w:divsChild>
            <w:div w:id="57547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292315">
      <w:bodyDiv w:val="1"/>
      <w:marLeft w:val="0"/>
      <w:marRight w:val="0"/>
      <w:marTop w:val="0"/>
      <w:marBottom w:val="0"/>
      <w:divBdr>
        <w:top w:val="none" w:sz="0" w:space="0" w:color="auto"/>
        <w:left w:val="none" w:sz="0" w:space="0" w:color="auto"/>
        <w:bottom w:val="none" w:sz="0" w:space="0" w:color="auto"/>
        <w:right w:val="none" w:sz="0" w:space="0" w:color="auto"/>
      </w:divBdr>
      <w:divsChild>
        <w:div w:id="286592212">
          <w:marLeft w:val="0"/>
          <w:marRight w:val="0"/>
          <w:marTop w:val="0"/>
          <w:marBottom w:val="0"/>
          <w:divBdr>
            <w:top w:val="none" w:sz="0" w:space="0" w:color="auto"/>
            <w:left w:val="none" w:sz="0" w:space="0" w:color="auto"/>
            <w:bottom w:val="none" w:sz="0" w:space="0" w:color="auto"/>
            <w:right w:val="none" w:sz="0" w:space="0" w:color="auto"/>
          </w:divBdr>
          <w:divsChild>
            <w:div w:id="781875903">
              <w:marLeft w:val="0"/>
              <w:marRight w:val="0"/>
              <w:marTop w:val="0"/>
              <w:marBottom w:val="0"/>
              <w:divBdr>
                <w:top w:val="none" w:sz="0" w:space="0" w:color="auto"/>
                <w:left w:val="none" w:sz="0" w:space="0" w:color="auto"/>
                <w:bottom w:val="none" w:sz="0" w:space="0" w:color="auto"/>
                <w:right w:val="none" w:sz="0" w:space="0" w:color="auto"/>
              </w:divBdr>
            </w:div>
          </w:divsChild>
        </w:div>
        <w:div w:id="444859014">
          <w:marLeft w:val="0"/>
          <w:marRight w:val="0"/>
          <w:marTop w:val="0"/>
          <w:marBottom w:val="0"/>
          <w:divBdr>
            <w:top w:val="none" w:sz="0" w:space="0" w:color="auto"/>
            <w:left w:val="none" w:sz="0" w:space="0" w:color="auto"/>
            <w:bottom w:val="none" w:sz="0" w:space="0" w:color="auto"/>
            <w:right w:val="none" w:sz="0" w:space="0" w:color="auto"/>
          </w:divBdr>
        </w:div>
        <w:div w:id="607472252">
          <w:marLeft w:val="0"/>
          <w:marRight w:val="0"/>
          <w:marTop w:val="0"/>
          <w:marBottom w:val="0"/>
          <w:divBdr>
            <w:top w:val="none" w:sz="0" w:space="0" w:color="auto"/>
            <w:left w:val="none" w:sz="0" w:space="0" w:color="auto"/>
            <w:bottom w:val="none" w:sz="0" w:space="0" w:color="auto"/>
            <w:right w:val="none" w:sz="0" w:space="0" w:color="auto"/>
          </w:divBdr>
        </w:div>
      </w:divsChild>
    </w:div>
    <w:div w:id="1900169075">
      <w:bodyDiv w:val="1"/>
      <w:marLeft w:val="0"/>
      <w:marRight w:val="0"/>
      <w:marTop w:val="0"/>
      <w:marBottom w:val="0"/>
      <w:divBdr>
        <w:top w:val="none" w:sz="0" w:space="0" w:color="auto"/>
        <w:left w:val="none" w:sz="0" w:space="0" w:color="auto"/>
        <w:bottom w:val="none" w:sz="0" w:space="0" w:color="auto"/>
        <w:right w:val="none" w:sz="0" w:space="0" w:color="auto"/>
      </w:divBdr>
      <w:divsChild>
        <w:div w:id="31001638">
          <w:marLeft w:val="0"/>
          <w:marRight w:val="0"/>
          <w:marTop w:val="0"/>
          <w:marBottom w:val="0"/>
          <w:divBdr>
            <w:top w:val="none" w:sz="0" w:space="0" w:color="auto"/>
            <w:left w:val="none" w:sz="0" w:space="0" w:color="auto"/>
            <w:bottom w:val="none" w:sz="0" w:space="0" w:color="auto"/>
            <w:right w:val="none" w:sz="0" w:space="0" w:color="auto"/>
          </w:divBdr>
        </w:div>
        <w:div w:id="146555461">
          <w:marLeft w:val="0"/>
          <w:marRight w:val="0"/>
          <w:marTop w:val="0"/>
          <w:marBottom w:val="0"/>
          <w:divBdr>
            <w:top w:val="none" w:sz="0" w:space="0" w:color="auto"/>
            <w:left w:val="none" w:sz="0" w:space="0" w:color="auto"/>
            <w:bottom w:val="none" w:sz="0" w:space="0" w:color="auto"/>
            <w:right w:val="none" w:sz="0" w:space="0" w:color="auto"/>
          </w:divBdr>
        </w:div>
        <w:div w:id="201092764">
          <w:marLeft w:val="0"/>
          <w:marRight w:val="0"/>
          <w:marTop w:val="0"/>
          <w:marBottom w:val="0"/>
          <w:divBdr>
            <w:top w:val="none" w:sz="0" w:space="0" w:color="auto"/>
            <w:left w:val="none" w:sz="0" w:space="0" w:color="auto"/>
            <w:bottom w:val="none" w:sz="0" w:space="0" w:color="auto"/>
            <w:right w:val="none" w:sz="0" w:space="0" w:color="auto"/>
          </w:divBdr>
        </w:div>
        <w:div w:id="441917274">
          <w:marLeft w:val="0"/>
          <w:marRight w:val="0"/>
          <w:marTop w:val="0"/>
          <w:marBottom w:val="0"/>
          <w:divBdr>
            <w:top w:val="none" w:sz="0" w:space="0" w:color="auto"/>
            <w:left w:val="none" w:sz="0" w:space="0" w:color="auto"/>
            <w:bottom w:val="none" w:sz="0" w:space="0" w:color="auto"/>
            <w:right w:val="none" w:sz="0" w:space="0" w:color="auto"/>
          </w:divBdr>
        </w:div>
        <w:div w:id="759911388">
          <w:marLeft w:val="0"/>
          <w:marRight w:val="0"/>
          <w:marTop w:val="0"/>
          <w:marBottom w:val="0"/>
          <w:divBdr>
            <w:top w:val="none" w:sz="0" w:space="0" w:color="auto"/>
            <w:left w:val="none" w:sz="0" w:space="0" w:color="auto"/>
            <w:bottom w:val="none" w:sz="0" w:space="0" w:color="auto"/>
            <w:right w:val="none" w:sz="0" w:space="0" w:color="auto"/>
          </w:divBdr>
        </w:div>
        <w:div w:id="835800343">
          <w:marLeft w:val="0"/>
          <w:marRight w:val="0"/>
          <w:marTop w:val="0"/>
          <w:marBottom w:val="0"/>
          <w:divBdr>
            <w:top w:val="none" w:sz="0" w:space="0" w:color="auto"/>
            <w:left w:val="none" w:sz="0" w:space="0" w:color="auto"/>
            <w:bottom w:val="none" w:sz="0" w:space="0" w:color="auto"/>
            <w:right w:val="none" w:sz="0" w:space="0" w:color="auto"/>
          </w:divBdr>
        </w:div>
        <w:div w:id="1102920826">
          <w:marLeft w:val="0"/>
          <w:marRight w:val="0"/>
          <w:marTop w:val="0"/>
          <w:marBottom w:val="0"/>
          <w:divBdr>
            <w:top w:val="none" w:sz="0" w:space="0" w:color="auto"/>
            <w:left w:val="none" w:sz="0" w:space="0" w:color="auto"/>
            <w:bottom w:val="none" w:sz="0" w:space="0" w:color="auto"/>
            <w:right w:val="none" w:sz="0" w:space="0" w:color="auto"/>
          </w:divBdr>
        </w:div>
        <w:div w:id="1661882020">
          <w:marLeft w:val="0"/>
          <w:marRight w:val="0"/>
          <w:marTop w:val="0"/>
          <w:marBottom w:val="0"/>
          <w:divBdr>
            <w:top w:val="none" w:sz="0" w:space="0" w:color="auto"/>
            <w:left w:val="none" w:sz="0" w:space="0" w:color="auto"/>
            <w:bottom w:val="none" w:sz="0" w:space="0" w:color="auto"/>
            <w:right w:val="none" w:sz="0" w:space="0" w:color="auto"/>
          </w:divBdr>
        </w:div>
        <w:div w:id="1825317249">
          <w:marLeft w:val="0"/>
          <w:marRight w:val="0"/>
          <w:marTop w:val="0"/>
          <w:marBottom w:val="0"/>
          <w:divBdr>
            <w:top w:val="none" w:sz="0" w:space="0" w:color="auto"/>
            <w:left w:val="none" w:sz="0" w:space="0" w:color="auto"/>
            <w:bottom w:val="none" w:sz="0" w:space="0" w:color="auto"/>
            <w:right w:val="none" w:sz="0" w:space="0" w:color="auto"/>
          </w:divBdr>
        </w:div>
        <w:div w:id="21103933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87A8C1-E5EB-436A-B404-30F798C61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12</Pages>
  <Words>3674</Words>
  <Characters>21677</Characters>
  <Application>Microsoft Office Word</Application>
  <DocSecurity>0</DocSecurity>
  <Lines>180</Lines>
  <Paragraphs>50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Gavlasová Kateřina Mgr. (MPSV)</dc:creator>
  <cp:keywords/>
  <dc:description/>
  <cp:lastModifiedBy>Somerlíková Hana</cp:lastModifiedBy>
  <cp:revision>88</cp:revision>
  <dcterms:created xsi:type="dcterms:W3CDTF">2022-05-05T12:10:00Z</dcterms:created>
  <dcterms:modified xsi:type="dcterms:W3CDTF">2022-08-15T11:51:00Z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15ad6d0-798b-44f9-b3fd-112ad6275fb4_Enabled">
    <vt:lpwstr>true</vt:lpwstr>
  </property>
  <property fmtid="{D5CDD505-2E9C-101B-9397-08002B2CF9AE}" pid="3" name="MSIP_Label_215ad6d0-798b-44f9-b3fd-112ad6275fb4_SetDate">
    <vt:lpwstr>2022-05-02T12:41:40Z</vt:lpwstr>
  </property>
  <property fmtid="{D5CDD505-2E9C-101B-9397-08002B2CF9AE}" pid="4" name="MSIP_Label_215ad6d0-798b-44f9-b3fd-112ad6275fb4_Method">
    <vt:lpwstr>Standard</vt:lpwstr>
  </property>
  <property fmtid="{D5CDD505-2E9C-101B-9397-08002B2CF9AE}" pid="5" name="MSIP_Label_215ad6d0-798b-44f9-b3fd-112ad6275fb4_Name">
    <vt:lpwstr>Neveřejná informace (popis)</vt:lpwstr>
  </property>
  <property fmtid="{D5CDD505-2E9C-101B-9397-08002B2CF9AE}" pid="6" name="MSIP_Label_215ad6d0-798b-44f9-b3fd-112ad6275fb4_SiteId">
    <vt:lpwstr>39f24d0b-aa30-4551-8e81-43c77cf1000e</vt:lpwstr>
  </property>
  <property fmtid="{D5CDD505-2E9C-101B-9397-08002B2CF9AE}" pid="7" name="MSIP_Label_215ad6d0-798b-44f9-b3fd-112ad6275fb4_ActionId">
    <vt:lpwstr>8a7d785e-4ce7-46db-9826-08c901342e67</vt:lpwstr>
  </property>
  <property fmtid="{D5CDD505-2E9C-101B-9397-08002B2CF9AE}" pid="8" name="MSIP_Label_215ad6d0-798b-44f9-b3fd-112ad6275fb4_ContentBits">
    <vt:lpwstr>2</vt:lpwstr>
  </property>
</Properties>
</file>