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81566" w14:textId="2456E68A" w:rsidR="00A26901" w:rsidRPr="00A26901" w:rsidRDefault="00A26901" w:rsidP="00D364D8">
      <w:pPr>
        <w:spacing w:after="0"/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A26901">
        <w:rPr>
          <w:rFonts w:ascii="Tahoma" w:hAnsi="Tahoma" w:cs="Tahoma"/>
          <w:b/>
          <w:color w:val="FF0000"/>
          <w:sz w:val="28"/>
          <w:szCs w:val="28"/>
        </w:rPr>
        <w:t>KONCEPT</w:t>
      </w:r>
    </w:p>
    <w:p w14:paraId="204F3441" w14:textId="2714BD8A" w:rsidR="00740881" w:rsidRDefault="001A3097" w:rsidP="00D364D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E601F">
        <w:rPr>
          <w:rFonts w:ascii="Tahoma" w:hAnsi="Tahoma" w:cs="Tahoma"/>
          <w:b/>
          <w:sz w:val="28"/>
          <w:szCs w:val="28"/>
        </w:rPr>
        <w:t>Dodatek</w:t>
      </w:r>
      <w:r w:rsidR="00D364D8" w:rsidRPr="003E601F">
        <w:rPr>
          <w:rFonts w:ascii="Tahoma" w:hAnsi="Tahoma" w:cs="Tahoma"/>
          <w:b/>
          <w:sz w:val="28"/>
          <w:szCs w:val="28"/>
        </w:rPr>
        <w:t xml:space="preserve"> č. </w:t>
      </w:r>
      <w:r w:rsidR="00B2779B">
        <w:rPr>
          <w:rFonts w:ascii="Tahoma" w:hAnsi="Tahoma" w:cs="Tahoma"/>
          <w:b/>
          <w:sz w:val="28"/>
          <w:szCs w:val="28"/>
        </w:rPr>
        <w:t>2</w:t>
      </w:r>
      <w:r w:rsidRPr="003E601F">
        <w:rPr>
          <w:rFonts w:ascii="Tahoma" w:hAnsi="Tahoma" w:cs="Tahoma"/>
          <w:b/>
          <w:sz w:val="28"/>
          <w:szCs w:val="28"/>
        </w:rPr>
        <w:t xml:space="preserve"> </w:t>
      </w:r>
    </w:p>
    <w:p w14:paraId="2805EA7E" w14:textId="6B3E44BF" w:rsidR="00D364D8" w:rsidRPr="003E601F" w:rsidRDefault="001A3097" w:rsidP="00D364D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E601F">
        <w:rPr>
          <w:rFonts w:ascii="Tahoma" w:hAnsi="Tahoma" w:cs="Tahoma"/>
          <w:b/>
          <w:sz w:val="28"/>
          <w:szCs w:val="28"/>
        </w:rPr>
        <w:t>ke Smlouvě o koupi pozemků</w:t>
      </w:r>
      <w:r w:rsidR="009F2435">
        <w:rPr>
          <w:rFonts w:ascii="Tahoma" w:hAnsi="Tahoma" w:cs="Tahoma"/>
          <w:b/>
          <w:sz w:val="28"/>
          <w:szCs w:val="28"/>
        </w:rPr>
        <w:t xml:space="preserve"> ev. č. 08137/2019/IM</w:t>
      </w:r>
    </w:p>
    <w:p w14:paraId="059EC5B3" w14:textId="3F28E534" w:rsidR="00991116" w:rsidRPr="003E601F" w:rsidRDefault="00991116" w:rsidP="00D364D8">
      <w:pPr>
        <w:spacing w:after="0"/>
        <w:jc w:val="center"/>
        <w:rPr>
          <w:rFonts w:ascii="Tahoma" w:hAnsi="Tahoma" w:cs="Tahoma"/>
          <w:bCs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(dále jen: „</w:t>
      </w:r>
      <w:r w:rsidR="001A3097" w:rsidRPr="003E601F">
        <w:rPr>
          <w:rFonts w:ascii="Tahoma" w:hAnsi="Tahoma" w:cs="Tahoma"/>
          <w:b/>
          <w:sz w:val="20"/>
          <w:szCs w:val="20"/>
        </w:rPr>
        <w:t>D</w:t>
      </w:r>
      <w:r w:rsidRPr="003E601F">
        <w:rPr>
          <w:rFonts w:ascii="Tahoma" w:hAnsi="Tahoma" w:cs="Tahoma"/>
          <w:b/>
          <w:sz w:val="20"/>
          <w:szCs w:val="20"/>
        </w:rPr>
        <w:t>odatek</w:t>
      </w:r>
      <w:r w:rsidR="001A3097" w:rsidRPr="003E601F">
        <w:rPr>
          <w:rFonts w:ascii="Tahoma" w:hAnsi="Tahoma" w:cs="Tahoma"/>
          <w:b/>
          <w:sz w:val="20"/>
          <w:szCs w:val="20"/>
        </w:rPr>
        <w:t xml:space="preserve"> č. </w:t>
      </w:r>
      <w:r w:rsidR="00B2779B">
        <w:rPr>
          <w:rFonts w:ascii="Tahoma" w:hAnsi="Tahoma" w:cs="Tahoma"/>
          <w:b/>
          <w:sz w:val="20"/>
          <w:szCs w:val="20"/>
        </w:rPr>
        <w:t>2</w:t>
      </w:r>
      <w:r w:rsidRPr="003E601F">
        <w:rPr>
          <w:rFonts w:ascii="Tahoma" w:hAnsi="Tahoma" w:cs="Tahoma"/>
          <w:bCs/>
          <w:sz w:val="20"/>
          <w:szCs w:val="20"/>
        </w:rPr>
        <w:t>“)</w:t>
      </w:r>
    </w:p>
    <w:p w14:paraId="0D6A30CC" w14:textId="5EC39674" w:rsidR="001A3097" w:rsidRPr="003E601F" w:rsidRDefault="0042719B" w:rsidP="00D364D8">
      <w:pPr>
        <w:spacing w:after="0"/>
        <w:jc w:val="center"/>
        <w:rPr>
          <w:rFonts w:ascii="Tahoma" w:hAnsi="Tahoma" w:cs="Tahoma"/>
          <w:bCs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uzavřený podle § 2079 a násl. Zákona č. 89/2012 Sb., občanského zákoníku</w:t>
      </w:r>
      <w:r w:rsidR="0012295B">
        <w:rPr>
          <w:rFonts w:ascii="Tahoma" w:hAnsi="Tahoma" w:cs="Tahoma"/>
          <w:bCs/>
          <w:sz w:val="20"/>
          <w:szCs w:val="20"/>
        </w:rPr>
        <w:t>, ve znění pozdějších předpisů</w:t>
      </w:r>
    </w:p>
    <w:p w14:paraId="5693D8DD" w14:textId="493EE87F" w:rsidR="0042719B" w:rsidRPr="003E601F" w:rsidRDefault="0042719B" w:rsidP="00D364D8">
      <w:pPr>
        <w:spacing w:after="0"/>
        <w:jc w:val="center"/>
        <w:rPr>
          <w:rFonts w:ascii="Tahoma" w:hAnsi="Tahoma" w:cs="Tahoma"/>
          <w:bCs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(dále jen „</w:t>
      </w:r>
      <w:r w:rsidRPr="003E601F">
        <w:rPr>
          <w:rFonts w:ascii="Tahoma" w:hAnsi="Tahoma" w:cs="Tahoma"/>
          <w:bCs/>
          <w:i/>
          <w:iCs/>
          <w:sz w:val="20"/>
          <w:szCs w:val="20"/>
        </w:rPr>
        <w:t>občanský zákoník</w:t>
      </w:r>
      <w:r w:rsidRPr="003E601F">
        <w:rPr>
          <w:rFonts w:ascii="Tahoma" w:hAnsi="Tahoma" w:cs="Tahoma"/>
          <w:bCs/>
          <w:sz w:val="20"/>
          <w:szCs w:val="20"/>
        </w:rPr>
        <w:t>“)</w:t>
      </w:r>
    </w:p>
    <w:p w14:paraId="087E481F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C3D95BE" w14:textId="77777777" w:rsidR="007715E0" w:rsidRDefault="007715E0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FA17C9D" w14:textId="46635841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Moravskoslezský kraj</w:t>
      </w:r>
    </w:p>
    <w:p w14:paraId="21368B72" w14:textId="6C04F481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se sídlem:</w:t>
      </w:r>
      <w:r w:rsidRPr="003E601F">
        <w:rPr>
          <w:rFonts w:ascii="Tahoma" w:hAnsi="Tahoma" w:cs="Tahoma"/>
          <w:sz w:val="20"/>
          <w:szCs w:val="20"/>
        </w:rPr>
        <w:tab/>
        <w:t xml:space="preserve">28. října 2771/117, 702 </w:t>
      </w:r>
      <w:r w:rsidR="00F174CF" w:rsidRPr="003E601F">
        <w:rPr>
          <w:rFonts w:ascii="Tahoma" w:hAnsi="Tahoma" w:cs="Tahoma"/>
          <w:sz w:val="20"/>
          <w:szCs w:val="20"/>
        </w:rPr>
        <w:t>00</w:t>
      </w:r>
      <w:r w:rsidRPr="003E601F">
        <w:rPr>
          <w:rFonts w:ascii="Tahoma" w:hAnsi="Tahoma" w:cs="Tahoma"/>
          <w:sz w:val="20"/>
          <w:szCs w:val="20"/>
        </w:rPr>
        <w:t xml:space="preserve"> Ostrava </w:t>
      </w:r>
    </w:p>
    <w:p w14:paraId="44906A5B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zastoupen:</w:t>
      </w:r>
      <w:r w:rsidRPr="003E601F">
        <w:rPr>
          <w:rFonts w:ascii="Tahoma" w:hAnsi="Tahoma" w:cs="Tahoma"/>
          <w:bCs/>
          <w:sz w:val="20"/>
          <w:szCs w:val="20"/>
        </w:rPr>
        <w:tab/>
        <w:t>prof. Ing. Ivo Vondrákem, CSc., hejtmanem kraje</w:t>
      </w:r>
    </w:p>
    <w:p w14:paraId="734D0C02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IČO: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  <w:t>70890692</w:t>
      </w:r>
    </w:p>
    <w:p w14:paraId="6DD29898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DIČ: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  <w:t>CZ70890692</w:t>
      </w:r>
    </w:p>
    <w:p w14:paraId="4334E067" w14:textId="77777777" w:rsidR="00D364D8" w:rsidRPr="003E601F" w:rsidRDefault="00D364D8" w:rsidP="00D364D8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E919985" w14:textId="654C43E9" w:rsidR="00D364D8" w:rsidRPr="003E601F" w:rsidRDefault="00D364D8" w:rsidP="00D364D8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dále jen</w:t>
      </w:r>
      <w:r w:rsidRPr="003E601F">
        <w:rPr>
          <w:rFonts w:ascii="Tahoma" w:hAnsi="Tahoma" w:cs="Tahoma"/>
          <w:i/>
          <w:sz w:val="20"/>
          <w:szCs w:val="20"/>
        </w:rPr>
        <w:t xml:space="preserve"> </w:t>
      </w:r>
      <w:r w:rsidRPr="003E601F">
        <w:rPr>
          <w:rFonts w:ascii="Tahoma" w:hAnsi="Tahoma" w:cs="Tahoma"/>
          <w:sz w:val="20"/>
          <w:szCs w:val="20"/>
        </w:rPr>
        <w:t>„</w:t>
      </w:r>
      <w:r w:rsidR="00364F92" w:rsidRPr="003E601F">
        <w:rPr>
          <w:rFonts w:ascii="Tahoma" w:hAnsi="Tahoma" w:cs="Tahoma"/>
          <w:b/>
          <w:sz w:val="20"/>
          <w:szCs w:val="20"/>
        </w:rPr>
        <w:t>prodávající</w:t>
      </w:r>
      <w:r w:rsidRPr="003E601F">
        <w:rPr>
          <w:rFonts w:ascii="Tahoma" w:hAnsi="Tahoma" w:cs="Tahoma"/>
          <w:b/>
          <w:sz w:val="20"/>
          <w:szCs w:val="20"/>
        </w:rPr>
        <w:t xml:space="preserve">“ </w:t>
      </w:r>
      <w:r w:rsidRPr="003E601F">
        <w:rPr>
          <w:rFonts w:ascii="Tahoma" w:hAnsi="Tahoma" w:cs="Tahoma"/>
          <w:sz w:val="20"/>
          <w:szCs w:val="20"/>
        </w:rPr>
        <w:t>na straně jedné</w:t>
      </w:r>
    </w:p>
    <w:p w14:paraId="12BB75CF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a</w:t>
      </w:r>
    </w:p>
    <w:p w14:paraId="3CA34EA8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00D4F4E" w14:textId="442EB4BC" w:rsidR="00D364D8" w:rsidRPr="00E77023" w:rsidRDefault="008429C8" w:rsidP="00D364D8">
      <w:pPr>
        <w:pStyle w:val="Seznam"/>
        <w:jc w:val="both"/>
        <w:rPr>
          <w:rFonts w:ascii="Tahoma" w:hAnsi="Tahoma" w:cs="Tahoma"/>
          <w:b/>
        </w:rPr>
      </w:pPr>
      <w:r w:rsidRPr="008429C8">
        <w:rPr>
          <w:rFonts w:ascii="Tahoma" w:hAnsi="Tahoma" w:cs="Tahoma"/>
          <w:b/>
        </w:rPr>
        <w:t xml:space="preserve">OAMP </w:t>
      </w:r>
      <w:proofErr w:type="spellStart"/>
      <w:r w:rsidRPr="008429C8">
        <w:rPr>
          <w:rFonts w:ascii="Tahoma" w:hAnsi="Tahoma" w:cs="Tahoma"/>
          <w:b/>
        </w:rPr>
        <w:t>Hall</w:t>
      </w:r>
      <w:proofErr w:type="spellEnd"/>
      <w:r w:rsidRPr="008429C8">
        <w:rPr>
          <w:rFonts w:ascii="Tahoma" w:hAnsi="Tahoma" w:cs="Tahoma"/>
          <w:b/>
        </w:rPr>
        <w:t xml:space="preserve"> B </w:t>
      </w:r>
      <w:r w:rsidRPr="00E77023">
        <w:rPr>
          <w:rFonts w:ascii="Tahoma" w:hAnsi="Tahoma" w:cs="Tahoma"/>
          <w:b/>
        </w:rPr>
        <w:t>s.r.o.</w:t>
      </w:r>
    </w:p>
    <w:p w14:paraId="79A86017" w14:textId="5DA62A28" w:rsidR="00D364D8" w:rsidRPr="00E77023" w:rsidRDefault="00D364D8" w:rsidP="00D364D8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E77023">
        <w:rPr>
          <w:rFonts w:ascii="Tahoma" w:hAnsi="Tahoma" w:cs="Tahoma"/>
        </w:rPr>
        <w:t>se sídlem:</w:t>
      </w:r>
      <w:r w:rsidRPr="00E77023">
        <w:rPr>
          <w:rFonts w:ascii="Tahoma" w:hAnsi="Tahoma" w:cs="Tahoma"/>
        </w:rPr>
        <w:tab/>
      </w:r>
      <w:r w:rsidR="00590A1F" w:rsidRPr="00E77023">
        <w:rPr>
          <w:rFonts w:ascii="Tahoma" w:hAnsi="Tahoma" w:cs="Tahoma"/>
        </w:rPr>
        <w:t>28. října 3346/91, Moravská Ostrava, 702 00 Ostrava</w:t>
      </w:r>
    </w:p>
    <w:p w14:paraId="51D68F41" w14:textId="3C283277" w:rsidR="00D364D8" w:rsidRPr="00E77023" w:rsidRDefault="00D364D8" w:rsidP="00D364D8">
      <w:pPr>
        <w:pStyle w:val="Seznam"/>
        <w:jc w:val="both"/>
        <w:rPr>
          <w:rFonts w:ascii="Tahoma" w:hAnsi="Tahoma" w:cs="Tahoma"/>
        </w:rPr>
      </w:pPr>
      <w:r w:rsidRPr="00E77023">
        <w:rPr>
          <w:rFonts w:ascii="Tahoma" w:hAnsi="Tahoma" w:cs="Tahoma"/>
        </w:rPr>
        <w:t>zastoupená:</w:t>
      </w:r>
      <w:r w:rsidRPr="00E77023">
        <w:rPr>
          <w:rFonts w:ascii="Tahoma" w:hAnsi="Tahoma" w:cs="Tahoma"/>
        </w:rPr>
        <w:tab/>
      </w:r>
      <w:r w:rsidR="00590A1F" w:rsidRPr="00E77023">
        <w:rPr>
          <w:rFonts w:ascii="Tahoma" w:hAnsi="Tahoma" w:cs="Tahoma"/>
        </w:rPr>
        <w:t xml:space="preserve">Bc. Petrem Kalinou, </w:t>
      </w:r>
      <w:r w:rsidR="00EC6421" w:rsidRPr="00E77023">
        <w:rPr>
          <w:rFonts w:ascii="Tahoma" w:hAnsi="Tahoma" w:cs="Tahoma"/>
        </w:rPr>
        <w:t>jednatelem společnosti</w:t>
      </w:r>
    </w:p>
    <w:p w14:paraId="2F4293F8" w14:textId="304A9009" w:rsidR="00D364D8" w:rsidRPr="00E77023" w:rsidRDefault="00D364D8" w:rsidP="00D364D8">
      <w:pPr>
        <w:pStyle w:val="Seznam"/>
        <w:tabs>
          <w:tab w:val="left" w:pos="567"/>
        </w:tabs>
        <w:rPr>
          <w:rFonts w:ascii="Tahoma" w:hAnsi="Tahoma" w:cs="Tahoma"/>
        </w:rPr>
      </w:pPr>
      <w:r w:rsidRPr="00E77023">
        <w:rPr>
          <w:rFonts w:ascii="Tahoma" w:hAnsi="Tahoma" w:cs="Tahoma"/>
        </w:rPr>
        <w:t>IČO:</w:t>
      </w:r>
      <w:r w:rsidRPr="00E77023">
        <w:rPr>
          <w:rFonts w:ascii="Tahoma" w:hAnsi="Tahoma" w:cs="Tahoma"/>
        </w:rPr>
        <w:tab/>
      </w:r>
      <w:r w:rsidRPr="00E77023">
        <w:rPr>
          <w:rFonts w:ascii="Tahoma" w:hAnsi="Tahoma" w:cs="Tahoma"/>
        </w:rPr>
        <w:tab/>
      </w:r>
      <w:r w:rsidRPr="00E77023">
        <w:rPr>
          <w:rFonts w:ascii="Tahoma" w:hAnsi="Tahoma" w:cs="Tahoma"/>
        </w:rPr>
        <w:tab/>
      </w:r>
      <w:r w:rsidR="003F700E" w:rsidRPr="00E77023">
        <w:rPr>
          <w:rFonts w:ascii="Tahoma" w:hAnsi="Tahoma" w:cs="Tahoma"/>
        </w:rPr>
        <w:t>08698325</w:t>
      </w:r>
    </w:p>
    <w:p w14:paraId="28336564" w14:textId="0774EFCE" w:rsidR="00D364D8" w:rsidRPr="003E601F" w:rsidRDefault="00D364D8" w:rsidP="00D364D8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E77023">
        <w:rPr>
          <w:rFonts w:ascii="Tahoma" w:hAnsi="Tahoma" w:cs="Tahoma"/>
        </w:rPr>
        <w:t>DIČ:</w:t>
      </w:r>
      <w:r w:rsidRPr="00E77023">
        <w:rPr>
          <w:rFonts w:ascii="Tahoma" w:hAnsi="Tahoma" w:cs="Tahoma"/>
        </w:rPr>
        <w:tab/>
      </w:r>
      <w:r w:rsidRPr="00E77023">
        <w:rPr>
          <w:rFonts w:ascii="Tahoma" w:hAnsi="Tahoma" w:cs="Tahoma"/>
        </w:rPr>
        <w:tab/>
      </w:r>
      <w:r w:rsidRPr="00E77023">
        <w:rPr>
          <w:rFonts w:ascii="Tahoma" w:hAnsi="Tahoma" w:cs="Tahoma"/>
        </w:rPr>
        <w:tab/>
      </w:r>
      <w:r w:rsidR="00E77023" w:rsidRPr="00E77023">
        <w:rPr>
          <w:rFonts w:ascii="Tahoma" w:hAnsi="Tahoma" w:cs="Tahoma"/>
        </w:rPr>
        <w:t>CZ08698325</w:t>
      </w:r>
    </w:p>
    <w:p w14:paraId="56C56E11" w14:textId="77777777" w:rsidR="00D364D8" w:rsidRPr="003E601F" w:rsidRDefault="00D364D8" w:rsidP="00D364D8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</w:p>
    <w:p w14:paraId="6F1C599D" w14:textId="349C484B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dále jen „</w:t>
      </w:r>
      <w:r w:rsidR="00E12B7D" w:rsidRPr="003E601F">
        <w:rPr>
          <w:rFonts w:ascii="Tahoma" w:hAnsi="Tahoma" w:cs="Tahoma"/>
          <w:b/>
          <w:bCs/>
          <w:sz w:val="20"/>
          <w:szCs w:val="20"/>
        </w:rPr>
        <w:t>kupující</w:t>
      </w:r>
      <w:r w:rsidRPr="003E601F">
        <w:rPr>
          <w:rFonts w:ascii="Tahoma" w:hAnsi="Tahoma" w:cs="Tahoma"/>
          <w:sz w:val="20"/>
          <w:szCs w:val="20"/>
        </w:rPr>
        <w:t>“ na straně druhé</w:t>
      </w:r>
    </w:p>
    <w:p w14:paraId="4F272EAE" w14:textId="2D36AF31" w:rsidR="00E12B7D" w:rsidRPr="003E601F" w:rsidRDefault="00E12B7D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5EBA672" w14:textId="5AE55415" w:rsidR="00E12B7D" w:rsidRPr="003E601F" w:rsidRDefault="00E12B7D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(kupující a prodávající společně dále jako „</w:t>
      </w:r>
      <w:r w:rsidRPr="003E601F">
        <w:rPr>
          <w:rFonts w:ascii="Tahoma" w:hAnsi="Tahoma" w:cs="Tahoma"/>
          <w:b/>
          <w:bCs/>
          <w:sz w:val="20"/>
          <w:szCs w:val="20"/>
        </w:rPr>
        <w:t>smluvní strany</w:t>
      </w:r>
      <w:r w:rsidRPr="003E601F">
        <w:rPr>
          <w:rFonts w:ascii="Tahoma" w:hAnsi="Tahoma" w:cs="Tahoma"/>
          <w:sz w:val="20"/>
          <w:szCs w:val="20"/>
        </w:rPr>
        <w:t>“)</w:t>
      </w:r>
    </w:p>
    <w:p w14:paraId="2DA6DB44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D8730AD" w14:textId="77777777" w:rsidR="007715E0" w:rsidRDefault="007715E0" w:rsidP="00D364D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53683A9" w14:textId="126310C6" w:rsidR="00D364D8" w:rsidRPr="003E601F" w:rsidRDefault="00D364D8" w:rsidP="00D364D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I.</w:t>
      </w:r>
    </w:p>
    <w:p w14:paraId="4765E0EE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Úvodní prohlášení</w:t>
      </w:r>
    </w:p>
    <w:p w14:paraId="7BAD3578" w14:textId="72D38F2C" w:rsidR="00991116" w:rsidRPr="008D1573" w:rsidRDefault="00991116" w:rsidP="00B43581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Pokud v tomto Dodatku </w:t>
      </w:r>
      <w:r w:rsidR="00DE5D66" w:rsidRPr="003E601F">
        <w:rPr>
          <w:rFonts w:ascii="Tahoma" w:hAnsi="Tahoma" w:cs="Tahoma"/>
          <w:sz w:val="20"/>
          <w:szCs w:val="20"/>
        </w:rPr>
        <w:t xml:space="preserve">č. </w:t>
      </w:r>
      <w:r w:rsidR="008B2AE3">
        <w:rPr>
          <w:rFonts w:ascii="Tahoma" w:hAnsi="Tahoma" w:cs="Tahoma"/>
          <w:sz w:val="20"/>
          <w:szCs w:val="20"/>
        </w:rPr>
        <w:t>2</w:t>
      </w:r>
      <w:r w:rsidR="00DE5D66" w:rsidRPr="003E601F">
        <w:rPr>
          <w:rFonts w:ascii="Tahoma" w:hAnsi="Tahoma" w:cs="Tahoma"/>
          <w:sz w:val="20"/>
          <w:szCs w:val="20"/>
        </w:rPr>
        <w:t xml:space="preserve"> není uvedeno jinak, pojmy a výrazy uvedené </w:t>
      </w:r>
      <w:r w:rsidR="00CF43D4" w:rsidRPr="003E601F">
        <w:rPr>
          <w:rFonts w:ascii="Tahoma" w:hAnsi="Tahoma" w:cs="Tahoma"/>
          <w:sz w:val="20"/>
          <w:szCs w:val="20"/>
        </w:rPr>
        <w:t xml:space="preserve">velkým </w:t>
      </w:r>
      <w:r w:rsidR="00CF43D4" w:rsidRPr="008D1573">
        <w:rPr>
          <w:rFonts w:ascii="Tahoma" w:hAnsi="Tahoma" w:cs="Tahoma"/>
          <w:sz w:val="20"/>
          <w:szCs w:val="20"/>
        </w:rPr>
        <w:t xml:space="preserve">písmem a v tomto Dodatku č. </w:t>
      </w:r>
      <w:r w:rsidR="00B2779B" w:rsidRPr="008D1573">
        <w:rPr>
          <w:rFonts w:ascii="Tahoma" w:hAnsi="Tahoma" w:cs="Tahoma"/>
          <w:sz w:val="20"/>
          <w:szCs w:val="20"/>
        </w:rPr>
        <w:t>2</w:t>
      </w:r>
      <w:r w:rsidR="00CF43D4" w:rsidRPr="008D1573">
        <w:rPr>
          <w:rFonts w:ascii="Tahoma" w:hAnsi="Tahoma" w:cs="Tahoma"/>
          <w:sz w:val="20"/>
          <w:szCs w:val="20"/>
        </w:rPr>
        <w:t xml:space="preserve"> nedefinované mají význam </w:t>
      </w:r>
      <w:r w:rsidR="005B7FC1" w:rsidRPr="008D1573">
        <w:rPr>
          <w:rFonts w:ascii="Tahoma" w:hAnsi="Tahoma" w:cs="Tahoma"/>
          <w:sz w:val="20"/>
          <w:szCs w:val="20"/>
        </w:rPr>
        <w:t xml:space="preserve">uvedený ve Smlouvě o koupi pozemků </w:t>
      </w:r>
      <w:r w:rsidR="000B302A" w:rsidRPr="008D1573">
        <w:rPr>
          <w:rFonts w:ascii="Tahoma" w:hAnsi="Tahoma" w:cs="Tahoma"/>
          <w:sz w:val="20"/>
          <w:szCs w:val="20"/>
        </w:rPr>
        <w:t>č.</w:t>
      </w:r>
      <w:r w:rsidR="0003406B" w:rsidRPr="008D1573">
        <w:rPr>
          <w:rFonts w:ascii="Tahoma" w:hAnsi="Tahoma" w:cs="Tahoma"/>
          <w:sz w:val="20"/>
          <w:szCs w:val="20"/>
        </w:rPr>
        <w:t xml:space="preserve"> </w:t>
      </w:r>
      <w:r w:rsidR="00B2779B" w:rsidRPr="008D1573">
        <w:rPr>
          <w:rFonts w:ascii="Tahoma" w:hAnsi="Tahoma" w:cs="Tahoma"/>
          <w:sz w:val="20"/>
          <w:szCs w:val="20"/>
        </w:rPr>
        <w:t>08137</w:t>
      </w:r>
      <w:r w:rsidR="0003406B" w:rsidRPr="008D1573">
        <w:rPr>
          <w:rFonts w:ascii="Tahoma" w:hAnsi="Tahoma" w:cs="Tahoma"/>
          <w:sz w:val="20"/>
          <w:szCs w:val="20"/>
        </w:rPr>
        <w:t>/</w:t>
      </w:r>
      <w:r w:rsidR="00B2779B" w:rsidRPr="008D1573">
        <w:rPr>
          <w:rFonts w:ascii="Tahoma" w:hAnsi="Tahoma" w:cs="Tahoma"/>
          <w:sz w:val="20"/>
          <w:szCs w:val="20"/>
        </w:rPr>
        <w:t>2019</w:t>
      </w:r>
      <w:r w:rsidR="0003406B" w:rsidRPr="008D1573">
        <w:rPr>
          <w:rFonts w:ascii="Tahoma" w:hAnsi="Tahoma" w:cs="Tahoma"/>
          <w:sz w:val="20"/>
          <w:szCs w:val="20"/>
        </w:rPr>
        <w:t>/IM</w:t>
      </w:r>
      <w:r w:rsidR="000B302A" w:rsidRPr="008D1573">
        <w:rPr>
          <w:rFonts w:ascii="Tahoma" w:hAnsi="Tahoma" w:cs="Tahoma"/>
          <w:sz w:val="20"/>
          <w:szCs w:val="20"/>
        </w:rPr>
        <w:t xml:space="preserve"> </w:t>
      </w:r>
      <w:r w:rsidR="008D1573" w:rsidRPr="008D1573">
        <w:rPr>
          <w:rFonts w:ascii="Tahoma" w:hAnsi="Tahoma" w:cs="Tahoma"/>
          <w:sz w:val="20"/>
          <w:szCs w:val="20"/>
        </w:rPr>
        <w:t>ze</w:t>
      </w:r>
      <w:r w:rsidR="000B302A" w:rsidRPr="008D1573">
        <w:rPr>
          <w:rFonts w:ascii="Tahoma" w:hAnsi="Tahoma" w:cs="Tahoma"/>
          <w:sz w:val="20"/>
          <w:szCs w:val="20"/>
        </w:rPr>
        <w:t xml:space="preserve"> dne </w:t>
      </w:r>
      <w:r w:rsidR="00490E03" w:rsidRPr="008D1573">
        <w:rPr>
          <w:rFonts w:ascii="Tahoma" w:hAnsi="Tahoma" w:cs="Tahoma"/>
          <w:sz w:val="20"/>
          <w:szCs w:val="20"/>
        </w:rPr>
        <w:t>20</w:t>
      </w:r>
      <w:r w:rsidR="000B302A" w:rsidRPr="008D1573">
        <w:rPr>
          <w:rFonts w:ascii="Tahoma" w:hAnsi="Tahoma" w:cs="Tahoma"/>
          <w:sz w:val="20"/>
          <w:szCs w:val="20"/>
        </w:rPr>
        <w:t>. 1</w:t>
      </w:r>
      <w:r w:rsidR="00490E03" w:rsidRPr="008D1573">
        <w:rPr>
          <w:rFonts w:ascii="Tahoma" w:hAnsi="Tahoma" w:cs="Tahoma"/>
          <w:sz w:val="20"/>
          <w:szCs w:val="20"/>
        </w:rPr>
        <w:t>2</w:t>
      </w:r>
      <w:r w:rsidR="000B302A" w:rsidRPr="008D1573">
        <w:rPr>
          <w:rFonts w:ascii="Tahoma" w:hAnsi="Tahoma" w:cs="Tahoma"/>
          <w:sz w:val="20"/>
          <w:szCs w:val="20"/>
        </w:rPr>
        <w:t>. 201</w:t>
      </w:r>
      <w:r w:rsidR="00490E03" w:rsidRPr="008D1573">
        <w:rPr>
          <w:rFonts w:ascii="Tahoma" w:hAnsi="Tahoma" w:cs="Tahoma"/>
          <w:sz w:val="20"/>
          <w:szCs w:val="20"/>
        </w:rPr>
        <w:t>9</w:t>
      </w:r>
      <w:r w:rsidR="0003406B" w:rsidRPr="008D1573">
        <w:rPr>
          <w:rFonts w:ascii="Tahoma" w:hAnsi="Tahoma" w:cs="Tahoma"/>
          <w:sz w:val="20"/>
          <w:szCs w:val="20"/>
        </w:rPr>
        <w:t>.</w:t>
      </w:r>
    </w:p>
    <w:p w14:paraId="2A72F217" w14:textId="04BDA7F8" w:rsidR="00D364D8" w:rsidRDefault="00D364D8" w:rsidP="00B43581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8D1573">
        <w:rPr>
          <w:rFonts w:ascii="Tahoma" w:hAnsi="Tahoma" w:cs="Tahoma"/>
          <w:sz w:val="20"/>
          <w:szCs w:val="20"/>
        </w:rPr>
        <w:t xml:space="preserve">Smluvní strany prohlašují, že dne </w:t>
      </w:r>
      <w:r w:rsidR="008D1573" w:rsidRPr="008D1573">
        <w:rPr>
          <w:rFonts w:ascii="Tahoma" w:hAnsi="Tahoma" w:cs="Tahoma"/>
          <w:sz w:val="20"/>
          <w:szCs w:val="20"/>
        </w:rPr>
        <w:t>20</w:t>
      </w:r>
      <w:r w:rsidRPr="008D1573">
        <w:rPr>
          <w:rFonts w:ascii="Tahoma" w:hAnsi="Tahoma" w:cs="Tahoma"/>
          <w:sz w:val="20"/>
          <w:szCs w:val="20"/>
        </w:rPr>
        <w:t xml:space="preserve">. </w:t>
      </w:r>
      <w:r w:rsidR="005F7DDE" w:rsidRPr="008D1573">
        <w:rPr>
          <w:rFonts w:ascii="Tahoma" w:hAnsi="Tahoma" w:cs="Tahoma"/>
          <w:sz w:val="20"/>
          <w:szCs w:val="20"/>
        </w:rPr>
        <w:t>1</w:t>
      </w:r>
      <w:r w:rsidR="008D1573" w:rsidRPr="008D1573">
        <w:rPr>
          <w:rFonts w:ascii="Tahoma" w:hAnsi="Tahoma" w:cs="Tahoma"/>
          <w:sz w:val="20"/>
          <w:szCs w:val="20"/>
        </w:rPr>
        <w:t>2</w:t>
      </w:r>
      <w:r w:rsidRPr="008D1573">
        <w:rPr>
          <w:rFonts w:ascii="Tahoma" w:hAnsi="Tahoma" w:cs="Tahoma"/>
          <w:sz w:val="20"/>
          <w:szCs w:val="20"/>
        </w:rPr>
        <w:t xml:space="preserve">. </w:t>
      </w:r>
      <w:r w:rsidR="00E12B7D" w:rsidRPr="008D1573">
        <w:rPr>
          <w:rFonts w:ascii="Tahoma" w:hAnsi="Tahoma" w:cs="Tahoma"/>
          <w:sz w:val="20"/>
          <w:szCs w:val="20"/>
        </w:rPr>
        <w:t>201</w:t>
      </w:r>
      <w:r w:rsidR="008D1573" w:rsidRPr="008D1573">
        <w:rPr>
          <w:rFonts w:ascii="Tahoma" w:hAnsi="Tahoma" w:cs="Tahoma"/>
          <w:sz w:val="20"/>
          <w:szCs w:val="20"/>
        </w:rPr>
        <w:t>9</w:t>
      </w:r>
      <w:r w:rsidRPr="008D1573">
        <w:rPr>
          <w:rFonts w:ascii="Tahoma" w:hAnsi="Tahoma" w:cs="Tahoma"/>
          <w:sz w:val="20"/>
          <w:szCs w:val="20"/>
        </w:rPr>
        <w:t xml:space="preserve"> mezi sebou uzavřely </w:t>
      </w:r>
      <w:r w:rsidR="00A0017D" w:rsidRPr="008D1573">
        <w:rPr>
          <w:rFonts w:ascii="Tahoma" w:hAnsi="Tahoma" w:cs="Tahoma"/>
          <w:sz w:val="20"/>
          <w:szCs w:val="20"/>
        </w:rPr>
        <w:t>Smlouv</w:t>
      </w:r>
      <w:r w:rsidR="0012295B" w:rsidRPr="008D1573">
        <w:rPr>
          <w:rFonts w:ascii="Tahoma" w:hAnsi="Tahoma" w:cs="Tahoma"/>
          <w:sz w:val="20"/>
          <w:szCs w:val="20"/>
        </w:rPr>
        <w:t>u</w:t>
      </w:r>
      <w:r w:rsidR="00A0017D" w:rsidRPr="008D1573">
        <w:rPr>
          <w:rFonts w:ascii="Tahoma" w:hAnsi="Tahoma" w:cs="Tahoma"/>
          <w:sz w:val="20"/>
          <w:szCs w:val="20"/>
        </w:rPr>
        <w:t xml:space="preserve"> o koupi pozemků č.</w:t>
      </w:r>
      <w:r w:rsidR="00CA1E00">
        <w:rPr>
          <w:rFonts w:ascii="Tahoma" w:hAnsi="Tahoma" w:cs="Tahoma"/>
          <w:sz w:val="20"/>
          <w:szCs w:val="20"/>
        </w:rPr>
        <w:t> </w:t>
      </w:r>
      <w:r w:rsidR="008D1573" w:rsidRPr="008D1573">
        <w:rPr>
          <w:rFonts w:ascii="Tahoma" w:hAnsi="Tahoma" w:cs="Tahoma"/>
          <w:sz w:val="20"/>
          <w:szCs w:val="20"/>
        </w:rPr>
        <w:t>08137/2019/IM</w:t>
      </w:r>
      <w:r w:rsidRPr="008D1573">
        <w:rPr>
          <w:rFonts w:ascii="Tahoma" w:hAnsi="Tahoma" w:cs="Tahoma"/>
          <w:sz w:val="20"/>
          <w:szCs w:val="20"/>
        </w:rPr>
        <w:t xml:space="preserve"> (dále jen „</w:t>
      </w:r>
      <w:r w:rsidRPr="008D1573">
        <w:rPr>
          <w:rFonts w:ascii="Tahoma" w:hAnsi="Tahoma" w:cs="Tahoma"/>
          <w:b/>
          <w:bCs/>
          <w:sz w:val="20"/>
          <w:szCs w:val="20"/>
        </w:rPr>
        <w:t>Smlouva</w:t>
      </w:r>
      <w:r w:rsidRPr="008D1573">
        <w:rPr>
          <w:rFonts w:ascii="Tahoma" w:hAnsi="Tahoma" w:cs="Tahoma"/>
          <w:sz w:val="20"/>
          <w:szCs w:val="20"/>
        </w:rPr>
        <w:t xml:space="preserve">“). Dle čl. </w:t>
      </w:r>
      <w:r w:rsidR="002D28F4">
        <w:rPr>
          <w:rFonts w:ascii="Tahoma" w:hAnsi="Tahoma" w:cs="Tahoma"/>
          <w:sz w:val="20"/>
          <w:szCs w:val="20"/>
        </w:rPr>
        <w:t>5</w:t>
      </w:r>
      <w:r w:rsidRPr="008D1573">
        <w:rPr>
          <w:rFonts w:ascii="Tahoma" w:hAnsi="Tahoma" w:cs="Tahoma"/>
          <w:sz w:val="20"/>
          <w:szCs w:val="20"/>
        </w:rPr>
        <w:t xml:space="preserve">. odst. </w:t>
      </w:r>
      <w:r w:rsidR="00091185">
        <w:rPr>
          <w:rFonts w:ascii="Tahoma" w:hAnsi="Tahoma" w:cs="Tahoma"/>
          <w:sz w:val="20"/>
          <w:szCs w:val="20"/>
        </w:rPr>
        <w:t>5.</w:t>
      </w:r>
      <w:r w:rsidR="004029BB" w:rsidRPr="008D1573">
        <w:rPr>
          <w:rFonts w:ascii="Tahoma" w:hAnsi="Tahoma" w:cs="Tahoma"/>
          <w:sz w:val="20"/>
          <w:szCs w:val="20"/>
        </w:rPr>
        <w:t>1</w:t>
      </w:r>
      <w:r w:rsidRPr="008D1573">
        <w:rPr>
          <w:rFonts w:ascii="Tahoma" w:hAnsi="Tahoma" w:cs="Tahoma"/>
          <w:sz w:val="20"/>
          <w:szCs w:val="20"/>
        </w:rPr>
        <w:t xml:space="preserve"> Smlouvy se </w:t>
      </w:r>
      <w:r w:rsidR="004029BB" w:rsidRPr="008D1573">
        <w:rPr>
          <w:rFonts w:ascii="Tahoma" w:hAnsi="Tahoma" w:cs="Tahoma"/>
          <w:sz w:val="20"/>
          <w:szCs w:val="20"/>
        </w:rPr>
        <w:t xml:space="preserve">prodávající zavázal převést vlastnické </w:t>
      </w:r>
      <w:r w:rsidR="004E3E7A" w:rsidRPr="008D1573">
        <w:rPr>
          <w:rFonts w:ascii="Tahoma" w:hAnsi="Tahoma" w:cs="Tahoma"/>
          <w:sz w:val="20"/>
          <w:szCs w:val="20"/>
        </w:rPr>
        <w:t>právo</w:t>
      </w:r>
      <w:r w:rsidR="00B56827" w:rsidRPr="008D1573">
        <w:rPr>
          <w:rFonts w:ascii="Tahoma" w:hAnsi="Tahoma" w:cs="Tahoma"/>
          <w:sz w:val="20"/>
          <w:szCs w:val="20"/>
        </w:rPr>
        <w:t xml:space="preserve"> k</w:t>
      </w:r>
      <w:r w:rsidR="00195D28" w:rsidRPr="008D1573">
        <w:rPr>
          <w:rFonts w:ascii="Tahoma" w:hAnsi="Tahoma" w:cs="Tahoma"/>
          <w:sz w:val="20"/>
          <w:szCs w:val="20"/>
        </w:rPr>
        <w:t> </w:t>
      </w:r>
      <w:r w:rsidR="00B56827" w:rsidRPr="008D1573">
        <w:rPr>
          <w:rFonts w:ascii="Tahoma" w:hAnsi="Tahoma" w:cs="Tahoma"/>
          <w:sz w:val="20"/>
          <w:szCs w:val="20"/>
        </w:rPr>
        <w:t>Pozemkům</w:t>
      </w:r>
      <w:r w:rsidR="00195D28" w:rsidRPr="008D1573">
        <w:rPr>
          <w:rFonts w:ascii="Tahoma" w:hAnsi="Tahoma" w:cs="Tahoma"/>
          <w:sz w:val="20"/>
          <w:szCs w:val="20"/>
        </w:rPr>
        <w:t xml:space="preserve"> a </w:t>
      </w:r>
      <w:r w:rsidR="00E00FD5" w:rsidRPr="008D1573">
        <w:rPr>
          <w:rFonts w:ascii="Tahoma" w:hAnsi="Tahoma" w:cs="Tahoma"/>
          <w:sz w:val="20"/>
          <w:szCs w:val="20"/>
        </w:rPr>
        <w:t xml:space="preserve">zároveň </w:t>
      </w:r>
      <w:r w:rsidR="00195D28" w:rsidRPr="008D1573">
        <w:rPr>
          <w:rFonts w:ascii="Tahoma" w:hAnsi="Tahoma" w:cs="Tahoma"/>
          <w:sz w:val="20"/>
          <w:szCs w:val="20"/>
        </w:rPr>
        <w:t xml:space="preserve">předat tyto </w:t>
      </w:r>
      <w:r w:rsidR="00E00FD5" w:rsidRPr="008D1573">
        <w:rPr>
          <w:rFonts w:ascii="Tahoma" w:hAnsi="Tahoma" w:cs="Tahoma"/>
          <w:sz w:val="20"/>
          <w:szCs w:val="20"/>
        </w:rPr>
        <w:t>kupujícímu.</w:t>
      </w:r>
      <w:r w:rsidR="00E1252B" w:rsidRPr="008D1573">
        <w:rPr>
          <w:rFonts w:ascii="Tahoma" w:hAnsi="Tahoma" w:cs="Tahoma"/>
          <w:sz w:val="20"/>
          <w:szCs w:val="20"/>
        </w:rPr>
        <w:t xml:space="preserve"> Kupující se zavázal uhradit prodávajícímu </w:t>
      </w:r>
      <w:r w:rsidR="00C40E86" w:rsidRPr="008D1573">
        <w:rPr>
          <w:rFonts w:ascii="Tahoma" w:hAnsi="Tahoma" w:cs="Tahoma"/>
          <w:sz w:val="20"/>
          <w:szCs w:val="20"/>
        </w:rPr>
        <w:t xml:space="preserve">za převod vlastnického práva k Pozemkům </w:t>
      </w:r>
      <w:r w:rsidR="00033F3A" w:rsidRPr="008D1573">
        <w:rPr>
          <w:rFonts w:ascii="Tahoma" w:hAnsi="Tahoma" w:cs="Tahoma"/>
          <w:sz w:val="20"/>
          <w:szCs w:val="20"/>
        </w:rPr>
        <w:t xml:space="preserve">sjednanou </w:t>
      </w:r>
      <w:r w:rsidR="00214694" w:rsidRPr="008D1573">
        <w:rPr>
          <w:rFonts w:ascii="Tahoma" w:hAnsi="Tahoma" w:cs="Tahoma"/>
          <w:sz w:val="20"/>
          <w:szCs w:val="20"/>
        </w:rPr>
        <w:t>Kupní cenu</w:t>
      </w:r>
      <w:r w:rsidR="00E1252B" w:rsidRPr="008D1573">
        <w:rPr>
          <w:rFonts w:ascii="Tahoma" w:hAnsi="Tahoma" w:cs="Tahoma"/>
          <w:sz w:val="20"/>
          <w:szCs w:val="20"/>
        </w:rPr>
        <w:t>.</w:t>
      </w:r>
    </w:p>
    <w:p w14:paraId="12B846C1" w14:textId="54070508" w:rsidR="005662F5" w:rsidRPr="008D1573" w:rsidRDefault="0073131C" w:rsidP="00B43581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Shora specifikované smluvní strany uzavřely dne</w:t>
      </w:r>
      <w:r w:rsidR="007E7890">
        <w:rPr>
          <w:rFonts w:ascii="Tahoma" w:hAnsi="Tahoma" w:cs="Tahoma"/>
          <w:sz w:val="20"/>
          <w:szCs w:val="20"/>
        </w:rPr>
        <w:t xml:space="preserve"> 30. 6. 2022 Dodatek č. 1 ke Smlouvě, </w:t>
      </w:r>
      <w:r w:rsidR="008C6EC1">
        <w:rPr>
          <w:rFonts w:ascii="Tahoma" w:hAnsi="Tahoma" w:cs="Tahoma"/>
          <w:sz w:val="20"/>
          <w:szCs w:val="20"/>
        </w:rPr>
        <w:t>kterým došlo</w:t>
      </w:r>
      <w:r w:rsidR="00752013">
        <w:rPr>
          <w:rFonts w:ascii="Tahoma" w:hAnsi="Tahoma" w:cs="Tahoma"/>
          <w:sz w:val="20"/>
          <w:szCs w:val="20"/>
        </w:rPr>
        <w:t xml:space="preserve"> zejména</w:t>
      </w:r>
      <w:r w:rsidR="008C6EC1">
        <w:rPr>
          <w:rFonts w:ascii="Tahoma" w:hAnsi="Tahoma" w:cs="Tahoma"/>
          <w:sz w:val="20"/>
          <w:szCs w:val="20"/>
        </w:rPr>
        <w:t xml:space="preserve"> </w:t>
      </w:r>
      <w:r w:rsidR="007145C6">
        <w:rPr>
          <w:rFonts w:ascii="Tahoma" w:hAnsi="Tahoma" w:cs="Tahoma"/>
          <w:sz w:val="20"/>
          <w:szCs w:val="20"/>
        </w:rPr>
        <w:t>ke změně termínu splatnosti kupní ceny</w:t>
      </w:r>
      <w:r w:rsidR="00206F98">
        <w:rPr>
          <w:rFonts w:ascii="Tahoma" w:hAnsi="Tahoma" w:cs="Tahoma"/>
          <w:sz w:val="20"/>
          <w:szCs w:val="20"/>
        </w:rPr>
        <w:t xml:space="preserve"> za převod vlastnického práva k Pozemkům.</w:t>
      </w:r>
    </w:p>
    <w:p w14:paraId="15A5C237" w14:textId="72014CB2" w:rsidR="00D364D8" w:rsidRPr="003E601F" w:rsidRDefault="001D420C" w:rsidP="00B43581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S ohledem na změnu okolností v době po uzavření S</w:t>
      </w:r>
      <w:r w:rsidR="00801054" w:rsidRPr="003E601F">
        <w:rPr>
          <w:rFonts w:ascii="Tahoma" w:hAnsi="Tahoma" w:cs="Tahoma"/>
          <w:sz w:val="20"/>
          <w:szCs w:val="20"/>
        </w:rPr>
        <w:t xml:space="preserve">mlouvy se smluvní strany rozhodly uzavřít </w:t>
      </w:r>
      <w:r w:rsidR="00EC2039" w:rsidRPr="003E601F">
        <w:rPr>
          <w:rFonts w:ascii="Tahoma" w:hAnsi="Tahoma" w:cs="Tahoma"/>
          <w:sz w:val="20"/>
          <w:szCs w:val="20"/>
        </w:rPr>
        <w:t xml:space="preserve">tento Dodatek č. </w:t>
      </w:r>
      <w:r w:rsidR="00206F98">
        <w:rPr>
          <w:rFonts w:ascii="Tahoma" w:hAnsi="Tahoma" w:cs="Tahoma"/>
          <w:sz w:val="20"/>
          <w:szCs w:val="20"/>
        </w:rPr>
        <w:t>2</w:t>
      </w:r>
      <w:r w:rsidR="00D364D8" w:rsidRPr="003E601F">
        <w:rPr>
          <w:rFonts w:ascii="Tahoma" w:hAnsi="Tahoma" w:cs="Tahoma"/>
          <w:sz w:val="20"/>
          <w:szCs w:val="20"/>
        </w:rPr>
        <w:t>.</w:t>
      </w:r>
    </w:p>
    <w:p w14:paraId="13187E6B" w14:textId="42AD8CA7" w:rsidR="00D364D8" w:rsidRPr="003E601F" w:rsidRDefault="00D364D8" w:rsidP="009D7D3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II.</w:t>
      </w:r>
    </w:p>
    <w:p w14:paraId="2DB67875" w14:textId="14964288" w:rsidR="00D364D8" w:rsidRPr="003E601F" w:rsidRDefault="00D364D8" w:rsidP="00D364D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Změn</w:t>
      </w:r>
      <w:r w:rsidR="00691A5D" w:rsidRPr="003E601F">
        <w:rPr>
          <w:rFonts w:ascii="Tahoma" w:hAnsi="Tahoma" w:cs="Tahoma"/>
          <w:b/>
          <w:sz w:val="20"/>
          <w:szCs w:val="20"/>
        </w:rPr>
        <w:t>y</w:t>
      </w:r>
      <w:r w:rsidRPr="003E601F">
        <w:rPr>
          <w:rFonts w:ascii="Tahoma" w:hAnsi="Tahoma" w:cs="Tahoma"/>
          <w:b/>
          <w:sz w:val="20"/>
          <w:szCs w:val="20"/>
        </w:rPr>
        <w:t xml:space="preserve"> Smlouvy</w:t>
      </w:r>
    </w:p>
    <w:p w14:paraId="0310A195" w14:textId="6896CD99" w:rsidR="0053270B" w:rsidRPr="004749B2" w:rsidRDefault="0053270B" w:rsidP="00B4358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4749B2">
        <w:rPr>
          <w:rFonts w:ascii="Tahoma" w:hAnsi="Tahoma" w:cs="Tahoma"/>
          <w:sz w:val="20"/>
          <w:szCs w:val="20"/>
        </w:rPr>
        <w:t xml:space="preserve">Článek 9. odst. 9.2 Smlouvy se v části </w:t>
      </w:r>
      <w:r w:rsidR="00C01977">
        <w:rPr>
          <w:rFonts w:ascii="Tahoma" w:hAnsi="Tahoma" w:cs="Tahoma"/>
          <w:sz w:val="20"/>
          <w:szCs w:val="20"/>
        </w:rPr>
        <w:t xml:space="preserve">v pořadí </w:t>
      </w:r>
      <w:r w:rsidR="003C2764" w:rsidRPr="004749B2">
        <w:rPr>
          <w:rFonts w:ascii="Tahoma" w:hAnsi="Tahoma" w:cs="Tahoma"/>
          <w:sz w:val="20"/>
          <w:szCs w:val="20"/>
        </w:rPr>
        <w:t>čtvrté</w:t>
      </w:r>
      <w:r w:rsidRPr="004749B2">
        <w:rPr>
          <w:rFonts w:ascii="Tahoma" w:hAnsi="Tahoma" w:cs="Tahoma"/>
          <w:sz w:val="20"/>
          <w:szCs w:val="20"/>
        </w:rPr>
        <w:t xml:space="preserve"> </w:t>
      </w:r>
      <w:r w:rsidR="00C01977">
        <w:rPr>
          <w:rFonts w:ascii="Tahoma" w:hAnsi="Tahoma" w:cs="Tahoma"/>
          <w:sz w:val="20"/>
          <w:szCs w:val="20"/>
        </w:rPr>
        <w:t xml:space="preserve">a páté </w:t>
      </w:r>
      <w:r w:rsidRPr="004749B2">
        <w:rPr>
          <w:rFonts w:ascii="Tahoma" w:hAnsi="Tahoma" w:cs="Tahoma"/>
          <w:sz w:val="20"/>
          <w:szCs w:val="20"/>
        </w:rPr>
        <w:t xml:space="preserve">odrážky </w:t>
      </w:r>
      <w:r w:rsidR="00C01977">
        <w:rPr>
          <w:rFonts w:ascii="Tahoma" w:hAnsi="Tahoma" w:cs="Tahoma"/>
          <w:sz w:val="20"/>
          <w:szCs w:val="20"/>
        </w:rPr>
        <w:t xml:space="preserve">(vždy v celém jejich rozsahu) </w:t>
      </w:r>
      <w:r w:rsidRPr="004749B2">
        <w:rPr>
          <w:rFonts w:ascii="Tahoma" w:hAnsi="Tahoma" w:cs="Tahoma"/>
          <w:sz w:val="20"/>
          <w:szCs w:val="20"/>
        </w:rPr>
        <w:t xml:space="preserve">předmětného ustanovení </w:t>
      </w:r>
      <w:r w:rsidR="00D92A16">
        <w:rPr>
          <w:rFonts w:ascii="Tahoma" w:hAnsi="Tahoma" w:cs="Tahoma"/>
          <w:sz w:val="20"/>
          <w:szCs w:val="20"/>
        </w:rPr>
        <w:t xml:space="preserve">bez náhrady </w:t>
      </w:r>
      <w:proofErr w:type="gramStart"/>
      <w:r w:rsidRPr="004749B2">
        <w:rPr>
          <w:rFonts w:ascii="Tahoma" w:hAnsi="Tahoma" w:cs="Tahoma"/>
          <w:sz w:val="20"/>
          <w:szCs w:val="20"/>
        </w:rPr>
        <w:t>ruší</w:t>
      </w:r>
      <w:proofErr w:type="gramEnd"/>
      <w:r w:rsidRPr="004749B2">
        <w:rPr>
          <w:rFonts w:ascii="Tahoma" w:hAnsi="Tahoma" w:cs="Tahoma"/>
          <w:sz w:val="20"/>
          <w:szCs w:val="20"/>
        </w:rPr>
        <w:t>.</w:t>
      </w:r>
    </w:p>
    <w:p w14:paraId="4C37F313" w14:textId="3D45889B" w:rsidR="00D364D8" w:rsidRPr="003E601F" w:rsidRDefault="00D364D8" w:rsidP="00B4358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V článku </w:t>
      </w:r>
      <w:r w:rsidR="00914E9C">
        <w:rPr>
          <w:rFonts w:ascii="Tahoma" w:hAnsi="Tahoma" w:cs="Tahoma"/>
          <w:sz w:val="20"/>
          <w:szCs w:val="20"/>
        </w:rPr>
        <w:t>9</w:t>
      </w:r>
      <w:r w:rsidRPr="003E601F">
        <w:rPr>
          <w:rFonts w:ascii="Tahoma" w:hAnsi="Tahoma" w:cs="Tahoma"/>
          <w:sz w:val="20"/>
          <w:szCs w:val="20"/>
        </w:rPr>
        <w:t xml:space="preserve">. </w:t>
      </w:r>
      <w:r w:rsidR="002B0C3E" w:rsidRPr="003E601F">
        <w:rPr>
          <w:rFonts w:ascii="Tahoma" w:hAnsi="Tahoma" w:cs="Tahoma"/>
          <w:sz w:val="20"/>
          <w:szCs w:val="20"/>
        </w:rPr>
        <w:t>odst.</w:t>
      </w:r>
      <w:r w:rsidR="00C450AA">
        <w:rPr>
          <w:rFonts w:ascii="Tahoma" w:hAnsi="Tahoma" w:cs="Tahoma"/>
          <w:sz w:val="20"/>
          <w:szCs w:val="20"/>
        </w:rPr>
        <w:t xml:space="preserve"> </w:t>
      </w:r>
      <w:r w:rsidR="000C3F6A">
        <w:rPr>
          <w:rFonts w:ascii="Tahoma" w:hAnsi="Tahoma" w:cs="Tahoma"/>
          <w:sz w:val="20"/>
          <w:szCs w:val="20"/>
        </w:rPr>
        <w:t>9.</w:t>
      </w:r>
      <w:r w:rsidR="00C450AA">
        <w:rPr>
          <w:rFonts w:ascii="Tahoma" w:hAnsi="Tahoma" w:cs="Tahoma"/>
          <w:sz w:val="20"/>
          <w:szCs w:val="20"/>
        </w:rPr>
        <w:t>2</w:t>
      </w:r>
      <w:r w:rsidR="002B0C3E" w:rsidRPr="003E601F">
        <w:rPr>
          <w:rFonts w:ascii="Tahoma" w:hAnsi="Tahoma" w:cs="Tahoma"/>
          <w:sz w:val="20"/>
          <w:szCs w:val="20"/>
        </w:rPr>
        <w:t xml:space="preserve"> Smlouvy se část </w:t>
      </w:r>
      <w:r w:rsidR="00701AB1" w:rsidRPr="003E601F">
        <w:rPr>
          <w:rFonts w:ascii="Tahoma" w:hAnsi="Tahoma" w:cs="Tahoma"/>
          <w:sz w:val="20"/>
          <w:szCs w:val="20"/>
        </w:rPr>
        <w:t>ustanovení obsažená</w:t>
      </w:r>
      <w:r w:rsidR="00C01977">
        <w:rPr>
          <w:rFonts w:ascii="Tahoma" w:hAnsi="Tahoma" w:cs="Tahoma"/>
          <w:sz w:val="20"/>
          <w:szCs w:val="20"/>
        </w:rPr>
        <w:t xml:space="preserve"> v pořadí</w:t>
      </w:r>
      <w:r w:rsidR="00701AB1" w:rsidRPr="003E601F">
        <w:rPr>
          <w:rFonts w:ascii="Tahoma" w:hAnsi="Tahoma" w:cs="Tahoma"/>
          <w:sz w:val="20"/>
          <w:szCs w:val="20"/>
        </w:rPr>
        <w:t xml:space="preserve"> v poslední odrážce mění v části </w:t>
      </w:r>
      <w:r w:rsidR="00FF7D9E" w:rsidRPr="003E601F">
        <w:rPr>
          <w:rFonts w:ascii="Tahoma" w:hAnsi="Tahoma" w:cs="Tahoma"/>
          <w:i/>
          <w:iCs/>
          <w:sz w:val="20"/>
          <w:szCs w:val="20"/>
        </w:rPr>
        <w:t>„</w:t>
      </w:r>
      <w:r w:rsidR="004749B2">
        <w:rPr>
          <w:rFonts w:ascii="Tahoma" w:hAnsi="Tahoma" w:cs="Tahoma"/>
          <w:i/>
          <w:iCs/>
          <w:sz w:val="20"/>
          <w:szCs w:val="20"/>
        </w:rPr>
        <w:t>do</w:t>
      </w:r>
      <w:r w:rsidR="00CA1E00">
        <w:rPr>
          <w:rFonts w:ascii="Tahoma" w:hAnsi="Tahoma" w:cs="Tahoma"/>
          <w:i/>
          <w:iCs/>
          <w:sz w:val="20"/>
          <w:szCs w:val="20"/>
        </w:rPr>
        <w:t> </w:t>
      </w:r>
      <w:r w:rsidR="00FF7D9E" w:rsidRPr="003E601F">
        <w:rPr>
          <w:rFonts w:ascii="Tahoma" w:hAnsi="Tahoma" w:cs="Tahoma"/>
          <w:i/>
          <w:iCs/>
          <w:sz w:val="20"/>
          <w:szCs w:val="20"/>
        </w:rPr>
        <w:t xml:space="preserve">osmnácti měsíců od nabytí právní moci </w:t>
      </w:r>
      <w:r w:rsidR="00D36363" w:rsidRPr="003E601F">
        <w:rPr>
          <w:rFonts w:ascii="Tahoma" w:hAnsi="Tahoma" w:cs="Tahoma"/>
          <w:i/>
          <w:iCs/>
          <w:sz w:val="20"/>
          <w:szCs w:val="20"/>
        </w:rPr>
        <w:t>Stavebního povolení pro I. Etapu Stavby.“</w:t>
      </w:r>
      <w:r w:rsidR="003B2BC2" w:rsidRPr="003E601F">
        <w:rPr>
          <w:rFonts w:ascii="Tahoma" w:hAnsi="Tahoma" w:cs="Tahoma"/>
          <w:sz w:val="20"/>
          <w:szCs w:val="20"/>
        </w:rPr>
        <w:t xml:space="preserve"> </w:t>
      </w:r>
      <w:r w:rsidR="00C01977">
        <w:rPr>
          <w:rFonts w:ascii="Tahoma" w:hAnsi="Tahoma" w:cs="Tahoma"/>
          <w:sz w:val="20"/>
          <w:szCs w:val="20"/>
        </w:rPr>
        <w:t xml:space="preserve">a nově zní </w:t>
      </w:r>
      <w:r w:rsidR="00D36363" w:rsidRPr="003E601F">
        <w:rPr>
          <w:rFonts w:ascii="Tahoma" w:hAnsi="Tahoma" w:cs="Tahoma"/>
          <w:sz w:val="20"/>
          <w:szCs w:val="20"/>
        </w:rPr>
        <w:t>následovně</w:t>
      </w:r>
      <w:r w:rsidRPr="003E601F">
        <w:rPr>
          <w:rFonts w:ascii="Tahoma" w:hAnsi="Tahoma" w:cs="Tahoma"/>
          <w:sz w:val="20"/>
          <w:szCs w:val="20"/>
        </w:rPr>
        <w:t>:</w:t>
      </w:r>
    </w:p>
    <w:p w14:paraId="121E9B0B" w14:textId="00C0E853" w:rsidR="003101A7" w:rsidRPr="00FC0E75" w:rsidRDefault="00D364D8" w:rsidP="00CA1E00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426"/>
        <w:contextualSpacing w:val="0"/>
        <w:jc w:val="both"/>
        <w:rPr>
          <w:rFonts w:ascii="Tahoma" w:hAnsi="Tahoma" w:cs="Tahoma"/>
          <w:i/>
          <w:sz w:val="20"/>
          <w:szCs w:val="20"/>
        </w:rPr>
      </w:pPr>
      <w:r w:rsidRPr="00FC0E75">
        <w:rPr>
          <w:rFonts w:ascii="Tahoma" w:hAnsi="Tahoma" w:cs="Tahoma"/>
          <w:i/>
          <w:sz w:val="20"/>
          <w:szCs w:val="20"/>
        </w:rPr>
        <w:t>„</w:t>
      </w:r>
      <w:bookmarkStart w:id="0" w:name="_Hlk132789178"/>
      <w:r w:rsidR="004749B2" w:rsidRPr="00FC0E75">
        <w:rPr>
          <w:rFonts w:ascii="Tahoma" w:hAnsi="Tahoma" w:cs="Tahoma"/>
          <w:i/>
          <w:sz w:val="20"/>
          <w:szCs w:val="20"/>
        </w:rPr>
        <w:t xml:space="preserve">do </w:t>
      </w:r>
      <w:r w:rsidR="00C01977">
        <w:rPr>
          <w:rFonts w:ascii="Tahoma" w:hAnsi="Tahoma" w:cs="Tahoma"/>
          <w:i/>
          <w:sz w:val="20"/>
          <w:szCs w:val="20"/>
        </w:rPr>
        <w:t>31. 12. 2025</w:t>
      </w:r>
      <w:r w:rsidRPr="00FC0E75">
        <w:rPr>
          <w:rFonts w:ascii="Tahoma" w:hAnsi="Tahoma" w:cs="Tahoma"/>
          <w:i/>
          <w:sz w:val="20"/>
          <w:szCs w:val="20"/>
        </w:rPr>
        <w:t>.“</w:t>
      </w:r>
      <w:bookmarkEnd w:id="0"/>
    </w:p>
    <w:p w14:paraId="7F6988F2" w14:textId="6890FB55" w:rsidR="003101A7" w:rsidRPr="003E601F" w:rsidRDefault="005743CE" w:rsidP="00B4358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lastRenderedPageBreak/>
        <w:t>Článek</w:t>
      </w:r>
      <w:r w:rsidR="00681148" w:rsidRPr="003E601F">
        <w:rPr>
          <w:rFonts w:ascii="Tahoma" w:hAnsi="Tahoma" w:cs="Tahoma"/>
          <w:sz w:val="20"/>
          <w:szCs w:val="20"/>
        </w:rPr>
        <w:t xml:space="preserve"> </w:t>
      </w:r>
      <w:r w:rsidR="001C0B55" w:rsidRPr="003E601F">
        <w:rPr>
          <w:rFonts w:ascii="Tahoma" w:hAnsi="Tahoma" w:cs="Tahoma"/>
          <w:sz w:val="20"/>
          <w:szCs w:val="20"/>
        </w:rPr>
        <w:t>11</w:t>
      </w:r>
      <w:r w:rsidR="00681148" w:rsidRPr="003E601F">
        <w:rPr>
          <w:rFonts w:ascii="Tahoma" w:hAnsi="Tahoma" w:cs="Tahoma"/>
          <w:sz w:val="20"/>
          <w:szCs w:val="20"/>
        </w:rPr>
        <w:t xml:space="preserve">. odst. </w:t>
      </w:r>
      <w:r w:rsidR="00AD5D35">
        <w:rPr>
          <w:rFonts w:ascii="Tahoma" w:hAnsi="Tahoma" w:cs="Tahoma"/>
          <w:sz w:val="20"/>
          <w:szCs w:val="20"/>
        </w:rPr>
        <w:t>11.</w:t>
      </w:r>
      <w:r w:rsidR="001C0B55" w:rsidRPr="003E601F">
        <w:rPr>
          <w:rFonts w:ascii="Tahoma" w:hAnsi="Tahoma" w:cs="Tahoma"/>
          <w:sz w:val="20"/>
          <w:szCs w:val="20"/>
        </w:rPr>
        <w:t>4 Smlouvy</w:t>
      </w:r>
      <w:r w:rsidR="001E3CAB" w:rsidRPr="003E601F">
        <w:rPr>
          <w:rFonts w:ascii="Tahoma" w:hAnsi="Tahoma" w:cs="Tahoma"/>
          <w:sz w:val="20"/>
          <w:szCs w:val="20"/>
        </w:rPr>
        <w:t xml:space="preserve"> se mění </w:t>
      </w:r>
      <w:r w:rsidR="00C01977">
        <w:rPr>
          <w:rFonts w:ascii="Tahoma" w:hAnsi="Tahoma" w:cs="Tahoma"/>
          <w:sz w:val="20"/>
          <w:szCs w:val="20"/>
        </w:rPr>
        <w:t xml:space="preserve">a nově zní </w:t>
      </w:r>
      <w:r w:rsidR="002A2C98" w:rsidRPr="003E601F">
        <w:rPr>
          <w:rFonts w:ascii="Tahoma" w:hAnsi="Tahoma" w:cs="Tahoma"/>
          <w:sz w:val="20"/>
          <w:szCs w:val="20"/>
        </w:rPr>
        <w:t>následovně</w:t>
      </w:r>
      <w:r w:rsidR="001E3CAB" w:rsidRPr="003E601F">
        <w:rPr>
          <w:rFonts w:ascii="Tahoma" w:hAnsi="Tahoma" w:cs="Tahoma"/>
          <w:sz w:val="20"/>
          <w:szCs w:val="20"/>
        </w:rPr>
        <w:t>:</w:t>
      </w:r>
    </w:p>
    <w:p w14:paraId="716B9C9A" w14:textId="1B5FC19D" w:rsidR="003F4F9A" w:rsidRPr="004749B2" w:rsidRDefault="00B63ACA" w:rsidP="007715E0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left="993" w:hanging="704"/>
        <w:contextualSpacing w:val="0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3E601F">
        <w:rPr>
          <w:rFonts w:ascii="Tahoma" w:hAnsi="Tahoma" w:cs="Tahoma"/>
          <w:i/>
          <w:iCs/>
          <w:sz w:val="20"/>
          <w:szCs w:val="20"/>
        </w:rPr>
        <w:t>Smluvní strany tímto zřizují zákaz zcizení prodávaných Pozemků (jejich část</w:t>
      </w:r>
      <w:r w:rsidR="00BF6AA2" w:rsidRPr="003E601F">
        <w:rPr>
          <w:rFonts w:ascii="Tahoma" w:hAnsi="Tahoma" w:cs="Tahoma"/>
          <w:i/>
          <w:iCs/>
          <w:sz w:val="20"/>
          <w:szCs w:val="20"/>
        </w:rPr>
        <w:t>í</w:t>
      </w:r>
      <w:r w:rsidRPr="003E601F">
        <w:rPr>
          <w:rFonts w:ascii="Tahoma" w:hAnsi="Tahoma" w:cs="Tahoma"/>
          <w:i/>
          <w:iCs/>
          <w:sz w:val="20"/>
          <w:szCs w:val="20"/>
        </w:rPr>
        <w:t>)</w:t>
      </w:r>
      <w:r w:rsidR="00BF6AA2" w:rsidRPr="003E601F">
        <w:rPr>
          <w:rFonts w:ascii="Tahoma" w:hAnsi="Tahoma" w:cs="Tahoma"/>
          <w:i/>
          <w:iCs/>
          <w:sz w:val="20"/>
          <w:szCs w:val="20"/>
        </w:rPr>
        <w:t>, či kterékoliv z</w:t>
      </w:r>
      <w:r w:rsidR="00E46D26" w:rsidRPr="003E601F">
        <w:rPr>
          <w:rFonts w:ascii="Tahoma" w:hAnsi="Tahoma" w:cs="Tahoma"/>
          <w:i/>
          <w:iCs/>
          <w:sz w:val="20"/>
          <w:szCs w:val="20"/>
        </w:rPr>
        <w:t> </w:t>
      </w:r>
      <w:r w:rsidR="00BF6AA2" w:rsidRPr="003E601F">
        <w:rPr>
          <w:rFonts w:ascii="Tahoma" w:hAnsi="Tahoma" w:cs="Tahoma"/>
          <w:i/>
          <w:iCs/>
          <w:sz w:val="20"/>
          <w:szCs w:val="20"/>
        </w:rPr>
        <w:t>nich</w:t>
      </w:r>
      <w:r w:rsidR="00E46D26" w:rsidRPr="003E601F">
        <w:rPr>
          <w:rFonts w:ascii="Tahoma" w:hAnsi="Tahoma" w:cs="Tahoma"/>
          <w:i/>
          <w:iCs/>
          <w:sz w:val="20"/>
          <w:szCs w:val="20"/>
        </w:rPr>
        <w:t>,</w:t>
      </w:r>
      <w:r w:rsidRPr="003E601F">
        <w:rPr>
          <w:rFonts w:ascii="Tahoma" w:hAnsi="Tahoma" w:cs="Tahoma"/>
          <w:i/>
          <w:iCs/>
          <w:sz w:val="20"/>
          <w:szCs w:val="20"/>
        </w:rPr>
        <w:t xml:space="preserve"> jakožto věcné právo, které bude v souladu s </w:t>
      </w:r>
      <w:proofErr w:type="spellStart"/>
      <w:r w:rsidRPr="003E601F">
        <w:rPr>
          <w:rFonts w:ascii="Tahoma" w:hAnsi="Tahoma" w:cs="Tahoma"/>
          <w:i/>
          <w:iCs/>
          <w:sz w:val="20"/>
          <w:szCs w:val="20"/>
        </w:rPr>
        <w:t>ust</w:t>
      </w:r>
      <w:proofErr w:type="spellEnd"/>
      <w:r w:rsidRPr="003E601F">
        <w:rPr>
          <w:rFonts w:ascii="Tahoma" w:hAnsi="Tahoma" w:cs="Tahoma"/>
          <w:i/>
          <w:iCs/>
          <w:sz w:val="20"/>
          <w:szCs w:val="20"/>
        </w:rPr>
        <w:t>. § 11 zákona č. 256/2013 Sb. zapsáno do katastru nemovitostí. Zákaz zcizení se zřizuje na dobu určitou, počínaje dnem jeho vzniku zápisem do katastru nemovitostí a konče dnem, kdy bude vydán kolaudační souhlas, anebo nabude právní moci kolaudační rozhodnutí</w:t>
      </w:r>
      <w:r w:rsidR="00255B38" w:rsidRPr="003E601F">
        <w:rPr>
          <w:rFonts w:ascii="Tahoma" w:hAnsi="Tahoma" w:cs="Tahoma"/>
          <w:i/>
          <w:iCs/>
          <w:sz w:val="20"/>
          <w:szCs w:val="20"/>
        </w:rPr>
        <w:t xml:space="preserve"> </w:t>
      </w:r>
      <w:r w:rsidR="00056820">
        <w:rPr>
          <w:rFonts w:ascii="Tahoma" w:hAnsi="Tahoma" w:cs="Tahoma"/>
          <w:i/>
          <w:iCs/>
          <w:sz w:val="20"/>
          <w:szCs w:val="20"/>
        </w:rPr>
        <w:t>pro</w:t>
      </w:r>
      <w:r w:rsidR="00C01977">
        <w:rPr>
          <w:rFonts w:ascii="Tahoma" w:hAnsi="Tahoma" w:cs="Tahoma"/>
          <w:i/>
          <w:iCs/>
          <w:sz w:val="20"/>
          <w:szCs w:val="20"/>
        </w:rPr>
        <w:t xml:space="preserve"> rozsah alespoň </w:t>
      </w:r>
      <w:r w:rsidR="00255B38" w:rsidRPr="003E601F">
        <w:rPr>
          <w:rFonts w:ascii="Tahoma" w:hAnsi="Tahoma" w:cs="Tahoma"/>
          <w:i/>
          <w:iCs/>
          <w:sz w:val="20"/>
          <w:szCs w:val="20"/>
        </w:rPr>
        <w:t>I. Etapy</w:t>
      </w:r>
      <w:r w:rsidRPr="003E601F">
        <w:rPr>
          <w:rFonts w:ascii="Tahoma" w:hAnsi="Tahoma" w:cs="Tahoma"/>
          <w:i/>
          <w:iCs/>
          <w:sz w:val="20"/>
          <w:szCs w:val="20"/>
        </w:rPr>
        <w:t xml:space="preserve"> Stavby na prodávaných Pozemcích. Smluvní strany </w:t>
      </w:r>
      <w:proofErr w:type="gramStart"/>
      <w:r w:rsidRPr="003E601F">
        <w:rPr>
          <w:rFonts w:ascii="Tahoma" w:hAnsi="Tahoma" w:cs="Tahoma"/>
          <w:i/>
          <w:iCs/>
          <w:sz w:val="20"/>
          <w:szCs w:val="20"/>
        </w:rPr>
        <w:t>podepíší</w:t>
      </w:r>
      <w:proofErr w:type="gramEnd"/>
      <w:r w:rsidRPr="003E601F">
        <w:rPr>
          <w:rFonts w:ascii="Tahoma" w:hAnsi="Tahoma" w:cs="Tahoma"/>
          <w:i/>
          <w:iCs/>
          <w:sz w:val="20"/>
          <w:szCs w:val="20"/>
        </w:rPr>
        <w:t xml:space="preserve"> návrh na zápis vkladu zákazu zcizení do katastru nemovitostí současně s návrhem na zápis vkladu vlastnického práva pro Kupujícího dle čl. 10 odst. 10.1. Smlouvy. Poplatky spojené se zápisem vkladu zákazu zcizení hradí </w:t>
      </w:r>
      <w:r w:rsidR="004749B2">
        <w:rPr>
          <w:rFonts w:ascii="Tahoma" w:hAnsi="Tahoma" w:cs="Tahoma"/>
          <w:i/>
          <w:iCs/>
          <w:sz w:val="20"/>
          <w:szCs w:val="20"/>
        </w:rPr>
        <w:t>Kupující</w:t>
      </w:r>
      <w:r w:rsidRPr="003E601F">
        <w:rPr>
          <w:rFonts w:ascii="Tahoma" w:hAnsi="Tahoma" w:cs="Tahoma"/>
          <w:i/>
          <w:iCs/>
          <w:sz w:val="20"/>
          <w:szCs w:val="20"/>
        </w:rPr>
        <w:t>.</w:t>
      </w:r>
      <w:r w:rsidR="0085078F" w:rsidRPr="003E601F">
        <w:rPr>
          <w:rFonts w:ascii="Tahoma" w:hAnsi="Tahoma" w:cs="Tahoma"/>
          <w:i/>
          <w:iCs/>
          <w:sz w:val="20"/>
          <w:szCs w:val="20"/>
        </w:rPr>
        <w:t xml:space="preserve"> </w:t>
      </w:r>
      <w:r w:rsidR="003F4F9A" w:rsidRPr="004749B2">
        <w:rPr>
          <w:rFonts w:ascii="Tahoma" w:hAnsi="Tahoma" w:cs="Tahoma"/>
          <w:b/>
          <w:bCs/>
          <w:i/>
          <w:iCs/>
          <w:sz w:val="20"/>
          <w:szCs w:val="20"/>
        </w:rPr>
        <w:t xml:space="preserve">Po dobu trvání zákazu zcizení </w:t>
      </w:r>
      <w:r w:rsidR="000F3933" w:rsidRPr="004749B2">
        <w:rPr>
          <w:rFonts w:ascii="Tahoma" w:hAnsi="Tahoma" w:cs="Tahoma"/>
          <w:b/>
          <w:bCs/>
          <w:i/>
          <w:iCs/>
          <w:sz w:val="20"/>
          <w:szCs w:val="20"/>
        </w:rPr>
        <w:t>podle tohoto odstavce</w:t>
      </w:r>
      <w:r w:rsidR="003F4F9A" w:rsidRPr="004749B2">
        <w:rPr>
          <w:rFonts w:ascii="Tahoma" w:hAnsi="Tahoma" w:cs="Tahoma"/>
          <w:b/>
          <w:bCs/>
          <w:i/>
          <w:iCs/>
          <w:sz w:val="20"/>
          <w:szCs w:val="20"/>
        </w:rPr>
        <w:t xml:space="preserve"> není </w:t>
      </w:r>
      <w:r w:rsidR="000F3933" w:rsidRPr="004749B2">
        <w:rPr>
          <w:rFonts w:ascii="Tahoma" w:hAnsi="Tahoma" w:cs="Tahoma"/>
          <w:b/>
          <w:bCs/>
          <w:i/>
          <w:iCs/>
          <w:sz w:val="20"/>
          <w:szCs w:val="20"/>
        </w:rPr>
        <w:t>kupující</w:t>
      </w:r>
      <w:r w:rsidR="003F4F9A" w:rsidRPr="004749B2">
        <w:rPr>
          <w:rFonts w:ascii="Tahoma" w:hAnsi="Tahoma" w:cs="Tahoma"/>
          <w:b/>
          <w:bCs/>
          <w:i/>
          <w:iCs/>
          <w:sz w:val="20"/>
          <w:szCs w:val="20"/>
        </w:rPr>
        <w:t xml:space="preserve"> oprávněn bez předchozího písemného souhlasu </w:t>
      </w:r>
      <w:r w:rsidR="000F3933" w:rsidRPr="004749B2">
        <w:rPr>
          <w:rFonts w:ascii="Tahoma" w:hAnsi="Tahoma" w:cs="Tahoma"/>
          <w:b/>
          <w:bCs/>
          <w:i/>
          <w:iCs/>
          <w:sz w:val="20"/>
          <w:szCs w:val="20"/>
        </w:rPr>
        <w:t>prodávajícího</w:t>
      </w:r>
      <w:r w:rsidR="003F4F9A" w:rsidRPr="004749B2">
        <w:rPr>
          <w:rFonts w:ascii="Tahoma" w:hAnsi="Tahoma" w:cs="Tahoma"/>
          <w:b/>
          <w:bCs/>
          <w:i/>
          <w:iCs/>
          <w:sz w:val="20"/>
          <w:szCs w:val="20"/>
        </w:rPr>
        <w:t xml:space="preserve"> převést vlastnické právo k </w:t>
      </w:r>
      <w:r w:rsidR="008C5B5C" w:rsidRPr="004749B2">
        <w:rPr>
          <w:rFonts w:ascii="Tahoma" w:hAnsi="Tahoma" w:cs="Tahoma"/>
          <w:b/>
          <w:bCs/>
          <w:i/>
          <w:iCs/>
          <w:sz w:val="20"/>
          <w:szCs w:val="20"/>
        </w:rPr>
        <w:t>Pozemkům</w:t>
      </w:r>
      <w:r w:rsidR="003F4F9A" w:rsidRPr="004749B2">
        <w:rPr>
          <w:rFonts w:ascii="Tahoma" w:hAnsi="Tahoma" w:cs="Tahoma"/>
          <w:b/>
          <w:bCs/>
          <w:i/>
          <w:iCs/>
          <w:sz w:val="20"/>
          <w:szCs w:val="20"/>
        </w:rPr>
        <w:t xml:space="preserve"> na jiný subjekt.</w:t>
      </w:r>
      <w:r w:rsidR="00913F32" w:rsidRPr="004749B2">
        <w:rPr>
          <w:rFonts w:ascii="Tahoma" w:hAnsi="Tahoma" w:cs="Tahoma"/>
          <w:b/>
          <w:bCs/>
          <w:i/>
          <w:iCs/>
          <w:sz w:val="20"/>
          <w:szCs w:val="20"/>
        </w:rPr>
        <w:t>“</w:t>
      </w:r>
    </w:p>
    <w:p w14:paraId="48C0733C" w14:textId="11A69BF4" w:rsidR="002555DC" w:rsidRPr="003E601F" w:rsidRDefault="002555DC" w:rsidP="004A1EF9">
      <w:pPr>
        <w:keepNext/>
        <w:keepLines/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bookmarkStart w:id="1" w:name="_Hlk132791752"/>
      <w:r w:rsidRPr="003E601F">
        <w:rPr>
          <w:rFonts w:ascii="Tahoma" w:hAnsi="Tahoma" w:cs="Tahoma"/>
          <w:b/>
          <w:sz w:val="20"/>
          <w:szCs w:val="20"/>
        </w:rPr>
        <w:t>III.</w:t>
      </w:r>
    </w:p>
    <w:p w14:paraId="1A119054" w14:textId="4250D811" w:rsidR="002555DC" w:rsidRPr="003E601F" w:rsidRDefault="00D042E6" w:rsidP="004A1EF9">
      <w:pPr>
        <w:keepNext/>
        <w:keepLines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Prohlášení smluvních stran</w:t>
      </w:r>
    </w:p>
    <w:bookmarkEnd w:id="1"/>
    <w:p w14:paraId="05DC5D31" w14:textId="5FD8C6E1" w:rsidR="00D364D8" w:rsidRPr="00CA1E00" w:rsidRDefault="003C1DFA" w:rsidP="00CA1E00">
      <w:pPr>
        <w:pStyle w:val="Odstavecseseznamem"/>
        <w:numPr>
          <w:ilvl w:val="0"/>
          <w:numId w:val="19"/>
        </w:numPr>
        <w:spacing w:before="120"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A1E00">
        <w:rPr>
          <w:rFonts w:ascii="Tahoma" w:hAnsi="Tahoma" w:cs="Tahoma"/>
          <w:sz w:val="20"/>
          <w:szCs w:val="20"/>
        </w:rPr>
        <w:t>Ustanovení Smlouvy tímto dodatkem neupravená zůstávají v platnosti beze změny</w:t>
      </w:r>
      <w:r w:rsidR="00D364D8" w:rsidRPr="00CA1E00">
        <w:rPr>
          <w:rFonts w:ascii="Tahoma" w:hAnsi="Tahoma" w:cs="Tahoma"/>
          <w:sz w:val="20"/>
          <w:szCs w:val="20"/>
        </w:rPr>
        <w:t>.</w:t>
      </w:r>
    </w:p>
    <w:p w14:paraId="6AA6DF90" w14:textId="0839FC73" w:rsidR="004A1EF9" w:rsidRPr="003E601F" w:rsidRDefault="004A1EF9" w:rsidP="004A1EF9">
      <w:pPr>
        <w:keepNext/>
        <w:keepLines/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</w:t>
      </w:r>
      <w:r w:rsidRPr="003E601F">
        <w:rPr>
          <w:rFonts w:ascii="Tahoma" w:hAnsi="Tahoma" w:cs="Tahoma"/>
          <w:b/>
          <w:sz w:val="20"/>
          <w:szCs w:val="20"/>
        </w:rPr>
        <w:t>.</w:t>
      </w:r>
    </w:p>
    <w:p w14:paraId="1EDB9A97" w14:textId="77777777" w:rsidR="004A1EF9" w:rsidRPr="003E601F" w:rsidRDefault="004A1EF9" w:rsidP="004A1EF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Souhlas</w:t>
      </w:r>
      <w:r w:rsidRPr="007A6BA0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se</w:t>
      </w:r>
      <w:r w:rsidRPr="007A6BA0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zcizením</w:t>
      </w:r>
    </w:p>
    <w:p w14:paraId="5B1D75DA" w14:textId="064AFB9D" w:rsidR="005A01B7" w:rsidRPr="00114FE6" w:rsidRDefault="004A1EF9" w:rsidP="00114FE6">
      <w:pPr>
        <w:pStyle w:val="Odstavecseseznamem"/>
        <w:numPr>
          <w:ilvl w:val="0"/>
          <w:numId w:val="18"/>
        </w:numPr>
        <w:spacing w:before="120" w:after="0"/>
        <w:ind w:left="426" w:hanging="426"/>
        <w:jc w:val="both"/>
        <w:rPr>
          <w:rFonts w:ascii="Tahoma" w:hAnsi="Tahoma" w:cs="Tahoma"/>
          <w:sz w:val="20"/>
          <w:szCs w:val="20"/>
        </w:rPr>
      </w:pPr>
      <w:bookmarkStart w:id="2" w:name="_Hlk134012386"/>
      <w:r w:rsidRPr="00114FE6">
        <w:rPr>
          <w:rFonts w:ascii="Tahoma" w:hAnsi="Tahoma" w:cs="Tahoma"/>
          <w:sz w:val="20"/>
          <w:szCs w:val="20"/>
        </w:rPr>
        <w:t>Prodávající tímto uděluje kupujícímu souhlas se zcizením</w:t>
      </w:r>
      <w:r w:rsidR="005A01B7" w:rsidRPr="00114FE6">
        <w:rPr>
          <w:rFonts w:ascii="Tahoma" w:hAnsi="Tahoma" w:cs="Tahoma"/>
          <w:sz w:val="20"/>
          <w:szCs w:val="20"/>
        </w:rPr>
        <w:t>:</w:t>
      </w:r>
    </w:p>
    <w:p w14:paraId="4FB86752" w14:textId="3144C3D8" w:rsidR="005A01B7" w:rsidRPr="005A01B7" w:rsidRDefault="004A1EF9" w:rsidP="005A01B7">
      <w:pPr>
        <w:pStyle w:val="Odstavecseseznamem"/>
        <w:numPr>
          <w:ilvl w:val="0"/>
          <w:numId w:val="17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5A01B7">
        <w:rPr>
          <w:rFonts w:ascii="Tahoma" w:hAnsi="Tahoma" w:cs="Tahoma"/>
          <w:sz w:val="20"/>
          <w:szCs w:val="20"/>
        </w:rPr>
        <w:t xml:space="preserve">části pozemku </w:t>
      </w:r>
      <w:proofErr w:type="spellStart"/>
      <w:r w:rsidR="004749B2" w:rsidRPr="005A01B7">
        <w:rPr>
          <w:rFonts w:ascii="Tahoma" w:hAnsi="Tahoma" w:cs="Tahoma"/>
          <w:sz w:val="20"/>
          <w:szCs w:val="20"/>
        </w:rPr>
        <w:t>parc</w:t>
      </w:r>
      <w:proofErr w:type="spellEnd"/>
      <w:r w:rsidR="004749B2" w:rsidRPr="005A01B7">
        <w:rPr>
          <w:rFonts w:ascii="Tahoma" w:hAnsi="Tahoma" w:cs="Tahoma"/>
          <w:sz w:val="20"/>
          <w:szCs w:val="20"/>
        </w:rPr>
        <w:t>. č. 1362/7 orná půda odděle</w:t>
      </w:r>
      <w:r w:rsidR="0081321D">
        <w:rPr>
          <w:rFonts w:ascii="Tahoma" w:hAnsi="Tahoma" w:cs="Tahoma"/>
          <w:sz w:val="20"/>
          <w:szCs w:val="20"/>
        </w:rPr>
        <w:t>né</w:t>
      </w:r>
      <w:r w:rsidR="004749B2" w:rsidRPr="005A01B7">
        <w:rPr>
          <w:rFonts w:ascii="Tahoma" w:hAnsi="Tahoma" w:cs="Tahoma"/>
          <w:sz w:val="20"/>
          <w:szCs w:val="20"/>
        </w:rPr>
        <w:t xml:space="preserve"> geometrickým plánem č. 1880-66/2023 potvrzeným katastrálním úřadem dne </w:t>
      </w:r>
      <w:r w:rsidR="00740881">
        <w:rPr>
          <w:rFonts w:ascii="Tahoma" w:hAnsi="Tahoma" w:cs="Tahoma"/>
          <w:sz w:val="20"/>
          <w:szCs w:val="20"/>
        </w:rPr>
        <w:t xml:space="preserve">12. 5. </w:t>
      </w:r>
      <w:proofErr w:type="gramStart"/>
      <w:r w:rsidR="00740881">
        <w:rPr>
          <w:rFonts w:ascii="Tahoma" w:hAnsi="Tahoma" w:cs="Tahoma"/>
          <w:sz w:val="20"/>
          <w:szCs w:val="20"/>
        </w:rPr>
        <w:t>2023</w:t>
      </w:r>
      <w:r w:rsidR="004749B2" w:rsidRPr="005A01B7">
        <w:rPr>
          <w:rFonts w:ascii="Tahoma" w:hAnsi="Tahoma" w:cs="Tahoma"/>
          <w:sz w:val="20"/>
          <w:szCs w:val="20"/>
        </w:rPr>
        <w:t>a</w:t>
      </w:r>
      <w:proofErr w:type="gramEnd"/>
      <w:r w:rsidR="004749B2" w:rsidRPr="005A01B7">
        <w:rPr>
          <w:rFonts w:ascii="Tahoma" w:hAnsi="Tahoma" w:cs="Tahoma"/>
          <w:sz w:val="20"/>
          <w:szCs w:val="20"/>
        </w:rPr>
        <w:t xml:space="preserve"> nově označen</w:t>
      </w:r>
      <w:r w:rsidR="009A07C6">
        <w:rPr>
          <w:rFonts w:ascii="Tahoma" w:hAnsi="Tahoma" w:cs="Tahoma"/>
          <w:sz w:val="20"/>
          <w:szCs w:val="20"/>
        </w:rPr>
        <w:t>é</w:t>
      </w:r>
      <w:r w:rsidR="004749B2" w:rsidRPr="005A01B7">
        <w:rPr>
          <w:rFonts w:ascii="Tahoma" w:hAnsi="Tahoma" w:cs="Tahoma"/>
          <w:sz w:val="20"/>
          <w:szCs w:val="20"/>
        </w:rPr>
        <w:t xml:space="preserve"> jako pozemek </w:t>
      </w:r>
      <w:proofErr w:type="spellStart"/>
      <w:r w:rsidR="004749B2" w:rsidRPr="005A01B7">
        <w:rPr>
          <w:rFonts w:ascii="Tahoma" w:hAnsi="Tahoma" w:cs="Tahoma"/>
          <w:sz w:val="20"/>
          <w:szCs w:val="20"/>
        </w:rPr>
        <w:t>parc</w:t>
      </w:r>
      <w:proofErr w:type="spellEnd"/>
      <w:r w:rsidR="004749B2" w:rsidRPr="005A01B7">
        <w:rPr>
          <w:rFonts w:ascii="Tahoma" w:hAnsi="Tahoma" w:cs="Tahoma"/>
          <w:sz w:val="20"/>
          <w:szCs w:val="20"/>
        </w:rPr>
        <w:t xml:space="preserve">. č. 1362/9 orná půda </w:t>
      </w:r>
      <w:r w:rsidR="008A104C">
        <w:rPr>
          <w:rFonts w:ascii="Tahoma" w:hAnsi="Tahoma" w:cs="Tahoma"/>
          <w:sz w:val="20"/>
          <w:szCs w:val="20"/>
        </w:rPr>
        <w:t xml:space="preserve">o výměře </w:t>
      </w:r>
      <w:r w:rsidR="00A0374D">
        <w:rPr>
          <w:rFonts w:ascii="Tahoma" w:hAnsi="Tahoma" w:cs="Tahoma"/>
          <w:sz w:val="20"/>
          <w:szCs w:val="20"/>
        </w:rPr>
        <w:t>6</w:t>
      </w:r>
      <w:r w:rsidR="00EE5954">
        <w:rPr>
          <w:rFonts w:ascii="Tahoma" w:hAnsi="Tahoma" w:cs="Tahoma"/>
          <w:sz w:val="20"/>
          <w:szCs w:val="20"/>
        </w:rPr>
        <w:t>.</w:t>
      </w:r>
      <w:r w:rsidR="00A0374D">
        <w:rPr>
          <w:rFonts w:ascii="Tahoma" w:hAnsi="Tahoma" w:cs="Tahoma"/>
          <w:sz w:val="20"/>
          <w:szCs w:val="20"/>
        </w:rPr>
        <w:t>909 m</w:t>
      </w:r>
      <w:r w:rsidR="00A0374D" w:rsidRPr="00A0374D">
        <w:rPr>
          <w:rFonts w:ascii="Tahoma" w:hAnsi="Tahoma" w:cs="Tahoma"/>
          <w:sz w:val="20"/>
          <w:szCs w:val="20"/>
          <w:vertAlign w:val="superscript"/>
        </w:rPr>
        <w:t>2</w:t>
      </w:r>
      <w:r w:rsidR="00A0374D">
        <w:rPr>
          <w:rFonts w:ascii="Tahoma" w:hAnsi="Tahoma" w:cs="Tahoma"/>
          <w:sz w:val="20"/>
          <w:szCs w:val="20"/>
        </w:rPr>
        <w:t xml:space="preserve">, </w:t>
      </w:r>
    </w:p>
    <w:p w14:paraId="69C64F52" w14:textId="1EEA10F9" w:rsidR="004A1EF9" w:rsidRDefault="00FD1F5D" w:rsidP="005A01B7">
      <w:pPr>
        <w:pStyle w:val="Odstavecseseznamem"/>
        <w:numPr>
          <w:ilvl w:val="0"/>
          <w:numId w:val="17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</w:t>
      </w:r>
      <w:r w:rsidR="008A104C">
        <w:rPr>
          <w:rFonts w:ascii="Tahoma" w:hAnsi="Tahoma" w:cs="Tahoma"/>
          <w:sz w:val="20"/>
          <w:szCs w:val="20"/>
        </w:rPr>
        <w:t xml:space="preserve">ásti pozemku </w:t>
      </w:r>
      <w:proofErr w:type="spellStart"/>
      <w:r w:rsidR="008A104C">
        <w:rPr>
          <w:rFonts w:ascii="Tahoma" w:hAnsi="Tahoma" w:cs="Tahoma"/>
          <w:sz w:val="20"/>
          <w:szCs w:val="20"/>
        </w:rPr>
        <w:t>parc</w:t>
      </w:r>
      <w:proofErr w:type="spellEnd"/>
      <w:r w:rsidR="008A104C">
        <w:rPr>
          <w:rFonts w:ascii="Tahoma" w:hAnsi="Tahoma" w:cs="Tahoma"/>
          <w:sz w:val="20"/>
          <w:szCs w:val="20"/>
        </w:rPr>
        <w:t xml:space="preserve">. č. </w:t>
      </w:r>
      <w:r w:rsidR="004749B2" w:rsidRPr="005A01B7">
        <w:rPr>
          <w:rFonts w:ascii="Tahoma" w:hAnsi="Tahoma" w:cs="Tahoma"/>
          <w:sz w:val="20"/>
          <w:szCs w:val="20"/>
        </w:rPr>
        <w:t xml:space="preserve"> </w:t>
      </w:r>
      <w:r w:rsidR="008A104C">
        <w:rPr>
          <w:rFonts w:ascii="Tahoma" w:hAnsi="Tahoma" w:cs="Tahoma"/>
          <w:sz w:val="20"/>
          <w:szCs w:val="20"/>
        </w:rPr>
        <w:t xml:space="preserve">1362/7 orná půda </w:t>
      </w:r>
      <w:r w:rsidR="008A104C" w:rsidRPr="005A01B7">
        <w:rPr>
          <w:rFonts w:ascii="Tahoma" w:hAnsi="Tahoma" w:cs="Tahoma"/>
          <w:sz w:val="20"/>
          <w:szCs w:val="20"/>
        </w:rPr>
        <w:t>oddělen</w:t>
      </w:r>
      <w:r w:rsidR="0081321D">
        <w:rPr>
          <w:rFonts w:ascii="Tahoma" w:hAnsi="Tahoma" w:cs="Tahoma"/>
          <w:sz w:val="20"/>
          <w:szCs w:val="20"/>
        </w:rPr>
        <w:t>é</w:t>
      </w:r>
      <w:r w:rsidR="008A104C" w:rsidRPr="005A01B7">
        <w:rPr>
          <w:rFonts w:ascii="Tahoma" w:hAnsi="Tahoma" w:cs="Tahoma"/>
          <w:sz w:val="20"/>
          <w:szCs w:val="20"/>
        </w:rPr>
        <w:t xml:space="preserve"> geometrickým plánem č. 1880-66/2023 potvrzeným katastrálním úřadem dne </w:t>
      </w:r>
      <w:r w:rsidR="00740881">
        <w:rPr>
          <w:rFonts w:ascii="Tahoma" w:hAnsi="Tahoma" w:cs="Tahoma"/>
          <w:sz w:val="20"/>
          <w:szCs w:val="20"/>
        </w:rPr>
        <w:t>12. 5. 2023</w:t>
      </w:r>
      <w:r w:rsidR="00740881" w:rsidRPr="005A01B7">
        <w:rPr>
          <w:rFonts w:ascii="Tahoma" w:hAnsi="Tahoma" w:cs="Tahoma"/>
          <w:sz w:val="20"/>
          <w:szCs w:val="20"/>
        </w:rPr>
        <w:t xml:space="preserve"> </w:t>
      </w:r>
      <w:r w:rsidR="008A104C" w:rsidRPr="005A01B7">
        <w:rPr>
          <w:rFonts w:ascii="Tahoma" w:hAnsi="Tahoma" w:cs="Tahoma"/>
          <w:sz w:val="20"/>
          <w:szCs w:val="20"/>
        </w:rPr>
        <w:t>a nově označen</w:t>
      </w:r>
      <w:r w:rsidR="009A07C6">
        <w:rPr>
          <w:rFonts w:ascii="Tahoma" w:hAnsi="Tahoma" w:cs="Tahoma"/>
          <w:sz w:val="20"/>
          <w:szCs w:val="20"/>
        </w:rPr>
        <w:t>é</w:t>
      </w:r>
      <w:r w:rsidR="008A104C" w:rsidRPr="005A01B7">
        <w:rPr>
          <w:rFonts w:ascii="Tahoma" w:hAnsi="Tahoma" w:cs="Tahoma"/>
          <w:sz w:val="20"/>
          <w:szCs w:val="20"/>
        </w:rPr>
        <w:t xml:space="preserve"> jako pozemek </w:t>
      </w:r>
      <w:proofErr w:type="spellStart"/>
      <w:r w:rsidR="008A104C" w:rsidRPr="005A01B7">
        <w:rPr>
          <w:rFonts w:ascii="Tahoma" w:hAnsi="Tahoma" w:cs="Tahoma"/>
          <w:sz w:val="20"/>
          <w:szCs w:val="20"/>
        </w:rPr>
        <w:t>parc</w:t>
      </w:r>
      <w:proofErr w:type="spellEnd"/>
      <w:r w:rsidR="008A104C" w:rsidRPr="005A01B7">
        <w:rPr>
          <w:rFonts w:ascii="Tahoma" w:hAnsi="Tahoma" w:cs="Tahoma"/>
          <w:sz w:val="20"/>
          <w:szCs w:val="20"/>
        </w:rPr>
        <w:t>. č.</w:t>
      </w:r>
      <w:r w:rsidR="008A104C">
        <w:rPr>
          <w:rFonts w:ascii="Tahoma" w:hAnsi="Tahoma" w:cs="Tahoma"/>
          <w:sz w:val="20"/>
          <w:szCs w:val="20"/>
        </w:rPr>
        <w:t xml:space="preserve"> 1362/10 orná půda o výměře </w:t>
      </w:r>
      <w:r w:rsidR="00A0374D">
        <w:rPr>
          <w:rFonts w:ascii="Tahoma" w:hAnsi="Tahoma" w:cs="Tahoma"/>
          <w:sz w:val="20"/>
          <w:szCs w:val="20"/>
        </w:rPr>
        <w:t>1</w:t>
      </w:r>
      <w:r w:rsidR="00EE5954">
        <w:rPr>
          <w:rFonts w:ascii="Tahoma" w:hAnsi="Tahoma" w:cs="Tahoma"/>
          <w:sz w:val="20"/>
          <w:szCs w:val="20"/>
        </w:rPr>
        <w:t>.</w:t>
      </w:r>
      <w:r w:rsidR="00A0374D">
        <w:rPr>
          <w:rFonts w:ascii="Tahoma" w:hAnsi="Tahoma" w:cs="Tahoma"/>
          <w:sz w:val="20"/>
          <w:szCs w:val="20"/>
        </w:rPr>
        <w:t>333 m</w:t>
      </w:r>
      <w:r w:rsidR="00A0374D" w:rsidRPr="00FD1F5D">
        <w:rPr>
          <w:rFonts w:ascii="Tahoma" w:hAnsi="Tahoma" w:cs="Tahoma"/>
          <w:sz w:val="20"/>
          <w:szCs w:val="20"/>
          <w:vertAlign w:val="superscript"/>
        </w:rPr>
        <w:t>2</w:t>
      </w:r>
      <w:r w:rsidR="00A0374D">
        <w:rPr>
          <w:rFonts w:ascii="Tahoma" w:hAnsi="Tahoma" w:cs="Tahoma"/>
          <w:sz w:val="20"/>
          <w:szCs w:val="20"/>
        </w:rPr>
        <w:t xml:space="preserve">, </w:t>
      </w:r>
    </w:p>
    <w:p w14:paraId="7414D88E" w14:textId="6BF9EE47" w:rsidR="00F909A7" w:rsidRDefault="00F909A7" w:rsidP="005A01B7">
      <w:pPr>
        <w:pStyle w:val="Odstavecseseznamem"/>
        <w:numPr>
          <w:ilvl w:val="0"/>
          <w:numId w:val="17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pozemku </w:t>
      </w:r>
      <w:proofErr w:type="spellStart"/>
      <w:r>
        <w:rPr>
          <w:rFonts w:ascii="Tahoma" w:hAnsi="Tahoma" w:cs="Tahoma"/>
          <w:sz w:val="20"/>
          <w:szCs w:val="20"/>
        </w:rPr>
        <w:t>parc</w:t>
      </w:r>
      <w:proofErr w:type="spellEnd"/>
      <w:r>
        <w:rPr>
          <w:rFonts w:ascii="Tahoma" w:hAnsi="Tahoma" w:cs="Tahoma"/>
          <w:sz w:val="20"/>
          <w:szCs w:val="20"/>
        </w:rPr>
        <w:t xml:space="preserve">. č. </w:t>
      </w:r>
      <w:r w:rsidR="009A07C6">
        <w:rPr>
          <w:rFonts w:ascii="Tahoma" w:hAnsi="Tahoma" w:cs="Tahoma"/>
          <w:sz w:val="20"/>
          <w:szCs w:val="20"/>
        </w:rPr>
        <w:t xml:space="preserve">1366/29 orná půda </w:t>
      </w:r>
      <w:r w:rsidR="00EE5954">
        <w:rPr>
          <w:rFonts w:ascii="Tahoma" w:hAnsi="Tahoma" w:cs="Tahoma"/>
          <w:sz w:val="20"/>
          <w:szCs w:val="20"/>
        </w:rPr>
        <w:t>o nové, dosud nezapsané výměře 591 m</w:t>
      </w:r>
      <w:r w:rsidR="00EE5954" w:rsidRPr="00A93625">
        <w:rPr>
          <w:rFonts w:ascii="Tahoma" w:hAnsi="Tahoma" w:cs="Tahoma"/>
          <w:sz w:val="20"/>
          <w:szCs w:val="20"/>
          <w:vertAlign w:val="superscript"/>
        </w:rPr>
        <w:t>2</w:t>
      </w:r>
      <w:r w:rsidR="00EE5954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="00EE5954">
        <w:rPr>
          <w:rFonts w:ascii="Tahoma" w:hAnsi="Tahoma" w:cs="Tahoma"/>
          <w:sz w:val="20"/>
          <w:szCs w:val="20"/>
        </w:rPr>
        <w:t xml:space="preserve">dle </w:t>
      </w:r>
      <w:r w:rsidR="0081321D" w:rsidRPr="005A01B7">
        <w:rPr>
          <w:rFonts w:ascii="Tahoma" w:hAnsi="Tahoma" w:cs="Tahoma"/>
          <w:sz w:val="20"/>
          <w:szCs w:val="20"/>
        </w:rPr>
        <w:t>geometrick</w:t>
      </w:r>
      <w:r w:rsidR="00EE5954">
        <w:rPr>
          <w:rFonts w:ascii="Tahoma" w:hAnsi="Tahoma" w:cs="Tahoma"/>
          <w:sz w:val="20"/>
          <w:szCs w:val="20"/>
        </w:rPr>
        <w:t>ého</w:t>
      </w:r>
      <w:r w:rsidR="0081321D" w:rsidRPr="005A01B7">
        <w:rPr>
          <w:rFonts w:ascii="Tahoma" w:hAnsi="Tahoma" w:cs="Tahoma"/>
          <w:sz w:val="20"/>
          <w:szCs w:val="20"/>
        </w:rPr>
        <w:t xml:space="preserve"> plán</w:t>
      </w:r>
      <w:r w:rsidR="00EE5954">
        <w:rPr>
          <w:rFonts w:ascii="Tahoma" w:hAnsi="Tahoma" w:cs="Tahoma"/>
          <w:sz w:val="20"/>
          <w:szCs w:val="20"/>
        </w:rPr>
        <w:t>u</w:t>
      </w:r>
      <w:r w:rsidR="0081321D" w:rsidRPr="005A01B7">
        <w:rPr>
          <w:rFonts w:ascii="Tahoma" w:hAnsi="Tahoma" w:cs="Tahoma"/>
          <w:sz w:val="20"/>
          <w:szCs w:val="20"/>
        </w:rPr>
        <w:t xml:space="preserve"> č. 1880-66/2023 potvrzen</w:t>
      </w:r>
      <w:r w:rsidR="00EE5954">
        <w:rPr>
          <w:rFonts w:ascii="Tahoma" w:hAnsi="Tahoma" w:cs="Tahoma"/>
          <w:sz w:val="20"/>
          <w:szCs w:val="20"/>
        </w:rPr>
        <w:t>ého</w:t>
      </w:r>
      <w:r w:rsidR="0081321D" w:rsidRPr="005A01B7">
        <w:rPr>
          <w:rFonts w:ascii="Tahoma" w:hAnsi="Tahoma" w:cs="Tahoma"/>
          <w:sz w:val="20"/>
          <w:szCs w:val="20"/>
        </w:rPr>
        <w:t xml:space="preserve"> katastrálním úřadem dne </w:t>
      </w:r>
      <w:r w:rsidR="00740881">
        <w:rPr>
          <w:rFonts w:ascii="Tahoma" w:hAnsi="Tahoma" w:cs="Tahoma"/>
          <w:sz w:val="20"/>
          <w:szCs w:val="20"/>
        </w:rPr>
        <w:t>12. 5. 2023,</w:t>
      </w:r>
      <w:r w:rsidR="00740881" w:rsidRPr="005A01B7">
        <w:rPr>
          <w:rFonts w:ascii="Tahoma" w:hAnsi="Tahoma" w:cs="Tahoma"/>
          <w:sz w:val="20"/>
          <w:szCs w:val="20"/>
        </w:rPr>
        <w:t xml:space="preserve"> </w:t>
      </w:r>
    </w:p>
    <w:p w14:paraId="0DF69AA1" w14:textId="52B67FC4" w:rsidR="00EE5954" w:rsidRDefault="00DD3AF3" w:rsidP="00EE5954">
      <w:pPr>
        <w:pStyle w:val="Odstavecseseznamem"/>
        <w:numPr>
          <w:ilvl w:val="0"/>
          <w:numId w:val="17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EE5954">
        <w:rPr>
          <w:rFonts w:ascii="Tahoma" w:hAnsi="Tahoma" w:cs="Tahoma"/>
          <w:sz w:val="20"/>
          <w:szCs w:val="20"/>
        </w:rPr>
        <w:t xml:space="preserve">pozemku </w:t>
      </w:r>
      <w:proofErr w:type="spellStart"/>
      <w:r w:rsidRPr="00EE5954">
        <w:rPr>
          <w:rFonts w:ascii="Tahoma" w:hAnsi="Tahoma" w:cs="Tahoma"/>
          <w:sz w:val="20"/>
          <w:szCs w:val="20"/>
        </w:rPr>
        <w:t>parc</w:t>
      </w:r>
      <w:proofErr w:type="spellEnd"/>
      <w:r w:rsidRPr="00EE5954">
        <w:rPr>
          <w:rFonts w:ascii="Tahoma" w:hAnsi="Tahoma" w:cs="Tahoma"/>
          <w:sz w:val="20"/>
          <w:szCs w:val="20"/>
        </w:rPr>
        <w:t>. č. 13</w:t>
      </w:r>
      <w:r w:rsidR="008C0F75" w:rsidRPr="00EE5954">
        <w:rPr>
          <w:rFonts w:ascii="Tahoma" w:hAnsi="Tahoma" w:cs="Tahoma"/>
          <w:sz w:val="20"/>
          <w:szCs w:val="20"/>
        </w:rPr>
        <w:t>5</w:t>
      </w:r>
      <w:r w:rsidRPr="00EE5954">
        <w:rPr>
          <w:rFonts w:ascii="Tahoma" w:hAnsi="Tahoma" w:cs="Tahoma"/>
          <w:sz w:val="20"/>
          <w:szCs w:val="20"/>
        </w:rPr>
        <w:t>6/2</w:t>
      </w:r>
      <w:r w:rsidR="008C0F75" w:rsidRPr="00EE5954">
        <w:rPr>
          <w:rFonts w:ascii="Tahoma" w:hAnsi="Tahoma" w:cs="Tahoma"/>
          <w:sz w:val="20"/>
          <w:szCs w:val="20"/>
        </w:rPr>
        <w:t>7</w:t>
      </w:r>
      <w:r w:rsidRPr="00EE5954">
        <w:rPr>
          <w:rFonts w:ascii="Tahoma" w:hAnsi="Tahoma" w:cs="Tahoma"/>
          <w:sz w:val="20"/>
          <w:szCs w:val="20"/>
        </w:rPr>
        <w:t xml:space="preserve"> </w:t>
      </w:r>
      <w:r w:rsidR="00583933" w:rsidRPr="00EE5954">
        <w:rPr>
          <w:rFonts w:ascii="Tahoma" w:hAnsi="Tahoma" w:cs="Tahoma"/>
          <w:sz w:val="20"/>
          <w:szCs w:val="20"/>
        </w:rPr>
        <w:t>trvalý travní porost</w:t>
      </w:r>
      <w:r w:rsidRPr="00EE5954">
        <w:rPr>
          <w:rFonts w:ascii="Tahoma" w:hAnsi="Tahoma" w:cs="Tahoma"/>
          <w:sz w:val="20"/>
          <w:szCs w:val="20"/>
        </w:rPr>
        <w:t xml:space="preserve"> </w:t>
      </w:r>
      <w:r w:rsidR="00EE5954">
        <w:rPr>
          <w:rFonts w:ascii="Tahoma" w:hAnsi="Tahoma" w:cs="Tahoma"/>
          <w:sz w:val="20"/>
          <w:szCs w:val="20"/>
        </w:rPr>
        <w:t>o nové, dosud nezapsané výměře 10.326 m</w:t>
      </w:r>
      <w:r w:rsidR="00EE5954" w:rsidRPr="00A93625">
        <w:rPr>
          <w:rFonts w:ascii="Tahoma" w:hAnsi="Tahoma" w:cs="Tahoma"/>
          <w:sz w:val="20"/>
          <w:szCs w:val="20"/>
          <w:vertAlign w:val="superscript"/>
        </w:rPr>
        <w:t>2</w:t>
      </w:r>
      <w:r w:rsidR="00EE5954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="00EE5954">
        <w:rPr>
          <w:rFonts w:ascii="Tahoma" w:hAnsi="Tahoma" w:cs="Tahoma"/>
          <w:sz w:val="20"/>
          <w:szCs w:val="20"/>
        </w:rPr>
        <w:t xml:space="preserve">dle </w:t>
      </w:r>
      <w:r w:rsidR="00EE5954" w:rsidRPr="005A01B7">
        <w:rPr>
          <w:rFonts w:ascii="Tahoma" w:hAnsi="Tahoma" w:cs="Tahoma"/>
          <w:sz w:val="20"/>
          <w:szCs w:val="20"/>
        </w:rPr>
        <w:t>geometrick</w:t>
      </w:r>
      <w:r w:rsidR="00EE5954">
        <w:rPr>
          <w:rFonts w:ascii="Tahoma" w:hAnsi="Tahoma" w:cs="Tahoma"/>
          <w:sz w:val="20"/>
          <w:szCs w:val="20"/>
        </w:rPr>
        <w:t>ého</w:t>
      </w:r>
      <w:r w:rsidR="00EE5954" w:rsidRPr="005A01B7">
        <w:rPr>
          <w:rFonts w:ascii="Tahoma" w:hAnsi="Tahoma" w:cs="Tahoma"/>
          <w:sz w:val="20"/>
          <w:szCs w:val="20"/>
        </w:rPr>
        <w:t xml:space="preserve"> plán</w:t>
      </w:r>
      <w:r w:rsidR="00EE5954">
        <w:rPr>
          <w:rFonts w:ascii="Tahoma" w:hAnsi="Tahoma" w:cs="Tahoma"/>
          <w:sz w:val="20"/>
          <w:szCs w:val="20"/>
        </w:rPr>
        <w:t>u</w:t>
      </w:r>
      <w:r w:rsidR="00EE5954" w:rsidRPr="005A01B7">
        <w:rPr>
          <w:rFonts w:ascii="Tahoma" w:hAnsi="Tahoma" w:cs="Tahoma"/>
          <w:sz w:val="20"/>
          <w:szCs w:val="20"/>
        </w:rPr>
        <w:t xml:space="preserve"> č. 1880-66/2023 potvrzen</w:t>
      </w:r>
      <w:r w:rsidR="00EE5954">
        <w:rPr>
          <w:rFonts w:ascii="Tahoma" w:hAnsi="Tahoma" w:cs="Tahoma"/>
          <w:sz w:val="20"/>
          <w:szCs w:val="20"/>
        </w:rPr>
        <w:t>ého</w:t>
      </w:r>
      <w:r w:rsidR="00EE5954" w:rsidRPr="005A01B7">
        <w:rPr>
          <w:rFonts w:ascii="Tahoma" w:hAnsi="Tahoma" w:cs="Tahoma"/>
          <w:sz w:val="20"/>
          <w:szCs w:val="20"/>
        </w:rPr>
        <w:t xml:space="preserve"> katastrálním úřadem dne </w:t>
      </w:r>
      <w:r w:rsidR="00740881">
        <w:rPr>
          <w:rFonts w:ascii="Tahoma" w:hAnsi="Tahoma" w:cs="Tahoma"/>
          <w:sz w:val="20"/>
          <w:szCs w:val="20"/>
        </w:rPr>
        <w:t>12. 5. 2023,</w:t>
      </w:r>
    </w:p>
    <w:p w14:paraId="669C7C4F" w14:textId="33694156" w:rsidR="00426970" w:rsidRPr="00EE5954" w:rsidRDefault="0086560A" w:rsidP="00740881">
      <w:pPr>
        <w:spacing w:before="120" w:after="0"/>
        <w:ind w:left="426"/>
        <w:jc w:val="both"/>
        <w:rPr>
          <w:rFonts w:ascii="Tahoma" w:hAnsi="Tahoma" w:cs="Tahoma"/>
          <w:sz w:val="20"/>
          <w:szCs w:val="20"/>
        </w:rPr>
      </w:pPr>
      <w:r w:rsidRPr="00EE5954">
        <w:rPr>
          <w:rFonts w:ascii="Tahoma" w:hAnsi="Tahoma" w:cs="Tahoma"/>
          <w:sz w:val="20"/>
          <w:szCs w:val="20"/>
        </w:rPr>
        <w:t xml:space="preserve">vše v k. </w:t>
      </w:r>
      <w:proofErr w:type="spellStart"/>
      <w:r w:rsidRPr="00EE5954">
        <w:rPr>
          <w:rFonts w:ascii="Tahoma" w:hAnsi="Tahoma" w:cs="Tahoma"/>
          <w:sz w:val="20"/>
          <w:szCs w:val="20"/>
        </w:rPr>
        <w:t>ú.</w:t>
      </w:r>
      <w:proofErr w:type="spellEnd"/>
      <w:r w:rsidRPr="00EE5954">
        <w:rPr>
          <w:rFonts w:ascii="Tahoma" w:hAnsi="Tahoma" w:cs="Tahoma"/>
          <w:sz w:val="20"/>
          <w:szCs w:val="20"/>
        </w:rPr>
        <w:t xml:space="preserve"> a obci </w:t>
      </w:r>
      <w:r w:rsidR="00EB5F15" w:rsidRPr="00EE5954">
        <w:rPr>
          <w:rFonts w:ascii="Tahoma" w:hAnsi="Tahoma" w:cs="Tahoma"/>
          <w:sz w:val="20"/>
          <w:szCs w:val="20"/>
        </w:rPr>
        <w:t>Mošnov</w:t>
      </w:r>
      <w:r w:rsidR="00A34FD2">
        <w:rPr>
          <w:rFonts w:ascii="Tahoma" w:hAnsi="Tahoma" w:cs="Tahoma"/>
          <w:sz w:val="20"/>
          <w:szCs w:val="20"/>
        </w:rPr>
        <w:t>,</w:t>
      </w:r>
      <w:r w:rsidR="003D053D">
        <w:rPr>
          <w:rFonts w:ascii="Tahoma" w:hAnsi="Tahoma" w:cs="Tahoma"/>
          <w:sz w:val="20"/>
          <w:szCs w:val="20"/>
        </w:rPr>
        <w:t xml:space="preserve"> </w:t>
      </w:r>
      <w:r w:rsidR="00A34FD2" w:rsidRPr="00A34FD2">
        <w:rPr>
          <w:rFonts w:ascii="Tahoma" w:hAnsi="Tahoma" w:cs="Tahoma"/>
          <w:sz w:val="20"/>
          <w:szCs w:val="20"/>
        </w:rPr>
        <w:t xml:space="preserve">společnosti OAMP </w:t>
      </w:r>
      <w:proofErr w:type="spellStart"/>
      <w:r w:rsidR="00A34FD2" w:rsidRPr="00A34FD2">
        <w:rPr>
          <w:rFonts w:ascii="Tahoma" w:hAnsi="Tahoma" w:cs="Tahoma"/>
          <w:sz w:val="20"/>
          <w:szCs w:val="20"/>
        </w:rPr>
        <w:t>Infrastructure</w:t>
      </w:r>
      <w:proofErr w:type="spellEnd"/>
      <w:r w:rsidR="00A34FD2" w:rsidRPr="00A34FD2">
        <w:rPr>
          <w:rFonts w:ascii="Tahoma" w:hAnsi="Tahoma" w:cs="Tahoma"/>
          <w:sz w:val="20"/>
          <w:szCs w:val="20"/>
        </w:rPr>
        <w:t xml:space="preserve"> A-D s.r.o., se sídlem 28. října 3346/91, Moravská Ostrava, 702 00 Ostrava, IČO 19250746</w:t>
      </w:r>
      <w:r w:rsidR="00666755" w:rsidRPr="00EE5954">
        <w:rPr>
          <w:rFonts w:ascii="Tahoma" w:hAnsi="Tahoma" w:cs="Tahoma"/>
          <w:sz w:val="20"/>
          <w:szCs w:val="20"/>
        </w:rPr>
        <w:t>.</w:t>
      </w:r>
    </w:p>
    <w:bookmarkEnd w:id="2"/>
    <w:p w14:paraId="3B1891AC" w14:textId="310E66C0" w:rsidR="00756AEA" w:rsidRPr="003E601F" w:rsidRDefault="00756AEA" w:rsidP="00756AE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V.</w:t>
      </w:r>
    </w:p>
    <w:p w14:paraId="3899461F" w14:textId="058A6702" w:rsidR="00756AEA" w:rsidRPr="003E601F" w:rsidRDefault="00756AEA" w:rsidP="00756AEA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Závěrečná ustanovení</w:t>
      </w:r>
    </w:p>
    <w:p w14:paraId="02DE9E34" w14:textId="551BCA66" w:rsidR="004B74AC" w:rsidRPr="003E601F" w:rsidRDefault="004B74AC" w:rsidP="00B43581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Tento Dodatek č. </w:t>
      </w:r>
      <w:r w:rsidR="00206F98">
        <w:rPr>
          <w:rFonts w:ascii="Tahoma" w:hAnsi="Tahoma" w:cs="Tahoma"/>
          <w:sz w:val="20"/>
          <w:szCs w:val="20"/>
        </w:rPr>
        <w:t>2</w:t>
      </w:r>
      <w:r w:rsidRPr="003E601F">
        <w:rPr>
          <w:rFonts w:ascii="Tahoma" w:hAnsi="Tahoma" w:cs="Tahoma"/>
          <w:sz w:val="20"/>
          <w:szCs w:val="20"/>
        </w:rPr>
        <w:t xml:space="preserve"> ke Smlouvě nabývá platnosti dnem jeho uzavření, tj. dnem jeho podpisu poslední smluvní st</w:t>
      </w:r>
      <w:r w:rsidR="00595517">
        <w:rPr>
          <w:rFonts w:ascii="Tahoma" w:hAnsi="Tahoma" w:cs="Tahoma"/>
          <w:sz w:val="20"/>
          <w:szCs w:val="20"/>
        </w:rPr>
        <w:t>r</w:t>
      </w:r>
      <w:r w:rsidRPr="003E601F">
        <w:rPr>
          <w:rFonts w:ascii="Tahoma" w:hAnsi="Tahoma" w:cs="Tahoma"/>
          <w:sz w:val="20"/>
          <w:szCs w:val="20"/>
        </w:rPr>
        <w:t>anou.</w:t>
      </w:r>
    </w:p>
    <w:p w14:paraId="71EFE0F0" w14:textId="3A0E7C01" w:rsidR="00D364D8" w:rsidRDefault="00D364D8" w:rsidP="00B43581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Tento </w:t>
      </w:r>
      <w:r w:rsidR="008543A0" w:rsidRPr="003E601F">
        <w:rPr>
          <w:rFonts w:ascii="Tahoma" w:hAnsi="Tahoma" w:cs="Tahoma"/>
          <w:sz w:val="20"/>
          <w:szCs w:val="20"/>
        </w:rPr>
        <w:t xml:space="preserve">Dodatek č. </w:t>
      </w:r>
      <w:r w:rsidR="00206F98">
        <w:rPr>
          <w:rFonts w:ascii="Tahoma" w:hAnsi="Tahoma" w:cs="Tahoma"/>
          <w:sz w:val="20"/>
          <w:szCs w:val="20"/>
        </w:rPr>
        <w:t>2</w:t>
      </w:r>
      <w:r w:rsidRPr="003E601F">
        <w:rPr>
          <w:rFonts w:ascii="Tahoma" w:hAnsi="Tahoma" w:cs="Tahoma"/>
          <w:sz w:val="20"/>
          <w:szCs w:val="20"/>
        </w:rPr>
        <w:t xml:space="preserve"> nabývá účinnosti dnem jeho uveřejnění v registru smluv </w:t>
      </w:r>
      <w:r w:rsidRPr="003E601F">
        <w:rPr>
          <w:rFonts w:ascii="Tahoma" w:hAnsi="Tahoma" w:cs="Tahoma"/>
          <w:sz w:val="20"/>
          <w:lang w:eastAsia="cs-CZ"/>
        </w:rPr>
        <w:t xml:space="preserve">v souladu s § 6 zákona č. 340/2015 Sb., </w:t>
      </w:r>
      <w:r w:rsidRPr="003E601F">
        <w:rPr>
          <w:rFonts w:ascii="Tahoma" w:hAnsi="Tahoma" w:cs="Tahoma"/>
          <w:sz w:val="20"/>
          <w:szCs w:val="20"/>
        </w:rPr>
        <w:t>o zvláštních podmínkách účinnosti některých smluv, uveřejňování těchto smluv a o registru smluv (zákon o registru smluv).</w:t>
      </w:r>
    </w:p>
    <w:p w14:paraId="58B7FF63" w14:textId="72376DC3" w:rsidR="00595517" w:rsidRPr="003E601F" w:rsidRDefault="00595517" w:rsidP="00B43581">
      <w:pPr>
        <w:pStyle w:val="Odstavecseseznamem"/>
        <w:spacing w:before="120" w:after="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lang w:eastAsia="cs-CZ"/>
        </w:rPr>
        <w:t xml:space="preserve">Smluvní strany se dohodly, že tento </w:t>
      </w:r>
      <w:r w:rsidR="00D92A16">
        <w:rPr>
          <w:rFonts w:ascii="Tahoma" w:hAnsi="Tahoma" w:cs="Tahoma"/>
          <w:sz w:val="20"/>
          <w:lang w:eastAsia="cs-CZ"/>
        </w:rPr>
        <w:t>D</w:t>
      </w:r>
      <w:r w:rsidRPr="003E601F">
        <w:rPr>
          <w:rFonts w:ascii="Tahoma" w:hAnsi="Tahoma" w:cs="Tahoma"/>
          <w:sz w:val="20"/>
          <w:lang w:eastAsia="cs-CZ"/>
        </w:rPr>
        <w:t xml:space="preserve">odatek </w:t>
      </w:r>
      <w:r w:rsidR="00D92A16">
        <w:rPr>
          <w:rFonts w:ascii="Tahoma" w:hAnsi="Tahoma" w:cs="Tahoma"/>
          <w:sz w:val="20"/>
          <w:lang w:eastAsia="cs-CZ"/>
        </w:rPr>
        <w:t xml:space="preserve">č. 2 </w:t>
      </w:r>
      <w:r w:rsidRPr="003E601F">
        <w:rPr>
          <w:rFonts w:ascii="Tahoma" w:hAnsi="Tahoma" w:cs="Tahoma"/>
          <w:sz w:val="20"/>
          <w:lang w:eastAsia="cs-CZ"/>
        </w:rPr>
        <w:t xml:space="preserve">bude zveřejněn v registru smluv prodávajícím, a to nejpozději do 10 </w:t>
      </w:r>
      <w:r w:rsidR="0079547A">
        <w:rPr>
          <w:rFonts w:ascii="Tahoma" w:hAnsi="Tahoma" w:cs="Tahoma"/>
          <w:sz w:val="20"/>
          <w:lang w:eastAsia="cs-CZ"/>
        </w:rPr>
        <w:t xml:space="preserve">pracovních </w:t>
      </w:r>
      <w:r w:rsidRPr="003E601F">
        <w:rPr>
          <w:rFonts w:ascii="Tahoma" w:hAnsi="Tahoma" w:cs="Tahoma"/>
          <w:sz w:val="20"/>
          <w:lang w:eastAsia="cs-CZ"/>
        </w:rPr>
        <w:t xml:space="preserve">dnů ode dne uzavření tohoto </w:t>
      </w:r>
      <w:r w:rsidR="00D92A16">
        <w:rPr>
          <w:rFonts w:ascii="Tahoma" w:hAnsi="Tahoma" w:cs="Tahoma"/>
          <w:sz w:val="20"/>
          <w:lang w:eastAsia="cs-CZ"/>
        </w:rPr>
        <w:t>D</w:t>
      </w:r>
      <w:r w:rsidRPr="003E601F">
        <w:rPr>
          <w:rFonts w:ascii="Tahoma" w:hAnsi="Tahoma" w:cs="Tahoma"/>
          <w:sz w:val="20"/>
          <w:lang w:eastAsia="cs-CZ"/>
        </w:rPr>
        <w:t>odatku</w:t>
      </w:r>
      <w:r w:rsidR="00D92A16">
        <w:rPr>
          <w:rFonts w:ascii="Tahoma" w:hAnsi="Tahoma" w:cs="Tahoma"/>
          <w:sz w:val="20"/>
          <w:lang w:eastAsia="cs-CZ"/>
        </w:rPr>
        <w:t xml:space="preserve"> č. 2</w:t>
      </w:r>
      <w:r w:rsidRPr="003E601F">
        <w:rPr>
          <w:rFonts w:ascii="Tahoma" w:hAnsi="Tahoma" w:cs="Tahoma"/>
          <w:sz w:val="20"/>
          <w:lang w:eastAsia="cs-CZ"/>
        </w:rPr>
        <w:t>.</w:t>
      </w:r>
    </w:p>
    <w:p w14:paraId="02903EFD" w14:textId="41DBCA04" w:rsidR="00D9516A" w:rsidRPr="003E601F" w:rsidRDefault="00D9516A" w:rsidP="00B43581">
      <w:pPr>
        <w:pStyle w:val="Odstavecseseznamem"/>
        <w:numPr>
          <w:ilvl w:val="0"/>
          <w:numId w:val="11"/>
        </w:numPr>
        <w:spacing w:before="120" w:after="12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Veškeré změny nebo doplňky tohoto Dodatku č. </w:t>
      </w:r>
      <w:r w:rsidR="00206F98">
        <w:rPr>
          <w:rFonts w:ascii="Tahoma" w:hAnsi="Tahoma" w:cs="Tahoma"/>
          <w:sz w:val="20"/>
          <w:szCs w:val="20"/>
        </w:rPr>
        <w:t>2</w:t>
      </w:r>
      <w:r w:rsidRPr="003E601F">
        <w:rPr>
          <w:rFonts w:ascii="Tahoma" w:hAnsi="Tahoma" w:cs="Tahoma"/>
          <w:sz w:val="20"/>
          <w:szCs w:val="20"/>
        </w:rPr>
        <w:t xml:space="preserve"> mohou být provedeny pouze se souhlasem </w:t>
      </w:r>
      <w:r w:rsidR="00415F32" w:rsidRPr="003E601F">
        <w:rPr>
          <w:rFonts w:ascii="Tahoma" w:hAnsi="Tahoma" w:cs="Tahoma"/>
          <w:sz w:val="20"/>
          <w:szCs w:val="20"/>
        </w:rPr>
        <w:t>smluvních stran, a to ve formě vzestupně číslovaného dodatku.</w:t>
      </w:r>
    </w:p>
    <w:p w14:paraId="42E635F2" w14:textId="3F44D16E" w:rsidR="005D4BA6" w:rsidRPr="008A6C94" w:rsidRDefault="005D4BA6" w:rsidP="00B43581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8A6C94">
        <w:rPr>
          <w:rFonts w:ascii="Tahoma" w:hAnsi="Tahoma" w:cs="Tahoma"/>
          <w:sz w:val="20"/>
          <w:szCs w:val="20"/>
        </w:rPr>
        <w:t>Kupující bere na vědomí a výslovně souhlasí s tím, že tento Dodatek č. 2 včetně příloh a případných dodatků bude zveřejněn na oficiálních webových stránkách Moravskoslezského kraje (www.msk.cz).</w:t>
      </w:r>
    </w:p>
    <w:p w14:paraId="23C169D0" w14:textId="59E762B5" w:rsidR="008F4D8B" w:rsidRPr="00740881" w:rsidRDefault="005D4BA6" w:rsidP="008F4D8B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8A6C94">
        <w:rPr>
          <w:rFonts w:ascii="Tahoma" w:hAnsi="Tahoma" w:cs="Tahoma"/>
          <w:sz w:val="20"/>
          <w:szCs w:val="20"/>
        </w:rPr>
        <w:lastRenderedPageBreak/>
        <w:t xml:space="preserve">Osobní údaje obsažené v tomto Dodatku č. </w:t>
      </w:r>
      <w:r w:rsidR="00CC6F06" w:rsidRPr="008A6C94">
        <w:rPr>
          <w:rFonts w:ascii="Tahoma" w:hAnsi="Tahoma" w:cs="Tahoma"/>
          <w:sz w:val="20"/>
          <w:szCs w:val="20"/>
        </w:rPr>
        <w:t>2</w:t>
      </w:r>
      <w:r w:rsidRPr="008A6C94">
        <w:rPr>
          <w:rFonts w:ascii="Tahoma" w:hAnsi="Tahoma" w:cs="Tahoma"/>
          <w:sz w:val="20"/>
          <w:szCs w:val="20"/>
        </w:rPr>
        <w:t xml:space="preserve"> budou Moravskoslezským krajem zpracovávány pouze pro účely plnění práv a povinností vyplývajících z tohoto Dodatku č. </w:t>
      </w:r>
      <w:r w:rsidR="00CC6F06" w:rsidRPr="008A6C94">
        <w:rPr>
          <w:rFonts w:ascii="Tahoma" w:hAnsi="Tahoma" w:cs="Tahoma"/>
          <w:sz w:val="20"/>
          <w:szCs w:val="20"/>
        </w:rPr>
        <w:t>2</w:t>
      </w:r>
      <w:r w:rsidRPr="008A6C94">
        <w:rPr>
          <w:rFonts w:ascii="Tahoma" w:hAnsi="Tahoma" w:cs="Tahoma"/>
          <w:sz w:val="20"/>
          <w:szCs w:val="20"/>
        </w:rPr>
        <w:t xml:space="preserve">; k 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7" w:history="1">
        <w:r w:rsidRPr="00740881">
          <w:rPr>
            <w:rStyle w:val="Hypertextovodkaz"/>
            <w:rFonts w:ascii="Tahoma" w:hAnsi="Tahoma" w:cs="Tahoma"/>
            <w:sz w:val="20"/>
            <w:szCs w:val="20"/>
          </w:rPr>
          <w:t>www.msk.cz</w:t>
        </w:r>
        <w:r w:rsidRPr="008F4D8B">
          <w:rPr>
            <w:rStyle w:val="Hypertextovodkaz"/>
            <w:rFonts w:ascii="Tahoma" w:hAnsi="Tahoma" w:cs="Tahoma"/>
            <w:sz w:val="20"/>
            <w:szCs w:val="20"/>
          </w:rPr>
          <w:t>.</w:t>
        </w:r>
      </w:hyperlink>
    </w:p>
    <w:p w14:paraId="6B4F8B37" w14:textId="537AD7A9" w:rsidR="00D364D8" w:rsidRPr="008A6C94" w:rsidRDefault="00D364D8" w:rsidP="00B43581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8A6C94">
        <w:rPr>
          <w:rFonts w:ascii="Tahoma" w:hAnsi="Tahoma" w:cs="Tahoma"/>
          <w:sz w:val="20"/>
          <w:szCs w:val="20"/>
        </w:rPr>
        <w:t xml:space="preserve">Tento </w:t>
      </w:r>
      <w:r w:rsidR="00D92A16">
        <w:rPr>
          <w:rFonts w:ascii="Tahoma" w:hAnsi="Tahoma" w:cs="Tahoma"/>
          <w:sz w:val="20"/>
          <w:szCs w:val="20"/>
        </w:rPr>
        <w:t>D</w:t>
      </w:r>
      <w:r w:rsidRPr="008A6C94">
        <w:rPr>
          <w:rFonts w:ascii="Tahoma" w:hAnsi="Tahoma" w:cs="Tahoma"/>
          <w:sz w:val="20"/>
          <w:szCs w:val="20"/>
        </w:rPr>
        <w:t xml:space="preserve">odatek </w:t>
      </w:r>
      <w:r w:rsidR="00D92A16">
        <w:rPr>
          <w:rFonts w:ascii="Tahoma" w:hAnsi="Tahoma" w:cs="Tahoma"/>
          <w:sz w:val="20"/>
          <w:szCs w:val="20"/>
        </w:rPr>
        <w:t xml:space="preserve">č. 2 </w:t>
      </w:r>
      <w:r w:rsidRPr="008A6C94">
        <w:rPr>
          <w:rFonts w:ascii="Tahoma" w:hAnsi="Tahoma" w:cs="Tahoma"/>
          <w:sz w:val="20"/>
          <w:szCs w:val="20"/>
        </w:rPr>
        <w:t xml:space="preserve">je vyhotoven ve čtyřech </w:t>
      </w:r>
      <w:r w:rsidR="009C397C" w:rsidRPr="008A6C94">
        <w:rPr>
          <w:rFonts w:ascii="Tahoma" w:hAnsi="Tahoma" w:cs="Tahoma"/>
          <w:sz w:val="20"/>
          <w:szCs w:val="20"/>
        </w:rPr>
        <w:t>vyhotoveních s platností originálu</w:t>
      </w:r>
      <w:r w:rsidRPr="008A6C94">
        <w:rPr>
          <w:rFonts w:ascii="Tahoma" w:hAnsi="Tahoma" w:cs="Tahoma"/>
          <w:sz w:val="20"/>
          <w:szCs w:val="20"/>
        </w:rPr>
        <w:t xml:space="preserve">, z nichž </w:t>
      </w:r>
      <w:r w:rsidR="00D0433C" w:rsidRPr="008A6C94">
        <w:rPr>
          <w:rFonts w:ascii="Tahoma" w:hAnsi="Tahoma" w:cs="Tahoma"/>
          <w:sz w:val="20"/>
          <w:szCs w:val="20"/>
        </w:rPr>
        <w:t xml:space="preserve">prodávající i kupující </w:t>
      </w:r>
      <w:proofErr w:type="gramStart"/>
      <w:r w:rsidR="00D0433C" w:rsidRPr="008A6C94">
        <w:rPr>
          <w:rFonts w:ascii="Tahoma" w:hAnsi="Tahoma" w:cs="Tahoma"/>
          <w:sz w:val="20"/>
          <w:szCs w:val="20"/>
        </w:rPr>
        <w:t>obdrží</w:t>
      </w:r>
      <w:proofErr w:type="gramEnd"/>
      <w:r w:rsidR="00D0433C" w:rsidRPr="008A6C94">
        <w:rPr>
          <w:rFonts w:ascii="Tahoma" w:hAnsi="Tahoma" w:cs="Tahoma"/>
          <w:sz w:val="20"/>
          <w:szCs w:val="20"/>
        </w:rPr>
        <w:t xml:space="preserve"> každý po dvou vyhotoveních</w:t>
      </w:r>
      <w:r w:rsidRPr="008A6C94">
        <w:rPr>
          <w:rFonts w:ascii="Tahoma" w:hAnsi="Tahoma" w:cs="Tahoma"/>
          <w:sz w:val="20"/>
          <w:szCs w:val="20"/>
        </w:rPr>
        <w:t>.</w:t>
      </w:r>
    </w:p>
    <w:p w14:paraId="5521972D" w14:textId="1748EE72" w:rsidR="007715E0" w:rsidRDefault="007715E0">
      <w:pPr>
        <w:spacing w:after="160" w:line="259" w:lineRule="auto"/>
        <w:rPr>
          <w:rFonts w:ascii="Tahoma" w:hAnsi="Tahoma" w:cs="Tahoma"/>
          <w:b/>
          <w:sz w:val="20"/>
          <w:szCs w:val="20"/>
        </w:rPr>
      </w:pPr>
    </w:p>
    <w:p w14:paraId="165DD9DF" w14:textId="4D1FB9A4" w:rsidR="00D364D8" w:rsidRPr="003E601F" w:rsidRDefault="00756AEA" w:rsidP="009D7D38">
      <w:pPr>
        <w:spacing w:before="240" w:after="0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V</w:t>
      </w:r>
      <w:r w:rsidR="004A1EF9">
        <w:rPr>
          <w:rFonts w:ascii="Tahoma" w:hAnsi="Tahoma" w:cs="Tahoma"/>
          <w:b/>
          <w:sz w:val="20"/>
          <w:szCs w:val="20"/>
        </w:rPr>
        <w:t>I</w:t>
      </w:r>
      <w:r w:rsidR="00D364D8" w:rsidRPr="003E601F">
        <w:rPr>
          <w:rFonts w:ascii="Tahoma" w:hAnsi="Tahoma" w:cs="Tahoma"/>
          <w:b/>
          <w:sz w:val="20"/>
          <w:szCs w:val="20"/>
        </w:rPr>
        <w:t>.</w:t>
      </w:r>
    </w:p>
    <w:p w14:paraId="297BF86F" w14:textId="77777777" w:rsidR="00D364D8" w:rsidRPr="003E601F" w:rsidRDefault="00D364D8" w:rsidP="00D364D8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Doložka platnosti</w:t>
      </w:r>
    </w:p>
    <w:p w14:paraId="13F68B8D" w14:textId="77777777" w:rsidR="00D364D8" w:rsidRPr="003E601F" w:rsidRDefault="00D364D8" w:rsidP="00B43581">
      <w:pPr>
        <w:pStyle w:val="Odstavecseseznamem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 ve znění pozdějších předpisů:</w:t>
      </w:r>
    </w:p>
    <w:p w14:paraId="7D16D414" w14:textId="325CB189" w:rsidR="00952796" w:rsidRPr="003E601F" w:rsidRDefault="00952796" w:rsidP="00B43581">
      <w:pPr>
        <w:spacing w:before="120" w:after="0"/>
        <w:ind w:left="426" w:hanging="69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O uzavření tohoto Dodatku č. </w:t>
      </w:r>
      <w:r w:rsidR="00CC6F06">
        <w:rPr>
          <w:rFonts w:ascii="Tahoma" w:hAnsi="Tahoma" w:cs="Tahoma"/>
          <w:sz w:val="20"/>
          <w:szCs w:val="20"/>
        </w:rPr>
        <w:t>2</w:t>
      </w:r>
      <w:r w:rsidRPr="003E601F">
        <w:rPr>
          <w:rFonts w:ascii="Tahoma" w:hAnsi="Tahoma" w:cs="Tahoma"/>
          <w:sz w:val="20"/>
          <w:szCs w:val="20"/>
        </w:rPr>
        <w:t xml:space="preserve"> rozhodlo zastupitelstvo kraje usnesením </w:t>
      </w:r>
      <w:r w:rsidRPr="00000869">
        <w:rPr>
          <w:rFonts w:ascii="Tahoma" w:hAnsi="Tahoma" w:cs="Tahoma"/>
          <w:sz w:val="20"/>
          <w:szCs w:val="20"/>
          <w:highlight w:val="yellow"/>
        </w:rPr>
        <w:t xml:space="preserve">č. ……… </w:t>
      </w:r>
      <w:r w:rsidRPr="00740881">
        <w:rPr>
          <w:rFonts w:ascii="Tahoma" w:hAnsi="Tahoma" w:cs="Tahoma"/>
          <w:sz w:val="20"/>
          <w:szCs w:val="20"/>
        </w:rPr>
        <w:t xml:space="preserve">ze dne </w:t>
      </w:r>
      <w:r w:rsidR="00740881" w:rsidRPr="00740881">
        <w:rPr>
          <w:rFonts w:ascii="Tahoma" w:hAnsi="Tahoma" w:cs="Tahoma"/>
          <w:sz w:val="20"/>
          <w:szCs w:val="20"/>
        </w:rPr>
        <w:t>8. 6. 2023</w:t>
      </w:r>
      <w:r w:rsidRPr="00740881">
        <w:rPr>
          <w:rFonts w:ascii="Tahoma" w:hAnsi="Tahoma" w:cs="Tahoma"/>
          <w:sz w:val="20"/>
          <w:szCs w:val="20"/>
        </w:rPr>
        <w:t>.</w:t>
      </w:r>
    </w:p>
    <w:p w14:paraId="6FD2FB73" w14:textId="77777777" w:rsidR="00952796" w:rsidRDefault="00952796" w:rsidP="00952796">
      <w:pPr>
        <w:spacing w:before="120" w:after="0"/>
        <w:contextualSpacing/>
        <w:jc w:val="both"/>
        <w:rPr>
          <w:rFonts w:ascii="Tahoma" w:hAnsi="Tahoma" w:cs="Tahoma"/>
          <w:sz w:val="20"/>
          <w:szCs w:val="20"/>
        </w:rPr>
      </w:pPr>
    </w:p>
    <w:p w14:paraId="1BF7117E" w14:textId="77777777" w:rsidR="00B43581" w:rsidRDefault="00B43581" w:rsidP="00B43581">
      <w:pPr>
        <w:spacing w:before="120" w:after="0"/>
        <w:ind w:left="426" w:hanging="426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</w:p>
    <w:p w14:paraId="15430DB0" w14:textId="77777777" w:rsidR="00AA123C" w:rsidRDefault="00075F16" w:rsidP="00B43581">
      <w:pPr>
        <w:spacing w:before="120" w:after="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B43581">
        <w:rPr>
          <w:rFonts w:ascii="Tahoma" w:hAnsi="Tahoma" w:cs="Tahoma"/>
          <w:b/>
          <w:bCs/>
          <w:sz w:val="20"/>
          <w:szCs w:val="20"/>
        </w:rPr>
        <w:t>Příloha: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10FB29E2" w14:textId="2AB0581F" w:rsidR="00075F16" w:rsidRPr="003E601F" w:rsidRDefault="00075F16" w:rsidP="00B43581">
      <w:pPr>
        <w:spacing w:before="120" w:after="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kopie geometrického plánu </w:t>
      </w:r>
      <w:r w:rsidRPr="004749B2">
        <w:rPr>
          <w:rFonts w:ascii="Tahoma" w:hAnsi="Tahoma" w:cs="Tahoma"/>
          <w:sz w:val="20"/>
          <w:szCs w:val="20"/>
        </w:rPr>
        <w:t xml:space="preserve">č. </w:t>
      </w:r>
      <w:r w:rsidR="004749B2" w:rsidRPr="004749B2">
        <w:rPr>
          <w:rFonts w:ascii="Tahoma" w:hAnsi="Tahoma" w:cs="Tahoma"/>
          <w:sz w:val="20"/>
          <w:szCs w:val="20"/>
        </w:rPr>
        <w:t>1880-66/2023</w:t>
      </w:r>
      <w:r>
        <w:rPr>
          <w:rFonts w:ascii="Tahoma" w:hAnsi="Tahoma" w:cs="Tahoma"/>
          <w:sz w:val="20"/>
          <w:szCs w:val="20"/>
        </w:rPr>
        <w:t xml:space="preserve"> potvrzeného katastrálním úřadem </w:t>
      </w:r>
      <w:r w:rsidRPr="00740881">
        <w:rPr>
          <w:rFonts w:ascii="Tahoma" w:hAnsi="Tahoma" w:cs="Tahoma"/>
          <w:sz w:val="20"/>
          <w:szCs w:val="20"/>
        </w:rPr>
        <w:t xml:space="preserve">dne </w:t>
      </w:r>
      <w:r w:rsidR="00740881" w:rsidRPr="00740881">
        <w:rPr>
          <w:rFonts w:ascii="Tahoma" w:hAnsi="Tahoma" w:cs="Tahoma"/>
          <w:sz w:val="20"/>
          <w:szCs w:val="20"/>
        </w:rPr>
        <w:t>12.</w:t>
      </w:r>
      <w:r w:rsidR="00740881">
        <w:rPr>
          <w:rFonts w:ascii="Tahoma" w:hAnsi="Tahoma" w:cs="Tahoma"/>
          <w:sz w:val="20"/>
          <w:szCs w:val="20"/>
        </w:rPr>
        <w:t xml:space="preserve"> 5. 2023</w:t>
      </w:r>
    </w:p>
    <w:p w14:paraId="7B07671E" w14:textId="63669141" w:rsidR="00952796" w:rsidRDefault="00952796" w:rsidP="00952796">
      <w:pPr>
        <w:spacing w:before="120" w:after="0"/>
        <w:contextualSpacing/>
        <w:jc w:val="both"/>
        <w:rPr>
          <w:rFonts w:ascii="Tahoma" w:hAnsi="Tahoma" w:cs="Tahoma"/>
          <w:sz w:val="20"/>
          <w:szCs w:val="20"/>
        </w:rPr>
      </w:pPr>
    </w:p>
    <w:p w14:paraId="70DF542F" w14:textId="77777777" w:rsidR="007E081B" w:rsidRPr="003E601F" w:rsidRDefault="007E081B" w:rsidP="00952796">
      <w:pPr>
        <w:spacing w:before="120" w:after="0"/>
        <w:contextualSpacing/>
        <w:jc w:val="both"/>
        <w:rPr>
          <w:rFonts w:ascii="Tahoma" w:hAnsi="Tahoma" w:cs="Tahoma"/>
          <w:sz w:val="20"/>
          <w:szCs w:val="20"/>
        </w:rPr>
      </w:pPr>
    </w:p>
    <w:p w14:paraId="32452B4B" w14:textId="1F0B355E" w:rsidR="00D364D8" w:rsidRPr="003E601F" w:rsidRDefault="00924D7A" w:rsidP="00AA123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V Ostravě</w:t>
      </w:r>
      <w:r w:rsidR="00D364D8" w:rsidRPr="003E601F">
        <w:rPr>
          <w:rFonts w:ascii="Tahoma" w:hAnsi="Tahoma" w:cs="Tahoma"/>
          <w:sz w:val="20"/>
          <w:szCs w:val="20"/>
        </w:rPr>
        <w:t xml:space="preserve"> dne …………………</w:t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3F3175" w:rsidRPr="003E601F">
        <w:rPr>
          <w:rFonts w:ascii="Tahoma" w:hAnsi="Tahoma" w:cs="Tahoma"/>
          <w:sz w:val="20"/>
          <w:szCs w:val="20"/>
        </w:rPr>
        <w:t>V Ostravě</w:t>
      </w:r>
      <w:r w:rsidR="00D364D8" w:rsidRPr="003E601F">
        <w:rPr>
          <w:rFonts w:ascii="Tahoma" w:hAnsi="Tahoma" w:cs="Tahoma"/>
          <w:sz w:val="20"/>
          <w:szCs w:val="20"/>
        </w:rPr>
        <w:t xml:space="preserve"> dne …………………</w:t>
      </w:r>
    </w:p>
    <w:p w14:paraId="1479F190" w14:textId="77777777" w:rsidR="00D364D8" w:rsidRPr="003E601F" w:rsidRDefault="00D364D8" w:rsidP="00AA123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534D205" w14:textId="77777777" w:rsidR="00D364D8" w:rsidRPr="003E601F" w:rsidRDefault="00D364D8" w:rsidP="00AA123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669BFD6" w14:textId="77777777" w:rsidR="00D364D8" w:rsidRPr="003E601F" w:rsidRDefault="00D364D8" w:rsidP="00AA123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1F17385" w14:textId="0C0B1498" w:rsidR="00D364D8" w:rsidRPr="003E601F" w:rsidRDefault="00D364D8" w:rsidP="00AA123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………………………………………………….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  <w:t>…………………………………………………</w:t>
      </w:r>
    </w:p>
    <w:p w14:paraId="64E48224" w14:textId="2021BC99" w:rsidR="0095497D" w:rsidRPr="003E601F" w:rsidRDefault="0095497D" w:rsidP="00AA123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601F">
        <w:rPr>
          <w:rFonts w:ascii="Tahoma" w:hAnsi="Tahoma" w:cs="Tahoma"/>
          <w:b/>
          <w:bCs/>
          <w:sz w:val="20"/>
          <w:szCs w:val="20"/>
        </w:rPr>
        <w:t>Moravskoslezský kraj</w:t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206F98" w:rsidRPr="00206F98">
        <w:rPr>
          <w:rFonts w:ascii="Tahoma" w:hAnsi="Tahoma" w:cs="Tahoma"/>
          <w:b/>
          <w:bCs/>
          <w:sz w:val="20"/>
          <w:szCs w:val="20"/>
        </w:rPr>
        <w:t xml:space="preserve">OAMP </w:t>
      </w:r>
      <w:proofErr w:type="spellStart"/>
      <w:r w:rsidR="00206F98" w:rsidRPr="00206F98">
        <w:rPr>
          <w:rFonts w:ascii="Tahoma" w:hAnsi="Tahoma" w:cs="Tahoma"/>
          <w:b/>
          <w:bCs/>
          <w:sz w:val="20"/>
          <w:szCs w:val="20"/>
        </w:rPr>
        <w:t>Hall</w:t>
      </w:r>
      <w:proofErr w:type="spellEnd"/>
      <w:r w:rsidR="00206F98" w:rsidRPr="00206F98">
        <w:rPr>
          <w:rFonts w:ascii="Tahoma" w:hAnsi="Tahoma" w:cs="Tahoma"/>
          <w:b/>
          <w:bCs/>
          <w:sz w:val="20"/>
          <w:szCs w:val="20"/>
        </w:rPr>
        <w:t xml:space="preserve"> B s.r.o.</w:t>
      </w:r>
    </w:p>
    <w:p w14:paraId="36E99C0B" w14:textId="494D07F5" w:rsidR="00D364D8" w:rsidRPr="003E601F" w:rsidRDefault="00D364D8" w:rsidP="00AA123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prof. Ing. Ivo Vondrák, CSc.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="00FD4780" w:rsidRPr="003E601F">
        <w:rPr>
          <w:rFonts w:ascii="Tahoma" w:hAnsi="Tahoma" w:cs="Tahoma"/>
          <w:sz w:val="20"/>
          <w:szCs w:val="20"/>
        </w:rPr>
        <w:t>B</w:t>
      </w:r>
      <w:r w:rsidR="00924D7A" w:rsidRPr="003E601F">
        <w:rPr>
          <w:rFonts w:ascii="Tahoma" w:hAnsi="Tahoma" w:cs="Tahoma"/>
          <w:sz w:val="20"/>
          <w:szCs w:val="20"/>
        </w:rPr>
        <w:t>c</w:t>
      </w:r>
      <w:r w:rsidR="00FD4780" w:rsidRPr="003E601F">
        <w:rPr>
          <w:rFonts w:ascii="Tahoma" w:hAnsi="Tahoma" w:cs="Tahoma"/>
          <w:sz w:val="20"/>
          <w:szCs w:val="20"/>
        </w:rPr>
        <w:t>. Petr Kalina</w:t>
      </w:r>
    </w:p>
    <w:p w14:paraId="3B142CF6" w14:textId="2B371BB2" w:rsidR="00D364D8" w:rsidRPr="003E601F" w:rsidRDefault="00D364D8" w:rsidP="00AA123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hejtman kraje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="00FD4780" w:rsidRPr="003E601F">
        <w:rPr>
          <w:rFonts w:ascii="Tahoma" w:hAnsi="Tahoma" w:cs="Tahoma"/>
          <w:sz w:val="20"/>
          <w:szCs w:val="20"/>
        </w:rPr>
        <w:t>jednatel</w:t>
      </w:r>
    </w:p>
    <w:p w14:paraId="2BD8D6D8" w14:textId="77777777" w:rsidR="00892834" w:rsidRPr="003E601F" w:rsidRDefault="00892834" w:rsidP="00AA123C">
      <w:pPr>
        <w:rPr>
          <w:rFonts w:ascii="Tahoma" w:hAnsi="Tahoma" w:cs="Tahoma"/>
        </w:rPr>
      </w:pPr>
    </w:p>
    <w:p w14:paraId="5BC63971" w14:textId="77777777" w:rsidR="00AA123C" w:rsidRPr="003E601F" w:rsidRDefault="00AA123C">
      <w:pPr>
        <w:rPr>
          <w:rFonts w:ascii="Tahoma" w:hAnsi="Tahoma" w:cs="Tahoma"/>
        </w:rPr>
      </w:pPr>
    </w:p>
    <w:sectPr w:rsidR="00AA123C" w:rsidRPr="003E601F" w:rsidSect="007715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5D98" w14:textId="77777777" w:rsidR="00835F4F" w:rsidRDefault="00835F4F" w:rsidP="00835F4F">
      <w:pPr>
        <w:spacing w:after="0" w:line="240" w:lineRule="auto"/>
      </w:pPr>
      <w:r>
        <w:separator/>
      </w:r>
    </w:p>
  </w:endnote>
  <w:endnote w:type="continuationSeparator" w:id="0">
    <w:p w14:paraId="44B35FC1" w14:textId="77777777" w:rsidR="00835F4F" w:rsidRDefault="00835F4F" w:rsidP="0083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75F9" w14:textId="05B03AFA" w:rsidR="007715E0" w:rsidRDefault="0080613F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D33481" wp14:editId="34952BE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ac8c4564a3d87a75d3ebfb0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4BFBEC" w14:textId="00A008CF" w:rsidR="0080613F" w:rsidRPr="0080613F" w:rsidRDefault="0080613F" w:rsidP="0080613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0613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33481" id="_x0000_t202" coordsize="21600,21600" o:spt="202" path="m,l,21600r21600,l21600,xe">
              <v:stroke joinstyle="miter"/>
              <v:path gradientshapeok="t" o:connecttype="rect"/>
            </v:shapetype>
            <v:shape id="MSIPCMac8c4564a3d87a75d3ebfb0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F4BFBEC" w14:textId="00A008CF" w:rsidR="0080613F" w:rsidRPr="0080613F" w:rsidRDefault="0080613F" w:rsidP="0080613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0613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686254852"/>
        <w:docPartObj>
          <w:docPartGallery w:val="Page Numbers (Bottom of Page)"/>
          <w:docPartUnique/>
        </w:docPartObj>
      </w:sdtPr>
      <w:sdtEndPr/>
      <w:sdtContent>
        <w:r w:rsidR="007715E0">
          <w:fldChar w:fldCharType="begin"/>
        </w:r>
        <w:r w:rsidR="007715E0">
          <w:instrText>PAGE   \* MERGEFORMAT</w:instrText>
        </w:r>
        <w:r w:rsidR="007715E0">
          <w:fldChar w:fldCharType="separate"/>
        </w:r>
        <w:r w:rsidR="007715E0">
          <w:t>2</w:t>
        </w:r>
        <w:r w:rsidR="007715E0">
          <w:fldChar w:fldCharType="end"/>
        </w:r>
      </w:sdtContent>
    </w:sdt>
  </w:p>
  <w:p w14:paraId="0F27537F" w14:textId="332E416B" w:rsidR="00835F4F" w:rsidRDefault="00835F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64DDA" w14:textId="77777777" w:rsidR="00835F4F" w:rsidRDefault="00835F4F" w:rsidP="00835F4F">
      <w:pPr>
        <w:spacing w:after="0" w:line="240" w:lineRule="auto"/>
      </w:pPr>
      <w:r>
        <w:separator/>
      </w:r>
    </w:p>
  </w:footnote>
  <w:footnote w:type="continuationSeparator" w:id="0">
    <w:p w14:paraId="372EC6D4" w14:textId="77777777" w:rsidR="00835F4F" w:rsidRDefault="00835F4F" w:rsidP="00835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AF6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DF35796"/>
    <w:multiLevelType w:val="hybridMultilevel"/>
    <w:tmpl w:val="B958D56C"/>
    <w:lvl w:ilvl="0" w:tplc="1C16E5B2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56705"/>
    <w:multiLevelType w:val="hybridMultilevel"/>
    <w:tmpl w:val="D554B978"/>
    <w:lvl w:ilvl="0" w:tplc="D806F30E">
      <w:start w:val="4"/>
      <w:numFmt w:val="decimal"/>
      <w:lvlText w:val="„11.%1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3499A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E5FB2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63C55D8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8C47B52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3BBB2F95"/>
    <w:multiLevelType w:val="hybridMultilevel"/>
    <w:tmpl w:val="51A45726"/>
    <w:lvl w:ilvl="0" w:tplc="6F188A76">
      <w:start w:val="1"/>
      <w:numFmt w:val="decimal"/>
      <w:lvlText w:val="11.%1"/>
      <w:lvlJc w:val="left"/>
      <w:pPr>
        <w:ind w:left="1008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54510"/>
    <w:multiLevelType w:val="hybridMultilevel"/>
    <w:tmpl w:val="9ED01B0E"/>
    <w:lvl w:ilvl="0" w:tplc="6D609230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43E40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FC06DEA"/>
    <w:multiLevelType w:val="hybridMultilevel"/>
    <w:tmpl w:val="3D7630EC"/>
    <w:lvl w:ilvl="0" w:tplc="D0BC5EB8">
      <w:start w:val="1"/>
      <w:numFmt w:val="decimal"/>
      <w:lvlText w:val="17.%1"/>
      <w:lvlJc w:val="left"/>
      <w:pPr>
        <w:ind w:left="648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422724E7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53E960D4"/>
    <w:multiLevelType w:val="hybridMultilevel"/>
    <w:tmpl w:val="A9B06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52F91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17882"/>
    <w:multiLevelType w:val="hybridMultilevel"/>
    <w:tmpl w:val="A84010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C2A17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72B72B97"/>
    <w:multiLevelType w:val="hybridMultilevel"/>
    <w:tmpl w:val="F12487CE"/>
    <w:lvl w:ilvl="0" w:tplc="8C4221D6">
      <w:start w:val="1"/>
      <w:numFmt w:val="lowerLetter"/>
      <w:lvlText w:val="%1)"/>
      <w:lvlJc w:val="left"/>
      <w:pPr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2EA4D25"/>
    <w:multiLevelType w:val="hybridMultilevel"/>
    <w:tmpl w:val="615C9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56BD4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269317585">
    <w:abstractNumId w:val="5"/>
  </w:num>
  <w:num w:numId="2" w16cid:durableId="447435419">
    <w:abstractNumId w:val="3"/>
  </w:num>
  <w:num w:numId="3" w16cid:durableId="1051608852">
    <w:abstractNumId w:val="6"/>
  </w:num>
  <w:num w:numId="4" w16cid:durableId="106313262">
    <w:abstractNumId w:val="13"/>
  </w:num>
  <w:num w:numId="5" w16cid:durableId="1274480044">
    <w:abstractNumId w:val="8"/>
  </w:num>
  <w:num w:numId="6" w16cid:durableId="1086266214">
    <w:abstractNumId w:val="1"/>
  </w:num>
  <w:num w:numId="7" w16cid:durableId="1072309661">
    <w:abstractNumId w:val="9"/>
  </w:num>
  <w:num w:numId="8" w16cid:durableId="1082410590">
    <w:abstractNumId w:val="18"/>
  </w:num>
  <w:num w:numId="9" w16cid:durableId="1225988805">
    <w:abstractNumId w:val="17"/>
  </w:num>
  <w:num w:numId="10" w16cid:durableId="773864756">
    <w:abstractNumId w:val="10"/>
  </w:num>
  <w:num w:numId="11" w16cid:durableId="1068764902">
    <w:abstractNumId w:val="0"/>
  </w:num>
  <w:num w:numId="12" w16cid:durableId="888151503">
    <w:abstractNumId w:val="7"/>
  </w:num>
  <w:num w:numId="13" w16cid:durableId="1230655883">
    <w:abstractNumId w:val="2"/>
  </w:num>
  <w:num w:numId="14" w16cid:durableId="1622762899">
    <w:abstractNumId w:val="11"/>
  </w:num>
  <w:num w:numId="15" w16cid:durableId="1169248329">
    <w:abstractNumId w:val="15"/>
  </w:num>
  <w:num w:numId="16" w16cid:durableId="227308882">
    <w:abstractNumId w:val="4"/>
  </w:num>
  <w:num w:numId="17" w16cid:durableId="1071927903">
    <w:abstractNumId w:val="16"/>
  </w:num>
  <w:num w:numId="18" w16cid:durableId="1842353722">
    <w:abstractNumId w:val="14"/>
  </w:num>
  <w:num w:numId="19" w16cid:durableId="20233124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D9"/>
    <w:rsid w:val="000164F7"/>
    <w:rsid w:val="00033F3A"/>
    <w:rsid w:val="0003406B"/>
    <w:rsid w:val="00056098"/>
    <w:rsid w:val="00056820"/>
    <w:rsid w:val="00074198"/>
    <w:rsid w:val="00075F16"/>
    <w:rsid w:val="00082D41"/>
    <w:rsid w:val="00091185"/>
    <w:rsid w:val="000A7C07"/>
    <w:rsid w:val="000B302A"/>
    <w:rsid w:val="000C3F6A"/>
    <w:rsid w:val="000F3024"/>
    <w:rsid w:val="000F3933"/>
    <w:rsid w:val="000F50C0"/>
    <w:rsid w:val="00114FE6"/>
    <w:rsid w:val="0012295B"/>
    <w:rsid w:val="00195D28"/>
    <w:rsid w:val="001A3097"/>
    <w:rsid w:val="001C0B55"/>
    <w:rsid w:val="001D420C"/>
    <w:rsid w:val="001E3CAB"/>
    <w:rsid w:val="00206F98"/>
    <w:rsid w:val="002104AC"/>
    <w:rsid w:val="00214694"/>
    <w:rsid w:val="002555DC"/>
    <w:rsid w:val="00255B38"/>
    <w:rsid w:val="0026329E"/>
    <w:rsid w:val="0029406D"/>
    <w:rsid w:val="002A2C98"/>
    <w:rsid w:val="002A7CFB"/>
    <w:rsid w:val="002B0C3E"/>
    <w:rsid w:val="002D28F4"/>
    <w:rsid w:val="002F2673"/>
    <w:rsid w:val="002F757B"/>
    <w:rsid w:val="003101A7"/>
    <w:rsid w:val="00322CA3"/>
    <w:rsid w:val="00333E5D"/>
    <w:rsid w:val="00340E44"/>
    <w:rsid w:val="00352A2E"/>
    <w:rsid w:val="003546E5"/>
    <w:rsid w:val="00364F92"/>
    <w:rsid w:val="003767D6"/>
    <w:rsid w:val="00381C65"/>
    <w:rsid w:val="003B2BC2"/>
    <w:rsid w:val="003C1DFA"/>
    <w:rsid w:val="003C2764"/>
    <w:rsid w:val="003D053D"/>
    <w:rsid w:val="003E601F"/>
    <w:rsid w:val="003F3175"/>
    <w:rsid w:val="003F4F9A"/>
    <w:rsid w:val="003F700E"/>
    <w:rsid w:val="004029BB"/>
    <w:rsid w:val="00415F32"/>
    <w:rsid w:val="00426970"/>
    <w:rsid w:val="0042719B"/>
    <w:rsid w:val="00443139"/>
    <w:rsid w:val="00443DB4"/>
    <w:rsid w:val="00457D5D"/>
    <w:rsid w:val="00474428"/>
    <w:rsid w:val="004749B2"/>
    <w:rsid w:val="00490E03"/>
    <w:rsid w:val="004A1EF9"/>
    <w:rsid w:val="004B74AC"/>
    <w:rsid w:val="004B7A1E"/>
    <w:rsid w:val="004E3E7A"/>
    <w:rsid w:val="004F5376"/>
    <w:rsid w:val="00513A6B"/>
    <w:rsid w:val="0053270B"/>
    <w:rsid w:val="00541B5B"/>
    <w:rsid w:val="005575A5"/>
    <w:rsid w:val="005662F5"/>
    <w:rsid w:val="005743CE"/>
    <w:rsid w:val="00581217"/>
    <w:rsid w:val="00583933"/>
    <w:rsid w:val="00590A1F"/>
    <w:rsid w:val="00592728"/>
    <w:rsid w:val="00593870"/>
    <w:rsid w:val="00595517"/>
    <w:rsid w:val="005A01B7"/>
    <w:rsid w:val="005B7FC1"/>
    <w:rsid w:val="005D4BA6"/>
    <w:rsid w:val="005E5B52"/>
    <w:rsid w:val="005E6B83"/>
    <w:rsid w:val="005E720C"/>
    <w:rsid w:val="005F7987"/>
    <w:rsid w:val="005F7DDE"/>
    <w:rsid w:val="00601D97"/>
    <w:rsid w:val="00633E38"/>
    <w:rsid w:val="00642175"/>
    <w:rsid w:val="00666755"/>
    <w:rsid w:val="006740B0"/>
    <w:rsid w:val="00681148"/>
    <w:rsid w:val="00681D0C"/>
    <w:rsid w:val="006854B5"/>
    <w:rsid w:val="00691A5D"/>
    <w:rsid w:val="006956CC"/>
    <w:rsid w:val="006E2830"/>
    <w:rsid w:val="006F053B"/>
    <w:rsid w:val="00701AB1"/>
    <w:rsid w:val="007145C6"/>
    <w:rsid w:val="0073131C"/>
    <w:rsid w:val="00735BED"/>
    <w:rsid w:val="00740881"/>
    <w:rsid w:val="00752013"/>
    <w:rsid w:val="00756AEA"/>
    <w:rsid w:val="007715E0"/>
    <w:rsid w:val="0079547A"/>
    <w:rsid w:val="007B15FD"/>
    <w:rsid w:val="007B391C"/>
    <w:rsid w:val="007E081B"/>
    <w:rsid w:val="007E7890"/>
    <w:rsid w:val="0080029F"/>
    <w:rsid w:val="00801054"/>
    <w:rsid w:val="0080613F"/>
    <w:rsid w:val="0081321D"/>
    <w:rsid w:val="00822265"/>
    <w:rsid w:val="00835F4F"/>
    <w:rsid w:val="008372D7"/>
    <w:rsid w:val="008429C8"/>
    <w:rsid w:val="0085078F"/>
    <w:rsid w:val="008543A0"/>
    <w:rsid w:val="0086560A"/>
    <w:rsid w:val="0088534D"/>
    <w:rsid w:val="00892834"/>
    <w:rsid w:val="008A104C"/>
    <w:rsid w:val="008A6C94"/>
    <w:rsid w:val="008B2AE3"/>
    <w:rsid w:val="008C0F75"/>
    <w:rsid w:val="008C5B5C"/>
    <w:rsid w:val="008C6EC1"/>
    <w:rsid w:val="008D1573"/>
    <w:rsid w:val="008E33ED"/>
    <w:rsid w:val="008F4D8B"/>
    <w:rsid w:val="00913067"/>
    <w:rsid w:val="00913F32"/>
    <w:rsid w:val="00914E9C"/>
    <w:rsid w:val="00924D7A"/>
    <w:rsid w:val="00952796"/>
    <w:rsid w:val="0095497D"/>
    <w:rsid w:val="00962F0A"/>
    <w:rsid w:val="00967D4A"/>
    <w:rsid w:val="00971FD8"/>
    <w:rsid w:val="00973A9D"/>
    <w:rsid w:val="00973D48"/>
    <w:rsid w:val="00982F52"/>
    <w:rsid w:val="00991116"/>
    <w:rsid w:val="009A07C6"/>
    <w:rsid w:val="009B0C54"/>
    <w:rsid w:val="009C397C"/>
    <w:rsid w:val="009D7D38"/>
    <w:rsid w:val="009F2435"/>
    <w:rsid w:val="00A0017D"/>
    <w:rsid w:val="00A032FF"/>
    <w:rsid w:val="00A0374D"/>
    <w:rsid w:val="00A26901"/>
    <w:rsid w:val="00A34FD2"/>
    <w:rsid w:val="00A86096"/>
    <w:rsid w:val="00A87D12"/>
    <w:rsid w:val="00A9076E"/>
    <w:rsid w:val="00A93625"/>
    <w:rsid w:val="00AA123C"/>
    <w:rsid w:val="00AC6B3E"/>
    <w:rsid w:val="00AC7025"/>
    <w:rsid w:val="00AD5D35"/>
    <w:rsid w:val="00AE0155"/>
    <w:rsid w:val="00B2779B"/>
    <w:rsid w:val="00B4267E"/>
    <w:rsid w:val="00B43581"/>
    <w:rsid w:val="00B56827"/>
    <w:rsid w:val="00B63ACA"/>
    <w:rsid w:val="00B65DD9"/>
    <w:rsid w:val="00B66701"/>
    <w:rsid w:val="00BF6AA2"/>
    <w:rsid w:val="00C01977"/>
    <w:rsid w:val="00C34848"/>
    <w:rsid w:val="00C40E86"/>
    <w:rsid w:val="00C450AA"/>
    <w:rsid w:val="00C502C7"/>
    <w:rsid w:val="00C57E95"/>
    <w:rsid w:val="00C64941"/>
    <w:rsid w:val="00CA1E00"/>
    <w:rsid w:val="00CA3517"/>
    <w:rsid w:val="00CB7FAE"/>
    <w:rsid w:val="00CC6F06"/>
    <w:rsid w:val="00CE18BB"/>
    <w:rsid w:val="00CE4E2C"/>
    <w:rsid w:val="00CF43D4"/>
    <w:rsid w:val="00D042E6"/>
    <w:rsid w:val="00D0433C"/>
    <w:rsid w:val="00D36363"/>
    <w:rsid w:val="00D364D8"/>
    <w:rsid w:val="00D92A16"/>
    <w:rsid w:val="00D9516A"/>
    <w:rsid w:val="00DD3AF3"/>
    <w:rsid w:val="00DE5D66"/>
    <w:rsid w:val="00E00FD5"/>
    <w:rsid w:val="00E1252B"/>
    <w:rsid w:val="00E12B7D"/>
    <w:rsid w:val="00E46D26"/>
    <w:rsid w:val="00E77023"/>
    <w:rsid w:val="00EB5F15"/>
    <w:rsid w:val="00EC2039"/>
    <w:rsid w:val="00EC5BBF"/>
    <w:rsid w:val="00EC6421"/>
    <w:rsid w:val="00EE5954"/>
    <w:rsid w:val="00EF17E9"/>
    <w:rsid w:val="00F174CF"/>
    <w:rsid w:val="00F909A7"/>
    <w:rsid w:val="00FC0E75"/>
    <w:rsid w:val="00FC7CC3"/>
    <w:rsid w:val="00FD1F5D"/>
    <w:rsid w:val="00FD378D"/>
    <w:rsid w:val="00FD4780"/>
    <w:rsid w:val="00FE1550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3D42DF"/>
  <w15:chartTrackingRefBased/>
  <w15:docId w15:val="{0EE7147A-41E8-476F-89BB-69FEBAFF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64D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64D8"/>
    <w:pPr>
      <w:ind w:left="720"/>
      <w:contextualSpacing/>
    </w:pPr>
  </w:style>
  <w:style w:type="paragraph" w:styleId="Seznam">
    <w:name w:val="List"/>
    <w:basedOn w:val="Normln"/>
    <w:rsid w:val="00D364D8"/>
    <w:pPr>
      <w:widowControl w:val="0"/>
      <w:snapToGri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57D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D5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35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5F4F"/>
  </w:style>
  <w:style w:type="paragraph" w:styleId="Zpat">
    <w:name w:val="footer"/>
    <w:basedOn w:val="Normln"/>
    <w:link w:val="ZpatChar"/>
    <w:uiPriority w:val="99"/>
    <w:unhideWhenUsed/>
    <w:rsid w:val="00835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5F4F"/>
  </w:style>
  <w:style w:type="paragraph" w:styleId="Revize">
    <w:name w:val="Revision"/>
    <w:hidden/>
    <w:uiPriority w:val="99"/>
    <w:semiHidden/>
    <w:rsid w:val="0091306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B39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39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B39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39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39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k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885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Ločárek Miroslav</dc:creator>
  <cp:keywords/>
  <dc:description/>
  <cp:lastModifiedBy>Zornová Hana</cp:lastModifiedBy>
  <cp:revision>3</cp:revision>
  <cp:lastPrinted>2023-04-19T09:19:00Z</cp:lastPrinted>
  <dcterms:created xsi:type="dcterms:W3CDTF">2023-05-15T08:19:00Z</dcterms:created>
  <dcterms:modified xsi:type="dcterms:W3CDTF">2023-05-15T08:19:00Z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2023-05-15T08:19:04Z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ea7def54-e1c0-4324-808e-6972f9ff48d2</vt:lpwstr>
  </property>
  <property fmtid="{D5CDD505-2E9C-101B-9397-08002B2CF9AE}" pid="8" name="MSIP_Label_215ad6d0-798b-44f9-b3fd-112ad6275fb4_ContentBits">
    <vt:lpwstr>2</vt:lpwstr>
  </property>
</Properties>
</file>