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3BF" w:rsidRPr="00A26DCC" w:rsidRDefault="004F73BF" w:rsidP="003106D2">
      <w:pPr>
        <w:pStyle w:val="Zhlav"/>
        <w:rPr>
          <w:rFonts w:ascii="Tahoma" w:hAnsi="Tahoma" w:cs="Tahoma"/>
          <w:b/>
        </w:rPr>
      </w:pPr>
      <w:r w:rsidRPr="00A26DCC">
        <w:rPr>
          <w:rFonts w:ascii="Tahoma" w:hAnsi="Tahoma" w:cs="Tahoma"/>
          <w:b/>
        </w:rPr>
        <w:t xml:space="preserve">Příloha č.: </w:t>
      </w:r>
      <w:r w:rsidR="00C85963">
        <w:rPr>
          <w:rFonts w:ascii="Tahoma" w:hAnsi="Tahoma" w:cs="Tahoma"/>
          <w:b/>
        </w:rPr>
        <w:t>3</w:t>
      </w:r>
      <w:r w:rsidRPr="00A26DCC">
        <w:rPr>
          <w:rFonts w:ascii="Tahoma" w:hAnsi="Tahoma" w:cs="Tahoma"/>
          <w:b/>
        </w:rPr>
        <w:t xml:space="preserve"> k materiálu </w:t>
      </w:r>
      <w:r w:rsidR="00456038">
        <w:rPr>
          <w:rFonts w:ascii="Tahoma" w:hAnsi="Tahoma" w:cs="Tahoma"/>
          <w:b/>
        </w:rPr>
        <w:t>Stav přípravy a realizace</w:t>
      </w:r>
    </w:p>
    <w:p w:rsidR="004F73BF" w:rsidRPr="008F1628" w:rsidRDefault="004F73BF" w:rsidP="003106D2">
      <w:pPr>
        <w:pStyle w:val="Zhlav"/>
        <w:rPr>
          <w:rFonts w:ascii="Tahoma" w:hAnsi="Tahoma" w:cs="Tahoma"/>
        </w:rPr>
      </w:pPr>
      <w:r w:rsidRPr="008F1628">
        <w:rPr>
          <w:rFonts w:ascii="Tahoma" w:hAnsi="Tahoma" w:cs="Tahoma"/>
        </w:rPr>
        <w:t xml:space="preserve">Počet stran přílohy: </w:t>
      </w:r>
      <w:r w:rsidR="00C85963">
        <w:rPr>
          <w:rFonts w:ascii="Tahoma" w:hAnsi="Tahoma" w:cs="Tahoma"/>
        </w:rPr>
        <w:t>5</w:t>
      </w:r>
    </w:p>
    <w:p w:rsidR="004F73BF" w:rsidRPr="008F1628" w:rsidRDefault="004F73BF" w:rsidP="003106D2">
      <w:pPr>
        <w:pStyle w:val="Zkladntext"/>
        <w:rPr>
          <w:rFonts w:ascii="Tahoma" w:hAnsi="Tahoma" w:cs="Tahoma"/>
          <w:b/>
          <w:bCs/>
          <w:snapToGrid w:val="0"/>
          <w:szCs w:val="24"/>
        </w:rPr>
      </w:pPr>
    </w:p>
    <w:p w:rsidR="004F73BF" w:rsidRDefault="004F73BF" w:rsidP="003106D2">
      <w:pPr>
        <w:pStyle w:val="Zkladntext"/>
        <w:rPr>
          <w:rFonts w:ascii="Tahoma" w:hAnsi="Tahoma" w:cs="Tahoma"/>
          <w:b/>
          <w:bCs/>
          <w:snapToGrid w:val="0"/>
          <w:szCs w:val="24"/>
        </w:rPr>
      </w:pPr>
    </w:p>
    <w:p w:rsidR="006577D5" w:rsidRPr="008F1628" w:rsidRDefault="006577D5" w:rsidP="003106D2">
      <w:pPr>
        <w:pStyle w:val="Zkladntext"/>
        <w:rPr>
          <w:rFonts w:ascii="Tahoma" w:hAnsi="Tahoma" w:cs="Tahoma"/>
          <w:b/>
          <w:bCs/>
          <w:snapToGrid w:val="0"/>
          <w:szCs w:val="24"/>
        </w:rPr>
      </w:pPr>
    </w:p>
    <w:p w:rsidR="00C85963" w:rsidRPr="00C85963" w:rsidRDefault="00C85963" w:rsidP="00C85963">
      <w:pPr>
        <w:pStyle w:val="Zkladntext"/>
        <w:spacing w:before="120" w:after="120"/>
        <w:rPr>
          <w:rStyle w:val="Odkazjemn"/>
          <w:rFonts w:ascii="Tahoma" w:hAnsi="Tahoma" w:cs="Tahoma"/>
          <w:b/>
          <w:color w:val="auto"/>
          <w:u w:val="none"/>
        </w:rPr>
      </w:pPr>
      <w:r w:rsidRPr="00C85963">
        <w:rPr>
          <w:rStyle w:val="Odkazjemn"/>
          <w:rFonts w:ascii="Tahoma" w:hAnsi="Tahoma" w:cs="Tahoma"/>
          <w:b/>
          <w:color w:val="auto"/>
          <w:u w:val="none"/>
        </w:rPr>
        <w:t>STAV PŘÍPRAVY A REALIZACE STAVEB KORIDORU SLEZSKÝ KŘÍŽ ZÁPAD (OSTRAVA - BARTULTOVICE)</w:t>
      </w:r>
    </w:p>
    <w:p w:rsidR="00C85963" w:rsidRDefault="00C85963" w:rsidP="00C85963">
      <w:pPr>
        <w:pStyle w:val="Zkladntext"/>
        <w:spacing w:before="120" w:after="120"/>
        <w:rPr>
          <w:rFonts w:ascii="Tahoma" w:hAnsi="Tahoma" w:cs="Tahoma"/>
          <w:bCs/>
          <w:snapToGrid w:val="0"/>
          <w:szCs w:val="24"/>
        </w:rPr>
      </w:pPr>
      <w:r w:rsidRPr="00FA57A1">
        <w:rPr>
          <w:rFonts w:ascii="Tahoma" w:hAnsi="Tahoma" w:cs="Tahoma"/>
          <w:bCs/>
          <w:snapToGrid w:val="0"/>
          <w:szCs w:val="24"/>
        </w:rPr>
        <w:t>Dopravní tah přes území kraje, který propojuje významná regionální centra Opolského vojvodství a Moravskoslezského kraje s ostravskou aglomerací, zejména se jedná o propojení příhraničních regionů Opavska a Krnovska s polskými celky na</w:t>
      </w:r>
      <w:r>
        <w:rPr>
          <w:rFonts w:ascii="Tahoma" w:hAnsi="Tahoma" w:cs="Tahoma"/>
          <w:bCs/>
          <w:snapToGrid w:val="0"/>
          <w:szCs w:val="24"/>
        </w:rPr>
        <w:t> </w:t>
      </w:r>
      <w:r w:rsidRPr="00FA57A1">
        <w:rPr>
          <w:rFonts w:ascii="Tahoma" w:hAnsi="Tahoma" w:cs="Tahoma"/>
          <w:bCs/>
          <w:snapToGrid w:val="0"/>
          <w:szCs w:val="24"/>
        </w:rPr>
        <w:t>úrovni NUTS III (nyski a opolski subregion).</w:t>
      </w:r>
    </w:p>
    <w:p w:rsidR="000F483F" w:rsidRDefault="000F483F" w:rsidP="000F483F">
      <w:pPr>
        <w:pStyle w:val="Zkladntext"/>
        <w:spacing w:before="120" w:after="120"/>
        <w:jc w:val="center"/>
        <w:rPr>
          <w:rFonts w:ascii="Tahoma" w:hAnsi="Tahoma" w:cs="Tahoma"/>
          <w:bCs/>
          <w:snapToGrid w:val="0"/>
          <w:szCs w:val="24"/>
        </w:rPr>
      </w:pPr>
      <w:r>
        <w:rPr>
          <w:rFonts w:ascii="Tahoma" w:hAnsi="Tahoma" w:cs="Tahoma"/>
          <w:bCs/>
          <w:noProof/>
          <w:szCs w:val="24"/>
        </w:rPr>
        <w:drawing>
          <wp:inline distT="0" distB="0" distL="0" distR="0">
            <wp:extent cx="5759450" cy="34550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LOHA_SLEZSKY_ZAPAD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963" w:rsidRPr="00B86E8B" w:rsidRDefault="00C85963" w:rsidP="00C85963">
      <w:pPr>
        <w:pStyle w:val="Zkladntext"/>
        <w:spacing w:before="360" w:after="120"/>
        <w:rPr>
          <w:rFonts w:ascii="Tahoma" w:hAnsi="Tahoma" w:cs="Tahoma"/>
          <w:b/>
          <w:bCs/>
          <w:snapToGrid w:val="0"/>
          <w:szCs w:val="24"/>
          <w:u w:val="single"/>
        </w:rPr>
      </w:pPr>
      <w:r w:rsidRPr="00B86E8B">
        <w:rPr>
          <w:rFonts w:ascii="Tahoma" w:hAnsi="Tahoma" w:cs="Tahoma"/>
          <w:b/>
          <w:bCs/>
          <w:snapToGrid w:val="0"/>
          <w:szCs w:val="24"/>
          <w:u w:val="single"/>
        </w:rPr>
        <w:t>Silnice I/11 Ostrava, prodloužená Rudná - hranice okresu Opava</w:t>
      </w:r>
    </w:p>
    <w:p w:rsidR="00C85963" w:rsidRDefault="00C85963" w:rsidP="00C85963">
      <w:pPr>
        <w:pStyle w:val="Zkladntext"/>
        <w:spacing w:before="120" w:after="120"/>
        <w:rPr>
          <w:rFonts w:ascii="Tahoma" w:hAnsi="Tahoma" w:cs="Tahoma"/>
          <w:bCs/>
          <w:snapToGrid w:val="0"/>
          <w:szCs w:val="24"/>
        </w:rPr>
      </w:pPr>
      <w:r w:rsidRPr="00FA57A1">
        <w:rPr>
          <w:rFonts w:ascii="Tahoma" w:hAnsi="Tahoma" w:cs="Tahoma"/>
          <w:bCs/>
          <w:snapToGrid w:val="0"/>
          <w:szCs w:val="24"/>
        </w:rPr>
        <w:t>Předmětem stavby je pokračování silnice I/11 severozápadně od</w:t>
      </w:r>
      <w:r>
        <w:rPr>
          <w:rFonts w:ascii="Tahoma" w:hAnsi="Tahoma" w:cs="Tahoma"/>
          <w:bCs/>
          <w:snapToGrid w:val="0"/>
          <w:szCs w:val="24"/>
        </w:rPr>
        <w:t xml:space="preserve"> města Ostravy směrem na Opavu.</w:t>
      </w:r>
    </w:p>
    <w:p w:rsidR="00C85963" w:rsidRPr="00FA57A1" w:rsidRDefault="00C85963" w:rsidP="00C85963">
      <w:pPr>
        <w:pStyle w:val="Zkladntext"/>
        <w:spacing w:before="120" w:after="120"/>
        <w:rPr>
          <w:rFonts w:ascii="Tahoma" w:hAnsi="Tahoma" w:cs="Tahoma"/>
          <w:bCs/>
          <w:snapToGrid w:val="0"/>
          <w:szCs w:val="24"/>
        </w:rPr>
      </w:pPr>
      <w:r w:rsidRPr="00FA57A1">
        <w:rPr>
          <w:rFonts w:ascii="Tahoma" w:hAnsi="Tahoma" w:cs="Tahoma"/>
          <w:bCs/>
          <w:snapToGrid w:val="0"/>
          <w:szCs w:val="24"/>
        </w:rPr>
        <w:t xml:space="preserve">Počátek stavby je téměř na stávající dvoupruhové silnici I/11 v blízkosti </w:t>
      </w:r>
      <w:r>
        <w:rPr>
          <w:rFonts w:ascii="Tahoma" w:hAnsi="Tahoma" w:cs="Tahoma"/>
          <w:bCs/>
          <w:snapToGrid w:val="0"/>
          <w:szCs w:val="24"/>
        </w:rPr>
        <w:t>městských částí</w:t>
      </w:r>
      <w:r w:rsidRPr="00FA57A1">
        <w:rPr>
          <w:rFonts w:ascii="Tahoma" w:hAnsi="Tahoma" w:cs="Tahoma"/>
          <w:bCs/>
          <w:snapToGrid w:val="0"/>
          <w:szCs w:val="24"/>
        </w:rPr>
        <w:t xml:space="preserve"> Plesná a</w:t>
      </w:r>
      <w:r>
        <w:rPr>
          <w:rFonts w:ascii="Tahoma" w:hAnsi="Tahoma" w:cs="Tahoma"/>
          <w:bCs/>
          <w:snapToGrid w:val="0"/>
          <w:szCs w:val="24"/>
        </w:rPr>
        <w:t> </w:t>
      </w:r>
      <w:r w:rsidRPr="00FA57A1">
        <w:rPr>
          <w:rFonts w:ascii="Tahoma" w:hAnsi="Tahoma" w:cs="Tahoma"/>
          <w:bCs/>
          <w:snapToGrid w:val="0"/>
          <w:szCs w:val="24"/>
        </w:rPr>
        <w:t>Krásné Pole a navazuje na následující stavbu (</w:t>
      </w:r>
      <w:r>
        <w:rPr>
          <w:rFonts w:ascii="Tahoma" w:hAnsi="Tahoma" w:cs="Tahoma"/>
          <w:bCs/>
          <w:snapToGrid w:val="0"/>
          <w:szCs w:val="24"/>
        </w:rPr>
        <w:t xml:space="preserve">Silnice </w:t>
      </w:r>
      <w:r w:rsidRPr="00FA57A1">
        <w:rPr>
          <w:rFonts w:ascii="Tahoma" w:hAnsi="Tahoma" w:cs="Tahoma"/>
          <w:bCs/>
          <w:snapToGrid w:val="0"/>
          <w:szCs w:val="24"/>
        </w:rPr>
        <w:t>I/11 Mokré Lazce</w:t>
      </w:r>
      <w:r>
        <w:rPr>
          <w:rFonts w:ascii="Tahoma" w:hAnsi="Tahoma" w:cs="Tahoma"/>
          <w:bCs/>
          <w:snapToGrid w:val="0"/>
          <w:szCs w:val="24"/>
        </w:rPr>
        <w:t xml:space="preserve"> </w:t>
      </w:r>
      <w:r w:rsidRPr="00FA57A1">
        <w:rPr>
          <w:rFonts w:ascii="Tahoma" w:hAnsi="Tahoma" w:cs="Tahoma"/>
          <w:bCs/>
          <w:snapToGrid w:val="0"/>
          <w:szCs w:val="24"/>
        </w:rPr>
        <w:t>–</w:t>
      </w:r>
      <w:r>
        <w:rPr>
          <w:rFonts w:ascii="Tahoma" w:hAnsi="Tahoma" w:cs="Tahoma"/>
          <w:bCs/>
          <w:snapToGrid w:val="0"/>
          <w:szCs w:val="24"/>
        </w:rPr>
        <w:t xml:space="preserve"> </w:t>
      </w:r>
      <w:r w:rsidRPr="00FA57A1">
        <w:rPr>
          <w:rFonts w:ascii="Tahoma" w:hAnsi="Tahoma" w:cs="Tahoma"/>
          <w:bCs/>
          <w:snapToGrid w:val="0"/>
          <w:szCs w:val="24"/>
        </w:rPr>
        <w:t>hranice okresů Opava/Ostrava)</w:t>
      </w:r>
      <w:r>
        <w:rPr>
          <w:rFonts w:ascii="Tahoma" w:hAnsi="Tahoma" w:cs="Tahoma"/>
          <w:bCs/>
          <w:snapToGrid w:val="0"/>
          <w:szCs w:val="24"/>
        </w:rPr>
        <w:t>,</w:t>
      </w:r>
      <w:r w:rsidRPr="00FA57A1">
        <w:rPr>
          <w:rFonts w:ascii="Tahoma" w:hAnsi="Tahoma" w:cs="Tahoma"/>
          <w:bCs/>
          <w:snapToGrid w:val="0"/>
          <w:szCs w:val="24"/>
        </w:rPr>
        <w:t xml:space="preserve"> a to přibližně v prostoru křižovatk</w:t>
      </w:r>
      <w:r>
        <w:rPr>
          <w:rFonts w:ascii="Tahoma" w:hAnsi="Tahoma" w:cs="Tahoma"/>
          <w:bCs/>
          <w:snapToGrid w:val="0"/>
          <w:szCs w:val="24"/>
        </w:rPr>
        <w:t>y stávající I/11 se silnicí III</w:t>
      </w:r>
      <w:r w:rsidRPr="00FA57A1">
        <w:rPr>
          <w:rFonts w:ascii="Tahoma" w:hAnsi="Tahoma" w:cs="Tahoma"/>
          <w:bCs/>
          <w:snapToGrid w:val="0"/>
          <w:szCs w:val="24"/>
        </w:rPr>
        <w:t>/46615.</w:t>
      </w:r>
      <w:r w:rsidRPr="00C9014A">
        <w:rPr>
          <w:rFonts w:ascii="Tahoma" w:hAnsi="Tahoma" w:cs="Tahoma"/>
          <w:bCs/>
          <w:snapToGrid w:val="0"/>
          <w:szCs w:val="24"/>
        </w:rPr>
        <w:t xml:space="preserve"> </w:t>
      </w:r>
    </w:p>
    <w:p w:rsidR="00C85963" w:rsidRDefault="00C85963" w:rsidP="00C85963">
      <w:pPr>
        <w:pStyle w:val="Zkladntext"/>
        <w:spacing w:before="120" w:after="120"/>
        <w:rPr>
          <w:rFonts w:ascii="Tahoma" w:hAnsi="Tahoma" w:cs="Tahoma"/>
          <w:bCs/>
          <w:snapToGrid w:val="0"/>
          <w:szCs w:val="24"/>
        </w:rPr>
      </w:pPr>
      <w:r w:rsidRPr="00FA57A1">
        <w:rPr>
          <w:rFonts w:ascii="Tahoma" w:hAnsi="Tahoma" w:cs="Tahoma"/>
          <w:bCs/>
          <w:snapToGrid w:val="0"/>
          <w:szCs w:val="24"/>
        </w:rPr>
        <w:t>V rámci návrhu projektové dokumentace pro stavební povolení se počítá s výstavbou čtyřpruhové směrově rozdělené komunikace kategori</w:t>
      </w:r>
      <w:r>
        <w:rPr>
          <w:rFonts w:ascii="Tahoma" w:hAnsi="Tahoma" w:cs="Tahoma"/>
          <w:bCs/>
          <w:snapToGrid w:val="0"/>
          <w:szCs w:val="24"/>
        </w:rPr>
        <w:t>e S22,5/100 a kategorie S </w:t>
      </w:r>
      <w:r w:rsidRPr="00FA57A1">
        <w:rPr>
          <w:rFonts w:ascii="Tahoma" w:hAnsi="Tahoma" w:cs="Tahoma"/>
          <w:bCs/>
          <w:snapToGrid w:val="0"/>
          <w:szCs w:val="24"/>
        </w:rPr>
        <w:t>24,5/100 celkové délky 6,657 km.</w:t>
      </w:r>
      <w:r>
        <w:rPr>
          <w:rFonts w:ascii="Tahoma" w:hAnsi="Tahoma" w:cs="Tahoma"/>
          <w:bCs/>
          <w:snapToGrid w:val="0"/>
          <w:szCs w:val="24"/>
        </w:rPr>
        <w:t xml:space="preserve"> Stavební povolení vydána na 94% délky trasy, 6% je v řízení.</w:t>
      </w:r>
      <w:r w:rsidRPr="00E96BA4">
        <w:rPr>
          <w:rFonts w:ascii="Tahoma" w:hAnsi="Tahoma" w:cs="Tahoma"/>
          <w:bCs/>
          <w:snapToGrid w:val="0"/>
          <w:szCs w:val="24"/>
        </w:rPr>
        <w:t xml:space="preserve"> </w:t>
      </w:r>
      <w:r>
        <w:rPr>
          <w:rFonts w:ascii="Tahoma" w:hAnsi="Tahoma" w:cs="Tahoma"/>
          <w:bCs/>
          <w:snapToGrid w:val="0"/>
          <w:szCs w:val="24"/>
        </w:rPr>
        <w:t xml:space="preserve"> </w:t>
      </w:r>
      <w:r w:rsidRPr="00E96BA4">
        <w:rPr>
          <w:rFonts w:ascii="Tahoma" w:hAnsi="Tahoma" w:cs="Tahoma"/>
          <w:bCs/>
          <w:snapToGrid w:val="0"/>
          <w:szCs w:val="24"/>
        </w:rPr>
        <w:t xml:space="preserve"> </w:t>
      </w:r>
    </w:p>
    <w:p w:rsidR="00C85963" w:rsidRDefault="000F483F" w:rsidP="00C85963">
      <w:pPr>
        <w:pStyle w:val="Zkladntext"/>
        <w:spacing w:before="120" w:after="120"/>
        <w:jc w:val="center"/>
        <w:rPr>
          <w:rFonts w:ascii="Tahoma" w:hAnsi="Tahoma" w:cs="Tahoma"/>
          <w:b/>
          <w:bCs/>
          <w:snapToGrid w:val="0"/>
          <w:szCs w:val="24"/>
        </w:rPr>
      </w:pPr>
      <w:r>
        <w:rPr>
          <w:rFonts w:ascii="Tahoma" w:hAnsi="Tahoma" w:cs="Tahoma"/>
          <w:b/>
          <w:bCs/>
          <w:noProof/>
          <w:szCs w:val="24"/>
        </w:rPr>
        <w:lastRenderedPageBreak/>
        <w:drawing>
          <wp:inline distT="0" distB="0" distL="0" distR="0">
            <wp:extent cx="4320000" cy="4320000"/>
            <wp:effectExtent l="0" t="0" r="4445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ILOHA_I_11_RUDNA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963" w:rsidRPr="00FA57A1" w:rsidRDefault="00C85963" w:rsidP="006460E3">
      <w:pPr>
        <w:pStyle w:val="Zkladntext"/>
        <w:spacing w:before="120" w:after="120"/>
        <w:rPr>
          <w:rFonts w:ascii="Tahoma" w:hAnsi="Tahoma" w:cs="Tahoma"/>
          <w:bCs/>
          <w:snapToGrid w:val="0"/>
          <w:szCs w:val="24"/>
        </w:rPr>
      </w:pPr>
      <w:r>
        <w:rPr>
          <w:rFonts w:ascii="Tahoma" w:hAnsi="Tahoma" w:cs="Tahoma"/>
          <w:b/>
          <w:bCs/>
          <w:snapToGrid w:val="0"/>
          <w:szCs w:val="24"/>
        </w:rPr>
        <w:t>Probíhá realizace stavby, dokončení přípravy stavby neumožňují věcná břemena chůze a jízdy zapsaná na stavebních pozemcích</w:t>
      </w:r>
      <w:r w:rsidR="006460E3">
        <w:rPr>
          <w:rFonts w:ascii="Tahoma" w:hAnsi="Tahoma" w:cs="Tahoma"/>
          <w:b/>
          <w:bCs/>
          <w:snapToGrid w:val="0"/>
          <w:szCs w:val="24"/>
        </w:rPr>
        <w:t>.</w:t>
      </w:r>
      <w:r w:rsidR="00456038">
        <w:rPr>
          <w:rFonts w:ascii="Tahoma" w:hAnsi="Tahoma" w:cs="Tahoma"/>
          <w:b/>
          <w:bCs/>
          <w:snapToGrid w:val="0"/>
          <w:szCs w:val="24"/>
        </w:rPr>
        <w:t xml:space="preserve"> </w:t>
      </w:r>
      <w:r w:rsidR="006460E3" w:rsidRPr="006460E3">
        <w:rPr>
          <w:rFonts w:ascii="Tahoma" w:hAnsi="Tahoma" w:cs="Tahoma"/>
          <w:b/>
          <w:bCs/>
          <w:snapToGrid w:val="0"/>
          <w:szCs w:val="24"/>
        </w:rPr>
        <w:t>Stanovisko EIA dle zákona č. 244/1992 Sb.</w:t>
      </w:r>
      <w:r w:rsidR="006460E3">
        <w:rPr>
          <w:rFonts w:ascii="Tahoma" w:hAnsi="Tahoma" w:cs="Tahoma"/>
          <w:b/>
          <w:bCs/>
          <w:snapToGrid w:val="0"/>
          <w:szCs w:val="24"/>
        </w:rPr>
        <w:t xml:space="preserve">, </w:t>
      </w:r>
      <w:r w:rsidR="00456038">
        <w:rPr>
          <w:rFonts w:ascii="Tahoma" w:hAnsi="Tahoma" w:cs="Tahoma"/>
          <w:b/>
          <w:bCs/>
          <w:snapToGrid w:val="0"/>
          <w:szCs w:val="24"/>
        </w:rPr>
        <w:t>nutná verifikac</w:t>
      </w:r>
      <w:r w:rsidR="006460E3">
        <w:rPr>
          <w:rFonts w:ascii="Tahoma" w:hAnsi="Tahoma" w:cs="Tahoma"/>
          <w:b/>
          <w:bCs/>
          <w:snapToGrid w:val="0"/>
          <w:szCs w:val="24"/>
        </w:rPr>
        <w:t>e</w:t>
      </w:r>
      <w:r>
        <w:rPr>
          <w:rFonts w:ascii="Tahoma" w:hAnsi="Tahoma" w:cs="Tahoma"/>
          <w:bCs/>
          <w:snapToGrid w:val="0"/>
          <w:szCs w:val="24"/>
        </w:rPr>
        <w:t>.</w:t>
      </w:r>
    </w:p>
    <w:p w:rsidR="00C85963" w:rsidRPr="00E96BA4" w:rsidRDefault="00C85963" w:rsidP="00C85963">
      <w:pPr>
        <w:pStyle w:val="Zkladntext"/>
        <w:keepNext/>
        <w:spacing w:before="360" w:after="120"/>
        <w:rPr>
          <w:rFonts w:ascii="Tahoma" w:hAnsi="Tahoma" w:cs="Tahoma"/>
          <w:b/>
          <w:bCs/>
          <w:snapToGrid w:val="0"/>
          <w:szCs w:val="24"/>
          <w:u w:val="single"/>
        </w:rPr>
      </w:pPr>
      <w:r w:rsidRPr="00B86E8B">
        <w:rPr>
          <w:rFonts w:ascii="Tahoma" w:hAnsi="Tahoma" w:cs="Tahoma"/>
          <w:b/>
          <w:bCs/>
          <w:snapToGrid w:val="0"/>
          <w:szCs w:val="24"/>
          <w:u w:val="single"/>
        </w:rPr>
        <w:t>Silnice I/11 Mokré Lazce – hranice okresů Opava/Ostrava</w:t>
      </w:r>
    </w:p>
    <w:p w:rsidR="00C85963" w:rsidRDefault="000F483F" w:rsidP="00C85963">
      <w:pPr>
        <w:pStyle w:val="Zkladntext"/>
        <w:spacing w:before="120" w:after="120"/>
        <w:jc w:val="center"/>
        <w:rPr>
          <w:rFonts w:ascii="Tahoma" w:hAnsi="Tahoma" w:cs="Tahoma"/>
          <w:bCs/>
          <w:snapToGrid w:val="0"/>
          <w:szCs w:val="24"/>
        </w:rPr>
      </w:pPr>
      <w:r>
        <w:rPr>
          <w:rFonts w:ascii="Tahoma" w:hAnsi="Tahoma" w:cs="Tahoma"/>
          <w:bCs/>
          <w:noProof/>
          <w:szCs w:val="24"/>
        </w:rPr>
        <w:drawing>
          <wp:inline distT="0" distB="0" distL="0" distR="0">
            <wp:extent cx="4320000" cy="3240000"/>
            <wp:effectExtent l="0" t="0" r="444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LOHA_I_11_LAZCE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963" w:rsidRDefault="00C85963" w:rsidP="00C85963">
      <w:pPr>
        <w:pStyle w:val="Zkladntext"/>
        <w:spacing w:before="120" w:after="120"/>
        <w:rPr>
          <w:rFonts w:ascii="Tahoma" w:hAnsi="Tahoma" w:cs="Tahoma"/>
          <w:bCs/>
          <w:snapToGrid w:val="0"/>
          <w:szCs w:val="24"/>
        </w:rPr>
      </w:pPr>
      <w:r w:rsidRPr="00FA57A1">
        <w:rPr>
          <w:rFonts w:ascii="Tahoma" w:hAnsi="Tahoma" w:cs="Tahoma"/>
          <w:bCs/>
          <w:snapToGrid w:val="0"/>
          <w:szCs w:val="24"/>
        </w:rPr>
        <w:t xml:space="preserve">Předmětem stavby je přeložka silnice I/11 v kategorii S 22,5/80 do nové trasy, která zkapacitní řešený úsek a převede dopravu z průjezdního úseku Hrabyní, Velkou </w:t>
      </w:r>
      <w:r w:rsidRPr="00FA57A1">
        <w:rPr>
          <w:rFonts w:ascii="Tahoma" w:hAnsi="Tahoma" w:cs="Tahoma"/>
          <w:bCs/>
          <w:snapToGrid w:val="0"/>
          <w:szCs w:val="24"/>
        </w:rPr>
        <w:lastRenderedPageBreak/>
        <w:t>Polomí a Josefovicemi. Řešený úsek silnice I/11 je součástí výhledové trasy Opava - Ostrava, Rudná.</w:t>
      </w:r>
    </w:p>
    <w:p w:rsidR="00C85963" w:rsidRDefault="00C85963" w:rsidP="00C85963">
      <w:pPr>
        <w:spacing w:before="120" w:after="120"/>
        <w:jc w:val="both"/>
        <w:rPr>
          <w:rFonts w:ascii="Tahoma" w:hAnsi="Tahoma" w:cs="Tahoma"/>
          <w:bCs/>
          <w:snapToGrid w:val="0"/>
        </w:rPr>
      </w:pPr>
      <w:r w:rsidRPr="00FA57A1">
        <w:rPr>
          <w:rFonts w:ascii="Tahoma" w:hAnsi="Tahoma" w:cs="Tahoma"/>
          <w:bCs/>
          <w:snapToGrid w:val="0"/>
        </w:rPr>
        <w:t>Nově navržená trasa silnice I/11 je vedena severními obchvaty obcí Velká Polom a</w:t>
      </w:r>
      <w:r>
        <w:rPr>
          <w:rFonts w:ascii="Tahoma" w:hAnsi="Tahoma" w:cs="Tahoma"/>
          <w:bCs/>
          <w:snapToGrid w:val="0"/>
        </w:rPr>
        <w:t> </w:t>
      </w:r>
      <w:r w:rsidRPr="00FA57A1">
        <w:rPr>
          <w:rFonts w:ascii="Tahoma" w:hAnsi="Tahoma" w:cs="Tahoma"/>
          <w:bCs/>
          <w:snapToGrid w:val="0"/>
        </w:rPr>
        <w:t>Hrabyně členitým terénem, před Velkou Polomí se trasa silnice I/11 odklání ve</w:t>
      </w:r>
      <w:r>
        <w:rPr>
          <w:rFonts w:ascii="Tahoma" w:hAnsi="Tahoma" w:cs="Tahoma"/>
          <w:bCs/>
          <w:snapToGrid w:val="0"/>
        </w:rPr>
        <w:t> </w:t>
      </w:r>
      <w:r w:rsidRPr="00FA57A1">
        <w:rPr>
          <w:rFonts w:ascii="Tahoma" w:hAnsi="Tahoma" w:cs="Tahoma"/>
          <w:bCs/>
          <w:snapToGrid w:val="0"/>
        </w:rPr>
        <w:t>směru od Ostravy vpravo, dále je vedena mezi obcemi Hrabyně a Háj</w:t>
      </w:r>
      <w:r>
        <w:rPr>
          <w:rFonts w:ascii="Tahoma" w:hAnsi="Tahoma" w:cs="Tahoma"/>
          <w:bCs/>
          <w:snapToGrid w:val="0"/>
        </w:rPr>
        <w:t xml:space="preserve"> ve Slezsku a před Mokrými Lazc</w:t>
      </w:r>
      <w:r w:rsidRPr="00FA57A1">
        <w:rPr>
          <w:rFonts w:ascii="Tahoma" w:hAnsi="Tahoma" w:cs="Tahoma"/>
          <w:bCs/>
          <w:snapToGrid w:val="0"/>
        </w:rPr>
        <w:t>i navazuje na stávající silnici I/11. Celková délka úpravy je 9,750</w:t>
      </w:r>
      <w:r>
        <w:rPr>
          <w:rFonts w:ascii="Tahoma" w:hAnsi="Tahoma" w:cs="Tahoma"/>
          <w:bCs/>
          <w:snapToGrid w:val="0"/>
        </w:rPr>
        <w:t> </w:t>
      </w:r>
      <w:r w:rsidRPr="00FA57A1">
        <w:rPr>
          <w:rFonts w:ascii="Tahoma" w:hAnsi="Tahoma" w:cs="Tahoma"/>
          <w:bCs/>
          <w:snapToGrid w:val="0"/>
        </w:rPr>
        <w:t>km, cena 3.622.259.980 Kč (bez DPH).</w:t>
      </w:r>
    </w:p>
    <w:p w:rsidR="00C85963" w:rsidRPr="00B63A0D" w:rsidRDefault="00456038" w:rsidP="00C85963">
      <w:pPr>
        <w:spacing w:before="120" w:after="120"/>
        <w:jc w:val="both"/>
        <w:rPr>
          <w:rFonts w:ascii="Tahoma" w:hAnsi="Tahoma" w:cs="Tahoma"/>
          <w:b/>
          <w:bCs/>
          <w:snapToGrid w:val="0"/>
        </w:rPr>
      </w:pPr>
      <w:r>
        <w:rPr>
          <w:rFonts w:ascii="Tahoma" w:hAnsi="Tahoma" w:cs="Tahoma"/>
          <w:b/>
          <w:bCs/>
          <w:snapToGrid w:val="0"/>
        </w:rPr>
        <w:t>Stavba byla zprovozněna v prosinci 2015</w:t>
      </w:r>
      <w:r w:rsidR="00C85963" w:rsidRPr="00B63A0D">
        <w:rPr>
          <w:rFonts w:ascii="Tahoma" w:hAnsi="Tahoma" w:cs="Tahoma"/>
          <w:b/>
          <w:bCs/>
          <w:snapToGrid w:val="0"/>
        </w:rPr>
        <w:t>.</w:t>
      </w:r>
    </w:p>
    <w:p w:rsidR="00C85963" w:rsidRDefault="00C85963" w:rsidP="00C85963">
      <w:pPr>
        <w:pStyle w:val="Zkladntext"/>
        <w:spacing w:before="120" w:after="120"/>
        <w:rPr>
          <w:rFonts w:ascii="Tahoma" w:hAnsi="Tahoma" w:cs="Tahoma"/>
          <w:b/>
          <w:bCs/>
          <w:snapToGrid w:val="0"/>
          <w:szCs w:val="24"/>
          <w:u w:val="single"/>
        </w:rPr>
      </w:pPr>
    </w:p>
    <w:p w:rsidR="00C85963" w:rsidRPr="00B86E8B" w:rsidRDefault="00C85963" w:rsidP="00C85963">
      <w:pPr>
        <w:pStyle w:val="Zkladntext"/>
        <w:spacing w:before="120" w:after="120"/>
        <w:rPr>
          <w:rFonts w:ascii="Tahoma" w:hAnsi="Tahoma" w:cs="Tahoma"/>
          <w:b/>
          <w:bCs/>
          <w:snapToGrid w:val="0"/>
          <w:szCs w:val="24"/>
          <w:u w:val="single"/>
        </w:rPr>
      </w:pPr>
      <w:r>
        <w:rPr>
          <w:rFonts w:ascii="Tahoma" w:hAnsi="Tahoma" w:cs="Tahoma"/>
          <w:b/>
          <w:bCs/>
          <w:snapToGrid w:val="0"/>
          <w:szCs w:val="24"/>
          <w:u w:val="single"/>
        </w:rPr>
        <w:t>S</w:t>
      </w:r>
      <w:r w:rsidRPr="00B86E8B">
        <w:rPr>
          <w:rFonts w:ascii="Tahoma" w:hAnsi="Tahoma" w:cs="Tahoma"/>
          <w:b/>
          <w:bCs/>
          <w:snapToGrid w:val="0"/>
          <w:szCs w:val="24"/>
          <w:u w:val="single"/>
        </w:rPr>
        <w:t>ilnice I/11 Opava – severní obchvat, východní část</w:t>
      </w:r>
    </w:p>
    <w:p w:rsidR="00C85963" w:rsidRDefault="00C85963" w:rsidP="00C85963">
      <w:pPr>
        <w:pStyle w:val="Zkladntext"/>
        <w:spacing w:before="120" w:after="120"/>
        <w:rPr>
          <w:rFonts w:ascii="Tahoma" w:hAnsi="Tahoma" w:cs="Tahoma"/>
          <w:bCs/>
          <w:snapToGrid w:val="0"/>
          <w:szCs w:val="24"/>
        </w:rPr>
      </w:pPr>
      <w:r w:rsidRPr="00FA57A1">
        <w:rPr>
          <w:rFonts w:ascii="Tahoma" w:hAnsi="Tahoma" w:cs="Tahoma"/>
          <w:bCs/>
          <w:snapToGrid w:val="0"/>
          <w:szCs w:val="24"/>
        </w:rPr>
        <w:t>Stavba navazuje na stavbu „Propojení silnic I/11 a I/56, spojka S1 v Opavě“, na niž se napojuje prostřednictvím okružní křižovatky a rampy Kateřinského dopravního uzlu, dále bude vedena v nové trase a bude svedena po prodloužené ulici Mostní na</w:t>
      </w:r>
      <w:r>
        <w:rPr>
          <w:rFonts w:ascii="Tahoma" w:hAnsi="Tahoma" w:cs="Tahoma"/>
          <w:bCs/>
          <w:snapToGrid w:val="0"/>
          <w:szCs w:val="24"/>
        </w:rPr>
        <w:t> </w:t>
      </w:r>
      <w:r w:rsidRPr="00FA57A1">
        <w:rPr>
          <w:rFonts w:ascii="Tahoma" w:hAnsi="Tahoma" w:cs="Tahoma"/>
          <w:bCs/>
          <w:snapToGrid w:val="0"/>
          <w:szCs w:val="24"/>
        </w:rPr>
        <w:t>střední městský okruh (prodl</w:t>
      </w:r>
      <w:r>
        <w:rPr>
          <w:rFonts w:ascii="Tahoma" w:hAnsi="Tahoma" w:cs="Tahoma"/>
          <w:bCs/>
          <w:snapToGrid w:val="0"/>
          <w:szCs w:val="24"/>
        </w:rPr>
        <w:t>ouženou</w:t>
      </w:r>
      <w:r w:rsidRPr="00FA57A1">
        <w:rPr>
          <w:rFonts w:ascii="Tahoma" w:hAnsi="Tahoma" w:cs="Tahoma"/>
          <w:bCs/>
          <w:snapToGrid w:val="0"/>
          <w:szCs w:val="24"/>
        </w:rPr>
        <w:t xml:space="preserve"> ul. Rolnickou). Délka úp</w:t>
      </w:r>
      <w:r>
        <w:rPr>
          <w:rFonts w:ascii="Tahoma" w:hAnsi="Tahoma" w:cs="Tahoma"/>
          <w:bCs/>
          <w:snapToGrid w:val="0"/>
          <w:szCs w:val="24"/>
        </w:rPr>
        <w:t>ravy 1,95 km. Dle </w:t>
      </w:r>
      <w:r w:rsidRPr="00FA57A1">
        <w:rPr>
          <w:rFonts w:ascii="Tahoma" w:hAnsi="Tahoma" w:cs="Tahoma"/>
          <w:bCs/>
          <w:snapToGrid w:val="0"/>
          <w:szCs w:val="24"/>
        </w:rPr>
        <w:t>kategorizace silniční sítě je severní obchvat zařazen výhledově do kategorie S22,5/100 s tím, že v první fázi bude realizován pouze pravý pás v kategorii S11,5/80, splňuje parametry dvoupruhové rychlostní komunikace.</w:t>
      </w:r>
    </w:p>
    <w:p w:rsidR="00C85963" w:rsidRPr="00FA57A1" w:rsidRDefault="008171B8" w:rsidP="00C85963">
      <w:pPr>
        <w:pStyle w:val="Zkladntext"/>
        <w:spacing w:before="120" w:after="120"/>
        <w:jc w:val="center"/>
        <w:rPr>
          <w:rFonts w:ascii="Tahoma" w:hAnsi="Tahoma" w:cs="Tahoma"/>
          <w:bCs/>
          <w:snapToGrid w:val="0"/>
          <w:szCs w:val="24"/>
        </w:rPr>
      </w:pPr>
      <w:r>
        <w:rPr>
          <w:rFonts w:ascii="Tahoma" w:hAnsi="Tahoma" w:cs="Tahoma"/>
          <w:bCs/>
          <w:noProof/>
          <w:szCs w:val="24"/>
        </w:rPr>
        <w:drawing>
          <wp:inline distT="0" distB="0" distL="0" distR="0">
            <wp:extent cx="4320000" cy="2592000"/>
            <wp:effectExtent l="0" t="0" r="444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ILOHA_I_11_OPAVA_VYCHOD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963" w:rsidRDefault="00C85963" w:rsidP="00C85963">
      <w:pPr>
        <w:pStyle w:val="Zkladntext"/>
        <w:spacing w:before="120" w:after="120"/>
        <w:rPr>
          <w:rFonts w:ascii="Tahoma" w:hAnsi="Tahoma" w:cs="Tahoma"/>
          <w:bCs/>
          <w:snapToGrid w:val="0"/>
          <w:szCs w:val="24"/>
        </w:rPr>
      </w:pPr>
      <w:r w:rsidRPr="00FA57A1">
        <w:rPr>
          <w:rFonts w:ascii="Tahoma" w:hAnsi="Tahoma" w:cs="Tahoma"/>
          <w:bCs/>
          <w:snapToGrid w:val="0"/>
          <w:szCs w:val="24"/>
        </w:rPr>
        <w:t>V 07/2007 vydáno územní rozhodnutí, postupně jsou vydávána stavební povolen</w:t>
      </w:r>
      <w:r w:rsidR="00F9118A">
        <w:rPr>
          <w:rFonts w:ascii="Tahoma" w:hAnsi="Tahoma" w:cs="Tahoma"/>
          <w:bCs/>
          <w:snapToGrid w:val="0"/>
          <w:szCs w:val="24"/>
        </w:rPr>
        <w:t xml:space="preserve">í, </w:t>
      </w:r>
      <w:r w:rsidR="00F9118A">
        <w:rPr>
          <w:rFonts w:ascii="Tahoma" w:hAnsi="Tahoma" w:cs="Tahoma"/>
          <w:b/>
          <w:bCs/>
          <w:snapToGrid w:val="0"/>
          <w:szCs w:val="24"/>
        </w:rPr>
        <w:t>chybí SP na jeden úsek</w:t>
      </w:r>
      <w:r w:rsidR="006460E3">
        <w:rPr>
          <w:rFonts w:ascii="Tahoma" w:hAnsi="Tahoma" w:cs="Tahoma"/>
          <w:b/>
          <w:bCs/>
          <w:snapToGrid w:val="0"/>
          <w:szCs w:val="24"/>
        </w:rPr>
        <w:t>.</w:t>
      </w:r>
      <w:r w:rsidR="00F9118A">
        <w:rPr>
          <w:rFonts w:ascii="Tahoma" w:hAnsi="Tahoma" w:cs="Tahoma"/>
          <w:b/>
          <w:bCs/>
          <w:snapToGrid w:val="0"/>
          <w:szCs w:val="24"/>
        </w:rPr>
        <w:t xml:space="preserve"> </w:t>
      </w:r>
      <w:r w:rsidR="006460E3" w:rsidRPr="006460E3">
        <w:rPr>
          <w:rFonts w:ascii="Tahoma" w:hAnsi="Tahoma" w:cs="Tahoma"/>
          <w:b/>
          <w:bCs/>
          <w:snapToGrid w:val="0"/>
          <w:szCs w:val="24"/>
        </w:rPr>
        <w:t>Stanovisko EIA dle zákona č. 244/1992 Sb., nutná verifikace</w:t>
      </w:r>
      <w:r w:rsidR="00F9118A" w:rsidRPr="00945D66">
        <w:rPr>
          <w:rFonts w:ascii="Tahoma" w:hAnsi="Tahoma" w:cs="Tahoma"/>
          <w:b/>
          <w:bCs/>
          <w:snapToGrid w:val="0"/>
          <w:szCs w:val="24"/>
        </w:rPr>
        <w:t>.</w:t>
      </w:r>
    </w:p>
    <w:p w:rsidR="00C85963" w:rsidRPr="00945D66" w:rsidRDefault="00F9118A" w:rsidP="00C85963">
      <w:pPr>
        <w:pStyle w:val="Zkladntext"/>
        <w:spacing w:before="120" w:after="120"/>
        <w:rPr>
          <w:rFonts w:ascii="Tahoma" w:hAnsi="Tahoma" w:cs="Tahoma"/>
          <w:b/>
          <w:bCs/>
          <w:snapToGrid w:val="0"/>
          <w:szCs w:val="24"/>
        </w:rPr>
      </w:pPr>
      <w:r>
        <w:rPr>
          <w:rFonts w:ascii="Tahoma" w:hAnsi="Tahoma" w:cs="Tahoma"/>
          <w:b/>
          <w:bCs/>
          <w:snapToGrid w:val="0"/>
          <w:szCs w:val="24"/>
        </w:rPr>
        <w:t xml:space="preserve">28. 12. 2015 zveřejněna zakázka na stavební práce, </w:t>
      </w:r>
      <w:r w:rsidRPr="00F9118A">
        <w:rPr>
          <w:rFonts w:ascii="Tahoma" w:hAnsi="Tahoma" w:cs="Tahoma"/>
          <w:bCs/>
          <w:snapToGrid w:val="0"/>
          <w:szCs w:val="24"/>
        </w:rPr>
        <w:t>předmětem zakázky je výstavba silnice I/11 kat. S 11,5/80, v délce 1,755 km, a to 1. části severního obchvatu vč. objektů zajišťujících propojení této části obchvatu na související dopravní stavby - velkou okružní křižovatku a spojku S1 na východě a na střední městský okruh. Součástí stavby je 7 mostních objektů a přeložky dotčených inženýrských sítí</w:t>
      </w:r>
      <w:r w:rsidR="00456038">
        <w:rPr>
          <w:rFonts w:ascii="Tahoma" w:hAnsi="Tahoma" w:cs="Tahoma"/>
          <w:b/>
          <w:bCs/>
          <w:snapToGrid w:val="0"/>
          <w:szCs w:val="24"/>
        </w:rPr>
        <w:t xml:space="preserve">, </w:t>
      </w:r>
      <w:r>
        <w:rPr>
          <w:rFonts w:ascii="Tahoma" w:hAnsi="Tahoma" w:cs="Tahoma"/>
          <w:b/>
          <w:bCs/>
          <w:snapToGrid w:val="0"/>
          <w:szCs w:val="24"/>
        </w:rPr>
        <w:t>lhůta pro doručení nabídek 15. 3. 2016</w:t>
      </w:r>
    </w:p>
    <w:p w:rsidR="00C85963" w:rsidRPr="00FA57A1" w:rsidRDefault="00C85963" w:rsidP="00C85963">
      <w:pPr>
        <w:pStyle w:val="Zkladntext"/>
        <w:spacing w:before="120" w:after="120"/>
        <w:rPr>
          <w:rFonts w:ascii="Tahoma" w:hAnsi="Tahoma" w:cs="Tahoma"/>
          <w:bCs/>
          <w:snapToGrid w:val="0"/>
          <w:szCs w:val="24"/>
        </w:rPr>
      </w:pPr>
    </w:p>
    <w:p w:rsidR="00C85963" w:rsidRPr="00B86E8B" w:rsidRDefault="00C85963" w:rsidP="00C85963">
      <w:pPr>
        <w:pStyle w:val="Zkladntext"/>
        <w:spacing w:before="120" w:after="120"/>
        <w:rPr>
          <w:rFonts w:ascii="Tahoma" w:hAnsi="Tahoma" w:cs="Tahoma"/>
          <w:b/>
          <w:bCs/>
          <w:snapToGrid w:val="0"/>
          <w:szCs w:val="24"/>
          <w:u w:val="single"/>
        </w:rPr>
      </w:pPr>
      <w:r w:rsidRPr="00B86E8B">
        <w:rPr>
          <w:rFonts w:ascii="Tahoma" w:hAnsi="Tahoma" w:cs="Tahoma"/>
          <w:b/>
          <w:bCs/>
          <w:snapToGrid w:val="0"/>
          <w:szCs w:val="24"/>
          <w:u w:val="single"/>
        </w:rPr>
        <w:t>Silnice I/11 Opava – severní obchvat, západní část</w:t>
      </w:r>
    </w:p>
    <w:p w:rsidR="00C85963" w:rsidRDefault="00C85963" w:rsidP="00C85963">
      <w:pPr>
        <w:pStyle w:val="Zkladntext"/>
        <w:spacing w:before="120" w:after="120"/>
        <w:rPr>
          <w:rFonts w:ascii="Tahoma" w:hAnsi="Tahoma" w:cs="Tahoma"/>
          <w:bCs/>
          <w:snapToGrid w:val="0"/>
          <w:szCs w:val="24"/>
        </w:rPr>
      </w:pPr>
      <w:r w:rsidRPr="00FA57A1">
        <w:rPr>
          <w:rFonts w:ascii="Tahoma" w:hAnsi="Tahoma" w:cs="Tahoma"/>
          <w:bCs/>
          <w:snapToGrid w:val="0"/>
          <w:szCs w:val="24"/>
        </w:rPr>
        <w:t>Severní obchvat Opavy převádí dopravu ze stávajícího průtahu městem, zejména ze</w:t>
      </w:r>
      <w:r>
        <w:rPr>
          <w:rFonts w:ascii="Tahoma" w:hAnsi="Tahoma" w:cs="Tahoma"/>
          <w:bCs/>
          <w:snapToGrid w:val="0"/>
          <w:szCs w:val="24"/>
        </w:rPr>
        <w:t> </w:t>
      </w:r>
      <w:r w:rsidRPr="00FA57A1">
        <w:rPr>
          <w:rFonts w:ascii="Tahoma" w:hAnsi="Tahoma" w:cs="Tahoma"/>
          <w:bCs/>
          <w:snapToGrid w:val="0"/>
          <w:szCs w:val="24"/>
        </w:rPr>
        <w:t>silnice I/11, na etapově budovaný obchvat čtyřpruhovou směrově dělenou silnicí s</w:t>
      </w:r>
      <w:r>
        <w:rPr>
          <w:rFonts w:ascii="Tahoma" w:hAnsi="Tahoma" w:cs="Tahoma"/>
          <w:bCs/>
          <w:snapToGrid w:val="0"/>
          <w:szCs w:val="24"/>
        </w:rPr>
        <w:t> </w:t>
      </w:r>
      <w:r w:rsidRPr="00FA57A1">
        <w:rPr>
          <w:rFonts w:ascii="Tahoma" w:hAnsi="Tahoma" w:cs="Tahoma"/>
          <w:bCs/>
          <w:snapToGrid w:val="0"/>
          <w:szCs w:val="24"/>
        </w:rPr>
        <w:t>mimoúrovňovými kříženími</w:t>
      </w:r>
      <w:r>
        <w:rPr>
          <w:rFonts w:ascii="Tahoma" w:hAnsi="Tahoma" w:cs="Tahoma"/>
          <w:bCs/>
          <w:snapToGrid w:val="0"/>
          <w:szCs w:val="24"/>
        </w:rPr>
        <w:t xml:space="preserve">, v první etapě jako dvoupruhová směrově nerozdělená komunikace v uspořádání </w:t>
      </w:r>
      <w:r w:rsidRPr="00694997">
        <w:rPr>
          <w:rFonts w:ascii="Tahoma" w:hAnsi="Tahoma" w:cs="Tahoma"/>
          <w:bCs/>
          <w:snapToGrid w:val="0"/>
          <w:szCs w:val="24"/>
        </w:rPr>
        <w:t>S 11,5/</w:t>
      </w:r>
      <w:r>
        <w:rPr>
          <w:rFonts w:ascii="Tahoma" w:hAnsi="Tahoma" w:cs="Tahoma"/>
          <w:bCs/>
          <w:snapToGrid w:val="0"/>
          <w:szCs w:val="24"/>
        </w:rPr>
        <w:t>9</w:t>
      </w:r>
      <w:r w:rsidRPr="00694997">
        <w:rPr>
          <w:rFonts w:ascii="Tahoma" w:hAnsi="Tahoma" w:cs="Tahoma"/>
          <w:bCs/>
          <w:snapToGrid w:val="0"/>
          <w:szCs w:val="24"/>
        </w:rPr>
        <w:t>0</w:t>
      </w:r>
      <w:r w:rsidRPr="00FA57A1">
        <w:rPr>
          <w:rFonts w:ascii="Tahoma" w:hAnsi="Tahoma" w:cs="Tahoma"/>
          <w:bCs/>
          <w:snapToGrid w:val="0"/>
          <w:szCs w:val="24"/>
        </w:rPr>
        <w:t>.</w:t>
      </w:r>
    </w:p>
    <w:p w:rsidR="00C85963" w:rsidRDefault="00C85963" w:rsidP="00C85963">
      <w:pPr>
        <w:pStyle w:val="Zkladntext"/>
        <w:spacing w:before="120" w:after="120"/>
        <w:rPr>
          <w:rFonts w:ascii="Tahoma" w:hAnsi="Tahoma" w:cs="Tahoma"/>
          <w:bCs/>
          <w:snapToGrid w:val="0"/>
          <w:szCs w:val="24"/>
        </w:rPr>
      </w:pPr>
      <w:r w:rsidRPr="00FA57A1">
        <w:rPr>
          <w:rFonts w:ascii="Tahoma" w:hAnsi="Tahoma" w:cs="Tahoma"/>
          <w:bCs/>
          <w:snapToGrid w:val="0"/>
          <w:szCs w:val="24"/>
        </w:rPr>
        <w:lastRenderedPageBreak/>
        <w:t>V návaznosti na východní část severního obchvatu byla v</w:t>
      </w:r>
      <w:r>
        <w:rPr>
          <w:rFonts w:ascii="Tahoma" w:hAnsi="Tahoma" w:cs="Tahoma"/>
          <w:bCs/>
          <w:snapToGrid w:val="0"/>
          <w:szCs w:val="24"/>
        </w:rPr>
        <w:t> </w:t>
      </w:r>
      <w:r w:rsidRPr="00FA57A1">
        <w:rPr>
          <w:rFonts w:ascii="Tahoma" w:hAnsi="Tahoma" w:cs="Tahoma"/>
          <w:bCs/>
          <w:snapToGrid w:val="0"/>
          <w:szCs w:val="24"/>
        </w:rPr>
        <w:t xml:space="preserve">roce 2004 dokončena </w:t>
      </w:r>
      <w:r w:rsidRPr="00F3048D">
        <w:rPr>
          <w:rFonts w:ascii="Tahoma" w:hAnsi="Tahoma" w:cs="Tahoma"/>
          <w:bCs/>
          <w:snapToGrid w:val="0"/>
          <w:szCs w:val="24"/>
        </w:rPr>
        <w:t>technická studie západního úseku. Stavba navazuje na připravovanou východní část</w:t>
      </w:r>
      <w:r w:rsidRPr="00FA57A1">
        <w:rPr>
          <w:rFonts w:ascii="Tahoma" w:hAnsi="Tahoma" w:cs="Tahoma"/>
          <w:bCs/>
          <w:snapToGrid w:val="0"/>
          <w:szCs w:val="24"/>
        </w:rPr>
        <w:t xml:space="preserve"> obchvatu, dále pokračuje napojením na</w:t>
      </w:r>
      <w:r>
        <w:rPr>
          <w:rFonts w:ascii="Tahoma" w:hAnsi="Tahoma" w:cs="Tahoma"/>
          <w:bCs/>
          <w:snapToGrid w:val="0"/>
          <w:szCs w:val="24"/>
        </w:rPr>
        <w:t> </w:t>
      </w:r>
      <w:r w:rsidRPr="00FA57A1">
        <w:rPr>
          <w:rFonts w:ascii="Tahoma" w:hAnsi="Tahoma" w:cs="Tahoma"/>
          <w:bCs/>
          <w:snapToGrid w:val="0"/>
          <w:szCs w:val="24"/>
        </w:rPr>
        <w:t>uzel v</w:t>
      </w:r>
      <w:r>
        <w:rPr>
          <w:rFonts w:ascii="Tahoma" w:hAnsi="Tahoma" w:cs="Tahoma"/>
          <w:bCs/>
          <w:snapToGrid w:val="0"/>
          <w:szCs w:val="24"/>
        </w:rPr>
        <w:t> </w:t>
      </w:r>
      <w:r w:rsidRPr="00FA57A1">
        <w:rPr>
          <w:rFonts w:ascii="Tahoma" w:hAnsi="Tahoma" w:cs="Tahoma"/>
          <w:bCs/>
          <w:snapToGrid w:val="0"/>
          <w:szCs w:val="24"/>
        </w:rPr>
        <w:t>p</w:t>
      </w:r>
      <w:r>
        <w:rPr>
          <w:rFonts w:ascii="Tahoma" w:hAnsi="Tahoma" w:cs="Tahoma"/>
          <w:bCs/>
          <w:snapToGrid w:val="0"/>
          <w:szCs w:val="24"/>
        </w:rPr>
        <w:t>rostoru Vávrovic, kde naváže na </w:t>
      </w:r>
      <w:r w:rsidRPr="00FA57A1">
        <w:rPr>
          <w:rFonts w:ascii="Tahoma" w:hAnsi="Tahoma" w:cs="Tahoma"/>
          <w:bCs/>
          <w:snapToGrid w:val="0"/>
          <w:szCs w:val="24"/>
        </w:rPr>
        <w:t>silnici I/57 (Krnov) a přeložkou na silnici I/11 (Bruntál). Splňuje parametry dvoupruhové rychlostní komunikace.</w:t>
      </w:r>
    </w:p>
    <w:p w:rsidR="00C85963" w:rsidRDefault="008171B8" w:rsidP="00C85963">
      <w:pPr>
        <w:pStyle w:val="Zkladntext"/>
        <w:spacing w:before="120" w:after="120"/>
        <w:jc w:val="center"/>
        <w:rPr>
          <w:rFonts w:ascii="Tahoma" w:hAnsi="Tahoma" w:cs="Tahoma"/>
          <w:bCs/>
          <w:snapToGrid w:val="0"/>
          <w:szCs w:val="24"/>
        </w:rPr>
      </w:pPr>
      <w:r>
        <w:rPr>
          <w:rFonts w:ascii="Tahoma" w:hAnsi="Tahoma" w:cs="Tahoma"/>
          <w:bCs/>
          <w:noProof/>
          <w:szCs w:val="24"/>
        </w:rPr>
        <w:drawing>
          <wp:inline distT="0" distB="0" distL="0" distR="0">
            <wp:extent cx="4320000" cy="2592000"/>
            <wp:effectExtent l="0" t="0" r="444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ILOHA_I_11_OPAVA_ZAPAD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963" w:rsidRDefault="00C85963" w:rsidP="00C85963">
      <w:pPr>
        <w:pStyle w:val="Zkladntext"/>
        <w:spacing w:before="120" w:after="120"/>
        <w:rPr>
          <w:rFonts w:ascii="Tahoma" w:hAnsi="Tahoma" w:cs="Tahoma"/>
          <w:b/>
          <w:bCs/>
          <w:snapToGrid w:val="0"/>
          <w:szCs w:val="24"/>
        </w:rPr>
      </w:pPr>
      <w:r w:rsidRPr="00FA57A1">
        <w:rPr>
          <w:rFonts w:ascii="Tahoma" w:hAnsi="Tahoma" w:cs="Tahoma"/>
          <w:bCs/>
          <w:snapToGrid w:val="0"/>
          <w:szCs w:val="24"/>
        </w:rPr>
        <w:t xml:space="preserve">V 11/2009 schválen investiční záměr. Trasa je územně stabilizovaná, </w:t>
      </w:r>
      <w:r>
        <w:rPr>
          <w:rFonts w:ascii="Tahoma" w:hAnsi="Tahoma" w:cs="Tahoma"/>
          <w:bCs/>
          <w:snapToGrid w:val="0"/>
          <w:szCs w:val="24"/>
        </w:rPr>
        <w:t xml:space="preserve">je </w:t>
      </w:r>
      <w:r w:rsidRPr="00FA57A1">
        <w:rPr>
          <w:rFonts w:ascii="Tahoma" w:hAnsi="Tahoma" w:cs="Tahoma"/>
          <w:bCs/>
          <w:snapToGrid w:val="0"/>
          <w:szCs w:val="24"/>
        </w:rPr>
        <w:t>zpracová</w:t>
      </w:r>
      <w:r>
        <w:rPr>
          <w:rFonts w:ascii="Tahoma" w:hAnsi="Tahoma" w:cs="Tahoma"/>
          <w:bCs/>
          <w:snapToGrid w:val="0"/>
          <w:szCs w:val="24"/>
        </w:rPr>
        <w:t>na</w:t>
      </w:r>
      <w:r w:rsidRPr="00FA57A1">
        <w:rPr>
          <w:rFonts w:ascii="Tahoma" w:hAnsi="Tahoma" w:cs="Tahoma"/>
          <w:bCs/>
          <w:snapToGrid w:val="0"/>
          <w:szCs w:val="24"/>
        </w:rPr>
        <w:t xml:space="preserve"> </w:t>
      </w:r>
      <w:r>
        <w:rPr>
          <w:rFonts w:ascii="Tahoma" w:hAnsi="Tahoma" w:cs="Tahoma"/>
          <w:bCs/>
          <w:snapToGrid w:val="0"/>
          <w:szCs w:val="24"/>
        </w:rPr>
        <w:t>dokumentace pro územní rozhodnutí</w:t>
      </w:r>
      <w:r w:rsidRPr="00FA57A1">
        <w:rPr>
          <w:rFonts w:ascii="Tahoma" w:hAnsi="Tahoma" w:cs="Tahoma"/>
          <w:bCs/>
          <w:snapToGrid w:val="0"/>
          <w:szCs w:val="24"/>
        </w:rPr>
        <w:t>.</w:t>
      </w:r>
      <w:r>
        <w:rPr>
          <w:rFonts w:ascii="Tahoma" w:hAnsi="Tahoma" w:cs="Tahoma"/>
          <w:bCs/>
          <w:snapToGrid w:val="0"/>
          <w:szCs w:val="24"/>
        </w:rPr>
        <w:t xml:space="preserve"> </w:t>
      </w:r>
      <w:r>
        <w:rPr>
          <w:rFonts w:ascii="Tahoma" w:hAnsi="Tahoma" w:cs="Tahoma"/>
          <w:b/>
          <w:bCs/>
          <w:snapToGrid w:val="0"/>
          <w:szCs w:val="24"/>
        </w:rPr>
        <w:t>Na stavbu je vydáno</w:t>
      </w:r>
      <w:r w:rsidRPr="00945D66">
        <w:rPr>
          <w:rFonts w:ascii="Tahoma" w:hAnsi="Tahoma" w:cs="Tahoma"/>
          <w:b/>
          <w:bCs/>
          <w:snapToGrid w:val="0"/>
          <w:szCs w:val="24"/>
        </w:rPr>
        <w:t xml:space="preserve"> územní </w:t>
      </w:r>
      <w:r>
        <w:rPr>
          <w:rFonts w:ascii="Tahoma" w:hAnsi="Tahoma" w:cs="Tahoma"/>
          <w:b/>
          <w:bCs/>
          <w:snapToGrid w:val="0"/>
          <w:szCs w:val="24"/>
        </w:rPr>
        <w:t>rozhodnutí</w:t>
      </w:r>
      <w:r w:rsidRPr="00945D66">
        <w:rPr>
          <w:rFonts w:ascii="Tahoma" w:hAnsi="Tahoma" w:cs="Tahoma"/>
          <w:b/>
          <w:bCs/>
          <w:snapToGrid w:val="0"/>
          <w:szCs w:val="24"/>
        </w:rPr>
        <w:t>.</w:t>
      </w:r>
    </w:p>
    <w:p w:rsidR="00C85963" w:rsidRPr="00FA57A1" w:rsidRDefault="00C85963" w:rsidP="00C85963">
      <w:pPr>
        <w:pStyle w:val="Zkladntext"/>
        <w:spacing w:before="120" w:after="120"/>
        <w:rPr>
          <w:rFonts w:ascii="Tahoma" w:hAnsi="Tahoma" w:cs="Tahoma"/>
          <w:bCs/>
          <w:snapToGrid w:val="0"/>
          <w:szCs w:val="24"/>
        </w:rPr>
      </w:pPr>
      <w:r w:rsidRPr="00FA57A1">
        <w:rPr>
          <w:rFonts w:ascii="Tahoma" w:hAnsi="Tahoma" w:cs="Tahoma"/>
          <w:bCs/>
          <w:snapToGrid w:val="0"/>
          <w:szCs w:val="24"/>
        </w:rPr>
        <w:t>Součástí obchvatu Opavy je spojka S1 (</w:t>
      </w:r>
      <w:r w:rsidRPr="00D327AD">
        <w:rPr>
          <w:rFonts w:ascii="Tahoma" w:hAnsi="Tahoma" w:cs="Tahoma"/>
          <w:bCs/>
          <w:snapToGrid w:val="0"/>
          <w:szCs w:val="24"/>
        </w:rPr>
        <w:t xml:space="preserve">Propojení </w:t>
      </w:r>
      <w:r>
        <w:rPr>
          <w:rFonts w:ascii="Tahoma" w:hAnsi="Tahoma" w:cs="Tahoma"/>
          <w:bCs/>
          <w:snapToGrid w:val="0"/>
          <w:szCs w:val="24"/>
        </w:rPr>
        <w:t>silnic I/11 a I/56, spojka S1 v </w:t>
      </w:r>
      <w:r w:rsidRPr="00D327AD">
        <w:rPr>
          <w:rFonts w:ascii="Tahoma" w:hAnsi="Tahoma" w:cs="Tahoma"/>
          <w:bCs/>
          <w:snapToGrid w:val="0"/>
          <w:szCs w:val="24"/>
        </w:rPr>
        <w:t>Opavě</w:t>
      </w:r>
      <w:r>
        <w:rPr>
          <w:rFonts w:ascii="Tahoma" w:hAnsi="Tahoma" w:cs="Tahoma"/>
          <w:bCs/>
          <w:snapToGrid w:val="0"/>
          <w:szCs w:val="24"/>
        </w:rPr>
        <w:t>) zprovozněná v </w:t>
      </w:r>
      <w:r w:rsidRPr="00FA57A1">
        <w:rPr>
          <w:rFonts w:ascii="Tahoma" w:hAnsi="Tahoma" w:cs="Tahoma"/>
          <w:bCs/>
          <w:snapToGrid w:val="0"/>
          <w:szCs w:val="24"/>
        </w:rPr>
        <w:t>12/2009 jako 1. etapa obchvatu Opavy, komunikace splňuje parametry dvoupruhové rychlostní komunikace.</w:t>
      </w:r>
    </w:p>
    <w:p w:rsidR="00C85963" w:rsidRPr="00B86E8B" w:rsidRDefault="004331AA" w:rsidP="00C85963">
      <w:pPr>
        <w:pStyle w:val="Zkladntext"/>
        <w:keepNext/>
        <w:spacing w:before="120" w:after="120"/>
        <w:rPr>
          <w:rFonts w:ascii="Tahoma" w:hAnsi="Tahoma" w:cs="Tahoma"/>
          <w:b/>
          <w:bCs/>
          <w:snapToGrid w:val="0"/>
          <w:szCs w:val="24"/>
          <w:u w:val="single"/>
        </w:rPr>
      </w:pPr>
      <w:r>
        <w:rPr>
          <w:rFonts w:ascii="Tahoma" w:hAnsi="Tahoma" w:cs="Tahoma"/>
          <w:b/>
          <w:bCs/>
          <w:snapToGrid w:val="0"/>
          <w:szCs w:val="24"/>
          <w:u w:val="single"/>
        </w:rPr>
        <w:br w:type="page"/>
      </w:r>
      <w:r w:rsidR="00C85963" w:rsidRPr="00B86E8B">
        <w:rPr>
          <w:rFonts w:ascii="Tahoma" w:hAnsi="Tahoma" w:cs="Tahoma"/>
          <w:b/>
          <w:bCs/>
          <w:snapToGrid w:val="0"/>
          <w:szCs w:val="24"/>
          <w:u w:val="single"/>
        </w:rPr>
        <w:lastRenderedPageBreak/>
        <w:t>Silnice I/57 Krnov – severovýchodní obchvat</w:t>
      </w:r>
    </w:p>
    <w:p w:rsidR="00C85963" w:rsidRDefault="00C85963" w:rsidP="00C85963">
      <w:pPr>
        <w:pStyle w:val="Zkladntext"/>
        <w:spacing w:before="120" w:after="120"/>
        <w:rPr>
          <w:rFonts w:ascii="Tahoma" w:hAnsi="Tahoma" w:cs="Tahoma"/>
          <w:bCs/>
          <w:snapToGrid w:val="0"/>
          <w:szCs w:val="24"/>
        </w:rPr>
      </w:pPr>
      <w:r w:rsidRPr="00FA57A1">
        <w:rPr>
          <w:rFonts w:ascii="Tahoma" w:hAnsi="Tahoma" w:cs="Tahoma"/>
          <w:bCs/>
          <w:snapToGrid w:val="0"/>
          <w:szCs w:val="24"/>
        </w:rPr>
        <w:t>Severovýchodní obchvat Krnova je nově navrhovanou komunikací, která zahrnuje přeložky stávající silnice I/57 (Opava - Krnov - Bartultovice) mimo centrum města Krnova s cílem vymístit tranzitní dopravu z centrální části města</w:t>
      </w:r>
    </w:p>
    <w:p w:rsidR="00C85963" w:rsidRPr="00FA57A1" w:rsidRDefault="008171B8" w:rsidP="008171B8">
      <w:pPr>
        <w:pStyle w:val="Zkladntext"/>
        <w:spacing w:before="120" w:after="120"/>
        <w:jc w:val="center"/>
        <w:rPr>
          <w:rFonts w:ascii="Tahoma" w:hAnsi="Tahoma" w:cs="Tahoma"/>
          <w:bCs/>
          <w:snapToGrid w:val="0"/>
          <w:szCs w:val="24"/>
        </w:rPr>
      </w:pPr>
      <w:r>
        <w:rPr>
          <w:rFonts w:ascii="Tahoma" w:hAnsi="Tahoma" w:cs="Tahoma"/>
          <w:bCs/>
          <w:noProof/>
          <w:szCs w:val="24"/>
        </w:rPr>
        <w:drawing>
          <wp:inline distT="0" distB="0" distL="0" distR="0">
            <wp:extent cx="4320000" cy="2592000"/>
            <wp:effectExtent l="0" t="0" r="444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ILOHA_I_57_KRNOV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963" w:rsidRDefault="00C85963" w:rsidP="00C85963">
      <w:pPr>
        <w:pStyle w:val="Zkladntext"/>
        <w:spacing w:before="120" w:after="120"/>
        <w:rPr>
          <w:rFonts w:ascii="Tahoma" w:hAnsi="Tahoma" w:cs="Tahoma"/>
          <w:bCs/>
          <w:snapToGrid w:val="0"/>
          <w:szCs w:val="24"/>
        </w:rPr>
      </w:pPr>
      <w:r w:rsidRPr="00FA57A1">
        <w:rPr>
          <w:rFonts w:ascii="Tahoma" w:hAnsi="Tahoma" w:cs="Tahoma"/>
          <w:bCs/>
          <w:snapToGrid w:val="0"/>
          <w:szCs w:val="24"/>
        </w:rPr>
        <w:t>Komunikace je navržena v kategorii S 11,5/80, celková délka trasy činí 7,862 km; součástí stavby je také úrovňové napojení části stávající silnice I/57, která bude převedena do sítě komunikací III. třídy a místních komunikací. Na stavbu funkčně navazuje úprava silnice č. I/45 k hraničnímu přechodu Krnov – Pietraszyn, která by měla být realizována společně.</w:t>
      </w:r>
    </w:p>
    <w:p w:rsidR="006577D5" w:rsidRDefault="00C85963" w:rsidP="006460E3">
      <w:pPr>
        <w:pStyle w:val="Zkladntext"/>
        <w:spacing w:before="120" w:after="120"/>
        <w:rPr>
          <w:rFonts w:ascii="Tahoma" w:hAnsi="Tahoma" w:cs="Tahoma"/>
          <w:bCs/>
          <w:snapToGrid w:val="0"/>
          <w:szCs w:val="24"/>
        </w:rPr>
      </w:pPr>
      <w:r w:rsidRPr="00FA57A1">
        <w:rPr>
          <w:rFonts w:ascii="Tahoma" w:hAnsi="Tahoma" w:cs="Tahoma"/>
          <w:bCs/>
          <w:snapToGrid w:val="0"/>
          <w:szCs w:val="24"/>
        </w:rPr>
        <w:t>Trasa obchvatu Krnova je navržena tak, aby plnila fu</w:t>
      </w:r>
      <w:r>
        <w:rPr>
          <w:rFonts w:ascii="Tahoma" w:hAnsi="Tahoma" w:cs="Tahoma"/>
          <w:bCs/>
          <w:snapToGrid w:val="0"/>
          <w:szCs w:val="24"/>
        </w:rPr>
        <w:t xml:space="preserve">nkci protipovodňového opatření. </w:t>
      </w:r>
      <w:r w:rsidRPr="00197842">
        <w:rPr>
          <w:rFonts w:ascii="Tahoma" w:hAnsi="Tahoma" w:cs="Tahoma"/>
          <w:b/>
          <w:bCs/>
          <w:snapToGrid w:val="0"/>
          <w:szCs w:val="24"/>
        </w:rPr>
        <w:t xml:space="preserve">Stavební povolení na </w:t>
      </w:r>
      <w:r w:rsidR="007017FF">
        <w:rPr>
          <w:rFonts w:ascii="Tahoma" w:hAnsi="Tahoma" w:cs="Tahoma"/>
          <w:b/>
          <w:bCs/>
          <w:snapToGrid w:val="0"/>
          <w:szCs w:val="24"/>
        </w:rPr>
        <w:t xml:space="preserve">hlavní </w:t>
      </w:r>
      <w:r w:rsidRPr="00197842">
        <w:rPr>
          <w:rFonts w:ascii="Tahoma" w:hAnsi="Tahoma" w:cs="Tahoma"/>
          <w:b/>
          <w:bCs/>
          <w:snapToGrid w:val="0"/>
          <w:szCs w:val="24"/>
        </w:rPr>
        <w:t>trasu vydána</w:t>
      </w:r>
      <w:r w:rsidR="006460E3">
        <w:rPr>
          <w:rFonts w:ascii="Tahoma" w:hAnsi="Tahoma" w:cs="Tahoma"/>
          <w:b/>
          <w:bCs/>
          <w:snapToGrid w:val="0"/>
          <w:szCs w:val="24"/>
        </w:rPr>
        <w:t xml:space="preserve">. </w:t>
      </w:r>
      <w:r w:rsidR="00BF2865">
        <w:rPr>
          <w:rFonts w:ascii="Tahoma" w:hAnsi="Tahoma" w:cs="Tahoma"/>
          <w:b/>
          <w:bCs/>
          <w:snapToGrid w:val="0"/>
          <w:szCs w:val="24"/>
        </w:rPr>
        <w:t>Stanovisko EIA dle zákona č. </w:t>
      </w:r>
      <w:bookmarkStart w:id="0" w:name="_GoBack"/>
      <w:bookmarkEnd w:id="0"/>
      <w:r w:rsidR="006460E3" w:rsidRPr="006460E3">
        <w:rPr>
          <w:rFonts w:ascii="Tahoma" w:hAnsi="Tahoma" w:cs="Tahoma"/>
          <w:b/>
          <w:bCs/>
          <w:snapToGrid w:val="0"/>
          <w:szCs w:val="24"/>
        </w:rPr>
        <w:t>244/1992 Sb., nutná verifikace</w:t>
      </w:r>
      <w:r w:rsidRPr="00197842">
        <w:rPr>
          <w:rFonts w:ascii="Tahoma" w:hAnsi="Tahoma" w:cs="Tahoma"/>
          <w:b/>
          <w:bCs/>
          <w:snapToGrid w:val="0"/>
          <w:szCs w:val="24"/>
        </w:rPr>
        <w:t>.</w:t>
      </w:r>
    </w:p>
    <w:sectPr w:rsidR="006577D5">
      <w:footerReference w:type="even" r:id="rId13"/>
      <w:footerReference w:type="default" r:id="rId14"/>
      <w:headerReference w:type="first" r:id="rId15"/>
      <w:pgSz w:w="11906" w:h="16838"/>
      <w:pgMar w:top="737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3EC3" w:rsidRDefault="00E93EC3">
      <w:r>
        <w:separator/>
      </w:r>
    </w:p>
  </w:endnote>
  <w:endnote w:type="continuationSeparator" w:id="0">
    <w:p w:rsidR="00E93EC3" w:rsidRDefault="00E93E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5790" w:rsidRDefault="00625790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625790" w:rsidRDefault="00625790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5790" w:rsidRPr="008F1628" w:rsidRDefault="008F1628" w:rsidP="008F1628">
    <w:pPr>
      <w:pStyle w:val="Zpat"/>
      <w:spacing w:line="280" w:lineRule="exact"/>
      <w:jc w:val="center"/>
      <w:rPr>
        <w:rFonts w:ascii="Tahoma" w:hAnsi="Tahoma" w:cs="Tahoma"/>
        <w:sz w:val="28"/>
        <w:szCs w:val="28"/>
      </w:rPr>
    </w:pPr>
    <w:r w:rsidRPr="008F1628">
      <w:rPr>
        <w:rStyle w:val="slostrnky"/>
        <w:rFonts w:ascii="Tahoma" w:hAnsi="Tahoma" w:cs="Tahoma"/>
      </w:rPr>
      <w:fldChar w:fldCharType="begin"/>
    </w:r>
    <w:r w:rsidRPr="008F1628">
      <w:rPr>
        <w:rStyle w:val="slostrnky"/>
        <w:rFonts w:ascii="Tahoma" w:hAnsi="Tahoma" w:cs="Tahoma"/>
      </w:rPr>
      <w:instrText xml:space="preserve"> PAGE </w:instrText>
    </w:r>
    <w:r w:rsidRPr="008F1628">
      <w:rPr>
        <w:rStyle w:val="slostrnky"/>
        <w:rFonts w:ascii="Tahoma" w:hAnsi="Tahoma" w:cs="Tahoma"/>
      </w:rPr>
      <w:fldChar w:fldCharType="separate"/>
    </w:r>
    <w:r w:rsidR="00BF2865">
      <w:rPr>
        <w:rStyle w:val="slostrnky"/>
        <w:rFonts w:ascii="Tahoma" w:hAnsi="Tahoma" w:cs="Tahoma"/>
        <w:noProof/>
      </w:rPr>
      <w:t>4</w:t>
    </w:r>
    <w:r w:rsidRPr="008F1628">
      <w:rPr>
        <w:rStyle w:val="slostrnky"/>
        <w:rFonts w:ascii="Tahoma" w:hAnsi="Tahoma" w:cs="Tahom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3EC3" w:rsidRDefault="00E93EC3">
      <w:pPr>
        <w:pStyle w:val="Zkladntext"/>
      </w:pPr>
      <w:r>
        <w:separator/>
      </w:r>
    </w:p>
  </w:footnote>
  <w:footnote w:type="continuationSeparator" w:id="0">
    <w:p w:rsidR="00E93EC3" w:rsidRDefault="00E93E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582" w:rsidRDefault="0057758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D0F67"/>
    <w:multiLevelType w:val="multilevel"/>
    <w:tmpl w:val="2F183708"/>
    <w:lvl w:ilvl="0">
      <w:start w:val="1"/>
      <w:numFmt w:val="decimal"/>
      <w:pStyle w:val="normln1"/>
      <w:lvlText w:val="(%1)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pStyle w:val="normln2"/>
      <w:lvlText w:val="%2)"/>
      <w:lvlJc w:val="left"/>
      <w:pPr>
        <w:tabs>
          <w:tab w:val="num" w:pos="907"/>
        </w:tabs>
        <w:ind w:left="907" w:hanging="453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361"/>
        </w:tabs>
        <w:ind w:left="1361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E65"/>
    <w:rsid w:val="000D39D3"/>
    <w:rsid w:val="000F483F"/>
    <w:rsid w:val="0027705E"/>
    <w:rsid w:val="002F78B9"/>
    <w:rsid w:val="003106D2"/>
    <w:rsid w:val="00346317"/>
    <w:rsid w:val="003B52DE"/>
    <w:rsid w:val="004255B5"/>
    <w:rsid w:val="004331AA"/>
    <w:rsid w:val="00456038"/>
    <w:rsid w:val="00475578"/>
    <w:rsid w:val="00476E65"/>
    <w:rsid w:val="004C655F"/>
    <w:rsid w:val="004F73BF"/>
    <w:rsid w:val="00551A57"/>
    <w:rsid w:val="00577582"/>
    <w:rsid w:val="00620582"/>
    <w:rsid w:val="00625790"/>
    <w:rsid w:val="006460E3"/>
    <w:rsid w:val="006577D5"/>
    <w:rsid w:val="007017FF"/>
    <w:rsid w:val="00774C83"/>
    <w:rsid w:val="007B4887"/>
    <w:rsid w:val="008171B8"/>
    <w:rsid w:val="008F1049"/>
    <w:rsid w:val="008F1628"/>
    <w:rsid w:val="00912D66"/>
    <w:rsid w:val="0097715F"/>
    <w:rsid w:val="009D0390"/>
    <w:rsid w:val="009F61D4"/>
    <w:rsid w:val="00A26DCC"/>
    <w:rsid w:val="00B86EAC"/>
    <w:rsid w:val="00BF2865"/>
    <w:rsid w:val="00C30AE9"/>
    <w:rsid w:val="00C36E90"/>
    <w:rsid w:val="00C85963"/>
    <w:rsid w:val="00CA1803"/>
    <w:rsid w:val="00CC756F"/>
    <w:rsid w:val="00D5101A"/>
    <w:rsid w:val="00D730EE"/>
    <w:rsid w:val="00DF6583"/>
    <w:rsid w:val="00E32EC3"/>
    <w:rsid w:val="00E93EC3"/>
    <w:rsid w:val="00EB2F87"/>
    <w:rsid w:val="00EC253A"/>
    <w:rsid w:val="00F9118A"/>
    <w:rsid w:val="00F92ACF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CF2D104-B27C-4E6F-9DEA-A39A6A744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  <w:caps/>
      <w:sz w:val="36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bCs/>
      <w:caps/>
      <w:sz w:val="40"/>
    </w:rPr>
  </w:style>
  <w:style w:type="paragraph" w:styleId="Nadpis3">
    <w:name w:val="heading 3"/>
    <w:basedOn w:val="Normln"/>
    <w:next w:val="Normln"/>
    <w:qFormat/>
    <w:pPr>
      <w:keepNext/>
      <w:jc w:val="center"/>
      <w:outlineLvl w:val="2"/>
    </w:pPr>
    <w:rPr>
      <w:b/>
      <w:bCs/>
      <w:sz w:val="28"/>
    </w:rPr>
  </w:style>
  <w:style w:type="paragraph" w:styleId="Nadpis4">
    <w:name w:val="heading 4"/>
    <w:basedOn w:val="Normln"/>
    <w:next w:val="Normln"/>
    <w:qFormat/>
    <w:pPr>
      <w:keepNext/>
      <w:jc w:val="both"/>
      <w:outlineLvl w:val="3"/>
    </w:pPr>
    <w:rPr>
      <w:b/>
      <w:bCs/>
      <w:sz w:val="28"/>
    </w:rPr>
  </w:style>
  <w:style w:type="paragraph" w:styleId="Nadpis5">
    <w:name w:val="heading 5"/>
    <w:basedOn w:val="Normln"/>
    <w:next w:val="Normln"/>
    <w:qFormat/>
    <w:pPr>
      <w:keepNext/>
      <w:jc w:val="center"/>
      <w:outlineLvl w:val="4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paragraph" w:customStyle="1" w:styleId="normln1">
    <w:name w:val="normální 1"/>
    <w:basedOn w:val="Normln"/>
    <w:pPr>
      <w:numPr>
        <w:numId w:val="1"/>
      </w:numPr>
    </w:pPr>
  </w:style>
  <w:style w:type="paragraph" w:customStyle="1" w:styleId="normln2">
    <w:name w:val="normální 2"/>
    <w:basedOn w:val="Normln"/>
    <w:pPr>
      <w:numPr>
        <w:ilvl w:val="1"/>
        <w:numId w:val="1"/>
      </w:numPr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Textpoznpodarou">
    <w:name w:val="footnote text"/>
    <w:basedOn w:val="Normln"/>
    <w:semiHidden/>
    <w:rPr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customStyle="1" w:styleId="1rove">
    <w:name w:val="1. úroveň"/>
    <w:basedOn w:val="Normln"/>
    <w:pPr>
      <w:tabs>
        <w:tab w:val="num" w:pos="454"/>
      </w:tabs>
      <w:overflowPunct w:val="0"/>
      <w:autoSpaceDE w:val="0"/>
      <w:autoSpaceDN w:val="0"/>
      <w:adjustRightInd w:val="0"/>
      <w:spacing w:after="240"/>
      <w:ind w:left="454" w:hanging="454"/>
      <w:jc w:val="both"/>
      <w:textAlignment w:val="baseline"/>
    </w:pPr>
    <w:rPr>
      <w:sz w:val="28"/>
      <w:szCs w:val="20"/>
    </w:rPr>
  </w:style>
  <w:style w:type="paragraph" w:customStyle="1" w:styleId="2rove">
    <w:name w:val="2. úroveň"/>
    <w:basedOn w:val="1rove"/>
    <w:pPr>
      <w:numPr>
        <w:ilvl w:val="1"/>
      </w:numPr>
      <w:tabs>
        <w:tab w:val="num" w:pos="454"/>
      </w:tabs>
      <w:spacing w:before="120"/>
      <w:ind w:left="454" w:hanging="454"/>
    </w:pPr>
  </w:style>
  <w:style w:type="paragraph" w:customStyle="1" w:styleId="3rove">
    <w:name w:val="3. úroveň"/>
    <w:basedOn w:val="2rove"/>
    <w:pPr>
      <w:numPr>
        <w:ilvl w:val="2"/>
      </w:numPr>
      <w:tabs>
        <w:tab w:val="num" w:pos="454"/>
      </w:tabs>
      <w:spacing w:before="0"/>
      <w:ind w:left="454" w:hanging="454"/>
    </w:pPr>
  </w:style>
  <w:style w:type="paragraph" w:customStyle="1" w:styleId="4rove">
    <w:name w:val="4. úroveň"/>
    <w:basedOn w:val="3rove"/>
    <w:pPr>
      <w:numPr>
        <w:ilvl w:val="3"/>
      </w:numPr>
      <w:tabs>
        <w:tab w:val="num" w:pos="454"/>
      </w:tabs>
      <w:ind w:left="454" w:hanging="454"/>
    </w:pPr>
  </w:style>
  <w:style w:type="paragraph" w:styleId="Zkladntext3">
    <w:name w:val="Body Text 3"/>
    <w:basedOn w:val="Normln"/>
    <w:rPr>
      <w:rFonts w:ascii="Tahoma" w:hAnsi="Tahoma"/>
      <w:sz w:val="28"/>
      <w:szCs w:val="20"/>
    </w:rPr>
  </w:style>
  <w:style w:type="paragraph" w:customStyle="1" w:styleId="KUMS-nadpisyrozhodnut">
    <w:name w:val="KUMS-nadpisy rozhodnutí"/>
    <w:basedOn w:val="Normln"/>
    <w:next w:val="Normln"/>
    <w:rsid w:val="007B4887"/>
    <w:pPr>
      <w:spacing w:line="280" w:lineRule="exact"/>
      <w:jc w:val="both"/>
    </w:pPr>
    <w:rPr>
      <w:rFonts w:ascii="Tahoma" w:hAnsi="Tahoma" w:cs="Tahoma"/>
      <w:noProof/>
      <w:sz w:val="26"/>
      <w:szCs w:val="26"/>
    </w:rPr>
  </w:style>
  <w:style w:type="character" w:customStyle="1" w:styleId="ZkladntextChar">
    <w:name w:val="Základní text Char"/>
    <w:link w:val="Zkladntext"/>
    <w:rsid w:val="00C85963"/>
    <w:rPr>
      <w:sz w:val="24"/>
    </w:rPr>
  </w:style>
  <w:style w:type="character" w:styleId="Odkazjemn">
    <w:name w:val="Subtle Reference"/>
    <w:uiPriority w:val="31"/>
    <w:qFormat/>
    <w:rsid w:val="00C85963"/>
    <w:rPr>
      <w:smallCaps/>
      <w:color w:val="C0504D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55B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55B5"/>
    <w:rPr>
      <w:rFonts w:ascii="Tahoma" w:hAnsi="Tahoma" w:cs="Tahoma"/>
      <w:sz w:val="16"/>
      <w:szCs w:val="16"/>
    </w:rPr>
  </w:style>
  <w:style w:type="paragraph" w:styleId="Revize">
    <w:name w:val="Revision"/>
    <w:hidden/>
    <w:uiPriority w:val="99"/>
    <w:semiHidden/>
    <w:rsid w:val="0027705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urkynova\Data%20aplikac&#237;\Microsoft\&#352;ablony\NORMALs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NORMALs.DOT</Template>
  <TotalTime>36</TotalTime>
  <Pages>5</Pages>
  <Words>738</Words>
  <Characters>4359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MORAVSKOSLEZSKÝ KRAJ</vt:lpstr>
    </vt:vector>
  </TitlesOfParts>
  <Company>kuo</Company>
  <LinksUpToDate>false</LinksUpToDate>
  <CharactersWithSpaces>5087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MORAVSKOSLEZSKÝ KRAJ</dc:title>
  <dc:creator>purkynova</dc:creator>
  <cp:lastModifiedBy>Elbl Václav</cp:lastModifiedBy>
  <cp:revision>10</cp:revision>
  <cp:lastPrinted>2016-01-25T10:38:00Z</cp:lastPrinted>
  <dcterms:created xsi:type="dcterms:W3CDTF">2016-01-24T23:00:00Z</dcterms:created>
  <dcterms:modified xsi:type="dcterms:W3CDTF">2016-02-09T13:02:00Z</dcterms:modified>
</cp:coreProperties>
</file>