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409590DF" w14:textId="77777777" w:rsidR="004D5C9F" w:rsidRDefault="004D5C9F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FF397A" w14:textId="1611B691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22B3FB99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FA4EE2" w:rsidRPr="00A808B8">
        <w:rPr>
          <w:rFonts w:ascii="Tahoma" w:hAnsi="Tahoma" w:cs="Tahoma"/>
          <w:sz w:val="20"/>
          <w:szCs w:val="20"/>
        </w:rPr>
        <w:t xml:space="preserve">28. října </w:t>
      </w:r>
      <w:r w:rsidR="001758DE">
        <w:rPr>
          <w:rFonts w:ascii="Tahoma" w:hAnsi="Tahoma" w:cs="Tahoma"/>
          <w:sz w:val="20"/>
          <w:szCs w:val="20"/>
        </w:rPr>
        <w:t>2711/</w:t>
      </w:r>
      <w:r w:rsidR="00FA4EE2" w:rsidRPr="00A808B8">
        <w:rPr>
          <w:rFonts w:ascii="Tahoma" w:hAnsi="Tahoma" w:cs="Tahoma"/>
          <w:sz w:val="20"/>
          <w:szCs w:val="20"/>
        </w:rPr>
        <w:t xml:space="preserve">117, 702 </w:t>
      </w:r>
      <w:r w:rsidR="001758DE">
        <w:rPr>
          <w:rFonts w:ascii="Tahoma" w:hAnsi="Tahoma" w:cs="Tahoma"/>
          <w:sz w:val="20"/>
          <w:szCs w:val="20"/>
        </w:rPr>
        <w:t>00</w:t>
      </w:r>
      <w:r w:rsidR="00FA4EE2" w:rsidRPr="00A808B8">
        <w:rPr>
          <w:rFonts w:ascii="Tahoma" w:hAnsi="Tahoma" w:cs="Tahoma"/>
          <w:sz w:val="20"/>
          <w:szCs w:val="20"/>
        </w:rPr>
        <w:t xml:space="preserve"> Ostrava</w:t>
      </w:r>
    </w:p>
    <w:p w14:paraId="6FC22FBB" w14:textId="744C0303" w:rsidR="0013620E" w:rsidRDefault="00FA4EE2" w:rsidP="005B30B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1758DE">
        <w:rPr>
          <w:rFonts w:ascii="Tahoma" w:hAnsi="Tahoma" w:cs="Tahoma"/>
          <w:sz w:val="20"/>
          <w:szCs w:val="20"/>
        </w:rPr>
        <w:t>Jan Krkoška, MBA, hejtman kraje</w:t>
      </w: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65A52DB8" w:rsidR="00FA4EE2" w:rsidRPr="00A808B8" w:rsidRDefault="006F5A10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Dohodneme se,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380E7E74" w14:textId="0329DDDC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r w:rsidR="00FB763E">
        <w:rPr>
          <w:rFonts w:ascii="Tahoma" w:hAnsi="Tahoma" w:cs="Tahoma"/>
          <w:sz w:val="20"/>
          <w:szCs w:val="20"/>
        </w:rPr>
        <w:t>Úvalno 281</w:t>
      </w:r>
    </w:p>
    <w:p w14:paraId="1F15FCE3" w14:textId="49AFACA7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  <w:r w:rsidR="00FB763E">
        <w:rPr>
          <w:rFonts w:ascii="Tahoma" w:hAnsi="Tahoma" w:cs="Tahoma"/>
          <w:sz w:val="20"/>
          <w:szCs w:val="20"/>
        </w:rPr>
        <w:t>Mgr. Pavlína Němcová</w:t>
      </w:r>
    </w:p>
    <w:p w14:paraId="299354A7" w14:textId="25C87A65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  <w:r w:rsidR="007B10D5">
        <w:rPr>
          <w:rFonts w:ascii="Tahoma" w:hAnsi="Tahoma" w:cs="Tahoma"/>
          <w:sz w:val="20"/>
          <w:szCs w:val="20"/>
        </w:rPr>
        <w:t>06661688</w:t>
      </w:r>
    </w:p>
    <w:p w14:paraId="28C30FB7" w14:textId="02DE201B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  <w:r w:rsidR="007B10D5">
        <w:rPr>
          <w:rFonts w:ascii="Tahoma" w:hAnsi="Tahoma" w:cs="Tahoma"/>
          <w:sz w:val="20"/>
          <w:szCs w:val="20"/>
        </w:rPr>
        <w:t>Fi</w:t>
      </w:r>
      <w:r w:rsidR="00CF540D">
        <w:rPr>
          <w:rFonts w:ascii="Tahoma" w:hAnsi="Tahoma" w:cs="Tahoma"/>
          <w:sz w:val="20"/>
          <w:szCs w:val="20"/>
        </w:rPr>
        <w:t>o banka</w:t>
      </w:r>
    </w:p>
    <w:p w14:paraId="5E3EB486" w14:textId="6C07B115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CF540D">
        <w:rPr>
          <w:rFonts w:ascii="Tahoma" w:hAnsi="Tahoma" w:cs="Tahoma"/>
          <w:sz w:val="20"/>
          <w:szCs w:val="20"/>
        </w:rPr>
        <w:t>2101368743/2010</w:t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043543EC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BA7B2C">
        <w:rPr>
          <w:rFonts w:ascii="Tahoma" w:hAnsi="Tahoma" w:cs="Tahoma"/>
          <w:b w:val="0"/>
          <w:bCs w:val="0"/>
          <w:sz w:val="20"/>
          <w:szCs w:val="20"/>
        </w:rPr>
        <w:t>I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 xml:space="preserve">mplementace </w:t>
      </w:r>
      <w:r w:rsidR="009D26E7">
        <w:rPr>
          <w:rFonts w:ascii="Tahoma" w:hAnsi="Tahoma" w:cs="Tahoma"/>
          <w:b w:val="0"/>
          <w:bCs w:val="0"/>
          <w:sz w:val="20"/>
          <w:szCs w:val="20"/>
        </w:rPr>
        <w:t>D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louhodobého záměru MSK“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 rámci Operačního programu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Jan Amos Komenský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 xml:space="preserve"> (dále také „OP</w:t>
      </w:r>
      <w:r w:rsidR="00C123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C3DB9">
        <w:rPr>
          <w:rFonts w:ascii="Tahoma" w:hAnsi="Tahoma" w:cs="Tahoma"/>
          <w:b w:val="0"/>
          <w:bCs w:val="0"/>
          <w:sz w:val="20"/>
          <w:szCs w:val="20"/>
        </w:rPr>
        <w:t>JAK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0A469F51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</w:t>
      </w:r>
      <w:r w:rsidR="00EA76BD">
        <w:rPr>
          <w:rFonts w:ascii="Tahoma" w:hAnsi="Tahoma" w:cs="Tahoma"/>
          <w:b w:val="0"/>
          <w:sz w:val="20"/>
          <w:szCs w:val="20"/>
        </w:rPr>
        <w:t>23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EA76BD">
        <w:rPr>
          <w:rFonts w:ascii="Tahoma" w:hAnsi="Tahoma" w:cs="Tahoma"/>
          <w:b w:val="0"/>
          <w:sz w:val="20"/>
          <w:szCs w:val="20"/>
        </w:rPr>
        <w:t>1</w:t>
      </w:r>
      <w:r w:rsidR="00A36D4D">
        <w:rPr>
          <w:rFonts w:ascii="Tahoma" w:hAnsi="Tahoma" w:cs="Tahoma"/>
          <w:b w:val="0"/>
          <w:sz w:val="20"/>
          <w:szCs w:val="20"/>
        </w:rPr>
        <w:t>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</w:t>
      </w:r>
      <w:r w:rsidR="00414377">
        <w:rPr>
          <w:rFonts w:ascii="Tahoma" w:hAnsi="Tahoma" w:cs="Tahoma"/>
          <w:b w:val="0"/>
          <w:sz w:val="20"/>
          <w:szCs w:val="20"/>
        </w:rPr>
        <w:t xml:space="preserve">Akční plánování v území </w:t>
      </w:r>
      <w:r w:rsidR="00A3424E">
        <w:rPr>
          <w:rFonts w:ascii="Tahoma" w:hAnsi="Tahoma" w:cs="Tahoma"/>
          <w:b w:val="0"/>
          <w:sz w:val="20"/>
          <w:szCs w:val="20"/>
        </w:rPr>
        <w:t>–</w:t>
      </w:r>
      <w:r w:rsidR="00414377">
        <w:rPr>
          <w:rFonts w:ascii="Tahoma" w:hAnsi="Tahoma" w:cs="Tahoma"/>
          <w:b w:val="0"/>
          <w:sz w:val="20"/>
          <w:szCs w:val="20"/>
        </w:rPr>
        <w:t xml:space="preserve"> IDZ</w:t>
      </w:r>
      <w:r w:rsidR="00A3424E">
        <w:rPr>
          <w:rFonts w:ascii="Tahoma" w:hAnsi="Tahoma" w:cs="Tahoma"/>
          <w:b w:val="0"/>
          <w:sz w:val="20"/>
          <w:szCs w:val="20"/>
        </w:rPr>
        <w:t>“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rámci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14377">
        <w:rPr>
          <w:rFonts w:ascii="Tahoma" w:hAnsi="Tahoma" w:cs="Tahoma"/>
          <w:b w:val="0"/>
          <w:sz w:val="20"/>
          <w:szCs w:val="20"/>
        </w:rPr>
        <w:t> JAK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>příjemce“)</w:t>
      </w:r>
      <w:r w:rsidR="00183D3A">
        <w:rPr>
          <w:rFonts w:ascii="Tahoma" w:hAnsi="Tahoma" w:cs="Tahoma"/>
          <w:b w:val="0"/>
          <w:sz w:val="20"/>
          <w:szCs w:val="20"/>
        </w:rPr>
        <w:t xml:space="preserve"> v aktuálním znění.</w:t>
      </w:r>
    </w:p>
    <w:p w14:paraId="05FD5484" w14:textId="60B6003B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CC6A0D">
        <w:rPr>
          <w:rFonts w:ascii="Tahoma" w:hAnsi="Tahoma" w:cs="Tahoma"/>
          <w:b w:val="0"/>
          <w:sz w:val="20"/>
          <w:szCs w:val="20"/>
        </w:rPr>
        <w:t xml:space="preserve">mlouvě a </w:t>
      </w:r>
      <w:r w:rsidR="002A7677" w:rsidRPr="00CC6A0D">
        <w:rPr>
          <w:rFonts w:ascii="Tahoma" w:hAnsi="Tahoma" w:cs="Tahoma"/>
          <w:b w:val="0"/>
          <w:sz w:val="20"/>
          <w:szCs w:val="20"/>
        </w:rPr>
        <w:t>p</w:t>
      </w:r>
      <w:r w:rsidR="00C175EE" w:rsidRPr="00CC6A0D">
        <w:rPr>
          <w:rFonts w:ascii="Tahoma" w:hAnsi="Tahoma" w:cs="Tahoma"/>
          <w:b w:val="0"/>
          <w:sz w:val="20"/>
          <w:szCs w:val="20"/>
        </w:rPr>
        <w:t>rávním aktu o poskytnutí podpory</w:t>
      </w:r>
      <w:r w:rsidRPr="00CC6A0D">
        <w:rPr>
          <w:rFonts w:ascii="Tahoma" w:hAnsi="Tahoma" w:cs="Tahoma"/>
          <w:b w:val="0"/>
          <w:sz w:val="20"/>
          <w:szCs w:val="20"/>
        </w:rPr>
        <w:t xml:space="preserve"> k projektu, případně</w:t>
      </w:r>
      <w:r w:rsidRPr="00966396">
        <w:rPr>
          <w:rFonts w:ascii="Tahoma" w:hAnsi="Tahoma" w:cs="Tahoma"/>
          <w:b w:val="0"/>
          <w:sz w:val="20"/>
          <w:szCs w:val="20"/>
        </w:rPr>
        <w:t xml:space="preserve">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lastRenderedPageBreak/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>OP</w:t>
      </w:r>
      <w:r w:rsidR="00402830">
        <w:rPr>
          <w:rFonts w:ascii="Tahoma" w:hAnsi="Tahoma" w:cs="Tahoma"/>
          <w:b w:val="0"/>
          <w:sz w:val="20"/>
          <w:szCs w:val="20"/>
        </w:rPr>
        <w:t> JAK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1476976E" w14:textId="3FC42DF9" w:rsidR="001758DE" w:rsidRPr="00B115EE" w:rsidRDefault="001758DE" w:rsidP="001758D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3710EB8D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4D5C9F">
        <w:rPr>
          <w:rFonts w:ascii="Tahoma" w:hAnsi="Tahoma" w:cs="Tahoma"/>
          <w:b w:val="0"/>
          <w:bCs w:val="0"/>
          <w:sz w:val="20"/>
          <w:szCs w:val="20"/>
        </w:rPr>
        <w:t>0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Kč) a neinvestiční 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(</w:t>
      </w:r>
      <w:r w:rsidR="000015A1">
        <w:rPr>
          <w:rFonts w:ascii="Tahoma" w:hAnsi="Tahoma" w:cs="Tahoma"/>
          <w:b w:val="0"/>
          <w:bCs w:val="0"/>
          <w:sz w:val="20"/>
          <w:szCs w:val="20"/>
        </w:rPr>
        <w:t>5.642.</w:t>
      </w:r>
      <w:r w:rsidR="00120398">
        <w:rPr>
          <w:rFonts w:ascii="Tahoma" w:hAnsi="Tahoma" w:cs="Tahoma"/>
          <w:b w:val="0"/>
          <w:bCs w:val="0"/>
          <w:sz w:val="20"/>
          <w:szCs w:val="20"/>
        </w:rPr>
        <w:t>178</w:t>
      </w:r>
      <w:r w:rsidR="001758DE" w:rsidRPr="007B74C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7B74CA">
        <w:rPr>
          <w:rFonts w:ascii="Tahoma" w:hAnsi="Tahoma" w:cs="Tahoma"/>
          <w:b w:val="0"/>
          <w:bCs w:val="0"/>
          <w:sz w:val="20"/>
          <w:szCs w:val="20"/>
        </w:rPr>
        <w:t>Kč)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dotaci v souhrnné maximální výši </w:t>
      </w:r>
      <w:r w:rsidR="00120398">
        <w:rPr>
          <w:rFonts w:ascii="Tahoma" w:hAnsi="Tahoma" w:cs="Tahoma"/>
          <w:b w:val="0"/>
          <w:bCs w:val="0"/>
          <w:sz w:val="20"/>
          <w:szCs w:val="20"/>
        </w:rPr>
        <w:t>5.642.178</w:t>
      </w:r>
      <w:r w:rsidR="00DB1175" w:rsidRPr="004072FE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B1175" w:rsidRPr="00B13BE4">
        <w:rPr>
          <w:rFonts w:ascii="Tahoma" w:hAnsi="Tahoma" w:cs="Tahoma"/>
          <w:b w:val="0"/>
          <w:bCs w:val="0"/>
          <w:sz w:val="20"/>
          <w:szCs w:val="20"/>
        </w:rPr>
        <w:t>(</w:t>
      </w:r>
      <w:r w:rsidR="00AA561F" w:rsidRPr="00AA561F">
        <w:rPr>
          <w:rFonts w:ascii="Tahoma" w:hAnsi="Tahoma" w:cs="Tahoma"/>
          <w:b w:val="0"/>
          <w:bCs w:val="0"/>
          <w:sz w:val="20"/>
          <w:szCs w:val="20"/>
        </w:rPr>
        <w:t>pět milionů šest set čtyřicet dva tisíc jedno sto sedmdesát osm 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</w:t>
      </w:r>
      <w:r w:rsidR="001758D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284AF207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</w:t>
      </w:r>
      <w:r w:rsidR="00B13BE4">
        <w:rPr>
          <w:rFonts w:ascii="Tahoma" w:hAnsi="Tahoma" w:cs="Tahoma"/>
          <w:b w:val="0"/>
          <w:bCs w:val="0"/>
          <w:sz w:val="20"/>
          <w:szCs w:val="20"/>
        </w:rPr>
        <w:t>paušální náklady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C6C3B">
        <w:rPr>
          <w:rFonts w:ascii="Tahoma" w:hAnsi="Tahoma" w:cs="Tahoma"/>
          <w:b w:val="0"/>
          <w:bCs w:val="0"/>
          <w:sz w:val="20"/>
          <w:szCs w:val="20"/>
        </w:rPr>
        <w:t>5.322</w:t>
      </w:r>
      <w:r w:rsidR="00E00A73">
        <w:rPr>
          <w:rFonts w:ascii="Tahoma" w:hAnsi="Tahoma" w:cs="Tahoma"/>
          <w:b w:val="0"/>
          <w:bCs w:val="0"/>
          <w:sz w:val="20"/>
          <w:szCs w:val="20"/>
        </w:rPr>
        <w:t>.810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 xml:space="preserve"> Kč (</w:t>
      </w:r>
      <w:r w:rsidR="00E00A73" w:rsidRPr="00E00A73">
        <w:rPr>
          <w:rFonts w:ascii="Tahoma" w:hAnsi="Tahoma" w:cs="Tahoma"/>
          <w:b w:val="0"/>
          <w:bCs w:val="0"/>
          <w:sz w:val="20"/>
          <w:szCs w:val="20"/>
        </w:rPr>
        <w:t>pět milionů tři sta dvacet dva tisíc osm set deset korun českých</w:t>
      </w:r>
      <w:r w:rsidR="00DA33F7" w:rsidRPr="00DA33F7">
        <w:rPr>
          <w:rFonts w:ascii="Tahoma" w:hAnsi="Tahoma" w:cs="Tahoma"/>
          <w:b w:val="0"/>
          <w:bCs w:val="0"/>
          <w:sz w:val="20"/>
          <w:szCs w:val="20"/>
        </w:rPr>
        <w:t>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04FE7">
        <w:rPr>
          <w:rFonts w:ascii="Tahoma" w:hAnsi="Tahoma" w:cs="Tahoma"/>
          <w:b w:val="0"/>
          <w:bCs w:val="0"/>
          <w:sz w:val="20"/>
          <w:szCs w:val="20"/>
        </w:rPr>
        <w:t>Paušální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náklady činí max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4E7810">
        <w:rPr>
          <w:rFonts w:ascii="Tahoma" w:hAnsi="Tahoma" w:cs="Tahoma"/>
          <w:b w:val="0"/>
          <w:bCs w:val="0"/>
          <w:sz w:val="20"/>
          <w:szCs w:val="20"/>
        </w:rPr>
        <w:t>319.368</w:t>
      </w:r>
      <w:r w:rsidR="0070262E" w:rsidRPr="00BE222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Kč (</w:t>
      </w:r>
      <w:r w:rsidR="004E7810" w:rsidRPr="004E7810">
        <w:rPr>
          <w:rFonts w:ascii="Tahoma" w:hAnsi="Tahoma" w:cs="Tahoma"/>
          <w:b w:val="0"/>
          <w:bCs w:val="0"/>
          <w:sz w:val="20"/>
          <w:szCs w:val="20"/>
        </w:rPr>
        <w:t>tři sta devatenáct tisíc tři sta šedesát osm korun českých</w:t>
      </w:r>
      <w:r w:rsidR="007D7301" w:rsidRPr="00BE222F">
        <w:rPr>
          <w:rFonts w:ascii="Tahoma" w:hAnsi="Tahoma" w:cs="Tahoma"/>
          <w:b w:val="0"/>
          <w:bCs w:val="0"/>
          <w:sz w:val="20"/>
          <w:szCs w:val="20"/>
        </w:rPr>
        <w:t>)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a zároveň procentuální poměr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může činit</w:t>
      </w:r>
      <w:r w:rsidR="00AA06DC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1D59C7">
        <w:rPr>
          <w:rFonts w:ascii="Tahoma" w:hAnsi="Tahoma" w:cs="Tahoma"/>
          <w:b w:val="0"/>
          <w:bCs w:val="0"/>
          <w:sz w:val="20"/>
          <w:szCs w:val="20"/>
        </w:rPr>
        <w:t>6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ymezení přímých a </w:t>
      </w:r>
      <w:r w:rsidR="004E05C9">
        <w:rPr>
          <w:rFonts w:ascii="Tahoma" w:hAnsi="Tahoma" w:cs="Tahoma"/>
          <w:b w:val="0"/>
          <w:bCs w:val="0"/>
          <w:sz w:val="20"/>
          <w:szCs w:val="20"/>
        </w:rPr>
        <w:t>paušálních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 nákladů obsahuje Příručka pro žadatele a příjemce.</w:t>
      </w:r>
    </w:p>
    <w:p w14:paraId="3AFE19D5" w14:textId="139D003C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AA06D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D263DE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bude stanovena s ohledem na skutečnou výši celkových uznatelných nákladů uvedených a doložených v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rámci závěrečného vyúčtování.</w:t>
      </w:r>
    </w:p>
    <w:p w14:paraId="2D238F55" w14:textId="5F569061" w:rsidR="001F4F31" w:rsidRPr="00D263DE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>než čá</w:t>
      </w:r>
      <w:r w:rsidR="00AA06DC" w:rsidRPr="00D263DE">
        <w:rPr>
          <w:rFonts w:ascii="Tahoma" w:hAnsi="Tahoma" w:cs="Tahoma"/>
          <w:b w:val="0"/>
          <w:bCs w:val="0"/>
          <w:sz w:val="20"/>
        </w:rPr>
        <w:t>stka uvedená v odstavci 1 tohoto článku smlouvy</w:t>
      </w:r>
      <w:r w:rsidR="005828CA" w:rsidRPr="00D263DE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</w:t>
      </w:r>
      <w:proofErr w:type="gramStart"/>
      <w:r w:rsidRPr="00D263DE">
        <w:rPr>
          <w:rFonts w:ascii="Tahoma" w:hAnsi="Tahoma" w:cs="Tahoma"/>
          <w:b w:val="0"/>
          <w:bCs w:val="0"/>
          <w:sz w:val="20"/>
          <w:szCs w:val="20"/>
        </w:rPr>
        <w:t>sníží</w:t>
      </w:r>
      <w:proofErr w:type="gramEnd"/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D263DE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0132E6A7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</w:t>
      </w:r>
      <w:proofErr w:type="gramStart"/>
      <w:r w:rsidRPr="00D263DE">
        <w:rPr>
          <w:rFonts w:ascii="Tahoma" w:hAnsi="Tahoma" w:cs="Tahoma"/>
          <w:b w:val="0"/>
          <w:bCs w:val="0"/>
          <w:sz w:val="20"/>
          <w:szCs w:val="20"/>
        </w:rPr>
        <w:t>překročí</w:t>
      </w:r>
      <w:proofErr w:type="gramEnd"/>
      <w:r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="00E86DD5" w:rsidRPr="00D263DE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 w:rsidRPr="00D263D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263DE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 w:rsidRPr="00D263D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06DC" w:rsidRPr="00D263DE">
        <w:rPr>
          <w:rFonts w:ascii="Tahoma" w:hAnsi="Tahoma" w:cs="Tahoma"/>
          <w:b w:val="0"/>
          <w:bCs w:val="0"/>
          <w:sz w:val="20"/>
          <w:szCs w:val="20"/>
        </w:rPr>
        <w:t xml:space="preserve">tuto </w:t>
      </w:r>
      <w:r w:rsidR="00AA06DC" w:rsidRPr="00D263DE">
        <w:rPr>
          <w:rFonts w:ascii="Tahoma" w:hAnsi="Tahoma" w:cs="Tahoma"/>
          <w:b w:val="0"/>
          <w:bCs w:val="0"/>
          <w:sz w:val="20"/>
        </w:rPr>
        <w:t>částku</w:t>
      </w:r>
      <w:r w:rsidR="000B471F" w:rsidRPr="00D263D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2691A65A" w:rsidR="00E23152" w:rsidRPr="003269FD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269FD">
        <w:rPr>
          <w:rFonts w:ascii="Tahoma" w:hAnsi="Tahoma" w:cs="Tahoma"/>
          <w:sz w:val="20"/>
          <w:szCs w:val="20"/>
        </w:rPr>
        <w:t xml:space="preserve">Poskytovatel poskytne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 xml:space="preserve">říjemci první zálohovou platbu, kterou bude </w:t>
      </w:r>
      <w:r w:rsidR="00487922" w:rsidRPr="003269FD">
        <w:rPr>
          <w:rFonts w:ascii="Tahoma" w:hAnsi="Tahoma" w:cs="Tahoma"/>
          <w:sz w:val="20"/>
          <w:szCs w:val="20"/>
        </w:rPr>
        <w:t>P</w:t>
      </w:r>
      <w:r w:rsidRPr="003269FD">
        <w:rPr>
          <w:rFonts w:ascii="Tahoma" w:hAnsi="Tahoma" w:cs="Tahoma"/>
          <w:sz w:val="20"/>
          <w:szCs w:val="20"/>
        </w:rPr>
        <w:t>říjemce povinen využít k</w:t>
      </w:r>
      <w:r w:rsidR="00EB5018" w:rsidRPr="003269FD">
        <w:rPr>
          <w:rFonts w:ascii="Tahoma" w:hAnsi="Tahoma" w:cs="Tahoma"/>
          <w:sz w:val="20"/>
          <w:szCs w:val="20"/>
        </w:rPr>
        <w:t> </w:t>
      </w:r>
      <w:r w:rsidRPr="003269FD">
        <w:rPr>
          <w:rFonts w:ascii="Tahoma" w:hAnsi="Tahoma" w:cs="Tahoma"/>
          <w:sz w:val="20"/>
          <w:szCs w:val="20"/>
        </w:rPr>
        <w:t xml:space="preserve">úhradě </w:t>
      </w:r>
      <w:r w:rsidRPr="003269FD">
        <w:rPr>
          <w:rFonts w:ascii="Tahoma" w:hAnsi="Tahoma" w:cs="Tahoma"/>
          <w:bCs/>
          <w:sz w:val="20"/>
          <w:szCs w:val="20"/>
        </w:rPr>
        <w:t>svých</w:t>
      </w:r>
      <w:r w:rsidRPr="003269FD">
        <w:rPr>
          <w:rFonts w:ascii="Tahoma" w:hAnsi="Tahoma" w:cs="Tahoma"/>
          <w:sz w:val="20"/>
          <w:szCs w:val="20"/>
        </w:rPr>
        <w:t xml:space="preserve"> </w:t>
      </w:r>
      <w:r w:rsidR="009C1E58" w:rsidRPr="003269FD">
        <w:rPr>
          <w:rFonts w:ascii="Tahoma" w:hAnsi="Tahoma" w:cs="Tahoma"/>
          <w:sz w:val="20"/>
          <w:szCs w:val="20"/>
        </w:rPr>
        <w:t>uznatelný</w:t>
      </w:r>
      <w:r w:rsidRPr="003269FD">
        <w:rPr>
          <w:rFonts w:ascii="Tahoma" w:hAnsi="Tahoma" w:cs="Tahoma"/>
          <w:sz w:val="20"/>
          <w:szCs w:val="20"/>
        </w:rPr>
        <w:t xml:space="preserve">ch nákladů, </w:t>
      </w:r>
      <w:r w:rsidR="007E0800" w:rsidRPr="003269FD">
        <w:rPr>
          <w:rFonts w:ascii="Tahoma" w:hAnsi="Tahoma" w:cs="Tahoma"/>
          <w:sz w:val="20"/>
          <w:szCs w:val="20"/>
        </w:rPr>
        <w:t xml:space="preserve">nejpozději do </w:t>
      </w:r>
      <w:r w:rsidR="00D80F29" w:rsidRPr="003269FD">
        <w:rPr>
          <w:rFonts w:ascii="Tahoma" w:hAnsi="Tahoma" w:cs="Tahoma"/>
          <w:sz w:val="20"/>
          <w:szCs w:val="20"/>
        </w:rPr>
        <w:t>3</w:t>
      </w:r>
      <w:r w:rsidR="007E0800" w:rsidRPr="003269FD">
        <w:rPr>
          <w:rFonts w:ascii="Tahoma" w:hAnsi="Tahoma" w:cs="Tahoma"/>
          <w:sz w:val="20"/>
          <w:szCs w:val="20"/>
        </w:rPr>
        <w:t xml:space="preserve">0 pracovních dnů ode dne nabytí účinnosti této Smlouvy, a to ve výši </w:t>
      </w:r>
      <w:r w:rsidR="00AD1EF9">
        <w:rPr>
          <w:rFonts w:ascii="Tahoma" w:hAnsi="Tahoma" w:cs="Tahoma"/>
          <w:sz w:val="20"/>
          <w:szCs w:val="20"/>
        </w:rPr>
        <w:t>1.692</w:t>
      </w:r>
      <w:r w:rsidR="009E6DD6">
        <w:rPr>
          <w:rFonts w:ascii="Tahoma" w:hAnsi="Tahoma" w:cs="Tahoma"/>
          <w:sz w:val="20"/>
          <w:szCs w:val="20"/>
        </w:rPr>
        <w:t>.653</w:t>
      </w:r>
      <w:r w:rsidR="00CC6A0D" w:rsidRPr="003269FD">
        <w:rPr>
          <w:rFonts w:ascii="Tahoma" w:hAnsi="Tahoma" w:cs="Tahoma"/>
          <w:sz w:val="20"/>
          <w:szCs w:val="20"/>
        </w:rPr>
        <w:t> </w:t>
      </w:r>
      <w:r w:rsidR="007E0800" w:rsidRPr="003269FD">
        <w:rPr>
          <w:rFonts w:ascii="Tahoma" w:hAnsi="Tahoma" w:cs="Tahoma"/>
          <w:sz w:val="20"/>
          <w:szCs w:val="20"/>
        </w:rPr>
        <w:t>Kč (</w:t>
      </w:r>
      <w:r w:rsidR="009E6DD6" w:rsidRPr="009E6DD6">
        <w:rPr>
          <w:rFonts w:ascii="Tahoma" w:hAnsi="Tahoma" w:cs="Tahoma"/>
          <w:sz w:val="20"/>
          <w:szCs w:val="20"/>
        </w:rPr>
        <w:t>jeden milion šest set devadesát dva tisíc šest set padesát tři korun českých</w:t>
      </w:r>
      <w:r w:rsidR="00D7136A">
        <w:rPr>
          <w:rFonts w:ascii="Tahoma" w:hAnsi="Tahoma" w:cs="Tahoma"/>
          <w:sz w:val="20"/>
          <w:szCs w:val="20"/>
        </w:rPr>
        <w:t>)</w:t>
      </w:r>
      <w:r w:rsidR="00486029" w:rsidRPr="003269FD">
        <w:rPr>
          <w:rFonts w:ascii="Tahoma" w:hAnsi="Tahoma" w:cs="Tahoma"/>
          <w:sz w:val="20"/>
          <w:szCs w:val="20"/>
        </w:rPr>
        <w:t>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 xml:space="preserve">říjemci poskytnuty vždy do 20 </w:t>
      </w:r>
      <w:r w:rsidR="0011744F" w:rsidRPr="00CC6A0D">
        <w:rPr>
          <w:rFonts w:ascii="Tahoma" w:hAnsi="Tahoma" w:cs="Tahoma"/>
          <w:sz w:val="20"/>
          <w:szCs w:val="20"/>
        </w:rPr>
        <w:t>pracovních dnů ode</w:t>
      </w:r>
      <w:r w:rsidR="0011744F" w:rsidRPr="00A808B8">
        <w:rPr>
          <w:rFonts w:ascii="Tahoma" w:hAnsi="Tahoma" w:cs="Tahoma"/>
          <w:sz w:val="20"/>
          <w:szCs w:val="20"/>
        </w:rPr>
        <w:t xml:space="preserve">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</w:t>
      </w:r>
      <w:proofErr w:type="gramStart"/>
      <w:r w:rsidR="003D0879" w:rsidRPr="00A808B8">
        <w:rPr>
          <w:rFonts w:ascii="Tahoma" w:hAnsi="Tahoma" w:cs="Tahoma"/>
          <w:sz w:val="20"/>
          <w:szCs w:val="20"/>
        </w:rPr>
        <w:t>předloží</w:t>
      </w:r>
      <w:proofErr w:type="gramEnd"/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D02209A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 w:rsidRPr="00763F92">
        <w:rPr>
          <w:rFonts w:ascii="Tahoma" w:hAnsi="Tahoma" w:cs="Tahoma"/>
          <w:bCs/>
          <w:sz w:val="20"/>
          <w:szCs w:val="20"/>
        </w:rPr>
        <w:t>31. 12. 2</w:t>
      </w:r>
      <w:r w:rsidR="00F15A60" w:rsidRPr="00763F92">
        <w:rPr>
          <w:rFonts w:ascii="Tahoma" w:hAnsi="Tahoma" w:cs="Tahoma"/>
          <w:bCs/>
          <w:sz w:val="20"/>
          <w:szCs w:val="20"/>
        </w:rPr>
        <w:t>041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56226972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E07E5C">
        <w:rPr>
          <w:rFonts w:ascii="Tahoma" w:hAnsi="Tahoma" w:cs="Tahoma"/>
          <w:sz w:val="20"/>
          <w:szCs w:val="20"/>
        </w:rPr>
        <w:t>, jakmile bude k dispozici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627CB5B4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lastRenderedPageBreak/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</w:t>
      </w:r>
      <w:r w:rsidR="00CC6A0D">
        <w:rPr>
          <w:rFonts w:ascii="Tahoma" w:hAnsi="Tahoma" w:cs="Tahoma"/>
          <w:bCs/>
          <w:sz w:val="20"/>
          <w:szCs w:val="20"/>
        </w:rPr>
        <w:t>,</w:t>
      </w:r>
      <w:r w:rsidRPr="008074A6">
        <w:rPr>
          <w:rFonts w:ascii="Tahoma" w:hAnsi="Tahoma" w:cs="Tahoma"/>
          <w:bCs/>
          <w:sz w:val="20"/>
          <w:szCs w:val="20"/>
        </w:rPr>
        <w:t xml:space="preserve"> tj. </w:t>
      </w:r>
      <w:r w:rsidR="0019079C">
        <w:rPr>
          <w:rFonts w:ascii="Tahoma" w:hAnsi="Tahoma" w:cs="Tahoma"/>
          <w:bCs/>
          <w:sz w:val="20"/>
          <w:szCs w:val="20"/>
        </w:rPr>
        <w:t xml:space="preserve">od </w:t>
      </w:r>
      <w:r w:rsidRPr="00763F92">
        <w:rPr>
          <w:rFonts w:ascii="Tahoma" w:hAnsi="Tahoma" w:cs="Tahoma"/>
          <w:bCs/>
          <w:sz w:val="20"/>
          <w:szCs w:val="20"/>
        </w:rPr>
        <w:t>1.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="00763F92" w:rsidRPr="00763F92">
        <w:rPr>
          <w:rFonts w:ascii="Tahoma" w:hAnsi="Tahoma" w:cs="Tahoma"/>
          <w:bCs/>
          <w:sz w:val="20"/>
          <w:szCs w:val="20"/>
        </w:rPr>
        <w:t>1</w:t>
      </w:r>
      <w:r w:rsidRPr="00763F92">
        <w:rPr>
          <w:rFonts w:ascii="Tahoma" w:hAnsi="Tahoma" w:cs="Tahoma"/>
          <w:bCs/>
          <w:sz w:val="20"/>
          <w:szCs w:val="20"/>
        </w:rPr>
        <w:t>.</w:t>
      </w:r>
      <w:r w:rsidR="00A177AA" w:rsidRPr="00763F92">
        <w:rPr>
          <w:rFonts w:ascii="Tahoma" w:hAnsi="Tahoma" w:cs="Tahoma"/>
          <w:bCs/>
          <w:sz w:val="20"/>
          <w:szCs w:val="20"/>
        </w:rPr>
        <w:t> </w:t>
      </w:r>
      <w:r w:rsidRPr="00763F92">
        <w:rPr>
          <w:rFonts w:ascii="Tahoma" w:hAnsi="Tahoma" w:cs="Tahoma"/>
          <w:bCs/>
          <w:sz w:val="20"/>
          <w:szCs w:val="20"/>
        </w:rPr>
        <w:t>20</w:t>
      </w:r>
      <w:r w:rsidR="004B5BE7" w:rsidRPr="00763F92">
        <w:rPr>
          <w:rFonts w:ascii="Tahoma" w:hAnsi="Tahoma" w:cs="Tahoma"/>
          <w:bCs/>
          <w:sz w:val="20"/>
          <w:szCs w:val="20"/>
        </w:rPr>
        <w:t>2</w:t>
      </w:r>
      <w:r w:rsidR="00763F92" w:rsidRPr="00763F92">
        <w:rPr>
          <w:rFonts w:ascii="Tahoma" w:hAnsi="Tahoma" w:cs="Tahoma"/>
          <w:bCs/>
          <w:sz w:val="20"/>
          <w:szCs w:val="20"/>
        </w:rPr>
        <w:t>4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4A6F4F3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9786D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25732660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0</w:t>
      </w:r>
      <w:r w:rsidRPr="0067488E">
        <w:rPr>
          <w:rFonts w:ascii="Tahoma" w:hAnsi="Tahoma" w:cs="Tahoma"/>
          <w:sz w:val="20"/>
          <w:szCs w:val="20"/>
        </w:rPr>
        <w:t>. </w:t>
      </w:r>
      <w:r w:rsidR="0067488E" w:rsidRPr="0067488E">
        <w:rPr>
          <w:rFonts w:ascii="Tahoma" w:hAnsi="Tahoma" w:cs="Tahoma"/>
          <w:sz w:val="20"/>
          <w:szCs w:val="20"/>
        </w:rPr>
        <w:t>9</w:t>
      </w:r>
      <w:r w:rsidRPr="0067488E">
        <w:rPr>
          <w:rFonts w:ascii="Tahoma" w:hAnsi="Tahoma" w:cs="Tahoma"/>
          <w:sz w:val="20"/>
          <w:szCs w:val="20"/>
        </w:rPr>
        <w:t>. 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67488E">
        <w:rPr>
          <w:rFonts w:ascii="Tahoma" w:hAnsi="Tahoma" w:cs="Tahoma"/>
          <w:sz w:val="20"/>
          <w:szCs w:val="20"/>
        </w:rPr>
        <w:t xml:space="preserve"> </w:t>
      </w:r>
      <w:r w:rsidRPr="0067488E">
        <w:rPr>
          <w:rFonts w:ascii="Tahoma" w:hAnsi="Tahoma" w:cs="Tahoma"/>
          <w:sz w:val="20"/>
          <w:szCs w:val="20"/>
        </w:rPr>
        <w:t>předložit</w:t>
      </w:r>
      <w:r w:rsidRPr="00E276CA">
        <w:rPr>
          <w:rFonts w:ascii="Tahoma" w:hAnsi="Tahoma" w:cs="Tahoma"/>
          <w:sz w:val="20"/>
          <w:szCs w:val="20"/>
        </w:rPr>
        <w:t xml:space="preserve">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0D149C6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 xml:space="preserve">padě, že realizaci projektu nezahájí nebo ji </w:t>
      </w:r>
      <w:proofErr w:type="gramStart"/>
      <w:r w:rsidRPr="00E96EB2">
        <w:rPr>
          <w:rFonts w:ascii="Tahoma" w:hAnsi="Tahoma" w:cs="Tahoma"/>
          <w:sz w:val="20"/>
          <w:szCs w:val="20"/>
        </w:rPr>
        <w:t>přeruší</w:t>
      </w:r>
      <w:proofErr w:type="gramEnd"/>
      <w:r w:rsidRPr="00E96EB2">
        <w:rPr>
          <w:rFonts w:ascii="Tahoma" w:hAnsi="Tahoma" w:cs="Tahoma"/>
          <w:sz w:val="20"/>
          <w:szCs w:val="20"/>
        </w:rPr>
        <w:t xml:space="preserve">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</w:t>
      </w:r>
      <w:r w:rsidR="0036609F">
        <w:rPr>
          <w:rFonts w:ascii="Tahoma" w:hAnsi="Tahoma" w:cs="Tahoma"/>
          <w:sz w:val="20"/>
          <w:szCs w:val="20"/>
        </w:rPr>
        <w:t> </w:t>
      </w:r>
      <w:r w:rsidR="00F30ACC" w:rsidRPr="00D023E5">
        <w:rPr>
          <w:rFonts w:ascii="Tahoma" w:hAnsi="Tahoma" w:cs="Tahoma"/>
          <w:sz w:val="20"/>
          <w:szCs w:val="20"/>
        </w:rPr>
        <w:t>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7D6C320E" w14:textId="5235A60E" w:rsidR="005A16D2" w:rsidRPr="00171F0F" w:rsidRDefault="00A00DB5" w:rsidP="005A16D2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  <w:bookmarkStart w:id="0" w:name="_Hlk70515944"/>
    </w:p>
    <w:p w14:paraId="4840FF18" w14:textId="1BD5E437" w:rsidR="00A00DB5" w:rsidRPr="00734DB8" w:rsidRDefault="005A16D2" w:rsidP="00C53A4D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 xml:space="preserve">realizace klíčových aktivit projektu </w:t>
      </w:r>
      <w:r w:rsidRPr="00DC3DF8">
        <w:rPr>
          <w:rFonts w:ascii="Tahoma" w:hAnsi="Tahoma" w:cs="Tahoma"/>
          <w:sz w:val="20"/>
          <w:szCs w:val="20"/>
        </w:rPr>
        <w:t xml:space="preserve">v souladu s pokyny </w:t>
      </w:r>
      <w:r w:rsidRPr="00734DB8">
        <w:rPr>
          <w:rFonts w:ascii="Tahoma" w:hAnsi="Tahoma" w:cs="Tahoma"/>
          <w:sz w:val="20"/>
          <w:szCs w:val="20"/>
        </w:rPr>
        <w:t xml:space="preserve">Poskytovatele a strukturou </w:t>
      </w:r>
      <w:r w:rsidR="00171F0F" w:rsidRPr="00734DB8">
        <w:rPr>
          <w:rFonts w:ascii="Tahoma" w:hAnsi="Tahoma" w:cs="Tahoma"/>
          <w:sz w:val="20"/>
          <w:szCs w:val="20"/>
        </w:rPr>
        <w:t>klíčových aktivit</w:t>
      </w:r>
      <w:r w:rsidRPr="00734DB8">
        <w:rPr>
          <w:rFonts w:ascii="Tahoma" w:hAnsi="Tahoma" w:cs="Tahoma"/>
          <w:sz w:val="20"/>
          <w:szCs w:val="20"/>
        </w:rPr>
        <w:t xml:space="preserve"> dostupnou prostřednictvím sdíleného úložiště</w:t>
      </w:r>
      <w:r w:rsidR="00AC7E1E" w:rsidRPr="00734DB8">
        <w:rPr>
          <w:rFonts w:ascii="Tahoma" w:hAnsi="Tahoma" w:cs="Tahoma"/>
          <w:sz w:val="20"/>
          <w:szCs w:val="20"/>
        </w:rPr>
        <w:t>. Změna struktury klíčových aktivit Příjemce</w:t>
      </w:r>
      <w:r w:rsidR="00F945E4" w:rsidRPr="00734DB8">
        <w:rPr>
          <w:rFonts w:ascii="Tahoma" w:hAnsi="Tahoma" w:cs="Tahoma"/>
          <w:sz w:val="20"/>
          <w:szCs w:val="20"/>
        </w:rPr>
        <w:t xml:space="preserve"> </w:t>
      </w:r>
      <w:r w:rsidR="00AC7E1E" w:rsidRPr="00734DB8">
        <w:rPr>
          <w:rFonts w:ascii="Tahoma" w:hAnsi="Tahoma" w:cs="Tahoma"/>
          <w:sz w:val="20"/>
          <w:szCs w:val="20"/>
        </w:rPr>
        <w:t xml:space="preserve">je možná pouze na základě Poskytovatelem schváleného změnového formuláře, </w:t>
      </w:r>
      <w:r w:rsidR="00AC7E1E" w:rsidRPr="00734DB8">
        <w:rPr>
          <w:rFonts w:ascii="Tahoma" w:hAnsi="Tahoma" w:cs="Tahoma"/>
          <w:sz w:val="20"/>
          <w:szCs w:val="20"/>
        </w:rPr>
        <w:lastRenderedPageBreak/>
        <w:t>vytvořeného Poskytovatelem a předaného Příjemci, který Příjemce zasílá Poskytovateli v</w:t>
      </w:r>
      <w:r w:rsidR="00F945E4" w:rsidRPr="00734DB8">
        <w:rPr>
          <w:rFonts w:ascii="Tahoma" w:hAnsi="Tahoma" w:cs="Tahoma"/>
          <w:sz w:val="20"/>
          <w:szCs w:val="20"/>
        </w:rPr>
        <w:t> </w:t>
      </w:r>
      <w:r w:rsidR="00AC7E1E" w:rsidRPr="00734DB8">
        <w:rPr>
          <w:rFonts w:ascii="Tahoma" w:hAnsi="Tahoma" w:cs="Tahoma"/>
          <w:sz w:val="20"/>
          <w:szCs w:val="20"/>
        </w:rPr>
        <w:t>elektronické podobě prostřednictvím sdíleného úložiště</w:t>
      </w:r>
      <w:r w:rsidR="00F945E4" w:rsidRPr="00734DB8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6A3A94C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310B8C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BD7A18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09B1DF91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BD7A18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</w:t>
      </w:r>
      <w:proofErr w:type="gramStart"/>
      <w:r w:rsidRPr="001C4F60">
        <w:rPr>
          <w:rFonts w:ascii="Tahoma" w:hAnsi="Tahoma" w:cs="Tahoma"/>
          <w:sz w:val="20"/>
          <w:szCs w:val="20"/>
        </w:rPr>
        <w:t>vyjádří</w:t>
      </w:r>
      <w:proofErr w:type="gramEnd"/>
      <w:r w:rsidRPr="001C4F60">
        <w:rPr>
          <w:rFonts w:ascii="Tahoma" w:hAnsi="Tahoma" w:cs="Tahoma"/>
          <w:sz w:val="20"/>
          <w:szCs w:val="20"/>
        </w:rPr>
        <w:t xml:space="preserve"> nejpozději do 10 </w:t>
      </w:r>
      <w:r w:rsidRPr="00CC6A0D">
        <w:rPr>
          <w:rFonts w:ascii="Tahoma" w:hAnsi="Tahoma" w:cs="Tahoma"/>
          <w:sz w:val="20"/>
          <w:szCs w:val="20"/>
        </w:rPr>
        <w:t>pracovních dní</w:t>
      </w:r>
      <w:r w:rsidRPr="001C4F60">
        <w:rPr>
          <w:rFonts w:ascii="Tahoma" w:hAnsi="Tahoma" w:cs="Tahoma"/>
          <w:sz w:val="20"/>
          <w:szCs w:val="20"/>
        </w:rPr>
        <w:t xml:space="preserve">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64EB4205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 w:rsidRPr="0067488E">
        <w:rPr>
          <w:rFonts w:ascii="Tahoma" w:hAnsi="Tahoma" w:cs="Tahoma"/>
          <w:sz w:val="20"/>
          <w:szCs w:val="20"/>
        </w:rPr>
        <w:t>3</w:t>
      </w:r>
      <w:r w:rsidR="0067488E" w:rsidRPr="0067488E">
        <w:rPr>
          <w:rFonts w:ascii="Tahoma" w:hAnsi="Tahoma" w:cs="Tahoma"/>
          <w:sz w:val="20"/>
          <w:szCs w:val="20"/>
        </w:rPr>
        <w:t>1</w:t>
      </w:r>
      <w:r w:rsidRPr="0067488E">
        <w:rPr>
          <w:rFonts w:ascii="Tahoma" w:hAnsi="Tahoma" w:cs="Tahoma"/>
          <w:sz w:val="20"/>
          <w:szCs w:val="20"/>
        </w:rPr>
        <w:t xml:space="preserve">. 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Pr="0067488E">
        <w:rPr>
          <w:rFonts w:ascii="Tahoma" w:hAnsi="Tahoma" w:cs="Tahoma"/>
          <w:sz w:val="20"/>
          <w:szCs w:val="20"/>
        </w:rPr>
        <w:t>. 202</w:t>
      </w:r>
      <w:r w:rsidR="0067488E" w:rsidRPr="0067488E">
        <w:rPr>
          <w:rFonts w:ascii="Tahoma" w:hAnsi="Tahoma" w:cs="Tahoma"/>
          <w:sz w:val="20"/>
          <w:szCs w:val="20"/>
        </w:rPr>
        <w:t>8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2EF2C7EC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lastRenderedPageBreak/>
        <w:t>bezplatně předat všechny nově vytvořené produkty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7E28A67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</w:t>
      </w:r>
      <w:r w:rsidR="00A2124B" w:rsidRPr="00717D81">
        <w:rPr>
          <w:rFonts w:ascii="Tahoma" w:hAnsi="Tahoma" w:cs="Tahoma"/>
          <w:sz w:val="20"/>
          <w:szCs w:val="20"/>
        </w:rPr>
        <w:t xml:space="preserve">včetně změny účtu </w:t>
      </w:r>
      <w:r w:rsidRPr="00A808B8">
        <w:rPr>
          <w:rFonts w:ascii="Tahoma" w:hAnsi="Tahoma" w:cs="Tahoma"/>
          <w:sz w:val="20"/>
          <w:szCs w:val="20"/>
        </w:rPr>
        <w:t xml:space="preserve">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24077E">
      <w:pPr>
        <w:numPr>
          <w:ilvl w:val="0"/>
          <w:numId w:val="33"/>
        </w:numPr>
        <w:spacing w:before="60" w:after="24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3832D3EB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="00A2124B">
        <w:rPr>
          <w:rFonts w:ascii="Tahoma" w:hAnsi="Tahoma" w:cs="Tahoma"/>
          <w:sz w:val="20"/>
        </w:rPr>
        <w:t xml:space="preserve">kterým je </w:t>
      </w:r>
      <w:r w:rsidRPr="009B5D46">
        <w:rPr>
          <w:rFonts w:ascii="Tahoma" w:hAnsi="Tahoma" w:cs="Tahoma"/>
          <w:sz w:val="20"/>
        </w:rPr>
        <w:t>Ministerstv</w:t>
      </w:r>
      <w:r w:rsidR="00A2124B">
        <w:rPr>
          <w:rFonts w:ascii="Tahoma" w:hAnsi="Tahoma" w:cs="Tahoma"/>
          <w:sz w:val="20"/>
        </w:rPr>
        <w:t>o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58943839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</w:t>
      </w:r>
      <w:r w:rsidR="00C824A6">
        <w:rPr>
          <w:rFonts w:ascii="Tahoma" w:hAnsi="Tahoma" w:cs="Tahoma"/>
          <w:b w:val="0"/>
          <w:bCs w:val="0"/>
          <w:sz w:val="20"/>
          <w:szCs w:val="20"/>
        </w:rPr>
        <w:t>,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E20F9">
        <w:rPr>
          <w:rFonts w:ascii="Tahoma" w:hAnsi="Tahoma" w:cs="Tahoma"/>
          <w:b w:val="0"/>
          <w:bCs w:val="0"/>
          <w:sz w:val="20"/>
          <w:szCs w:val="20"/>
        </w:rPr>
        <w:t xml:space="preserve">k) </w:t>
      </w:r>
      <w:r w:rsidR="00026FB7">
        <w:rPr>
          <w:rFonts w:ascii="Tahoma" w:hAnsi="Tahoma" w:cs="Tahoma"/>
          <w:b w:val="0"/>
          <w:bCs w:val="0"/>
          <w:sz w:val="20"/>
          <w:szCs w:val="20"/>
        </w:rPr>
        <w:t>a l</w:t>
      </w:r>
      <w:r w:rsidR="00522C2F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11B13672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B22AD1">
        <w:rPr>
          <w:rFonts w:ascii="Tahoma" w:hAnsi="Tahoma" w:cs="Tahoma"/>
          <w:bCs/>
          <w:sz w:val="20"/>
          <w:szCs w:val="20"/>
        </w:rPr>
        <w:t>,</w:t>
      </w:r>
      <w:r w:rsidR="00A04A0D">
        <w:rPr>
          <w:rFonts w:ascii="Tahoma" w:hAnsi="Tahoma" w:cs="Tahoma"/>
          <w:bCs/>
          <w:sz w:val="20"/>
          <w:szCs w:val="20"/>
        </w:rPr>
        <w:t xml:space="preserve"> </w:t>
      </w:r>
      <w:r w:rsidR="00522C2F">
        <w:rPr>
          <w:rFonts w:ascii="Tahoma" w:hAnsi="Tahoma" w:cs="Tahoma"/>
          <w:bCs/>
          <w:sz w:val="20"/>
          <w:szCs w:val="20"/>
        </w:rPr>
        <w:t>j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B22AD1">
        <w:rPr>
          <w:rFonts w:ascii="Tahoma" w:hAnsi="Tahoma" w:cs="Tahoma"/>
          <w:bCs/>
          <w:sz w:val="20"/>
          <w:szCs w:val="20"/>
        </w:rPr>
        <w:t xml:space="preserve">a l)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6D2EF1">
      <w:pPr>
        <w:spacing w:before="60" w:after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25F6FF70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D47D05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3C5736B6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C273C8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lastRenderedPageBreak/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3C67115A" w:rsidR="00632A36" w:rsidRPr="005D4C75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D4C75">
        <w:rPr>
          <w:rFonts w:ascii="Tahoma" w:hAnsi="Tahoma" w:cs="Tahoma"/>
          <w:sz w:val="20"/>
          <w:szCs w:val="20"/>
        </w:rPr>
        <w:t xml:space="preserve">Dotace pokrývá náklady </w:t>
      </w:r>
      <w:r w:rsidR="003E651B" w:rsidRPr="005D4C75">
        <w:rPr>
          <w:rFonts w:ascii="Tahoma" w:hAnsi="Tahoma" w:cs="Tahoma"/>
          <w:sz w:val="20"/>
          <w:szCs w:val="20"/>
        </w:rPr>
        <w:t>P</w:t>
      </w:r>
      <w:r w:rsidRPr="005D4C75">
        <w:rPr>
          <w:rFonts w:ascii="Tahoma" w:hAnsi="Tahoma" w:cs="Tahoma"/>
          <w:sz w:val="20"/>
          <w:szCs w:val="20"/>
        </w:rPr>
        <w:t xml:space="preserve">říjemce na realizaci činností v rámci projektu, jimiž se podílí na realizaci klíčových aktivit, a </w:t>
      </w:r>
      <w:r w:rsidR="00FA23FD">
        <w:rPr>
          <w:rFonts w:ascii="Tahoma" w:hAnsi="Tahoma" w:cs="Tahoma"/>
          <w:sz w:val="20"/>
          <w:szCs w:val="20"/>
        </w:rPr>
        <w:t xml:space="preserve">jež </w:t>
      </w:r>
      <w:r w:rsidR="005D4C75" w:rsidRPr="005D4C75">
        <w:rPr>
          <w:rFonts w:ascii="Tahoma" w:hAnsi="Tahoma" w:cs="Tahoma"/>
          <w:sz w:val="20"/>
          <w:szCs w:val="20"/>
        </w:rPr>
        <w:t>vyhovují zásadám způsobilosti dle vydaného právního aktu o poskytnutí podpory</w:t>
      </w:r>
      <w:r w:rsidR="00AC4C45" w:rsidRPr="005D4C75">
        <w:rPr>
          <w:rFonts w:ascii="Tahoma" w:hAnsi="Tahoma" w:cs="Tahoma"/>
          <w:sz w:val="20"/>
          <w:szCs w:val="20"/>
        </w:rPr>
        <w:t xml:space="preserve"> k</w:t>
      </w:r>
      <w:r w:rsidR="00FA23FD">
        <w:rPr>
          <w:rFonts w:ascii="Tahoma" w:hAnsi="Tahoma" w:cs="Tahoma"/>
          <w:sz w:val="20"/>
          <w:szCs w:val="20"/>
        </w:rPr>
        <w:t> </w:t>
      </w:r>
      <w:r w:rsidR="00AC4C45" w:rsidRPr="005D4C75">
        <w:rPr>
          <w:rFonts w:ascii="Tahoma" w:hAnsi="Tahoma" w:cs="Tahoma"/>
          <w:sz w:val="20"/>
          <w:szCs w:val="20"/>
        </w:rPr>
        <w:t>projektu</w:t>
      </w:r>
      <w:r w:rsidR="00FA23FD">
        <w:rPr>
          <w:rFonts w:ascii="Tahoma" w:hAnsi="Tahoma" w:cs="Tahoma"/>
          <w:sz w:val="20"/>
          <w:szCs w:val="20"/>
        </w:rPr>
        <w:t>,</w:t>
      </w:r>
      <w:r w:rsidR="00AC4C45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2E4EB7">
        <w:rPr>
          <w:rFonts w:ascii="Tahoma" w:hAnsi="Tahoma" w:cs="Tahoma"/>
          <w:sz w:val="20"/>
          <w:szCs w:val="20"/>
        </w:rPr>
        <w:t>jejich přehled je</w:t>
      </w:r>
      <w:r w:rsidR="006D1912">
        <w:rPr>
          <w:rFonts w:ascii="Tahoma" w:hAnsi="Tahoma" w:cs="Tahoma"/>
          <w:sz w:val="20"/>
          <w:szCs w:val="20"/>
        </w:rPr>
        <w:t xml:space="preserve"> </w:t>
      </w:r>
      <w:r w:rsidR="00AC4C45" w:rsidRPr="005D4C75">
        <w:rPr>
          <w:rFonts w:ascii="Tahoma" w:hAnsi="Tahoma" w:cs="Tahoma"/>
          <w:sz w:val="20"/>
          <w:szCs w:val="20"/>
        </w:rPr>
        <w:t>dostupn</w:t>
      </w:r>
      <w:r w:rsidR="002E4EB7">
        <w:rPr>
          <w:rFonts w:ascii="Tahoma" w:hAnsi="Tahoma" w:cs="Tahoma"/>
          <w:sz w:val="20"/>
          <w:szCs w:val="20"/>
        </w:rPr>
        <w:t>ý</w:t>
      </w:r>
      <w:r w:rsidR="00AC4C45" w:rsidRPr="005D4C75">
        <w:rPr>
          <w:rFonts w:ascii="Tahoma" w:hAnsi="Tahoma" w:cs="Tahoma"/>
          <w:sz w:val="20"/>
          <w:szCs w:val="20"/>
        </w:rPr>
        <w:t xml:space="preserve"> prostřednictvím sdíleného úložiště</w:t>
      </w:r>
      <w:r w:rsidR="00B22997" w:rsidRPr="005D4C75">
        <w:rPr>
          <w:rFonts w:ascii="Tahoma" w:hAnsi="Tahoma" w:cs="Tahoma"/>
          <w:sz w:val="20"/>
          <w:szCs w:val="20"/>
        </w:rPr>
        <w:t>.</w:t>
      </w:r>
      <w:r w:rsidRPr="005D4C75">
        <w:rPr>
          <w:rFonts w:ascii="Tahoma" w:hAnsi="Tahoma" w:cs="Tahoma"/>
          <w:sz w:val="20"/>
          <w:szCs w:val="20"/>
        </w:rPr>
        <w:t xml:space="preserve"> </w:t>
      </w:r>
      <w:r w:rsidR="00632A36" w:rsidRPr="005D4C75">
        <w:rPr>
          <w:rFonts w:ascii="Tahoma" w:hAnsi="Tahoma" w:cs="Tahoma"/>
          <w:sz w:val="20"/>
          <w:szCs w:val="20"/>
        </w:rPr>
        <w:t xml:space="preserve">Dotace </w:t>
      </w:r>
      <w:r w:rsidR="001F767C" w:rsidRPr="005D4C75">
        <w:rPr>
          <w:rFonts w:ascii="Tahoma" w:hAnsi="Tahoma" w:cs="Tahoma"/>
          <w:sz w:val="20"/>
          <w:szCs w:val="20"/>
        </w:rPr>
        <w:t>je určena na úhradu přímých</w:t>
      </w:r>
      <w:r w:rsidR="00632A36" w:rsidRPr="005D4C75">
        <w:rPr>
          <w:rFonts w:ascii="Tahoma" w:hAnsi="Tahoma" w:cs="Tahoma"/>
          <w:sz w:val="20"/>
          <w:szCs w:val="20"/>
        </w:rPr>
        <w:t xml:space="preserve"> a</w:t>
      </w:r>
      <w:r w:rsidR="00EB5018" w:rsidRPr="005D4C75">
        <w:rPr>
          <w:rFonts w:ascii="Tahoma" w:hAnsi="Tahoma" w:cs="Tahoma"/>
          <w:sz w:val="20"/>
          <w:szCs w:val="20"/>
        </w:rPr>
        <w:t> </w:t>
      </w:r>
      <w:r w:rsidR="00145881" w:rsidRPr="005D4C75">
        <w:rPr>
          <w:rFonts w:ascii="Tahoma" w:hAnsi="Tahoma" w:cs="Tahoma"/>
          <w:sz w:val="20"/>
          <w:szCs w:val="20"/>
        </w:rPr>
        <w:t>paušálních</w:t>
      </w:r>
      <w:r w:rsidR="001F767C" w:rsidRPr="005D4C75">
        <w:rPr>
          <w:rFonts w:ascii="Tahoma" w:hAnsi="Tahoma" w:cs="Tahoma"/>
          <w:sz w:val="20"/>
          <w:szCs w:val="20"/>
        </w:rPr>
        <w:t xml:space="preserve"> uznatelných nákladů</w:t>
      </w:r>
      <w:r w:rsidR="00632A36" w:rsidRPr="005D4C75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A4FB270" w:rsidR="00FA4EE2" w:rsidRPr="00145881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 xml:space="preserve">1. 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>. 20</w:t>
      </w:r>
      <w:r w:rsidR="00FC6F48" w:rsidRPr="00145881">
        <w:rPr>
          <w:rFonts w:ascii="Tahoma" w:hAnsi="Tahoma" w:cs="Tahoma"/>
          <w:sz w:val="20"/>
          <w:szCs w:val="20"/>
        </w:rPr>
        <w:t>2</w:t>
      </w:r>
      <w:r w:rsidR="00145881" w:rsidRPr="00145881">
        <w:rPr>
          <w:rFonts w:ascii="Tahoma" w:hAnsi="Tahoma" w:cs="Tahoma"/>
          <w:sz w:val="20"/>
          <w:szCs w:val="20"/>
        </w:rPr>
        <w:t>4</w:t>
      </w:r>
      <w:r w:rsidRPr="00145881">
        <w:rPr>
          <w:rFonts w:ascii="Tahoma" w:hAnsi="Tahoma" w:cs="Tahoma"/>
          <w:sz w:val="20"/>
          <w:szCs w:val="20"/>
        </w:rPr>
        <w:t xml:space="preserve"> do</w:t>
      </w:r>
      <w:r w:rsidR="00006CE2" w:rsidRPr="00145881">
        <w:rPr>
          <w:rFonts w:ascii="Tahoma" w:hAnsi="Tahoma" w:cs="Tahoma"/>
          <w:sz w:val="20"/>
          <w:szCs w:val="20"/>
        </w:rPr>
        <w:t xml:space="preserve"> </w:t>
      </w:r>
      <w:r w:rsidR="00B83394" w:rsidRPr="00145881">
        <w:rPr>
          <w:rFonts w:ascii="Tahoma" w:hAnsi="Tahoma" w:cs="Tahoma"/>
          <w:sz w:val="20"/>
          <w:szCs w:val="20"/>
        </w:rPr>
        <w:t>3</w:t>
      </w:r>
      <w:r w:rsidR="00145881" w:rsidRPr="00145881">
        <w:rPr>
          <w:rFonts w:ascii="Tahoma" w:hAnsi="Tahoma" w:cs="Tahoma"/>
          <w:sz w:val="20"/>
          <w:szCs w:val="20"/>
        </w:rPr>
        <w:t>1</w:t>
      </w:r>
      <w:r w:rsidR="00B83394" w:rsidRPr="00145881">
        <w:rPr>
          <w:rFonts w:ascii="Tahoma" w:hAnsi="Tahoma" w:cs="Tahoma"/>
          <w:sz w:val="20"/>
          <w:szCs w:val="20"/>
        </w:rPr>
        <w:t xml:space="preserve">. 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B83394" w:rsidRPr="00145881">
        <w:rPr>
          <w:rFonts w:ascii="Tahoma" w:hAnsi="Tahoma" w:cs="Tahoma"/>
          <w:sz w:val="20"/>
          <w:szCs w:val="20"/>
        </w:rPr>
        <w:t>. 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Pr="00145881">
        <w:rPr>
          <w:rFonts w:ascii="Tahoma" w:hAnsi="Tahoma" w:cs="Tahoma"/>
          <w:sz w:val="20"/>
          <w:szCs w:val="20"/>
        </w:rPr>
        <w:t>,</w:t>
      </w:r>
      <w:r w:rsidR="00EB212C" w:rsidRPr="00145881">
        <w:rPr>
          <w:rFonts w:ascii="Tahoma" w:hAnsi="Tahoma" w:cs="Tahoma"/>
          <w:sz w:val="20"/>
          <w:szCs w:val="20"/>
        </w:rPr>
        <w:t xml:space="preserve"> a byl uhrazen nejpozději do 31. 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EB212C" w:rsidRPr="00145881">
        <w:rPr>
          <w:rFonts w:ascii="Tahoma" w:hAnsi="Tahoma" w:cs="Tahoma"/>
          <w:sz w:val="20"/>
          <w:szCs w:val="20"/>
        </w:rPr>
        <w:t>. 202</w:t>
      </w:r>
      <w:r w:rsidR="00145881" w:rsidRPr="00145881">
        <w:rPr>
          <w:rFonts w:ascii="Tahoma" w:hAnsi="Tahoma" w:cs="Tahoma"/>
          <w:sz w:val="20"/>
          <w:szCs w:val="20"/>
        </w:rPr>
        <w:t>8</w:t>
      </w:r>
      <w:r w:rsidR="00435415" w:rsidRPr="00145881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1108436D" w:rsidR="00B836E0" w:rsidRPr="00005671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05671">
        <w:rPr>
          <w:rFonts w:ascii="Tahoma" w:hAnsi="Tahoma" w:cs="Tahoma"/>
          <w:sz w:val="20"/>
          <w:szCs w:val="20"/>
        </w:rPr>
        <w:t xml:space="preserve">byl vynaložen v souladu se </w:t>
      </w:r>
      <w:bookmarkStart w:id="1" w:name="_Hlk70950945"/>
      <w:r w:rsidR="004B60D0" w:rsidRPr="00005671">
        <w:rPr>
          <w:rFonts w:ascii="Tahoma" w:hAnsi="Tahoma" w:cs="Tahoma"/>
          <w:sz w:val="20"/>
          <w:szCs w:val="20"/>
        </w:rPr>
        <w:t xml:space="preserve">schválenou </w:t>
      </w:r>
      <w:r w:rsidRPr="00005671">
        <w:rPr>
          <w:rFonts w:ascii="Tahoma" w:hAnsi="Tahoma" w:cs="Tahoma"/>
          <w:sz w:val="20"/>
          <w:szCs w:val="20"/>
        </w:rPr>
        <w:t>strukturou</w:t>
      </w:r>
      <w:r w:rsidR="00BC2FCF" w:rsidRPr="00005671">
        <w:rPr>
          <w:rFonts w:ascii="Tahoma" w:hAnsi="Tahoma" w:cs="Tahoma"/>
          <w:sz w:val="20"/>
          <w:szCs w:val="20"/>
        </w:rPr>
        <w:t xml:space="preserve"> </w:t>
      </w:r>
      <w:r w:rsidR="000C3818" w:rsidRPr="00005671">
        <w:rPr>
          <w:rFonts w:ascii="Tahoma" w:hAnsi="Tahoma" w:cs="Tahoma"/>
          <w:sz w:val="20"/>
          <w:szCs w:val="20"/>
        </w:rPr>
        <w:t xml:space="preserve">rozpočtu </w:t>
      </w:r>
      <w:r w:rsidR="00611627" w:rsidRPr="00005671">
        <w:rPr>
          <w:rFonts w:ascii="Tahoma" w:hAnsi="Tahoma" w:cs="Tahoma"/>
          <w:sz w:val="20"/>
          <w:szCs w:val="20"/>
        </w:rPr>
        <w:t>P</w:t>
      </w:r>
      <w:r w:rsidR="000E678C" w:rsidRPr="00005671">
        <w:rPr>
          <w:rFonts w:ascii="Tahoma" w:hAnsi="Tahoma" w:cs="Tahoma"/>
          <w:sz w:val="20"/>
          <w:szCs w:val="20"/>
        </w:rPr>
        <w:t>říjemc</w:t>
      </w:r>
      <w:r w:rsidR="000C3818" w:rsidRPr="00005671">
        <w:rPr>
          <w:rFonts w:ascii="Tahoma" w:hAnsi="Tahoma" w:cs="Tahoma"/>
          <w:sz w:val="20"/>
          <w:szCs w:val="20"/>
        </w:rPr>
        <w:t>e</w:t>
      </w:r>
      <w:r w:rsidR="000E678C" w:rsidRPr="00005671">
        <w:rPr>
          <w:rFonts w:ascii="Tahoma" w:hAnsi="Tahoma" w:cs="Tahoma"/>
          <w:sz w:val="20"/>
          <w:szCs w:val="20"/>
        </w:rPr>
        <w:t xml:space="preserve"> </w:t>
      </w:r>
      <w:r w:rsidR="00760F24" w:rsidRPr="00005671">
        <w:rPr>
          <w:rFonts w:ascii="Tahoma" w:hAnsi="Tahoma" w:cs="Tahoma"/>
          <w:sz w:val="20"/>
          <w:szCs w:val="20"/>
        </w:rPr>
        <w:t>a strukturou klíčových aktivit Příjemce</w:t>
      </w:r>
      <w:r w:rsidR="00005671" w:rsidRPr="00005671">
        <w:rPr>
          <w:rFonts w:ascii="Tahoma" w:hAnsi="Tahoma" w:cs="Tahoma"/>
          <w:sz w:val="20"/>
          <w:szCs w:val="20"/>
        </w:rPr>
        <w:t>;</w:t>
      </w:r>
    </w:p>
    <w:bookmarkEnd w:id="1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lastRenderedPageBreak/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13823E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</w:t>
      </w:r>
      <w:r>
        <w:rPr>
          <w:rFonts w:ascii="Tahoma" w:hAnsi="Tahoma" w:cs="Tahoma"/>
          <w:sz w:val="20"/>
          <w:szCs w:val="20"/>
        </w:rPr>
        <w:t>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</w:t>
      </w:r>
      <w:proofErr w:type="gramStart"/>
      <w:r w:rsidRPr="00A808B8">
        <w:rPr>
          <w:rFonts w:ascii="Tahoma" w:hAnsi="Tahoma" w:cs="Tahoma"/>
          <w:sz w:val="20"/>
          <w:szCs w:val="20"/>
        </w:rPr>
        <w:t>poruší</w:t>
      </w:r>
      <w:proofErr w:type="gramEnd"/>
      <w:r w:rsidRPr="00A808B8">
        <w:rPr>
          <w:rFonts w:ascii="Tahoma" w:hAnsi="Tahoma" w:cs="Tahoma"/>
          <w:sz w:val="20"/>
          <w:szCs w:val="20"/>
        </w:rPr>
        <w:t xml:space="preserve">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proofErr w:type="gramStart"/>
      <w:r w:rsidRPr="00A808B8">
        <w:rPr>
          <w:rFonts w:ascii="Tahoma" w:hAnsi="Tahoma" w:cs="Tahoma"/>
          <w:sz w:val="20"/>
          <w:szCs w:val="20"/>
        </w:rPr>
        <w:t>poruší</w:t>
      </w:r>
      <w:proofErr w:type="gramEnd"/>
      <w:r w:rsidRPr="00A808B8">
        <w:rPr>
          <w:rFonts w:ascii="Tahoma" w:hAnsi="Tahoma" w:cs="Tahoma"/>
          <w:sz w:val="20"/>
          <w:szCs w:val="20"/>
        </w:rPr>
        <w:t xml:space="preserve">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proofErr w:type="gramStart"/>
      <w:r w:rsidRPr="00B2476C">
        <w:rPr>
          <w:rFonts w:ascii="Tahoma" w:hAnsi="Tahoma" w:cs="Tahoma"/>
          <w:sz w:val="20"/>
          <w:szCs w:val="20"/>
        </w:rPr>
        <w:t>poruší</w:t>
      </w:r>
      <w:proofErr w:type="gramEnd"/>
      <w:r w:rsidRPr="00B2476C">
        <w:rPr>
          <w:rFonts w:ascii="Tahoma" w:hAnsi="Tahoma" w:cs="Tahoma"/>
          <w:sz w:val="20"/>
          <w:szCs w:val="20"/>
        </w:rPr>
        <w:t xml:space="preserve">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72F5E1BD" w14:textId="3573F2FD" w:rsidR="001758DE" w:rsidRPr="00E87E7A" w:rsidRDefault="001758DE" w:rsidP="001758D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41089473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oskytovatel a jeden </w:t>
      </w:r>
      <w:r>
        <w:rPr>
          <w:rFonts w:ascii="Tahoma" w:hAnsi="Tahoma" w:cs="Tahoma"/>
          <w:sz w:val="20"/>
          <w:szCs w:val="20"/>
        </w:rPr>
        <w:t>P</w:t>
      </w:r>
      <w:r w:rsidRPr="00BA3C02">
        <w:rPr>
          <w:rFonts w:ascii="Tahoma" w:hAnsi="Tahoma" w:cs="Tahoma"/>
          <w:sz w:val="20"/>
          <w:szCs w:val="20"/>
        </w:rPr>
        <w:t xml:space="preserve">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2"/>
      <w:r w:rsidRPr="00E87E7A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39B3772" w:rsidR="00CF2E2C" w:rsidRDefault="00A06E8D" w:rsidP="005117D6">
      <w:pPr>
        <w:tabs>
          <w:tab w:val="left" w:pos="6096"/>
        </w:tabs>
        <w:spacing w:line="48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</w:t>
      </w:r>
      <w:r w:rsidR="005117D6">
        <w:rPr>
          <w:rFonts w:ascii="Tahoma" w:hAnsi="Tahoma" w:cs="Tahoma"/>
          <w:sz w:val="20"/>
          <w:szCs w:val="20"/>
        </w:rPr>
        <w:t>……</w:t>
      </w:r>
      <w:r w:rsidR="00B83394">
        <w:rPr>
          <w:rFonts w:ascii="Tahoma" w:hAnsi="Tahoma" w:cs="Tahoma"/>
          <w:sz w:val="20"/>
          <w:szCs w:val="20"/>
        </w:rPr>
        <w:t>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r w:rsidR="005117D6">
        <w:rPr>
          <w:rFonts w:ascii="Tahoma" w:hAnsi="Tahoma" w:cs="Tahoma"/>
          <w:sz w:val="20"/>
          <w:szCs w:val="20"/>
        </w:rPr>
        <w:t>……………</w:t>
      </w:r>
      <w:proofErr w:type="gramStart"/>
      <w:r w:rsidR="005117D6">
        <w:rPr>
          <w:rFonts w:ascii="Tahoma" w:hAnsi="Tahoma" w:cs="Tahoma"/>
          <w:sz w:val="20"/>
          <w:szCs w:val="20"/>
        </w:rPr>
        <w:t>…….</w:t>
      </w:r>
      <w:proofErr w:type="gramEnd"/>
      <w:r w:rsidR="003235DA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2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758DE" w:rsidRPr="001C164C" w14:paraId="0CE651EE" w14:textId="77777777" w:rsidTr="00B115EE">
        <w:tc>
          <w:tcPr>
            <w:tcW w:w="3544" w:type="dxa"/>
          </w:tcPr>
          <w:p w14:paraId="739456C7" w14:textId="77777777" w:rsidR="001758DE" w:rsidRPr="000B499F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 Ostravě dne: </w:t>
            </w:r>
          </w:p>
        </w:tc>
        <w:tc>
          <w:tcPr>
            <w:tcW w:w="1985" w:type="dxa"/>
          </w:tcPr>
          <w:p w14:paraId="1CD1F992" w14:textId="77777777" w:rsidR="001758DE" w:rsidRPr="000B499F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E601175" w14:textId="03B12310" w:rsidR="001758DE" w:rsidRPr="005B30B6" w:rsidRDefault="001758DE" w:rsidP="00B115EE">
            <w:pPr>
              <w:keepNext/>
              <w:spacing w:before="480"/>
              <w:rPr>
                <w:rFonts w:ascii="Tahoma" w:hAnsi="Tahoma" w:cs="Tahoma"/>
                <w:sz w:val="20"/>
                <w:szCs w:val="20"/>
              </w:rPr>
            </w:pPr>
            <w:r w:rsidRPr="000B499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5B30B6">
              <w:rPr>
                <w:rFonts w:ascii="Tahoma" w:hAnsi="Tahoma" w:cs="Tahoma"/>
                <w:sz w:val="20"/>
                <w:szCs w:val="20"/>
              </w:rPr>
              <w:t xml:space="preserve"> dne:</w:t>
            </w:r>
          </w:p>
          <w:p w14:paraId="068A90EC" w14:textId="77777777" w:rsidR="001758DE" w:rsidRPr="005B30B6" w:rsidRDefault="001758DE" w:rsidP="00B115EE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7F8DBE3" w14:textId="77777777" w:rsidTr="00B115EE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E1C0AB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A95C94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51685E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1DA661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84B4FA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51F9737" w14:textId="77777777" w:rsidR="001758DE" w:rsidRPr="005B30B6" w:rsidRDefault="001758DE" w:rsidP="00B115EE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58DE" w:rsidRPr="001C164C" w14:paraId="7B8C4F0D" w14:textId="77777777" w:rsidTr="00B115EE">
        <w:trPr>
          <w:trHeight w:val="2122"/>
        </w:trPr>
        <w:tc>
          <w:tcPr>
            <w:tcW w:w="3544" w:type="dxa"/>
            <w:tcBorders>
              <w:top w:val="single" w:sz="4" w:space="0" w:color="auto"/>
            </w:tcBorders>
          </w:tcPr>
          <w:p w14:paraId="21189B89" w14:textId="1667709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oskytovatele</w:t>
            </w:r>
          </w:p>
          <w:p w14:paraId="4813AB3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Jan Krkoška, MBA</w:t>
            </w:r>
          </w:p>
          <w:p w14:paraId="359C2BA8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43439B3B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3A7000D" w14:textId="7D5D323F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B30B6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5B30B6">
              <w:rPr>
                <w:rFonts w:ascii="Tahoma" w:hAnsi="Tahoma" w:cs="Tahoma"/>
                <w:sz w:val="20"/>
                <w:szCs w:val="20"/>
              </w:rPr>
              <w:t>říjemce</w:t>
            </w:r>
          </w:p>
          <w:p w14:paraId="08B9AF7E" w14:textId="677B4346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8E3429" w14:textId="3F57EEB8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73FC5C" w14:textId="77777777" w:rsidR="001758DE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0B5A39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A52BB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8BD517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7AAE9E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89C660" w14:textId="77777777" w:rsidR="001758DE" w:rsidRPr="005B30B6" w:rsidRDefault="001758DE" w:rsidP="00B115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1ED5EC0" w14:textId="78A2DA08" w:rsidR="001758DE" w:rsidRPr="00E87E7A" w:rsidRDefault="001758DE" w:rsidP="005B30B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E0049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 č. 1/10 ze dne 5. 11. 2020, ve znění usnesení č. 12/1193 ze dne 8. 6. 2023.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DF75" w14:textId="77777777" w:rsidR="00C969AD" w:rsidRDefault="00C969AD">
      <w:r>
        <w:separator/>
      </w:r>
    </w:p>
  </w:endnote>
  <w:endnote w:type="continuationSeparator" w:id="0">
    <w:p w14:paraId="25F71C49" w14:textId="77777777" w:rsidR="00C969AD" w:rsidRDefault="00C969AD">
      <w:r>
        <w:continuationSeparator/>
      </w:r>
    </w:p>
  </w:endnote>
  <w:endnote w:type="continuationNotice" w:id="1">
    <w:p w14:paraId="1AFF1508" w14:textId="77777777" w:rsidR="00C969AD" w:rsidRDefault="00C96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40E5" w14:textId="77777777" w:rsidR="00C969AD" w:rsidRDefault="00C969AD">
      <w:r>
        <w:separator/>
      </w:r>
    </w:p>
  </w:footnote>
  <w:footnote w:type="continuationSeparator" w:id="0">
    <w:p w14:paraId="790C5061" w14:textId="77777777" w:rsidR="00C969AD" w:rsidRDefault="00C969AD">
      <w:r>
        <w:continuationSeparator/>
      </w:r>
    </w:p>
  </w:footnote>
  <w:footnote w:type="continuationNotice" w:id="1">
    <w:p w14:paraId="5A048ED5" w14:textId="77777777" w:rsidR="00C969AD" w:rsidRDefault="00C969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2F39" w14:textId="6BDA0CCE" w:rsidR="005117D6" w:rsidRDefault="005117D6" w:rsidP="005117D6">
    <w:pPr>
      <w:pStyle w:val="Zhlav"/>
      <w:jc w:val="center"/>
    </w:pPr>
  </w:p>
  <w:p w14:paraId="154BFB96" w14:textId="77777777" w:rsidR="005117D6" w:rsidRDefault="005117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5261065">
    <w:abstractNumId w:val="12"/>
  </w:num>
  <w:num w:numId="2" w16cid:durableId="904603973">
    <w:abstractNumId w:val="9"/>
  </w:num>
  <w:num w:numId="3" w16cid:durableId="1232735014">
    <w:abstractNumId w:val="7"/>
  </w:num>
  <w:num w:numId="4" w16cid:durableId="1827932962">
    <w:abstractNumId w:val="17"/>
  </w:num>
  <w:num w:numId="5" w16cid:durableId="212936448">
    <w:abstractNumId w:val="24"/>
  </w:num>
  <w:num w:numId="6" w16cid:durableId="266618385">
    <w:abstractNumId w:val="23"/>
  </w:num>
  <w:num w:numId="7" w16cid:durableId="1950433054">
    <w:abstractNumId w:val="3"/>
  </w:num>
  <w:num w:numId="8" w16cid:durableId="1164129903">
    <w:abstractNumId w:val="11"/>
  </w:num>
  <w:num w:numId="9" w16cid:durableId="919607642">
    <w:abstractNumId w:val="5"/>
  </w:num>
  <w:num w:numId="10" w16cid:durableId="290987541">
    <w:abstractNumId w:val="29"/>
  </w:num>
  <w:num w:numId="11" w16cid:durableId="1195583725">
    <w:abstractNumId w:val="20"/>
  </w:num>
  <w:num w:numId="12" w16cid:durableId="1707759099">
    <w:abstractNumId w:val="15"/>
  </w:num>
  <w:num w:numId="13" w16cid:durableId="1480922661">
    <w:abstractNumId w:val="16"/>
  </w:num>
  <w:num w:numId="14" w16cid:durableId="847139165">
    <w:abstractNumId w:val="31"/>
  </w:num>
  <w:num w:numId="15" w16cid:durableId="1639336299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714435">
    <w:abstractNumId w:val="10"/>
  </w:num>
  <w:num w:numId="17" w16cid:durableId="149752811">
    <w:abstractNumId w:val="25"/>
  </w:num>
  <w:num w:numId="18" w16cid:durableId="1459957865">
    <w:abstractNumId w:val="19"/>
  </w:num>
  <w:num w:numId="19" w16cid:durableId="1854958393">
    <w:abstractNumId w:val="27"/>
  </w:num>
  <w:num w:numId="20" w16cid:durableId="773130024">
    <w:abstractNumId w:val="8"/>
  </w:num>
  <w:num w:numId="21" w16cid:durableId="732773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78713">
    <w:abstractNumId w:val="18"/>
  </w:num>
  <w:num w:numId="23" w16cid:durableId="796485929">
    <w:abstractNumId w:val="1"/>
  </w:num>
  <w:num w:numId="24" w16cid:durableId="12077897">
    <w:abstractNumId w:val="27"/>
  </w:num>
  <w:num w:numId="25" w16cid:durableId="425997990">
    <w:abstractNumId w:val="28"/>
  </w:num>
  <w:num w:numId="26" w16cid:durableId="1560087836">
    <w:abstractNumId w:val="6"/>
  </w:num>
  <w:num w:numId="27" w16cid:durableId="223182217">
    <w:abstractNumId w:val="21"/>
  </w:num>
  <w:num w:numId="28" w16cid:durableId="1774742626">
    <w:abstractNumId w:val="22"/>
  </w:num>
  <w:num w:numId="29" w16cid:durableId="1812096666">
    <w:abstractNumId w:val="0"/>
  </w:num>
  <w:num w:numId="30" w16cid:durableId="996417828">
    <w:abstractNumId w:val="30"/>
  </w:num>
  <w:num w:numId="31" w16cid:durableId="2061051907">
    <w:abstractNumId w:val="2"/>
  </w:num>
  <w:num w:numId="32" w16cid:durableId="1052340230">
    <w:abstractNumId w:val="14"/>
  </w:num>
  <w:num w:numId="33" w16cid:durableId="1948997557">
    <w:abstractNumId w:val="26"/>
  </w:num>
  <w:num w:numId="34" w16cid:durableId="520821367">
    <w:abstractNumId w:val="13"/>
  </w:num>
  <w:num w:numId="35" w16cid:durableId="1859391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15A1"/>
    <w:rsid w:val="00005671"/>
    <w:rsid w:val="00006C51"/>
    <w:rsid w:val="00006CE2"/>
    <w:rsid w:val="0000700A"/>
    <w:rsid w:val="00007162"/>
    <w:rsid w:val="00014690"/>
    <w:rsid w:val="00015160"/>
    <w:rsid w:val="00022124"/>
    <w:rsid w:val="00022F9C"/>
    <w:rsid w:val="000244C1"/>
    <w:rsid w:val="00026FB7"/>
    <w:rsid w:val="00040237"/>
    <w:rsid w:val="00040A91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46CF"/>
    <w:rsid w:val="00087418"/>
    <w:rsid w:val="00087C72"/>
    <w:rsid w:val="00090850"/>
    <w:rsid w:val="0009322F"/>
    <w:rsid w:val="0009786D"/>
    <w:rsid w:val="000A2E0B"/>
    <w:rsid w:val="000A62DF"/>
    <w:rsid w:val="000B36BA"/>
    <w:rsid w:val="000B471F"/>
    <w:rsid w:val="000B499F"/>
    <w:rsid w:val="000B7635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27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0398"/>
    <w:rsid w:val="00122A0A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45881"/>
    <w:rsid w:val="00155B04"/>
    <w:rsid w:val="00157193"/>
    <w:rsid w:val="00160F0B"/>
    <w:rsid w:val="00163EE1"/>
    <w:rsid w:val="0016732E"/>
    <w:rsid w:val="00171F0F"/>
    <w:rsid w:val="00173241"/>
    <w:rsid w:val="00174F82"/>
    <w:rsid w:val="001758DE"/>
    <w:rsid w:val="00183D3A"/>
    <w:rsid w:val="00185142"/>
    <w:rsid w:val="0019058F"/>
    <w:rsid w:val="0019079C"/>
    <w:rsid w:val="00190AA7"/>
    <w:rsid w:val="001927C9"/>
    <w:rsid w:val="001959F6"/>
    <w:rsid w:val="001A60B1"/>
    <w:rsid w:val="001A76D6"/>
    <w:rsid w:val="001A7FBB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D59C7"/>
    <w:rsid w:val="001E2203"/>
    <w:rsid w:val="001E4D30"/>
    <w:rsid w:val="001E56B9"/>
    <w:rsid w:val="001E6D51"/>
    <w:rsid w:val="001F0CFD"/>
    <w:rsid w:val="001F0E1A"/>
    <w:rsid w:val="001F4882"/>
    <w:rsid w:val="001F4F31"/>
    <w:rsid w:val="001F563B"/>
    <w:rsid w:val="001F767C"/>
    <w:rsid w:val="00200D96"/>
    <w:rsid w:val="0020302A"/>
    <w:rsid w:val="002059C5"/>
    <w:rsid w:val="00206F2E"/>
    <w:rsid w:val="002116F1"/>
    <w:rsid w:val="00212C11"/>
    <w:rsid w:val="002175B0"/>
    <w:rsid w:val="00217A2A"/>
    <w:rsid w:val="00220A83"/>
    <w:rsid w:val="002233E5"/>
    <w:rsid w:val="002245A9"/>
    <w:rsid w:val="002250FB"/>
    <w:rsid w:val="002256AB"/>
    <w:rsid w:val="00226824"/>
    <w:rsid w:val="00230217"/>
    <w:rsid w:val="002304EC"/>
    <w:rsid w:val="00231F2A"/>
    <w:rsid w:val="00232522"/>
    <w:rsid w:val="0023335B"/>
    <w:rsid w:val="002341F5"/>
    <w:rsid w:val="0024077E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85DC2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4EB7"/>
    <w:rsid w:val="002E594D"/>
    <w:rsid w:val="002E6B98"/>
    <w:rsid w:val="002F6891"/>
    <w:rsid w:val="003035FF"/>
    <w:rsid w:val="00304607"/>
    <w:rsid w:val="003055EC"/>
    <w:rsid w:val="00310A3A"/>
    <w:rsid w:val="00310B8C"/>
    <w:rsid w:val="00316606"/>
    <w:rsid w:val="0032358E"/>
    <w:rsid w:val="003235DA"/>
    <w:rsid w:val="00325C43"/>
    <w:rsid w:val="00325F2D"/>
    <w:rsid w:val="0032676D"/>
    <w:rsid w:val="003269FD"/>
    <w:rsid w:val="00327266"/>
    <w:rsid w:val="00327E9D"/>
    <w:rsid w:val="00337C67"/>
    <w:rsid w:val="00347284"/>
    <w:rsid w:val="00350CD8"/>
    <w:rsid w:val="0035191A"/>
    <w:rsid w:val="00355C80"/>
    <w:rsid w:val="00357226"/>
    <w:rsid w:val="003579B1"/>
    <w:rsid w:val="00357E78"/>
    <w:rsid w:val="003642F1"/>
    <w:rsid w:val="0036609F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3A74"/>
    <w:rsid w:val="0039638B"/>
    <w:rsid w:val="00397C25"/>
    <w:rsid w:val="003A0484"/>
    <w:rsid w:val="003A136D"/>
    <w:rsid w:val="003A6513"/>
    <w:rsid w:val="003B47CF"/>
    <w:rsid w:val="003B4C26"/>
    <w:rsid w:val="003C1ED7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30"/>
    <w:rsid w:val="004028BE"/>
    <w:rsid w:val="00402BF4"/>
    <w:rsid w:val="00402C6A"/>
    <w:rsid w:val="00403151"/>
    <w:rsid w:val="00405619"/>
    <w:rsid w:val="004072FE"/>
    <w:rsid w:val="00407F31"/>
    <w:rsid w:val="00412EC4"/>
    <w:rsid w:val="00414377"/>
    <w:rsid w:val="00420BC1"/>
    <w:rsid w:val="00420CA6"/>
    <w:rsid w:val="00423B59"/>
    <w:rsid w:val="00430F5D"/>
    <w:rsid w:val="00434699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0B3"/>
    <w:rsid w:val="004B5BE7"/>
    <w:rsid w:val="004B5C39"/>
    <w:rsid w:val="004B5DF5"/>
    <w:rsid w:val="004B60D0"/>
    <w:rsid w:val="004C242B"/>
    <w:rsid w:val="004C689F"/>
    <w:rsid w:val="004D16C1"/>
    <w:rsid w:val="004D5C9F"/>
    <w:rsid w:val="004E05C9"/>
    <w:rsid w:val="004E425F"/>
    <w:rsid w:val="004E77A7"/>
    <w:rsid w:val="004E7810"/>
    <w:rsid w:val="004F191E"/>
    <w:rsid w:val="004F6A45"/>
    <w:rsid w:val="005004D7"/>
    <w:rsid w:val="00500ED2"/>
    <w:rsid w:val="0050191A"/>
    <w:rsid w:val="0050402C"/>
    <w:rsid w:val="00504897"/>
    <w:rsid w:val="005058B9"/>
    <w:rsid w:val="00510E01"/>
    <w:rsid w:val="0051103A"/>
    <w:rsid w:val="005117D6"/>
    <w:rsid w:val="0051474B"/>
    <w:rsid w:val="00514F29"/>
    <w:rsid w:val="00517A39"/>
    <w:rsid w:val="00522C2F"/>
    <w:rsid w:val="005230A3"/>
    <w:rsid w:val="0052684E"/>
    <w:rsid w:val="00531ACF"/>
    <w:rsid w:val="005324A9"/>
    <w:rsid w:val="0053380A"/>
    <w:rsid w:val="005402FD"/>
    <w:rsid w:val="005407C9"/>
    <w:rsid w:val="0054229A"/>
    <w:rsid w:val="00542A01"/>
    <w:rsid w:val="0054388F"/>
    <w:rsid w:val="00547467"/>
    <w:rsid w:val="005500CF"/>
    <w:rsid w:val="005503B2"/>
    <w:rsid w:val="00550CC9"/>
    <w:rsid w:val="00554060"/>
    <w:rsid w:val="005571A2"/>
    <w:rsid w:val="00561349"/>
    <w:rsid w:val="005616CF"/>
    <w:rsid w:val="005628DB"/>
    <w:rsid w:val="00566E07"/>
    <w:rsid w:val="00567EBC"/>
    <w:rsid w:val="00571991"/>
    <w:rsid w:val="00573B01"/>
    <w:rsid w:val="005746A3"/>
    <w:rsid w:val="00576211"/>
    <w:rsid w:val="005816D2"/>
    <w:rsid w:val="00581A18"/>
    <w:rsid w:val="005828CA"/>
    <w:rsid w:val="005857C2"/>
    <w:rsid w:val="00591BA3"/>
    <w:rsid w:val="00592909"/>
    <w:rsid w:val="00592D54"/>
    <w:rsid w:val="00594441"/>
    <w:rsid w:val="005954AE"/>
    <w:rsid w:val="005A14FB"/>
    <w:rsid w:val="005A16D2"/>
    <w:rsid w:val="005A33C0"/>
    <w:rsid w:val="005A4ED6"/>
    <w:rsid w:val="005A536C"/>
    <w:rsid w:val="005B30B6"/>
    <w:rsid w:val="005B333A"/>
    <w:rsid w:val="005C0341"/>
    <w:rsid w:val="005C0383"/>
    <w:rsid w:val="005D29B3"/>
    <w:rsid w:val="005D4C75"/>
    <w:rsid w:val="005D54A3"/>
    <w:rsid w:val="005D6DF8"/>
    <w:rsid w:val="005D703F"/>
    <w:rsid w:val="005E43A8"/>
    <w:rsid w:val="005E4F09"/>
    <w:rsid w:val="005E5777"/>
    <w:rsid w:val="005E5F55"/>
    <w:rsid w:val="005E6364"/>
    <w:rsid w:val="005E7D65"/>
    <w:rsid w:val="005F134B"/>
    <w:rsid w:val="005F1821"/>
    <w:rsid w:val="005F204A"/>
    <w:rsid w:val="005F33E0"/>
    <w:rsid w:val="005F6656"/>
    <w:rsid w:val="0060165C"/>
    <w:rsid w:val="00604A74"/>
    <w:rsid w:val="00604FE7"/>
    <w:rsid w:val="00605292"/>
    <w:rsid w:val="00610055"/>
    <w:rsid w:val="00611627"/>
    <w:rsid w:val="00613027"/>
    <w:rsid w:val="0061401A"/>
    <w:rsid w:val="00614A07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46260"/>
    <w:rsid w:val="006528A0"/>
    <w:rsid w:val="00652B63"/>
    <w:rsid w:val="00653754"/>
    <w:rsid w:val="006546FE"/>
    <w:rsid w:val="00657855"/>
    <w:rsid w:val="0066729C"/>
    <w:rsid w:val="006710C3"/>
    <w:rsid w:val="0067488E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B6565"/>
    <w:rsid w:val="006C2B5D"/>
    <w:rsid w:val="006C383D"/>
    <w:rsid w:val="006C3FE7"/>
    <w:rsid w:val="006C460B"/>
    <w:rsid w:val="006C75A4"/>
    <w:rsid w:val="006D1912"/>
    <w:rsid w:val="006D2621"/>
    <w:rsid w:val="006D2EF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6F5A10"/>
    <w:rsid w:val="007012C7"/>
    <w:rsid w:val="00701879"/>
    <w:rsid w:val="0070262E"/>
    <w:rsid w:val="00703B29"/>
    <w:rsid w:val="00706FC1"/>
    <w:rsid w:val="00711316"/>
    <w:rsid w:val="00712C3E"/>
    <w:rsid w:val="00715D46"/>
    <w:rsid w:val="007162FA"/>
    <w:rsid w:val="00717D81"/>
    <w:rsid w:val="00727409"/>
    <w:rsid w:val="00733A63"/>
    <w:rsid w:val="00734DB8"/>
    <w:rsid w:val="0074371D"/>
    <w:rsid w:val="00750AE1"/>
    <w:rsid w:val="007568AF"/>
    <w:rsid w:val="00760D02"/>
    <w:rsid w:val="00760F24"/>
    <w:rsid w:val="00763F92"/>
    <w:rsid w:val="00764120"/>
    <w:rsid w:val="00767CE3"/>
    <w:rsid w:val="007706CB"/>
    <w:rsid w:val="00770E63"/>
    <w:rsid w:val="00774A5A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3F20"/>
    <w:rsid w:val="00795947"/>
    <w:rsid w:val="0079670E"/>
    <w:rsid w:val="007A1850"/>
    <w:rsid w:val="007A2E14"/>
    <w:rsid w:val="007A7C70"/>
    <w:rsid w:val="007B10D5"/>
    <w:rsid w:val="007B277E"/>
    <w:rsid w:val="007B3E72"/>
    <w:rsid w:val="007B478C"/>
    <w:rsid w:val="007B74CA"/>
    <w:rsid w:val="007C06A2"/>
    <w:rsid w:val="007D235A"/>
    <w:rsid w:val="007D2437"/>
    <w:rsid w:val="007D7301"/>
    <w:rsid w:val="007E0800"/>
    <w:rsid w:val="007E5AC1"/>
    <w:rsid w:val="007E6521"/>
    <w:rsid w:val="007F01FD"/>
    <w:rsid w:val="007F15E6"/>
    <w:rsid w:val="007F446A"/>
    <w:rsid w:val="007F44B6"/>
    <w:rsid w:val="007F6DEF"/>
    <w:rsid w:val="0080343D"/>
    <w:rsid w:val="00806149"/>
    <w:rsid w:val="00806424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16C9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93DE1"/>
    <w:rsid w:val="00897062"/>
    <w:rsid w:val="00897C18"/>
    <w:rsid w:val="008A04A7"/>
    <w:rsid w:val="008A0BE8"/>
    <w:rsid w:val="008B0467"/>
    <w:rsid w:val="008B3937"/>
    <w:rsid w:val="008B3ECE"/>
    <w:rsid w:val="008B6106"/>
    <w:rsid w:val="008B669E"/>
    <w:rsid w:val="008C1BFC"/>
    <w:rsid w:val="008C4B56"/>
    <w:rsid w:val="008C684B"/>
    <w:rsid w:val="008D505C"/>
    <w:rsid w:val="008F0D78"/>
    <w:rsid w:val="008F1D22"/>
    <w:rsid w:val="008F2F33"/>
    <w:rsid w:val="00902A29"/>
    <w:rsid w:val="00905EDF"/>
    <w:rsid w:val="00906716"/>
    <w:rsid w:val="00907FC9"/>
    <w:rsid w:val="0091308E"/>
    <w:rsid w:val="0091505B"/>
    <w:rsid w:val="009163C5"/>
    <w:rsid w:val="00921864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3AFC"/>
    <w:rsid w:val="0095767B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9346C"/>
    <w:rsid w:val="009942CD"/>
    <w:rsid w:val="009A30B4"/>
    <w:rsid w:val="009A6F58"/>
    <w:rsid w:val="009B0409"/>
    <w:rsid w:val="009B0579"/>
    <w:rsid w:val="009B5A9E"/>
    <w:rsid w:val="009B5B50"/>
    <w:rsid w:val="009B7DCA"/>
    <w:rsid w:val="009C171A"/>
    <w:rsid w:val="009C1E58"/>
    <w:rsid w:val="009C4225"/>
    <w:rsid w:val="009C66BB"/>
    <w:rsid w:val="009C7D2C"/>
    <w:rsid w:val="009C7D3C"/>
    <w:rsid w:val="009D121A"/>
    <w:rsid w:val="009D26E7"/>
    <w:rsid w:val="009D354A"/>
    <w:rsid w:val="009D4531"/>
    <w:rsid w:val="009E1B73"/>
    <w:rsid w:val="009E4446"/>
    <w:rsid w:val="009E5236"/>
    <w:rsid w:val="009E6DD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124B"/>
    <w:rsid w:val="00A24CB4"/>
    <w:rsid w:val="00A24FBF"/>
    <w:rsid w:val="00A25844"/>
    <w:rsid w:val="00A25A01"/>
    <w:rsid w:val="00A32762"/>
    <w:rsid w:val="00A33B58"/>
    <w:rsid w:val="00A3424E"/>
    <w:rsid w:val="00A36D4D"/>
    <w:rsid w:val="00A40AF3"/>
    <w:rsid w:val="00A45A91"/>
    <w:rsid w:val="00A61F47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3CC"/>
    <w:rsid w:val="00A84E78"/>
    <w:rsid w:val="00A8565F"/>
    <w:rsid w:val="00A8616E"/>
    <w:rsid w:val="00A90B53"/>
    <w:rsid w:val="00A91684"/>
    <w:rsid w:val="00A923DD"/>
    <w:rsid w:val="00A92FFE"/>
    <w:rsid w:val="00A952B6"/>
    <w:rsid w:val="00A96DC8"/>
    <w:rsid w:val="00AA06B9"/>
    <w:rsid w:val="00AA06DC"/>
    <w:rsid w:val="00AA0CC1"/>
    <w:rsid w:val="00AA2ECD"/>
    <w:rsid w:val="00AA561F"/>
    <w:rsid w:val="00AA5FBC"/>
    <w:rsid w:val="00AB2BA4"/>
    <w:rsid w:val="00AB529A"/>
    <w:rsid w:val="00AB7965"/>
    <w:rsid w:val="00AC00B5"/>
    <w:rsid w:val="00AC3B7F"/>
    <w:rsid w:val="00AC4C45"/>
    <w:rsid w:val="00AC5308"/>
    <w:rsid w:val="00AC7E1E"/>
    <w:rsid w:val="00AD171C"/>
    <w:rsid w:val="00AD1EF9"/>
    <w:rsid w:val="00AE2622"/>
    <w:rsid w:val="00AE4789"/>
    <w:rsid w:val="00AE65E6"/>
    <w:rsid w:val="00AE6DBF"/>
    <w:rsid w:val="00AF230F"/>
    <w:rsid w:val="00AF4717"/>
    <w:rsid w:val="00AF7C51"/>
    <w:rsid w:val="00AF7F17"/>
    <w:rsid w:val="00B06188"/>
    <w:rsid w:val="00B11A4B"/>
    <w:rsid w:val="00B13BE4"/>
    <w:rsid w:val="00B15CE1"/>
    <w:rsid w:val="00B21604"/>
    <w:rsid w:val="00B22997"/>
    <w:rsid w:val="00B22AD1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0F25"/>
    <w:rsid w:val="00BA53ED"/>
    <w:rsid w:val="00BA696B"/>
    <w:rsid w:val="00BA7B2C"/>
    <w:rsid w:val="00BB1860"/>
    <w:rsid w:val="00BB779D"/>
    <w:rsid w:val="00BC2CCA"/>
    <w:rsid w:val="00BC2FCF"/>
    <w:rsid w:val="00BC3A81"/>
    <w:rsid w:val="00BC5CE3"/>
    <w:rsid w:val="00BC6A48"/>
    <w:rsid w:val="00BC6C3B"/>
    <w:rsid w:val="00BC6D5C"/>
    <w:rsid w:val="00BD09BF"/>
    <w:rsid w:val="00BD2380"/>
    <w:rsid w:val="00BD43D4"/>
    <w:rsid w:val="00BD4460"/>
    <w:rsid w:val="00BD6A74"/>
    <w:rsid w:val="00BD791F"/>
    <w:rsid w:val="00BD7A18"/>
    <w:rsid w:val="00BE0110"/>
    <w:rsid w:val="00BE222F"/>
    <w:rsid w:val="00BE2989"/>
    <w:rsid w:val="00BE5628"/>
    <w:rsid w:val="00BE7D6A"/>
    <w:rsid w:val="00BF4C02"/>
    <w:rsid w:val="00C02365"/>
    <w:rsid w:val="00C06F5E"/>
    <w:rsid w:val="00C12354"/>
    <w:rsid w:val="00C140CB"/>
    <w:rsid w:val="00C14E99"/>
    <w:rsid w:val="00C16519"/>
    <w:rsid w:val="00C175EE"/>
    <w:rsid w:val="00C20F65"/>
    <w:rsid w:val="00C22C12"/>
    <w:rsid w:val="00C25DB1"/>
    <w:rsid w:val="00C26701"/>
    <w:rsid w:val="00C273C8"/>
    <w:rsid w:val="00C27B74"/>
    <w:rsid w:val="00C31189"/>
    <w:rsid w:val="00C34969"/>
    <w:rsid w:val="00C42EF5"/>
    <w:rsid w:val="00C463CF"/>
    <w:rsid w:val="00C50722"/>
    <w:rsid w:val="00C51094"/>
    <w:rsid w:val="00C51650"/>
    <w:rsid w:val="00C52444"/>
    <w:rsid w:val="00C53A4D"/>
    <w:rsid w:val="00C5418D"/>
    <w:rsid w:val="00C555F0"/>
    <w:rsid w:val="00C57CE3"/>
    <w:rsid w:val="00C60558"/>
    <w:rsid w:val="00C64357"/>
    <w:rsid w:val="00C7098E"/>
    <w:rsid w:val="00C71113"/>
    <w:rsid w:val="00C820B4"/>
    <w:rsid w:val="00C824A6"/>
    <w:rsid w:val="00C8419B"/>
    <w:rsid w:val="00C848AC"/>
    <w:rsid w:val="00C85AA3"/>
    <w:rsid w:val="00C87304"/>
    <w:rsid w:val="00C87704"/>
    <w:rsid w:val="00C969AD"/>
    <w:rsid w:val="00CA1EAC"/>
    <w:rsid w:val="00CA214B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24B5"/>
    <w:rsid w:val="00CC546B"/>
    <w:rsid w:val="00CC6A0D"/>
    <w:rsid w:val="00CD2481"/>
    <w:rsid w:val="00CD285A"/>
    <w:rsid w:val="00CD7BC6"/>
    <w:rsid w:val="00CE7032"/>
    <w:rsid w:val="00CF13CB"/>
    <w:rsid w:val="00CF2E2C"/>
    <w:rsid w:val="00CF40AC"/>
    <w:rsid w:val="00CF540D"/>
    <w:rsid w:val="00CF5866"/>
    <w:rsid w:val="00CF605B"/>
    <w:rsid w:val="00D023E5"/>
    <w:rsid w:val="00D0581D"/>
    <w:rsid w:val="00D1201D"/>
    <w:rsid w:val="00D14003"/>
    <w:rsid w:val="00D236C6"/>
    <w:rsid w:val="00D263DE"/>
    <w:rsid w:val="00D304F1"/>
    <w:rsid w:val="00D33399"/>
    <w:rsid w:val="00D33FDE"/>
    <w:rsid w:val="00D359F1"/>
    <w:rsid w:val="00D3655D"/>
    <w:rsid w:val="00D36FA3"/>
    <w:rsid w:val="00D404B2"/>
    <w:rsid w:val="00D41275"/>
    <w:rsid w:val="00D4449D"/>
    <w:rsid w:val="00D47D0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136A"/>
    <w:rsid w:val="00D76E1C"/>
    <w:rsid w:val="00D77BA4"/>
    <w:rsid w:val="00D80F29"/>
    <w:rsid w:val="00D8534F"/>
    <w:rsid w:val="00D8549E"/>
    <w:rsid w:val="00D93FF6"/>
    <w:rsid w:val="00D959AB"/>
    <w:rsid w:val="00DA1F8F"/>
    <w:rsid w:val="00DA33F7"/>
    <w:rsid w:val="00DA6185"/>
    <w:rsid w:val="00DA6431"/>
    <w:rsid w:val="00DB1175"/>
    <w:rsid w:val="00DB7B84"/>
    <w:rsid w:val="00DC10A1"/>
    <w:rsid w:val="00DC3DB9"/>
    <w:rsid w:val="00DC3DF8"/>
    <w:rsid w:val="00DC6A19"/>
    <w:rsid w:val="00DC7A75"/>
    <w:rsid w:val="00DD009A"/>
    <w:rsid w:val="00DD56E6"/>
    <w:rsid w:val="00DD5C1F"/>
    <w:rsid w:val="00DD6DC7"/>
    <w:rsid w:val="00DD79A7"/>
    <w:rsid w:val="00DE11AD"/>
    <w:rsid w:val="00DE27F7"/>
    <w:rsid w:val="00DE4CCD"/>
    <w:rsid w:val="00DE6C6A"/>
    <w:rsid w:val="00DF0E60"/>
    <w:rsid w:val="00DF221E"/>
    <w:rsid w:val="00DF40D3"/>
    <w:rsid w:val="00DF4913"/>
    <w:rsid w:val="00E00A73"/>
    <w:rsid w:val="00E00E3A"/>
    <w:rsid w:val="00E0656A"/>
    <w:rsid w:val="00E06E94"/>
    <w:rsid w:val="00E07E5C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3E72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239C"/>
    <w:rsid w:val="00EA3307"/>
    <w:rsid w:val="00EA67C4"/>
    <w:rsid w:val="00EA76BD"/>
    <w:rsid w:val="00EB0EB2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20F9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5A60"/>
    <w:rsid w:val="00F160D2"/>
    <w:rsid w:val="00F168A8"/>
    <w:rsid w:val="00F27B7E"/>
    <w:rsid w:val="00F30ACC"/>
    <w:rsid w:val="00F30BBA"/>
    <w:rsid w:val="00F30C20"/>
    <w:rsid w:val="00F31604"/>
    <w:rsid w:val="00F327EC"/>
    <w:rsid w:val="00F3429D"/>
    <w:rsid w:val="00F3754F"/>
    <w:rsid w:val="00F402D3"/>
    <w:rsid w:val="00F419CD"/>
    <w:rsid w:val="00F420CD"/>
    <w:rsid w:val="00F4273A"/>
    <w:rsid w:val="00F4537F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026D"/>
    <w:rsid w:val="00F7147C"/>
    <w:rsid w:val="00F73D52"/>
    <w:rsid w:val="00F762CA"/>
    <w:rsid w:val="00F76304"/>
    <w:rsid w:val="00F769C4"/>
    <w:rsid w:val="00F76C95"/>
    <w:rsid w:val="00F87A6D"/>
    <w:rsid w:val="00F90BA4"/>
    <w:rsid w:val="00F91814"/>
    <w:rsid w:val="00F945E4"/>
    <w:rsid w:val="00FA03E9"/>
    <w:rsid w:val="00FA23FD"/>
    <w:rsid w:val="00FA3D02"/>
    <w:rsid w:val="00FA4EE2"/>
    <w:rsid w:val="00FA569D"/>
    <w:rsid w:val="00FA6042"/>
    <w:rsid w:val="00FA646A"/>
    <w:rsid w:val="00FB3237"/>
    <w:rsid w:val="00FB5213"/>
    <w:rsid w:val="00FB5E55"/>
    <w:rsid w:val="00FB6314"/>
    <w:rsid w:val="00FB763E"/>
    <w:rsid w:val="00FC04A7"/>
    <w:rsid w:val="00FC469D"/>
    <w:rsid w:val="00FC489E"/>
    <w:rsid w:val="00FC594A"/>
    <w:rsid w:val="00FC6F48"/>
    <w:rsid w:val="00FC7259"/>
    <w:rsid w:val="00FD1080"/>
    <w:rsid w:val="00FD1368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4491D44A-0A23-4755-B3CC-A438C2EF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  <w:style w:type="paragraph" w:styleId="Revize">
    <w:name w:val="Revision"/>
    <w:hidden/>
    <w:uiPriority w:val="99"/>
    <w:semiHidden/>
    <w:rsid w:val="00103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4A75-E8D6-4C94-A60D-2356A738C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1849F-25BC-4D04-9EA9-9CE70FF6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4088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14</cp:revision>
  <cp:lastPrinted>2021-05-05T01:54:00Z</cp:lastPrinted>
  <dcterms:created xsi:type="dcterms:W3CDTF">2023-11-13T07:38:00Z</dcterms:created>
  <dcterms:modified xsi:type="dcterms:W3CDTF">2023-11-13T07:52:00Z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2022-02-22T09:08:49Z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c20a44a4-9bda-4ee2-830a-e3a2c5893e73</vt:lpwstr>
  </property>
  <property fmtid="{D5CDD505-2E9C-101B-9397-08002B2CF9AE}" pid="9" name="MSIP_Label_63ff9749-f68b-40ec-aa05-229831920469_ContentBits">
    <vt:lpwstr>2</vt:lpwstr>
  </property>
</Properties>
</file>