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202C" w14:textId="77777777" w:rsidR="003B0973" w:rsidRPr="000516A7" w:rsidRDefault="003B0973" w:rsidP="003B0973">
      <w:pPr>
        <w:spacing w:after="240"/>
        <w:rPr>
          <w:b/>
          <w:i/>
          <w:color w:val="00A499"/>
          <w:sz w:val="32"/>
          <w:szCs w:val="32"/>
        </w:rPr>
      </w:pPr>
      <w:r w:rsidRPr="00CB53E5">
        <w:rPr>
          <w:b/>
          <w:i/>
          <w:color w:val="00A499"/>
          <w:sz w:val="32"/>
          <w:szCs w:val="32"/>
        </w:rPr>
        <w:t xml:space="preserve">Popis aktivit </w:t>
      </w:r>
      <w:r>
        <w:rPr>
          <w:b/>
          <w:i/>
          <w:color w:val="00A499"/>
          <w:sz w:val="32"/>
          <w:szCs w:val="32"/>
        </w:rPr>
        <w:t>Vysoké školy</w:t>
      </w:r>
      <w:r w:rsidR="009B7267">
        <w:rPr>
          <w:b/>
          <w:i/>
          <w:color w:val="00A499"/>
          <w:sz w:val="32"/>
          <w:szCs w:val="32"/>
        </w:rPr>
        <w:t xml:space="preserve"> báňské</w:t>
      </w:r>
      <w:r>
        <w:rPr>
          <w:b/>
          <w:i/>
          <w:color w:val="00A499"/>
          <w:sz w:val="32"/>
          <w:szCs w:val="32"/>
        </w:rPr>
        <w:t xml:space="preserve"> – Technické univerzity Ostrava</w:t>
      </w:r>
      <w:r w:rsidRPr="00CB53E5">
        <w:rPr>
          <w:b/>
          <w:i/>
          <w:color w:val="00A499"/>
          <w:sz w:val="32"/>
          <w:szCs w:val="32"/>
        </w:rPr>
        <w:t xml:space="preserve"> směrem k podpoře rozvoje podnikání Moravskoslezského kraje</w:t>
      </w:r>
    </w:p>
    <w:p w14:paraId="2585132D" w14:textId="77777777" w:rsidR="003B0973" w:rsidRPr="005E56E8" w:rsidRDefault="003B0973" w:rsidP="003B0973">
      <w:pPr>
        <w:spacing w:after="240"/>
        <w:rPr>
          <w:b/>
          <w:color w:val="00A499"/>
          <w:sz w:val="28"/>
          <w:szCs w:val="28"/>
        </w:rPr>
      </w:pPr>
      <w:r w:rsidRPr="005E56E8">
        <w:rPr>
          <w:b/>
          <w:color w:val="00A499"/>
          <w:sz w:val="28"/>
          <w:szCs w:val="28"/>
        </w:rPr>
        <w:t xml:space="preserve">Program GREEN LIGHT </w:t>
      </w:r>
    </w:p>
    <w:p w14:paraId="7D3D5AFE" w14:textId="5AD3CCB6" w:rsidR="00A94800" w:rsidRPr="00C57EF3" w:rsidRDefault="00FA6954" w:rsidP="003B0973">
      <w:pPr>
        <w:spacing w:after="240"/>
        <w:jc w:val="both"/>
      </w:pPr>
      <w:r w:rsidRPr="00C57EF3">
        <w:t xml:space="preserve">GREEN LIGHT (dále jen „GL“) je program pro podporu rozvoje podnikání, který </w:t>
      </w:r>
      <w:r w:rsidR="009E5677" w:rsidRPr="00C57EF3">
        <w:t xml:space="preserve">VŠB-TUO </w:t>
      </w:r>
      <w:r w:rsidRPr="00C57EF3">
        <w:t>v kraji realiz</w:t>
      </w:r>
      <w:r w:rsidR="009E5677" w:rsidRPr="00C57EF3">
        <w:t>uje už jedenác</w:t>
      </w:r>
      <w:r w:rsidR="00BA1ADA" w:rsidRPr="00C57EF3">
        <w:t>tým rokem</w:t>
      </w:r>
      <w:r w:rsidRPr="00C57EF3">
        <w:t xml:space="preserve">. </w:t>
      </w:r>
      <w:r w:rsidR="00B47658" w:rsidRPr="00C57EF3">
        <w:t xml:space="preserve">Za tu dobu </w:t>
      </w:r>
      <w:r w:rsidR="008713E8" w:rsidRPr="00C57EF3">
        <w:t xml:space="preserve">získal </w:t>
      </w:r>
      <w:r w:rsidR="00737DEC" w:rsidRPr="00C57EF3">
        <w:t>GREEN LIGHT</w:t>
      </w:r>
      <w:r w:rsidR="008713E8" w:rsidRPr="00C57EF3">
        <w:t xml:space="preserve"> </w:t>
      </w:r>
      <w:r w:rsidR="009B7267">
        <w:t>renomé</w:t>
      </w:r>
      <w:r w:rsidR="008169A8" w:rsidRPr="00C57EF3">
        <w:t xml:space="preserve"> </w:t>
      </w:r>
      <w:r w:rsidR="002B58DB">
        <w:t xml:space="preserve">kvalitního </w:t>
      </w:r>
      <w:r w:rsidR="002B58DB" w:rsidRPr="00C57EF3">
        <w:t>programu</w:t>
      </w:r>
      <w:r w:rsidR="00012D91" w:rsidRPr="00C57EF3">
        <w:t xml:space="preserve"> nejen v Moravskoslezském kraji</w:t>
      </w:r>
      <w:r w:rsidR="00737DEC" w:rsidRPr="00C57EF3">
        <w:t>, ale také po</w:t>
      </w:r>
      <w:r w:rsidR="001A08E9" w:rsidRPr="00C57EF3">
        <w:t xml:space="preserve"> celé Č</w:t>
      </w:r>
      <w:r w:rsidR="00632B42" w:rsidRPr="00C57EF3">
        <w:t>eské republice</w:t>
      </w:r>
      <w:r w:rsidR="009B7267">
        <w:t xml:space="preserve"> a v zahraničí</w:t>
      </w:r>
      <w:r w:rsidR="001A08E9" w:rsidRPr="00C57EF3">
        <w:t xml:space="preserve">. </w:t>
      </w:r>
      <w:r w:rsidR="00F7656B" w:rsidRPr="00C57EF3">
        <w:t>Jeho hlavním cílem je motivovat a podpořit zájemce o</w:t>
      </w:r>
      <w:r w:rsidR="002B58DB">
        <w:t> </w:t>
      </w:r>
      <w:r w:rsidR="00F7656B" w:rsidRPr="00C57EF3">
        <w:t xml:space="preserve">rozvoj podnikatelského nápadu směrem k jeho uskutečnění a přetvoření do skutečného </w:t>
      </w:r>
      <w:r w:rsidR="009B7267">
        <w:t>podnikání</w:t>
      </w:r>
      <w:r w:rsidR="00F7656B" w:rsidRPr="00C57EF3">
        <w:t xml:space="preserve"> s platícími zákazníky</w:t>
      </w:r>
      <w:r w:rsidR="001169FC" w:rsidRPr="00C57EF3">
        <w:t>.</w:t>
      </w:r>
      <w:r w:rsidR="00F670D4" w:rsidRPr="00C57EF3">
        <w:t xml:space="preserve"> Program klade důraz</w:t>
      </w:r>
      <w:r w:rsidR="00E8426F" w:rsidRPr="00C57EF3">
        <w:t xml:space="preserve"> </w:t>
      </w:r>
      <w:r w:rsidR="00B47979" w:rsidRPr="00C57EF3">
        <w:t>na</w:t>
      </w:r>
      <w:r w:rsidR="00857F75" w:rsidRPr="00C57EF3">
        <w:t> </w:t>
      </w:r>
      <w:r w:rsidR="00B47979" w:rsidRPr="00C57EF3">
        <w:t>kv</w:t>
      </w:r>
      <w:r w:rsidR="00E57596" w:rsidRPr="00C57EF3">
        <w:t>alitní</w:t>
      </w:r>
      <w:r w:rsidR="004C2DEE" w:rsidRPr="00C57EF3">
        <w:t xml:space="preserve">, odbornou </w:t>
      </w:r>
      <w:r w:rsidR="00E57596" w:rsidRPr="00C57EF3">
        <w:t>příprav</w:t>
      </w:r>
      <w:r w:rsidR="00B47979" w:rsidRPr="00C57EF3">
        <w:t>u</w:t>
      </w:r>
      <w:r w:rsidR="00E57596" w:rsidRPr="00C57EF3">
        <w:t xml:space="preserve"> účastníků</w:t>
      </w:r>
      <w:r w:rsidR="005E72B7" w:rsidRPr="00C57EF3">
        <w:t xml:space="preserve">, </w:t>
      </w:r>
      <w:r w:rsidR="00E57596" w:rsidRPr="00C57EF3">
        <w:t>ověření</w:t>
      </w:r>
      <w:r w:rsidR="009F7826" w:rsidRPr="00C57EF3">
        <w:t xml:space="preserve"> </w:t>
      </w:r>
      <w:r w:rsidR="00E57596" w:rsidRPr="00C57EF3">
        <w:t>podnikatelského záměru</w:t>
      </w:r>
      <w:r w:rsidR="00D95CF1" w:rsidRPr="00C57EF3">
        <w:t>, ale i</w:t>
      </w:r>
      <w:r w:rsidR="00830427" w:rsidRPr="00C57EF3">
        <w:t xml:space="preserve"> </w:t>
      </w:r>
      <w:r w:rsidR="00740576" w:rsidRPr="00C57EF3">
        <w:t xml:space="preserve">na </w:t>
      </w:r>
      <w:r w:rsidR="00830427" w:rsidRPr="00C57EF3">
        <w:t>pr</w:t>
      </w:r>
      <w:r w:rsidR="00B47979" w:rsidRPr="00C57EF3">
        <w:t>áci</w:t>
      </w:r>
      <w:r w:rsidR="00830427" w:rsidRPr="00C57EF3">
        <w:t xml:space="preserve"> s</w:t>
      </w:r>
      <w:r w:rsidR="003D6B08" w:rsidRPr="00C57EF3">
        <w:t> </w:t>
      </w:r>
      <w:r w:rsidR="00830427" w:rsidRPr="00C57EF3">
        <w:t>nositeli</w:t>
      </w:r>
      <w:r w:rsidR="003D6B08" w:rsidRPr="00C57EF3">
        <w:t xml:space="preserve"> </w:t>
      </w:r>
      <w:r w:rsidR="00E62ECE" w:rsidRPr="00C57EF3">
        <w:t>nápadu</w:t>
      </w:r>
      <w:r w:rsidR="003D6B08" w:rsidRPr="00C57EF3">
        <w:t xml:space="preserve"> samotnými</w:t>
      </w:r>
      <w:r w:rsidR="00A10CA0" w:rsidRPr="00C57EF3">
        <w:t>, a </w:t>
      </w:r>
      <w:r w:rsidR="00A079A1" w:rsidRPr="00C57EF3">
        <w:t>to</w:t>
      </w:r>
      <w:r w:rsidR="00AD48FF" w:rsidRPr="00C57EF3">
        <w:t xml:space="preserve"> </w:t>
      </w:r>
      <w:r w:rsidR="00A079A1" w:rsidRPr="00C57EF3">
        <w:t>směrem k rozvoji jejich aktivity, motivace a</w:t>
      </w:r>
      <w:r w:rsidR="002B58DB">
        <w:t> </w:t>
      </w:r>
      <w:r w:rsidR="009F7826" w:rsidRPr="00C57EF3">
        <w:t>angažovanosti</w:t>
      </w:r>
      <w:r w:rsidR="00A94800" w:rsidRPr="00C57EF3">
        <w:t xml:space="preserve"> v oblasti podnikání.</w:t>
      </w:r>
    </w:p>
    <w:p w14:paraId="35D8C493" w14:textId="39DC47DE" w:rsidR="003B0973" w:rsidRPr="00C57EF3" w:rsidRDefault="003B0973" w:rsidP="003B0973">
      <w:pPr>
        <w:spacing w:after="240"/>
        <w:jc w:val="both"/>
      </w:pPr>
      <w:r w:rsidRPr="00C57EF3">
        <w:t xml:space="preserve">Při realizaci programu spolupracuje interní tým s řadou externích partnerů, kteří zapojeným projektům poskytují služby odborného charakteru, konzultace, případně finanční a materiální podporu. Díky specializovaným službám, zázemí a dlouhodobým zkušenostem s realizací, které program GREEN LIGHT poskytuje, jsou </w:t>
      </w:r>
      <w:r w:rsidR="009B7267">
        <w:t>výsledkem realizované</w:t>
      </w:r>
      <w:r w:rsidR="002B58DB">
        <w:t xml:space="preserve"> a inovativní </w:t>
      </w:r>
      <w:r w:rsidR="002B58DB" w:rsidRPr="00C57EF3">
        <w:t>podnikatelské</w:t>
      </w:r>
      <w:r w:rsidRPr="00C57EF3">
        <w:t xml:space="preserve"> nápady. Tím dochází ke kvalitnímu urychlení startu podnikání</w:t>
      </w:r>
      <w:r w:rsidR="009B7267">
        <w:t xml:space="preserve"> a zejména k jeho dlouhodobé udržitelnosti a</w:t>
      </w:r>
      <w:r w:rsidR="002B58DB">
        <w:t xml:space="preserve"> </w:t>
      </w:r>
      <w:r w:rsidR="009B7267">
        <w:t>úspěšnosti</w:t>
      </w:r>
      <w:r w:rsidRPr="00C57EF3">
        <w:t>.</w:t>
      </w:r>
    </w:p>
    <w:p w14:paraId="57FA1072" w14:textId="66AA4D7F" w:rsidR="009B2765" w:rsidRDefault="00FC662D" w:rsidP="0028548A">
      <w:pPr>
        <w:spacing w:after="240"/>
        <w:jc w:val="both"/>
      </w:pPr>
      <w:r>
        <w:t xml:space="preserve">GL </w:t>
      </w:r>
      <w:proofErr w:type="gramStart"/>
      <w:r w:rsidR="00CF4F20">
        <w:t>tvoří</w:t>
      </w:r>
      <w:proofErr w:type="gramEnd"/>
      <w:r w:rsidR="00CF4F20">
        <w:t xml:space="preserve"> </w:t>
      </w:r>
      <w:r w:rsidR="0028548A">
        <w:t>šestiměsíční program</w:t>
      </w:r>
      <w:r w:rsidR="00D80BC7">
        <w:t xml:space="preserve"> GL</w:t>
      </w:r>
      <w:r w:rsidR="0028548A">
        <w:t xml:space="preserve"> </w:t>
      </w:r>
      <w:r w:rsidR="00D80BC7" w:rsidRPr="71272EF2">
        <w:rPr>
          <w:b/>
          <w:bCs/>
          <w:color w:val="00A499"/>
        </w:rPr>
        <w:t>Start</w:t>
      </w:r>
      <w:r w:rsidR="00D80BC7">
        <w:t xml:space="preserve"> </w:t>
      </w:r>
      <w:r w:rsidR="0028548A">
        <w:t xml:space="preserve">pro zájemce o podnikání mající vlastní nápad, který chtějí dále rozvíjet. GL Start se vyprofiloval jako program pro zcela </w:t>
      </w:r>
      <w:r w:rsidR="0028548A" w:rsidRPr="002B58DB">
        <w:t xml:space="preserve">začínající podnikatele. Pomáhá jim identifikovat nápad v celé jeho </w:t>
      </w:r>
      <w:proofErr w:type="gramStart"/>
      <w:r w:rsidR="0028548A" w:rsidRPr="002B58DB">
        <w:t>šíří</w:t>
      </w:r>
      <w:proofErr w:type="gramEnd"/>
      <w:r w:rsidR="0028548A" w:rsidRPr="002B58DB">
        <w:t xml:space="preserve">, ujasnit si produkt a potenciální zákazníky, s nimi pak nápad ověřit. </w:t>
      </w:r>
      <w:r w:rsidR="006B0D93" w:rsidRPr="002B58DB">
        <w:t>Na úrovni individuální</w:t>
      </w:r>
      <w:r w:rsidR="00374953" w:rsidRPr="002B58DB">
        <w:t xml:space="preserve">ch konzultací </w:t>
      </w:r>
      <w:r w:rsidR="006B0D93" w:rsidRPr="002B58DB">
        <w:t>s projekty pak pracuje na implementaci získaných obecných informací a poznatků na specifické situace</w:t>
      </w:r>
      <w:r w:rsidR="002B58DB" w:rsidRPr="002B58DB">
        <w:t xml:space="preserve"> </w:t>
      </w:r>
      <w:r w:rsidR="006B0D93" w:rsidRPr="002B58DB">
        <w:t>daných podnikatelských záměrů</w:t>
      </w:r>
      <w:r w:rsidR="009B7267" w:rsidRPr="002B58DB">
        <w:t xml:space="preserve"> s cílem vytvoření a ověření fungujícího byznys modelu</w:t>
      </w:r>
      <w:r w:rsidR="006B0D93" w:rsidRPr="002B58DB">
        <w:t xml:space="preserve">. </w:t>
      </w:r>
      <w:r w:rsidR="0028548A" w:rsidRPr="002B58DB">
        <w:t>GL Start zároveň klade velký důraz na osobní motivaci</w:t>
      </w:r>
      <w:r w:rsidR="009B7267" w:rsidRPr="002B58DB">
        <w:t xml:space="preserve"> a kompetence</w:t>
      </w:r>
      <w:r w:rsidR="0028548A" w:rsidRPr="002B58DB">
        <w:t xml:space="preserve"> nositele nápadu, případně jeho týmu, k zahájení podnikání. </w:t>
      </w:r>
      <w:r w:rsidR="009B7267" w:rsidRPr="002B58DB">
        <w:t xml:space="preserve">Teprve pokud jsou kompetence a motivace začínajícího podnikatele v souladu s rozvíjeným podnikatelským nápadem, je výsledkem fungující podnikání. </w:t>
      </w:r>
      <w:r w:rsidR="009D3C85" w:rsidRPr="002B58DB">
        <w:t xml:space="preserve">Navazující program GL </w:t>
      </w:r>
      <w:r w:rsidR="009D3C85" w:rsidRPr="002B58DB">
        <w:rPr>
          <w:b/>
          <w:bCs/>
          <w:color w:val="00A499"/>
        </w:rPr>
        <w:t>Akcelerátor</w:t>
      </w:r>
      <w:r w:rsidR="009D3C85" w:rsidRPr="002B58DB">
        <w:rPr>
          <w:color w:val="00A499"/>
        </w:rPr>
        <w:t xml:space="preserve"> </w:t>
      </w:r>
      <w:r w:rsidR="009D3C85" w:rsidRPr="002B58DB">
        <w:t xml:space="preserve">je pokračujícím programem pro zájemce s ověřeným produktem, u kterých je očekáván vstup na trh a přechod ke skutečnému </w:t>
      </w:r>
      <w:r w:rsidR="009B7267" w:rsidRPr="002B58DB">
        <w:t>podnikání</w:t>
      </w:r>
      <w:r w:rsidR="009D3C85" w:rsidRPr="002B58DB">
        <w:t>, tedy k platícím zákazníkům.</w:t>
      </w:r>
      <w:r w:rsidR="001057FB" w:rsidRPr="002B58DB">
        <w:t xml:space="preserve"> </w:t>
      </w:r>
      <w:r w:rsidR="00866B68" w:rsidRPr="002B58DB">
        <w:t xml:space="preserve">V období rozhodném pro dotaci se budeme </w:t>
      </w:r>
      <w:r w:rsidR="00A65443" w:rsidRPr="002B58DB">
        <w:t xml:space="preserve">u GL akcelerátoru </w:t>
      </w:r>
      <w:r w:rsidR="00866B68" w:rsidRPr="002B58DB">
        <w:t>zaměřovat především na marketingovou p</w:t>
      </w:r>
      <w:r w:rsidR="00A65443" w:rsidRPr="002B58DB">
        <w:t>ropagaci přihlašování</w:t>
      </w:r>
      <w:r w:rsidR="00266655" w:rsidRPr="002B58DB">
        <w:t xml:space="preserve"> do programu</w:t>
      </w:r>
      <w:r w:rsidR="0022644F" w:rsidRPr="002B58DB">
        <w:t>, samotnou příp</w:t>
      </w:r>
      <w:r w:rsidR="00C74B3D" w:rsidRPr="002B58DB">
        <w:t>ravu obsahu</w:t>
      </w:r>
      <w:r w:rsidR="002304C8" w:rsidRPr="002B58DB">
        <w:t xml:space="preserve"> a časového harmonogramu </w:t>
      </w:r>
      <w:r w:rsidR="00C74B3D" w:rsidRPr="002B58DB">
        <w:t>programu</w:t>
      </w:r>
      <w:r w:rsidR="009B7267" w:rsidRPr="002B58DB">
        <w:t>, včetně výběru lektorů a mentorů</w:t>
      </w:r>
      <w:r w:rsidR="002B58DB" w:rsidRPr="002B58DB">
        <w:t>,</w:t>
      </w:r>
      <w:r w:rsidR="00266655" w:rsidRPr="002B58DB">
        <w:t xml:space="preserve"> a realizaci výběru inovativních projektů</w:t>
      </w:r>
      <w:r w:rsidR="00C74B3D" w:rsidRPr="002B58DB">
        <w:t>, které</w:t>
      </w:r>
      <w:r w:rsidR="002B58DB" w:rsidRPr="002B58DB">
        <w:t> </w:t>
      </w:r>
      <w:r w:rsidR="00C74B3D" w:rsidRPr="002B58DB">
        <w:t>budou</w:t>
      </w:r>
      <w:r w:rsidR="008B38F1" w:rsidRPr="002B58DB">
        <w:t xml:space="preserve"> do GL </w:t>
      </w:r>
      <w:r w:rsidR="00F00CDA" w:rsidRPr="002B58DB">
        <w:t>akcelerátoru zařazen</w:t>
      </w:r>
      <w:r w:rsidR="009B7267" w:rsidRPr="002B58DB">
        <w:t>y</w:t>
      </w:r>
      <w:r w:rsidR="00C57EF3" w:rsidRPr="002B58DB">
        <w:t>.</w:t>
      </w:r>
    </w:p>
    <w:p w14:paraId="2F55C579" w14:textId="77777777" w:rsidR="0028548A" w:rsidRDefault="0028548A" w:rsidP="0028548A">
      <w:pPr>
        <w:spacing w:after="240"/>
        <w:jc w:val="both"/>
      </w:pPr>
      <w:r w:rsidRPr="00752537">
        <w:t>Celková organizace programu</w:t>
      </w:r>
      <w:r w:rsidR="001B07BD">
        <w:t xml:space="preserve"> GL</w:t>
      </w:r>
      <w:r w:rsidRPr="00752537">
        <w:t xml:space="preserve"> </w:t>
      </w:r>
      <w:r>
        <w:t xml:space="preserve">je zajišťována interním týmem, odborná stránka realizace pak </w:t>
      </w:r>
      <w:r w:rsidR="009B7267">
        <w:t xml:space="preserve">z větší části </w:t>
      </w:r>
      <w:r>
        <w:t>interními a</w:t>
      </w:r>
      <w:r w:rsidR="00720F15">
        <w:t> </w:t>
      </w:r>
      <w:r>
        <w:t xml:space="preserve">externími mentory s podnikatelskými zkušenostmi a desítkami externích odborníků podle zaměření a potřeb jednotlivých projektů. Portfolio lektorů, mentorů a externích kontaktů je neustále rozšiřováno s cílem nabídky širokého spektra odborných témat a tím také možnosti zapojení se podnikatelských nápadů z různých oblastí. Napojení na tyto odborníky je zajišťováno přímo vlastními kontakty či ve spolupráci s partnery. V této souvislosti je zapotřebí zdůraznit, že tento program je integrální součástí podpůrného inovačního ekosystému vytvářeného v rámci Moravskoslezského kraje. </w:t>
      </w:r>
    </w:p>
    <w:p w14:paraId="0885878E" w14:textId="293B343A" w:rsidR="0028548A" w:rsidRDefault="0028548A" w:rsidP="0028548A">
      <w:pPr>
        <w:spacing w:after="240"/>
        <w:jc w:val="both"/>
      </w:pPr>
      <w:r w:rsidRPr="002547E7">
        <w:t xml:space="preserve">Programu se mohou zúčastnit jak nepodnikající fyzické osoby, tak podnikající fyzické či právnické osoby, pokud jsou v počátku svého podnikání, nebo přicházejí s novým nápadem, který má potenciál stát se dalším </w:t>
      </w:r>
      <w:r w:rsidRPr="002547E7">
        <w:lastRenderedPageBreak/>
        <w:t>podnikáním.</w:t>
      </w:r>
      <w:r>
        <w:t xml:space="preserve"> Poskytované služby jsou realizovány ve veřejném zájmu za účelem podpory rozvoje podnikání v Moravskoslezském kraji. S ohledem na skutečnost, že jsou poskytovány ve fázi před či krátce po zahájení podnikání, lze konstatovat, že tyto služby nejsou poskytovány běžnou komerční sférou. Se všemi účastníky je uzavřen smluvní vztah, ve kterém je poskytovaná podpora ošetřena tzv. ustanovením o poskytnutí podpory v režimu de minimis (relevantní u podnikajících subjektů). Očekává se, že ze získané dotace</w:t>
      </w:r>
      <w:r w:rsidR="00B579D4">
        <w:t xml:space="preserve"> </w:t>
      </w:r>
      <w:r>
        <w:t xml:space="preserve">Moravskoslezského kraje bude minimálně 25 % přeneseno formou podpory rozvoje podnikání na účastníky programu GL. </w:t>
      </w:r>
    </w:p>
    <w:p w14:paraId="05AE08D7" w14:textId="0BA5D5D3" w:rsidR="00BD7C89" w:rsidRDefault="0028548A" w:rsidP="0028548A">
      <w:pPr>
        <w:spacing w:after="240"/>
        <w:jc w:val="both"/>
      </w:pPr>
      <w:r>
        <w:t xml:space="preserve">Získané peněžní prostředky </w:t>
      </w:r>
      <w:r w:rsidR="009B7267">
        <w:t xml:space="preserve">v rozhodném období </w:t>
      </w:r>
      <w:r>
        <w:t xml:space="preserve">budou použity zejména na </w:t>
      </w:r>
      <w:r w:rsidRPr="00CB53E5">
        <w:t>osobní náklady a odborné služby k zajištění aktivit programu</w:t>
      </w:r>
      <w:r>
        <w:t xml:space="preserve"> </w:t>
      </w:r>
      <w:r w:rsidRPr="00CB53E5">
        <w:t>(včetně odborných mentorů</w:t>
      </w:r>
      <w:r>
        <w:t xml:space="preserve"> a služeb lektorů</w:t>
      </w:r>
      <w:r w:rsidRPr="00CB53E5">
        <w:t>) sloužící</w:t>
      </w:r>
      <w:r>
        <w:t>ho</w:t>
      </w:r>
      <w:r w:rsidRPr="00CB53E5">
        <w:t xml:space="preserve"> k podpoře rozjezdu podnikání, propagac</w:t>
      </w:r>
      <w:r>
        <w:t>i</w:t>
      </w:r>
      <w:r w:rsidRPr="00CB53E5">
        <w:t xml:space="preserve"> aktivit, zajištění organizačních záležitostí,</w:t>
      </w:r>
      <w:r w:rsidR="00B579D4">
        <w:t xml:space="preserve"> </w:t>
      </w:r>
      <w:r w:rsidRPr="00CB53E5">
        <w:t>nepřím</w:t>
      </w:r>
      <w:r>
        <w:t>ou</w:t>
      </w:r>
      <w:r w:rsidRPr="00CB53E5">
        <w:t xml:space="preserve"> podpor</w:t>
      </w:r>
      <w:r>
        <w:t>u</w:t>
      </w:r>
      <w:r w:rsidRPr="00CB53E5">
        <w:t xml:space="preserve"> klientů formou podpory publicity dílčích projektů, provozní náklady, náklady na nájemné pro realizaci aktivit, nákupy techniky a jiných souvisejících prostředků pro realizaci aktivit, nákupy realizačních a testovacích nástrojů a metodik pro</w:t>
      </w:r>
      <w:r w:rsidR="00720F15">
        <w:t> </w:t>
      </w:r>
      <w:r w:rsidRPr="00CB53E5">
        <w:t xml:space="preserve">realizaci aktivit (zejména SW, licence), odborná školení pro klíčové pracovníky realizačního týmu, cestovné pro tuzemské i zahraniční cesty pro </w:t>
      </w:r>
      <w:r w:rsidR="009B7267">
        <w:t xml:space="preserve">vzdělávání </w:t>
      </w:r>
      <w:r w:rsidRPr="00CB53E5">
        <w:t>odborn</w:t>
      </w:r>
      <w:r w:rsidR="009B7267">
        <w:t>ého</w:t>
      </w:r>
      <w:r w:rsidRPr="00CB53E5">
        <w:t xml:space="preserve"> tým</w:t>
      </w:r>
      <w:r w:rsidR="009B7267">
        <w:t>u</w:t>
      </w:r>
      <w:r w:rsidRPr="00CB53E5">
        <w:t xml:space="preserve"> či účastníky programů</w:t>
      </w:r>
      <w:r>
        <w:t xml:space="preserve"> nebo</w:t>
      </w:r>
      <w:r w:rsidRPr="00CB53E5">
        <w:t xml:space="preserve"> osobní náklady realizačního a expertního týmu.</w:t>
      </w:r>
    </w:p>
    <w:sectPr w:rsidR="00BD7C89" w:rsidSect="00A83C73">
      <w:headerReference w:type="even" r:id="rId11"/>
      <w:headerReference w:type="default" r:id="rId12"/>
      <w:footerReference w:type="even" r:id="rId13"/>
      <w:footerReference w:type="default" r:id="rId14"/>
      <w:headerReference w:type="first" r:id="rId15"/>
      <w:footerReference w:type="first" r:id="rId16"/>
      <w:pgSz w:w="11900" w:h="16840" w:code="9"/>
      <w:pgMar w:top="794" w:right="1361" w:bottom="851" w:left="851" w:header="1276"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075A" w14:textId="77777777" w:rsidR="00992824" w:rsidRDefault="00992824" w:rsidP="00F03CDB">
      <w:r>
        <w:separator/>
      </w:r>
    </w:p>
  </w:endnote>
  <w:endnote w:type="continuationSeparator" w:id="0">
    <w:p w14:paraId="04D43BB2" w14:textId="77777777" w:rsidR="00992824" w:rsidRDefault="00992824" w:rsidP="00F0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B1B5" w14:textId="2C9557D2" w:rsidR="009266F1" w:rsidRDefault="009266F1">
    <w:pPr>
      <w:pStyle w:val="Zpat"/>
      <w:framePr w:wrap="around"/>
    </w:pPr>
    <w:r>
      <w:rPr>
        <w:noProof/>
      </w:rPr>
      <mc:AlternateContent>
        <mc:Choice Requires="wps">
          <w:drawing>
            <wp:anchor distT="0" distB="0" distL="0" distR="0" simplePos="0" relativeHeight="251665408" behindDoc="0" locked="0" layoutInCell="1" allowOverlap="1" wp14:anchorId="7856F07F" wp14:editId="1085EBC2">
              <wp:simplePos x="635" y="635"/>
              <wp:positionH relativeFrom="page">
                <wp:align>left</wp:align>
              </wp:positionH>
              <wp:positionV relativeFrom="page">
                <wp:align>bottom</wp:align>
              </wp:positionV>
              <wp:extent cx="443865" cy="443865"/>
              <wp:effectExtent l="0" t="0" r="9525" b="0"/>
              <wp:wrapNone/>
              <wp:docPr id="7592235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C19E3E" w14:textId="3DE07349" w:rsidR="009266F1" w:rsidRPr="009266F1" w:rsidRDefault="009266F1" w:rsidP="009266F1">
                          <w:pPr>
                            <w:rPr>
                              <w:rFonts w:ascii="Calibri" w:eastAsia="Calibri" w:hAnsi="Calibri" w:cs="Calibri"/>
                              <w:noProof/>
                              <w:color w:val="000000"/>
                              <w:sz w:val="18"/>
                              <w:szCs w:val="18"/>
                            </w:rPr>
                          </w:pPr>
                          <w:r w:rsidRPr="009266F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56F07F"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BC19E3E" w14:textId="3DE07349" w:rsidR="009266F1" w:rsidRPr="009266F1" w:rsidRDefault="009266F1" w:rsidP="009266F1">
                    <w:pPr>
                      <w:rPr>
                        <w:rFonts w:ascii="Calibri" w:eastAsia="Calibri" w:hAnsi="Calibri" w:cs="Calibri"/>
                        <w:noProof/>
                        <w:color w:val="000000"/>
                        <w:sz w:val="18"/>
                        <w:szCs w:val="18"/>
                      </w:rPr>
                    </w:pPr>
                    <w:r w:rsidRPr="009266F1">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Borders>
        <w:left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984"/>
      <w:gridCol w:w="2648"/>
      <w:gridCol w:w="1542"/>
      <w:gridCol w:w="3466"/>
    </w:tblGrid>
    <w:tr w:rsidR="004C4FC0" w14:paraId="25042A9F" w14:textId="77777777" w:rsidTr="004C4FC0">
      <w:trPr>
        <w:trHeight w:val="726"/>
      </w:trPr>
      <w:tc>
        <w:tcPr>
          <w:tcW w:w="1984" w:type="dxa"/>
          <w:tcBorders>
            <w:top w:val="nil"/>
            <w:left w:val="nil"/>
            <w:bottom w:val="nil"/>
            <w:right w:val="single" w:sz="8" w:space="0" w:color="00A598"/>
          </w:tcBorders>
        </w:tcPr>
        <w:p w14:paraId="4D19C90C" w14:textId="5A90C72E" w:rsidR="004C4FC0" w:rsidRPr="003C6D4A" w:rsidRDefault="009266F1" w:rsidP="004C4FC0">
          <w:pPr>
            <w:pStyle w:val="Zpat"/>
            <w:framePr w:wrap="around"/>
          </w:pPr>
          <w:r>
            <w:rPr>
              <w:noProof/>
            </w:rPr>
            <mc:AlternateContent>
              <mc:Choice Requires="wps">
                <w:drawing>
                  <wp:anchor distT="0" distB="0" distL="0" distR="0" simplePos="0" relativeHeight="251666432" behindDoc="0" locked="0" layoutInCell="1" allowOverlap="1" wp14:anchorId="7F3619BB" wp14:editId="0FA2F198">
                    <wp:simplePos x="542925" y="9686925"/>
                    <wp:positionH relativeFrom="page">
                      <wp:align>left</wp:align>
                    </wp:positionH>
                    <wp:positionV relativeFrom="page">
                      <wp:align>bottom</wp:align>
                    </wp:positionV>
                    <wp:extent cx="443865" cy="443865"/>
                    <wp:effectExtent l="0" t="0" r="6350" b="0"/>
                    <wp:wrapNone/>
                    <wp:docPr id="820853103"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51FEE4" w14:textId="5DAC614B" w:rsidR="009266F1" w:rsidRPr="009266F1" w:rsidRDefault="009266F1" w:rsidP="009266F1">
                                <w:pPr>
                                  <w:rPr>
                                    <w:rFonts w:ascii="Calibri" w:eastAsia="Calibri" w:hAnsi="Calibri" w:cs="Calibri"/>
                                    <w:noProof/>
                                    <w:color w:val="000000"/>
                                    <w:sz w:val="18"/>
                                    <w:szCs w:val="18"/>
                                  </w:rPr>
                                </w:pPr>
                                <w:r w:rsidRPr="009266F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619BB"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D51FEE4" w14:textId="5DAC614B" w:rsidR="009266F1" w:rsidRPr="009266F1" w:rsidRDefault="009266F1" w:rsidP="009266F1">
                          <w:pPr>
                            <w:rPr>
                              <w:rFonts w:ascii="Calibri" w:eastAsia="Calibri" w:hAnsi="Calibri" w:cs="Calibri"/>
                              <w:noProof/>
                              <w:color w:val="000000"/>
                              <w:sz w:val="18"/>
                              <w:szCs w:val="18"/>
                            </w:rPr>
                          </w:pPr>
                          <w:r w:rsidRPr="009266F1">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4C4FC0" w:rsidRPr="003C6D4A">
            <w:t xml:space="preserve">17. listopadu 2172/15           </w:t>
          </w:r>
        </w:p>
        <w:p w14:paraId="7142AA99" w14:textId="77777777" w:rsidR="004C4FC0" w:rsidRPr="003C6D4A" w:rsidRDefault="004C4FC0" w:rsidP="004C4FC0">
          <w:pPr>
            <w:pStyle w:val="Zpat"/>
            <w:framePr w:wrap="around"/>
          </w:pPr>
          <w:r w:rsidRPr="003C6D4A">
            <w:t>708 00 Ostrava</w:t>
          </w:r>
          <w:r>
            <w:t>-</w:t>
          </w:r>
          <w:r w:rsidRPr="003C6D4A">
            <w:t>Poruba</w:t>
          </w:r>
        </w:p>
        <w:p w14:paraId="2597963C" w14:textId="77777777" w:rsidR="004C4FC0" w:rsidRPr="003C6D4A" w:rsidRDefault="004C4FC0" w:rsidP="004C4FC0">
          <w:pPr>
            <w:pStyle w:val="Zpat"/>
            <w:framePr w:wrap="around"/>
          </w:pPr>
          <w:r w:rsidRPr="003C6D4A">
            <w:t>Česk</w:t>
          </w:r>
          <w:r>
            <w:t>á republika</w:t>
          </w:r>
        </w:p>
      </w:tc>
      <w:tc>
        <w:tcPr>
          <w:tcW w:w="2648" w:type="dxa"/>
          <w:tcBorders>
            <w:top w:val="nil"/>
            <w:left w:val="single" w:sz="8" w:space="0" w:color="00A598"/>
            <w:bottom w:val="nil"/>
            <w:right w:val="single" w:sz="8" w:space="0" w:color="00A598"/>
          </w:tcBorders>
        </w:tcPr>
        <w:p w14:paraId="436B4FF1" w14:textId="77777777" w:rsidR="004C4FC0" w:rsidRPr="003C6D4A" w:rsidRDefault="004C4FC0" w:rsidP="004C4FC0">
          <w:pPr>
            <w:pStyle w:val="Zpat"/>
            <w:framePr w:wrap="around"/>
          </w:pPr>
          <w:r w:rsidRPr="003C6D4A">
            <w:t>spojovatelka: +420 597 321 111</w:t>
          </w:r>
        </w:p>
        <w:p w14:paraId="06E6A9B8" w14:textId="77777777" w:rsidR="004C4FC0" w:rsidRPr="003C6D4A" w:rsidRDefault="004C4FC0" w:rsidP="004C4FC0">
          <w:pPr>
            <w:pStyle w:val="Zpat"/>
            <w:framePr w:wrap="around"/>
          </w:pPr>
          <w:proofErr w:type="spellStart"/>
          <w:r w:rsidRPr="003C6D4A">
            <w:t>epodatelna</w:t>
          </w:r>
          <w:proofErr w:type="spellEnd"/>
          <w:r w:rsidRPr="003C6D4A">
            <w:t>:</w:t>
          </w:r>
          <w:r>
            <w:t xml:space="preserve"> </w:t>
          </w:r>
          <w:r w:rsidRPr="003C6D4A">
            <w:t>epodatelna@vsb.cz</w:t>
          </w:r>
        </w:p>
        <w:p w14:paraId="5A09B12A" w14:textId="77777777" w:rsidR="004C4FC0" w:rsidRPr="003C6D4A" w:rsidRDefault="004C4FC0" w:rsidP="004C4FC0">
          <w:pPr>
            <w:pStyle w:val="Zpat"/>
            <w:framePr w:wrap="around"/>
          </w:pPr>
          <w:r w:rsidRPr="003C6D4A">
            <w:t>ID datové schránky: d3kj88v</w:t>
          </w:r>
        </w:p>
      </w:tc>
      <w:tc>
        <w:tcPr>
          <w:tcW w:w="1542" w:type="dxa"/>
          <w:tcBorders>
            <w:top w:val="nil"/>
            <w:left w:val="single" w:sz="8" w:space="0" w:color="00A598"/>
            <w:bottom w:val="nil"/>
            <w:right w:val="single" w:sz="8" w:space="0" w:color="00A598"/>
          </w:tcBorders>
        </w:tcPr>
        <w:p w14:paraId="40DE7060" w14:textId="77777777" w:rsidR="004C4FC0" w:rsidRPr="003C6D4A" w:rsidRDefault="004C4FC0" w:rsidP="004C4FC0">
          <w:pPr>
            <w:pStyle w:val="Zpat"/>
            <w:framePr w:wrap="around"/>
          </w:pPr>
          <w:r w:rsidRPr="003C6D4A">
            <w:t>IČ: 61989100</w:t>
          </w:r>
        </w:p>
        <w:p w14:paraId="3089DDBB" w14:textId="77777777" w:rsidR="004C4FC0" w:rsidRPr="003C6D4A" w:rsidRDefault="004C4FC0" w:rsidP="004C4FC0">
          <w:pPr>
            <w:pStyle w:val="Zpat"/>
            <w:framePr w:wrap="around"/>
          </w:pPr>
          <w:r w:rsidRPr="003C6D4A">
            <w:t>DIČ: CZ61989100</w:t>
          </w:r>
        </w:p>
      </w:tc>
      <w:tc>
        <w:tcPr>
          <w:tcW w:w="3466" w:type="dxa"/>
          <w:tcBorders>
            <w:top w:val="nil"/>
            <w:left w:val="single" w:sz="8" w:space="0" w:color="00A598"/>
            <w:bottom w:val="nil"/>
            <w:right w:val="nil"/>
          </w:tcBorders>
        </w:tcPr>
        <w:p w14:paraId="340C1405" w14:textId="77777777" w:rsidR="004C4FC0" w:rsidRPr="003C6D4A" w:rsidRDefault="004C4FC0" w:rsidP="004C4FC0">
          <w:pPr>
            <w:pStyle w:val="Zpat"/>
            <w:framePr w:wrap="around"/>
          </w:pPr>
          <w:r w:rsidRPr="003C6D4A">
            <w:t>email: univerzita@vsb.cz</w:t>
          </w:r>
        </w:p>
        <w:p w14:paraId="4E68C96D" w14:textId="77777777" w:rsidR="004C4FC0" w:rsidRPr="003C6D4A" w:rsidRDefault="004C4FC0" w:rsidP="004C4FC0">
          <w:pPr>
            <w:pStyle w:val="Zpat"/>
            <w:framePr w:wrap="around"/>
          </w:pPr>
          <w:r w:rsidRPr="003C6D4A">
            <w:t>www.vsb.cz</w:t>
          </w:r>
        </w:p>
      </w:tc>
    </w:tr>
  </w:tbl>
  <w:p w14:paraId="2BE3EF4D" w14:textId="77777777" w:rsidR="00396AA5" w:rsidRPr="006A5C6D" w:rsidRDefault="00396AA5" w:rsidP="00396AA5">
    <w:pPr>
      <w:pStyle w:val="Zpat"/>
      <w:framePr w:wrap="around"/>
    </w:pPr>
  </w:p>
  <w:p w14:paraId="62603922" w14:textId="77777777" w:rsidR="00F93F44" w:rsidRPr="006A5C6D" w:rsidRDefault="00F93F44" w:rsidP="003C6D4A">
    <w:pPr>
      <w:pStyle w:val="Zpat"/>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Borders>
        <w:left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984"/>
      <w:gridCol w:w="2648"/>
      <w:gridCol w:w="1542"/>
      <w:gridCol w:w="3466"/>
    </w:tblGrid>
    <w:tr w:rsidR="004C4FC0" w14:paraId="7735F72E" w14:textId="77777777" w:rsidTr="004C4FC0">
      <w:trPr>
        <w:trHeight w:val="726"/>
      </w:trPr>
      <w:tc>
        <w:tcPr>
          <w:tcW w:w="1984" w:type="dxa"/>
          <w:tcBorders>
            <w:top w:val="nil"/>
            <w:left w:val="nil"/>
            <w:bottom w:val="nil"/>
            <w:right w:val="single" w:sz="8" w:space="0" w:color="00A598"/>
          </w:tcBorders>
        </w:tcPr>
        <w:p w14:paraId="039B113E" w14:textId="0B52393F" w:rsidR="004C4FC0" w:rsidRPr="003C6D4A" w:rsidRDefault="009266F1" w:rsidP="004C4FC0">
          <w:pPr>
            <w:pStyle w:val="Zpat"/>
            <w:framePr w:wrap="around"/>
          </w:pPr>
          <w:r>
            <w:rPr>
              <w:noProof/>
            </w:rPr>
            <mc:AlternateContent>
              <mc:Choice Requires="wps">
                <w:drawing>
                  <wp:anchor distT="0" distB="0" distL="0" distR="0" simplePos="0" relativeHeight="251664384" behindDoc="0" locked="0" layoutInCell="1" allowOverlap="1" wp14:anchorId="6C6AD949" wp14:editId="049188C2">
                    <wp:simplePos x="542925" y="9686925"/>
                    <wp:positionH relativeFrom="page">
                      <wp:align>left</wp:align>
                    </wp:positionH>
                    <wp:positionV relativeFrom="page">
                      <wp:align>bottom</wp:align>
                    </wp:positionV>
                    <wp:extent cx="443865" cy="443865"/>
                    <wp:effectExtent l="0" t="0" r="6350" b="0"/>
                    <wp:wrapNone/>
                    <wp:docPr id="1529354200"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1B215" w14:textId="1AC9C126" w:rsidR="009266F1" w:rsidRPr="009266F1" w:rsidRDefault="009266F1" w:rsidP="009266F1">
                                <w:pPr>
                                  <w:rPr>
                                    <w:rFonts w:ascii="Calibri" w:eastAsia="Calibri" w:hAnsi="Calibri" w:cs="Calibri"/>
                                    <w:noProof/>
                                    <w:color w:val="000000"/>
                                    <w:sz w:val="18"/>
                                    <w:szCs w:val="18"/>
                                  </w:rPr>
                                </w:pPr>
                                <w:r w:rsidRPr="009266F1">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6AD949"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E71B215" w14:textId="1AC9C126" w:rsidR="009266F1" w:rsidRPr="009266F1" w:rsidRDefault="009266F1" w:rsidP="009266F1">
                          <w:pPr>
                            <w:rPr>
                              <w:rFonts w:ascii="Calibri" w:eastAsia="Calibri" w:hAnsi="Calibri" w:cs="Calibri"/>
                              <w:noProof/>
                              <w:color w:val="000000"/>
                              <w:sz w:val="18"/>
                              <w:szCs w:val="18"/>
                            </w:rPr>
                          </w:pPr>
                          <w:r w:rsidRPr="009266F1">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4C4FC0" w:rsidRPr="003C6D4A">
            <w:t xml:space="preserve">17. listopadu 2172/15           </w:t>
          </w:r>
        </w:p>
        <w:p w14:paraId="6EF11D5C" w14:textId="77777777" w:rsidR="004C4FC0" w:rsidRPr="003C6D4A" w:rsidRDefault="004C4FC0" w:rsidP="004C4FC0">
          <w:pPr>
            <w:pStyle w:val="Zpat"/>
            <w:framePr w:wrap="around"/>
          </w:pPr>
          <w:r w:rsidRPr="003C6D4A">
            <w:t>708 00 Ostrava</w:t>
          </w:r>
          <w:r>
            <w:t>-</w:t>
          </w:r>
          <w:r w:rsidRPr="003C6D4A">
            <w:t>Poruba</w:t>
          </w:r>
        </w:p>
        <w:p w14:paraId="33004836" w14:textId="77777777" w:rsidR="004C4FC0" w:rsidRPr="003C6D4A" w:rsidRDefault="004C4FC0" w:rsidP="004C4FC0">
          <w:pPr>
            <w:pStyle w:val="Zpat"/>
            <w:framePr w:wrap="around"/>
          </w:pPr>
          <w:r w:rsidRPr="003C6D4A">
            <w:t>Česk</w:t>
          </w:r>
          <w:r>
            <w:t>á republika</w:t>
          </w:r>
        </w:p>
      </w:tc>
      <w:tc>
        <w:tcPr>
          <w:tcW w:w="2648" w:type="dxa"/>
          <w:tcBorders>
            <w:top w:val="nil"/>
            <w:left w:val="single" w:sz="8" w:space="0" w:color="00A598"/>
            <w:bottom w:val="nil"/>
            <w:right w:val="single" w:sz="8" w:space="0" w:color="00A598"/>
          </w:tcBorders>
        </w:tcPr>
        <w:p w14:paraId="2CDF07C6" w14:textId="77777777" w:rsidR="004C4FC0" w:rsidRPr="003C6D4A" w:rsidRDefault="004C4FC0" w:rsidP="004C4FC0">
          <w:pPr>
            <w:pStyle w:val="Zpat"/>
            <w:framePr w:wrap="around"/>
          </w:pPr>
          <w:r w:rsidRPr="003C6D4A">
            <w:t>spojovatelka: +420 597 321 111</w:t>
          </w:r>
        </w:p>
        <w:p w14:paraId="033A0DB3" w14:textId="77777777" w:rsidR="004C4FC0" w:rsidRPr="003C6D4A" w:rsidRDefault="004C4FC0" w:rsidP="004C4FC0">
          <w:pPr>
            <w:pStyle w:val="Zpat"/>
            <w:framePr w:wrap="around"/>
          </w:pPr>
          <w:proofErr w:type="spellStart"/>
          <w:r w:rsidRPr="003C6D4A">
            <w:t>epodatelna</w:t>
          </w:r>
          <w:proofErr w:type="spellEnd"/>
          <w:r w:rsidRPr="003C6D4A">
            <w:t>:</w:t>
          </w:r>
          <w:r>
            <w:t xml:space="preserve"> </w:t>
          </w:r>
          <w:r w:rsidRPr="003C6D4A">
            <w:t>epodatelna@vsb.cz</w:t>
          </w:r>
        </w:p>
        <w:p w14:paraId="652C4C8A" w14:textId="77777777" w:rsidR="004C4FC0" w:rsidRPr="003C6D4A" w:rsidRDefault="004C4FC0" w:rsidP="004C4FC0">
          <w:pPr>
            <w:pStyle w:val="Zpat"/>
            <w:framePr w:wrap="around"/>
          </w:pPr>
          <w:r w:rsidRPr="003C6D4A">
            <w:t>ID datové schránky: d3kj88v</w:t>
          </w:r>
        </w:p>
      </w:tc>
      <w:tc>
        <w:tcPr>
          <w:tcW w:w="1542" w:type="dxa"/>
          <w:tcBorders>
            <w:top w:val="nil"/>
            <w:left w:val="single" w:sz="8" w:space="0" w:color="00A598"/>
            <w:bottom w:val="nil"/>
            <w:right w:val="single" w:sz="8" w:space="0" w:color="00A598"/>
          </w:tcBorders>
        </w:tcPr>
        <w:p w14:paraId="6F813308" w14:textId="77777777" w:rsidR="004C4FC0" w:rsidRPr="003C6D4A" w:rsidRDefault="004C4FC0" w:rsidP="004C4FC0">
          <w:pPr>
            <w:pStyle w:val="Zpat"/>
            <w:framePr w:wrap="around"/>
          </w:pPr>
          <w:r w:rsidRPr="003C6D4A">
            <w:t>IČ: 61989100</w:t>
          </w:r>
        </w:p>
        <w:p w14:paraId="4A8FB623" w14:textId="77777777" w:rsidR="004C4FC0" w:rsidRPr="003C6D4A" w:rsidRDefault="004C4FC0" w:rsidP="004C4FC0">
          <w:pPr>
            <w:pStyle w:val="Zpat"/>
            <w:framePr w:wrap="around"/>
          </w:pPr>
          <w:r w:rsidRPr="003C6D4A">
            <w:t>DIČ: CZ61989100</w:t>
          </w:r>
        </w:p>
      </w:tc>
      <w:tc>
        <w:tcPr>
          <w:tcW w:w="3466" w:type="dxa"/>
          <w:tcBorders>
            <w:top w:val="nil"/>
            <w:left w:val="single" w:sz="8" w:space="0" w:color="00A598"/>
            <w:bottom w:val="nil"/>
            <w:right w:val="nil"/>
          </w:tcBorders>
        </w:tcPr>
        <w:p w14:paraId="064B3CDA" w14:textId="77777777" w:rsidR="004C4FC0" w:rsidRPr="003C6D4A" w:rsidRDefault="004C4FC0" w:rsidP="004C4FC0">
          <w:pPr>
            <w:pStyle w:val="Zpat"/>
            <w:framePr w:wrap="around"/>
          </w:pPr>
          <w:r w:rsidRPr="003C6D4A">
            <w:t>email: univerzita@vsb.cz</w:t>
          </w:r>
        </w:p>
        <w:p w14:paraId="0F6A2C66" w14:textId="77777777" w:rsidR="004C4FC0" w:rsidRPr="003C6D4A" w:rsidRDefault="004C4FC0" w:rsidP="004C4FC0">
          <w:pPr>
            <w:pStyle w:val="Zpat"/>
            <w:framePr w:wrap="around"/>
          </w:pPr>
          <w:r w:rsidRPr="003C6D4A">
            <w:t>www.vsb.cz</w:t>
          </w:r>
        </w:p>
      </w:tc>
    </w:tr>
  </w:tbl>
  <w:p w14:paraId="6C588D67" w14:textId="77777777" w:rsidR="00396AA5" w:rsidRPr="006A5C6D" w:rsidRDefault="00396AA5" w:rsidP="00396AA5">
    <w:pPr>
      <w:pStyle w:val="Zpat"/>
      <w:framePr w:wrap="around"/>
    </w:pPr>
  </w:p>
  <w:p w14:paraId="1C35A5A0" w14:textId="77777777" w:rsidR="00AA1E2B" w:rsidRDefault="00AA1E2B" w:rsidP="003C6D4A">
    <w:pPr>
      <w:pStyle w:val="Zpat"/>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0422" w14:textId="77777777" w:rsidR="00992824" w:rsidRDefault="00992824" w:rsidP="00F03CDB">
      <w:r>
        <w:separator/>
      </w:r>
    </w:p>
  </w:footnote>
  <w:footnote w:type="continuationSeparator" w:id="0">
    <w:p w14:paraId="4839DD3C" w14:textId="77777777" w:rsidR="00992824" w:rsidRDefault="00992824" w:rsidP="00F0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C27F" w14:textId="77777777" w:rsidR="00A2200D" w:rsidRDefault="00A220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96B8" w14:textId="77777777" w:rsidR="00A2200D" w:rsidRDefault="00A220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D306" w14:textId="613444E3" w:rsidR="00AD6B85" w:rsidRDefault="00C65264" w:rsidP="009266F1">
    <w:pPr>
      <w:rPr>
        <w:sz w:val="30"/>
        <w:szCs w:val="30"/>
      </w:rPr>
    </w:pPr>
    <w:r>
      <w:rPr>
        <w:noProof/>
      </w:rPr>
      <w:drawing>
        <wp:anchor distT="0" distB="0" distL="114300" distR="114300" simplePos="0" relativeHeight="251663360" behindDoc="0" locked="0" layoutInCell="1" allowOverlap="1" wp14:anchorId="285CA07D" wp14:editId="04859AF4">
          <wp:simplePos x="0" y="0"/>
          <wp:positionH relativeFrom="column">
            <wp:posOffset>1781</wp:posOffset>
          </wp:positionH>
          <wp:positionV relativeFrom="paragraph">
            <wp:posOffset>-302031</wp:posOffset>
          </wp:positionV>
          <wp:extent cx="2284219" cy="455059"/>
          <wp:effectExtent l="0" t="0" r="1905" b="2540"/>
          <wp:wrapNone/>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13557" cy="480826"/>
                  </a:xfrm>
                  <a:prstGeom prst="rect">
                    <a:avLst/>
                  </a:prstGeom>
                </pic:spPr>
              </pic:pic>
            </a:graphicData>
          </a:graphic>
          <wp14:sizeRelH relativeFrom="page">
            <wp14:pctWidth>0</wp14:pctWidth>
          </wp14:sizeRelH>
          <wp14:sizeRelV relativeFrom="page">
            <wp14:pctHeight>0</wp14:pctHeight>
          </wp14:sizeRelV>
        </wp:anchor>
      </w:drawing>
    </w:r>
    <w:r w:rsidR="009266F1">
      <w:t xml:space="preserve">                                                                                                                                                                </w:t>
    </w:r>
    <w:r w:rsidR="009266F1" w:rsidRPr="009266F1">
      <w:rPr>
        <w:sz w:val="28"/>
        <w:szCs w:val="28"/>
      </w:rPr>
      <w:t xml:space="preserve"> </w:t>
    </w:r>
    <w:r w:rsidR="009266F1" w:rsidRPr="009266F1">
      <w:rPr>
        <w:sz w:val="30"/>
        <w:szCs w:val="30"/>
      </w:rPr>
      <w:t xml:space="preserve">Příloha č. </w:t>
    </w:r>
    <w:r w:rsidR="00A2200D">
      <w:rPr>
        <w:sz w:val="30"/>
        <w:szCs w:val="30"/>
      </w:rPr>
      <w:t>4</w:t>
    </w:r>
    <w:r w:rsidR="009266F1" w:rsidRPr="009266F1">
      <w:rPr>
        <w:sz w:val="30"/>
        <w:szCs w:val="30"/>
      </w:rPr>
      <w:t xml:space="preserve"> </w:t>
    </w:r>
  </w:p>
  <w:p w14:paraId="55E2B770" w14:textId="77777777" w:rsidR="009266F1" w:rsidRPr="009266F1" w:rsidRDefault="009266F1" w:rsidP="009266F1">
    <w:pPr>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6D86"/>
    <w:multiLevelType w:val="hybridMultilevel"/>
    <w:tmpl w:val="B2B68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D271F54"/>
    <w:multiLevelType w:val="hybridMultilevel"/>
    <w:tmpl w:val="40241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8543814">
    <w:abstractNumId w:val="0"/>
  </w:num>
  <w:num w:numId="2" w16cid:durableId="162635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3NDUwMzAxMzU0MTNT0lEKTi0uzszPAykwrAUAnfDLNCwAAAA="/>
  </w:docVars>
  <w:rsids>
    <w:rsidRoot w:val="00646916"/>
    <w:rsid w:val="0000291A"/>
    <w:rsid w:val="00002C4E"/>
    <w:rsid w:val="00011D81"/>
    <w:rsid w:val="00012D91"/>
    <w:rsid w:val="000447C2"/>
    <w:rsid w:val="00056AE7"/>
    <w:rsid w:val="00065EF9"/>
    <w:rsid w:val="000843E5"/>
    <w:rsid w:val="00090A04"/>
    <w:rsid w:val="000A56C5"/>
    <w:rsid w:val="000C7C63"/>
    <w:rsid w:val="000D6454"/>
    <w:rsid w:val="001025A0"/>
    <w:rsid w:val="00104C58"/>
    <w:rsid w:val="001057FB"/>
    <w:rsid w:val="001169FC"/>
    <w:rsid w:val="00117C32"/>
    <w:rsid w:val="001235AB"/>
    <w:rsid w:val="00183961"/>
    <w:rsid w:val="001A08E9"/>
    <w:rsid w:val="001A3037"/>
    <w:rsid w:val="001B07BD"/>
    <w:rsid w:val="001B3D8E"/>
    <w:rsid w:val="001E6FB7"/>
    <w:rsid w:val="001F04F2"/>
    <w:rsid w:val="00205D98"/>
    <w:rsid w:val="0022644F"/>
    <w:rsid w:val="002304C8"/>
    <w:rsid w:val="002547E7"/>
    <w:rsid w:val="00266655"/>
    <w:rsid w:val="002747DC"/>
    <w:rsid w:val="00277806"/>
    <w:rsid w:val="0028548A"/>
    <w:rsid w:val="002948D9"/>
    <w:rsid w:val="002A463E"/>
    <w:rsid w:val="002B58DB"/>
    <w:rsid w:val="002B6D90"/>
    <w:rsid w:val="002E4F5C"/>
    <w:rsid w:val="00307F1D"/>
    <w:rsid w:val="00374953"/>
    <w:rsid w:val="00392DE5"/>
    <w:rsid w:val="00396AA5"/>
    <w:rsid w:val="003A047D"/>
    <w:rsid w:val="003B0973"/>
    <w:rsid w:val="003B2D6B"/>
    <w:rsid w:val="003B4A4A"/>
    <w:rsid w:val="003C6D4A"/>
    <w:rsid w:val="003D6B08"/>
    <w:rsid w:val="003E786C"/>
    <w:rsid w:val="003F1251"/>
    <w:rsid w:val="003F4448"/>
    <w:rsid w:val="00410E39"/>
    <w:rsid w:val="00417D1F"/>
    <w:rsid w:val="00435774"/>
    <w:rsid w:val="00453A6E"/>
    <w:rsid w:val="0046068C"/>
    <w:rsid w:val="004770F9"/>
    <w:rsid w:val="00481C85"/>
    <w:rsid w:val="004902EA"/>
    <w:rsid w:val="004A7D74"/>
    <w:rsid w:val="004B6CD6"/>
    <w:rsid w:val="004C082E"/>
    <w:rsid w:val="004C2B44"/>
    <w:rsid w:val="004C2DEE"/>
    <w:rsid w:val="004C4FC0"/>
    <w:rsid w:val="005016FD"/>
    <w:rsid w:val="00513E09"/>
    <w:rsid w:val="00535610"/>
    <w:rsid w:val="005401EE"/>
    <w:rsid w:val="005514BB"/>
    <w:rsid w:val="00583AAF"/>
    <w:rsid w:val="005863E5"/>
    <w:rsid w:val="005C3B62"/>
    <w:rsid w:val="005D3EF3"/>
    <w:rsid w:val="005E72B7"/>
    <w:rsid w:val="0060192B"/>
    <w:rsid w:val="006057FF"/>
    <w:rsid w:val="0063002A"/>
    <w:rsid w:val="00632B42"/>
    <w:rsid w:val="0064487B"/>
    <w:rsid w:val="00646907"/>
    <w:rsid w:val="00646916"/>
    <w:rsid w:val="00653DC1"/>
    <w:rsid w:val="00655D5C"/>
    <w:rsid w:val="00657090"/>
    <w:rsid w:val="00673802"/>
    <w:rsid w:val="006A5C6D"/>
    <w:rsid w:val="006B0D93"/>
    <w:rsid w:val="006B39AB"/>
    <w:rsid w:val="006D5179"/>
    <w:rsid w:val="006E28AE"/>
    <w:rsid w:val="006F096F"/>
    <w:rsid w:val="006F5160"/>
    <w:rsid w:val="0071199E"/>
    <w:rsid w:val="00720F15"/>
    <w:rsid w:val="00730F9A"/>
    <w:rsid w:val="00737DEC"/>
    <w:rsid w:val="00740576"/>
    <w:rsid w:val="00750669"/>
    <w:rsid w:val="00750CE0"/>
    <w:rsid w:val="007612A3"/>
    <w:rsid w:val="0076244F"/>
    <w:rsid w:val="0076432D"/>
    <w:rsid w:val="0077245B"/>
    <w:rsid w:val="00785DA7"/>
    <w:rsid w:val="007916CF"/>
    <w:rsid w:val="007A3F5E"/>
    <w:rsid w:val="007B53C0"/>
    <w:rsid w:val="007E1CEA"/>
    <w:rsid w:val="007F1345"/>
    <w:rsid w:val="007F4490"/>
    <w:rsid w:val="00811DA7"/>
    <w:rsid w:val="008169A8"/>
    <w:rsid w:val="00830427"/>
    <w:rsid w:val="00857F75"/>
    <w:rsid w:val="00866B68"/>
    <w:rsid w:val="008713E8"/>
    <w:rsid w:val="00887F39"/>
    <w:rsid w:val="00891113"/>
    <w:rsid w:val="008B38F1"/>
    <w:rsid w:val="008D7999"/>
    <w:rsid w:val="009014B4"/>
    <w:rsid w:val="00916047"/>
    <w:rsid w:val="0092639E"/>
    <w:rsid w:val="009266F1"/>
    <w:rsid w:val="00953B31"/>
    <w:rsid w:val="009540C0"/>
    <w:rsid w:val="00956B98"/>
    <w:rsid w:val="0095774A"/>
    <w:rsid w:val="0097693B"/>
    <w:rsid w:val="00984BA8"/>
    <w:rsid w:val="00992824"/>
    <w:rsid w:val="009B00D6"/>
    <w:rsid w:val="009B0470"/>
    <w:rsid w:val="009B2765"/>
    <w:rsid w:val="009B6F1A"/>
    <w:rsid w:val="009B7267"/>
    <w:rsid w:val="009D1ADE"/>
    <w:rsid w:val="009D3C85"/>
    <w:rsid w:val="009E40E5"/>
    <w:rsid w:val="009E5677"/>
    <w:rsid w:val="009F11F0"/>
    <w:rsid w:val="009F55C0"/>
    <w:rsid w:val="009F7826"/>
    <w:rsid w:val="00A079A1"/>
    <w:rsid w:val="00A10CA0"/>
    <w:rsid w:val="00A20BCF"/>
    <w:rsid w:val="00A2200D"/>
    <w:rsid w:val="00A3759D"/>
    <w:rsid w:val="00A65443"/>
    <w:rsid w:val="00A7564F"/>
    <w:rsid w:val="00A7655F"/>
    <w:rsid w:val="00A83C73"/>
    <w:rsid w:val="00A94800"/>
    <w:rsid w:val="00AA0AF9"/>
    <w:rsid w:val="00AA1E2B"/>
    <w:rsid w:val="00AB77C6"/>
    <w:rsid w:val="00AC4E5D"/>
    <w:rsid w:val="00AC51A1"/>
    <w:rsid w:val="00AD06C7"/>
    <w:rsid w:val="00AD0F9B"/>
    <w:rsid w:val="00AD384E"/>
    <w:rsid w:val="00AD48FF"/>
    <w:rsid w:val="00AD6B85"/>
    <w:rsid w:val="00B100E9"/>
    <w:rsid w:val="00B14C2F"/>
    <w:rsid w:val="00B16598"/>
    <w:rsid w:val="00B47658"/>
    <w:rsid w:val="00B47979"/>
    <w:rsid w:val="00B52A27"/>
    <w:rsid w:val="00B579D4"/>
    <w:rsid w:val="00B6705C"/>
    <w:rsid w:val="00B67D3B"/>
    <w:rsid w:val="00B95B9C"/>
    <w:rsid w:val="00BA1ADA"/>
    <w:rsid w:val="00BB4490"/>
    <w:rsid w:val="00BD7C89"/>
    <w:rsid w:val="00BF1316"/>
    <w:rsid w:val="00BF1DE4"/>
    <w:rsid w:val="00BF3794"/>
    <w:rsid w:val="00BF6946"/>
    <w:rsid w:val="00C57EF3"/>
    <w:rsid w:val="00C65264"/>
    <w:rsid w:val="00C74B3D"/>
    <w:rsid w:val="00C75504"/>
    <w:rsid w:val="00C90466"/>
    <w:rsid w:val="00C91EAF"/>
    <w:rsid w:val="00CA1669"/>
    <w:rsid w:val="00CA73A4"/>
    <w:rsid w:val="00CB1034"/>
    <w:rsid w:val="00CF179E"/>
    <w:rsid w:val="00CF4F20"/>
    <w:rsid w:val="00D02EA1"/>
    <w:rsid w:val="00D07735"/>
    <w:rsid w:val="00D45997"/>
    <w:rsid w:val="00D47916"/>
    <w:rsid w:val="00D6001C"/>
    <w:rsid w:val="00D64C24"/>
    <w:rsid w:val="00D6575D"/>
    <w:rsid w:val="00D74744"/>
    <w:rsid w:val="00D80BC7"/>
    <w:rsid w:val="00D95CF1"/>
    <w:rsid w:val="00DC3FEB"/>
    <w:rsid w:val="00DD0D0E"/>
    <w:rsid w:val="00DD141D"/>
    <w:rsid w:val="00DE7555"/>
    <w:rsid w:val="00DF469A"/>
    <w:rsid w:val="00E111E1"/>
    <w:rsid w:val="00E30895"/>
    <w:rsid w:val="00E57596"/>
    <w:rsid w:val="00E62ECE"/>
    <w:rsid w:val="00E6320D"/>
    <w:rsid w:val="00E650BD"/>
    <w:rsid w:val="00E71166"/>
    <w:rsid w:val="00E8426F"/>
    <w:rsid w:val="00E90B5C"/>
    <w:rsid w:val="00E96CF7"/>
    <w:rsid w:val="00EA217A"/>
    <w:rsid w:val="00EA3B05"/>
    <w:rsid w:val="00EC6A0F"/>
    <w:rsid w:val="00ED414D"/>
    <w:rsid w:val="00EF0ABB"/>
    <w:rsid w:val="00EF1542"/>
    <w:rsid w:val="00EF3941"/>
    <w:rsid w:val="00F00CDA"/>
    <w:rsid w:val="00F01BDA"/>
    <w:rsid w:val="00F03CDB"/>
    <w:rsid w:val="00F133AF"/>
    <w:rsid w:val="00F212C5"/>
    <w:rsid w:val="00F30BBF"/>
    <w:rsid w:val="00F61523"/>
    <w:rsid w:val="00F670D4"/>
    <w:rsid w:val="00F754A5"/>
    <w:rsid w:val="00F7656B"/>
    <w:rsid w:val="00F8533D"/>
    <w:rsid w:val="00F8593C"/>
    <w:rsid w:val="00F86891"/>
    <w:rsid w:val="00F93F44"/>
    <w:rsid w:val="00FA1FBB"/>
    <w:rsid w:val="00FA6954"/>
    <w:rsid w:val="00FB532D"/>
    <w:rsid w:val="00FB76E8"/>
    <w:rsid w:val="00FC662D"/>
    <w:rsid w:val="00FF5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4EC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F03CDB"/>
    <w:pPr>
      <w:spacing w:line="308" w:lineRule="exact"/>
    </w:pPr>
    <w:rPr>
      <w:sz w:val="22"/>
    </w:rPr>
  </w:style>
  <w:style w:type="paragraph" w:styleId="Nadpis1">
    <w:name w:val="heading 1"/>
    <w:basedOn w:val="Normln"/>
    <w:next w:val="Normln"/>
    <w:link w:val="Nadpis1Char"/>
    <w:uiPriority w:val="9"/>
    <w:qFormat/>
    <w:rsid w:val="00EF1542"/>
    <w:pPr>
      <w:outlineLvl w:val="0"/>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3A6E"/>
    <w:pPr>
      <w:tabs>
        <w:tab w:val="center" w:pos="4536"/>
        <w:tab w:val="right" w:pos="9072"/>
      </w:tabs>
      <w:spacing w:line="240" w:lineRule="auto"/>
    </w:pPr>
  </w:style>
  <w:style w:type="character" w:customStyle="1" w:styleId="ZhlavChar">
    <w:name w:val="Záhlaví Char"/>
    <w:basedOn w:val="Standardnpsmoodstavce"/>
    <w:link w:val="Zhlav"/>
    <w:uiPriority w:val="99"/>
    <w:rsid w:val="00453A6E"/>
    <w:rPr>
      <w:sz w:val="22"/>
    </w:rPr>
  </w:style>
  <w:style w:type="paragraph" w:styleId="Zpat">
    <w:name w:val="footer"/>
    <w:basedOn w:val="Normln"/>
    <w:link w:val="ZpatChar"/>
    <w:uiPriority w:val="99"/>
    <w:unhideWhenUsed/>
    <w:rsid w:val="00D74744"/>
    <w:pPr>
      <w:framePr w:hSpace="142" w:wrap="around" w:vAnchor="page" w:hAnchor="margin" w:x="-141" w:y="15253"/>
      <w:tabs>
        <w:tab w:val="center" w:pos="4536"/>
        <w:tab w:val="right" w:pos="9072"/>
      </w:tabs>
      <w:spacing w:line="252" w:lineRule="exact"/>
      <w:suppressOverlap/>
    </w:pPr>
    <w:rPr>
      <w:color w:val="00A598"/>
      <w:sz w:val="18"/>
      <w:szCs w:val="18"/>
    </w:rPr>
  </w:style>
  <w:style w:type="character" w:customStyle="1" w:styleId="ZpatChar">
    <w:name w:val="Zápatí Char"/>
    <w:basedOn w:val="Standardnpsmoodstavce"/>
    <w:link w:val="Zpat"/>
    <w:uiPriority w:val="99"/>
    <w:rsid w:val="00D74744"/>
    <w:rPr>
      <w:color w:val="00A598"/>
      <w:sz w:val="18"/>
      <w:szCs w:val="18"/>
    </w:rPr>
  </w:style>
  <w:style w:type="character" w:customStyle="1" w:styleId="Nadpis1Char">
    <w:name w:val="Nadpis 1 Char"/>
    <w:basedOn w:val="Standardnpsmoodstavce"/>
    <w:link w:val="Nadpis1"/>
    <w:uiPriority w:val="9"/>
    <w:rsid w:val="00EF1542"/>
    <w:rPr>
      <w:sz w:val="28"/>
      <w:szCs w:val="28"/>
    </w:rPr>
  </w:style>
  <w:style w:type="paragraph" w:customStyle="1" w:styleId="paragraph">
    <w:name w:val="paragraph"/>
    <w:basedOn w:val="Normln"/>
    <w:rsid w:val="00410E39"/>
    <w:pPr>
      <w:spacing w:before="100" w:beforeAutospacing="1" w:after="100" w:afterAutospacing="1" w:line="240" w:lineRule="auto"/>
    </w:pPr>
    <w:rPr>
      <w:rFonts w:ascii="Times New Roman" w:eastAsia="Times New Roman" w:hAnsi="Times New Roman" w:cs="Times New Roman"/>
      <w:sz w:val="24"/>
      <w:lang w:eastAsia="cs-CZ"/>
    </w:rPr>
  </w:style>
  <w:style w:type="character" w:customStyle="1" w:styleId="normaltextrun">
    <w:name w:val="normaltextrun"/>
    <w:basedOn w:val="Standardnpsmoodstavce"/>
    <w:rsid w:val="00410E39"/>
  </w:style>
  <w:style w:type="paragraph" w:styleId="Odstavecseseznamem">
    <w:name w:val="List Paragraph"/>
    <w:basedOn w:val="Normln"/>
    <w:uiPriority w:val="34"/>
    <w:qFormat/>
    <w:rsid w:val="003A047D"/>
    <w:pPr>
      <w:ind w:left="720"/>
      <w:contextualSpacing/>
    </w:pPr>
  </w:style>
  <w:style w:type="paragraph" w:styleId="Revize">
    <w:name w:val="Revision"/>
    <w:hidden/>
    <w:uiPriority w:val="99"/>
    <w:semiHidden/>
    <w:rsid w:val="002B58D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24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DF59E16ADEB649B0B6C19916026C19" ma:contentTypeVersion="18" ma:contentTypeDescription="Vytvoří nový dokument" ma:contentTypeScope="" ma:versionID="7ef89cf56ef72f5d16341420b84e72e2">
  <xsd:schema xmlns:xsd="http://www.w3.org/2001/XMLSchema" xmlns:xs="http://www.w3.org/2001/XMLSchema" xmlns:p="http://schemas.microsoft.com/office/2006/metadata/properties" xmlns:ns3="857d33f9-45a8-4b4a-991f-881791391a39" xmlns:ns4="db436901-e559-47f2-b657-96816b7964dc" targetNamespace="http://schemas.microsoft.com/office/2006/metadata/properties" ma:root="true" ma:fieldsID="c255aff1e0062b7c7f71029ec6ce2dab" ns3:_="" ns4:_="">
    <xsd:import namespace="857d33f9-45a8-4b4a-991f-881791391a39"/>
    <xsd:import namespace="db436901-e559-47f2-b657-96816b7964dc"/>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d33f9-45a8-4b4a-991f-881791391a39" elementFormDefault="qualified">
    <xsd:import namespace="http://schemas.microsoft.com/office/2006/documentManagement/types"/>
    <xsd:import namespace="http://schemas.microsoft.com/office/infopath/2007/PartnerControls"/>
    <xsd:element name="SharedWithDetails" ma:index="8" nillable="true" ma:displayName="Sdílené s podrobnostmi" ma:description="" ma:internalName="SharedWithDetails" ma:readOnly="true">
      <xsd:simpleType>
        <xsd:restriction base="dms:Note">
          <xsd:maxLength value="255"/>
        </xsd:restriction>
      </xsd:simpleType>
    </xsd:element>
    <xsd:element name="SharingHintHash" ma:index="9" nillable="true" ma:displayName="Hodnota hash upozornění na sdílení" ma:description="" ma:hidden="true" ma:internalName="SharingHintHash" ma:readOnly="true">
      <xsd:simpleType>
        <xsd:restriction base="dms:Text"/>
      </xsd:simpleType>
    </xsd:element>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436901-e559-47f2-b657-96816b7964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b436901-e559-47f2-b657-96816b7964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66909-D118-43F6-9E8A-B3F1E999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d33f9-45a8-4b4a-991f-881791391a39"/>
    <ds:schemaRef ds:uri="db436901-e559-47f2-b657-96816b796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F441B-EEAE-4C8E-9154-0B4B2A70F7B1}">
  <ds:schemaRefs>
    <ds:schemaRef ds:uri="http://schemas.openxmlformats.org/officeDocument/2006/bibliography"/>
  </ds:schemaRefs>
</ds:datastoreItem>
</file>

<file path=customXml/itemProps3.xml><?xml version="1.0" encoding="utf-8"?>
<ds:datastoreItem xmlns:ds="http://schemas.openxmlformats.org/officeDocument/2006/customXml" ds:itemID="{831FC88B-B042-4BED-8AC1-E859890AF38B}">
  <ds:schemaRefs>
    <ds:schemaRef ds:uri="http://schemas.microsoft.com/office/2006/metadata/properties"/>
    <ds:schemaRef ds:uri="http://schemas.microsoft.com/office/infopath/2007/PartnerControls"/>
    <ds:schemaRef ds:uri="db436901-e559-47f2-b657-96816b7964dc"/>
  </ds:schemaRefs>
</ds:datastoreItem>
</file>

<file path=customXml/itemProps4.xml><?xml version="1.0" encoding="utf-8"?>
<ds:datastoreItem xmlns:ds="http://schemas.openxmlformats.org/officeDocument/2006/customXml" ds:itemID="{30B6DA64-2FC0-48B6-A627-811E0B8BE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4171</Characters>
  <Application>Microsoft Office Word</Application>
  <DocSecurity>4</DocSecurity>
  <Lines>34</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Chmiel</dc:creator>
  <cp:keywords/>
  <dc:description/>
  <cp:lastModifiedBy>Zajac Petr</cp:lastModifiedBy>
  <cp:revision>2</cp:revision>
  <dcterms:created xsi:type="dcterms:W3CDTF">2023-11-14T07:24:00Z</dcterms:created>
  <dcterms:modified xsi:type="dcterms:W3CDTF">2023-11-14T07:24:00Z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0x0101006FDF59E16ADEB649B0B6C19916026C19</vt:lpwstr>
  </property>
  <property fmtid="{D5CDD505-2E9C-101B-9397-08002B2CF9AE}" pid="3" name="ClassificationContentMarkingFooterShapeIds">
    <vt:lpwstr>5b2817d8,4867bb0,30ed396f</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2023-11-01T12:47:50Z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aba77d48-91bd-4ef7-a673-21e662c7c4d9</vt:lpwstr>
  </property>
  <property fmtid="{D5CDD505-2E9C-101B-9397-08002B2CF9AE}" pid="12" name="MSIP_Label_215ad6d0-798b-44f9-b3fd-112ad6275fb4_ContentBits">
    <vt:lpwstr>2</vt:lpwstr>
  </property>
</Properties>
</file>