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E0F" w14:textId="3A852405" w:rsidR="003966FC" w:rsidRDefault="005C42BF" w:rsidP="006F18D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>nformac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 xml:space="preserve"> o stavu a rozložení finančních prostředků 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>kraje a o pohledávce vůči Sberbank C</w:t>
      </w:r>
      <w:r w:rsidR="006E0804" w:rsidRPr="00482821">
        <w:rPr>
          <w:rFonts w:ascii="Tahoma" w:hAnsi="Tahoma" w:cs="Tahoma"/>
          <w:b/>
          <w:bCs/>
          <w:sz w:val="22"/>
          <w:szCs w:val="22"/>
        </w:rPr>
        <w:t>Z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 xml:space="preserve"> a.s. v likvidac</w:t>
      </w:r>
      <w:r w:rsidR="00065476" w:rsidRPr="00482821">
        <w:rPr>
          <w:rFonts w:ascii="Tahoma" w:hAnsi="Tahoma" w:cs="Tahoma"/>
          <w:b/>
          <w:bCs/>
          <w:sz w:val="22"/>
          <w:szCs w:val="22"/>
        </w:rPr>
        <w:t>i</w:t>
      </w:r>
    </w:p>
    <w:p w14:paraId="575D2802" w14:textId="77777777" w:rsidR="003966FC" w:rsidRPr="00CD212D" w:rsidRDefault="003966FC" w:rsidP="006F18DF"/>
    <w:p w14:paraId="16798ACB" w14:textId="2941BA43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K datu 3</w:t>
      </w:r>
      <w:r w:rsidR="008D0C71">
        <w:rPr>
          <w:rFonts w:ascii="Tahoma" w:hAnsi="Tahoma" w:cs="Tahoma"/>
          <w:sz w:val="20"/>
          <w:szCs w:val="20"/>
        </w:rPr>
        <w:t>1</w:t>
      </w:r>
      <w:r w:rsidRPr="00A1047E">
        <w:rPr>
          <w:rFonts w:ascii="Tahoma" w:hAnsi="Tahoma" w:cs="Tahoma"/>
          <w:sz w:val="20"/>
          <w:szCs w:val="20"/>
        </w:rPr>
        <w:t xml:space="preserve">. </w:t>
      </w:r>
      <w:r w:rsidR="00F862F1">
        <w:rPr>
          <w:rFonts w:ascii="Tahoma" w:hAnsi="Tahoma" w:cs="Tahoma"/>
          <w:sz w:val="20"/>
          <w:szCs w:val="20"/>
        </w:rPr>
        <w:t>10</w:t>
      </w:r>
      <w:r w:rsidRPr="00A1047E">
        <w:rPr>
          <w:rFonts w:ascii="Tahoma" w:hAnsi="Tahoma" w:cs="Tahoma"/>
          <w:sz w:val="20"/>
          <w:szCs w:val="20"/>
        </w:rPr>
        <w:t>. 202</w:t>
      </w:r>
      <w:r w:rsidR="009D204D">
        <w:rPr>
          <w:rFonts w:ascii="Tahoma" w:hAnsi="Tahoma" w:cs="Tahoma"/>
          <w:sz w:val="20"/>
          <w:szCs w:val="20"/>
        </w:rPr>
        <w:t>3</w:t>
      </w:r>
      <w:r w:rsidRPr="00A1047E">
        <w:rPr>
          <w:rFonts w:ascii="Tahoma" w:hAnsi="Tahoma" w:cs="Tahoma"/>
          <w:sz w:val="20"/>
          <w:szCs w:val="20"/>
        </w:rPr>
        <w:t xml:space="preserve"> činil celkový zůstatek všech finančních prostředků </w:t>
      </w:r>
      <w:r w:rsidRPr="001378E8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kraje </w:t>
      </w:r>
      <w:r w:rsidR="001378E8">
        <w:rPr>
          <w:rFonts w:ascii="Tahoma" w:hAnsi="Tahoma" w:cs="Tahoma"/>
          <w:sz w:val="20"/>
          <w:szCs w:val="20"/>
          <w:shd w:val="clear" w:color="auto" w:fill="FFFFFF" w:themeFill="background1"/>
        </w:rPr>
        <w:t>7.343,1</w:t>
      </w:r>
      <w:r w:rsidRPr="001378E8">
        <w:rPr>
          <w:rFonts w:ascii="Tahoma" w:hAnsi="Tahoma" w:cs="Tahoma"/>
          <w:sz w:val="20"/>
          <w:szCs w:val="20"/>
          <w:shd w:val="clear" w:color="auto" w:fill="FFFFFF" w:themeFill="background1"/>
        </w:rPr>
        <w:t> mil. Kč</w:t>
      </w:r>
      <w:r w:rsidRPr="00A1047E">
        <w:rPr>
          <w:rFonts w:ascii="Tahoma" w:hAnsi="Tahoma" w:cs="Tahoma"/>
          <w:sz w:val="20"/>
          <w:szCs w:val="20"/>
        </w:rPr>
        <w:t xml:space="preserve">. V této hodnotě jsou započteny i prostředky v pokladně </w:t>
      </w:r>
      <w:r w:rsidRPr="00471174">
        <w:rPr>
          <w:rFonts w:ascii="Tahoma" w:hAnsi="Tahoma" w:cs="Tahoma"/>
          <w:sz w:val="20"/>
          <w:szCs w:val="20"/>
        </w:rPr>
        <w:t xml:space="preserve">kraje. </w:t>
      </w:r>
      <w:r>
        <w:rPr>
          <w:rFonts w:ascii="Tahoma" w:hAnsi="Tahoma" w:cs="Tahoma"/>
          <w:sz w:val="20"/>
          <w:szCs w:val="20"/>
        </w:rPr>
        <w:t>Mezi tyto finanční prostředky nejsou zahrnuty</w:t>
      </w:r>
      <w:r w:rsidRPr="00471174">
        <w:rPr>
          <w:rFonts w:ascii="Tahoma" w:hAnsi="Tahoma" w:cs="Tahoma"/>
          <w:sz w:val="20"/>
          <w:szCs w:val="20"/>
        </w:rPr>
        <w:t xml:space="preserve"> depozitní účty (účty cizích prostředků) a účet pro přenesenou</w:t>
      </w:r>
      <w:r w:rsidRPr="00A1047E">
        <w:rPr>
          <w:rFonts w:ascii="Tahoma" w:hAnsi="Tahoma" w:cs="Tahoma"/>
          <w:sz w:val="20"/>
          <w:szCs w:val="20"/>
        </w:rPr>
        <w:t xml:space="preserve"> daňovou povinnost DPH.</w:t>
      </w:r>
    </w:p>
    <w:p w14:paraId="4FCE5048" w14:textId="40CC5180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641F60">
        <w:rPr>
          <w:rFonts w:ascii="Tahoma" w:hAnsi="Tahoma" w:cs="Tahoma"/>
          <w:sz w:val="20"/>
          <w:szCs w:val="20"/>
        </w:rPr>
        <w:t>Tyto</w:t>
      </w:r>
      <w:r>
        <w:rPr>
          <w:rFonts w:ascii="Tahoma" w:hAnsi="Tahoma" w:cs="Tahoma"/>
          <w:sz w:val="20"/>
          <w:szCs w:val="20"/>
        </w:rPr>
        <w:t xml:space="preserve"> </w:t>
      </w:r>
      <w:r w:rsidRPr="00A1047E">
        <w:rPr>
          <w:rFonts w:ascii="Tahoma" w:hAnsi="Tahoma" w:cs="Tahoma"/>
          <w:sz w:val="20"/>
          <w:szCs w:val="20"/>
        </w:rPr>
        <w:t>prostředky byly uloženy u 1</w:t>
      </w:r>
      <w:r>
        <w:rPr>
          <w:rFonts w:ascii="Tahoma" w:hAnsi="Tahoma" w:cs="Tahoma"/>
          <w:sz w:val="20"/>
          <w:szCs w:val="20"/>
        </w:rPr>
        <w:t>0</w:t>
      </w:r>
      <w:r w:rsidRPr="00A1047E">
        <w:rPr>
          <w:rFonts w:ascii="Tahoma" w:hAnsi="Tahoma" w:cs="Tahoma"/>
          <w:sz w:val="20"/>
          <w:szCs w:val="20"/>
        </w:rPr>
        <w:t> bank Česká národní banka (ČNB); Česká spořitelna, a. s. (ČS); Československá obchodní banka, a. s. (ČSOB); J&amp;T Banka, a. s. (JT); Komerční banka, a. s. (KB); MONETA Money Bank, a. s. (MONETA); Oberbank AG pobočka Česká republika (OB); PPF Banka, a. s. (PPF); Raiffeisenbank, a. s. (RFB) a UniCredit Bank Czech Republic and Slovakia, a. s. (UCB)).</w:t>
      </w:r>
    </w:p>
    <w:p w14:paraId="38EABF63" w14:textId="77777777" w:rsidR="003F5D95" w:rsidRPr="00D15FE2" w:rsidRDefault="003F5D95" w:rsidP="003F5D95">
      <w:r w:rsidRPr="00D15FE2">
        <w:rPr>
          <w:color w:val="FF0000"/>
        </w:rPr>
        <w:br w:type="page"/>
      </w:r>
    </w:p>
    <w:p w14:paraId="20BCFBA7" w14:textId="77777777" w:rsidR="003F5D95" w:rsidRPr="00D15FE2" w:rsidRDefault="003F5D95" w:rsidP="000A73AD">
      <w:pPr>
        <w:pStyle w:val="Styltab"/>
      </w:pPr>
      <w:r w:rsidRPr="00D15FE2">
        <w:lastRenderedPageBreak/>
        <w:t>Rozložení finančních prostředků dle typu účtu</w:t>
      </w:r>
      <w:r w:rsidRPr="00D15FE2">
        <w:tab/>
        <w:t>(v mil. Kč)</w:t>
      </w:r>
    </w:p>
    <w:tbl>
      <w:tblPr>
        <w:tblStyle w:val="Mkatabulky"/>
        <w:tblW w:w="9624" w:type="dxa"/>
        <w:tblLayout w:type="fixed"/>
        <w:tblLook w:val="04A0" w:firstRow="1" w:lastRow="0" w:firstColumn="1" w:lastColumn="0" w:noHBand="0" w:noVBand="1"/>
      </w:tblPr>
      <w:tblGrid>
        <w:gridCol w:w="1361"/>
        <w:gridCol w:w="5428"/>
        <w:gridCol w:w="1418"/>
        <w:gridCol w:w="1417"/>
      </w:tblGrid>
      <w:tr w:rsidR="003F5D95" w:rsidRPr="00D15FE2" w14:paraId="38CAE3A0" w14:textId="77777777" w:rsidTr="008D0C71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F0279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9667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CBAF8" w14:textId="3ED78822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1.</w:t>
            </w:r>
            <w:r w:rsidR="008D0C71">
              <w:rPr>
                <w:rFonts w:ascii="Tahoma" w:hAnsi="Tahoma" w:cs="Tahoma"/>
                <w:b/>
                <w:sz w:val="17"/>
                <w:szCs w:val="17"/>
              </w:rPr>
              <w:t>10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4D11D1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D95DB" w14:textId="2AA685D1" w:rsidR="003F5D95" w:rsidRPr="00FC49AA" w:rsidRDefault="003F5D95" w:rsidP="009A7A8E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Orientační úročení k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1.</w:t>
            </w:r>
            <w:r w:rsidR="008D0C71">
              <w:rPr>
                <w:rFonts w:ascii="Tahoma" w:hAnsi="Tahoma" w:cs="Tahoma"/>
                <w:b/>
                <w:sz w:val="17"/>
                <w:szCs w:val="17"/>
              </w:rPr>
              <w:t>10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3F5D95" w:rsidRPr="00D15FE2" w14:paraId="64FFF3CC" w14:textId="77777777" w:rsidTr="008D0C71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B4EB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428" w:type="dxa"/>
            <w:tcBorders>
              <w:top w:val="single" w:sz="12" w:space="0" w:color="auto"/>
            </w:tcBorders>
          </w:tcPr>
          <w:p w14:paraId="2D5770F0" w14:textId="777FFC7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</w:t>
            </w:r>
            <w:r w:rsidR="00250544">
              <w:rPr>
                <w:rFonts w:ascii="Tahoma" w:hAnsi="Tahoma" w:cs="Tahoma"/>
                <w:sz w:val="17"/>
                <w:szCs w:val="17"/>
              </w:rPr>
              <w:noBreakHyphen/>
            </w:r>
            <w:r w:rsidRPr="00FC49AA">
              <w:rPr>
                <w:rFonts w:ascii="Tahoma" w:hAnsi="Tahoma" w:cs="Tahoma"/>
                <w:sz w:val="17"/>
                <w:szCs w:val="17"/>
              </w:rPr>
              <w:t>pooling), fond zajišťovací a fond pro financování strategických projektů Moravskoslezského kraje (nastaveno zvýhodněné úročení).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E947258" w14:textId="384AD2DD" w:rsidR="003F5D95" w:rsidRPr="00FC49AA" w:rsidRDefault="00E95F2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  <w:r w:rsidR="00C31C0D">
              <w:rPr>
                <w:rFonts w:ascii="Tahoma" w:hAnsi="Tahoma" w:cs="Tahoma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sz w:val="17"/>
                <w:szCs w:val="17"/>
              </w:rPr>
              <w:t>8</w:t>
            </w:r>
            <w:r w:rsidR="00C31C0D">
              <w:rPr>
                <w:rFonts w:ascii="Tahoma" w:hAnsi="Tahoma" w:cs="Tahoma"/>
                <w:sz w:val="17"/>
                <w:szCs w:val="17"/>
              </w:rPr>
              <w:t>08,8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3548F" w14:textId="40DEB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</w:t>
            </w:r>
            <w:r w:rsidR="00B3050A">
              <w:rPr>
                <w:rFonts w:ascii="Tahoma" w:hAnsi="Tahoma" w:cs="Tahoma"/>
                <w:sz w:val="17"/>
                <w:szCs w:val="17"/>
              </w:rPr>
              <w:t>2</w:t>
            </w:r>
            <w:r>
              <w:rPr>
                <w:rFonts w:ascii="Tahoma" w:hAnsi="Tahoma" w:cs="Tahoma"/>
                <w:sz w:val="17"/>
                <w:szCs w:val="17"/>
              </w:rPr>
              <w:t>-6,50</w:t>
            </w:r>
          </w:p>
        </w:tc>
      </w:tr>
      <w:tr w:rsidR="003F5D95" w:rsidRPr="00D15FE2" w14:paraId="3DBAF092" w14:textId="77777777" w:rsidTr="008D0C71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8D11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428" w:type="dxa"/>
          </w:tcPr>
          <w:p w14:paraId="00B971F7" w14:textId="50A96693" w:rsidR="003F5D95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100,0 mil. Kč na termínovaném vkladu u ČNB s termínem ukončení vkladu </w:t>
            </w:r>
            <w:r w:rsidR="009A7A8E">
              <w:rPr>
                <w:rFonts w:ascii="Tahoma" w:hAnsi="Tahoma" w:cs="Tahoma"/>
                <w:sz w:val="17"/>
                <w:szCs w:val="17"/>
              </w:rPr>
              <w:t>0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.1</w:t>
            </w:r>
            <w:r w:rsidR="009D204D">
              <w:rPr>
                <w:rFonts w:ascii="Tahoma" w:hAnsi="Tahoma" w:cs="Tahoma"/>
                <w:sz w:val="17"/>
                <w:szCs w:val="17"/>
              </w:rPr>
              <w:t>1</w:t>
            </w:r>
            <w:r>
              <w:rPr>
                <w:rFonts w:ascii="Tahoma" w:hAnsi="Tahoma" w:cs="Tahoma"/>
                <w:sz w:val="17"/>
                <w:szCs w:val="17"/>
              </w:rPr>
              <w:t>.202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6555BCB6" w14:textId="77777777" w:rsidR="003F5D95" w:rsidRPr="00FC49AA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200,0 mil. Kč na vkladovém účtu u JT s 1denní výpovědí.</w:t>
            </w:r>
          </w:p>
        </w:tc>
        <w:tc>
          <w:tcPr>
            <w:tcW w:w="1418" w:type="dxa"/>
            <w:vAlign w:val="center"/>
          </w:tcPr>
          <w:p w14:paraId="253583DD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300,0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11069E3" w14:textId="4DFCBBC9" w:rsidR="003F5D95" w:rsidRPr="00FC49AA" w:rsidRDefault="009D204D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5,20</w:t>
            </w:r>
            <w:r w:rsidR="003F5D95">
              <w:rPr>
                <w:rFonts w:ascii="Tahoma" w:hAnsi="Tahoma" w:cs="Tahoma"/>
                <w:sz w:val="17"/>
                <w:szCs w:val="17"/>
              </w:rPr>
              <w:t>-6,00</w:t>
            </w:r>
          </w:p>
        </w:tc>
      </w:tr>
      <w:tr w:rsidR="003F5D95" w:rsidRPr="00D15FE2" w14:paraId="549992FC" w14:textId="77777777" w:rsidTr="008D0C71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7ABF957" w14:textId="252E456B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  <w:r w:rsidR="00D95FF5">
              <w:rPr>
                <w:rFonts w:ascii="Tahoma" w:hAnsi="Tahoma" w:cs="Tahoma"/>
                <w:sz w:val="17"/>
                <w:szCs w:val="17"/>
              </w:rPr>
              <w:t xml:space="preserve"> se zvýhodněným úročením</w:t>
            </w:r>
          </w:p>
        </w:tc>
        <w:tc>
          <w:tcPr>
            <w:tcW w:w="5428" w:type="dxa"/>
          </w:tcPr>
          <w:p w14:paraId="2C041121" w14:textId="75DDBD83" w:rsidR="003F5D95" w:rsidRPr="00BF2B72" w:rsidRDefault="00DF50C8" w:rsidP="00BF2B72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609</w:t>
            </w:r>
            <w:r w:rsidR="001E45DA">
              <w:rPr>
                <w:rFonts w:ascii="Tahoma" w:hAnsi="Tahoma" w:cs="Tahoma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sz w:val="17"/>
                <w:szCs w:val="17"/>
              </w:rPr>
              <w:t>9</w:t>
            </w:r>
            <w:r w:rsidR="003F5D95" w:rsidRPr="00FC49AA">
              <w:rPr>
                <w:rFonts w:ascii="Tahoma" w:hAnsi="Tahoma" w:cs="Tahoma"/>
                <w:sz w:val="17"/>
                <w:szCs w:val="17"/>
              </w:rPr>
              <w:t> mil. Kč na běžném účtu u PPF,</w:t>
            </w:r>
          </w:p>
          <w:p w14:paraId="3311F59B" w14:textId="6A3E8EEA" w:rsidR="003F5D95" w:rsidRDefault="001E45DA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101,</w:t>
            </w:r>
            <w:r w:rsidR="00DF50C8">
              <w:rPr>
                <w:rFonts w:ascii="Tahoma" w:hAnsi="Tahoma" w:cs="Tahoma"/>
                <w:sz w:val="17"/>
                <w:szCs w:val="17"/>
              </w:rPr>
              <w:t>9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mil. Kč na spořícím účtu u ČS,</w:t>
            </w:r>
          </w:p>
          <w:p w14:paraId="5308143F" w14:textId="7C252AED" w:rsidR="00D95FF5" w:rsidRPr="00FC49AA" w:rsidRDefault="003F5D95" w:rsidP="00D95FF5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50,0 mil. Kč na spořícím účtu u ČSOB</w:t>
            </w:r>
            <w:r w:rsidR="006B3622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418" w:type="dxa"/>
            <w:vAlign w:val="center"/>
          </w:tcPr>
          <w:p w14:paraId="77FDA606" w14:textId="52E2361F" w:rsidR="003F5D95" w:rsidRPr="00FC49AA" w:rsidRDefault="00256419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761,</w:t>
            </w:r>
            <w:r w:rsidR="00DF50C8"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8D73F05" w14:textId="70946CEC" w:rsidR="003F5D95" w:rsidRPr="00FC49AA" w:rsidRDefault="009A7A8E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,20–6,</w:t>
            </w:r>
            <w:r>
              <w:rPr>
                <w:rFonts w:ascii="Tahoma" w:hAnsi="Tahoma" w:cs="Tahoma"/>
                <w:sz w:val="17"/>
                <w:szCs w:val="17"/>
              </w:rPr>
              <w:t>70</w:t>
            </w:r>
          </w:p>
        </w:tc>
      </w:tr>
      <w:tr w:rsidR="003F5D95" w:rsidRPr="00D15FE2" w14:paraId="2E4B69D6" w14:textId="77777777" w:rsidTr="008D0C71">
        <w:trPr>
          <w:trHeight w:val="1469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2A8A42B" w14:textId="1F964976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Virtuální účty </w:t>
            </w:r>
            <w:r w:rsidR="00B26FAA">
              <w:rPr>
                <w:rFonts w:ascii="Tahoma" w:hAnsi="Tahoma" w:cs="Tahoma"/>
                <w:sz w:val="17"/>
                <w:szCs w:val="17"/>
              </w:rPr>
              <w:t xml:space="preserve">se zvýhodněným úročením </w:t>
            </w:r>
            <w:r w:rsidRPr="00FC49AA">
              <w:rPr>
                <w:rFonts w:ascii="Tahoma" w:hAnsi="Tahoma" w:cs="Tahoma"/>
                <w:sz w:val="17"/>
                <w:szCs w:val="17"/>
              </w:rPr>
              <w:t>(prostředky vyvedeny na technický účet banky)</w:t>
            </w:r>
          </w:p>
        </w:tc>
        <w:tc>
          <w:tcPr>
            <w:tcW w:w="5428" w:type="dxa"/>
          </w:tcPr>
          <w:p w14:paraId="3AAEB833" w14:textId="05593D0B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00,0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ČS</w:t>
            </w:r>
            <w:r w:rsidR="00CE37F7">
              <w:rPr>
                <w:rFonts w:ascii="Tahoma" w:hAnsi="Tahoma" w:cs="Tahoma"/>
                <w:sz w:val="17"/>
                <w:szCs w:val="17"/>
              </w:rPr>
              <w:t xml:space="preserve"> I</w:t>
            </w:r>
            <w:r w:rsidR="006B3622">
              <w:rPr>
                <w:rFonts w:ascii="Tahoma" w:hAnsi="Tahoma" w:cs="Tahoma"/>
                <w:sz w:val="17"/>
                <w:szCs w:val="17"/>
              </w:rPr>
              <w:t xml:space="preserve">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D45FB">
              <w:rPr>
                <w:rFonts w:ascii="Tahoma" w:hAnsi="Tahoma" w:cs="Tahoma"/>
                <w:sz w:val="17"/>
                <w:szCs w:val="17"/>
              </w:rPr>
              <w:t>3.</w:t>
            </w:r>
            <w:r w:rsidR="00E775DC">
              <w:rPr>
                <w:rFonts w:ascii="Tahoma" w:hAnsi="Tahoma" w:cs="Tahoma"/>
                <w:sz w:val="17"/>
                <w:szCs w:val="17"/>
              </w:rPr>
              <w:t>11.2023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969B523" w14:textId="63C0A899" w:rsidR="00CE37F7" w:rsidRDefault="00CE37F7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300,0 mil. Kč u ČS II do </w:t>
            </w:r>
            <w:r w:rsidR="000E5252">
              <w:rPr>
                <w:rFonts w:ascii="Tahoma" w:hAnsi="Tahoma" w:cs="Tahoma"/>
                <w:sz w:val="17"/>
                <w:szCs w:val="17"/>
              </w:rPr>
              <w:t>1.</w:t>
            </w:r>
            <w:r w:rsidR="008B4A5A">
              <w:rPr>
                <w:rFonts w:ascii="Tahoma" w:hAnsi="Tahoma" w:cs="Tahoma"/>
                <w:sz w:val="17"/>
                <w:szCs w:val="17"/>
              </w:rPr>
              <w:t>11.2023</w:t>
            </w:r>
          </w:p>
          <w:p w14:paraId="5BDD474E" w14:textId="76C46622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  <w:r w:rsidR="009A7A8E">
              <w:rPr>
                <w:rFonts w:ascii="Tahoma" w:hAnsi="Tahoma" w:cs="Tahoma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sz w:val="17"/>
                <w:szCs w:val="17"/>
              </w:rPr>
              <w:t xml:space="preserve">0,0 mil. Kč </w:t>
            </w:r>
            <w:r w:rsidR="006B3622">
              <w:rPr>
                <w:rFonts w:ascii="Tahoma" w:hAnsi="Tahoma" w:cs="Tahoma"/>
                <w:sz w:val="17"/>
                <w:szCs w:val="17"/>
              </w:rPr>
              <w:t>ČSOB do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C0382">
              <w:rPr>
                <w:rFonts w:ascii="Tahoma" w:hAnsi="Tahoma" w:cs="Tahoma"/>
                <w:sz w:val="17"/>
                <w:szCs w:val="17"/>
              </w:rPr>
              <w:t>3.</w:t>
            </w:r>
            <w:r w:rsidR="005053CA">
              <w:rPr>
                <w:rFonts w:ascii="Tahoma" w:hAnsi="Tahoma" w:cs="Tahoma"/>
                <w:sz w:val="17"/>
                <w:szCs w:val="17"/>
              </w:rPr>
              <w:t>11.2023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53055FD0" w14:textId="554F97AC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  <w:r w:rsidR="00F05673">
              <w:rPr>
                <w:rFonts w:ascii="Tahoma" w:hAnsi="Tahoma" w:cs="Tahoma"/>
                <w:sz w:val="17"/>
                <w:szCs w:val="17"/>
              </w:rPr>
              <w:t>6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  <w:r w:rsidR="00F05673">
              <w:rPr>
                <w:rFonts w:ascii="Tahoma" w:hAnsi="Tahoma" w:cs="Tahoma"/>
                <w:sz w:val="17"/>
                <w:szCs w:val="17"/>
              </w:rPr>
              <w:t>4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KB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05673">
              <w:rPr>
                <w:rFonts w:ascii="Tahoma" w:hAnsi="Tahoma" w:cs="Tahoma"/>
                <w:sz w:val="17"/>
                <w:szCs w:val="17"/>
              </w:rPr>
              <w:t>14</w:t>
            </w:r>
            <w:r w:rsidR="000D0334">
              <w:rPr>
                <w:rFonts w:ascii="Tahoma" w:hAnsi="Tahoma" w:cs="Tahoma"/>
                <w:sz w:val="17"/>
                <w:szCs w:val="17"/>
              </w:rPr>
              <w:t>.</w:t>
            </w:r>
            <w:r w:rsidR="00F05673">
              <w:rPr>
                <w:rFonts w:ascii="Tahoma" w:hAnsi="Tahoma" w:cs="Tahoma"/>
                <w:sz w:val="17"/>
                <w:szCs w:val="17"/>
              </w:rPr>
              <w:t>11</w:t>
            </w:r>
            <w:r w:rsidR="000D0334">
              <w:rPr>
                <w:rFonts w:ascii="Tahoma" w:hAnsi="Tahoma" w:cs="Tahoma"/>
                <w:sz w:val="17"/>
                <w:szCs w:val="17"/>
              </w:rPr>
              <w:t>.</w:t>
            </w:r>
            <w:r w:rsidR="003F5D95">
              <w:rPr>
                <w:rFonts w:ascii="Tahoma" w:hAnsi="Tahoma" w:cs="Tahoma"/>
                <w:sz w:val="17"/>
                <w:szCs w:val="17"/>
              </w:rPr>
              <w:t>202</w:t>
            </w: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2999AFB" w14:textId="123222B1" w:rsidR="00BF2B72" w:rsidRPr="00BF2B72" w:rsidRDefault="00AC0382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BF2B72">
              <w:rPr>
                <w:rFonts w:ascii="Tahoma" w:hAnsi="Tahoma" w:cs="Tahoma"/>
                <w:sz w:val="17"/>
                <w:szCs w:val="17"/>
              </w:rPr>
              <w:t xml:space="preserve">00,0 mil. Kč u PPF do </w:t>
            </w:r>
            <w:r>
              <w:rPr>
                <w:rFonts w:ascii="Tahoma" w:hAnsi="Tahoma" w:cs="Tahoma"/>
                <w:sz w:val="17"/>
                <w:szCs w:val="17"/>
              </w:rPr>
              <w:t>3.</w:t>
            </w:r>
            <w:r w:rsidR="00E775DC">
              <w:rPr>
                <w:rFonts w:ascii="Tahoma" w:hAnsi="Tahoma" w:cs="Tahoma"/>
                <w:sz w:val="17"/>
                <w:szCs w:val="17"/>
              </w:rPr>
              <w:t>11.</w:t>
            </w:r>
            <w:r w:rsidR="00BF2B72">
              <w:rPr>
                <w:rFonts w:ascii="Tahoma" w:hAnsi="Tahoma" w:cs="Tahoma"/>
                <w:sz w:val="17"/>
                <w:szCs w:val="17"/>
              </w:rPr>
              <w:t>2023,</w:t>
            </w:r>
          </w:p>
          <w:p w14:paraId="13E97B8A" w14:textId="1CB0BE88" w:rsidR="009A7A8E" w:rsidRDefault="008B4A5A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9A7A8E">
              <w:rPr>
                <w:rFonts w:ascii="Tahoma" w:hAnsi="Tahoma" w:cs="Tahoma"/>
                <w:sz w:val="17"/>
                <w:szCs w:val="17"/>
              </w:rPr>
              <w:t>00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RFB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>3.</w:t>
            </w:r>
            <w:r w:rsidR="005053CA">
              <w:rPr>
                <w:rFonts w:ascii="Tahoma" w:hAnsi="Tahoma" w:cs="Tahoma"/>
                <w:sz w:val="17"/>
                <w:szCs w:val="17"/>
              </w:rPr>
              <w:t>11.2023</w:t>
            </w:r>
            <w:r w:rsidR="00B953C3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0399EA9" w14:textId="568944DC" w:rsidR="00B953C3" w:rsidRPr="00BF2B72" w:rsidRDefault="00F84728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</w:t>
            </w:r>
            <w:r w:rsidR="000D0334">
              <w:rPr>
                <w:rFonts w:ascii="Tahoma" w:hAnsi="Tahoma" w:cs="Tahoma"/>
                <w:sz w:val="17"/>
                <w:szCs w:val="17"/>
              </w:rPr>
              <w:t>,</w:t>
            </w:r>
            <w:r w:rsidR="00D84472">
              <w:rPr>
                <w:rFonts w:ascii="Tahoma" w:hAnsi="Tahoma" w:cs="Tahoma"/>
                <w:sz w:val="17"/>
                <w:szCs w:val="17"/>
              </w:rPr>
              <w:t>5</w:t>
            </w:r>
            <w:r w:rsidR="000D0334">
              <w:rPr>
                <w:rFonts w:ascii="Tahoma" w:hAnsi="Tahoma" w:cs="Tahoma"/>
                <w:sz w:val="17"/>
                <w:szCs w:val="17"/>
              </w:rPr>
              <w:t xml:space="preserve"> mil. Kč u UCB do </w:t>
            </w:r>
            <w:r w:rsidR="00F05673">
              <w:rPr>
                <w:rFonts w:ascii="Tahoma" w:hAnsi="Tahoma" w:cs="Tahoma"/>
                <w:sz w:val="17"/>
                <w:szCs w:val="17"/>
              </w:rPr>
              <w:t>8</w:t>
            </w:r>
            <w:r w:rsidR="000D0334">
              <w:rPr>
                <w:rFonts w:ascii="Tahoma" w:hAnsi="Tahoma" w:cs="Tahoma"/>
                <w:sz w:val="17"/>
                <w:szCs w:val="17"/>
              </w:rPr>
              <w:t>.</w:t>
            </w:r>
            <w:r w:rsidR="00CE37F7">
              <w:rPr>
                <w:rFonts w:ascii="Tahoma" w:hAnsi="Tahoma" w:cs="Tahoma"/>
                <w:sz w:val="17"/>
                <w:szCs w:val="17"/>
              </w:rPr>
              <w:t>11</w:t>
            </w:r>
            <w:r w:rsidR="000D0334">
              <w:rPr>
                <w:rFonts w:ascii="Tahoma" w:hAnsi="Tahoma" w:cs="Tahoma"/>
                <w:sz w:val="17"/>
                <w:szCs w:val="17"/>
              </w:rPr>
              <w:t>.2023</w:t>
            </w:r>
            <w:r w:rsidR="00AB451E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418" w:type="dxa"/>
            <w:vAlign w:val="center"/>
          </w:tcPr>
          <w:p w14:paraId="0D8862AF" w14:textId="52230CEA" w:rsidR="003F5D95" w:rsidRPr="00FC49AA" w:rsidRDefault="00C678E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2 182,9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43E8A46" w14:textId="36E3268A" w:rsidR="009A7A8E" w:rsidRPr="00FC49AA" w:rsidRDefault="003F5D95" w:rsidP="00BF2B7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</w:t>
            </w:r>
            <w:r w:rsidR="008B4A5A">
              <w:rPr>
                <w:rFonts w:ascii="Tahoma" w:hAnsi="Tahoma" w:cs="Tahoma"/>
                <w:sz w:val="17"/>
                <w:szCs w:val="17"/>
              </w:rPr>
              <w:t>42</w:t>
            </w:r>
            <w:r>
              <w:rPr>
                <w:rFonts w:ascii="Tahoma" w:hAnsi="Tahoma" w:cs="Tahoma"/>
                <w:sz w:val="17"/>
                <w:szCs w:val="17"/>
              </w:rPr>
              <w:t>-6,</w:t>
            </w:r>
            <w:r w:rsidR="00AC0382">
              <w:rPr>
                <w:rFonts w:ascii="Tahoma" w:hAnsi="Tahoma" w:cs="Tahoma"/>
                <w:sz w:val="17"/>
                <w:szCs w:val="17"/>
              </w:rPr>
              <w:t>77</w:t>
            </w:r>
          </w:p>
        </w:tc>
      </w:tr>
      <w:tr w:rsidR="003F5D95" w:rsidRPr="00D15FE2" w14:paraId="4008E550" w14:textId="77777777" w:rsidTr="008D0C71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E27F86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cash-poolingové účty bez výpovědní lhůty</w:t>
            </w:r>
          </w:p>
        </w:tc>
        <w:tc>
          <w:tcPr>
            <w:tcW w:w="5428" w:type="dxa"/>
          </w:tcPr>
          <w:p w14:paraId="7E707F92" w14:textId="3A162881" w:rsidR="003F5D95" w:rsidRPr="00FC49AA" w:rsidRDefault="003F5D95" w:rsidP="00A673F7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fiktivním cash-poolingu (FCP) a současně nejsou uvedeny v jiném typu účtu.</w:t>
            </w:r>
          </w:p>
          <w:p w14:paraId="3CDAF82E" w14:textId="599364A5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C0632A" w:rsidRPr="00C0632A">
              <w:rPr>
                <w:rFonts w:ascii="Tahoma" w:hAnsi="Tahoma" w:cs="Tahoma"/>
                <w:sz w:val="17"/>
                <w:szCs w:val="17"/>
              </w:rPr>
              <w:t xml:space="preserve">2.383,1 mil. Kč 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(KB + UCB + ČSOB). Rozdíl ve výši </w:t>
            </w:r>
            <w:r w:rsidR="00B24F26">
              <w:rPr>
                <w:rFonts w:ascii="Tahoma" w:hAnsi="Tahoma" w:cs="Tahoma"/>
                <w:sz w:val="17"/>
                <w:szCs w:val="17"/>
              </w:rPr>
              <w:t>1.</w:t>
            </w:r>
            <w:r w:rsidR="00BC5585">
              <w:rPr>
                <w:rFonts w:ascii="Tahoma" w:hAnsi="Tahoma" w:cs="Tahoma"/>
                <w:sz w:val="17"/>
                <w:szCs w:val="17"/>
              </w:rPr>
              <w:t>329,7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</w:t>
            </w:r>
            <w:r w:rsidR="00F80AC8" w:rsidRPr="00C0632A">
              <w:rPr>
                <w:rFonts w:ascii="Tahoma" w:hAnsi="Tahoma" w:cs="Tahoma"/>
                <w:sz w:val="17"/>
                <w:szCs w:val="17"/>
              </w:rPr>
              <w:t xml:space="preserve">2.383,1 </w:t>
            </w:r>
            <w:r w:rsidRPr="00FC49AA">
              <w:rPr>
                <w:rFonts w:ascii="Tahoma" w:hAnsi="Tahoma" w:cs="Tahoma"/>
                <w:sz w:val="17"/>
                <w:szCs w:val="17"/>
              </w:rPr>
              <w:t>–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65493">
              <w:rPr>
                <w:rFonts w:ascii="Tahoma" w:hAnsi="Tahoma" w:cs="Tahoma"/>
                <w:sz w:val="17"/>
                <w:szCs w:val="17"/>
              </w:rPr>
              <w:t>1</w:t>
            </w:r>
            <w:r w:rsidR="00F80AC8">
              <w:rPr>
                <w:rFonts w:ascii="Tahoma" w:hAnsi="Tahoma" w:cs="Tahoma"/>
                <w:sz w:val="17"/>
                <w:szCs w:val="17"/>
              </w:rPr>
              <w:t>.053,4</w:t>
            </w:r>
            <w:r w:rsidRPr="00FC49A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FC49A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některé účty základní běžné a účty pro evropské projekty. Nelze tedy hodnoty zůstatků na těchto účtech současně do více kategorií, aby nedošlo k duplicitě zůstatků na účtech.</w:t>
            </w:r>
          </w:p>
          <w:p w14:paraId="376FC52B" w14:textId="111828B6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Tento systém umožňuje dosáhnout i na klasických běžných účtech vyššího úrokového zhodnocení bez jakéhokoli omezení. Do systému jsou dále napojeny i účty </w:t>
            </w:r>
            <w:r w:rsidR="00B80A8F">
              <w:rPr>
                <w:rFonts w:ascii="Tahoma" w:hAnsi="Tahoma" w:cs="Tahoma"/>
                <w:sz w:val="17"/>
                <w:szCs w:val="17"/>
              </w:rPr>
              <w:t>159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příspěvkových organizací kraje vč. Bílovecké nemocnice, a. s., a MSID, a. s., 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které měly v tomto systému zapojeno </w:t>
            </w:r>
            <w:r w:rsidR="00B80190" w:rsidRPr="00B80190">
              <w:rPr>
                <w:rFonts w:ascii="Tahoma" w:hAnsi="Tahoma" w:cs="Tahoma"/>
                <w:sz w:val="17"/>
                <w:szCs w:val="17"/>
              </w:rPr>
              <w:t>3.201,2 mil. Kč (v KB, a.s.: 1.579,9 mil. Kč, v UCB, a.s.: 1.445,9 mil. Kč a v ČSOB: 175,4 mil. Kč)</w:t>
            </w:r>
          </w:p>
        </w:tc>
        <w:tc>
          <w:tcPr>
            <w:tcW w:w="1418" w:type="dxa"/>
            <w:vAlign w:val="center"/>
          </w:tcPr>
          <w:p w14:paraId="55EBCEE6" w14:textId="16FAC1EC" w:rsidR="003F5D95" w:rsidRPr="00FC49AA" w:rsidRDefault="00570974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1 053,4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26D23F2" w14:textId="683345B1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</w:t>
            </w:r>
            <w:r w:rsidR="004D11D1">
              <w:rPr>
                <w:rFonts w:ascii="Tahoma" w:hAnsi="Tahoma" w:cs="Tahoma"/>
                <w:sz w:val="17"/>
                <w:szCs w:val="17"/>
              </w:rPr>
              <w:t>60</w:t>
            </w:r>
            <w:r>
              <w:rPr>
                <w:rFonts w:ascii="Tahoma" w:hAnsi="Tahoma" w:cs="Tahoma"/>
                <w:sz w:val="17"/>
                <w:szCs w:val="17"/>
              </w:rPr>
              <w:t>-6,3</w:t>
            </w:r>
            <w:r w:rsidR="00B3050A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</w:tr>
      <w:tr w:rsidR="003F5D95" w:rsidRPr="00D15FE2" w14:paraId="3E3C6A01" w14:textId="77777777" w:rsidTr="008D0C71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0520535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428" w:type="dxa"/>
            <w:vAlign w:val="center"/>
          </w:tcPr>
          <w:p w14:paraId="559E7F3F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418" w:type="dxa"/>
            <w:vAlign w:val="center"/>
          </w:tcPr>
          <w:p w14:paraId="3C84682E" w14:textId="231BD72D" w:rsidR="003F5D95" w:rsidRPr="00FC49AA" w:rsidRDefault="00B80190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61,2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E9D93D0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3F5D95" w:rsidRPr="00D15FE2" w14:paraId="2321975B" w14:textId="77777777" w:rsidTr="008D0C71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EBB813B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428" w:type="dxa"/>
            <w:vAlign w:val="center"/>
          </w:tcPr>
          <w:p w14:paraId="6A59783E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418" w:type="dxa"/>
            <w:vAlign w:val="center"/>
          </w:tcPr>
          <w:p w14:paraId="0566CB21" w14:textId="505DFC1A" w:rsidR="003F5D95" w:rsidRPr="00FC49AA" w:rsidRDefault="00FF160B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82,4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38B53FB" w14:textId="79085EC2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</w:t>
            </w:r>
            <w:r w:rsidR="00B3050A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</w:tr>
      <w:tr w:rsidR="003F5D95" w:rsidRPr="00D15FE2" w14:paraId="7F4F2FF1" w14:textId="77777777" w:rsidTr="008D0C71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AB8495C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428" w:type="dxa"/>
            <w:vAlign w:val="center"/>
          </w:tcPr>
          <w:p w14:paraId="6AE33D50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2AB41FAC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5B2FDBD4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561145C1" w14:textId="3A3E25C2" w:rsidR="003F5D95" w:rsidRPr="00FC49AA" w:rsidRDefault="0044393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304,7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FADF2F9" w14:textId="109A2B5F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</w:t>
            </w:r>
            <w:r w:rsidR="00B3050A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</w:tr>
      <w:tr w:rsidR="003F5D95" w:rsidRPr="00D15FE2" w14:paraId="42D4500B" w14:textId="77777777" w:rsidTr="008D0C71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EF2990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vAlign w:val="center"/>
          </w:tcPr>
          <w:p w14:paraId="411A3A47" w14:textId="1BCDF32B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>
              <w:rPr>
                <w:rFonts w:ascii="Tahoma" w:hAnsi="Tahoma" w:cs="Tahoma"/>
                <w:sz w:val="17"/>
                <w:szCs w:val="17"/>
              </w:rPr>
              <w:t xml:space="preserve">částka </w:t>
            </w:r>
            <w:r w:rsidR="00E15110">
              <w:rPr>
                <w:rFonts w:ascii="Tahoma" w:hAnsi="Tahoma" w:cs="Tahoma"/>
                <w:sz w:val="17"/>
                <w:szCs w:val="17"/>
              </w:rPr>
              <w:t>306,8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3A7BC7" w14:textId="5EE31142" w:rsidR="004D11D1" w:rsidRPr="00FC49AA" w:rsidRDefault="00443932" w:rsidP="004D11D1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785,5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B4DCC" w14:textId="66794C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</w:t>
            </w:r>
            <w:r w:rsidR="00B3050A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</w:tr>
      <w:tr w:rsidR="003F5D95" w:rsidRPr="00D15FE2" w14:paraId="1ED9D2F2" w14:textId="77777777" w:rsidTr="008D0C71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F9407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vAlign w:val="center"/>
          </w:tcPr>
          <w:p w14:paraId="7EAECF2B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4EA3C7" w14:textId="303BD7D9" w:rsidR="003F5D95" w:rsidRPr="00FC49AA" w:rsidRDefault="00F732B9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  <w:r w:rsidR="00B0727E">
              <w:rPr>
                <w:rFonts w:ascii="Tahoma" w:hAnsi="Tahoma" w:cs="Tahoma"/>
                <w:sz w:val="17"/>
                <w:szCs w:val="17"/>
              </w:rPr>
              <w:t>,1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EDC636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3F5D95" w:rsidRPr="00D15FE2" w14:paraId="48FCFAD1" w14:textId="77777777" w:rsidTr="008D0C71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7E52C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vAlign w:val="center"/>
          </w:tcPr>
          <w:p w14:paraId="7A3A4CFE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A8AF06" w14:textId="2101F93D" w:rsidR="003F5D95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</w:t>
            </w:r>
            <w:r w:rsidR="00E15110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F51A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3F5D95" w:rsidRPr="00D15FE2" w14:paraId="0C29B0F5" w14:textId="77777777" w:rsidTr="008D0C71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2EFAC5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71F0D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EF424" w14:textId="3380CDE3" w:rsidR="003F5D95" w:rsidRPr="00B71303" w:rsidRDefault="00B105B6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 w:rsidRPr="00B105B6">
              <w:rPr>
                <w:rFonts w:ascii="Tahoma" w:hAnsi="Tahoma" w:cs="Tahoma"/>
                <w:b/>
                <w:bCs/>
                <w:sz w:val="17"/>
                <w:szCs w:val="17"/>
              </w:rPr>
              <w:t>7</w:t>
            </w:r>
            <w:r w:rsidR="00F732B9">
              <w:rPr>
                <w:rFonts w:ascii="Tahoma" w:hAnsi="Tahoma" w:cs="Tahoma"/>
                <w:b/>
                <w:bCs/>
                <w:sz w:val="17"/>
                <w:szCs w:val="17"/>
              </w:rPr>
              <w:t> 34</w:t>
            </w:r>
            <w:r w:rsidR="001378E8">
              <w:rPr>
                <w:rFonts w:ascii="Tahoma" w:hAnsi="Tahoma" w:cs="Tahoma"/>
                <w:b/>
                <w:bCs/>
                <w:sz w:val="17"/>
                <w:szCs w:val="17"/>
              </w:rPr>
              <w:t>3</w:t>
            </w:r>
            <w:r w:rsidR="00F732B9">
              <w:rPr>
                <w:rFonts w:ascii="Tahoma" w:hAnsi="Tahoma" w:cs="Tahoma"/>
                <w:b/>
                <w:bCs/>
                <w:sz w:val="17"/>
                <w:szCs w:val="17"/>
              </w:rPr>
              <w:t>,1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8C851" w14:textId="77777777" w:rsidR="003F5D95" w:rsidRPr="00B71303" w:rsidRDefault="003F5D95" w:rsidP="00A673F7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36765F33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455D4C8" w14:textId="12C93E66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Grafy: Rozložení finančních prostředků k</w:t>
      </w:r>
      <w:r w:rsidR="005F3BDB">
        <w:rPr>
          <w:rFonts w:ascii="Tahoma" w:hAnsi="Tahoma" w:cs="Tahoma"/>
          <w:sz w:val="20"/>
          <w:szCs w:val="20"/>
        </w:rPr>
        <w:t> </w:t>
      </w:r>
      <w:r w:rsidR="007648E4">
        <w:rPr>
          <w:rFonts w:ascii="Tahoma" w:hAnsi="Tahoma" w:cs="Tahoma"/>
          <w:sz w:val="20"/>
          <w:szCs w:val="20"/>
        </w:rPr>
        <w:t>3</w:t>
      </w:r>
      <w:r w:rsidR="005F3BDB">
        <w:rPr>
          <w:rFonts w:ascii="Tahoma" w:hAnsi="Tahoma" w:cs="Tahoma"/>
          <w:sz w:val="20"/>
          <w:szCs w:val="20"/>
        </w:rPr>
        <w:t>1.</w:t>
      </w:r>
      <w:r w:rsidR="00E72184">
        <w:rPr>
          <w:rFonts w:ascii="Tahoma" w:hAnsi="Tahoma" w:cs="Tahoma"/>
          <w:sz w:val="20"/>
          <w:szCs w:val="20"/>
        </w:rPr>
        <w:t>10</w:t>
      </w:r>
      <w:r w:rsidR="005F3BDB">
        <w:rPr>
          <w:rFonts w:ascii="Tahoma" w:hAnsi="Tahoma" w:cs="Tahoma"/>
          <w:sz w:val="20"/>
          <w:szCs w:val="20"/>
        </w:rPr>
        <w:t>.2023</w:t>
      </w:r>
      <w:r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6BD0AA5C" w14:textId="34EA056C" w:rsidR="003F5D95" w:rsidRDefault="00630394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10DEE1F2" wp14:editId="3E96AC24">
            <wp:extent cx="5759450" cy="3463925"/>
            <wp:effectExtent l="0" t="0" r="12700" b="3175"/>
            <wp:docPr id="27296040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48BF32A-A40A-472B-E404-B321B5E359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521FB7" w14:textId="77777777" w:rsidR="00DE2FA2" w:rsidRDefault="00DE2FA2" w:rsidP="003F5D95">
      <w:pPr>
        <w:pStyle w:val="Mjtext"/>
        <w:spacing w:before="240"/>
        <w:rPr>
          <w:bCs/>
          <w:iCs/>
        </w:rPr>
      </w:pPr>
    </w:p>
    <w:p w14:paraId="139FC2BB" w14:textId="7998E8D4" w:rsidR="00BB6CB3" w:rsidRDefault="00DE2FA2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620D8F02" wp14:editId="54A54DA9">
            <wp:extent cx="5759450" cy="3411220"/>
            <wp:effectExtent l="0" t="0" r="12700" b="17780"/>
            <wp:docPr id="201387474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D0EAE20-43EC-3D06-CBD1-CE9CFB09D0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E8180F" w14:textId="3E58E22F" w:rsidR="003F5D95" w:rsidRPr="0042568E" w:rsidRDefault="003F5D95" w:rsidP="003F5D95">
      <w:pPr>
        <w:pStyle w:val="Mjtext"/>
        <w:spacing w:before="240"/>
        <w:rPr>
          <w:bCs/>
          <w:iCs/>
        </w:rPr>
      </w:pPr>
      <w:r w:rsidRPr="0042568E">
        <w:rPr>
          <w:bCs/>
          <w:iCs/>
        </w:rPr>
        <w:t xml:space="preserve">Z výše uvedeného </w:t>
      </w:r>
      <w:r>
        <w:rPr>
          <w:bCs/>
          <w:iCs/>
        </w:rPr>
        <w:t>grafu je patrno, že největší podíl úložek (</w:t>
      </w:r>
      <w:r w:rsidR="009F5BE5">
        <w:rPr>
          <w:bCs/>
          <w:iCs/>
        </w:rPr>
        <w:t>9</w:t>
      </w:r>
      <w:r w:rsidR="008B1B9D">
        <w:rPr>
          <w:bCs/>
          <w:iCs/>
        </w:rPr>
        <w:t>7,</w:t>
      </w:r>
      <w:r w:rsidR="008F49ED">
        <w:rPr>
          <w:bCs/>
          <w:iCs/>
        </w:rPr>
        <w:t>3</w:t>
      </w:r>
      <w:r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3B0548">
        <w:rPr>
          <w:bCs/>
          <w:iCs/>
        </w:rPr>
        <w:t>2</w:t>
      </w:r>
      <w:r w:rsidR="00203692">
        <w:rPr>
          <w:bCs/>
          <w:iCs/>
        </w:rPr>
        <w:t>,</w:t>
      </w:r>
      <w:r w:rsidR="00FB1073">
        <w:rPr>
          <w:bCs/>
          <w:iCs/>
        </w:rPr>
        <w:t>7</w:t>
      </w:r>
      <w:r>
        <w:rPr>
          <w:bCs/>
          <w:iCs/>
        </w:rPr>
        <w:t xml:space="preserve"> %) je uložena </w:t>
      </w:r>
      <w:r w:rsidR="0057029A">
        <w:rPr>
          <w:bCs/>
          <w:iCs/>
        </w:rPr>
        <w:t xml:space="preserve">u ostatních </w:t>
      </w:r>
      <w:r>
        <w:rPr>
          <w:bCs/>
          <w:iCs/>
        </w:rPr>
        <w:t>spolupracující</w:t>
      </w:r>
      <w:r w:rsidR="00E97601">
        <w:rPr>
          <w:bCs/>
          <w:iCs/>
        </w:rPr>
        <w:t xml:space="preserve">ch </w:t>
      </w:r>
      <w:r>
        <w:rPr>
          <w:bCs/>
          <w:iCs/>
        </w:rPr>
        <w:t>bankovní</w:t>
      </w:r>
      <w:r w:rsidR="00E97601">
        <w:rPr>
          <w:bCs/>
          <w:iCs/>
        </w:rPr>
        <w:t>ch</w:t>
      </w:r>
      <w:r>
        <w:rPr>
          <w:bCs/>
          <w:iCs/>
        </w:rPr>
        <w:t xml:space="preserve"> dom</w:t>
      </w:r>
      <w:r w:rsidR="00E97601">
        <w:rPr>
          <w:bCs/>
          <w:iCs/>
        </w:rPr>
        <w:t>ů</w:t>
      </w:r>
      <w:r>
        <w:rPr>
          <w:bCs/>
          <w:iCs/>
        </w:rPr>
        <w:t xml:space="preserve"> (</w:t>
      </w:r>
      <w:r w:rsidR="00E97601">
        <w:rPr>
          <w:bCs/>
          <w:iCs/>
        </w:rPr>
        <w:t>konkrétně zejména u JT a minimální úložka u</w:t>
      </w:r>
      <w:r w:rsidR="00E11045">
        <w:rPr>
          <w:bCs/>
          <w:iCs/>
        </w:rPr>
        <w:t> </w:t>
      </w:r>
      <w:r w:rsidR="00E97601">
        <w:rPr>
          <w:bCs/>
          <w:iCs/>
        </w:rPr>
        <w:t>OB</w:t>
      </w:r>
      <w:r w:rsidR="00155304">
        <w:rPr>
          <w:bCs/>
          <w:iCs/>
        </w:rPr>
        <w:t>. U Monety kraj nemá provedenou žádnou úložku).</w:t>
      </w:r>
    </w:p>
    <w:p w14:paraId="40EFFC86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11B98871" w14:textId="77777777" w:rsidR="00DE2FA2" w:rsidRDefault="00DE2FA2" w:rsidP="003F5D95">
      <w:pPr>
        <w:pStyle w:val="Mjtext"/>
        <w:spacing w:before="240"/>
        <w:rPr>
          <w:bCs/>
          <w:iCs/>
          <w:u w:val="single"/>
        </w:rPr>
      </w:pPr>
    </w:p>
    <w:p w14:paraId="4942F7C2" w14:textId="77777777" w:rsidR="00203692" w:rsidRPr="00DB3CB4" w:rsidRDefault="00203692" w:rsidP="00203692">
      <w:pPr>
        <w:pStyle w:val="Mjtext"/>
        <w:spacing w:before="360"/>
        <w:rPr>
          <w:b/>
          <w:iCs/>
          <w:u w:val="single"/>
        </w:rPr>
      </w:pPr>
      <w:r w:rsidRPr="00DB3CB4">
        <w:rPr>
          <w:b/>
          <w:iCs/>
          <w:u w:val="single"/>
        </w:rPr>
        <w:lastRenderedPageBreak/>
        <w:t>Informace k vývoji pohledávky kraje vůči Sberbank CZ, a.s. v likvidaci</w:t>
      </w:r>
    </w:p>
    <w:p w14:paraId="7505AC0A" w14:textId="7FE2F86A" w:rsidR="00682B36" w:rsidRPr="00682B36" w:rsidRDefault="00203692" w:rsidP="0094054F">
      <w:pPr>
        <w:pStyle w:val="Styltab"/>
      </w:pPr>
      <w:r w:rsidRPr="00DB3CB4">
        <w:t>Přehled vývoje pohledávky kraje vůči Sberbank CZ, a.s. v likvidaci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203692" w:rsidRPr="00DB3CB4" w14:paraId="1E7435A9" w14:textId="77777777" w:rsidTr="002C7AED">
        <w:trPr>
          <w:trHeight w:val="56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5F1636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Datum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3FD2B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Popis stavu</w:t>
            </w:r>
          </w:p>
        </w:tc>
      </w:tr>
      <w:tr w:rsidR="00203692" w:rsidRPr="00DB3CB4" w14:paraId="3175753A" w14:textId="77777777" w:rsidTr="002C7AED">
        <w:trPr>
          <w:trHeight w:val="70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6B3B6278" w14:textId="77777777" w:rsidR="00203692" w:rsidRPr="00A0767B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A0767B">
              <w:rPr>
                <w:b/>
                <w:iCs/>
                <w:sz w:val="17"/>
                <w:szCs w:val="17"/>
              </w:rPr>
              <w:t>24.02.2022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</w:tcPr>
          <w:p w14:paraId="603D79C5" w14:textId="4460C633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má u SB uloženo 414,4 mil. Kč (350 mil. Kč na spořícím účtu s 31denní výpovědí a 64,4 mil. Kč na běžném účtu). MSK vyvedl částku z běžného účtu mimo banku a aktivoval výpověď ze spořícího účtu.</w:t>
            </w:r>
            <w:r w:rsidR="002E2A32">
              <w:rPr>
                <w:bCs/>
                <w:iCs/>
                <w:sz w:val="17"/>
                <w:szCs w:val="17"/>
              </w:rPr>
              <w:t xml:space="preserve"> </w:t>
            </w:r>
            <w:r w:rsidR="002E2A32" w:rsidRPr="00A0767B">
              <w:rPr>
                <w:b/>
                <w:iCs/>
                <w:sz w:val="17"/>
                <w:szCs w:val="17"/>
              </w:rPr>
              <w:t>Celková pohledávky vůči bance tak činí 350 mil. Kč.</w:t>
            </w:r>
          </w:p>
        </w:tc>
      </w:tr>
      <w:tr w:rsidR="00203692" w:rsidRPr="00DB3CB4" w14:paraId="0DB25A73" w14:textId="77777777" w:rsidTr="002C7AED">
        <w:trPr>
          <w:trHeight w:val="348"/>
        </w:trPr>
        <w:tc>
          <w:tcPr>
            <w:tcW w:w="1271" w:type="dxa"/>
            <w:tcBorders>
              <w:left w:val="single" w:sz="12" w:space="0" w:color="auto"/>
            </w:tcBorders>
          </w:tcPr>
          <w:p w14:paraId="021EF2D0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30.04.2022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855C6A3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Rozhodnutí ČNB o odnětí bankovní licence nabylo právní moci.</w:t>
            </w:r>
          </w:p>
        </w:tc>
      </w:tr>
      <w:tr w:rsidR="00203692" w:rsidRPr="00DB3CB4" w14:paraId="511CF061" w14:textId="77777777" w:rsidTr="002C7AED">
        <w:trPr>
          <w:trHeight w:val="325"/>
        </w:trPr>
        <w:tc>
          <w:tcPr>
            <w:tcW w:w="1271" w:type="dxa"/>
            <w:tcBorders>
              <w:left w:val="single" w:sz="12" w:space="0" w:color="auto"/>
            </w:tcBorders>
          </w:tcPr>
          <w:p w14:paraId="0E44A24E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21.06.2022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A134A79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přihlásil pohledávky v rámci likvidace banky.</w:t>
            </w:r>
          </w:p>
        </w:tc>
      </w:tr>
      <w:tr w:rsidR="00203692" w:rsidRPr="00DB3CB4" w14:paraId="785D0CC2" w14:textId="77777777" w:rsidTr="002C7AED">
        <w:trPr>
          <w:trHeight w:val="713"/>
        </w:trPr>
        <w:tc>
          <w:tcPr>
            <w:tcW w:w="1271" w:type="dxa"/>
            <w:tcBorders>
              <w:left w:val="single" w:sz="12" w:space="0" w:color="auto"/>
            </w:tcBorders>
          </w:tcPr>
          <w:p w14:paraId="5E3E8CC8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08.08.2022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0ABC2CE" w14:textId="25AEE5CF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RK pověřila usn</w:t>
            </w:r>
            <w:r w:rsidR="00236156">
              <w:rPr>
                <w:bCs/>
                <w:iCs/>
                <w:sz w:val="17"/>
                <w:szCs w:val="17"/>
              </w:rPr>
              <w:t>esením</w:t>
            </w:r>
            <w:r w:rsidRPr="00DB3CB4">
              <w:rPr>
                <w:bCs/>
                <w:iCs/>
                <w:sz w:val="17"/>
                <w:szCs w:val="17"/>
              </w:rPr>
              <w:t xml:space="preserve"> č. 50/3509 náměstka hejtmana Ing. Jaroslava Kaniu zastupováním kraje na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schůzích věřitelů (případně na schůzích věřitelského výboru) a ustanovila jeho zástupcem Mgr.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Martina Vymětala, LL.M., vedoucího oddělení právního.</w:t>
            </w:r>
          </w:p>
        </w:tc>
      </w:tr>
      <w:tr w:rsidR="00203692" w:rsidRPr="00DB3CB4" w14:paraId="5B56DA61" w14:textId="77777777" w:rsidTr="002C7AED">
        <w:trPr>
          <w:trHeight w:val="977"/>
        </w:trPr>
        <w:tc>
          <w:tcPr>
            <w:tcW w:w="1271" w:type="dxa"/>
            <w:tcBorders>
              <w:left w:val="single" w:sz="12" w:space="0" w:color="auto"/>
            </w:tcBorders>
          </w:tcPr>
          <w:p w14:paraId="24BF69F6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06.09.2022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E50C307" w14:textId="27DE46B6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A0767B">
              <w:rPr>
                <w:b/>
                <w:bCs/>
                <w:sz w:val="17"/>
                <w:szCs w:val="17"/>
              </w:rPr>
              <w:t>MSK obdržel od likvidátorky banky oznámení o výši pohledávky v celkové výši 370.540.474,51 Kč</w:t>
            </w:r>
            <w:r w:rsidRPr="00DB3CB4">
              <w:rPr>
                <w:sz w:val="17"/>
                <w:szCs w:val="17"/>
              </w:rPr>
              <w:t xml:space="preserve"> (běžný účet: 3.527.118,34</w:t>
            </w:r>
            <w:r w:rsidR="007744BA">
              <w:rPr>
                <w:sz w:val="17"/>
                <w:szCs w:val="17"/>
              </w:rPr>
              <w:t xml:space="preserve"> Kč</w:t>
            </w:r>
            <w:r w:rsidRPr="00DB3CB4">
              <w:rPr>
                <w:sz w:val="17"/>
                <w:szCs w:val="17"/>
              </w:rPr>
              <w:t xml:space="preserve"> </w:t>
            </w:r>
            <w:r w:rsidRPr="00A0767B">
              <w:rPr>
                <w:b/>
                <w:bCs/>
                <w:sz w:val="17"/>
                <w:szCs w:val="17"/>
              </w:rPr>
              <w:t>z titulu průběžně připisovaných úroků</w:t>
            </w:r>
            <w:r w:rsidRPr="00DB3CB4">
              <w:rPr>
                <w:sz w:val="17"/>
                <w:szCs w:val="17"/>
              </w:rPr>
              <w:t xml:space="preserve"> za</w:t>
            </w:r>
            <w:r w:rsidR="009B598E">
              <w:rPr>
                <w:sz w:val="17"/>
                <w:szCs w:val="17"/>
              </w:rPr>
              <w:t> </w:t>
            </w:r>
            <w:r w:rsidRPr="00DB3CB4">
              <w:rPr>
                <w:sz w:val="17"/>
                <w:szCs w:val="17"/>
              </w:rPr>
              <w:t>02</w:t>
            </w:r>
            <w:r w:rsidR="009B598E">
              <w:rPr>
                <w:sz w:val="17"/>
                <w:szCs w:val="17"/>
              </w:rPr>
              <w:noBreakHyphen/>
            </w:r>
            <w:r w:rsidRPr="00DB3CB4">
              <w:rPr>
                <w:sz w:val="17"/>
                <w:szCs w:val="17"/>
              </w:rPr>
              <w:t xml:space="preserve">07/2022 </w:t>
            </w:r>
            <w:r w:rsidRPr="00A0767B">
              <w:rPr>
                <w:b/>
                <w:bCs/>
                <w:sz w:val="17"/>
                <w:szCs w:val="17"/>
              </w:rPr>
              <w:t>vč. sankčních úroků</w:t>
            </w:r>
            <w:r w:rsidRPr="00DB3CB4">
              <w:rPr>
                <w:sz w:val="17"/>
                <w:szCs w:val="17"/>
              </w:rPr>
              <w:t xml:space="preserve"> a spořící účet: 367.013.356,17 Kč z titulu naběhlých sankčních úroků). Veškeré tyto pohledávky jsou vedeny v rámci účetnictví kraje již na dlouhodobé pohledávce vůči bance.</w:t>
            </w:r>
          </w:p>
        </w:tc>
      </w:tr>
      <w:tr w:rsidR="00203692" w:rsidRPr="00DB3CB4" w14:paraId="0EF6BCFD" w14:textId="77777777" w:rsidTr="002C7AED">
        <w:trPr>
          <w:trHeight w:val="323"/>
        </w:trPr>
        <w:tc>
          <w:tcPr>
            <w:tcW w:w="1271" w:type="dxa"/>
            <w:tcBorders>
              <w:left w:val="single" w:sz="12" w:space="0" w:color="auto"/>
            </w:tcBorders>
          </w:tcPr>
          <w:p w14:paraId="2E04983A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26.08.2022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50AC83" w14:textId="1D25B852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Městský soud v Praze prohlásil na majetek Sberbank CZ, a.s.</w:t>
            </w:r>
            <w:r w:rsidR="000D14F8">
              <w:rPr>
                <w:sz w:val="17"/>
                <w:szCs w:val="17"/>
              </w:rPr>
              <w:t>,</w:t>
            </w:r>
            <w:r w:rsidRPr="00DB3CB4">
              <w:rPr>
                <w:sz w:val="17"/>
                <w:szCs w:val="17"/>
              </w:rPr>
              <w:t xml:space="preserve"> v likvidaci konkurz.</w:t>
            </w:r>
          </w:p>
        </w:tc>
      </w:tr>
      <w:tr w:rsidR="00203692" w:rsidRPr="00DB3CB4" w14:paraId="1F2CDEBE" w14:textId="77777777" w:rsidTr="002C7AED">
        <w:trPr>
          <w:trHeight w:val="551"/>
        </w:trPr>
        <w:tc>
          <w:tcPr>
            <w:tcW w:w="1271" w:type="dxa"/>
            <w:tcBorders>
              <w:left w:val="single" w:sz="12" w:space="0" w:color="auto"/>
            </w:tcBorders>
          </w:tcPr>
          <w:p w14:paraId="2ABCED82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CF07107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Proběhla schůze věřitelů, kde byla ve funkci likvidátorky potvrzena JUDr. Jiřina Lužová (dále jen „IS“), byl stanoven oficiální věřitelský výbor ve složení GSFT, ČNB a firma STEMA-TECH, s.r.o.</w:t>
            </w:r>
          </w:p>
        </w:tc>
      </w:tr>
      <w:tr w:rsidR="00203692" w:rsidRPr="00DB3CB4" w14:paraId="75583CA6" w14:textId="77777777" w:rsidTr="002C7AED">
        <w:trPr>
          <w:trHeight w:val="559"/>
        </w:trPr>
        <w:tc>
          <w:tcPr>
            <w:tcW w:w="1271" w:type="dxa"/>
            <w:tcBorders>
              <w:left w:val="single" w:sz="12" w:space="0" w:color="auto"/>
            </w:tcBorders>
          </w:tcPr>
          <w:p w14:paraId="1769DBE8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14.10.2022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32609F1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Věřitelský výbor rozhodl, aby IS jednala o uzavření kupní smlouvy o prodeji úvěrového portfolia banky s jediným zájemcem, Českou spořitelnou, a.s.</w:t>
            </w:r>
          </w:p>
        </w:tc>
      </w:tr>
      <w:tr w:rsidR="00203692" w:rsidRPr="00DB3CB4" w14:paraId="092ED736" w14:textId="77777777" w:rsidTr="002C7AED">
        <w:tc>
          <w:tcPr>
            <w:tcW w:w="1271" w:type="dxa"/>
            <w:tcBorders>
              <w:left w:val="single" w:sz="12" w:space="0" w:color="auto"/>
            </w:tcBorders>
          </w:tcPr>
          <w:p w14:paraId="551BA995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16.12.2022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145ADF2" w14:textId="2484AD3B" w:rsidR="00203692" w:rsidRPr="00DB3CB4" w:rsidRDefault="00203692" w:rsidP="002C7AED">
            <w:pPr>
              <w:spacing w:after="120"/>
              <w:jc w:val="both"/>
              <w:rPr>
                <w:sz w:val="17"/>
                <w:szCs w:val="17"/>
              </w:rPr>
            </w:pPr>
            <w:r w:rsidRPr="00DB3CB4">
              <w:rPr>
                <w:rFonts w:ascii="Tahoma" w:hAnsi="Tahoma" w:cs="Tahoma"/>
                <w:sz w:val="17"/>
                <w:szCs w:val="17"/>
              </w:rPr>
              <w:t xml:space="preserve">Byla uzavřena smlouva o prodeji banky České spořitelně, a.s., souhlas s prodejem udělil Insolvenční soud, ÚOHS i ČNB, takže byly splněny všechny podmínky k naplnění smlouvy o prodeji v nominální hodnotě 47,1 </w:t>
            </w:r>
            <w:r w:rsidR="002D354D">
              <w:rPr>
                <w:rFonts w:ascii="Tahoma" w:hAnsi="Tahoma" w:cs="Tahoma"/>
                <w:sz w:val="17"/>
                <w:szCs w:val="17"/>
              </w:rPr>
              <w:t>mld. Kč</w:t>
            </w:r>
            <w:r w:rsidRPr="00DB3CB4">
              <w:rPr>
                <w:rFonts w:ascii="Tahoma" w:hAnsi="Tahoma" w:cs="Tahoma"/>
                <w:sz w:val="17"/>
                <w:szCs w:val="17"/>
              </w:rPr>
              <w:t>. Současně došlo k naplnění podmínky prodloužení výjimky ze sankcí Americkým úřadem pro kontrolu zahraničních aktiv až do 31. 1. 2024.</w:t>
            </w:r>
          </w:p>
        </w:tc>
      </w:tr>
      <w:tr w:rsidR="00203692" w:rsidRPr="00DB3CB4" w14:paraId="6F113AEA" w14:textId="77777777" w:rsidTr="0073551B">
        <w:tc>
          <w:tcPr>
            <w:tcW w:w="1271" w:type="dxa"/>
            <w:tcBorders>
              <w:left w:val="single" w:sz="12" w:space="0" w:color="auto"/>
            </w:tcBorders>
          </w:tcPr>
          <w:p w14:paraId="6502F23B" w14:textId="77777777" w:rsidR="00203692" w:rsidRPr="001378E8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1378E8">
              <w:rPr>
                <w:bCs/>
                <w:iCs/>
                <w:sz w:val="17"/>
                <w:szCs w:val="17"/>
              </w:rPr>
              <w:t>05.04.2023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3D13A371" w14:textId="6BE54B2F" w:rsidR="00203692" w:rsidRPr="00A0767B" w:rsidRDefault="00203692" w:rsidP="002C7AED">
            <w:pPr>
              <w:spacing w:after="120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A0767B">
              <w:rPr>
                <w:rFonts w:ascii="Tahoma" w:hAnsi="Tahoma" w:cs="Tahoma"/>
                <w:bCs/>
                <w:sz w:val="17"/>
                <w:szCs w:val="17"/>
              </w:rPr>
              <w:t>Česká spořitelna, a.s., dokončila nákup úvěrového portfolia a převod byl stvrzen zápisem do</w:t>
            </w:r>
            <w:r w:rsidR="00953861">
              <w:rPr>
                <w:rFonts w:ascii="Tahoma" w:hAnsi="Tahoma" w:cs="Tahoma"/>
                <w:bCs/>
                <w:sz w:val="17"/>
                <w:szCs w:val="17"/>
              </w:rPr>
              <w:t> </w:t>
            </w:r>
            <w:r w:rsidRPr="00A0767B">
              <w:rPr>
                <w:rFonts w:ascii="Tahoma" w:hAnsi="Tahoma" w:cs="Tahoma"/>
                <w:bCs/>
                <w:sz w:val="17"/>
                <w:szCs w:val="17"/>
              </w:rPr>
              <w:t>Obchodního rejstříku. Za úvěrové portfolio zaplatila Česká spořitelna, a.s.</w:t>
            </w:r>
            <w:r w:rsidR="00236156" w:rsidRPr="00A0767B">
              <w:rPr>
                <w:rFonts w:ascii="Tahoma" w:hAnsi="Tahoma" w:cs="Tahoma"/>
                <w:bCs/>
                <w:sz w:val="17"/>
                <w:szCs w:val="17"/>
              </w:rPr>
              <w:t>,</w:t>
            </w:r>
            <w:r w:rsidRPr="00A0767B">
              <w:rPr>
                <w:rFonts w:ascii="Tahoma" w:hAnsi="Tahoma" w:cs="Tahoma"/>
                <w:bCs/>
                <w:sz w:val="17"/>
                <w:szCs w:val="17"/>
              </w:rPr>
              <w:t xml:space="preserve"> částku 41,053 mld. Kč.</w:t>
            </w:r>
          </w:p>
          <w:p w14:paraId="3571F002" w14:textId="3046E4A6" w:rsidR="00203692" w:rsidRPr="00A0767B" w:rsidRDefault="00203692" w:rsidP="002C7AED">
            <w:pPr>
              <w:spacing w:after="120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A0767B">
              <w:rPr>
                <w:rFonts w:ascii="Tahoma" w:hAnsi="Tahoma" w:cs="Tahoma"/>
                <w:bCs/>
                <w:sz w:val="17"/>
                <w:szCs w:val="17"/>
              </w:rPr>
              <w:t>K tomu insolvenční správkyně sdělila, že vypořádání pohledávek věřitelů formou částečného rozvrhu by se mohlo uskutečnit ve druhé polovině roku 2023 a mělo by dojít až ke skoro 100% uspokojení věřitelů ve 3.</w:t>
            </w:r>
            <w:r w:rsidR="00236156" w:rsidRPr="00A0767B">
              <w:rPr>
                <w:rFonts w:ascii="Tahoma" w:hAnsi="Tahoma" w:cs="Tahoma"/>
                <w:bCs/>
                <w:sz w:val="17"/>
                <w:szCs w:val="17"/>
              </w:rPr>
              <w:t> </w:t>
            </w:r>
            <w:r w:rsidRPr="00A0767B">
              <w:rPr>
                <w:rFonts w:ascii="Tahoma" w:hAnsi="Tahoma" w:cs="Tahoma"/>
                <w:bCs/>
                <w:sz w:val="17"/>
                <w:szCs w:val="17"/>
              </w:rPr>
              <w:t>skupině, do které spadají i kraje, města, obce a velké společnosti.</w:t>
            </w:r>
          </w:p>
        </w:tc>
      </w:tr>
      <w:tr w:rsidR="0073551B" w:rsidRPr="00DB3CB4" w14:paraId="55C6DBF1" w14:textId="77777777" w:rsidTr="00682B36">
        <w:tc>
          <w:tcPr>
            <w:tcW w:w="1271" w:type="dxa"/>
            <w:tcBorders>
              <w:left w:val="single" w:sz="12" w:space="0" w:color="auto"/>
            </w:tcBorders>
          </w:tcPr>
          <w:p w14:paraId="74EC3EB2" w14:textId="187B045A" w:rsidR="0073551B" w:rsidRPr="00DB3CB4" w:rsidRDefault="0073551B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02.08.2023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62E357E" w14:textId="3369C60D" w:rsidR="0073551B" w:rsidRPr="007E3333" w:rsidRDefault="0073551B" w:rsidP="002C7AED">
            <w:pPr>
              <w:spacing w:after="12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E3333">
              <w:rPr>
                <w:rFonts w:ascii="Tahoma" w:hAnsi="Tahoma" w:cs="Tahoma"/>
                <w:sz w:val="17"/>
                <w:szCs w:val="17"/>
              </w:rPr>
              <w:t xml:space="preserve">Insolvenční správkyně prodala </w:t>
            </w:r>
            <w:r w:rsidR="0083137B" w:rsidRPr="007E3333">
              <w:rPr>
                <w:rFonts w:ascii="Tahoma" w:hAnsi="Tahoma" w:cs="Tahoma"/>
                <w:sz w:val="17"/>
                <w:szCs w:val="17"/>
              </w:rPr>
              <w:t>nevýkonné úvěry o nominální hodnotě 1,3 mld. Kč za 204,2 mil. Kč. Získané prostředky budou rovněž použity na uspokojení pohl</w:t>
            </w:r>
            <w:r w:rsidR="007E3333">
              <w:rPr>
                <w:rFonts w:ascii="Tahoma" w:hAnsi="Tahoma" w:cs="Tahoma"/>
                <w:sz w:val="17"/>
                <w:szCs w:val="17"/>
              </w:rPr>
              <w:t>edávek</w:t>
            </w:r>
            <w:r w:rsidR="0083137B" w:rsidRPr="007E3333">
              <w:rPr>
                <w:rFonts w:ascii="Tahoma" w:hAnsi="Tahoma" w:cs="Tahoma"/>
                <w:sz w:val="17"/>
                <w:szCs w:val="17"/>
              </w:rPr>
              <w:t xml:space="preserve"> věřitelů </w:t>
            </w:r>
            <w:r w:rsidR="007E3333" w:rsidRPr="007E3333">
              <w:rPr>
                <w:rFonts w:ascii="Tahoma" w:hAnsi="Tahoma" w:cs="Tahoma"/>
                <w:sz w:val="17"/>
                <w:szCs w:val="17"/>
              </w:rPr>
              <w:t>formou částečného rozvrhu v posledním čtvrtletí 2023.</w:t>
            </w:r>
          </w:p>
        </w:tc>
      </w:tr>
      <w:tr w:rsidR="00682B36" w:rsidRPr="00DB3CB4" w14:paraId="15C53114" w14:textId="77777777" w:rsidTr="00A0767B">
        <w:tc>
          <w:tcPr>
            <w:tcW w:w="1271" w:type="dxa"/>
            <w:tcBorders>
              <w:left w:val="single" w:sz="12" w:space="0" w:color="auto"/>
            </w:tcBorders>
          </w:tcPr>
          <w:p w14:paraId="0949B770" w14:textId="2EB3C311" w:rsidR="00682B36" w:rsidRDefault="00BB563B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08</w:t>
            </w:r>
            <w:r w:rsidR="004B50B8">
              <w:rPr>
                <w:bCs/>
                <w:iCs/>
                <w:sz w:val="17"/>
                <w:szCs w:val="17"/>
              </w:rPr>
              <w:t>.2023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="004B50B8">
              <w:rPr>
                <w:bCs/>
                <w:iCs/>
                <w:sz w:val="17"/>
                <w:szCs w:val="17"/>
              </w:rPr>
              <w:t>–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="004B50B8">
              <w:rPr>
                <w:bCs/>
                <w:iCs/>
                <w:sz w:val="17"/>
                <w:szCs w:val="17"/>
              </w:rPr>
              <w:t>dosud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6C0EFB22" w14:textId="7BDFC1FA" w:rsidR="00682B36" w:rsidRPr="00682B36" w:rsidRDefault="00120EBE" w:rsidP="002C7AED">
            <w:pPr>
              <w:spacing w:after="12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</w:t>
            </w:r>
            <w:r w:rsidR="004B50B8">
              <w:rPr>
                <w:rFonts w:ascii="Tahoma" w:hAnsi="Tahoma" w:cs="Tahoma"/>
                <w:sz w:val="17"/>
                <w:szCs w:val="17"/>
              </w:rPr>
              <w:t xml:space="preserve">nsolvenční </w:t>
            </w:r>
            <w:r>
              <w:rPr>
                <w:rFonts w:ascii="Tahoma" w:hAnsi="Tahoma" w:cs="Tahoma"/>
                <w:sz w:val="17"/>
                <w:szCs w:val="17"/>
              </w:rPr>
              <w:t>správkyní</w:t>
            </w:r>
            <w:r w:rsidR="004B50B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 xml:space="preserve">jsou </w:t>
            </w:r>
            <w:r w:rsidR="004B50B8">
              <w:rPr>
                <w:rFonts w:ascii="Tahoma" w:hAnsi="Tahoma" w:cs="Tahoma"/>
                <w:sz w:val="17"/>
                <w:szCs w:val="17"/>
              </w:rPr>
              <w:t>vyhlašovaná výběrová</w:t>
            </w:r>
            <w:r w:rsidR="00682B36" w:rsidRPr="00682B36">
              <w:rPr>
                <w:rFonts w:ascii="Tahoma" w:hAnsi="Tahoma" w:cs="Tahoma"/>
                <w:sz w:val="17"/>
                <w:szCs w:val="17"/>
              </w:rPr>
              <w:t xml:space="preserve"> řízení na prodej části hmotného movitého majetku </w:t>
            </w:r>
            <w:r w:rsidR="004B50B8" w:rsidRPr="00682B36">
              <w:rPr>
                <w:rFonts w:ascii="Tahoma" w:hAnsi="Tahoma" w:cs="Tahoma"/>
                <w:sz w:val="17"/>
                <w:szCs w:val="17"/>
              </w:rPr>
              <w:t>náležejících</w:t>
            </w:r>
            <w:r w:rsidR="00682B36" w:rsidRPr="00682B36">
              <w:rPr>
                <w:rFonts w:ascii="Tahoma" w:hAnsi="Tahoma" w:cs="Tahoma"/>
                <w:sz w:val="17"/>
                <w:szCs w:val="17"/>
              </w:rPr>
              <w:t xml:space="preserve"> o do majetkové podstaty Sberbank CZ, a.s. v</w:t>
            </w:r>
            <w:r w:rsidR="004B50B8">
              <w:rPr>
                <w:rFonts w:ascii="Tahoma" w:hAnsi="Tahoma" w:cs="Tahoma"/>
                <w:sz w:val="17"/>
                <w:szCs w:val="17"/>
              </w:rPr>
              <w:t> </w:t>
            </w:r>
            <w:r w:rsidR="00682B36" w:rsidRPr="00682B36">
              <w:rPr>
                <w:rFonts w:ascii="Tahoma" w:hAnsi="Tahoma" w:cs="Tahoma"/>
                <w:sz w:val="17"/>
                <w:szCs w:val="17"/>
              </w:rPr>
              <w:t>likvidaci</w:t>
            </w:r>
            <w:r w:rsidR="004B50B8">
              <w:rPr>
                <w:rFonts w:ascii="Tahoma" w:hAnsi="Tahoma" w:cs="Tahoma"/>
                <w:sz w:val="17"/>
                <w:szCs w:val="17"/>
              </w:rPr>
              <w:t xml:space="preserve"> – </w:t>
            </w:r>
            <w:r w:rsidR="00F40616">
              <w:rPr>
                <w:rFonts w:ascii="Tahoma" w:hAnsi="Tahoma" w:cs="Tahoma"/>
                <w:sz w:val="17"/>
                <w:szCs w:val="17"/>
              </w:rPr>
              <w:t>kancelářský nábytek, IT vybavení bankomaty NCR</w:t>
            </w:r>
            <w:r w:rsidR="00953861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</w:tr>
      <w:tr w:rsidR="001378E8" w:rsidRPr="00DB3CB4" w14:paraId="3EF69B19" w14:textId="77777777" w:rsidTr="002C7AED"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5D0D81A1" w14:textId="07EDB6A6" w:rsidR="001378E8" w:rsidRPr="00A0767B" w:rsidRDefault="001378E8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A0767B">
              <w:rPr>
                <w:b/>
                <w:iCs/>
                <w:sz w:val="17"/>
                <w:szCs w:val="17"/>
              </w:rPr>
              <w:t>06.11.2023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14:paraId="6A32EE8E" w14:textId="24F3896E" w:rsidR="001378E8" w:rsidRPr="00A0767B" w:rsidRDefault="001378E8" w:rsidP="002C7AED">
            <w:pPr>
              <w:spacing w:after="12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A0767B">
              <w:rPr>
                <w:rFonts w:ascii="Tahoma" w:hAnsi="Tahoma" w:cs="Tahoma"/>
                <w:b/>
                <w:sz w:val="17"/>
                <w:szCs w:val="17"/>
              </w:rPr>
              <w:t xml:space="preserve">Insolvenční správkyně zažádala insolvenční soud o schválení výplaty věřitelů formou částečného rozvrhu. </w:t>
            </w:r>
            <w:r w:rsidR="00B419C1">
              <w:rPr>
                <w:rFonts w:ascii="Tahoma" w:hAnsi="Tahoma" w:cs="Tahoma"/>
                <w:b/>
                <w:sz w:val="17"/>
                <w:szCs w:val="17"/>
              </w:rPr>
              <w:t>I</w:t>
            </w:r>
            <w:r w:rsidRPr="00A0767B">
              <w:rPr>
                <w:rFonts w:ascii="Tahoma" w:hAnsi="Tahoma" w:cs="Tahoma"/>
                <w:b/>
                <w:sz w:val="17"/>
                <w:szCs w:val="17"/>
              </w:rPr>
              <w:t xml:space="preserve">nsolvenční soud tento rozvrh </w:t>
            </w:r>
            <w:r w:rsidR="006D705B">
              <w:rPr>
                <w:rFonts w:ascii="Tahoma" w:hAnsi="Tahoma" w:cs="Tahoma"/>
                <w:b/>
                <w:sz w:val="17"/>
                <w:szCs w:val="17"/>
              </w:rPr>
              <w:t xml:space="preserve">dne </w:t>
            </w:r>
            <w:r w:rsidR="00B419C1">
              <w:rPr>
                <w:rFonts w:ascii="Tahoma" w:hAnsi="Tahoma" w:cs="Tahoma"/>
                <w:b/>
                <w:sz w:val="17"/>
                <w:szCs w:val="17"/>
              </w:rPr>
              <w:t>13.</w:t>
            </w:r>
            <w:r w:rsidR="009B598E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="00B419C1">
              <w:rPr>
                <w:rFonts w:ascii="Tahoma" w:hAnsi="Tahoma" w:cs="Tahoma"/>
                <w:b/>
                <w:sz w:val="17"/>
                <w:szCs w:val="17"/>
              </w:rPr>
              <w:t>11.</w:t>
            </w:r>
            <w:r w:rsidR="009B598E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="00B419C1">
              <w:rPr>
                <w:rFonts w:ascii="Tahoma" w:hAnsi="Tahoma" w:cs="Tahoma"/>
                <w:b/>
                <w:sz w:val="17"/>
                <w:szCs w:val="17"/>
              </w:rPr>
              <w:t xml:space="preserve">2023 povolil a správkyně by měla do 60 dnů provést tento částečný rozvrh, kterým by mělo dojít k výplatě </w:t>
            </w:r>
            <w:r w:rsidRPr="00A0767B">
              <w:rPr>
                <w:rFonts w:ascii="Tahoma" w:hAnsi="Tahoma" w:cs="Tahoma"/>
                <w:b/>
                <w:sz w:val="17"/>
                <w:szCs w:val="17"/>
              </w:rPr>
              <w:t xml:space="preserve">95 % pohledávek. V případě MSK by mělo jít o částku 352 mil. Kč.   </w:t>
            </w:r>
          </w:p>
        </w:tc>
      </w:tr>
    </w:tbl>
    <w:p w14:paraId="604BC77C" w14:textId="766045D7" w:rsidR="00203692" w:rsidRPr="000C1AFA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0C1AFA">
        <w:rPr>
          <w:rFonts w:ascii="Tahoma" w:hAnsi="Tahoma" w:cs="Tahoma"/>
          <w:sz w:val="20"/>
          <w:szCs w:val="20"/>
        </w:rPr>
        <w:t>Odbor financí naplňuje pravidla pro nakládání s finančními prostředky kraje schválená radou kraje usnesením č. 51/3637 ze dne 29. 8. 2022 – u systémově významných bank (ČS, ČSOB, KB, RFB, UCB, PPF – nově pro rok 2023) jsou prováděny úložky s maximálně 14denní výpovědní lhůtou, u ostatních bank (JT, OB a MONETA) s maximálně 1denní výpovědní lhůtou. U ČNB je možnost zřizovat vklady až na dobu 9 měsíců.</w:t>
      </w:r>
    </w:p>
    <w:p w14:paraId="5630DB3A" w14:textId="0DFC918E" w:rsidR="00203692" w:rsidRPr="00DB3CB4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5F772E">
        <w:rPr>
          <w:rFonts w:ascii="Tahoma" w:hAnsi="Tahoma" w:cs="Tahoma"/>
          <w:sz w:val="20"/>
          <w:szCs w:val="20"/>
        </w:rPr>
        <w:t>Přes výrazný přesun prostředků k systémově významným bankám se díky růstu úrokových sazeb a dennímu řízení cash flow daří přeplňovat očekávaný příjem z úrokových výnosů. K</w:t>
      </w:r>
      <w:r w:rsidR="00236156">
        <w:rPr>
          <w:rFonts w:ascii="Tahoma" w:hAnsi="Tahoma" w:cs="Tahoma"/>
          <w:sz w:val="20"/>
          <w:szCs w:val="20"/>
        </w:rPr>
        <w:t>e dni</w:t>
      </w:r>
      <w:r w:rsidRPr="005F772E">
        <w:rPr>
          <w:rFonts w:ascii="Tahoma" w:hAnsi="Tahoma" w:cs="Tahoma"/>
          <w:sz w:val="20"/>
          <w:szCs w:val="20"/>
        </w:rPr>
        <w:t xml:space="preserve"> </w:t>
      </w:r>
      <w:r w:rsidR="002B3A35" w:rsidRPr="005F772E">
        <w:rPr>
          <w:rFonts w:ascii="Tahoma" w:hAnsi="Tahoma" w:cs="Tahoma"/>
          <w:sz w:val="20"/>
          <w:szCs w:val="20"/>
        </w:rPr>
        <w:t>3</w:t>
      </w:r>
      <w:r w:rsidR="00630394">
        <w:rPr>
          <w:rFonts w:ascii="Tahoma" w:hAnsi="Tahoma" w:cs="Tahoma"/>
          <w:sz w:val="20"/>
          <w:szCs w:val="20"/>
        </w:rPr>
        <w:t>1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="00630394">
        <w:rPr>
          <w:rFonts w:ascii="Tahoma" w:hAnsi="Tahoma" w:cs="Tahoma"/>
          <w:sz w:val="20"/>
          <w:szCs w:val="20"/>
        </w:rPr>
        <w:t>10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Pr="005F772E">
        <w:rPr>
          <w:rFonts w:ascii="Tahoma" w:hAnsi="Tahoma" w:cs="Tahoma"/>
          <w:sz w:val="20"/>
          <w:szCs w:val="20"/>
        </w:rPr>
        <w:t>202</w:t>
      </w:r>
      <w:r w:rsidR="00C53116">
        <w:rPr>
          <w:rFonts w:ascii="Tahoma" w:hAnsi="Tahoma" w:cs="Tahoma"/>
          <w:sz w:val="20"/>
          <w:szCs w:val="20"/>
        </w:rPr>
        <w:t>3</w:t>
      </w:r>
      <w:r w:rsidRPr="005F772E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376DD5">
        <w:rPr>
          <w:rFonts w:ascii="Tahoma" w:hAnsi="Tahoma" w:cs="Tahoma"/>
          <w:sz w:val="20"/>
          <w:szCs w:val="20"/>
        </w:rPr>
        <w:t>313</w:t>
      </w:r>
      <w:r w:rsidRPr="006B3622">
        <w:rPr>
          <w:rFonts w:ascii="Tahoma" w:hAnsi="Tahoma" w:cs="Tahoma"/>
          <w:sz w:val="20"/>
          <w:szCs w:val="20"/>
        </w:rPr>
        <w:t> mil. Kč (</w:t>
      </w:r>
      <w:r w:rsidR="00B62B0E">
        <w:rPr>
          <w:rFonts w:ascii="Tahoma" w:hAnsi="Tahoma" w:cs="Tahoma"/>
          <w:sz w:val="20"/>
          <w:szCs w:val="20"/>
        </w:rPr>
        <w:t>upravený</w:t>
      </w:r>
      <w:r w:rsidRPr="006B3622">
        <w:rPr>
          <w:rFonts w:ascii="Tahoma" w:hAnsi="Tahoma" w:cs="Tahoma"/>
          <w:sz w:val="20"/>
          <w:szCs w:val="20"/>
        </w:rPr>
        <w:t xml:space="preserve"> rozpočet </w:t>
      </w:r>
      <w:r w:rsidR="00A44A53" w:rsidRPr="006B3622">
        <w:rPr>
          <w:rFonts w:ascii="Tahoma" w:hAnsi="Tahoma" w:cs="Tahoma"/>
          <w:sz w:val="20"/>
          <w:szCs w:val="20"/>
        </w:rPr>
        <w:t>počítá</w:t>
      </w:r>
      <w:r w:rsidRPr="006B3622">
        <w:rPr>
          <w:rFonts w:ascii="Tahoma" w:hAnsi="Tahoma" w:cs="Tahoma"/>
          <w:sz w:val="20"/>
          <w:szCs w:val="20"/>
        </w:rPr>
        <w:t xml:space="preserve"> s částkou </w:t>
      </w:r>
      <w:r w:rsidR="00E17FD8" w:rsidRPr="006B3622">
        <w:rPr>
          <w:rFonts w:ascii="Tahoma" w:hAnsi="Tahoma" w:cs="Tahoma"/>
          <w:sz w:val="20"/>
          <w:szCs w:val="20"/>
        </w:rPr>
        <w:t>1</w:t>
      </w:r>
      <w:r w:rsidR="00B62B0E">
        <w:rPr>
          <w:rFonts w:ascii="Tahoma" w:hAnsi="Tahoma" w:cs="Tahoma"/>
          <w:sz w:val="20"/>
          <w:szCs w:val="20"/>
        </w:rPr>
        <w:t>80</w:t>
      </w:r>
      <w:r w:rsidR="00672EF1">
        <w:rPr>
          <w:rFonts w:ascii="Tahoma" w:hAnsi="Tahoma" w:cs="Tahoma"/>
          <w:sz w:val="20"/>
          <w:szCs w:val="20"/>
        </w:rPr>
        <w:t>,3</w:t>
      </w:r>
      <w:r w:rsidRPr="006B3622">
        <w:rPr>
          <w:rFonts w:ascii="Tahoma" w:hAnsi="Tahoma" w:cs="Tahoma"/>
          <w:sz w:val="20"/>
          <w:szCs w:val="20"/>
        </w:rPr>
        <w:t> mil. Kč).</w:t>
      </w:r>
    </w:p>
    <w:p w14:paraId="0068B2B7" w14:textId="77777777" w:rsidR="00226BB1" w:rsidRDefault="00226BB1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</w:p>
    <w:p w14:paraId="569E08F7" w14:textId="77777777" w:rsidR="00226BB1" w:rsidRDefault="00226BB1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</w:p>
    <w:p w14:paraId="53DB3789" w14:textId="4B9CBA25" w:rsidR="00CD212D" w:rsidRPr="00CD212D" w:rsidRDefault="00CD212D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CD212D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BEE671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a.s.</w:t>
      </w:r>
      <w:r w:rsidRPr="00CD212D">
        <w:rPr>
          <w:rFonts w:cs="Tahoma"/>
          <w:b w:val="0"/>
          <w:sz w:val="18"/>
          <w:szCs w:val="18"/>
        </w:rPr>
        <w:tab/>
        <w:t>akciová společnost</w:t>
      </w:r>
    </w:p>
    <w:p w14:paraId="23F60C3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ČNB</w:t>
      </w:r>
      <w:r w:rsidRPr="00CD212D">
        <w:rPr>
          <w:rFonts w:cs="Tahoma"/>
          <w:b w:val="0"/>
          <w:sz w:val="18"/>
          <w:szCs w:val="18"/>
        </w:rPr>
        <w:tab/>
        <w:t>Česká národní banka</w:t>
      </w:r>
    </w:p>
    <w:p w14:paraId="3140580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</w:t>
      </w:r>
      <w:r w:rsidRPr="00CD212D">
        <w:rPr>
          <w:rFonts w:cs="Tahoma"/>
          <w:b w:val="0"/>
          <w:sz w:val="18"/>
          <w:szCs w:val="18"/>
        </w:rPr>
        <w:tab/>
        <w:t>Česká spořitelna, a. s.</w:t>
      </w:r>
    </w:p>
    <w:p w14:paraId="0C7EC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ČSOB</w:t>
      </w:r>
      <w:r w:rsidRPr="00CD212D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76A675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DPH</w:t>
      </w:r>
      <w:r w:rsidRPr="00CD212D">
        <w:rPr>
          <w:rFonts w:cs="Tahoma"/>
          <w:b w:val="0"/>
          <w:sz w:val="18"/>
          <w:szCs w:val="18"/>
        </w:rPr>
        <w:tab/>
        <w:t>daň z přidané hodnoty</w:t>
      </w:r>
    </w:p>
    <w:p w14:paraId="6AFED853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EIB</w:t>
      </w:r>
      <w:r w:rsidRPr="00CD212D">
        <w:rPr>
          <w:rFonts w:cs="Tahoma"/>
          <w:b w:val="0"/>
          <w:sz w:val="18"/>
          <w:szCs w:val="18"/>
        </w:rPr>
        <w:tab/>
        <w:t>Evropská investiční banka</w:t>
      </w:r>
    </w:p>
    <w:p w14:paraId="4DBDE94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EU</w:t>
      </w:r>
      <w:r w:rsidRPr="00CD212D">
        <w:rPr>
          <w:rFonts w:cs="Tahoma"/>
          <w:b w:val="0"/>
          <w:sz w:val="18"/>
          <w:szCs w:val="18"/>
        </w:rPr>
        <w:tab/>
        <w:t>Evropská unie</w:t>
      </w:r>
    </w:p>
    <w:p w14:paraId="09AA3B42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ICT</w:t>
      </w:r>
      <w:r w:rsidRPr="00CD212D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62B001E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JT</w:t>
      </w:r>
      <w:r w:rsidRPr="00CD212D">
        <w:rPr>
          <w:rFonts w:cs="Tahoma"/>
          <w:b w:val="0"/>
          <w:sz w:val="18"/>
          <w:szCs w:val="18"/>
        </w:rPr>
        <w:tab/>
        <w:t>J&amp;T Banka, a. s.</w:t>
      </w:r>
    </w:p>
    <w:p w14:paraId="154509B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KB</w:t>
      </w:r>
      <w:r w:rsidRPr="00CD212D">
        <w:rPr>
          <w:rFonts w:cs="Tahoma"/>
          <w:b w:val="0"/>
          <w:sz w:val="18"/>
          <w:szCs w:val="18"/>
        </w:rPr>
        <w:tab/>
        <w:t>Komerční banka, a. s.</w:t>
      </w:r>
    </w:p>
    <w:p w14:paraId="149206A0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MONETA</w:t>
      </w:r>
      <w:r w:rsidRPr="00CD212D">
        <w:rPr>
          <w:rFonts w:cs="Tahoma"/>
          <w:b w:val="0"/>
          <w:sz w:val="18"/>
          <w:szCs w:val="18"/>
        </w:rPr>
        <w:tab/>
        <w:t>MONETA Money Bank, a. s.</w:t>
      </w:r>
    </w:p>
    <w:p w14:paraId="4114DF7F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MSK</w:t>
      </w:r>
      <w:r w:rsidRPr="00CD212D">
        <w:rPr>
          <w:rFonts w:cs="Tahoma"/>
          <w:b w:val="0"/>
          <w:sz w:val="18"/>
          <w:szCs w:val="18"/>
        </w:rPr>
        <w:tab/>
        <w:t>Moravskoslezský kraj</w:t>
      </w:r>
    </w:p>
    <w:p w14:paraId="58CEEDE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OB</w:t>
      </w:r>
      <w:r w:rsidRPr="00CD212D">
        <w:rPr>
          <w:rFonts w:cs="Tahoma"/>
          <w:b w:val="0"/>
          <w:sz w:val="18"/>
          <w:szCs w:val="18"/>
        </w:rPr>
        <w:tab/>
        <w:t>Oberbank AG pobočka Česká republika</w:t>
      </w:r>
    </w:p>
    <w:p w14:paraId="15892D1B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p. o.</w:t>
      </w:r>
      <w:r w:rsidRPr="00CD212D">
        <w:rPr>
          <w:rFonts w:cs="Tahoma"/>
          <w:b w:val="0"/>
          <w:sz w:val="18"/>
          <w:szCs w:val="18"/>
        </w:rPr>
        <w:tab/>
        <w:t>příspěvková organizace</w:t>
      </w:r>
    </w:p>
    <w:p w14:paraId="4A94202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PPF</w:t>
      </w:r>
      <w:r w:rsidRPr="00CD212D">
        <w:rPr>
          <w:rFonts w:cs="Tahoma"/>
          <w:b w:val="0"/>
          <w:sz w:val="18"/>
          <w:szCs w:val="18"/>
        </w:rPr>
        <w:tab/>
        <w:t>PPF Banka, a. s.</w:t>
      </w:r>
    </w:p>
    <w:p w14:paraId="2FA24C9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RFB</w:t>
      </w:r>
      <w:r w:rsidRPr="00CD212D">
        <w:rPr>
          <w:rFonts w:cs="Tahoma"/>
          <w:b w:val="0"/>
          <w:sz w:val="18"/>
          <w:szCs w:val="18"/>
        </w:rPr>
        <w:tab/>
        <w:t>Raiffeisenbank, a. s.</w:t>
      </w:r>
    </w:p>
    <w:p w14:paraId="0061F1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RK</w:t>
      </w:r>
      <w:r w:rsidRPr="00CD212D">
        <w:rPr>
          <w:rFonts w:cs="Tahoma"/>
          <w:b w:val="0"/>
          <w:sz w:val="18"/>
          <w:szCs w:val="18"/>
        </w:rPr>
        <w:tab/>
        <w:t>rada kraje</w:t>
      </w:r>
    </w:p>
    <w:p w14:paraId="4882A25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SB</w:t>
      </w:r>
      <w:r w:rsidRPr="00CD212D">
        <w:rPr>
          <w:rFonts w:cs="Tahoma"/>
          <w:b w:val="0"/>
          <w:sz w:val="18"/>
          <w:szCs w:val="18"/>
        </w:rPr>
        <w:tab/>
        <w:t>Sberbank CZ, a. s.</w:t>
      </w:r>
    </w:p>
    <w:p w14:paraId="5699D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s. r. o.</w:t>
      </w:r>
      <w:r w:rsidRPr="00CD212D">
        <w:rPr>
          <w:rFonts w:cs="Tahoma"/>
          <w:b w:val="0"/>
          <w:sz w:val="18"/>
          <w:szCs w:val="18"/>
        </w:rPr>
        <w:tab/>
        <w:t>společnost s ručením omezeným</w:t>
      </w:r>
    </w:p>
    <w:p w14:paraId="66DB8C26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UCB</w:t>
      </w:r>
      <w:r w:rsidRPr="00CD212D">
        <w:rPr>
          <w:rFonts w:cs="Tahoma"/>
          <w:b w:val="0"/>
          <w:sz w:val="18"/>
          <w:szCs w:val="18"/>
        </w:rPr>
        <w:tab/>
        <w:t>UniCredit Bank Czech Republic and Slovakia, a. s.</w:t>
      </w:r>
    </w:p>
    <w:p w14:paraId="0F9C6EC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ZK</w:t>
      </w:r>
      <w:r w:rsidRPr="00CD212D">
        <w:rPr>
          <w:rFonts w:cs="Tahoma"/>
          <w:b w:val="0"/>
          <w:sz w:val="18"/>
          <w:szCs w:val="18"/>
        </w:rPr>
        <w:tab/>
        <w:t>zastupitelstvo kraje</w:t>
      </w:r>
    </w:p>
    <w:p w14:paraId="7F520A53" w14:textId="77777777" w:rsidR="00CD212D" w:rsidRPr="00CD212D" w:rsidRDefault="00CD212D" w:rsidP="00CD212D">
      <w:pPr>
        <w:pStyle w:val="Mjtext"/>
        <w:spacing w:before="240"/>
        <w:rPr>
          <w:bCs/>
          <w:iCs/>
        </w:rPr>
      </w:pPr>
    </w:p>
    <w:p w14:paraId="479FADCC" w14:textId="77777777" w:rsidR="00CD212D" w:rsidRPr="00CD212D" w:rsidRDefault="00CD212D" w:rsidP="00302761">
      <w:pPr>
        <w:pStyle w:val="Mjtext"/>
        <w:spacing w:before="240"/>
        <w:rPr>
          <w:bCs/>
          <w:iCs/>
          <w:u w:val="single"/>
        </w:rPr>
      </w:pPr>
    </w:p>
    <w:sectPr w:rsidR="00CD212D" w:rsidRPr="00CD212D" w:rsidSect="00F26F08"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2D87" w14:textId="77777777" w:rsidR="00EA4C48" w:rsidRDefault="00EA4C48" w:rsidP="00107CD8">
      <w:r>
        <w:separator/>
      </w:r>
    </w:p>
  </w:endnote>
  <w:endnote w:type="continuationSeparator" w:id="0">
    <w:p w14:paraId="56A09BC7" w14:textId="77777777" w:rsidR="00EA4C48" w:rsidRDefault="00EA4C48" w:rsidP="00107CD8">
      <w:r>
        <w:continuationSeparator/>
      </w:r>
    </w:p>
  </w:endnote>
  <w:endnote w:type="continuationNotice" w:id="1">
    <w:p w14:paraId="0A6C7B7C" w14:textId="77777777" w:rsidR="00EA4C48" w:rsidRDefault="00EA4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18580" w14:textId="77777777" w:rsidR="00095E6B" w:rsidRPr="00095E6B" w:rsidRDefault="00095E6B" w:rsidP="00095E6B">
    <w:pPr>
      <w:ind w:left="-851"/>
      <w:rPr>
        <w:rFonts w:ascii="Calibri" w:hAnsi="Calibri" w:cs="Calibri"/>
        <w:color w:val="000000"/>
        <w:sz w:val="18"/>
      </w:rPr>
    </w:pPr>
    <w:r w:rsidRPr="00095E6B">
      <w:rPr>
        <w:rFonts w:ascii="Calibri" w:hAnsi="Calibri" w:cs="Calibri"/>
        <w:color w:val="000000"/>
        <w:sz w:val="18"/>
      </w:rPr>
      <w:t>Klasifikace informací: Neveřejné</w:t>
    </w:r>
  </w:p>
  <w:p w14:paraId="3ECC459B" w14:textId="77777777" w:rsidR="00107CD8" w:rsidRDefault="00107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10E3" w14:textId="77777777" w:rsidR="0071133B" w:rsidRPr="00095E6B" w:rsidRDefault="0071133B" w:rsidP="00095E6B">
    <w:pPr>
      <w:ind w:left="-851"/>
      <w:rPr>
        <w:rFonts w:ascii="Calibri" w:hAnsi="Calibri" w:cs="Calibri"/>
        <w:color w:val="000000"/>
        <w:sz w:val="18"/>
      </w:rPr>
    </w:pPr>
    <w:r w:rsidRPr="00095E6B">
      <w:rPr>
        <w:rFonts w:ascii="Calibri" w:hAnsi="Calibri" w:cs="Calibri"/>
        <w:color w:val="000000"/>
        <w:sz w:val="18"/>
      </w:rPr>
      <w:t>Klasifikace informací: Neveřejné</w:t>
    </w:r>
  </w:p>
  <w:p w14:paraId="1F1E3947" w14:textId="77777777" w:rsidR="0071133B" w:rsidRDefault="00711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3B67" w14:textId="77777777" w:rsidR="00EA4C48" w:rsidRDefault="00EA4C48" w:rsidP="00107CD8">
      <w:r>
        <w:separator/>
      </w:r>
    </w:p>
  </w:footnote>
  <w:footnote w:type="continuationSeparator" w:id="0">
    <w:p w14:paraId="6A18632C" w14:textId="77777777" w:rsidR="00EA4C48" w:rsidRDefault="00EA4C48" w:rsidP="00107CD8">
      <w:r>
        <w:continuationSeparator/>
      </w:r>
    </w:p>
  </w:footnote>
  <w:footnote w:type="continuationNotice" w:id="1">
    <w:p w14:paraId="00E5C551" w14:textId="77777777" w:rsidR="00EA4C48" w:rsidRDefault="00EA4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CF3" w14:textId="6633B062" w:rsidR="000A725A" w:rsidRPr="00434448" w:rsidRDefault="00D66D4E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E0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A9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EC2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FEC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D4B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45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0B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8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C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7CF786F"/>
    <w:multiLevelType w:val="multilevel"/>
    <w:tmpl w:val="B9D8191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3C13"/>
    <w:multiLevelType w:val="hybridMultilevel"/>
    <w:tmpl w:val="8B8040FE"/>
    <w:lvl w:ilvl="0" w:tplc="6FC2F6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6643740">
    <w:abstractNumId w:val="13"/>
  </w:num>
  <w:num w:numId="2" w16cid:durableId="1041132141">
    <w:abstractNumId w:val="18"/>
  </w:num>
  <w:num w:numId="3" w16cid:durableId="370543251">
    <w:abstractNumId w:val="14"/>
  </w:num>
  <w:num w:numId="4" w16cid:durableId="1583948991">
    <w:abstractNumId w:val="16"/>
  </w:num>
  <w:num w:numId="5" w16cid:durableId="433214551">
    <w:abstractNumId w:val="11"/>
  </w:num>
  <w:num w:numId="6" w16cid:durableId="450831701">
    <w:abstractNumId w:val="12"/>
  </w:num>
  <w:num w:numId="7" w16cid:durableId="372114650">
    <w:abstractNumId w:val="10"/>
  </w:num>
  <w:num w:numId="8" w16cid:durableId="842091171">
    <w:abstractNumId w:val="15"/>
  </w:num>
  <w:num w:numId="9" w16cid:durableId="2136823726">
    <w:abstractNumId w:val="17"/>
  </w:num>
  <w:num w:numId="10" w16cid:durableId="1949971979">
    <w:abstractNumId w:val="9"/>
  </w:num>
  <w:num w:numId="11" w16cid:durableId="11492804">
    <w:abstractNumId w:val="8"/>
  </w:num>
  <w:num w:numId="12" w16cid:durableId="284846180">
    <w:abstractNumId w:val="7"/>
  </w:num>
  <w:num w:numId="13" w16cid:durableId="1402630895">
    <w:abstractNumId w:val="6"/>
  </w:num>
  <w:num w:numId="14" w16cid:durableId="392966733">
    <w:abstractNumId w:val="5"/>
  </w:num>
  <w:num w:numId="15" w16cid:durableId="2144538150">
    <w:abstractNumId w:val="4"/>
  </w:num>
  <w:num w:numId="16" w16cid:durableId="1450009368">
    <w:abstractNumId w:val="3"/>
  </w:num>
  <w:num w:numId="17" w16cid:durableId="350423987">
    <w:abstractNumId w:val="2"/>
  </w:num>
  <w:num w:numId="18" w16cid:durableId="1917590525">
    <w:abstractNumId w:val="1"/>
  </w:num>
  <w:num w:numId="19" w16cid:durableId="19691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SortMethod w:val="000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10ED7"/>
    <w:rsid w:val="0001315D"/>
    <w:rsid w:val="000141B1"/>
    <w:rsid w:val="00016184"/>
    <w:rsid w:val="00017CC1"/>
    <w:rsid w:val="00022032"/>
    <w:rsid w:val="000222FF"/>
    <w:rsid w:val="00024F03"/>
    <w:rsid w:val="00026A02"/>
    <w:rsid w:val="00032AA9"/>
    <w:rsid w:val="000347A5"/>
    <w:rsid w:val="00035FD7"/>
    <w:rsid w:val="0003756E"/>
    <w:rsid w:val="000442DB"/>
    <w:rsid w:val="00057CF9"/>
    <w:rsid w:val="000606EB"/>
    <w:rsid w:val="000644B6"/>
    <w:rsid w:val="000651F1"/>
    <w:rsid w:val="00065476"/>
    <w:rsid w:val="000700A8"/>
    <w:rsid w:val="000708F7"/>
    <w:rsid w:val="000737AB"/>
    <w:rsid w:val="00075612"/>
    <w:rsid w:val="00076886"/>
    <w:rsid w:val="00083947"/>
    <w:rsid w:val="00084076"/>
    <w:rsid w:val="0008615B"/>
    <w:rsid w:val="00094717"/>
    <w:rsid w:val="00095E6B"/>
    <w:rsid w:val="000A05F4"/>
    <w:rsid w:val="000A3306"/>
    <w:rsid w:val="000A47AB"/>
    <w:rsid w:val="000A6801"/>
    <w:rsid w:val="000A6CCA"/>
    <w:rsid w:val="000A725A"/>
    <w:rsid w:val="000A73AD"/>
    <w:rsid w:val="000B0BBF"/>
    <w:rsid w:val="000B151D"/>
    <w:rsid w:val="000B2AA9"/>
    <w:rsid w:val="000B39E5"/>
    <w:rsid w:val="000C1AFA"/>
    <w:rsid w:val="000C5D90"/>
    <w:rsid w:val="000D0334"/>
    <w:rsid w:val="000D14F8"/>
    <w:rsid w:val="000D2301"/>
    <w:rsid w:val="000D2DC4"/>
    <w:rsid w:val="000E06A9"/>
    <w:rsid w:val="000E5252"/>
    <w:rsid w:val="000E7863"/>
    <w:rsid w:val="000F1985"/>
    <w:rsid w:val="001030EC"/>
    <w:rsid w:val="001058AE"/>
    <w:rsid w:val="00107C40"/>
    <w:rsid w:val="00107CD8"/>
    <w:rsid w:val="001107EB"/>
    <w:rsid w:val="00110C05"/>
    <w:rsid w:val="0011620B"/>
    <w:rsid w:val="001207C5"/>
    <w:rsid w:val="00120EBE"/>
    <w:rsid w:val="00123BAA"/>
    <w:rsid w:val="00125107"/>
    <w:rsid w:val="0012656E"/>
    <w:rsid w:val="00126F72"/>
    <w:rsid w:val="001328D5"/>
    <w:rsid w:val="00133676"/>
    <w:rsid w:val="001378E8"/>
    <w:rsid w:val="00143805"/>
    <w:rsid w:val="00151339"/>
    <w:rsid w:val="001546DF"/>
    <w:rsid w:val="00154DAD"/>
    <w:rsid w:val="00155304"/>
    <w:rsid w:val="0015720C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0CD1"/>
    <w:rsid w:val="00191659"/>
    <w:rsid w:val="001A2570"/>
    <w:rsid w:val="001A3C8A"/>
    <w:rsid w:val="001A6DE2"/>
    <w:rsid w:val="001B0006"/>
    <w:rsid w:val="001C7908"/>
    <w:rsid w:val="001D45FB"/>
    <w:rsid w:val="001E0586"/>
    <w:rsid w:val="001E45DA"/>
    <w:rsid w:val="001F2C5B"/>
    <w:rsid w:val="001F42EF"/>
    <w:rsid w:val="001F4F6A"/>
    <w:rsid w:val="001F7345"/>
    <w:rsid w:val="00200497"/>
    <w:rsid w:val="00203692"/>
    <w:rsid w:val="00203779"/>
    <w:rsid w:val="00205D31"/>
    <w:rsid w:val="00206A02"/>
    <w:rsid w:val="0020726F"/>
    <w:rsid w:val="00211EF1"/>
    <w:rsid w:val="0021211C"/>
    <w:rsid w:val="0021244D"/>
    <w:rsid w:val="00212FD9"/>
    <w:rsid w:val="002145C9"/>
    <w:rsid w:val="00214E49"/>
    <w:rsid w:val="00216A8B"/>
    <w:rsid w:val="00216E15"/>
    <w:rsid w:val="00223209"/>
    <w:rsid w:val="00226BB1"/>
    <w:rsid w:val="00235D64"/>
    <w:rsid w:val="00236156"/>
    <w:rsid w:val="00241466"/>
    <w:rsid w:val="002415C2"/>
    <w:rsid w:val="002431B8"/>
    <w:rsid w:val="00246D47"/>
    <w:rsid w:val="00246EFA"/>
    <w:rsid w:val="00247437"/>
    <w:rsid w:val="00250544"/>
    <w:rsid w:val="00251837"/>
    <w:rsid w:val="00256419"/>
    <w:rsid w:val="00260951"/>
    <w:rsid w:val="0026535C"/>
    <w:rsid w:val="0026747E"/>
    <w:rsid w:val="00267B11"/>
    <w:rsid w:val="00270ADC"/>
    <w:rsid w:val="00272291"/>
    <w:rsid w:val="00276278"/>
    <w:rsid w:val="00281699"/>
    <w:rsid w:val="00291946"/>
    <w:rsid w:val="002A0D60"/>
    <w:rsid w:val="002A385F"/>
    <w:rsid w:val="002A3988"/>
    <w:rsid w:val="002A4845"/>
    <w:rsid w:val="002A634F"/>
    <w:rsid w:val="002A7A15"/>
    <w:rsid w:val="002B0BDB"/>
    <w:rsid w:val="002B3633"/>
    <w:rsid w:val="002B3A35"/>
    <w:rsid w:val="002B556A"/>
    <w:rsid w:val="002B60A0"/>
    <w:rsid w:val="002B685D"/>
    <w:rsid w:val="002B77B5"/>
    <w:rsid w:val="002C444C"/>
    <w:rsid w:val="002C6278"/>
    <w:rsid w:val="002C719A"/>
    <w:rsid w:val="002D265B"/>
    <w:rsid w:val="002D354D"/>
    <w:rsid w:val="002D7F3E"/>
    <w:rsid w:val="002E129E"/>
    <w:rsid w:val="002E268F"/>
    <w:rsid w:val="002E2A32"/>
    <w:rsid w:val="002E76A5"/>
    <w:rsid w:val="002F218C"/>
    <w:rsid w:val="002F31AE"/>
    <w:rsid w:val="002F3DA2"/>
    <w:rsid w:val="002F534A"/>
    <w:rsid w:val="002F7B0D"/>
    <w:rsid w:val="003000C4"/>
    <w:rsid w:val="0030090E"/>
    <w:rsid w:val="00302761"/>
    <w:rsid w:val="003051BE"/>
    <w:rsid w:val="0030573B"/>
    <w:rsid w:val="00305798"/>
    <w:rsid w:val="003068BD"/>
    <w:rsid w:val="003070CE"/>
    <w:rsid w:val="003170EC"/>
    <w:rsid w:val="00321B61"/>
    <w:rsid w:val="00321D21"/>
    <w:rsid w:val="00323EBC"/>
    <w:rsid w:val="003249CD"/>
    <w:rsid w:val="00324C94"/>
    <w:rsid w:val="00325DB7"/>
    <w:rsid w:val="00333E7E"/>
    <w:rsid w:val="003351B9"/>
    <w:rsid w:val="00345B79"/>
    <w:rsid w:val="003501CD"/>
    <w:rsid w:val="003510C3"/>
    <w:rsid w:val="00355D7A"/>
    <w:rsid w:val="0036397F"/>
    <w:rsid w:val="00363C95"/>
    <w:rsid w:val="00371354"/>
    <w:rsid w:val="00371DEC"/>
    <w:rsid w:val="00376DD5"/>
    <w:rsid w:val="003840E5"/>
    <w:rsid w:val="00384AA6"/>
    <w:rsid w:val="00390559"/>
    <w:rsid w:val="003905F4"/>
    <w:rsid w:val="00391B6B"/>
    <w:rsid w:val="00393825"/>
    <w:rsid w:val="003947C2"/>
    <w:rsid w:val="003966FC"/>
    <w:rsid w:val="003977A9"/>
    <w:rsid w:val="003A1B18"/>
    <w:rsid w:val="003A21AE"/>
    <w:rsid w:val="003A41AD"/>
    <w:rsid w:val="003A6A72"/>
    <w:rsid w:val="003B0548"/>
    <w:rsid w:val="003B0A8E"/>
    <w:rsid w:val="003B18D8"/>
    <w:rsid w:val="003B240A"/>
    <w:rsid w:val="003B4889"/>
    <w:rsid w:val="003C0583"/>
    <w:rsid w:val="003C1577"/>
    <w:rsid w:val="003C24AF"/>
    <w:rsid w:val="003C3A3C"/>
    <w:rsid w:val="003D0196"/>
    <w:rsid w:val="003D03D6"/>
    <w:rsid w:val="003D2083"/>
    <w:rsid w:val="003D5110"/>
    <w:rsid w:val="003E05C1"/>
    <w:rsid w:val="003E4197"/>
    <w:rsid w:val="003E7770"/>
    <w:rsid w:val="003E7DDF"/>
    <w:rsid w:val="003F2557"/>
    <w:rsid w:val="003F2BB8"/>
    <w:rsid w:val="003F369B"/>
    <w:rsid w:val="003F59B2"/>
    <w:rsid w:val="003F5D95"/>
    <w:rsid w:val="003F5FE4"/>
    <w:rsid w:val="00401397"/>
    <w:rsid w:val="00407028"/>
    <w:rsid w:val="00415A23"/>
    <w:rsid w:val="00415E83"/>
    <w:rsid w:val="00423E26"/>
    <w:rsid w:val="00425400"/>
    <w:rsid w:val="004262F0"/>
    <w:rsid w:val="00434448"/>
    <w:rsid w:val="0044110A"/>
    <w:rsid w:val="00443932"/>
    <w:rsid w:val="004447EE"/>
    <w:rsid w:val="00446AFF"/>
    <w:rsid w:val="00452E61"/>
    <w:rsid w:val="004530CE"/>
    <w:rsid w:val="0045531F"/>
    <w:rsid w:val="00460D5F"/>
    <w:rsid w:val="00470BBA"/>
    <w:rsid w:val="00471174"/>
    <w:rsid w:val="00471E23"/>
    <w:rsid w:val="004802A6"/>
    <w:rsid w:val="00481275"/>
    <w:rsid w:val="00482821"/>
    <w:rsid w:val="00490E84"/>
    <w:rsid w:val="00490FBE"/>
    <w:rsid w:val="004936C4"/>
    <w:rsid w:val="00497490"/>
    <w:rsid w:val="004975CD"/>
    <w:rsid w:val="004A26BA"/>
    <w:rsid w:val="004A3025"/>
    <w:rsid w:val="004A4689"/>
    <w:rsid w:val="004A4853"/>
    <w:rsid w:val="004A5C22"/>
    <w:rsid w:val="004A76E3"/>
    <w:rsid w:val="004B4AC1"/>
    <w:rsid w:val="004B50B8"/>
    <w:rsid w:val="004B5F82"/>
    <w:rsid w:val="004C0EE8"/>
    <w:rsid w:val="004C27E4"/>
    <w:rsid w:val="004D0F97"/>
    <w:rsid w:val="004D11D1"/>
    <w:rsid w:val="004D3967"/>
    <w:rsid w:val="004D4E11"/>
    <w:rsid w:val="004D5E41"/>
    <w:rsid w:val="004D7ED9"/>
    <w:rsid w:val="004E02D4"/>
    <w:rsid w:val="004E054A"/>
    <w:rsid w:val="004E38FB"/>
    <w:rsid w:val="005004AC"/>
    <w:rsid w:val="00504587"/>
    <w:rsid w:val="005053CA"/>
    <w:rsid w:val="00510499"/>
    <w:rsid w:val="00514D15"/>
    <w:rsid w:val="00515326"/>
    <w:rsid w:val="0051709C"/>
    <w:rsid w:val="00522029"/>
    <w:rsid w:val="005254D7"/>
    <w:rsid w:val="00527558"/>
    <w:rsid w:val="00527CB9"/>
    <w:rsid w:val="00530755"/>
    <w:rsid w:val="00532774"/>
    <w:rsid w:val="005337DE"/>
    <w:rsid w:val="00533997"/>
    <w:rsid w:val="0053506B"/>
    <w:rsid w:val="005360B0"/>
    <w:rsid w:val="005416CB"/>
    <w:rsid w:val="00543713"/>
    <w:rsid w:val="00544CA8"/>
    <w:rsid w:val="00547E93"/>
    <w:rsid w:val="00550C19"/>
    <w:rsid w:val="005573E0"/>
    <w:rsid w:val="00557D56"/>
    <w:rsid w:val="00562AE9"/>
    <w:rsid w:val="00565493"/>
    <w:rsid w:val="0057029A"/>
    <w:rsid w:val="00570974"/>
    <w:rsid w:val="0057376F"/>
    <w:rsid w:val="0057510B"/>
    <w:rsid w:val="005822D8"/>
    <w:rsid w:val="005840DB"/>
    <w:rsid w:val="00586097"/>
    <w:rsid w:val="00591229"/>
    <w:rsid w:val="00593EAF"/>
    <w:rsid w:val="00596469"/>
    <w:rsid w:val="00597541"/>
    <w:rsid w:val="005A0854"/>
    <w:rsid w:val="005A3E1E"/>
    <w:rsid w:val="005A63E0"/>
    <w:rsid w:val="005B3B03"/>
    <w:rsid w:val="005B685D"/>
    <w:rsid w:val="005C1B79"/>
    <w:rsid w:val="005C233A"/>
    <w:rsid w:val="005C42BF"/>
    <w:rsid w:val="005D1689"/>
    <w:rsid w:val="005D6824"/>
    <w:rsid w:val="005D720F"/>
    <w:rsid w:val="005F1508"/>
    <w:rsid w:val="005F3BDB"/>
    <w:rsid w:val="005F4263"/>
    <w:rsid w:val="005F46CB"/>
    <w:rsid w:val="005F4C7E"/>
    <w:rsid w:val="005F53A1"/>
    <w:rsid w:val="005F5908"/>
    <w:rsid w:val="005F772E"/>
    <w:rsid w:val="00610996"/>
    <w:rsid w:val="00615CD2"/>
    <w:rsid w:val="0061717B"/>
    <w:rsid w:val="00617A03"/>
    <w:rsid w:val="00617DD5"/>
    <w:rsid w:val="00620F7D"/>
    <w:rsid w:val="00625B16"/>
    <w:rsid w:val="00630394"/>
    <w:rsid w:val="0063157A"/>
    <w:rsid w:val="006319B6"/>
    <w:rsid w:val="006329EF"/>
    <w:rsid w:val="00641F60"/>
    <w:rsid w:val="00642818"/>
    <w:rsid w:val="00644BA7"/>
    <w:rsid w:val="00650669"/>
    <w:rsid w:val="006525A4"/>
    <w:rsid w:val="00654680"/>
    <w:rsid w:val="006673F7"/>
    <w:rsid w:val="00670297"/>
    <w:rsid w:val="0067135F"/>
    <w:rsid w:val="00671822"/>
    <w:rsid w:val="00672EF1"/>
    <w:rsid w:val="00674596"/>
    <w:rsid w:val="006805C8"/>
    <w:rsid w:val="00682B36"/>
    <w:rsid w:val="00684D19"/>
    <w:rsid w:val="006859C9"/>
    <w:rsid w:val="0068658F"/>
    <w:rsid w:val="006900DF"/>
    <w:rsid w:val="00694930"/>
    <w:rsid w:val="006968D0"/>
    <w:rsid w:val="006975F2"/>
    <w:rsid w:val="006A3390"/>
    <w:rsid w:val="006A688E"/>
    <w:rsid w:val="006A744F"/>
    <w:rsid w:val="006B02D7"/>
    <w:rsid w:val="006B1040"/>
    <w:rsid w:val="006B2EBE"/>
    <w:rsid w:val="006B3622"/>
    <w:rsid w:val="006C74C6"/>
    <w:rsid w:val="006D705B"/>
    <w:rsid w:val="006E0804"/>
    <w:rsid w:val="006E1B88"/>
    <w:rsid w:val="006E2485"/>
    <w:rsid w:val="006E4C6B"/>
    <w:rsid w:val="006E54B7"/>
    <w:rsid w:val="006F18DF"/>
    <w:rsid w:val="006F1E3D"/>
    <w:rsid w:val="006F54B0"/>
    <w:rsid w:val="00700C29"/>
    <w:rsid w:val="007023A0"/>
    <w:rsid w:val="007045C5"/>
    <w:rsid w:val="0070539B"/>
    <w:rsid w:val="0071133B"/>
    <w:rsid w:val="007113DA"/>
    <w:rsid w:val="00714959"/>
    <w:rsid w:val="007208D4"/>
    <w:rsid w:val="00720E27"/>
    <w:rsid w:val="007212EB"/>
    <w:rsid w:val="00721CE1"/>
    <w:rsid w:val="00726609"/>
    <w:rsid w:val="007272C2"/>
    <w:rsid w:val="00727BBA"/>
    <w:rsid w:val="0073155E"/>
    <w:rsid w:val="00731844"/>
    <w:rsid w:val="0073512B"/>
    <w:rsid w:val="0073551B"/>
    <w:rsid w:val="00737866"/>
    <w:rsid w:val="007378BB"/>
    <w:rsid w:val="007424F4"/>
    <w:rsid w:val="007439B2"/>
    <w:rsid w:val="00745AC7"/>
    <w:rsid w:val="00754B3E"/>
    <w:rsid w:val="00755CD6"/>
    <w:rsid w:val="00762CB7"/>
    <w:rsid w:val="00763926"/>
    <w:rsid w:val="007648E4"/>
    <w:rsid w:val="0077142B"/>
    <w:rsid w:val="007744BA"/>
    <w:rsid w:val="00774802"/>
    <w:rsid w:val="0077639E"/>
    <w:rsid w:val="007809D1"/>
    <w:rsid w:val="00784A4E"/>
    <w:rsid w:val="0078685C"/>
    <w:rsid w:val="00786DA1"/>
    <w:rsid w:val="00787590"/>
    <w:rsid w:val="00794B3D"/>
    <w:rsid w:val="00794F6D"/>
    <w:rsid w:val="00795323"/>
    <w:rsid w:val="007966BC"/>
    <w:rsid w:val="007A2BCE"/>
    <w:rsid w:val="007A73D1"/>
    <w:rsid w:val="007C018C"/>
    <w:rsid w:val="007C4778"/>
    <w:rsid w:val="007C5452"/>
    <w:rsid w:val="007D53D6"/>
    <w:rsid w:val="007E3333"/>
    <w:rsid w:val="007E3A5F"/>
    <w:rsid w:val="007E46CF"/>
    <w:rsid w:val="007E4F2E"/>
    <w:rsid w:val="007E5812"/>
    <w:rsid w:val="007F13A7"/>
    <w:rsid w:val="007F54C7"/>
    <w:rsid w:val="007F5BFA"/>
    <w:rsid w:val="007F5E29"/>
    <w:rsid w:val="008018E3"/>
    <w:rsid w:val="00801D1C"/>
    <w:rsid w:val="0080428A"/>
    <w:rsid w:val="00806BE4"/>
    <w:rsid w:val="00811B4E"/>
    <w:rsid w:val="008155A7"/>
    <w:rsid w:val="00815ABF"/>
    <w:rsid w:val="00816974"/>
    <w:rsid w:val="00821B7F"/>
    <w:rsid w:val="0083137B"/>
    <w:rsid w:val="00833636"/>
    <w:rsid w:val="00835FFE"/>
    <w:rsid w:val="00837EF7"/>
    <w:rsid w:val="00843D26"/>
    <w:rsid w:val="00843D76"/>
    <w:rsid w:val="008450CE"/>
    <w:rsid w:val="008455A4"/>
    <w:rsid w:val="00846696"/>
    <w:rsid w:val="008508C6"/>
    <w:rsid w:val="00852833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1F7D"/>
    <w:rsid w:val="008833D1"/>
    <w:rsid w:val="0088480C"/>
    <w:rsid w:val="0088482B"/>
    <w:rsid w:val="00885404"/>
    <w:rsid w:val="00885E00"/>
    <w:rsid w:val="008860ED"/>
    <w:rsid w:val="00887094"/>
    <w:rsid w:val="00890109"/>
    <w:rsid w:val="0089621B"/>
    <w:rsid w:val="008A601B"/>
    <w:rsid w:val="008B1B9D"/>
    <w:rsid w:val="008B4A5A"/>
    <w:rsid w:val="008B700C"/>
    <w:rsid w:val="008C1071"/>
    <w:rsid w:val="008C3662"/>
    <w:rsid w:val="008C4131"/>
    <w:rsid w:val="008C7B50"/>
    <w:rsid w:val="008D0C71"/>
    <w:rsid w:val="008D4334"/>
    <w:rsid w:val="008E06B3"/>
    <w:rsid w:val="008E52A6"/>
    <w:rsid w:val="008F08CC"/>
    <w:rsid w:val="008F21B4"/>
    <w:rsid w:val="008F2564"/>
    <w:rsid w:val="008F49ED"/>
    <w:rsid w:val="008F5229"/>
    <w:rsid w:val="008F5E91"/>
    <w:rsid w:val="0090744E"/>
    <w:rsid w:val="00907C80"/>
    <w:rsid w:val="009177A9"/>
    <w:rsid w:val="00923B80"/>
    <w:rsid w:val="00925F2E"/>
    <w:rsid w:val="00931B03"/>
    <w:rsid w:val="0094008B"/>
    <w:rsid w:val="009404D2"/>
    <w:rsid w:val="00940EE8"/>
    <w:rsid w:val="00944686"/>
    <w:rsid w:val="00944AF0"/>
    <w:rsid w:val="00945530"/>
    <w:rsid w:val="009459D1"/>
    <w:rsid w:val="0095214B"/>
    <w:rsid w:val="00953861"/>
    <w:rsid w:val="0095394D"/>
    <w:rsid w:val="0095443D"/>
    <w:rsid w:val="00955895"/>
    <w:rsid w:val="00955D18"/>
    <w:rsid w:val="00955FFE"/>
    <w:rsid w:val="00963A81"/>
    <w:rsid w:val="009730F7"/>
    <w:rsid w:val="00976BA3"/>
    <w:rsid w:val="00981A56"/>
    <w:rsid w:val="00983290"/>
    <w:rsid w:val="00987D00"/>
    <w:rsid w:val="00990267"/>
    <w:rsid w:val="00991BEB"/>
    <w:rsid w:val="00995E84"/>
    <w:rsid w:val="009A533A"/>
    <w:rsid w:val="009A77B9"/>
    <w:rsid w:val="009A7A8E"/>
    <w:rsid w:val="009B1181"/>
    <w:rsid w:val="009B38A4"/>
    <w:rsid w:val="009B598E"/>
    <w:rsid w:val="009B65BA"/>
    <w:rsid w:val="009C205D"/>
    <w:rsid w:val="009C282C"/>
    <w:rsid w:val="009D2004"/>
    <w:rsid w:val="009D204D"/>
    <w:rsid w:val="009D4B4D"/>
    <w:rsid w:val="009E1F05"/>
    <w:rsid w:val="009E2480"/>
    <w:rsid w:val="009F5BE5"/>
    <w:rsid w:val="009F7EF2"/>
    <w:rsid w:val="00A00930"/>
    <w:rsid w:val="00A029DB"/>
    <w:rsid w:val="00A0767B"/>
    <w:rsid w:val="00A1047E"/>
    <w:rsid w:val="00A10481"/>
    <w:rsid w:val="00A12BBE"/>
    <w:rsid w:val="00A16A17"/>
    <w:rsid w:val="00A303AB"/>
    <w:rsid w:val="00A31DAA"/>
    <w:rsid w:val="00A326B7"/>
    <w:rsid w:val="00A32B2B"/>
    <w:rsid w:val="00A424FA"/>
    <w:rsid w:val="00A43EE3"/>
    <w:rsid w:val="00A449A2"/>
    <w:rsid w:val="00A44A53"/>
    <w:rsid w:val="00A4686D"/>
    <w:rsid w:val="00A509F2"/>
    <w:rsid w:val="00A552E0"/>
    <w:rsid w:val="00A6198F"/>
    <w:rsid w:val="00A64B30"/>
    <w:rsid w:val="00A6549F"/>
    <w:rsid w:val="00A66D6B"/>
    <w:rsid w:val="00A673E0"/>
    <w:rsid w:val="00A71732"/>
    <w:rsid w:val="00A72704"/>
    <w:rsid w:val="00A8158E"/>
    <w:rsid w:val="00A83449"/>
    <w:rsid w:val="00A915B0"/>
    <w:rsid w:val="00A928DB"/>
    <w:rsid w:val="00A9330A"/>
    <w:rsid w:val="00A938FB"/>
    <w:rsid w:val="00A93CDE"/>
    <w:rsid w:val="00A95BE5"/>
    <w:rsid w:val="00A96444"/>
    <w:rsid w:val="00A974D9"/>
    <w:rsid w:val="00AA05D0"/>
    <w:rsid w:val="00AA5003"/>
    <w:rsid w:val="00AA531E"/>
    <w:rsid w:val="00AA631D"/>
    <w:rsid w:val="00AA7AC0"/>
    <w:rsid w:val="00AA7BA4"/>
    <w:rsid w:val="00AB451E"/>
    <w:rsid w:val="00AB53A2"/>
    <w:rsid w:val="00AB5F69"/>
    <w:rsid w:val="00AC011D"/>
    <w:rsid w:val="00AC0382"/>
    <w:rsid w:val="00AC1B38"/>
    <w:rsid w:val="00AC247D"/>
    <w:rsid w:val="00AC3541"/>
    <w:rsid w:val="00AC38A2"/>
    <w:rsid w:val="00AC5396"/>
    <w:rsid w:val="00AD1889"/>
    <w:rsid w:val="00AD1D8B"/>
    <w:rsid w:val="00AD3BA3"/>
    <w:rsid w:val="00AD7689"/>
    <w:rsid w:val="00AE0B21"/>
    <w:rsid w:val="00AE0E41"/>
    <w:rsid w:val="00AE1D8C"/>
    <w:rsid w:val="00AE41FD"/>
    <w:rsid w:val="00AE6835"/>
    <w:rsid w:val="00AF2774"/>
    <w:rsid w:val="00AF45DB"/>
    <w:rsid w:val="00B05E2D"/>
    <w:rsid w:val="00B0727E"/>
    <w:rsid w:val="00B103C0"/>
    <w:rsid w:val="00B105B6"/>
    <w:rsid w:val="00B12229"/>
    <w:rsid w:val="00B16451"/>
    <w:rsid w:val="00B21D65"/>
    <w:rsid w:val="00B2387A"/>
    <w:rsid w:val="00B24F26"/>
    <w:rsid w:val="00B262F1"/>
    <w:rsid w:val="00B26FAA"/>
    <w:rsid w:val="00B3050A"/>
    <w:rsid w:val="00B32254"/>
    <w:rsid w:val="00B322ED"/>
    <w:rsid w:val="00B3279E"/>
    <w:rsid w:val="00B3519A"/>
    <w:rsid w:val="00B4045E"/>
    <w:rsid w:val="00B419C1"/>
    <w:rsid w:val="00B422DB"/>
    <w:rsid w:val="00B431F0"/>
    <w:rsid w:val="00B4577A"/>
    <w:rsid w:val="00B46156"/>
    <w:rsid w:val="00B4672F"/>
    <w:rsid w:val="00B505E3"/>
    <w:rsid w:val="00B517C4"/>
    <w:rsid w:val="00B54691"/>
    <w:rsid w:val="00B55C08"/>
    <w:rsid w:val="00B575B2"/>
    <w:rsid w:val="00B62B0E"/>
    <w:rsid w:val="00B705BD"/>
    <w:rsid w:val="00B71303"/>
    <w:rsid w:val="00B71CD1"/>
    <w:rsid w:val="00B71D7E"/>
    <w:rsid w:val="00B723EA"/>
    <w:rsid w:val="00B76704"/>
    <w:rsid w:val="00B76F7F"/>
    <w:rsid w:val="00B80190"/>
    <w:rsid w:val="00B807EC"/>
    <w:rsid w:val="00B80A8F"/>
    <w:rsid w:val="00B81056"/>
    <w:rsid w:val="00B82336"/>
    <w:rsid w:val="00B82AA1"/>
    <w:rsid w:val="00B835E8"/>
    <w:rsid w:val="00B910E5"/>
    <w:rsid w:val="00B92772"/>
    <w:rsid w:val="00B92A05"/>
    <w:rsid w:val="00B936CB"/>
    <w:rsid w:val="00B953C3"/>
    <w:rsid w:val="00B977E8"/>
    <w:rsid w:val="00B97BF9"/>
    <w:rsid w:val="00BA164B"/>
    <w:rsid w:val="00BA514D"/>
    <w:rsid w:val="00BB1434"/>
    <w:rsid w:val="00BB143C"/>
    <w:rsid w:val="00BB1D61"/>
    <w:rsid w:val="00BB2555"/>
    <w:rsid w:val="00BB563B"/>
    <w:rsid w:val="00BB6CB3"/>
    <w:rsid w:val="00BC39C4"/>
    <w:rsid w:val="00BC5585"/>
    <w:rsid w:val="00BC571D"/>
    <w:rsid w:val="00BD78D6"/>
    <w:rsid w:val="00BE0676"/>
    <w:rsid w:val="00BE2093"/>
    <w:rsid w:val="00BE5E79"/>
    <w:rsid w:val="00BE64BD"/>
    <w:rsid w:val="00BE7DFB"/>
    <w:rsid w:val="00BF03AD"/>
    <w:rsid w:val="00BF2B72"/>
    <w:rsid w:val="00BF5BBE"/>
    <w:rsid w:val="00C01683"/>
    <w:rsid w:val="00C0282D"/>
    <w:rsid w:val="00C02C05"/>
    <w:rsid w:val="00C03327"/>
    <w:rsid w:val="00C05CC9"/>
    <w:rsid w:val="00C0632A"/>
    <w:rsid w:val="00C0707E"/>
    <w:rsid w:val="00C16D99"/>
    <w:rsid w:val="00C21108"/>
    <w:rsid w:val="00C27C74"/>
    <w:rsid w:val="00C31C0D"/>
    <w:rsid w:val="00C34E33"/>
    <w:rsid w:val="00C43633"/>
    <w:rsid w:val="00C47B92"/>
    <w:rsid w:val="00C50548"/>
    <w:rsid w:val="00C511C2"/>
    <w:rsid w:val="00C51860"/>
    <w:rsid w:val="00C53116"/>
    <w:rsid w:val="00C57BB0"/>
    <w:rsid w:val="00C60FD9"/>
    <w:rsid w:val="00C639BF"/>
    <w:rsid w:val="00C678E2"/>
    <w:rsid w:val="00C71DAB"/>
    <w:rsid w:val="00C73441"/>
    <w:rsid w:val="00C735E3"/>
    <w:rsid w:val="00C7689A"/>
    <w:rsid w:val="00C773D6"/>
    <w:rsid w:val="00C84BB7"/>
    <w:rsid w:val="00C860E8"/>
    <w:rsid w:val="00C873C5"/>
    <w:rsid w:val="00C9204D"/>
    <w:rsid w:val="00C926BC"/>
    <w:rsid w:val="00C92EA8"/>
    <w:rsid w:val="00CA2A4C"/>
    <w:rsid w:val="00CA2FBF"/>
    <w:rsid w:val="00CA3248"/>
    <w:rsid w:val="00CA360E"/>
    <w:rsid w:val="00CA5205"/>
    <w:rsid w:val="00CB2A40"/>
    <w:rsid w:val="00CB43DC"/>
    <w:rsid w:val="00CB68DF"/>
    <w:rsid w:val="00CB730D"/>
    <w:rsid w:val="00CC0DAF"/>
    <w:rsid w:val="00CC22FF"/>
    <w:rsid w:val="00CC2398"/>
    <w:rsid w:val="00CC2DD8"/>
    <w:rsid w:val="00CC3C88"/>
    <w:rsid w:val="00CD11C3"/>
    <w:rsid w:val="00CD212D"/>
    <w:rsid w:val="00CE0124"/>
    <w:rsid w:val="00CE37F7"/>
    <w:rsid w:val="00D0111F"/>
    <w:rsid w:val="00D0271C"/>
    <w:rsid w:val="00D03CD9"/>
    <w:rsid w:val="00D04095"/>
    <w:rsid w:val="00D10499"/>
    <w:rsid w:val="00D1057A"/>
    <w:rsid w:val="00D1286A"/>
    <w:rsid w:val="00D1292D"/>
    <w:rsid w:val="00D2562C"/>
    <w:rsid w:val="00D319FE"/>
    <w:rsid w:val="00D337A4"/>
    <w:rsid w:val="00D342BC"/>
    <w:rsid w:val="00D37217"/>
    <w:rsid w:val="00D404EF"/>
    <w:rsid w:val="00D40AA0"/>
    <w:rsid w:val="00D40D20"/>
    <w:rsid w:val="00D41F46"/>
    <w:rsid w:val="00D43DF5"/>
    <w:rsid w:val="00D50D85"/>
    <w:rsid w:val="00D612D0"/>
    <w:rsid w:val="00D6348D"/>
    <w:rsid w:val="00D64F36"/>
    <w:rsid w:val="00D66D4E"/>
    <w:rsid w:val="00D70CFB"/>
    <w:rsid w:val="00D73A34"/>
    <w:rsid w:val="00D75078"/>
    <w:rsid w:val="00D752E4"/>
    <w:rsid w:val="00D84472"/>
    <w:rsid w:val="00D84578"/>
    <w:rsid w:val="00D8556F"/>
    <w:rsid w:val="00D8734A"/>
    <w:rsid w:val="00D8757F"/>
    <w:rsid w:val="00D916C9"/>
    <w:rsid w:val="00D931DC"/>
    <w:rsid w:val="00D95FF5"/>
    <w:rsid w:val="00D96D02"/>
    <w:rsid w:val="00D9781A"/>
    <w:rsid w:val="00D97B18"/>
    <w:rsid w:val="00DB0BF9"/>
    <w:rsid w:val="00DB1410"/>
    <w:rsid w:val="00DB3FE3"/>
    <w:rsid w:val="00DB5BA8"/>
    <w:rsid w:val="00DB7AF0"/>
    <w:rsid w:val="00DC2993"/>
    <w:rsid w:val="00DC346E"/>
    <w:rsid w:val="00DC4801"/>
    <w:rsid w:val="00DC7262"/>
    <w:rsid w:val="00DC74D9"/>
    <w:rsid w:val="00DD4280"/>
    <w:rsid w:val="00DE2FA2"/>
    <w:rsid w:val="00DE414C"/>
    <w:rsid w:val="00DF4A6D"/>
    <w:rsid w:val="00DF50C8"/>
    <w:rsid w:val="00DF6268"/>
    <w:rsid w:val="00E018FF"/>
    <w:rsid w:val="00E0661B"/>
    <w:rsid w:val="00E079AA"/>
    <w:rsid w:val="00E10345"/>
    <w:rsid w:val="00E11045"/>
    <w:rsid w:val="00E15110"/>
    <w:rsid w:val="00E1634F"/>
    <w:rsid w:val="00E17FD8"/>
    <w:rsid w:val="00E23310"/>
    <w:rsid w:val="00E3032D"/>
    <w:rsid w:val="00E32C15"/>
    <w:rsid w:val="00E40EF0"/>
    <w:rsid w:val="00E411A0"/>
    <w:rsid w:val="00E42CF7"/>
    <w:rsid w:val="00E42E4E"/>
    <w:rsid w:val="00E505E1"/>
    <w:rsid w:val="00E50982"/>
    <w:rsid w:val="00E52721"/>
    <w:rsid w:val="00E53D78"/>
    <w:rsid w:val="00E54ABC"/>
    <w:rsid w:val="00E5573E"/>
    <w:rsid w:val="00E616C5"/>
    <w:rsid w:val="00E66DC7"/>
    <w:rsid w:val="00E67D9B"/>
    <w:rsid w:val="00E711FE"/>
    <w:rsid w:val="00E72184"/>
    <w:rsid w:val="00E7229F"/>
    <w:rsid w:val="00E73644"/>
    <w:rsid w:val="00E736FB"/>
    <w:rsid w:val="00E763B9"/>
    <w:rsid w:val="00E775DC"/>
    <w:rsid w:val="00E80147"/>
    <w:rsid w:val="00E817EF"/>
    <w:rsid w:val="00E85625"/>
    <w:rsid w:val="00E87B62"/>
    <w:rsid w:val="00E91F36"/>
    <w:rsid w:val="00E95F22"/>
    <w:rsid w:val="00E96E87"/>
    <w:rsid w:val="00E97601"/>
    <w:rsid w:val="00EA4C48"/>
    <w:rsid w:val="00EB108B"/>
    <w:rsid w:val="00EB3CAF"/>
    <w:rsid w:val="00EB4A72"/>
    <w:rsid w:val="00EB639A"/>
    <w:rsid w:val="00EC1779"/>
    <w:rsid w:val="00EC6529"/>
    <w:rsid w:val="00ED2D03"/>
    <w:rsid w:val="00ED2ED2"/>
    <w:rsid w:val="00EE7811"/>
    <w:rsid w:val="00EF285C"/>
    <w:rsid w:val="00EF62F4"/>
    <w:rsid w:val="00EF6DAD"/>
    <w:rsid w:val="00F02FEB"/>
    <w:rsid w:val="00F03BF6"/>
    <w:rsid w:val="00F0508B"/>
    <w:rsid w:val="00F05673"/>
    <w:rsid w:val="00F10FB3"/>
    <w:rsid w:val="00F138A6"/>
    <w:rsid w:val="00F1615C"/>
    <w:rsid w:val="00F16C02"/>
    <w:rsid w:val="00F17478"/>
    <w:rsid w:val="00F23A12"/>
    <w:rsid w:val="00F267CD"/>
    <w:rsid w:val="00F2680A"/>
    <w:rsid w:val="00F26F08"/>
    <w:rsid w:val="00F2722D"/>
    <w:rsid w:val="00F3021F"/>
    <w:rsid w:val="00F31C88"/>
    <w:rsid w:val="00F33079"/>
    <w:rsid w:val="00F34CE7"/>
    <w:rsid w:val="00F366D5"/>
    <w:rsid w:val="00F3782F"/>
    <w:rsid w:val="00F40616"/>
    <w:rsid w:val="00F432EE"/>
    <w:rsid w:val="00F4411E"/>
    <w:rsid w:val="00F44285"/>
    <w:rsid w:val="00F449BA"/>
    <w:rsid w:val="00F47666"/>
    <w:rsid w:val="00F503D8"/>
    <w:rsid w:val="00F52DDD"/>
    <w:rsid w:val="00F577F8"/>
    <w:rsid w:val="00F6190C"/>
    <w:rsid w:val="00F641D8"/>
    <w:rsid w:val="00F65AC6"/>
    <w:rsid w:val="00F66845"/>
    <w:rsid w:val="00F732B9"/>
    <w:rsid w:val="00F80AC8"/>
    <w:rsid w:val="00F81E18"/>
    <w:rsid w:val="00F84728"/>
    <w:rsid w:val="00F857A1"/>
    <w:rsid w:val="00F862F1"/>
    <w:rsid w:val="00F87D58"/>
    <w:rsid w:val="00F93882"/>
    <w:rsid w:val="00F948C7"/>
    <w:rsid w:val="00FA69B4"/>
    <w:rsid w:val="00FA6B22"/>
    <w:rsid w:val="00FA719B"/>
    <w:rsid w:val="00FB1073"/>
    <w:rsid w:val="00FB3FE5"/>
    <w:rsid w:val="00FB5A23"/>
    <w:rsid w:val="00FB60AD"/>
    <w:rsid w:val="00FB63D7"/>
    <w:rsid w:val="00FC1EC7"/>
    <w:rsid w:val="00FC319B"/>
    <w:rsid w:val="00FC49AA"/>
    <w:rsid w:val="00FD0FD7"/>
    <w:rsid w:val="00FD4A3D"/>
    <w:rsid w:val="00FD7F31"/>
    <w:rsid w:val="00FE3D19"/>
    <w:rsid w:val="00FE4294"/>
    <w:rsid w:val="00FE7521"/>
    <w:rsid w:val="00FF160B"/>
    <w:rsid w:val="00FF21EB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F857A1"/>
    <w:p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857A1"/>
    <w:rPr>
      <w:rFonts w:ascii="Tahoma" w:eastAsia="Times New Roman" w:hAnsi="Tahoma" w:cs="Tahoma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0A73AD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sz w:val="20"/>
      <w:szCs w:val="20"/>
    </w:rPr>
  </w:style>
  <w:style w:type="character" w:customStyle="1" w:styleId="StyltabChar">
    <w:name w:val="Styl tab. Char"/>
    <w:basedOn w:val="Standardnpsmoodstavce"/>
    <w:link w:val="Styltab"/>
    <w:rsid w:val="000A73AD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27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2704"/>
    <w:rPr>
      <w:b/>
      <w:bCs/>
    </w:rPr>
  </w:style>
  <w:style w:type="paragraph" w:styleId="Normlnweb">
    <w:name w:val="Normal (Web)"/>
    <w:basedOn w:val="Normln"/>
    <w:uiPriority w:val="99"/>
    <w:unhideWhenUsed/>
    <w:rsid w:val="00A72704"/>
    <w:pPr>
      <w:spacing w:before="100" w:beforeAutospacing="1" w:after="100" w:afterAutospacing="1"/>
    </w:pPr>
  </w:style>
  <w:style w:type="paragraph" w:customStyle="1" w:styleId="xl33">
    <w:name w:val="xl33"/>
    <w:basedOn w:val="Normln"/>
    <w:rsid w:val="00CD212D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BE5E79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  <w:style w:type="paragraph" w:styleId="Revize">
    <w:name w:val="Revision"/>
    <w:hidden/>
    <w:uiPriority w:val="99"/>
    <w:semiHidden/>
    <w:rsid w:val="00D9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10_2023/2023_10_31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10_2023/2023_10_31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31. 10. 2023 dle typů účtů v %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BB-4734-9C5F-1CD457AA6A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B-4734-9C5F-1CD457AA6A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B-4734-9C5F-1CD457AA6A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BB-4734-9C5F-1CD457AA6A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8BB-4734-9C5F-1CD457AA6AE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8BB-4734-9C5F-1CD457AA6AE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8BB-4734-9C5F-1CD457AA6AE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8BB-4734-9C5F-1CD457AA6AE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8BB-4734-9C5F-1CD457AA6AE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8BB-4734-9C5F-1CD457AA6AEB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B-4734-9C5F-1CD457AA6AEB}"/>
                </c:ext>
              </c:extLst>
            </c:dLbl>
            <c:dLbl>
              <c:idx val="1"/>
              <c:layout>
                <c:manualLayout>
                  <c:x val="6.7609463710653184E-2"/>
                  <c:y val="-9.243252612291387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BB-4734-9C5F-1CD457AA6AEB}"/>
                </c:ext>
              </c:extLst>
            </c:dLbl>
            <c:dLbl>
              <c:idx val="2"/>
              <c:layout>
                <c:manualLayout>
                  <c:x val="8.1324770573890898E-2"/>
                  <c:y val="1.1429703362551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BB-4734-9C5F-1CD457AA6AEB}"/>
                </c:ext>
              </c:extLst>
            </c:dLbl>
            <c:dLbl>
              <c:idx val="3"/>
              <c:layout>
                <c:manualLayout>
                  <c:x val="-3.6021816421883436E-2"/>
                  <c:y val="3.21712969841034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BB-4734-9C5F-1CD457AA6AEB}"/>
                </c:ext>
              </c:extLst>
            </c:dLbl>
            <c:dLbl>
              <c:idx val="4"/>
              <c:layout>
                <c:manualLayout>
                  <c:x val="-5.1203365536754732E-2"/>
                  <c:y val="8.78915960976576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BB-4734-9C5F-1CD457AA6AEB}"/>
                </c:ext>
              </c:extLst>
            </c:dLbl>
            <c:dLbl>
              <c:idx val="5"/>
              <c:layout>
                <c:manualLayout>
                  <c:x val="-4.4360157108021082E-2"/>
                  <c:y val="3.37059872232952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BB-4734-9C5F-1CD457AA6AEB}"/>
                </c:ext>
              </c:extLst>
            </c:dLbl>
            <c:dLbl>
              <c:idx val="6"/>
              <c:layout>
                <c:manualLayout>
                  <c:x val="-0.14397833126427004"/>
                  <c:y val="-4.39013546771365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BB-4734-9C5F-1CD457AA6AEB}"/>
                </c:ext>
              </c:extLst>
            </c:dLbl>
            <c:dLbl>
              <c:idx val="7"/>
              <c:layout>
                <c:manualLayout>
                  <c:x val="-0.15129398186928761"/>
                  <c:y val="-0.1193183281335116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BB-4734-9C5F-1CD457AA6AEB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BB-4734-9C5F-1CD457AA6AEB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8BB-4734-9C5F-1CD457AA6AE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8BB-4734-9C5F-1CD457AA6AE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24.633523645790572</c:v>
                </c:pt>
                <c:pt idx="1">
                  <c:v>4.0856603643534051</c:v>
                </c:pt>
                <c:pt idx="2">
                  <c:v>10.374765236383166</c:v>
                </c:pt>
                <c:pt idx="3">
                  <c:v>29.728987597822346</c:v>
                </c:pt>
                <c:pt idx="4">
                  <c:v>14.346586549658028</c:v>
                </c:pt>
                <c:pt idx="5">
                  <c:v>0.83296634922782609</c:v>
                </c:pt>
                <c:pt idx="6">
                  <c:v>1.1227628997950714</c:v>
                </c:pt>
                <c:pt idx="7">
                  <c:v>4.1494824695353847</c:v>
                </c:pt>
                <c:pt idx="8">
                  <c:v>10.69702925473133</c:v>
                </c:pt>
                <c:pt idx="9">
                  <c:v>2.8235632702877739E-2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8BB-4734-9C5F-1CD457AA6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31. 10. 2023 dle bankovních domů v %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(pozn.:SVI=systémově významná instituce dle ČNB)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layout>
        <c:manualLayout>
          <c:xMode val="edge"/>
          <c:yMode val="edge"/>
          <c:x val="0.11112681937485087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98-4150-BFF6-62F2BDE951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98-4150-BFF6-62F2BDE951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98-4150-BFF6-62F2BDE951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98-4150-BFF6-62F2BDE951D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98-4150-BFF6-62F2BDE951D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98-4150-BFF6-62F2BDE951D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98-4150-BFF6-62F2BDE951D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98-4150-BFF6-62F2BDE951D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98-4150-BFF6-62F2BDE951D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98-4150-BFF6-62F2BDE951D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98-4150-BFF6-62F2BDE951D4}"/>
              </c:ext>
            </c:extLst>
          </c:dPt>
          <c:dLbls>
            <c:dLbl>
              <c:idx val="0"/>
              <c:layout>
                <c:manualLayout>
                  <c:x val="6.4853256979241231E-3"/>
                  <c:y val="-5.39692970033422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98-4150-BFF6-62F2BDE951D4}"/>
                </c:ext>
              </c:extLst>
            </c:dLbl>
            <c:dLbl>
              <c:idx val="1"/>
              <c:layout>
                <c:manualLayout>
                  <c:x val="6.4682355046528278E-2"/>
                  <c:y val="-7.968931941061265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98-4150-BFF6-62F2BDE951D4}"/>
                </c:ext>
              </c:extLst>
            </c:dLbl>
            <c:dLbl>
              <c:idx val="2"/>
              <c:layout>
                <c:manualLayout>
                  <c:x val="0.1032468384633739"/>
                  <c:y val="-7.91958559136954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98-4150-BFF6-62F2BDE951D4}"/>
                </c:ext>
              </c:extLst>
            </c:dLbl>
            <c:dLbl>
              <c:idx val="3"/>
              <c:layout>
                <c:manualLayout>
                  <c:x val="-8.2662252445717013E-4"/>
                  <c:y val="-6.490303819936177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98-4150-BFF6-62F2BDE951D4}"/>
                </c:ext>
              </c:extLst>
            </c:dLbl>
            <c:dLbl>
              <c:idx val="4"/>
              <c:layout>
                <c:manualLayout>
                  <c:x val="-0.16821641612980195"/>
                  <c:y val="8.09383359454167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98-4150-BFF6-62F2BDE951D4}"/>
                </c:ext>
              </c:extLst>
            </c:dLbl>
            <c:dLbl>
              <c:idx val="5"/>
              <c:layout>
                <c:manualLayout>
                  <c:x val="-8.5962180863755663E-2"/>
                  <c:y val="-1.63069544364509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98-4150-BFF6-62F2BDE951D4}"/>
                </c:ext>
              </c:extLst>
            </c:dLbl>
            <c:dLbl>
              <c:idx val="6"/>
              <c:layout>
                <c:manualLayout>
                  <c:x val="-0.11488367931281317"/>
                  <c:y val="2.64033182902495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98-4150-BFF6-62F2BDE951D4}"/>
                </c:ext>
              </c:extLst>
            </c:dLbl>
            <c:dLbl>
              <c:idx val="7"/>
              <c:layout>
                <c:manualLayout>
                  <c:x val="-0.18788162133142447"/>
                  <c:y val="-5.00482763395583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98-4150-BFF6-62F2BDE951D4}"/>
                </c:ext>
              </c:extLst>
            </c:dLbl>
            <c:dLbl>
              <c:idx val="8"/>
              <c:layout>
                <c:manualLayout>
                  <c:x val="-0.1220148830827965"/>
                  <c:y val="-0.121636486086721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98-4150-BFF6-62F2BDE951D4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98-4150-BFF6-62F2BDE951D4}"/>
                </c:ext>
              </c:extLst>
            </c:dLbl>
            <c:dLbl>
              <c:idx val="10"/>
              <c:layout>
                <c:manualLayout>
                  <c:x val="-0.14268163922691482"/>
                  <c:y val="-8.43223374056660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98-4150-BFF6-62F2BDE951D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 - SVI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2.5572322502502121</c:v>
                </c:pt>
                <c:pt idx="1">
                  <c:v>34.737429129882216</c:v>
                </c:pt>
                <c:pt idx="2">
                  <c:v>14.230518084595975</c:v>
                </c:pt>
                <c:pt idx="3">
                  <c:v>2.7238583026174092</c:v>
                </c:pt>
                <c:pt idx="4">
                  <c:v>2.5838689584076135</c:v>
                </c:pt>
                <c:pt idx="5">
                  <c:v>0</c:v>
                </c:pt>
                <c:pt idx="6">
                  <c:v>1.1939498045014195E-4</c:v>
                </c:pt>
                <c:pt idx="7">
                  <c:v>12.45722838844209</c:v>
                </c:pt>
                <c:pt idx="8">
                  <c:v>4.085727664849002</c:v>
                </c:pt>
                <c:pt idx="10">
                  <c:v>26.624017825975034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298-4150-BFF6-62F2BDE95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16</cp:revision>
  <cp:lastPrinted>2023-08-15T08:14:00Z</cp:lastPrinted>
  <dcterms:created xsi:type="dcterms:W3CDTF">2023-11-14T11:46:00Z</dcterms:created>
  <dcterms:modified xsi:type="dcterms:W3CDTF">2023-11-16T06:14:00Z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