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8F3B" w14:textId="77777777" w:rsidR="00D370EB" w:rsidRPr="00921C78" w:rsidRDefault="00D370EB" w:rsidP="00D370EB">
      <w:pPr>
        <w:rPr>
          <w:b/>
          <w:bCs/>
          <w:sz w:val="30"/>
        </w:rPr>
      </w:pPr>
    </w:p>
    <w:p w14:paraId="76BE8B2B" w14:textId="77777777" w:rsidR="00D370EB" w:rsidRPr="00CA64A1" w:rsidRDefault="00D370EB" w:rsidP="00D370EB">
      <w:pPr>
        <w:rPr>
          <w:rFonts w:ascii="Tahoma" w:hAnsi="Tahoma" w:cs="Tahoma"/>
          <w:bCs/>
          <w:sz w:val="30"/>
        </w:rPr>
      </w:pPr>
      <w:r>
        <w:rPr>
          <w:rFonts w:ascii="Tahoma" w:hAnsi="Tahoma" w:cs="Tahoma"/>
          <w:bCs/>
          <w:noProof/>
          <w:sz w:val="20"/>
        </w:rPr>
        <w:drawing>
          <wp:anchor distT="0" distB="0" distL="114300" distR="114300" simplePos="0" relativeHeight="251658240" behindDoc="0" locked="0" layoutInCell="1" allowOverlap="0" wp14:anchorId="0732AF4E" wp14:editId="3E7C08DF">
            <wp:simplePos x="0" y="0"/>
            <wp:positionH relativeFrom="column">
              <wp:posOffset>114300</wp:posOffset>
            </wp:positionH>
            <wp:positionV relativeFrom="paragraph">
              <wp:posOffset>9525</wp:posOffset>
            </wp:positionV>
            <wp:extent cx="1190625" cy="1460500"/>
            <wp:effectExtent l="0" t="0" r="0" b="0"/>
            <wp:wrapSquare wrapText="bothSides"/>
            <wp:docPr id="6" name="Obrázek 6" descr="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460500"/>
                    </a:xfrm>
                    <a:prstGeom prst="rect">
                      <a:avLst/>
                    </a:prstGeom>
                    <a:noFill/>
                  </pic:spPr>
                </pic:pic>
              </a:graphicData>
            </a:graphic>
            <wp14:sizeRelH relativeFrom="page">
              <wp14:pctWidth>0</wp14:pctWidth>
            </wp14:sizeRelH>
            <wp14:sizeRelV relativeFrom="page">
              <wp14:pctHeight>0</wp14:pctHeight>
            </wp14:sizeRelV>
          </wp:anchor>
        </w:drawing>
      </w:r>
      <w:r w:rsidRPr="00CA64A1">
        <w:rPr>
          <w:rFonts w:ascii="Tahoma" w:hAnsi="Tahoma" w:cs="Tahoma"/>
          <w:bCs/>
          <w:sz w:val="30"/>
        </w:rPr>
        <w:t xml:space="preserve">    MORAVSKOSLEZSKÝ</w:t>
      </w:r>
    </w:p>
    <w:p w14:paraId="06EDEE6E" w14:textId="77777777" w:rsidR="00D370EB" w:rsidRPr="00CA64A1" w:rsidRDefault="00D370EB" w:rsidP="00D370EB">
      <w:pPr>
        <w:rPr>
          <w:rFonts w:ascii="Tahoma" w:hAnsi="Tahoma" w:cs="Tahoma"/>
        </w:rPr>
      </w:pPr>
      <w:r w:rsidRPr="00CA64A1">
        <w:rPr>
          <w:rFonts w:ascii="Tahoma" w:hAnsi="Tahoma" w:cs="Tahoma"/>
          <w:bCs/>
          <w:sz w:val="30"/>
        </w:rPr>
        <w:t xml:space="preserve">    KRAJ</w:t>
      </w:r>
    </w:p>
    <w:p w14:paraId="70E0A489" w14:textId="77777777" w:rsidR="00D370EB" w:rsidRPr="00921C78" w:rsidRDefault="00D370EB" w:rsidP="00D370EB">
      <w:pPr>
        <w:jc w:val="center"/>
      </w:pPr>
    </w:p>
    <w:p w14:paraId="75150CE9" w14:textId="77777777" w:rsidR="00D370EB" w:rsidRPr="00921C78" w:rsidRDefault="00D370EB" w:rsidP="00D370EB">
      <w:pPr>
        <w:jc w:val="center"/>
      </w:pPr>
    </w:p>
    <w:p w14:paraId="439D2B46" w14:textId="77777777" w:rsidR="00D370EB" w:rsidRPr="00921C78" w:rsidRDefault="00D370EB" w:rsidP="00D370EB">
      <w:pPr>
        <w:jc w:val="center"/>
      </w:pPr>
    </w:p>
    <w:p w14:paraId="7F91F42B" w14:textId="77777777" w:rsidR="00D370EB" w:rsidRPr="00921C78" w:rsidRDefault="00D370EB" w:rsidP="00D370EB">
      <w:pPr>
        <w:jc w:val="center"/>
      </w:pPr>
    </w:p>
    <w:p w14:paraId="1D510A5D" w14:textId="77777777" w:rsidR="00D370EB" w:rsidRPr="00921C78" w:rsidRDefault="00D370EB" w:rsidP="00D370EB">
      <w:pPr>
        <w:jc w:val="center"/>
      </w:pPr>
    </w:p>
    <w:p w14:paraId="49074543" w14:textId="77777777" w:rsidR="00D370EB" w:rsidRPr="00921C78" w:rsidRDefault="00D370EB" w:rsidP="00D370EB">
      <w:pPr>
        <w:jc w:val="center"/>
      </w:pPr>
    </w:p>
    <w:p w14:paraId="36F8ED03" w14:textId="77777777" w:rsidR="00D370EB" w:rsidRPr="00921C78" w:rsidRDefault="00D370EB" w:rsidP="00D370EB">
      <w:pPr>
        <w:jc w:val="center"/>
      </w:pPr>
    </w:p>
    <w:p w14:paraId="06A9657C" w14:textId="77777777" w:rsidR="00D370EB" w:rsidRPr="00921C78" w:rsidRDefault="00D370EB" w:rsidP="00D370EB">
      <w:pPr>
        <w:jc w:val="center"/>
      </w:pPr>
    </w:p>
    <w:p w14:paraId="2BA6EDE9" w14:textId="77777777" w:rsidR="00D370EB" w:rsidRPr="00921C78" w:rsidRDefault="00D370EB" w:rsidP="00D370EB">
      <w:pPr>
        <w:jc w:val="center"/>
      </w:pPr>
    </w:p>
    <w:p w14:paraId="3E01CF66" w14:textId="77777777" w:rsidR="00D370EB" w:rsidRPr="00921C78" w:rsidRDefault="00D370EB" w:rsidP="00D370EB">
      <w:pPr>
        <w:jc w:val="center"/>
      </w:pPr>
    </w:p>
    <w:p w14:paraId="667E4808" w14:textId="77777777" w:rsidR="00D370EB" w:rsidRPr="00921C78" w:rsidRDefault="00D370EB" w:rsidP="00D370EB">
      <w:pPr>
        <w:jc w:val="center"/>
      </w:pPr>
    </w:p>
    <w:p w14:paraId="159E3BCB" w14:textId="77777777" w:rsidR="00D370EB" w:rsidRPr="00921C78" w:rsidRDefault="00D370EB" w:rsidP="00D370EB">
      <w:pPr>
        <w:jc w:val="center"/>
      </w:pPr>
    </w:p>
    <w:p w14:paraId="726888E6" w14:textId="77777777" w:rsidR="00D370EB" w:rsidRPr="00921C78" w:rsidRDefault="00D370EB" w:rsidP="00D370EB">
      <w:pPr>
        <w:jc w:val="center"/>
      </w:pPr>
    </w:p>
    <w:p w14:paraId="2F58DB90" w14:textId="77777777" w:rsidR="00D370EB" w:rsidRPr="00921C78" w:rsidRDefault="00D370EB" w:rsidP="00D370EB">
      <w:pPr>
        <w:jc w:val="center"/>
      </w:pPr>
    </w:p>
    <w:p w14:paraId="7EEBEE76" w14:textId="77777777" w:rsidR="00D370EB" w:rsidRPr="00921C78" w:rsidRDefault="00D370EB" w:rsidP="00D370EB">
      <w:pPr>
        <w:jc w:val="center"/>
      </w:pPr>
    </w:p>
    <w:p w14:paraId="3C282C30" w14:textId="77777777" w:rsidR="00D370EB" w:rsidRPr="00921C78" w:rsidRDefault="00D370EB" w:rsidP="00D370EB">
      <w:pPr>
        <w:jc w:val="center"/>
      </w:pPr>
    </w:p>
    <w:p w14:paraId="6C340913" w14:textId="77777777" w:rsidR="00D370EB" w:rsidRPr="00921C78" w:rsidRDefault="00D370EB" w:rsidP="00D370EB">
      <w:pPr>
        <w:jc w:val="center"/>
      </w:pPr>
    </w:p>
    <w:p w14:paraId="234CFD5D" w14:textId="77777777" w:rsidR="00D370EB" w:rsidRPr="00921C78" w:rsidRDefault="00D370EB" w:rsidP="00D370EB">
      <w:pPr>
        <w:jc w:val="center"/>
      </w:pPr>
    </w:p>
    <w:p w14:paraId="5BA09C25" w14:textId="77777777" w:rsidR="00D370EB" w:rsidRPr="00921C78" w:rsidRDefault="00D370EB" w:rsidP="00D370EB">
      <w:pPr>
        <w:jc w:val="center"/>
      </w:pPr>
    </w:p>
    <w:p w14:paraId="3B931C98" w14:textId="77777777" w:rsidR="00D370EB" w:rsidRPr="00921C78" w:rsidRDefault="00D370EB" w:rsidP="00D370EB">
      <w:pPr>
        <w:jc w:val="center"/>
      </w:pPr>
    </w:p>
    <w:p w14:paraId="15BCD54E" w14:textId="77777777" w:rsidR="00D370EB" w:rsidRPr="00921C78" w:rsidRDefault="00D370EB" w:rsidP="00D370EB">
      <w:pPr>
        <w:jc w:val="center"/>
      </w:pPr>
    </w:p>
    <w:p w14:paraId="084FBBE6" w14:textId="77777777" w:rsidR="00D370EB" w:rsidRPr="00921C78" w:rsidRDefault="00D370EB" w:rsidP="00D370EB">
      <w:pPr>
        <w:jc w:val="center"/>
      </w:pPr>
    </w:p>
    <w:p w14:paraId="75E8209F" w14:textId="77777777" w:rsidR="00D370EB" w:rsidRPr="00921C78" w:rsidRDefault="00D370EB" w:rsidP="00D370EB">
      <w:pPr>
        <w:pStyle w:val="Zkladntext"/>
      </w:pPr>
    </w:p>
    <w:p w14:paraId="65386B32" w14:textId="77777777" w:rsidR="00D370EB" w:rsidRPr="00921C78" w:rsidRDefault="00D370EB" w:rsidP="00D370EB">
      <w:pPr>
        <w:pStyle w:val="Zkladntext"/>
      </w:pPr>
    </w:p>
    <w:p w14:paraId="40754BAF" w14:textId="77777777" w:rsidR="00D370EB" w:rsidRPr="00921C78" w:rsidRDefault="00D370EB" w:rsidP="00D370EB">
      <w:pPr>
        <w:pStyle w:val="Zkladntext"/>
      </w:pPr>
    </w:p>
    <w:p w14:paraId="6EE54F57" w14:textId="10A1EE61" w:rsidR="00D370EB" w:rsidRPr="00921C78" w:rsidRDefault="0003240C" w:rsidP="00D370EB">
      <w:pPr>
        <w:jc w:val="right"/>
        <w:rPr>
          <w:rFonts w:ascii="Lucida Sans Unicode" w:hAnsi="Lucida Sans Unicode" w:cs="Lucida Sans Unicode"/>
          <w:sz w:val="50"/>
        </w:rPr>
      </w:pPr>
      <w:r>
        <w:rPr>
          <w:rFonts w:ascii="Lucida Sans Unicode" w:hAnsi="Lucida Sans Unicode" w:cs="Lucida Sans Unicode"/>
          <w:sz w:val="50"/>
        </w:rPr>
        <w:t>Střednědobý výhled rozpočtu</w:t>
      </w:r>
    </w:p>
    <w:p w14:paraId="6E21A37B" w14:textId="77777777" w:rsidR="00D370EB" w:rsidRPr="00921C78" w:rsidRDefault="00D370EB" w:rsidP="00D370EB">
      <w:pPr>
        <w:jc w:val="right"/>
        <w:rPr>
          <w:rFonts w:ascii="Lucida Sans Unicode" w:hAnsi="Lucida Sans Unicode" w:cs="Lucida Sans Unicode"/>
          <w:sz w:val="50"/>
        </w:rPr>
      </w:pPr>
      <w:r w:rsidRPr="00921C78">
        <w:rPr>
          <w:rFonts w:ascii="Lucida Sans Unicode" w:hAnsi="Lucida Sans Unicode" w:cs="Lucida Sans Unicode"/>
          <w:sz w:val="50"/>
        </w:rPr>
        <w:t>Moravskoslezského kraje</w:t>
      </w:r>
    </w:p>
    <w:p w14:paraId="1B898EA9" w14:textId="4F501BBD" w:rsidR="009B5AB7" w:rsidRDefault="0003240C" w:rsidP="7B2D13D1">
      <w:pPr>
        <w:jc w:val="right"/>
        <w:rPr>
          <w:rFonts w:ascii="Lucida Sans Unicode" w:hAnsi="Lucida Sans Unicode" w:cs="Lucida Sans Unicode"/>
          <w:sz w:val="50"/>
          <w:szCs w:val="50"/>
        </w:rPr>
      </w:pPr>
      <w:r w:rsidRPr="7B2D13D1">
        <w:rPr>
          <w:rFonts w:ascii="Lucida Sans Unicode" w:hAnsi="Lucida Sans Unicode" w:cs="Lucida Sans Unicode"/>
          <w:sz w:val="50"/>
          <w:szCs w:val="50"/>
        </w:rPr>
        <w:t>n</w:t>
      </w:r>
      <w:r w:rsidR="00D370EB" w:rsidRPr="7B2D13D1">
        <w:rPr>
          <w:rFonts w:ascii="Lucida Sans Unicode" w:hAnsi="Lucida Sans Unicode" w:cs="Lucida Sans Unicode"/>
          <w:sz w:val="50"/>
          <w:szCs w:val="50"/>
        </w:rPr>
        <w:t xml:space="preserve">a </w:t>
      </w:r>
      <w:r w:rsidRPr="7B2D13D1">
        <w:rPr>
          <w:rFonts w:ascii="Lucida Sans Unicode" w:hAnsi="Lucida Sans Unicode" w:cs="Lucida Sans Unicode"/>
          <w:sz w:val="50"/>
          <w:szCs w:val="50"/>
        </w:rPr>
        <w:t>léta</w:t>
      </w:r>
      <w:r w:rsidR="00D370EB" w:rsidRPr="7B2D13D1">
        <w:rPr>
          <w:rFonts w:ascii="Lucida Sans Unicode" w:hAnsi="Lucida Sans Unicode" w:cs="Lucida Sans Unicode"/>
          <w:sz w:val="50"/>
          <w:szCs w:val="50"/>
        </w:rPr>
        <w:t xml:space="preserve"> 202</w:t>
      </w:r>
      <w:r w:rsidR="00017E1E" w:rsidRPr="7B2D13D1">
        <w:rPr>
          <w:rFonts w:ascii="Lucida Sans Unicode" w:hAnsi="Lucida Sans Unicode" w:cs="Lucida Sans Unicode"/>
          <w:sz w:val="50"/>
          <w:szCs w:val="50"/>
        </w:rPr>
        <w:t>5</w:t>
      </w:r>
      <w:r w:rsidR="571CB5E1" w:rsidRPr="7B2D13D1">
        <w:rPr>
          <w:rFonts w:ascii="Lucida Sans Unicode" w:hAnsi="Lucida Sans Unicode" w:cs="Lucida Sans Unicode"/>
          <w:sz w:val="50"/>
          <w:szCs w:val="50"/>
        </w:rPr>
        <w:t>-</w:t>
      </w:r>
      <w:r w:rsidRPr="7B2D13D1">
        <w:rPr>
          <w:rFonts w:ascii="Lucida Sans Unicode" w:hAnsi="Lucida Sans Unicode" w:cs="Lucida Sans Unicode"/>
          <w:sz w:val="50"/>
          <w:szCs w:val="50"/>
        </w:rPr>
        <w:t>202</w:t>
      </w:r>
      <w:r w:rsidR="00017E1E" w:rsidRPr="7B2D13D1">
        <w:rPr>
          <w:rFonts w:ascii="Lucida Sans Unicode" w:hAnsi="Lucida Sans Unicode" w:cs="Lucida Sans Unicode"/>
          <w:sz w:val="50"/>
          <w:szCs w:val="50"/>
        </w:rPr>
        <w:t>7</w:t>
      </w:r>
    </w:p>
    <w:p w14:paraId="28325661" w14:textId="77777777" w:rsidR="009B5AB7" w:rsidRDefault="009B5AB7">
      <w:pPr>
        <w:rPr>
          <w:rFonts w:ascii="Lucida Sans Unicode" w:hAnsi="Lucida Sans Unicode" w:cs="Lucida Sans Unicode"/>
          <w:sz w:val="50"/>
        </w:rPr>
      </w:pPr>
      <w:r>
        <w:rPr>
          <w:rFonts w:ascii="Lucida Sans Unicode" w:hAnsi="Lucida Sans Unicode" w:cs="Lucida Sans Unicode"/>
          <w:sz w:val="50"/>
        </w:rPr>
        <w:br w:type="page"/>
      </w:r>
    </w:p>
    <w:sdt>
      <w:sdtPr>
        <w:rPr>
          <w:rFonts w:ascii="Tahoma" w:eastAsia="Times New Roman" w:hAnsi="Tahoma" w:cs="Tahoma"/>
          <w:color w:val="auto"/>
          <w:sz w:val="24"/>
          <w:szCs w:val="24"/>
        </w:rPr>
        <w:id w:val="1845350953"/>
        <w:docPartObj>
          <w:docPartGallery w:val="Table of Contents"/>
          <w:docPartUnique/>
        </w:docPartObj>
      </w:sdtPr>
      <w:sdtEndPr>
        <w:rPr>
          <w:b/>
          <w:bCs/>
        </w:rPr>
      </w:sdtEndPr>
      <w:sdtContent>
        <w:p w14:paraId="50E5A769" w14:textId="0AF01268" w:rsidR="00F04EF7" w:rsidRPr="001C202F" w:rsidRDefault="00F04EF7">
          <w:pPr>
            <w:pStyle w:val="Nadpisobsahu"/>
            <w:rPr>
              <w:rFonts w:ascii="Tahoma" w:hAnsi="Tahoma" w:cs="Tahoma"/>
              <w:color w:val="auto"/>
              <w:sz w:val="24"/>
              <w:szCs w:val="24"/>
              <w:u w:val="single"/>
            </w:rPr>
          </w:pPr>
          <w:r w:rsidRPr="001C202F">
            <w:rPr>
              <w:rFonts w:ascii="Tahoma" w:hAnsi="Tahoma" w:cs="Tahoma"/>
              <w:color w:val="auto"/>
              <w:sz w:val="24"/>
              <w:szCs w:val="24"/>
              <w:u w:val="single"/>
            </w:rPr>
            <w:t>Obsah</w:t>
          </w:r>
        </w:p>
        <w:p w14:paraId="0CB8AE0A" w14:textId="26B7666F" w:rsidR="009706A1" w:rsidRPr="009706A1" w:rsidRDefault="00F04EF7" w:rsidP="00614D4F">
          <w:pPr>
            <w:pStyle w:val="Obsah1"/>
            <w:spacing w:after="100"/>
            <w:rPr>
              <w:rFonts w:asciiTheme="minorHAnsi" w:eastAsiaTheme="minorEastAsia" w:hAnsiTheme="minorHAnsi" w:cstheme="minorBidi"/>
              <w:b w:val="0"/>
              <w:bCs w:val="0"/>
              <w:kern w:val="2"/>
              <w:sz w:val="22"/>
              <w:szCs w:val="22"/>
              <w14:ligatures w14:val="standardContextual"/>
            </w:rPr>
          </w:pPr>
          <w:r w:rsidRPr="00B32B02">
            <w:rPr>
              <w:b w:val="0"/>
              <w:bCs w:val="0"/>
            </w:rPr>
            <w:fldChar w:fldCharType="begin"/>
          </w:r>
          <w:r w:rsidRPr="00B32B02">
            <w:rPr>
              <w:b w:val="0"/>
              <w:bCs w:val="0"/>
            </w:rPr>
            <w:instrText xml:space="preserve"> TOC \o "1-3" \h \z \u </w:instrText>
          </w:r>
          <w:r w:rsidRPr="00B32B02">
            <w:rPr>
              <w:b w:val="0"/>
              <w:bCs w:val="0"/>
            </w:rPr>
            <w:fldChar w:fldCharType="separate"/>
          </w:r>
          <w:hyperlink w:anchor="_Toc150511312" w:history="1">
            <w:r w:rsidR="009706A1" w:rsidRPr="009706A1">
              <w:rPr>
                <w:rStyle w:val="Hypertextovodkaz"/>
                <w:rFonts w:cs="Tahoma"/>
                <w:b w:val="0"/>
                <w:bCs w:val="0"/>
              </w:rPr>
              <w:t>Úvod</w:t>
            </w:r>
            <w:r w:rsidR="009706A1" w:rsidRPr="009706A1">
              <w:rPr>
                <w:b w:val="0"/>
                <w:bCs w:val="0"/>
                <w:webHidden/>
              </w:rPr>
              <w:tab/>
            </w:r>
            <w:r w:rsidR="009706A1" w:rsidRPr="009706A1">
              <w:rPr>
                <w:b w:val="0"/>
                <w:bCs w:val="0"/>
                <w:webHidden/>
              </w:rPr>
              <w:fldChar w:fldCharType="begin"/>
            </w:r>
            <w:r w:rsidR="009706A1" w:rsidRPr="009706A1">
              <w:rPr>
                <w:b w:val="0"/>
                <w:bCs w:val="0"/>
                <w:webHidden/>
              </w:rPr>
              <w:instrText xml:space="preserve"> PAGEREF _Toc150511312 \h </w:instrText>
            </w:r>
            <w:r w:rsidR="009706A1" w:rsidRPr="009706A1">
              <w:rPr>
                <w:b w:val="0"/>
                <w:bCs w:val="0"/>
                <w:webHidden/>
              </w:rPr>
            </w:r>
            <w:r w:rsidR="009706A1" w:rsidRPr="009706A1">
              <w:rPr>
                <w:b w:val="0"/>
                <w:bCs w:val="0"/>
                <w:webHidden/>
              </w:rPr>
              <w:fldChar w:fldCharType="separate"/>
            </w:r>
            <w:r w:rsidR="009706A1" w:rsidRPr="009706A1">
              <w:rPr>
                <w:b w:val="0"/>
                <w:bCs w:val="0"/>
                <w:webHidden/>
              </w:rPr>
              <w:t>3</w:t>
            </w:r>
            <w:r w:rsidR="009706A1" w:rsidRPr="009706A1">
              <w:rPr>
                <w:b w:val="0"/>
                <w:bCs w:val="0"/>
                <w:webHidden/>
              </w:rPr>
              <w:fldChar w:fldCharType="end"/>
            </w:r>
          </w:hyperlink>
        </w:p>
        <w:p w14:paraId="23F97A32" w14:textId="520C17D8" w:rsidR="009706A1" w:rsidRPr="009706A1" w:rsidRDefault="00000000">
          <w:pPr>
            <w:pStyle w:val="Obsah3"/>
            <w:rPr>
              <w:rFonts w:asciiTheme="minorHAnsi" w:eastAsiaTheme="minorEastAsia" w:hAnsiTheme="minorHAnsi" w:cstheme="minorBidi"/>
              <w:b w:val="0"/>
              <w:bCs w:val="0"/>
              <w:kern w:val="2"/>
              <w:sz w:val="22"/>
              <w:szCs w:val="22"/>
              <w14:ligatures w14:val="standardContextual"/>
            </w:rPr>
          </w:pPr>
          <w:hyperlink w:anchor="_Toc150511313" w:history="1">
            <w:r w:rsidR="009706A1" w:rsidRPr="009706A1">
              <w:rPr>
                <w:rStyle w:val="Hypertextovodkaz"/>
                <w:rFonts w:cs="Tahoma"/>
                <w:b w:val="0"/>
                <w:bCs w:val="0"/>
              </w:rPr>
              <w:t>PLÁNOVANÉ PŘÍJMY kraje v období let 2025–2027</w:t>
            </w:r>
            <w:r w:rsidR="009706A1" w:rsidRPr="009706A1">
              <w:rPr>
                <w:b w:val="0"/>
                <w:bCs w:val="0"/>
                <w:webHidden/>
              </w:rPr>
              <w:tab/>
            </w:r>
            <w:r w:rsidR="009706A1" w:rsidRPr="009706A1">
              <w:rPr>
                <w:b w:val="0"/>
                <w:bCs w:val="0"/>
                <w:webHidden/>
              </w:rPr>
              <w:fldChar w:fldCharType="begin"/>
            </w:r>
            <w:r w:rsidR="009706A1" w:rsidRPr="009706A1">
              <w:rPr>
                <w:b w:val="0"/>
                <w:bCs w:val="0"/>
                <w:webHidden/>
              </w:rPr>
              <w:instrText xml:space="preserve"> PAGEREF _Toc150511313 \h </w:instrText>
            </w:r>
            <w:r w:rsidR="009706A1" w:rsidRPr="009706A1">
              <w:rPr>
                <w:b w:val="0"/>
                <w:bCs w:val="0"/>
                <w:webHidden/>
              </w:rPr>
            </w:r>
            <w:r w:rsidR="009706A1" w:rsidRPr="009706A1">
              <w:rPr>
                <w:b w:val="0"/>
                <w:bCs w:val="0"/>
                <w:webHidden/>
              </w:rPr>
              <w:fldChar w:fldCharType="separate"/>
            </w:r>
            <w:r w:rsidR="009706A1" w:rsidRPr="009706A1">
              <w:rPr>
                <w:b w:val="0"/>
                <w:bCs w:val="0"/>
                <w:webHidden/>
              </w:rPr>
              <w:t>6</w:t>
            </w:r>
            <w:r w:rsidR="009706A1" w:rsidRPr="009706A1">
              <w:rPr>
                <w:b w:val="0"/>
                <w:bCs w:val="0"/>
                <w:webHidden/>
              </w:rPr>
              <w:fldChar w:fldCharType="end"/>
            </w:r>
          </w:hyperlink>
        </w:p>
        <w:p w14:paraId="34D18B5C" w14:textId="430A41DD" w:rsidR="009706A1" w:rsidRPr="009706A1" w:rsidRDefault="00000000">
          <w:pPr>
            <w:pStyle w:val="Obsah3"/>
            <w:rPr>
              <w:rFonts w:asciiTheme="minorHAnsi" w:eastAsiaTheme="minorEastAsia" w:hAnsiTheme="minorHAnsi" w:cstheme="minorBidi"/>
              <w:b w:val="0"/>
              <w:bCs w:val="0"/>
              <w:kern w:val="2"/>
              <w:sz w:val="22"/>
              <w:szCs w:val="22"/>
              <w14:ligatures w14:val="standardContextual"/>
            </w:rPr>
          </w:pPr>
          <w:hyperlink w:anchor="_Toc150511314" w:history="1">
            <w:r w:rsidR="009706A1" w:rsidRPr="009706A1">
              <w:rPr>
                <w:rStyle w:val="Hypertextovodkaz"/>
                <w:rFonts w:cs="Tahoma"/>
                <w:b w:val="0"/>
                <w:bCs w:val="0"/>
              </w:rPr>
              <w:t>PLÁNOVANÉ VÝDAJE kraje v období let 2025–2027</w:t>
            </w:r>
            <w:r w:rsidR="009706A1" w:rsidRPr="009706A1">
              <w:rPr>
                <w:b w:val="0"/>
                <w:bCs w:val="0"/>
                <w:webHidden/>
              </w:rPr>
              <w:tab/>
            </w:r>
            <w:r w:rsidR="009706A1" w:rsidRPr="009706A1">
              <w:rPr>
                <w:b w:val="0"/>
                <w:bCs w:val="0"/>
                <w:webHidden/>
              </w:rPr>
              <w:fldChar w:fldCharType="begin"/>
            </w:r>
            <w:r w:rsidR="009706A1" w:rsidRPr="009706A1">
              <w:rPr>
                <w:b w:val="0"/>
                <w:bCs w:val="0"/>
                <w:webHidden/>
              </w:rPr>
              <w:instrText xml:space="preserve"> PAGEREF _Toc150511314 \h </w:instrText>
            </w:r>
            <w:r w:rsidR="009706A1" w:rsidRPr="009706A1">
              <w:rPr>
                <w:b w:val="0"/>
                <w:bCs w:val="0"/>
                <w:webHidden/>
              </w:rPr>
            </w:r>
            <w:r w:rsidR="009706A1" w:rsidRPr="009706A1">
              <w:rPr>
                <w:b w:val="0"/>
                <w:bCs w:val="0"/>
                <w:webHidden/>
              </w:rPr>
              <w:fldChar w:fldCharType="separate"/>
            </w:r>
            <w:r w:rsidR="009706A1" w:rsidRPr="009706A1">
              <w:rPr>
                <w:b w:val="0"/>
                <w:bCs w:val="0"/>
                <w:webHidden/>
              </w:rPr>
              <w:t>10</w:t>
            </w:r>
            <w:r w:rsidR="009706A1" w:rsidRPr="009706A1">
              <w:rPr>
                <w:b w:val="0"/>
                <w:bCs w:val="0"/>
                <w:webHidden/>
              </w:rPr>
              <w:fldChar w:fldCharType="end"/>
            </w:r>
          </w:hyperlink>
        </w:p>
        <w:p w14:paraId="65DC0EED" w14:textId="1C9D32B8" w:rsidR="009706A1" w:rsidRPr="009706A1" w:rsidRDefault="00000000">
          <w:pPr>
            <w:pStyle w:val="Obsah3"/>
            <w:rPr>
              <w:rFonts w:asciiTheme="minorHAnsi" w:eastAsiaTheme="minorEastAsia" w:hAnsiTheme="minorHAnsi" w:cstheme="minorBidi"/>
              <w:b w:val="0"/>
              <w:bCs w:val="0"/>
              <w:kern w:val="2"/>
              <w:sz w:val="22"/>
              <w:szCs w:val="22"/>
              <w14:ligatures w14:val="standardContextual"/>
            </w:rPr>
          </w:pPr>
          <w:hyperlink w:anchor="_Toc150511315" w:history="1">
            <w:r w:rsidR="009706A1" w:rsidRPr="009706A1">
              <w:rPr>
                <w:rStyle w:val="Hypertextovodkaz"/>
                <w:rFonts w:cs="Tahoma"/>
                <w:b w:val="0"/>
                <w:bCs w:val="0"/>
              </w:rPr>
              <w:t>FINANCOVÁNÍ kraje v období let 2025–2027</w:t>
            </w:r>
            <w:r w:rsidR="009706A1" w:rsidRPr="009706A1">
              <w:rPr>
                <w:b w:val="0"/>
                <w:bCs w:val="0"/>
                <w:webHidden/>
              </w:rPr>
              <w:tab/>
            </w:r>
            <w:r w:rsidR="009706A1" w:rsidRPr="009706A1">
              <w:rPr>
                <w:b w:val="0"/>
                <w:bCs w:val="0"/>
                <w:webHidden/>
              </w:rPr>
              <w:fldChar w:fldCharType="begin"/>
            </w:r>
            <w:r w:rsidR="009706A1" w:rsidRPr="009706A1">
              <w:rPr>
                <w:b w:val="0"/>
                <w:bCs w:val="0"/>
                <w:webHidden/>
              </w:rPr>
              <w:instrText xml:space="preserve"> PAGEREF _Toc150511315 \h </w:instrText>
            </w:r>
            <w:r w:rsidR="009706A1" w:rsidRPr="009706A1">
              <w:rPr>
                <w:b w:val="0"/>
                <w:bCs w:val="0"/>
                <w:webHidden/>
              </w:rPr>
            </w:r>
            <w:r w:rsidR="009706A1" w:rsidRPr="009706A1">
              <w:rPr>
                <w:b w:val="0"/>
                <w:bCs w:val="0"/>
                <w:webHidden/>
              </w:rPr>
              <w:fldChar w:fldCharType="separate"/>
            </w:r>
            <w:r w:rsidR="009706A1" w:rsidRPr="009706A1">
              <w:rPr>
                <w:b w:val="0"/>
                <w:bCs w:val="0"/>
                <w:webHidden/>
              </w:rPr>
              <w:t>16</w:t>
            </w:r>
            <w:r w:rsidR="009706A1" w:rsidRPr="009706A1">
              <w:rPr>
                <w:b w:val="0"/>
                <w:bCs w:val="0"/>
                <w:webHidden/>
              </w:rPr>
              <w:fldChar w:fldCharType="end"/>
            </w:r>
          </w:hyperlink>
        </w:p>
        <w:p w14:paraId="46359761" w14:textId="18D6DD00" w:rsidR="009706A1" w:rsidRPr="009706A1" w:rsidRDefault="00000000">
          <w:pPr>
            <w:pStyle w:val="Obsah3"/>
            <w:rPr>
              <w:rFonts w:asciiTheme="minorHAnsi" w:eastAsiaTheme="minorEastAsia" w:hAnsiTheme="minorHAnsi" w:cstheme="minorBidi"/>
              <w:b w:val="0"/>
              <w:bCs w:val="0"/>
              <w:kern w:val="2"/>
              <w:sz w:val="22"/>
              <w:szCs w:val="22"/>
              <w14:ligatures w14:val="standardContextual"/>
            </w:rPr>
          </w:pPr>
          <w:hyperlink w:anchor="_Toc150511316" w:history="1">
            <w:r w:rsidR="009706A1" w:rsidRPr="009706A1">
              <w:rPr>
                <w:rStyle w:val="Hypertextovodkaz"/>
                <w:rFonts w:cs="Tahoma"/>
                <w:b w:val="0"/>
                <w:bCs w:val="0"/>
              </w:rPr>
              <w:t>UKAZATELE ZADLUŽENOSTI KRAJE</w:t>
            </w:r>
            <w:r w:rsidR="009706A1" w:rsidRPr="009706A1">
              <w:rPr>
                <w:b w:val="0"/>
                <w:bCs w:val="0"/>
                <w:webHidden/>
              </w:rPr>
              <w:tab/>
            </w:r>
            <w:r w:rsidR="009706A1" w:rsidRPr="009706A1">
              <w:rPr>
                <w:b w:val="0"/>
                <w:bCs w:val="0"/>
                <w:webHidden/>
              </w:rPr>
              <w:fldChar w:fldCharType="begin"/>
            </w:r>
            <w:r w:rsidR="009706A1" w:rsidRPr="009706A1">
              <w:rPr>
                <w:b w:val="0"/>
                <w:bCs w:val="0"/>
                <w:webHidden/>
              </w:rPr>
              <w:instrText xml:space="preserve"> PAGEREF _Toc150511316 \h </w:instrText>
            </w:r>
            <w:r w:rsidR="009706A1" w:rsidRPr="009706A1">
              <w:rPr>
                <w:b w:val="0"/>
                <w:bCs w:val="0"/>
                <w:webHidden/>
              </w:rPr>
            </w:r>
            <w:r w:rsidR="009706A1" w:rsidRPr="009706A1">
              <w:rPr>
                <w:b w:val="0"/>
                <w:bCs w:val="0"/>
                <w:webHidden/>
              </w:rPr>
              <w:fldChar w:fldCharType="separate"/>
            </w:r>
            <w:r w:rsidR="009706A1" w:rsidRPr="009706A1">
              <w:rPr>
                <w:b w:val="0"/>
                <w:bCs w:val="0"/>
                <w:webHidden/>
              </w:rPr>
              <w:t>17</w:t>
            </w:r>
            <w:r w:rsidR="009706A1" w:rsidRPr="009706A1">
              <w:rPr>
                <w:b w:val="0"/>
                <w:bCs w:val="0"/>
                <w:webHidden/>
              </w:rPr>
              <w:fldChar w:fldCharType="end"/>
            </w:r>
          </w:hyperlink>
        </w:p>
        <w:p w14:paraId="10FD32B1" w14:textId="4EC953AA" w:rsidR="009706A1" w:rsidRPr="009706A1" w:rsidRDefault="00000000">
          <w:pPr>
            <w:pStyle w:val="Obsah3"/>
            <w:rPr>
              <w:rFonts w:asciiTheme="minorHAnsi" w:eastAsiaTheme="minorEastAsia" w:hAnsiTheme="minorHAnsi" w:cstheme="minorBidi"/>
              <w:b w:val="0"/>
              <w:bCs w:val="0"/>
              <w:kern w:val="2"/>
              <w:sz w:val="22"/>
              <w:szCs w:val="22"/>
              <w14:ligatures w14:val="standardContextual"/>
            </w:rPr>
          </w:pPr>
          <w:hyperlink w:anchor="_Toc150511317" w:history="1">
            <w:r w:rsidR="009706A1" w:rsidRPr="009706A1">
              <w:rPr>
                <w:rStyle w:val="Hypertextovodkaz"/>
                <w:rFonts w:cs="Tahoma"/>
                <w:b w:val="0"/>
                <w:bCs w:val="0"/>
              </w:rPr>
              <w:t>Závěr</w:t>
            </w:r>
            <w:r w:rsidR="009706A1" w:rsidRPr="009706A1">
              <w:rPr>
                <w:b w:val="0"/>
                <w:bCs w:val="0"/>
                <w:webHidden/>
              </w:rPr>
              <w:tab/>
            </w:r>
            <w:r w:rsidR="009706A1" w:rsidRPr="009706A1">
              <w:rPr>
                <w:b w:val="0"/>
                <w:bCs w:val="0"/>
                <w:webHidden/>
              </w:rPr>
              <w:fldChar w:fldCharType="begin"/>
            </w:r>
            <w:r w:rsidR="009706A1" w:rsidRPr="009706A1">
              <w:rPr>
                <w:b w:val="0"/>
                <w:bCs w:val="0"/>
                <w:webHidden/>
              </w:rPr>
              <w:instrText xml:space="preserve"> PAGEREF _Toc150511317 \h </w:instrText>
            </w:r>
            <w:r w:rsidR="009706A1" w:rsidRPr="009706A1">
              <w:rPr>
                <w:b w:val="0"/>
                <w:bCs w:val="0"/>
                <w:webHidden/>
              </w:rPr>
            </w:r>
            <w:r w:rsidR="009706A1" w:rsidRPr="009706A1">
              <w:rPr>
                <w:b w:val="0"/>
                <w:bCs w:val="0"/>
                <w:webHidden/>
              </w:rPr>
              <w:fldChar w:fldCharType="separate"/>
            </w:r>
            <w:r w:rsidR="009706A1" w:rsidRPr="009706A1">
              <w:rPr>
                <w:b w:val="0"/>
                <w:bCs w:val="0"/>
                <w:webHidden/>
              </w:rPr>
              <w:t>18</w:t>
            </w:r>
            <w:r w:rsidR="009706A1" w:rsidRPr="009706A1">
              <w:rPr>
                <w:b w:val="0"/>
                <w:bCs w:val="0"/>
                <w:webHidden/>
              </w:rPr>
              <w:fldChar w:fldCharType="end"/>
            </w:r>
          </w:hyperlink>
        </w:p>
        <w:p w14:paraId="15544901" w14:textId="5C8E6A98" w:rsidR="00F04EF7" w:rsidRPr="00D60E66" w:rsidRDefault="00F04EF7">
          <w:pPr>
            <w:rPr>
              <w:rFonts w:ascii="Tahoma" w:hAnsi="Tahoma" w:cs="Tahoma"/>
            </w:rPr>
          </w:pPr>
          <w:r w:rsidRPr="00B32B02">
            <w:rPr>
              <w:rFonts w:ascii="Tahoma" w:hAnsi="Tahoma" w:cs="Tahoma"/>
            </w:rPr>
            <w:fldChar w:fldCharType="end"/>
          </w:r>
        </w:p>
      </w:sdtContent>
    </w:sdt>
    <w:p w14:paraId="5092BCFA" w14:textId="2E9AC324" w:rsidR="000A509D" w:rsidRPr="0096467B" w:rsidRDefault="007406F7" w:rsidP="00C01B85">
      <w:pPr>
        <w:pStyle w:val="Obsah1"/>
        <w:rPr>
          <w:rStyle w:val="Hypertextovodkaz"/>
          <w:rFonts w:cs="Tahoma"/>
          <w:b w:val="0"/>
          <w:bCs w:val="0"/>
          <w:i/>
          <w:iCs/>
          <w:color w:val="auto"/>
          <w:u w:val="none"/>
        </w:rPr>
      </w:pPr>
      <w:r>
        <w:rPr>
          <w:rStyle w:val="Hypertextovodkaz"/>
          <w:rFonts w:cs="Tahoma"/>
          <w:b w:val="0"/>
          <w:bCs w:val="0"/>
          <w:color w:val="auto"/>
          <w:u w:val="none"/>
        </w:rPr>
        <w:t xml:space="preserve">Příloha </w:t>
      </w:r>
      <w:r w:rsidR="000B05B6">
        <w:rPr>
          <w:rStyle w:val="Hypertextovodkaz"/>
          <w:rFonts w:cs="Tahoma"/>
          <w:b w:val="0"/>
          <w:bCs w:val="0"/>
          <w:color w:val="auto"/>
          <w:u w:val="none"/>
        </w:rPr>
        <w:t>–</w:t>
      </w:r>
      <w:r>
        <w:rPr>
          <w:rStyle w:val="Hypertextovodkaz"/>
          <w:rFonts w:cs="Tahoma"/>
          <w:b w:val="0"/>
          <w:bCs w:val="0"/>
          <w:color w:val="auto"/>
          <w:u w:val="none"/>
        </w:rPr>
        <w:t xml:space="preserve"> </w:t>
      </w:r>
      <w:r w:rsidR="00444249" w:rsidRPr="0096467B">
        <w:rPr>
          <w:rStyle w:val="Hypertextovodkaz"/>
          <w:rFonts w:cs="Tahoma"/>
          <w:b w:val="0"/>
          <w:bCs w:val="0"/>
          <w:color w:val="auto"/>
          <w:u w:val="none"/>
        </w:rPr>
        <w:t>Tabulk</w:t>
      </w:r>
      <w:r w:rsidR="005A1964" w:rsidRPr="0096467B">
        <w:rPr>
          <w:rStyle w:val="Hypertextovodkaz"/>
          <w:rFonts w:cs="Tahoma"/>
          <w:b w:val="0"/>
          <w:bCs w:val="0"/>
          <w:color w:val="auto"/>
          <w:u w:val="none"/>
        </w:rPr>
        <w:t>ová</w:t>
      </w:r>
      <w:r w:rsidR="000B05B6" w:rsidRPr="0096467B">
        <w:rPr>
          <w:rStyle w:val="Hypertextovodkaz"/>
          <w:rFonts w:cs="Tahoma"/>
          <w:b w:val="0"/>
          <w:bCs w:val="0"/>
          <w:color w:val="auto"/>
          <w:u w:val="none"/>
        </w:rPr>
        <w:t xml:space="preserve"> </w:t>
      </w:r>
      <w:r w:rsidR="005A1964" w:rsidRPr="0096467B">
        <w:rPr>
          <w:rStyle w:val="Hypertextovodkaz"/>
          <w:rFonts w:cs="Tahoma"/>
          <w:b w:val="0"/>
          <w:bCs w:val="0"/>
          <w:color w:val="auto"/>
          <w:u w:val="none"/>
        </w:rPr>
        <w:t>část</w:t>
      </w:r>
      <w:r w:rsidR="000B05B6" w:rsidRPr="0096467B">
        <w:rPr>
          <w:rStyle w:val="Hypertextovodkaz"/>
          <w:rFonts w:cs="Tahoma"/>
          <w:b w:val="0"/>
          <w:bCs w:val="0"/>
          <w:color w:val="auto"/>
          <w:u w:val="none"/>
        </w:rPr>
        <w:t xml:space="preserve"> </w:t>
      </w:r>
    </w:p>
    <w:p w14:paraId="210B509D" w14:textId="6E44D798" w:rsidR="00C01B85" w:rsidRPr="0096467B" w:rsidRDefault="00C01B85" w:rsidP="00C01B85">
      <w:pPr>
        <w:pStyle w:val="Obsah1"/>
        <w:rPr>
          <w:rStyle w:val="Hypertextovodkaz"/>
          <w:rFonts w:cs="Tahoma"/>
          <w:b w:val="0"/>
          <w:bCs w:val="0"/>
          <w:color w:val="auto"/>
          <w:u w:val="none"/>
        </w:rPr>
      </w:pPr>
      <w:r w:rsidRPr="0096467B">
        <w:rPr>
          <w:rStyle w:val="Hypertextovodkaz"/>
          <w:rFonts w:cs="Tahoma"/>
          <w:b w:val="0"/>
          <w:bCs w:val="0"/>
          <w:color w:val="auto"/>
          <w:u w:val="none"/>
        </w:rPr>
        <w:t>Tabulka č. 1</w:t>
      </w:r>
      <w:r w:rsidR="007637B6" w:rsidRPr="0096467B">
        <w:rPr>
          <w:rStyle w:val="Hypertextovodkaz"/>
          <w:rFonts w:cs="Tahoma"/>
          <w:b w:val="0"/>
          <w:bCs w:val="0"/>
          <w:color w:val="auto"/>
          <w:u w:val="none"/>
        </w:rPr>
        <w:t xml:space="preserve"> </w:t>
      </w:r>
      <w:r w:rsidRPr="0096467B">
        <w:rPr>
          <w:rStyle w:val="Hypertextovodkaz"/>
          <w:rFonts w:cs="Tahoma"/>
          <w:b w:val="0"/>
          <w:bCs w:val="0"/>
          <w:color w:val="auto"/>
          <w:u w:val="none"/>
        </w:rPr>
        <w:t>Bilance příjmů a výdajů v letech 202</w:t>
      </w:r>
      <w:r w:rsidR="00B71BBB" w:rsidRPr="0096467B">
        <w:rPr>
          <w:rStyle w:val="Hypertextovodkaz"/>
          <w:rFonts w:cs="Tahoma"/>
          <w:b w:val="0"/>
          <w:bCs w:val="0"/>
          <w:color w:val="auto"/>
          <w:u w:val="none"/>
        </w:rPr>
        <w:t>5</w:t>
      </w:r>
      <w:r w:rsidR="000B05B6" w:rsidRPr="0096467B">
        <w:rPr>
          <w:rStyle w:val="Hypertextovodkaz"/>
          <w:rFonts w:cs="Tahoma"/>
          <w:b w:val="0"/>
          <w:bCs w:val="0"/>
          <w:color w:val="auto"/>
          <w:u w:val="none"/>
        </w:rPr>
        <w:t>–</w:t>
      </w:r>
      <w:r w:rsidRPr="0096467B">
        <w:rPr>
          <w:rStyle w:val="Hypertextovodkaz"/>
          <w:rFonts w:cs="Tahoma"/>
          <w:b w:val="0"/>
          <w:bCs w:val="0"/>
          <w:color w:val="auto"/>
          <w:u w:val="none"/>
        </w:rPr>
        <w:t>202</w:t>
      </w:r>
      <w:r w:rsidR="00B71BBB" w:rsidRPr="0096467B">
        <w:rPr>
          <w:rStyle w:val="Hypertextovodkaz"/>
          <w:rFonts w:cs="Tahoma"/>
          <w:b w:val="0"/>
          <w:bCs w:val="0"/>
          <w:color w:val="auto"/>
          <w:u w:val="none"/>
        </w:rPr>
        <w:t>7</w:t>
      </w:r>
      <w:r w:rsidRPr="0096467B">
        <w:rPr>
          <w:rStyle w:val="Hypertextovodkaz"/>
          <w:rFonts w:cs="Tahoma"/>
          <w:b w:val="0"/>
          <w:bCs w:val="0"/>
          <w:color w:val="auto"/>
          <w:u w:val="none"/>
        </w:rPr>
        <w:t xml:space="preserve"> </w:t>
      </w:r>
      <w:r w:rsidRPr="0096467B">
        <w:rPr>
          <w:rStyle w:val="Hypertextovodkaz"/>
          <w:rFonts w:cs="Tahoma"/>
          <w:b w:val="0"/>
          <w:bCs w:val="0"/>
          <w:color w:val="auto"/>
          <w:u w:val="none"/>
        </w:rPr>
        <w:tab/>
      </w:r>
      <w:r w:rsidR="00D60E66" w:rsidRPr="0096467B">
        <w:rPr>
          <w:rStyle w:val="Hypertextovodkaz"/>
          <w:rFonts w:cs="Tahoma"/>
          <w:b w:val="0"/>
          <w:bCs w:val="0"/>
          <w:color w:val="auto"/>
          <w:u w:val="none"/>
        </w:rPr>
        <w:t>2</w:t>
      </w:r>
    </w:p>
    <w:p w14:paraId="5398181B" w14:textId="02FC6D7A" w:rsidR="00C01B85" w:rsidRPr="0096467B" w:rsidRDefault="00C01B85" w:rsidP="00C01B85">
      <w:pPr>
        <w:pStyle w:val="Obsah1"/>
        <w:rPr>
          <w:rStyle w:val="Hypertextovodkaz"/>
          <w:rFonts w:cs="Tahoma"/>
          <w:b w:val="0"/>
          <w:bCs w:val="0"/>
          <w:color w:val="auto"/>
          <w:u w:val="none"/>
        </w:rPr>
      </w:pPr>
      <w:r w:rsidRPr="0096467B">
        <w:rPr>
          <w:rStyle w:val="Hypertextovodkaz"/>
          <w:rFonts w:cs="Tahoma"/>
          <w:b w:val="0"/>
          <w:bCs w:val="0"/>
          <w:color w:val="auto"/>
          <w:u w:val="none"/>
        </w:rPr>
        <w:t>Tabulka č. 2</w:t>
      </w:r>
      <w:r w:rsidR="007637B6" w:rsidRPr="0096467B">
        <w:rPr>
          <w:rStyle w:val="Hypertextovodkaz"/>
          <w:rFonts w:cs="Tahoma"/>
          <w:b w:val="0"/>
          <w:bCs w:val="0"/>
          <w:color w:val="auto"/>
          <w:u w:val="none"/>
        </w:rPr>
        <w:t xml:space="preserve"> </w:t>
      </w:r>
      <w:r w:rsidRPr="0096467B">
        <w:rPr>
          <w:rStyle w:val="Hypertextovodkaz"/>
          <w:rFonts w:cs="Tahoma"/>
          <w:b w:val="0"/>
          <w:bCs w:val="0"/>
          <w:color w:val="auto"/>
          <w:u w:val="none"/>
        </w:rPr>
        <w:t>Přehled očekávaných účelových dotací v letech 202</w:t>
      </w:r>
      <w:r w:rsidR="00B71BBB" w:rsidRPr="0096467B">
        <w:rPr>
          <w:rStyle w:val="Hypertextovodkaz"/>
          <w:rFonts w:cs="Tahoma"/>
          <w:b w:val="0"/>
          <w:bCs w:val="0"/>
          <w:color w:val="auto"/>
          <w:u w:val="none"/>
        </w:rPr>
        <w:t>5</w:t>
      </w:r>
      <w:r w:rsidRPr="0096467B">
        <w:rPr>
          <w:rStyle w:val="Hypertextovodkaz"/>
          <w:rFonts w:cs="Tahoma"/>
          <w:b w:val="0"/>
          <w:bCs w:val="0"/>
          <w:color w:val="auto"/>
          <w:u w:val="none"/>
        </w:rPr>
        <w:t>–20</w:t>
      </w:r>
      <w:r w:rsidR="00B1535F" w:rsidRPr="0096467B">
        <w:rPr>
          <w:rStyle w:val="Hypertextovodkaz"/>
          <w:rFonts w:cs="Tahoma"/>
          <w:b w:val="0"/>
          <w:bCs w:val="0"/>
          <w:color w:val="auto"/>
          <w:u w:val="none"/>
        </w:rPr>
        <w:t>2</w:t>
      </w:r>
      <w:r w:rsidR="00B71BBB" w:rsidRPr="0096467B">
        <w:rPr>
          <w:rStyle w:val="Hypertextovodkaz"/>
          <w:rFonts w:cs="Tahoma"/>
          <w:b w:val="0"/>
          <w:bCs w:val="0"/>
          <w:color w:val="auto"/>
          <w:u w:val="none"/>
        </w:rPr>
        <w:t>7</w:t>
      </w:r>
      <w:r w:rsidRPr="0096467B">
        <w:rPr>
          <w:rStyle w:val="Hypertextovodkaz"/>
          <w:rFonts w:cs="Tahoma"/>
          <w:b w:val="0"/>
          <w:bCs w:val="0"/>
          <w:color w:val="auto"/>
          <w:u w:val="none"/>
        </w:rPr>
        <w:tab/>
      </w:r>
      <w:r w:rsidR="007F4AFA" w:rsidRPr="0096467B">
        <w:rPr>
          <w:rStyle w:val="Hypertextovodkaz"/>
          <w:rFonts w:cs="Tahoma"/>
          <w:b w:val="0"/>
          <w:bCs w:val="0"/>
          <w:color w:val="auto"/>
          <w:u w:val="none"/>
        </w:rPr>
        <w:t>5</w:t>
      </w:r>
    </w:p>
    <w:p w14:paraId="486F23B3" w14:textId="4CC3A9A6" w:rsidR="00C01B85" w:rsidRPr="0096467B" w:rsidRDefault="00C01B85" w:rsidP="00C01B85">
      <w:pPr>
        <w:pStyle w:val="Obsah1"/>
        <w:rPr>
          <w:rStyle w:val="Hypertextovodkaz"/>
          <w:rFonts w:cs="Tahoma"/>
          <w:b w:val="0"/>
          <w:bCs w:val="0"/>
          <w:color w:val="auto"/>
          <w:u w:val="none"/>
        </w:rPr>
      </w:pPr>
      <w:r w:rsidRPr="0096467B">
        <w:rPr>
          <w:rStyle w:val="Hypertextovodkaz"/>
          <w:rFonts w:cs="Tahoma"/>
          <w:b w:val="0"/>
          <w:bCs w:val="0"/>
          <w:color w:val="auto"/>
          <w:u w:val="none"/>
        </w:rPr>
        <w:t>Tabulka č. 3</w:t>
      </w:r>
      <w:r w:rsidR="007637B6" w:rsidRPr="0096467B">
        <w:rPr>
          <w:rStyle w:val="Hypertextovodkaz"/>
          <w:rFonts w:cs="Tahoma"/>
          <w:b w:val="0"/>
          <w:bCs w:val="0"/>
          <w:color w:val="auto"/>
          <w:u w:val="none"/>
        </w:rPr>
        <w:t xml:space="preserve"> </w:t>
      </w:r>
      <w:r w:rsidRPr="0096467B">
        <w:rPr>
          <w:rStyle w:val="Hypertextovodkaz"/>
          <w:rFonts w:cs="Tahoma"/>
          <w:b w:val="0"/>
          <w:bCs w:val="0"/>
          <w:color w:val="auto"/>
          <w:u w:val="none"/>
        </w:rPr>
        <w:t xml:space="preserve">Přehled závazků kraje u akcí spolufinancovaných z evropských finančních zdrojů </w:t>
      </w:r>
      <w:r w:rsidRPr="0096467B">
        <w:rPr>
          <w:rStyle w:val="Hypertextovodkaz"/>
          <w:rFonts w:cs="Tahoma"/>
          <w:b w:val="0"/>
          <w:bCs w:val="0"/>
          <w:color w:val="auto"/>
          <w:u w:val="none"/>
        </w:rPr>
        <w:tab/>
      </w:r>
      <w:r w:rsidR="0096467B" w:rsidRPr="0096467B">
        <w:rPr>
          <w:rStyle w:val="Hypertextovodkaz"/>
          <w:rFonts w:cs="Tahoma"/>
          <w:b w:val="0"/>
          <w:bCs w:val="0"/>
          <w:color w:val="auto"/>
          <w:u w:val="none"/>
        </w:rPr>
        <w:t>8</w:t>
      </w:r>
    </w:p>
    <w:p w14:paraId="63396457" w14:textId="2AE53A08" w:rsidR="00C01B85" w:rsidRPr="0096467B" w:rsidRDefault="00C01B85" w:rsidP="00C01B85">
      <w:pPr>
        <w:pStyle w:val="Obsah1"/>
        <w:rPr>
          <w:rStyle w:val="Hypertextovodkaz"/>
          <w:rFonts w:cs="Tahoma"/>
          <w:b w:val="0"/>
          <w:bCs w:val="0"/>
          <w:color w:val="auto"/>
          <w:u w:val="none"/>
        </w:rPr>
      </w:pPr>
      <w:r w:rsidRPr="0096467B">
        <w:rPr>
          <w:rStyle w:val="Hypertextovodkaz"/>
          <w:rFonts w:cs="Tahoma"/>
          <w:b w:val="0"/>
          <w:bCs w:val="0"/>
          <w:color w:val="auto"/>
          <w:u w:val="none"/>
        </w:rPr>
        <w:t>Tabulka č. 4</w:t>
      </w:r>
      <w:r w:rsidR="007637B6" w:rsidRPr="0096467B">
        <w:rPr>
          <w:rStyle w:val="Hypertextovodkaz"/>
          <w:rFonts w:cs="Tahoma"/>
          <w:b w:val="0"/>
          <w:bCs w:val="0"/>
          <w:color w:val="auto"/>
          <w:u w:val="none"/>
        </w:rPr>
        <w:t xml:space="preserve"> </w:t>
      </w:r>
      <w:r w:rsidRPr="0096467B">
        <w:rPr>
          <w:rStyle w:val="Hypertextovodkaz"/>
          <w:rFonts w:cs="Tahoma"/>
          <w:b w:val="0"/>
          <w:bCs w:val="0"/>
          <w:color w:val="auto"/>
          <w:u w:val="none"/>
        </w:rPr>
        <w:t xml:space="preserve">Přehled závazků kraje u akcí reprodukce majetku kraje </w:t>
      </w:r>
      <w:r w:rsidRPr="0096467B">
        <w:rPr>
          <w:rStyle w:val="Hypertextovodkaz"/>
          <w:rFonts w:cs="Tahoma"/>
          <w:b w:val="0"/>
          <w:bCs w:val="0"/>
          <w:color w:val="auto"/>
          <w:u w:val="none"/>
        </w:rPr>
        <w:tab/>
        <w:t>1</w:t>
      </w:r>
      <w:r w:rsidR="00BD54C1">
        <w:rPr>
          <w:rStyle w:val="Hypertextovodkaz"/>
          <w:rFonts w:cs="Tahoma"/>
          <w:b w:val="0"/>
          <w:bCs w:val="0"/>
          <w:color w:val="auto"/>
          <w:u w:val="none"/>
        </w:rPr>
        <w:t>3</w:t>
      </w:r>
    </w:p>
    <w:p w14:paraId="2EBBDAD8" w14:textId="5594C608" w:rsidR="00C01B85" w:rsidRPr="0096467B" w:rsidRDefault="00C01B85" w:rsidP="00C01B85">
      <w:pPr>
        <w:pStyle w:val="Obsah1"/>
        <w:rPr>
          <w:rStyle w:val="Hypertextovodkaz"/>
          <w:rFonts w:cs="Tahoma"/>
          <w:b w:val="0"/>
          <w:bCs w:val="0"/>
          <w:color w:val="auto"/>
          <w:u w:val="none"/>
        </w:rPr>
      </w:pPr>
      <w:r w:rsidRPr="0096467B">
        <w:rPr>
          <w:rStyle w:val="Hypertextovodkaz"/>
          <w:rFonts w:cs="Tahoma"/>
          <w:b w:val="0"/>
          <w:bCs w:val="0"/>
          <w:color w:val="auto"/>
          <w:u w:val="none"/>
        </w:rPr>
        <w:t>Tabulka č. 5</w:t>
      </w:r>
      <w:r w:rsidR="007637B6" w:rsidRPr="0096467B">
        <w:rPr>
          <w:rStyle w:val="Hypertextovodkaz"/>
          <w:rFonts w:cs="Tahoma"/>
          <w:b w:val="0"/>
          <w:bCs w:val="0"/>
          <w:color w:val="auto"/>
          <w:u w:val="none"/>
        </w:rPr>
        <w:t xml:space="preserve"> </w:t>
      </w:r>
      <w:r w:rsidRPr="0096467B">
        <w:rPr>
          <w:rStyle w:val="Hypertextovodkaz"/>
          <w:rFonts w:cs="Tahoma"/>
          <w:b w:val="0"/>
          <w:bCs w:val="0"/>
          <w:color w:val="auto"/>
          <w:u w:val="none"/>
        </w:rPr>
        <w:t>Přehled ostatních dlouhodobých závazků kraje</w:t>
      </w:r>
      <w:r w:rsidRPr="0096467B">
        <w:rPr>
          <w:rStyle w:val="Hypertextovodkaz"/>
          <w:rFonts w:cs="Tahoma"/>
          <w:b w:val="0"/>
          <w:bCs w:val="0"/>
          <w:color w:val="auto"/>
          <w:u w:val="none"/>
        </w:rPr>
        <w:tab/>
      </w:r>
      <w:r w:rsidR="00BD54C1">
        <w:rPr>
          <w:rStyle w:val="Hypertextovodkaz"/>
          <w:rFonts w:cs="Tahoma"/>
          <w:b w:val="0"/>
          <w:bCs w:val="0"/>
          <w:color w:val="auto"/>
          <w:u w:val="none"/>
        </w:rPr>
        <w:t>19</w:t>
      </w:r>
    </w:p>
    <w:p w14:paraId="381DEC2F" w14:textId="46AD4732" w:rsidR="00C01B85" w:rsidRPr="0096467B" w:rsidRDefault="00C01B85" w:rsidP="00C01B85">
      <w:pPr>
        <w:pStyle w:val="Obsah1"/>
        <w:rPr>
          <w:rStyle w:val="Hypertextovodkaz"/>
          <w:rFonts w:cs="Tahoma"/>
          <w:b w:val="0"/>
          <w:bCs w:val="0"/>
          <w:color w:val="auto"/>
          <w:u w:val="none"/>
        </w:rPr>
      </w:pPr>
      <w:r w:rsidRPr="0096467B">
        <w:rPr>
          <w:rStyle w:val="Hypertextovodkaz"/>
          <w:rFonts w:cs="Tahoma"/>
          <w:b w:val="0"/>
          <w:bCs w:val="0"/>
          <w:color w:val="auto"/>
          <w:u w:val="none"/>
        </w:rPr>
        <w:t>Tabulka č. 6</w:t>
      </w:r>
      <w:r w:rsidR="007637B6" w:rsidRPr="0096467B">
        <w:rPr>
          <w:rStyle w:val="Hypertextovodkaz"/>
          <w:rFonts w:cs="Tahoma"/>
          <w:b w:val="0"/>
          <w:bCs w:val="0"/>
          <w:color w:val="auto"/>
          <w:u w:val="none"/>
        </w:rPr>
        <w:t xml:space="preserve"> </w:t>
      </w:r>
      <w:r w:rsidRPr="0096467B">
        <w:rPr>
          <w:rStyle w:val="Hypertextovodkaz"/>
          <w:rFonts w:cs="Tahoma"/>
          <w:b w:val="0"/>
          <w:bCs w:val="0"/>
          <w:color w:val="auto"/>
          <w:u w:val="none"/>
        </w:rPr>
        <w:t>Přehled výdajů na zajištění udržitelnosti akcí spolufinancovaných z evropských finančních zdrojů</w:t>
      </w:r>
      <w:r w:rsidRPr="0096467B">
        <w:rPr>
          <w:rStyle w:val="Hypertextovodkaz"/>
          <w:rFonts w:cs="Tahoma"/>
          <w:b w:val="0"/>
          <w:bCs w:val="0"/>
          <w:color w:val="auto"/>
          <w:u w:val="none"/>
        </w:rPr>
        <w:tab/>
      </w:r>
      <w:r w:rsidR="0096467B" w:rsidRPr="0096467B">
        <w:rPr>
          <w:rStyle w:val="Hypertextovodkaz"/>
          <w:rFonts w:cs="Tahoma"/>
          <w:b w:val="0"/>
          <w:bCs w:val="0"/>
          <w:color w:val="auto"/>
          <w:u w:val="none"/>
        </w:rPr>
        <w:t>4</w:t>
      </w:r>
      <w:r w:rsidR="00BD54C1">
        <w:rPr>
          <w:rStyle w:val="Hypertextovodkaz"/>
          <w:rFonts w:cs="Tahoma"/>
          <w:b w:val="0"/>
          <w:bCs w:val="0"/>
          <w:color w:val="auto"/>
          <w:u w:val="none"/>
        </w:rPr>
        <w:t>1</w:t>
      </w:r>
    </w:p>
    <w:p w14:paraId="1D10A44F" w14:textId="1737D0C2" w:rsidR="00C01B85" w:rsidRPr="0096467B" w:rsidRDefault="00C01B85" w:rsidP="00C01B85">
      <w:pPr>
        <w:pStyle w:val="Obsah1"/>
        <w:rPr>
          <w:rStyle w:val="Hypertextovodkaz"/>
          <w:rFonts w:cs="Tahoma"/>
          <w:b w:val="0"/>
          <w:bCs w:val="0"/>
          <w:color w:val="auto"/>
          <w:u w:val="none"/>
        </w:rPr>
      </w:pPr>
      <w:r w:rsidRPr="0096467B">
        <w:rPr>
          <w:rStyle w:val="Hypertextovodkaz"/>
          <w:rFonts w:cs="Tahoma"/>
          <w:b w:val="0"/>
          <w:bCs w:val="0"/>
          <w:color w:val="auto"/>
          <w:u w:val="none"/>
        </w:rPr>
        <w:t>Tabulka č. 7</w:t>
      </w:r>
      <w:r w:rsidR="007637B6" w:rsidRPr="0096467B">
        <w:rPr>
          <w:rStyle w:val="Hypertextovodkaz"/>
          <w:rFonts w:cs="Tahoma"/>
          <w:b w:val="0"/>
          <w:bCs w:val="0"/>
          <w:color w:val="auto"/>
          <w:u w:val="none"/>
        </w:rPr>
        <w:t xml:space="preserve"> P</w:t>
      </w:r>
      <w:r w:rsidRPr="0096467B">
        <w:rPr>
          <w:rStyle w:val="Hypertextovodkaz"/>
          <w:rFonts w:cs="Tahoma"/>
          <w:b w:val="0"/>
          <w:bCs w:val="0"/>
          <w:color w:val="auto"/>
          <w:u w:val="none"/>
        </w:rPr>
        <w:t>řehled splácení jistiny a úroků z úvěrů čerpaných Moravskoslezským krajem</w:t>
      </w:r>
      <w:r w:rsidRPr="0096467B">
        <w:rPr>
          <w:rStyle w:val="Hypertextovodkaz"/>
          <w:rFonts w:cs="Tahoma"/>
          <w:b w:val="0"/>
          <w:bCs w:val="0"/>
          <w:color w:val="auto"/>
          <w:u w:val="none"/>
        </w:rPr>
        <w:tab/>
      </w:r>
      <w:r w:rsidR="000B05B6" w:rsidRPr="0096467B">
        <w:rPr>
          <w:rStyle w:val="Hypertextovodkaz"/>
          <w:rFonts w:cs="Tahoma"/>
          <w:b w:val="0"/>
          <w:bCs w:val="0"/>
          <w:color w:val="auto"/>
          <w:u w:val="none"/>
        </w:rPr>
        <w:t>4</w:t>
      </w:r>
      <w:r w:rsidR="001731F3">
        <w:rPr>
          <w:rStyle w:val="Hypertextovodkaz"/>
          <w:rFonts w:cs="Tahoma"/>
          <w:b w:val="0"/>
          <w:bCs w:val="0"/>
          <w:color w:val="auto"/>
          <w:u w:val="none"/>
        </w:rPr>
        <w:t>4</w:t>
      </w:r>
    </w:p>
    <w:p w14:paraId="0E2B7B32" w14:textId="4CAABB8D" w:rsidR="00C01B85" w:rsidRPr="00D60E66" w:rsidRDefault="00C01B85" w:rsidP="00C01B85">
      <w:pPr>
        <w:pStyle w:val="Obsah1"/>
        <w:rPr>
          <w:rStyle w:val="Hypertextovodkaz"/>
          <w:rFonts w:cs="Tahoma"/>
          <w:b w:val="0"/>
          <w:bCs w:val="0"/>
          <w:color w:val="auto"/>
          <w:u w:val="none"/>
        </w:rPr>
      </w:pPr>
      <w:r w:rsidRPr="0096467B">
        <w:rPr>
          <w:rStyle w:val="Hypertextovodkaz"/>
          <w:rFonts w:cs="Tahoma"/>
          <w:b w:val="0"/>
          <w:bCs w:val="0"/>
          <w:color w:val="auto"/>
          <w:u w:val="none"/>
        </w:rPr>
        <w:t xml:space="preserve">Tabulka č. </w:t>
      </w:r>
      <w:r w:rsidR="00807EAE" w:rsidRPr="0096467B">
        <w:rPr>
          <w:rStyle w:val="Hypertextovodkaz"/>
          <w:rFonts w:cs="Tahoma"/>
          <w:b w:val="0"/>
          <w:bCs w:val="0"/>
          <w:color w:val="auto"/>
          <w:u w:val="none"/>
        </w:rPr>
        <w:t>8</w:t>
      </w:r>
      <w:r w:rsidR="007637B6" w:rsidRPr="0096467B">
        <w:rPr>
          <w:rStyle w:val="Hypertextovodkaz"/>
          <w:rFonts w:cs="Tahoma"/>
          <w:b w:val="0"/>
          <w:bCs w:val="0"/>
          <w:color w:val="auto"/>
          <w:u w:val="none"/>
        </w:rPr>
        <w:t xml:space="preserve"> </w:t>
      </w:r>
      <w:r w:rsidRPr="0096467B">
        <w:rPr>
          <w:rStyle w:val="Hypertextovodkaz"/>
          <w:rFonts w:cs="Tahoma"/>
          <w:b w:val="0"/>
          <w:bCs w:val="0"/>
          <w:color w:val="auto"/>
          <w:u w:val="none"/>
        </w:rPr>
        <w:t xml:space="preserve">Ukazatele zadluženosti </w:t>
      </w:r>
      <w:r w:rsidRPr="0096467B">
        <w:rPr>
          <w:rStyle w:val="Hypertextovodkaz"/>
          <w:rFonts w:cs="Tahoma"/>
          <w:b w:val="0"/>
          <w:bCs w:val="0"/>
          <w:color w:val="auto"/>
          <w:u w:val="none"/>
        </w:rPr>
        <w:tab/>
      </w:r>
      <w:r w:rsidR="00827D4D" w:rsidRPr="0096467B">
        <w:rPr>
          <w:rStyle w:val="Hypertextovodkaz"/>
          <w:rFonts w:cs="Tahoma"/>
          <w:b w:val="0"/>
          <w:bCs w:val="0"/>
          <w:color w:val="auto"/>
          <w:u w:val="none"/>
        </w:rPr>
        <w:t>4</w:t>
      </w:r>
      <w:r w:rsidR="001731F3">
        <w:rPr>
          <w:rStyle w:val="Hypertextovodkaz"/>
          <w:rFonts w:cs="Tahoma"/>
          <w:b w:val="0"/>
          <w:bCs w:val="0"/>
          <w:color w:val="auto"/>
          <w:u w:val="none"/>
        </w:rPr>
        <w:t>5</w:t>
      </w:r>
    </w:p>
    <w:p w14:paraId="7F3EA163" w14:textId="77777777" w:rsidR="000A509D" w:rsidRPr="00D60E66" w:rsidRDefault="000A509D" w:rsidP="00C01B85">
      <w:pPr>
        <w:pStyle w:val="Obsah1"/>
        <w:rPr>
          <w:rStyle w:val="Hypertextovodkaz"/>
          <w:rFonts w:cs="Tahoma"/>
          <w:color w:val="auto"/>
        </w:rPr>
      </w:pPr>
    </w:p>
    <w:p w14:paraId="57A4A579" w14:textId="77777777" w:rsidR="000A509D" w:rsidRDefault="000A509D" w:rsidP="006D3DC0">
      <w:pPr>
        <w:pStyle w:val="Nadpis1"/>
        <w:spacing w:before="120" w:after="0" w:line="240" w:lineRule="auto"/>
        <w:jc w:val="center"/>
        <w:rPr>
          <w:rFonts w:ascii="Tahoma" w:hAnsi="Tahoma" w:cs="Tahoma"/>
          <w:sz w:val="28"/>
          <w:szCs w:val="28"/>
        </w:rPr>
      </w:pPr>
    </w:p>
    <w:p w14:paraId="06A2CCD9" w14:textId="77777777" w:rsidR="000A509D" w:rsidRDefault="000A509D" w:rsidP="006D3DC0">
      <w:pPr>
        <w:pStyle w:val="Nadpis1"/>
        <w:spacing w:before="120" w:after="0" w:line="240" w:lineRule="auto"/>
        <w:jc w:val="center"/>
        <w:rPr>
          <w:rFonts w:ascii="Tahoma" w:hAnsi="Tahoma" w:cs="Tahoma"/>
          <w:sz w:val="28"/>
          <w:szCs w:val="28"/>
        </w:rPr>
      </w:pPr>
    </w:p>
    <w:p w14:paraId="39325365" w14:textId="77777777" w:rsidR="00AA103A" w:rsidRDefault="00AA103A">
      <w:pPr>
        <w:rPr>
          <w:rFonts w:ascii="Tahoma" w:hAnsi="Tahoma" w:cs="Tahoma"/>
          <w:b/>
          <w:bCs/>
          <w:kern w:val="32"/>
          <w:sz w:val="28"/>
          <w:szCs w:val="28"/>
        </w:rPr>
      </w:pPr>
      <w:r>
        <w:rPr>
          <w:rFonts w:ascii="Tahoma" w:hAnsi="Tahoma" w:cs="Tahoma"/>
          <w:sz w:val="28"/>
          <w:szCs w:val="28"/>
        </w:rPr>
        <w:br w:type="page"/>
      </w:r>
    </w:p>
    <w:p w14:paraId="29AC954C" w14:textId="77777777" w:rsidR="00AC799A" w:rsidRDefault="00AC799A" w:rsidP="00C50B43">
      <w:pPr>
        <w:pStyle w:val="Nadpis1"/>
        <w:spacing w:before="120" w:after="0" w:line="240" w:lineRule="auto"/>
        <w:rPr>
          <w:rFonts w:ascii="Tahoma" w:hAnsi="Tahoma" w:cs="Tahoma"/>
          <w:sz w:val="28"/>
          <w:szCs w:val="28"/>
        </w:rPr>
      </w:pPr>
      <w:bookmarkStart w:id="0" w:name="_Toc150511312"/>
      <w:r>
        <w:rPr>
          <w:rFonts w:ascii="Tahoma" w:hAnsi="Tahoma" w:cs="Tahoma"/>
          <w:sz w:val="28"/>
          <w:szCs w:val="28"/>
        </w:rPr>
        <w:lastRenderedPageBreak/>
        <w:t>Úvod</w:t>
      </w:r>
      <w:bookmarkEnd w:id="0"/>
    </w:p>
    <w:p w14:paraId="31B17019" w14:textId="77777777" w:rsidR="00554BCE" w:rsidRPr="00554BCE" w:rsidRDefault="00554BCE" w:rsidP="00554BCE"/>
    <w:p w14:paraId="43BD9CD6" w14:textId="0EB44CE0" w:rsidR="00666E3B" w:rsidRPr="005B49B1" w:rsidRDefault="005738C9" w:rsidP="00F53BE6">
      <w:pPr>
        <w:pStyle w:val="Zkladntext"/>
        <w:rPr>
          <w:rFonts w:ascii="Tahoma" w:hAnsi="Tahoma" w:cs="Tahoma"/>
          <w:sz w:val="24"/>
          <w:szCs w:val="24"/>
        </w:rPr>
      </w:pPr>
      <w:r w:rsidRPr="005B49B1">
        <w:rPr>
          <w:rFonts w:ascii="Tahoma" w:hAnsi="Tahoma" w:cs="Tahoma"/>
          <w:sz w:val="24"/>
          <w:szCs w:val="24"/>
        </w:rPr>
        <w:t xml:space="preserve">Střednědobý </w:t>
      </w:r>
      <w:r w:rsidR="008E7B37" w:rsidRPr="005B49B1">
        <w:rPr>
          <w:rFonts w:ascii="Tahoma" w:hAnsi="Tahoma" w:cs="Tahoma"/>
          <w:sz w:val="24"/>
          <w:szCs w:val="24"/>
        </w:rPr>
        <w:t>výhled</w:t>
      </w:r>
      <w:r w:rsidRPr="005B49B1">
        <w:rPr>
          <w:rFonts w:ascii="Tahoma" w:hAnsi="Tahoma" w:cs="Tahoma"/>
          <w:sz w:val="24"/>
          <w:szCs w:val="24"/>
        </w:rPr>
        <w:t xml:space="preserve"> rozpočtu</w:t>
      </w:r>
      <w:r w:rsidR="008E7B37" w:rsidRPr="005B49B1">
        <w:rPr>
          <w:rFonts w:ascii="Tahoma" w:hAnsi="Tahoma" w:cs="Tahoma"/>
          <w:sz w:val="24"/>
          <w:szCs w:val="24"/>
        </w:rPr>
        <w:t xml:space="preserve"> </w:t>
      </w:r>
      <w:r w:rsidRPr="005B49B1">
        <w:rPr>
          <w:rFonts w:ascii="Tahoma" w:hAnsi="Tahoma" w:cs="Tahoma"/>
          <w:sz w:val="24"/>
          <w:szCs w:val="24"/>
        </w:rPr>
        <w:t>kraje na léta 20</w:t>
      </w:r>
      <w:r w:rsidR="003332B7" w:rsidRPr="005B49B1">
        <w:rPr>
          <w:rFonts w:ascii="Tahoma" w:hAnsi="Tahoma" w:cs="Tahoma"/>
          <w:sz w:val="24"/>
          <w:szCs w:val="24"/>
        </w:rPr>
        <w:t>2</w:t>
      </w:r>
      <w:r w:rsidR="00017E1E">
        <w:rPr>
          <w:rFonts w:ascii="Tahoma" w:hAnsi="Tahoma" w:cs="Tahoma"/>
          <w:sz w:val="24"/>
          <w:szCs w:val="24"/>
        </w:rPr>
        <w:t>5</w:t>
      </w:r>
      <w:r w:rsidR="005B49B1" w:rsidRPr="005B28F4">
        <w:rPr>
          <w:rFonts w:ascii="Tahoma" w:hAnsi="Tahoma" w:cs="Tahoma"/>
          <w:sz w:val="24"/>
          <w:szCs w:val="24"/>
        </w:rPr>
        <w:t>–</w:t>
      </w:r>
      <w:r w:rsidRPr="005B49B1">
        <w:rPr>
          <w:rFonts w:ascii="Tahoma" w:hAnsi="Tahoma" w:cs="Tahoma"/>
          <w:sz w:val="24"/>
          <w:szCs w:val="24"/>
        </w:rPr>
        <w:t>202</w:t>
      </w:r>
      <w:r w:rsidR="00017E1E">
        <w:rPr>
          <w:rFonts w:ascii="Tahoma" w:hAnsi="Tahoma" w:cs="Tahoma"/>
          <w:sz w:val="24"/>
          <w:szCs w:val="24"/>
        </w:rPr>
        <w:t>7</w:t>
      </w:r>
      <w:r w:rsidRPr="005B49B1">
        <w:rPr>
          <w:rFonts w:ascii="Tahoma" w:hAnsi="Tahoma" w:cs="Tahoma"/>
          <w:sz w:val="24"/>
          <w:szCs w:val="24"/>
        </w:rPr>
        <w:t xml:space="preserve"> (dále jen „výhled“) </w:t>
      </w:r>
      <w:r w:rsidR="008E7B37" w:rsidRPr="005B49B1">
        <w:rPr>
          <w:rFonts w:ascii="Tahoma" w:hAnsi="Tahoma" w:cs="Tahoma"/>
          <w:sz w:val="24"/>
          <w:szCs w:val="24"/>
        </w:rPr>
        <w:t>vychází z</w:t>
      </w:r>
      <w:r w:rsidRPr="005B49B1">
        <w:rPr>
          <w:rFonts w:ascii="Tahoma" w:hAnsi="Tahoma" w:cs="Tahoma"/>
          <w:sz w:val="24"/>
          <w:szCs w:val="24"/>
        </w:rPr>
        <w:t>e</w:t>
      </w:r>
      <w:r w:rsidR="000A5170" w:rsidRPr="005B49B1">
        <w:rPr>
          <w:rFonts w:ascii="Tahoma" w:hAnsi="Tahoma" w:cs="Tahoma"/>
          <w:sz w:val="24"/>
          <w:szCs w:val="24"/>
        </w:rPr>
        <w:t> </w:t>
      </w:r>
      <w:r w:rsidRPr="005B49B1">
        <w:rPr>
          <w:rFonts w:ascii="Tahoma" w:hAnsi="Tahoma" w:cs="Tahoma"/>
          <w:sz w:val="24"/>
          <w:szCs w:val="24"/>
        </w:rPr>
        <w:t>strategických dokumentů kraje a navazuje na rozpočet kraje na rok 20</w:t>
      </w:r>
      <w:r w:rsidR="00CC32F5" w:rsidRPr="005B49B1">
        <w:rPr>
          <w:rFonts w:ascii="Tahoma" w:hAnsi="Tahoma" w:cs="Tahoma"/>
          <w:sz w:val="24"/>
          <w:szCs w:val="24"/>
        </w:rPr>
        <w:t>2</w:t>
      </w:r>
      <w:r w:rsidR="00017E1E">
        <w:rPr>
          <w:rFonts w:ascii="Tahoma" w:hAnsi="Tahoma" w:cs="Tahoma"/>
          <w:sz w:val="24"/>
          <w:szCs w:val="24"/>
        </w:rPr>
        <w:t>4</w:t>
      </w:r>
      <w:r w:rsidRPr="005B49B1">
        <w:rPr>
          <w:rFonts w:ascii="Tahoma" w:hAnsi="Tahoma" w:cs="Tahoma"/>
          <w:sz w:val="24"/>
          <w:szCs w:val="24"/>
        </w:rPr>
        <w:t xml:space="preserve">. </w:t>
      </w:r>
      <w:r w:rsidR="00E11C73" w:rsidRPr="005B49B1">
        <w:rPr>
          <w:rFonts w:ascii="Tahoma" w:hAnsi="Tahoma" w:cs="Tahoma"/>
          <w:sz w:val="24"/>
          <w:szCs w:val="24"/>
        </w:rPr>
        <w:t xml:space="preserve">Základním </w:t>
      </w:r>
      <w:r w:rsidR="008E7B37" w:rsidRPr="005B49B1">
        <w:rPr>
          <w:rFonts w:ascii="Tahoma" w:hAnsi="Tahoma" w:cs="Tahoma"/>
          <w:sz w:val="24"/>
          <w:szCs w:val="24"/>
        </w:rPr>
        <w:t>dlouhodobým dokumentem kraje je Strategie rozvoje Moravskoslezského kraje</w:t>
      </w:r>
      <w:r w:rsidR="00FC2BF0" w:rsidRPr="005B49B1">
        <w:rPr>
          <w:rFonts w:ascii="Tahoma" w:hAnsi="Tahoma" w:cs="Tahoma"/>
          <w:sz w:val="24"/>
          <w:szCs w:val="24"/>
        </w:rPr>
        <w:t xml:space="preserve"> </w:t>
      </w:r>
      <w:r w:rsidR="008E7B37" w:rsidRPr="005B49B1">
        <w:rPr>
          <w:rFonts w:ascii="Tahoma" w:hAnsi="Tahoma" w:cs="Tahoma"/>
          <w:sz w:val="24"/>
          <w:szCs w:val="24"/>
        </w:rPr>
        <w:t>na léta 20</w:t>
      </w:r>
      <w:r w:rsidR="00CC32F5" w:rsidRPr="005B49B1">
        <w:rPr>
          <w:rFonts w:ascii="Tahoma" w:hAnsi="Tahoma" w:cs="Tahoma"/>
          <w:sz w:val="24"/>
          <w:szCs w:val="24"/>
        </w:rPr>
        <w:t>19</w:t>
      </w:r>
      <w:r w:rsidR="005B49B1" w:rsidRPr="005B28F4">
        <w:rPr>
          <w:rFonts w:ascii="Tahoma" w:hAnsi="Tahoma" w:cs="Tahoma"/>
          <w:sz w:val="24"/>
          <w:szCs w:val="24"/>
        </w:rPr>
        <w:t>–</w:t>
      </w:r>
      <w:r w:rsidR="008E7B37" w:rsidRPr="005B49B1">
        <w:rPr>
          <w:rFonts w:ascii="Tahoma" w:hAnsi="Tahoma" w:cs="Tahoma"/>
          <w:sz w:val="24"/>
          <w:szCs w:val="24"/>
        </w:rPr>
        <w:t>202</w:t>
      </w:r>
      <w:r w:rsidR="00CC32F5" w:rsidRPr="005B49B1">
        <w:rPr>
          <w:rFonts w:ascii="Tahoma" w:hAnsi="Tahoma" w:cs="Tahoma"/>
          <w:sz w:val="24"/>
          <w:szCs w:val="24"/>
        </w:rPr>
        <w:t>7</w:t>
      </w:r>
      <w:r w:rsidR="008E7B37" w:rsidRPr="005B49B1">
        <w:rPr>
          <w:rFonts w:ascii="Tahoma" w:hAnsi="Tahoma" w:cs="Tahoma"/>
          <w:sz w:val="24"/>
          <w:szCs w:val="24"/>
        </w:rPr>
        <w:t xml:space="preserve">, </w:t>
      </w:r>
      <w:r w:rsidR="00E11C73" w:rsidRPr="005B49B1">
        <w:rPr>
          <w:rFonts w:ascii="Tahoma" w:hAnsi="Tahoma" w:cs="Tahoma"/>
          <w:sz w:val="24"/>
          <w:szCs w:val="24"/>
        </w:rPr>
        <w:t>kter</w:t>
      </w:r>
      <w:r w:rsidR="00137288">
        <w:rPr>
          <w:rFonts w:ascii="Tahoma" w:hAnsi="Tahoma" w:cs="Tahoma"/>
          <w:sz w:val="24"/>
          <w:szCs w:val="24"/>
        </w:rPr>
        <w:t>ou</w:t>
      </w:r>
      <w:r w:rsidR="00E11C73" w:rsidRPr="005B49B1">
        <w:rPr>
          <w:rFonts w:ascii="Tahoma" w:hAnsi="Tahoma" w:cs="Tahoma"/>
          <w:sz w:val="24"/>
          <w:szCs w:val="24"/>
        </w:rPr>
        <w:t xml:space="preserve"> </w:t>
      </w:r>
      <w:r w:rsidR="009345BB" w:rsidRPr="005B49B1">
        <w:rPr>
          <w:rFonts w:ascii="Tahoma" w:hAnsi="Tahoma" w:cs="Tahoma"/>
          <w:sz w:val="24"/>
          <w:szCs w:val="24"/>
        </w:rPr>
        <w:t>schválilo z</w:t>
      </w:r>
      <w:r w:rsidR="009345BB" w:rsidRPr="005B49B1">
        <w:rPr>
          <w:rFonts w:ascii="Tahoma" w:hAnsi="Tahoma" w:cs="Tahoma"/>
          <w:color w:val="000000"/>
          <w:sz w:val="24"/>
          <w:szCs w:val="24"/>
        </w:rPr>
        <w:t>astupitelstvo svým usnesením č. 14/1717 ze dne 12.</w:t>
      </w:r>
      <w:r w:rsidR="005B49B1">
        <w:rPr>
          <w:rFonts w:ascii="Tahoma" w:hAnsi="Tahoma" w:cs="Tahoma"/>
          <w:color w:val="000000"/>
          <w:sz w:val="24"/>
          <w:szCs w:val="24"/>
        </w:rPr>
        <w:t> </w:t>
      </w:r>
      <w:r w:rsidR="009345BB" w:rsidRPr="005B49B1">
        <w:rPr>
          <w:rFonts w:ascii="Tahoma" w:hAnsi="Tahoma" w:cs="Tahoma"/>
          <w:color w:val="000000"/>
          <w:sz w:val="24"/>
          <w:szCs w:val="24"/>
        </w:rPr>
        <w:t>12.</w:t>
      </w:r>
      <w:r w:rsidR="005B49B1">
        <w:rPr>
          <w:rFonts w:ascii="Tahoma" w:hAnsi="Tahoma" w:cs="Tahoma"/>
          <w:color w:val="000000"/>
          <w:sz w:val="24"/>
          <w:szCs w:val="24"/>
        </w:rPr>
        <w:t> </w:t>
      </w:r>
      <w:r w:rsidR="009345BB" w:rsidRPr="005B49B1">
        <w:rPr>
          <w:rFonts w:ascii="Tahoma" w:hAnsi="Tahoma" w:cs="Tahoma"/>
          <w:color w:val="000000"/>
          <w:sz w:val="24"/>
          <w:szCs w:val="24"/>
        </w:rPr>
        <w:t xml:space="preserve">2019. </w:t>
      </w:r>
      <w:r w:rsidR="00D35418" w:rsidRPr="005B49B1">
        <w:rPr>
          <w:rFonts w:ascii="Tahoma" w:hAnsi="Tahoma" w:cs="Tahoma"/>
          <w:sz w:val="24"/>
          <w:szCs w:val="24"/>
        </w:rPr>
        <w:t>Strategie vychází z dlouhodobé vize, určuje prioritní témata rozvoje, stanovuje strategické oblasti změn, kterých chce kraj dosáhnout, navrhuje opatření a</w:t>
      </w:r>
      <w:r w:rsidR="007406F7" w:rsidRPr="005B49B1">
        <w:rPr>
          <w:rFonts w:ascii="Tahoma" w:hAnsi="Tahoma" w:cs="Tahoma"/>
          <w:sz w:val="24"/>
          <w:szCs w:val="24"/>
        </w:rPr>
        <w:t> </w:t>
      </w:r>
      <w:r w:rsidR="00D35418" w:rsidRPr="005B49B1">
        <w:rPr>
          <w:rFonts w:ascii="Tahoma" w:hAnsi="Tahoma" w:cs="Tahoma"/>
          <w:sz w:val="24"/>
          <w:szCs w:val="24"/>
        </w:rPr>
        <w:t xml:space="preserve">typové aktivity, včetně návrhu strategických projektů, které mají k dosažení cílů vést. </w:t>
      </w:r>
      <w:r w:rsidR="00D1567B" w:rsidRPr="005B49B1">
        <w:rPr>
          <w:rFonts w:ascii="Tahoma" w:hAnsi="Tahoma" w:cs="Tahoma"/>
          <w:sz w:val="24"/>
          <w:szCs w:val="24"/>
        </w:rPr>
        <w:t xml:space="preserve">Výhled </w:t>
      </w:r>
      <w:r w:rsidR="00EE28EA" w:rsidRPr="005B49B1">
        <w:rPr>
          <w:rFonts w:ascii="Tahoma" w:hAnsi="Tahoma" w:cs="Tahoma"/>
          <w:sz w:val="24"/>
          <w:szCs w:val="24"/>
        </w:rPr>
        <w:t>naplňuje</w:t>
      </w:r>
      <w:r w:rsidR="006F52CC" w:rsidRPr="005B49B1">
        <w:rPr>
          <w:rFonts w:ascii="Tahoma" w:hAnsi="Tahoma" w:cs="Tahoma"/>
          <w:sz w:val="24"/>
          <w:szCs w:val="24"/>
        </w:rPr>
        <w:t xml:space="preserve"> </w:t>
      </w:r>
      <w:r w:rsidR="00D1567B" w:rsidRPr="005B49B1">
        <w:rPr>
          <w:rFonts w:ascii="Tahoma" w:hAnsi="Tahoma" w:cs="Tahoma"/>
          <w:sz w:val="24"/>
          <w:szCs w:val="24"/>
        </w:rPr>
        <w:t>programového prohlášení rady kraje VIZE 20</w:t>
      </w:r>
      <w:r w:rsidR="008418FE" w:rsidRPr="005B49B1">
        <w:rPr>
          <w:rFonts w:ascii="Tahoma" w:hAnsi="Tahoma" w:cs="Tahoma"/>
          <w:sz w:val="24"/>
          <w:szCs w:val="24"/>
        </w:rPr>
        <w:t>30</w:t>
      </w:r>
      <w:r w:rsidR="00D1567B" w:rsidRPr="005B49B1">
        <w:rPr>
          <w:rFonts w:ascii="Tahoma" w:hAnsi="Tahoma" w:cs="Tahoma"/>
          <w:sz w:val="24"/>
          <w:szCs w:val="24"/>
        </w:rPr>
        <w:t xml:space="preserve"> koaliční program pro Moravskoslezský kraj</w:t>
      </w:r>
      <w:r w:rsidR="00D1567B" w:rsidRPr="005B49B1">
        <w:rPr>
          <w:rFonts w:ascii="Tahoma" w:hAnsi="Tahoma" w:cs="Tahoma"/>
          <w:i/>
          <w:sz w:val="24"/>
          <w:szCs w:val="24"/>
        </w:rPr>
        <w:t>.</w:t>
      </w:r>
      <w:r w:rsidR="00E11C73" w:rsidRPr="005B49B1">
        <w:rPr>
          <w:rFonts w:ascii="Tahoma" w:hAnsi="Tahoma" w:cs="Tahoma"/>
          <w:i/>
          <w:sz w:val="24"/>
          <w:szCs w:val="24"/>
        </w:rPr>
        <w:t xml:space="preserve"> </w:t>
      </w:r>
      <w:r w:rsidR="008E7B37" w:rsidRPr="005B49B1">
        <w:rPr>
          <w:rFonts w:ascii="Tahoma" w:hAnsi="Tahoma" w:cs="Tahoma"/>
          <w:sz w:val="24"/>
          <w:szCs w:val="24"/>
        </w:rPr>
        <w:t>Moravskoslezský kraj bude v období výhledu</w:t>
      </w:r>
      <w:r w:rsidR="003B6B10" w:rsidRPr="005B49B1">
        <w:rPr>
          <w:rFonts w:ascii="Tahoma" w:hAnsi="Tahoma" w:cs="Tahoma"/>
          <w:sz w:val="24"/>
          <w:szCs w:val="24"/>
        </w:rPr>
        <w:t xml:space="preserve"> </w:t>
      </w:r>
      <w:r w:rsidR="003B77D8" w:rsidRPr="005B49B1">
        <w:rPr>
          <w:rFonts w:ascii="Tahoma" w:hAnsi="Tahoma" w:cs="Tahoma"/>
          <w:sz w:val="24"/>
          <w:szCs w:val="24"/>
        </w:rPr>
        <w:t xml:space="preserve">plnit </w:t>
      </w:r>
      <w:r w:rsidR="002E3003" w:rsidRPr="005B49B1">
        <w:rPr>
          <w:rFonts w:ascii="Tahoma" w:hAnsi="Tahoma" w:cs="Tahoma"/>
          <w:sz w:val="24"/>
          <w:szCs w:val="24"/>
        </w:rPr>
        <w:t>cíl</w:t>
      </w:r>
      <w:r w:rsidR="003B6B10" w:rsidRPr="005B49B1">
        <w:rPr>
          <w:rFonts w:ascii="Tahoma" w:hAnsi="Tahoma" w:cs="Tahoma"/>
          <w:sz w:val="24"/>
          <w:szCs w:val="24"/>
        </w:rPr>
        <w:t>e</w:t>
      </w:r>
      <w:r w:rsidR="002E3003" w:rsidRPr="005B49B1">
        <w:rPr>
          <w:rFonts w:ascii="Tahoma" w:hAnsi="Tahoma" w:cs="Tahoma"/>
          <w:sz w:val="24"/>
          <w:szCs w:val="24"/>
        </w:rPr>
        <w:t xml:space="preserve"> </w:t>
      </w:r>
      <w:r w:rsidR="003B6B10" w:rsidRPr="005B49B1">
        <w:rPr>
          <w:rFonts w:ascii="Tahoma" w:hAnsi="Tahoma" w:cs="Tahoma"/>
          <w:sz w:val="24"/>
          <w:szCs w:val="24"/>
        </w:rPr>
        <w:t xml:space="preserve">schválených </w:t>
      </w:r>
      <w:r w:rsidR="004959FD" w:rsidRPr="005B49B1">
        <w:rPr>
          <w:rFonts w:ascii="Tahoma" w:hAnsi="Tahoma" w:cs="Tahoma"/>
          <w:sz w:val="24"/>
          <w:szCs w:val="24"/>
        </w:rPr>
        <w:t xml:space="preserve">strategií </w:t>
      </w:r>
      <w:r w:rsidR="003B6B10" w:rsidRPr="005B49B1">
        <w:rPr>
          <w:rFonts w:ascii="Tahoma" w:hAnsi="Tahoma" w:cs="Tahoma"/>
          <w:sz w:val="24"/>
          <w:szCs w:val="24"/>
        </w:rPr>
        <w:t>kraje</w:t>
      </w:r>
      <w:r w:rsidR="003B77D8" w:rsidRPr="005B49B1">
        <w:rPr>
          <w:rFonts w:ascii="Tahoma" w:hAnsi="Tahoma" w:cs="Tahoma"/>
          <w:sz w:val="24"/>
          <w:szCs w:val="24"/>
        </w:rPr>
        <w:t xml:space="preserve"> a pro zajištění těchto cílů </w:t>
      </w:r>
      <w:r w:rsidR="00F53BE6" w:rsidRPr="005B49B1">
        <w:rPr>
          <w:rFonts w:ascii="Tahoma" w:hAnsi="Tahoma" w:cs="Tahoma"/>
          <w:sz w:val="24"/>
          <w:szCs w:val="24"/>
        </w:rPr>
        <w:t xml:space="preserve">budou </w:t>
      </w:r>
      <w:r w:rsidR="00EC5D06" w:rsidRPr="005B49B1">
        <w:rPr>
          <w:rFonts w:ascii="Tahoma" w:hAnsi="Tahoma" w:cs="Tahoma"/>
          <w:sz w:val="24"/>
          <w:szCs w:val="24"/>
        </w:rPr>
        <w:t>max</w:t>
      </w:r>
      <w:r w:rsidR="00977E84">
        <w:rPr>
          <w:rFonts w:ascii="Tahoma" w:hAnsi="Tahoma" w:cs="Tahoma"/>
          <w:sz w:val="24"/>
          <w:szCs w:val="24"/>
        </w:rPr>
        <w:t>imálně</w:t>
      </w:r>
      <w:r w:rsidR="00EC5D06" w:rsidRPr="005B49B1">
        <w:rPr>
          <w:rFonts w:ascii="Tahoma" w:hAnsi="Tahoma" w:cs="Tahoma"/>
          <w:sz w:val="24"/>
          <w:szCs w:val="24"/>
        </w:rPr>
        <w:t xml:space="preserve"> využit</w:t>
      </w:r>
      <w:r w:rsidR="00075236" w:rsidRPr="005B49B1">
        <w:rPr>
          <w:rFonts w:ascii="Tahoma" w:hAnsi="Tahoma" w:cs="Tahoma"/>
          <w:sz w:val="24"/>
          <w:szCs w:val="24"/>
        </w:rPr>
        <w:t>y</w:t>
      </w:r>
      <w:r w:rsidR="00EC5D06" w:rsidRPr="005B49B1">
        <w:rPr>
          <w:rFonts w:ascii="Tahoma" w:hAnsi="Tahoma" w:cs="Tahoma"/>
          <w:sz w:val="24"/>
          <w:szCs w:val="24"/>
        </w:rPr>
        <w:t xml:space="preserve"> možnosti spolufinancování </w:t>
      </w:r>
      <w:r w:rsidR="008E7B37" w:rsidRPr="005B49B1">
        <w:rPr>
          <w:rFonts w:ascii="Tahoma" w:hAnsi="Tahoma" w:cs="Tahoma"/>
          <w:sz w:val="24"/>
          <w:szCs w:val="24"/>
        </w:rPr>
        <w:t>z evropských finančních zdrojů</w:t>
      </w:r>
      <w:r w:rsidR="00EC5D06" w:rsidRPr="005B49B1">
        <w:rPr>
          <w:rFonts w:ascii="Tahoma" w:hAnsi="Tahoma" w:cs="Tahoma"/>
          <w:sz w:val="24"/>
          <w:szCs w:val="24"/>
        </w:rPr>
        <w:t>, státního rozpočtu</w:t>
      </w:r>
      <w:r w:rsidR="00BA63FA" w:rsidRPr="005B49B1">
        <w:rPr>
          <w:rFonts w:ascii="Tahoma" w:hAnsi="Tahoma" w:cs="Tahoma"/>
          <w:sz w:val="24"/>
          <w:szCs w:val="24"/>
        </w:rPr>
        <w:t>,</w:t>
      </w:r>
      <w:r w:rsidR="00EC5D06" w:rsidRPr="005B49B1">
        <w:rPr>
          <w:rFonts w:ascii="Tahoma" w:hAnsi="Tahoma" w:cs="Tahoma"/>
          <w:sz w:val="24"/>
          <w:szCs w:val="24"/>
        </w:rPr>
        <w:t xml:space="preserve"> příp</w:t>
      </w:r>
      <w:r w:rsidR="00977E84">
        <w:rPr>
          <w:rFonts w:ascii="Tahoma" w:hAnsi="Tahoma" w:cs="Tahoma"/>
          <w:sz w:val="24"/>
          <w:szCs w:val="24"/>
        </w:rPr>
        <w:t>adně</w:t>
      </w:r>
      <w:r w:rsidR="00EC5D06" w:rsidRPr="005B49B1">
        <w:rPr>
          <w:rFonts w:ascii="Tahoma" w:hAnsi="Tahoma" w:cs="Tahoma"/>
          <w:sz w:val="24"/>
          <w:szCs w:val="24"/>
        </w:rPr>
        <w:t xml:space="preserve"> </w:t>
      </w:r>
      <w:r w:rsidR="003B77D8" w:rsidRPr="005B49B1">
        <w:rPr>
          <w:rFonts w:ascii="Tahoma" w:hAnsi="Tahoma" w:cs="Tahoma"/>
          <w:sz w:val="24"/>
          <w:szCs w:val="24"/>
        </w:rPr>
        <w:t xml:space="preserve">od </w:t>
      </w:r>
      <w:r w:rsidR="00EC5D06" w:rsidRPr="005B49B1">
        <w:rPr>
          <w:rFonts w:ascii="Tahoma" w:hAnsi="Tahoma" w:cs="Tahoma"/>
          <w:sz w:val="24"/>
          <w:szCs w:val="24"/>
        </w:rPr>
        <w:t xml:space="preserve">dalších </w:t>
      </w:r>
      <w:r w:rsidR="00814244" w:rsidRPr="005B49B1">
        <w:rPr>
          <w:rFonts w:ascii="Tahoma" w:hAnsi="Tahoma" w:cs="Tahoma"/>
          <w:sz w:val="24"/>
          <w:szCs w:val="24"/>
        </w:rPr>
        <w:t>subjektů</w:t>
      </w:r>
      <w:r w:rsidR="008E7B37" w:rsidRPr="005B49B1">
        <w:rPr>
          <w:rFonts w:ascii="Tahoma" w:hAnsi="Tahoma" w:cs="Tahoma"/>
          <w:sz w:val="24"/>
          <w:szCs w:val="24"/>
        </w:rPr>
        <w:t>.</w:t>
      </w:r>
      <w:r w:rsidR="008765FC" w:rsidRPr="005B49B1">
        <w:rPr>
          <w:rFonts w:ascii="Tahoma" w:hAnsi="Tahoma" w:cs="Tahoma"/>
          <w:sz w:val="24"/>
          <w:szCs w:val="24"/>
        </w:rPr>
        <w:t xml:space="preserve"> </w:t>
      </w:r>
      <w:r w:rsidR="00F756B9" w:rsidRPr="005B49B1">
        <w:rPr>
          <w:rFonts w:ascii="Tahoma" w:hAnsi="Tahoma" w:cs="Tahoma"/>
          <w:sz w:val="24"/>
          <w:szCs w:val="24"/>
        </w:rPr>
        <w:t xml:space="preserve"> </w:t>
      </w:r>
      <w:r w:rsidR="00F53BE6" w:rsidRPr="005B49B1">
        <w:rPr>
          <w:rFonts w:ascii="Tahoma" w:hAnsi="Tahoma" w:cs="Tahoma"/>
          <w:sz w:val="24"/>
          <w:szCs w:val="24"/>
        </w:rPr>
        <w:t>Při sestavování výhledu se přihlédlo k</w:t>
      </w:r>
      <w:r w:rsidR="007406F7" w:rsidRPr="005B49B1">
        <w:rPr>
          <w:rFonts w:ascii="Tahoma" w:hAnsi="Tahoma" w:cs="Tahoma"/>
          <w:sz w:val="24"/>
          <w:szCs w:val="24"/>
        </w:rPr>
        <w:t> </w:t>
      </w:r>
      <w:r w:rsidR="00666E3B" w:rsidRPr="005B49B1">
        <w:rPr>
          <w:rFonts w:ascii="Tahoma" w:hAnsi="Tahoma" w:cs="Tahoma"/>
          <w:sz w:val="24"/>
          <w:szCs w:val="24"/>
        </w:rPr>
        <w:t>Makroekonomick</w:t>
      </w:r>
      <w:r w:rsidR="00D06378" w:rsidRPr="005B49B1">
        <w:rPr>
          <w:rFonts w:ascii="Tahoma" w:hAnsi="Tahoma" w:cs="Tahoma"/>
          <w:sz w:val="24"/>
          <w:szCs w:val="24"/>
        </w:rPr>
        <w:t>é</w:t>
      </w:r>
      <w:r w:rsidR="00666E3B" w:rsidRPr="005B49B1">
        <w:rPr>
          <w:rFonts w:ascii="Tahoma" w:hAnsi="Tahoma" w:cs="Tahoma"/>
          <w:sz w:val="24"/>
          <w:szCs w:val="24"/>
        </w:rPr>
        <w:t xml:space="preserve"> predikc</w:t>
      </w:r>
      <w:r w:rsidR="00D06378" w:rsidRPr="005B49B1">
        <w:rPr>
          <w:rFonts w:ascii="Tahoma" w:hAnsi="Tahoma" w:cs="Tahoma"/>
          <w:sz w:val="24"/>
          <w:szCs w:val="24"/>
        </w:rPr>
        <w:t>i</w:t>
      </w:r>
      <w:r w:rsidR="00666E3B" w:rsidRPr="005B49B1">
        <w:rPr>
          <w:rFonts w:ascii="Tahoma" w:hAnsi="Tahoma" w:cs="Tahoma"/>
          <w:sz w:val="24"/>
          <w:szCs w:val="24"/>
        </w:rPr>
        <w:t xml:space="preserve"> České republiky</w:t>
      </w:r>
      <w:r w:rsidR="00D06378" w:rsidRPr="005B49B1">
        <w:rPr>
          <w:rFonts w:ascii="Tahoma" w:hAnsi="Tahoma" w:cs="Tahoma"/>
          <w:sz w:val="24"/>
          <w:szCs w:val="24"/>
        </w:rPr>
        <w:t xml:space="preserve"> </w:t>
      </w:r>
      <w:r w:rsidR="00666E3B" w:rsidRPr="005B49B1">
        <w:rPr>
          <w:rFonts w:ascii="Tahoma" w:hAnsi="Tahoma" w:cs="Tahoma"/>
          <w:sz w:val="24"/>
          <w:szCs w:val="24"/>
        </w:rPr>
        <w:t xml:space="preserve">vydané Ministerstvem financí ČR, </w:t>
      </w:r>
      <w:r w:rsidR="000235AE" w:rsidRPr="005B49B1">
        <w:rPr>
          <w:rFonts w:ascii="Tahoma" w:hAnsi="Tahoma" w:cs="Tahoma"/>
          <w:sz w:val="24"/>
          <w:szCs w:val="24"/>
        </w:rPr>
        <w:t xml:space="preserve">Zprávě o měnové politice vydané </w:t>
      </w:r>
      <w:r w:rsidR="00666E3B" w:rsidRPr="005B49B1">
        <w:rPr>
          <w:rFonts w:ascii="Tahoma" w:hAnsi="Tahoma" w:cs="Tahoma"/>
          <w:sz w:val="24"/>
          <w:szCs w:val="24"/>
        </w:rPr>
        <w:t>Č</w:t>
      </w:r>
      <w:r w:rsidR="000235AE" w:rsidRPr="005B49B1">
        <w:rPr>
          <w:rFonts w:ascii="Tahoma" w:hAnsi="Tahoma" w:cs="Tahoma"/>
          <w:sz w:val="24"/>
          <w:szCs w:val="24"/>
        </w:rPr>
        <w:t xml:space="preserve">eskou národní bankou a dalším dostupným odborným </w:t>
      </w:r>
      <w:r w:rsidR="00850791" w:rsidRPr="005B49B1">
        <w:rPr>
          <w:rFonts w:ascii="Tahoma" w:hAnsi="Tahoma" w:cs="Tahoma"/>
          <w:sz w:val="24"/>
          <w:szCs w:val="24"/>
        </w:rPr>
        <w:t xml:space="preserve">statím. </w:t>
      </w:r>
      <w:r w:rsidR="00666E3B" w:rsidRPr="005B49B1">
        <w:rPr>
          <w:rFonts w:ascii="Tahoma" w:hAnsi="Tahoma" w:cs="Tahoma"/>
          <w:sz w:val="24"/>
          <w:szCs w:val="24"/>
        </w:rPr>
        <w:t xml:space="preserve">  </w:t>
      </w:r>
    </w:p>
    <w:p w14:paraId="34DAE6E1" w14:textId="77777777" w:rsidR="00666E3B" w:rsidRPr="005B49B1" w:rsidRDefault="00666E3B" w:rsidP="00F53BE6">
      <w:pPr>
        <w:pStyle w:val="Zkladntext"/>
        <w:rPr>
          <w:rFonts w:ascii="Tahoma" w:hAnsi="Tahoma" w:cs="Tahoma"/>
          <w:sz w:val="24"/>
          <w:szCs w:val="24"/>
        </w:rPr>
      </w:pPr>
    </w:p>
    <w:p w14:paraId="3094A777" w14:textId="5ADE0D31" w:rsidR="00F15DA0" w:rsidRDefault="006C27A4" w:rsidP="008A280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6C27A4">
        <w:rPr>
          <w:rFonts w:ascii="Tahoma" w:hAnsi="Tahoma" w:cs="Tahoma"/>
        </w:rPr>
        <w:t>V roce 202</w:t>
      </w:r>
      <w:r w:rsidR="000B11A2">
        <w:rPr>
          <w:rFonts w:ascii="Tahoma" w:hAnsi="Tahoma" w:cs="Tahoma"/>
        </w:rPr>
        <w:t>5</w:t>
      </w:r>
      <w:r w:rsidRPr="006C27A4">
        <w:rPr>
          <w:rFonts w:ascii="Tahoma" w:hAnsi="Tahoma" w:cs="Tahoma"/>
        </w:rPr>
        <w:t xml:space="preserve"> by se výkon</w:t>
      </w:r>
      <w:r>
        <w:rPr>
          <w:rFonts w:ascii="Tahoma" w:hAnsi="Tahoma" w:cs="Tahoma"/>
        </w:rPr>
        <w:t xml:space="preserve"> </w:t>
      </w:r>
      <w:r w:rsidRPr="006C27A4">
        <w:rPr>
          <w:rFonts w:ascii="Tahoma" w:hAnsi="Tahoma" w:cs="Tahoma"/>
        </w:rPr>
        <w:t xml:space="preserve">ekonomiky mohl zvýšit o </w:t>
      </w:r>
      <w:r w:rsidR="000B11A2">
        <w:rPr>
          <w:rFonts w:ascii="Tahoma" w:hAnsi="Tahoma" w:cs="Tahoma"/>
        </w:rPr>
        <w:t xml:space="preserve">cca </w:t>
      </w:r>
      <w:r w:rsidRPr="006C27A4">
        <w:rPr>
          <w:rFonts w:ascii="Tahoma" w:hAnsi="Tahoma" w:cs="Tahoma"/>
        </w:rPr>
        <w:t>2,</w:t>
      </w:r>
      <w:r w:rsidR="000B11A2">
        <w:rPr>
          <w:rFonts w:ascii="Tahoma" w:hAnsi="Tahoma" w:cs="Tahoma"/>
        </w:rPr>
        <w:t>5</w:t>
      </w:r>
      <w:r w:rsidRPr="006C27A4">
        <w:rPr>
          <w:rFonts w:ascii="Tahoma" w:hAnsi="Tahoma" w:cs="Tahoma"/>
        </w:rPr>
        <w:t xml:space="preserve"> %, hlavně zásluhou obnoveného růstu spotřeby domácností. Hospodářskou aktivitu však </w:t>
      </w:r>
      <w:r w:rsidR="0061350A">
        <w:rPr>
          <w:rFonts w:ascii="Tahoma" w:hAnsi="Tahoma" w:cs="Tahoma"/>
        </w:rPr>
        <w:t>mohou</w:t>
      </w:r>
      <w:r w:rsidRPr="006C27A4">
        <w:rPr>
          <w:rFonts w:ascii="Tahoma" w:hAnsi="Tahoma" w:cs="Tahoma"/>
        </w:rPr>
        <w:t xml:space="preserve"> mírně tlumit dopady konsolidačního balíčku, což ale zároveň přispěje ke snížení inflačních tlaků</w:t>
      </w:r>
      <w:r w:rsidR="00210648">
        <w:rPr>
          <w:rFonts w:ascii="Tahoma" w:hAnsi="Tahoma" w:cs="Tahoma"/>
        </w:rPr>
        <w:t>.</w:t>
      </w:r>
      <w:r w:rsidR="0061350A">
        <w:rPr>
          <w:rFonts w:ascii="Tahoma" w:hAnsi="Tahoma" w:cs="Tahoma"/>
        </w:rPr>
        <w:t xml:space="preserve"> </w:t>
      </w:r>
      <w:r w:rsidR="00112FA8" w:rsidRPr="008538D8">
        <w:rPr>
          <w:rFonts w:ascii="Tahoma" w:hAnsi="Tahoma" w:cs="Tahoma"/>
        </w:rPr>
        <w:t xml:space="preserve">Výhled </w:t>
      </w:r>
      <w:r w:rsidR="005F59D3" w:rsidRPr="008538D8">
        <w:rPr>
          <w:rFonts w:ascii="Tahoma" w:hAnsi="Tahoma" w:cs="Tahoma"/>
        </w:rPr>
        <w:t xml:space="preserve">proto </w:t>
      </w:r>
      <w:r w:rsidR="00EF6CC8" w:rsidRPr="008538D8">
        <w:rPr>
          <w:rFonts w:ascii="Tahoma" w:hAnsi="Tahoma" w:cs="Tahoma"/>
        </w:rPr>
        <w:t>očekává</w:t>
      </w:r>
      <w:r w:rsidR="005F59D3" w:rsidRPr="008538D8">
        <w:rPr>
          <w:rFonts w:ascii="Tahoma" w:hAnsi="Tahoma" w:cs="Tahoma"/>
        </w:rPr>
        <w:t xml:space="preserve"> </w:t>
      </w:r>
      <w:r w:rsidR="00EF6CC8" w:rsidRPr="008538D8">
        <w:rPr>
          <w:rFonts w:ascii="Tahoma" w:hAnsi="Tahoma" w:cs="Tahoma"/>
        </w:rPr>
        <w:t>postupný</w:t>
      </w:r>
      <w:r w:rsidR="00FB6127" w:rsidRPr="008538D8">
        <w:rPr>
          <w:rFonts w:ascii="Tahoma" w:hAnsi="Tahoma" w:cs="Tahoma"/>
        </w:rPr>
        <w:t xml:space="preserve"> </w:t>
      </w:r>
      <w:r w:rsidR="00EF6CC8" w:rsidRPr="008538D8">
        <w:rPr>
          <w:rFonts w:ascii="Tahoma" w:hAnsi="Tahoma" w:cs="Tahoma"/>
        </w:rPr>
        <w:t>m</w:t>
      </w:r>
      <w:r w:rsidR="002616C5" w:rsidRPr="008538D8">
        <w:rPr>
          <w:rFonts w:ascii="Tahoma" w:hAnsi="Tahoma" w:cs="Tahoma"/>
        </w:rPr>
        <w:t>írný m</w:t>
      </w:r>
      <w:r w:rsidR="00EF6CC8" w:rsidRPr="008538D8">
        <w:rPr>
          <w:rFonts w:ascii="Tahoma" w:hAnsi="Tahoma" w:cs="Tahoma"/>
        </w:rPr>
        <w:t>eziroční růst</w:t>
      </w:r>
      <w:r w:rsidR="003B403C" w:rsidRPr="008538D8">
        <w:rPr>
          <w:rFonts w:ascii="Tahoma" w:hAnsi="Tahoma" w:cs="Tahoma"/>
        </w:rPr>
        <w:t xml:space="preserve"> </w:t>
      </w:r>
      <w:r w:rsidR="00984B1E" w:rsidRPr="008538D8">
        <w:rPr>
          <w:rFonts w:ascii="Tahoma" w:hAnsi="Tahoma" w:cs="Tahoma"/>
        </w:rPr>
        <w:t xml:space="preserve">objemu rozpočtů vyvolaný </w:t>
      </w:r>
      <w:r w:rsidR="00FB6127" w:rsidRPr="008538D8">
        <w:rPr>
          <w:rFonts w:ascii="Tahoma" w:hAnsi="Tahoma" w:cs="Tahoma"/>
        </w:rPr>
        <w:t>vyšším</w:t>
      </w:r>
      <w:r w:rsidR="00EF6CC8" w:rsidRPr="008538D8">
        <w:rPr>
          <w:rFonts w:ascii="Tahoma" w:hAnsi="Tahoma" w:cs="Tahoma"/>
        </w:rPr>
        <w:t xml:space="preserve"> inkas</w:t>
      </w:r>
      <w:r w:rsidR="00FB6127" w:rsidRPr="008538D8">
        <w:rPr>
          <w:rFonts w:ascii="Tahoma" w:hAnsi="Tahoma" w:cs="Tahoma"/>
        </w:rPr>
        <w:t>em</w:t>
      </w:r>
      <w:r w:rsidR="00EF6CC8" w:rsidRPr="008538D8">
        <w:rPr>
          <w:rFonts w:ascii="Tahoma" w:hAnsi="Tahoma" w:cs="Tahoma"/>
        </w:rPr>
        <w:t xml:space="preserve"> sdílených daní</w:t>
      </w:r>
      <w:r w:rsidR="0040738A" w:rsidRPr="008538D8">
        <w:rPr>
          <w:rFonts w:ascii="Tahoma" w:hAnsi="Tahoma" w:cs="Tahoma"/>
        </w:rPr>
        <w:t xml:space="preserve"> a</w:t>
      </w:r>
      <w:r w:rsidR="007406F7" w:rsidRPr="008538D8">
        <w:rPr>
          <w:rFonts w:ascii="Tahoma" w:hAnsi="Tahoma" w:cs="Tahoma"/>
        </w:rPr>
        <w:t> </w:t>
      </w:r>
      <w:r w:rsidR="0040738A" w:rsidRPr="008538D8">
        <w:rPr>
          <w:rFonts w:ascii="Tahoma" w:hAnsi="Tahoma" w:cs="Tahoma"/>
        </w:rPr>
        <w:t>v</w:t>
      </w:r>
      <w:r w:rsidR="0050343D" w:rsidRPr="008538D8">
        <w:rPr>
          <w:rFonts w:ascii="Tahoma" w:hAnsi="Tahoma" w:cs="Tahoma"/>
        </w:rPr>
        <w:t>yuž</w:t>
      </w:r>
      <w:r w:rsidR="00456530" w:rsidRPr="008538D8">
        <w:rPr>
          <w:rFonts w:ascii="Tahoma" w:hAnsi="Tahoma" w:cs="Tahoma"/>
        </w:rPr>
        <w:t>i</w:t>
      </w:r>
      <w:r w:rsidR="0050343D" w:rsidRPr="008538D8">
        <w:rPr>
          <w:rFonts w:ascii="Tahoma" w:hAnsi="Tahoma" w:cs="Tahoma"/>
        </w:rPr>
        <w:t>t</w:t>
      </w:r>
      <w:r w:rsidR="00EF7D09" w:rsidRPr="008538D8">
        <w:rPr>
          <w:rFonts w:ascii="Tahoma" w:hAnsi="Tahoma" w:cs="Tahoma"/>
        </w:rPr>
        <w:t>ím</w:t>
      </w:r>
      <w:r w:rsidR="0050343D" w:rsidRPr="008538D8">
        <w:rPr>
          <w:rFonts w:ascii="Tahoma" w:hAnsi="Tahoma" w:cs="Tahoma"/>
        </w:rPr>
        <w:t xml:space="preserve"> nových příležitost</w:t>
      </w:r>
      <w:r w:rsidR="00984B1E" w:rsidRPr="008538D8">
        <w:rPr>
          <w:rFonts w:ascii="Tahoma" w:hAnsi="Tahoma" w:cs="Tahoma"/>
        </w:rPr>
        <w:t>í</w:t>
      </w:r>
      <w:r w:rsidR="0050343D" w:rsidRPr="008538D8">
        <w:rPr>
          <w:rFonts w:ascii="Tahoma" w:hAnsi="Tahoma" w:cs="Tahoma"/>
        </w:rPr>
        <w:t xml:space="preserve"> </w:t>
      </w:r>
      <w:r w:rsidR="0040738A" w:rsidRPr="008538D8">
        <w:rPr>
          <w:rFonts w:ascii="Tahoma" w:hAnsi="Tahoma" w:cs="Tahoma"/>
        </w:rPr>
        <w:t xml:space="preserve">díky </w:t>
      </w:r>
      <w:r w:rsidR="00EF6CC8" w:rsidRPr="008538D8">
        <w:rPr>
          <w:rFonts w:ascii="Tahoma" w:hAnsi="Tahoma" w:cs="Tahoma"/>
        </w:rPr>
        <w:t>programové</w:t>
      </w:r>
      <w:r w:rsidR="009B561F" w:rsidRPr="008538D8">
        <w:rPr>
          <w:rFonts w:ascii="Tahoma" w:hAnsi="Tahoma" w:cs="Tahoma"/>
        </w:rPr>
        <w:t>mu</w:t>
      </w:r>
      <w:r w:rsidR="00EF6CC8" w:rsidRPr="008538D8">
        <w:rPr>
          <w:rFonts w:ascii="Tahoma" w:hAnsi="Tahoma" w:cs="Tahoma"/>
        </w:rPr>
        <w:t xml:space="preserve"> období</w:t>
      </w:r>
      <w:r w:rsidR="000202A0" w:rsidRPr="008538D8">
        <w:rPr>
          <w:rFonts w:ascii="Tahoma" w:hAnsi="Tahoma" w:cs="Tahoma"/>
        </w:rPr>
        <w:t xml:space="preserve"> 2021</w:t>
      </w:r>
      <w:r w:rsidR="00BF0603" w:rsidRPr="008538D8">
        <w:rPr>
          <w:rFonts w:ascii="Tahoma" w:hAnsi="Tahoma" w:cs="Tahoma"/>
        </w:rPr>
        <w:t>–</w:t>
      </w:r>
      <w:r w:rsidR="000202A0" w:rsidRPr="008538D8">
        <w:rPr>
          <w:rFonts w:ascii="Tahoma" w:hAnsi="Tahoma" w:cs="Tahoma"/>
        </w:rPr>
        <w:t>2027</w:t>
      </w:r>
      <w:r w:rsidR="008538D8" w:rsidRPr="008538D8">
        <w:rPr>
          <w:rFonts w:ascii="Tahoma" w:hAnsi="Tahoma" w:cs="Tahoma"/>
        </w:rPr>
        <w:t>, z</w:t>
      </w:r>
      <w:r w:rsidR="0002028C" w:rsidRPr="008538D8">
        <w:rPr>
          <w:rFonts w:ascii="Tahoma" w:hAnsi="Tahoma" w:cs="Tahoma"/>
        </w:rPr>
        <w:t xml:space="preserve">ejména realizace </w:t>
      </w:r>
      <w:r w:rsidR="00A5143F" w:rsidRPr="008538D8">
        <w:rPr>
          <w:rFonts w:ascii="Tahoma" w:hAnsi="Tahoma" w:cs="Tahoma"/>
        </w:rPr>
        <w:t>strategických</w:t>
      </w:r>
      <w:r w:rsidR="0002028C" w:rsidRPr="008538D8">
        <w:rPr>
          <w:rFonts w:ascii="Tahoma" w:hAnsi="Tahoma" w:cs="Tahoma"/>
        </w:rPr>
        <w:t xml:space="preserve"> projektů v rámci programu Spravedlivá </w:t>
      </w:r>
      <w:r w:rsidR="00A5143F" w:rsidRPr="008538D8">
        <w:rPr>
          <w:rFonts w:ascii="Tahoma" w:hAnsi="Tahoma" w:cs="Tahoma"/>
        </w:rPr>
        <w:t>transformace.</w:t>
      </w:r>
      <w:r w:rsidR="00A5143F">
        <w:rPr>
          <w:rFonts w:ascii="Tahoma" w:hAnsi="Tahoma" w:cs="Tahoma"/>
        </w:rPr>
        <w:t xml:space="preserve"> </w:t>
      </w:r>
      <w:r w:rsidR="00496F9F" w:rsidRPr="004832A3">
        <w:rPr>
          <w:rFonts w:ascii="Tahoma" w:hAnsi="Tahoma" w:cs="Tahoma"/>
        </w:rPr>
        <w:t xml:space="preserve">Po dobu výhledu bude pokračováno k udržení nízké zadluženosti kraje, </w:t>
      </w:r>
      <w:r w:rsidR="00017C58" w:rsidRPr="004832A3">
        <w:rPr>
          <w:rFonts w:ascii="Tahoma" w:hAnsi="Tahoma" w:cs="Tahoma"/>
        </w:rPr>
        <w:t>ú</w:t>
      </w:r>
      <w:r w:rsidR="005204F1" w:rsidRPr="004832A3">
        <w:rPr>
          <w:rFonts w:ascii="Tahoma" w:hAnsi="Tahoma" w:cs="Tahoma"/>
        </w:rPr>
        <w:t>věrové zdroje bud</w:t>
      </w:r>
      <w:r w:rsidR="00017C58" w:rsidRPr="004832A3">
        <w:rPr>
          <w:rFonts w:ascii="Tahoma" w:hAnsi="Tahoma" w:cs="Tahoma"/>
        </w:rPr>
        <w:t xml:space="preserve">e kraj </w:t>
      </w:r>
      <w:r w:rsidR="00ED168C" w:rsidRPr="004832A3">
        <w:rPr>
          <w:rFonts w:ascii="Tahoma" w:hAnsi="Tahoma" w:cs="Tahoma"/>
        </w:rPr>
        <w:t xml:space="preserve">výhradně </w:t>
      </w:r>
      <w:r w:rsidR="005204F1" w:rsidRPr="004832A3">
        <w:rPr>
          <w:rFonts w:ascii="Tahoma" w:hAnsi="Tahoma" w:cs="Tahoma"/>
        </w:rPr>
        <w:t>využív</w:t>
      </w:r>
      <w:r w:rsidR="00017C58" w:rsidRPr="004832A3">
        <w:rPr>
          <w:rFonts w:ascii="Tahoma" w:hAnsi="Tahoma" w:cs="Tahoma"/>
        </w:rPr>
        <w:t xml:space="preserve">at </w:t>
      </w:r>
      <w:r w:rsidR="005204F1" w:rsidRPr="004832A3">
        <w:rPr>
          <w:rFonts w:ascii="Tahoma" w:hAnsi="Tahoma" w:cs="Tahoma"/>
        </w:rPr>
        <w:t>na krátkodobé předfinancování dotací, případně na částečné spolufinancování u</w:t>
      </w:r>
      <w:r w:rsidR="000F4395" w:rsidRPr="004832A3">
        <w:rPr>
          <w:rFonts w:ascii="Tahoma" w:hAnsi="Tahoma" w:cs="Tahoma"/>
        </w:rPr>
        <w:t> </w:t>
      </w:r>
      <w:r w:rsidR="005204F1" w:rsidRPr="004832A3">
        <w:rPr>
          <w:rFonts w:ascii="Tahoma" w:hAnsi="Tahoma" w:cs="Tahoma"/>
        </w:rPr>
        <w:t>akcí spolufinancovaných z EU a státního rozpočtu</w:t>
      </w:r>
      <w:r w:rsidR="00496F9F" w:rsidRPr="004832A3">
        <w:rPr>
          <w:rFonts w:ascii="Tahoma" w:hAnsi="Tahoma" w:cs="Tahoma"/>
        </w:rPr>
        <w:t xml:space="preserve">. </w:t>
      </w:r>
      <w:r w:rsidR="004832A3" w:rsidRPr="004832A3">
        <w:rPr>
          <w:rFonts w:ascii="Tahoma" w:hAnsi="Tahoma" w:cs="Tahoma"/>
        </w:rPr>
        <w:t xml:space="preserve"> </w:t>
      </w:r>
      <w:r w:rsidR="006C43BA" w:rsidRPr="004832A3">
        <w:rPr>
          <w:rFonts w:ascii="Tahoma" w:hAnsi="Tahoma" w:cs="Tahoma"/>
        </w:rPr>
        <w:t>V</w:t>
      </w:r>
      <w:r w:rsidR="00340B9E" w:rsidRPr="004832A3">
        <w:rPr>
          <w:rFonts w:ascii="Tahoma" w:hAnsi="Tahoma" w:cs="Tahoma"/>
        </w:rPr>
        <w:t xml:space="preserve">ýhled </w:t>
      </w:r>
      <w:r w:rsidR="00575E38" w:rsidRPr="004832A3">
        <w:rPr>
          <w:rFonts w:ascii="Tahoma" w:hAnsi="Tahoma" w:cs="Tahoma"/>
        </w:rPr>
        <w:t xml:space="preserve">počítá s částkou v celkovém objemu </w:t>
      </w:r>
      <w:r w:rsidR="004B2D7A" w:rsidRPr="004832A3">
        <w:rPr>
          <w:rFonts w:ascii="Tahoma" w:hAnsi="Tahoma" w:cs="Tahoma"/>
        </w:rPr>
        <w:t>3</w:t>
      </w:r>
      <w:r w:rsidR="000F4395" w:rsidRPr="004832A3">
        <w:rPr>
          <w:rFonts w:ascii="Tahoma" w:hAnsi="Tahoma" w:cs="Tahoma"/>
        </w:rPr>
        <w:t> </w:t>
      </w:r>
      <w:r w:rsidR="00575E38" w:rsidRPr="004832A3">
        <w:rPr>
          <w:rFonts w:ascii="Tahoma" w:hAnsi="Tahoma" w:cs="Tahoma"/>
        </w:rPr>
        <w:t>mld. Kč na zatím</w:t>
      </w:r>
      <w:r w:rsidR="006C43BA" w:rsidRPr="004832A3">
        <w:rPr>
          <w:rFonts w:ascii="Tahoma" w:hAnsi="Tahoma" w:cs="Tahoma"/>
        </w:rPr>
        <w:t xml:space="preserve"> </w:t>
      </w:r>
      <w:r w:rsidR="00340B9E" w:rsidRPr="004832A3">
        <w:rPr>
          <w:rFonts w:ascii="Tahoma" w:hAnsi="Tahoma" w:cs="Tahoma"/>
        </w:rPr>
        <w:t>n</w:t>
      </w:r>
      <w:r w:rsidR="007C7E9A" w:rsidRPr="004832A3">
        <w:rPr>
          <w:rFonts w:ascii="Tahoma" w:hAnsi="Tahoma" w:cs="Tahoma"/>
        </w:rPr>
        <w:t>especifikované výdaje</w:t>
      </w:r>
      <w:r w:rsidR="00340B9E" w:rsidRPr="004832A3">
        <w:rPr>
          <w:rFonts w:ascii="Tahoma" w:hAnsi="Tahoma" w:cs="Tahoma"/>
        </w:rPr>
        <w:t xml:space="preserve">. </w:t>
      </w:r>
      <w:r w:rsidR="005B4AD5" w:rsidRPr="004832A3">
        <w:rPr>
          <w:rFonts w:ascii="Tahoma" w:hAnsi="Tahoma" w:cs="Tahoma"/>
        </w:rPr>
        <w:t xml:space="preserve">Tyto výdaje společně s nezapojenými </w:t>
      </w:r>
      <w:r w:rsidR="007C7E9A" w:rsidRPr="004832A3">
        <w:rPr>
          <w:rFonts w:ascii="Tahoma" w:hAnsi="Tahoma" w:cs="Tahoma"/>
        </w:rPr>
        <w:t xml:space="preserve">prostředky </w:t>
      </w:r>
      <w:r w:rsidR="00A96698" w:rsidRPr="004832A3">
        <w:rPr>
          <w:rFonts w:ascii="Tahoma" w:hAnsi="Tahoma" w:cs="Tahoma"/>
        </w:rPr>
        <w:t xml:space="preserve">peněžních </w:t>
      </w:r>
      <w:r w:rsidR="007C7E9A" w:rsidRPr="004832A3">
        <w:rPr>
          <w:rFonts w:ascii="Tahoma" w:hAnsi="Tahoma" w:cs="Tahoma"/>
        </w:rPr>
        <w:t>fondů kraje</w:t>
      </w:r>
      <w:r w:rsidR="0090694E" w:rsidRPr="004832A3">
        <w:rPr>
          <w:rFonts w:ascii="Tahoma" w:hAnsi="Tahoma" w:cs="Tahoma"/>
        </w:rPr>
        <w:t xml:space="preserve"> a </w:t>
      </w:r>
      <w:r w:rsidR="007C7E9A" w:rsidRPr="004832A3">
        <w:rPr>
          <w:rFonts w:ascii="Tahoma" w:hAnsi="Tahoma" w:cs="Tahoma"/>
        </w:rPr>
        <w:t xml:space="preserve">další </w:t>
      </w:r>
      <w:r w:rsidR="005B4AD5" w:rsidRPr="004832A3">
        <w:rPr>
          <w:rFonts w:ascii="Tahoma" w:hAnsi="Tahoma" w:cs="Tahoma"/>
        </w:rPr>
        <w:t>eventuální ext</w:t>
      </w:r>
      <w:r w:rsidR="009F547F" w:rsidRPr="004832A3">
        <w:rPr>
          <w:rFonts w:ascii="Tahoma" w:hAnsi="Tahoma" w:cs="Tahoma"/>
        </w:rPr>
        <w:t>e</w:t>
      </w:r>
      <w:r w:rsidR="005B4AD5" w:rsidRPr="004832A3">
        <w:rPr>
          <w:rFonts w:ascii="Tahoma" w:hAnsi="Tahoma" w:cs="Tahoma"/>
        </w:rPr>
        <w:t>rní zdroj</w:t>
      </w:r>
      <w:r w:rsidR="00D306D8" w:rsidRPr="004832A3">
        <w:rPr>
          <w:rFonts w:ascii="Tahoma" w:hAnsi="Tahoma" w:cs="Tahoma"/>
        </w:rPr>
        <w:t>e (</w:t>
      </w:r>
      <w:r w:rsidR="00E94835" w:rsidRPr="004832A3">
        <w:rPr>
          <w:rFonts w:ascii="Tahoma" w:hAnsi="Tahoma" w:cs="Tahoma"/>
        </w:rPr>
        <w:t xml:space="preserve">rozpočet </w:t>
      </w:r>
      <w:r w:rsidR="00D306D8" w:rsidRPr="004832A3">
        <w:rPr>
          <w:rFonts w:ascii="Tahoma" w:hAnsi="Tahoma" w:cs="Tahoma"/>
        </w:rPr>
        <w:t>stát</w:t>
      </w:r>
      <w:r w:rsidR="00E94835" w:rsidRPr="004832A3">
        <w:rPr>
          <w:rFonts w:ascii="Tahoma" w:hAnsi="Tahoma" w:cs="Tahoma"/>
        </w:rPr>
        <w:t>u</w:t>
      </w:r>
      <w:r w:rsidR="00D306D8" w:rsidRPr="004832A3">
        <w:rPr>
          <w:rFonts w:ascii="Tahoma" w:hAnsi="Tahoma" w:cs="Tahoma"/>
        </w:rPr>
        <w:t>, EU)</w:t>
      </w:r>
      <w:r w:rsidR="00C27575" w:rsidRPr="004832A3">
        <w:rPr>
          <w:rFonts w:ascii="Tahoma" w:hAnsi="Tahoma" w:cs="Tahoma"/>
        </w:rPr>
        <w:t xml:space="preserve"> </w:t>
      </w:r>
      <w:r w:rsidR="00A67C61" w:rsidRPr="004832A3">
        <w:rPr>
          <w:rFonts w:ascii="Tahoma" w:hAnsi="Tahoma" w:cs="Tahoma"/>
        </w:rPr>
        <w:t>umožní kraji ve</w:t>
      </w:r>
      <w:r w:rsidR="007406F7" w:rsidRPr="004832A3">
        <w:rPr>
          <w:rFonts w:ascii="Tahoma" w:hAnsi="Tahoma" w:cs="Tahoma"/>
        </w:rPr>
        <w:t> </w:t>
      </w:r>
      <w:r w:rsidR="00A67C61" w:rsidRPr="004832A3">
        <w:rPr>
          <w:rFonts w:ascii="Tahoma" w:hAnsi="Tahoma" w:cs="Tahoma"/>
        </w:rPr>
        <w:t xml:space="preserve">sledovaném období realizovat </w:t>
      </w:r>
      <w:r w:rsidR="00E94835" w:rsidRPr="004832A3">
        <w:rPr>
          <w:rFonts w:ascii="Tahoma" w:hAnsi="Tahoma" w:cs="Tahoma"/>
        </w:rPr>
        <w:t xml:space="preserve">další </w:t>
      </w:r>
      <w:r w:rsidR="007C7E9A" w:rsidRPr="004832A3">
        <w:rPr>
          <w:rFonts w:ascii="Tahoma" w:hAnsi="Tahoma" w:cs="Tahoma"/>
        </w:rPr>
        <w:t>projekty</w:t>
      </w:r>
      <w:r w:rsidR="00F15DA0" w:rsidRPr="004832A3">
        <w:rPr>
          <w:rFonts w:ascii="Tahoma" w:hAnsi="Tahoma" w:cs="Tahoma"/>
        </w:rPr>
        <w:t xml:space="preserve"> kraje, jeho organizací</w:t>
      </w:r>
      <w:r w:rsidR="009F547F" w:rsidRPr="004832A3">
        <w:rPr>
          <w:rFonts w:ascii="Tahoma" w:hAnsi="Tahoma" w:cs="Tahoma"/>
        </w:rPr>
        <w:t>,</w:t>
      </w:r>
      <w:r w:rsidR="00F15DA0" w:rsidRPr="004832A3">
        <w:rPr>
          <w:rFonts w:ascii="Tahoma" w:hAnsi="Tahoma" w:cs="Tahoma"/>
        </w:rPr>
        <w:t xml:space="preserve"> příp</w:t>
      </w:r>
      <w:r w:rsidR="009F547F" w:rsidRPr="004832A3">
        <w:rPr>
          <w:rFonts w:ascii="Tahoma" w:hAnsi="Tahoma" w:cs="Tahoma"/>
        </w:rPr>
        <w:t>adně</w:t>
      </w:r>
      <w:r w:rsidR="00F15DA0" w:rsidRPr="004832A3">
        <w:rPr>
          <w:rFonts w:ascii="Tahoma" w:hAnsi="Tahoma" w:cs="Tahoma"/>
        </w:rPr>
        <w:t xml:space="preserve"> umožní i</w:t>
      </w:r>
      <w:r w:rsidR="00904B54" w:rsidRPr="004832A3">
        <w:rPr>
          <w:rFonts w:ascii="Tahoma" w:hAnsi="Tahoma" w:cs="Tahoma"/>
        </w:rPr>
        <w:t> </w:t>
      </w:r>
      <w:r w:rsidR="00F15DA0" w:rsidRPr="004832A3">
        <w:rPr>
          <w:rFonts w:ascii="Tahoma" w:hAnsi="Tahoma" w:cs="Tahoma"/>
        </w:rPr>
        <w:t>podporu v rámci vyhlašovaných dotačních program</w:t>
      </w:r>
      <w:r w:rsidR="00A96698" w:rsidRPr="004832A3">
        <w:rPr>
          <w:rFonts w:ascii="Tahoma" w:hAnsi="Tahoma" w:cs="Tahoma"/>
        </w:rPr>
        <w:t>ů</w:t>
      </w:r>
      <w:r w:rsidR="00F15DA0" w:rsidRPr="004832A3">
        <w:rPr>
          <w:rFonts w:ascii="Tahoma" w:hAnsi="Tahoma" w:cs="Tahoma"/>
        </w:rPr>
        <w:t xml:space="preserve"> kraje</w:t>
      </w:r>
      <w:r w:rsidR="003A74E0" w:rsidRPr="004832A3">
        <w:rPr>
          <w:rFonts w:ascii="Tahoma" w:hAnsi="Tahoma" w:cs="Tahoma"/>
        </w:rPr>
        <w:t>.</w:t>
      </w:r>
      <w:r w:rsidR="003A74E0" w:rsidRPr="1DE1B165">
        <w:rPr>
          <w:rFonts w:ascii="Tahoma" w:hAnsi="Tahoma" w:cs="Tahoma"/>
        </w:rPr>
        <w:t xml:space="preserve"> </w:t>
      </w:r>
    </w:p>
    <w:p w14:paraId="05EF5720" w14:textId="77777777" w:rsidR="007C7E9A" w:rsidRDefault="007C7E9A" w:rsidP="007C7E9A">
      <w:pPr>
        <w:spacing w:after="30"/>
        <w:jc w:val="both"/>
        <w:rPr>
          <w:rFonts w:ascii="Tahoma" w:hAnsi="Tahoma" w:cs="Tahoma"/>
        </w:rPr>
      </w:pPr>
    </w:p>
    <w:p w14:paraId="79E65A07" w14:textId="6A9E73A1" w:rsidR="009D347E" w:rsidRDefault="009D347E" w:rsidP="009D347E">
      <w:pPr>
        <w:tabs>
          <w:tab w:val="center" w:pos="4962"/>
        </w:tabs>
        <w:rPr>
          <w:rFonts w:ascii="Tahoma" w:hAnsi="Tahoma" w:cs="Tahoma"/>
          <w:sz w:val="16"/>
          <w:szCs w:val="16"/>
        </w:rPr>
      </w:pPr>
      <w:r w:rsidRPr="002E3003">
        <w:rPr>
          <w:rFonts w:ascii="Tahoma" w:hAnsi="Tahoma" w:cs="Tahoma"/>
          <w:sz w:val="16"/>
          <w:szCs w:val="16"/>
        </w:rPr>
        <w:t xml:space="preserve">Graf č. 1 Vývoj </w:t>
      </w:r>
      <w:r w:rsidR="00EE21B3">
        <w:rPr>
          <w:rFonts w:ascii="Tahoma" w:hAnsi="Tahoma" w:cs="Tahoma"/>
          <w:sz w:val="16"/>
          <w:szCs w:val="16"/>
        </w:rPr>
        <w:t>objemu rozpočtů</w:t>
      </w:r>
      <w:r w:rsidRPr="002E3003">
        <w:rPr>
          <w:rFonts w:ascii="Tahoma" w:hAnsi="Tahoma" w:cs="Tahoma"/>
          <w:sz w:val="16"/>
          <w:szCs w:val="16"/>
        </w:rPr>
        <w:t xml:space="preserve"> </w:t>
      </w:r>
      <w:r w:rsidR="00344E5B">
        <w:rPr>
          <w:rFonts w:ascii="Tahoma" w:hAnsi="Tahoma" w:cs="Tahoma"/>
          <w:sz w:val="16"/>
          <w:szCs w:val="16"/>
        </w:rPr>
        <w:t xml:space="preserve">v jednotlivých letech </w:t>
      </w:r>
      <w:r w:rsidRPr="002E3003">
        <w:rPr>
          <w:rFonts w:ascii="Tahoma" w:hAnsi="Tahoma" w:cs="Tahoma"/>
          <w:sz w:val="16"/>
          <w:szCs w:val="16"/>
        </w:rPr>
        <w:t>(v mil. Kč)</w:t>
      </w:r>
    </w:p>
    <w:p w14:paraId="1F6B36A7" w14:textId="6D05EBA8" w:rsidR="006377F0" w:rsidRDefault="00AF4E19" w:rsidP="009D347E">
      <w:pPr>
        <w:tabs>
          <w:tab w:val="center" w:pos="4962"/>
        </w:tabs>
        <w:rPr>
          <w:rFonts w:ascii="Tahoma" w:hAnsi="Tahoma" w:cs="Tahoma"/>
          <w:sz w:val="16"/>
          <w:szCs w:val="16"/>
        </w:rPr>
      </w:pPr>
      <w:r>
        <w:rPr>
          <w:noProof/>
        </w:rPr>
        <w:drawing>
          <wp:inline distT="0" distB="0" distL="0" distR="0" wp14:anchorId="172E6F64" wp14:editId="2AD4CFED">
            <wp:extent cx="3876675" cy="2466975"/>
            <wp:effectExtent l="0" t="0" r="9525" b="9525"/>
            <wp:docPr id="923521754" name="Graf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5F1C56" w14:textId="3FE33C02" w:rsidR="002F48D6" w:rsidRDefault="002F48D6" w:rsidP="009D347E">
      <w:pPr>
        <w:tabs>
          <w:tab w:val="center" w:pos="4962"/>
        </w:tabs>
        <w:rPr>
          <w:rFonts w:ascii="Tahoma" w:hAnsi="Tahoma" w:cs="Tahoma"/>
          <w:sz w:val="16"/>
          <w:szCs w:val="16"/>
        </w:rPr>
      </w:pPr>
    </w:p>
    <w:p w14:paraId="4596E693" w14:textId="7BF68E06" w:rsidR="00A17664" w:rsidRDefault="00F82123" w:rsidP="009D347E">
      <w:pPr>
        <w:pStyle w:val="FormtovanvHTML"/>
        <w:jc w:val="both"/>
        <w:rPr>
          <w:rFonts w:ascii="Tahoma" w:hAnsi="Tahoma" w:cs="Tahoma"/>
          <w:sz w:val="24"/>
          <w:szCs w:val="24"/>
        </w:rPr>
      </w:pPr>
      <w:r w:rsidRPr="005B28F4">
        <w:rPr>
          <w:rFonts w:ascii="Tahoma" w:hAnsi="Tahoma" w:cs="Tahoma"/>
          <w:sz w:val="24"/>
          <w:szCs w:val="24"/>
        </w:rPr>
        <w:lastRenderedPageBreak/>
        <w:t xml:space="preserve">Hlavním trendem výhledu je </w:t>
      </w:r>
      <w:r w:rsidR="003F4CEA">
        <w:rPr>
          <w:rFonts w:ascii="Tahoma" w:hAnsi="Tahoma" w:cs="Tahoma"/>
          <w:sz w:val="24"/>
          <w:szCs w:val="24"/>
        </w:rPr>
        <w:t>ná</w:t>
      </w:r>
      <w:r w:rsidR="000F4075" w:rsidRPr="005B28F4">
        <w:rPr>
          <w:rFonts w:ascii="Tahoma" w:hAnsi="Tahoma" w:cs="Tahoma"/>
          <w:sz w:val="24"/>
          <w:szCs w:val="24"/>
        </w:rPr>
        <w:t xml:space="preserve">růst </w:t>
      </w:r>
      <w:r w:rsidRPr="005B28F4">
        <w:rPr>
          <w:rFonts w:ascii="Tahoma" w:hAnsi="Tahoma" w:cs="Tahoma"/>
          <w:sz w:val="24"/>
          <w:szCs w:val="24"/>
        </w:rPr>
        <w:t>objem</w:t>
      </w:r>
      <w:r w:rsidR="00B1122B" w:rsidRPr="005B28F4">
        <w:rPr>
          <w:rFonts w:ascii="Tahoma" w:hAnsi="Tahoma" w:cs="Tahoma"/>
          <w:sz w:val="24"/>
          <w:szCs w:val="24"/>
        </w:rPr>
        <w:t>u</w:t>
      </w:r>
      <w:r w:rsidRPr="005B28F4">
        <w:rPr>
          <w:rFonts w:ascii="Tahoma" w:hAnsi="Tahoma" w:cs="Tahoma"/>
          <w:sz w:val="24"/>
          <w:szCs w:val="24"/>
        </w:rPr>
        <w:t xml:space="preserve"> </w:t>
      </w:r>
      <w:r w:rsidR="00AB38BF" w:rsidRPr="005B28F4">
        <w:rPr>
          <w:rFonts w:ascii="Tahoma" w:hAnsi="Tahoma" w:cs="Tahoma"/>
          <w:sz w:val="24"/>
          <w:szCs w:val="24"/>
        </w:rPr>
        <w:t>rozpočt</w:t>
      </w:r>
      <w:r w:rsidR="00EF788F">
        <w:rPr>
          <w:rFonts w:ascii="Tahoma" w:hAnsi="Tahoma" w:cs="Tahoma"/>
          <w:sz w:val="24"/>
          <w:szCs w:val="24"/>
        </w:rPr>
        <w:t>u</w:t>
      </w:r>
      <w:r w:rsidR="00B1122B" w:rsidRPr="005B28F4">
        <w:rPr>
          <w:rFonts w:ascii="Tahoma" w:hAnsi="Tahoma" w:cs="Tahoma"/>
          <w:sz w:val="24"/>
          <w:szCs w:val="24"/>
        </w:rPr>
        <w:t xml:space="preserve"> v</w:t>
      </w:r>
      <w:r w:rsidR="00F0048F">
        <w:rPr>
          <w:rFonts w:ascii="Tahoma" w:hAnsi="Tahoma" w:cs="Tahoma"/>
          <w:sz w:val="24"/>
          <w:szCs w:val="24"/>
        </w:rPr>
        <w:t> </w:t>
      </w:r>
      <w:r w:rsidR="00B1122B" w:rsidRPr="005B28F4">
        <w:rPr>
          <w:rFonts w:ascii="Tahoma" w:hAnsi="Tahoma" w:cs="Tahoma"/>
          <w:sz w:val="24"/>
          <w:szCs w:val="24"/>
        </w:rPr>
        <w:t>letech</w:t>
      </w:r>
      <w:r w:rsidR="00F0048F">
        <w:rPr>
          <w:rFonts w:ascii="Tahoma" w:hAnsi="Tahoma" w:cs="Tahoma"/>
          <w:sz w:val="24"/>
          <w:szCs w:val="24"/>
        </w:rPr>
        <w:t xml:space="preserve"> 2025 a 2026</w:t>
      </w:r>
      <w:r w:rsidR="003F4CEA">
        <w:rPr>
          <w:rFonts w:ascii="Tahoma" w:hAnsi="Tahoma" w:cs="Tahoma"/>
          <w:sz w:val="24"/>
          <w:szCs w:val="24"/>
        </w:rPr>
        <w:t xml:space="preserve"> oproti roku 202</w:t>
      </w:r>
      <w:r w:rsidR="001F3B14">
        <w:rPr>
          <w:rFonts w:ascii="Tahoma" w:hAnsi="Tahoma" w:cs="Tahoma"/>
          <w:sz w:val="24"/>
          <w:szCs w:val="24"/>
        </w:rPr>
        <w:t>4</w:t>
      </w:r>
      <w:r w:rsidR="001405EC" w:rsidRPr="005B28F4">
        <w:rPr>
          <w:rFonts w:ascii="Tahoma" w:hAnsi="Tahoma" w:cs="Tahoma"/>
          <w:sz w:val="24"/>
          <w:szCs w:val="24"/>
        </w:rPr>
        <w:t xml:space="preserve">. </w:t>
      </w:r>
      <w:r w:rsidR="006947A6" w:rsidRPr="00F0048F">
        <w:rPr>
          <w:rFonts w:ascii="Tahoma" w:hAnsi="Tahoma" w:cs="Tahoma"/>
          <w:sz w:val="24"/>
          <w:szCs w:val="24"/>
        </w:rPr>
        <w:t xml:space="preserve">Konec </w:t>
      </w:r>
      <w:r w:rsidR="006947A6" w:rsidRPr="0007477C">
        <w:rPr>
          <w:rFonts w:ascii="Tahoma" w:hAnsi="Tahoma" w:cs="Tahoma"/>
          <w:sz w:val="24"/>
          <w:szCs w:val="24"/>
        </w:rPr>
        <w:t>programového období ale zároveň způsobí meziroční pokles mezi roky 2026 a 2027, jelikož většina zahajovaných projektů musí být dokončena dle řídících orgán</w:t>
      </w:r>
      <w:r w:rsidR="005B40F4">
        <w:rPr>
          <w:rFonts w:ascii="Tahoma" w:hAnsi="Tahoma" w:cs="Tahoma"/>
          <w:sz w:val="24"/>
          <w:szCs w:val="24"/>
        </w:rPr>
        <w:t>ů</w:t>
      </w:r>
      <w:r w:rsidR="006947A6" w:rsidRPr="0007477C">
        <w:rPr>
          <w:rFonts w:ascii="Tahoma" w:hAnsi="Tahoma" w:cs="Tahoma"/>
          <w:sz w:val="24"/>
          <w:szCs w:val="24"/>
        </w:rPr>
        <w:t xml:space="preserve"> do konce roku 2026.</w:t>
      </w:r>
      <w:r w:rsidR="004B6A42" w:rsidRPr="0007477C">
        <w:rPr>
          <w:rFonts w:ascii="Tahoma" w:hAnsi="Tahoma" w:cs="Tahoma"/>
          <w:sz w:val="24"/>
          <w:szCs w:val="24"/>
        </w:rPr>
        <w:t xml:space="preserve"> </w:t>
      </w:r>
      <w:r w:rsidR="003F4CEA" w:rsidRPr="0007477C">
        <w:rPr>
          <w:rFonts w:ascii="Tahoma" w:hAnsi="Tahoma" w:cs="Tahoma"/>
          <w:sz w:val="24"/>
          <w:szCs w:val="24"/>
        </w:rPr>
        <w:t>K</w:t>
      </w:r>
      <w:r w:rsidR="0035172B" w:rsidRPr="0007477C">
        <w:rPr>
          <w:rFonts w:ascii="Tahoma" w:hAnsi="Tahoma" w:cs="Tahoma"/>
          <w:sz w:val="24"/>
          <w:szCs w:val="24"/>
        </w:rPr>
        <w:t xml:space="preserve">olísání </w:t>
      </w:r>
      <w:r w:rsidR="003F4CEA" w:rsidRPr="0007477C">
        <w:rPr>
          <w:rFonts w:ascii="Tahoma" w:hAnsi="Tahoma" w:cs="Tahoma"/>
          <w:sz w:val="24"/>
          <w:szCs w:val="24"/>
        </w:rPr>
        <w:t xml:space="preserve">v jednotlivých letech </w:t>
      </w:r>
      <w:r w:rsidR="0035172B" w:rsidRPr="0007477C">
        <w:rPr>
          <w:rFonts w:ascii="Tahoma" w:hAnsi="Tahoma" w:cs="Tahoma"/>
          <w:sz w:val="24"/>
          <w:szCs w:val="24"/>
        </w:rPr>
        <w:t xml:space="preserve">je </w:t>
      </w:r>
      <w:r w:rsidR="00932474">
        <w:rPr>
          <w:rFonts w:ascii="Tahoma" w:hAnsi="Tahoma" w:cs="Tahoma"/>
          <w:sz w:val="24"/>
          <w:szCs w:val="24"/>
        </w:rPr>
        <w:t xml:space="preserve">dále </w:t>
      </w:r>
      <w:r w:rsidR="00B1122B" w:rsidRPr="0007477C">
        <w:rPr>
          <w:rFonts w:ascii="Tahoma" w:hAnsi="Tahoma" w:cs="Tahoma"/>
          <w:sz w:val="24"/>
          <w:szCs w:val="24"/>
        </w:rPr>
        <w:t xml:space="preserve">ovlivněno </w:t>
      </w:r>
      <w:r w:rsidR="00EF2D99" w:rsidRPr="0007477C">
        <w:rPr>
          <w:rFonts w:ascii="Tahoma" w:hAnsi="Tahoma" w:cs="Tahoma"/>
          <w:sz w:val="24"/>
          <w:szCs w:val="24"/>
        </w:rPr>
        <w:t>realizací významných víceletých investičních akcí kraje</w:t>
      </w:r>
      <w:r w:rsidR="00B1122B" w:rsidRPr="0007477C">
        <w:rPr>
          <w:rFonts w:ascii="Tahoma" w:hAnsi="Tahoma" w:cs="Tahoma"/>
          <w:sz w:val="24"/>
          <w:szCs w:val="24"/>
        </w:rPr>
        <w:t>.</w:t>
      </w:r>
      <w:r w:rsidR="003B20C1" w:rsidRPr="0007477C">
        <w:rPr>
          <w:rFonts w:ascii="Tahoma" w:hAnsi="Tahoma" w:cs="Tahoma"/>
          <w:sz w:val="24"/>
          <w:szCs w:val="24"/>
        </w:rPr>
        <w:t xml:space="preserve"> </w:t>
      </w:r>
      <w:r w:rsidR="00B1122B" w:rsidRPr="0007477C">
        <w:rPr>
          <w:rFonts w:ascii="Tahoma" w:hAnsi="Tahoma" w:cs="Tahoma"/>
          <w:sz w:val="24"/>
          <w:szCs w:val="24"/>
        </w:rPr>
        <w:t>V</w:t>
      </w:r>
      <w:r w:rsidR="0035172B" w:rsidRPr="0007477C">
        <w:rPr>
          <w:rFonts w:ascii="Tahoma" w:hAnsi="Tahoma" w:cs="Tahoma"/>
          <w:sz w:val="24"/>
          <w:szCs w:val="24"/>
        </w:rPr>
        <w:t xml:space="preserve"> roce </w:t>
      </w:r>
      <w:r w:rsidR="00B1122B" w:rsidRPr="0007477C">
        <w:rPr>
          <w:rFonts w:ascii="Tahoma" w:hAnsi="Tahoma" w:cs="Tahoma"/>
          <w:sz w:val="24"/>
          <w:szCs w:val="24"/>
        </w:rPr>
        <w:t>202</w:t>
      </w:r>
      <w:r w:rsidR="009C17C2" w:rsidRPr="0007477C">
        <w:rPr>
          <w:rFonts w:ascii="Tahoma" w:hAnsi="Tahoma" w:cs="Tahoma"/>
          <w:sz w:val="24"/>
          <w:szCs w:val="24"/>
        </w:rPr>
        <w:t>6</w:t>
      </w:r>
      <w:r w:rsidR="001F3B14" w:rsidRPr="0007477C">
        <w:rPr>
          <w:rFonts w:ascii="Tahoma" w:hAnsi="Tahoma" w:cs="Tahoma"/>
          <w:sz w:val="24"/>
          <w:szCs w:val="24"/>
        </w:rPr>
        <w:t xml:space="preserve"> a 2027</w:t>
      </w:r>
      <w:r w:rsidR="00B1122B" w:rsidRPr="0007477C">
        <w:rPr>
          <w:rFonts w:ascii="Tahoma" w:hAnsi="Tahoma" w:cs="Tahoma"/>
          <w:sz w:val="24"/>
          <w:szCs w:val="24"/>
        </w:rPr>
        <w:t xml:space="preserve"> j</w:t>
      </w:r>
      <w:r w:rsidR="0035172B" w:rsidRPr="0007477C">
        <w:rPr>
          <w:rFonts w:ascii="Tahoma" w:hAnsi="Tahoma" w:cs="Tahoma"/>
          <w:sz w:val="24"/>
          <w:szCs w:val="24"/>
        </w:rPr>
        <w:t xml:space="preserve">e </w:t>
      </w:r>
      <w:r w:rsidR="00B1122B" w:rsidRPr="0007477C">
        <w:rPr>
          <w:rFonts w:ascii="Tahoma" w:hAnsi="Tahoma" w:cs="Tahoma"/>
          <w:bCs/>
          <w:sz w:val="24"/>
          <w:szCs w:val="24"/>
        </w:rPr>
        <w:t>plánován přebytkov</w:t>
      </w:r>
      <w:r w:rsidR="0035172B" w:rsidRPr="0007477C">
        <w:rPr>
          <w:rFonts w:ascii="Tahoma" w:hAnsi="Tahoma" w:cs="Tahoma"/>
          <w:bCs/>
          <w:sz w:val="24"/>
          <w:szCs w:val="24"/>
        </w:rPr>
        <w:t>ý</w:t>
      </w:r>
      <w:r w:rsidR="00B1122B" w:rsidRPr="0007477C">
        <w:rPr>
          <w:rFonts w:ascii="Tahoma" w:hAnsi="Tahoma" w:cs="Tahoma"/>
          <w:bCs/>
          <w:sz w:val="24"/>
          <w:szCs w:val="24"/>
        </w:rPr>
        <w:t xml:space="preserve"> rozpoč</w:t>
      </w:r>
      <w:r w:rsidR="0035172B" w:rsidRPr="0007477C">
        <w:rPr>
          <w:rFonts w:ascii="Tahoma" w:hAnsi="Tahoma" w:cs="Tahoma"/>
          <w:bCs/>
          <w:sz w:val="24"/>
          <w:szCs w:val="24"/>
        </w:rPr>
        <w:t>e</w:t>
      </w:r>
      <w:r w:rsidR="00B1122B" w:rsidRPr="0007477C">
        <w:rPr>
          <w:rFonts w:ascii="Tahoma" w:hAnsi="Tahoma" w:cs="Tahoma"/>
          <w:bCs/>
          <w:sz w:val="24"/>
          <w:szCs w:val="24"/>
        </w:rPr>
        <w:t>t</w:t>
      </w:r>
      <w:r w:rsidRPr="0007477C">
        <w:rPr>
          <w:rFonts w:ascii="Tahoma" w:hAnsi="Tahoma" w:cs="Tahoma"/>
          <w:bCs/>
          <w:sz w:val="24"/>
          <w:szCs w:val="24"/>
        </w:rPr>
        <w:t>,</w:t>
      </w:r>
      <w:r w:rsidR="00B1122B" w:rsidRPr="0007477C">
        <w:rPr>
          <w:rFonts w:ascii="Tahoma" w:hAnsi="Tahoma" w:cs="Tahoma"/>
          <w:bCs/>
          <w:sz w:val="24"/>
          <w:szCs w:val="24"/>
        </w:rPr>
        <w:t xml:space="preserve"> tzn. příjmy převyšují výdaje</w:t>
      </w:r>
      <w:r w:rsidR="00B1122B" w:rsidRPr="005B28F4">
        <w:rPr>
          <w:rFonts w:ascii="Tahoma" w:hAnsi="Tahoma" w:cs="Tahoma"/>
          <w:bCs/>
          <w:sz w:val="24"/>
          <w:szCs w:val="24"/>
        </w:rPr>
        <w:t>, a to v souvislosti s</w:t>
      </w:r>
      <w:r w:rsidR="000A5170" w:rsidRPr="005B28F4">
        <w:rPr>
          <w:rFonts w:ascii="Tahoma" w:hAnsi="Tahoma" w:cs="Tahoma"/>
          <w:sz w:val="24"/>
          <w:szCs w:val="24"/>
        </w:rPr>
        <w:t> </w:t>
      </w:r>
      <w:r w:rsidR="00B1122B" w:rsidRPr="005B28F4">
        <w:rPr>
          <w:rFonts w:ascii="Tahoma" w:hAnsi="Tahoma" w:cs="Tahoma"/>
          <w:sz w:val="24"/>
          <w:szCs w:val="24"/>
        </w:rPr>
        <w:t>přijetím dotací z operačních programů</w:t>
      </w:r>
      <w:r w:rsidR="00932474">
        <w:rPr>
          <w:rFonts w:ascii="Tahoma" w:hAnsi="Tahoma" w:cs="Tahoma"/>
          <w:sz w:val="24"/>
          <w:szCs w:val="24"/>
        </w:rPr>
        <w:t xml:space="preserve"> v rámci </w:t>
      </w:r>
      <w:r w:rsidR="0007477C">
        <w:rPr>
          <w:rFonts w:ascii="Tahoma" w:hAnsi="Tahoma" w:cs="Tahoma"/>
          <w:sz w:val="24"/>
          <w:szCs w:val="24"/>
        </w:rPr>
        <w:t>končící</w:t>
      </w:r>
      <w:r w:rsidR="00932474">
        <w:rPr>
          <w:rFonts w:ascii="Tahoma" w:hAnsi="Tahoma" w:cs="Tahoma"/>
          <w:sz w:val="24"/>
          <w:szCs w:val="24"/>
        </w:rPr>
        <w:t>ho</w:t>
      </w:r>
      <w:r w:rsidR="0007477C">
        <w:rPr>
          <w:rFonts w:ascii="Tahoma" w:hAnsi="Tahoma" w:cs="Tahoma"/>
          <w:sz w:val="24"/>
          <w:szCs w:val="24"/>
        </w:rPr>
        <w:t xml:space="preserve"> </w:t>
      </w:r>
      <w:r w:rsidR="009D347E" w:rsidRPr="005B28F4">
        <w:rPr>
          <w:rFonts w:ascii="Tahoma" w:hAnsi="Tahoma" w:cs="Tahoma"/>
          <w:sz w:val="24"/>
          <w:szCs w:val="24"/>
        </w:rPr>
        <w:t>programov</w:t>
      </w:r>
      <w:r w:rsidR="00932474">
        <w:rPr>
          <w:rFonts w:ascii="Tahoma" w:hAnsi="Tahoma" w:cs="Tahoma"/>
          <w:sz w:val="24"/>
          <w:szCs w:val="24"/>
        </w:rPr>
        <w:t>ého</w:t>
      </w:r>
      <w:r w:rsidR="009D5629">
        <w:rPr>
          <w:rFonts w:ascii="Tahoma" w:hAnsi="Tahoma" w:cs="Tahoma"/>
          <w:sz w:val="24"/>
          <w:szCs w:val="24"/>
        </w:rPr>
        <w:t xml:space="preserve"> </w:t>
      </w:r>
      <w:r w:rsidR="009D347E" w:rsidRPr="005B28F4">
        <w:rPr>
          <w:rFonts w:ascii="Tahoma" w:hAnsi="Tahoma" w:cs="Tahoma"/>
          <w:sz w:val="24"/>
          <w:szCs w:val="24"/>
        </w:rPr>
        <w:t>období</w:t>
      </w:r>
      <w:r w:rsidR="009D5629">
        <w:rPr>
          <w:rFonts w:ascii="Tahoma" w:hAnsi="Tahoma" w:cs="Tahoma"/>
          <w:sz w:val="24"/>
          <w:szCs w:val="24"/>
        </w:rPr>
        <w:t xml:space="preserve">. </w:t>
      </w:r>
      <w:r w:rsidR="009D347E" w:rsidRPr="005B28F4">
        <w:rPr>
          <w:rFonts w:ascii="Tahoma" w:hAnsi="Tahoma" w:cs="Tahoma"/>
          <w:sz w:val="24"/>
          <w:szCs w:val="24"/>
        </w:rPr>
        <w:t xml:space="preserve"> </w:t>
      </w:r>
    </w:p>
    <w:p w14:paraId="34B6C1C7" w14:textId="77777777" w:rsidR="001A4A2B" w:rsidRDefault="001A4A2B" w:rsidP="009D347E">
      <w:pPr>
        <w:pStyle w:val="FormtovanvHTML"/>
        <w:jc w:val="both"/>
        <w:rPr>
          <w:rFonts w:ascii="Tahoma" w:hAnsi="Tahoma" w:cs="Tahoma"/>
          <w:sz w:val="24"/>
          <w:szCs w:val="24"/>
        </w:rPr>
      </w:pPr>
    </w:p>
    <w:p w14:paraId="6587F104" w14:textId="123D010D" w:rsidR="001A4A2B" w:rsidRPr="001A4A2B" w:rsidRDefault="00297953" w:rsidP="001A4A2B">
      <w:pPr>
        <w:pStyle w:val="FormtovanvHTML"/>
        <w:jc w:val="both"/>
        <w:rPr>
          <w:rFonts w:ascii="Tahoma" w:hAnsi="Tahoma" w:cs="Tahoma"/>
          <w:sz w:val="24"/>
          <w:szCs w:val="24"/>
        </w:rPr>
      </w:pPr>
      <w:r>
        <w:rPr>
          <w:rFonts w:ascii="Tahoma" w:hAnsi="Tahoma" w:cs="Tahoma"/>
          <w:sz w:val="24"/>
          <w:szCs w:val="24"/>
        </w:rPr>
        <w:t>Nejv</w:t>
      </w:r>
      <w:r w:rsidR="001A4A2B" w:rsidRPr="001A4A2B">
        <w:rPr>
          <w:rFonts w:ascii="Tahoma" w:hAnsi="Tahoma" w:cs="Tahoma"/>
          <w:sz w:val="24"/>
          <w:szCs w:val="24"/>
        </w:rPr>
        <w:t>ýznam</w:t>
      </w:r>
      <w:r>
        <w:rPr>
          <w:rFonts w:ascii="Tahoma" w:hAnsi="Tahoma" w:cs="Tahoma"/>
          <w:sz w:val="24"/>
          <w:szCs w:val="24"/>
        </w:rPr>
        <w:t xml:space="preserve">nější </w:t>
      </w:r>
      <w:r w:rsidR="001A4A2B" w:rsidRPr="001A4A2B">
        <w:rPr>
          <w:rFonts w:ascii="Tahoma" w:hAnsi="Tahoma" w:cs="Tahoma"/>
          <w:sz w:val="24"/>
          <w:szCs w:val="24"/>
        </w:rPr>
        <w:t xml:space="preserve">příležitostí pro rozpočet Moravskoslezského kraje v následujícím období je </w:t>
      </w:r>
      <w:r>
        <w:rPr>
          <w:rFonts w:ascii="Tahoma" w:hAnsi="Tahoma" w:cs="Tahoma"/>
          <w:sz w:val="24"/>
          <w:szCs w:val="24"/>
        </w:rPr>
        <w:t xml:space="preserve">stále </w:t>
      </w:r>
      <w:r w:rsidR="001A4A2B" w:rsidRPr="001A4A2B">
        <w:rPr>
          <w:rFonts w:ascii="Tahoma" w:hAnsi="Tahoma" w:cs="Tahoma"/>
          <w:sz w:val="24"/>
          <w:szCs w:val="24"/>
        </w:rPr>
        <w:t>dodatečné posílení rozpočtu Evropské unie na léta 2021–2027 o</w:t>
      </w:r>
      <w:r w:rsidR="00950E81">
        <w:rPr>
          <w:rFonts w:ascii="Tahoma" w:hAnsi="Tahoma" w:cs="Tahoma"/>
          <w:sz w:val="24"/>
          <w:szCs w:val="24"/>
        </w:rPr>
        <w:t> </w:t>
      </w:r>
      <w:r w:rsidR="001A4A2B" w:rsidRPr="001A4A2B">
        <w:rPr>
          <w:rFonts w:ascii="Tahoma" w:hAnsi="Tahoma" w:cs="Tahoma"/>
          <w:sz w:val="24"/>
          <w:szCs w:val="24"/>
        </w:rPr>
        <w:t xml:space="preserve">dočasné zdroje z nástroje </w:t>
      </w:r>
      <w:proofErr w:type="spellStart"/>
      <w:r w:rsidR="001A4A2B" w:rsidRPr="001A4A2B">
        <w:rPr>
          <w:rFonts w:ascii="Tahoma" w:hAnsi="Tahoma" w:cs="Tahoma"/>
          <w:sz w:val="24"/>
          <w:szCs w:val="24"/>
        </w:rPr>
        <w:t>NextGenerationEU</w:t>
      </w:r>
      <w:proofErr w:type="spellEnd"/>
      <w:r w:rsidR="001A4A2B" w:rsidRPr="001A4A2B">
        <w:rPr>
          <w:rFonts w:ascii="Tahoma" w:hAnsi="Tahoma" w:cs="Tahoma"/>
          <w:sz w:val="24"/>
          <w:szCs w:val="24"/>
        </w:rPr>
        <w:t xml:space="preserve"> s cílem řešit hospodářské a sociální dopady pandemie COVID-19 a zajistit ekonomické oživení členských států a jejich ekologickou a digitální transformaci s cílem stát se udržitelnějšími. Zdroje z</w:t>
      </w:r>
      <w:r w:rsidR="00950E81">
        <w:rPr>
          <w:rFonts w:ascii="Tahoma" w:hAnsi="Tahoma" w:cs="Tahoma"/>
          <w:sz w:val="24"/>
          <w:szCs w:val="24"/>
        </w:rPr>
        <w:t> </w:t>
      </w:r>
      <w:proofErr w:type="spellStart"/>
      <w:r w:rsidR="001A4A2B" w:rsidRPr="001A4A2B">
        <w:rPr>
          <w:rFonts w:ascii="Tahoma" w:hAnsi="Tahoma" w:cs="Tahoma"/>
          <w:sz w:val="24"/>
          <w:szCs w:val="24"/>
        </w:rPr>
        <w:t>NextGenerationEU</w:t>
      </w:r>
      <w:proofErr w:type="spellEnd"/>
      <w:r w:rsidR="001A4A2B" w:rsidRPr="001A4A2B">
        <w:rPr>
          <w:rFonts w:ascii="Tahoma" w:hAnsi="Tahoma" w:cs="Tahoma"/>
          <w:sz w:val="24"/>
          <w:szCs w:val="24"/>
        </w:rPr>
        <w:t xml:space="preserve"> byly rovněž použity na mimořádnou pomoc Ukrajině a zemím EU na zmírnění humanitárních důsledků ruské agrese vůči Ukrajině. Celkový finanční rámec pro toto programové období činí 2 mld. EUR. Díky prostředkům z</w:t>
      </w:r>
      <w:r w:rsidR="00950E81">
        <w:rPr>
          <w:rFonts w:ascii="Tahoma" w:hAnsi="Tahoma" w:cs="Tahoma"/>
          <w:sz w:val="24"/>
          <w:szCs w:val="24"/>
        </w:rPr>
        <w:t> </w:t>
      </w:r>
      <w:proofErr w:type="spellStart"/>
      <w:r w:rsidR="001A4A2B" w:rsidRPr="001A4A2B">
        <w:rPr>
          <w:rFonts w:ascii="Tahoma" w:hAnsi="Tahoma" w:cs="Tahoma"/>
          <w:sz w:val="24"/>
          <w:szCs w:val="24"/>
        </w:rPr>
        <w:t>NextGenerationEU</w:t>
      </w:r>
      <w:proofErr w:type="spellEnd"/>
      <w:r w:rsidR="001A4A2B" w:rsidRPr="001A4A2B">
        <w:rPr>
          <w:rFonts w:ascii="Tahoma" w:hAnsi="Tahoma" w:cs="Tahoma"/>
          <w:sz w:val="24"/>
          <w:szCs w:val="24"/>
        </w:rPr>
        <w:t xml:space="preserve"> může Česká republika využít některé zcela nové nástroje, a to Nástroj pro oživení a odolnost, Fond pro spravedlivou transformaci či REACT-EU. Využití těchto nových nástrojů je podmíněno zpracováním plánů, kterými členský stát dosáhne definovaných změn. Pro využití prostředků z Nástroje pro oživení a odolnost Česká republika připravila Národní plán obnovy s opatřeními ve výši přibližně 180</w:t>
      </w:r>
      <w:r w:rsidR="003A09C4">
        <w:rPr>
          <w:rFonts w:ascii="Tahoma" w:hAnsi="Tahoma" w:cs="Tahoma"/>
          <w:sz w:val="24"/>
          <w:szCs w:val="24"/>
        </w:rPr>
        <w:t> </w:t>
      </w:r>
      <w:r w:rsidR="001A4A2B" w:rsidRPr="001A4A2B">
        <w:rPr>
          <w:rFonts w:ascii="Tahoma" w:hAnsi="Tahoma" w:cs="Tahoma"/>
          <w:sz w:val="24"/>
          <w:szCs w:val="24"/>
        </w:rPr>
        <w:t>mld.</w:t>
      </w:r>
      <w:r w:rsidR="003A09C4">
        <w:rPr>
          <w:rFonts w:ascii="Tahoma" w:hAnsi="Tahoma" w:cs="Tahoma"/>
          <w:sz w:val="24"/>
          <w:szCs w:val="24"/>
        </w:rPr>
        <w:t> </w:t>
      </w:r>
      <w:r w:rsidR="001A4A2B" w:rsidRPr="001A4A2B">
        <w:rPr>
          <w:rFonts w:ascii="Tahoma" w:hAnsi="Tahoma" w:cs="Tahoma"/>
          <w:sz w:val="24"/>
          <w:szCs w:val="24"/>
        </w:rPr>
        <w:t xml:space="preserve">Kč. Tento plán byl schválen ze strany EU v září 2021. V říjnu </w:t>
      </w:r>
      <w:r w:rsidR="008D6F38">
        <w:rPr>
          <w:rFonts w:ascii="Tahoma" w:hAnsi="Tahoma" w:cs="Tahoma"/>
          <w:sz w:val="24"/>
          <w:szCs w:val="24"/>
        </w:rPr>
        <w:t>2023</w:t>
      </w:r>
      <w:r w:rsidR="001A4A2B" w:rsidRPr="001A4A2B">
        <w:rPr>
          <w:rFonts w:ascii="Tahoma" w:hAnsi="Tahoma" w:cs="Tahoma"/>
          <w:sz w:val="24"/>
          <w:szCs w:val="24"/>
        </w:rPr>
        <w:t xml:space="preserve"> došlo ke schválení aktualizované verze Národní</w:t>
      </w:r>
      <w:r w:rsidR="003A09C4">
        <w:rPr>
          <w:rFonts w:ascii="Tahoma" w:hAnsi="Tahoma" w:cs="Tahoma"/>
          <w:sz w:val="24"/>
          <w:szCs w:val="24"/>
        </w:rPr>
        <w:t>ho</w:t>
      </w:r>
      <w:r w:rsidR="001A4A2B" w:rsidRPr="001A4A2B">
        <w:rPr>
          <w:rFonts w:ascii="Tahoma" w:hAnsi="Tahoma" w:cs="Tahoma"/>
          <w:sz w:val="24"/>
          <w:szCs w:val="24"/>
        </w:rPr>
        <w:t xml:space="preserve"> plán</w:t>
      </w:r>
      <w:r w:rsidR="003A09C4">
        <w:rPr>
          <w:rFonts w:ascii="Tahoma" w:hAnsi="Tahoma" w:cs="Tahoma"/>
          <w:sz w:val="24"/>
          <w:szCs w:val="24"/>
        </w:rPr>
        <w:t>u</w:t>
      </w:r>
      <w:r w:rsidR="001A4A2B" w:rsidRPr="001A4A2B">
        <w:rPr>
          <w:rFonts w:ascii="Tahoma" w:hAnsi="Tahoma" w:cs="Tahoma"/>
          <w:sz w:val="24"/>
          <w:szCs w:val="24"/>
        </w:rPr>
        <w:t xml:space="preserve"> obnovy, kdy oproti původní alokaci se plán zvýš</w:t>
      </w:r>
      <w:r w:rsidR="00A73403">
        <w:rPr>
          <w:rFonts w:ascii="Tahoma" w:hAnsi="Tahoma" w:cs="Tahoma"/>
          <w:sz w:val="24"/>
          <w:szCs w:val="24"/>
        </w:rPr>
        <w:t>il</w:t>
      </w:r>
      <w:r w:rsidR="001A4A2B" w:rsidRPr="001A4A2B">
        <w:rPr>
          <w:rFonts w:ascii="Tahoma" w:hAnsi="Tahoma" w:cs="Tahoma"/>
          <w:sz w:val="24"/>
          <w:szCs w:val="24"/>
        </w:rPr>
        <w:t xml:space="preserve"> o</w:t>
      </w:r>
      <w:r w:rsidR="00950E81">
        <w:rPr>
          <w:rFonts w:ascii="Tahoma" w:hAnsi="Tahoma" w:cs="Tahoma"/>
          <w:sz w:val="24"/>
          <w:szCs w:val="24"/>
        </w:rPr>
        <w:t> </w:t>
      </w:r>
      <w:r w:rsidR="001A4A2B" w:rsidRPr="001A4A2B">
        <w:rPr>
          <w:rFonts w:ascii="Tahoma" w:hAnsi="Tahoma" w:cs="Tahoma"/>
          <w:sz w:val="24"/>
          <w:szCs w:val="24"/>
        </w:rPr>
        <w:t>50 mld. Kč, tzn. na 228,4 mld. Kč (z toho 209 mld. Kč ve formě grantů a</w:t>
      </w:r>
      <w:r w:rsidR="003A09C4">
        <w:rPr>
          <w:rFonts w:ascii="Tahoma" w:hAnsi="Tahoma" w:cs="Tahoma"/>
          <w:sz w:val="24"/>
          <w:szCs w:val="24"/>
        </w:rPr>
        <w:t> </w:t>
      </w:r>
      <w:r w:rsidR="001A4A2B" w:rsidRPr="001A4A2B">
        <w:rPr>
          <w:rFonts w:ascii="Tahoma" w:hAnsi="Tahoma" w:cs="Tahoma"/>
          <w:sz w:val="24"/>
          <w:szCs w:val="24"/>
        </w:rPr>
        <w:t>až 19,4</w:t>
      </w:r>
      <w:r w:rsidR="00950E81">
        <w:rPr>
          <w:rFonts w:ascii="Tahoma" w:hAnsi="Tahoma" w:cs="Tahoma"/>
          <w:sz w:val="24"/>
          <w:szCs w:val="24"/>
        </w:rPr>
        <w:t> </w:t>
      </w:r>
      <w:r w:rsidR="001A4A2B" w:rsidRPr="001A4A2B">
        <w:rPr>
          <w:rFonts w:ascii="Tahoma" w:hAnsi="Tahoma" w:cs="Tahoma"/>
          <w:sz w:val="24"/>
          <w:szCs w:val="24"/>
        </w:rPr>
        <w:t>mld.</w:t>
      </w:r>
      <w:r w:rsidR="00950E81">
        <w:rPr>
          <w:rFonts w:ascii="Tahoma" w:hAnsi="Tahoma" w:cs="Tahoma"/>
          <w:sz w:val="24"/>
          <w:szCs w:val="24"/>
        </w:rPr>
        <w:t> </w:t>
      </w:r>
      <w:r w:rsidR="001A4A2B" w:rsidRPr="001A4A2B">
        <w:rPr>
          <w:rFonts w:ascii="Tahoma" w:hAnsi="Tahoma" w:cs="Tahoma"/>
          <w:sz w:val="24"/>
          <w:szCs w:val="24"/>
        </w:rPr>
        <w:t>Kč ve formě půjček). Národní plán obnovy má sedm hlavních pilířů: digitální transformaci, ekologickou transformaci a fyzickou infrastrukturu, vzdělávání a</w:t>
      </w:r>
      <w:r w:rsidR="00171F8A">
        <w:rPr>
          <w:rFonts w:ascii="Tahoma" w:hAnsi="Tahoma" w:cs="Tahoma"/>
          <w:sz w:val="24"/>
          <w:szCs w:val="24"/>
        </w:rPr>
        <w:t> </w:t>
      </w:r>
      <w:r w:rsidR="001A4A2B" w:rsidRPr="001A4A2B">
        <w:rPr>
          <w:rFonts w:ascii="Tahoma" w:hAnsi="Tahoma" w:cs="Tahoma"/>
          <w:sz w:val="24"/>
          <w:szCs w:val="24"/>
        </w:rPr>
        <w:t xml:space="preserve">trh práce, výzkum a vývoj a inovace, veřejnou správu, zdravotnictví a energetickou transformaci. </w:t>
      </w:r>
    </w:p>
    <w:p w14:paraId="2B362323" w14:textId="77777777" w:rsidR="001A4A2B" w:rsidRPr="001A4A2B" w:rsidRDefault="001A4A2B" w:rsidP="001A4A2B">
      <w:pPr>
        <w:pStyle w:val="FormtovanvHTML"/>
        <w:jc w:val="both"/>
        <w:rPr>
          <w:rFonts w:ascii="Tahoma" w:hAnsi="Tahoma" w:cs="Tahoma"/>
          <w:sz w:val="24"/>
          <w:szCs w:val="24"/>
        </w:rPr>
      </w:pPr>
    </w:p>
    <w:p w14:paraId="1E4D7DEC" w14:textId="6C099F60" w:rsidR="001A4A2B" w:rsidRPr="001A4A2B" w:rsidRDefault="001A4A2B" w:rsidP="001A4A2B">
      <w:pPr>
        <w:pStyle w:val="FormtovanvHTML"/>
        <w:jc w:val="both"/>
        <w:rPr>
          <w:rFonts w:ascii="Tahoma" w:hAnsi="Tahoma" w:cs="Tahoma"/>
          <w:sz w:val="24"/>
          <w:szCs w:val="24"/>
        </w:rPr>
      </w:pPr>
      <w:r w:rsidRPr="001A4A2B">
        <w:rPr>
          <w:rFonts w:ascii="Tahoma" w:hAnsi="Tahoma" w:cs="Tahoma"/>
          <w:sz w:val="24"/>
          <w:szCs w:val="24"/>
        </w:rPr>
        <w:t>Pro Moravskoslezský kraj je velmi významný Operační program Spravedlivá transformace (dále jen OP ST), který využívá prostředky z Fondu pro spravedlivou transformaci ve výši přibližně 42 mld. Kč. Cílem programu je podpořit území Karlovarského, Ústeckého a Moravskoslezského kraje v přechodu na klimaticky neutrální ekonomiku, vytváření nových pracovních míst, obnovu území po těžbě uhlí či návazném průmyslu. Základním strategickým dokumentem pro nastavení tohoto operačního programu byla Strategie hospodářské restrukturalizace Ústeckého, Karlovarského a Moravskoslezského kraje (</w:t>
      </w:r>
      <w:proofErr w:type="gramStart"/>
      <w:r w:rsidRPr="001A4A2B">
        <w:rPr>
          <w:rFonts w:ascii="Tahoma" w:hAnsi="Tahoma" w:cs="Tahoma"/>
          <w:sz w:val="24"/>
          <w:szCs w:val="24"/>
        </w:rPr>
        <w:t>RE:START</w:t>
      </w:r>
      <w:proofErr w:type="gramEnd"/>
      <w:r w:rsidRPr="001A4A2B">
        <w:rPr>
          <w:rFonts w:ascii="Tahoma" w:hAnsi="Tahoma" w:cs="Tahoma"/>
          <w:sz w:val="24"/>
          <w:szCs w:val="24"/>
        </w:rPr>
        <w:t>), ze které vychází Plán spravedlivé územní transformace jakožto podmínka Evropské komise pro čerpání z</w:t>
      </w:r>
      <w:r w:rsidR="00950E81">
        <w:rPr>
          <w:rFonts w:ascii="Tahoma" w:hAnsi="Tahoma" w:cs="Tahoma"/>
          <w:sz w:val="24"/>
          <w:szCs w:val="24"/>
        </w:rPr>
        <w:t> </w:t>
      </w:r>
      <w:r w:rsidRPr="001A4A2B">
        <w:rPr>
          <w:rFonts w:ascii="Tahoma" w:hAnsi="Tahoma" w:cs="Tahoma"/>
          <w:sz w:val="24"/>
          <w:szCs w:val="24"/>
        </w:rPr>
        <w:t>tohoto fondu. Moravskoslezský kraj může z OP ST získat až 18,9 mld. Kč</w:t>
      </w:r>
      <w:r w:rsidR="0018143E">
        <w:rPr>
          <w:rFonts w:ascii="Tahoma" w:hAnsi="Tahoma" w:cs="Tahoma"/>
          <w:sz w:val="24"/>
          <w:szCs w:val="24"/>
        </w:rPr>
        <w:t>;</w:t>
      </w:r>
      <w:r w:rsidRPr="001A4A2B">
        <w:rPr>
          <w:rFonts w:ascii="Tahoma" w:hAnsi="Tahoma" w:cs="Tahoma"/>
          <w:sz w:val="24"/>
          <w:szCs w:val="24"/>
        </w:rPr>
        <w:t xml:space="preserve"> tyto prostředky jsou určeny širokému okruhu příjemců včetně obcí, podniků, univerzit a</w:t>
      </w:r>
      <w:r w:rsidR="00950E81">
        <w:rPr>
          <w:rFonts w:ascii="Tahoma" w:hAnsi="Tahoma" w:cs="Tahoma"/>
          <w:sz w:val="24"/>
          <w:szCs w:val="24"/>
        </w:rPr>
        <w:t> </w:t>
      </w:r>
      <w:r w:rsidRPr="001A4A2B">
        <w:rPr>
          <w:rFonts w:ascii="Tahoma" w:hAnsi="Tahoma" w:cs="Tahoma"/>
          <w:sz w:val="24"/>
          <w:szCs w:val="24"/>
        </w:rPr>
        <w:t>dalších organizací. Vyhlášení prvních výzev z OP ST bylo zahájeno ve 4.Q 2022, kdy byly vyhlášena výzva pro realizaci strategických projektů. Následně byly vyhlášeny tematické výzvy na oběhové hospodářství, obnovu území po těžbě, konektivitu pro základní a střední školy, odborné učebny pro střední školy</w:t>
      </w:r>
      <w:r w:rsidR="00816250">
        <w:rPr>
          <w:rFonts w:ascii="Tahoma" w:hAnsi="Tahoma" w:cs="Tahoma"/>
          <w:sz w:val="24"/>
          <w:szCs w:val="24"/>
        </w:rPr>
        <w:t xml:space="preserve">. </w:t>
      </w:r>
      <w:r w:rsidRPr="001A4A2B">
        <w:rPr>
          <w:rFonts w:ascii="Tahoma" w:hAnsi="Tahoma" w:cs="Tahoma"/>
          <w:sz w:val="24"/>
          <w:szCs w:val="24"/>
        </w:rPr>
        <w:t>Následovat budou výzvy určené na podporu podnikání, zakládání řemeslných dílen, podporu projektové dokumentace obcí</w:t>
      </w:r>
      <w:r w:rsidR="00816250">
        <w:rPr>
          <w:rFonts w:ascii="Tahoma" w:hAnsi="Tahoma" w:cs="Tahoma"/>
          <w:sz w:val="24"/>
          <w:szCs w:val="24"/>
        </w:rPr>
        <w:t>.</w:t>
      </w:r>
      <w:r w:rsidRPr="001A4A2B">
        <w:rPr>
          <w:rFonts w:ascii="Tahoma" w:hAnsi="Tahoma" w:cs="Tahoma"/>
          <w:sz w:val="24"/>
          <w:szCs w:val="24"/>
        </w:rPr>
        <w:t xml:space="preserve"> </w:t>
      </w:r>
    </w:p>
    <w:p w14:paraId="1DE4835B" w14:textId="77777777" w:rsidR="001A4A2B" w:rsidRPr="001A4A2B" w:rsidRDefault="001A4A2B" w:rsidP="001A4A2B">
      <w:pPr>
        <w:pStyle w:val="FormtovanvHTML"/>
        <w:jc w:val="both"/>
        <w:rPr>
          <w:rFonts w:ascii="Tahoma" w:hAnsi="Tahoma" w:cs="Tahoma"/>
          <w:sz w:val="24"/>
          <w:szCs w:val="24"/>
        </w:rPr>
      </w:pPr>
    </w:p>
    <w:p w14:paraId="628FEB82" w14:textId="418AE39E" w:rsidR="001A4A2B" w:rsidRPr="001A4A2B" w:rsidRDefault="001A4A2B" w:rsidP="001A4A2B">
      <w:pPr>
        <w:pStyle w:val="FormtovanvHTML"/>
        <w:jc w:val="both"/>
        <w:rPr>
          <w:rFonts w:ascii="Tahoma" w:hAnsi="Tahoma" w:cs="Tahoma"/>
          <w:sz w:val="24"/>
          <w:szCs w:val="24"/>
        </w:rPr>
      </w:pPr>
      <w:r w:rsidRPr="001A4A2B">
        <w:rPr>
          <w:rFonts w:ascii="Tahoma" w:hAnsi="Tahoma" w:cs="Tahoma"/>
          <w:sz w:val="24"/>
          <w:szCs w:val="24"/>
        </w:rPr>
        <w:lastRenderedPageBreak/>
        <w:t>Zároveň podpora z Mechanismu pro spravedlivou transformaci umožňuje využití i</w:t>
      </w:r>
      <w:r w:rsidR="00950E81">
        <w:rPr>
          <w:rFonts w:ascii="Tahoma" w:hAnsi="Tahoma" w:cs="Tahoma"/>
          <w:sz w:val="24"/>
          <w:szCs w:val="24"/>
        </w:rPr>
        <w:t> </w:t>
      </w:r>
      <w:r w:rsidRPr="001A4A2B">
        <w:rPr>
          <w:rFonts w:ascii="Tahoma" w:hAnsi="Tahoma" w:cs="Tahoma"/>
          <w:sz w:val="24"/>
          <w:szCs w:val="24"/>
        </w:rPr>
        <w:t xml:space="preserve">doplňkových zdrojů v rámci tzv. II. (záruka v rámci programu </w:t>
      </w:r>
      <w:proofErr w:type="spellStart"/>
      <w:r w:rsidRPr="001A4A2B">
        <w:rPr>
          <w:rFonts w:ascii="Tahoma" w:hAnsi="Tahoma" w:cs="Tahoma"/>
          <w:sz w:val="24"/>
          <w:szCs w:val="24"/>
        </w:rPr>
        <w:t>InvestEU</w:t>
      </w:r>
      <w:proofErr w:type="spellEnd"/>
      <w:r w:rsidRPr="001A4A2B">
        <w:rPr>
          <w:rFonts w:ascii="Tahoma" w:hAnsi="Tahoma" w:cs="Tahoma"/>
          <w:sz w:val="24"/>
          <w:szCs w:val="24"/>
        </w:rPr>
        <w:t xml:space="preserve">) a III. pilíře (úvěrový nástroj pro veřejný sektor). Aktuálně dochází ve spolupráci s Národní rozvojovou bankou a Evropskou investiční bankou ke zpřesňování podmínek pro možnost využití těchto zdrojů.  </w:t>
      </w:r>
    </w:p>
    <w:p w14:paraId="464AD5EF" w14:textId="77777777" w:rsidR="001A4A2B" w:rsidRPr="001A4A2B" w:rsidRDefault="001A4A2B" w:rsidP="001A4A2B">
      <w:pPr>
        <w:pStyle w:val="FormtovanvHTML"/>
        <w:jc w:val="both"/>
        <w:rPr>
          <w:rFonts w:ascii="Tahoma" w:hAnsi="Tahoma" w:cs="Tahoma"/>
          <w:sz w:val="24"/>
          <w:szCs w:val="24"/>
        </w:rPr>
      </w:pPr>
    </w:p>
    <w:p w14:paraId="3FFE0765" w14:textId="70E58F47" w:rsidR="001A4A2B" w:rsidRPr="001A4A2B" w:rsidRDefault="001A4A2B" w:rsidP="001A4A2B">
      <w:pPr>
        <w:pStyle w:val="FormtovanvHTML"/>
        <w:jc w:val="both"/>
        <w:rPr>
          <w:rFonts w:ascii="Tahoma" w:hAnsi="Tahoma" w:cs="Tahoma"/>
          <w:sz w:val="24"/>
          <w:szCs w:val="24"/>
        </w:rPr>
      </w:pPr>
      <w:r w:rsidRPr="001A4A2B">
        <w:rPr>
          <w:rFonts w:ascii="Tahoma" w:hAnsi="Tahoma" w:cs="Tahoma"/>
          <w:sz w:val="24"/>
          <w:szCs w:val="24"/>
        </w:rPr>
        <w:t>V rámci programového období EU 2021–2027 kraj bude pokračovat a bude chtít se svými projekty uspět ve vyhlašovaných výzvách dalších operačních programů. Významným nástrojem pro řešení územní dimenze fondů EU ve vybraných tématech je Regionální akční plán (RAP). V rámci RAP jsou v dohodnutých tématech stanoveny alokace na úrovni území kraje, které jsou vypočteny na základě objektivně stanoveného klíče. Jedná se o témata z oblasti dopravy (silnice II. třídy),</w:t>
      </w:r>
      <w:r w:rsidR="00FE7259">
        <w:rPr>
          <w:rFonts w:ascii="Tahoma" w:hAnsi="Tahoma" w:cs="Tahoma"/>
          <w:sz w:val="24"/>
          <w:szCs w:val="24"/>
        </w:rPr>
        <w:t xml:space="preserve"> </w:t>
      </w:r>
      <w:r w:rsidR="00FE7259" w:rsidRPr="001A4A2B">
        <w:rPr>
          <w:rFonts w:ascii="Tahoma" w:hAnsi="Tahoma" w:cs="Tahoma"/>
          <w:sz w:val="24"/>
          <w:szCs w:val="24"/>
        </w:rPr>
        <w:t>středního školství</w:t>
      </w:r>
      <w:r w:rsidR="00FE7259">
        <w:rPr>
          <w:rFonts w:ascii="Tahoma" w:hAnsi="Tahoma" w:cs="Tahoma"/>
          <w:sz w:val="24"/>
          <w:szCs w:val="24"/>
        </w:rPr>
        <w:t xml:space="preserve">, </w:t>
      </w:r>
      <w:r w:rsidRPr="001A4A2B">
        <w:rPr>
          <w:rFonts w:ascii="Tahoma" w:hAnsi="Tahoma" w:cs="Tahoma"/>
          <w:sz w:val="24"/>
          <w:szCs w:val="24"/>
        </w:rPr>
        <w:t>deinstitucionalizace sociálních služeb, zdravotnické záchranné služby</w:t>
      </w:r>
      <w:r w:rsidR="009B5629" w:rsidRPr="009B5629">
        <w:rPr>
          <w:rFonts w:ascii="Tahoma" w:hAnsi="Tahoma" w:cs="Tahoma"/>
          <w:sz w:val="24"/>
          <w:szCs w:val="24"/>
        </w:rPr>
        <w:t xml:space="preserve"> a center bezpečí</w:t>
      </w:r>
      <w:r w:rsidRPr="001A4A2B">
        <w:rPr>
          <w:rFonts w:ascii="Tahoma" w:hAnsi="Tahoma" w:cs="Tahoma"/>
          <w:sz w:val="24"/>
          <w:szCs w:val="24"/>
        </w:rPr>
        <w:t>, a sice v rámci Integrovaného regionálního operačního programu. Dále budou využívány také zdroje například z Operačního programu Zaměstnanost plus, programů přeshraniční spolupráce nebo Národního plánu obnovy.</w:t>
      </w:r>
    </w:p>
    <w:p w14:paraId="0F6E71CE" w14:textId="77777777" w:rsidR="001A4A2B" w:rsidRPr="001A4A2B" w:rsidRDefault="001A4A2B" w:rsidP="001A4A2B">
      <w:pPr>
        <w:pStyle w:val="FormtovanvHTML"/>
        <w:jc w:val="both"/>
        <w:rPr>
          <w:rFonts w:ascii="Tahoma" w:hAnsi="Tahoma" w:cs="Tahoma"/>
          <w:sz w:val="24"/>
          <w:szCs w:val="24"/>
        </w:rPr>
      </w:pPr>
    </w:p>
    <w:p w14:paraId="4649DAE1" w14:textId="4AED1263" w:rsidR="00C97A22" w:rsidRDefault="002F4656" w:rsidP="00A533EB">
      <w:pPr>
        <w:pStyle w:val="zkladntextodsazen10"/>
        <w:ind w:left="0" w:firstLine="0"/>
        <w:rPr>
          <w:rFonts w:ascii="Tahoma" w:hAnsi="Tahoma" w:cs="Tahoma"/>
          <w:sz w:val="24"/>
          <w:szCs w:val="24"/>
        </w:rPr>
      </w:pPr>
      <w:r>
        <w:rPr>
          <w:rFonts w:ascii="Tahoma" w:hAnsi="Tahoma" w:cs="Tahoma"/>
          <w:sz w:val="24"/>
          <w:szCs w:val="24"/>
        </w:rPr>
        <w:t xml:space="preserve">Významnou součástí rozpočtu kraje v jednotlivých letech jsou dotace ze státního rozpočtu. </w:t>
      </w:r>
      <w:r w:rsidR="0096133D" w:rsidRPr="00114885">
        <w:rPr>
          <w:rFonts w:ascii="Tahoma" w:hAnsi="Tahoma" w:cs="Tahoma"/>
          <w:sz w:val="24"/>
          <w:szCs w:val="24"/>
        </w:rPr>
        <w:t>Výhled pro</w:t>
      </w:r>
      <w:r w:rsidR="00D01A58" w:rsidRPr="00114885">
        <w:rPr>
          <w:rFonts w:ascii="Tahoma" w:hAnsi="Tahoma" w:cs="Tahoma"/>
          <w:sz w:val="24"/>
          <w:szCs w:val="24"/>
        </w:rPr>
        <w:t xml:space="preserve">to obsahuje očekávané dotace ze státního rozpočtu vycházející </w:t>
      </w:r>
      <w:r w:rsidR="00431C2E" w:rsidRPr="00114885">
        <w:rPr>
          <w:rFonts w:ascii="Tahoma" w:hAnsi="Tahoma" w:cs="Tahoma"/>
          <w:sz w:val="24"/>
          <w:szCs w:val="24"/>
        </w:rPr>
        <w:t>z</w:t>
      </w:r>
      <w:r w:rsidR="00D01A58" w:rsidRPr="00114885">
        <w:rPr>
          <w:rFonts w:ascii="Tahoma" w:hAnsi="Tahoma" w:cs="Tahoma"/>
          <w:sz w:val="24"/>
          <w:szCs w:val="24"/>
        </w:rPr>
        <w:t> úrovně roku 202</w:t>
      </w:r>
      <w:r w:rsidR="003D67BE">
        <w:rPr>
          <w:rFonts w:ascii="Tahoma" w:hAnsi="Tahoma" w:cs="Tahoma"/>
          <w:sz w:val="24"/>
          <w:szCs w:val="24"/>
        </w:rPr>
        <w:t>4</w:t>
      </w:r>
      <w:r w:rsidR="00BB74FC" w:rsidRPr="00114885">
        <w:rPr>
          <w:rFonts w:ascii="Tahoma" w:hAnsi="Tahoma" w:cs="Tahoma"/>
          <w:sz w:val="24"/>
          <w:szCs w:val="24"/>
        </w:rPr>
        <w:t xml:space="preserve"> </w:t>
      </w:r>
      <w:r w:rsidR="007E6398" w:rsidRPr="00114885">
        <w:rPr>
          <w:rFonts w:ascii="Tahoma" w:hAnsi="Tahoma" w:cs="Tahoma"/>
          <w:sz w:val="24"/>
          <w:szCs w:val="24"/>
        </w:rPr>
        <w:t>za</w:t>
      </w:r>
      <w:r w:rsidR="007E6398">
        <w:rPr>
          <w:rFonts w:ascii="Tahoma" w:hAnsi="Tahoma" w:cs="Tahoma"/>
          <w:sz w:val="24"/>
          <w:szCs w:val="24"/>
        </w:rPr>
        <w:t xml:space="preserve"> předpokladu</w:t>
      </w:r>
      <w:r w:rsidR="00657FDE">
        <w:rPr>
          <w:rFonts w:ascii="Tahoma" w:hAnsi="Tahoma" w:cs="Tahoma"/>
          <w:sz w:val="24"/>
          <w:szCs w:val="24"/>
        </w:rPr>
        <w:t xml:space="preserve">, že stát </w:t>
      </w:r>
      <w:r>
        <w:rPr>
          <w:rFonts w:ascii="Tahoma" w:hAnsi="Tahoma" w:cs="Tahoma"/>
          <w:sz w:val="24"/>
          <w:szCs w:val="24"/>
        </w:rPr>
        <w:t>spln</w:t>
      </w:r>
      <w:r w:rsidR="00657FDE">
        <w:rPr>
          <w:rFonts w:ascii="Tahoma" w:hAnsi="Tahoma" w:cs="Tahoma"/>
          <w:sz w:val="24"/>
          <w:szCs w:val="24"/>
        </w:rPr>
        <w:t>í</w:t>
      </w:r>
      <w:r>
        <w:rPr>
          <w:rFonts w:ascii="Tahoma" w:hAnsi="Tahoma" w:cs="Tahoma"/>
          <w:sz w:val="24"/>
          <w:szCs w:val="24"/>
        </w:rPr>
        <w:t xml:space="preserve"> </w:t>
      </w:r>
      <w:r w:rsidR="00657FDE">
        <w:rPr>
          <w:rFonts w:ascii="Tahoma" w:hAnsi="Tahoma" w:cs="Tahoma"/>
          <w:sz w:val="24"/>
          <w:szCs w:val="24"/>
        </w:rPr>
        <w:t xml:space="preserve">své </w:t>
      </w:r>
      <w:r>
        <w:rPr>
          <w:rFonts w:ascii="Tahoma" w:hAnsi="Tahoma" w:cs="Tahoma"/>
          <w:sz w:val="24"/>
          <w:szCs w:val="24"/>
        </w:rPr>
        <w:t>povinnost</w:t>
      </w:r>
      <w:r w:rsidR="003F299D">
        <w:rPr>
          <w:rFonts w:ascii="Tahoma" w:hAnsi="Tahoma" w:cs="Tahoma"/>
          <w:sz w:val="24"/>
          <w:szCs w:val="24"/>
        </w:rPr>
        <w:t>i</w:t>
      </w:r>
      <w:r>
        <w:rPr>
          <w:rFonts w:ascii="Tahoma" w:hAnsi="Tahoma" w:cs="Tahoma"/>
          <w:sz w:val="24"/>
          <w:szCs w:val="24"/>
        </w:rPr>
        <w:t xml:space="preserve"> </w:t>
      </w:r>
      <w:r w:rsidR="00657FDE">
        <w:rPr>
          <w:rFonts w:ascii="Tahoma" w:hAnsi="Tahoma" w:cs="Tahoma"/>
          <w:sz w:val="24"/>
          <w:szCs w:val="24"/>
        </w:rPr>
        <w:t xml:space="preserve">a </w:t>
      </w:r>
      <w:r>
        <w:rPr>
          <w:rFonts w:ascii="Tahoma" w:hAnsi="Tahoma" w:cs="Tahoma"/>
          <w:sz w:val="24"/>
          <w:szCs w:val="24"/>
        </w:rPr>
        <w:t>zaji</w:t>
      </w:r>
      <w:r w:rsidR="00657FDE">
        <w:rPr>
          <w:rFonts w:ascii="Tahoma" w:hAnsi="Tahoma" w:cs="Tahoma"/>
          <w:sz w:val="24"/>
          <w:szCs w:val="24"/>
        </w:rPr>
        <w:t>stí</w:t>
      </w:r>
      <w:r>
        <w:rPr>
          <w:rFonts w:ascii="Tahoma" w:hAnsi="Tahoma" w:cs="Tahoma"/>
          <w:sz w:val="24"/>
          <w:szCs w:val="24"/>
        </w:rPr>
        <w:t xml:space="preserve"> dostatečn</w:t>
      </w:r>
      <w:r w:rsidR="00657FDE">
        <w:rPr>
          <w:rFonts w:ascii="Tahoma" w:hAnsi="Tahoma" w:cs="Tahoma"/>
          <w:sz w:val="24"/>
          <w:szCs w:val="24"/>
        </w:rPr>
        <w:t>ou</w:t>
      </w:r>
      <w:r>
        <w:rPr>
          <w:rFonts w:ascii="Tahoma" w:hAnsi="Tahoma" w:cs="Tahoma"/>
          <w:sz w:val="24"/>
          <w:szCs w:val="24"/>
        </w:rPr>
        <w:t xml:space="preserve"> úrov</w:t>
      </w:r>
      <w:r w:rsidR="00657FDE">
        <w:rPr>
          <w:rFonts w:ascii="Tahoma" w:hAnsi="Tahoma" w:cs="Tahoma"/>
          <w:sz w:val="24"/>
          <w:szCs w:val="24"/>
        </w:rPr>
        <w:t>eň</w:t>
      </w:r>
      <w:r>
        <w:rPr>
          <w:rFonts w:ascii="Tahoma" w:hAnsi="Tahoma" w:cs="Tahoma"/>
          <w:sz w:val="24"/>
          <w:szCs w:val="24"/>
        </w:rPr>
        <w:t xml:space="preserve"> financování platů učitelů, sociálních služeb nebo zdravotnictví prostřednictvím úhradové vyhlášky. </w:t>
      </w:r>
      <w:r w:rsidR="00CA357D" w:rsidRPr="00282418">
        <w:rPr>
          <w:rFonts w:ascii="Tahoma" w:hAnsi="Tahoma" w:cs="Tahoma"/>
          <w:sz w:val="24"/>
          <w:szCs w:val="24"/>
        </w:rPr>
        <w:t xml:space="preserve">Vedle těchto dotací bude </w:t>
      </w:r>
      <w:r w:rsidR="00EC56F3">
        <w:rPr>
          <w:rFonts w:ascii="Tahoma" w:hAnsi="Tahoma" w:cs="Tahoma"/>
          <w:sz w:val="24"/>
          <w:szCs w:val="24"/>
        </w:rPr>
        <w:t xml:space="preserve">dále </w:t>
      </w:r>
      <w:r w:rsidR="00CA357D" w:rsidRPr="00282418">
        <w:rPr>
          <w:rFonts w:ascii="Tahoma" w:hAnsi="Tahoma" w:cs="Tahoma"/>
          <w:sz w:val="24"/>
          <w:szCs w:val="24"/>
        </w:rPr>
        <w:t>možné ve sledovaném období využít</w:t>
      </w:r>
      <w:r w:rsidR="00D66ECB">
        <w:rPr>
          <w:rFonts w:ascii="Tahoma" w:hAnsi="Tahoma" w:cs="Tahoma"/>
          <w:sz w:val="24"/>
          <w:szCs w:val="24"/>
        </w:rPr>
        <w:t xml:space="preserve"> </w:t>
      </w:r>
      <w:r w:rsidR="00CA357D" w:rsidRPr="00282418">
        <w:rPr>
          <w:rFonts w:ascii="Tahoma" w:hAnsi="Tahoma" w:cs="Tahoma"/>
          <w:sz w:val="24"/>
          <w:szCs w:val="24"/>
        </w:rPr>
        <w:t>další programy vyhlašované příslušnými ministerstvy na vybrané roky</w:t>
      </w:r>
      <w:r w:rsidR="00282418" w:rsidRPr="001C4B00">
        <w:rPr>
          <w:rFonts w:ascii="Tahoma" w:hAnsi="Tahoma" w:cs="Tahoma"/>
          <w:sz w:val="24"/>
          <w:szCs w:val="24"/>
        </w:rPr>
        <w:t>.</w:t>
      </w:r>
      <w:r w:rsidR="00DF5DBC" w:rsidRPr="001C4B00">
        <w:rPr>
          <w:rFonts w:ascii="Tahoma" w:hAnsi="Tahoma" w:cs="Tahoma"/>
          <w:sz w:val="24"/>
          <w:szCs w:val="24"/>
        </w:rPr>
        <w:t xml:space="preserve"> </w:t>
      </w:r>
      <w:r w:rsidR="00E9094D" w:rsidRPr="001C4B00">
        <w:rPr>
          <w:rFonts w:ascii="Tahoma" w:hAnsi="Tahoma" w:cs="Tahoma"/>
          <w:sz w:val="24"/>
          <w:szCs w:val="24"/>
        </w:rPr>
        <w:t>Je</w:t>
      </w:r>
      <w:r w:rsidR="001B6544" w:rsidRPr="001C4B00">
        <w:rPr>
          <w:rFonts w:ascii="Tahoma" w:hAnsi="Tahoma" w:cs="Tahoma"/>
          <w:sz w:val="24"/>
          <w:szCs w:val="24"/>
        </w:rPr>
        <w:t xml:space="preserve">dná se </w:t>
      </w:r>
      <w:r w:rsidR="005B1657" w:rsidRPr="001C4B00">
        <w:rPr>
          <w:rFonts w:ascii="Tahoma" w:hAnsi="Tahoma" w:cs="Tahoma"/>
          <w:sz w:val="24"/>
          <w:szCs w:val="24"/>
        </w:rPr>
        <w:t xml:space="preserve">např. </w:t>
      </w:r>
      <w:r w:rsidR="001B6544" w:rsidRPr="001C4B00">
        <w:rPr>
          <w:rFonts w:ascii="Tahoma" w:hAnsi="Tahoma" w:cs="Tahoma"/>
          <w:sz w:val="24"/>
          <w:szCs w:val="24"/>
        </w:rPr>
        <w:t xml:space="preserve">o </w:t>
      </w:r>
      <w:r w:rsidR="005B1657" w:rsidRPr="001C4B00">
        <w:rPr>
          <w:rFonts w:ascii="Tahoma" w:hAnsi="Tahoma" w:cs="Tahoma"/>
          <w:sz w:val="24"/>
          <w:szCs w:val="24"/>
        </w:rPr>
        <w:t>finanční podpor</w:t>
      </w:r>
      <w:r w:rsidR="001B6544" w:rsidRPr="001C4B00">
        <w:rPr>
          <w:rFonts w:ascii="Tahoma" w:hAnsi="Tahoma" w:cs="Tahoma"/>
          <w:sz w:val="24"/>
          <w:szCs w:val="24"/>
        </w:rPr>
        <w:t>u</w:t>
      </w:r>
      <w:r w:rsidR="005B1657" w:rsidRPr="001C4B00">
        <w:rPr>
          <w:rFonts w:ascii="Tahoma" w:hAnsi="Tahoma" w:cs="Tahoma"/>
          <w:sz w:val="24"/>
          <w:szCs w:val="24"/>
        </w:rPr>
        <w:t xml:space="preserve"> ze strany státu na </w:t>
      </w:r>
      <w:r w:rsidR="00EE2A07" w:rsidRPr="001C4B00">
        <w:rPr>
          <w:rFonts w:ascii="Tahoma" w:hAnsi="Tahoma" w:cs="Tahoma"/>
          <w:sz w:val="24"/>
          <w:szCs w:val="24"/>
        </w:rPr>
        <w:t xml:space="preserve">základě uzavřeného </w:t>
      </w:r>
      <w:r w:rsidR="002E6B90" w:rsidRPr="001C4B00">
        <w:rPr>
          <w:rFonts w:ascii="Tahoma" w:hAnsi="Tahoma" w:cs="Tahoma"/>
          <w:sz w:val="24"/>
          <w:szCs w:val="24"/>
        </w:rPr>
        <w:t>Memorand</w:t>
      </w:r>
      <w:r w:rsidR="00EE2A07" w:rsidRPr="001C4B00">
        <w:rPr>
          <w:rFonts w:ascii="Tahoma" w:hAnsi="Tahoma" w:cs="Tahoma"/>
          <w:sz w:val="24"/>
          <w:szCs w:val="24"/>
        </w:rPr>
        <w:t>a</w:t>
      </w:r>
      <w:r w:rsidR="002E6B90" w:rsidRPr="001C4B00">
        <w:rPr>
          <w:rFonts w:ascii="Tahoma" w:hAnsi="Tahoma" w:cs="Tahoma"/>
          <w:sz w:val="24"/>
          <w:szCs w:val="24"/>
        </w:rPr>
        <w:t xml:space="preserve"> o spolupráci </w:t>
      </w:r>
      <w:r w:rsidR="00323438" w:rsidRPr="001C4B00">
        <w:rPr>
          <w:rFonts w:ascii="Tahoma" w:hAnsi="Tahoma" w:cs="Tahoma"/>
          <w:sz w:val="24"/>
          <w:szCs w:val="24"/>
        </w:rPr>
        <w:t>při přípravě území pro realizaci projektu „Logistické centrum Armády České republiky Mošnov“</w:t>
      </w:r>
      <w:r w:rsidR="00EE2A07" w:rsidRPr="001C4B00">
        <w:rPr>
          <w:rFonts w:ascii="Tahoma" w:hAnsi="Tahoma" w:cs="Tahoma"/>
          <w:sz w:val="24"/>
          <w:szCs w:val="24"/>
        </w:rPr>
        <w:t>.</w:t>
      </w:r>
      <w:r w:rsidR="00323438">
        <w:rPr>
          <w:rFonts w:ascii="Tahoma" w:hAnsi="Tahoma" w:cs="Tahoma"/>
          <w:sz w:val="24"/>
          <w:szCs w:val="24"/>
        </w:rPr>
        <w:t xml:space="preserve"> </w:t>
      </w:r>
    </w:p>
    <w:p w14:paraId="79AFB7B3" w14:textId="77777777" w:rsidR="00863D27" w:rsidRDefault="00863D27">
      <w:pPr>
        <w:rPr>
          <w:rFonts w:ascii="Tahoma" w:hAnsi="Tahoma" w:cs="Tahoma"/>
          <w:b/>
          <w:bCs/>
        </w:rPr>
      </w:pPr>
      <w:r>
        <w:rPr>
          <w:rFonts w:ascii="Tahoma" w:hAnsi="Tahoma" w:cs="Tahoma"/>
          <w:b/>
          <w:bCs/>
        </w:rPr>
        <w:br w:type="page"/>
      </w:r>
    </w:p>
    <w:p w14:paraId="79E65A1B" w14:textId="01204EC3" w:rsidR="008E7B37" w:rsidRPr="00826D55" w:rsidRDefault="003C0AAC" w:rsidP="00757748">
      <w:pPr>
        <w:pStyle w:val="Nadpis3"/>
        <w:spacing w:before="360" w:after="180"/>
        <w:rPr>
          <w:rFonts w:ascii="Tahoma" w:hAnsi="Tahoma" w:cs="Tahoma"/>
          <w:b/>
          <w:bCs/>
          <w:sz w:val="24"/>
          <w:szCs w:val="24"/>
        </w:rPr>
      </w:pPr>
      <w:bookmarkStart w:id="1" w:name="_Toc150511313"/>
      <w:r>
        <w:rPr>
          <w:rFonts w:ascii="Tahoma" w:hAnsi="Tahoma" w:cs="Tahoma"/>
          <w:b/>
          <w:bCs/>
          <w:sz w:val="24"/>
          <w:szCs w:val="24"/>
        </w:rPr>
        <w:lastRenderedPageBreak/>
        <w:t>P</w:t>
      </w:r>
      <w:r w:rsidR="008E7B37" w:rsidRPr="00826D55">
        <w:rPr>
          <w:rFonts w:ascii="Tahoma" w:hAnsi="Tahoma" w:cs="Tahoma"/>
          <w:b/>
          <w:bCs/>
          <w:sz w:val="24"/>
          <w:szCs w:val="24"/>
        </w:rPr>
        <w:t xml:space="preserve">LÁNOVANÉ PŘÍJMY kraje v období let </w:t>
      </w:r>
      <w:r w:rsidR="009706A1" w:rsidRPr="00826D55">
        <w:rPr>
          <w:rFonts w:ascii="Tahoma" w:hAnsi="Tahoma" w:cs="Tahoma"/>
          <w:b/>
          <w:bCs/>
          <w:sz w:val="24"/>
          <w:szCs w:val="24"/>
        </w:rPr>
        <w:t>202</w:t>
      </w:r>
      <w:r w:rsidR="009706A1">
        <w:rPr>
          <w:rFonts w:ascii="Tahoma" w:hAnsi="Tahoma" w:cs="Tahoma"/>
          <w:b/>
          <w:bCs/>
          <w:sz w:val="24"/>
          <w:szCs w:val="24"/>
        </w:rPr>
        <w:t>5–2027</w:t>
      </w:r>
      <w:bookmarkEnd w:id="1"/>
    </w:p>
    <w:p w14:paraId="79E65A1C" w14:textId="77777777" w:rsidR="008E7B37" w:rsidRPr="00826D55" w:rsidRDefault="008E7B37">
      <w:pPr>
        <w:pStyle w:val="Nadpis4"/>
        <w:rPr>
          <w:rFonts w:ascii="Tahoma" w:hAnsi="Tahoma" w:cs="Tahoma"/>
          <w:sz w:val="24"/>
          <w:szCs w:val="24"/>
        </w:rPr>
      </w:pPr>
      <w:r w:rsidRPr="00826D55">
        <w:rPr>
          <w:rFonts w:ascii="Tahoma" w:hAnsi="Tahoma" w:cs="Tahoma"/>
          <w:sz w:val="24"/>
          <w:szCs w:val="24"/>
        </w:rPr>
        <w:t>Daňové příjmy</w:t>
      </w:r>
    </w:p>
    <w:p w14:paraId="79E65A1D" w14:textId="77777777" w:rsidR="001C51F8" w:rsidRPr="00826D55" w:rsidRDefault="001C51F8" w:rsidP="001C51F8"/>
    <w:p w14:paraId="42E3841E" w14:textId="35C4935E" w:rsidR="00084F59" w:rsidRDefault="002E0495" w:rsidP="002962D6">
      <w:pPr>
        <w:tabs>
          <w:tab w:val="right" w:pos="4962"/>
        </w:tabs>
        <w:rPr>
          <w:rFonts w:ascii="Tahoma" w:hAnsi="Tahoma" w:cs="Tahoma"/>
          <w:sz w:val="16"/>
          <w:szCs w:val="16"/>
        </w:rPr>
      </w:pPr>
      <w:r w:rsidRPr="00826D55">
        <w:rPr>
          <w:rFonts w:ascii="Tahoma" w:hAnsi="Tahoma" w:cs="Tahoma"/>
          <w:sz w:val="16"/>
          <w:szCs w:val="16"/>
        </w:rPr>
        <w:t xml:space="preserve">Graf č. </w:t>
      </w:r>
      <w:r w:rsidR="001C51F8" w:rsidRPr="00826D55">
        <w:rPr>
          <w:rFonts w:ascii="Tahoma" w:hAnsi="Tahoma" w:cs="Tahoma"/>
          <w:sz w:val="16"/>
          <w:szCs w:val="16"/>
        </w:rPr>
        <w:t>2</w:t>
      </w:r>
      <w:r w:rsidRPr="00826D55">
        <w:rPr>
          <w:rFonts w:ascii="Tahoma" w:hAnsi="Tahoma" w:cs="Tahoma"/>
          <w:sz w:val="16"/>
          <w:szCs w:val="16"/>
        </w:rPr>
        <w:t xml:space="preserve"> Vývoj daňových příjmů kraje (v </w:t>
      </w:r>
      <w:r w:rsidR="001C51F8" w:rsidRPr="00826D55">
        <w:rPr>
          <w:rFonts w:ascii="Tahoma" w:hAnsi="Tahoma" w:cs="Tahoma"/>
          <w:sz w:val="16"/>
          <w:szCs w:val="16"/>
        </w:rPr>
        <w:t>mil. Kč</w:t>
      </w:r>
      <w:r w:rsidRPr="00826D55">
        <w:rPr>
          <w:rFonts w:ascii="Tahoma" w:hAnsi="Tahoma" w:cs="Tahoma"/>
          <w:sz w:val="16"/>
          <w:szCs w:val="16"/>
        </w:rPr>
        <w:t>)</w:t>
      </w:r>
    </w:p>
    <w:p w14:paraId="51564335" w14:textId="0355BDC2" w:rsidR="00084F59" w:rsidRDefault="00CD03C0" w:rsidP="002962D6">
      <w:pPr>
        <w:tabs>
          <w:tab w:val="right" w:pos="4962"/>
        </w:tabs>
        <w:rPr>
          <w:rFonts w:ascii="Tahoma" w:hAnsi="Tahoma" w:cs="Tahoma"/>
          <w:sz w:val="16"/>
          <w:szCs w:val="16"/>
        </w:rPr>
      </w:pPr>
      <w:r>
        <w:rPr>
          <w:rFonts w:ascii="Tahoma" w:hAnsi="Tahoma" w:cs="Tahoma"/>
          <w:noProof/>
          <w:sz w:val="16"/>
          <w:szCs w:val="16"/>
        </w:rPr>
        <w:drawing>
          <wp:inline distT="0" distB="0" distL="0" distR="0" wp14:anchorId="3292D3A3" wp14:editId="05CC29FD">
            <wp:extent cx="3723748" cy="2238375"/>
            <wp:effectExtent l="0" t="0" r="0" b="0"/>
            <wp:docPr id="1115384527" name="Obrázek 111538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5732" cy="2239568"/>
                    </a:xfrm>
                    <a:prstGeom prst="rect">
                      <a:avLst/>
                    </a:prstGeom>
                    <a:noFill/>
                  </pic:spPr>
                </pic:pic>
              </a:graphicData>
            </a:graphic>
          </wp:inline>
        </w:drawing>
      </w:r>
    </w:p>
    <w:p w14:paraId="6A31F53C" w14:textId="77777777" w:rsidR="008A725D" w:rsidRDefault="008A725D" w:rsidP="00ED3CD7">
      <w:pPr>
        <w:pStyle w:val="Zkladntext"/>
        <w:rPr>
          <w:rFonts w:ascii="Tahoma" w:hAnsi="Tahoma" w:cs="Tahoma"/>
          <w:sz w:val="24"/>
          <w:szCs w:val="24"/>
        </w:rPr>
      </w:pPr>
    </w:p>
    <w:p w14:paraId="79E65A22" w14:textId="4E79EF80" w:rsidR="005A4BF3" w:rsidRPr="007A36A5" w:rsidRDefault="00F67F37" w:rsidP="7B2D13D1">
      <w:pPr>
        <w:pStyle w:val="Zkladntext"/>
        <w:rPr>
          <w:rFonts w:ascii="Tahoma" w:hAnsi="Tahoma" w:cs="Tahoma"/>
          <w:sz w:val="24"/>
          <w:szCs w:val="24"/>
        </w:rPr>
      </w:pPr>
      <w:r w:rsidRPr="7B2D13D1">
        <w:rPr>
          <w:rFonts w:ascii="Tahoma" w:hAnsi="Tahoma" w:cs="Tahoma"/>
          <w:sz w:val="24"/>
          <w:szCs w:val="24"/>
        </w:rPr>
        <w:t xml:space="preserve">Největší objem daňových příjmů kraje (99 %) </w:t>
      </w:r>
      <w:proofErr w:type="gramStart"/>
      <w:r w:rsidRPr="7B2D13D1">
        <w:rPr>
          <w:rFonts w:ascii="Tahoma" w:hAnsi="Tahoma" w:cs="Tahoma"/>
          <w:sz w:val="24"/>
          <w:szCs w:val="24"/>
        </w:rPr>
        <w:t>tvoří</w:t>
      </w:r>
      <w:proofErr w:type="gramEnd"/>
      <w:r w:rsidRPr="7B2D13D1">
        <w:rPr>
          <w:rFonts w:ascii="Tahoma" w:hAnsi="Tahoma" w:cs="Tahoma"/>
          <w:sz w:val="24"/>
          <w:szCs w:val="24"/>
        </w:rPr>
        <w:t xml:space="preserve"> příjmy ze sdílených daní.</w:t>
      </w:r>
      <w:r w:rsidR="007A36A5">
        <w:rPr>
          <w:rFonts w:ascii="Tahoma" w:hAnsi="Tahoma" w:cs="Tahoma"/>
          <w:sz w:val="24"/>
          <w:szCs w:val="24"/>
        </w:rPr>
        <w:t xml:space="preserve"> </w:t>
      </w:r>
      <w:r w:rsidRPr="007A36A5">
        <w:rPr>
          <w:rFonts w:ascii="Tahoma" w:hAnsi="Tahoma" w:cs="Tahoma"/>
          <w:sz w:val="24"/>
          <w:szCs w:val="24"/>
        </w:rPr>
        <w:t>Pro léta 202</w:t>
      </w:r>
      <w:r w:rsidR="00CD03C0" w:rsidRPr="007A36A5">
        <w:rPr>
          <w:rFonts w:ascii="Tahoma" w:hAnsi="Tahoma" w:cs="Tahoma"/>
          <w:sz w:val="24"/>
          <w:szCs w:val="24"/>
        </w:rPr>
        <w:t>5</w:t>
      </w:r>
      <w:r w:rsidR="00797E29" w:rsidRPr="007A36A5">
        <w:rPr>
          <w:rFonts w:ascii="Tahoma" w:hAnsi="Tahoma" w:cs="Tahoma"/>
          <w:sz w:val="24"/>
          <w:szCs w:val="24"/>
        </w:rPr>
        <w:t>–</w:t>
      </w:r>
      <w:r w:rsidRPr="007A36A5">
        <w:rPr>
          <w:rFonts w:ascii="Tahoma" w:hAnsi="Tahoma" w:cs="Tahoma"/>
          <w:sz w:val="24"/>
          <w:szCs w:val="24"/>
        </w:rPr>
        <w:t>202</w:t>
      </w:r>
      <w:r w:rsidR="00906485" w:rsidRPr="007A36A5">
        <w:rPr>
          <w:rFonts w:ascii="Tahoma" w:hAnsi="Tahoma" w:cs="Tahoma"/>
          <w:sz w:val="24"/>
          <w:szCs w:val="24"/>
        </w:rPr>
        <w:t>7</w:t>
      </w:r>
      <w:r w:rsidRPr="007A36A5">
        <w:rPr>
          <w:rFonts w:ascii="Tahoma" w:hAnsi="Tahoma" w:cs="Tahoma"/>
          <w:sz w:val="24"/>
          <w:szCs w:val="24"/>
        </w:rPr>
        <w:t xml:space="preserve"> </w:t>
      </w:r>
      <w:r w:rsidR="6C6A71FD" w:rsidRPr="007A36A5">
        <w:rPr>
          <w:rFonts w:ascii="Tahoma" w:hAnsi="Tahoma" w:cs="Tahoma"/>
          <w:sz w:val="24"/>
          <w:szCs w:val="24"/>
        </w:rPr>
        <w:t xml:space="preserve">je předpokládán meziroční </w:t>
      </w:r>
      <w:r w:rsidRPr="007A36A5">
        <w:rPr>
          <w:rFonts w:ascii="Tahoma" w:hAnsi="Tahoma" w:cs="Tahoma"/>
          <w:sz w:val="24"/>
          <w:szCs w:val="24"/>
        </w:rPr>
        <w:t xml:space="preserve">růst příjmů ze sdílených daní v průměrné meziroční výši </w:t>
      </w:r>
      <w:r w:rsidR="593A7D3D" w:rsidRPr="007A36A5">
        <w:rPr>
          <w:rFonts w:ascii="Tahoma" w:hAnsi="Tahoma" w:cs="Tahoma"/>
          <w:sz w:val="24"/>
          <w:szCs w:val="24"/>
        </w:rPr>
        <w:t xml:space="preserve">cca </w:t>
      </w:r>
      <w:r w:rsidR="6C160B1E" w:rsidRPr="007A36A5">
        <w:rPr>
          <w:rFonts w:ascii="Tahoma" w:hAnsi="Tahoma" w:cs="Tahoma"/>
          <w:sz w:val="24"/>
          <w:szCs w:val="24"/>
        </w:rPr>
        <w:t>4,6</w:t>
      </w:r>
      <w:r w:rsidRPr="007A36A5">
        <w:rPr>
          <w:rFonts w:ascii="Tahoma" w:hAnsi="Tahoma" w:cs="Tahoma"/>
          <w:sz w:val="24"/>
          <w:szCs w:val="24"/>
        </w:rPr>
        <w:t xml:space="preserve"> %. </w:t>
      </w:r>
      <w:r w:rsidR="7EC59C28" w:rsidRPr="007A36A5">
        <w:rPr>
          <w:rFonts w:ascii="Tahoma" w:hAnsi="Tahoma" w:cs="Tahoma"/>
          <w:sz w:val="24"/>
          <w:szCs w:val="24"/>
        </w:rPr>
        <w:t xml:space="preserve">Dosavadní </w:t>
      </w:r>
      <w:r w:rsidR="00C437F4" w:rsidRPr="007A36A5">
        <w:rPr>
          <w:rFonts w:ascii="Tahoma" w:hAnsi="Tahoma" w:cs="Tahoma"/>
          <w:sz w:val="24"/>
          <w:szCs w:val="24"/>
        </w:rPr>
        <w:t xml:space="preserve">významné růsty daní </w:t>
      </w:r>
      <w:r w:rsidR="266271E6" w:rsidRPr="007A36A5">
        <w:rPr>
          <w:rFonts w:ascii="Tahoma" w:hAnsi="Tahoma" w:cs="Tahoma"/>
          <w:sz w:val="24"/>
          <w:szCs w:val="24"/>
        </w:rPr>
        <w:t>v letech 2021–202</w:t>
      </w:r>
      <w:r w:rsidR="00C437F4" w:rsidRPr="007A36A5">
        <w:rPr>
          <w:rFonts w:ascii="Tahoma" w:hAnsi="Tahoma" w:cs="Tahoma"/>
          <w:sz w:val="24"/>
          <w:szCs w:val="24"/>
        </w:rPr>
        <w:t>3</w:t>
      </w:r>
      <w:r w:rsidR="266271E6" w:rsidRPr="007A36A5">
        <w:rPr>
          <w:rFonts w:ascii="Tahoma" w:hAnsi="Tahoma" w:cs="Tahoma"/>
          <w:sz w:val="24"/>
          <w:szCs w:val="24"/>
        </w:rPr>
        <w:t xml:space="preserve"> o cca </w:t>
      </w:r>
      <w:r w:rsidR="00C437F4" w:rsidRPr="007A36A5">
        <w:rPr>
          <w:rFonts w:ascii="Tahoma" w:hAnsi="Tahoma" w:cs="Tahoma"/>
          <w:sz w:val="24"/>
          <w:szCs w:val="24"/>
        </w:rPr>
        <w:t xml:space="preserve">až </w:t>
      </w:r>
      <w:r w:rsidR="266271E6" w:rsidRPr="007A36A5">
        <w:rPr>
          <w:rFonts w:ascii="Tahoma" w:hAnsi="Tahoma" w:cs="Tahoma"/>
          <w:sz w:val="24"/>
          <w:szCs w:val="24"/>
        </w:rPr>
        <w:t xml:space="preserve">14 % </w:t>
      </w:r>
      <w:r w:rsidR="7EC59C28" w:rsidRPr="007A36A5">
        <w:rPr>
          <w:rFonts w:ascii="Tahoma" w:hAnsi="Tahoma" w:cs="Tahoma"/>
          <w:sz w:val="24"/>
          <w:szCs w:val="24"/>
        </w:rPr>
        <w:t>byl</w:t>
      </w:r>
      <w:r w:rsidR="00C437F4" w:rsidRPr="007A36A5">
        <w:rPr>
          <w:rFonts w:ascii="Tahoma" w:hAnsi="Tahoma" w:cs="Tahoma"/>
          <w:sz w:val="24"/>
          <w:szCs w:val="24"/>
        </w:rPr>
        <w:t>y</w:t>
      </w:r>
      <w:r w:rsidR="7EC59C28" w:rsidRPr="007A36A5">
        <w:rPr>
          <w:rFonts w:ascii="Tahoma" w:hAnsi="Tahoma" w:cs="Tahoma"/>
          <w:sz w:val="24"/>
          <w:szCs w:val="24"/>
        </w:rPr>
        <w:t xml:space="preserve"> vyvolán</w:t>
      </w:r>
      <w:r w:rsidR="00C437F4" w:rsidRPr="007A36A5">
        <w:rPr>
          <w:rFonts w:ascii="Tahoma" w:hAnsi="Tahoma" w:cs="Tahoma"/>
          <w:sz w:val="24"/>
          <w:szCs w:val="24"/>
        </w:rPr>
        <w:t>y</w:t>
      </w:r>
      <w:r w:rsidR="7EC59C28" w:rsidRPr="007A36A5">
        <w:rPr>
          <w:rFonts w:ascii="Tahoma" w:hAnsi="Tahoma" w:cs="Tahoma"/>
          <w:sz w:val="24"/>
          <w:szCs w:val="24"/>
        </w:rPr>
        <w:t xml:space="preserve"> zejména postupným oživením </w:t>
      </w:r>
      <w:r w:rsidR="71EE6D27" w:rsidRPr="007A36A5">
        <w:rPr>
          <w:rFonts w:ascii="Tahoma" w:hAnsi="Tahoma" w:cs="Tahoma"/>
          <w:sz w:val="24"/>
          <w:szCs w:val="24"/>
        </w:rPr>
        <w:t xml:space="preserve">postcovidové </w:t>
      </w:r>
      <w:r w:rsidR="7EC59C28" w:rsidRPr="007A36A5">
        <w:rPr>
          <w:rFonts w:ascii="Tahoma" w:hAnsi="Tahoma" w:cs="Tahoma"/>
          <w:sz w:val="24"/>
          <w:szCs w:val="24"/>
        </w:rPr>
        <w:t>e</w:t>
      </w:r>
      <w:r w:rsidR="39B01E5A" w:rsidRPr="007A36A5">
        <w:rPr>
          <w:rFonts w:ascii="Tahoma" w:hAnsi="Tahoma" w:cs="Tahoma"/>
          <w:sz w:val="24"/>
          <w:szCs w:val="24"/>
        </w:rPr>
        <w:t>k</w:t>
      </w:r>
      <w:r w:rsidR="7EC59C28" w:rsidRPr="007A36A5">
        <w:rPr>
          <w:rFonts w:ascii="Tahoma" w:hAnsi="Tahoma" w:cs="Tahoma"/>
          <w:sz w:val="24"/>
          <w:szCs w:val="24"/>
        </w:rPr>
        <w:t>onomi</w:t>
      </w:r>
      <w:r w:rsidR="0981FE36" w:rsidRPr="007A36A5">
        <w:rPr>
          <w:rFonts w:ascii="Tahoma" w:hAnsi="Tahoma" w:cs="Tahoma"/>
          <w:sz w:val="24"/>
          <w:szCs w:val="24"/>
        </w:rPr>
        <w:t>k</w:t>
      </w:r>
      <w:r w:rsidR="7EC59C28" w:rsidRPr="007A36A5">
        <w:rPr>
          <w:rFonts w:ascii="Tahoma" w:hAnsi="Tahoma" w:cs="Tahoma"/>
          <w:sz w:val="24"/>
          <w:szCs w:val="24"/>
        </w:rPr>
        <w:t xml:space="preserve">y, </w:t>
      </w:r>
      <w:r w:rsidR="6F974028" w:rsidRPr="007A36A5">
        <w:rPr>
          <w:rFonts w:ascii="Tahoma" w:hAnsi="Tahoma" w:cs="Tahoma"/>
          <w:sz w:val="24"/>
          <w:szCs w:val="24"/>
        </w:rPr>
        <w:t xml:space="preserve">nástupem </w:t>
      </w:r>
      <w:r w:rsidR="7EC59C28" w:rsidRPr="007A36A5">
        <w:rPr>
          <w:rFonts w:ascii="Tahoma" w:hAnsi="Tahoma" w:cs="Tahoma"/>
          <w:sz w:val="24"/>
          <w:szCs w:val="24"/>
        </w:rPr>
        <w:t>vysok</w:t>
      </w:r>
      <w:r w:rsidR="47A3C93A" w:rsidRPr="007A36A5">
        <w:rPr>
          <w:rFonts w:ascii="Tahoma" w:hAnsi="Tahoma" w:cs="Tahoma"/>
          <w:sz w:val="24"/>
          <w:szCs w:val="24"/>
        </w:rPr>
        <w:t>é inflace</w:t>
      </w:r>
      <w:r w:rsidR="00BE4361" w:rsidRPr="007A36A5">
        <w:rPr>
          <w:rFonts w:ascii="Tahoma" w:hAnsi="Tahoma" w:cs="Tahoma"/>
          <w:sz w:val="24"/>
          <w:szCs w:val="24"/>
        </w:rPr>
        <w:t xml:space="preserve"> a vysokým růst</w:t>
      </w:r>
      <w:r w:rsidR="00A37415">
        <w:rPr>
          <w:rFonts w:ascii="Tahoma" w:hAnsi="Tahoma" w:cs="Tahoma"/>
          <w:sz w:val="24"/>
          <w:szCs w:val="24"/>
        </w:rPr>
        <w:t>em</w:t>
      </w:r>
      <w:r w:rsidR="7EC59C28" w:rsidRPr="007A36A5">
        <w:rPr>
          <w:rFonts w:ascii="Tahoma" w:hAnsi="Tahoma" w:cs="Tahoma"/>
          <w:sz w:val="24"/>
          <w:szCs w:val="24"/>
        </w:rPr>
        <w:t xml:space="preserve"> </w:t>
      </w:r>
      <w:r w:rsidR="7028B4DB" w:rsidRPr="007A36A5">
        <w:rPr>
          <w:rFonts w:ascii="Tahoma" w:hAnsi="Tahoma" w:cs="Tahoma"/>
          <w:sz w:val="24"/>
          <w:szCs w:val="24"/>
        </w:rPr>
        <w:t>zisků energetických společností</w:t>
      </w:r>
      <w:r w:rsidR="3E86FD39" w:rsidRPr="007A36A5">
        <w:rPr>
          <w:rFonts w:ascii="Tahoma" w:hAnsi="Tahoma" w:cs="Tahoma"/>
          <w:sz w:val="24"/>
          <w:szCs w:val="24"/>
        </w:rPr>
        <w:t xml:space="preserve"> z důvodu růstu energií</w:t>
      </w:r>
      <w:r w:rsidR="00BE4361" w:rsidRPr="007A36A5">
        <w:rPr>
          <w:rFonts w:ascii="Tahoma" w:hAnsi="Tahoma" w:cs="Tahoma"/>
          <w:sz w:val="24"/>
          <w:szCs w:val="24"/>
        </w:rPr>
        <w:t xml:space="preserve">. </w:t>
      </w:r>
      <w:r w:rsidR="1B115BEE" w:rsidRPr="007A36A5">
        <w:rPr>
          <w:rFonts w:ascii="Tahoma" w:hAnsi="Tahoma" w:cs="Tahoma"/>
          <w:sz w:val="24"/>
          <w:szCs w:val="24"/>
        </w:rPr>
        <w:t>P</w:t>
      </w:r>
      <w:r w:rsidR="2EEE3E84" w:rsidRPr="007A36A5">
        <w:rPr>
          <w:rFonts w:ascii="Tahoma" w:hAnsi="Tahoma" w:cs="Tahoma"/>
          <w:sz w:val="24"/>
          <w:szCs w:val="24"/>
        </w:rPr>
        <w:t>ro</w:t>
      </w:r>
      <w:r w:rsidR="1B115BEE" w:rsidRPr="007A36A5">
        <w:rPr>
          <w:rFonts w:ascii="Tahoma" w:hAnsi="Tahoma" w:cs="Tahoma"/>
          <w:sz w:val="24"/>
          <w:szCs w:val="24"/>
        </w:rPr>
        <w:t xml:space="preserve"> odhad daňových příjmů na roky 2025</w:t>
      </w:r>
      <w:r w:rsidR="00B35778" w:rsidRPr="007A36A5">
        <w:rPr>
          <w:rFonts w:ascii="Tahoma" w:hAnsi="Tahoma" w:cs="Tahoma"/>
          <w:sz w:val="24"/>
          <w:szCs w:val="24"/>
        </w:rPr>
        <w:t>–</w:t>
      </w:r>
      <w:r w:rsidR="1B115BEE" w:rsidRPr="007A36A5">
        <w:rPr>
          <w:rFonts w:ascii="Tahoma" w:hAnsi="Tahoma" w:cs="Tahoma"/>
          <w:sz w:val="24"/>
          <w:szCs w:val="24"/>
        </w:rPr>
        <w:t xml:space="preserve">2027 vycházíme </w:t>
      </w:r>
      <w:r w:rsidR="74816A44" w:rsidRPr="007A36A5">
        <w:rPr>
          <w:rFonts w:ascii="Tahoma" w:hAnsi="Tahoma" w:cs="Tahoma"/>
          <w:sz w:val="24"/>
          <w:szCs w:val="24"/>
        </w:rPr>
        <w:t>z</w:t>
      </w:r>
      <w:r w:rsidR="283DEFB7" w:rsidRPr="007A36A5">
        <w:rPr>
          <w:rFonts w:ascii="Tahoma" w:hAnsi="Tahoma" w:cs="Tahoma"/>
          <w:sz w:val="24"/>
          <w:szCs w:val="24"/>
        </w:rPr>
        <w:t xml:space="preserve">e zreálněného </w:t>
      </w:r>
      <w:r w:rsidR="20800DA4" w:rsidRPr="007A36A5">
        <w:rPr>
          <w:rFonts w:ascii="Tahoma" w:hAnsi="Tahoma" w:cs="Tahoma"/>
          <w:sz w:val="24"/>
          <w:szCs w:val="24"/>
        </w:rPr>
        <w:t>předpokladu návratu k</w:t>
      </w:r>
      <w:r w:rsidR="6146C183" w:rsidRPr="007A36A5">
        <w:rPr>
          <w:rFonts w:ascii="Tahoma" w:hAnsi="Tahoma" w:cs="Tahoma"/>
          <w:sz w:val="24"/>
          <w:szCs w:val="24"/>
        </w:rPr>
        <w:t xml:space="preserve"> inflačnímu cíli ČN</w:t>
      </w:r>
      <w:r w:rsidR="12A11B6A" w:rsidRPr="007A36A5">
        <w:rPr>
          <w:rFonts w:ascii="Tahoma" w:hAnsi="Tahoma" w:cs="Tahoma"/>
          <w:sz w:val="24"/>
          <w:szCs w:val="24"/>
        </w:rPr>
        <w:t>B</w:t>
      </w:r>
      <w:r w:rsidR="6146C183" w:rsidRPr="007A36A5">
        <w:rPr>
          <w:rFonts w:ascii="Tahoma" w:hAnsi="Tahoma" w:cs="Tahoma"/>
          <w:sz w:val="24"/>
          <w:szCs w:val="24"/>
        </w:rPr>
        <w:t xml:space="preserve"> (2</w:t>
      </w:r>
      <w:r w:rsidR="00B35778" w:rsidRPr="007A36A5">
        <w:rPr>
          <w:rFonts w:ascii="Tahoma" w:hAnsi="Tahoma" w:cs="Tahoma"/>
          <w:sz w:val="24"/>
          <w:szCs w:val="24"/>
        </w:rPr>
        <w:t>–</w:t>
      </w:r>
      <w:r w:rsidR="6146C183" w:rsidRPr="007A36A5">
        <w:rPr>
          <w:rFonts w:ascii="Tahoma" w:hAnsi="Tahoma" w:cs="Tahoma"/>
          <w:sz w:val="24"/>
          <w:szCs w:val="24"/>
        </w:rPr>
        <w:t>3 %)</w:t>
      </w:r>
      <w:r w:rsidR="4C34CB58" w:rsidRPr="007A36A5">
        <w:rPr>
          <w:rFonts w:ascii="Tahoma" w:hAnsi="Tahoma" w:cs="Tahoma"/>
          <w:sz w:val="24"/>
          <w:szCs w:val="24"/>
        </w:rPr>
        <w:t xml:space="preserve"> a mírného růstu HDP. Současně je nutno mít na zřeteli dopad vládního konsolidačního balíčku, kterým dochází </w:t>
      </w:r>
      <w:r w:rsidR="22F1DCA2" w:rsidRPr="007A36A5">
        <w:rPr>
          <w:rFonts w:ascii="Tahoma" w:hAnsi="Tahoma" w:cs="Tahoma"/>
          <w:sz w:val="24"/>
          <w:szCs w:val="24"/>
        </w:rPr>
        <w:t>ke sloučení dvou snížených sazeb DPH do jedné, přeřazení některých položek mezi sazbami</w:t>
      </w:r>
      <w:r w:rsidR="3A829E08" w:rsidRPr="007A36A5">
        <w:rPr>
          <w:rFonts w:ascii="Tahoma" w:hAnsi="Tahoma" w:cs="Tahoma"/>
          <w:sz w:val="24"/>
          <w:szCs w:val="24"/>
        </w:rPr>
        <w:t>, zvýšení sazby daně z příjmů právnických osob z 19 na 21 % (nikoli však dopadem do sdílených daní krajů)</w:t>
      </w:r>
      <w:r w:rsidR="00AC60A6" w:rsidRPr="007A36A5">
        <w:rPr>
          <w:rFonts w:ascii="Tahoma" w:hAnsi="Tahoma" w:cs="Tahoma"/>
          <w:sz w:val="24"/>
          <w:szCs w:val="24"/>
        </w:rPr>
        <w:t xml:space="preserve"> a</w:t>
      </w:r>
      <w:r w:rsidR="00B65D27" w:rsidRPr="007A36A5">
        <w:rPr>
          <w:rFonts w:ascii="Tahoma" w:hAnsi="Tahoma" w:cs="Tahoma"/>
          <w:sz w:val="24"/>
          <w:szCs w:val="24"/>
        </w:rPr>
        <w:t xml:space="preserve"> z toho plynoucí změnu procenta, kterým se kraje podílí na celostátním výnosu daní</w:t>
      </w:r>
      <w:r w:rsidR="00F104BB" w:rsidRPr="007A36A5">
        <w:rPr>
          <w:rFonts w:ascii="Tahoma" w:hAnsi="Tahoma" w:cs="Tahoma"/>
          <w:sz w:val="24"/>
          <w:szCs w:val="24"/>
        </w:rPr>
        <w:t xml:space="preserve"> z dnešních 9,78 % až na 9,45 % v roce 2025. </w:t>
      </w:r>
      <w:r w:rsidRPr="007A36A5">
        <w:rPr>
          <w:rFonts w:ascii="Tahoma" w:hAnsi="Tahoma" w:cs="Tahoma"/>
          <w:sz w:val="24"/>
          <w:szCs w:val="24"/>
        </w:rPr>
        <w:t xml:space="preserve">Odhad očekávaného plnění jednotlivých daňových příjmů je </w:t>
      </w:r>
      <w:r w:rsidR="007A36A5" w:rsidRPr="007A36A5">
        <w:rPr>
          <w:rFonts w:ascii="Tahoma" w:hAnsi="Tahoma" w:cs="Tahoma"/>
          <w:sz w:val="24"/>
          <w:szCs w:val="24"/>
        </w:rPr>
        <w:t xml:space="preserve">proto, </w:t>
      </w:r>
      <w:r w:rsidR="001E6D73" w:rsidRPr="007A36A5">
        <w:rPr>
          <w:rFonts w:ascii="Tahoma" w:hAnsi="Tahoma" w:cs="Tahoma"/>
          <w:sz w:val="24"/>
          <w:szCs w:val="24"/>
        </w:rPr>
        <w:t xml:space="preserve">zejména s ohledem na současné </w:t>
      </w:r>
      <w:r w:rsidR="008141D4" w:rsidRPr="007A36A5">
        <w:rPr>
          <w:rFonts w:ascii="Tahoma" w:hAnsi="Tahoma" w:cs="Tahoma"/>
          <w:sz w:val="24"/>
          <w:szCs w:val="24"/>
        </w:rPr>
        <w:t>turbulentní období</w:t>
      </w:r>
      <w:r w:rsidR="008E36A2" w:rsidRPr="007A36A5">
        <w:rPr>
          <w:rFonts w:ascii="Tahoma" w:hAnsi="Tahoma" w:cs="Tahoma"/>
          <w:sz w:val="24"/>
          <w:szCs w:val="24"/>
        </w:rPr>
        <w:t xml:space="preserve"> spojené </w:t>
      </w:r>
      <w:r w:rsidR="00385840" w:rsidRPr="007A36A5">
        <w:rPr>
          <w:rFonts w:ascii="Tahoma" w:hAnsi="Tahoma" w:cs="Tahoma"/>
          <w:sz w:val="24"/>
          <w:szCs w:val="24"/>
        </w:rPr>
        <w:t>s nejistotou další</w:t>
      </w:r>
      <w:r w:rsidR="002C0F74" w:rsidRPr="007A36A5">
        <w:rPr>
          <w:rFonts w:ascii="Tahoma" w:hAnsi="Tahoma" w:cs="Tahoma"/>
          <w:sz w:val="24"/>
          <w:szCs w:val="24"/>
        </w:rPr>
        <w:t>ho vývoje</w:t>
      </w:r>
      <w:r w:rsidR="008141D4" w:rsidRPr="007A36A5">
        <w:rPr>
          <w:rFonts w:ascii="Tahoma" w:hAnsi="Tahoma" w:cs="Tahoma"/>
          <w:sz w:val="24"/>
          <w:szCs w:val="24"/>
        </w:rPr>
        <w:t xml:space="preserve">, </w:t>
      </w:r>
      <w:r w:rsidRPr="007A36A5">
        <w:rPr>
          <w:rFonts w:ascii="Tahoma" w:hAnsi="Tahoma" w:cs="Tahoma"/>
          <w:sz w:val="24"/>
          <w:szCs w:val="24"/>
        </w:rPr>
        <w:t>spojen s určitou mírou rizika nepřesnosti.</w:t>
      </w:r>
      <w:r w:rsidR="007003C6" w:rsidRPr="007A36A5">
        <w:rPr>
          <w:rFonts w:ascii="Tahoma" w:hAnsi="Tahoma" w:cs="Tahoma"/>
          <w:sz w:val="24"/>
          <w:szCs w:val="24"/>
        </w:rPr>
        <w:t xml:space="preserve"> </w:t>
      </w:r>
    </w:p>
    <w:p w14:paraId="27205F6F" w14:textId="73C9EA0C" w:rsidR="7B2D13D1" w:rsidRDefault="7B2D13D1" w:rsidP="7B2D13D1">
      <w:pPr>
        <w:pStyle w:val="Zkladntext"/>
        <w:rPr>
          <w:rFonts w:ascii="Tahoma" w:hAnsi="Tahoma" w:cs="Tahoma"/>
          <w:sz w:val="24"/>
          <w:szCs w:val="24"/>
        </w:rPr>
      </w:pPr>
    </w:p>
    <w:p w14:paraId="3BF4A602" w14:textId="353ADFB2" w:rsidR="00150DE7" w:rsidRDefault="004A6410" w:rsidP="00150DE7">
      <w:pPr>
        <w:pStyle w:val="Zkladntext"/>
        <w:rPr>
          <w:rFonts w:ascii="Tahoma" w:hAnsi="Tahoma" w:cs="Tahoma"/>
          <w:sz w:val="24"/>
          <w:szCs w:val="24"/>
        </w:rPr>
      </w:pPr>
      <w:r w:rsidRPr="00826D55">
        <w:rPr>
          <w:rFonts w:ascii="Tahoma" w:hAnsi="Tahoma" w:cs="Tahoma"/>
          <w:sz w:val="24"/>
          <w:szCs w:val="24"/>
        </w:rPr>
        <w:t>Méně podstatnými</w:t>
      </w:r>
      <w:r w:rsidR="00657375">
        <w:rPr>
          <w:rFonts w:ascii="Tahoma" w:hAnsi="Tahoma" w:cs="Tahoma"/>
          <w:sz w:val="24"/>
          <w:szCs w:val="24"/>
        </w:rPr>
        <w:t>,</w:t>
      </w:r>
      <w:r w:rsidRPr="00826D55">
        <w:rPr>
          <w:rFonts w:ascii="Tahoma" w:hAnsi="Tahoma" w:cs="Tahoma"/>
          <w:sz w:val="24"/>
          <w:szCs w:val="24"/>
        </w:rPr>
        <w:t xml:space="preserve"> avšak pravidelnými daňovými příjmy kraje budou správní poplatky a poplatky za znečištění ovzduší</w:t>
      </w:r>
      <w:r w:rsidR="00B12D7F">
        <w:rPr>
          <w:rFonts w:ascii="Tahoma" w:hAnsi="Tahoma" w:cs="Tahoma"/>
          <w:sz w:val="24"/>
          <w:szCs w:val="24"/>
        </w:rPr>
        <w:t xml:space="preserve"> a odběr podzemní vody</w:t>
      </w:r>
      <w:r w:rsidR="00D71370" w:rsidRPr="00826D55">
        <w:rPr>
          <w:rFonts w:ascii="Tahoma" w:hAnsi="Tahoma" w:cs="Tahoma"/>
          <w:sz w:val="24"/>
          <w:szCs w:val="24"/>
        </w:rPr>
        <w:t xml:space="preserve">. Je </w:t>
      </w:r>
      <w:r w:rsidR="001C51F8" w:rsidRPr="00826D55">
        <w:rPr>
          <w:rFonts w:ascii="Tahoma" w:hAnsi="Tahoma" w:cs="Tahoma"/>
          <w:sz w:val="24"/>
          <w:szCs w:val="24"/>
        </w:rPr>
        <w:t>předpokládán</w:t>
      </w:r>
      <w:r w:rsidR="00D71370" w:rsidRPr="00826D55">
        <w:rPr>
          <w:rFonts w:ascii="Tahoma" w:hAnsi="Tahoma" w:cs="Tahoma"/>
          <w:sz w:val="24"/>
          <w:szCs w:val="24"/>
        </w:rPr>
        <w:t xml:space="preserve"> příjem</w:t>
      </w:r>
      <w:r w:rsidR="00A85740">
        <w:rPr>
          <w:rFonts w:ascii="Tahoma" w:hAnsi="Tahoma" w:cs="Tahoma"/>
          <w:sz w:val="24"/>
          <w:szCs w:val="24"/>
        </w:rPr>
        <w:t xml:space="preserve"> těchto poplatků</w:t>
      </w:r>
      <w:r w:rsidR="00D71370" w:rsidRPr="00826D55">
        <w:rPr>
          <w:rFonts w:ascii="Tahoma" w:hAnsi="Tahoma" w:cs="Tahoma"/>
          <w:sz w:val="24"/>
          <w:szCs w:val="24"/>
        </w:rPr>
        <w:t xml:space="preserve"> ve výši </w:t>
      </w:r>
      <w:r w:rsidR="00A00663">
        <w:rPr>
          <w:rFonts w:ascii="Tahoma" w:hAnsi="Tahoma" w:cs="Tahoma"/>
          <w:sz w:val="24"/>
          <w:szCs w:val="24"/>
        </w:rPr>
        <w:t>2</w:t>
      </w:r>
      <w:r w:rsidR="0032545D">
        <w:rPr>
          <w:rFonts w:ascii="Tahoma" w:hAnsi="Tahoma" w:cs="Tahoma"/>
          <w:sz w:val="24"/>
          <w:szCs w:val="24"/>
        </w:rPr>
        <w:t>1</w:t>
      </w:r>
      <w:r w:rsidR="00657375">
        <w:rPr>
          <w:rFonts w:ascii="Tahoma" w:hAnsi="Tahoma" w:cs="Tahoma"/>
          <w:sz w:val="24"/>
          <w:szCs w:val="24"/>
        </w:rPr>
        <w:t> </w:t>
      </w:r>
      <w:r w:rsidR="00D71370" w:rsidRPr="00826D55">
        <w:rPr>
          <w:rFonts w:ascii="Tahoma" w:hAnsi="Tahoma" w:cs="Tahoma"/>
          <w:sz w:val="24"/>
          <w:szCs w:val="24"/>
        </w:rPr>
        <w:t>mil. Kč ročně.</w:t>
      </w:r>
    </w:p>
    <w:p w14:paraId="1F531995" w14:textId="77777777" w:rsidR="00DE6E24" w:rsidRDefault="00DE6E24" w:rsidP="00150DE7">
      <w:pPr>
        <w:pStyle w:val="Zkladntext"/>
        <w:rPr>
          <w:rFonts w:ascii="Tahoma" w:hAnsi="Tahoma" w:cs="Tahoma"/>
          <w:sz w:val="24"/>
          <w:szCs w:val="24"/>
        </w:rPr>
      </w:pPr>
    </w:p>
    <w:p w14:paraId="58AD5559" w14:textId="77777777" w:rsidR="00A23CD6" w:rsidRDefault="00A23CD6">
      <w:pPr>
        <w:rPr>
          <w:rFonts w:ascii="Tahoma" w:hAnsi="Tahoma" w:cs="Tahoma"/>
          <w:u w:val="single"/>
        </w:rPr>
      </w:pPr>
      <w:r>
        <w:rPr>
          <w:rFonts w:ascii="Tahoma" w:hAnsi="Tahoma" w:cs="Tahoma"/>
          <w:u w:val="single"/>
        </w:rPr>
        <w:br w:type="page"/>
      </w:r>
    </w:p>
    <w:p w14:paraId="79E65A25" w14:textId="151EC662" w:rsidR="008E7B37" w:rsidRPr="00150DE7" w:rsidRDefault="00150DE7" w:rsidP="00150DE7">
      <w:pPr>
        <w:pStyle w:val="Zkladntext"/>
        <w:rPr>
          <w:rFonts w:ascii="Tahoma" w:hAnsi="Tahoma" w:cs="Tahoma"/>
          <w:sz w:val="24"/>
          <w:szCs w:val="24"/>
          <w:u w:val="single"/>
        </w:rPr>
      </w:pPr>
      <w:r>
        <w:rPr>
          <w:rFonts w:ascii="Tahoma" w:hAnsi="Tahoma" w:cs="Tahoma"/>
          <w:sz w:val="24"/>
          <w:szCs w:val="24"/>
          <w:u w:val="single"/>
        </w:rPr>
        <w:lastRenderedPageBreak/>
        <w:t>N</w:t>
      </w:r>
      <w:r w:rsidR="008E7B37" w:rsidRPr="00150DE7">
        <w:rPr>
          <w:rFonts w:ascii="Tahoma" w:hAnsi="Tahoma" w:cs="Tahoma"/>
          <w:sz w:val="24"/>
          <w:szCs w:val="24"/>
          <w:u w:val="single"/>
        </w:rPr>
        <w:t>edaňové příjmy</w:t>
      </w:r>
    </w:p>
    <w:p w14:paraId="79E65A26" w14:textId="77777777" w:rsidR="002E0495" w:rsidRPr="00826D55" w:rsidRDefault="002E0495" w:rsidP="002E0495"/>
    <w:p w14:paraId="0E01F9C8" w14:textId="494AD7A6" w:rsidR="007119CA" w:rsidRDefault="002E0495" w:rsidP="00206619">
      <w:pPr>
        <w:tabs>
          <w:tab w:val="right" w:pos="4962"/>
        </w:tabs>
        <w:rPr>
          <w:rFonts w:ascii="Tahoma" w:hAnsi="Tahoma" w:cs="Tahoma"/>
          <w:sz w:val="16"/>
          <w:szCs w:val="16"/>
        </w:rPr>
      </w:pPr>
      <w:r w:rsidRPr="00826D55">
        <w:rPr>
          <w:rFonts w:ascii="Tahoma" w:hAnsi="Tahoma" w:cs="Tahoma"/>
          <w:sz w:val="16"/>
          <w:szCs w:val="16"/>
        </w:rPr>
        <w:t xml:space="preserve">Graf č. </w:t>
      </w:r>
      <w:r w:rsidR="001C51F8" w:rsidRPr="00826D55">
        <w:rPr>
          <w:rFonts w:ascii="Tahoma" w:hAnsi="Tahoma" w:cs="Tahoma"/>
          <w:sz w:val="16"/>
          <w:szCs w:val="16"/>
        </w:rPr>
        <w:t>3</w:t>
      </w:r>
      <w:r w:rsidRPr="00826D55">
        <w:rPr>
          <w:rFonts w:ascii="Tahoma" w:hAnsi="Tahoma" w:cs="Tahoma"/>
          <w:sz w:val="16"/>
          <w:szCs w:val="16"/>
        </w:rPr>
        <w:t xml:space="preserve"> Vývoj nedaňových příjmů kraje (v </w:t>
      </w:r>
      <w:r w:rsidR="001C51F8" w:rsidRPr="00826D55">
        <w:rPr>
          <w:rFonts w:ascii="Tahoma" w:hAnsi="Tahoma" w:cs="Tahoma"/>
          <w:sz w:val="16"/>
          <w:szCs w:val="16"/>
        </w:rPr>
        <w:t>mil.</w:t>
      </w:r>
      <w:r w:rsidRPr="00826D55">
        <w:rPr>
          <w:rFonts w:ascii="Tahoma" w:hAnsi="Tahoma" w:cs="Tahoma"/>
          <w:sz w:val="16"/>
          <w:szCs w:val="16"/>
        </w:rPr>
        <w:t xml:space="preserve"> Kč)</w:t>
      </w:r>
    </w:p>
    <w:p w14:paraId="4D435670" w14:textId="5B4D8F25" w:rsidR="00BA5C21" w:rsidRDefault="00BA5C21" w:rsidP="00206619">
      <w:pPr>
        <w:tabs>
          <w:tab w:val="right" w:pos="4962"/>
        </w:tabs>
        <w:rPr>
          <w:rFonts w:ascii="Tahoma" w:hAnsi="Tahoma" w:cs="Tahoma"/>
          <w:sz w:val="16"/>
          <w:szCs w:val="16"/>
        </w:rPr>
      </w:pPr>
      <w:r>
        <w:rPr>
          <w:rFonts w:ascii="Tahoma" w:hAnsi="Tahoma" w:cs="Tahoma"/>
          <w:noProof/>
          <w:sz w:val="16"/>
          <w:szCs w:val="16"/>
        </w:rPr>
        <w:drawing>
          <wp:inline distT="0" distB="0" distL="0" distR="0" wp14:anchorId="3BA2C7D5" wp14:editId="4352ECC0">
            <wp:extent cx="3739594" cy="2247900"/>
            <wp:effectExtent l="0" t="0" r="0" b="0"/>
            <wp:docPr id="1963906625" name="Obrázek 196390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9498" cy="2253853"/>
                    </a:xfrm>
                    <a:prstGeom prst="rect">
                      <a:avLst/>
                    </a:prstGeom>
                    <a:noFill/>
                  </pic:spPr>
                </pic:pic>
              </a:graphicData>
            </a:graphic>
          </wp:inline>
        </w:drawing>
      </w:r>
    </w:p>
    <w:p w14:paraId="67ABF16D" w14:textId="77777777" w:rsidR="00BA5C21" w:rsidRDefault="00BA5C21" w:rsidP="00206619">
      <w:pPr>
        <w:tabs>
          <w:tab w:val="right" w:pos="4962"/>
        </w:tabs>
        <w:rPr>
          <w:rFonts w:ascii="Tahoma" w:hAnsi="Tahoma" w:cs="Tahoma"/>
          <w:sz w:val="16"/>
          <w:szCs w:val="16"/>
        </w:rPr>
      </w:pPr>
    </w:p>
    <w:p w14:paraId="71793105" w14:textId="77777777" w:rsidR="00BA5C21" w:rsidRDefault="00BA5C21" w:rsidP="00206619">
      <w:pPr>
        <w:tabs>
          <w:tab w:val="right" w:pos="4962"/>
        </w:tabs>
        <w:rPr>
          <w:rFonts w:ascii="Tahoma" w:hAnsi="Tahoma" w:cs="Tahoma"/>
          <w:sz w:val="16"/>
          <w:szCs w:val="16"/>
        </w:rPr>
      </w:pPr>
    </w:p>
    <w:p w14:paraId="573FE780" w14:textId="5F516793" w:rsidR="00C63E4F" w:rsidRDefault="00C63E4F" w:rsidP="00206619">
      <w:pPr>
        <w:tabs>
          <w:tab w:val="right" w:pos="4962"/>
        </w:tabs>
        <w:rPr>
          <w:rFonts w:ascii="Tahoma" w:hAnsi="Tahoma" w:cs="Tahoma"/>
          <w:sz w:val="16"/>
          <w:szCs w:val="16"/>
        </w:rPr>
      </w:pPr>
    </w:p>
    <w:p w14:paraId="5126D245" w14:textId="4A6AB2DD" w:rsidR="00374D2E" w:rsidRPr="007003C6" w:rsidRDefault="00AE2BF4" w:rsidP="003D3573">
      <w:pPr>
        <w:pStyle w:val="Bezmezer"/>
        <w:rPr>
          <w:rFonts w:cs="Tahoma"/>
        </w:rPr>
      </w:pPr>
      <w:r w:rsidRPr="007003C6">
        <w:rPr>
          <w:rFonts w:cs="Tahoma"/>
        </w:rPr>
        <w:t xml:space="preserve">Největším nedaňovým příjmem budou vrácené finanční výpomoci od příspěvkových organizací kraje, od poskytovatelů sociálních služeb. Vratky z těchto návratných finančních výpomocí významně </w:t>
      </w:r>
      <w:r w:rsidR="00DD343C" w:rsidRPr="007003C6">
        <w:rPr>
          <w:rFonts w:cs="Tahoma"/>
        </w:rPr>
        <w:t xml:space="preserve">a nerovnoměrně </w:t>
      </w:r>
      <w:r w:rsidRPr="007003C6">
        <w:rPr>
          <w:rFonts w:cs="Tahoma"/>
        </w:rPr>
        <w:t xml:space="preserve">ovlivňují vývoj nedaňových příjmů v jednotlivých letech. </w:t>
      </w:r>
    </w:p>
    <w:p w14:paraId="75D2FED3" w14:textId="77777777" w:rsidR="00374D2E" w:rsidRPr="007003C6" w:rsidRDefault="00374D2E" w:rsidP="003D3573">
      <w:pPr>
        <w:pStyle w:val="Bezmezer"/>
        <w:rPr>
          <w:rFonts w:cs="Tahoma"/>
        </w:rPr>
      </w:pPr>
    </w:p>
    <w:p w14:paraId="7619EF75" w14:textId="2EA5DFE8" w:rsidR="7CFE88ED" w:rsidRPr="007A36A5" w:rsidRDefault="7CFE88ED" w:rsidP="7B2D13D1">
      <w:pPr>
        <w:pStyle w:val="Bezmezer"/>
        <w:rPr>
          <w:rFonts w:cs="Tahoma"/>
        </w:rPr>
      </w:pPr>
      <w:r w:rsidRPr="7B2D13D1">
        <w:rPr>
          <w:rFonts w:cs="Tahoma"/>
        </w:rPr>
        <w:t xml:space="preserve">Pravidelnými příjmy v následujících letech jsou příjmy z pronájmu majetku kraje. Jedná se zejména o finanční plnění z již uzavřených nájemních smluv se společností Letiště Ostrava, a. s., a se společností Nemocnice </w:t>
      </w:r>
      <w:r w:rsidR="00492244">
        <w:rPr>
          <w:rFonts w:cs="Tahoma"/>
        </w:rPr>
        <w:t xml:space="preserve">AGEL </w:t>
      </w:r>
      <w:r w:rsidRPr="7B2D13D1">
        <w:rPr>
          <w:rFonts w:cs="Tahoma"/>
        </w:rPr>
        <w:t xml:space="preserve">Nový Jičín, a. s. </w:t>
      </w:r>
      <w:r w:rsidRPr="007A36A5">
        <w:rPr>
          <w:rFonts w:cs="Tahoma"/>
        </w:rPr>
        <w:t>U příjmů z úroků z</w:t>
      </w:r>
      <w:r w:rsidR="00C13DD2">
        <w:rPr>
          <w:rFonts w:cs="Tahoma"/>
        </w:rPr>
        <w:t> </w:t>
      </w:r>
      <w:r w:rsidRPr="007A36A5">
        <w:rPr>
          <w:rFonts w:cs="Tahoma"/>
        </w:rPr>
        <w:t xml:space="preserve">úložek na bankovních účtech včetně dalších bankovních produktů finančního trhu je počítáno </w:t>
      </w:r>
      <w:r w:rsidR="00CB043B" w:rsidRPr="007A36A5">
        <w:rPr>
          <w:rFonts w:cs="Tahoma"/>
        </w:rPr>
        <w:t>s avizovaným</w:t>
      </w:r>
      <w:r w:rsidR="23EFACF9" w:rsidRPr="007A36A5">
        <w:rPr>
          <w:rFonts w:cs="Tahoma"/>
        </w:rPr>
        <w:t xml:space="preserve"> postupným poklesem </w:t>
      </w:r>
      <w:r w:rsidRPr="007A36A5">
        <w:rPr>
          <w:rFonts w:cs="Tahoma"/>
        </w:rPr>
        <w:t>úrokových sazeb</w:t>
      </w:r>
      <w:r w:rsidR="74BFF112" w:rsidRPr="007A36A5">
        <w:rPr>
          <w:rFonts w:cs="Tahoma"/>
        </w:rPr>
        <w:t xml:space="preserve">, a to </w:t>
      </w:r>
      <w:r w:rsidR="5CB22DE8" w:rsidRPr="007A36A5">
        <w:rPr>
          <w:rFonts w:cs="Tahoma"/>
        </w:rPr>
        <w:t>d</w:t>
      </w:r>
      <w:r w:rsidR="74BFF112" w:rsidRPr="007A36A5">
        <w:rPr>
          <w:rFonts w:cs="Tahoma"/>
        </w:rPr>
        <w:t xml:space="preserve">íky očekávanému </w:t>
      </w:r>
      <w:r w:rsidR="44E94E10" w:rsidRPr="007A36A5">
        <w:rPr>
          <w:rFonts w:cs="Tahoma"/>
        </w:rPr>
        <w:t xml:space="preserve">poklesu inflace </w:t>
      </w:r>
      <w:r w:rsidR="74BFF112" w:rsidRPr="007A36A5">
        <w:rPr>
          <w:rFonts w:cs="Tahoma"/>
        </w:rPr>
        <w:t>k inflačnímu cíli ČNB.</w:t>
      </w:r>
      <w:r w:rsidR="23EFE28E" w:rsidRPr="007A36A5">
        <w:rPr>
          <w:rFonts w:cs="Tahoma"/>
        </w:rPr>
        <w:t xml:space="preserve"> Odhad</w:t>
      </w:r>
      <w:r w:rsidR="5B528279" w:rsidRPr="007A36A5">
        <w:rPr>
          <w:rFonts w:cs="Tahoma"/>
        </w:rPr>
        <w:t xml:space="preserve">ovaný vývoj úrokových sazeb na finančních trzích je v tuto chvíli obtížně </w:t>
      </w:r>
      <w:proofErr w:type="spellStart"/>
      <w:r w:rsidR="5B528279" w:rsidRPr="007A36A5">
        <w:rPr>
          <w:rFonts w:cs="Tahoma"/>
        </w:rPr>
        <w:t>predikovatelný</w:t>
      </w:r>
      <w:proofErr w:type="spellEnd"/>
      <w:r w:rsidR="5B528279" w:rsidRPr="007A36A5">
        <w:rPr>
          <w:rFonts w:cs="Tahoma"/>
        </w:rPr>
        <w:t>.</w:t>
      </w:r>
    </w:p>
    <w:p w14:paraId="3E48A8D5" w14:textId="77777777" w:rsidR="004F0EDD" w:rsidRPr="007A36A5" w:rsidRDefault="004F0EDD" w:rsidP="003D3573">
      <w:pPr>
        <w:pStyle w:val="Bezmezer"/>
        <w:rPr>
          <w:rFonts w:cs="Tahoma"/>
        </w:rPr>
      </w:pPr>
    </w:p>
    <w:p w14:paraId="3A834AA5" w14:textId="2EF6478A" w:rsidR="00E960B4" w:rsidRPr="00DD343C" w:rsidRDefault="00076D5A" w:rsidP="1DE1B165">
      <w:pPr>
        <w:jc w:val="both"/>
        <w:rPr>
          <w:rFonts w:ascii="Tahoma" w:eastAsiaTheme="minorEastAsia" w:hAnsi="Tahoma" w:cs="Tahoma"/>
          <w:lang w:eastAsia="en-US"/>
        </w:rPr>
      </w:pPr>
      <w:r w:rsidRPr="007003C6">
        <w:rPr>
          <w:rFonts w:ascii="Tahoma" w:eastAsiaTheme="minorEastAsia" w:hAnsi="Tahoma" w:cs="Tahoma"/>
          <w:lang w:eastAsia="en-US"/>
        </w:rPr>
        <w:t>Na základě operačních smluv</w:t>
      </w:r>
      <w:r w:rsidRPr="00DD343C">
        <w:rPr>
          <w:rFonts w:ascii="Tahoma" w:eastAsiaTheme="minorEastAsia" w:hAnsi="Tahoma" w:cs="Tahoma"/>
          <w:lang w:eastAsia="en-US"/>
        </w:rPr>
        <w:t xml:space="preserve"> s fondy rozvoje měst jsou p</w:t>
      </w:r>
      <w:r w:rsidR="00AE2BF4" w:rsidRPr="00DD343C">
        <w:rPr>
          <w:rFonts w:ascii="Tahoma" w:eastAsiaTheme="minorEastAsia" w:hAnsi="Tahoma" w:cs="Tahoma"/>
          <w:lang w:eastAsia="en-US"/>
        </w:rPr>
        <w:t xml:space="preserve">lánovány příjmy z vrácených prostředků. Jedná se o splátky jistin a úroků z poskytnutých úvěrů z finančního nástroje JESSICA v Regionálním operačním programu </w:t>
      </w:r>
      <w:proofErr w:type="spellStart"/>
      <w:r w:rsidR="00AE2BF4" w:rsidRPr="00DD343C">
        <w:rPr>
          <w:rFonts w:ascii="Tahoma" w:eastAsiaTheme="minorEastAsia" w:hAnsi="Tahoma" w:cs="Tahoma"/>
          <w:lang w:eastAsia="en-US"/>
        </w:rPr>
        <w:t>Moravskoslezsko</w:t>
      </w:r>
      <w:proofErr w:type="spellEnd"/>
      <w:r w:rsidR="00AE2BF4" w:rsidRPr="00DD343C">
        <w:rPr>
          <w:rFonts w:ascii="Tahoma" w:eastAsiaTheme="minorEastAsia" w:hAnsi="Tahoma" w:cs="Tahoma"/>
          <w:lang w:eastAsia="en-US"/>
        </w:rPr>
        <w:t xml:space="preserve"> (kraj je bude inkasovat až do roku 2030). Rovněž jsou, na základě uzavřených úvěrových smluv, zahrnuty příjmy ze splátek jistin půjčených prostředků v rámci finančního nástroje JESSICA II</w:t>
      </w:r>
      <w:r w:rsidR="0BAF9672" w:rsidRPr="00DD343C">
        <w:rPr>
          <w:rFonts w:ascii="Tahoma" w:eastAsiaTheme="minorEastAsia" w:hAnsi="Tahoma" w:cs="Tahoma"/>
          <w:lang w:eastAsia="en-US"/>
        </w:rPr>
        <w:t xml:space="preserve"> a</w:t>
      </w:r>
      <w:r w:rsidR="00313B53">
        <w:rPr>
          <w:rFonts w:ascii="Tahoma" w:eastAsiaTheme="minorEastAsia" w:hAnsi="Tahoma" w:cs="Tahoma"/>
          <w:lang w:eastAsia="en-US"/>
        </w:rPr>
        <w:t> </w:t>
      </w:r>
      <w:r w:rsidR="0BAF9672" w:rsidRPr="00DD343C">
        <w:rPr>
          <w:rFonts w:ascii="Tahoma" w:eastAsiaTheme="minorEastAsia" w:hAnsi="Tahoma" w:cs="Tahoma"/>
          <w:lang w:eastAsia="en-US"/>
        </w:rPr>
        <w:t>III</w:t>
      </w:r>
      <w:r w:rsidR="00AE2BF4" w:rsidRPr="00DD343C">
        <w:rPr>
          <w:rFonts w:ascii="Tahoma" w:eastAsiaTheme="minorEastAsia" w:hAnsi="Tahoma" w:cs="Tahoma"/>
          <w:lang w:eastAsia="en-US"/>
        </w:rPr>
        <w:t>. Tyto pravidelné příjmy budou průběžně využívány na poskytování dalších úvěrů obcím</w:t>
      </w:r>
      <w:r w:rsidR="007663E1" w:rsidRPr="00DD343C">
        <w:rPr>
          <w:rFonts w:ascii="Tahoma" w:eastAsiaTheme="minorEastAsia" w:hAnsi="Tahoma" w:cs="Tahoma"/>
          <w:lang w:eastAsia="en-US"/>
        </w:rPr>
        <w:t>.</w:t>
      </w:r>
      <w:r w:rsidR="00AE2BF4" w:rsidRPr="00DD343C">
        <w:rPr>
          <w:rFonts w:ascii="Tahoma" w:eastAsiaTheme="minorEastAsia" w:hAnsi="Tahoma" w:cs="Tahoma"/>
          <w:lang w:eastAsia="en-US"/>
        </w:rPr>
        <w:t xml:space="preserve"> </w:t>
      </w:r>
    </w:p>
    <w:p w14:paraId="57D7F956" w14:textId="77777777" w:rsidR="00DE6E24" w:rsidRDefault="00DE6E24" w:rsidP="008B5A8B">
      <w:pPr>
        <w:pStyle w:val="Zkladntextodsazen"/>
        <w:rPr>
          <w:rFonts w:ascii="Tahoma" w:hAnsi="Tahoma" w:cs="Tahoma"/>
          <w:sz w:val="24"/>
          <w:szCs w:val="24"/>
          <w:u w:val="single"/>
        </w:rPr>
      </w:pPr>
    </w:p>
    <w:p w14:paraId="5A5E8D58" w14:textId="77777777" w:rsidR="00A23CD6" w:rsidRDefault="00A23CD6">
      <w:pPr>
        <w:rPr>
          <w:rFonts w:ascii="Tahoma" w:hAnsi="Tahoma" w:cs="Tahoma"/>
          <w:u w:val="single"/>
        </w:rPr>
      </w:pPr>
      <w:r>
        <w:rPr>
          <w:rFonts w:ascii="Tahoma" w:hAnsi="Tahoma" w:cs="Tahoma"/>
          <w:u w:val="single"/>
        </w:rPr>
        <w:br w:type="page"/>
      </w:r>
    </w:p>
    <w:p w14:paraId="79E65A2D" w14:textId="0CB01692" w:rsidR="002E0495" w:rsidRPr="00826D55" w:rsidRDefault="008E7B37" w:rsidP="008B5A8B">
      <w:pPr>
        <w:pStyle w:val="Zkladntextodsazen"/>
        <w:rPr>
          <w:rFonts w:ascii="Tahoma" w:hAnsi="Tahoma" w:cs="Tahoma"/>
          <w:sz w:val="24"/>
          <w:szCs w:val="24"/>
          <w:u w:val="single"/>
        </w:rPr>
      </w:pPr>
      <w:r w:rsidRPr="00826D55">
        <w:rPr>
          <w:rFonts w:ascii="Tahoma" w:hAnsi="Tahoma" w:cs="Tahoma"/>
          <w:sz w:val="24"/>
          <w:szCs w:val="24"/>
          <w:u w:val="single"/>
        </w:rPr>
        <w:lastRenderedPageBreak/>
        <w:t>Kapitálové příjmy</w:t>
      </w:r>
    </w:p>
    <w:p w14:paraId="79E65A2E" w14:textId="77777777" w:rsidR="002E0495" w:rsidRPr="007804B1" w:rsidRDefault="002E0495" w:rsidP="002E0495">
      <w:pPr>
        <w:rPr>
          <w:rFonts w:ascii="Tahoma" w:hAnsi="Tahoma" w:cs="Tahoma"/>
        </w:rPr>
      </w:pPr>
    </w:p>
    <w:p w14:paraId="498BA010" w14:textId="7053017E" w:rsidR="005E29CD" w:rsidRDefault="002E0495" w:rsidP="00234E00">
      <w:pPr>
        <w:tabs>
          <w:tab w:val="right" w:pos="4962"/>
        </w:tabs>
        <w:rPr>
          <w:rFonts w:ascii="Tahoma" w:hAnsi="Tahoma" w:cs="Tahoma"/>
          <w:sz w:val="16"/>
          <w:szCs w:val="16"/>
        </w:rPr>
      </w:pPr>
      <w:r w:rsidRPr="00826D55">
        <w:rPr>
          <w:rFonts w:ascii="Tahoma" w:hAnsi="Tahoma" w:cs="Tahoma"/>
          <w:sz w:val="16"/>
          <w:szCs w:val="16"/>
        </w:rPr>
        <w:t xml:space="preserve">Graf č. </w:t>
      </w:r>
      <w:r w:rsidR="00797E29" w:rsidRPr="00826D55">
        <w:rPr>
          <w:rFonts w:ascii="Tahoma" w:hAnsi="Tahoma" w:cs="Tahoma"/>
          <w:sz w:val="16"/>
          <w:szCs w:val="16"/>
        </w:rPr>
        <w:t>4 Vývoj</w:t>
      </w:r>
      <w:r w:rsidRPr="00826D55">
        <w:rPr>
          <w:rFonts w:ascii="Tahoma" w:hAnsi="Tahoma" w:cs="Tahoma"/>
          <w:sz w:val="16"/>
          <w:szCs w:val="16"/>
        </w:rPr>
        <w:t xml:space="preserve"> kapitálových příjmů kraje (v </w:t>
      </w:r>
      <w:r w:rsidR="001C51F8" w:rsidRPr="00826D55">
        <w:rPr>
          <w:rFonts w:ascii="Tahoma" w:hAnsi="Tahoma" w:cs="Tahoma"/>
          <w:sz w:val="16"/>
          <w:szCs w:val="16"/>
        </w:rPr>
        <w:t>mil.</w:t>
      </w:r>
      <w:r w:rsidRPr="00826D55">
        <w:rPr>
          <w:rFonts w:ascii="Tahoma" w:hAnsi="Tahoma" w:cs="Tahoma"/>
          <w:sz w:val="16"/>
          <w:szCs w:val="16"/>
        </w:rPr>
        <w:t xml:space="preserve"> Kč)</w:t>
      </w:r>
    </w:p>
    <w:p w14:paraId="1D7E11D1" w14:textId="17D64C26" w:rsidR="00230EF0" w:rsidRDefault="00230EF0" w:rsidP="008B5A8B">
      <w:pPr>
        <w:pStyle w:val="Zkladntextodsazen"/>
        <w:rPr>
          <w:rFonts w:ascii="Tahoma" w:hAnsi="Tahoma" w:cs="Tahoma"/>
          <w:sz w:val="24"/>
          <w:szCs w:val="24"/>
        </w:rPr>
      </w:pPr>
      <w:r>
        <w:rPr>
          <w:rFonts w:ascii="Tahoma" w:hAnsi="Tahoma" w:cs="Tahoma"/>
          <w:noProof/>
          <w:sz w:val="24"/>
          <w:szCs w:val="24"/>
        </w:rPr>
        <w:drawing>
          <wp:inline distT="0" distB="0" distL="0" distR="0" wp14:anchorId="6F3D787F" wp14:editId="418BB81E">
            <wp:extent cx="3752850" cy="2255868"/>
            <wp:effectExtent l="0" t="0" r="0" b="0"/>
            <wp:docPr id="1181480942" name="Obrázek 1181480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4755" cy="2263024"/>
                    </a:xfrm>
                    <a:prstGeom prst="rect">
                      <a:avLst/>
                    </a:prstGeom>
                    <a:noFill/>
                  </pic:spPr>
                </pic:pic>
              </a:graphicData>
            </a:graphic>
          </wp:inline>
        </w:drawing>
      </w:r>
    </w:p>
    <w:p w14:paraId="3D3C7C09" w14:textId="77777777" w:rsidR="00950E81" w:rsidRDefault="00950E81" w:rsidP="008B5A8B">
      <w:pPr>
        <w:pStyle w:val="Zkladntextodsazen"/>
        <w:rPr>
          <w:rFonts w:ascii="Tahoma" w:hAnsi="Tahoma" w:cs="Tahoma"/>
          <w:sz w:val="24"/>
          <w:szCs w:val="24"/>
        </w:rPr>
      </w:pPr>
    </w:p>
    <w:p w14:paraId="79E65A32" w14:textId="6E509760" w:rsidR="00E771C4" w:rsidRDefault="0055134A" w:rsidP="008B5A8B">
      <w:pPr>
        <w:pStyle w:val="Zkladntextodsazen"/>
        <w:rPr>
          <w:rFonts w:ascii="Tahoma" w:hAnsi="Tahoma" w:cs="Tahoma"/>
          <w:sz w:val="24"/>
          <w:szCs w:val="24"/>
        </w:rPr>
      </w:pPr>
      <w:r w:rsidRPr="00826D55">
        <w:rPr>
          <w:rFonts w:ascii="Tahoma" w:hAnsi="Tahoma" w:cs="Tahoma"/>
          <w:sz w:val="24"/>
          <w:szCs w:val="24"/>
        </w:rPr>
        <w:t xml:space="preserve">Kapitálové příjmy kraje </w:t>
      </w:r>
      <w:proofErr w:type="gramStart"/>
      <w:r w:rsidRPr="00826D55">
        <w:rPr>
          <w:rFonts w:ascii="Tahoma" w:hAnsi="Tahoma" w:cs="Tahoma"/>
          <w:sz w:val="24"/>
          <w:szCs w:val="24"/>
        </w:rPr>
        <w:t>tvoří</w:t>
      </w:r>
      <w:proofErr w:type="gramEnd"/>
      <w:r w:rsidRPr="00826D55">
        <w:rPr>
          <w:rFonts w:ascii="Tahoma" w:hAnsi="Tahoma" w:cs="Tahoma"/>
          <w:sz w:val="24"/>
          <w:szCs w:val="24"/>
        </w:rPr>
        <w:t xml:space="preserve"> hlavně </w:t>
      </w:r>
      <w:r w:rsidRPr="002E30D0">
        <w:rPr>
          <w:rFonts w:ascii="Tahoma" w:hAnsi="Tahoma" w:cs="Tahoma"/>
          <w:sz w:val="24"/>
          <w:szCs w:val="24"/>
        </w:rPr>
        <w:t xml:space="preserve">příjmy z prodeje nepotřebných pozemků a ostatních nemovitých věcí a jejich částí. </w:t>
      </w:r>
      <w:r w:rsidRPr="005249AB">
        <w:rPr>
          <w:rFonts w:ascii="Tahoma" w:hAnsi="Tahoma" w:cs="Tahoma"/>
          <w:sz w:val="24"/>
          <w:szCs w:val="24"/>
        </w:rPr>
        <w:t xml:space="preserve">Objem příjmů je navržen na základě vývoje odprodejů a zkušeností z posledních let ve výši </w:t>
      </w:r>
      <w:r w:rsidR="006E36D6" w:rsidRPr="005249AB">
        <w:rPr>
          <w:rFonts w:ascii="Tahoma" w:hAnsi="Tahoma" w:cs="Tahoma"/>
          <w:sz w:val="24"/>
          <w:szCs w:val="24"/>
        </w:rPr>
        <w:t xml:space="preserve">cca </w:t>
      </w:r>
      <w:r w:rsidR="001F71BA" w:rsidRPr="005249AB">
        <w:rPr>
          <w:rFonts w:ascii="Tahoma" w:hAnsi="Tahoma" w:cs="Tahoma"/>
          <w:sz w:val="24"/>
          <w:szCs w:val="24"/>
        </w:rPr>
        <w:t>5</w:t>
      </w:r>
      <w:r w:rsidRPr="005249AB">
        <w:rPr>
          <w:rFonts w:ascii="Tahoma" w:hAnsi="Tahoma" w:cs="Tahoma"/>
          <w:sz w:val="24"/>
          <w:szCs w:val="24"/>
        </w:rPr>
        <w:t xml:space="preserve"> mil. Kč ročně.</w:t>
      </w:r>
      <w:r w:rsidRPr="00513FC8">
        <w:rPr>
          <w:rFonts w:ascii="Tahoma" w:hAnsi="Tahoma" w:cs="Tahoma"/>
          <w:color w:val="FF0000"/>
          <w:sz w:val="24"/>
          <w:szCs w:val="24"/>
        </w:rPr>
        <w:t xml:space="preserve"> </w:t>
      </w:r>
      <w:r w:rsidRPr="00940955">
        <w:rPr>
          <w:rFonts w:ascii="Tahoma" w:hAnsi="Tahoma" w:cs="Tahoma"/>
          <w:sz w:val="24"/>
          <w:szCs w:val="24"/>
        </w:rPr>
        <w:t xml:space="preserve">V roce </w:t>
      </w:r>
      <w:r w:rsidR="002854EB" w:rsidRPr="00940955">
        <w:rPr>
          <w:rFonts w:ascii="Tahoma" w:hAnsi="Tahoma" w:cs="Tahoma"/>
          <w:sz w:val="24"/>
          <w:szCs w:val="24"/>
        </w:rPr>
        <w:t>202</w:t>
      </w:r>
      <w:r w:rsidR="00B52F3E" w:rsidRPr="00940955">
        <w:rPr>
          <w:rFonts w:ascii="Tahoma" w:hAnsi="Tahoma" w:cs="Tahoma"/>
          <w:sz w:val="24"/>
          <w:szCs w:val="24"/>
        </w:rPr>
        <w:t>4</w:t>
      </w:r>
      <w:r w:rsidRPr="00940955">
        <w:rPr>
          <w:rFonts w:ascii="Tahoma" w:hAnsi="Tahoma" w:cs="Tahoma"/>
          <w:sz w:val="24"/>
          <w:szCs w:val="24"/>
        </w:rPr>
        <w:t xml:space="preserve"> je plánováno navýšení </w:t>
      </w:r>
      <w:r w:rsidR="008E5390" w:rsidRPr="00940955">
        <w:rPr>
          <w:rFonts w:ascii="Tahoma" w:hAnsi="Tahoma" w:cs="Tahoma"/>
          <w:sz w:val="24"/>
          <w:szCs w:val="24"/>
        </w:rPr>
        <w:t>o</w:t>
      </w:r>
      <w:r w:rsidRPr="00940955">
        <w:rPr>
          <w:rFonts w:ascii="Tahoma" w:hAnsi="Tahoma" w:cs="Tahoma"/>
          <w:sz w:val="24"/>
          <w:szCs w:val="24"/>
        </w:rPr>
        <w:t xml:space="preserve"> </w:t>
      </w:r>
      <w:r w:rsidR="001165FD" w:rsidRPr="00940955">
        <w:rPr>
          <w:rFonts w:ascii="Tahoma" w:hAnsi="Tahoma" w:cs="Tahoma"/>
          <w:sz w:val="24"/>
          <w:szCs w:val="24"/>
        </w:rPr>
        <w:t>2</w:t>
      </w:r>
      <w:r w:rsidR="00832193">
        <w:rPr>
          <w:rFonts w:ascii="Tahoma" w:hAnsi="Tahoma" w:cs="Tahoma"/>
          <w:sz w:val="24"/>
          <w:szCs w:val="24"/>
        </w:rPr>
        <w:t>8</w:t>
      </w:r>
      <w:r w:rsidRPr="00940955">
        <w:rPr>
          <w:rFonts w:ascii="Tahoma" w:hAnsi="Tahoma" w:cs="Tahoma"/>
          <w:sz w:val="24"/>
          <w:szCs w:val="24"/>
        </w:rPr>
        <w:t xml:space="preserve"> mil. Kč</w:t>
      </w:r>
      <w:r w:rsidR="00D20BDA" w:rsidRPr="00940955">
        <w:rPr>
          <w:rFonts w:ascii="Tahoma" w:hAnsi="Tahoma" w:cs="Tahoma"/>
          <w:sz w:val="24"/>
          <w:szCs w:val="24"/>
        </w:rPr>
        <w:t xml:space="preserve"> </w:t>
      </w:r>
      <w:r w:rsidRPr="00940955">
        <w:rPr>
          <w:rFonts w:ascii="Tahoma" w:hAnsi="Tahoma" w:cs="Tahoma"/>
          <w:sz w:val="24"/>
          <w:szCs w:val="24"/>
        </w:rPr>
        <w:t>z důvodu předpoklá</w:t>
      </w:r>
      <w:r w:rsidRPr="002E30D0">
        <w:rPr>
          <w:rFonts w:ascii="Tahoma" w:hAnsi="Tahoma" w:cs="Tahoma"/>
          <w:sz w:val="24"/>
          <w:szCs w:val="24"/>
        </w:rPr>
        <w:t>daného mimořádného příjmu z</w:t>
      </w:r>
      <w:r w:rsidR="006B570F" w:rsidRPr="002E30D0">
        <w:rPr>
          <w:rFonts w:ascii="Tahoma" w:hAnsi="Tahoma" w:cs="Tahoma"/>
          <w:sz w:val="24"/>
          <w:szCs w:val="24"/>
        </w:rPr>
        <w:t> </w:t>
      </w:r>
      <w:r w:rsidRPr="002E30D0">
        <w:rPr>
          <w:rFonts w:ascii="Tahoma" w:hAnsi="Tahoma" w:cs="Tahoma"/>
          <w:sz w:val="24"/>
          <w:szCs w:val="24"/>
        </w:rPr>
        <w:t xml:space="preserve">prodeje pozemků </w:t>
      </w:r>
      <w:r w:rsidR="002E3003" w:rsidRPr="002E30D0">
        <w:rPr>
          <w:rFonts w:ascii="Tahoma" w:hAnsi="Tahoma" w:cs="Tahoma"/>
          <w:sz w:val="24"/>
          <w:szCs w:val="24"/>
        </w:rPr>
        <w:t>za účelem budování multimodálního logistického centra Mošnov</w:t>
      </w:r>
      <w:r w:rsidR="003206AB" w:rsidRPr="002E30D0">
        <w:rPr>
          <w:rFonts w:ascii="Tahoma" w:hAnsi="Tahoma" w:cs="Tahoma"/>
          <w:sz w:val="24"/>
          <w:szCs w:val="24"/>
        </w:rPr>
        <w:t>.</w:t>
      </w:r>
      <w:r w:rsidR="002E3003" w:rsidRPr="002E30D0">
        <w:rPr>
          <w:rFonts w:ascii="Tahoma" w:hAnsi="Tahoma" w:cs="Tahoma"/>
          <w:sz w:val="24"/>
          <w:szCs w:val="24"/>
        </w:rPr>
        <w:t xml:space="preserve"> </w:t>
      </w:r>
      <w:r w:rsidR="00F175E4" w:rsidRPr="0081768A">
        <w:rPr>
          <w:rFonts w:ascii="Tahoma" w:hAnsi="Tahoma" w:cs="Tahoma"/>
          <w:sz w:val="24"/>
          <w:szCs w:val="24"/>
        </w:rPr>
        <w:t>D</w:t>
      </w:r>
      <w:r w:rsidR="008E7B37" w:rsidRPr="0081768A">
        <w:rPr>
          <w:rFonts w:ascii="Tahoma" w:hAnsi="Tahoma" w:cs="Tahoma"/>
          <w:sz w:val="24"/>
          <w:szCs w:val="24"/>
        </w:rPr>
        <w:t>o celkové předpokládané roční výše kapitálových příjmů je započten i</w:t>
      </w:r>
      <w:r w:rsidR="0056091F" w:rsidRPr="0081768A">
        <w:rPr>
          <w:rFonts w:ascii="Tahoma" w:hAnsi="Tahoma" w:cs="Tahoma"/>
          <w:sz w:val="24"/>
          <w:szCs w:val="24"/>
        </w:rPr>
        <w:t> </w:t>
      </w:r>
      <w:r w:rsidR="008E7B37" w:rsidRPr="0081768A">
        <w:rPr>
          <w:rFonts w:ascii="Tahoma" w:hAnsi="Tahoma" w:cs="Tahoma"/>
          <w:sz w:val="24"/>
          <w:szCs w:val="24"/>
        </w:rPr>
        <w:t xml:space="preserve">příspěvek společnosti Hyundai Motor </w:t>
      </w:r>
      <w:proofErr w:type="spellStart"/>
      <w:r w:rsidR="008E7B37" w:rsidRPr="0081768A">
        <w:rPr>
          <w:rFonts w:ascii="Tahoma" w:hAnsi="Tahoma" w:cs="Tahoma"/>
          <w:sz w:val="24"/>
          <w:szCs w:val="24"/>
        </w:rPr>
        <w:t>Manufacturing</w:t>
      </w:r>
      <w:proofErr w:type="spellEnd"/>
      <w:r w:rsidR="008E7B37" w:rsidRPr="0081768A">
        <w:rPr>
          <w:rFonts w:ascii="Tahoma" w:hAnsi="Tahoma" w:cs="Tahoma"/>
          <w:sz w:val="24"/>
          <w:szCs w:val="24"/>
        </w:rPr>
        <w:t xml:space="preserve"> Czech s. r. o.</w:t>
      </w:r>
      <w:r w:rsidR="00EC3E23" w:rsidRPr="0081768A">
        <w:rPr>
          <w:rFonts w:ascii="Tahoma" w:hAnsi="Tahoma" w:cs="Tahoma"/>
          <w:sz w:val="24"/>
          <w:szCs w:val="24"/>
        </w:rPr>
        <w:t xml:space="preserve"> ve výši </w:t>
      </w:r>
      <w:r w:rsidR="00B65791" w:rsidRPr="0081768A">
        <w:rPr>
          <w:rFonts w:ascii="Tahoma" w:hAnsi="Tahoma" w:cs="Tahoma"/>
          <w:sz w:val="24"/>
          <w:szCs w:val="24"/>
        </w:rPr>
        <w:t>1</w:t>
      </w:r>
      <w:r w:rsidR="00F213BD" w:rsidRPr="0081768A">
        <w:rPr>
          <w:rFonts w:ascii="Tahoma" w:hAnsi="Tahoma" w:cs="Tahoma"/>
          <w:sz w:val="24"/>
          <w:szCs w:val="24"/>
        </w:rPr>
        <w:t>8</w:t>
      </w:r>
      <w:r w:rsidR="00EC3E23" w:rsidRPr="0081768A">
        <w:rPr>
          <w:rFonts w:ascii="Tahoma" w:hAnsi="Tahoma" w:cs="Tahoma"/>
          <w:sz w:val="24"/>
          <w:szCs w:val="24"/>
        </w:rPr>
        <w:t xml:space="preserve"> mil. Kč</w:t>
      </w:r>
      <w:r w:rsidR="008E7B37" w:rsidRPr="0081768A">
        <w:rPr>
          <w:rFonts w:ascii="Tahoma" w:hAnsi="Tahoma" w:cs="Tahoma"/>
          <w:sz w:val="24"/>
          <w:szCs w:val="24"/>
        </w:rPr>
        <w:t>, který</w:t>
      </w:r>
      <w:r w:rsidR="008E7B37" w:rsidRPr="002E30D0">
        <w:rPr>
          <w:rFonts w:ascii="Tahoma" w:hAnsi="Tahoma" w:cs="Tahoma"/>
          <w:sz w:val="24"/>
          <w:szCs w:val="24"/>
        </w:rPr>
        <w:t xml:space="preserve"> je </w:t>
      </w:r>
      <w:r w:rsidR="00014F10" w:rsidRPr="002E30D0">
        <w:rPr>
          <w:rFonts w:ascii="Tahoma" w:hAnsi="Tahoma" w:cs="Tahoma"/>
          <w:sz w:val="24"/>
          <w:szCs w:val="24"/>
        </w:rPr>
        <w:t>určen</w:t>
      </w:r>
      <w:r w:rsidR="008E7B37" w:rsidRPr="002E30D0">
        <w:rPr>
          <w:rFonts w:ascii="Tahoma" w:hAnsi="Tahoma" w:cs="Tahoma"/>
          <w:sz w:val="24"/>
          <w:szCs w:val="24"/>
        </w:rPr>
        <w:t xml:space="preserve"> na úhradu výdajů spojených</w:t>
      </w:r>
      <w:r w:rsidR="008E7B37" w:rsidRPr="00826D55">
        <w:rPr>
          <w:rFonts w:ascii="Tahoma" w:hAnsi="Tahoma" w:cs="Tahoma"/>
          <w:sz w:val="24"/>
          <w:szCs w:val="24"/>
        </w:rPr>
        <w:t xml:space="preserve"> s reprodukcí majetku nutnou pro zajištění provozu Integrovaného výjezdového centra v Nošovicích.</w:t>
      </w:r>
      <w:r w:rsidR="00E771C4" w:rsidRPr="00826D55">
        <w:rPr>
          <w:rFonts w:ascii="Tahoma" w:hAnsi="Tahoma" w:cs="Tahoma"/>
          <w:sz w:val="24"/>
          <w:szCs w:val="24"/>
        </w:rPr>
        <w:t xml:space="preserve"> </w:t>
      </w:r>
    </w:p>
    <w:p w14:paraId="2D06B52D" w14:textId="77777777" w:rsidR="00450772" w:rsidRDefault="00450772" w:rsidP="008B5A8B">
      <w:pPr>
        <w:pStyle w:val="Zkladntextodsazen"/>
        <w:rPr>
          <w:rFonts w:ascii="Tahoma" w:hAnsi="Tahoma" w:cs="Tahoma"/>
          <w:sz w:val="24"/>
          <w:szCs w:val="24"/>
          <w:u w:val="single"/>
        </w:rPr>
      </w:pPr>
    </w:p>
    <w:p w14:paraId="79E65A34" w14:textId="25A7AF8F" w:rsidR="002E0495" w:rsidRPr="00826D55" w:rsidRDefault="008E7B37" w:rsidP="008B5A8B">
      <w:pPr>
        <w:pStyle w:val="Zkladntextodsazen"/>
        <w:rPr>
          <w:rFonts w:ascii="Tahoma" w:hAnsi="Tahoma" w:cs="Tahoma"/>
          <w:sz w:val="24"/>
          <w:szCs w:val="24"/>
          <w:u w:val="single"/>
        </w:rPr>
      </w:pPr>
      <w:r w:rsidRPr="00826D55">
        <w:rPr>
          <w:rFonts w:ascii="Tahoma" w:hAnsi="Tahoma" w:cs="Tahoma"/>
          <w:sz w:val="24"/>
          <w:szCs w:val="24"/>
          <w:u w:val="single"/>
        </w:rPr>
        <w:t>Přijaté dotace</w:t>
      </w:r>
    </w:p>
    <w:p w14:paraId="79E65A35" w14:textId="77777777" w:rsidR="009F7F00" w:rsidRPr="00826D55" w:rsidRDefault="009F7F00" w:rsidP="008B5A8B">
      <w:pPr>
        <w:pStyle w:val="Zkladntextodsazen"/>
        <w:rPr>
          <w:rFonts w:ascii="Tahoma" w:hAnsi="Tahoma" w:cs="Tahoma"/>
          <w:sz w:val="24"/>
          <w:szCs w:val="24"/>
          <w:u w:val="single"/>
        </w:rPr>
      </w:pPr>
    </w:p>
    <w:p w14:paraId="0F951EA7" w14:textId="77777777" w:rsidR="000F4890" w:rsidRDefault="002E0495" w:rsidP="00A822D7">
      <w:pPr>
        <w:tabs>
          <w:tab w:val="right" w:pos="4962"/>
        </w:tabs>
        <w:rPr>
          <w:rFonts w:ascii="Tahoma" w:hAnsi="Tahoma" w:cs="Tahoma"/>
          <w:sz w:val="16"/>
          <w:szCs w:val="16"/>
        </w:rPr>
      </w:pPr>
      <w:r w:rsidRPr="00A454E0">
        <w:rPr>
          <w:rFonts w:ascii="Tahoma" w:hAnsi="Tahoma" w:cs="Tahoma"/>
          <w:sz w:val="16"/>
          <w:szCs w:val="16"/>
        </w:rPr>
        <w:t xml:space="preserve">Graf č. </w:t>
      </w:r>
      <w:r w:rsidR="00014F10" w:rsidRPr="00A454E0">
        <w:rPr>
          <w:rFonts w:ascii="Tahoma" w:hAnsi="Tahoma" w:cs="Tahoma"/>
          <w:sz w:val="16"/>
          <w:szCs w:val="16"/>
        </w:rPr>
        <w:t>5</w:t>
      </w:r>
      <w:r w:rsidRPr="00A454E0">
        <w:rPr>
          <w:rFonts w:ascii="Tahoma" w:hAnsi="Tahoma" w:cs="Tahoma"/>
          <w:sz w:val="16"/>
          <w:szCs w:val="16"/>
        </w:rPr>
        <w:t xml:space="preserve"> Vývoj přijatých dotací (v </w:t>
      </w:r>
      <w:r w:rsidR="00014F10" w:rsidRPr="00A454E0">
        <w:rPr>
          <w:rFonts w:ascii="Tahoma" w:hAnsi="Tahoma" w:cs="Tahoma"/>
          <w:sz w:val="16"/>
          <w:szCs w:val="16"/>
        </w:rPr>
        <w:t>mil. Kč</w:t>
      </w:r>
      <w:r w:rsidRPr="00A454E0">
        <w:rPr>
          <w:rFonts w:ascii="Tahoma" w:hAnsi="Tahoma" w:cs="Tahoma"/>
          <w:sz w:val="16"/>
          <w:szCs w:val="16"/>
        </w:rPr>
        <w:t>)</w:t>
      </w:r>
    </w:p>
    <w:p w14:paraId="466F7F2F" w14:textId="77777777" w:rsidR="000F4890" w:rsidRDefault="000F4890" w:rsidP="00A822D7">
      <w:pPr>
        <w:tabs>
          <w:tab w:val="right" w:pos="4962"/>
        </w:tabs>
        <w:rPr>
          <w:rFonts w:ascii="Tahoma" w:hAnsi="Tahoma" w:cs="Tahoma"/>
          <w:sz w:val="16"/>
          <w:szCs w:val="16"/>
        </w:rPr>
      </w:pPr>
    </w:p>
    <w:p w14:paraId="42E04114" w14:textId="77777777" w:rsidR="000F4890" w:rsidRDefault="000F4890" w:rsidP="00A822D7">
      <w:pPr>
        <w:tabs>
          <w:tab w:val="right" w:pos="4962"/>
        </w:tabs>
        <w:rPr>
          <w:rFonts w:ascii="Tahoma" w:hAnsi="Tahoma" w:cs="Tahoma"/>
          <w:sz w:val="16"/>
          <w:szCs w:val="16"/>
        </w:rPr>
      </w:pPr>
    </w:p>
    <w:p w14:paraId="39384A6D" w14:textId="4ABDA13C" w:rsidR="00D24E42" w:rsidRDefault="00D24E42" w:rsidP="00A822D7">
      <w:pPr>
        <w:tabs>
          <w:tab w:val="right" w:pos="4962"/>
        </w:tabs>
        <w:rPr>
          <w:rFonts w:ascii="Tahoma" w:hAnsi="Tahoma" w:cs="Tahoma"/>
          <w:sz w:val="16"/>
          <w:szCs w:val="16"/>
        </w:rPr>
      </w:pPr>
      <w:r>
        <w:rPr>
          <w:rFonts w:ascii="Tahoma" w:hAnsi="Tahoma" w:cs="Tahoma"/>
          <w:noProof/>
          <w:sz w:val="16"/>
          <w:szCs w:val="16"/>
        </w:rPr>
        <w:drawing>
          <wp:inline distT="0" distB="0" distL="0" distR="0" wp14:anchorId="0E7E9FBA" wp14:editId="4419976D">
            <wp:extent cx="3787131" cy="2276475"/>
            <wp:effectExtent l="0" t="0" r="4445" b="0"/>
            <wp:docPr id="826967280" name="Obrázek 82696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6327" cy="2282003"/>
                    </a:xfrm>
                    <a:prstGeom prst="rect">
                      <a:avLst/>
                    </a:prstGeom>
                    <a:noFill/>
                  </pic:spPr>
                </pic:pic>
              </a:graphicData>
            </a:graphic>
          </wp:inline>
        </w:drawing>
      </w:r>
    </w:p>
    <w:p w14:paraId="79B9DC0C" w14:textId="77777777" w:rsidR="00D24E42" w:rsidRDefault="00D24E42" w:rsidP="00A822D7">
      <w:pPr>
        <w:tabs>
          <w:tab w:val="right" w:pos="4962"/>
        </w:tabs>
        <w:rPr>
          <w:rFonts w:ascii="Tahoma" w:hAnsi="Tahoma" w:cs="Tahoma"/>
          <w:sz w:val="16"/>
          <w:szCs w:val="16"/>
        </w:rPr>
      </w:pPr>
    </w:p>
    <w:p w14:paraId="569B13E5" w14:textId="452AB963" w:rsidR="001D08FD" w:rsidRDefault="000E3B90" w:rsidP="00A822D7">
      <w:pPr>
        <w:tabs>
          <w:tab w:val="right" w:pos="4962"/>
        </w:tabs>
        <w:rPr>
          <w:rFonts w:ascii="Tahoma" w:hAnsi="Tahoma" w:cs="Tahoma"/>
          <w:sz w:val="16"/>
          <w:szCs w:val="16"/>
        </w:rPr>
      </w:pPr>
      <w:r>
        <w:rPr>
          <w:rFonts w:ascii="Tahoma" w:hAnsi="Tahoma" w:cs="Tahoma"/>
          <w:sz w:val="16"/>
          <w:szCs w:val="16"/>
        </w:rPr>
        <w:t xml:space="preserve"> </w:t>
      </w:r>
    </w:p>
    <w:p w14:paraId="79E65A39" w14:textId="70B0856C" w:rsidR="005C1DA6" w:rsidRPr="00E214C2" w:rsidRDefault="008E7B37" w:rsidP="00450CAE">
      <w:pPr>
        <w:pStyle w:val="Zpat"/>
        <w:tabs>
          <w:tab w:val="clear" w:pos="4536"/>
          <w:tab w:val="clear" w:pos="9072"/>
        </w:tabs>
        <w:jc w:val="both"/>
        <w:rPr>
          <w:rFonts w:ascii="Tahoma" w:hAnsi="Tahoma" w:cs="Tahoma"/>
        </w:rPr>
      </w:pPr>
      <w:r w:rsidRPr="00826D55">
        <w:rPr>
          <w:rFonts w:ascii="Tahoma" w:hAnsi="Tahoma" w:cs="Tahoma"/>
        </w:rPr>
        <w:t>Do výhledu jsou zařazeny očekávané dotace ze státního rozpočtu</w:t>
      </w:r>
      <w:r w:rsidR="00511656" w:rsidRPr="00826D55">
        <w:rPr>
          <w:rFonts w:ascii="Tahoma" w:hAnsi="Tahoma" w:cs="Tahoma"/>
        </w:rPr>
        <w:t>,</w:t>
      </w:r>
      <w:r w:rsidRPr="00826D55">
        <w:rPr>
          <w:rFonts w:ascii="Tahoma" w:hAnsi="Tahoma" w:cs="Tahoma"/>
        </w:rPr>
        <w:t> dotace na akce realizované z </w:t>
      </w:r>
      <w:r w:rsidRPr="00E214C2">
        <w:rPr>
          <w:rFonts w:ascii="Tahoma" w:hAnsi="Tahoma" w:cs="Tahoma"/>
        </w:rPr>
        <w:t xml:space="preserve">evropských finančních </w:t>
      </w:r>
      <w:r w:rsidRPr="00816250">
        <w:rPr>
          <w:rFonts w:ascii="Tahoma" w:hAnsi="Tahoma" w:cs="Tahoma"/>
        </w:rPr>
        <w:t>zdrojů</w:t>
      </w:r>
      <w:r w:rsidR="00511656" w:rsidRPr="00816250">
        <w:rPr>
          <w:rFonts w:ascii="Tahoma" w:hAnsi="Tahoma" w:cs="Tahoma"/>
        </w:rPr>
        <w:t xml:space="preserve"> a</w:t>
      </w:r>
      <w:r w:rsidRPr="00816250">
        <w:rPr>
          <w:rFonts w:ascii="Tahoma" w:hAnsi="Tahoma" w:cs="Tahoma"/>
        </w:rPr>
        <w:t xml:space="preserve"> </w:t>
      </w:r>
      <w:r w:rsidR="00511656" w:rsidRPr="00816250">
        <w:rPr>
          <w:rFonts w:ascii="Tahoma" w:hAnsi="Tahoma" w:cs="Tahoma"/>
        </w:rPr>
        <w:t>příspěvky od obcí</w:t>
      </w:r>
      <w:r w:rsidR="00B756A5" w:rsidRPr="00816250">
        <w:rPr>
          <w:rFonts w:ascii="Tahoma" w:hAnsi="Tahoma" w:cs="Tahoma"/>
        </w:rPr>
        <w:t xml:space="preserve">, </w:t>
      </w:r>
      <w:r w:rsidR="009B3B24" w:rsidRPr="00816250">
        <w:rPr>
          <w:rFonts w:ascii="Tahoma" w:hAnsi="Tahoma" w:cs="Tahoma"/>
        </w:rPr>
        <w:t>podrobněji uvedeno v</w:t>
      </w:r>
      <w:r w:rsidR="000A5170" w:rsidRPr="00816250">
        <w:rPr>
          <w:rFonts w:ascii="Tahoma" w:hAnsi="Tahoma" w:cs="Tahoma"/>
        </w:rPr>
        <w:t> </w:t>
      </w:r>
      <w:r w:rsidR="009B3B24" w:rsidRPr="00816250">
        <w:rPr>
          <w:rFonts w:ascii="Tahoma" w:hAnsi="Tahoma" w:cs="Tahoma"/>
        </w:rPr>
        <w:t>tabulce č. </w:t>
      </w:r>
      <w:r w:rsidR="00B756A5" w:rsidRPr="00816250">
        <w:rPr>
          <w:rFonts w:ascii="Tahoma" w:hAnsi="Tahoma" w:cs="Tahoma"/>
        </w:rPr>
        <w:t>2 (tabulková část výhledu)</w:t>
      </w:r>
      <w:r w:rsidR="009B3B24" w:rsidRPr="00816250">
        <w:rPr>
          <w:rFonts w:ascii="Tahoma" w:hAnsi="Tahoma" w:cs="Tahoma"/>
        </w:rPr>
        <w:t>.</w:t>
      </w:r>
      <w:r w:rsidR="00511656" w:rsidRPr="00816250">
        <w:rPr>
          <w:rFonts w:ascii="Tahoma" w:hAnsi="Tahoma" w:cs="Tahoma"/>
        </w:rPr>
        <w:t xml:space="preserve"> </w:t>
      </w:r>
      <w:r w:rsidRPr="00816250">
        <w:rPr>
          <w:rFonts w:ascii="Tahoma" w:hAnsi="Tahoma" w:cs="Tahoma"/>
        </w:rPr>
        <w:t xml:space="preserve">V následujících letech by měl kraj nadále dostávat </w:t>
      </w:r>
      <w:r w:rsidR="004A2F3D" w:rsidRPr="00816250">
        <w:rPr>
          <w:rFonts w:ascii="Tahoma" w:hAnsi="Tahoma" w:cs="Tahoma"/>
        </w:rPr>
        <w:t xml:space="preserve">dotace </w:t>
      </w:r>
      <w:r w:rsidRPr="00816250">
        <w:rPr>
          <w:rFonts w:ascii="Tahoma" w:hAnsi="Tahoma" w:cs="Tahoma"/>
        </w:rPr>
        <w:t>ze státního rozpočtu</w:t>
      </w:r>
      <w:r w:rsidR="00900847" w:rsidRPr="00816250">
        <w:rPr>
          <w:rFonts w:ascii="Tahoma" w:hAnsi="Tahoma" w:cs="Tahoma"/>
        </w:rPr>
        <w:t xml:space="preserve"> </w:t>
      </w:r>
      <w:r w:rsidR="00511656" w:rsidRPr="00816250">
        <w:rPr>
          <w:rFonts w:ascii="Tahoma" w:hAnsi="Tahoma" w:cs="Tahoma"/>
        </w:rPr>
        <w:t xml:space="preserve">ve výši </w:t>
      </w:r>
      <w:r w:rsidR="00952AD2" w:rsidRPr="00816250">
        <w:rPr>
          <w:rFonts w:ascii="Tahoma" w:hAnsi="Tahoma" w:cs="Tahoma"/>
        </w:rPr>
        <w:t xml:space="preserve">až </w:t>
      </w:r>
      <w:r w:rsidR="00310717" w:rsidRPr="00816250">
        <w:rPr>
          <w:rFonts w:ascii="Tahoma" w:hAnsi="Tahoma" w:cs="Tahoma"/>
        </w:rPr>
        <w:t>30</w:t>
      </w:r>
      <w:r w:rsidR="00511656" w:rsidRPr="00816250">
        <w:rPr>
          <w:rFonts w:ascii="Tahoma" w:hAnsi="Tahoma" w:cs="Tahoma"/>
        </w:rPr>
        <w:t xml:space="preserve"> mld. Kč</w:t>
      </w:r>
      <w:r w:rsidR="007406F7" w:rsidRPr="00816250">
        <w:rPr>
          <w:rFonts w:ascii="Tahoma" w:hAnsi="Tahoma" w:cs="Tahoma"/>
        </w:rPr>
        <w:t xml:space="preserve"> ročně</w:t>
      </w:r>
      <w:r w:rsidR="009B3B24" w:rsidRPr="00816250">
        <w:rPr>
          <w:rFonts w:ascii="Tahoma" w:hAnsi="Tahoma" w:cs="Tahoma"/>
        </w:rPr>
        <w:t>.</w:t>
      </w:r>
      <w:r w:rsidR="00511656" w:rsidRPr="00816250">
        <w:rPr>
          <w:rFonts w:ascii="Tahoma" w:hAnsi="Tahoma" w:cs="Tahoma"/>
        </w:rPr>
        <w:t xml:space="preserve"> </w:t>
      </w:r>
      <w:r w:rsidR="00900847" w:rsidRPr="00816250">
        <w:rPr>
          <w:rFonts w:ascii="Tahoma" w:hAnsi="Tahoma" w:cs="Tahoma"/>
        </w:rPr>
        <w:t>Jedná</w:t>
      </w:r>
      <w:r w:rsidR="00900847" w:rsidRPr="00E214C2">
        <w:rPr>
          <w:rFonts w:ascii="Tahoma" w:hAnsi="Tahoma" w:cs="Tahoma"/>
        </w:rPr>
        <w:t xml:space="preserve"> se např.</w:t>
      </w:r>
      <w:r w:rsidR="004A2F3D" w:rsidRPr="00E214C2">
        <w:rPr>
          <w:rFonts w:ascii="Tahoma" w:hAnsi="Tahoma" w:cs="Tahoma"/>
        </w:rPr>
        <w:t xml:space="preserve"> </w:t>
      </w:r>
      <w:r w:rsidR="00900847" w:rsidRPr="00E214C2">
        <w:rPr>
          <w:rFonts w:ascii="Tahoma" w:hAnsi="Tahoma" w:cs="Tahoma"/>
        </w:rPr>
        <w:t>o</w:t>
      </w:r>
      <w:r w:rsidR="005C1DA6" w:rsidRPr="00E214C2">
        <w:rPr>
          <w:rFonts w:ascii="Tahoma" w:hAnsi="Tahoma" w:cs="Tahoma"/>
        </w:rPr>
        <w:t>:</w:t>
      </w:r>
      <w:r w:rsidRPr="00E214C2">
        <w:rPr>
          <w:rFonts w:ascii="Tahoma" w:hAnsi="Tahoma" w:cs="Tahoma"/>
        </w:rPr>
        <w:t xml:space="preserve"> </w:t>
      </w:r>
    </w:p>
    <w:p w14:paraId="79E65A3A" w14:textId="77777777" w:rsidR="005C1DA6" w:rsidRPr="00051248" w:rsidRDefault="008E7B37" w:rsidP="005C1DA6">
      <w:pPr>
        <w:pStyle w:val="Zpat"/>
        <w:numPr>
          <w:ilvl w:val="0"/>
          <w:numId w:val="33"/>
        </w:numPr>
        <w:tabs>
          <w:tab w:val="clear" w:pos="4536"/>
          <w:tab w:val="clear" w:pos="9072"/>
        </w:tabs>
        <w:jc w:val="both"/>
        <w:rPr>
          <w:rFonts w:ascii="Tahoma" w:hAnsi="Tahoma" w:cs="Tahoma"/>
        </w:rPr>
      </w:pPr>
      <w:r w:rsidRPr="00E214C2">
        <w:rPr>
          <w:rFonts w:ascii="Tahoma" w:hAnsi="Tahoma" w:cs="Tahoma"/>
        </w:rPr>
        <w:lastRenderedPageBreak/>
        <w:t>prostředky určené na přímé náklady na vzdělávání</w:t>
      </w:r>
      <w:r w:rsidRPr="00051248">
        <w:rPr>
          <w:rFonts w:ascii="Tahoma" w:hAnsi="Tahoma" w:cs="Tahoma"/>
        </w:rPr>
        <w:t xml:space="preserve"> ve školách a školských zařízeních zřizovaných krajem a obcemi, </w:t>
      </w:r>
    </w:p>
    <w:p w14:paraId="79E65A3B" w14:textId="25C2E489" w:rsidR="00791B45" w:rsidRPr="00826D55" w:rsidRDefault="001A7D40" w:rsidP="00791B45">
      <w:pPr>
        <w:pStyle w:val="Zpat"/>
        <w:numPr>
          <w:ilvl w:val="0"/>
          <w:numId w:val="33"/>
        </w:numPr>
        <w:tabs>
          <w:tab w:val="clear" w:pos="4536"/>
          <w:tab w:val="clear" w:pos="9072"/>
        </w:tabs>
        <w:jc w:val="both"/>
        <w:rPr>
          <w:rFonts w:ascii="Tahoma" w:hAnsi="Tahoma" w:cs="Tahoma"/>
        </w:rPr>
      </w:pPr>
      <w:r w:rsidRPr="00051248">
        <w:rPr>
          <w:rFonts w:ascii="Tahoma" w:hAnsi="Tahoma" w:cs="Tahoma"/>
        </w:rPr>
        <w:t xml:space="preserve">dotace na dofinancování dopravní obslužnosti veřejnou železniční dopravou </w:t>
      </w:r>
      <w:r w:rsidR="00791B45" w:rsidRPr="00051248">
        <w:rPr>
          <w:rFonts w:ascii="Tahoma" w:hAnsi="Tahoma" w:cs="Tahoma"/>
        </w:rPr>
        <w:t>na</w:t>
      </w:r>
      <w:r w:rsidR="007406F7" w:rsidRPr="00051248">
        <w:rPr>
          <w:rFonts w:ascii="Tahoma" w:hAnsi="Tahoma" w:cs="Tahoma"/>
        </w:rPr>
        <w:t> </w:t>
      </w:r>
      <w:r w:rsidR="00791B45" w:rsidRPr="00051248">
        <w:rPr>
          <w:rFonts w:ascii="Tahoma" w:hAnsi="Tahoma" w:cs="Tahoma"/>
        </w:rPr>
        <w:t>základě uzavřené Smlouvy o zajištění stabilního</w:t>
      </w:r>
      <w:r w:rsidR="00791B45" w:rsidRPr="00826D55">
        <w:rPr>
          <w:rFonts w:ascii="Tahoma" w:hAnsi="Tahoma" w:cs="Tahoma"/>
        </w:rPr>
        <w:t xml:space="preserve"> financování regionální železniční osobní dopravy</w:t>
      </w:r>
      <w:r w:rsidR="00143241" w:rsidRPr="00826D55">
        <w:rPr>
          <w:rFonts w:ascii="Tahoma" w:hAnsi="Tahoma" w:cs="Tahoma"/>
        </w:rPr>
        <w:t xml:space="preserve"> uzavřenou kraji a Českou republikou zastoupenou ministrem dopravy s účinností do roku 2034</w:t>
      </w:r>
      <w:r w:rsidR="00791B45" w:rsidRPr="00826D55">
        <w:rPr>
          <w:rFonts w:ascii="Tahoma" w:hAnsi="Tahoma" w:cs="Tahoma"/>
        </w:rPr>
        <w:t>,</w:t>
      </w:r>
      <w:r w:rsidR="00CF482E" w:rsidRPr="00826D55">
        <w:rPr>
          <w:rFonts w:ascii="Tahoma" w:hAnsi="Tahoma" w:cs="Tahoma"/>
        </w:rPr>
        <w:t xml:space="preserve"> </w:t>
      </w:r>
    </w:p>
    <w:p w14:paraId="79E65A3C" w14:textId="77777777" w:rsidR="005C1DA6" w:rsidRPr="003B4B8A" w:rsidRDefault="008246D0" w:rsidP="005C1DA6">
      <w:pPr>
        <w:pStyle w:val="Zpat"/>
        <w:numPr>
          <w:ilvl w:val="0"/>
          <w:numId w:val="33"/>
        </w:numPr>
        <w:tabs>
          <w:tab w:val="clear" w:pos="4536"/>
          <w:tab w:val="clear" w:pos="9072"/>
        </w:tabs>
        <w:jc w:val="both"/>
        <w:rPr>
          <w:rFonts w:ascii="Tahoma" w:hAnsi="Tahoma" w:cs="Tahoma"/>
        </w:rPr>
      </w:pPr>
      <w:r w:rsidRPr="00826D55">
        <w:rPr>
          <w:rFonts w:ascii="Tahoma" w:hAnsi="Tahoma" w:cs="Tahoma"/>
        </w:rPr>
        <w:t>dotace z Ministerstva práce a sociálních věcí účelově určen</w:t>
      </w:r>
      <w:r w:rsidR="004A2F3D" w:rsidRPr="00826D55">
        <w:rPr>
          <w:rFonts w:ascii="Tahoma" w:hAnsi="Tahoma" w:cs="Tahoma"/>
        </w:rPr>
        <w:t>é</w:t>
      </w:r>
      <w:r w:rsidRPr="00826D55">
        <w:rPr>
          <w:rFonts w:ascii="Tahoma" w:hAnsi="Tahoma" w:cs="Tahoma"/>
        </w:rPr>
        <w:t xml:space="preserve"> na financování </w:t>
      </w:r>
      <w:r w:rsidRPr="003B4B8A">
        <w:rPr>
          <w:rFonts w:ascii="Tahoma" w:hAnsi="Tahoma" w:cs="Tahoma"/>
        </w:rPr>
        <w:t>běžných výdajů souvisejících s poskytováním sociálních služeb</w:t>
      </w:r>
      <w:r w:rsidR="004227D6" w:rsidRPr="003B4B8A">
        <w:rPr>
          <w:rFonts w:ascii="Tahoma" w:hAnsi="Tahoma" w:cs="Tahoma"/>
        </w:rPr>
        <w:t>,</w:t>
      </w:r>
      <w:r w:rsidR="00791B45" w:rsidRPr="003B4B8A">
        <w:rPr>
          <w:rFonts w:ascii="Tahoma" w:hAnsi="Tahoma" w:cs="Tahoma"/>
        </w:rPr>
        <w:t xml:space="preserve"> </w:t>
      </w:r>
    </w:p>
    <w:p w14:paraId="79E65A3F" w14:textId="77777777" w:rsidR="00791B45" w:rsidRPr="003B4B8A" w:rsidRDefault="008E7B37" w:rsidP="00C07974">
      <w:pPr>
        <w:pStyle w:val="Zpat"/>
        <w:numPr>
          <w:ilvl w:val="0"/>
          <w:numId w:val="33"/>
        </w:numPr>
        <w:tabs>
          <w:tab w:val="clear" w:pos="4536"/>
          <w:tab w:val="clear" w:pos="9072"/>
        </w:tabs>
        <w:jc w:val="both"/>
        <w:rPr>
          <w:rFonts w:ascii="Tahoma" w:hAnsi="Tahoma" w:cs="Tahoma"/>
        </w:rPr>
      </w:pPr>
      <w:r w:rsidRPr="003B4B8A">
        <w:rPr>
          <w:rFonts w:ascii="Tahoma" w:hAnsi="Tahoma" w:cs="Tahoma"/>
        </w:rPr>
        <w:t>prostředky určené pro kraj na výkon přenesené působnosti</w:t>
      </w:r>
      <w:r w:rsidR="003B35B2" w:rsidRPr="003B4B8A">
        <w:rPr>
          <w:rFonts w:ascii="Tahoma" w:hAnsi="Tahoma" w:cs="Tahoma"/>
        </w:rPr>
        <w:t>,</w:t>
      </w:r>
    </w:p>
    <w:p w14:paraId="79E65A40" w14:textId="77777777" w:rsidR="00791B45" w:rsidRPr="003B4B8A" w:rsidRDefault="00791B45" w:rsidP="00791B45">
      <w:pPr>
        <w:pStyle w:val="Zpat"/>
        <w:numPr>
          <w:ilvl w:val="0"/>
          <w:numId w:val="33"/>
        </w:numPr>
        <w:tabs>
          <w:tab w:val="clear" w:pos="4536"/>
          <w:tab w:val="clear" w:pos="9072"/>
        </w:tabs>
        <w:jc w:val="both"/>
        <w:rPr>
          <w:rFonts w:ascii="Tahoma" w:hAnsi="Tahoma" w:cs="Tahoma"/>
        </w:rPr>
      </w:pPr>
      <w:r w:rsidRPr="003B4B8A">
        <w:rPr>
          <w:rFonts w:ascii="Tahoma" w:hAnsi="Tahoma" w:cs="Tahoma"/>
        </w:rPr>
        <w:t>další dotační tituly ze státního rozpočtu, jejichž výše jsou odvozeny z</w:t>
      </w:r>
      <w:r w:rsidR="003D4B74" w:rsidRPr="003B4B8A">
        <w:rPr>
          <w:rFonts w:ascii="Tahoma" w:hAnsi="Tahoma" w:cs="Tahoma"/>
        </w:rPr>
        <w:t> rozsahu prostředků</w:t>
      </w:r>
      <w:r w:rsidRPr="003B4B8A">
        <w:rPr>
          <w:rFonts w:ascii="Tahoma" w:hAnsi="Tahoma" w:cs="Tahoma"/>
        </w:rPr>
        <w:t>, které kraj obdržel v předchozích letech.</w:t>
      </w:r>
    </w:p>
    <w:p w14:paraId="79E65A41" w14:textId="77777777" w:rsidR="00791B45" w:rsidRPr="003B4B8A" w:rsidRDefault="00791B45" w:rsidP="00791B45">
      <w:pPr>
        <w:pStyle w:val="Zpat"/>
        <w:tabs>
          <w:tab w:val="clear" w:pos="4536"/>
          <w:tab w:val="clear" w:pos="9072"/>
        </w:tabs>
        <w:ind w:left="720"/>
        <w:jc w:val="both"/>
        <w:rPr>
          <w:rFonts w:ascii="Tahoma" w:hAnsi="Tahoma" w:cs="Tahoma"/>
        </w:rPr>
      </w:pPr>
    </w:p>
    <w:p w14:paraId="42E9788A" w14:textId="39233D78" w:rsidR="00963E34" w:rsidRPr="00607217" w:rsidRDefault="009B3B24" w:rsidP="009B3B24">
      <w:pPr>
        <w:pStyle w:val="Zpat"/>
        <w:tabs>
          <w:tab w:val="clear" w:pos="4536"/>
          <w:tab w:val="clear" w:pos="9072"/>
        </w:tabs>
        <w:ind w:left="284"/>
        <w:jc w:val="both"/>
        <w:rPr>
          <w:rFonts w:ascii="Tahoma" w:hAnsi="Tahoma" w:cs="Tahoma"/>
        </w:rPr>
      </w:pPr>
      <w:r w:rsidRPr="003B4B8A">
        <w:rPr>
          <w:rFonts w:ascii="Tahoma" w:hAnsi="Tahoma" w:cs="Tahoma"/>
        </w:rPr>
        <w:t xml:space="preserve">Ve sledovaném období je </w:t>
      </w:r>
      <w:r w:rsidRPr="0049765F">
        <w:rPr>
          <w:rFonts w:ascii="Tahoma" w:hAnsi="Tahoma" w:cs="Tahoma"/>
        </w:rPr>
        <w:t>očekáván</w:t>
      </w:r>
      <w:r w:rsidR="00014F10" w:rsidRPr="0049765F">
        <w:rPr>
          <w:rFonts w:ascii="Tahoma" w:hAnsi="Tahoma" w:cs="Tahoma"/>
        </w:rPr>
        <w:t xml:space="preserve"> od obcí </w:t>
      </w:r>
      <w:r w:rsidRPr="0049765F">
        <w:rPr>
          <w:rFonts w:ascii="Tahoma" w:hAnsi="Tahoma" w:cs="Tahoma"/>
        </w:rPr>
        <w:t>p</w:t>
      </w:r>
      <w:r w:rsidR="00791B45" w:rsidRPr="0049765F">
        <w:rPr>
          <w:rFonts w:ascii="Tahoma" w:hAnsi="Tahoma" w:cs="Tahoma"/>
        </w:rPr>
        <w:t>říspěvek</w:t>
      </w:r>
      <w:r w:rsidRPr="0049765F">
        <w:rPr>
          <w:rFonts w:ascii="Tahoma" w:hAnsi="Tahoma" w:cs="Tahoma"/>
        </w:rPr>
        <w:t xml:space="preserve"> </w:t>
      </w:r>
      <w:r w:rsidRPr="003B4B8A">
        <w:rPr>
          <w:rFonts w:ascii="Tahoma" w:hAnsi="Tahoma" w:cs="Tahoma"/>
        </w:rPr>
        <w:t xml:space="preserve">v souvislosti se </w:t>
      </w:r>
      <w:r w:rsidR="00791B45" w:rsidRPr="003B4B8A">
        <w:rPr>
          <w:rFonts w:ascii="Tahoma" w:hAnsi="Tahoma" w:cs="Tahoma"/>
        </w:rPr>
        <w:t>zajištění</w:t>
      </w:r>
      <w:r w:rsidRPr="003B4B8A">
        <w:rPr>
          <w:rFonts w:ascii="Tahoma" w:hAnsi="Tahoma" w:cs="Tahoma"/>
        </w:rPr>
        <w:t>m</w:t>
      </w:r>
      <w:r w:rsidR="00791B45" w:rsidRPr="003B4B8A">
        <w:rPr>
          <w:rFonts w:ascii="Tahoma" w:hAnsi="Tahoma" w:cs="Tahoma"/>
        </w:rPr>
        <w:t xml:space="preserve"> dopravní obslužnosti linkovou dopravou v jednotlivých o</w:t>
      </w:r>
      <w:r w:rsidRPr="003B4B8A">
        <w:rPr>
          <w:rFonts w:ascii="Tahoma" w:hAnsi="Tahoma" w:cs="Tahoma"/>
        </w:rPr>
        <w:t>blastech Moravskoslezského kraje.</w:t>
      </w:r>
      <w:r w:rsidR="00927708" w:rsidRPr="003B4B8A">
        <w:rPr>
          <w:rFonts w:ascii="Tahoma" w:hAnsi="Tahoma" w:cs="Tahoma"/>
        </w:rPr>
        <w:t xml:space="preserve"> </w:t>
      </w:r>
      <w:r w:rsidRPr="003B4B8A">
        <w:rPr>
          <w:rFonts w:ascii="Tahoma" w:hAnsi="Tahoma" w:cs="Tahoma"/>
        </w:rPr>
        <w:t>Z</w:t>
      </w:r>
      <w:r w:rsidR="00791B45" w:rsidRPr="003B4B8A">
        <w:rPr>
          <w:rFonts w:ascii="Tahoma" w:hAnsi="Tahoma" w:cs="Tahoma"/>
        </w:rPr>
        <w:t xml:space="preserve">e strany Olomouckého </w:t>
      </w:r>
      <w:r w:rsidRPr="003B4B8A">
        <w:rPr>
          <w:rFonts w:ascii="Tahoma" w:hAnsi="Tahoma" w:cs="Tahoma"/>
        </w:rPr>
        <w:t>a</w:t>
      </w:r>
      <w:r w:rsidR="000A5170" w:rsidRPr="003B4B8A">
        <w:rPr>
          <w:rFonts w:ascii="Tahoma" w:hAnsi="Tahoma" w:cs="Tahoma"/>
        </w:rPr>
        <w:t> </w:t>
      </w:r>
      <w:r w:rsidR="00791B45" w:rsidRPr="003B4B8A">
        <w:rPr>
          <w:rFonts w:ascii="Tahoma" w:hAnsi="Tahoma" w:cs="Tahoma"/>
        </w:rPr>
        <w:t xml:space="preserve">Zlínského kraje </w:t>
      </w:r>
      <w:r w:rsidRPr="003B4B8A">
        <w:rPr>
          <w:rFonts w:ascii="Tahoma" w:hAnsi="Tahoma" w:cs="Tahoma"/>
        </w:rPr>
        <w:t>bude hrazena kompenzace za</w:t>
      </w:r>
      <w:r w:rsidR="00791B45" w:rsidRPr="003B4B8A">
        <w:rPr>
          <w:rFonts w:ascii="Tahoma" w:hAnsi="Tahoma" w:cs="Tahoma"/>
        </w:rPr>
        <w:t xml:space="preserve"> </w:t>
      </w:r>
      <w:r w:rsidR="00791B45" w:rsidRPr="00641FF8">
        <w:rPr>
          <w:rFonts w:ascii="Tahoma" w:hAnsi="Tahoma" w:cs="Tahoma"/>
        </w:rPr>
        <w:t>zajištění dopravní obslužnosti území Olomouckého</w:t>
      </w:r>
      <w:r w:rsidR="00313B53" w:rsidRPr="00641FF8">
        <w:rPr>
          <w:rFonts w:ascii="Tahoma" w:hAnsi="Tahoma" w:cs="Tahoma"/>
        </w:rPr>
        <w:t>,</w:t>
      </w:r>
      <w:r w:rsidR="00791B45" w:rsidRPr="00641FF8">
        <w:rPr>
          <w:rFonts w:ascii="Tahoma" w:hAnsi="Tahoma" w:cs="Tahoma"/>
        </w:rPr>
        <w:t xml:space="preserve"> </w:t>
      </w:r>
      <w:r w:rsidRPr="00641FF8">
        <w:rPr>
          <w:rFonts w:ascii="Tahoma" w:hAnsi="Tahoma" w:cs="Tahoma"/>
        </w:rPr>
        <w:t xml:space="preserve">resp. </w:t>
      </w:r>
      <w:r w:rsidR="00791B45" w:rsidRPr="00641FF8">
        <w:rPr>
          <w:rFonts w:ascii="Tahoma" w:hAnsi="Tahoma" w:cs="Tahoma"/>
        </w:rPr>
        <w:t>Zlínského kraje</w:t>
      </w:r>
      <w:r w:rsidRPr="00641FF8">
        <w:rPr>
          <w:rFonts w:ascii="Tahoma" w:hAnsi="Tahoma" w:cs="Tahoma"/>
        </w:rPr>
        <w:t>, které</w:t>
      </w:r>
      <w:r w:rsidR="00791B45" w:rsidRPr="00641FF8">
        <w:rPr>
          <w:rFonts w:ascii="Tahoma" w:hAnsi="Tahoma" w:cs="Tahoma"/>
        </w:rPr>
        <w:t xml:space="preserve"> přiléh</w:t>
      </w:r>
      <w:r w:rsidRPr="00641FF8">
        <w:rPr>
          <w:rFonts w:ascii="Tahoma" w:hAnsi="Tahoma" w:cs="Tahoma"/>
        </w:rPr>
        <w:t xml:space="preserve">á </w:t>
      </w:r>
      <w:r w:rsidR="00791B45" w:rsidRPr="00641FF8">
        <w:rPr>
          <w:rFonts w:ascii="Tahoma" w:hAnsi="Tahoma" w:cs="Tahoma"/>
        </w:rPr>
        <w:t xml:space="preserve">k území Moravskoslezského kraje </w:t>
      </w:r>
      <w:r w:rsidR="00791B45" w:rsidRPr="00607217">
        <w:rPr>
          <w:rFonts w:ascii="Tahoma" w:hAnsi="Tahoma" w:cs="Tahoma"/>
        </w:rPr>
        <w:t>vybranými přeshraničními linkami</w:t>
      </w:r>
      <w:r w:rsidRPr="00607217">
        <w:rPr>
          <w:rFonts w:ascii="Tahoma" w:hAnsi="Tahoma" w:cs="Tahoma"/>
        </w:rPr>
        <w:t xml:space="preserve">. </w:t>
      </w:r>
      <w:r w:rsidR="009C7AC3" w:rsidRPr="00607217">
        <w:rPr>
          <w:rFonts w:ascii="Tahoma" w:hAnsi="Tahoma" w:cs="Tahoma"/>
        </w:rPr>
        <w:t xml:space="preserve">V rámci realizace konkrétních projektů je ve sledovaném období </w:t>
      </w:r>
      <w:r w:rsidR="009902A2" w:rsidRPr="00607217">
        <w:rPr>
          <w:rFonts w:ascii="Tahoma" w:hAnsi="Tahoma" w:cs="Tahoma"/>
        </w:rPr>
        <w:t>plánován příjem od</w:t>
      </w:r>
      <w:r w:rsidR="00827692" w:rsidRPr="00607217">
        <w:rPr>
          <w:rFonts w:ascii="Tahoma" w:hAnsi="Tahoma" w:cs="Tahoma"/>
        </w:rPr>
        <w:t>:</w:t>
      </w:r>
    </w:p>
    <w:p w14:paraId="7D4AB7A6" w14:textId="3EAF875C" w:rsidR="00827692" w:rsidRPr="0004245C" w:rsidRDefault="00641FF8">
      <w:pPr>
        <w:pStyle w:val="Zpat"/>
        <w:numPr>
          <w:ilvl w:val="0"/>
          <w:numId w:val="46"/>
        </w:numPr>
        <w:jc w:val="both"/>
        <w:rPr>
          <w:rFonts w:ascii="Tahoma" w:hAnsi="Tahoma" w:cs="Tahoma"/>
        </w:rPr>
      </w:pPr>
      <w:r w:rsidRPr="00607217">
        <w:rPr>
          <w:rFonts w:ascii="Tahoma" w:hAnsi="Tahoma" w:cs="Tahoma"/>
        </w:rPr>
        <w:t>statu</w:t>
      </w:r>
      <w:r w:rsidR="00C92E14" w:rsidRPr="00607217">
        <w:rPr>
          <w:rFonts w:ascii="Tahoma" w:hAnsi="Tahoma" w:cs="Tahoma"/>
        </w:rPr>
        <w:t xml:space="preserve">tárního </w:t>
      </w:r>
      <w:r w:rsidR="00827692" w:rsidRPr="00607217">
        <w:rPr>
          <w:rFonts w:ascii="Tahoma" w:hAnsi="Tahoma" w:cs="Tahoma"/>
        </w:rPr>
        <w:t xml:space="preserve">města Ostravy ve výši </w:t>
      </w:r>
      <w:r w:rsidR="0027027D" w:rsidRPr="00607217">
        <w:rPr>
          <w:rFonts w:ascii="Tahoma" w:hAnsi="Tahoma" w:cs="Tahoma"/>
        </w:rPr>
        <w:t>1</w:t>
      </w:r>
      <w:r w:rsidR="00827692" w:rsidRPr="00607217">
        <w:rPr>
          <w:rFonts w:ascii="Tahoma" w:hAnsi="Tahoma" w:cs="Tahoma"/>
        </w:rPr>
        <w:t xml:space="preserve">00 mil. Kč </w:t>
      </w:r>
      <w:r w:rsidR="00BB3BA7" w:rsidRPr="00607217">
        <w:rPr>
          <w:rFonts w:ascii="Tahoma" w:hAnsi="Tahoma" w:cs="Tahoma"/>
        </w:rPr>
        <w:t xml:space="preserve">na základě </w:t>
      </w:r>
      <w:r w:rsidR="00827692" w:rsidRPr="00607217">
        <w:rPr>
          <w:rFonts w:ascii="Tahoma" w:hAnsi="Tahoma" w:cs="Tahoma"/>
        </w:rPr>
        <w:t>uzavřen</w:t>
      </w:r>
      <w:r w:rsidR="0027027D" w:rsidRPr="00607217">
        <w:rPr>
          <w:rFonts w:ascii="Tahoma" w:hAnsi="Tahoma" w:cs="Tahoma"/>
        </w:rPr>
        <w:t xml:space="preserve">ého </w:t>
      </w:r>
      <w:r w:rsidR="00D44307" w:rsidRPr="00607217">
        <w:rPr>
          <w:rFonts w:ascii="Tahoma" w:hAnsi="Tahoma" w:cs="Tahoma"/>
        </w:rPr>
        <w:t>„M</w:t>
      </w:r>
      <w:r w:rsidR="00827692" w:rsidRPr="00607217">
        <w:rPr>
          <w:rFonts w:ascii="Tahoma" w:hAnsi="Tahoma" w:cs="Tahoma"/>
        </w:rPr>
        <w:t>emorand</w:t>
      </w:r>
      <w:r w:rsidR="0027027D" w:rsidRPr="00607217">
        <w:rPr>
          <w:rFonts w:ascii="Tahoma" w:hAnsi="Tahoma" w:cs="Tahoma"/>
        </w:rPr>
        <w:t>a</w:t>
      </w:r>
      <w:r w:rsidR="00827692" w:rsidRPr="00607217">
        <w:rPr>
          <w:rFonts w:ascii="Tahoma" w:hAnsi="Tahoma" w:cs="Tahoma"/>
        </w:rPr>
        <w:t xml:space="preserve"> </w:t>
      </w:r>
      <w:r w:rsidR="00414BA8" w:rsidRPr="00607217">
        <w:rPr>
          <w:rFonts w:ascii="Tahoma" w:hAnsi="Tahoma" w:cs="Tahoma"/>
        </w:rPr>
        <w:t xml:space="preserve">o spolupráci při </w:t>
      </w:r>
      <w:r w:rsidR="00414BA8" w:rsidRPr="0004245C">
        <w:rPr>
          <w:rFonts w:ascii="Tahoma" w:hAnsi="Tahoma" w:cs="Tahoma"/>
        </w:rPr>
        <w:t xml:space="preserve">přípravě a realizaci projektu Novostavba Moravskoslezské vědecké knihovny v Ostravě“, </w:t>
      </w:r>
    </w:p>
    <w:p w14:paraId="2AB95913" w14:textId="4562FB88" w:rsidR="00122A9F" w:rsidRPr="0004245C" w:rsidRDefault="00C92E14">
      <w:pPr>
        <w:pStyle w:val="Zpat"/>
        <w:numPr>
          <w:ilvl w:val="0"/>
          <w:numId w:val="46"/>
        </w:numPr>
        <w:jc w:val="both"/>
        <w:rPr>
          <w:rFonts w:ascii="Tahoma" w:hAnsi="Tahoma" w:cs="Tahoma"/>
        </w:rPr>
      </w:pPr>
      <w:r w:rsidRPr="0004245C">
        <w:rPr>
          <w:rFonts w:ascii="Tahoma" w:hAnsi="Tahoma" w:cs="Tahoma"/>
        </w:rPr>
        <w:t xml:space="preserve">statutárního </w:t>
      </w:r>
      <w:r w:rsidR="00122A9F" w:rsidRPr="0004245C">
        <w:rPr>
          <w:rFonts w:ascii="Tahoma" w:hAnsi="Tahoma" w:cs="Tahoma"/>
        </w:rPr>
        <w:t>města Ostravy ve výši 3</w:t>
      </w:r>
      <w:r w:rsidR="001B608B" w:rsidRPr="0004245C">
        <w:rPr>
          <w:rFonts w:ascii="Tahoma" w:hAnsi="Tahoma" w:cs="Tahoma"/>
        </w:rPr>
        <w:t>2</w:t>
      </w:r>
      <w:r w:rsidR="00122A9F" w:rsidRPr="0004245C">
        <w:rPr>
          <w:rFonts w:ascii="Tahoma" w:hAnsi="Tahoma" w:cs="Tahoma"/>
        </w:rPr>
        <w:t xml:space="preserve"> mil. Kč </w:t>
      </w:r>
      <w:r w:rsidR="00B70302" w:rsidRPr="0004245C">
        <w:rPr>
          <w:rFonts w:ascii="Tahoma" w:hAnsi="Tahoma" w:cs="Tahoma"/>
        </w:rPr>
        <w:t xml:space="preserve">– </w:t>
      </w:r>
      <w:r w:rsidR="000E189F" w:rsidRPr="0004245C">
        <w:rPr>
          <w:rFonts w:ascii="Tahoma" w:hAnsi="Tahoma" w:cs="Tahoma"/>
        </w:rPr>
        <w:t>spoluúčast na zajištění propagace Moravskoslezského kraje a statutárního města Ostrava formou letecké reklamy</w:t>
      </w:r>
      <w:r w:rsidR="00DF1C10" w:rsidRPr="0004245C">
        <w:rPr>
          <w:rFonts w:ascii="Tahoma" w:hAnsi="Tahoma" w:cs="Tahoma"/>
        </w:rPr>
        <w:t>,</w:t>
      </w:r>
    </w:p>
    <w:p w14:paraId="71EA074F" w14:textId="12EE0E8D" w:rsidR="0038059F" w:rsidRPr="001F6091" w:rsidRDefault="00C80526" w:rsidP="001F6091">
      <w:pPr>
        <w:pStyle w:val="Zpat"/>
        <w:numPr>
          <w:ilvl w:val="0"/>
          <w:numId w:val="46"/>
        </w:numPr>
        <w:jc w:val="both"/>
        <w:rPr>
          <w:rFonts w:ascii="Tahoma" w:hAnsi="Tahoma" w:cs="Tahoma"/>
        </w:rPr>
      </w:pPr>
      <w:r w:rsidRPr="0004245C">
        <w:rPr>
          <w:rFonts w:ascii="Tahoma" w:hAnsi="Tahoma" w:cs="Tahoma"/>
        </w:rPr>
        <w:t xml:space="preserve">města Frenštát pod Radhoštěm </w:t>
      </w:r>
      <w:r w:rsidR="008A27AC" w:rsidRPr="0004245C">
        <w:rPr>
          <w:rFonts w:ascii="Tahoma" w:hAnsi="Tahoma" w:cs="Tahoma"/>
        </w:rPr>
        <w:t xml:space="preserve">ve výši </w:t>
      </w:r>
      <w:r w:rsidR="0076117F" w:rsidRPr="0004245C">
        <w:rPr>
          <w:rFonts w:ascii="Tahoma" w:hAnsi="Tahoma" w:cs="Tahoma"/>
        </w:rPr>
        <w:t>30</w:t>
      </w:r>
      <w:r w:rsidR="008A27AC" w:rsidRPr="0004245C">
        <w:rPr>
          <w:rFonts w:ascii="Tahoma" w:hAnsi="Tahoma" w:cs="Tahoma"/>
        </w:rPr>
        <w:t xml:space="preserve"> mil. Kč </w:t>
      </w:r>
      <w:r w:rsidRPr="0004245C">
        <w:rPr>
          <w:rFonts w:ascii="Tahoma" w:hAnsi="Tahoma" w:cs="Tahoma"/>
        </w:rPr>
        <w:t xml:space="preserve">na základě </w:t>
      </w:r>
      <w:r w:rsidR="00797E29" w:rsidRPr="0004245C">
        <w:rPr>
          <w:rFonts w:ascii="Tahoma" w:hAnsi="Tahoma" w:cs="Tahoma"/>
        </w:rPr>
        <w:t xml:space="preserve">uzavřeného </w:t>
      </w:r>
      <w:r w:rsidR="001C3A62" w:rsidRPr="0004245C">
        <w:rPr>
          <w:rFonts w:ascii="Tahoma" w:hAnsi="Tahoma" w:cs="Tahoma"/>
        </w:rPr>
        <w:t>„M</w:t>
      </w:r>
      <w:r w:rsidR="00797E29" w:rsidRPr="0004245C">
        <w:rPr>
          <w:rFonts w:ascii="Tahoma" w:hAnsi="Tahoma" w:cs="Tahoma"/>
        </w:rPr>
        <w:t>emoranda</w:t>
      </w:r>
      <w:r w:rsidR="008F2B6D" w:rsidRPr="0004245C">
        <w:rPr>
          <w:rFonts w:ascii="Tahoma" w:hAnsi="Tahoma" w:cs="Tahoma"/>
        </w:rPr>
        <w:t xml:space="preserve"> o vzáj</w:t>
      </w:r>
      <w:r w:rsidR="00410F48" w:rsidRPr="0004245C">
        <w:rPr>
          <w:rFonts w:ascii="Tahoma" w:hAnsi="Tahoma" w:cs="Tahoma"/>
        </w:rPr>
        <w:t>e</w:t>
      </w:r>
      <w:r w:rsidR="008F2B6D" w:rsidRPr="0004245C">
        <w:rPr>
          <w:rFonts w:ascii="Tahoma" w:hAnsi="Tahoma" w:cs="Tahoma"/>
        </w:rPr>
        <w:t>mn</w:t>
      </w:r>
      <w:r w:rsidR="00410F48" w:rsidRPr="0004245C">
        <w:rPr>
          <w:rFonts w:ascii="Tahoma" w:hAnsi="Tahoma" w:cs="Tahoma"/>
        </w:rPr>
        <w:t>é spolupráci a finanční podpoře</w:t>
      </w:r>
      <w:r w:rsidR="00DB624C" w:rsidRPr="0004245C">
        <w:rPr>
          <w:rFonts w:ascii="Tahoma" w:hAnsi="Tahoma" w:cs="Tahoma"/>
        </w:rPr>
        <w:t>“</w:t>
      </w:r>
      <w:r w:rsidRPr="0004245C">
        <w:rPr>
          <w:rFonts w:ascii="Tahoma" w:hAnsi="Tahoma" w:cs="Tahoma"/>
        </w:rPr>
        <w:t xml:space="preserve"> </w:t>
      </w:r>
      <w:r w:rsidR="001C3A62" w:rsidRPr="0004245C">
        <w:rPr>
          <w:rFonts w:ascii="Tahoma" w:hAnsi="Tahoma" w:cs="Tahoma"/>
        </w:rPr>
        <w:t xml:space="preserve">za </w:t>
      </w:r>
      <w:r w:rsidR="00FA5541" w:rsidRPr="0004245C">
        <w:rPr>
          <w:rFonts w:ascii="Tahoma" w:hAnsi="Tahoma" w:cs="Tahoma"/>
        </w:rPr>
        <w:t>účelem realizace projektu Výstavba sportovní haly pro Gymnázium a</w:t>
      </w:r>
      <w:r w:rsidR="00FA5541" w:rsidRPr="004E55DD">
        <w:rPr>
          <w:rFonts w:ascii="Tahoma" w:hAnsi="Tahoma" w:cs="Tahoma"/>
        </w:rPr>
        <w:t xml:space="preserve"> SPŠEI ve Frenštátě pod Radhoštěm</w:t>
      </w:r>
      <w:r w:rsidR="001F6091">
        <w:rPr>
          <w:rFonts w:ascii="Tahoma" w:hAnsi="Tahoma" w:cs="Tahoma"/>
        </w:rPr>
        <w:t>.</w:t>
      </w:r>
    </w:p>
    <w:p w14:paraId="13F78627" w14:textId="77777777" w:rsidR="00232D2A" w:rsidRPr="004E55DD" w:rsidRDefault="00232D2A" w:rsidP="00232D2A">
      <w:pPr>
        <w:pStyle w:val="Zpat"/>
        <w:tabs>
          <w:tab w:val="clear" w:pos="4536"/>
          <w:tab w:val="clear" w:pos="9072"/>
        </w:tabs>
        <w:jc w:val="both"/>
        <w:rPr>
          <w:rFonts w:ascii="Tahoma" w:hAnsi="Tahoma" w:cs="Tahoma"/>
          <w:highlight w:val="yellow"/>
        </w:rPr>
      </w:pPr>
    </w:p>
    <w:p w14:paraId="7EE4252D" w14:textId="7DC3901C" w:rsidR="000C7E6A" w:rsidRDefault="000C7E6A" w:rsidP="000C7E6A">
      <w:pPr>
        <w:pStyle w:val="Zpat"/>
        <w:tabs>
          <w:tab w:val="clear" w:pos="4536"/>
          <w:tab w:val="clear" w:pos="9072"/>
        </w:tabs>
        <w:ind w:left="284"/>
        <w:jc w:val="both"/>
        <w:rPr>
          <w:rFonts w:ascii="Tahoma" w:hAnsi="Tahoma" w:cs="Tahoma"/>
        </w:rPr>
      </w:pPr>
      <w:r w:rsidRPr="00FC38F8">
        <w:rPr>
          <w:rFonts w:ascii="Tahoma" w:hAnsi="Tahoma" w:cs="Tahoma"/>
        </w:rPr>
        <w:t xml:space="preserve">Předpokládáme, že i v letech </w:t>
      </w:r>
      <w:r w:rsidR="00310717" w:rsidRPr="00FC38F8">
        <w:rPr>
          <w:rFonts w:ascii="Tahoma" w:hAnsi="Tahoma" w:cs="Tahoma"/>
        </w:rPr>
        <w:t>202</w:t>
      </w:r>
      <w:r w:rsidR="00310717">
        <w:rPr>
          <w:rFonts w:ascii="Tahoma" w:hAnsi="Tahoma" w:cs="Tahoma"/>
        </w:rPr>
        <w:t>5–2027</w:t>
      </w:r>
      <w:r w:rsidRPr="00FC38F8">
        <w:rPr>
          <w:rFonts w:ascii="Tahoma" w:hAnsi="Tahoma" w:cs="Tahoma"/>
        </w:rPr>
        <w:t xml:space="preserve"> bude kraj inkasovat významný objem dotací souvisejících s akcemi realizovanými z evropských finančních zdrojů</w:t>
      </w:r>
      <w:r w:rsidRPr="009C2DCD">
        <w:rPr>
          <w:rFonts w:ascii="Tahoma" w:hAnsi="Tahoma" w:cs="Tahoma"/>
        </w:rPr>
        <w:t xml:space="preserve">. Objem těchto příjmů v jednotlivých letech bude </w:t>
      </w:r>
      <w:r w:rsidR="009C2DCD">
        <w:rPr>
          <w:rFonts w:ascii="Tahoma" w:hAnsi="Tahoma" w:cs="Tahoma"/>
        </w:rPr>
        <w:t xml:space="preserve">zcela jistě ovlivněn </w:t>
      </w:r>
      <w:r w:rsidR="009C2DCD" w:rsidRPr="009C2DCD">
        <w:rPr>
          <w:rFonts w:ascii="Tahoma" w:hAnsi="Tahoma" w:cs="Tahoma"/>
        </w:rPr>
        <w:t>vrcholem</w:t>
      </w:r>
      <w:r w:rsidRPr="009C2DCD">
        <w:rPr>
          <w:rFonts w:ascii="Tahoma" w:hAnsi="Tahoma" w:cs="Tahoma"/>
        </w:rPr>
        <w:t xml:space="preserve"> programového období </w:t>
      </w:r>
      <w:r w:rsidR="00797E29" w:rsidRPr="009C2DCD">
        <w:rPr>
          <w:rFonts w:ascii="Tahoma" w:hAnsi="Tahoma" w:cs="Tahoma"/>
        </w:rPr>
        <w:t>2021–2027</w:t>
      </w:r>
      <w:r w:rsidRPr="009C2DCD">
        <w:rPr>
          <w:rFonts w:ascii="Tahoma" w:hAnsi="Tahoma" w:cs="Tahoma"/>
        </w:rPr>
        <w:t>. Proplácení plateb dotací ze strany řídících orgánů je předpokládáno až po úhradě výdajů krajem (platby ex-post)</w:t>
      </w:r>
      <w:r w:rsidRPr="00FC38F8">
        <w:rPr>
          <w:rFonts w:ascii="Tahoma" w:hAnsi="Tahoma" w:cs="Tahoma"/>
        </w:rPr>
        <w:t xml:space="preserve"> </w:t>
      </w:r>
      <w:r w:rsidR="00153D9C">
        <w:rPr>
          <w:rFonts w:ascii="Tahoma" w:hAnsi="Tahoma" w:cs="Tahoma"/>
        </w:rPr>
        <w:t>v</w:t>
      </w:r>
      <w:r w:rsidRPr="00FC38F8">
        <w:rPr>
          <w:rFonts w:ascii="Tahoma" w:hAnsi="Tahoma" w:cs="Tahoma"/>
        </w:rPr>
        <w:t xml:space="preserve">yjma neinvestičních projektů zejména v oblasti sociálních věcí, školství a </w:t>
      </w:r>
      <w:r w:rsidR="009A0320">
        <w:rPr>
          <w:rFonts w:ascii="Tahoma" w:hAnsi="Tahoma" w:cs="Tahoma"/>
        </w:rPr>
        <w:t xml:space="preserve">tzv. kotlíkových </w:t>
      </w:r>
      <w:r w:rsidRPr="00FC38F8">
        <w:rPr>
          <w:rFonts w:ascii="Tahoma" w:hAnsi="Tahoma" w:cs="Tahoma"/>
        </w:rPr>
        <w:t>dotací, kde budou přijímány zálohy dotací (platby ex-ante).</w:t>
      </w:r>
      <w:r w:rsidRPr="000C7E6A">
        <w:rPr>
          <w:rFonts w:ascii="Tahoma" w:hAnsi="Tahoma" w:cs="Tahoma"/>
        </w:rPr>
        <w:t xml:space="preserve"> </w:t>
      </w:r>
      <w:r>
        <w:rPr>
          <w:rFonts w:ascii="Tahoma" w:hAnsi="Tahoma" w:cs="Tahoma"/>
        </w:rPr>
        <w:t xml:space="preserve">  </w:t>
      </w:r>
    </w:p>
    <w:p w14:paraId="4FC311AA" w14:textId="00F5E8D0" w:rsidR="00FF5B74" w:rsidRDefault="00FF5B74">
      <w:pPr>
        <w:rPr>
          <w:rFonts w:ascii="Tahoma" w:hAnsi="Tahoma" w:cs="Tahoma"/>
        </w:rPr>
      </w:pPr>
      <w:r>
        <w:rPr>
          <w:rFonts w:ascii="Tahoma" w:hAnsi="Tahoma" w:cs="Tahoma"/>
        </w:rPr>
        <w:br w:type="page"/>
      </w:r>
    </w:p>
    <w:p w14:paraId="79E65A45" w14:textId="2B7638B8" w:rsidR="008E7B37" w:rsidRPr="00826D55" w:rsidRDefault="008E7B37" w:rsidP="00757748">
      <w:pPr>
        <w:pStyle w:val="Nadpis3"/>
        <w:spacing w:before="360" w:after="180"/>
        <w:rPr>
          <w:rFonts w:ascii="Tahoma" w:hAnsi="Tahoma" w:cs="Tahoma"/>
          <w:b/>
          <w:bCs/>
          <w:sz w:val="24"/>
          <w:szCs w:val="24"/>
        </w:rPr>
      </w:pPr>
      <w:bookmarkStart w:id="2" w:name="_Toc150511314"/>
      <w:r w:rsidRPr="00826D55">
        <w:rPr>
          <w:rFonts w:ascii="Tahoma" w:hAnsi="Tahoma" w:cs="Tahoma"/>
          <w:b/>
          <w:bCs/>
          <w:sz w:val="24"/>
          <w:szCs w:val="24"/>
        </w:rPr>
        <w:lastRenderedPageBreak/>
        <w:t xml:space="preserve">PLÁNOVANÉ VÝDAJE kraje v období let </w:t>
      </w:r>
      <w:r w:rsidR="009706A1" w:rsidRPr="00B32B02">
        <w:rPr>
          <w:rFonts w:ascii="Tahoma" w:hAnsi="Tahoma" w:cs="Tahoma"/>
          <w:b/>
          <w:bCs/>
          <w:sz w:val="24"/>
          <w:szCs w:val="24"/>
        </w:rPr>
        <w:t>202</w:t>
      </w:r>
      <w:r w:rsidR="009706A1">
        <w:rPr>
          <w:rFonts w:ascii="Tahoma" w:hAnsi="Tahoma" w:cs="Tahoma"/>
          <w:b/>
          <w:bCs/>
          <w:sz w:val="24"/>
          <w:szCs w:val="24"/>
        </w:rPr>
        <w:t>5–2027</w:t>
      </w:r>
      <w:bookmarkEnd w:id="2"/>
    </w:p>
    <w:p w14:paraId="79E65A46" w14:textId="77777777" w:rsidR="00D27744" w:rsidRPr="00826D55" w:rsidRDefault="00D27744" w:rsidP="002935C6">
      <w:pPr>
        <w:pStyle w:val="Nadpis4"/>
        <w:rPr>
          <w:rFonts w:ascii="Tahoma" w:hAnsi="Tahoma" w:cs="Tahoma"/>
          <w:sz w:val="24"/>
          <w:szCs w:val="24"/>
        </w:rPr>
      </w:pPr>
      <w:r w:rsidRPr="00826D55">
        <w:rPr>
          <w:rFonts w:ascii="Tahoma" w:hAnsi="Tahoma" w:cs="Tahoma"/>
          <w:sz w:val="24"/>
          <w:szCs w:val="24"/>
        </w:rPr>
        <w:t xml:space="preserve">Běžné výdaje na činnost zastupitelstva kraje a krajského úřadu </w:t>
      </w:r>
    </w:p>
    <w:p w14:paraId="79E65A47" w14:textId="77777777" w:rsidR="00AC58E6" w:rsidRPr="00826D55" w:rsidRDefault="00AC58E6" w:rsidP="00AC58E6">
      <w:pPr>
        <w:rPr>
          <w:rFonts w:ascii="Tahoma" w:hAnsi="Tahoma" w:cs="Tahoma"/>
        </w:rPr>
      </w:pPr>
    </w:p>
    <w:p w14:paraId="0A7C5BE7" w14:textId="5D2BB403" w:rsidR="004B64E2" w:rsidRDefault="00AC58E6" w:rsidP="00A822D7">
      <w:pPr>
        <w:tabs>
          <w:tab w:val="right" w:pos="4962"/>
        </w:tabs>
        <w:rPr>
          <w:rFonts w:ascii="Tahoma" w:hAnsi="Tahoma" w:cs="Tahoma"/>
          <w:sz w:val="16"/>
          <w:szCs w:val="16"/>
        </w:rPr>
      </w:pPr>
      <w:r w:rsidRPr="00826D55">
        <w:rPr>
          <w:rFonts w:ascii="Tahoma" w:hAnsi="Tahoma" w:cs="Tahoma"/>
          <w:sz w:val="16"/>
          <w:szCs w:val="16"/>
        </w:rPr>
        <w:t xml:space="preserve">Graf č. 6 Vývoj běžných výdajů na činnost zastupitelstva kraje a krajského úřadu </w:t>
      </w:r>
      <w:r w:rsidR="00BC5E9E" w:rsidRPr="00826D55">
        <w:rPr>
          <w:rFonts w:ascii="Tahoma" w:hAnsi="Tahoma" w:cs="Tahoma"/>
          <w:sz w:val="16"/>
          <w:szCs w:val="16"/>
        </w:rPr>
        <w:t>(v mil. Kč)</w:t>
      </w:r>
    </w:p>
    <w:p w14:paraId="7814132B" w14:textId="2553E853" w:rsidR="0011459A" w:rsidRDefault="0011459A" w:rsidP="00A822D7">
      <w:pPr>
        <w:tabs>
          <w:tab w:val="right" w:pos="4962"/>
        </w:tabs>
        <w:rPr>
          <w:rFonts w:ascii="Tahoma" w:hAnsi="Tahoma" w:cs="Tahoma"/>
          <w:sz w:val="16"/>
          <w:szCs w:val="16"/>
        </w:rPr>
      </w:pPr>
      <w:r>
        <w:rPr>
          <w:rFonts w:ascii="Tahoma" w:hAnsi="Tahoma" w:cs="Tahoma"/>
          <w:noProof/>
          <w:sz w:val="16"/>
          <w:szCs w:val="16"/>
        </w:rPr>
        <w:drawing>
          <wp:inline distT="0" distB="0" distL="0" distR="0" wp14:anchorId="4C6E612E" wp14:editId="55B17767">
            <wp:extent cx="3802977" cy="2286000"/>
            <wp:effectExtent l="0" t="0" r="7620" b="0"/>
            <wp:docPr id="1792119415" name="Obrázek 179211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6668" cy="2294230"/>
                    </a:xfrm>
                    <a:prstGeom prst="rect">
                      <a:avLst/>
                    </a:prstGeom>
                    <a:noFill/>
                  </pic:spPr>
                </pic:pic>
              </a:graphicData>
            </a:graphic>
          </wp:inline>
        </w:drawing>
      </w:r>
    </w:p>
    <w:p w14:paraId="3BF48DE6" w14:textId="77777777" w:rsidR="00E27E60" w:rsidRPr="007804B1" w:rsidRDefault="00E27E60" w:rsidP="00A822D7">
      <w:pPr>
        <w:tabs>
          <w:tab w:val="right" w:pos="4962"/>
        </w:tabs>
        <w:rPr>
          <w:rFonts w:ascii="Tahoma" w:hAnsi="Tahoma" w:cs="Tahoma"/>
        </w:rPr>
      </w:pPr>
    </w:p>
    <w:p w14:paraId="195C84A0" w14:textId="68BC13BB" w:rsidR="00894C1F" w:rsidRPr="000362AB" w:rsidRDefault="0052571B" w:rsidP="00894C1F">
      <w:pPr>
        <w:pStyle w:val="Bezmezer"/>
      </w:pPr>
      <w:r w:rsidRPr="00826D55">
        <w:rPr>
          <w:rFonts w:cs="Tahoma"/>
        </w:rPr>
        <w:t xml:space="preserve">V letech </w:t>
      </w:r>
      <w:r w:rsidR="00310717" w:rsidRPr="00826D55">
        <w:rPr>
          <w:rFonts w:cs="Tahoma"/>
          <w:szCs w:val="24"/>
        </w:rPr>
        <w:t>202</w:t>
      </w:r>
      <w:r w:rsidR="00310717">
        <w:rPr>
          <w:rFonts w:cs="Tahoma"/>
          <w:szCs w:val="24"/>
        </w:rPr>
        <w:t>5–2027</w:t>
      </w:r>
      <w:r w:rsidR="00053C77">
        <w:rPr>
          <w:rFonts w:cs="Tahoma"/>
          <w:szCs w:val="24"/>
        </w:rPr>
        <w:t xml:space="preserve"> </w:t>
      </w:r>
      <w:r w:rsidRPr="00826D55">
        <w:rPr>
          <w:rFonts w:cs="Tahoma"/>
        </w:rPr>
        <w:t xml:space="preserve">se u výdajů určených k zabezpečení činnosti </w:t>
      </w:r>
      <w:r w:rsidRPr="00DE0350">
        <w:rPr>
          <w:rFonts w:cs="Tahoma"/>
        </w:rPr>
        <w:t>orgánů kraje a krajského úřadu</w:t>
      </w:r>
      <w:r w:rsidR="00583B0C" w:rsidRPr="00DE0350">
        <w:rPr>
          <w:rFonts w:cs="Tahoma"/>
        </w:rPr>
        <w:t xml:space="preserve"> </w:t>
      </w:r>
      <w:r w:rsidRPr="00DE0350">
        <w:rPr>
          <w:rFonts w:cs="Tahoma"/>
        </w:rPr>
        <w:t xml:space="preserve">předpokládá </w:t>
      </w:r>
      <w:r w:rsidR="00DE0350" w:rsidRPr="00DE0350">
        <w:rPr>
          <w:rFonts w:cs="Tahoma"/>
        </w:rPr>
        <w:t>mírn</w:t>
      </w:r>
      <w:r w:rsidR="00A34C2F">
        <w:rPr>
          <w:rFonts w:cs="Tahoma"/>
        </w:rPr>
        <w:t>ý nárůst</w:t>
      </w:r>
      <w:r w:rsidR="007B724D">
        <w:rPr>
          <w:rFonts w:cs="Tahoma"/>
        </w:rPr>
        <w:t xml:space="preserve">. </w:t>
      </w:r>
      <w:r w:rsidR="008E7B37" w:rsidRPr="00DE0350">
        <w:rPr>
          <w:rFonts w:cs="Tahoma"/>
        </w:rPr>
        <w:t xml:space="preserve">Významnou výdajovou položkou v této oblasti </w:t>
      </w:r>
      <w:r w:rsidRPr="00DE0350">
        <w:rPr>
          <w:rFonts w:cs="Tahoma"/>
        </w:rPr>
        <w:t>zůstanou</w:t>
      </w:r>
      <w:r w:rsidR="008E7B37" w:rsidRPr="00DE0350">
        <w:rPr>
          <w:rFonts w:cs="Tahoma"/>
        </w:rPr>
        <w:t xml:space="preserve"> prostředky určené na </w:t>
      </w:r>
      <w:r w:rsidRPr="00DE0350">
        <w:rPr>
          <w:rFonts w:cs="Tahoma"/>
        </w:rPr>
        <w:t xml:space="preserve">odměny členů zastupitelstva kraje a platy </w:t>
      </w:r>
      <w:r w:rsidR="008E7B37" w:rsidRPr="00DE0350">
        <w:rPr>
          <w:rFonts w:cs="Tahoma"/>
        </w:rPr>
        <w:t>zaměstnanců zařazených do krajského úřadu</w:t>
      </w:r>
      <w:r w:rsidRPr="00DE0350">
        <w:rPr>
          <w:rFonts w:cs="Tahoma"/>
        </w:rPr>
        <w:t xml:space="preserve">. </w:t>
      </w:r>
      <w:r w:rsidR="00C87BDC" w:rsidRPr="00DE0350">
        <w:t>Součástí těchto výdajů je také realizace opatření či podpora těch stávajících</w:t>
      </w:r>
      <w:r w:rsidR="003B4B8A" w:rsidRPr="00DE0350">
        <w:t xml:space="preserve">, které povedou </w:t>
      </w:r>
      <w:r w:rsidR="00C87BDC" w:rsidRPr="00DE0350">
        <w:t>ke zvýšení kvality poskytovaných</w:t>
      </w:r>
      <w:r w:rsidR="00C87BDC" w:rsidRPr="00096511">
        <w:t xml:space="preserve"> služeb krajským úřadem</w:t>
      </w:r>
      <w:r w:rsidR="003B4B8A" w:rsidRPr="00096511">
        <w:t xml:space="preserve">, </w:t>
      </w:r>
      <w:r w:rsidR="00C87BDC" w:rsidRPr="00096511">
        <w:t>zajištění nejen objektové, ale i informační bezpečnosti vyplývající pro kraj ze</w:t>
      </w:r>
      <w:r w:rsidR="000A5170" w:rsidRPr="00096511">
        <w:t> </w:t>
      </w:r>
      <w:r w:rsidR="00C87BDC" w:rsidRPr="00096511">
        <w:t>stávající legislativy</w:t>
      </w:r>
      <w:r w:rsidR="003B4B8A" w:rsidRPr="00096511">
        <w:t xml:space="preserve"> a zavádění </w:t>
      </w:r>
      <w:r w:rsidR="00E434F8" w:rsidRPr="00096511">
        <w:t>eGovernmentu</w:t>
      </w:r>
      <w:r w:rsidR="00C87BDC" w:rsidRPr="00096511">
        <w:t xml:space="preserve">. </w:t>
      </w:r>
      <w:r w:rsidR="00086B1D" w:rsidRPr="00096511">
        <w:t xml:space="preserve">Naproti tomu se bude pokračovat s </w:t>
      </w:r>
      <w:r w:rsidRPr="00096511">
        <w:t xml:space="preserve">úspornými opatřeními, díky nimž jsou </w:t>
      </w:r>
      <w:r w:rsidR="00086B1D" w:rsidRPr="00096511">
        <w:t>sni</w:t>
      </w:r>
      <w:r w:rsidRPr="00096511">
        <w:t>ž</w:t>
      </w:r>
      <w:r w:rsidR="00086B1D" w:rsidRPr="00096511">
        <w:t xml:space="preserve">ovány </w:t>
      </w:r>
      <w:r w:rsidRPr="00096511">
        <w:t>vybrané provozní výdaje – např. nákupy materiálu, tepla, pohonných hmot</w:t>
      </w:r>
      <w:r w:rsidRPr="000362AB">
        <w:t>.</w:t>
      </w:r>
      <w:r w:rsidR="00C70357" w:rsidRPr="000362AB">
        <w:t xml:space="preserve"> </w:t>
      </w:r>
      <w:r w:rsidR="00894C1F" w:rsidRPr="000362AB">
        <w:t xml:space="preserve">Součástí výdajů </w:t>
      </w:r>
      <w:r w:rsidR="000362AB" w:rsidRPr="000362AB">
        <w:t xml:space="preserve">na činnost zastupitelstva kraje a krajského úřadu je </w:t>
      </w:r>
      <w:r w:rsidR="00894C1F" w:rsidRPr="000362AB">
        <w:t>rovněž</w:t>
      </w:r>
      <w:r w:rsidR="000362AB" w:rsidRPr="000362AB">
        <w:t xml:space="preserve"> tvorba </w:t>
      </w:r>
      <w:r w:rsidR="00894C1F" w:rsidRPr="000362AB">
        <w:t>Sociální fond</w:t>
      </w:r>
      <w:r w:rsidR="000362AB" w:rsidRPr="000362AB">
        <w:t>u.</w:t>
      </w:r>
    </w:p>
    <w:p w14:paraId="5820109D" w14:textId="77777777" w:rsidR="00894C1F" w:rsidRPr="007804B1" w:rsidRDefault="00894C1F" w:rsidP="00086B1D">
      <w:pPr>
        <w:pStyle w:val="Bezmezer"/>
        <w:rPr>
          <w:iCs/>
        </w:rPr>
      </w:pPr>
    </w:p>
    <w:p w14:paraId="79E65A4F" w14:textId="77777777" w:rsidR="008E7B37" w:rsidRPr="00826D55" w:rsidRDefault="008E7B37" w:rsidP="002935C6">
      <w:pPr>
        <w:pStyle w:val="Nadpis4"/>
        <w:rPr>
          <w:rFonts w:ascii="Tahoma" w:hAnsi="Tahoma" w:cs="Tahoma"/>
          <w:sz w:val="24"/>
          <w:szCs w:val="24"/>
        </w:rPr>
      </w:pPr>
      <w:r w:rsidRPr="00826D55">
        <w:rPr>
          <w:rFonts w:ascii="Tahoma" w:hAnsi="Tahoma" w:cs="Tahoma"/>
          <w:sz w:val="24"/>
          <w:szCs w:val="24"/>
        </w:rPr>
        <w:t>Finance a správa majetku</w:t>
      </w:r>
    </w:p>
    <w:p w14:paraId="79E65A50" w14:textId="77777777" w:rsidR="009F7F00" w:rsidRPr="00826D55" w:rsidRDefault="009F7F00" w:rsidP="009F7F00"/>
    <w:p w14:paraId="6B263C23" w14:textId="77777777" w:rsidR="00A51A17" w:rsidRDefault="00AC58E6" w:rsidP="009575DE">
      <w:pPr>
        <w:tabs>
          <w:tab w:val="right" w:pos="4962"/>
        </w:tabs>
        <w:rPr>
          <w:rFonts w:ascii="Tahoma" w:hAnsi="Tahoma" w:cs="Tahoma"/>
          <w:sz w:val="16"/>
          <w:szCs w:val="16"/>
        </w:rPr>
      </w:pPr>
      <w:r w:rsidRPr="00826D55">
        <w:rPr>
          <w:rFonts w:ascii="Tahoma" w:hAnsi="Tahoma" w:cs="Tahoma"/>
          <w:sz w:val="16"/>
          <w:szCs w:val="16"/>
        </w:rPr>
        <w:t xml:space="preserve">Graf č. 7 Vývoj </w:t>
      </w:r>
      <w:r w:rsidR="00AB38BF" w:rsidRPr="00826D55">
        <w:rPr>
          <w:rFonts w:ascii="Tahoma" w:hAnsi="Tahoma" w:cs="Tahoma"/>
          <w:sz w:val="16"/>
          <w:szCs w:val="16"/>
        </w:rPr>
        <w:t xml:space="preserve">výdajů v oblasti Finance a správa majetku </w:t>
      </w:r>
      <w:r w:rsidR="00BC5E9E" w:rsidRPr="00826D55">
        <w:rPr>
          <w:rFonts w:ascii="Tahoma" w:hAnsi="Tahoma" w:cs="Tahoma"/>
          <w:sz w:val="16"/>
          <w:szCs w:val="16"/>
        </w:rPr>
        <w:t>(v mil. Kč)</w:t>
      </w:r>
    </w:p>
    <w:p w14:paraId="405C4456" w14:textId="4BCE01BF" w:rsidR="00A51A17" w:rsidRDefault="00A51A17" w:rsidP="009575DE">
      <w:pPr>
        <w:tabs>
          <w:tab w:val="right" w:pos="4962"/>
        </w:tabs>
        <w:rPr>
          <w:rFonts w:ascii="Tahoma" w:hAnsi="Tahoma" w:cs="Tahoma"/>
          <w:sz w:val="16"/>
          <w:szCs w:val="16"/>
        </w:rPr>
      </w:pPr>
      <w:r>
        <w:rPr>
          <w:rFonts w:ascii="Tahoma" w:hAnsi="Tahoma" w:cs="Tahoma"/>
          <w:noProof/>
          <w:sz w:val="16"/>
          <w:szCs w:val="16"/>
        </w:rPr>
        <w:drawing>
          <wp:inline distT="0" distB="0" distL="0" distR="0" wp14:anchorId="25AD405E" wp14:editId="7E151EFB">
            <wp:extent cx="3755440" cy="2257425"/>
            <wp:effectExtent l="0" t="0" r="0" b="0"/>
            <wp:docPr id="1045325058" name="Obrázek 104532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3817" cy="2262461"/>
                    </a:xfrm>
                    <a:prstGeom prst="rect">
                      <a:avLst/>
                    </a:prstGeom>
                    <a:noFill/>
                  </pic:spPr>
                </pic:pic>
              </a:graphicData>
            </a:graphic>
          </wp:inline>
        </w:drawing>
      </w:r>
    </w:p>
    <w:p w14:paraId="62DB00C6" w14:textId="0B52742E" w:rsidR="00CA1D69" w:rsidRDefault="00CA1D69" w:rsidP="009575DE">
      <w:pPr>
        <w:tabs>
          <w:tab w:val="right" w:pos="4962"/>
        </w:tabs>
        <w:rPr>
          <w:rFonts w:ascii="Tahoma" w:hAnsi="Tahoma" w:cs="Tahoma"/>
          <w:sz w:val="16"/>
          <w:szCs w:val="16"/>
        </w:rPr>
      </w:pPr>
    </w:p>
    <w:p w14:paraId="21B927E5" w14:textId="007619E0" w:rsidR="75109EFE" w:rsidRPr="00DA2E2A" w:rsidRDefault="75109EFE" w:rsidP="7B2D13D1">
      <w:pPr>
        <w:jc w:val="both"/>
        <w:rPr>
          <w:rFonts w:ascii="Tahoma" w:hAnsi="Tahoma" w:cs="Tahoma"/>
        </w:rPr>
      </w:pPr>
      <w:r w:rsidRPr="00DA2E2A">
        <w:rPr>
          <w:rFonts w:ascii="Tahoma" w:hAnsi="Tahoma" w:cs="Tahoma"/>
        </w:rPr>
        <w:t xml:space="preserve">Jedním z hlavních výdajů v této oblasti jsou hrazené úroky z úvěrů čerpaných krajem. </w:t>
      </w:r>
      <w:r w:rsidR="63CDA7DF" w:rsidRPr="00DA2E2A">
        <w:rPr>
          <w:rFonts w:ascii="Tahoma" w:hAnsi="Tahoma" w:cs="Tahoma"/>
        </w:rPr>
        <w:t>V roce 2025 j</w:t>
      </w:r>
      <w:r w:rsidRPr="00DA2E2A">
        <w:rPr>
          <w:rFonts w:ascii="Tahoma" w:hAnsi="Tahoma" w:cs="Tahoma"/>
        </w:rPr>
        <w:t xml:space="preserve">e počítáno </w:t>
      </w:r>
      <w:r w:rsidR="00194B8E" w:rsidRPr="00DA2E2A">
        <w:rPr>
          <w:rFonts w:ascii="Tahoma" w:hAnsi="Tahoma" w:cs="Tahoma"/>
        </w:rPr>
        <w:t>s úhradou</w:t>
      </w:r>
      <w:r w:rsidRPr="00DA2E2A">
        <w:rPr>
          <w:rFonts w:ascii="Tahoma" w:hAnsi="Tahoma" w:cs="Tahoma"/>
        </w:rPr>
        <w:t xml:space="preserve"> úroků </w:t>
      </w:r>
      <w:r w:rsidR="00DA2E2A">
        <w:rPr>
          <w:rFonts w:ascii="Tahoma" w:hAnsi="Tahoma" w:cs="Tahoma"/>
        </w:rPr>
        <w:t>z končících úvěr</w:t>
      </w:r>
      <w:r w:rsidR="00A6777F">
        <w:rPr>
          <w:rFonts w:ascii="Tahoma" w:hAnsi="Tahoma" w:cs="Tahoma"/>
        </w:rPr>
        <w:t>ů</w:t>
      </w:r>
      <w:r w:rsidR="00DA2E2A">
        <w:rPr>
          <w:rFonts w:ascii="Tahoma" w:hAnsi="Tahoma" w:cs="Tahoma"/>
        </w:rPr>
        <w:t xml:space="preserve"> </w:t>
      </w:r>
      <w:r w:rsidR="151ED408" w:rsidRPr="00DA2E2A">
        <w:rPr>
          <w:rFonts w:ascii="Tahoma" w:hAnsi="Tahoma" w:cs="Tahoma"/>
        </w:rPr>
        <w:t xml:space="preserve">od Evropské </w:t>
      </w:r>
      <w:r w:rsidR="548BD03D" w:rsidRPr="00DA2E2A">
        <w:rPr>
          <w:rFonts w:ascii="Tahoma" w:hAnsi="Tahoma" w:cs="Tahoma"/>
        </w:rPr>
        <w:t xml:space="preserve">investiční banky </w:t>
      </w:r>
      <w:r w:rsidR="00194B8E" w:rsidRPr="00DA2E2A">
        <w:rPr>
          <w:rFonts w:ascii="Tahoma" w:hAnsi="Tahoma" w:cs="Tahoma"/>
        </w:rPr>
        <w:t xml:space="preserve">a </w:t>
      </w:r>
      <w:proofErr w:type="spellStart"/>
      <w:r w:rsidR="00194B8E" w:rsidRPr="00DA2E2A">
        <w:rPr>
          <w:rFonts w:ascii="Tahoma" w:hAnsi="Tahoma" w:cs="Tahoma"/>
        </w:rPr>
        <w:t>UniCredit</w:t>
      </w:r>
      <w:proofErr w:type="spellEnd"/>
      <w:r w:rsidRPr="00DA2E2A">
        <w:rPr>
          <w:rFonts w:ascii="Tahoma" w:hAnsi="Tahoma" w:cs="Tahoma"/>
        </w:rPr>
        <w:t xml:space="preserve"> Bank Czech Republic and Slovakia, a.s.</w:t>
      </w:r>
      <w:r w:rsidR="0FC2FC07" w:rsidRPr="00DA2E2A">
        <w:rPr>
          <w:rFonts w:ascii="Tahoma" w:hAnsi="Tahoma" w:cs="Tahoma"/>
        </w:rPr>
        <w:t xml:space="preserve"> (dále jen “UCB”). V letech 2026 a 2027 </w:t>
      </w:r>
      <w:r w:rsidR="22E88619" w:rsidRPr="00DA2E2A">
        <w:rPr>
          <w:rFonts w:ascii="Tahoma" w:hAnsi="Tahoma" w:cs="Tahoma"/>
        </w:rPr>
        <w:t xml:space="preserve">je pak počítáno </w:t>
      </w:r>
      <w:r w:rsidR="0FC2FC07" w:rsidRPr="00DA2E2A">
        <w:rPr>
          <w:rFonts w:ascii="Tahoma" w:hAnsi="Tahoma" w:cs="Tahoma"/>
        </w:rPr>
        <w:t xml:space="preserve">s úroky z </w:t>
      </w:r>
      <w:r w:rsidR="00194B8E" w:rsidRPr="00DA2E2A">
        <w:rPr>
          <w:rFonts w:ascii="Tahoma" w:hAnsi="Tahoma" w:cs="Tahoma"/>
        </w:rPr>
        <w:t>úvěr</w:t>
      </w:r>
      <w:r w:rsidR="00194B8E">
        <w:rPr>
          <w:rFonts w:ascii="Tahoma" w:hAnsi="Tahoma" w:cs="Tahoma"/>
        </w:rPr>
        <w:t>ů</w:t>
      </w:r>
      <w:r w:rsidR="00194B8E" w:rsidRPr="00DA2E2A">
        <w:rPr>
          <w:rFonts w:ascii="Tahoma" w:hAnsi="Tahoma" w:cs="Tahoma"/>
        </w:rPr>
        <w:t xml:space="preserve"> od</w:t>
      </w:r>
      <w:r w:rsidR="0FC2FC07" w:rsidRPr="00DA2E2A">
        <w:rPr>
          <w:rFonts w:ascii="Tahoma" w:hAnsi="Tahoma" w:cs="Tahoma"/>
        </w:rPr>
        <w:t xml:space="preserve"> </w:t>
      </w:r>
      <w:r w:rsidRPr="00DA2E2A">
        <w:rPr>
          <w:rFonts w:ascii="Tahoma" w:hAnsi="Tahoma" w:cs="Tahoma"/>
        </w:rPr>
        <w:t>České spořitelny, a.s.</w:t>
      </w:r>
      <w:r w:rsidR="6F156E9F" w:rsidRPr="00DA2E2A">
        <w:rPr>
          <w:rFonts w:ascii="Tahoma" w:hAnsi="Tahoma" w:cs="Tahoma"/>
        </w:rPr>
        <w:t xml:space="preserve"> </w:t>
      </w:r>
      <w:r w:rsidR="2DBA53D1" w:rsidRPr="00DA2E2A">
        <w:rPr>
          <w:rFonts w:ascii="Tahoma" w:hAnsi="Tahoma" w:cs="Tahoma"/>
        </w:rPr>
        <w:t xml:space="preserve"> (dále jen “ČS”) </w:t>
      </w:r>
      <w:r w:rsidR="6F156E9F" w:rsidRPr="00DA2E2A">
        <w:rPr>
          <w:rFonts w:ascii="Tahoma" w:hAnsi="Tahoma" w:cs="Tahoma"/>
        </w:rPr>
        <w:lastRenderedPageBreak/>
        <w:t>a nově vysoutěženého úvěru od UCB</w:t>
      </w:r>
      <w:r w:rsidR="153C90EE" w:rsidRPr="00DA2E2A">
        <w:rPr>
          <w:rFonts w:ascii="Tahoma" w:hAnsi="Tahoma" w:cs="Tahoma"/>
        </w:rPr>
        <w:t>.</w:t>
      </w:r>
      <w:r w:rsidRPr="00DA2E2A">
        <w:rPr>
          <w:rFonts w:ascii="Tahoma" w:hAnsi="Tahoma" w:cs="Tahoma"/>
        </w:rPr>
        <w:t xml:space="preserve"> Objem výdajů na platbu úroků b</w:t>
      </w:r>
      <w:r w:rsidR="748F0386" w:rsidRPr="00DA2E2A">
        <w:rPr>
          <w:rFonts w:ascii="Tahoma" w:hAnsi="Tahoma" w:cs="Tahoma"/>
        </w:rPr>
        <w:t>y měl mít klesající tendenci, což je dáno jednak očekávaným postupným poklesem úrokových sazeb</w:t>
      </w:r>
      <w:r w:rsidR="58EDA10D" w:rsidRPr="00DA2E2A">
        <w:rPr>
          <w:rFonts w:ascii="Tahoma" w:hAnsi="Tahoma" w:cs="Tahoma"/>
        </w:rPr>
        <w:t xml:space="preserve">, ale také </w:t>
      </w:r>
      <w:r w:rsidR="611BC42A" w:rsidRPr="00DA2E2A">
        <w:rPr>
          <w:rFonts w:ascii="Tahoma" w:hAnsi="Tahoma" w:cs="Tahoma"/>
        </w:rPr>
        <w:t>postupným snižováním jistiny u úvěru</w:t>
      </w:r>
      <w:r w:rsidR="1955C110" w:rsidRPr="00DA2E2A">
        <w:rPr>
          <w:rFonts w:ascii="Tahoma" w:hAnsi="Tahoma" w:cs="Tahoma"/>
        </w:rPr>
        <w:t xml:space="preserve"> ČS a současně průběžným</w:t>
      </w:r>
      <w:r w:rsidR="7F0ECA0C" w:rsidRPr="00DA2E2A">
        <w:rPr>
          <w:rFonts w:ascii="Tahoma" w:hAnsi="Tahoma" w:cs="Tahoma"/>
        </w:rPr>
        <w:t xml:space="preserve"> </w:t>
      </w:r>
      <w:r w:rsidR="4B27087F" w:rsidRPr="00DA2E2A">
        <w:rPr>
          <w:rFonts w:ascii="Tahoma" w:hAnsi="Tahoma" w:cs="Tahoma"/>
        </w:rPr>
        <w:t>a</w:t>
      </w:r>
      <w:r w:rsidR="00257107">
        <w:rPr>
          <w:rFonts w:ascii="Tahoma" w:hAnsi="Tahoma" w:cs="Tahoma"/>
        </w:rPr>
        <w:t> </w:t>
      </w:r>
      <w:r w:rsidR="4B27087F" w:rsidRPr="00DA2E2A">
        <w:rPr>
          <w:rFonts w:ascii="Tahoma" w:hAnsi="Tahoma" w:cs="Tahoma"/>
        </w:rPr>
        <w:t xml:space="preserve">efektivním </w:t>
      </w:r>
      <w:r w:rsidR="7F0ECA0C" w:rsidRPr="00DA2E2A">
        <w:rPr>
          <w:rFonts w:ascii="Tahoma" w:hAnsi="Tahoma" w:cs="Tahoma"/>
        </w:rPr>
        <w:t xml:space="preserve">čerpáním ale i splácením </w:t>
      </w:r>
      <w:r w:rsidR="1955C110" w:rsidRPr="00DA2E2A">
        <w:rPr>
          <w:rFonts w:ascii="Tahoma" w:hAnsi="Tahoma" w:cs="Tahoma"/>
        </w:rPr>
        <w:t xml:space="preserve">úvěru UCB </w:t>
      </w:r>
      <w:r w:rsidR="5E613CA5" w:rsidRPr="00DA2E2A">
        <w:rPr>
          <w:rFonts w:ascii="Tahoma" w:hAnsi="Tahoma" w:cs="Tahoma"/>
        </w:rPr>
        <w:t>n</w:t>
      </w:r>
      <w:r w:rsidRPr="00DA2E2A">
        <w:rPr>
          <w:rFonts w:ascii="Tahoma" w:hAnsi="Tahoma" w:cs="Tahoma"/>
        </w:rPr>
        <w:t>a předfinancování dotací u</w:t>
      </w:r>
      <w:r w:rsidR="00257107">
        <w:rPr>
          <w:rFonts w:ascii="Tahoma" w:hAnsi="Tahoma" w:cs="Tahoma"/>
        </w:rPr>
        <w:t> </w:t>
      </w:r>
      <w:r w:rsidRPr="00DA2E2A">
        <w:rPr>
          <w:rFonts w:ascii="Tahoma" w:hAnsi="Tahoma" w:cs="Tahoma"/>
        </w:rPr>
        <w:t>evropských projektů</w:t>
      </w:r>
      <w:r w:rsidR="00631DE7">
        <w:rPr>
          <w:rFonts w:ascii="Tahoma" w:hAnsi="Tahoma" w:cs="Tahoma"/>
        </w:rPr>
        <w:t>.</w:t>
      </w:r>
    </w:p>
    <w:p w14:paraId="3FB0A952" w14:textId="77777777" w:rsidR="007A7AB9" w:rsidRDefault="007A7AB9" w:rsidP="00836171">
      <w:pPr>
        <w:jc w:val="both"/>
        <w:rPr>
          <w:rFonts w:ascii="Tahoma" w:hAnsi="Tahoma" w:cs="Tahoma"/>
        </w:rPr>
      </w:pPr>
    </w:p>
    <w:p w14:paraId="52BD476F" w14:textId="2D894774" w:rsidR="00BD755C" w:rsidRDefault="008E7B37" w:rsidP="004D7093">
      <w:pPr>
        <w:jc w:val="both"/>
        <w:rPr>
          <w:rFonts w:ascii="Tahoma" w:hAnsi="Tahoma" w:cs="Tahoma"/>
        </w:rPr>
      </w:pPr>
      <w:r w:rsidRPr="00C418C4">
        <w:rPr>
          <w:rFonts w:ascii="Tahoma" w:hAnsi="Tahoma" w:cs="Tahoma"/>
        </w:rPr>
        <w:t>Další</w:t>
      </w:r>
      <w:r w:rsidR="003B7401" w:rsidRPr="00C418C4">
        <w:rPr>
          <w:rFonts w:ascii="Tahoma" w:hAnsi="Tahoma" w:cs="Tahoma"/>
        </w:rPr>
        <w:t xml:space="preserve"> pravidelné</w:t>
      </w:r>
      <w:r w:rsidRPr="00C418C4">
        <w:rPr>
          <w:rFonts w:ascii="Tahoma" w:hAnsi="Tahoma" w:cs="Tahoma"/>
        </w:rPr>
        <w:t xml:space="preserve"> výdaj</w:t>
      </w:r>
      <w:r w:rsidR="003B7401" w:rsidRPr="00C418C4">
        <w:rPr>
          <w:rFonts w:ascii="Tahoma" w:hAnsi="Tahoma" w:cs="Tahoma"/>
        </w:rPr>
        <w:t>e</w:t>
      </w:r>
      <w:r w:rsidRPr="00C418C4">
        <w:rPr>
          <w:rFonts w:ascii="Tahoma" w:hAnsi="Tahoma" w:cs="Tahoma"/>
        </w:rPr>
        <w:t xml:space="preserve"> se týkají předpokládané platby daní,</w:t>
      </w:r>
      <w:r w:rsidR="002169E2">
        <w:rPr>
          <w:rFonts w:ascii="Tahoma" w:hAnsi="Tahoma" w:cs="Tahoma"/>
        </w:rPr>
        <w:t xml:space="preserve"> </w:t>
      </w:r>
      <w:r w:rsidR="00886151" w:rsidRPr="005846BF">
        <w:rPr>
          <w:rFonts w:ascii="Tahoma" w:hAnsi="Tahoma" w:cs="Tahoma"/>
        </w:rPr>
        <w:t>pojištění majetku, vozidel a odpovědnosti kraje a jeho organizací</w:t>
      </w:r>
      <w:r w:rsidR="002169E2">
        <w:rPr>
          <w:rFonts w:ascii="Tahoma" w:hAnsi="Tahoma" w:cs="Tahoma"/>
        </w:rPr>
        <w:t xml:space="preserve">, </w:t>
      </w:r>
      <w:r w:rsidRPr="00C418C4">
        <w:rPr>
          <w:rFonts w:ascii="Tahoma" w:hAnsi="Tahoma" w:cs="Tahoma"/>
        </w:rPr>
        <w:t>výdajů související</w:t>
      </w:r>
      <w:r w:rsidR="00DA7E06" w:rsidRPr="00C418C4">
        <w:rPr>
          <w:rFonts w:ascii="Tahoma" w:hAnsi="Tahoma" w:cs="Tahoma"/>
        </w:rPr>
        <w:t>ch</w:t>
      </w:r>
      <w:r w:rsidRPr="00C418C4">
        <w:rPr>
          <w:rFonts w:ascii="Tahoma" w:hAnsi="Tahoma" w:cs="Tahoma"/>
        </w:rPr>
        <w:t xml:space="preserve"> s centralizovanými nákupy</w:t>
      </w:r>
      <w:r w:rsidR="00DA7E06" w:rsidRPr="00C418C4">
        <w:rPr>
          <w:rFonts w:ascii="Tahoma" w:hAnsi="Tahoma" w:cs="Tahoma"/>
        </w:rPr>
        <w:t xml:space="preserve"> a</w:t>
      </w:r>
      <w:r w:rsidRPr="00C418C4">
        <w:rPr>
          <w:rFonts w:ascii="Tahoma" w:hAnsi="Tahoma" w:cs="Tahoma"/>
        </w:rPr>
        <w:t xml:space="preserve"> výdajů </w:t>
      </w:r>
      <w:r w:rsidR="00DA7E06" w:rsidRPr="00C418C4">
        <w:rPr>
          <w:rFonts w:ascii="Tahoma" w:hAnsi="Tahoma" w:cs="Tahoma"/>
        </w:rPr>
        <w:t xml:space="preserve">spojených </w:t>
      </w:r>
      <w:r w:rsidRPr="00C418C4">
        <w:rPr>
          <w:rFonts w:ascii="Tahoma" w:hAnsi="Tahoma" w:cs="Tahoma"/>
        </w:rPr>
        <w:t xml:space="preserve">s užíváním nebytových prostor krajského úřadu cizími subjekty. </w:t>
      </w:r>
      <w:r w:rsidR="003B7401" w:rsidRPr="00C418C4">
        <w:rPr>
          <w:rFonts w:ascii="Tahoma" w:hAnsi="Tahoma" w:cs="Tahoma"/>
        </w:rPr>
        <w:t xml:space="preserve">Tyto výdaje jsou meziročně </w:t>
      </w:r>
      <w:r w:rsidR="00CB2E9B" w:rsidRPr="00C418C4">
        <w:rPr>
          <w:rFonts w:ascii="Tahoma" w:hAnsi="Tahoma" w:cs="Tahoma"/>
        </w:rPr>
        <w:t>s</w:t>
      </w:r>
      <w:r w:rsidR="002F74E8" w:rsidRPr="00C418C4">
        <w:rPr>
          <w:rFonts w:ascii="Tahoma" w:hAnsi="Tahoma" w:cs="Tahoma"/>
        </w:rPr>
        <w:t>tejné</w:t>
      </w:r>
      <w:r w:rsidR="002F74E8" w:rsidRPr="004D7093">
        <w:rPr>
          <w:rFonts w:ascii="Tahoma" w:hAnsi="Tahoma" w:cs="Tahoma"/>
        </w:rPr>
        <w:t xml:space="preserve"> nebo mírně rostou</w:t>
      </w:r>
      <w:r w:rsidR="003B7401" w:rsidRPr="004D7093">
        <w:rPr>
          <w:rFonts w:ascii="Tahoma" w:hAnsi="Tahoma" w:cs="Tahoma"/>
        </w:rPr>
        <w:t>.</w:t>
      </w:r>
      <w:r w:rsidR="00BB5C28">
        <w:rPr>
          <w:rFonts w:ascii="Tahoma" w:hAnsi="Tahoma" w:cs="Tahoma"/>
        </w:rPr>
        <w:t xml:space="preserve"> </w:t>
      </w:r>
    </w:p>
    <w:p w14:paraId="3B4B2B4B" w14:textId="77777777" w:rsidR="009F21D0" w:rsidRDefault="009F21D0" w:rsidP="004D7093">
      <w:pPr>
        <w:jc w:val="both"/>
        <w:rPr>
          <w:rFonts w:ascii="Tahoma" w:hAnsi="Tahoma" w:cs="Tahoma"/>
        </w:rPr>
      </w:pPr>
    </w:p>
    <w:p w14:paraId="79E65A57" w14:textId="6935AB4F" w:rsidR="008E7B37" w:rsidRDefault="008E7B37" w:rsidP="00882D2E">
      <w:pPr>
        <w:jc w:val="both"/>
        <w:rPr>
          <w:rFonts w:ascii="Tahoma" w:hAnsi="Tahoma" w:cs="Tahoma"/>
        </w:rPr>
      </w:pPr>
      <w:r w:rsidRPr="00826D55">
        <w:rPr>
          <w:rFonts w:ascii="Tahoma" w:hAnsi="Tahoma" w:cs="Tahoma"/>
        </w:rPr>
        <w:t>V části finance a správa majetku je pro období výhledu vyčleněna rezerva na</w:t>
      </w:r>
      <w:r w:rsidR="000A5170" w:rsidRPr="00826D55">
        <w:rPr>
          <w:rFonts w:ascii="Tahoma" w:hAnsi="Tahoma" w:cs="Tahoma"/>
        </w:rPr>
        <w:t> </w:t>
      </w:r>
      <w:r w:rsidRPr="00826D55">
        <w:rPr>
          <w:rFonts w:ascii="Tahoma" w:hAnsi="Tahoma" w:cs="Tahoma"/>
        </w:rPr>
        <w:t xml:space="preserve">mimořádné akce a akce s nedořešeným financováním </w:t>
      </w:r>
      <w:r w:rsidR="00142801" w:rsidRPr="00826D55">
        <w:rPr>
          <w:rFonts w:ascii="Tahoma" w:hAnsi="Tahoma" w:cs="Tahoma"/>
        </w:rPr>
        <w:t xml:space="preserve">ve výši </w:t>
      </w:r>
      <w:r w:rsidR="003C1F21">
        <w:rPr>
          <w:rFonts w:ascii="Tahoma" w:hAnsi="Tahoma" w:cs="Tahoma"/>
        </w:rPr>
        <w:t>5</w:t>
      </w:r>
      <w:r w:rsidR="002F74E8">
        <w:rPr>
          <w:rFonts w:ascii="Tahoma" w:hAnsi="Tahoma" w:cs="Tahoma"/>
        </w:rPr>
        <w:t>0</w:t>
      </w:r>
      <w:r w:rsidR="00142801" w:rsidRPr="00826D55">
        <w:rPr>
          <w:rFonts w:ascii="Tahoma" w:hAnsi="Tahoma" w:cs="Tahoma"/>
        </w:rPr>
        <w:t xml:space="preserve"> mil. Kč ročně</w:t>
      </w:r>
      <w:r w:rsidR="003C1F21">
        <w:rPr>
          <w:rFonts w:ascii="Tahoma" w:hAnsi="Tahoma" w:cs="Tahoma"/>
        </w:rPr>
        <w:t>.</w:t>
      </w:r>
    </w:p>
    <w:p w14:paraId="2FE6E9C5" w14:textId="77777777" w:rsidR="00C5222F" w:rsidRDefault="00C5222F" w:rsidP="002F74E8">
      <w:pPr>
        <w:jc w:val="both"/>
        <w:rPr>
          <w:rFonts w:ascii="Tahoma" w:hAnsi="Tahoma" w:cs="Tahoma"/>
          <w:u w:val="single"/>
        </w:rPr>
      </w:pPr>
    </w:p>
    <w:p w14:paraId="79E65A59" w14:textId="77777777" w:rsidR="008E7B37" w:rsidRPr="00826D55" w:rsidRDefault="008E7B37" w:rsidP="002935C6">
      <w:pPr>
        <w:pStyle w:val="Nadpis4"/>
        <w:rPr>
          <w:rFonts w:ascii="Tahoma" w:hAnsi="Tahoma" w:cs="Tahoma"/>
          <w:sz w:val="24"/>
          <w:szCs w:val="24"/>
        </w:rPr>
      </w:pPr>
      <w:r w:rsidRPr="00826D55">
        <w:rPr>
          <w:rFonts w:ascii="Tahoma" w:hAnsi="Tahoma" w:cs="Tahoma"/>
          <w:sz w:val="24"/>
          <w:szCs w:val="24"/>
        </w:rPr>
        <w:t xml:space="preserve">Samosprávné a jiné činnosti zajišťované prostřednictvím krajského úřadu </w:t>
      </w:r>
    </w:p>
    <w:p w14:paraId="79E65A5A" w14:textId="77777777" w:rsidR="00200A7C" w:rsidRPr="00826D55" w:rsidRDefault="00200A7C" w:rsidP="00200A7C"/>
    <w:p w14:paraId="3CEBED27" w14:textId="77777777" w:rsidR="000B693C" w:rsidRDefault="00200A7C" w:rsidP="00A822D7">
      <w:pPr>
        <w:tabs>
          <w:tab w:val="right" w:pos="4962"/>
        </w:tabs>
        <w:rPr>
          <w:rFonts w:ascii="Tahoma" w:hAnsi="Tahoma" w:cs="Tahoma"/>
          <w:sz w:val="16"/>
          <w:szCs w:val="16"/>
        </w:rPr>
      </w:pPr>
      <w:r w:rsidRPr="00826D55">
        <w:rPr>
          <w:rFonts w:ascii="Tahoma" w:hAnsi="Tahoma" w:cs="Tahoma"/>
          <w:sz w:val="16"/>
          <w:szCs w:val="16"/>
        </w:rPr>
        <w:t xml:space="preserve">Graf č. </w:t>
      </w:r>
      <w:r w:rsidR="00AE361B" w:rsidRPr="00826D55">
        <w:rPr>
          <w:rFonts w:ascii="Tahoma" w:hAnsi="Tahoma" w:cs="Tahoma"/>
          <w:sz w:val="16"/>
          <w:szCs w:val="16"/>
        </w:rPr>
        <w:t>8</w:t>
      </w:r>
      <w:r w:rsidRPr="00826D55">
        <w:rPr>
          <w:rFonts w:ascii="Tahoma" w:hAnsi="Tahoma" w:cs="Tahoma"/>
          <w:sz w:val="16"/>
          <w:szCs w:val="16"/>
        </w:rPr>
        <w:t xml:space="preserve"> Vývoj výdajů v oblasti Samosprávné a jiné činnosti zajišťované prostřednictvím krajského úřadu </w:t>
      </w:r>
      <w:r w:rsidR="00BC5E9E" w:rsidRPr="00826D55">
        <w:rPr>
          <w:rFonts w:ascii="Tahoma" w:hAnsi="Tahoma" w:cs="Tahoma"/>
          <w:sz w:val="16"/>
          <w:szCs w:val="16"/>
        </w:rPr>
        <w:t>(v mil. Kč)</w:t>
      </w:r>
    </w:p>
    <w:p w14:paraId="6B2937E7" w14:textId="77777777" w:rsidR="000B693C" w:rsidRDefault="000B693C" w:rsidP="00A822D7">
      <w:pPr>
        <w:tabs>
          <w:tab w:val="right" w:pos="4962"/>
        </w:tabs>
        <w:rPr>
          <w:rFonts w:ascii="Tahoma" w:hAnsi="Tahoma" w:cs="Tahoma"/>
          <w:sz w:val="16"/>
          <w:szCs w:val="16"/>
        </w:rPr>
      </w:pPr>
    </w:p>
    <w:p w14:paraId="5953A7DB" w14:textId="5DBB250A" w:rsidR="000B693C" w:rsidRDefault="000B693C" w:rsidP="00A822D7">
      <w:pPr>
        <w:tabs>
          <w:tab w:val="right" w:pos="4962"/>
        </w:tabs>
        <w:rPr>
          <w:rFonts w:ascii="Tahoma" w:hAnsi="Tahoma" w:cs="Tahoma"/>
          <w:sz w:val="16"/>
          <w:szCs w:val="16"/>
        </w:rPr>
      </w:pPr>
      <w:r>
        <w:rPr>
          <w:rFonts w:ascii="Tahoma" w:hAnsi="Tahoma" w:cs="Tahoma"/>
          <w:noProof/>
          <w:sz w:val="16"/>
          <w:szCs w:val="16"/>
        </w:rPr>
        <w:drawing>
          <wp:inline distT="0" distB="0" distL="0" distR="0" wp14:anchorId="40113899" wp14:editId="14D5953E">
            <wp:extent cx="3810000" cy="2290222"/>
            <wp:effectExtent l="0" t="0" r="0" b="0"/>
            <wp:docPr id="1641653931" name="Obrázek 164165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37173" cy="2306556"/>
                    </a:xfrm>
                    <a:prstGeom prst="rect">
                      <a:avLst/>
                    </a:prstGeom>
                    <a:noFill/>
                  </pic:spPr>
                </pic:pic>
              </a:graphicData>
            </a:graphic>
          </wp:inline>
        </w:drawing>
      </w:r>
    </w:p>
    <w:p w14:paraId="4E508781" w14:textId="40E925B0" w:rsidR="00562A31" w:rsidRDefault="00562A31" w:rsidP="00A822D7">
      <w:pPr>
        <w:tabs>
          <w:tab w:val="right" w:pos="4962"/>
        </w:tabs>
        <w:rPr>
          <w:rFonts w:ascii="Tahoma" w:hAnsi="Tahoma" w:cs="Tahoma"/>
          <w:sz w:val="16"/>
          <w:szCs w:val="16"/>
        </w:rPr>
      </w:pPr>
    </w:p>
    <w:p w14:paraId="79E65A5E" w14:textId="1AAF6DA4" w:rsidR="0091779F" w:rsidRDefault="00CF40C1" w:rsidP="0091779F">
      <w:pPr>
        <w:jc w:val="both"/>
        <w:rPr>
          <w:rFonts w:ascii="Tahoma" w:hAnsi="Tahoma" w:cs="Tahoma"/>
        </w:rPr>
      </w:pPr>
      <w:r w:rsidRPr="00826D55">
        <w:rPr>
          <w:rFonts w:ascii="Tahoma" w:hAnsi="Tahoma" w:cs="Tahoma"/>
        </w:rPr>
        <w:t>Objem plánovaných v</w:t>
      </w:r>
      <w:r w:rsidR="0091779F" w:rsidRPr="00826D55">
        <w:rPr>
          <w:rFonts w:ascii="Tahoma" w:hAnsi="Tahoma" w:cs="Tahoma"/>
        </w:rPr>
        <w:t>ýdaj</w:t>
      </w:r>
      <w:r w:rsidRPr="00826D55">
        <w:rPr>
          <w:rFonts w:ascii="Tahoma" w:hAnsi="Tahoma" w:cs="Tahoma"/>
        </w:rPr>
        <w:t>ů</w:t>
      </w:r>
      <w:r w:rsidR="0091779F" w:rsidRPr="00826D55">
        <w:rPr>
          <w:rFonts w:ascii="Tahoma" w:hAnsi="Tahoma" w:cs="Tahoma"/>
        </w:rPr>
        <w:t xml:space="preserve"> v této oblasti </w:t>
      </w:r>
      <w:r w:rsidR="007D3C7C" w:rsidRPr="00826D55">
        <w:rPr>
          <w:rFonts w:ascii="Tahoma" w:hAnsi="Tahoma" w:cs="Tahoma"/>
        </w:rPr>
        <w:t xml:space="preserve">má </w:t>
      </w:r>
      <w:r w:rsidR="000B693C" w:rsidRPr="000B693C">
        <w:rPr>
          <w:rFonts w:ascii="Tahoma" w:hAnsi="Tahoma" w:cs="Tahoma"/>
        </w:rPr>
        <w:t>mírně rozdíln</w:t>
      </w:r>
      <w:r w:rsidR="00AA6907">
        <w:rPr>
          <w:rFonts w:ascii="Tahoma" w:hAnsi="Tahoma" w:cs="Tahoma"/>
        </w:rPr>
        <w:t xml:space="preserve">ou výši </w:t>
      </w:r>
      <w:r w:rsidR="000B693C" w:rsidRPr="000B693C">
        <w:rPr>
          <w:rFonts w:ascii="Tahoma" w:hAnsi="Tahoma" w:cs="Tahoma"/>
        </w:rPr>
        <w:t>v jednotlivých letech</w:t>
      </w:r>
      <w:r w:rsidR="0008207F" w:rsidRPr="0E9A73CB">
        <w:rPr>
          <w:rFonts w:ascii="Tahoma" w:hAnsi="Tahoma" w:cs="Tahoma"/>
        </w:rPr>
        <w:t xml:space="preserve">, </w:t>
      </w:r>
      <w:r w:rsidR="00C359B2" w:rsidRPr="0E9A73CB">
        <w:rPr>
          <w:rFonts w:ascii="Tahoma" w:hAnsi="Tahoma" w:cs="Tahoma"/>
        </w:rPr>
        <w:t>jelikož oproti roku 202</w:t>
      </w:r>
      <w:r w:rsidR="00AA6907">
        <w:rPr>
          <w:rFonts w:ascii="Tahoma" w:hAnsi="Tahoma" w:cs="Tahoma"/>
        </w:rPr>
        <w:t>4</w:t>
      </w:r>
      <w:r w:rsidR="00C359B2" w:rsidRPr="0E9A73CB">
        <w:rPr>
          <w:rFonts w:ascii="Tahoma" w:hAnsi="Tahoma" w:cs="Tahoma"/>
        </w:rPr>
        <w:t xml:space="preserve"> je v období výhledu </w:t>
      </w:r>
      <w:r w:rsidR="00C359B2" w:rsidRPr="001F7C51">
        <w:rPr>
          <w:rFonts w:ascii="Tahoma" w:hAnsi="Tahoma" w:cs="Tahoma"/>
        </w:rPr>
        <w:t xml:space="preserve">kalkulováno </w:t>
      </w:r>
      <w:r w:rsidR="00FE05F8" w:rsidRPr="001F7C51">
        <w:rPr>
          <w:rFonts w:ascii="Tahoma" w:hAnsi="Tahoma" w:cs="Tahoma"/>
        </w:rPr>
        <w:t>pouze pokrytí</w:t>
      </w:r>
      <w:r w:rsidRPr="001F7C51">
        <w:rPr>
          <w:rFonts w:ascii="Tahoma" w:hAnsi="Tahoma" w:cs="Tahoma"/>
        </w:rPr>
        <w:t xml:space="preserve"> </w:t>
      </w:r>
      <w:r w:rsidR="0091779F" w:rsidRPr="001F7C51">
        <w:rPr>
          <w:rFonts w:ascii="Tahoma" w:hAnsi="Tahoma" w:cs="Tahoma"/>
        </w:rPr>
        <w:t>vešker</w:t>
      </w:r>
      <w:r w:rsidRPr="001F7C51">
        <w:rPr>
          <w:rFonts w:ascii="Tahoma" w:hAnsi="Tahoma" w:cs="Tahoma"/>
        </w:rPr>
        <w:t>ých</w:t>
      </w:r>
      <w:r w:rsidR="0091779F" w:rsidRPr="001F7C51">
        <w:rPr>
          <w:rFonts w:ascii="Tahoma" w:hAnsi="Tahoma" w:cs="Tahoma"/>
        </w:rPr>
        <w:t xml:space="preserve"> </w:t>
      </w:r>
      <w:r w:rsidRPr="00234391">
        <w:rPr>
          <w:rFonts w:ascii="Tahoma" w:hAnsi="Tahoma" w:cs="Tahoma"/>
        </w:rPr>
        <w:t xml:space="preserve">schválených </w:t>
      </w:r>
      <w:r w:rsidR="0091779F" w:rsidRPr="00234391">
        <w:rPr>
          <w:rFonts w:ascii="Tahoma" w:hAnsi="Tahoma" w:cs="Tahoma"/>
        </w:rPr>
        <w:t>závazk</w:t>
      </w:r>
      <w:r w:rsidRPr="00234391">
        <w:rPr>
          <w:rFonts w:ascii="Tahoma" w:hAnsi="Tahoma" w:cs="Tahoma"/>
        </w:rPr>
        <w:t>ů</w:t>
      </w:r>
      <w:r w:rsidR="007D3C7C" w:rsidRPr="00234391">
        <w:rPr>
          <w:rFonts w:ascii="Tahoma" w:hAnsi="Tahoma" w:cs="Tahoma"/>
        </w:rPr>
        <w:t xml:space="preserve"> kraje</w:t>
      </w:r>
      <w:r w:rsidRPr="00234391">
        <w:rPr>
          <w:rFonts w:ascii="Tahoma" w:hAnsi="Tahoma" w:cs="Tahoma"/>
        </w:rPr>
        <w:t xml:space="preserve"> v jednotlivých odvětví</w:t>
      </w:r>
      <w:r w:rsidR="000024E5" w:rsidRPr="00234391">
        <w:rPr>
          <w:rFonts w:ascii="Tahoma" w:hAnsi="Tahoma" w:cs="Tahoma"/>
        </w:rPr>
        <w:t>ch</w:t>
      </w:r>
      <w:r w:rsidRPr="00234391">
        <w:rPr>
          <w:rFonts w:ascii="Tahoma" w:hAnsi="Tahoma" w:cs="Tahoma"/>
        </w:rPr>
        <w:t>.</w:t>
      </w:r>
      <w:r w:rsidR="0091779F" w:rsidRPr="00234391">
        <w:rPr>
          <w:rFonts w:ascii="Tahoma" w:hAnsi="Tahoma" w:cs="Tahoma"/>
        </w:rPr>
        <w:t xml:space="preserve"> </w:t>
      </w:r>
      <w:r w:rsidR="00C359B2" w:rsidRPr="00234391">
        <w:rPr>
          <w:rFonts w:ascii="Tahoma" w:hAnsi="Tahoma" w:cs="Tahoma"/>
        </w:rPr>
        <w:t>Ostatní výdaje budou zařazeny až v rámci přípravy jednotlivých rozpočtů.</w:t>
      </w:r>
      <w:r w:rsidR="00C359B2" w:rsidRPr="0E9A73CB">
        <w:rPr>
          <w:rFonts w:ascii="Tahoma" w:hAnsi="Tahoma" w:cs="Tahoma"/>
        </w:rPr>
        <w:t xml:space="preserve"> </w:t>
      </w:r>
    </w:p>
    <w:p w14:paraId="0E2FB8E4" w14:textId="77777777" w:rsidR="008E08CA" w:rsidRDefault="008E08CA" w:rsidP="008E08CA">
      <w:pPr>
        <w:jc w:val="both"/>
        <w:rPr>
          <w:rFonts w:cs="Tahoma"/>
        </w:rPr>
      </w:pPr>
    </w:p>
    <w:p w14:paraId="2D8651E2" w14:textId="575785FF" w:rsidR="004D78CF" w:rsidRPr="000F4F17" w:rsidRDefault="004D78CF" w:rsidP="004D78CF">
      <w:pPr>
        <w:jc w:val="both"/>
        <w:rPr>
          <w:rFonts w:ascii="Tahoma" w:hAnsi="Tahoma" w:cs="Tahoma"/>
          <w:color w:val="000000" w:themeColor="text1"/>
        </w:rPr>
      </w:pPr>
      <w:r w:rsidRPr="000F4F17">
        <w:rPr>
          <w:rFonts w:ascii="Tahoma" w:hAnsi="Tahoma" w:cs="Tahoma"/>
          <w:color w:val="000000" w:themeColor="text1"/>
        </w:rPr>
        <w:t xml:space="preserve">Mezi významné závazky, se kterými je počítáno v období výhledu, </w:t>
      </w:r>
      <w:proofErr w:type="gramStart"/>
      <w:r w:rsidRPr="000F4F17">
        <w:rPr>
          <w:rFonts w:ascii="Tahoma" w:hAnsi="Tahoma" w:cs="Tahoma"/>
          <w:color w:val="000000" w:themeColor="text1"/>
        </w:rPr>
        <w:t>patří</w:t>
      </w:r>
      <w:proofErr w:type="gramEnd"/>
      <w:r w:rsidRPr="000F4F17">
        <w:rPr>
          <w:rFonts w:ascii="Tahoma" w:hAnsi="Tahoma" w:cs="Tahoma"/>
          <w:color w:val="000000" w:themeColor="text1"/>
        </w:rPr>
        <w:t xml:space="preserve"> výdaje na dopravní obslužnost. Výdaje na dopravní obslužnost drážní se předpokládají s postupným meziročním inflačním nárůstem, a to v souladu s uzavřenými smlouvami na zajištění dopravní obslužnosti drážní osobní dopravou. Od prosince 2023 dochází k</w:t>
      </w:r>
      <w:r w:rsidR="00257107">
        <w:rPr>
          <w:rFonts w:ascii="Tahoma" w:hAnsi="Tahoma" w:cs="Tahoma"/>
          <w:color w:val="000000" w:themeColor="text1"/>
        </w:rPr>
        <w:t> </w:t>
      </w:r>
      <w:r w:rsidRPr="000F4F17">
        <w:rPr>
          <w:rFonts w:ascii="Tahoma" w:hAnsi="Tahoma" w:cs="Tahoma"/>
          <w:color w:val="000000" w:themeColor="text1"/>
        </w:rPr>
        <w:t xml:space="preserve">zásadní změně systému výběru tržeb, kdy všechny smlouvy, </w:t>
      </w:r>
      <w:r w:rsidR="00B93631">
        <w:rPr>
          <w:rFonts w:ascii="Tahoma" w:hAnsi="Tahoma" w:cs="Tahoma"/>
          <w:color w:val="000000" w:themeColor="text1"/>
        </w:rPr>
        <w:t xml:space="preserve">jejichž </w:t>
      </w:r>
      <w:r w:rsidRPr="000F4F17">
        <w:rPr>
          <w:rFonts w:ascii="Tahoma" w:hAnsi="Tahoma" w:cs="Tahoma"/>
          <w:color w:val="000000" w:themeColor="text1"/>
        </w:rPr>
        <w:t>prostřednictvím je zajištěna veřejná drážní doprava v kraji a jsou platné od 10.12.2023</w:t>
      </w:r>
      <w:r w:rsidR="00B93631">
        <w:rPr>
          <w:rFonts w:ascii="Tahoma" w:hAnsi="Tahoma" w:cs="Tahoma"/>
          <w:color w:val="000000" w:themeColor="text1"/>
        </w:rPr>
        <w:t>,</w:t>
      </w:r>
      <w:r w:rsidRPr="000F4F17">
        <w:rPr>
          <w:rFonts w:ascii="Tahoma" w:hAnsi="Tahoma" w:cs="Tahoma"/>
          <w:color w:val="000000" w:themeColor="text1"/>
        </w:rPr>
        <w:t xml:space="preserve"> jsou nově v systému tzv. brutto. Nově tedy pře</w:t>
      </w:r>
      <w:r w:rsidR="00A54034">
        <w:rPr>
          <w:rFonts w:ascii="Tahoma" w:hAnsi="Tahoma" w:cs="Tahoma"/>
          <w:color w:val="000000" w:themeColor="text1"/>
        </w:rPr>
        <w:t>c</w:t>
      </w:r>
      <w:r w:rsidRPr="000F4F17">
        <w:rPr>
          <w:rFonts w:ascii="Tahoma" w:hAnsi="Tahoma" w:cs="Tahoma"/>
          <w:color w:val="000000" w:themeColor="text1"/>
        </w:rPr>
        <w:t>hází veškerá rizika spojená s výběrem tržeb na objednatele, resp. kraj. Zároveň se bude pokračovat v přípravě poslední veřejné zakázky na zajištění drážní dopravní obslužnosti v oblasti Bruntálska s předpokládaným zahájením od 12/2025. V souvislosti s tímto již byly zastupitelstvu kraje předloženy</w:t>
      </w:r>
      <w:r w:rsidR="00DC65BE">
        <w:rPr>
          <w:rFonts w:ascii="Tahoma" w:hAnsi="Tahoma" w:cs="Tahoma"/>
          <w:color w:val="000000" w:themeColor="text1"/>
        </w:rPr>
        <w:t xml:space="preserve"> </w:t>
      </w:r>
      <w:r w:rsidRPr="000F4F17">
        <w:rPr>
          <w:rFonts w:ascii="Tahoma" w:hAnsi="Tahoma" w:cs="Tahoma"/>
          <w:color w:val="000000" w:themeColor="text1"/>
        </w:rPr>
        <w:t xml:space="preserve">ke schválení závazky k financování nákladů, jež budou následně dopravci ze strany kraje hrazeny. Finanční prostředky na zajištění financování konkrétních smluv v případě </w:t>
      </w:r>
      <w:r w:rsidRPr="000F4F17">
        <w:rPr>
          <w:rFonts w:ascii="Tahoma" w:hAnsi="Tahoma" w:cs="Tahoma"/>
          <w:color w:val="000000" w:themeColor="text1"/>
        </w:rPr>
        <w:lastRenderedPageBreak/>
        <w:t>jednotlivých let tak budou nárokovány v rámci návrhu rozpočtu kraje pro jednotlivé roky, na základě schváleného usnesení zastupitelstvem kraje, avšak vždy poníženy o předpokládané ovlivňující další faktory (výše tržeb – vliv až cca 40 %, příspěvek obcí, inflace/deflace).</w:t>
      </w:r>
      <w:r w:rsidR="00DC65BE">
        <w:rPr>
          <w:rFonts w:ascii="Tahoma" w:hAnsi="Tahoma" w:cs="Tahoma"/>
          <w:color w:val="000000" w:themeColor="text1"/>
        </w:rPr>
        <w:t xml:space="preserve"> </w:t>
      </w:r>
      <w:r w:rsidRPr="000F4F17">
        <w:rPr>
          <w:rFonts w:ascii="Tahoma" w:hAnsi="Tahoma" w:cs="Tahoma"/>
          <w:color w:val="000000" w:themeColor="text1"/>
        </w:rPr>
        <w:t>Výdaje na linkovou dopravní obslužnost se předpokládají s postupným meziročním inflačním nárůstem, a to v souladu s uzavřenými smlouvami na zajištění dopravní obslužnosti linkovou osobní dopravou v jednotlivých oblastech kraje. Smlouvy jsou uzavírány na období 10 let na základě realizovaných veřejných zakázek. V souvislosti s tímto zastupitelstvo kraje schválilo závazky k financování ztráty dopravce zajišťujícího dopravní obslužnost v jednotlivých oblastech po dobu účinnosti smluv. Finanční prostředky na zajištění financování konkrétních smluv v případě jednotlivých let tak budou nárokovány v rámci návrhu rozpočtu kraje pro jednotlivé roky, na základě schváleného usnesení zastupitelstvem kraje, avšak vždy poníženy o předpokládané ovlivňující další faktory (výše tržeb – vliv až cca 40 %, příspěvek obcí, inflace/deflace).</w:t>
      </w:r>
    </w:p>
    <w:p w14:paraId="44BE71FB" w14:textId="77777777" w:rsidR="004D78CF" w:rsidRDefault="004D78CF" w:rsidP="00A40C4D">
      <w:pPr>
        <w:jc w:val="both"/>
        <w:rPr>
          <w:rFonts w:ascii="Tahoma" w:hAnsi="Tahoma" w:cs="Tahoma"/>
        </w:rPr>
      </w:pPr>
    </w:p>
    <w:p w14:paraId="79E65A62" w14:textId="4C214DEA" w:rsidR="00F4250A" w:rsidRPr="0063195B" w:rsidRDefault="00F4250A" w:rsidP="00183A1E">
      <w:pPr>
        <w:pStyle w:val="Zkladntextodsazen2"/>
        <w:tabs>
          <w:tab w:val="left" w:pos="0"/>
        </w:tabs>
        <w:spacing w:after="0" w:line="240" w:lineRule="auto"/>
        <w:ind w:left="0"/>
        <w:jc w:val="both"/>
        <w:rPr>
          <w:rFonts w:ascii="Tahoma" w:hAnsi="Tahoma" w:cs="Tahoma"/>
          <w:i/>
        </w:rPr>
      </w:pPr>
      <w:r w:rsidRPr="0063195B">
        <w:rPr>
          <w:rFonts w:ascii="Tahoma" w:hAnsi="Tahoma" w:cs="Tahoma"/>
          <w:lang w:val="cs-CZ"/>
        </w:rPr>
        <w:t>V</w:t>
      </w:r>
      <w:r w:rsidR="00E71F60" w:rsidRPr="0063195B">
        <w:rPr>
          <w:rFonts w:ascii="Tahoma" w:hAnsi="Tahoma" w:cs="Tahoma"/>
          <w:lang w:val="cs-CZ"/>
        </w:rPr>
        <w:t xml:space="preserve"> tabulce č. 5 </w:t>
      </w:r>
      <w:r w:rsidR="00B24D9C" w:rsidRPr="0063195B">
        <w:rPr>
          <w:rFonts w:ascii="Tahoma" w:hAnsi="Tahoma" w:cs="Tahoma"/>
          <w:lang w:val="cs-CZ"/>
        </w:rPr>
        <w:t xml:space="preserve">(tabulková část výhledu) </w:t>
      </w:r>
      <w:r w:rsidRPr="0063195B">
        <w:rPr>
          <w:rFonts w:ascii="Tahoma" w:hAnsi="Tahoma" w:cs="Tahoma"/>
          <w:lang w:val="cs-CZ"/>
        </w:rPr>
        <w:t>jsou uvedeny všechny zastupitelstvem kraje schválené závazky a jejich vyčíslení po celou dobu jejich trvání</w:t>
      </w:r>
      <w:r w:rsidR="00A456C3" w:rsidRPr="0063195B">
        <w:rPr>
          <w:rFonts w:ascii="Tahoma" w:hAnsi="Tahoma" w:cs="Tahoma"/>
          <w:lang w:val="cs-CZ"/>
        </w:rPr>
        <w:t xml:space="preserve">, </w:t>
      </w:r>
      <w:r w:rsidR="000D1235" w:rsidRPr="0063195B">
        <w:rPr>
          <w:rFonts w:ascii="Tahoma" w:hAnsi="Tahoma" w:cs="Tahoma"/>
          <w:lang w:val="cs-CZ"/>
        </w:rPr>
        <w:t xml:space="preserve">včetně </w:t>
      </w:r>
      <w:r w:rsidR="00401F24" w:rsidRPr="0063195B">
        <w:rPr>
          <w:rFonts w:ascii="Tahoma" w:hAnsi="Tahoma" w:cs="Tahoma"/>
          <w:lang w:val="cs-CZ"/>
        </w:rPr>
        <w:t>plánovan</w:t>
      </w:r>
      <w:r w:rsidR="000D1235" w:rsidRPr="0063195B">
        <w:rPr>
          <w:rFonts w:ascii="Tahoma" w:hAnsi="Tahoma" w:cs="Tahoma"/>
          <w:lang w:val="cs-CZ"/>
        </w:rPr>
        <w:t>ých</w:t>
      </w:r>
      <w:r w:rsidR="00401F24" w:rsidRPr="0063195B">
        <w:rPr>
          <w:rFonts w:ascii="Tahoma" w:hAnsi="Tahoma" w:cs="Tahoma"/>
          <w:lang w:val="cs-CZ"/>
        </w:rPr>
        <w:t xml:space="preserve"> </w:t>
      </w:r>
      <w:r w:rsidR="00A456C3" w:rsidRPr="0063195B">
        <w:rPr>
          <w:rFonts w:ascii="Tahoma" w:hAnsi="Tahoma" w:cs="Tahoma"/>
          <w:lang w:val="cs-CZ"/>
        </w:rPr>
        <w:t>závazk</w:t>
      </w:r>
      <w:r w:rsidR="000D1235" w:rsidRPr="0063195B">
        <w:rPr>
          <w:rFonts w:ascii="Tahoma" w:hAnsi="Tahoma" w:cs="Tahoma"/>
          <w:lang w:val="cs-CZ"/>
        </w:rPr>
        <w:t>ů</w:t>
      </w:r>
      <w:r w:rsidR="00A456C3" w:rsidRPr="0063195B">
        <w:rPr>
          <w:rFonts w:ascii="Tahoma" w:hAnsi="Tahoma" w:cs="Tahoma"/>
          <w:lang w:val="cs-CZ"/>
        </w:rPr>
        <w:t xml:space="preserve"> předložen</w:t>
      </w:r>
      <w:r w:rsidR="000D1235" w:rsidRPr="0063195B">
        <w:rPr>
          <w:rFonts w:ascii="Tahoma" w:hAnsi="Tahoma" w:cs="Tahoma"/>
          <w:lang w:val="cs-CZ"/>
        </w:rPr>
        <w:t>ých</w:t>
      </w:r>
      <w:r w:rsidR="00A456C3" w:rsidRPr="0063195B">
        <w:rPr>
          <w:rFonts w:ascii="Tahoma" w:hAnsi="Tahoma" w:cs="Tahoma"/>
          <w:lang w:val="cs-CZ"/>
        </w:rPr>
        <w:t xml:space="preserve"> ke schválení do konce rok</w:t>
      </w:r>
      <w:r w:rsidR="000D1235" w:rsidRPr="0063195B">
        <w:rPr>
          <w:rFonts w:ascii="Tahoma" w:hAnsi="Tahoma" w:cs="Tahoma"/>
          <w:lang w:val="cs-CZ"/>
        </w:rPr>
        <w:t>u</w:t>
      </w:r>
      <w:r w:rsidR="00A456C3" w:rsidRPr="0063195B">
        <w:rPr>
          <w:rFonts w:ascii="Tahoma" w:hAnsi="Tahoma" w:cs="Tahoma"/>
          <w:lang w:val="cs-CZ"/>
        </w:rPr>
        <w:t xml:space="preserve"> 202</w:t>
      </w:r>
      <w:r w:rsidR="00F50A52">
        <w:rPr>
          <w:rFonts w:ascii="Tahoma" w:hAnsi="Tahoma" w:cs="Tahoma"/>
          <w:lang w:val="cs-CZ"/>
        </w:rPr>
        <w:t>3</w:t>
      </w:r>
      <w:r w:rsidRPr="0063195B">
        <w:rPr>
          <w:rFonts w:ascii="Tahoma" w:hAnsi="Tahoma" w:cs="Tahoma"/>
          <w:lang w:val="cs-CZ"/>
        </w:rPr>
        <w:t xml:space="preserve">.  </w:t>
      </w:r>
    </w:p>
    <w:p w14:paraId="79E65A63" w14:textId="77777777" w:rsidR="00F4250A" w:rsidRPr="0063195B" w:rsidRDefault="00F4250A" w:rsidP="00F4250A">
      <w:pPr>
        <w:pStyle w:val="Zkladntextodsazen2"/>
        <w:tabs>
          <w:tab w:val="left" w:pos="0"/>
        </w:tabs>
        <w:spacing w:after="0" w:line="240" w:lineRule="auto"/>
        <w:jc w:val="both"/>
        <w:rPr>
          <w:rFonts w:ascii="Tahoma" w:hAnsi="Tahoma" w:cs="Tahoma"/>
          <w:lang w:val="cs-CZ"/>
        </w:rPr>
      </w:pPr>
    </w:p>
    <w:p w14:paraId="79E65A64" w14:textId="5BBA3F66" w:rsidR="00B4030D" w:rsidRPr="006A56F7" w:rsidRDefault="00F4250A" w:rsidP="00E13877">
      <w:pPr>
        <w:pStyle w:val="Zkladntext"/>
        <w:rPr>
          <w:rFonts w:ascii="Tahoma" w:hAnsi="Tahoma" w:cs="Tahoma"/>
          <w:sz w:val="24"/>
          <w:szCs w:val="24"/>
          <w:lang w:eastAsia="x-none"/>
        </w:rPr>
      </w:pPr>
      <w:r w:rsidRPr="0063195B">
        <w:rPr>
          <w:rFonts w:ascii="Tahoma" w:hAnsi="Tahoma" w:cs="Tahoma"/>
          <w:sz w:val="24"/>
          <w:szCs w:val="24"/>
          <w:lang w:eastAsia="x-none"/>
        </w:rPr>
        <w:t xml:space="preserve">Další vliv na </w:t>
      </w:r>
      <w:r w:rsidR="00C83369" w:rsidRPr="0063195B">
        <w:rPr>
          <w:rFonts w:ascii="Tahoma" w:hAnsi="Tahoma" w:cs="Tahoma"/>
          <w:sz w:val="24"/>
          <w:szCs w:val="24"/>
          <w:lang w:eastAsia="x-none"/>
        </w:rPr>
        <w:t>objem</w:t>
      </w:r>
      <w:r w:rsidRPr="0063195B">
        <w:rPr>
          <w:rFonts w:ascii="Tahoma" w:hAnsi="Tahoma" w:cs="Tahoma"/>
          <w:sz w:val="24"/>
          <w:szCs w:val="24"/>
          <w:lang w:eastAsia="x-none"/>
        </w:rPr>
        <w:t xml:space="preserve"> </w:t>
      </w:r>
      <w:r w:rsidRPr="00826D55">
        <w:rPr>
          <w:rFonts w:ascii="Tahoma" w:hAnsi="Tahoma" w:cs="Tahoma"/>
          <w:sz w:val="24"/>
          <w:szCs w:val="24"/>
          <w:lang w:eastAsia="x-none"/>
        </w:rPr>
        <w:t xml:space="preserve">výdajů na samosprávné činnosti mají rovněž </w:t>
      </w:r>
      <w:r w:rsidR="00346DA0">
        <w:rPr>
          <w:rFonts w:ascii="Tahoma" w:hAnsi="Tahoma" w:cs="Tahoma"/>
          <w:sz w:val="24"/>
          <w:szCs w:val="24"/>
          <w:lang w:eastAsia="x-none"/>
        </w:rPr>
        <w:t xml:space="preserve">závazky kraje vyplývající ze </w:t>
      </w:r>
      <w:r w:rsidR="00C83369">
        <w:rPr>
          <w:rFonts w:ascii="Tahoma" w:hAnsi="Tahoma" w:cs="Tahoma"/>
          <w:sz w:val="24"/>
          <w:szCs w:val="24"/>
          <w:lang w:eastAsia="x-none"/>
        </w:rPr>
        <w:t xml:space="preserve">zajištění </w:t>
      </w:r>
      <w:r w:rsidR="008E7B37" w:rsidRPr="00826D55">
        <w:rPr>
          <w:rFonts w:ascii="Tahoma" w:hAnsi="Tahoma" w:cs="Tahoma"/>
          <w:sz w:val="24"/>
          <w:szCs w:val="24"/>
          <w:lang w:eastAsia="x-none"/>
        </w:rPr>
        <w:t>udržitelnost</w:t>
      </w:r>
      <w:r w:rsidR="00C83369">
        <w:rPr>
          <w:rFonts w:ascii="Tahoma" w:hAnsi="Tahoma" w:cs="Tahoma"/>
          <w:sz w:val="24"/>
          <w:szCs w:val="24"/>
          <w:lang w:eastAsia="x-none"/>
        </w:rPr>
        <w:t>i</w:t>
      </w:r>
      <w:r w:rsidR="008E7B37" w:rsidRPr="00826D55">
        <w:rPr>
          <w:rFonts w:ascii="Tahoma" w:hAnsi="Tahoma" w:cs="Tahoma"/>
          <w:sz w:val="24"/>
          <w:szCs w:val="24"/>
          <w:lang w:eastAsia="x-none"/>
        </w:rPr>
        <w:t xml:space="preserve"> projekt</w:t>
      </w:r>
      <w:r w:rsidR="00085260" w:rsidRPr="00826D55">
        <w:rPr>
          <w:rFonts w:ascii="Tahoma" w:hAnsi="Tahoma" w:cs="Tahoma"/>
          <w:sz w:val="24"/>
          <w:szCs w:val="24"/>
          <w:lang w:eastAsia="x-none"/>
        </w:rPr>
        <w:t xml:space="preserve">ů </w:t>
      </w:r>
      <w:r w:rsidR="00B4030D" w:rsidRPr="00826D55">
        <w:rPr>
          <w:rFonts w:ascii="Tahoma" w:hAnsi="Tahoma" w:cs="Tahoma"/>
          <w:sz w:val="24"/>
          <w:szCs w:val="24"/>
          <w:lang w:eastAsia="x-none"/>
        </w:rPr>
        <w:t>spolufinancovaných z evropských finančních zdrojů</w:t>
      </w:r>
      <w:r w:rsidRPr="00826D55">
        <w:rPr>
          <w:rFonts w:ascii="Tahoma" w:hAnsi="Tahoma" w:cs="Tahoma"/>
          <w:sz w:val="24"/>
          <w:szCs w:val="24"/>
          <w:lang w:eastAsia="x-none"/>
        </w:rPr>
        <w:t xml:space="preserve">. </w:t>
      </w:r>
      <w:r w:rsidR="00C83369" w:rsidRPr="00F86159">
        <w:rPr>
          <w:rFonts w:ascii="Tahoma" w:hAnsi="Tahoma" w:cs="Tahoma"/>
          <w:sz w:val="24"/>
          <w:szCs w:val="24"/>
          <w:lang w:eastAsia="x-none"/>
        </w:rPr>
        <w:t>Jejich v</w:t>
      </w:r>
      <w:r w:rsidR="0052229E" w:rsidRPr="00F86159">
        <w:rPr>
          <w:rFonts w:ascii="Tahoma" w:hAnsi="Tahoma" w:cs="Tahoma"/>
          <w:sz w:val="24"/>
          <w:szCs w:val="24"/>
          <w:lang w:eastAsia="x-none"/>
        </w:rPr>
        <w:t xml:space="preserve">ýše a potřebnost v daném roce </w:t>
      </w:r>
      <w:r w:rsidR="00C83369" w:rsidRPr="00F86159">
        <w:rPr>
          <w:rFonts w:ascii="Tahoma" w:hAnsi="Tahoma" w:cs="Tahoma"/>
          <w:sz w:val="24"/>
          <w:szCs w:val="24"/>
          <w:lang w:eastAsia="x-none"/>
        </w:rPr>
        <w:t xml:space="preserve">bude vždy </w:t>
      </w:r>
      <w:r w:rsidR="00EA1F77" w:rsidRPr="00F86159">
        <w:rPr>
          <w:rFonts w:ascii="Tahoma" w:hAnsi="Tahoma" w:cs="Tahoma"/>
          <w:sz w:val="24"/>
          <w:szCs w:val="24"/>
          <w:lang w:eastAsia="x-none"/>
        </w:rPr>
        <w:t>upřesněna až po</w:t>
      </w:r>
      <w:r w:rsidR="0052229E" w:rsidRPr="00F86159">
        <w:rPr>
          <w:rFonts w:ascii="Tahoma" w:hAnsi="Tahoma" w:cs="Tahoma"/>
          <w:sz w:val="24"/>
          <w:szCs w:val="24"/>
          <w:lang w:eastAsia="x-none"/>
        </w:rPr>
        <w:t xml:space="preserve"> skončení </w:t>
      </w:r>
      <w:r w:rsidR="00B4030D" w:rsidRPr="00F86159">
        <w:rPr>
          <w:rFonts w:ascii="Tahoma" w:hAnsi="Tahoma" w:cs="Tahoma"/>
          <w:sz w:val="24"/>
          <w:szCs w:val="24"/>
          <w:lang w:eastAsia="x-none"/>
        </w:rPr>
        <w:t>projektů realizovaných v rámci programového období 20</w:t>
      </w:r>
      <w:r w:rsidR="00B83906" w:rsidRPr="00F86159">
        <w:rPr>
          <w:rFonts w:ascii="Tahoma" w:hAnsi="Tahoma" w:cs="Tahoma"/>
          <w:sz w:val="24"/>
          <w:szCs w:val="24"/>
          <w:lang w:eastAsia="x-none"/>
        </w:rPr>
        <w:t>2</w:t>
      </w:r>
      <w:r w:rsidR="00B4030D" w:rsidRPr="00F86159">
        <w:rPr>
          <w:rFonts w:ascii="Tahoma" w:hAnsi="Tahoma" w:cs="Tahoma"/>
          <w:sz w:val="24"/>
          <w:szCs w:val="24"/>
          <w:lang w:eastAsia="x-none"/>
        </w:rPr>
        <w:t>1</w:t>
      </w:r>
      <w:r w:rsidR="0019163D" w:rsidRPr="005B28F4">
        <w:rPr>
          <w:rFonts w:ascii="Tahoma" w:hAnsi="Tahoma" w:cs="Tahoma"/>
          <w:sz w:val="24"/>
          <w:szCs w:val="24"/>
        </w:rPr>
        <w:t>–</w:t>
      </w:r>
      <w:r w:rsidR="00B4030D" w:rsidRPr="00F86159">
        <w:rPr>
          <w:rFonts w:ascii="Tahoma" w:hAnsi="Tahoma" w:cs="Tahoma"/>
          <w:sz w:val="24"/>
          <w:szCs w:val="24"/>
          <w:lang w:eastAsia="x-none"/>
        </w:rPr>
        <w:t>202</w:t>
      </w:r>
      <w:r w:rsidR="00B83906" w:rsidRPr="00F86159">
        <w:rPr>
          <w:rFonts w:ascii="Tahoma" w:hAnsi="Tahoma" w:cs="Tahoma"/>
          <w:sz w:val="24"/>
          <w:szCs w:val="24"/>
          <w:lang w:eastAsia="x-none"/>
        </w:rPr>
        <w:t>7</w:t>
      </w:r>
      <w:r w:rsidR="00B4030D" w:rsidRPr="00F86159">
        <w:rPr>
          <w:rFonts w:ascii="Tahoma" w:hAnsi="Tahoma" w:cs="Tahoma"/>
          <w:sz w:val="24"/>
          <w:szCs w:val="24"/>
          <w:lang w:eastAsia="x-none"/>
        </w:rPr>
        <w:t>.</w:t>
      </w:r>
      <w:r w:rsidR="00220FCA">
        <w:rPr>
          <w:rFonts w:ascii="Tahoma" w:hAnsi="Tahoma" w:cs="Tahoma"/>
          <w:sz w:val="24"/>
          <w:szCs w:val="24"/>
          <w:lang w:eastAsia="x-none"/>
        </w:rPr>
        <w:t xml:space="preserve"> </w:t>
      </w:r>
      <w:r w:rsidR="0052229E" w:rsidRPr="00F86159">
        <w:rPr>
          <w:rFonts w:ascii="Tahoma" w:hAnsi="Tahoma" w:cs="Tahoma"/>
          <w:sz w:val="24"/>
          <w:szCs w:val="24"/>
          <w:lang w:eastAsia="x-none"/>
        </w:rPr>
        <w:t xml:space="preserve"> </w:t>
      </w:r>
      <w:r w:rsidR="00026E11">
        <w:rPr>
          <w:rFonts w:ascii="Tahoma" w:hAnsi="Tahoma" w:cs="Tahoma"/>
          <w:sz w:val="24"/>
          <w:szCs w:val="24"/>
          <w:lang w:eastAsia="x-none"/>
        </w:rPr>
        <w:t>Očekávané v</w:t>
      </w:r>
      <w:r w:rsidR="00F86159" w:rsidRPr="00F86159">
        <w:rPr>
          <w:rFonts w:ascii="Tahoma" w:hAnsi="Tahoma" w:cs="Tahoma"/>
          <w:sz w:val="24"/>
          <w:szCs w:val="24"/>
          <w:lang w:eastAsia="x-none"/>
        </w:rPr>
        <w:t>ýdaje</w:t>
      </w:r>
      <w:r w:rsidR="00183A1E" w:rsidRPr="00826D55">
        <w:rPr>
          <w:rFonts w:ascii="Tahoma" w:hAnsi="Tahoma" w:cs="Tahoma"/>
          <w:sz w:val="24"/>
          <w:szCs w:val="24"/>
          <w:lang w:eastAsia="x-none"/>
        </w:rPr>
        <w:t>, které vyplývají z</w:t>
      </w:r>
      <w:r w:rsidR="007A3B76" w:rsidRPr="00826D55">
        <w:rPr>
          <w:rFonts w:ascii="Tahoma" w:hAnsi="Tahoma" w:cs="Tahoma"/>
          <w:sz w:val="24"/>
          <w:szCs w:val="24"/>
          <w:lang w:eastAsia="x-none"/>
        </w:rPr>
        <w:t> </w:t>
      </w:r>
      <w:r w:rsidR="00183A1E" w:rsidRPr="00826D55">
        <w:rPr>
          <w:rFonts w:ascii="Tahoma" w:hAnsi="Tahoma" w:cs="Tahoma"/>
          <w:sz w:val="24"/>
          <w:szCs w:val="24"/>
          <w:lang w:eastAsia="x-none"/>
        </w:rPr>
        <w:t>akcí</w:t>
      </w:r>
      <w:r w:rsidR="007A3B76" w:rsidRPr="00826D55">
        <w:rPr>
          <w:rFonts w:ascii="Tahoma" w:hAnsi="Tahoma" w:cs="Tahoma"/>
          <w:sz w:val="24"/>
          <w:szCs w:val="24"/>
          <w:lang w:eastAsia="x-none"/>
        </w:rPr>
        <w:t xml:space="preserve"> spolufin</w:t>
      </w:r>
      <w:r w:rsidR="00C02CCE">
        <w:rPr>
          <w:rFonts w:ascii="Tahoma" w:hAnsi="Tahoma" w:cs="Tahoma"/>
          <w:sz w:val="24"/>
          <w:szCs w:val="24"/>
          <w:lang w:eastAsia="x-none"/>
        </w:rPr>
        <w:t>ancovaných</w:t>
      </w:r>
      <w:r w:rsidR="007A3B76" w:rsidRPr="00826D55">
        <w:rPr>
          <w:rFonts w:ascii="Tahoma" w:hAnsi="Tahoma" w:cs="Tahoma"/>
          <w:sz w:val="24"/>
          <w:szCs w:val="24"/>
          <w:lang w:eastAsia="x-none"/>
        </w:rPr>
        <w:t xml:space="preserve"> z</w:t>
      </w:r>
      <w:r w:rsidR="00C02CCE">
        <w:rPr>
          <w:rFonts w:ascii="Tahoma" w:hAnsi="Tahoma" w:cs="Tahoma"/>
          <w:sz w:val="24"/>
          <w:szCs w:val="24"/>
          <w:lang w:eastAsia="x-none"/>
        </w:rPr>
        <w:t xml:space="preserve"> evropských </w:t>
      </w:r>
      <w:r w:rsidR="00C02CCE" w:rsidRPr="006A56F7">
        <w:rPr>
          <w:rFonts w:ascii="Tahoma" w:hAnsi="Tahoma" w:cs="Tahoma"/>
          <w:sz w:val="24"/>
          <w:szCs w:val="24"/>
          <w:lang w:eastAsia="x-none"/>
        </w:rPr>
        <w:t>finančních zdrojů</w:t>
      </w:r>
      <w:r w:rsidR="007A3B76" w:rsidRPr="006A56F7">
        <w:rPr>
          <w:rFonts w:ascii="Tahoma" w:hAnsi="Tahoma" w:cs="Tahoma"/>
          <w:sz w:val="24"/>
          <w:szCs w:val="24"/>
          <w:lang w:eastAsia="x-none"/>
        </w:rPr>
        <w:t xml:space="preserve">, </w:t>
      </w:r>
      <w:r w:rsidR="00183A1E" w:rsidRPr="006A56F7">
        <w:rPr>
          <w:rFonts w:ascii="Tahoma" w:hAnsi="Tahoma" w:cs="Tahoma"/>
          <w:sz w:val="24"/>
          <w:szCs w:val="24"/>
          <w:lang w:eastAsia="x-none"/>
        </w:rPr>
        <w:t xml:space="preserve">jsou </w:t>
      </w:r>
      <w:r w:rsidR="007A3B76" w:rsidRPr="006A56F7">
        <w:rPr>
          <w:rFonts w:ascii="Tahoma" w:hAnsi="Tahoma" w:cs="Tahoma"/>
          <w:sz w:val="24"/>
          <w:szCs w:val="24"/>
          <w:lang w:eastAsia="x-none"/>
        </w:rPr>
        <w:t>vyčísleny</w:t>
      </w:r>
      <w:r w:rsidR="00183A1E" w:rsidRPr="006A56F7">
        <w:rPr>
          <w:rFonts w:ascii="Tahoma" w:hAnsi="Tahoma" w:cs="Tahoma"/>
          <w:sz w:val="24"/>
          <w:szCs w:val="24"/>
          <w:lang w:eastAsia="x-none"/>
        </w:rPr>
        <w:t xml:space="preserve"> v</w:t>
      </w:r>
      <w:r w:rsidR="00E71F60" w:rsidRPr="006A56F7">
        <w:rPr>
          <w:rFonts w:ascii="Tahoma" w:hAnsi="Tahoma" w:cs="Tahoma"/>
          <w:sz w:val="24"/>
          <w:szCs w:val="24"/>
          <w:lang w:eastAsia="x-none"/>
        </w:rPr>
        <w:t> tabulce č.</w:t>
      </w:r>
      <w:r w:rsidR="00C02CCE" w:rsidRPr="006A56F7">
        <w:rPr>
          <w:rFonts w:ascii="Tahoma" w:hAnsi="Tahoma" w:cs="Tahoma"/>
          <w:sz w:val="24"/>
          <w:szCs w:val="24"/>
          <w:lang w:eastAsia="x-none"/>
        </w:rPr>
        <w:t> </w:t>
      </w:r>
      <w:r w:rsidR="00E71F60" w:rsidRPr="006A56F7">
        <w:rPr>
          <w:rFonts w:ascii="Tahoma" w:hAnsi="Tahoma" w:cs="Tahoma"/>
          <w:sz w:val="24"/>
          <w:szCs w:val="24"/>
          <w:lang w:eastAsia="x-none"/>
        </w:rPr>
        <w:t>6</w:t>
      </w:r>
      <w:r w:rsidR="007466D0" w:rsidRPr="006A56F7">
        <w:rPr>
          <w:rFonts w:ascii="Tahoma" w:hAnsi="Tahoma" w:cs="Tahoma"/>
          <w:sz w:val="24"/>
          <w:szCs w:val="24"/>
          <w:lang w:eastAsia="x-none"/>
        </w:rPr>
        <w:t> </w:t>
      </w:r>
      <w:r w:rsidR="00B81701" w:rsidRPr="006A56F7">
        <w:rPr>
          <w:rFonts w:ascii="Tahoma" w:hAnsi="Tahoma" w:cs="Tahoma"/>
          <w:sz w:val="24"/>
          <w:szCs w:val="24"/>
          <w:lang w:eastAsia="x-none"/>
        </w:rPr>
        <w:t>Přehled</w:t>
      </w:r>
      <w:r w:rsidR="00B81701" w:rsidRPr="006A56F7">
        <w:rPr>
          <w:rFonts w:ascii="Tahoma" w:hAnsi="Tahoma" w:cs="Tahoma"/>
          <w:sz w:val="24"/>
          <w:szCs w:val="24"/>
        </w:rPr>
        <w:t xml:space="preserve"> výdajů na zajištění udržitelnosti akcí spolufinancovaných z </w:t>
      </w:r>
      <w:r w:rsidR="00141089" w:rsidRPr="006A56F7">
        <w:rPr>
          <w:rFonts w:ascii="Tahoma" w:hAnsi="Tahoma" w:cs="Tahoma"/>
          <w:sz w:val="24"/>
          <w:szCs w:val="24"/>
        </w:rPr>
        <w:t>e</w:t>
      </w:r>
      <w:r w:rsidR="00B81701" w:rsidRPr="006A56F7">
        <w:rPr>
          <w:rFonts w:ascii="Tahoma" w:hAnsi="Tahoma" w:cs="Tahoma"/>
          <w:sz w:val="24"/>
          <w:szCs w:val="24"/>
        </w:rPr>
        <w:t>vropských finančních zdrojů</w:t>
      </w:r>
      <w:r w:rsidR="00C467F9" w:rsidRPr="006A56F7">
        <w:rPr>
          <w:rFonts w:ascii="Tahoma" w:hAnsi="Tahoma" w:cs="Tahoma"/>
          <w:sz w:val="24"/>
          <w:szCs w:val="24"/>
        </w:rPr>
        <w:t xml:space="preserve"> </w:t>
      </w:r>
      <w:r w:rsidR="00C467F9" w:rsidRPr="006A56F7">
        <w:rPr>
          <w:rFonts w:ascii="Tahoma" w:hAnsi="Tahoma" w:cs="Tahoma"/>
          <w:sz w:val="24"/>
          <w:szCs w:val="24"/>
          <w:lang w:eastAsia="x-none"/>
        </w:rPr>
        <w:t>(tabulková část výhledu)</w:t>
      </w:r>
      <w:r w:rsidR="00141089" w:rsidRPr="006A56F7">
        <w:rPr>
          <w:rFonts w:ascii="Tahoma" w:hAnsi="Tahoma" w:cs="Tahoma"/>
          <w:sz w:val="24"/>
          <w:szCs w:val="24"/>
          <w:lang w:eastAsia="x-none"/>
        </w:rPr>
        <w:t>.</w:t>
      </w:r>
    </w:p>
    <w:p w14:paraId="376A1A6E" w14:textId="77777777" w:rsidR="00D26DA8" w:rsidRPr="007804B1" w:rsidRDefault="00D26DA8" w:rsidP="00E13877">
      <w:pPr>
        <w:pStyle w:val="Zkladntext"/>
        <w:rPr>
          <w:rFonts w:ascii="Tahoma" w:hAnsi="Tahoma" w:cs="Tahoma"/>
          <w:sz w:val="24"/>
          <w:szCs w:val="24"/>
        </w:rPr>
      </w:pPr>
    </w:p>
    <w:p w14:paraId="641DA7DB" w14:textId="2DF860D7" w:rsidR="007233DB" w:rsidRDefault="009F7F00" w:rsidP="002935C6">
      <w:pPr>
        <w:jc w:val="both"/>
        <w:rPr>
          <w:rFonts w:ascii="Tahoma" w:hAnsi="Tahoma" w:cs="Tahoma"/>
        </w:rPr>
      </w:pPr>
      <w:r w:rsidRPr="006A56F7">
        <w:rPr>
          <w:rFonts w:ascii="Tahoma" w:hAnsi="Tahoma" w:cs="Tahoma"/>
        </w:rPr>
        <w:t xml:space="preserve">Mezi samosprávné činnosti </w:t>
      </w:r>
      <w:proofErr w:type="gramStart"/>
      <w:r w:rsidRPr="006A56F7">
        <w:rPr>
          <w:rFonts w:ascii="Tahoma" w:hAnsi="Tahoma" w:cs="Tahoma"/>
        </w:rPr>
        <w:t>patří</w:t>
      </w:r>
      <w:proofErr w:type="gramEnd"/>
      <w:r w:rsidRPr="006A56F7">
        <w:rPr>
          <w:rFonts w:ascii="Tahoma" w:hAnsi="Tahoma" w:cs="Tahoma"/>
        </w:rPr>
        <w:t xml:space="preserve"> i vyhlašování dotačních programů</w:t>
      </w:r>
      <w:r w:rsidR="00C418C4" w:rsidRPr="006A56F7">
        <w:rPr>
          <w:rFonts w:ascii="Tahoma" w:hAnsi="Tahoma" w:cs="Tahoma"/>
        </w:rPr>
        <w:t xml:space="preserve"> a poskytování individuálních dotací. </w:t>
      </w:r>
      <w:r w:rsidR="002238D0" w:rsidRPr="001F7C51">
        <w:rPr>
          <w:rFonts w:ascii="Tahoma" w:hAnsi="Tahoma" w:cs="Tahoma"/>
        </w:rPr>
        <w:t>V</w:t>
      </w:r>
      <w:r w:rsidR="00E13877" w:rsidRPr="001F7C51">
        <w:rPr>
          <w:rFonts w:ascii="Tahoma" w:hAnsi="Tahoma" w:cs="Tahoma"/>
        </w:rPr>
        <w:t xml:space="preserve">e sledovaném období </w:t>
      </w:r>
      <w:r w:rsidR="00C94278" w:rsidRPr="001F7C51">
        <w:rPr>
          <w:rFonts w:ascii="Tahoma" w:hAnsi="Tahoma" w:cs="Tahoma"/>
        </w:rPr>
        <w:t xml:space="preserve">jsou </w:t>
      </w:r>
      <w:r w:rsidR="00E13877" w:rsidRPr="001F7C51">
        <w:rPr>
          <w:rFonts w:ascii="Tahoma" w:hAnsi="Tahoma" w:cs="Tahoma"/>
        </w:rPr>
        <w:t>výdaje</w:t>
      </w:r>
      <w:r w:rsidR="00C418C4" w:rsidRPr="001F7C51">
        <w:rPr>
          <w:rFonts w:ascii="Tahoma" w:hAnsi="Tahoma" w:cs="Tahoma"/>
        </w:rPr>
        <w:t xml:space="preserve"> na dotace výrazněji</w:t>
      </w:r>
      <w:r w:rsidR="008B7C79" w:rsidRPr="001F7C51">
        <w:rPr>
          <w:rFonts w:ascii="Tahoma" w:hAnsi="Tahoma" w:cs="Tahoma"/>
        </w:rPr>
        <w:t xml:space="preserve"> omezeny </w:t>
      </w:r>
      <w:r w:rsidR="002238D0" w:rsidRPr="001F7C51">
        <w:rPr>
          <w:rFonts w:ascii="Tahoma" w:hAnsi="Tahoma" w:cs="Tahoma"/>
        </w:rPr>
        <w:t xml:space="preserve">pouze na výdaje vyplývající ze schválených </w:t>
      </w:r>
      <w:proofErr w:type="gramStart"/>
      <w:r w:rsidR="00797E29" w:rsidRPr="001F7C51">
        <w:rPr>
          <w:rFonts w:ascii="Tahoma" w:hAnsi="Tahoma" w:cs="Tahoma"/>
        </w:rPr>
        <w:t>závazků</w:t>
      </w:r>
      <w:proofErr w:type="gramEnd"/>
      <w:r w:rsidR="002238D0" w:rsidRPr="001F7C51">
        <w:rPr>
          <w:rFonts w:ascii="Tahoma" w:hAnsi="Tahoma" w:cs="Tahoma"/>
        </w:rPr>
        <w:t xml:space="preserve"> u již realizovaných víceletých dotačních programů a dotačních programů </w:t>
      </w:r>
      <w:r w:rsidR="004E76B9" w:rsidRPr="001F7C51">
        <w:rPr>
          <w:rFonts w:ascii="Tahoma" w:hAnsi="Tahoma" w:cs="Tahoma"/>
        </w:rPr>
        <w:t xml:space="preserve">vázaných na konkrétní </w:t>
      </w:r>
      <w:r w:rsidR="00797E29" w:rsidRPr="001F7C51">
        <w:rPr>
          <w:rFonts w:ascii="Tahoma" w:hAnsi="Tahoma" w:cs="Tahoma"/>
        </w:rPr>
        <w:t>příjmy, resp.</w:t>
      </w:r>
      <w:r w:rsidR="002F0E90" w:rsidRPr="001F7C51">
        <w:rPr>
          <w:rFonts w:ascii="Tahoma" w:hAnsi="Tahoma" w:cs="Tahoma"/>
        </w:rPr>
        <w:t xml:space="preserve"> které</w:t>
      </w:r>
      <w:r w:rsidR="00AB4582" w:rsidRPr="001F7C51">
        <w:rPr>
          <w:rFonts w:ascii="Tahoma" w:hAnsi="Tahoma" w:cs="Tahoma"/>
        </w:rPr>
        <w:t xml:space="preserve"> přešly na kraj v rámci přerozdělení sdílených daní.</w:t>
      </w:r>
    </w:p>
    <w:p w14:paraId="69132054" w14:textId="0BB79A31" w:rsidR="00FF5B74" w:rsidRDefault="00FF5B74">
      <w:pPr>
        <w:rPr>
          <w:rFonts w:ascii="Tahoma" w:hAnsi="Tahoma" w:cs="Tahoma"/>
        </w:rPr>
      </w:pPr>
    </w:p>
    <w:p w14:paraId="79E65A67" w14:textId="2DD276B4" w:rsidR="008E7B37" w:rsidRPr="00826D55" w:rsidRDefault="008E7B37" w:rsidP="002935C6">
      <w:pPr>
        <w:pStyle w:val="Nadpis4"/>
        <w:rPr>
          <w:rFonts w:ascii="Tahoma" w:hAnsi="Tahoma" w:cs="Tahoma"/>
          <w:sz w:val="24"/>
          <w:szCs w:val="24"/>
        </w:rPr>
      </w:pPr>
      <w:r w:rsidRPr="00826D55">
        <w:rPr>
          <w:rFonts w:ascii="Tahoma" w:hAnsi="Tahoma" w:cs="Tahoma"/>
          <w:sz w:val="24"/>
          <w:szCs w:val="24"/>
        </w:rPr>
        <w:t>Příspěvky na provoz příspěvkovým organizacím kraje</w:t>
      </w:r>
    </w:p>
    <w:p w14:paraId="79E65A68" w14:textId="77777777" w:rsidR="00200A7C" w:rsidRPr="00826D55" w:rsidRDefault="00200A7C" w:rsidP="00200A7C"/>
    <w:p w14:paraId="470C9823" w14:textId="78A8B6D5" w:rsidR="00E65DE4" w:rsidRDefault="00AE361B" w:rsidP="00BC5E9E">
      <w:pPr>
        <w:rPr>
          <w:rFonts w:ascii="Tahoma" w:hAnsi="Tahoma" w:cs="Tahoma"/>
          <w:sz w:val="16"/>
          <w:szCs w:val="16"/>
        </w:rPr>
      </w:pPr>
      <w:r w:rsidRPr="00826D55">
        <w:rPr>
          <w:rFonts w:ascii="Tahoma" w:hAnsi="Tahoma" w:cs="Tahoma"/>
          <w:sz w:val="16"/>
          <w:szCs w:val="16"/>
        </w:rPr>
        <w:t xml:space="preserve">Graf č. 9 Vývoj </w:t>
      </w:r>
      <w:r w:rsidR="007320C0" w:rsidRPr="00826D55">
        <w:rPr>
          <w:rFonts w:ascii="Tahoma" w:hAnsi="Tahoma" w:cs="Tahoma"/>
          <w:sz w:val="16"/>
          <w:szCs w:val="16"/>
        </w:rPr>
        <w:t xml:space="preserve">příspěvků na provoz příspěvkových organizací </w:t>
      </w:r>
      <w:r w:rsidR="00BC5E9E" w:rsidRPr="00826D55">
        <w:rPr>
          <w:rFonts w:ascii="Tahoma" w:hAnsi="Tahoma" w:cs="Tahoma"/>
          <w:sz w:val="16"/>
          <w:szCs w:val="16"/>
        </w:rPr>
        <w:t>(v mil. Kč)</w:t>
      </w:r>
    </w:p>
    <w:p w14:paraId="2800A420" w14:textId="3824C13B" w:rsidR="00220921" w:rsidRDefault="00220921" w:rsidP="00BC5E9E">
      <w:pPr>
        <w:rPr>
          <w:rFonts w:ascii="Tahoma" w:hAnsi="Tahoma" w:cs="Tahoma"/>
          <w:sz w:val="16"/>
          <w:szCs w:val="16"/>
        </w:rPr>
      </w:pPr>
      <w:r>
        <w:rPr>
          <w:rFonts w:ascii="Tahoma" w:hAnsi="Tahoma" w:cs="Tahoma"/>
          <w:noProof/>
          <w:sz w:val="16"/>
          <w:szCs w:val="16"/>
        </w:rPr>
        <w:drawing>
          <wp:inline distT="0" distB="0" distL="0" distR="0" wp14:anchorId="72F7AB67" wp14:editId="6BCCEC15">
            <wp:extent cx="3818823" cy="2295525"/>
            <wp:effectExtent l="0" t="0" r="0" b="0"/>
            <wp:docPr id="100838017" name="Obrázek 10083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7356" cy="2300654"/>
                    </a:xfrm>
                    <a:prstGeom prst="rect">
                      <a:avLst/>
                    </a:prstGeom>
                    <a:noFill/>
                  </pic:spPr>
                </pic:pic>
              </a:graphicData>
            </a:graphic>
          </wp:inline>
        </w:drawing>
      </w:r>
    </w:p>
    <w:p w14:paraId="4A5895E6" w14:textId="77777777" w:rsidR="00220921" w:rsidRDefault="00220921" w:rsidP="00BC5E9E">
      <w:pPr>
        <w:rPr>
          <w:rFonts w:ascii="Tahoma" w:hAnsi="Tahoma" w:cs="Tahoma"/>
          <w:sz w:val="16"/>
          <w:szCs w:val="16"/>
        </w:rPr>
      </w:pPr>
    </w:p>
    <w:p w14:paraId="5CC71676" w14:textId="08FABE31" w:rsidR="00D63A9E" w:rsidRDefault="00DA1AA8" w:rsidP="003C14B2">
      <w:pPr>
        <w:jc w:val="both"/>
        <w:rPr>
          <w:rFonts w:ascii="Tahoma" w:hAnsi="Tahoma" w:cs="Tahoma"/>
        </w:rPr>
      </w:pPr>
      <w:r w:rsidRPr="006B1543">
        <w:rPr>
          <w:rFonts w:ascii="Tahoma" w:hAnsi="Tahoma" w:cs="Tahoma"/>
        </w:rPr>
        <w:t>V</w:t>
      </w:r>
      <w:r w:rsidR="00360C61" w:rsidRPr="006B1543">
        <w:rPr>
          <w:rFonts w:ascii="Tahoma" w:hAnsi="Tahoma" w:cs="Tahoma"/>
        </w:rPr>
        <w:t>ýdaj</w:t>
      </w:r>
      <w:r w:rsidRPr="006B1543">
        <w:rPr>
          <w:rFonts w:ascii="Tahoma" w:hAnsi="Tahoma" w:cs="Tahoma"/>
        </w:rPr>
        <w:t>e</w:t>
      </w:r>
      <w:r w:rsidR="00360C61" w:rsidRPr="006B1543">
        <w:rPr>
          <w:rFonts w:ascii="Tahoma" w:hAnsi="Tahoma" w:cs="Tahoma"/>
        </w:rPr>
        <w:t xml:space="preserve">, které </w:t>
      </w:r>
      <w:proofErr w:type="gramStart"/>
      <w:r w:rsidR="00360C61" w:rsidRPr="006B1543">
        <w:rPr>
          <w:rFonts w:ascii="Tahoma" w:hAnsi="Tahoma" w:cs="Tahoma"/>
        </w:rPr>
        <w:t>slouží</w:t>
      </w:r>
      <w:proofErr w:type="gramEnd"/>
      <w:r w:rsidR="00360C61" w:rsidRPr="006B1543">
        <w:rPr>
          <w:rFonts w:ascii="Tahoma" w:hAnsi="Tahoma" w:cs="Tahoma"/>
        </w:rPr>
        <w:t xml:space="preserve"> k financování běžného provozu příspěvkových organizací, jejichž zřizovatelem je kraj</w:t>
      </w:r>
      <w:r w:rsidR="002B6425" w:rsidRPr="006B1543">
        <w:rPr>
          <w:rFonts w:ascii="Tahoma" w:hAnsi="Tahoma" w:cs="Tahoma"/>
        </w:rPr>
        <w:t>,</w:t>
      </w:r>
      <w:r w:rsidR="00360C61" w:rsidRPr="006B1543">
        <w:rPr>
          <w:rFonts w:ascii="Tahoma" w:hAnsi="Tahoma" w:cs="Tahoma"/>
        </w:rPr>
        <w:t xml:space="preserve"> </w:t>
      </w:r>
      <w:r w:rsidR="00E22DC8" w:rsidRPr="006B1543">
        <w:rPr>
          <w:rFonts w:ascii="Tahoma" w:hAnsi="Tahoma" w:cs="Tahoma"/>
        </w:rPr>
        <w:t xml:space="preserve">vycházejí </w:t>
      </w:r>
      <w:r w:rsidR="00594550" w:rsidRPr="006B1543">
        <w:rPr>
          <w:rFonts w:ascii="Tahoma" w:hAnsi="Tahoma" w:cs="Tahoma"/>
        </w:rPr>
        <w:t xml:space="preserve">z úrovně objemu </w:t>
      </w:r>
      <w:r w:rsidR="004716B8" w:rsidRPr="006B1543">
        <w:rPr>
          <w:rFonts w:ascii="Tahoma" w:hAnsi="Tahoma" w:cs="Tahoma"/>
        </w:rPr>
        <w:t>příspěvk</w:t>
      </w:r>
      <w:r w:rsidR="00594550" w:rsidRPr="006B1543">
        <w:rPr>
          <w:rFonts w:ascii="Tahoma" w:hAnsi="Tahoma" w:cs="Tahoma"/>
        </w:rPr>
        <w:t>ů</w:t>
      </w:r>
      <w:r w:rsidR="004716B8" w:rsidRPr="006B1543">
        <w:rPr>
          <w:rFonts w:ascii="Tahoma" w:hAnsi="Tahoma" w:cs="Tahoma"/>
        </w:rPr>
        <w:t xml:space="preserve"> na provoz </w:t>
      </w:r>
      <w:r w:rsidR="005F1CBE" w:rsidRPr="006B1543">
        <w:rPr>
          <w:rFonts w:ascii="Tahoma" w:hAnsi="Tahoma" w:cs="Tahoma"/>
        </w:rPr>
        <w:t xml:space="preserve">stanoveného </w:t>
      </w:r>
      <w:r w:rsidR="006838BD" w:rsidRPr="006B1543">
        <w:rPr>
          <w:rFonts w:ascii="Tahoma" w:hAnsi="Tahoma" w:cs="Tahoma"/>
        </w:rPr>
        <w:t>organizacím pro rok 202</w:t>
      </w:r>
      <w:r w:rsidR="00D24293">
        <w:rPr>
          <w:rFonts w:ascii="Tahoma" w:hAnsi="Tahoma" w:cs="Tahoma"/>
        </w:rPr>
        <w:t>4</w:t>
      </w:r>
      <w:r w:rsidR="006838BD" w:rsidRPr="006B1543">
        <w:rPr>
          <w:rFonts w:ascii="Tahoma" w:hAnsi="Tahoma" w:cs="Tahoma"/>
        </w:rPr>
        <w:t xml:space="preserve">. </w:t>
      </w:r>
      <w:r w:rsidR="00804C71">
        <w:rPr>
          <w:rFonts w:ascii="Tahoma" w:hAnsi="Tahoma" w:cs="Tahoma"/>
        </w:rPr>
        <w:t xml:space="preserve">V období výhledu lze ale očekávat </w:t>
      </w:r>
      <w:r w:rsidR="00BC313E">
        <w:rPr>
          <w:rFonts w:ascii="Tahoma" w:hAnsi="Tahoma" w:cs="Tahoma"/>
        </w:rPr>
        <w:t>zvýšení výdajů na provoz příspěvkových organizací</w:t>
      </w:r>
      <w:r w:rsidR="00185835">
        <w:rPr>
          <w:rFonts w:ascii="Tahoma" w:hAnsi="Tahoma" w:cs="Tahoma"/>
        </w:rPr>
        <w:t>,</w:t>
      </w:r>
      <w:r w:rsidR="00BC313E">
        <w:rPr>
          <w:rFonts w:ascii="Tahoma" w:hAnsi="Tahoma" w:cs="Tahoma"/>
        </w:rPr>
        <w:t xml:space="preserve"> a to z důvodu ukončení </w:t>
      </w:r>
      <w:r w:rsidR="00DA09E7">
        <w:rPr>
          <w:rFonts w:ascii="Tahoma" w:hAnsi="Tahoma" w:cs="Tahoma"/>
        </w:rPr>
        <w:t xml:space="preserve">projektů spolufinancovaných z evropských zdrojů </w:t>
      </w:r>
      <w:r w:rsidR="007E38A9">
        <w:rPr>
          <w:rFonts w:ascii="Tahoma" w:hAnsi="Tahoma" w:cs="Tahoma"/>
        </w:rPr>
        <w:t>zejm</w:t>
      </w:r>
      <w:r w:rsidR="003D3639">
        <w:rPr>
          <w:rFonts w:ascii="Tahoma" w:hAnsi="Tahoma" w:cs="Tahoma"/>
        </w:rPr>
        <w:t xml:space="preserve">éna v odvětví kultury a školství. </w:t>
      </w:r>
    </w:p>
    <w:p w14:paraId="3B371CD7" w14:textId="77777777" w:rsidR="00D63A9E" w:rsidRDefault="00D63A9E" w:rsidP="003C14B2">
      <w:pPr>
        <w:jc w:val="both"/>
        <w:rPr>
          <w:rFonts w:ascii="Tahoma" w:hAnsi="Tahoma" w:cs="Tahoma"/>
        </w:rPr>
      </w:pPr>
    </w:p>
    <w:p w14:paraId="79E65A6E" w14:textId="3BF92045" w:rsidR="003C14B2" w:rsidRPr="00826D55" w:rsidRDefault="00A719A4" w:rsidP="003C14B2">
      <w:pPr>
        <w:jc w:val="both"/>
        <w:rPr>
          <w:rFonts w:ascii="Tahoma" w:hAnsi="Tahoma" w:cs="Tahoma"/>
        </w:rPr>
      </w:pPr>
      <w:r w:rsidRPr="00DD4B5E">
        <w:rPr>
          <w:rFonts w:ascii="Tahoma" w:hAnsi="Tahoma" w:cs="Tahoma"/>
        </w:rPr>
        <w:t xml:space="preserve">Organizacím jsou </w:t>
      </w:r>
      <w:r w:rsidR="003E035E">
        <w:rPr>
          <w:rFonts w:ascii="Tahoma" w:hAnsi="Tahoma" w:cs="Tahoma"/>
        </w:rPr>
        <w:t xml:space="preserve">poskytovány </w:t>
      </w:r>
      <w:r w:rsidR="003D3639">
        <w:rPr>
          <w:rFonts w:ascii="Tahoma" w:hAnsi="Tahoma" w:cs="Tahoma"/>
        </w:rPr>
        <w:t>tyto</w:t>
      </w:r>
      <w:r w:rsidR="00153343" w:rsidRPr="00DD4B5E">
        <w:rPr>
          <w:rFonts w:ascii="Tahoma" w:hAnsi="Tahoma" w:cs="Tahoma"/>
        </w:rPr>
        <w:t xml:space="preserve"> </w:t>
      </w:r>
      <w:r w:rsidR="0075702E" w:rsidRPr="00DD4B5E">
        <w:rPr>
          <w:rFonts w:ascii="Tahoma" w:hAnsi="Tahoma" w:cs="Tahoma"/>
        </w:rPr>
        <w:t>příspěvky</w:t>
      </w:r>
      <w:r w:rsidR="00153343" w:rsidRPr="00DD4B5E">
        <w:rPr>
          <w:rFonts w:ascii="Tahoma" w:hAnsi="Tahoma" w:cs="Tahoma"/>
        </w:rPr>
        <w:t xml:space="preserve"> na provoz</w:t>
      </w:r>
      <w:r w:rsidRPr="00DD4B5E">
        <w:rPr>
          <w:rFonts w:ascii="Tahoma" w:hAnsi="Tahoma" w:cs="Tahoma"/>
        </w:rPr>
        <w:t xml:space="preserve"> v souvislosti</w:t>
      </w:r>
      <w:r w:rsidR="00360C61" w:rsidRPr="00DD4B5E">
        <w:rPr>
          <w:rFonts w:ascii="Tahoma" w:hAnsi="Tahoma" w:cs="Tahoma"/>
        </w:rPr>
        <w:t xml:space="preserve"> s pořízením nového majetku za spoluúčasti evropských zdrojů</w:t>
      </w:r>
      <w:r w:rsidR="003D3639">
        <w:rPr>
          <w:rFonts w:ascii="Tahoma" w:hAnsi="Tahoma" w:cs="Tahoma"/>
        </w:rPr>
        <w:t xml:space="preserve"> </w:t>
      </w:r>
      <w:r w:rsidR="00E20C47">
        <w:rPr>
          <w:rFonts w:ascii="Tahoma" w:hAnsi="Tahoma" w:cs="Tahoma"/>
        </w:rPr>
        <w:t>účelově – více</w:t>
      </w:r>
      <w:r w:rsidR="00360C61" w:rsidRPr="00952AD2">
        <w:rPr>
          <w:rFonts w:ascii="Tahoma" w:hAnsi="Tahoma" w:cs="Tahoma"/>
        </w:rPr>
        <w:t xml:space="preserve"> viz tabulka č.</w:t>
      </w:r>
      <w:r w:rsidR="00E71F60" w:rsidRPr="00952AD2">
        <w:rPr>
          <w:rFonts w:ascii="Tahoma" w:hAnsi="Tahoma" w:cs="Tahoma"/>
        </w:rPr>
        <w:t xml:space="preserve"> </w:t>
      </w:r>
      <w:r w:rsidR="00C467F9" w:rsidRPr="00952AD2">
        <w:rPr>
          <w:rFonts w:ascii="Tahoma" w:hAnsi="Tahoma" w:cs="Tahoma"/>
        </w:rPr>
        <w:t>6</w:t>
      </w:r>
      <w:r w:rsidR="00360C61" w:rsidRPr="00952AD2">
        <w:rPr>
          <w:rFonts w:ascii="Tahoma" w:hAnsi="Tahoma" w:cs="Tahoma"/>
        </w:rPr>
        <w:t xml:space="preserve"> Přehled výdajů</w:t>
      </w:r>
      <w:r w:rsidR="00360C61" w:rsidRPr="00826D55">
        <w:rPr>
          <w:rFonts w:ascii="Tahoma" w:hAnsi="Tahoma" w:cs="Tahoma"/>
        </w:rPr>
        <w:t xml:space="preserve"> na zajištění udržitelnosti akcí spolufinancovaných z evropských finančních zdrojů</w:t>
      </w:r>
      <w:r w:rsidR="00C467F9" w:rsidRPr="00826D55">
        <w:rPr>
          <w:rFonts w:ascii="Tahoma" w:hAnsi="Tahoma" w:cs="Tahoma"/>
        </w:rPr>
        <w:t xml:space="preserve"> (tabulková část výhledu)</w:t>
      </w:r>
      <w:r w:rsidR="00360C61" w:rsidRPr="00826D55">
        <w:rPr>
          <w:rFonts w:ascii="Tahoma" w:hAnsi="Tahoma" w:cs="Tahoma"/>
        </w:rPr>
        <w:t>.</w:t>
      </w:r>
      <w:r w:rsidR="00BB2C71">
        <w:rPr>
          <w:rFonts w:ascii="Tahoma" w:hAnsi="Tahoma" w:cs="Tahoma"/>
        </w:rPr>
        <w:t xml:space="preserve"> </w:t>
      </w:r>
      <w:r w:rsidR="00CB48A1" w:rsidRPr="00483682">
        <w:rPr>
          <w:rFonts w:ascii="Tahoma" w:hAnsi="Tahoma" w:cs="Tahoma"/>
        </w:rPr>
        <w:t>Požadavek na navýšení příspěvku na provoz z titulu vyšších výdajů související s</w:t>
      </w:r>
      <w:r w:rsidR="000A5170" w:rsidRPr="00483682">
        <w:rPr>
          <w:rFonts w:ascii="Tahoma" w:hAnsi="Tahoma" w:cs="Tahoma"/>
        </w:rPr>
        <w:t> </w:t>
      </w:r>
      <w:r w:rsidR="00CB48A1" w:rsidRPr="00483682">
        <w:rPr>
          <w:rFonts w:ascii="Tahoma" w:hAnsi="Tahoma" w:cs="Tahoma"/>
        </w:rPr>
        <w:t xml:space="preserve">udržitelností projektu </w:t>
      </w:r>
      <w:r w:rsidR="00185835">
        <w:rPr>
          <w:rFonts w:ascii="Tahoma" w:hAnsi="Tahoma" w:cs="Tahoma"/>
        </w:rPr>
        <w:t xml:space="preserve">je </w:t>
      </w:r>
      <w:r w:rsidR="002B6425" w:rsidRPr="00483682">
        <w:rPr>
          <w:rFonts w:ascii="Tahoma" w:hAnsi="Tahoma" w:cs="Tahoma"/>
        </w:rPr>
        <w:t xml:space="preserve">vždy </w:t>
      </w:r>
      <w:r w:rsidR="00CB48A1" w:rsidRPr="00483682">
        <w:rPr>
          <w:rFonts w:ascii="Tahoma" w:hAnsi="Tahoma" w:cs="Tahoma"/>
        </w:rPr>
        <w:t xml:space="preserve">řešen při přípravě rozpočtu kraje na daný kalendářní rok, a to na základě předloženého </w:t>
      </w:r>
      <w:r w:rsidR="003C14B2" w:rsidRPr="00483682">
        <w:rPr>
          <w:rFonts w:ascii="Tahoma" w:hAnsi="Tahoma" w:cs="Tahoma"/>
        </w:rPr>
        <w:t>rozpočtu</w:t>
      </w:r>
      <w:r w:rsidR="00CB48A1" w:rsidRPr="00483682">
        <w:rPr>
          <w:rFonts w:ascii="Tahoma" w:hAnsi="Tahoma" w:cs="Tahoma"/>
        </w:rPr>
        <w:t xml:space="preserve"> příslušné příspěvkové organizace.</w:t>
      </w:r>
      <w:r w:rsidR="00CB48A1" w:rsidRPr="00826D55">
        <w:rPr>
          <w:rFonts w:ascii="Tahoma" w:hAnsi="Tahoma" w:cs="Tahoma"/>
        </w:rPr>
        <w:t xml:space="preserve">  </w:t>
      </w:r>
    </w:p>
    <w:p w14:paraId="79E65A6F" w14:textId="77777777" w:rsidR="000C0850" w:rsidRPr="00826D55" w:rsidRDefault="000C0850" w:rsidP="003C14B2">
      <w:pPr>
        <w:jc w:val="both"/>
        <w:rPr>
          <w:rFonts w:ascii="Tahoma" w:hAnsi="Tahoma" w:cs="Tahoma"/>
        </w:rPr>
      </w:pPr>
    </w:p>
    <w:p w14:paraId="10AA80AB" w14:textId="77777777" w:rsidR="00A23CD6" w:rsidRDefault="00CB48A1" w:rsidP="004B5DC5">
      <w:pPr>
        <w:jc w:val="both"/>
        <w:rPr>
          <w:rFonts w:ascii="Tahoma" w:hAnsi="Tahoma" w:cs="Tahoma"/>
        </w:rPr>
      </w:pPr>
      <w:r w:rsidRPr="00826D55">
        <w:rPr>
          <w:rFonts w:ascii="Tahoma" w:hAnsi="Tahoma" w:cs="Tahoma"/>
        </w:rPr>
        <w:t xml:space="preserve">Obdobně jako v posledních letech je do výhledu zařazena návratná finanční výpomoc pro </w:t>
      </w:r>
      <w:r w:rsidR="00F560F9" w:rsidRPr="00826D55">
        <w:rPr>
          <w:rFonts w:ascii="Tahoma" w:hAnsi="Tahoma" w:cs="Tahoma"/>
        </w:rPr>
        <w:t xml:space="preserve">organizace v odvětví </w:t>
      </w:r>
      <w:r w:rsidR="003C14B2" w:rsidRPr="00826D55">
        <w:rPr>
          <w:rFonts w:ascii="Tahoma" w:hAnsi="Tahoma" w:cs="Tahoma"/>
        </w:rPr>
        <w:t xml:space="preserve">sociálních věcí pro překlenutí </w:t>
      </w:r>
      <w:r w:rsidR="00B32B02" w:rsidRPr="00826D55">
        <w:rPr>
          <w:rFonts w:ascii="Tahoma" w:hAnsi="Tahoma" w:cs="Tahoma"/>
        </w:rPr>
        <w:t>období,</w:t>
      </w:r>
      <w:r w:rsidR="003C14B2" w:rsidRPr="00826D55">
        <w:rPr>
          <w:rFonts w:ascii="Tahoma" w:hAnsi="Tahoma" w:cs="Tahoma"/>
        </w:rPr>
        <w:t xml:space="preserve"> než kraj </w:t>
      </w:r>
      <w:proofErr w:type="gramStart"/>
      <w:r w:rsidR="003C14B2" w:rsidRPr="00826D55">
        <w:rPr>
          <w:rFonts w:ascii="Tahoma" w:hAnsi="Tahoma" w:cs="Tahoma"/>
        </w:rPr>
        <w:t>obdrží</w:t>
      </w:r>
      <w:proofErr w:type="gramEnd"/>
      <w:r w:rsidR="003C14B2" w:rsidRPr="00826D55">
        <w:rPr>
          <w:rFonts w:ascii="Tahoma" w:hAnsi="Tahoma" w:cs="Tahoma"/>
        </w:rPr>
        <w:t xml:space="preserve"> a rozdělí dotaci od Ministerstva práce a sociálních věcí.</w:t>
      </w:r>
      <w:r w:rsidR="00B64746">
        <w:rPr>
          <w:rFonts w:ascii="Tahoma" w:hAnsi="Tahoma" w:cs="Tahoma"/>
        </w:rPr>
        <w:t xml:space="preserve"> </w:t>
      </w:r>
      <w:r w:rsidR="004B5DC5">
        <w:rPr>
          <w:rFonts w:ascii="Tahoma" w:hAnsi="Tahoma" w:cs="Tahoma"/>
        </w:rPr>
        <w:t>P</w:t>
      </w:r>
      <w:r w:rsidR="00B64746" w:rsidRPr="00CF1C33">
        <w:rPr>
          <w:rFonts w:ascii="Tahoma" w:hAnsi="Tahoma" w:cs="Tahoma"/>
        </w:rPr>
        <w:t>ro organizaci Moravskoslezské energetické centrum</w:t>
      </w:r>
      <w:r w:rsidR="004A2363" w:rsidRPr="00CF1C33">
        <w:rPr>
          <w:rFonts w:ascii="Tahoma" w:hAnsi="Tahoma" w:cs="Tahoma"/>
        </w:rPr>
        <w:t xml:space="preserve">, </w:t>
      </w:r>
      <w:proofErr w:type="spellStart"/>
      <w:r w:rsidR="004A2363" w:rsidRPr="00CF1C33">
        <w:rPr>
          <w:rFonts w:ascii="Tahoma" w:hAnsi="Tahoma" w:cs="Tahoma"/>
        </w:rPr>
        <w:t>p.o</w:t>
      </w:r>
      <w:proofErr w:type="spellEnd"/>
      <w:r w:rsidR="004A2363" w:rsidRPr="00CF1C33">
        <w:rPr>
          <w:rFonts w:ascii="Tahoma" w:hAnsi="Tahoma" w:cs="Tahoma"/>
        </w:rPr>
        <w:t>.</w:t>
      </w:r>
      <w:r w:rsidR="00B32B02" w:rsidRPr="00CF1C33">
        <w:rPr>
          <w:rFonts w:ascii="Tahoma" w:hAnsi="Tahoma" w:cs="Tahoma"/>
        </w:rPr>
        <w:t>, je</w:t>
      </w:r>
      <w:r w:rsidR="004A2363" w:rsidRPr="00CF1C33">
        <w:rPr>
          <w:rFonts w:ascii="Tahoma" w:hAnsi="Tahoma" w:cs="Tahoma"/>
        </w:rPr>
        <w:t xml:space="preserve"> plánována návratná finanční výpomoc na zajištění předfinancování prostředků z operačního programu </w:t>
      </w:r>
      <w:r w:rsidR="00D462B0" w:rsidRPr="00CF1C33">
        <w:rPr>
          <w:rFonts w:ascii="Tahoma" w:hAnsi="Tahoma" w:cs="Tahoma"/>
        </w:rPr>
        <w:t>S</w:t>
      </w:r>
      <w:r w:rsidR="004A2363" w:rsidRPr="00CF1C33">
        <w:rPr>
          <w:rFonts w:ascii="Tahoma" w:hAnsi="Tahoma" w:cs="Tahoma"/>
        </w:rPr>
        <w:t>pravedlivá transformace</w:t>
      </w:r>
      <w:r w:rsidR="00D462B0" w:rsidRPr="00CF1C33">
        <w:rPr>
          <w:rFonts w:ascii="Tahoma" w:hAnsi="Tahoma" w:cs="Tahoma"/>
        </w:rPr>
        <w:t xml:space="preserve"> </w:t>
      </w:r>
      <w:r w:rsidR="00B64746" w:rsidRPr="00CF1C33">
        <w:rPr>
          <w:rFonts w:ascii="Tahoma" w:hAnsi="Tahoma" w:cs="Tahoma"/>
        </w:rPr>
        <w:t>na realizaci strat</w:t>
      </w:r>
      <w:r w:rsidR="004035BE" w:rsidRPr="00CF1C33">
        <w:rPr>
          <w:rFonts w:ascii="Tahoma" w:hAnsi="Tahoma" w:cs="Tahoma"/>
        </w:rPr>
        <w:t>e</w:t>
      </w:r>
      <w:r w:rsidR="00B64746" w:rsidRPr="00CF1C33">
        <w:rPr>
          <w:rFonts w:ascii="Tahoma" w:hAnsi="Tahoma" w:cs="Tahoma"/>
        </w:rPr>
        <w:t xml:space="preserve">gického </w:t>
      </w:r>
      <w:r w:rsidR="004035BE" w:rsidRPr="00CF1C33">
        <w:rPr>
          <w:rFonts w:ascii="Tahoma" w:hAnsi="Tahoma" w:cs="Tahoma"/>
        </w:rPr>
        <w:t>projektu</w:t>
      </w:r>
      <w:r w:rsidR="00B64746" w:rsidRPr="00CF1C33">
        <w:rPr>
          <w:rFonts w:ascii="Tahoma" w:hAnsi="Tahoma" w:cs="Tahoma"/>
        </w:rPr>
        <w:t xml:space="preserve"> </w:t>
      </w:r>
      <w:r w:rsidR="004035BE" w:rsidRPr="00CF1C33">
        <w:rPr>
          <w:rFonts w:ascii="Tahoma" w:hAnsi="Tahoma" w:cs="Tahoma"/>
        </w:rPr>
        <w:t>„</w:t>
      </w:r>
      <w:r w:rsidR="00B64746" w:rsidRPr="00CF1C33">
        <w:rPr>
          <w:rFonts w:ascii="Tahoma" w:hAnsi="Tahoma" w:cs="Tahoma"/>
        </w:rPr>
        <w:t>Centrum veřejných energetiků</w:t>
      </w:r>
      <w:r w:rsidR="004035BE" w:rsidRPr="00CF1C33">
        <w:rPr>
          <w:rFonts w:ascii="Tahoma" w:hAnsi="Tahoma" w:cs="Tahoma"/>
        </w:rPr>
        <w:t>“</w:t>
      </w:r>
      <w:r w:rsidR="0039172B" w:rsidRPr="00CF1C33">
        <w:rPr>
          <w:rFonts w:ascii="Tahoma" w:hAnsi="Tahoma" w:cs="Tahoma"/>
        </w:rPr>
        <w:t>.</w:t>
      </w:r>
      <w:r w:rsidR="004035BE" w:rsidRPr="00CF1C33">
        <w:rPr>
          <w:rFonts w:ascii="Tahoma" w:hAnsi="Tahoma" w:cs="Tahoma"/>
        </w:rPr>
        <w:t xml:space="preserve"> </w:t>
      </w:r>
      <w:r w:rsidR="004B5DC5">
        <w:rPr>
          <w:rFonts w:ascii="Tahoma" w:hAnsi="Tahoma" w:cs="Tahoma"/>
        </w:rPr>
        <w:t>P</w:t>
      </w:r>
      <w:r w:rsidR="004B5DC5" w:rsidRPr="00CF1C33">
        <w:rPr>
          <w:rFonts w:ascii="Tahoma" w:hAnsi="Tahoma" w:cs="Tahoma"/>
        </w:rPr>
        <w:t xml:space="preserve">ro organizaci </w:t>
      </w:r>
      <w:r w:rsidR="004B5DC5">
        <w:rPr>
          <w:rFonts w:ascii="Tahoma" w:hAnsi="Tahoma" w:cs="Tahoma"/>
        </w:rPr>
        <w:t>z </w:t>
      </w:r>
      <w:r w:rsidR="004B5DC5" w:rsidRPr="001F7C51">
        <w:rPr>
          <w:rFonts w:ascii="Tahoma" w:hAnsi="Tahoma" w:cs="Tahoma"/>
        </w:rPr>
        <w:t xml:space="preserve">odvětví školství </w:t>
      </w:r>
      <w:r w:rsidR="004939B9" w:rsidRPr="001F7C51">
        <w:rPr>
          <w:rFonts w:ascii="Tahoma" w:hAnsi="Tahoma" w:cs="Tahoma"/>
        </w:rPr>
        <w:t xml:space="preserve">jsou rovněž plánovány návratné finanční výpomoci </w:t>
      </w:r>
      <w:r w:rsidR="008E4D11" w:rsidRPr="001F7C51">
        <w:rPr>
          <w:rFonts w:ascii="Tahoma" w:hAnsi="Tahoma" w:cs="Tahoma"/>
        </w:rPr>
        <w:t>pro</w:t>
      </w:r>
      <w:r w:rsidR="007466D0" w:rsidRPr="001F7C51">
        <w:rPr>
          <w:rFonts w:ascii="Tahoma" w:hAnsi="Tahoma" w:cs="Tahoma"/>
        </w:rPr>
        <w:t> </w:t>
      </w:r>
      <w:r w:rsidR="00F560F9" w:rsidRPr="001F7C51">
        <w:rPr>
          <w:rFonts w:ascii="Tahoma" w:hAnsi="Tahoma" w:cs="Tahoma"/>
        </w:rPr>
        <w:t xml:space="preserve">zajištění profinancování akcí spolufinancovaných z EU, které realizují přímo </w:t>
      </w:r>
      <w:r w:rsidR="008E4D11" w:rsidRPr="001F7C51">
        <w:rPr>
          <w:rFonts w:ascii="Tahoma" w:hAnsi="Tahoma" w:cs="Tahoma"/>
        </w:rPr>
        <w:t>tyto organizace.</w:t>
      </w:r>
      <w:r w:rsidR="004B5DC5" w:rsidRPr="001F7C51">
        <w:rPr>
          <w:rFonts w:ascii="Tahoma" w:hAnsi="Tahoma" w:cs="Tahoma"/>
        </w:rPr>
        <w:t xml:space="preserve"> </w:t>
      </w:r>
      <w:r w:rsidR="00DC10AD" w:rsidRPr="001F7C51">
        <w:rPr>
          <w:rFonts w:ascii="Tahoma" w:hAnsi="Tahoma" w:cs="Tahoma"/>
        </w:rPr>
        <w:t xml:space="preserve">Tyto </w:t>
      </w:r>
      <w:r w:rsidR="004939B9" w:rsidRPr="001F7C51">
        <w:rPr>
          <w:rFonts w:ascii="Tahoma" w:hAnsi="Tahoma" w:cs="Tahoma"/>
        </w:rPr>
        <w:t xml:space="preserve">návratné finanční výpomoci </w:t>
      </w:r>
      <w:r w:rsidR="00F370CC" w:rsidRPr="001F7C51">
        <w:rPr>
          <w:rFonts w:ascii="Tahoma" w:hAnsi="Tahoma" w:cs="Tahoma"/>
        </w:rPr>
        <w:t>bud</w:t>
      </w:r>
      <w:r w:rsidR="004939B9" w:rsidRPr="001F7C51">
        <w:rPr>
          <w:rFonts w:ascii="Tahoma" w:hAnsi="Tahoma" w:cs="Tahoma"/>
        </w:rPr>
        <w:t>ou</w:t>
      </w:r>
      <w:r w:rsidR="00F370CC" w:rsidRPr="001F7C51">
        <w:rPr>
          <w:rFonts w:ascii="Tahoma" w:hAnsi="Tahoma" w:cs="Tahoma"/>
        </w:rPr>
        <w:t xml:space="preserve"> v</w:t>
      </w:r>
      <w:r w:rsidR="004B5DC5" w:rsidRPr="001F7C51">
        <w:rPr>
          <w:rFonts w:ascii="Tahoma" w:hAnsi="Tahoma" w:cs="Tahoma"/>
        </w:rPr>
        <w:t xml:space="preserve"> případě potřeby poskytovány i </w:t>
      </w:r>
      <w:r w:rsidR="00F370CC" w:rsidRPr="001F7C51">
        <w:rPr>
          <w:rFonts w:ascii="Tahoma" w:hAnsi="Tahoma" w:cs="Tahoma"/>
        </w:rPr>
        <w:t xml:space="preserve">dalším </w:t>
      </w:r>
      <w:r w:rsidR="004B5DC5" w:rsidRPr="001F7C51">
        <w:rPr>
          <w:rFonts w:ascii="Tahoma" w:hAnsi="Tahoma" w:cs="Tahoma"/>
        </w:rPr>
        <w:t>příspěvkovým organizacím</w:t>
      </w:r>
      <w:r w:rsidR="00F370CC" w:rsidRPr="001F7C51">
        <w:rPr>
          <w:rFonts w:ascii="Tahoma" w:hAnsi="Tahoma" w:cs="Tahoma"/>
        </w:rPr>
        <w:t>.</w:t>
      </w:r>
      <w:r w:rsidR="004B5DC5" w:rsidRPr="00CF1C33">
        <w:rPr>
          <w:rFonts w:ascii="Tahoma" w:hAnsi="Tahoma" w:cs="Tahoma"/>
        </w:rPr>
        <w:t xml:space="preserve"> </w:t>
      </w:r>
    </w:p>
    <w:p w14:paraId="6057421A" w14:textId="7816CC7A" w:rsidR="00FF5B74" w:rsidRDefault="00FF5B74" w:rsidP="004B5DC5">
      <w:pPr>
        <w:jc w:val="both"/>
        <w:rPr>
          <w:rFonts w:ascii="Tahoma" w:hAnsi="Tahoma" w:cs="Tahoma"/>
          <w:u w:val="single"/>
        </w:rPr>
      </w:pPr>
    </w:p>
    <w:p w14:paraId="79E65A72" w14:textId="081B6A20" w:rsidR="00141089" w:rsidRPr="00826D55" w:rsidRDefault="008E7B37" w:rsidP="00571045">
      <w:pPr>
        <w:jc w:val="both"/>
        <w:rPr>
          <w:rFonts w:ascii="Tahoma" w:hAnsi="Tahoma" w:cs="Tahoma"/>
        </w:rPr>
      </w:pPr>
      <w:r w:rsidRPr="00826D55">
        <w:rPr>
          <w:rFonts w:ascii="Tahoma" w:hAnsi="Tahoma" w:cs="Tahoma"/>
          <w:u w:val="single"/>
        </w:rPr>
        <w:t>Reprodukce majetku kraje</w:t>
      </w:r>
    </w:p>
    <w:p w14:paraId="79E65A73" w14:textId="77777777" w:rsidR="00B81701" w:rsidRPr="00826D55" w:rsidRDefault="00B81701" w:rsidP="00B81701"/>
    <w:p w14:paraId="032161B7" w14:textId="74E2625C" w:rsidR="00AA2AF9" w:rsidRDefault="00AE361B" w:rsidP="00E96695">
      <w:pPr>
        <w:tabs>
          <w:tab w:val="right" w:pos="4962"/>
        </w:tabs>
        <w:rPr>
          <w:rFonts w:ascii="Tahoma" w:hAnsi="Tahoma" w:cs="Tahoma"/>
          <w:sz w:val="16"/>
          <w:szCs w:val="16"/>
        </w:rPr>
      </w:pPr>
      <w:r w:rsidRPr="00826D55">
        <w:rPr>
          <w:rFonts w:ascii="Tahoma" w:hAnsi="Tahoma" w:cs="Tahoma"/>
          <w:sz w:val="16"/>
          <w:szCs w:val="16"/>
        </w:rPr>
        <w:t xml:space="preserve">Graf č. </w:t>
      </w:r>
      <w:r w:rsidR="007320C0" w:rsidRPr="00826D55">
        <w:rPr>
          <w:rFonts w:ascii="Tahoma" w:hAnsi="Tahoma" w:cs="Tahoma"/>
          <w:sz w:val="16"/>
          <w:szCs w:val="16"/>
        </w:rPr>
        <w:t>10</w:t>
      </w:r>
      <w:r w:rsidRPr="00826D55">
        <w:rPr>
          <w:rFonts w:ascii="Tahoma" w:hAnsi="Tahoma" w:cs="Tahoma"/>
          <w:sz w:val="16"/>
          <w:szCs w:val="16"/>
        </w:rPr>
        <w:t xml:space="preserve"> Vývoj výdajů </w:t>
      </w:r>
      <w:r w:rsidR="007320C0" w:rsidRPr="00826D55">
        <w:rPr>
          <w:rFonts w:ascii="Tahoma" w:hAnsi="Tahoma" w:cs="Tahoma"/>
          <w:sz w:val="16"/>
          <w:szCs w:val="16"/>
        </w:rPr>
        <w:t xml:space="preserve">na reprodukci majetku kraje </w:t>
      </w:r>
      <w:r w:rsidR="00BC5E9E" w:rsidRPr="00826D55">
        <w:rPr>
          <w:rFonts w:ascii="Tahoma" w:hAnsi="Tahoma" w:cs="Tahoma"/>
          <w:sz w:val="16"/>
          <w:szCs w:val="16"/>
        </w:rPr>
        <w:t>(v mil. Kč)</w:t>
      </w:r>
    </w:p>
    <w:p w14:paraId="412C9AB4" w14:textId="1CB727F8" w:rsidR="00544D02" w:rsidRDefault="00544D02" w:rsidP="00E96695">
      <w:pPr>
        <w:tabs>
          <w:tab w:val="right" w:pos="4962"/>
        </w:tabs>
        <w:rPr>
          <w:rFonts w:ascii="Tahoma" w:hAnsi="Tahoma" w:cs="Tahoma"/>
          <w:sz w:val="16"/>
          <w:szCs w:val="16"/>
        </w:rPr>
      </w:pPr>
      <w:r>
        <w:rPr>
          <w:rFonts w:ascii="Tahoma" w:hAnsi="Tahoma" w:cs="Tahoma"/>
          <w:noProof/>
          <w:sz w:val="16"/>
          <w:szCs w:val="16"/>
        </w:rPr>
        <w:drawing>
          <wp:inline distT="0" distB="0" distL="0" distR="0" wp14:anchorId="5EEFD8A0" wp14:editId="604526C4">
            <wp:extent cx="3723748" cy="2238375"/>
            <wp:effectExtent l="0" t="0" r="0" b="0"/>
            <wp:docPr id="1470650627" name="Obrázek 147065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33766" cy="2244397"/>
                    </a:xfrm>
                    <a:prstGeom prst="rect">
                      <a:avLst/>
                    </a:prstGeom>
                    <a:noFill/>
                  </pic:spPr>
                </pic:pic>
              </a:graphicData>
            </a:graphic>
          </wp:inline>
        </w:drawing>
      </w:r>
    </w:p>
    <w:p w14:paraId="24911008" w14:textId="77777777" w:rsidR="007C3AA0" w:rsidRDefault="007C3AA0" w:rsidP="00E96695">
      <w:pPr>
        <w:tabs>
          <w:tab w:val="right" w:pos="4962"/>
        </w:tabs>
        <w:rPr>
          <w:rFonts w:ascii="Tahoma" w:hAnsi="Tahoma" w:cs="Tahoma"/>
          <w:sz w:val="16"/>
          <w:szCs w:val="16"/>
        </w:rPr>
      </w:pPr>
    </w:p>
    <w:p w14:paraId="4B717FBC" w14:textId="77777777" w:rsidR="00544D02" w:rsidRDefault="00544D02" w:rsidP="00E96695">
      <w:pPr>
        <w:tabs>
          <w:tab w:val="right" w:pos="4962"/>
        </w:tabs>
        <w:rPr>
          <w:rFonts w:ascii="Tahoma" w:hAnsi="Tahoma" w:cs="Tahoma"/>
          <w:sz w:val="16"/>
          <w:szCs w:val="16"/>
        </w:rPr>
      </w:pPr>
    </w:p>
    <w:p w14:paraId="7E4766BA" w14:textId="3D15AB41" w:rsidR="00D556F8" w:rsidRPr="00816250" w:rsidRDefault="008E7B37" w:rsidP="007C71C9">
      <w:pPr>
        <w:jc w:val="both"/>
        <w:rPr>
          <w:rFonts w:ascii="Tahoma" w:hAnsi="Tahoma" w:cs="Tahoma"/>
        </w:rPr>
      </w:pPr>
      <w:r w:rsidRPr="00826D55">
        <w:rPr>
          <w:rFonts w:ascii="Tahoma" w:hAnsi="Tahoma" w:cs="Tahoma"/>
        </w:rPr>
        <w:t xml:space="preserve">Výdaje na akce </w:t>
      </w:r>
      <w:r w:rsidRPr="00CC4C2A">
        <w:rPr>
          <w:rFonts w:ascii="Tahoma" w:hAnsi="Tahoma" w:cs="Tahoma"/>
        </w:rPr>
        <w:t xml:space="preserve">reprodukce majetku kraje, které nejsou spolufinancovány z evropských zdrojů, </w:t>
      </w:r>
      <w:r w:rsidR="00FF4581" w:rsidRPr="00CC4C2A">
        <w:rPr>
          <w:rFonts w:ascii="Tahoma" w:hAnsi="Tahoma" w:cs="Tahoma"/>
        </w:rPr>
        <w:t xml:space="preserve">mají </w:t>
      </w:r>
      <w:r w:rsidRPr="00CC4C2A">
        <w:rPr>
          <w:rFonts w:ascii="Tahoma" w:hAnsi="Tahoma" w:cs="Tahoma"/>
        </w:rPr>
        <w:t xml:space="preserve">v období </w:t>
      </w:r>
      <w:r w:rsidRPr="00816250">
        <w:rPr>
          <w:rFonts w:ascii="Tahoma" w:hAnsi="Tahoma" w:cs="Tahoma"/>
        </w:rPr>
        <w:t xml:space="preserve">výhledu </w:t>
      </w:r>
      <w:r w:rsidR="00D71DFD" w:rsidRPr="00816250">
        <w:rPr>
          <w:rFonts w:ascii="Tahoma" w:hAnsi="Tahoma" w:cs="Tahoma"/>
        </w:rPr>
        <w:t>značně nerovnoměrný vývoj</w:t>
      </w:r>
      <w:r w:rsidR="002E48F9" w:rsidRPr="00816250">
        <w:rPr>
          <w:rFonts w:ascii="Tahoma" w:hAnsi="Tahoma" w:cs="Tahoma"/>
        </w:rPr>
        <w:t>. O</w:t>
      </w:r>
      <w:r w:rsidR="00245444" w:rsidRPr="00816250">
        <w:rPr>
          <w:rFonts w:ascii="Tahoma" w:hAnsi="Tahoma" w:cs="Tahoma"/>
        </w:rPr>
        <w:t>bsahuj</w:t>
      </w:r>
      <w:r w:rsidR="008A516D" w:rsidRPr="00816250">
        <w:rPr>
          <w:rFonts w:ascii="Tahoma" w:hAnsi="Tahoma" w:cs="Tahoma"/>
        </w:rPr>
        <w:t>í</w:t>
      </w:r>
      <w:r w:rsidR="00245444" w:rsidRPr="00816250">
        <w:rPr>
          <w:rFonts w:ascii="Tahoma" w:hAnsi="Tahoma" w:cs="Tahoma"/>
        </w:rPr>
        <w:t xml:space="preserve"> </w:t>
      </w:r>
      <w:r w:rsidRPr="00816250">
        <w:rPr>
          <w:rFonts w:ascii="Tahoma" w:hAnsi="Tahoma" w:cs="Tahoma"/>
        </w:rPr>
        <w:t>závazky</w:t>
      </w:r>
      <w:r w:rsidR="00113299" w:rsidRPr="00816250">
        <w:rPr>
          <w:rFonts w:ascii="Tahoma" w:hAnsi="Tahoma" w:cs="Tahoma"/>
        </w:rPr>
        <w:t xml:space="preserve"> kraje</w:t>
      </w:r>
      <w:r w:rsidRPr="00816250">
        <w:rPr>
          <w:rFonts w:ascii="Tahoma" w:hAnsi="Tahoma" w:cs="Tahoma"/>
        </w:rPr>
        <w:t xml:space="preserve">, které činí v období výhledu </w:t>
      </w:r>
      <w:r w:rsidR="005A0AEF" w:rsidRPr="00816250">
        <w:rPr>
          <w:rFonts w:ascii="Tahoma" w:hAnsi="Tahoma" w:cs="Tahoma"/>
        </w:rPr>
        <w:t>3</w:t>
      </w:r>
      <w:r w:rsidR="004D49EA" w:rsidRPr="00816250">
        <w:rPr>
          <w:rFonts w:ascii="Tahoma" w:hAnsi="Tahoma" w:cs="Tahoma"/>
        </w:rPr>
        <w:t>.</w:t>
      </w:r>
      <w:r w:rsidR="005A0AEF" w:rsidRPr="00816250">
        <w:rPr>
          <w:rFonts w:ascii="Tahoma" w:hAnsi="Tahoma" w:cs="Tahoma"/>
        </w:rPr>
        <w:t>440</w:t>
      </w:r>
      <w:r w:rsidRPr="00816250">
        <w:rPr>
          <w:rFonts w:ascii="Tahoma" w:hAnsi="Tahoma" w:cs="Tahoma"/>
        </w:rPr>
        <w:t xml:space="preserve"> m</w:t>
      </w:r>
      <w:r w:rsidR="004D49EA" w:rsidRPr="00816250">
        <w:rPr>
          <w:rFonts w:ascii="Tahoma" w:hAnsi="Tahoma" w:cs="Tahoma"/>
        </w:rPr>
        <w:t>il</w:t>
      </w:r>
      <w:r w:rsidRPr="00816250">
        <w:rPr>
          <w:rFonts w:ascii="Tahoma" w:hAnsi="Tahoma" w:cs="Tahoma"/>
        </w:rPr>
        <w:t>. Kč</w:t>
      </w:r>
      <w:r w:rsidR="008A516D" w:rsidRPr="00816250">
        <w:rPr>
          <w:rFonts w:ascii="Tahoma" w:hAnsi="Tahoma" w:cs="Tahoma"/>
        </w:rPr>
        <w:t xml:space="preserve"> – více viz </w:t>
      </w:r>
      <w:r w:rsidR="00E71F60" w:rsidRPr="00816250">
        <w:rPr>
          <w:rFonts w:ascii="Tahoma" w:hAnsi="Tahoma" w:cs="Tahoma"/>
        </w:rPr>
        <w:t xml:space="preserve">tabulka </w:t>
      </w:r>
      <w:r w:rsidR="008A516D" w:rsidRPr="00816250">
        <w:rPr>
          <w:rFonts w:ascii="Tahoma" w:hAnsi="Tahoma" w:cs="Tahoma"/>
        </w:rPr>
        <w:t>č.</w:t>
      </w:r>
      <w:r w:rsidR="00E71F60" w:rsidRPr="00816250">
        <w:rPr>
          <w:rFonts w:ascii="Tahoma" w:hAnsi="Tahoma" w:cs="Tahoma"/>
        </w:rPr>
        <w:t xml:space="preserve"> 4</w:t>
      </w:r>
      <w:r w:rsidR="00C467F9" w:rsidRPr="00816250">
        <w:rPr>
          <w:rFonts w:ascii="Tahoma" w:hAnsi="Tahoma" w:cs="Tahoma"/>
        </w:rPr>
        <w:t xml:space="preserve"> (tabulková část výhledu)</w:t>
      </w:r>
      <w:r w:rsidR="00E71F60" w:rsidRPr="00816250">
        <w:rPr>
          <w:rFonts w:ascii="Tahoma" w:hAnsi="Tahoma" w:cs="Tahoma"/>
        </w:rPr>
        <w:t>.</w:t>
      </w:r>
      <w:r w:rsidR="008A516D" w:rsidRPr="00816250">
        <w:rPr>
          <w:rFonts w:ascii="Tahoma" w:hAnsi="Tahoma" w:cs="Tahoma"/>
        </w:rPr>
        <w:t xml:space="preserve"> </w:t>
      </w:r>
      <w:r w:rsidR="00141089" w:rsidRPr="00816250">
        <w:rPr>
          <w:rFonts w:ascii="Tahoma" w:hAnsi="Tahoma" w:cs="Tahoma"/>
        </w:rPr>
        <w:t>J</w:t>
      </w:r>
      <w:r w:rsidR="00421D9F" w:rsidRPr="00816250">
        <w:rPr>
          <w:rFonts w:ascii="Tahoma" w:hAnsi="Tahoma" w:cs="Tahoma"/>
        </w:rPr>
        <w:t xml:space="preserve">sou </w:t>
      </w:r>
      <w:r w:rsidR="00141089" w:rsidRPr="00816250">
        <w:rPr>
          <w:rFonts w:ascii="Tahoma" w:hAnsi="Tahoma" w:cs="Tahoma"/>
        </w:rPr>
        <w:t>zde zařazen</w:t>
      </w:r>
      <w:r w:rsidR="00E93221" w:rsidRPr="00816250">
        <w:rPr>
          <w:rFonts w:ascii="Tahoma" w:hAnsi="Tahoma" w:cs="Tahoma"/>
        </w:rPr>
        <w:t xml:space="preserve">y </w:t>
      </w:r>
      <w:r w:rsidR="00141089" w:rsidRPr="00816250">
        <w:rPr>
          <w:rFonts w:ascii="Tahoma" w:hAnsi="Tahoma" w:cs="Tahoma"/>
        </w:rPr>
        <w:t>závazk</w:t>
      </w:r>
      <w:r w:rsidR="00E93221" w:rsidRPr="00816250">
        <w:rPr>
          <w:rFonts w:ascii="Tahoma" w:hAnsi="Tahoma" w:cs="Tahoma"/>
        </w:rPr>
        <w:t>y</w:t>
      </w:r>
      <w:r w:rsidR="00141089" w:rsidRPr="00816250">
        <w:rPr>
          <w:rFonts w:ascii="Tahoma" w:hAnsi="Tahoma" w:cs="Tahoma"/>
        </w:rPr>
        <w:t xml:space="preserve"> kraje dle </w:t>
      </w:r>
      <w:r w:rsidR="00E93221" w:rsidRPr="00816250">
        <w:rPr>
          <w:rFonts w:ascii="Tahoma" w:hAnsi="Tahoma" w:cs="Tahoma"/>
        </w:rPr>
        <w:t>uzavřených smluv</w:t>
      </w:r>
      <w:r w:rsidR="00663E48" w:rsidRPr="00816250">
        <w:rPr>
          <w:rFonts w:ascii="Tahoma" w:hAnsi="Tahoma" w:cs="Tahoma"/>
        </w:rPr>
        <w:t xml:space="preserve"> a </w:t>
      </w:r>
      <w:r w:rsidR="00113299" w:rsidRPr="00816250">
        <w:rPr>
          <w:rFonts w:ascii="Tahoma" w:hAnsi="Tahoma" w:cs="Tahoma"/>
        </w:rPr>
        <w:t xml:space="preserve">rovněž </w:t>
      </w:r>
      <w:r w:rsidR="003D5B2B" w:rsidRPr="00816250">
        <w:rPr>
          <w:rFonts w:ascii="Tahoma" w:hAnsi="Tahoma" w:cs="Tahoma"/>
        </w:rPr>
        <w:t xml:space="preserve">nové </w:t>
      </w:r>
      <w:r w:rsidR="00564293" w:rsidRPr="00816250">
        <w:rPr>
          <w:rFonts w:ascii="Tahoma" w:hAnsi="Tahoma" w:cs="Tahoma"/>
        </w:rPr>
        <w:t xml:space="preserve">závazky kraje vyplývající </w:t>
      </w:r>
      <w:r w:rsidR="00B32B02" w:rsidRPr="00816250">
        <w:rPr>
          <w:rFonts w:ascii="Tahoma" w:hAnsi="Tahoma" w:cs="Tahoma"/>
        </w:rPr>
        <w:t>z rozpočtu</w:t>
      </w:r>
      <w:r w:rsidR="003D5B2B" w:rsidRPr="00816250">
        <w:rPr>
          <w:rFonts w:ascii="Tahoma" w:hAnsi="Tahoma" w:cs="Tahoma"/>
        </w:rPr>
        <w:t xml:space="preserve"> kraje na rok 202</w:t>
      </w:r>
      <w:r w:rsidR="007C3AA0" w:rsidRPr="00816250">
        <w:rPr>
          <w:rFonts w:ascii="Tahoma" w:hAnsi="Tahoma" w:cs="Tahoma"/>
        </w:rPr>
        <w:t>4</w:t>
      </w:r>
      <w:r w:rsidR="00340C7C" w:rsidRPr="00816250">
        <w:rPr>
          <w:rFonts w:ascii="Tahoma" w:hAnsi="Tahoma" w:cs="Tahoma"/>
        </w:rPr>
        <w:t xml:space="preserve">. </w:t>
      </w:r>
    </w:p>
    <w:p w14:paraId="7954501F" w14:textId="77777777" w:rsidR="00036A06" w:rsidRPr="00816250" w:rsidRDefault="00036A06" w:rsidP="007C71C9">
      <w:pPr>
        <w:jc w:val="both"/>
        <w:rPr>
          <w:rFonts w:ascii="Tahoma" w:hAnsi="Tahoma" w:cs="Tahoma"/>
        </w:rPr>
      </w:pPr>
    </w:p>
    <w:p w14:paraId="7A64B7AC" w14:textId="76A72790" w:rsidR="00C92655" w:rsidRPr="00816250" w:rsidRDefault="00B54F64" w:rsidP="00C92655">
      <w:pPr>
        <w:jc w:val="both"/>
        <w:rPr>
          <w:rFonts w:ascii="Tahoma" w:hAnsi="Tahoma" w:cs="Tahoma"/>
        </w:rPr>
      </w:pPr>
      <w:r w:rsidRPr="00816250">
        <w:rPr>
          <w:rFonts w:ascii="Tahoma" w:hAnsi="Tahoma" w:cs="Tahoma"/>
        </w:rPr>
        <w:lastRenderedPageBreak/>
        <w:t xml:space="preserve">Vybrané </w:t>
      </w:r>
      <w:r w:rsidR="001728C5" w:rsidRPr="00816250">
        <w:rPr>
          <w:rFonts w:ascii="Tahoma" w:hAnsi="Tahoma" w:cs="Tahoma"/>
        </w:rPr>
        <w:t xml:space="preserve">významné </w:t>
      </w:r>
      <w:r w:rsidR="00DF048C" w:rsidRPr="00816250">
        <w:rPr>
          <w:rFonts w:ascii="Tahoma" w:hAnsi="Tahoma" w:cs="Tahoma"/>
        </w:rPr>
        <w:t>akc</w:t>
      </w:r>
      <w:r w:rsidRPr="00816250">
        <w:rPr>
          <w:rFonts w:ascii="Tahoma" w:hAnsi="Tahoma" w:cs="Tahoma"/>
        </w:rPr>
        <w:t>e</w:t>
      </w:r>
      <w:r w:rsidR="00DF048C" w:rsidRPr="00816250">
        <w:rPr>
          <w:rFonts w:ascii="Tahoma" w:hAnsi="Tahoma" w:cs="Tahoma"/>
        </w:rPr>
        <w:t xml:space="preserve"> reprodukce majetku kraje</w:t>
      </w:r>
      <w:r w:rsidR="00C20331" w:rsidRPr="00816250">
        <w:rPr>
          <w:rFonts w:ascii="Tahoma" w:hAnsi="Tahoma" w:cs="Tahoma"/>
        </w:rPr>
        <w:t xml:space="preserve">, </w:t>
      </w:r>
      <w:r w:rsidR="001728C5" w:rsidRPr="00816250">
        <w:rPr>
          <w:rFonts w:ascii="Tahoma" w:hAnsi="Tahoma" w:cs="Tahoma"/>
        </w:rPr>
        <w:t>jejich</w:t>
      </w:r>
      <w:r w:rsidR="008E0048" w:rsidRPr="00816250">
        <w:rPr>
          <w:rFonts w:ascii="Tahoma" w:hAnsi="Tahoma" w:cs="Tahoma"/>
        </w:rPr>
        <w:t>ž</w:t>
      </w:r>
      <w:r w:rsidR="001728C5" w:rsidRPr="00816250">
        <w:rPr>
          <w:rFonts w:ascii="Tahoma" w:hAnsi="Tahoma" w:cs="Tahoma"/>
        </w:rPr>
        <w:t xml:space="preserve"> předpokládané </w:t>
      </w:r>
      <w:r w:rsidR="00654216" w:rsidRPr="00816250">
        <w:rPr>
          <w:rFonts w:ascii="Tahoma" w:hAnsi="Tahoma" w:cs="Tahoma"/>
        </w:rPr>
        <w:t xml:space="preserve">celkové výdaje </w:t>
      </w:r>
      <w:r w:rsidR="00B438F4" w:rsidRPr="00816250">
        <w:rPr>
          <w:rFonts w:ascii="Tahoma" w:hAnsi="Tahoma" w:cs="Tahoma"/>
        </w:rPr>
        <w:t>činí 6.332</w:t>
      </w:r>
      <w:r w:rsidR="00C20331" w:rsidRPr="00816250">
        <w:rPr>
          <w:rFonts w:ascii="Tahoma" w:hAnsi="Tahoma" w:cs="Tahoma"/>
        </w:rPr>
        <w:t xml:space="preserve"> mil. Kč, </w:t>
      </w:r>
      <w:r w:rsidR="008E0048" w:rsidRPr="00816250">
        <w:rPr>
          <w:rFonts w:ascii="Tahoma" w:hAnsi="Tahoma" w:cs="Tahoma"/>
        </w:rPr>
        <w:t xml:space="preserve">je </w:t>
      </w:r>
      <w:r w:rsidR="00DF048C" w:rsidRPr="00816250">
        <w:rPr>
          <w:rFonts w:ascii="Tahoma" w:hAnsi="Tahoma" w:cs="Tahoma"/>
        </w:rPr>
        <w:t>navržen</w:t>
      </w:r>
      <w:r w:rsidR="008E0048" w:rsidRPr="00816250">
        <w:rPr>
          <w:rFonts w:ascii="Tahoma" w:hAnsi="Tahoma" w:cs="Tahoma"/>
        </w:rPr>
        <w:t>o</w:t>
      </w:r>
      <w:r w:rsidR="00DF048C" w:rsidRPr="00816250">
        <w:rPr>
          <w:rFonts w:ascii="Tahoma" w:hAnsi="Tahoma" w:cs="Tahoma"/>
        </w:rPr>
        <w:t xml:space="preserve"> realizovat pouze </w:t>
      </w:r>
      <w:r w:rsidR="00756C6D" w:rsidRPr="00816250">
        <w:rPr>
          <w:rFonts w:ascii="Tahoma" w:hAnsi="Tahoma" w:cs="Tahoma"/>
        </w:rPr>
        <w:t xml:space="preserve">za předpokladu </w:t>
      </w:r>
      <w:r w:rsidR="00316B7D" w:rsidRPr="00816250">
        <w:rPr>
          <w:rFonts w:ascii="Tahoma" w:hAnsi="Tahoma" w:cs="Tahoma"/>
        </w:rPr>
        <w:t>zajištění možnost</w:t>
      </w:r>
      <w:r w:rsidRPr="00816250">
        <w:rPr>
          <w:rFonts w:ascii="Tahoma" w:hAnsi="Tahoma" w:cs="Tahoma"/>
        </w:rPr>
        <w:t>i</w:t>
      </w:r>
      <w:r w:rsidR="00316B7D" w:rsidRPr="00816250">
        <w:rPr>
          <w:rFonts w:ascii="Tahoma" w:hAnsi="Tahoma" w:cs="Tahoma"/>
        </w:rPr>
        <w:t xml:space="preserve"> spolufinancování z evropských finančních zdrojů, příp</w:t>
      </w:r>
      <w:r w:rsidR="00376DB9" w:rsidRPr="00816250">
        <w:rPr>
          <w:rFonts w:ascii="Tahoma" w:hAnsi="Tahoma" w:cs="Tahoma"/>
        </w:rPr>
        <w:t>adně</w:t>
      </w:r>
      <w:r w:rsidR="00316B7D" w:rsidRPr="00816250">
        <w:rPr>
          <w:rFonts w:ascii="Tahoma" w:hAnsi="Tahoma" w:cs="Tahoma"/>
        </w:rPr>
        <w:t xml:space="preserve"> z jiných zdrojů</w:t>
      </w:r>
      <w:r w:rsidR="00C20331" w:rsidRPr="00816250">
        <w:rPr>
          <w:rFonts w:ascii="Tahoma" w:hAnsi="Tahoma" w:cs="Tahoma"/>
        </w:rPr>
        <w:t xml:space="preserve"> (např. </w:t>
      </w:r>
      <w:r w:rsidR="006B704D" w:rsidRPr="00816250">
        <w:rPr>
          <w:rFonts w:ascii="Tahoma" w:hAnsi="Tahoma" w:cs="Tahoma"/>
        </w:rPr>
        <w:t>akce „</w:t>
      </w:r>
      <w:r w:rsidR="00C20331" w:rsidRPr="00816250">
        <w:rPr>
          <w:rFonts w:ascii="Tahoma" w:hAnsi="Tahoma" w:cs="Tahoma"/>
        </w:rPr>
        <w:t>Rekonstrukce vzletové a přistávací dráhy a navazujících provozních ploch Letiště Leoše Janáčka Ostrava</w:t>
      </w:r>
      <w:r w:rsidR="006B704D" w:rsidRPr="00816250">
        <w:rPr>
          <w:rFonts w:ascii="Tahoma" w:hAnsi="Tahoma" w:cs="Tahoma"/>
        </w:rPr>
        <w:t>“</w:t>
      </w:r>
      <w:r w:rsidR="00C20331" w:rsidRPr="00816250">
        <w:rPr>
          <w:rFonts w:ascii="Tahoma" w:hAnsi="Tahoma" w:cs="Tahoma"/>
        </w:rPr>
        <w:t>,</w:t>
      </w:r>
      <w:r w:rsidR="00D57656" w:rsidRPr="00816250">
        <w:rPr>
          <w:rFonts w:ascii="Tahoma" w:hAnsi="Tahoma" w:cs="Tahoma"/>
        </w:rPr>
        <w:t xml:space="preserve"> </w:t>
      </w:r>
      <w:r w:rsidR="006B704D" w:rsidRPr="00816250">
        <w:rPr>
          <w:rFonts w:ascii="Tahoma" w:hAnsi="Tahoma" w:cs="Tahoma"/>
        </w:rPr>
        <w:t>„</w:t>
      </w:r>
      <w:r w:rsidR="00D57656" w:rsidRPr="00816250">
        <w:rPr>
          <w:rFonts w:ascii="Tahoma" w:hAnsi="Tahoma" w:cs="Tahoma"/>
        </w:rPr>
        <w:t>Využití objektu v</w:t>
      </w:r>
      <w:r w:rsidR="006B704D" w:rsidRPr="00816250">
        <w:rPr>
          <w:rFonts w:ascii="Tahoma" w:hAnsi="Tahoma" w:cs="Tahoma"/>
        </w:rPr>
        <w:t> </w:t>
      </w:r>
      <w:r w:rsidR="00D57656" w:rsidRPr="00816250">
        <w:rPr>
          <w:rFonts w:ascii="Tahoma" w:hAnsi="Tahoma" w:cs="Tahoma"/>
        </w:rPr>
        <w:t>Bílé</w:t>
      </w:r>
      <w:r w:rsidR="006B704D" w:rsidRPr="00816250">
        <w:rPr>
          <w:rFonts w:ascii="Tahoma" w:hAnsi="Tahoma" w:cs="Tahoma"/>
        </w:rPr>
        <w:t>“</w:t>
      </w:r>
      <w:r w:rsidR="00D57656" w:rsidRPr="00816250">
        <w:rPr>
          <w:rFonts w:ascii="Tahoma" w:hAnsi="Tahoma" w:cs="Tahoma"/>
        </w:rPr>
        <w:t xml:space="preserve"> (Vzdělávací a sportovní centrum, Bílá)</w:t>
      </w:r>
      <w:r w:rsidR="006B704D" w:rsidRPr="00816250">
        <w:rPr>
          <w:rFonts w:ascii="Tahoma" w:hAnsi="Tahoma" w:cs="Tahoma"/>
        </w:rPr>
        <w:t>, „</w:t>
      </w:r>
      <w:r w:rsidR="00A37D90" w:rsidRPr="00816250">
        <w:rPr>
          <w:rFonts w:ascii="Tahoma" w:hAnsi="Tahoma" w:cs="Tahoma"/>
        </w:rPr>
        <w:t>Modernizace Odborného léčebného ústavu Metylovice</w:t>
      </w:r>
      <w:r w:rsidR="006B704D" w:rsidRPr="00816250">
        <w:rPr>
          <w:rFonts w:ascii="Tahoma" w:hAnsi="Tahoma" w:cs="Tahoma"/>
        </w:rPr>
        <w:t xml:space="preserve">“). </w:t>
      </w:r>
      <w:r w:rsidR="00C20331" w:rsidRPr="00816250">
        <w:rPr>
          <w:rFonts w:ascii="Tahoma" w:hAnsi="Tahoma" w:cs="Tahoma"/>
        </w:rPr>
        <w:t xml:space="preserve"> </w:t>
      </w:r>
      <w:r w:rsidR="00C92655" w:rsidRPr="00816250">
        <w:rPr>
          <w:rFonts w:ascii="Tahoma" w:hAnsi="Tahoma" w:cs="Tahoma"/>
        </w:rPr>
        <w:t>Vývoj výdajů na reprodukci majetku kraje je proto v grafu č. 10 upraven a graficky jsou rozlišeny plánované výdaje na</w:t>
      </w:r>
      <w:r w:rsidR="00EC09AD" w:rsidRPr="00816250">
        <w:rPr>
          <w:rFonts w:ascii="Tahoma" w:hAnsi="Tahoma" w:cs="Tahoma"/>
        </w:rPr>
        <w:t xml:space="preserve"> </w:t>
      </w:r>
      <w:r w:rsidR="007E2951" w:rsidRPr="00816250">
        <w:rPr>
          <w:rFonts w:ascii="Tahoma" w:hAnsi="Tahoma" w:cs="Tahoma"/>
        </w:rPr>
        <w:t xml:space="preserve">již </w:t>
      </w:r>
      <w:r w:rsidR="00B438F4" w:rsidRPr="00816250">
        <w:rPr>
          <w:rFonts w:ascii="Tahoma" w:hAnsi="Tahoma" w:cs="Tahoma"/>
        </w:rPr>
        <w:t>schválené akce</w:t>
      </w:r>
      <w:r w:rsidR="00B93153" w:rsidRPr="00816250">
        <w:rPr>
          <w:rFonts w:ascii="Tahoma" w:hAnsi="Tahoma" w:cs="Tahoma"/>
        </w:rPr>
        <w:t xml:space="preserve"> </w:t>
      </w:r>
      <w:r w:rsidR="00EC09AD" w:rsidRPr="00816250">
        <w:rPr>
          <w:rFonts w:ascii="Tahoma" w:hAnsi="Tahoma" w:cs="Tahoma"/>
        </w:rPr>
        <w:t xml:space="preserve">(závazek </w:t>
      </w:r>
      <w:r w:rsidR="000B1740" w:rsidRPr="00816250">
        <w:rPr>
          <w:rFonts w:ascii="Tahoma" w:hAnsi="Tahoma" w:cs="Tahoma"/>
        </w:rPr>
        <w:t>kraje) a</w:t>
      </w:r>
      <w:r w:rsidR="00C92655" w:rsidRPr="00816250">
        <w:rPr>
          <w:rFonts w:ascii="Tahoma" w:hAnsi="Tahoma" w:cs="Tahoma"/>
        </w:rPr>
        <w:t xml:space="preserve"> ostatní akce, </w:t>
      </w:r>
      <w:r w:rsidR="007E2951" w:rsidRPr="00816250">
        <w:rPr>
          <w:rFonts w:ascii="Tahoma" w:hAnsi="Tahoma" w:cs="Tahoma"/>
        </w:rPr>
        <w:t xml:space="preserve">jejichž </w:t>
      </w:r>
      <w:r w:rsidR="00C92655" w:rsidRPr="00816250">
        <w:rPr>
          <w:rFonts w:ascii="Tahoma" w:hAnsi="Tahoma" w:cs="Tahoma"/>
        </w:rPr>
        <w:t>realiz</w:t>
      </w:r>
      <w:r w:rsidR="007E2951" w:rsidRPr="00816250">
        <w:rPr>
          <w:rFonts w:ascii="Tahoma" w:hAnsi="Tahoma" w:cs="Tahoma"/>
        </w:rPr>
        <w:t xml:space="preserve">ace je podmíněna </w:t>
      </w:r>
      <w:r w:rsidR="00C92655" w:rsidRPr="00816250">
        <w:rPr>
          <w:rFonts w:ascii="Tahoma" w:hAnsi="Tahoma" w:cs="Tahoma"/>
        </w:rPr>
        <w:t>získání</w:t>
      </w:r>
      <w:r w:rsidR="007E2951" w:rsidRPr="00816250">
        <w:rPr>
          <w:rFonts w:ascii="Tahoma" w:hAnsi="Tahoma" w:cs="Tahoma"/>
        </w:rPr>
        <w:t>m</w:t>
      </w:r>
      <w:r w:rsidR="00C92655" w:rsidRPr="00816250">
        <w:rPr>
          <w:rFonts w:ascii="Tahoma" w:hAnsi="Tahoma" w:cs="Tahoma"/>
        </w:rPr>
        <w:t xml:space="preserve"> dotace.   </w:t>
      </w:r>
    </w:p>
    <w:p w14:paraId="6F73A0FE" w14:textId="77777777" w:rsidR="003D5169" w:rsidRPr="00816250" w:rsidRDefault="003D5169" w:rsidP="007C71C9">
      <w:pPr>
        <w:jc w:val="both"/>
        <w:rPr>
          <w:rFonts w:ascii="Tahoma" w:hAnsi="Tahoma" w:cs="Tahoma"/>
        </w:rPr>
      </w:pPr>
    </w:p>
    <w:p w14:paraId="154A1CF5" w14:textId="088BB34D" w:rsidR="00FA7645" w:rsidRPr="00816250" w:rsidRDefault="003D5169" w:rsidP="00BE6F62">
      <w:pPr>
        <w:jc w:val="both"/>
        <w:rPr>
          <w:rFonts w:ascii="Tahoma" w:hAnsi="Tahoma" w:cs="Tahoma"/>
        </w:rPr>
      </w:pPr>
      <w:r w:rsidRPr="00816250">
        <w:rPr>
          <w:rFonts w:ascii="Tahoma" w:hAnsi="Tahoma" w:cs="Tahoma"/>
        </w:rPr>
        <w:t>Na základě schválených pravidel</w:t>
      </w:r>
      <w:r w:rsidRPr="00816250">
        <w:t xml:space="preserve"> </w:t>
      </w:r>
      <w:r w:rsidRPr="00816250">
        <w:rPr>
          <w:rFonts w:ascii="Tahoma" w:hAnsi="Tahoma" w:cs="Tahoma"/>
        </w:rPr>
        <w:t xml:space="preserve">pro akce reprodukce majetku kraje (č. usnesení ZK 13/1409 za dne 7.9.2023) bude upřednostněno financování akcí reprodukce majetku kraje, které jsou zařazeny do kategorie havárie, stav hrozící havárií nebo špatný stavebně technický stav.  </w:t>
      </w:r>
      <w:r w:rsidR="00121F67" w:rsidRPr="00816250">
        <w:rPr>
          <w:rFonts w:ascii="Tahoma" w:hAnsi="Tahoma" w:cs="Tahoma"/>
        </w:rPr>
        <w:t>Na zajištění financování těchto akcí</w:t>
      </w:r>
      <w:r w:rsidR="00AE6583" w:rsidRPr="00816250">
        <w:rPr>
          <w:rFonts w:ascii="Tahoma" w:hAnsi="Tahoma" w:cs="Tahoma"/>
        </w:rPr>
        <w:t>,</w:t>
      </w:r>
      <w:r w:rsidR="00121F67" w:rsidRPr="00816250">
        <w:rPr>
          <w:rFonts w:ascii="Tahoma" w:hAnsi="Tahoma" w:cs="Tahoma"/>
        </w:rPr>
        <w:t xml:space="preserve"> stejně jako v</w:t>
      </w:r>
      <w:r w:rsidR="006A5DCE" w:rsidRPr="00816250">
        <w:rPr>
          <w:rFonts w:ascii="Tahoma" w:hAnsi="Tahoma" w:cs="Tahoma"/>
        </w:rPr>
        <w:t> případě potřeb</w:t>
      </w:r>
      <w:r w:rsidR="00121F67" w:rsidRPr="00816250">
        <w:rPr>
          <w:rFonts w:ascii="Tahoma" w:hAnsi="Tahoma" w:cs="Tahoma"/>
        </w:rPr>
        <w:t>y</w:t>
      </w:r>
      <w:r w:rsidR="006A5DCE" w:rsidRPr="00816250">
        <w:rPr>
          <w:rFonts w:ascii="Tahoma" w:hAnsi="Tahoma" w:cs="Tahoma"/>
        </w:rPr>
        <w:t xml:space="preserve"> realiz</w:t>
      </w:r>
      <w:r w:rsidR="006D0383" w:rsidRPr="00816250">
        <w:rPr>
          <w:rFonts w:ascii="Tahoma" w:hAnsi="Tahoma" w:cs="Tahoma"/>
        </w:rPr>
        <w:t xml:space="preserve">ace </w:t>
      </w:r>
      <w:r w:rsidR="006A5DCE" w:rsidRPr="00816250">
        <w:rPr>
          <w:rFonts w:ascii="Tahoma" w:hAnsi="Tahoma" w:cs="Tahoma"/>
        </w:rPr>
        <w:t>další</w:t>
      </w:r>
      <w:r w:rsidR="00AE6583" w:rsidRPr="00816250">
        <w:rPr>
          <w:rFonts w:ascii="Tahoma" w:hAnsi="Tahoma" w:cs="Tahoma"/>
        </w:rPr>
        <w:t>ch</w:t>
      </w:r>
      <w:r w:rsidR="00FA7645" w:rsidRPr="00816250">
        <w:rPr>
          <w:rFonts w:ascii="Tahoma" w:hAnsi="Tahoma" w:cs="Tahoma"/>
        </w:rPr>
        <w:t xml:space="preserve"> </w:t>
      </w:r>
      <w:r w:rsidR="00316B7D" w:rsidRPr="00816250">
        <w:rPr>
          <w:rFonts w:ascii="Tahoma" w:hAnsi="Tahoma" w:cs="Tahoma"/>
        </w:rPr>
        <w:t>investiční</w:t>
      </w:r>
      <w:r w:rsidR="006D0383" w:rsidRPr="00816250">
        <w:rPr>
          <w:rFonts w:ascii="Tahoma" w:hAnsi="Tahoma" w:cs="Tahoma"/>
        </w:rPr>
        <w:t>ch</w:t>
      </w:r>
      <w:r w:rsidR="00316B7D" w:rsidRPr="00816250">
        <w:rPr>
          <w:rFonts w:ascii="Tahoma" w:hAnsi="Tahoma" w:cs="Tahoma"/>
        </w:rPr>
        <w:t xml:space="preserve"> akc</w:t>
      </w:r>
      <w:r w:rsidR="006D0383" w:rsidRPr="00816250">
        <w:rPr>
          <w:rFonts w:ascii="Tahoma" w:hAnsi="Tahoma" w:cs="Tahoma"/>
        </w:rPr>
        <w:t>í</w:t>
      </w:r>
      <w:r w:rsidR="00AE6583" w:rsidRPr="00816250">
        <w:rPr>
          <w:rFonts w:ascii="Tahoma" w:hAnsi="Tahoma" w:cs="Tahoma"/>
        </w:rPr>
        <w:t>,</w:t>
      </w:r>
      <w:r w:rsidR="00346924" w:rsidRPr="00816250">
        <w:rPr>
          <w:rFonts w:ascii="Tahoma" w:hAnsi="Tahoma" w:cs="Tahoma"/>
        </w:rPr>
        <w:t xml:space="preserve"> </w:t>
      </w:r>
      <w:r w:rsidR="00FA7645" w:rsidRPr="00816250">
        <w:rPr>
          <w:rFonts w:ascii="Tahoma" w:hAnsi="Tahoma" w:cs="Tahoma"/>
        </w:rPr>
        <w:t>bude možné</w:t>
      </w:r>
      <w:r w:rsidR="00346924" w:rsidRPr="00816250">
        <w:rPr>
          <w:rFonts w:ascii="Tahoma" w:hAnsi="Tahoma" w:cs="Tahoma"/>
        </w:rPr>
        <w:t xml:space="preserve"> je zajistit </w:t>
      </w:r>
      <w:r w:rsidR="00FA7645" w:rsidRPr="00816250">
        <w:rPr>
          <w:rFonts w:ascii="Tahoma" w:hAnsi="Tahoma" w:cs="Tahoma"/>
        </w:rPr>
        <w:t>v</w:t>
      </w:r>
      <w:r w:rsidR="00DF28FC" w:rsidRPr="00816250">
        <w:rPr>
          <w:rFonts w:ascii="Tahoma" w:hAnsi="Tahoma" w:cs="Tahoma"/>
        </w:rPr>
        <w:t> rámci nespecifikovaných výdajů (</w:t>
      </w:r>
      <w:r w:rsidR="008E1E98" w:rsidRPr="00816250">
        <w:rPr>
          <w:rFonts w:ascii="Tahoma" w:hAnsi="Tahoma" w:cs="Tahoma"/>
        </w:rPr>
        <w:t>3</w:t>
      </w:r>
      <w:r w:rsidR="007466D0" w:rsidRPr="00816250">
        <w:rPr>
          <w:rFonts w:ascii="Tahoma" w:hAnsi="Tahoma" w:cs="Tahoma"/>
        </w:rPr>
        <w:t> </w:t>
      </w:r>
      <w:r w:rsidR="00DF28FC" w:rsidRPr="00816250">
        <w:rPr>
          <w:rFonts w:ascii="Tahoma" w:hAnsi="Tahoma" w:cs="Tahoma"/>
        </w:rPr>
        <w:t>mld. Kč)</w:t>
      </w:r>
      <w:r w:rsidR="002547C0" w:rsidRPr="00816250">
        <w:rPr>
          <w:rFonts w:ascii="Tahoma" w:hAnsi="Tahoma" w:cs="Tahoma"/>
        </w:rPr>
        <w:t>. Toto</w:t>
      </w:r>
      <w:r w:rsidR="000A4B54" w:rsidRPr="00816250">
        <w:rPr>
          <w:rFonts w:ascii="Tahoma" w:hAnsi="Tahoma" w:cs="Tahoma"/>
        </w:rPr>
        <w:t xml:space="preserve"> bude vždy předmětem sestavování ročního rozpočtu</w:t>
      </w:r>
      <w:r w:rsidR="00BE6F62" w:rsidRPr="00816250">
        <w:rPr>
          <w:rFonts w:ascii="Tahoma" w:hAnsi="Tahoma" w:cs="Tahoma"/>
        </w:rPr>
        <w:t xml:space="preserve"> a priorit </w:t>
      </w:r>
      <w:r w:rsidR="00FA7645" w:rsidRPr="00816250">
        <w:rPr>
          <w:rFonts w:ascii="Tahoma" w:hAnsi="Tahoma" w:cs="Tahoma"/>
        </w:rPr>
        <w:t xml:space="preserve">daného </w:t>
      </w:r>
      <w:r w:rsidR="00BE6F62" w:rsidRPr="00816250">
        <w:rPr>
          <w:rFonts w:ascii="Tahoma" w:hAnsi="Tahoma" w:cs="Tahoma"/>
        </w:rPr>
        <w:t>rozpočtu</w:t>
      </w:r>
      <w:r w:rsidR="000A4B54" w:rsidRPr="00816250">
        <w:rPr>
          <w:rFonts w:ascii="Tahoma" w:hAnsi="Tahoma" w:cs="Tahoma"/>
        </w:rPr>
        <w:t>.</w:t>
      </w:r>
    </w:p>
    <w:p w14:paraId="246875D2" w14:textId="77777777" w:rsidR="00FA7645" w:rsidRPr="00816250" w:rsidRDefault="00FA7645" w:rsidP="00BE6F62">
      <w:pPr>
        <w:jc w:val="both"/>
        <w:rPr>
          <w:rFonts w:ascii="Tahoma" w:hAnsi="Tahoma" w:cs="Tahoma"/>
        </w:rPr>
      </w:pPr>
    </w:p>
    <w:p w14:paraId="776D99E1" w14:textId="6B851CC7" w:rsidR="00BE6F62" w:rsidRPr="00816250" w:rsidRDefault="00BE6F62" w:rsidP="00BE6F62">
      <w:pPr>
        <w:jc w:val="both"/>
        <w:rPr>
          <w:rFonts w:ascii="Tahoma" w:hAnsi="Tahoma" w:cs="Tahoma"/>
        </w:rPr>
      </w:pPr>
      <w:r w:rsidRPr="00816250">
        <w:rPr>
          <w:rFonts w:ascii="Tahoma" w:hAnsi="Tahoma" w:cs="Tahoma"/>
        </w:rPr>
        <w:t>Jedním z dalších zdrojů pro realizaci akcí reprodukce majetku kraje bude Fond pro financování strategických projektů Moravskoslezského kraje, který byl zřízen usnesením zastupitelstva kraje č. 4/262 ze dne 15. 6. 2017</w:t>
      </w:r>
      <w:r w:rsidR="009F52A9" w:rsidRPr="00816250">
        <w:rPr>
          <w:rFonts w:ascii="Tahoma" w:hAnsi="Tahoma" w:cs="Tahoma"/>
        </w:rPr>
        <w:t xml:space="preserve">, a </w:t>
      </w:r>
      <w:proofErr w:type="gramStart"/>
      <w:r w:rsidR="009F52A9" w:rsidRPr="00816250">
        <w:rPr>
          <w:rFonts w:ascii="Tahoma" w:hAnsi="Tahoma" w:cs="Tahoma"/>
        </w:rPr>
        <w:t>to</w:t>
      </w:r>
      <w:proofErr w:type="gramEnd"/>
      <w:r w:rsidR="009F52A9" w:rsidRPr="00816250">
        <w:rPr>
          <w:rFonts w:ascii="Tahoma" w:hAnsi="Tahoma" w:cs="Tahoma"/>
        </w:rPr>
        <w:t xml:space="preserve"> pokud bude </w:t>
      </w:r>
      <w:r w:rsidR="00A634C3" w:rsidRPr="00816250">
        <w:rPr>
          <w:rFonts w:ascii="Tahoma" w:hAnsi="Tahoma" w:cs="Tahoma"/>
        </w:rPr>
        <w:t>dopl</w:t>
      </w:r>
      <w:r w:rsidR="0060327F" w:rsidRPr="00816250">
        <w:rPr>
          <w:rFonts w:ascii="Tahoma" w:hAnsi="Tahoma" w:cs="Tahoma"/>
        </w:rPr>
        <w:t xml:space="preserve">něn </w:t>
      </w:r>
      <w:r w:rsidR="00112653" w:rsidRPr="00816250">
        <w:rPr>
          <w:rFonts w:ascii="Tahoma" w:hAnsi="Tahoma" w:cs="Tahoma"/>
        </w:rPr>
        <w:t xml:space="preserve">např. </w:t>
      </w:r>
      <w:r w:rsidR="00A93AEC" w:rsidRPr="00816250">
        <w:rPr>
          <w:rFonts w:ascii="Tahoma" w:hAnsi="Tahoma" w:cs="Tahoma"/>
        </w:rPr>
        <w:t>mimořádn</w:t>
      </w:r>
      <w:r w:rsidR="00236592" w:rsidRPr="00816250">
        <w:rPr>
          <w:rFonts w:ascii="Tahoma" w:hAnsi="Tahoma" w:cs="Tahoma"/>
        </w:rPr>
        <w:t>ým</w:t>
      </w:r>
      <w:r w:rsidR="00A93AEC" w:rsidRPr="00816250">
        <w:rPr>
          <w:rFonts w:ascii="Tahoma" w:hAnsi="Tahoma" w:cs="Tahoma"/>
        </w:rPr>
        <w:t xml:space="preserve"> příděl</w:t>
      </w:r>
      <w:r w:rsidR="00236592" w:rsidRPr="00816250">
        <w:rPr>
          <w:rFonts w:ascii="Tahoma" w:hAnsi="Tahoma" w:cs="Tahoma"/>
        </w:rPr>
        <w:t>em</w:t>
      </w:r>
      <w:r w:rsidR="00A93AEC" w:rsidRPr="00816250">
        <w:rPr>
          <w:rFonts w:ascii="Tahoma" w:hAnsi="Tahoma" w:cs="Tahoma"/>
        </w:rPr>
        <w:t xml:space="preserve"> na základě výsledku hospodaření kraje za předcházející období</w:t>
      </w:r>
      <w:r w:rsidR="00236592" w:rsidRPr="00816250">
        <w:rPr>
          <w:rFonts w:ascii="Tahoma" w:hAnsi="Tahoma" w:cs="Tahoma"/>
        </w:rPr>
        <w:t>.</w:t>
      </w:r>
      <w:r w:rsidR="00A93AEC" w:rsidRPr="00816250">
        <w:rPr>
          <w:rFonts w:ascii="Tahoma" w:hAnsi="Tahoma" w:cs="Tahoma"/>
        </w:rPr>
        <w:t xml:space="preserve"> </w:t>
      </w:r>
      <w:r w:rsidRPr="00816250">
        <w:rPr>
          <w:rFonts w:ascii="Tahoma" w:hAnsi="Tahoma" w:cs="Tahoma"/>
        </w:rPr>
        <w:t xml:space="preserve">Účelem tohoto fondu je financování významných investičních projektů kraje, případně i předfinancování národního či evropského podílu těchto významných investičních projektů. Ve sledovaném období je navrženo jej použít ve výši </w:t>
      </w:r>
      <w:r w:rsidR="002F3F4B" w:rsidRPr="00816250">
        <w:rPr>
          <w:rFonts w:ascii="Tahoma" w:hAnsi="Tahoma" w:cs="Tahoma"/>
        </w:rPr>
        <w:t>2.044</w:t>
      </w:r>
      <w:r w:rsidR="00F43819" w:rsidRPr="00816250">
        <w:rPr>
          <w:rFonts w:ascii="Tahoma" w:hAnsi="Tahoma" w:cs="Tahoma"/>
        </w:rPr>
        <w:t> </w:t>
      </w:r>
      <w:r w:rsidRPr="00816250">
        <w:rPr>
          <w:rFonts w:ascii="Tahoma" w:hAnsi="Tahoma" w:cs="Tahoma"/>
        </w:rPr>
        <w:t>mil.</w:t>
      </w:r>
      <w:r w:rsidR="00F43819" w:rsidRPr="00816250">
        <w:rPr>
          <w:rFonts w:ascii="Tahoma" w:hAnsi="Tahoma" w:cs="Tahoma"/>
        </w:rPr>
        <w:t> </w:t>
      </w:r>
      <w:r w:rsidRPr="00816250">
        <w:rPr>
          <w:rFonts w:ascii="Tahoma" w:hAnsi="Tahoma" w:cs="Tahoma"/>
        </w:rPr>
        <w:t xml:space="preserve">Kč. V případech vzniku havárií na majetku kraje bude možné využít Zajišťovací fond kraje.  </w:t>
      </w:r>
    </w:p>
    <w:p w14:paraId="3C1B8931" w14:textId="7D920781" w:rsidR="00FF5B74" w:rsidRPr="00220FCA" w:rsidRDefault="00FF5B74">
      <w:pPr>
        <w:rPr>
          <w:rFonts w:ascii="Tahoma" w:hAnsi="Tahoma" w:cs="Tahoma"/>
        </w:rPr>
      </w:pPr>
    </w:p>
    <w:p w14:paraId="79E65A7E" w14:textId="77777777" w:rsidR="008E7B37" w:rsidRPr="00816250" w:rsidRDefault="008E7B37" w:rsidP="00922B9D">
      <w:pPr>
        <w:pStyle w:val="Nadpis4"/>
        <w:rPr>
          <w:rFonts w:ascii="Tahoma" w:hAnsi="Tahoma" w:cs="Tahoma"/>
          <w:sz w:val="24"/>
          <w:szCs w:val="24"/>
        </w:rPr>
      </w:pPr>
      <w:r w:rsidRPr="00816250">
        <w:rPr>
          <w:rFonts w:ascii="Tahoma" w:hAnsi="Tahoma" w:cs="Tahoma"/>
          <w:sz w:val="24"/>
          <w:szCs w:val="24"/>
        </w:rPr>
        <w:t>Akce spolufinancované z evropských finančních zdrojů</w:t>
      </w:r>
    </w:p>
    <w:p w14:paraId="79E65A7F" w14:textId="77777777" w:rsidR="00AE361B" w:rsidRPr="00816250" w:rsidRDefault="00AE361B" w:rsidP="00AE361B"/>
    <w:p w14:paraId="69D58969" w14:textId="1F77F08C" w:rsidR="002223A5" w:rsidRPr="00816250" w:rsidRDefault="00AE361B" w:rsidP="00CA1D85">
      <w:pPr>
        <w:tabs>
          <w:tab w:val="right" w:pos="4962"/>
        </w:tabs>
        <w:rPr>
          <w:rFonts w:ascii="Tahoma" w:hAnsi="Tahoma" w:cs="Tahoma"/>
          <w:sz w:val="16"/>
          <w:szCs w:val="16"/>
        </w:rPr>
      </w:pPr>
      <w:r w:rsidRPr="00816250">
        <w:rPr>
          <w:rFonts w:ascii="Tahoma" w:hAnsi="Tahoma" w:cs="Tahoma"/>
          <w:sz w:val="16"/>
          <w:szCs w:val="16"/>
        </w:rPr>
        <w:t xml:space="preserve">Graf č. </w:t>
      </w:r>
      <w:r w:rsidR="007320C0" w:rsidRPr="00816250">
        <w:rPr>
          <w:rFonts w:ascii="Tahoma" w:hAnsi="Tahoma" w:cs="Tahoma"/>
          <w:sz w:val="16"/>
          <w:szCs w:val="16"/>
        </w:rPr>
        <w:t>11</w:t>
      </w:r>
      <w:r w:rsidRPr="00816250">
        <w:rPr>
          <w:rFonts w:ascii="Tahoma" w:hAnsi="Tahoma" w:cs="Tahoma"/>
          <w:sz w:val="16"/>
          <w:szCs w:val="16"/>
        </w:rPr>
        <w:t xml:space="preserve"> Vývoj výdajů </w:t>
      </w:r>
      <w:r w:rsidR="007320C0" w:rsidRPr="00816250">
        <w:rPr>
          <w:rFonts w:ascii="Tahoma" w:hAnsi="Tahoma" w:cs="Tahoma"/>
          <w:sz w:val="16"/>
          <w:szCs w:val="16"/>
        </w:rPr>
        <w:t>na akce spolufinancované</w:t>
      </w:r>
      <w:r w:rsidR="00BC5E9E" w:rsidRPr="00816250">
        <w:rPr>
          <w:rFonts w:ascii="Tahoma" w:hAnsi="Tahoma" w:cs="Tahoma"/>
          <w:sz w:val="16"/>
          <w:szCs w:val="16"/>
        </w:rPr>
        <w:t xml:space="preserve"> z evropských finančních zdrojů (v mil. Kč)</w:t>
      </w:r>
    </w:p>
    <w:p w14:paraId="6B604921" w14:textId="77777777" w:rsidR="00DF17A5" w:rsidRPr="00816250" w:rsidRDefault="00DF17A5" w:rsidP="00CA1D85">
      <w:pPr>
        <w:tabs>
          <w:tab w:val="right" w:pos="4962"/>
        </w:tabs>
        <w:rPr>
          <w:rFonts w:ascii="Tahoma" w:hAnsi="Tahoma" w:cs="Tahoma"/>
          <w:sz w:val="16"/>
          <w:szCs w:val="16"/>
        </w:rPr>
      </w:pPr>
    </w:p>
    <w:p w14:paraId="74D871FF" w14:textId="70B1569A" w:rsidR="00DF17A5" w:rsidRPr="00816250" w:rsidRDefault="00DF17A5" w:rsidP="00CA1D85">
      <w:pPr>
        <w:tabs>
          <w:tab w:val="right" w:pos="4962"/>
        </w:tabs>
        <w:rPr>
          <w:rFonts w:ascii="Tahoma" w:hAnsi="Tahoma" w:cs="Tahoma"/>
          <w:sz w:val="16"/>
          <w:szCs w:val="16"/>
        </w:rPr>
      </w:pPr>
      <w:r w:rsidRPr="00816250">
        <w:rPr>
          <w:rFonts w:ascii="Tahoma" w:hAnsi="Tahoma" w:cs="Tahoma"/>
          <w:noProof/>
          <w:sz w:val="16"/>
          <w:szCs w:val="16"/>
        </w:rPr>
        <w:drawing>
          <wp:inline distT="0" distB="0" distL="0" distR="0" wp14:anchorId="1A53F5F8" wp14:editId="0E17BC83">
            <wp:extent cx="3705225" cy="2227241"/>
            <wp:effectExtent l="0" t="0" r="0" b="1905"/>
            <wp:docPr id="808436246" name="Obrázek 80843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3047" cy="2231943"/>
                    </a:xfrm>
                    <a:prstGeom prst="rect">
                      <a:avLst/>
                    </a:prstGeom>
                    <a:noFill/>
                  </pic:spPr>
                </pic:pic>
              </a:graphicData>
            </a:graphic>
          </wp:inline>
        </w:drawing>
      </w:r>
    </w:p>
    <w:p w14:paraId="6B60AC82" w14:textId="77777777" w:rsidR="00DF17A5" w:rsidRPr="00816250" w:rsidRDefault="00DF17A5" w:rsidP="00CA1D85">
      <w:pPr>
        <w:tabs>
          <w:tab w:val="right" w:pos="4962"/>
        </w:tabs>
        <w:rPr>
          <w:rFonts w:ascii="Tahoma" w:hAnsi="Tahoma" w:cs="Tahoma"/>
          <w:sz w:val="16"/>
          <w:szCs w:val="16"/>
        </w:rPr>
      </w:pPr>
    </w:p>
    <w:p w14:paraId="2EC9451C" w14:textId="591ADD8E" w:rsidR="00F80D60" w:rsidRDefault="00D255B3" w:rsidP="00D255B3">
      <w:pPr>
        <w:pStyle w:val="Zkladntext3"/>
        <w:jc w:val="both"/>
        <w:rPr>
          <w:sz w:val="24"/>
          <w:szCs w:val="24"/>
        </w:rPr>
      </w:pPr>
      <w:r w:rsidRPr="00816250">
        <w:rPr>
          <w:sz w:val="24"/>
          <w:szCs w:val="24"/>
        </w:rPr>
        <w:t xml:space="preserve">Ve výhledu jsou na léta </w:t>
      </w:r>
      <w:r w:rsidR="00B32B02" w:rsidRPr="00816250">
        <w:rPr>
          <w:sz w:val="24"/>
          <w:szCs w:val="24"/>
        </w:rPr>
        <w:t>202</w:t>
      </w:r>
      <w:r w:rsidR="002223A5" w:rsidRPr="00816250">
        <w:rPr>
          <w:sz w:val="24"/>
          <w:szCs w:val="24"/>
        </w:rPr>
        <w:t>5</w:t>
      </w:r>
      <w:r w:rsidR="00B32B02" w:rsidRPr="00816250">
        <w:rPr>
          <w:sz w:val="24"/>
          <w:szCs w:val="24"/>
        </w:rPr>
        <w:t>–202</w:t>
      </w:r>
      <w:r w:rsidR="002223A5" w:rsidRPr="00816250">
        <w:rPr>
          <w:sz w:val="24"/>
          <w:szCs w:val="24"/>
        </w:rPr>
        <w:t>7</w:t>
      </w:r>
      <w:r w:rsidRPr="00816250">
        <w:rPr>
          <w:sz w:val="24"/>
          <w:szCs w:val="24"/>
        </w:rPr>
        <w:t xml:space="preserve"> zařazeny finanční prostředky na</w:t>
      </w:r>
      <w:r w:rsidR="00E14D6B" w:rsidRPr="00816250">
        <w:rPr>
          <w:sz w:val="24"/>
          <w:szCs w:val="24"/>
        </w:rPr>
        <w:t xml:space="preserve"> </w:t>
      </w:r>
      <w:r w:rsidRPr="00816250">
        <w:rPr>
          <w:sz w:val="24"/>
          <w:szCs w:val="24"/>
        </w:rPr>
        <w:t xml:space="preserve">přípravu a realizaci akcí v rámci </w:t>
      </w:r>
      <w:r w:rsidR="00E118A7" w:rsidRPr="00816250">
        <w:rPr>
          <w:sz w:val="24"/>
          <w:szCs w:val="24"/>
        </w:rPr>
        <w:t xml:space="preserve">programového období 2021–2027 </w:t>
      </w:r>
      <w:r w:rsidRPr="00816250">
        <w:rPr>
          <w:sz w:val="24"/>
          <w:szCs w:val="24"/>
        </w:rPr>
        <w:t>v</w:t>
      </w:r>
      <w:r w:rsidR="003738A1" w:rsidRPr="00816250">
        <w:rPr>
          <w:sz w:val="24"/>
          <w:szCs w:val="24"/>
        </w:rPr>
        <w:t xml:space="preserve">e </w:t>
      </w:r>
      <w:r w:rsidRPr="00816250">
        <w:rPr>
          <w:sz w:val="24"/>
          <w:szCs w:val="24"/>
        </w:rPr>
        <w:t xml:space="preserve">výši </w:t>
      </w:r>
      <w:r w:rsidR="00E7628F" w:rsidRPr="00816250">
        <w:rPr>
          <w:sz w:val="24"/>
          <w:szCs w:val="24"/>
        </w:rPr>
        <w:t>9.063</w:t>
      </w:r>
      <w:r w:rsidR="00233545" w:rsidRPr="00816250">
        <w:rPr>
          <w:sz w:val="24"/>
          <w:szCs w:val="24"/>
        </w:rPr>
        <w:t xml:space="preserve"> mil</w:t>
      </w:r>
      <w:r w:rsidRPr="00816250">
        <w:rPr>
          <w:sz w:val="24"/>
          <w:szCs w:val="24"/>
        </w:rPr>
        <w:t>.</w:t>
      </w:r>
      <w:r w:rsidR="00E14D6B" w:rsidRPr="00816250">
        <w:rPr>
          <w:sz w:val="24"/>
          <w:szCs w:val="24"/>
        </w:rPr>
        <w:t> </w:t>
      </w:r>
      <w:r w:rsidRPr="00816250">
        <w:rPr>
          <w:sz w:val="24"/>
          <w:szCs w:val="24"/>
        </w:rPr>
        <w:t xml:space="preserve">Kč. </w:t>
      </w:r>
      <w:r w:rsidR="000F451C" w:rsidRPr="00816250">
        <w:rPr>
          <w:sz w:val="24"/>
          <w:szCs w:val="24"/>
        </w:rPr>
        <w:t xml:space="preserve">Prostředky na přípravu nových projektů jsou vyčleněny ve výši 100 mil. Kč ročně.  </w:t>
      </w:r>
      <w:r w:rsidRPr="00816250">
        <w:rPr>
          <w:sz w:val="24"/>
          <w:szCs w:val="24"/>
        </w:rPr>
        <w:t>Akce, u kterých bylo již zastupitelstvem kraje schválen</w:t>
      </w:r>
      <w:r w:rsidR="00E14D6B" w:rsidRPr="00816250">
        <w:rPr>
          <w:sz w:val="24"/>
          <w:szCs w:val="24"/>
        </w:rPr>
        <w:t>o</w:t>
      </w:r>
      <w:r w:rsidRPr="00816250">
        <w:rPr>
          <w:sz w:val="24"/>
          <w:szCs w:val="24"/>
        </w:rPr>
        <w:t xml:space="preserve"> kofinancování a profinancování, jsou v</w:t>
      </w:r>
      <w:r w:rsidR="002577DB" w:rsidRPr="00816250">
        <w:rPr>
          <w:sz w:val="24"/>
          <w:szCs w:val="24"/>
        </w:rPr>
        <w:t xml:space="preserve"> celkové </w:t>
      </w:r>
      <w:r w:rsidRPr="00816250">
        <w:rPr>
          <w:sz w:val="24"/>
          <w:szCs w:val="24"/>
        </w:rPr>
        <w:lastRenderedPageBreak/>
        <w:t xml:space="preserve">výši </w:t>
      </w:r>
      <w:r w:rsidR="008C033C">
        <w:rPr>
          <w:sz w:val="24"/>
          <w:szCs w:val="24"/>
        </w:rPr>
        <w:t>5</w:t>
      </w:r>
      <w:r w:rsidR="001C5EAC" w:rsidRPr="00816250">
        <w:rPr>
          <w:sz w:val="24"/>
          <w:szCs w:val="24"/>
        </w:rPr>
        <w:t>.</w:t>
      </w:r>
      <w:r w:rsidR="008C033C">
        <w:rPr>
          <w:sz w:val="24"/>
          <w:szCs w:val="24"/>
        </w:rPr>
        <w:t>491</w:t>
      </w:r>
      <w:r w:rsidR="007466D0" w:rsidRPr="00816250">
        <w:rPr>
          <w:sz w:val="24"/>
          <w:szCs w:val="24"/>
        </w:rPr>
        <w:t> </w:t>
      </w:r>
      <w:r w:rsidRPr="00816250">
        <w:rPr>
          <w:sz w:val="24"/>
          <w:szCs w:val="24"/>
        </w:rPr>
        <w:t>mil. Kč</w:t>
      </w:r>
      <w:r w:rsidR="00313B53" w:rsidRPr="00816250">
        <w:rPr>
          <w:sz w:val="24"/>
          <w:szCs w:val="24"/>
        </w:rPr>
        <w:t xml:space="preserve"> – </w:t>
      </w:r>
      <w:r w:rsidRPr="00816250">
        <w:rPr>
          <w:sz w:val="24"/>
          <w:szCs w:val="24"/>
        </w:rPr>
        <w:t>viz tabulka č. 3 (tabulková část výhledu)</w:t>
      </w:r>
      <w:r w:rsidR="00EA48A0" w:rsidRPr="00816250">
        <w:rPr>
          <w:sz w:val="24"/>
          <w:szCs w:val="24"/>
        </w:rPr>
        <w:t xml:space="preserve">. </w:t>
      </w:r>
      <w:r w:rsidR="004F77BB" w:rsidRPr="00816250">
        <w:rPr>
          <w:sz w:val="24"/>
          <w:szCs w:val="24"/>
        </w:rPr>
        <w:t>Vyjma akce „Kotlíkové dotace v</w:t>
      </w:r>
      <w:r w:rsidR="00313B53" w:rsidRPr="00816250">
        <w:rPr>
          <w:sz w:val="24"/>
          <w:szCs w:val="24"/>
        </w:rPr>
        <w:t> </w:t>
      </w:r>
      <w:r w:rsidR="004F77BB" w:rsidRPr="00816250">
        <w:rPr>
          <w:sz w:val="24"/>
          <w:szCs w:val="24"/>
        </w:rPr>
        <w:t xml:space="preserve">Moravskoslezském kraji“, kde je zastupitelstvem kraje </w:t>
      </w:r>
      <w:r w:rsidR="00006049" w:rsidRPr="00816250">
        <w:rPr>
          <w:sz w:val="24"/>
          <w:szCs w:val="24"/>
        </w:rPr>
        <w:t xml:space="preserve">schvalováno </w:t>
      </w:r>
      <w:r w:rsidR="004F77BB" w:rsidRPr="00816250">
        <w:rPr>
          <w:sz w:val="24"/>
          <w:szCs w:val="24"/>
        </w:rPr>
        <w:t>pouze kofinancování</w:t>
      </w:r>
      <w:r w:rsidR="00006049" w:rsidRPr="00816250">
        <w:rPr>
          <w:sz w:val="24"/>
          <w:szCs w:val="24"/>
        </w:rPr>
        <w:t xml:space="preserve">, protože </w:t>
      </w:r>
      <w:r w:rsidR="00B65B65" w:rsidRPr="00816250">
        <w:rPr>
          <w:sz w:val="24"/>
          <w:szCs w:val="24"/>
        </w:rPr>
        <w:t>p</w:t>
      </w:r>
      <w:r w:rsidR="00E950F4" w:rsidRPr="00816250">
        <w:rPr>
          <w:sz w:val="24"/>
          <w:szCs w:val="24"/>
        </w:rPr>
        <w:t xml:space="preserve">rostředky na EU podíl kraj </w:t>
      </w:r>
      <w:proofErr w:type="gramStart"/>
      <w:r w:rsidR="00E950F4" w:rsidRPr="00816250">
        <w:rPr>
          <w:sz w:val="24"/>
          <w:szCs w:val="24"/>
        </w:rPr>
        <w:t>obdrží</w:t>
      </w:r>
      <w:proofErr w:type="gramEnd"/>
      <w:r w:rsidR="00E950F4" w:rsidRPr="00816250">
        <w:rPr>
          <w:sz w:val="24"/>
          <w:szCs w:val="24"/>
        </w:rPr>
        <w:t xml:space="preserve"> </w:t>
      </w:r>
      <w:r w:rsidR="005507F2" w:rsidRPr="00816250">
        <w:rPr>
          <w:sz w:val="24"/>
          <w:szCs w:val="24"/>
        </w:rPr>
        <w:t xml:space="preserve">průběžně </w:t>
      </w:r>
      <w:r w:rsidR="00E950F4" w:rsidRPr="00816250">
        <w:rPr>
          <w:sz w:val="24"/>
          <w:szCs w:val="24"/>
        </w:rPr>
        <w:t>formou záloh</w:t>
      </w:r>
      <w:r w:rsidR="005507F2" w:rsidRPr="00816250">
        <w:rPr>
          <w:sz w:val="24"/>
          <w:szCs w:val="24"/>
        </w:rPr>
        <w:t xml:space="preserve">. </w:t>
      </w:r>
      <w:r w:rsidR="0011487B" w:rsidRPr="00816250">
        <w:rPr>
          <w:sz w:val="24"/>
          <w:szCs w:val="24"/>
        </w:rPr>
        <w:t>Pro očekávané dofinancování programového období</w:t>
      </w:r>
      <w:r w:rsidR="0011487B" w:rsidRPr="00637038">
        <w:rPr>
          <w:sz w:val="24"/>
          <w:szCs w:val="24"/>
        </w:rPr>
        <w:t xml:space="preserve"> bude využito pravidla n+3.</w:t>
      </w:r>
      <w:r w:rsidR="0011487B" w:rsidRPr="009E0C57">
        <w:rPr>
          <w:sz w:val="24"/>
          <w:szCs w:val="24"/>
        </w:rPr>
        <w:t xml:space="preserve"> </w:t>
      </w:r>
    </w:p>
    <w:p w14:paraId="463FB452" w14:textId="14F58EC0" w:rsidR="002D5BCE" w:rsidRDefault="002D5BCE" w:rsidP="00D255B3">
      <w:pPr>
        <w:pStyle w:val="Zkladntext3"/>
        <w:jc w:val="both"/>
        <w:rPr>
          <w:sz w:val="24"/>
          <w:szCs w:val="24"/>
        </w:rPr>
      </w:pPr>
    </w:p>
    <w:p w14:paraId="3FA06827" w14:textId="56FB8FBB" w:rsidR="00CC3D51" w:rsidRDefault="002D5BCE" w:rsidP="002D5BCE">
      <w:pPr>
        <w:pStyle w:val="Zkladntext3"/>
        <w:jc w:val="both"/>
        <w:rPr>
          <w:i/>
          <w:iCs/>
          <w:color w:val="FF0000"/>
          <w:sz w:val="24"/>
          <w:szCs w:val="24"/>
        </w:rPr>
      </w:pPr>
      <w:r w:rsidRPr="00F6545E">
        <w:rPr>
          <w:sz w:val="24"/>
          <w:szCs w:val="24"/>
        </w:rPr>
        <w:t xml:space="preserve">V rámci </w:t>
      </w:r>
      <w:r w:rsidR="00FC4D8A">
        <w:rPr>
          <w:sz w:val="24"/>
          <w:szCs w:val="24"/>
        </w:rPr>
        <w:t xml:space="preserve">výhledu </w:t>
      </w:r>
      <w:r w:rsidR="005766B6">
        <w:rPr>
          <w:sz w:val="24"/>
          <w:szCs w:val="24"/>
        </w:rPr>
        <w:t xml:space="preserve">je pokračováno s realizací </w:t>
      </w:r>
      <w:r>
        <w:rPr>
          <w:sz w:val="24"/>
          <w:szCs w:val="24"/>
        </w:rPr>
        <w:t>strategick</w:t>
      </w:r>
      <w:r w:rsidR="007501E1">
        <w:rPr>
          <w:sz w:val="24"/>
          <w:szCs w:val="24"/>
        </w:rPr>
        <w:t>ých</w:t>
      </w:r>
      <w:r>
        <w:rPr>
          <w:sz w:val="24"/>
          <w:szCs w:val="24"/>
        </w:rPr>
        <w:t xml:space="preserve"> </w:t>
      </w:r>
      <w:r w:rsidRPr="00F6545E">
        <w:rPr>
          <w:sz w:val="24"/>
          <w:szCs w:val="24"/>
        </w:rPr>
        <w:t>projekt</w:t>
      </w:r>
      <w:r w:rsidR="007501E1">
        <w:rPr>
          <w:sz w:val="24"/>
          <w:szCs w:val="24"/>
        </w:rPr>
        <w:t>ů</w:t>
      </w:r>
      <w:r>
        <w:rPr>
          <w:sz w:val="24"/>
          <w:szCs w:val="24"/>
        </w:rPr>
        <w:t xml:space="preserve"> kraje</w:t>
      </w:r>
      <w:r w:rsidR="007501E1">
        <w:rPr>
          <w:sz w:val="24"/>
          <w:szCs w:val="24"/>
        </w:rPr>
        <w:t xml:space="preserve"> financovaných z </w:t>
      </w:r>
      <w:r w:rsidR="00B91D9F">
        <w:rPr>
          <w:sz w:val="24"/>
          <w:szCs w:val="24"/>
        </w:rPr>
        <w:t>O</w:t>
      </w:r>
      <w:r w:rsidR="007501E1" w:rsidRPr="004550FA">
        <w:rPr>
          <w:sz w:val="24"/>
          <w:szCs w:val="24"/>
        </w:rPr>
        <w:t>perační</w:t>
      </w:r>
      <w:r w:rsidR="007501E1">
        <w:rPr>
          <w:sz w:val="24"/>
          <w:szCs w:val="24"/>
        </w:rPr>
        <w:t>ho</w:t>
      </w:r>
      <w:r w:rsidR="007501E1" w:rsidRPr="004550FA">
        <w:rPr>
          <w:sz w:val="24"/>
          <w:szCs w:val="24"/>
        </w:rPr>
        <w:t xml:space="preserve"> program</w:t>
      </w:r>
      <w:r w:rsidR="007501E1">
        <w:rPr>
          <w:sz w:val="24"/>
          <w:szCs w:val="24"/>
        </w:rPr>
        <w:t>u</w:t>
      </w:r>
      <w:r w:rsidR="007501E1" w:rsidRPr="004550FA">
        <w:rPr>
          <w:sz w:val="24"/>
          <w:szCs w:val="24"/>
        </w:rPr>
        <w:t xml:space="preserve"> Spravedlivá transformace</w:t>
      </w:r>
      <w:r w:rsidR="00044D03">
        <w:rPr>
          <w:sz w:val="24"/>
          <w:szCs w:val="24"/>
        </w:rPr>
        <w:t>;</w:t>
      </w:r>
      <w:r w:rsidR="007501E1">
        <w:rPr>
          <w:sz w:val="24"/>
          <w:szCs w:val="24"/>
        </w:rPr>
        <w:t xml:space="preserve"> jedná se o akce</w:t>
      </w:r>
      <w:r w:rsidRPr="00F6545E">
        <w:rPr>
          <w:sz w:val="24"/>
          <w:szCs w:val="24"/>
        </w:rPr>
        <w:t xml:space="preserve"> „Černá kostka </w:t>
      </w:r>
      <w:r>
        <w:rPr>
          <w:sz w:val="24"/>
          <w:szCs w:val="24"/>
        </w:rPr>
        <w:t>–</w:t>
      </w:r>
      <w:r w:rsidRPr="00F6545E">
        <w:rPr>
          <w:sz w:val="24"/>
          <w:szCs w:val="24"/>
        </w:rPr>
        <w:t xml:space="preserve"> Centrum</w:t>
      </w:r>
      <w:r>
        <w:rPr>
          <w:sz w:val="24"/>
          <w:szCs w:val="24"/>
        </w:rPr>
        <w:t xml:space="preserve"> </w:t>
      </w:r>
      <w:r w:rsidRPr="00F6545E">
        <w:rPr>
          <w:sz w:val="24"/>
          <w:szCs w:val="24"/>
        </w:rPr>
        <w:t>digitalizace, vědy a inovací“, „</w:t>
      </w:r>
      <w:r w:rsidRPr="2594FA50">
        <w:rPr>
          <w:sz w:val="24"/>
          <w:szCs w:val="24"/>
        </w:rPr>
        <w:t>TPA – Inovační centrum pro transformaci vzdělávání “</w:t>
      </w:r>
      <w:r w:rsidR="007501E1">
        <w:rPr>
          <w:sz w:val="24"/>
          <w:szCs w:val="24"/>
        </w:rPr>
        <w:t xml:space="preserve">, </w:t>
      </w:r>
      <w:r w:rsidRPr="2594FA50">
        <w:rPr>
          <w:sz w:val="24"/>
          <w:szCs w:val="24"/>
        </w:rPr>
        <w:t>“POHO Park Gabriela”</w:t>
      </w:r>
      <w:r>
        <w:rPr>
          <w:sz w:val="24"/>
          <w:szCs w:val="24"/>
        </w:rPr>
        <w:t xml:space="preserve"> a </w:t>
      </w:r>
      <w:r w:rsidRPr="004550FA">
        <w:rPr>
          <w:sz w:val="24"/>
          <w:szCs w:val="24"/>
        </w:rPr>
        <w:t>„Centrum veřejných energetiků“</w:t>
      </w:r>
      <w:r>
        <w:rPr>
          <w:sz w:val="24"/>
          <w:szCs w:val="24"/>
        </w:rPr>
        <w:t xml:space="preserve">. </w:t>
      </w:r>
    </w:p>
    <w:p w14:paraId="3E08529E" w14:textId="77777777" w:rsidR="003D4F45" w:rsidRDefault="003D4F45" w:rsidP="00503218">
      <w:pPr>
        <w:pStyle w:val="Zkladntext3"/>
        <w:jc w:val="both"/>
        <w:rPr>
          <w:sz w:val="24"/>
          <w:szCs w:val="24"/>
        </w:rPr>
      </w:pPr>
    </w:p>
    <w:p w14:paraId="4010B42C" w14:textId="6DF165A3" w:rsidR="003D4F45" w:rsidRDefault="00E41E2F" w:rsidP="00503218">
      <w:pPr>
        <w:pStyle w:val="Zkladntext3"/>
        <w:jc w:val="both"/>
        <w:rPr>
          <w:sz w:val="24"/>
          <w:szCs w:val="24"/>
        </w:rPr>
      </w:pPr>
      <w:r w:rsidRPr="00816250">
        <w:rPr>
          <w:sz w:val="24"/>
          <w:szCs w:val="24"/>
        </w:rPr>
        <w:t>V</w:t>
      </w:r>
      <w:r w:rsidR="00D273E2" w:rsidRPr="00816250">
        <w:rPr>
          <w:sz w:val="24"/>
          <w:szCs w:val="24"/>
        </w:rPr>
        <w:t xml:space="preserve">e finanční bilanci </w:t>
      </w:r>
      <w:r w:rsidR="00907C04" w:rsidRPr="00816250">
        <w:rPr>
          <w:sz w:val="24"/>
          <w:szCs w:val="24"/>
        </w:rPr>
        <w:t>v</w:t>
      </w:r>
      <w:r w:rsidR="00503218" w:rsidRPr="00816250">
        <w:rPr>
          <w:sz w:val="24"/>
          <w:szCs w:val="24"/>
        </w:rPr>
        <w:t>ýhled</w:t>
      </w:r>
      <w:r w:rsidR="00D273E2" w:rsidRPr="00816250">
        <w:rPr>
          <w:sz w:val="24"/>
          <w:szCs w:val="24"/>
        </w:rPr>
        <w:t>u</w:t>
      </w:r>
      <w:r w:rsidR="00503218" w:rsidRPr="00816250">
        <w:rPr>
          <w:sz w:val="24"/>
          <w:szCs w:val="24"/>
        </w:rPr>
        <w:t xml:space="preserve"> </w:t>
      </w:r>
      <w:r w:rsidR="00D273E2" w:rsidRPr="00816250">
        <w:rPr>
          <w:sz w:val="24"/>
          <w:szCs w:val="24"/>
        </w:rPr>
        <w:t xml:space="preserve">je zařazen i </w:t>
      </w:r>
      <w:r w:rsidR="00913ABC" w:rsidRPr="00816250">
        <w:rPr>
          <w:sz w:val="24"/>
          <w:szCs w:val="24"/>
        </w:rPr>
        <w:t xml:space="preserve">objem </w:t>
      </w:r>
      <w:r w:rsidR="00D273E2" w:rsidRPr="00816250">
        <w:rPr>
          <w:sz w:val="24"/>
          <w:szCs w:val="24"/>
        </w:rPr>
        <w:t xml:space="preserve">prostředků </w:t>
      </w:r>
      <w:r w:rsidR="005B0B82" w:rsidRPr="00816250">
        <w:rPr>
          <w:sz w:val="24"/>
          <w:szCs w:val="24"/>
        </w:rPr>
        <w:t xml:space="preserve">ještě očekávaných v rámci </w:t>
      </w:r>
      <w:r w:rsidR="00503218" w:rsidRPr="00816250">
        <w:rPr>
          <w:sz w:val="24"/>
          <w:szCs w:val="24"/>
        </w:rPr>
        <w:t>nov</w:t>
      </w:r>
      <w:r w:rsidR="005B0B82" w:rsidRPr="00816250">
        <w:rPr>
          <w:sz w:val="24"/>
          <w:szCs w:val="24"/>
        </w:rPr>
        <w:t>ých</w:t>
      </w:r>
      <w:r w:rsidR="00503218" w:rsidRPr="00816250">
        <w:rPr>
          <w:sz w:val="24"/>
          <w:szCs w:val="24"/>
        </w:rPr>
        <w:t xml:space="preserve"> příležitost</w:t>
      </w:r>
      <w:r w:rsidR="007B31EA" w:rsidRPr="00816250">
        <w:rPr>
          <w:sz w:val="24"/>
          <w:szCs w:val="24"/>
        </w:rPr>
        <w:t>í</w:t>
      </w:r>
      <w:r w:rsidR="00503218" w:rsidRPr="00816250">
        <w:rPr>
          <w:sz w:val="24"/>
          <w:szCs w:val="24"/>
        </w:rPr>
        <w:t xml:space="preserve"> programového období </w:t>
      </w:r>
      <w:r w:rsidR="00B32B02" w:rsidRPr="00816250">
        <w:rPr>
          <w:sz w:val="24"/>
          <w:szCs w:val="24"/>
        </w:rPr>
        <w:t>2021–2027</w:t>
      </w:r>
      <w:r w:rsidR="005B0B82" w:rsidRPr="00816250">
        <w:rPr>
          <w:sz w:val="24"/>
          <w:szCs w:val="24"/>
        </w:rPr>
        <w:t>, a to</w:t>
      </w:r>
      <w:r w:rsidR="00B03558" w:rsidRPr="00816250">
        <w:rPr>
          <w:sz w:val="24"/>
          <w:szCs w:val="24"/>
        </w:rPr>
        <w:t xml:space="preserve"> ve výši </w:t>
      </w:r>
      <w:r w:rsidR="00267805" w:rsidRPr="00816250">
        <w:rPr>
          <w:sz w:val="24"/>
          <w:szCs w:val="24"/>
        </w:rPr>
        <w:t>996</w:t>
      </w:r>
      <w:r w:rsidR="007F7FC3" w:rsidRPr="00816250">
        <w:rPr>
          <w:sz w:val="24"/>
          <w:szCs w:val="24"/>
        </w:rPr>
        <w:t xml:space="preserve"> m</w:t>
      </w:r>
      <w:r w:rsidR="00A234F1" w:rsidRPr="00816250">
        <w:rPr>
          <w:sz w:val="24"/>
          <w:szCs w:val="24"/>
        </w:rPr>
        <w:t>i</w:t>
      </w:r>
      <w:r w:rsidR="00546A71" w:rsidRPr="00816250">
        <w:rPr>
          <w:sz w:val="24"/>
          <w:szCs w:val="24"/>
        </w:rPr>
        <w:t>l</w:t>
      </w:r>
      <w:r w:rsidR="00B03558" w:rsidRPr="00816250">
        <w:rPr>
          <w:sz w:val="24"/>
          <w:szCs w:val="24"/>
        </w:rPr>
        <w:t>.</w:t>
      </w:r>
      <w:r w:rsidR="007466D0" w:rsidRPr="00816250">
        <w:rPr>
          <w:sz w:val="24"/>
          <w:szCs w:val="24"/>
        </w:rPr>
        <w:t> </w:t>
      </w:r>
      <w:r w:rsidR="00B03558" w:rsidRPr="00816250">
        <w:rPr>
          <w:sz w:val="24"/>
          <w:szCs w:val="24"/>
        </w:rPr>
        <w:t>Kč.</w:t>
      </w:r>
      <w:r w:rsidR="0015568C" w:rsidRPr="00816250">
        <w:rPr>
          <w:sz w:val="24"/>
          <w:szCs w:val="24"/>
        </w:rPr>
        <w:t xml:space="preserve"> Pro rok 2027 se již jedná pouze o prostředky na krajský podíl, jelikož lze </w:t>
      </w:r>
      <w:r w:rsidR="003502BF" w:rsidRPr="00816250">
        <w:rPr>
          <w:sz w:val="24"/>
          <w:szCs w:val="24"/>
        </w:rPr>
        <w:t xml:space="preserve">pouze </w:t>
      </w:r>
      <w:r w:rsidR="0015568C" w:rsidRPr="00816250">
        <w:rPr>
          <w:sz w:val="24"/>
          <w:szCs w:val="24"/>
        </w:rPr>
        <w:t>očekávat</w:t>
      </w:r>
      <w:r w:rsidR="001B7F8A" w:rsidRPr="00816250">
        <w:rPr>
          <w:sz w:val="24"/>
          <w:szCs w:val="24"/>
        </w:rPr>
        <w:t xml:space="preserve"> na základě zkušeností z minulosti</w:t>
      </w:r>
      <w:r w:rsidR="0015568C" w:rsidRPr="00816250">
        <w:rPr>
          <w:sz w:val="24"/>
          <w:szCs w:val="24"/>
        </w:rPr>
        <w:t xml:space="preserve">, že </w:t>
      </w:r>
      <w:r w:rsidR="003502BF" w:rsidRPr="00816250">
        <w:rPr>
          <w:sz w:val="24"/>
          <w:szCs w:val="24"/>
        </w:rPr>
        <w:t xml:space="preserve">dojde </w:t>
      </w:r>
      <w:r w:rsidR="00A0499E" w:rsidRPr="00816250">
        <w:rPr>
          <w:sz w:val="24"/>
          <w:szCs w:val="24"/>
        </w:rPr>
        <w:t xml:space="preserve">k </w:t>
      </w:r>
      <w:r w:rsidR="001B7F8A" w:rsidRPr="00816250">
        <w:rPr>
          <w:sz w:val="24"/>
          <w:szCs w:val="24"/>
        </w:rPr>
        <w:t xml:space="preserve">přesunu </w:t>
      </w:r>
      <w:r w:rsidR="00E143F2" w:rsidRPr="00816250">
        <w:rPr>
          <w:sz w:val="24"/>
          <w:szCs w:val="24"/>
        </w:rPr>
        <w:t>úspor</w:t>
      </w:r>
      <w:r w:rsidR="000D4E38" w:rsidRPr="00816250">
        <w:rPr>
          <w:sz w:val="24"/>
          <w:szCs w:val="24"/>
        </w:rPr>
        <w:t xml:space="preserve"> v rámci d</w:t>
      </w:r>
      <w:r w:rsidR="000D4E38">
        <w:rPr>
          <w:sz w:val="24"/>
          <w:szCs w:val="24"/>
        </w:rPr>
        <w:t>očerpání vybraných alokací</w:t>
      </w:r>
      <w:r w:rsidR="003502BF">
        <w:rPr>
          <w:sz w:val="24"/>
          <w:szCs w:val="24"/>
        </w:rPr>
        <w:t xml:space="preserve">. </w:t>
      </w:r>
      <w:r w:rsidR="000114B5" w:rsidRPr="00884E9B">
        <w:rPr>
          <w:sz w:val="24"/>
          <w:szCs w:val="24"/>
        </w:rPr>
        <w:t>P</w:t>
      </w:r>
      <w:r w:rsidR="00E143F2">
        <w:rPr>
          <w:sz w:val="24"/>
          <w:szCs w:val="24"/>
        </w:rPr>
        <w:t xml:space="preserve">roto </w:t>
      </w:r>
      <w:r w:rsidR="000114B5" w:rsidRPr="00884E9B">
        <w:rPr>
          <w:sz w:val="24"/>
          <w:szCs w:val="24"/>
        </w:rPr>
        <w:t xml:space="preserve">je aktuálně vykázán postupný </w:t>
      </w:r>
      <w:r w:rsidR="003D4F45" w:rsidRPr="00884E9B">
        <w:rPr>
          <w:sz w:val="24"/>
          <w:szCs w:val="24"/>
        </w:rPr>
        <w:t xml:space="preserve">pokles </w:t>
      </w:r>
      <w:r w:rsidR="0026560C" w:rsidRPr="00884E9B">
        <w:rPr>
          <w:sz w:val="24"/>
          <w:szCs w:val="24"/>
        </w:rPr>
        <w:t>výdajů na akce spolufinancované z evropských finančních zdrojů</w:t>
      </w:r>
      <w:r w:rsidR="001237AF">
        <w:rPr>
          <w:sz w:val="24"/>
          <w:szCs w:val="24"/>
        </w:rPr>
        <w:t>.</w:t>
      </w:r>
      <w:r w:rsidR="003D4F45" w:rsidRPr="00884E9B">
        <w:rPr>
          <w:sz w:val="24"/>
          <w:szCs w:val="24"/>
        </w:rPr>
        <w:t xml:space="preserve"> </w:t>
      </w:r>
      <w:r w:rsidR="00BA2224">
        <w:rPr>
          <w:sz w:val="24"/>
          <w:szCs w:val="24"/>
        </w:rPr>
        <w:t xml:space="preserve"> </w:t>
      </w:r>
    </w:p>
    <w:p w14:paraId="64F12DC0" w14:textId="77777777" w:rsidR="000F451C" w:rsidRDefault="000F451C" w:rsidP="00503218">
      <w:pPr>
        <w:pStyle w:val="Zkladntext3"/>
        <w:jc w:val="both"/>
        <w:rPr>
          <w:sz w:val="24"/>
          <w:szCs w:val="24"/>
        </w:rPr>
      </w:pPr>
    </w:p>
    <w:p w14:paraId="112A6551" w14:textId="25840E86" w:rsidR="00B717A4" w:rsidRDefault="00B717A4">
      <w:pPr>
        <w:rPr>
          <w:rFonts w:ascii="Tahoma" w:hAnsi="Tahoma" w:cs="Tahoma"/>
        </w:rPr>
      </w:pPr>
      <w:r>
        <w:br w:type="page"/>
      </w:r>
    </w:p>
    <w:p w14:paraId="39F393E8" w14:textId="62DAAC6E" w:rsidR="00576C5E" w:rsidRPr="007804B1" w:rsidRDefault="003F4C4D" w:rsidP="00576C5E">
      <w:pPr>
        <w:pStyle w:val="Nadpis3"/>
        <w:spacing w:before="360" w:after="180"/>
        <w:rPr>
          <w:rFonts w:ascii="Tahoma" w:hAnsi="Tahoma" w:cs="Tahoma"/>
          <w:b/>
          <w:bCs/>
          <w:sz w:val="24"/>
          <w:szCs w:val="24"/>
        </w:rPr>
      </w:pPr>
      <w:bookmarkStart w:id="3" w:name="_Toc150511315"/>
      <w:r w:rsidRPr="007804B1">
        <w:rPr>
          <w:rFonts w:ascii="Tahoma" w:hAnsi="Tahoma" w:cs="Tahoma"/>
          <w:b/>
          <w:bCs/>
          <w:sz w:val="24"/>
          <w:szCs w:val="24"/>
        </w:rPr>
        <w:lastRenderedPageBreak/>
        <w:t>F</w:t>
      </w:r>
      <w:r w:rsidR="00576C5E" w:rsidRPr="007804B1">
        <w:rPr>
          <w:rFonts w:ascii="Tahoma" w:hAnsi="Tahoma" w:cs="Tahoma"/>
          <w:b/>
          <w:bCs/>
          <w:sz w:val="24"/>
          <w:szCs w:val="24"/>
        </w:rPr>
        <w:t xml:space="preserve">INANCOVÁNÍ kraje v období let </w:t>
      </w:r>
      <w:r w:rsidR="009706A1" w:rsidRPr="00B32B02">
        <w:rPr>
          <w:rFonts w:ascii="Tahoma" w:hAnsi="Tahoma" w:cs="Tahoma"/>
          <w:b/>
          <w:bCs/>
          <w:sz w:val="24"/>
          <w:szCs w:val="24"/>
        </w:rPr>
        <w:t>202</w:t>
      </w:r>
      <w:r w:rsidR="009706A1">
        <w:rPr>
          <w:rFonts w:ascii="Tahoma" w:hAnsi="Tahoma" w:cs="Tahoma"/>
          <w:b/>
          <w:bCs/>
          <w:sz w:val="24"/>
          <w:szCs w:val="24"/>
        </w:rPr>
        <w:t>5–2027</w:t>
      </w:r>
      <w:bookmarkEnd w:id="3"/>
    </w:p>
    <w:p w14:paraId="507E002D" w14:textId="447E10CB" w:rsidR="00576C5E" w:rsidRDefault="00576C5E" w:rsidP="00576C5E">
      <w:pPr>
        <w:jc w:val="both"/>
        <w:rPr>
          <w:rFonts w:ascii="Tahoma" w:hAnsi="Tahoma" w:cs="Tahoma"/>
          <w:u w:val="single"/>
        </w:rPr>
      </w:pPr>
      <w:r w:rsidRPr="007804B1">
        <w:rPr>
          <w:rFonts w:ascii="Tahoma" w:hAnsi="Tahoma" w:cs="Tahoma"/>
          <w:u w:val="single"/>
        </w:rPr>
        <w:t>Rekapitulace úvěrů</w:t>
      </w:r>
    </w:p>
    <w:p w14:paraId="3357113E" w14:textId="77777777" w:rsidR="005243C4" w:rsidRPr="007804B1" w:rsidRDefault="005243C4" w:rsidP="00576C5E">
      <w:pPr>
        <w:jc w:val="both"/>
        <w:rPr>
          <w:rFonts w:ascii="Tahoma" w:hAnsi="Tahoma" w:cs="Tahoma"/>
          <w:u w:val="single"/>
        </w:rPr>
      </w:pPr>
    </w:p>
    <w:p w14:paraId="0CD99079" w14:textId="64E6AD57" w:rsidR="00576C5E" w:rsidRPr="007804B1" w:rsidRDefault="00576C5E" w:rsidP="00576C5E">
      <w:pPr>
        <w:jc w:val="both"/>
        <w:rPr>
          <w:rFonts w:ascii="Tahoma" w:hAnsi="Tahoma" w:cs="Tahoma"/>
        </w:rPr>
      </w:pPr>
      <w:r w:rsidRPr="007804B1">
        <w:rPr>
          <w:rFonts w:ascii="Tahoma" w:hAnsi="Tahoma" w:cs="Tahoma"/>
        </w:rPr>
        <w:t xml:space="preserve">V období </w:t>
      </w:r>
      <w:r w:rsidR="009706A1" w:rsidRPr="007804B1">
        <w:rPr>
          <w:rFonts w:ascii="Tahoma" w:hAnsi="Tahoma" w:cs="Tahoma"/>
        </w:rPr>
        <w:t>202</w:t>
      </w:r>
      <w:r w:rsidR="009706A1">
        <w:rPr>
          <w:rFonts w:ascii="Tahoma" w:hAnsi="Tahoma" w:cs="Tahoma"/>
        </w:rPr>
        <w:t>5–2035</w:t>
      </w:r>
      <w:r w:rsidRPr="007804B1">
        <w:rPr>
          <w:rFonts w:ascii="Tahoma" w:hAnsi="Tahoma" w:cs="Tahoma"/>
        </w:rPr>
        <w:t xml:space="preserve"> bude kraj povinen plnit své závazky z uzavřených úvěrových smluv. Přehled splácení jistiny a úroků z úvěrů čerpaných krajem, a to do konce doby trvání těchto závazků, je uveden v tabulce č. 7 (tabulková část výhledu).</w:t>
      </w:r>
    </w:p>
    <w:p w14:paraId="315EA87B" w14:textId="77777777" w:rsidR="00A0499E" w:rsidRDefault="00A0499E" w:rsidP="7B2D13D1">
      <w:pPr>
        <w:jc w:val="both"/>
        <w:rPr>
          <w:rFonts w:ascii="Tahoma" w:hAnsi="Tahoma" w:cs="Tahoma"/>
          <w:i/>
          <w:iCs/>
        </w:rPr>
      </w:pPr>
    </w:p>
    <w:p w14:paraId="15C43AC7" w14:textId="2F5029C1" w:rsidR="4AC86397" w:rsidRPr="007C301E" w:rsidRDefault="4AC86397" w:rsidP="7B2D13D1">
      <w:pPr>
        <w:jc w:val="both"/>
        <w:rPr>
          <w:rFonts w:ascii="Tahoma" w:hAnsi="Tahoma" w:cs="Tahoma"/>
        </w:rPr>
      </w:pPr>
      <w:r w:rsidRPr="00A0499E">
        <w:rPr>
          <w:rFonts w:ascii="Tahoma" w:hAnsi="Tahoma" w:cs="Tahoma"/>
        </w:rPr>
        <w:t>Dle úvěrové smlouvy s </w:t>
      </w:r>
      <w:r w:rsidRPr="007C301E">
        <w:rPr>
          <w:rFonts w:ascii="Tahoma" w:hAnsi="Tahoma" w:cs="Tahoma"/>
        </w:rPr>
        <w:t>Evropskou investiční bankou (dále jen EIB) uzavřené v roce 2010 v celkové výši 2.000 mil. Kč kraj doplatí jistinu úvěru v roce 2025. Tento úvěr byl využíván na úhradu vlastních podílů kraje na konkrétních projektech spolufinancovaných z evropských finančních zdrojů a u dalších významných investičních projektů.</w:t>
      </w:r>
    </w:p>
    <w:p w14:paraId="4102C5EE" w14:textId="77777777" w:rsidR="7B2D13D1" w:rsidRPr="007C301E" w:rsidRDefault="7B2D13D1" w:rsidP="7B2D13D1">
      <w:pPr>
        <w:jc w:val="both"/>
        <w:rPr>
          <w:rFonts w:ascii="Tahoma" w:hAnsi="Tahoma" w:cs="Tahoma"/>
          <w:color w:val="FF0000"/>
        </w:rPr>
      </w:pPr>
    </w:p>
    <w:p w14:paraId="7A157CDE" w14:textId="5D8012E6" w:rsidR="4AC86397" w:rsidRPr="007C301E" w:rsidRDefault="4AC86397" w:rsidP="7B2D13D1">
      <w:pPr>
        <w:jc w:val="both"/>
        <w:rPr>
          <w:rFonts w:ascii="Tahoma" w:hAnsi="Tahoma" w:cs="Tahoma"/>
        </w:rPr>
      </w:pPr>
      <w:r w:rsidRPr="007C301E">
        <w:rPr>
          <w:rFonts w:ascii="Tahoma" w:hAnsi="Tahoma" w:cs="Tahoma"/>
        </w:rPr>
        <w:t xml:space="preserve">Smlouva o úvěru ve výši 1.010 mil. Kč od </w:t>
      </w:r>
      <w:proofErr w:type="spellStart"/>
      <w:r w:rsidRPr="007C301E">
        <w:rPr>
          <w:rFonts w:ascii="Tahoma" w:hAnsi="Tahoma" w:cs="Tahoma"/>
        </w:rPr>
        <w:t>UniCredit</w:t>
      </w:r>
      <w:proofErr w:type="spellEnd"/>
      <w:r w:rsidRPr="007C301E">
        <w:rPr>
          <w:rFonts w:ascii="Tahoma" w:hAnsi="Tahoma" w:cs="Tahoma"/>
        </w:rPr>
        <w:t xml:space="preserve"> Bank Czech Republic and Slovakia, a.s., (dále jen UCB), uzavřená v červnu 2019, umožnila v září 2019 refinancovat část nesplacené jistiny úvěru od EIB a tím snížit výdaje na platbu úroků. Úvěr bude </w:t>
      </w:r>
      <w:r w:rsidR="733BC86E" w:rsidRPr="007C301E">
        <w:rPr>
          <w:rFonts w:ascii="Tahoma" w:hAnsi="Tahoma" w:cs="Tahoma"/>
        </w:rPr>
        <w:t>rovněž doplacen v roce 2025.</w:t>
      </w:r>
    </w:p>
    <w:p w14:paraId="1FF21AEF" w14:textId="77777777" w:rsidR="7B2D13D1" w:rsidRPr="007C301E" w:rsidRDefault="7B2D13D1" w:rsidP="7B2D13D1">
      <w:pPr>
        <w:jc w:val="both"/>
        <w:rPr>
          <w:rFonts w:ascii="Tahoma" w:hAnsi="Tahoma" w:cs="Tahoma"/>
        </w:rPr>
      </w:pPr>
    </w:p>
    <w:p w14:paraId="2927B154" w14:textId="3D307F71" w:rsidR="4AC86397" w:rsidRDefault="4AC86397" w:rsidP="00955055">
      <w:pPr>
        <w:jc w:val="both"/>
        <w:rPr>
          <w:rFonts w:ascii="Tahoma" w:hAnsi="Tahoma" w:cs="Tahoma"/>
        </w:rPr>
      </w:pPr>
      <w:r w:rsidRPr="007C301E">
        <w:rPr>
          <w:rFonts w:ascii="Tahoma" w:hAnsi="Tahoma" w:cs="Tahoma"/>
        </w:rPr>
        <w:t xml:space="preserve">Smlouva o úvěru ve výši 3.000 mil. Kč od České spořitelny, a.s. (dále jen ČS), jejímž předmětem je financování investičních akcí realizovaných krajem a jeho příspěvkovými organizacemi v letech 2021–2024, byla uzavřena v prosinci 2020. Úvěr bude splácen v letech 2026–2035 v rovnoměrných ročních splátkách </w:t>
      </w:r>
      <w:r w:rsidR="007C301E">
        <w:rPr>
          <w:rFonts w:ascii="Tahoma" w:hAnsi="Tahoma" w:cs="Tahoma"/>
        </w:rPr>
        <w:t xml:space="preserve">ve výši </w:t>
      </w:r>
      <w:r w:rsidR="61106986" w:rsidRPr="007C301E">
        <w:rPr>
          <w:rFonts w:ascii="Tahoma" w:hAnsi="Tahoma" w:cs="Tahoma"/>
        </w:rPr>
        <w:t>300 mil.</w:t>
      </w:r>
      <w:r w:rsidR="61106986" w:rsidRPr="00A0499E">
        <w:rPr>
          <w:rFonts w:ascii="Tahoma" w:hAnsi="Tahoma" w:cs="Tahoma"/>
        </w:rPr>
        <w:t xml:space="preserve"> Kč</w:t>
      </w:r>
      <w:r w:rsidRPr="00A0499E">
        <w:rPr>
          <w:rFonts w:ascii="Tahoma" w:hAnsi="Tahoma" w:cs="Tahoma"/>
        </w:rPr>
        <w:t xml:space="preserve">. </w:t>
      </w:r>
    </w:p>
    <w:p w14:paraId="7AB5596D" w14:textId="77777777" w:rsidR="00955055" w:rsidRPr="00A0499E" w:rsidRDefault="00955055" w:rsidP="00955055">
      <w:pPr>
        <w:jc w:val="both"/>
        <w:rPr>
          <w:rFonts w:ascii="Tahoma" w:hAnsi="Tahoma" w:cs="Tahoma"/>
        </w:rPr>
      </w:pPr>
    </w:p>
    <w:p w14:paraId="7DB31B3C" w14:textId="069BCBC4" w:rsidR="11332039" w:rsidRPr="00A0499E" w:rsidRDefault="11332039" w:rsidP="7B2D13D1">
      <w:pPr>
        <w:jc w:val="both"/>
        <w:rPr>
          <w:rFonts w:ascii="Tahoma" w:hAnsi="Tahoma" w:cs="Tahoma"/>
        </w:rPr>
      </w:pPr>
      <w:r w:rsidRPr="00A0499E">
        <w:rPr>
          <w:rFonts w:ascii="Tahoma" w:hAnsi="Tahoma" w:cs="Tahoma"/>
        </w:rPr>
        <w:t xml:space="preserve">Kraj v roce 2023 vysoutěžil nový úvěrový rámec ve výši </w:t>
      </w:r>
      <w:r w:rsidR="4AC86397" w:rsidRPr="00A0499E">
        <w:rPr>
          <w:rFonts w:ascii="Tahoma" w:hAnsi="Tahoma" w:cs="Tahoma"/>
        </w:rPr>
        <w:t>1.</w:t>
      </w:r>
      <w:r w:rsidR="1756C873" w:rsidRPr="00A0499E">
        <w:rPr>
          <w:rFonts w:ascii="Tahoma" w:hAnsi="Tahoma" w:cs="Tahoma"/>
        </w:rPr>
        <w:t>5</w:t>
      </w:r>
      <w:r w:rsidR="4AC86397" w:rsidRPr="00A0499E">
        <w:rPr>
          <w:rFonts w:ascii="Tahoma" w:hAnsi="Tahoma" w:cs="Tahoma"/>
        </w:rPr>
        <w:t xml:space="preserve">00 mil. Kč od </w:t>
      </w:r>
      <w:r w:rsidR="4AC86397" w:rsidRPr="0041499F">
        <w:rPr>
          <w:rFonts w:ascii="Tahoma" w:hAnsi="Tahoma" w:cs="Tahoma"/>
        </w:rPr>
        <w:t>UCB,</w:t>
      </w:r>
      <w:r w:rsidR="0B50BBF7" w:rsidRPr="0041499F">
        <w:rPr>
          <w:rFonts w:ascii="Tahoma" w:hAnsi="Tahoma" w:cs="Tahoma"/>
        </w:rPr>
        <w:t xml:space="preserve"> kdy smlouva by měla být po schválení zastupitelstvem kraje podepsána do konce roku 2023. Prostředky budou využity</w:t>
      </w:r>
      <w:r w:rsidR="4AC86397" w:rsidRPr="0041499F">
        <w:rPr>
          <w:rFonts w:ascii="Tahoma" w:hAnsi="Tahoma" w:cs="Tahoma"/>
        </w:rPr>
        <w:t xml:space="preserve"> na předfinancování, případně spolufinancování akcí spolufinancovaných </w:t>
      </w:r>
      <w:r w:rsidR="00BC337A" w:rsidRPr="0041499F">
        <w:rPr>
          <w:rFonts w:ascii="Tahoma" w:hAnsi="Tahoma" w:cs="Tahoma"/>
        </w:rPr>
        <w:t>z evropských</w:t>
      </w:r>
      <w:r w:rsidR="2F3FEEB0" w:rsidRPr="0041499F">
        <w:rPr>
          <w:rFonts w:ascii="Tahoma" w:hAnsi="Tahoma" w:cs="Tahoma"/>
        </w:rPr>
        <w:t>, případně národn</w:t>
      </w:r>
      <w:r w:rsidR="5EDF6B59" w:rsidRPr="0041499F">
        <w:rPr>
          <w:rFonts w:ascii="Tahoma" w:hAnsi="Tahoma" w:cs="Tahoma"/>
        </w:rPr>
        <w:t>í</w:t>
      </w:r>
      <w:r w:rsidR="2F3FEEB0" w:rsidRPr="0041499F">
        <w:rPr>
          <w:rFonts w:ascii="Tahoma" w:hAnsi="Tahoma" w:cs="Tahoma"/>
        </w:rPr>
        <w:t>ch zdrojů. Úvěrová smlouva</w:t>
      </w:r>
      <w:r w:rsidR="2F3FEEB0" w:rsidRPr="00A0499E">
        <w:rPr>
          <w:rFonts w:ascii="Tahoma" w:hAnsi="Tahoma" w:cs="Tahoma"/>
        </w:rPr>
        <w:t xml:space="preserve"> počítá s možností čerpání do konce roku 2029 a s finálním splacením do konce roku 2030</w:t>
      </w:r>
      <w:r w:rsidR="35910E67" w:rsidRPr="00A0499E">
        <w:rPr>
          <w:rFonts w:ascii="Tahoma" w:hAnsi="Tahoma" w:cs="Tahoma"/>
        </w:rPr>
        <w:t>.</w:t>
      </w:r>
    </w:p>
    <w:p w14:paraId="5C030491" w14:textId="77777777" w:rsidR="7B2D13D1" w:rsidRPr="00A0499E" w:rsidRDefault="7B2D13D1" w:rsidP="7B2D13D1">
      <w:pPr>
        <w:jc w:val="both"/>
        <w:rPr>
          <w:rFonts w:ascii="Tahoma" w:hAnsi="Tahoma" w:cs="Tahoma"/>
        </w:rPr>
      </w:pPr>
    </w:p>
    <w:p w14:paraId="775352BF" w14:textId="76BF3EC8" w:rsidR="4AC86397" w:rsidRPr="00A0499E" w:rsidRDefault="4AC86397" w:rsidP="7B2D13D1">
      <w:pPr>
        <w:jc w:val="both"/>
        <w:rPr>
          <w:rFonts w:ascii="Tahoma" w:hAnsi="Tahoma" w:cs="Tahoma"/>
        </w:rPr>
      </w:pPr>
      <w:r w:rsidRPr="00A0499E">
        <w:rPr>
          <w:rFonts w:ascii="Tahoma" w:hAnsi="Tahoma" w:cs="Tahoma"/>
        </w:rPr>
        <w:t>Největší objem čerpání nového úvěru se na základě aktuálně známých skutečností předpokládá v roce 2025</w:t>
      </w:r>
      <w:r w:rsidR="25194BB2" w:rsidRPr="00A0499E">
        <w:rPr>
          <w:rFonts w:ascii="Tahoma" w:hAnsi="Tahoma" w:cs="Tahoma"/>
        </w:rPr>
        <w:t xml:space="preserve"> a 2026.</w:t>
      </w:r>
    </w:p>
    <w:p w14:paraId="70FC83BB" w14:textId="2AB37779" w:rsidR="7B2D13D1" w:rsidRDefault="7B2D13D1" w:rsidP="7B2D13D1">
      <w:pPr>
        <w:jc w:val="both"/>
        <w:rPr>
          <w:rFonts w:ascii="Tahoma" w:hAnsi="Tahoma" w:cs="Tahoma"/>
          <w:u w:val="single"/>
        </w:rPr>
      </w:pPr>
      <w:bookmarkStart w:id="4" w:name="_Toc72145607"/>
      <w:bookmarkStart w:id="5" w:name="_Toc72145985"/>
    </w:p>
    <w:p w14:paraId="0841CEF7" w14:textId="2E3D34AB" w:rsidR="00A45384" w:rsidRDefault="00A45384" w:rsidP="00A45384">
      <w:pPr>
        <w:jc w:val="both"/>
        <w:rPr>
          <w:rFonts w:ascii="Tahoma" w:hAnsi="Tahoma" w:cs="Tahoma"/>
          <w:u w:val="single"/>
        </w:rPr>
      </w:pPr>
      <w:r w:rsidRPr="00E82E31">
        <w:rPr>
          <w:rFonts w:ascii="Tahoma" w:hAnsi="Tahoma" w:cs="Tahoma"/>
          <w:u w:val="single"/>
        </w:rPr>
        <w:t>Ostatní financování</w:t>
      </w:r>
      <w:bookmarkEnd w:id="4"/>
      <w:bookmarkEnd w:id="5"/>
    </w:p>
    <w:p w14:paraId="7D1A3FFC" w14:textId="77777777" w:rsidR="005243C4" w:rsidRPr="00E82E31" w:rsidRDefault="005243C4" w:rsidP="00A45384">
      <w:pPr>
        <w:jc w:val="both"/>
        <w:rPr>
          <w:rFonts w:ascii="Tahoma" w:hAnsi="Tahoma" w:cs="Tahoma"/>
          <w:u w:val="single"/>
        </w:rPr>
      </w:pPr>
    </w:p>
    <w:p w14:paraId="5FAD8AF5" w14:textId="25B254CA" w:rsidR="00A45384" w:rsidRDefault="00A45384" w:rsidP="00A45384">
      <w:pPr>
        <w:jc w:val="both"/>
        <w:rPr>
          <w:rFonts w:ascii="Tahoma" w:eastAsiaTheme="minorHAnsi" w:hAnsi="Tahoma" w:cs="Tahoma"/>
          <w:lang w:eastAsia="en-US"/>
        </w:rPr>
      </w:pPr>
      <w:r w:rsidRPr="00263218">
        <w:rPr>
          <w:rFonts w:ascii="Tahoma" w:eastAsiaTheme="minorHAnsi" w:hAnsi="Tahoma" w:cs="Tahoma"/>
          <w:lang w:eastAsia="en-US"/>
        </w:rPr>
        <w:t xml:space="preserve">V rámci Financování je zařazena tvorba a čerpání </w:t>
      </w:r>
      <w:r w:rsidR="0006247C">
        <w:rPr>
          <w:rFonts w:ascii="Tahoma" w:eastAsiaTheme="minorHAnsi" w:hAnsi="Tahoma" w:cs="Tahoma"/>
          <w:lang w:eastAsia="en-US"/>
        </w:rPr>
        <w:t xml:space="preserve">peněžních </w:t>
      </w:r>
      <w:r w:rsidRPr="00263218">
        <w:rPr>
          <w:rFonts w:ascii="Tahoma" w:eastAsiaTheme="minorHAnsi" w:hAnsi="Tahoma" w:cs="Tahoma"/>
          <w:lang w:eastAsia="en-US"/>
        </w:rPr>
        <w:t xml:space="preserve">fondů kraje. Fondy kraje byly zřízeny vždy účelově. Ve sledovaném období se předpokládá zapojení prostředků </w:t>
      </w:r>
      <w:r w:rsidRPr="00414666">
        <w:rPr>
          <w:rFonts w:ascii="Tahoma" w:eastAsiaTheme="minorHAnsi" w:hAnsi="Tahoma" w:cs="Tahoma"/>
          <w:lang w:eastAsia="en-US"/>
        </w:rPr>
        <w:t>Zajišťovací</w:t>
      </w:r>
      <w:r w:rsidRPr="00263218">
        <w:rPr>
          <w:rFonts w:ascii="Tahoma" w:eastAsiaTheme="minorHAnsi" w:hAnsi="Tahoma" w:cs="Tahoma"/>
          <w:lang w:eastAsia="en-US"/>
        </w:rPr>
        <w:t>ho</w:t>
      </w:r>
      <w:r w:rsidRPr="00414666">
        <w:rPr>
          <w:rFonts w:ascii="Tahoma" w:eastAsiaTheme="minorHAnsi" w:hAnsi="Tahoma" w:cs="Tahoma"/>
          <w:lang w:eastAsia="en-US"/>
        </w:rPr>
        <w:t xml:space="preserve"> fond</w:t>
      </w:r>
      <w:r w:rsidRPr="00263218">
        <w:rPr>
          <w:rFonts w:ascii="Tahoma" w:eastAsiaTheme="minorHAnsi" w:hAnsi="Tahoma" w:cs="Tahoma"/>
          <w:lang w:eastAsia="en-US"/>
        </w:rPr>
        <w:t>u pro</w:t>
      </w:r>
      <w:r w:rsidRPr="00414666">
        <w:rPr>
          <w:rFonts w:ascii="Tahoma" w:eastAsiaTheme="minorHAnsi" w:hAnsi="Tahoma" w:cs="Tahoma"/>
          <w:lang w:eastAsia="en-US"/>
        </w:rPr>
        <w:t xml:space="preserve"> tvorb</w:t>
      </w:r>
      <w:r w:rsidRPr="00263218">
        <w:rPr>
          <w:rFonts w:ascii="Tahoma" w:eastAsiaTheme="minorHAnsi" w:hAnsi="Tahoma" w:cs="Tahoma"/>
          <w:lang w:eastAsia="en-US"/>
        </w:rPr>
        <w:t>u</w:t>
      </w:r>
      <w:r w:rsidRPr="00414666">
        <w:rPr>
          <w:rFonts w:ascii="Tahoma" w:eastAsiaTheme="minorHAnsi" w:hAnsi="Tahoma" w:cs="Tahoma"/>
          <w:lang w:eastAsia="en-US"/>
        </w:rPr>
        <w:t xml:space="preserve"> povinné rezervy dle </w:t>
      </w:r>
      <w:r w:rsidRPr="00263218">
        <w:rPr>
          <w:rFonts w:ascii="Tahoma" w:eastAsiaTheme="minorHAnsi" w:hAnsi="Tahoma" w:cs="Tahoma"/>
          <w:lang w:eastAsia="en-US"/>
        </w:rPr>
        <w:t>zákona č. 240/2000 Sb., o krizovém řízení a o změně některých zákonů (krizový zákon)</w:t>
      </w:r>
      <w:r>
        <w:rPr>
          <w:rFonts w:ascii="Tahoma" w:eastAsiaTheme="minorHAnsi" w:hAnsi="Tahoma" w:cs="Tahoma"/>
          <w:lang w:eastAsia="en-US"/>
        </w:rPr>
        <w:t>, ve znění pozdějších předpisů,</w:t>
      </w:r>
      <w:r w:rsidRPr="00414666">
        <w:rPr>
          <w:rFonts w:ascii="Tahoma" w:eastAsiaTheme="minorHAnsi" w:hAnsi="Tahoma" w:cs="Tahoma"/>
          <w:lang w:eastAsia="en-US"/>
        </w:rPr>
        <w:t xml:space="preserve"> ve výši 500 tis. Kč</w:t>
      </w:r>
      <w:r w:rsidR="005243C4">
        <w:rPr>
          <w:rFonts w:ascii="Tahoma" w:eastAsiaTheme="minorHAnsi" w:hAnsi="Tahoma" w:cs="Tahoma"/>
          <w:lang w:eastAsia="en-US"/>
        </w:rPr>
        <w:t xml:space="preserve"> </w:t>
      </w:r>
      <w:r w:rsidR="00731D69">
        <w:rPr>
          <w:rFonts w:ascii="Tahoma" w:eastAsiaTheme="minorHAnsi" w:hAnsi="Tahoma" w:cs="Tahoma"/>
          <w:lang w:eastAsia="en-US"/>
        </w:rPr>
        <w:t xml:space="preserve">ročně </w:t>
      </w:r>
      <w:r w:rsidR="005243C4">
        <w:rPr>
          <w:rFonts w:ascii="Tahoma" w:eastAsiaTheme="minorHAnsi" w:hAnsi="Tahoma" w:cs="Tahoma"/>
          <w:lang w:eastAsia="en-US"/>
        </w:rPr>
        <w:t>a p</w:t>
      </w:r>
      <w:r w:rsidRPr="00316668">
        <w:rPr>
          <w:rFonts w:ascii="Tahoma" w:eastAsiaTheme="minorHAnsi" w:hAnsi="Tahoma" w:cs="Tahoma"/>
          <w:lang w:eastAsia="en-US"/>
        </w:rPr>
        <w:t xml:space="preserve">rostředky z Fondu pro financování strategických projektů Moravskoslezského kraje ve výši </w:t>
      </w:r>
      <w:r w:rsidR="0041499F">
        <w:rPr>
          <w:rFonts w:ascii="Tahoma" w:eastAsiaTheme="minorHAnsi" w:hAnsi="Tahoma" w:cs="Tahoma"/>
          <w:lang w:eastAsia="en-US"/>
        </w:rPr>
        <w:t>2.044</w:t>
      </w:r>
      <w:r w:rsidRPr="00316668">
        <w:rPr>
          <w:rFonts w:ascii="Tahoma" w:eastAsiaTheme="minorHAnsi" w:hAnsi="Tahoma" w:cs="Tahoma"/>
          <w:lang w:eastAsia="en-US"/>
        </w:rPr>
        <w:t xml:space="preserve"> mil. Kč</w:t>
      </w:r>
      <w:r w:rsidR="00516DFE" w:rsidRPr="00316668">
        <w:rPr>
          <w:rFonts w:ascii="Tahoma" w:eastAsiaTheme="minorHAnsi" w:hAnsi="Tahoma" w:cs="Tahoma"/>
          <w:lang w:eastAsia="en-US"/>
        </w:rPr>
        <w:t>.</w:t>
      </w:r>
      <w:r>
        <w:rPr>
          <w:rFonts w:ascii="Tahoma" w:eastAsiaTheme="minorHAnsi" w:hAnsi="Tahoma" w:cs="Tahoma"/>
          <w:lang w:eastAsia="en-US"/>
        </w:rPr>
        <w:t xml:space="preserve"> </w:t>
      </w:r>
    </w:p>
    <w:p w14:paraId="1FB8BFCF" w14:textId="77777777" w:rsidR="00A45384" w:rsidRDefault="00A45384" w:rsidP="00A45384">
      <w:pPr>
        <w:jc w:val="both"/>
        <w:rPr>
          <w:rFonts w:ascii="Tahoma" w:eastAsiaTheme="minorHAnsi" w:hAnsi="Tahoma" w:cs="Tahoma"/>
          <w:lang w:eastAsia="en-US"/>
        </w:rPr>
      </w:pPr>
    </w:p>
    <w:p w14:paraId="07276DEA" w14:textId="7AEE8358" w:rsidR="004E3FE3" w:rsidRDefault="003F299D" w:rsidP="00F020C1">
      <w:pPr>
        <w:jc w:val="both"/>
        <w:rPr>
          <w:rFonts w:ascii="Tahoma" w:hAnsi="Tahoma" w:cs="Tahoma"/>
        </w:rPr>
      </w:pPr>
      <w:r>
        <w:rPr>
          <w:rFonts w:ascii="Tahoma" w:eastAsiaTheme="minorHAnsi" w:hAnsi="Tahoma" w:cs="Tahoma"/>
          <w:lang w:eastAsia="en-US"/>
        </w:rPr>
        <w:t xml:space="preserve">U </w:t>
      </w:r>
      <w:r w:rsidR="00A45384" w:rsidRPr="0007225F">
        <w:rPr>
          <w:rFonts w:ascii="Tahoma" w:eastAsiaTheme="minorHAnsi" w:hAnsi="Tahoma" w:cs="Tahoma"/>
          <w:lang w:eastAsia="en-US"/>
        </w:rPr>
        <w:t>Fond</w:t>
      </w:r>
      <w:r w:rsidR="00A45384">
        <w:rPr>
          <w:rFonts w:ascii="Tahoma" w:eastAsiaTheme="minorHAnsi" w:hAnsi="Tahoma" w:cs="Tahoma"/>
          <w:lang w:eastAsia="en-US"/>
        </w:rPr>
        <w:t>u</w:t>
      </w:r>
      <w:r w:rsidR="00A45384" w:rsidRPr="0007225F">
        <w:rPr>
          <w:rFonts w:ascii="Tahoma" w:eastAsiaTheme="minorHAnsi" w:hAnsi="Tahoma" w:cs="Tahoma"/>
          <w:lang w:eastAsia="en-US"/>
        </w:rPr>
        <w:t xml:space="preserve"> finančních zdrojů JESSICA</w:t>
      </w:r>
      <w:r>
        <w:rPr>
          <w:rFonts w:ascii="Tahoma" w:eastAsiaTheme="minorHAnsi" w:hAnsi="Tahoma" w:cs="Tahoma"/>
          <w:lang w:eastAsia="en-US"/>
        </w:rPr>
        <w:t xml:space="preserve"> je počítáno </w:t>
      </w:r>
      <w:r w:rsidR="00C743BB">
        <w:rPr>
          <w:rFonts w:ascii="Tahoma" w:eastAsiaTheme="minorHAnsi" w:hAnsi="Tahoma" w:cs="Tahoma"/>
          <w:lang w:eastAsia="en-US"/>
        </w:rPr>
        <w:t>s</w:t>
      </w:r>
      <w:r>
        <w:rPr>
          <w:rFonts w:ascii="Tahoma" w:eastAsiaTheme="minorHAnsi" w:hAnsi="Tahoma" w:cs="Tahoma"/>
          <w:lang w:eastAsia="en-US"/>
        </w:rPr>
        <w:t xml:space="preserve"> přídělem</w:t>
      </w:r>
      <w:r w:rsidR="00A45384">
        <w:rPr>
          <w:rFonts w:ascii="Tahoma" w:eastAsiaTheme="minorHAnsi" w:hAnsi="Tahoma" w:cs="Tahoma"/>
          <w:lang w:eastAsia="en-US"/>
        </w:rPr>
        <w:t xml:space="preserve"> </w:t>
      </w:r>
      <w:r w:rsidR="00112283">
        <w:rPr>
          <w:rFonts w:ascii="Tahoma" w:eastAsiaTheme="minorHAnsi" w:hAnsi="Tahoma" w:cs="Tahoma"/>
          <w:lang w:eastAsia="en-US"/>
        </w:rPr>
        <w:t xml:space="preserve">ve výši </w:t>
      </w:r>
      <w:r w:rsidR="00F2213E" w:rsidRPr="00FE1AE7">
        <w:rPr>
          <w:rFonts w:ascii="Tahoma" w:eastAsiaTheme="minorHAnsi" w:hAnsi="Tahoma" w:cs="Tahoma"/>
          <w:lang w:eastAsia="en-US"/>
        </w:rPr>
        <w:t>79</w:t>
      </w:r>
      <w:r w:rsidR="00112283" w:rsidRPr="00FE1AE7">
        <w:rPr>
          <w:rFonts w:ascii="Tahoma" w:eastAsiaTheme="minorHAnsi" w:hAnsi="Tahoma" w:cs="Tahoma"/>
          <w:lang w:eastAsia="en-US"/>
        </w:rPr>
        <w:t xml:space="preserve"> mil. Kč</w:t>
      </w:r>
      <w:r w:rsidR="00112283">
        <w:rPr>
          <w:rFonts w:ascii="Tahoma" w:eastAsiaTheme="minorHAnsi" w:hAnsi="Tahoma" w:cs="Tahoma"/>
          <w:lang w:eastAsia="en-US"/>
        </w:rPr>
        <w:t xml:space="preserve"> </w:t>
      </w:r>
      <w:r w:rsidR="00A45384" w:rsidRPr="0007225F">
        <w:rPr>
          <w:rFonts w:ascii="Tahoma" w:eastAsiaTheme="minorHAnsi" w:hAnsi="Tahoma" w:cs="Tahoma"/>
          <w:lang w:eastAsia="en-US"/>
        </w:rPr>
        <w:t>z</w:t>
      </w:r>
      <w:r w:rsidR="00313B53">
        <w:rPr>
          <w:rFonts w:ascii="Tahoma" w:eastAsiaTheme="minorHAnsi" w:hAnsi="Tahoma" w:cs="Tahoma"/>
          <w:lang w:eastAsia="en-US"/>
        </w:rPr>
        <w:t> </w:t>
      </w:r>
      <w:r w:rsidR="00A45384" w:rsidRPr="0007225F">
        <w:rPr>
          <w:rFonts w:ascii="Tahoma" w:eastAsiaTheme="minorHAnsi" w:hAnsi="Tahoma" w:cs="Tahoma"/>
          <w:lang w:eastAsia="en-US"/>
        </w:rPr>
        <w:t xml:space="preserve">vrácených prostředků na základě </w:t>
      </w:r>
      <w:r w:rsidR="00A45384" w:rsidRPr="00F64D19">
        <w:rPr>
          <w:rFonts w:ascii="Tahoma" w:eastAsiaTheme="minorHAnsi" w:hAnsi="Tahoma" w:cs="Tahoma"/>
          <w:lang w:eastAsia="en-US"/>
        </w:rPr>
        <w:t xml:space="preserve">operačních smluv s </w:t>
      </w:r>
      <w:r w:rsidR="00516DFE" w:rsidRPr="00F64D19">
        <w:rPr>
          <w:rFonts w:ascii="Tahoma" w:eastAsiaTheme="minorHAnsi" w:hAnsi="Tahoma" w:cs="Tahoma"/>
          <w:lang w:eastAsia="en-US"/>
        </w:rPr>
        <w:t>f</w:t>
      </w:r>
      <w:r w:rsidR="00A45384" w:rsidRPr="00F64D19">
        <w:rPr>
          <w:rFonts w:ascii="Tahoma" w:eastAsiaTheme="minorHAnsi" w:hAnsi="Tahoma" w:cs="Tahoma"/>
          <w:lang w:eastAsia="en-US"/>
        </w:rPr>
        <w:t>ondy rozvoje měst a ze splátek jistin půjčených prostředků v rámci finančního nástroje JESSICA II</w:t>
      </w:r>
      <w:r w:rsidR="00E75EA1">
        <w:rPr>
          <w:rFonts w:ascii="Tahoma" w:eastAsiaTheme="minorHAnsi" w:hAnsi="Tahoma" w:cs="Tahoma"/>
          <w:lang w:eastAsia="en-US"/>
        </w:rPr>
        <w:t xml:space="preserve"> a III</w:t>
      </w:r>
      <w:r w:rsidR="00F64D19" w:rsidRPr="00F64D19">
        <w:rPr>
          <w:rFonts w:ascii="Tahoma" w:eastAsiaTheme="minorHAnsi" w:hAnsi="Tahoma" w:cs="Tahoma"/>
          <w:lang w:eastAsia="en-US"/>
        </w:rPr>
        <w:t>.</w:t>
      </w:r>
      <w:r w:rsidR="00F64D19">
        <w:rPr>
          <w:rFonts w:ascii="Tahoma" w:eastAsiaTheme="minorHAnsi" w:hAnsi="Tahoma" w:cs="Tahoma"/>
          <w:lang w:eastAsia="en-US"/>
        </w:rPr>
        <w:t xml:space="preserve"> </w:t>
      </w:r>
      <w:r w:rsidR="002D354E" w:rsidRPr="00F020C1">
        <w:rPr>
          <w:rFonts w:ascii="Tahoma" w:hAnsi="Tahoma" w:cs="Tahoma"/>
        </w:rPr>
        <w:t xml:space="preserve">V období výhledu se rovněž </w:t>
      </w:r>
      <w:r w:rsidR="004170E4" w:rsidRPr="00F020C1">
        <w:rPr>
          <w:rFonts w:ascii="Tahoma" w:hAnsi="Tahoma" w:cs="Tahoma"/>
        </w:rPr>
        <w:t>očekává</w:t>
      </w:r>
      <w:r w:rsidR="002D354E" w:rsidRPr="00F020C1">
        <w:rPr>
          <w:rFonts w:ascii="Tahoma" w:hAnsi="Tahoma" w:cs="Tahoma"/>
        </w:rPr>
        <w:t xml:space="preserve"> využití finančních prostředků alokovaných ve Fondu finančních zdrojů JESSICA, a to zejména na podporu projektů rozvoje obcí a měst v Moravskoslezském kraji, který </w:t>
      </w:r>
      <w:r>
        <w:rPr>
          <w:rFonts w:ascii="Tahoma" w:hAnsi="Tahoma" w:cs="Tahoma"/>
        </w:rPr>
        <w:t xml:space="preserve">bude </w:t>
      </w:r>
      <w:r w:rsidR="002D354E" w:rsidRPr="00F020C1">
        <w:rPr>
          <w:rFonts w:ascii="Tahoma" w:hAnsi="Tahoma" w:cs="Tahoma"/>
        </w:rPr>
        <w:t xml:space="preserve">realizován prostřednictvím poskytování </w:t>
      </w:r>
      <w:r w:rsidR="002D354E" w:rsidRPr="00BE317C">
        <w:rPr>
          <w:rFonts w:ascii="Tahoma" w:hAnsi="Tahoma" w:cs="Tahoma"/>
        </w:rPr>
        <w:lastRenderedPageBreak/>
        <w:t>návratných finančních zdrojů JESSICA III v souladu s</w:t>
      </w:r>
      <w:r w:rsidR="007466D0" w:rsidRPr="00BE317C">
        <w:rPr>
          <w:rFonts w:ascii="Tahoma" w:hAnsi="Tahoma" w:cs="Tahoma"/>
        </w:rPr>
        <w:t> </w:t>
      </w:r>
      <w:r w:rsidR="002D354E" w:rsidRPr="00BE317C">
        <w:rPr>
          <w:rFonts w:ascii="Tahoma" w:hAnsi="Tahoma" w:cs="Tahoma"/>
        </w:rPr>
        <w:t xml:space="preserve">Investiční politikou Finančního nástroje JESSICA </w:t>
      </w:r>
      <w:proofErr w:type="spellStart"/>
      <w:r w:rsidR="002D354E" w:rsidRPr="00BE317C">
        <w:rPr>
          <w:rFonts w:ascii="Tahoma" w:hAnsi="Tahoma" w:cs="Tahoma"/>
        </w:rPr>
        <w:t>Moravskoslezsko</w:t>
      </w:r>
      <w:proofErr w:type="spellEnd"/>
      <w:r w:rsidR="002D354E" w:rsidRPr="00BE317C">
        <w:rPr>
          <w:rFonts w:ascii="Tahoma" w:hAnsi="Tahoma" w:cs="Tahoma"/>
        </w:rPr>
        <w:t xml:space="preserve">. </w:t>
      </w:r>
      <w:r w:rsidR="00F020C1" w:rsidRPr="00BE317C">
        <w:rPr>
          <w:rFonts w:ascii="Tahoma" w:hAnsi="Tahoma" w:cs="Tahoma"/>
        </w:rPr>
        <w:t>Finanční prostředky budou do rozpočtu kraje zapojovány až v okamžiku uzavření příslušných úvěrových smluv.</w:t>
      </w:r>
      <w:r w:rsidR="00F020C1" w:rsidRPr="00F020C1">
        <w:rPr>
          <w:rFonts w:ascii="Tahoma" w:hAnsi="Tahoma" w:cs="Tahoma"/>
        </w:rPr>
        <w:t xml:space="preserve"> </w:t>
      </w:r>
      <w:r w:rsidR="00AD75A4">
        <w:rPr>
          <w:rFonts w:ascii="Tahoma" w:hAnsi="Tahoma" w:cs="Tahoma"/>
        </w:rPr>
        <w:t xml:space="preserve">Dále se </w:t>
      </w:r>
      <w:r w:rsidR="009611D1" w:rsidRPr="009611D1">
        <w:rPr>
          <w:rFonts w:ascii="Tahoma" w:hAnsi="Tahoma" w:cs="Tahoma"/>
        </w:rPr>
        <w:t>předpokládá příděl z rozpočtu kraje ve výši 100</w:t>
      </w:r>
      <w:r w:rsidR="00AB4F6D">
        <w:rPr>
          <w:rFonts w:ascii="Tahoma" w:hAnsi="Tahoma" w:cs="Tahoma"/>
        </w:rPr>
        <w:t xml:space="preserve"> mil. Kč</w:t>
      </w:r>
      <w:r w:rsidR="00B60DE1">
        <w:rPr>
          <w:rFonts w:ascii="Tahoma" w:hAnsi="Tahoma" w:cs="Tahoma"/>
        </w:rPr>
        <w:t xml:space="preserve"> roč</w:t>
      </w:r>
      <w:r w:rsidR="00AC0134">
        <w:rPr>
          <w:rFonts w:ascii="Tahoma" w:hAnsi="Tahoma" w:cs="Tahoma"/>
        </w:rPr>
        <w:t xml:space="preserve">ně </w:t>
      </w:r>
      <w:r w:rsidR="00AB4F6D">
        <w:rPr>
          <w:rFonts w:ascii="Tahoma" w:hAnsi="Tahoma" w:cs="Tahoma"/>
        </w:rPr>
        <w:t>v </w:t>
      </w:r>
      <w:r w:rsidR="00AD75A4">
        <w:rPr>
          <w:rFonts w:ascii="Tahoma" w:hAnsi="Tahoma" w:cs="Tahoma"/>
        </w:rPr>
        <w:t>souvislosti</w:t>
      </w:r>
      <w:r w:rsidR="00AB4F6D">
        <w:rPr>
          <w:rFonts w:ascii="Tahoma" w:hAnsi="Tahoma" w:cs="Tahoma"/>
        </w:rPr>
        <w:t xml:space="preserve"> se zamýšleným vyhlášením </w:t>
      </w:r>
      <w:r w:rsidR="009611D1" w:rsidRPr="009611D1">
        <w:rPr>
          <w:rFonts w:ascii="Tahoma" w:hAnsi="Tahoma" w:cs="Tahoma"/>
        </w:rPr>
        <w:t>dotačního programu, kterým budou podpořeny rozvojové investiční projekty obcí spadající do vymezeného území přiléhajícího k průmyslové zóně Mošnov.</w:t>
      </w:r>
    </w:p>
    <w:p w14:paraId="2CA9566B" w14:textId="77777777" w:rsidR="00576C5E" w:rsidRPr="00262647" w:rsidRDefault="00576C5E" w:rsidP="00262647">
      <w:pPr>
        <w:pStyle w:val="Nadpis3"/>
        <w:spacing w:before="360" w:after="180"/>
        <w:rPr>
          <w:rFonts w:ascii="Tahoma" w:hAnsi="Tahoma" w:cs="Tahoma"/>
          <w:b/>
          <w:bCs/>
          <w:sz w:val="24"/>
          <w:szCs w:val="24"/>
        </w:rPr>
      </w:pPr>
      <w:bookmarkStart w:id="6" w:name="_Toc150511316"/>
      <w:r w:rsidRPr="138C1619">
        <w:rPr>
          <w:rFonts w:ascii="Tahoma" w:hAnsi="Tahoma" w:cs="Tahoma"/>
          <w:b/>
          <w:bCs/>
          <w:sz w:val="24"/>
          <w:szCs w:val="24"/>
        </w:rPr>
        <w:t>UKAZATELE ZADLUŽENOSTI KRAJE</w:t>
      </w:r>
      <w:bookmarkEnd w:id="6"/>
    </w:p>
    <w:p w14:paraId="51A73881" w14:textId="77777777" w:rsidR="38CF0A09" w:rsidRPr="00F17673" w:rsidRDefault="38CF0A09" w:rsidP="138C1619">
      <w:pPr>
        <w:jc w:val="both"/>
        <w:rPr>
          <w:rFonts w:ascii="Tahoma" w:hAnsi="Tahoma" w:cs="Tahoma"/>
        </w:rPr>
      </w:pPr>
      <w:r w:rsidRPr="00F17673">
        <w:rPr>
          <w:rFonts w:ascii="Tahoma" w:hAnsi="Tahoma" w:cs="Tahoma"/>
        </w:rPr>
        <w:t xml:space="preserve">Krajem jsou pravidelně sledovány a vyhodnocovány ukazatele zadluženosti podle metodiky ratingové agentury </w:t>
      </w:r>
      <w:proofErr w:type="spellStart"/>
      <w:r w:rsidRPr="00F17673">
        <w:rPr>
          <w:rFonts w:ascii="Tahoma" w:hAnsi="Tahoma" w:cs="Tahoma"/>
        </w:rPr>
        <w:t>Moody´s</w:t>
      </w:r>
      <w:proofErr w:type="spellEnd"/>
      <w:r w:rsidRPr="00F17673">
        <w:rPr>
          <w:rFonts w:ascii="Tahoma" w:hAnsi="Tahoma" w:cs="Tahoma"/>
        </w:rPr>
        <w:t xml:space="preserve"> a podle zákona č. 23/2017 Sb., o pravidlech rozpočtové odpovědnosti.</w:t>
      </w:r>
    </w:p>
    <w:p w14:paraId="0B888CAA" w14:textId="77777777" w:rsidR="138C1619" w:rsidRPr="00F17673" w:rsidRDefault="138C1619" w:rsidP="138C1619">
      <w:pPr>
        <w:jc w:val="both"/>
        <w:rPr>
          <w:rFonts w:ascii="Tahoma" w:hAnsi="Tahoma" w:cs="Tahoma"/>
        </w:rPr>
      </w:pPr>
    </w:p>
    <w:p w14:paraId="0419446F" w14:textId="77777777" w:rsidR="38CF0A09" w:rsidRPr="00F17673" w:rsidRDefault="38CF0A09" w:rsidP="138C1619">
      <w:pPr>
        <w:pStyle w:val="Nadpis4"/>
        <w:rPr>
          <w:rFonts w:ascii="Tahoma" w:hAnsi="Tahoma" w:cs="Tahoma"/>
          <w:sz w:val="24"/>
          <w:szCs w:val="24"/>
        </w:rPr>
      </w:pPr>
      <w:r w:rsidRPr="00F17673">
        <w:rPr>
          <w:rFonts w:ascii="Tahoma" w:hAnsi="Tahoma" w:cs="Tahoma"/>
          <w:sz w:val="24"/>
          <w:szCs w:val="24"/>
        </w:rPr>
        <w:t xml:space="preserve">Ukazatel zadluženosti dle společnosti </w:t>
      </w:r>
      <w:proofErr w:type="spellStart"/>
      <w:r w:rsidRPr="00F17673">
        <w:rPr>
          <w:rFonts w:ascii="Tahoma" w:hAnsi="Tahoma" w:cs="Tahoma"/>
          <w:sz w:val="24"/>
          <w:szCs w:val="24"/>
        </w:rPr>
        <w:t>Moody´s</w:t>
      </w:r>
      <w:proofErr w:type="spellEnd"/>
      <w:r w:rsidRPr="00F17673">
        <w:rPr>
          <w:rFonts w:ascii="Tahoma" w:hAnsi="Tahoma" w:cs="Tahoma"/>
          <w:sz w:val="24"/>
          <w:szCs w:val="24"/>
        </w:rPr>
        <w:t xml:space="preserve"> </w:t>
      </w:r>
      <w:proofErr w:type="spellStart"/>
      <w:r w:rsidRPr="00F17673">
        <w:rPr>
          <w:rFonts w:ascii="Tahoma" w:hAnsi="Tahoma" w:cs="Tahoma"/>
          <w:sz w:val="24"/>
          <w:szCs w:val="24"/>
        </w:rPr>
        <w:t>Investors</w:t>
      </w:r>
      <w:proofErr w:type="spellEnd"/>
      <w:r w:rsidRPr="00F17673">
        <w:rPr>
          <w:rFonts w:ascii="Tahoma" w:hAnsi="Tahoma" w:cs="Tahoma"/>
          <w:sz w:val="24"/>
          <w:szCs w:val="24"/>
        </w:rPr>
        <w:t xml:space="preserve"> </w:t>
      </w:r>
      <w:proofErr w:type="spellStart"/>
      <w:r w:rsidRPr="00F17673">
        <w:rPr>
          <w:rFonts w:ascii="Tahoma" w:hAnsi="Tahoma" w:cs="Tahoma"/>
          <w:sz w:val="24"/>
          <w:szCs w:val="24"/>
        </w:rPr>
        <w:t>Service</w:t>
      </w:r>
      <w:proofErr w:type="spellEnd"/>
    </w:p>
    <w:p w14:paraId="18B570D7" w14:textId="7488FAB1" w:rsidR="38CF0A09" w:rsidRPr="00F17673" w:rsidRDefault="38CF0A09" w:rsidP="138C1619">
      <w:pPr>
        <w:jc w:val="both"/>
        <w:rPr>
          <w:rFonts w:ascii="Tahoma" w:hAnsi="Tahoma" w:cs="Tahoma"/>
        </w:rPr>
      </w:pPr>
      <w:r w:rsidRPr="00F17673">
        <w:rPr>
          <w:rFonts w:ascii="Tahoma" w:hAnsi="Tahoma" w:cs="Tahoma"/>
        </w:rPr>
        <w:t xml:space="preserve">Ukazatel je využíván společností </w:t>
      </w:r>
      <w:proofErr w:type="spellStart"/>
      <w:r w:rsidRPr="00F17673">
        <w:rPr>
          <w:rFonts w:ascii="Tahoma" w:hAnsi="Tahoma" w:cs="Tahoma"/>
        </w:rPr>
        <w:t>Moody´s</w:t>
      </w:r>
      <w:proofErr w:type="spellEnd"/>
      <w:r w:rsidRPr="00F17673">
        <w:rPr>
          <w:rFonts w:ascii="Tahoma" w:hAnsi="Tahoma" w:cs="Tahoma"/>
        </w:rPr>
        <w:t xml:space="preserve"> při přehodnocování mezinárodního ratingu kraje. Je vyjádřen jako podíl dluhu (tj. hodnota všech ve skutečnosti krajem načerpaných a nesplacených úvěrů) k provozním příjmům kraje (tj. příjmům daňovým, nedaňovým a neinvestičním dotacím). Pro udržení ratingu kraje na současné úrovni A1 se stabilním výhledem je zástupci této společnosti doporučováno dlouhodobě nepřekročit hodnotu 20 %. </w:t>
      </w:r>
    </w:p>
    <w:p w14:paraId="5EA384E5" w14:textId="77777777" w:rsidR="138C1619" w:rsidRPr="00F17673" w:rsidRDefault="138C1619" w:rsidP="138C1619">
      <w:pPr>
        <w:jc w:val="both"/>
        <w:rPr>
          <w:rFonts w:ascii="Tahoma" w:hAnsi="Tahoma" w:cs="Tahoma"/>
        </w:rPr>
      </w:pPr>
    </w:p>
    <w:p w14:paraId="6C4FFBB6" w14:textId="5D96B120" w:rsidR="38CF0A09" w:rsidRPr="00F17673" w:rsidRDefault="38CF0A09" w:rsidP="0C9A6244">
      <w:pPr>
        <w:jc w:val="both"/>
        <w:rPr>
          <w:rFonts w:ascii="Tahoma" w:hAnsi="Tahoma" w:cs="Tahoma"/>
        </w:rPr>
      </w:pPr>
      <w:r w:rsidRPr="00F17673">
        <w:rPr>
          <w:rFonts w:ascii="Tahoma" w:hAnsi="Tahoma" w:cs="Tahoma"/>
        </w:rPr>
        <w:t>V období výhledu by hodnota tohoto ukazatele neměla překročit hodnotu 1</w:t>
      </w:r>
      <w:r w:rsidR="36989162" w:rsidRPr="00F17673">
        <w:rPr>
          <w:rFonts w:ascii="Tahoma" w:hAnsi="Tahoma" w:cs="Tahoma"/>
        </w:rPr>
        <w:t>3</w:t>
      </w:r>
      <w:r w:rsidRPr="00F17673">
        <w:rPr>
          <w:rFonts w:ascii="Tahoma" w:hAnsi="Tahoma" w:cs="Tahoma"/>
        </w:rPr>
        <w:t xml:space="preserve"> %.</w:t>
      </w:r>
    </w:p>
    <w:p w14:paraId="65E42F6E" w14:textId="77777777" w:rsidR="138C1619" w:rsidRPr="00F17673" w:rsidRDefault="138C1619" w:rsidP="138C1619">
      <w:pPr>
        <w:jc w:val="both"/>
        <w:rPr>
          <w:rFonts w:ascii="Tahoma" w:hAnsi="Tahoma" w:cs="Tahoma"/>
        </w:rPr>
      </w:pPr>
    </w:p>
    <w:p w14:paraId="7CDDAC55" w14:textId="67433217" w:rsidR="38CF0A09" w:rsidRPr="00F17673" w:rsidRDefault="38CF0A09" w:rsidP="138C1619">
      <w:pPr>
        <w:pStyle w:val="Nadpis4"/>
        <w:rPr>
          <w:rFonts w:ascii="Tahoma" w:hAnsi="Tahoma" w:cs="Tahoma"/>
          <w:sz w:val="24"/>
          <w:szCs w:val="24"/>
        </w:rPr>
      </w:pPr>
      <w:r w:rsidRPr="00F17673">
        <w:rPr>
          <w:rFonts w:ascii="Tahoma" w:hAnsi="Tahoma" w:cs="Tahoma"/>
          <w:sz w:val="24"/>
          <w:szCs w:val="24"/>
        </w:rPr>
        <w:t>Fiskální pravidlo dle zákona č. 23/2017 Sb., o pravidlech rozpočtové odpovědnosti</w:t>
      </w:r>
    </w:p>
    <w:p w14:paraId="19C2E90E" w14:textId="158038C3" w:rsidR="38CF0A09" w:rsidRPr="00F17673" w:rsidRDefault="38CF0A09" w:rsidP="138C1619">
      <w:pPr>
        <w:jc w:val="both"/>
        <w:rPr>
          <w:rFonts w:ascii="Tahoma" w:hAnsi="Tahoma" w:cs="Tahoma"/>
        </w:rPr>
      </w:pPr>
      <w:r w:rsidRPr="00F17673">
        <w:rPr>
          <w:rFonts w:ascii="Tahoma" w:hAnsi="Tahoma" w:cs="Tahoma"/>
        </w:rPr>
        <w:t xml:space="preserve">Dle zákona kraj </w:t>
      </w:r>
      <w:proofErr w:type="gramStart"/>
      <w:r w:rsidRPr="00F17673">
        <w:rPr>
          <w:rFonts w:ascii="Tahoma" w:hAnsi="Tahoma" w:cs="Tahoma"/>
        </w:rPr>
        <w:t>hospodaří</w:t>
      </w:r>
      <w:proofErr w:type="gramEnd"/>
      <w:r w:rsidRPr="00F17673">
        <w:rPr>
          <w:rFonts w:ascii="Tahoma" w:hAnsi="Tahoma" w:cs="Tahoma"/>
        </w:rPr>
        <w:t xml:space="preserve"> v zájmu zdravých a udržitelných veřejných financí tak, aby výše jeho dluhu nepřekročila k rozvahovému dni 60 % průměru jeho příjmů za poslední 4 rozpočtové roky. </w:t>
      </w:r>
      <w:proofErr w:type="gramStart"/>
      <w:r w:rsidRPr="00F17673">
        <w:rPr>
          <w:rFonts w:ascii="Tahoma" w:hAnsi="Tahoma" w:cs="Tahoma"/>
        </w:rPr>
        <w:t>Překročí</w:t>
      </w:r>
      <w:proofErr w:type="gramEnd"/>
      <w:r w:rsidRPr="00F17673">
        <w:rPr>
          <w:rFonts w:ascii="Tahoma" w:hAnsi="Tahoma" w:cs="Tahoma"/>
        </w:rPr>
        <w:t xml:space="preserve">-li dluh kraje k rozvahovému dni 60 % průměru jeho příjmů za poslední 4 rozpočtové roky, je kraj povinen jej v následujícím kalendářním roce snížit nejméně o 5 % z rozdílu mezi výší svého dluhu a 60 % průměru svých příjmů za poslední 4 rozpočtové roky. </w:t>
      </w:r>
      <w:proofErr w:type="gramStart"/>
      <w:r w:rsidRPr="00F17673">
        <w:rPr>
          <w:rFonts w:ascii="Tahoma" w:hAnsi="Tahoma" w:cs="Tahoma"/>
        </w:rPr>
        <w:t>Nesníží</w:t>
      </w:r>
      <w:proofErr w:type="gramEnd"/>
      <w:r w:rsidRPr="00F17673">
        <w:rPr>
          <w:rFonts w:ascii="Tahoma" w:hAnsi="Tahoma" w:cs="Tahoma"/>
        </w:rPr>
        <w:t>-li svůj dluh a jeho dluh k následujícímu rozvahovému dni převyšuje 60 % průměru jeho příjmů za poslední 4 rozpočtové roky,</w:t>
      </w:r>
      <w:r w:rsidRPr="00637038">
        <w:rPr>
          <w:rFonts w:ascii="Tahoma" w:hAnsi="Tahoma" w:cs="Tahoma"/>
          <w:i/>
          <w:iCs/>
        </w:rPr>
        <w:t xml:space="preserve"> </w:t>
      </w:r>
      <w:r w:rsidRPr="00F17673">
        <w:rPr>
          <w:rFonts w:ascii="Tahoma" w:hAnsi="Tahoma" w:cs="Tahoma"/>
        </w:rPr>
        <w:t xml:space="preserve">Ministerstvo financí v následujícím kalendářním roce rozhodne podle zákona o rozpočtovém určení daní o pozastavení převodu jeho podílu na výnosu daní. </w:t>
      </w:r>
    </w:p>
    <w:p w14:paraId="4392B9FE" w14:textId="77777777" w:rsidR="138C1619" w:rsidRPr="00F17673" w:rsidRDefault="138C1619" w:rsidP="138C1619">
      <w:pPr>
        <w:jc w:val="both"/>
        <w:rPr>
          <w:rFonts w:ascii="Tahoma" w:hAnsi="Tahoma" w:cs="Tahoma"/>
        </w:rPr>
      </w:pPr>
    </w:p>
    <w:p w14:paraId="01343DD1" w14:textId="74C0E75C" w:rsidR="38CF0A09" w:rsidRPr="00F17673" w:rsidRDefault="38CF0A09" w:rsidP="138C1619">
      <w:pPr>
        <w:jc w:val="both"/>
        <w:rPr>
          <w:rFonts w:ascii="Tahoma" w:hAnsi="Tahoma" w:cs="Tahoma"/>
        </w:rPr>
      </w:pPr>
      <w:r w:rsidRPr="00F17673">
        <w:rPr>
          <w:rFonts w:ascii="Tahoma" w:hAnsi="Tahoma" w:cs="Tahoma"/>
        </w:rPr>
        <w:t xml:space="preserve">Výpočet u tohoto pravidla je tedy obdobný jako u ukazatele zadluženosti dle </w:t>
      </w:r>
      <w:proofErr w:type="spellStart"/>
      <w:r w:rsidRPr="00F17673">
        <w:rPr>
          <w:rFonts w:ascii="Tahoma" w:hAnsi="Tahoma" w:cs="Tahoma"/>
        </w:rPr>
        <w:t>Moody´s</w:t>
      </w:r>
      <w:proofErr w:type="spellEnd"/>
      <w:r w:rsidRPr="00F17673">
        <w:rPr>
          <w:rFonts w:ascii="Tahoma" w:hAnsi="Tahoma" w:cs="Tahoma"/>
        </w:rPr>
        <w:t>, pouze celkový dluh porovnává k průměru všech příjmů kraje za poslední 4 rozpočtové roky.</w:t>
      </w:r>
    </w:p>
    <w:p w14:paraId="5E9A2C88" w14:textId="77777777" w:rsidR="138C1619" w:rsidRPr="00F17673" w:rsidRDefault="138C1619" w:rsidP="138C1619">
      <w:pPr>
        <w:jc w:val="both"/>
        <w:rPr>
          <w:rFonts w:ascii="Tahoma" w:hAnsi="Tahoma" w:cs="Tahoma"/>
        </w:rPr>
      </w:pPr>
    </w:p>
    <w:p w14:paraId="133253D7" w14:textId="6AE52EE2" w:rsidR="38CF0A09" w:rsidRPr="00F17673" w:rsidRDefault="38CF0A09" w:rsidP="0C9A6244">
      <w:pPr>
        <w:jc w:val="both"/>
        <w:rPr>
          <w:rFonts w:ascii="Tahoma" w:hAnsi="Tahoma" w:cs="Tahoma"/>
        </w:rPr>
      </w:pPr>
      <w:r w:rsidRPr="00F17673">
        <w:rPr>
          <w:rFonts w:ascii="Tahoma" w:hAnsi="Tahoma" w:cs="Tahoma"/>
        </w:rPr>
        <w:t>V období výhledu by hodnota tohoto ukazatele rovněž neměla překročit hodnotu 1</w:t>
      </w:r>
      <w:r w:rsidR="7F344D22" w:rsidRPr="00F17673">
        <w:rPr>
          <w:rFonts w:ascii="Tahoma" w:hAnsi="Tahoma" w:cs="Tahoma"/>
        </w:rPr>
        <w:t>3</w:t>
      </w:r>
      <w:r w:rsidRPr="00F17673">
        <w:rPr>
          <w:rFonts w:ascii="Tahoma" w:hAnsi="Tahoma" w:cs="Tahoma"/>
        </w:rPr>
        <w:t xml:space="preserve"> %. </w:t>
      </w:r>
    </w:p>
    <w:p w14:paraId="451009FE" w14:textId="77777777" w:rsidR="138C1619" w:rsidRPr="00F17673" w:rsidRDefault="138C1619" w:rsidP="138C1619">
      <w:pPr>
        <w:jc w:val="both"/>
        <w:rPr>
          <w:rFonts w:ascii="Tahoma" w:hAnsi="Tahoma" w:cs="Tahoma"/>
        </w:rPr>
      </w:pPr>
    </w:p>
    <w:p w14:paraId="34985A21" w14:textId="24BB2925" w:rsidR="38CF0A09" w:rsidRPr="00F17673" w:rsidRDefault="38CF0A09" w:rsidP="138C1619">
      <w:pPr>
        <w:jc w:val="both"/>
        <w:rPr>
          <w:rFonts w:ascii="Tahoma" w:hAnsi="Tahoma" w:cs="Tahoma"/>
        </w:rPr>
      </w:pPr>
      <w:r w:rsidRPr="00F17673">
        <w:rPr>
          <w:rFonts w:ascii="Tahoma" w:hAnsi="Tahoma" w:cs="Tahoma"/>
        </w:rPr>
        <w:t>Vývoj hodnot výše zmíněných ukazatelů je uveden v tabulce č. </w:t>
      </w:r>
      <w:r w:rsidR="004F19E7">
        <w:rPr>
          <w:rFonts w:ascii="Tahoma" w:hAnsi="Tahoma" w:cs="Tahoma"/>
        </w:rPr>
        <w:t>8</w:t>
      </w:r>
      <w:r w:rsidRPr="00F17673">
        <w:rPr>
          <w:rFonts w:ascii="Tahoma" w:hAnsi="Tahoma" w:cs="Tahoma"/>
        </w:rPr>
        <w:t xml:space="preserve"> (tabulková část výhledu). V následujícím grafu č. 12 je pak zobrazen očekávaný vývoj celkového objemu nesplacených úvěrů v období výhledu. </w:t>
      </w:r>
    </w:p>
    <w:p w14:paraId="3EBB6902" w14:textId="43FAF590" w:rsidR="00323A0A" w:rsidRDefault="00323A0A">
      <w:pPr>
        <w:rPr>
          <w:rFonts w:ascii="Tahoma" w:hAnsi="Tahoma" w:cs="Tahoma"/>
          <w:sz w:val="16"/>
          <w:szCs w:val="16"/>
        </w:rPr>
      </w:pPr>
      <w:r>
        <w:rPr>
          <w:rFonts w:ascii="Tahoma" w:hAnsi="Tahoma" w:cs="Tahoma"/>
          <w:sz w:val="16"/>
          <w:szCs w:val="16"/>
        </w:rPr>
        <w:br w:type="page"/>
      </w:r>
    </w:p>
    <w:p w14:paraId="3632027A" w14:textId="36B84A38" w:rsidR="38CF0A09" w:rsidRPr="00863D27" w:rsidRDefault="38CF0A09" w:rsidP="138C1619">
      <w:pPr>
        <w:rPr>
          <w:rFonts w:ascii="Tahoma" w:hAnsi="Tahoma" w:cs="Tahoma"/>
          <w:sz w:val="16"/>
          <w:szCs w:val="16"/>
        </w:rPr>
      </w:pPr>
      <w:r w:rsidRPr="00863D27">
        <w:rPr>
          <w:rFonts w:ascii="Tahoma" w:hAnsi="Tahoma" w:cs="Tahoma"/>
          <w:sz w:val="16"/>
          <w:szCs w:val="16"/>
        </w:rPr>
        <w:lastRenderedPageBreak/>
        <w:t>Graf č. 12 Vývoj celkového objemu nesplacených úvěrů Moravskoslezského kraje v letech 2024–2027 (v mil. Kč)</w:t>
      </w:r>
    </w:p>
    <w:p w14:paraId="289202FA" w14:textId="4C96BC6F" w:rsidR="5BC4A684" w:rsidRPr="00863D27" w:rsidRDefault="5BC4A684" w:rsidP="5BC4A684">
      <w:pPr>
        <w:rPr>
          <w:rFonts w:ascii="Tahoma" w:hAnsi="Tahoma" w:cs="Tahoma"/>
          <w:sz w:val="16"/>
          <w:szCs w:val="16"/>
          <w:highlight w:val="green"/>
        </w:rPr>
      </w:pPr>
    </w:p>
    <w:p w14:paraId="567C0529" w14:textId="20454CCB" w:rsidR="180DF9AC" w:rsidRDefault="00863D27" w:rsidP="5BC4A684">
      <w:r>
        <w:rPr>
          <w:noProof/>
        </w:rPr>
        <w:drawing>
          <wp:inline distT="0" distB="0" distL="0" distR="0" wp14:anchorId="710B13BB" wp14:editId="4830CD58">
            <wp:extent cx="3774559" cy="2482046"/>
            <wp:effectExtent l="0" t="0" r="0" b="0"/>
            <wp:docPr id="194312937" name="Obrázek 19431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85039" cy="2488937"/>
                    </a:xfrm>
                    <a:prstGeom prst="rect">
                      <a:avLst/>
                    </a:prstGeom>
                    <a:noFill/>
                  </pic:spPr>
                </pic:pic>
              </a:graphicData>
            </a:graphic>
          </wp:inline>
        </w:drawing>
      </w:r>
    </w:p>
    <w:p w14:paraId="64293B4E" w14:textId="7B44EF79" w:rsidR="138C1619" w:rsidRDefault="138C1619" w:rsidP="138C1619">
      <w:pPr>
        <w:rPr>
          <w:rFonts w:ascii="Tahoma" w:hAnsi="Tahoma" w:cs="Tahoma"/>
          <w:i/>
          <w:iCs/>
          <w:sz w:val="16"/>
          <w:szCs w:val="16"/>
          <w:highlight w:val="green"/>
        </w:rPr>
      </w:pPr>
    </w:p>
    <w:p w14:paraId="0190FAB9" w14:textId="3C98FEA9" w:rsidR="42313E70" w:rsidRDefault="42313E70" w:rsidP="138C1619"/>
    <w:p w14:paraId="79E65AAE" w14:textId="77777777" w:rsidR="008E7B37" w:rsidRPr="00262647" w:rsidRDefault="008E7B37" w:rsidP="00262647">
      <w:pPr>
        <w:pStyle w:val="Nadpis3"/>
        <w:spacing w:before="360" w:after="180"/>
        <w:rPr>
          <w:rFonts w:ascii="Tahoma" w:hAnsi="Tahoma" w:cs="Tahoma"/>
          <w:b/>
          <w:bCs/>
          <w:sz w:val="24"/>
          <w:szCs w:val="24"/>
        </w:rPr>
      </w:pPr>
      <w:bookmarkStart w:id="7" w:name="_Toc150511317"/>
      <w:r w:rsidRPr="00262647">
        <w:rPr>
          <w:rFonts w:ascii="Tahoma" w:hAnsi="Tahoma" w:cs="Tahoma"/>
          <w:b/>
          <w:bCs/>
          <w:sz w:val="24"/>
          <w:szCs w:val="24"/>
        </w:rPr>
        <w:t>Závěr</w:t>
      </w:r>
      <w:bookmarkEnd w:id="7"/>
    </w:p>
    <w:p w14:paraId="79E65AAF" w14:textId="4451F2E9" w:rsidR="005B4ADD" w:rsidRDefault="00A53074" w:rsidP="00082F8F">
      <w:pPr>
        <w:pStyle w:val="Zkladntextodsazen1"/>
        <w:ind w:left="0" w:firstLine="0"/>
        <w:rPr>
          <w:rFonts w:ascii="Tahoma" w:hAnsi="Tahoma" w:cs="Tahoma"/>
          <w:sz w:val="24"/>
          <w:szCs w:val="24"/>
        </w:rPr>
      </w:pPr>
      <w:r w:rsidRPr="00826D55">
        <w:rPr>
          <w:rFonts w:ascii="Tahoma" w:hAnsi="Tahoma" w:cs="Tahoma"/>
          <w:sz w:val="24"/>
          <w:szCs w:val="24"/>
        </w:rPr>
        <w:t>V</w:t>
      </w:r>
      <w:r w:rsidR="008E7B37" w:rsidRPr="00826D55">
        <w:rPr>
          <w:rFonts w:ascii="Tahoma" w:hAnsi="Tahoma" w:cs="Tahoma"/>
          <w:sz w:val="24"/>
          <w:szCs w:val="24"/>
        </w:rPr>
        <w:t>ýhled kraje nastiňuje pouze předpokládaný vývoj příjmů a základních výdaj</w:t>
      </w:r>
      <w:r w:rsidR="004F506C" w:rsidRPr="00826D55">
        <w:rPr>
          <w:rFonts w:ascii="Tahoma" w:hAnsi="Tahoma" w:cs="Tahoma"/>
          <w:sz w:val="24"/>
          <w:szCs w:val="24"/>
        </w:rPr>
        <w:t>ů v</w:t>
      </w:r>
      <w:r w:rsidR="008E7B37" w:rsidRPr="00826D55">
        <w:rPr>
          <w:rFonts w:ascii="Tahoma" w:hAnsi="Tahoma" w:cs="Tahoma"/>
          <w:sz w:val="24"/>
          <w:szCs w:val="24"/>
        </w:rPr>
        <w:t xml:space="preserve"> daných odvětvích v letech </w:t>
      </w:r>
      <w:r w:rsidR="008E7B37" w:rsidRPr="005B4ADD">
        <w:rPr>
          <w:rFonts w:ascii="Tahoma" w:hAnsi="Tahoma" w:cs="Tahoma"/>
          <w:sz w:val="24"/>
          <w:szCs w:val="24"/>
        </w:rPr>
        <w:t>20</w:t>
      </w:r>
      <w:r w:rsidR="00F35D49" w:rsidRPr="005B4ADD">
        <w:rPr>
          <w:rFonts w:ascii="Tahoma" w:hAnsi="Tahoma" w:cs="Tahoma"/>
          <w:sz w:val="24"/>
          <w:szCs w:val="24"/>
        </w:rPr>
        <w:t>2</w:t>
      </w:r>
      <w:r w:rsidR="00B64DD6">
        <w:rPr>
          <w:rFonts w:ascii="Tahoma" w:hAnsi="Tahoma" w:cs="Tahoma"/>
          <w:sz w:val="24"/>
          <w:szCs w:val="24"/>
        </w:rPr>
        <w:t>5</w:t>
      </w:r>
      <w:r w:rsidR="00B32B02" w:rsidRPr="005B28F4">
        <w:rPr>
          <w:rFonts w:ascii="Tahoma" w:hAnsi="Tahoma" w:cs="Tahoma"/>
          <w:sz w:val="24"/>
          <w:szCs w:val="24"/>
        </w:rPr>
        <w:t>–</w:t>
      </w:r>
      <w:r w:rsidR="008E7B37" w:rsidRPr="005B4ADD">
        <w:rPr>
          <w:rFonts w:ascii="Tahoma" w:hAnsi="Tahoma" w:cs="Tahoma"/>
          <w:sz w:val="24"/>
          <w:szCs w:val="24"/>
        </w:rPr>
        <w:t>20</w:t>
      </w:r>
      <w:r w:rsidR="00FF2B13" w:rsidRPr="005B4ADD">
        <w:rPr>
          <w:rFonts w:ascii="Tahoma" w:hAnsi="Tahoma" w:cs="Tahoma"/>
          <w:sz w:val="24"/>
          <w:szCs w:val="24"/>
        </w:rPr>
        <w:t>2</w:t>
      </w:r>
      <w:r w:rsidR="00B64DD6">
        <w:rPr>
          <w:rFonts w:ascii="Tahoma" w:hAnsi="Tahoma" w:cs="Tahoma"/>
          <w:sz w:val="24"/>
          <w:szCs w:val="24"/>
        </w:rPr>
        <w:t>7</w:t>
      </w:r>
      <w:r w:rsidR="008E7B37" w:rsidRPr="005B4ADD">
        <w:rPr>
          <w:rFonts w:ascii="Tahoma" w:hAnsi="Tahoma" w:cs="Tahoma"/>
          <w:sz w:val="24"/>
          <w:szCs w:val="24"/>
        </w:rPr>
        <w:t xml:space="preserve">. Konkrétněji se zabývá pouze financováním </w:t>
      </w:r>
      <w:r w:rsidR="00FF2B13" w:rsidRPr="005B4ADD">
        <w:rPr>
          <w:rFonts w:ascii="Tahoma" w:hAnsi="Tahoma" w:cs="Tahoma"/>
          <w:sz w:val="24"/>
          <w:szCs w:val="24"/>
        </w:rPr>
        <w:t xml:space="preserve">významných </w:t>
      </w:r>
      <w:r w:rsidR="008E7B37" w:rsidRPr="005B4ADD">
        <w:rPr>
          <w:rFonts w:ascii="Tahoma" w:hAnsi="Tahoma" w:cs="Tahoma"/>
          <w:sz w:val="24"/>
          <w:szCs w:val="24"/>
        </w:rPr>
        <w:t>akcí, které mají již schválený závazek</w:t>
      </w:r>
      <w:r w:rsidR="007B45C1" w:rsidRPr="005B4ADD">
        <w:rPr>
          <w:rFonts w:ascii="Tahoma" w:hAnsi="Tahoma" w:cs="Tahoma"/>
          <w:sz w:val="24"/>
          <w:szCs w:val="24"/>
        </w:rPr>
        <w:t xml:space="preserve"> zastupitelstvem kraje</w:t>
      </w:r>
      <w:r w:rsidR="008E7B37" w:rsidRPr="005B4ADD">
        <w:rPr>
          <w:rFonts w:ascii="Tahoma" w:hAnsi="Tahoma" w:cs="Tahoma"/>
          <w:sz w:val="24"/>
          <w:szCs w:val="24"/>
        </w:rPr>
        <w:t xml:space="preserve">. </w:t>
      </w:r>
      <w:r w:rsidR="005B4ADD" w:rsidRPr="004A74DE">
        <w:rPr>
          <w:rFonts w:ascii="Tahoma" w:hAnsi="Tahoma" w:cs="Tahoma"/>
          <w:sz w:val="24"/>
          <w:szCs w:val="24"/>
        </w:rPr>
        <w:t xml:space="preserve">Zásadní vliv na </w:t>
      </w:r>
      <w:r w:rsidR="008C11CC" w:rsidRPr="004A74DE">
        <w:rPr>
          <w:rFonts w:ascii="Tahoma" w:hAnsi="Tahoma" w:cs="Tahoma"/>
          <w:sz w:val="24"/>
          <w:szCs w:val="24"/>
        </w:rPr>
        <w:t>rozpočt</w:t>
      </w:r>
      <w:r w:rsidR="005B4ADD" w:rsidRPr="004A74DE">
        <w:rPr>
          <w:rFonts w:ascii="Tahoma" w:hAnsi="Tahoma" w:cs="Tahoma"/>
          <w:sz w:val="24"/>
          <w:szCs w:val="24"/>
        </w:rPr>
        <w:t xml:space="preserve">y </w:t>
      </w:r>
      <w:r w:rsidR="008C11CC" w:rsidRPr="004A74DE">
        <w:rPr>
          <w:rFonts w:ascii="Tahoma" w:hAnsi="Tahoma" w:cs="Tahoma"/>
          <w:sz w:val="24"/>
          <w:szCs w:val="24"/>
        </w:rPr>
        <w:t>v</w:t>
      </w:r>
      <w:r w:rsidR="00157DCB">
        <w:rPr>
          <w:rFonts w:ascii="Tahoma" w:hAnsi="Tahoma" w:cs="Tahoma"/>
          <w:sz w:val="24"/>
          <w:szCs w:val="24"/>
        </w:rPr>
        <w:t xml:space="preserve"> jednotlivých </w:t>
      </w:r>
      <w:r w:rsidR="008C11CC" w:rsidRPr="004A74DE">
        <w:rPr>
          <w:rFonts w:ascii="Tahoma" w:hAnsi="Tahoma" w:cs="Tahoma"/>
          <w:sz w:val="24"/>
          <w:szCs w:val="24"/>
        </w:rPr>
        <w:t xml:space="preserve">letech </w:t>
      </w:r>
      <w:r w:rsidR="005B4ADD" w:rsidRPr="004A74DE">
        <w:rPr>
          <w:rFonts w:ascii="Tahoma" w:hAnsi="Tahoma" w:cs="Tahoma"/>
          <w:sz w:val="24"/>
          <w:szCs w:val="24"/>
        </w:rPr>
        <w:t xml:space="preserve">bude mít </w:t>
      </w:r>
      <w:r w:rsidR="00942441">
        <w:rPr>
          <w:rFonts w:ascii="Tahoma" w:hAnsi="Tahoma" w:cs="Tahoma"/>
          <w:sz w:val="24"/>
          <w:szCs w:val="24"/>
        </w:rPr>
        <w:t xml:space="preserve">očekávaný vývoj ekonomiky a </w:t>
      </w:r>
      <w:r w:rsidR="00656EEC">
        <w:rPr>
          <w:rFonts w:ascii="Tahoma" w:hAnsi="Tahoma" w:cs="Tahoma"/>
          <w:sz w:val="24"/>
          <w:szCs w:val="24"/>
        </w:rPr>
        <w:t xml:space="preserve">další možnosti </w:t>
      </w:r>
      <w:r w:rsidR="004F506C" w:rsidRPr="004A74DE">
        <w:rPr>
          <w:rFonts w:ascii="Tahoma" w:hAnsi="Tahoma" w:cs="Tahoma"/>
          <w:sz w:val="24"/>
          <w:szCs w:val="24"/>
        </w:rPr>
        <w:t>programov</w:t>
      </w:r>
      <w:r w:rsidR="005B4ADD" w:rsidRPr="004A74DE">
        <w:rPr>
          <w:rFonts w:ascii="Tahoma" w:hAnsi="Tahoma" w:cs="Tahoma"/>
          <w:sz w:val="24"/>
          <w:szCs w:val="24"/>
        </w:rPr>
        <w:t>é</w:t>
      </w:r>
      <w:r w:rsidR="003F299D">
        <w:rPr>
          <w:rFonts w:ascii="Tahoma" w:hAnsi="Tahoma" w:cs="Tahoma"/>
          <w:sz w:val="24"/>
          <w:szCs w:val="24"/>
        </w:rPr>
        <w:t>ho</w:t>
      </w:r>
      <w:r w:rsidR="004F506C" w:rsidRPr="004A74DE">
        <w:rPr>
          <w:rFonts w:ascii="Tahoma" w:hAnsi="Tahoma" w:cs="Tahoma"/>
          <w:sz w:val="24"/>
          <w:szCs w:val="24"/>
        </w:rPr>
        <w:t xml:space="preserve"> </w:t>
      </w:r>
      <w:r w:rsidR="00E831DB" w:rsidRPr="004A74DE">
        <w:rPr>
          <w:rFonts w:ascii="Tahoma" w:hAnsi="Tahoma" w:cs="Tahoma"/>
          <w:sz w:val="24"/>
          <w:szCs w:val="24"/>
        </w:rPr>
        <w:t>období 20</w:t>
      </w:r>
      <w:r w:rsidR="005B4ADD" w:rsidRPr="004A74DE">
        <w:rPr>
          <w:rFonts w:ascii="Tahoma" w:hAnsi="Tahoma" w:cs="Tahoma"/>
          <w:sz w:val="24"/>
          <w:szCs w:val="24"/>
        </w:rPr>
        <w:t>21</w:t>
      </w:r>
      <w:r w:rsidR="00B32B02" w:rsidRPr="005B28F4">
        <w:rPr>
          <w:rFonts w:ascii="Tahoma" w:hAnsi="Tahoma" w:cs="Tahoma"/>
          <w:sz w:val="24"/>
          <w:szCs w:val="24"/>
        </w:rPr>
        <w:t>–</w:t>
      </w:r>
      <w:r w:rsidR="00E831DB" w:rsidRPr="004A74DE">
        <w:rPr>
          <w:rFonts w:ascii="Tahoma" w:hAnsi="Tahoma" w:cs="Tahoma"/>
          <w:sz w:val="24"/>
          <w:szCs w:val="24"/>
        </w:rPr>
        <w:t>202</w:t>
      </w:r>
      <w:r w:rsidR="005B4ADD" w:rsidRPr="004A74DE">
        <w:rPr>
          <w:rFonts w:ascii="Tahoma" w:hAnsi="Tahoma" w:cs="Tahoma"/>
          <w:sz w:val="24"/>
          <w:szCs w:val="24"/>
        </w:rPr>
        <w:t>7.</w:t>
      </w:r>
    </w:p>
    <w:p w14:paraId="79E65AB0" w14:textId="77777777" w:rsidR="00F35D49" w:rsidRPr="00826D55" w:rsidRDefault="00F35D49" w:rsidP="00082F8F">
      <w:pPr>
        <w:pStyle w:val="Zkladntextodsazen1"/>
        <w:ind w:left="0" w:firstLine="0"/>
        <w:rPr>
          <w:rFonts w:ascii="Tahoma" w:hAnsi="Tahoma" w:cs="Tahoma"/>
          <w:sz w:val="24"/>
          <w:szCs w:val="24"/>
        </w:rPr>
      </w:pPr>
    </w:p>
    <w:p w14:paraId="79E65AB1" w14:textId="29A46533" w:rsidR="006C06E5" w:rsidRPr="00826D55" w:rsidRDefault="00E831DB">
      <w:pPr>
        <w:pStyle w:val="Zkladntext"/>
        <w:rPr>
          <w:rFonts w:ascii="Tahoma" w:hAnsi="Tahoma" w:cs="Tahoma"/>
          <w:sz w:val="24"/>
          <w:szCs w:val="24"/>
        </w:rPr>
      </w:pPr>
      <w:r w:rsidRPr="00826D55">
        <w:rPr>
          <w:rFonts w:ascii="Tahoma" w:hAnsi="Tahoma" w:cs="Tahoma"/>
          <w:sz w:val="24"/>
          <w:szCs w:val="24"/>
        </w:rPr>
        <w:t>T</w:t>
      </w:r>
      <w:r w:rsidR="008E7B37" w:rsidRPr="00826D55">
        <w:rPr>
          <w:rFonts w:ascii="Tahoma" w:hAnsi="Tahoma" w:cs="Tahoma"/>
          <w:sz w:val="24"/>
          <w:szCs w:val="24"/>
        </w:rPr>
        <w:t>ento výhled bude využit při sestavování ročních rozpočtů</w:t>
      </w:r>
      <w:r w:rsidR="00663E11">
        <w:rPr>
          <w:rFonts w:ascii="Tahoma" w:hAnsi="Tahoma" w:cs="Tahoma"/>
          <w:sz w:val="24"/>
          <w:szCs w:val="24"/>
        </w:rPr>
        <w:t>.</w:t>
      </w:r>
      <w:r w:rsidR="008E7B37" w:rsidRPr="00826D55">
        <w:rPr>
          <w:rFonts w:ascii="Tahoma" w:hAnsi="Tahoma" w:cs="Tahoma"/>
          <w:sz w:val="24"/>
          <w:szCs w:val="24"/>
        </w:rPr>
        <w:t xml:space="preserve"> </w:t>
      </w:r>
    </w:p>
    <w:sectPr w:rsidR="006C06E5" w:rsidRPr="00826D55" w:rsidSect="004F7A6D">
      <w:headerReference w:type="default" r:id="rId24"/>
      <w:footerReference w:type="even" r:id="rId25"/>
      <w:footerReference w:type="defaul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0252" w14:textId="77777777" w:rsidR="00F569C0" w:rsidRDefault="00F569C0">
      <w:r>
        <w:separator/>
      </w:r>
    </w:p>
  </w:endnote>
  <w:endnote w:type="continuationSeparator" w:id="0">
    <w:p w14:paraId="24A8C904" w14:textId="77777777" w:rsidR="00F569C0" w:rsidRDefault="00F569C0">
      <w:r>
        <w:continuationSeparator/>
      </w:r>
    </w:p>
  </w:endnote>
  <w:endnote w:type="continuationNotice" w:id="1">
    <w:p w14:paraId="49B589E4" w14:textId="77777777" w:rsidR="00F569C0" w:rsidRDefault="00F56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5ACF" w14:textId="77777777" w:rsidR="008203B0" w:rsidRDefault="008203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65AD0" w14:textId="77777777" w:rsidR="008203B0" w:rsidRDefault="00820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5AD1" w14:textId="6F3B23E5" w:rsidR="008203B0" w:rsidRPr="000F2B7D" w:rsidRDefault="008203B0">
    <w:pPr>
      <w:pStyle w:val="Zpat"/>
      <w:framePr w:wrap="around" w:vAnchor="text" w:hAnchor="margin" w:xAlign="center" w:y="1"/>
      <w:rPr>
        <w:rStyle w:val="slostrnky"/>
        <w:rFonts w:ascii="Tahoma" w:hAnsi="Tahoma" w:cs="Tahoma"/>
        <w:sz w:val="20"/>
        <w:szCs w:val="20"/>
      </w:rPr>
    </w:pPr>
    <w:r w:rsidRPr="000F2B7D">
      <w:rPr>
        <w:rStyle w:val="slostrnky"/>
        <w:rFonts w:ascii="Tahoma" w:hAnsi="Tahoma" w:cs="Tahoma"/>
        <w:sz w:val="20"/>
        <w:szCs w:val="20"/>
      </w:rPr>
      <w:fldChar w:fldCharType="begin"/>
    </w:r>
    <w:r w:rsidRPr="000F2B7D">
      <w:rPr>
        <w:rStyle w:val="slostrnky"/>
        <w:rFonts w:ascii="Tahoma" w:hAnsi="Tahoma" w:cs="Tahoma"/>
        <w:sz w:val="20"/>
        <w:szCs w:val="20"/>
      </w:rPr>
      <w:instrText xml:space="preserve">PAGE  </w:instrText>
    </w:r>
    <w:r w:rsidRPr="000F2B7D">
      <w:rPr>
        <w:rStyle w:val="slostrnky"/>
        <w:rFonts w:ascii="Tahoma" w:hAnsi="Tahoma" w:cs="Tahoma"/>
        <w:sz w:val="20"/>
        <w:szCs w:val="20"/>
      </w:rPr>
      <w:fldChar w:fldCharType="separate"/>
    </w:r>
    <w:r w:rsidR="0005441E">
      <w:rPr>
        <w:rStyle w:val="slostrnky"/>
        <w:rFonts w:ascii="Tahoma" w:hAnsi="Tahoma" w:cs="Tahoma"/>
        <w:noProof/>
        <w:sz w:val="20"/>
        <w:szCs w:val="20"/>
      </w:rPr>
      <w:t>2</w:t>
    </w:r>
    <w:r w:rsidRPr="000F2B7D">
      <w:rPr>
        <w:rStyle w:val="slostrnky"/>
        <w:rFonts w:ascii="Tahoma" w:hAnsi="Tahoma" w:cs="Tahoma"/>
        <w:sz w:val="20"/>
        <w:szCs w:val="20"/>
      </w:rPr>
      <w:fldChar w:fldCharType="end"/>
    </w:r>
  </w:p>
  <w:p w14:paraId="79E65AD2" w14:textId="77777777" w:rsidR="008203B0" w:rsidRDefault="00820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1C38" w14:textId="77777777" w:rsidR="00F569C0" w:rsidRDefault="00F569C0">
      <w:r>
        <w:separator/>
      </w:r>
    </w:p>
  </w:footnote>
  <w:footnote w:type="continuationSeparator" w:id="0">
    <w:p w14:paraId="4C4B7CCE" w14:textId="77777777" w:rsidR="00F569C0" w:rsidRDefault="00F569C0">
      <w:r>
        <w:continuationSeparator/>
      </w:r>
    </w:p>
  </w:footnote>
  <w:footnote w:type="continuationNotice" w:id="1">
    <w:p w14:paraId="1F56996F" w14:textId="77777777" w:rsidR="00F569C0" w:rsidRDefault="00F56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5ACE" w14:textId="55E71EB6" w:rsidR="008203B0" w:rsidRPr="008608C7" w:rsidRDefault="008203B0">
    <w:pPr>
      <w:pStyle w:val="Zhlav"/>
      <w:rPr>
        <w:rFonts w:ascii="Tahoma" w:hAnsi="Tahoma" w:cs="Tahoma"/>
        <w:i/>
        <w:sz w:val="18"/>
        <w:szCs w:val="18"/>
      </w:rPr>
    </w:pPr>
    <w:r w:rsidRPr="008608C7">
      <w:rPr>
        <w:rFonts w:ascii="Tahoma" w:hAnsi="Tahoma" w:cs="Tahoma"/>
        <w:i/>
        <w:sz w:val="18"/>
        <w:szCs w:val="18"/>
      </w:rPr>
      <w:t xml:space="preserve">Střednědobý výhled rozpočtu </w:t>
    </w:r>
    <w:r w:rsidR="009F039E">
      <w:rPr>
        <w:rFonts w:ascii="Tahoma" w:hAnsi="Tahoma" w:cs="Tahoma"/>
        <w:i/>
        <w:sz w:val="18"/>
        <w:szCs w:val="18"/>
      </w:rPr>
      <w:t xml:space="preserve">Moravskoslezského </w:t>
    </w:r>
    <w:r w:rsidRPr="008608C7">
      <w:rPr>
        <w:rFonts w:ascii="Tahoma" w:hAnsi="Tahoma" w:cs="Tahoma"/>
        <w:i/>
        <w:sz w:val="18"/>
        <w:szCs w:val="18"/>
      </w:rPr>
      <w:t xml:space="preserve">kraje na léta </w:t>
    </w:r>
    <w:r w:rsidR="00410F23" w:rsidRPr="008608C7">
      <w:rPr>
        <w:rFonts w:ascii="Tahoma" w:hAnsi="Tahoma" w:cs="Tahoma"/>
        <w:i/>
        <w:sz w:val="18"/>
        <w:szCs w:val="18"/>
      </w:rPr>
      <w:t>20</w:t>
    </w:r>
    <w:r w:rsidR="00410F23">
      <w:rPr>
        <w:rFonts w:ascii="Tahoma" w:hAnsi="Tahoma" w:cs="Tahoma"/>
        <w:i/>
        <w:sz w:val="18"/>
        <w:szCs w:val="18"/>
      </w:rPr>
      <w:t>2</w:t>
    </w:r>
    <w:r w:rsidR="00017E1E">
      <w:rPr>
        <w:rFonts w:ascii="Tahoma" w:hAnsi="Tahoma" w:cs="Tahoma"/>
        <w:i/>
        <w:sz w:val="18"/>
        <w:szCs w:val="18"/>
      </w:rPr>
      <w:t>5</w:t>
    </w:r>
    <w:r w:rsidR="00410F23">
      <w:rPr>
        <w:rFonts w:ascii="Tahoma" w:hAnsi="Tahoma" w:cs="Tahoma"/>
        <w:i/>
        <w:sz w:val="18"/>
        <w:szCs w:val="18"/>
      </w:rPr>
      <w:t>–202</w:t>
    </w:r>
    <w:r w:rsidR="00017E1E">
      <w:rPr>
        <w:rFonts w:ascii="Tahoma" w:hAnsi="Tahoma" w:cs="Tahoma"/>
        <w:i/>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752"/>
    <w:multiLevelType w:val="hybridMultilevel"/>
    <w:tmpl w:val="9BE2D7AE"/>
    <w:lvl w:ilvl="0" w:tplc="1E54E8A6">
      <w:start w:val="1"/>
      <w:numFmt w:val="decimal"/>
      <w:lvlText w:val="%1."/>
      <w:lvlJc w:val="left"/>
      <w:pPr>
        <w:tabs>
          <w:tab w:val="num" w:pos="360"/>
        </w:tabs>
        <w:ind w:left="340" w:hanging="340"/>
      </w:pPr>
      <w:rPr>
        <w:rFonts w:cs="Times New Roman" w:hint="default"/>
      </w:rPr>
    </w:lvl>
    <w:lvl w:ilvl="1" w:tplc="E0B871D4">
      <w:start w:val="1"/>
      <w:numFmt w:val="upp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947F33"/>
    <w:multiLevelType w:val="hybridMultilevel"/>
    <w:tmpl w:val="3378FAA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13612"/>
    <w:multiLevelType w:val="hybridMultilevel"/>
    <w:tmpl w:val="10B8D1C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00A59"/>
    <w:multiLevelType w:val="hybridMultilevel"/>
    <w:tmpl w:val="075C8FA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C05678"/>
    <w:multiLevelType w:val="hybridMultilevel"/>
    <w:tmpl w:val="1B82B492"/>
    <w:lvl w:ilvl="0" w:tplc="51FEFA14">
      <w:numFmt w:val="bullet"/>
      <w:lvlText w:val="-"/>
      <w:lvlJc w:val="left"/>
      <w:pPr>
        <w:tabs>
          <w:tab w:val="num" w:pos="420"/>
        </w:tabs>
        <w:ind w:left="420" w:hanging="25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414BC"/>
    <w:multiLevelType w:val="hybridMultilevel"/>
    <w:tmpl w:val="56A672E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915F5"/>
    <w:multiLevelType w:val="hybridMultilevel"/>
    <w:tmpl w:val="E998156C"/>
    <w:lvl w:ilvl="0" w:tplc="AEE288DC">
      <w:start w:val="1"/>
      <w:numFmt w:val="upperLetter"/>
      <w:lvlText w:val="%1)"/>
      <w:lvlJc w:val="left"/>
      <w:pPr>
        <w:ind w:left="75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94A5725"/>
    <w:multiLevelType w:val="hybridMultilevel"/>
    <w:tmpl w:val="7868BB28"/>
    <w:lvl w:ilvl="0" w:tplc="12605C6C">
      <w:start w:val="1"/>
      <w:numFmt w:val="bullet"/>
      <w:pStyle w:val="Mojeodrka"/>
      <w:lvlText w:val=""/>
      <w:lvlJc w:val="left"/>
      <w:pPr>
        <w:tabs>
          <w:tab w:val="num" w:pos="717"/>
        </w:tabs>
        <w:ind w:left="717"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10A5B"/>
    <w:multiLevelType w:val="hybridMultilevel"/>
    <w:tmpl w:val="90B63C22"/>
    <w:lvl w:ilvl="0" w:tplc="65F49C14">
      <w:numFmt w:val="bullet"/>
      <w:lvlText w:val="-"/>
      <w:lvlJc w:val="left"/>
      <w:pPr>
        <w:tabs>
          <w:tab w:val="num" w:pos="1070"/>
        </w:tabs>
        <w:ind w:left="107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D4EC0"/>
    <w:multiLevelType w:val="hybridMultilevel"/>
    <w:tmpl w:val="2944927A"/>
    <w:lvl w:ilvl="0" w:tplc="B6AED05E">
      <w:numFmt w:val="bullet"/>
      <w:lvlText w:val="-"/>
      <w:lvlJc w:val="left"/>
      <w:pPr>
        <w:tabs>
          <w:tab w:val="num" w:pos="435"/>
        </w:tabs>
        <w:ind w:left="435" w:hanging="360"/>
      </w:pPr>
      <w:rPr>
        <w:rFonts w:ascii="Times New Roman" w:eastAsia="Times New Roman" w:hAnsi="Times New Roman" w:hint="default"/>
      </w:rPr>
    </w:lvl>
    <w:lvl w:ilvl="1" w:tplc="04050003" w:tentative="1">
      <w:start w:val="1"/>
      <w:numFmt w:val="bullet"/>
      <w:lvlText w:val="o"/>
      <w:lvlJc w:val="left"/>
      <w:pPr>
        <w:tabs>
          <w:tab w:val="num" w:pos="1155"/>
        </w:tabs>
        <w:ind w:left="1155" w:hanging="360"/>
      </w:pPr>
      <w:rPr>
        <w:rFonts w:ascii="Courier New" w:hAnsi="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2324651F"/>
    <w:multiLevelType w:val="hybridMultilevel"/>
    <w:tmpl w:val="23640F1E"/>
    <w:lvl w:ilvl="0" w:tplc="EC864DC6">
      <w:start w:val="1"/>
      <w:numFmt w:val="decimal"/>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7270A2"/>
    <w:multiLevelType w:val="hybridMultilevel"/>
    <w:tmpl w:val="6F78BAE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8A3009"/>
    <w:multiLevelType w:val="hybridMultilevel"/>
    <w:tmpl w:val="05026E7E"/>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AB7996"/>
    <w:multiLevelType w:val="hybridMultilevel"/>
    <w:tmpl w:val="73482AC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476DE2"/>
    <w:multiLevelType w:val="hybridMultilevel"/>
    <w:tmpl w:val="106A2338"/>
    <w:lvl w:ilvl="0" w:tplc="5A20D31A">
      <w:numFmt w:val="bullet"/>
      <w:lvlText w:val="-"/>
      <w:lvlJc w:val="left"/>
      <w:pPr>
        <w:tabs>
          <w:tab w:val="num" w:pos="720"/>
        </w:tabs>
        <w:ind w:left="720" w:hanging="360"/>
      </w:pPr>
      <w:rPr>
        <w:rFonts w:ascii="Tahoma" w:eastAsia="Times New Roman" w:hAnsi="Tahoma"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15:restartNumberingAfterBreak="0">
    <w:nsid w:val="2FFB6810"/>
    <w:multiLevelType w:val="hybridMultilevel"/>
    <w:tmpl w:val="11C06358"/>
    <w:lvl w:ilvl="0" w:tplc="9522DC68">
      <w:start w:val="1"/>
      <w:numFmt w:val="bullet"/>
      <w:lvlText w:val="−"/>
      <w:lvlJc w:val="left"/>
      <w:pPr>
        <w:ind w:left="720" w:hanging="360"/>
      </w:pPr>
      <w:rPr>
        <w:rFonts w:ascii="Calibri" w:hAnsi="Calibri" w:cs="Times New Roman" w:hint="default"/>
      </w:rPr>
    </w:lvl>
    <w:lvl w:ilvl="1" w:tplc="24204B36">
      <w:start w:val="1"/>
      <w:numFmt w:val="bullet"/>
      <w:lvlText w:val="o"/>
      <w:lvlJc w:val="left"/>
      <w:pPr>
        <w:ind w:left="1440" w:hanging="360"/>
      </w:pPr>
      <w:rPr>
        <w:rFonts w:ascii="Courier New" w:hAnsi="Courier New" w:cs="Courier New" w:hint="default"/>
      </w:rPr>
    </w:lvl>
    <w:lvl w:ilvl="2" w:tplc="BC3E367A">
      <w:start w:val="1"/>
      <w:numFmt w:val="bullet"/>
      <w:lvlText w:val=""/>
      <w:lvlJc w:val="left"/>
      <w:pPr>
        <w:ind w:left="2160" w:hanging="360"/>
      </w:pPr>
      <w:rPr>
        <w:rFonts w:ascii="Wingdings" w:hAnsi="Wingdings" w:hint="default"/>
      </w:rPr>
    </w:lvl>
    <w:lvl w:ilvl="3" w:tplc="4C886E94">
      <w:start w:val="1"/>
      <w:numFmt w:val="bullet"/>
      <w:lvlText w:val=""/>
      <w:lvlJc w:val="left"/>
      <w:pPr>
        <w:ind w:left="2880" w:hanging="360"/>
      </w:pPr>
      <w:rPr>
        <w:rFonts w:ascii="Symbol" w:hAnsi="Symbol" w:hint="default"/>
      </w:rPr>
    </w:lvl>
    <w:lvl w:ilvl="4" w:tplc="A508B3DE">
      <w:start w:val="1"/>
      <w:numFmt w:val="bullet"/>
      <w:lvlText w:val="o"/>
      <w:lvlJc w:val="left"/>
      <w:pPr>
        <w:ind w:left="3600" w:hanging="360"/>
      </w:pPr>
      <w:rPr>
        <w:rFonts w:ascii="Courier New" w:hAnsi="Courier New" w:cs="Courier New" w:hint="default"/>
      </w:rPr>
    </w:lvl>
    <w:lvl w:ilvl="5" w:tplc="C7FA3BCE">
      <w:start w:val="1"/>
      <w:numFmt w:val="bullet"/>
      <w:lvlText w:val=""/>
      <w:lvlJc w:val="left"/>
      <w:pPr>
        <w:ind w:left="4320" w:hanging="360"/>
      </w:pPr>
      <w:rPr>
        <w:rFonts w:ascii="Wingdings" w:hAnsi="Wingdings" w:hint="default"/>
      </w:rPr>
    </w:lvl>
    <w:lvl w:ilvl="6" w:tplc="CFCA3372">
      <w:start w:val="1"/>
      <w:numFmt w:val="bullet"/>
      <w:lvlText w:val=""/>
      <w:lvlJc w:val="left"/>
      <w:pPr>
        <w:ind w:left="5040" w:hanging="360"/>
      </w:pPr>
      <w:rPr>
        <w:rFonts w:ascii="Symbol" w:hAnsi="Symbol" w:hint="default"/>
      </w:rPr>
    </w:lvl>
    <w:lvl w:ilvl="7" w:tplc="FD5683A0">
      <w:start w:val="1"/>
      <w:numFmt w:val="bullet"/>
      <w:lvlText w:val="o"/>
      <w:lvlJc w:val="left"/>
      <w:pPr>
        <w:ind w:left="5760" w:hanging="360"/>
      </w:pPr>
      <w:rPr>
        <w:rFonts w:ascii="Courier New" w:hAnsi="Courier New" w:cs="Courier New" w:hint="default"/>
      </w:rPr>
    </w:lvl>
    <w:lvl w:ilvl="8" w:tplc="0C36E660">
      <w:start w:val="1"/>
      <w:numFmt w:val="bullet"/>
      <w:lvlText w:val=""/>
      <w:lvlJc w:val="left"/>
      <w:pPr>
        <w:ind w:left="6480" w:hanging="360"/>
      </w:pPr>
      <w:rPr>
        <w:rFonts w:ascii="Wingdings" w:hAnsi="Wingdings" w:hint="default"/>
      </w:rPr>
    </w:lvl>
  </w:abstractNum>
  <w:abstractNum w:abstractNumId="16" w15:restartNumberingAfterBreak="0">
    <w:nsid w:val="325C2F5A"/>
    <w:multiLevelType w:val="hybridMultilevel"/>
    <w:tmpl w:val="89C26F88"/>
    <w:lvl w:ilvl="0" w:tplc="443033CC">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1D0A49"/>
    <w:multiLevelType w:val="hybridMultilevel"/>
    <w:tmpl w:val="79AC3756"/>
    <w:lvl w:ilvl="0" w:tplc="5B006CF2">
      <w:start w:val="1"/>
      <w:numFmt w:val="bullet"/>
      <w:lvlText w:val="−"/>
      <w:lvlJc w:val="left"/>
      <w:pPr>
        <w:ind w:left="935" w:hanging="360"/>
      </w:pPr>
      <w:rPr>
        <w:rFonts w:ascii="Calibri" w:hAnsi="Calibri" w:hint="default"/>
      </w:rPr>
    </w:lvl>
    <w:lvl w:ilvl="1" w:tplc="04050003" w:tentative="1">
      <w:start w:val="1"/>
      <w:numFmt w:val="bullet"/>
      <w:lvlText w:val="o"/>
      <w:lvlJc w:val="left"/>
      <w:pPr>
        <w:ind w:left="1655" w:hanging="360"/>
      </w:pPr>
      <w:rPr>
        <w:rFonts w:ascii="Courier New" w:hAnsi="Courier New" w:cs="Courier New" w:hint="default"/>
      </w:rPr>
    </w:lvl>
    <w:lvl w:ilvl="2" w:tplc="04050005" w:tentative="1">
      <w:start w:val="1"/>
      <w:numFmt w:val="bullet"/>
      <w:lvlText w:val=""/>
      <w:lvlJc w:val="left"/>
      <w:pPr>
        <w:ind w:left="2375" w:hanging="360"/>
      </w:pPr>
      <w:rPr>
        <w:rFonts w:ascii="Wingdings" w:hAnsi="Wingdings" w:hint="default"/>
      </w:rPr>
    </w:lvl>
    <w:lvl w:ilvl="3" w:tplc="04050001" w:tentative="1">
      <w:start w:val="1"/>
      <w:numFmt w:val="bullet"/>
      <w:lvlText w:val=""/>
      <w:lvlJc w:val="left"/>
      <w:pPr>
        <w:ind w:left="3095" w:hanging="360"/>
      </w:pPr>
      <w:rPr>
        <w:rFonts w:ascii="Symbol" w:hAnsi="Symbol" w:hint="default"/>
      </w:rPr>
    </w:lvl>
    <w:lvl w:ilvl="4" w:tplc="04050003" w:tentative="1">
      <w:start w:val="1"/>
      <w:numFmt w:val="bullet"/>
      <w:lvlText w:val="o"/>
      <w:lvlJc w:val="left"/>
      <w:pPr>
        <w:ind w:left="3815" w:hanging="360"/>
      </w:pPr>
      <w:rPr>
        <w:rFonts w:ascii="Courier New" w:hAnsi="Courier New" w:cs="Courier New" w:hint="default"/>
      </w:rPr>
    </w:lvl>
    <w:lvl w:ilvl="5" w:tplc="04050005" w:tentative="1">
      <w:start w:val="1"/>
      <w:numFmt w:val="bullet"/>
      <w:lvlText w:val=""/>
      <w:lvlJc w:val="left"/>
      <w:pPr>
        <w:ind w:left="4535" w:hanging="360"/>
      </w:pPr>
      <w:rPr>
        <w:rFonts w:ascii="Wingdings" w:hAnsi="Wingdings" w:hint="default"/>
      </w:rPr>
    </w:lvl>
    <w:lvl w:ilvl="6" w:tplc="04050001" w:tentative="1">
      <w:start w:val="1"/>
      <w:numFmt w:val="bullet"/>
      <w:lvlText w:val=""/>
      <w:lvlJc w:val="left"/>
      <w:pPr>
        <w:ind w:left="5255" w:hanging="360"/>
      </w:pPr>
      <w:rPr>
        <w:rFonts w:ascii="Symbol" w:hAnsi="Symbol" w:hint="default"/>
      </w:rPr>
    </w:lvl>
    <w:lvl w:ilvl="7" w:tplc="04050003" w:tentative="1">
      <w:start w:val="1"/>
      <w:numFmt w:val="bullet"/>
      <w:lvlText w:val="o"/>
      <w:lvlJc w:val="left"/>
      <w:pPr>
        <w:ind w:left="5975" w:hanging="360"/>
      </w:pPr>
      <w:rPr>
        <w:rFonts w:ascii="Courier New" w:hAnsi="Courier New" w:cs="Courier New" w:hint="default"/>
      </w:rPr>
    </w:lvl>
    <w:lvl w:ilvl="8" w:tplc="04050005" w:tentative="1">
      <w:start w:val="1"/>
      <w:numFmt w:val="bullet"/>
      <w:lvlText w:val=""/>
      <w:lvlJc w:val="left"/>
      <w:pPr>
        <w:ind w:left="6695" w:hanging="360"/>
      </w:pPr>
      <w:rPr>
        <w:rFonts w:ascii="Wingdings" w:hAnsi="Wingdings" w:hint="default"/>
      </w:rPr>
    </w:lvl>
  </w:abstractNum>
  <w:abstractNum w:abstractNumId="18" w15:restartNumberingAfterBreak="0">
    <w:nsid w:val="369F3BA5"/>
    <w:multiLevelType w:val="hybridMultilevel"/>
    <w:tmpl w:val="867A5CEC"/>
    <w:lvl w:ilvl="0" w:tplc="FD1E308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76FC9"/>
    <w:multiLevelType w:val="hybridMultilevel"/>
    <w:tmpl w:val="40A8BEFE"/>
    <w:lvl w:ilvl="0" w:tplc="E07EEFCE">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5266F5"/>
    <w:multiLevelType w:val="hybridMultilevel"/>
    <w:tmpl w:val="0F324D80"/>
    <w:lvl w:ilvl="0" w:tplc="6BEC9538">
      <w:start w:val="1"/>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3E601C43"/>
    <w:multiLevelType w:val="hybridMultilevel"/>
    <w:tmpl w:val="BD26E2E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F12A59"/>
    <w:multiLevelType w:val="hybridMultilevel"/>
    <w:tmpl w:val="C0DC4712"/>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684AD7"/>
    <w:multiLevelType w:val="hybridMultilevel"/>
    <w:tmpl w:val="FD4AB5F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9EA60DF"/>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A88104C"/>
    <w:multiLevelType w:val="hybridMultilevel"/>
    <w:tmpl w:val="9C085ABC"/>
    <w:lvl w:ilvl="0" w:tplc="04050011">
      <w:start w:val="1"/>
      <w:numFmt w:val="decimal"/>
      <w:lvlText w:val="%1)"/>
      <w:lvlJc w:val="left"/>
      <w:pPr>
        <w:tabs>
          <w:tab w:val="num" w:pos="720"/>
        </w:tabs>
        <w:ind w:left="720" w:hanging="360"/>
      </w:pPr>
      <w:rPr>
        <w:rFonts w:cs="Times New Roman"/>
      </w:rPr>
    </w:lvl>
    <w:lvl w:ilvl="1" w:tplc="F87C3724">
      <w:start w:val="1"/>
      <w:numFmt w:val="bullet"/>
      <w:lvlText w:val=""/>
      <w:lvlJc w:val="left"/>
      <w:pPr>
        <w:tabs>
          <w:tab w:val="num" w:pos="1440"/>
        </w:tabs>
        <w:ind w:left="1440" w:hanging="360"/>
      </w:pPr>
      <w:rPr>
        <w:rFonts w:ascii="Symbol" w:hAnsi="Symbol" w:hint="default"/>
        <w:color w:val="000000"/>
        <w:u w:color="000000"/>
      </w:rPr>
    </w:lvl>
    <w:lvl w:ilvl="2" w:tplc="5BD8C022">
      <w:start w:val="1"/>
      <w:numFmt w:val="upperRoman"/>
      <w:lvlText w:val="%3."/>
      <w:lvlJc w:val="left"/>
      <w:pPr>
        <w:tabs>
          <w:tab w:val="num" w:pos="2700"/>
        </w:tabs>
        <w:ind w:left="2700" w:hanging="720"/>
      </w:pPr>
      <w:rPr>
        <w:rFonts w:cs="Times New Roman" w:hint="default"/>
        <w:b/>
        <w:bCs/>
        <w:sz w:val="24"/>
        <w:szCs w:val="24"/>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5D2BC6"/>
    <w:multiLevelType w:val="hybridMultilevel"/>
    <w:tmpl w:val="99DAD004"/>
    <w:lvl w:ilvl="0" w:tplc="DB34DF14">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1C6682E"/>
    <w:multiLevelType w:val="hybridMultilevel"/>
    <w:tmpl w:val="E218416C"/>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295046"/>
    <w:multiLevelType w:val="hybridMultilevel"/>
    <w:tmpl w:val="9D7C15E8"/>
    <w:lvl w:ilvl="0" w:tplc="F87C3724">
      <w:start w:val="1"/>
      <w:numFmt w:val="bullet"/>
      <w:lvlText w:val=""/>
      <w:lvlJc w:val="left"/>
      <w:pPr>
        <w:tabs>
          <w:tab w:val="num" w:pos="720"/>
        </w:tabs>
        <w:ind w:left="720" w:hanging="360"/>
      </w:pPr>
      <w:rPr>
        <w:rFonts w:ascii="Symbol" w:hAnsi="Symbol" w:hint="default"/>
        <w:color w:val="000000"/>
        <w:u w:color="00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AB434B"/>
    <w:multiLevelType w:val="hybridMultilevel"/>
    <w:tmpl w:val="BE460514"/>
    <w:lvl w:ilvl="0" w:tplc="24F421B6">
      <w:start w:val="1"/>
      <w:numFmt w:val="bullet"/>
      <w:lvlText w:val="•"/>
      <w:lvlJc w:val="left"/>
      <w:pPr>
        <w:tabs>
          <w:tab w:val="num" w:pos="720"/>
        </w:tabs>
        <w:ind w:left="720" w:hanging="360"/>
      </w:pPr>
      <w:rPr>
        <w:rFonts w:ascii="Arial" w:hAnsi="Arial" w:hint="default"/>
      </w:rPr>
    </w:lvl>
    <w:lvl w:ilvl="1" w:tplc="8BFCE8F6" w:tentative="1">
      <w:start w:val="1"/>
      <w:numFmt w:val="bullet"/>
      <w:lvlText w:val="•"/>
      <w:lvlJc w:val="left"/>
      <w:pPr>
        <w:tabs>
          <w:tab w:val="num" w:pos="1440"/>
        </w:tabs>
        <w:ind w:left="1440" w:hanging="360"/>
      </w:pPr>
      <w:rPr>
        <w:rFonts w:ascii="Arial" w:hAnsi="Arial" w:hint="default"/>
      </w:rPr>
    </w:lvl>
    <w:lvl w:ilvl="2" w:tplc="B16E3A2A" w:tentative="1">
      <w:start w:val="1"/>
      <w:numFmt w:val="bullet"/>
      <w:lvlText w:val="•"/>
      <w:lvlJc w:val="left"/>
      <w:pPr>
        <w:tabs>
          <w:tab w:val="num" w:pos="2160"/>
        </w:tabs>
        <w:ind w:left="2160" w:hanging="360"/>
      </w:pPr>
      <w:rPr>
        <w:rFonts w:ascii="Arial" w:hAnsi="Arial" w:hint="default"/>
      </w:rPr>
    </w:lvl>
    <w:lvl w:ilvl="3" w:tplc="CF604758" w:tentative="1">
      <w:start w:val="1"/>
      <w:numFmt w:val="bullet"/>
      <w:lvlText w:val="•"/>
      <w:lvlJc w:val="left"/>
      <w:pPr>
        <w:tabs>
          <w:tab w:val="num" w:pos="2880"/>
        </w:tabs>
        <w:ind w:left="2880" w:hanging="360"/>
      </w:pPr>
      <w:rPr>
        <w:rFonts w:ascii="Arial" w:hAnsi="Arial" w:hint="default"/>
      </w:rPr>
    </w:lvl>
    <w:lvl w:ilvl="4" w:tplc="738C5220" w:tentative="1">
      <w:start w:val="1"/>
      <w:numFmt w:val="bullet"/>
      <w:lvlText w:val="•"/>
      <w:lvlJc w:val="left"/>
      <w:pPr>
        <w:tabs>
          <w:tab w:val="num" w:pos="3600"/>
        </w:tabs>
        <w:ind w:left="3600" w:hanging="360"/>
      </w:pPr>
      <w:rPr>
        <w:rFonts w:ascii="Arial" w:hAnsi="Arial" w:hint="default"/>
      </w:rPr>
    </w:lvl>
    <w:lvl w:ilvl="5" w:tplc="15CA2E80" w:tentative="1">
      <w:start w:val="1"/>
      <w:numFmt w:val="bullet"/>
      <w:lvlText w:val="•"/>
      <w:lvlJc w:val="left"/>
      <w:pPr>
        <w:tabs>
          <w:tab w:val="num" w:pos="4320"/>
        </w:tabs>
        <w:ind w:left="4320" w:hanging="360"/>
      </w:pPr>
      <w:rPr>
        <w:rFonts w:ascii="Arial" w:hAnsi="Arial" w:hint="default"/>
      </w:rPr>
    </w:lvl>
    <w:lvl w:ilvl="6" w:tplc="390E2D0A" w:tentative="1">
      <w:start w:val="1"/>
      <w:numFmt w:val="bullet"/>
      <w:lvlText w:val="•"/>
      <w:lvlJc w:val="left"/>
      <w:pPr>
        <w:tabs>
          <w:tab w:val="num" w:pos="5040"/>
        </w:tabs>
        <w:ind w:left="5040" w:hanging="360"/>
      </w:pPr>
      <w:rPr>
        <w:rFonts w:ascii="Arial" w:hAnsi="Arial" w:hint="default"/>
      </w:rPr>
    </w:lvl>
    <w:lvl w:ilvl="7" w:tplc="661E0964" w:tentative="1">
      <w:start w:val="1"/>
      <w:numFmt w:val="bullet"/>
      <w:lvlText w:val="•"/>
      <w:lvlJc w:val="left"/>
      <w:pPr>
        <w:tabs>
          <w:tab w:val="num" w:pos="5760"/>
        </w:tabs>
        <w:ind w:left="5760" w:hanging="360"/>
      </w:pPr>
      <w:rPr>
        <w:rFonts w:ascii="Arial" w:hAnsi="Arial" w:hint="default"/>
      </w:rPr>
    </w:lvl>
    <w:lvl w:ilvl="8" w:tplc="BC383AA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605E88"/>
    <w:multiLevelType w:val="hybridMultilevel"/>
    <w:tmpl w:val="B534063C"/>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5E295A"/>
    <w:multiLevelType w:val="hybridMultilevel"/>
    <w:tmpl w:val="19624BEC"/>
    <w:lvl w:ilvl="0" w:tplc="0405000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651D6054"/>
    <w:multiLevelType w:val="multilevel"/>
    <w:tmpl w:val="1AB01E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bCs/>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7AF6F59"/>
    <w:multiLevelType w:val="hybridMultilevel"/>
    <w:tmpl w:val="6FAEC29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4319BA"/>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8637871"/>
    <w:multiLevelType w:val="hybridMultilevel"/>
    <w:tmpl w:val="D30AB60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E638D6"/>
    <w:multiLevelType w:val="hybridMultilevel"/>
    <w:tmpl w:val="6E040B16"/>
    <w:lvl w:ilvl="0" w:tplc="41E2F576">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D24FCD"/>
    <w:multiLevelType w:val="multilevel"/>
    <w:tmpl w:val="1B280C02"/>
    <w:lvl w:ilvl="0">
      <w:start w:val="1"/>
      <w:numFmt w:val="decimal"/>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8" w15:restartNumberingAfterBreak="0">
    <w:nsid w:val="75494067"/>
    <w:multiLevelType w:val="multilevel"/>
    <w:tmpl w:val="AE6CD350"/>
    <w:lvl w:ilvl="0">
      <w:start w:val="1"/>
      <w:numFmt w:val="decimal"/>
      <w:lvlText w:val="%1.)"/>
      <w:lvlJc w:val="left"/>
      <w:pPr>
        <w:tabs>
          <w:tab w:val="num" w:pos="735"/>
        </w:tabs>
        <w:ind w:left="735" w:hanging="375"/>
      </w:pPr>
      <w:rPr>
        <w:rFonts w:cs="Times New Roman" w:hint="default"/>
      </w:rPr>
    </w:lvl>
    <w:lvl w:ilvl="1">
      <w:start w:val="1"/>
      <w:numFmt w:val="bullet"/>
      <w:lvlText w:val=""/>
      <w:lvlJc w:val="left"/>
      <w:pPr>
        <w:tabs>
          <w:tab w:val="num" w:pos="1440"/>
        </w:tabs>
        <w:ind w:left="1440" w:hanging="360"/>
      </w:pPr>
      <w:rPr>
        <w:rFonts w:ascii="Symbol" w:hAnsi="Symbol" w:hint="default"/>
        <w:color w:val="000000"/>
        <w:u w:color="000000"/>
      </w:rPr>
    </w:lvl>
    <w:lvl w:ilvl="2">
      <w:start w:val="2"/>
      <w:numFmt w:val="upperRoman"/>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5702908"/>
    <w:multiLevelType w:val="hybridMultilevel"/>
    <w:tmpl w:val="C72EEA0A"/>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490DDD"/>
    <w:multiLevelType w:val="hybridMultilevel"/>
    <w:tmpl w:val="CFA0A4EA"/>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9E22CEE"/>
    <w:multiLevelType w:val="multilevel"/>
    <w:tmpl w:val="B86E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A780F"/>
    <w:multiLevelType w:val="multilevel"/>
    <w:tmpl w:val="85DA9364"/>
    <w:lvl w:ilvl="0">
      <w:start w:val="1"/>
      <w:numFmt w:val="decimal"/>
      <w:pStyle w:val="Styl1"/>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pStyle w:val="Styl2"/>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3" w15:restartNumberingAfterBreak="0">
    <w:nsid w:val="7B2765E6"/>
    <w:multiLevelType w:val="hybridMultilevel"/>
    <w:tmpl w:val="C68EBF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49296978">
    <w:abstractNumId w:val="0"/>
  </w:num>
  <w:num w:numId="2" w16cid:durableId="1764954296">
    <w:abstractNumId w:val="42"/>
  </w:num>
  <w:num w:numId="3" w16cid:durableId="2116245323">
    <w:abstractNumId w:val="32"/>
  </w:num>
  <w:num w:numId="4" w16cid:durableId="1720010701">
    <w:abstractNumId w:val="19"/>
  </w:num>
  <w:num w:numId="5" w16cid:durableId="2124958188">
    <w:abstractNumId w:val="28"/>
  </w:num>
  <w:num w:numId="6" w16cid:durableId="1932471238">
    <w:abstractNumId w:val="16"/>
  </w:num>
  <w:num w:numId="7" w16cid:durableId="1072243066">
    <w:abstractNumId w:val="37"/>
  </w:num>
  <w:num w:numId="8" w16cid:durableId="1460881176">
    <w:abstractNumId w:val="10"/>
  </w:num>
  <w:num w:numId="9" w16cid:durableId="1921913874">
    <w:abstractNumId w:val="9"/>
  </w:num>
  <w:num w:numId="10" w16cid:durableId="277491036">
    <w:abstractNumId w:val="40"/>
  </w:num>
  <w:num w:numId="11" w16cid:durableId="1569730793">
    <w:abstractNumId w:val="5"/>
  </w:num>
  <w:num w:numId="12" w16cid:durableId="1469399582">
    <w:abstractNumId w:val="25"/>
  </w:num>
  <w:num w:numId="13" w16cid:durableId="2123840232">
    <w:abstractNumId w:val="38"/>
  </w:num>
  <w:num w:numId="14" w16cid:durableId="1078289071">
    <w:abstractNumId w:val="36"/>
  </w:num>
  <w:num w:numId="15" w16cid:durableId="1456096180">
    <w:abstractNumId w:val="18"/>
  </w:num>
  <w:num w:numId="16" w16cid:durableId="51779747">
    <w:abstractNumId w:val="8"/>
  </w:num>
  <w:num w:numId="17" w16cid:durableId="957226933">
    <w:abstractNumId w:val="31"/>
  </w:num>
  <w:num w:numId="18" w16cid:durableId="1715690333">
    <w:abstractNumId w:val="43"/>
  </w:num>
  <w:num w:numId="19" w16cid:durableId="2087337283">
    <w:abstractNumId w:val="42"/>
  </w:num>
  <w:num w:numId="20" w16cid:durableId="166789726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6427891">
    <w:abstractNumId w:val="3"/>
  </w:num>
  <w:num w:numId="22" w16cid:durableId="527915307">
    <w:abstractNumId w:val="23"/>
  </w:num>
  <w:num w:numId="23" w16cid:durableId="1313754811">
    <w:abstractNumId w:val="6"/>
  </w:num>
  <w:num w:numId="24" w16cid:durableId="1718119793">
    <w:abstractNumId w:val="34"/>
  </w:num>
  <w:num w:numId="25" w16cid:durableId="162136514">
    <w:abstractNumId w:val="4"/>
  </w:num>
  <w:num w:numId="26" w16cid:durableId="1720132750">
    <w:abstractNumId w:val="24"/>
  </w:num>
  <w:num w:numId="27" w16cid:durableId="621963757">
    <w:abstractNumId w:val="33"/>
  </w:num>
  <w:num w:numId="28" w16cid:durableId="1579824002">
    <w:abstractNumId w:val="11"/>
  </w:num>
  <w:num w:numId="29" w16cid:durableId="223763207">
    <w:abstractNumId w:val="2"/>
  </w:num>
  <w:num w:numId="30" w16cid:durableId="725908531">
    <w:abstractNumId w:val="30"/>
  </w:num>
  <w:num w:numId="31" w16cid:durableId="1193761336">
    <w:abstractNumId w:val="27"/>
  </w:num>
  <w:num w:numId="32" w16cid:durableId="1735467291">
    <w:abstractNumId w:val="17"/>
  </w:num>
  <w:num w:numId="33" w16cid:durableId="1094742694">
    <w:abstractNumId w:val="21"/>
  </w:num>
  <w:num w:numId="34" w16cid:durableId="787625033">
    <w:abstractNumId w:val="1"/>
  </w:num>
  <w:num w:numId="35" w16cid:durableId="1403748002">
    <w:abstractNumId w:val="41"/>
  </w:num>
  <w:num w:numId="36" w16cid:durableId="147479312">
    <w:abstractNumId w:val="39"/>
  </w:num>
  <w:num w:numId="37" w16cid:durableId="1655983154">
    <w:abstractNumId w:val="21"/>
  </w:num>
  <w:num w:numId="38" w16cid:durableId="709691124">
    <w:abstractNumId w:val="13"/>
  </w:num>
  <w:num w:numId="39" w16cid:durableId="892931670">
    <w:abstractNumId w:val="26"/>
  </w:num>
  <w:num w:numId="40" w16cid:durableId="1182620754">
    <w:abstractNumId w:val="35"/>
  </w:num>
  <w:num w:numId="41" w16cid:durableId="895705540">
    <w:abstractNumId w:val="22"/>
  </w:num>
  <w:num w:numId="42" w16cid:durableId="83839047">
    <w:abstractNumId w:val="12"/>
  </w:num>
  <w:num w:numId="43" w16cid:durableId="465124842">
    <w:abstractNumId w:val="26"/>
  </w:num>
  <w:num w:numId="44" w16cid:durableId="2049407279">
    <w:abstractNumId w:val="29"/>
  </w:num>
  <w:num w:numId="45" w16cid:durableId="1147431240">
    <w:abstractNumId w:val="7"/>
  </w:num>
  <w:num w:numId="46" w16cid:durableId="1083837992">
    <w:abstractNumId w:val="20"/>
  </w:num>
  <w:num w:numId="47" w16cid:durableId="14881320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CC"/>
    <w:rsid w:val="0000128C"/>
    <w:rsid w:val="00001519"/>
    <w:rsid w:val="00001BFC"/>
    <w:rsid w:val="00001C18"/>
    <w:rsid w:val="00001E7A"/>
    <w:rsid w:val="000024E5"/>
    <w:rsid w:val="0000276C"/>
    <w:rsid w:val="00003E57"/>
    <w:rsid w:val="00003EC4"/>
    <w:rsid w:val="0000400A"/>
    <w:rsid w:val="00005671"/>
    <w:rsid w:val="00006049"/>
    <w:rsid w:val="00006359"/>
    <w:rsid w:val="0001043A"/>
    <w:rsid w:val="000106CA"/>
    <w:rsid w:val="000114B5"/>
    <w:rsid w:val="00012921"/>
    <w:rsid w:val="00012D2F"/>
    <w:rsid w:val="00013DAB"/>
    <w:rsid w:val="00014F10"/>
    <w:rsid w:val="000152A3"/>
    <w:rsid w:val="000170E9"/>
    <w:rsid w:val="000175C4"/>
    <w:rsid w:val="00017C58"/>
    <w:rsid w:val="00017E1E"/>
    <w:rsid w:val="00020021"/>
    <w:rsid w:val="0002028C"/>
    <w:rsid w:val="000202A0"/>
    <w:rsid w:val="00020973"/>
    <w:rsid w:val="00020B57"/>
    <w:rsid w:val="0002350F"/>
    <w:rsid w:val="000235AE"/>
    <w:rsid w:val="00026061"/>
    <w:rsid w:val="00026622"/>
    <w:rsid w:val="00026E11"/>
    <w:rsid w:val="00027956"/>
    <w:rsid w:val="0003039B"/>
    <w:rsid w:val="0003240C"/>
    <w:rsid w:val="00033440"/>
    <w:rsid w:val="00034847"/>
    <w:rsid w:val="00035589"/>
    <w:rsid w:val="00035C70"/>
    <w:rsid w:val="00036154"/>
    <w:rsid w:val="00036283"/>
    <w:rsid w:val="000362AB"/>
    <w:rsid w:val="00036343"/>
    <w:rsid w:val="00036A06"/>
    <w:rsid w:val="0004103D"/>
    <w:rsid w:val="000410EB"/>
    <w:rsid w:val="00041332"/>
    <w:rsid w:val="0004178A"/>
    <w:rsid w:val="0004208C"/>
    <w:rsid w:val="0004245C"/>
    <w:rsid w:val="00042616"/>
    <w:rsid w:val="000426DD"/>
    <w:rsid w:val="00042AB9"/>
    <w:rsid w:val="00042BD5"/>
    <w:rsid w:val="00043248"/>
    <w:rsid w:val="00043C27"/>
    <w:rsid w:val="00043E51"/>
    <w:rsid w:val="00044258"/>
    <w:rsid w:val="00044A8D"/>
    <w:rsid w:val="00044D03"/>
    <w:rsid w:val="0004502B"/>
    <w:rsid w:val="00046924"/>
    <w:rsid w:val="00047268"/>
    <w:rsid w:val="000473B6"/>
    <w:rsid w:val="0004757D"/>
    <w:rsid w:val="00051248"/>
    <w:rsid w:val="00051433"/>
    <w:rsid w:val="00051C0E"/>
    <w:rsid w:val="00051E92"/>
    <w:rsid w:val="000529CA"/>
    <w:rsid w:val="000539C7"/>
    <w:rsid w:val="00053A0A"/>
    <w:rsid w:val="00053BD1"/>
    <w:rsid w:val="00053C77"/>
    <w:rsid w:val="0005441E"/>
    <w:rsid w:val="00054B81"/>
    <w:rsid w:val="0005532F"/>
    <w:rsid w:val="00055DC6"/>
    <w:rsid w:val="0005636F"/>
    <w:rsid w:val="0005730C"/>
    <w:rsid w:val="000575C7"/>
    <w:rsid w:val="00060F0D"/>
    <w:rsid w:val="000612C2"/>
    <w:rsid w:val="00061715"/>
    <w:rsid w:val="0006247C"/>
    <w:rsid w:val="00065C72"/>
    <w:rsid w:val="000679F5"/>
    <w:rsid w:val="0007028E"/>
    <w:rsid w:val="00072240"/>
    <w:rsid w:val="0007225F"/>
    <w:rsid w:val="000732EA"/>
    <w:rsid w:val="0007331E"/>
    <w:rsid w:val="000739DC"/>
    <w:rsid w:val="0007477C"/>
    <w:rsid w:val="00074FE4"/>
    <w:rsid w:val="00075236"/>
    <w:rsid w:val="00075503"/>
    <w:rsid w:val="00076D5A"/>
    <w:rsid w:val="00077101"/>
    <w:rsid w:val="00077D2C"/>
    <w:rsid w:val="00082074"/>
    <w:rsid w:val="0008207F"/>
    <w:rsid w:val="000820AC"/>
    <w:rsid w:val="000827F0"/>
    <w:rsid w:val="00082F8F"/>
    <w:rsid w:val="00083490"/>
    <w:rsid w:val="00084708"/>
    <w:rsid w:val="00084750"/>
    <w:rsid w:val="00084F59"/>
    <w:rsid w:val="00085260"/>
    <w:rsid w:val="00085F8A"/>
    <w:rsid w:val="000866B8"/>
    <w:rsid w:val="00086B1D"/>
    <w:rsid w:val="00086DA4"/>
    <w:rsid w:val="00090C4D"/>
    <w:rsid w:val="00090DD6"/>
    <w:rsid w:val="000919DB"/>
    <w:rsid w:val="00092783"/>
    <w:rsid w:val="000932ED"/>
    <w:rsid w:val="00093B15"/>
    <w:rsid w:val="00094E44"/>
    <w:rsid w:val="00095203"/>
    <w:rsid w:val="00096511"/>
    <w:rsid w:val="000972E3"/>
    <w:rsid w:val="00097EE8"/>
    <w:rsid w:val="000A1A2D"/>
    <w:rsid w:val="000A2D65"/>
    <w:rsid w:val="000A34C6"/>
    <w:rsid w:val="000A4209"/>
    <w:rsid w:val="000A443E"/>
    <w:rsid w:val="000A4B54"/>
    <w:rsid w:val="000A509D"/>
    <w:rsid w:val="000A5170"/>
    <w:rsid w:val="000A5298"/>
    <w:rsid w:val="000A731D"/>
    <w:rsid w:val="000B05B6"/>
    <w:rsid w:val="000B11A2"/>
    <w:rsid w:val="000B1740"/>
    <w:rsid w:val="000B25EA"/>
    <w:rsid w:val="000B275D"/>
    <w:rsid w:val="000B3A36"/>
    <w:rsid w:val="000B43A1"/>
    <w:rsid w:val="000B4BAA"/>
    <w:rsid w:val="000B5B3B"/>
    <w:rsid w:val="000B5CD4"/>
    <w:rsid w:val="000B693C"/>
    <w:rsid w:val="000B7804"/>
    <w:rsid w:val="000B795B"/>
    <w:rsid w:val="000B7A2E"/>
    <w:rsid w:val="000C0850"/>
    <w:rsid w:val="000C1390"/>
    <w:rsid w:val="000C18B9"/>
    <w:rsid w:val="000C26B4"/>
    <w:rsid w:val="000C4D86"/>
    <w:rsid w:val="000C4EAA"/>
    <w:rsid w:val="000C57C3"/>
    <w:rsid w:val="000C6B8D"/>
    <w:rsid w:val="000C7E6A"/>
    <w:rsid w:val="000D0EC2"/>
    <w:rsid w:val="000D114A"/>
    <w:rsid w:val="000D1235"/>
    <w:rsid w:val="000D158E"/>
    <w:rsid w:val="000D1F55"/>
    <w:rsid w:val="000D34EE"/>
    <w:rsid w:val="000D3D0D"/>
    <w:rsid w:val="000D3EB0"/>
    <w:rsid w:val="000D4E38"/>
    <w:rsid w:val="000D6C88"/>
    <w:rsid w:val="000D775B"/>
    <w:rsid w:val="000D7BD8"/>
    <w:rsid w:val="000E0C73"/>
    <w:rsid w:val="000E171C"/>
    <w:rsid w:val="000E189F"/>
    <w:rsid w:val="000E2941"/>
    <w:rsid w:val="000E3926"/>
    <w:rsid w:val="000E3AD4"/>
    <w:rsid w:val="000E3B90"/>
    <w:rsid w:val="000E5C85"/>
    <w:rsid w:val="000E7088"/>
    <w:rsid w:val="000E714F"/>
    <w:rsid w:val="000E7A29"/>
    <w:rsid w:val="000E7A3C"/>
    <w:rsid w:val="000F2A70"/>
    <w:rsid w:val="000F2B7D"/>
    <w:rsid w:val="000F3253"/>
    <w:rsid w:val="000F3A43"/>
    <w:rsid w:val="000F3CB0"/>
    <w:rsid w:val="000F3F20"/>
    <w:rsid w:val="000F4075"/>
    <w:rsid w:val="000F4395"/>
    <w:rsid w:val="000F451C"/>
    <w:rsid w:val="000F4890"/>
    <w:rsid w:val="000F4F17"/>
    <w:rsid w:val="000F548B"/>
    <w:rsid w:val="000F5DD1"/>
    <w:rsid w:val="000F6CEA"/>
    <w:rsid w:val="00101525"/>
    <w:rsid w:val="001025D6"/>
    <w:rsid w:val="001037B9"/>
    <w:rsid w:val="00104E38"/>
    <w:rsid w:val="001054D4"/>
    <w:rsid w:val="0010602D"/>
    <w:rsid w:val="00107013"/>
    <w:rsid w:val="001076A4"/>
    <w:rsid w:val="001079AC"/>
    <w:rsid w:val="00107BB4"/>
    <w:rsid w:val="00111658"/>
    <w:rsid w:val="00112283"/>
    <w:rsid w:val="00112653"/>
    <w:rsid w:val="00112FA8"/>
    <w:rsid w:val="00113299"/>
    <w:rsid w:val="00114484"/>
    <w:rsid w:val="0011459A"/>
    <w:rsid w:val="0011487B"/>
    <w:rsid w:val="00114885"/>
    <w:rsid w:val="001165FD"/>
    <w:rsid w:val="00116726"/>
    <w:rsid w:val="00116D09"/>
    <w:rsid w:val="00117E1F"/>
    <w:rsid w:val="00121F67"/>
    <w:rsid w:val="001222A3"/>
    <w:rsid w:val="00122A9F"/>
    <w:rsid w:val="00123551"/>
    <w:rsid w:val="001237AF"/>
    <w:rsid w:val="00124E45"/>
    <w:rsid w:val="00125674"/>
    <w:rsid w:val="00125766"/>
    <w:rsid w:val="0012711B"/>
    <w:rsid w:val="00127B64"/>
    <w:rsid w:val="00127BA8"/>
    <w:rsid w:val="00131DDC"/>
    <w:rsid w:val="00131E60"/>
    <w:rsid w:val="00132B21"/>
    <w:rsid w:val="00132B85"/>
    <w:rsid w:val="00132E72"/>
    <w:rsid w:val="00133325"/>
    <w:rsid w:val="0013371C"/>
    <w:rsid w:val="00137288"/>
    <w:rsid w:val="00137C3C"/>
    <w:rsid w:val="001405EC"/>
    <w:rsid w:val="00140EEC"/>
    <w:rsid w:val="00141089"/>
    <w:rsid w:val="0014185A"/>
    <w:rsid w:val="00141F4C"/>
    <w:rsid w:val="00141F7C"/>
    <w:rsid w:val="00142801"/>
    <w:rsid w:val="001431B3"/>
    <w:rsid w:val="00143241"/>
    <w:rsid w:val="0014324E"/>
    <w:rsid w:val="001453E1"/>
    <w:rsid w:val="0014541D"/>
    <w:rsid w:val="001454DD"/>
    <w:rsid w:val="00145DD0"/>
    <w:rsid w:val="00146930"/>
    <w:rsid w:val="00146EFC"/>
    <w:rsid w:val="00147243"/>
    <w:rsid w:val="00150DE7"/>
    <w:rsid w:val="001516D2"/>
    <w:rsid w:val="00151E20"/>
    <w:rsid w:val="00153343"/>
    <w:rsid w:val="00153D9C"/>
    <w:rsid w:val="0015419A"/>
    <w:rsid w:val="00154776"/>
    <w:rsid w:val="0015568C"/>
    <w:rsid w:val="00157117"/>
    <w:rsid w:val="00157AF0"/>
    <w:rsid w:val="00157DCB"/>
    <w:rsid w:val="00162AA6"/>
    <w:rsid w:val="00163BB0"/>
    <w:rsid w:val="001649F7"/>
    <w:rsid w:val="00164EF5"/>
    <w:rsid w:val="001668F8"/>
    <w:rsid w:val="00170581"/>
    <w:rsid w:val="001707AE"/>
    <w:rsid w:val="00171F8A"/>
    <w:rsid w:val="0017249A"/>
    <w:rsid w:val="001728C5"/>
    <w:rsid w:val="001731F3"/>
    <w:rsid w:val="001751A6"/>
    <w:rsid w:val="0017672C"/>
    <w:rsid w:val="00176D7B"/>
    <w:rsid w:val="00180410"/>
    <w:rsid w:val="00180B10"/>
    <w:rsid w:val="0018143E"/>
    <w:rsid w:val="001816C1"/>
    <w:rsid w:val="00183580"/>
    <w:rsid w:val="00183A1E"/>
    <w:rsid w:val="00184592"/>
    <w:rsid w:val="00184F1A"/>
    <w:rsid w:val="00185835"/>
    <w:rsid w:val="0018675E"/>
    <w:rsid w:val="00186775"/>
    <w:rsid w:val="00191335"/>
    <w:rsid w:val="0019163D"/>
    <w:rsid w:val="00191F84"/>
    <w:rsid w:val="00193131"/>
    <w:rsid w:val="0019314A"/>
    <w:rsid w:val="001942BD"/>
    <w:rsid w:val="00194B8E"/>
    <w:rsid w:val="00196E54"/>
    <w:rsid w:val="00197EB6"/>
    <w:rsid w:val="001A27C4"/>
    <w:rsid w:val="001A4A2B"/>
    <w:rsid w:val="001A5609"/>
    <w:rsid w:val="001A6F5E"/>
    <w:rsid w:val="001A7D40"/>
    <w:rsid w:val="001A7DB4"/>
    <w:rsid w:val="001B2E39"/>
    <w:rsid w:val="001B47F4"/>
    <w:rsid w:val="001B5540"/>
    <w:rsid w:val="001B608B"/>
    <w:rsid w:val="001B6544"/>
    <w:rsid w:val="001B67BB"/>
    <w:rsid w:val="001B7A60"/>
    <w:rsid w:val="001B7F8A"/>
    <w:rsid w:val="001C08AA"/>
    <w:rsid w:val="001C202F"/>
    <w:rsid w:val="001C38BE"/>
    <w:rsid w:val="001C3A62"/>
    <w:rsid w:val="001C4119"/>
    <w:rsid w:val="001C4882"/>
    <w:rsid w:val="001C4B00"/>
    <w:rsid w:val="001C51F8"/>
    <w:rsid w:val="001C5EAC"/>
    <w:rsid w:val="001C7F79"/>
    <w:rsid w:val="001D032D"/>
    <w:rsid w:val="001D034B"/>
    <w:rsid w:val="001D08FD"/>
    <w:rsid w:val="001D1138"/>
    <w:rsid w:val="001D1B8E"/>
    <w:rsid w:val="001D3A1D"/>
    <w:rsid w:val="001D42D0"/>
    <w:rsid w:val="001D4B1D"/>
    <w:rsid w:val="001D54D9"/>
    <w:rsid w:val="001D5A10"/>
    <w:rsid w:val="001D750B"/>
    <w:rsid w:val="001D7F0D"/>
    <w:rsid w:val="001E14D0"/>
    <w:rsid w:val="001E28B2"/>
    <w:rsid w:val="001E3106"/>
    <w:rsid w:val="001E36BC"/>
    <w:rsid w:val="001E40A6"/>
    <w:rsid w:val="001E4C7C"/>
    <w:rsid w:val="001E6327"/>
    <w:rsid w:val="001E649D"/>
    <w:rsid w:val="001E6AC9"/>
    <w:rsid w:val="001E6C1D"/>
    <w:rsid w:val="001E6D73"/>
    <w:rsid w:val="001E775F"/>
    <w:rsid w:val="001F0295"/>
    <w:rsid w:val="001F0518"/>
    <w:rsid w:val="001F0708"/>
    <w:rsid w:val="001F1ADC"/>
    <w:rsid w:val="001F1FA0"/>
    <w:rsid w:val="001F3B14"/>
    <w:rsid w:val="001F508F"/>
    <w:rsid w:val="001F6091"/>
    <w:rsid w:val="001F664C"/>
    <w:rsid w:val="001F71BA"/>
    <w:rsid w:val="001F7C51"/>
    <w:rsid w:val="00200A7C"/>
    <w:rsid w:val="00200BA2"/>
    <w:rsid w:val="00200CD4"/>
    <w:rsid w:val="00200E24"/>
    <w:rsid w:val="00201FF8"/>
    <w:rsid w:val="00202C13"/>
    <w:rsid w:val="0020407A"/>
    <w:rsid w:val="00205039"/>
    <w:rsid w:val="0020545E"/>
    <w:rsid w:val="0020558F"/>
    <w:rsid w:val="00206619"/>
    <w:rsid w:val="00206707"/>
    <w:rsid w:val="00210648"/>
    <w:rsid w:val="0021073C"/>
    <w:rsid w:val="002121B9"/>
    <w:rsid w:val="00213757"/>
    <w:rsid w:val="00215B29"/>
    <w:rsid w:val="00215D32"/>
    <w:rsid w:val="002169E2"/>
    <w:rsid w:val="00216BE9"/>
    <w:rsid w:val="00216CBF"/>
    <w:rsid w:val="00220921"/>
    <w:rsid w:val="00220FCA"/>
    <w:rsid w:val="00221112"/>
    <w:rsid w:val="00221532"/>
    <w:rsid w:val="00221AA5"/>
    <w:rsid w:val="00221AD3"/>
    <w:rsid w:val="002223A5"/>
    <w:rsid w:val="002238D0"/>
    <w:rsid w:val="00224053"/>
    <w:rsid w:val="00224448"/>
    <w:rsid w:val="00227917"/>
    <w:rsid w:val="00227EFF"/>
    <w:rsid w:val="00230268"/>
    <w:rsid w:val="00230EF0"/>
    <w:rsid w:val="00232909"/>
    <w:rsid w:val="00232D2A"/>
    <w:rsid w:val="00233545"/>
    <w:rsid w:val="00233CF4"/>
    <w:rsid w:val="002340BE"/>
    <w:rsid w:val="00234391"/>
    <w:rsid w:val="00234E00"/>
    <w:rsid w:val="00235054"/>
    <w:rsid w:val="00235600"/>
    <w:rsid w:val="002359BC"/>
    <w:rsid w:val="00235D67"/>
    <w:rsid w:val="00236592"/>
    <w:rsid w:val="00236963"/>
    <w:rsid w:val="0023751D"/>
    <w:rsid w:val="00243127"/>
    <w:rsid w:val="002439E6"/>
    <w:rsid w:val="00244853"/>
    <w:rsid w:val="00245387"/>
    <w:rsid w:val="00245444"/>
    <w:rsid w:val="002461C3"/>
    <w:rsid w:val="00246BB0"/>
    <w:rsid w:val="002471E2"/>
    <w:rsid w:val="00250BB7"/>
    <w:rsid w:val="00250ED8"/>
    <w:rsid w:val="0025341B"/>
    <w:rsid w:val="00253654"/>
    <w:rsid w:val="00254795"/>
    <w:rsid w:val="002547C0"/>
    <w:rsid w:val="00255248"/>
    <w:rsid w:val="002556E6"/>
    <w:rsid w:val="002559B6"/>
    <w:rsid w:val="00256151"/>
    <w:rsid w:val="0025625B"/>
    <w:rsid w:val="00257107"/>
    <w:rsid w:val="002577DB"/>
    <w:rsid w:val="00257847"/>
    <w:rsid w:val="002579A6"/>
    <w:rsid w:val="00257BD9"/>
    <w:rsid w:val="00257E40"/>
    <w:rsid w:val="0026033B"/>
    <w:rsid w:val="002604F5"/>
    <w:rsid w:val="002606F6"/>
    <w:rsid w:val="002607BE"/>
    <w:rsid w:val="00260EEF"/>
    <w:rsid w:val="002616C5"/>
    <w:rsid w:val="00261817"/>
    <w:rsid w:val="00262647"/>
    <w:rsid w:val="00262C15"/>
    <w:rsid w:val="00263218"/>
    <w:rsid w:val="0026560C"/>
    <w:rsid w:val="00267805"/>
    <w:rsid w:val="0027027D"/>
    <w:rsid w:val="00270342"/>
    <w:rsid w:val="00270BA2"/>
    <w:rsid w:val="0027160C"/>
    <w:rsid w:val="00276E75"/>
    <w:rsid w:val="00277E48"/>
    <w:rsid w:val="00280C2E"/>
    <w:rsid w:val="00281813"/>
    <w:rsid w:val="00282418"/>
    <w:rsid w:val="00282E7C"/>
    <w:rsid w:val="00283217"/>
    <w:rsid w:val="00283BC2"/>
    <w:rsid w:val="00283C6B"/>
    <w:rsid w:val="002854EB"/>
    <w:rsid w:val="00285C70"/>
    <w:rsid w:val="00286A76"/>
    <w:rsid w:val="00290DF0"/>
    <w:rsid w:val="00291580"/>
    <w:rsid w:val="0029203D"/>
    <w:rsid w:val="00292134"/>
    <w:rsid w:val="002934F2"/>
    <w:rsid w:val="002935C6"/>
    <w:rsid w:val="00293A8A"/>
    <w:rsid w:val="00293E55"/>
    <w:rsid w:val="00294101"/>
    <w:rsid w:val="0029453B"/>
    <w:rsid w:val="0029515B"/>
    <w:rsid w:val="002962D6"/>
    <w:rsid w:val="00296AE3"/>
    <w:rsid w:val="00296E19"/>
    <w:rsid w:val="00297953"/>
    <w:rsid w:val="00297B9D"/>
    <w:rsid w:val="002A00B0"/>
    <w:rsid w:val="002A047C"/>
    <w:rsid w:val="002A2B72"/>
    <w:rsid w:val="002A6D40"/>
    <w:rsid w:val="002A777D"/>
    <w:rsid w:val="002A7A1E"/>
    <w:rsid w:val="002B019E"/>
    <w:rsid w:val="002B0219"/>
    <w:rsid w:val="002B089F"/>
    <w:rsid w:val="002B0FBC"/>
    <w:rsid w:val="002B195B"/>
    <w:rsid w:val="002B23AF"/>
    <w:rsid w:val="002B2542"/>
    <w:rsid w:val="002B38B7"/>
    <w:rsid w:val="002B43FF"/>
    <w:rsid w:val="002B44A1"/>
    <w:rsid w:val="002B51AF"/>
    <w:rsid w:val="002B600F"/>
    <w:rsid w:val="002B6425"/>
    <w:rsid w:val="002B7540"/>
    <w:rsid w:val="002C0D34"/>
    <w:rsid w:val="002C0F74"/>
    <w:rsid w:val="002C203C"/>
    <w:rsid w:val="002C42E1"/>
    <w:rsid w:val="002C4745"/>
    <w:rsid w:val="002C47F8"/>
    <w:rsid w:val="002C4DDA"/>
    <w:rsid w:val="002C5FFD"/>
    <w:rsid w:val="002C6F72"/>
    <w:rsid w:val="002D0F07"/>
    <w:rsid w:val="002D11FE"/>
    <w:rsid w:val="002D252B"/>
    <w:rsid w:val="002D29F6"/>
    <w:rsid w:val="002D354E"/>
    <w:rsid w:val="002D45B7"/>
    <w:rsid w:val="002D5BCE"/>
    <w:rsid w:val="002D61E7"/>
    <w:rsid w:val="002D748D"/>
    <w:rsid w:val="002D7DC2"/>
    <w:rsid w:val="002E03A8"/>
    <w:rsid w:val="002E0495"/>
    <w:rsid w:val="002E083D"/>
    <w:rsid w:val="002E0EF3"/>
    <w:rsid w:val="002E2684"/>
    <w:rsid w:val="002E2AC8"/>
    <w:rsid w:val="002E3003"/>
    <w:rsid w:val="002E30D0"/>
    <w:rsid w:val="002E48F9"/>
    <w:rsid w:val="002E5D7C"/>
    <w:rsid w:val="002E69AF"/>
    <w:rsid w:val="002E6B90"/>
    <w:rsid w:val="002E6BC0"/>
    <w:rsid w:val="002E7EA1"/>
    <w:rsid w:val="002F0E90"/>
    <w:rsid w:val="002F1178"/>
    <w:rsid w:val="002F25EB"/>
    <w:rsid w:val="002F353E"/>
    <w:rsid w:val="002F3F4B"/>
    <w:rsid w:val="002F4656"/>
    <w:rsid w:val="002F48D6"/>
    <w:rsid w:val="002F6332"/>
    <w:rsid w:val="002F70F9"/>
    <w:rsid w:val="002F74E8"/>
    <w:rsid w:val="003000EB"/>
    <w:rsid w:val="00300AE7"/>
    <w:rsid w:val="00301ADB"/>
    <w:rsid w:val="00302350"/>
    <w:rsid w:val="00302550"/>
    <w:rsid w:val="00302B6B"/>
    <w:rsid w:val="0030313D"/>
    <w:rsid w:val="00303415"/>
    <w:rsid w:val="003038E8"/>
    <w:rsid w:val="00304916"/>
    <w:rsid w:val="0030684A"/>
    <w:rsid w:val="00306E4B"/>
    <w:rsid w:val="00307375"/>
    <w:rsid w:val="00307D7B"/>
    <w:rsid w:val="00310717"/>
    <w:rsid w:val="00311530"/>
    <w:rsid w:val="00311971"/>
    <w:rsid w:val="00311EE9"/>
    <w:rsid w:val="003126DE"/>
    <w:rsid w:val="00313926"/>
    <w:rsid w:val="00313A2B"/>
    <w:rsid w:val="00313B53"/>
    <w:rsid w:val="0031426D"/>
    <w:rsid w:val="00315382"/>
    <w:rsid w:val="00315B37"/>
    <w:rsid w:val="00316668"/>
    <w:rsid w:val="00316707"/>
    <w:rsid w:val="00316B7D"/>
    <w:rsid w:val="00316D6F"/>
    <w:rsid w:val="003206AB"/>
    <w:rsid w:val="00320979"/>
    <w:rsid w:val="0032160E"/>
    <w:rsid w:val="0032200F"/>
    <w:rsid w:val="00322532"/>
    <w:rsid w:val="00322FBD"/>
    <w:rsid w:val="00323438"/>
    <w:rsid w:val="0032381C"/>
    <w:rsid w:val="00323A0A"/>
    <w:rsid w:val="00324062"/>
    <w:rsid w:val="00324F80"/>
    <w:rsid w:val="00324F84"/>
    <w:rsid w:val="0032542C"/>
    <w:rsid w:val="0032545D"/>
    <w:rsid w:val="00325C32"/>
    <w:rsid w:val="003263D2"/>
    <w:rsid w:val="00326939"/>
    <w:rsid w:val="00326E06"/>
    <w:rsid w:val="003301E6"/>
    <w:rsid w:val="00330487"/>
    <w:rsid w:val="003314B8"/>
    <w:rsid w:val="003332B7"/>
    <w:rsid w:val="00334E54"/>
    <w:rsid w:val="003361DB"/>
    <w:rsid w:val="0033B805"/>
    <w:rsid w:val="003401D4"/>
    <w:rsid w:val="00340B0F"/>
    <w:rsid w:val="00340B9E"/>
    <w:rsid w:val="00340C7C"/>
    <w:rsid w:val="00341746"/>
    <w:rsid w:val="00342551"/>
    <w:rsid w:val="00343A59"/>
    <w:rsid w:val="00344E5B"/>
    <w:rsid w:val="00345EB7"/>
    <w:rsid w:val="00346924"/>
    <w:rsid w:val="00346CAB"/>
    <w:rsid w:val="00346DA0"/>
    <w:rsid w:val="003502BF"/>
    <w:rsid w:val="0035172B"/>
    <w:rsid w:val="00352ACD"/>
    <w:rsid w:val="00352E92"/>
    <w:rsid w:val="003534AC"/>
    <w:rsid w:val="003542FF"/>
    <w:rsid w:val="003546B7"/>
    <w:rsid w:val="00355540"/>
    <w:rsid w:val="00356F46"/>
    <w:rsid w:val="00360849"/>
    <w:rsid w:val="00360C61"/>
    <w:rsid w:val="00363D33"/>
    <w:rsid w:val="00365D5E"/>
    <w:rsid w:val="00370F48"/>
    <w:rsid w:val="00371F77"/>
    <w:rsid w:val="00372B87"/>
    <w:rsid w:val="003738A1"/>
    <w:rsid w:val="00374342"/>
    <w:rsid w:val="00374D2E"/>
    <w:rsid w:val="00376DB9"/>
    <w:rsid w:val="0038059F"/>
    <w:rsid w:val="0038146A"/>
    <w:rsid w:val="003814A1"/>
    <w:rsid w:val="00381F96"/>
    <w:rsid w:val="003827E4"/>
    <w:rsid w:val="00382C82"/>
    <w:rsid w:val="0038415F"/>
    <w:rsid w:val="00384568"/>
    <w:rsid w:val="00385840"/>
    <w:rsid w:val="00386323"/>
    <w:rsid w:val="00390082"/>
    <w:rsid w:val="0039172B"/>
    <w:rsid w:val="00391F34"/>
    <w:rsid w:val="00393F7A"/>
    <w:rsid w:val="00394C3D"/>
    <w:rsid w:val="00395E7B"/>
    <w:rsid w:val="00395F57"/>
    <w:rsid w:val="00397596"/>
    <w:rsid w:val="00397675"/>
    <w:rsid w:val="00397930"/>
    <w:rsid w:val="00397BF0"/>
    <w:rsid w:val="003A0171"/>
    <w:rsid w:val="003A09C4"/>
    <w:rsid w:val="003A1AF6"/>
    <w:rsid w:val="003A1D72"/>
    <w:rsid w:val="003A21A6"/>
    <w:rsid w:val="003A2639"/>
    <w:rsid w:val="003A27FB"/>
    <w:rsid w:val="003A2F2D"/>
    <w:rsid w:val="003A3637"/>
    <w:rsid w:val="003A3749"/>
    <w:rsid w:val="003A4674"/>
    <w:rsid w:val="003A4B31"/>
    <w:rsid w:val="003A56A2"/>
    <w:rsid w:val="003A6327"/>
    <w:rsid w:val="003A6758"/>
    <w:rsid w:val="003A727D"/>
    <w:rsid w:val="003A74E0"/>
    <w:rsid w:val="003A78F8"/>
    <w:rsid w:val="003B0FCD"/>
    <w:rsid w:val="003B20C1"/>
    <w:rsid w:val="003B21B7"/>
    <w:rsid w:val="003B2603"/>
    <w:rsid w:val="003B35B2"/>
    <w:rsid w:val="003B35FA"/>
    <w:rsid w:val="003B403C"/>
    <w:rsid w:val="003B4B8A"/>
    <w:rsid w:val="003B51FE"/>
    <w:rsid w:val="003B54EE"/>
    <w:rsid w:val="003B628E"/>
    <w:rsid w:val="003B65FA"/>
    <w:rsid w:val="003B6B10"/>
    <w:rsid w:val="003B7401"/>
    <w:rsid w:val="003B77D8"/>
    <w:rsid w:val="003C0A95"/>
    <w:rsid w:val="003C0AAC"/>
    <w:rsid w:val="003C12B5"/>
    <w:rsid w:val="003C14B2"/>
    <w:rsid w:val="003C1F21"/>
    <w:rsid w:val="003C27E0"/>
    <w:rsid w:val="003C3CFD"/>
    <w:rsid w:val="003C524F"/>
    <w:rsid w:val="003C5585"/>
    <w:rsid w:val="003C5B10"/>
    <w:rsid w:val="003C6420"/>
    <w:rsid w:val="003C6AFB"/>
    <w:rsid w:val="003C6B22"/>
    <w:rsid w:val="003C7679"/>
    <w:rsid w:val="003D041C"/>
    <w:rsid w:val="003D0557"/>
    <w:rsid w:val="003D1105"/>
    <w:rsid w:val="003D18CD"/>
    <w:rsid w:val="003D2F6F"/>
    <w:rsid w:val="003D3573"/>
    <w:rsid w:val="003D3639"/>
    <w:rsid w:val="003D4B74"/>
    <w:rsid w:val="003D4F45"/>
    <w:rsid w:val="003D5169"/>
    <w:rsid w:val="003D5532"/>
    <w:rsid w:val="003D5B2B"/>
    <w:rsid w:val="003D659C"/>
    <w:rsid w:val="003D67BE"/>
    <w:rsid w:val="003D7081"/>
    <w:rsid w:val="003D7196"/>
    <w:rsid w:val="003D7A0C"/>
    <w:rsid w:val="003E02D7"/>
    <w:rsid w:val="003E035E"/>
    <w:rsid w:val="003E1150"/>
    <w:rsid w:val="003E1B77"/>
    <w:rsid w:val="003E2BEB"/>
    <w:rsid w:val="003E32CA"/>
    <w:rsid w:val="003E3880"/>
    <w:rsid w:val="003E526A"/>
    <w:rsid w:val="003E5702"/>
    <w:rsid w:val="003E5743"/>
    <w:rsid w:val="003E61FA"/>
    <w:rsid w:val="003E6DA4"/>
    <w:rsid w:val="003E6FDD"/>
    <w:rsid w:val="003E70F2"/>
    <w:rsid w:val="003F0949"/>
    <w:rsid w:val="003F21D4"/>
    <w:rsid w:val="003F2688"/>
    <w:rsid w:val="003F27ED"/>
    <w:rsid w:val="003F299D"/>
    <w:rsid w:val="003F3F69"/>
    <w:rsid w:val="003F4603"/>
    <w:rsid w:val="003F4C4D"/>
    <w:rsid w:val="003F4CEA"/>
    <w:rsid w:val="003F4E5B"/>
    <w:rsid w:val="003F690F"/>
    <w:rsid w:val="004004ED"/>
    <w:rsid w:val="00400D9F"/>
    <w:rsid w:val="004017FC"/>
    <w:rsid w:val="00401CEC"/>
    <w:rsid w:val="00401F24"/>
    <w:rsid w:val="00402047"/>
    <w:rsid w:val="004035BE"/>
    <w:rsid w:val="00405FDE"/>
    <w:rsid w:val="00406FB1"/>
    <w:rsid w:val="0040738A"/>
    <w:rsid w:val="0040752D"/>
    <w:rsid w:val="00410121"/>
    <w:rsid w:val="00410F23"/>
    <w:rsid w:val="00410F48"/>
    <w:rsid w:val="0041100B"/>
    <w:rsid w:val="00411AA1"/>
    <w:rsid w:val="00414666"/>
    <w:rsid w:val="0041487D"/>
    <w:rsid w:val="0041499F"/>
    <w:rsid w:val="00414BA8"/>
    <w:rsid w:val="00416E50"/>
    <w:rsid w:val="004170E4"/>
    <w:rsid w:val="00417D06"/>
    <w:rsid w:val="00417F13"/>
    <w:rsid w:val="0041AB30"/>
    <w:rsid w:val="00420592"/>
    <w:rsid w:val="00421BB3"/>
    <w:rsid w:val="00421D9F"/>
    <w:rsid w:val="004227D6"/>
    <w:rsid w:val="00424037"/>
    <w:rsid w:val="004251F4"/>
    <w:rsid w:val="00425486"/>
    <w:rsid w:val="00425B23"/>
    <w:rsid w:val="00426829"/>
    <w:rsid w:val="00430D79"/>
    <w:rsid w:val="0043139F"/>
    <w:rsid w:val="0043144E"/>
    <w:rsid w:val="00431C2E"/>
    <w:rsid w:val="0043273F"/>
    <w:rsid w:val="004337EE"/>
    <w:rsid w:val="00435D33"/>
    <w:rsid w:val="0043664E"/>
    <w:rsid w:val="00437D9F"/>
    <w:rsid w:val="004408FF"/>
    <w:rsid w:val="00441108"/>
    <w:rsid w:val="00444249"/>
    <w:rsid w:val="00444E5A"/>
    <w:rsid w:val="00446776"/>
    <w:rsid w:val="004468B0"/>
    <w:rsid w:val="00446D35"/>
    <w:rsid w:val="00446F40"/>
    <w:rsid w:val="004470E9"/>
    <w:rsid w:val="004502B8"/>
    <w:rsid w:val="00450772"/>
    <w:rsid w:val="00450A9D"/>
    <w:rsid w:val="00450CAE"/>
    <w:rsid w:val="00450E51"/>
    <w:rsid w:val="004516F9"/>
    <w:rsid w:val="00451DEC"/>
    <w:rsid w:val="0045286E"/>
    <w:rsid w:val="00452AE8"/>
    <w:rsid w:val="00453706"/>
    <w:rsid w:val="0045432E"/>
    <w:rsid w:val="00454618"/>
    <w:rsid w:val="004550FA"/>
    <w:rsid w:val="004562D8"/>
    <w:rsid w:val="00456530"/>
    <w:rsid w:val="0045744C"/>
    <w:rsid w:val="00460E16"/>
    <w:rsid w:val="004612C5"/>
    <w:rsid w:val="004614E6"/>
    <w:rsid w:val="004623F1"/>
    <w:rsid w:val="00462EDB"/>
    <w:rsid w:val="00463232"/>
    <w:rsid w:val="00463810"/>
    <w:rsid w:val="0046491F"/>
    <w:rsid w:val="0046521D"/>
    <w:rsid w:val="00465B39"/>
    <w:rsid w:val="00465CFC"/>
    <w:rsid w:val="00466632"/>
    <w:rsid w:val="00466921"/>
    <w:rsid w:val="004672FE"/>
    <w:rsid w:val="00467CB8"/>
    <w:rsid w:val="0047072F"/>
    <w:rsid w:val="004716B8"/>
    <w:rsid w:val="00472612"/>
    <w:rsid w:val="00472A3E"/>
    <w:rsid w:val="004739EC"/>
    <w:rsid w:val="00473BE7"/>
    <w:rsid w:val="0047410D"/>
    <w:rsid w:val="0047442F"/>
    <w:rsid w:val="00474E73"/>
    <w:rsid w:val="0047523C"/>
    <w:rsid w:val="0047542F"/>
    <w:rsid w:val="00475E79"/>
    <w:rsid w:val="00477C18"/>
    <w:rsid w:val="0048021D"/>
    <w:rsid w:val="00480248"/>
    <w:rsid w:val="004816F7"/>
    <w:rsid w:val="00481968"/>
    <w:rsid w:val="00482D38"/>
    <w:rsid w:val="004832A3"/>
    <w:rsid w:val="00483682"/>
    <w:rsid w:val="00483C4B"/>
    <w:rsid w:val="004841F1"/>
    <w:rsid w:val="00484C50"/>
    <w:rsid w:val="00485614"/>
    <w:rsid w:val="004857A2"/>
    <w:rsid w:val="004870F8"/>
    <w:rsid w:val="0049095D"/>
    <w:rsid w:val="00490CEF"/>
    <w:rsid w:val="00490F4D"/>
    <w:rsid w:val="00491588"/>
    <w:rsid w:val="00491F0F"/>
    <w:rsid w:val="00492244"/>
    <w:rsid w:val="00493988"/>
    <w:rsid w:val="004939B9"/>
    <w:rsid w:val="00493D42"/>
    <w:rsid w:val="00494DBE"/>
    <w:rsid w:val="004959FD"/>
    <w:rsid w:val="00496441"/>
    <w:rsid w:val="00496F9F"/>
    <w:rsid w:val="0049765F"/>
    <w:rsid w:val="004A126A"/>
    <w:rsid w:val="004A1A34"/>
    <w:rsid w:val="004A2363"/>
    <w:rsid w:val="004A2EE0"/>
    <w:rsid w:val="004A2F3D"/>
    <w:rsid w:val="004A6410"/>
    <w:rsid w:val="004A715D"/>
    <w:rsid w:val="004A74DE"/>
    <w:rsid w:val="004A7BDA"/>
    <w:rsid w:val="004B015D"/>
    <w:rsid w:val="004B01B1"/>
    <w:rsid w:val="004B04ED"/>
    <w:rsid w:val="004B05F6"/>
    <w:rsid w:val="004B0868"/>
    <w:rsid w:val="004B0C55"/>
    <w:rsid w:val="004B11B4"/>
    <w:rsid w:val="004B241B"/>
    <w:rsid w:val="004B2B90"/>
    <w:rsid w:val="004B2D7A"/>
    <w:rsid w:val="004B36A0"/>
    <w:rsid w:val="004B5069"/>
    <w:rsid w:val="004B5555"/>
    <w:rsid w:val="004B56B6"/>
    <w:rsid w:val="004B5DC5"/>
    <w:rsid w:val="004B64E2"/>
    <w:rsid w:val="004B6606"/>
    <w:rsid w:val="004B67A1"/>
    <w:rsid w:val="004B6A42"/>
    <w:rsid w:val="004B734F"/>
    <w:rsid w:val="004B758A"/>
    <w:rsid w:val="004B7DBE"/>
    <w:rsid w:val="004B7EE9"/>
    <w:rsid w:val="004C2162"/>
    <w:rsid w:val="004C3238"/>
    <w:rsid w:val="004C39AB"/>
    <w:rsid w:val="004C475D"/>
    <w:rsid w:val="004C54A1"/>
    <w:rsid w:val="004C6236"/>
    <w:rsid w:val="004C713C"/>
    <w:rsid w:val="004D05F5"/>
    <w:rsid w:val="004D06DE"/>
    <w:rsid w:val="004D0B48"/>
    <w:rsid w:val="004D14B5"/>
    <w:rsid w:val="004D170C"/>
    <w:rsid w:val="004D19ED"/>
    <w:rsid w:val="004D1CFC"/>
    <w:rsid w:val="004D1E7E"/>
    <w:rsid w:val="004D369B"/>
    <w:rsid w:val="004D42C6"/>
    <w:rsid w:val="004D49EA"/>
    <w:rsid w:val="004D4CAC"/>
    <w:rsid w:val="004D600E"/>
    <w:rsid w:val="004D6AA2"/>
    <w:rsid w:val="004D7093"/>
    <w:rsid w:val="004D757F"/>
    <w:rsid w:val="004D78CF"/>
    <w:rsid w:val="004D7E1D"/>
    <w:rsid w:val="004E1155"/>
    <w:rsid w:val="004E3135"/>
    <w:rsid w:val="004E3FE3"/>
    <w:rsid w:val="004E47AB"/>
    <w:rsid w:val="004E55DD"/>
    <w:rsid w:val="004E5A32"/>
    <w:rsid w:val="004E5C4B"/>
    <w:rsid w:val="004E5E6D"/>
    <w:rsid w:val="004E6915"/>
    <w:rsid w:val="004E6C62"/>
    <w:rsid w:val="004E76B9"/>
    <w:rsid w:val="004F0EDD"/>
    <w:rsid w:val="004F19E7"/>
    <w:rsid w:val="004F1F3B"/>
    <w:rsid w:val="004F25AB"/>
    <w:rsid w:val="004F2694"/>
    <w:rsid w:val="004F2AF3"/>
    <w:rsid w:val="004F3EB3"/>
    <w:rsid w:val="004F4505"/>
    <w:rsid w:val="004F4CCE"/>
    <w:rsid w:val="004F506C"/>
    <w:rsid w:val="004F5559"/>
    <w:rsid w:val="004F61E4"/>
    <w:rsid w:val="004F77BB"/>
    <w:rsid w:val="004F7A6D"/>
    <w:rsid w:val="0050006E"/>
    <w:rsid w:val="005000EF"/>
    <w:rsid w:val="005010F2"/>
    <w:rsid w:val="0050114C"/>
    <w:rsid w:val="0050278B"/>
    <w:rsid w:val="005028BA"/>
    <w:rsid w:val="00503218"/>
    <w:rsid w:val="0050343D"/>
    <w:rsid w:val="00503B29"/>
    <w:rsid w:val="0050522F"/>
    <w:rsid w:val="00506929"/>
    <w:rsid w:val="00507F30"/>
    <w:rsid w:val="00511656"/>
    <w:rsid w:val="005120B7"/>
    <w:rsid w:val="00512D8B"/>
    <w:rsid w:val="00512EFA"/>
    <w:rsid w:val="00513DD7"/>
    <w:rsid w:val="00513FC8"/>
    <w:rsid w:val="00514DAD"/>
    <w:rsid w:val="00515339"/>
    <w:rsid w:val="0051535E"/>
    <w:rsid w:val="005162D0"/>
    <w:rsid w:val="00516DFE"/>
    <w:rsid w:val="00516F23"/>
    <w:rsid w:val="00517817"/>
    <w:rsid w:val="005204F1"/>
    <w:rsid w:val="00520C5F"/>
    <w:rsid w:val="00520EB4"/>
    <w:rsid w:val="0052229E"/>
    <w:rsid w:val="0052281B"/>
    <w:rsid w:val="00522B8F"/>
    <w:rsid w:val="00523F97"/>
    <w:rsid w:val="005243C4"/>
    <w:rsid w:val="005249AB"/>
    <w:rsid w:val="0052571B"/>
    <w:rsid w:val="00525C8F"/>
    <w:rsid w:val="005265D0"/>
    <w:rsid w:val="00526E58"/>
    <w:rsid w:val="0052792D"/>
    <w:rsid w:val="00527E2E"/>
    <w:rsid w:val="00530047"/>
    <w:rsid w:val="005305C6"/>
    <w:rsid w:val="005315D2"/>
    <w:rsid w:val="0053280D"/>
    <w:rsid w:val="00532994"/>
    <w:rsid w:val="005376CF"/>
    <w:rsid w:val="005403DF"/>
    <w:rsid w:val="00540B3D"/>
    <w:rsid w:val="005417AA"/>
    <w:rsid w:val="0054281D"/>
    <w:rsid w:val="00542F28"/>
    <w:rsid w:val="00543878"/>
    <w:rsid w:val="00544D02"/>
    <w:rsid w:val="005453E7"/>
    <w:rsid w:val="00545CE9"/>
    <w:rsid w:val="00546380"/>
    <w:rsid w:val="00546A71"/>
    <w:rsid w:val="005505F6"/>
    <w:rsid w:val="005507F2"/>
    <w:rsid w:val="00550924"/>
    <w:rsid w:val="0055134A"/>
    <w:rsid w:val="00554327"/>
    <w:rsid w:val="005543FC"/>
    <w:rsid w:val="00554BCE"/>
    <w:rsid w:val="005554F0"/>
    <w:rsid w:val="00556738"/>
    <w:rsid w:val="00556C9E"/>
    <w:rsid w:val="005602C4"/>
    <w:rsid w:val="0056091F"/>
    <w:rsid w:val="00560986"/>
    <w:rsid w:val="00560BAF"/>
    <w:rsid w:val="005613C5"/>
    <w:rsid w:val="00562A31"/>
    <w:rsid w:val="00562EA6"/>
    <w:rsid w:val="00563020"/>
    <w:rsid w:val="00563756"/>
    <w:rsid w:val="00564293"/>
    <w:rsid w:val="00570B23"/>
    <w:rsid w:val="00570E2C"/>
    <w:rsid w:val="00570E32"/>
    <w:rsid w:val="00571045"/>
    <w:rsid w:val="00571D20"/>
    <w:rsid w:val="0057325F"/>
    <w:rsid w:val="0057376F"/>
    <w:rsid w:val="005738C9"/>
    <w:rsid w:val="00573AC3"/>
    <w:rsid w:val="00575E38"/>
    <w:rsid w:val="005766B6"/>
    <w:rsid w:val="00576AC6"/>
    <w:rsid w:val="00576C5E"/>
    <w:rsid w:val="00581982"/>
    <w:rsid w:val="00582BCB"/>
    <w:rsid w:val="005834D1"/>
    <w:rsid w:val="00583B0C"/>
    <w:rsid w:val="005846BF"/>
    <w:rsid w:val="0058532B"/>
    <w:rsid w:val="00585A81"/>
    <w:rsid w:val="0058709D"/>
    <w:rsid w:val="005900BF"/>
    <w:rsid w:val="00591841"/>
    <w:rsid w:val="00591851"/>
    <w:rsid w:val="00592A66"/>
    <w:rsid w:val="00593211"/>
    <w:rsid w:val="00593784"/>
    <w:rsid w:val="005939F1"/>
    <w:rsid w:val="00593CC9"/>
    <w:rsid w:val="00594550"/>
    <w:rsid w:val="00594DE3"/>
    <w:rsid w:val="00595C0B"/>
    <w:rsid w:val="00596508"/>
    <w:rsid w:val="00596FBD"/>
    <w:rsid w:val="00597467"/>
    <w:rsid w:val="005A0AEF"/>
    <w:rsid w:val="005A14DD"/>
    <w:rsid w:val="005A16D8"/>
    <w:rsid w:val="005A187E"/>
    <w:rsid w:val="005A1964"/>
    <w:rsid w:val="005A3E66"/>
    <w:rsid w:val="005A40A3"/>
    <w:rsid w:val="005A4B55"/>
    <w:rsid w:val="005A4BF3"/>
    <w:rsid w:val="005A5364"/>
    <w:rsid w:val="005A5F23"/>
    <w:rsid w:val="005A6A9C"/>
    <w:rsid w:val="005A729F"/>
    <w:rsid w:val="005A795D"/>
    <w:rsid w:val="005A7AAF"/>
    <w:rsid w:val="005B0B82"/>
    <w:rsid w:val="005B0F6B"/>
    <w:rsid w:val="005B1657"/>
    <w:rsid w:val="005B223F"/>
    <w:rsid w:val="005B28F4"/>
    <w:rsid w:val="005B2CEF"/>
    <w:rsid w:val="005B32A5"/>
    <w:rsid w:val="005B4024"/>
    <w:rsid w:val="005B40F4"/>
    <w:rsid w:val="005B49B1"/>
    <w:rsid w:val="005B4AD5"/>
    <w:rsid w:val="005B4ADD"/>
    <w:rsid w:val="005B581C"/>
    <w:rsid w:val="005B5E07"/>
    <w:rsid w:val="005B6CBD"/>
    <w:rsid w:val="005B7A02"/>
    <w:rsid w:val="005C0353"/>
    <w:rsid w:val="005C0BD5"/>
    <w:rsid w:val="005C185C"/>
    <w:rsid w:val="005C1DA6"/>
    <w:rsid w:val="005C22FE"/>
    <w:rsid w:val="005C311C"/>
    <w:rsid w:val="005C3900"/>
    <w:rsid w:val="005C4B44"/>
    <w:rsid w:val="005C581D"/>
    <w:rsid w:val="005C5F24"/>
    <w:rsid w:val="005C727A"/>
    <w:rsid w:val="005C73EF"/>
    <w:rsid w:val="005D003B"/>
    <w:rsid w:val="005D31FA"/>
    <w:rsid w:val="005D38CE"/>
    <w:rsid w:val="005D3C04"/>
    <w:rsid w:val="005D3F3E"/>
    <w:rsid w:val="005D4081"/>
    <w:rsid w:val="005D4883"/>
    <w:rsid w:val="005D4930"/>
    <w:rsid w:val="005D5F87"/>
    <w:rsid w:val="005D6385"/>
    <w:rsid w:val="005D6CAB"/>
    <w:rsid w:val="005D716B"/>
    <w:rsid w:val="005D73BD"/>
    <w:rsid w:val="005D7BEF"/>
    <w:rsid w:val="005D9519"/>
    <w:rsid w:val="005E041F"/>
    <w:rsid w:val="005E126F"/>
    <w:rsid w:val="005E131B"/>
    <w:rsid w:val="005E1482"/>
    <w:rsid w:val="005E1FB5"/>
    <w:rsid w:val="005E215C"/>
    <w:rsid w:val="005E2172"/>
    <w:rsid w:val="005E29CD"/>
    <w:rsid w:val="005E2B7D"/>
    <w:rsid w:val="005E357E"/>
    <w:rsid w:val="005E61E7"/>
    <w:rsid w:val="005E7027"/>
    <w:rsid w:val="005F13F1"/>
    <w:rsid w:val="005F1680"/>
    <w:rsid w:val="005F187F"/>
    <w:rsid w:val="005F189B"/>
    <w:rsid w:val="005F1CBE"/>
    <w:rsid w:val="005F1DE3"/>
    <w:rsid w:val="005F2BDB"/>
    <w:rsid w:val="005F3F3E"/>
    <w:rsid w:val="005F4056"/>
    <w:rsid w:val="005F59D3"/>
    <w:rsid w:val="005F5F11"/>
    <w:rsid w:val="005F6336"/>
    <w:rsid w:val="005F67A8"/>
    <w:rsid w:val="005F6C1C"/>
    <w:rsid w:val="006003BE"/>
    <w:rsid w:val="0060327F"/>
    <w:rsid w:val="0060344E"/>
    <w:rsid w:val="006039D5"/>
    <w:rsid w:val="0060482C"/>
    <w:rsid w:val="00606DD1"/>
    <w:rsid w:val="00607217"/>
    <w:rsid w:val="00607826"/>
    <w:rsid w:val="00610879"/>
    <w:rsid w:val="00611D0C"/>
    <w:rsid w:val="00612757"/>
    <w:rsid w:val="00612D4A"/>
    <w:rsid w:val="00613164"/>
    <w:rsid w:val="0061350A"/>
    <w:rsid w:val="006137BC"/>
    <w:rsid w:val="006140FB"/>
    <w:rsid w:val="00614D4F"/>
    <w:rsid w:val="006155F4"/>
    <w:rsid w:val="0061783F"/>
    <w:rsid w:val="00620699"/>
    <w:rsid w:val="00621280"/>
    <w:rsid w:val="00626941"/>
    <w:rsid w:val="00626DB7"/>
    <w:rsid w:val="006276B1"/>
    <w:rsid w:val="0062776F"/>
    <w:rsid w:val="006307E8"/>
    <w:rsid w:val="00630BD1"/>
    <w:rsid w:val="00630C82"/>
    <w:rsid w:val="0063146A"/>
    <w:rsid w:val="00631559"/>
    <w:rsid w:val="0063195B"/>
    <w:rsid w:val="00631DE7"/>
    <w:rsid w:val="00632C0E"/>
    <w:rsid w:val="00633423"/>
    <w:rsid w:val="00633732"/>
    <w:rsid w:val="00633AE2"/>
    <w:rsid w:val="006354C0"/>
    <w:rsid w:val="00636A65"/>
    <w:rsid w:val="00637038"/>
    <w:rsid w:val="006377F0"/>
    <w:rsid w:val="006378F2"/>
    <w:rsid w:val="00640214"/>
    <w:rsid w:val="00641068"/>
    <w:rsid w:val="00641FF8"/>
    <w:rsid w:val="00643784"/>
    <w:rsid w:val="00643B2C"/>
    <w:rsid w:val="00643E1D"/>
    <w:rsid w:val="00644861"/>
    <w:rsid w:val="00646215"/>
    <w:rsid w:val="00647261"/>
    <w:rsid w:val="00647E97"/>
    <w:rsid w:val="00650210"/>
    <w:rsid w:val="0065207D"/>
    <w:rsid w:val="006520E0"/>
    <w:rsid w:val="00652952"/>
    <w:rsid w:val="00652D09"/>
    <w:rsid w:val="00653785"/>
    <w:rsid w:val="00654216"/>
    <w:rsid w:val="00655853"/>
    <w:rsid w:val="00655D00"/>
    <w:rsid w:val="00656EEC"/>
    <w:rsid w:val="00656F88"/>
    <w:rsid w:val="00657375"/>
    <w:rsid w:val="006578EC"/>
    <w:rsid w:val="00657FDE"/>
    <w:rsid w:val="00661245"/>
    <w:rsid w:val="00661777"/>
    <w:rsid w:val="006620BD"/>
    <w:rsid w:val="006636AD"/>
    <w:rsid w:val="00663E11"/>
    <w:rsid w:val="00663E48"/>
    <w:rsid w:val="0066493F"/>
    <w:rsid w:val="006659C6"/>
    <w:rsid w:val="00665E4C"/>
    <w:rsid w:val="0066656A"/>
    <w:rsid w:val="00666E3B"/>
    <w:rsid w:val="006673AC"/>
    <w:rsid w:val="006675A1"/>
    <w:rsid w:val="00667910"/>
    <w:rsid w:val="00667A34"/>
    <w:rsid w:val="00671639"/>
    <w:rsid w:val="0067194F"/>
    <w:rsid w:val="00673205"/>
    <w:rsid w:val="0067460A"/>
    <w:rsid w:val="006751BE"/>
    <w:rsid w:val="00676DC7"/>
    <w:rsid w:val="00682BA8"/>
    <w:rsid w:val="006838BD"/>
    <w:rsid w:val="00683F70"/>
    <w:rsid w:val="0068508C"/>
    <w:rsid w:val="00685593"/>
    <w:rsid w:val="006873AF"/>
    <w:rsid w:val="00687D5C"/>
    <w:rsid w:val="00694364"/>
    <w:rsid w:val="006947A6"/>
    <w:rsid w:val="00695353"/>
    <w:rsid w:val="006A05DB"/>
    <w:rsid w:val="006A0C76"/>
    <w:rsid w:val="006A0F1F"/>
    <w:rsid w:val="006A1312"/>
    <w:rsid w:val="006A2E7C"/>
    <w:rsid w:val="006A56EB"/>
    <w:rsid w:val="006A56F7"/>
    <w:rsid w:val="006A59AB"/>
    <w:rsid w:val="006A5DCE"/>
    <w:rsid w:val="006A647C"/>
    <w:rsid w:val="006A74EA"/>
    <w:rsid w:val="006A772F"/>
    <w:rsid w:val="006A7B22"/>
    <w:rsid w:val="006B05F0"/>
    <w:rsid w:val="006B0C44"/>
    <w:rsid w:val="006B11D2"/>
    <w:rsid w:val="006B1543"/>
    <w:rsid w:val="006B1720"/>
    <w:rsid w:val="006B1CEE"/>
    <w:rsid w:val="006B21F1"/>
    <w:rsid w:val="006B23E0"/>
    <w:rsid w:val="006B2645"/>
    <w:rsid w:val="006B2752"/>
    <w:rsid w:val="006B49BE"/>
    <w:rsid w:val="006B570F"/>
    <w:rsid w:val="006B6B28"/>
    <w:rsid w:val="006B6D47"/>
    <w:rsid w:val="006B704D"/>
    <w:rsid w:val="006B74BA"/>
    <w:rsid w:val="006C0008"/>
    <w:rsid w:val="006C06E5"/>
    <w:rsid w:val="006C14F2"/>
    <w:rsid w:val="006C166A"/>
    <w:rsid w:val="006C17B0"/>
    <w:rsid w:val="006C27A4"/>
    <w:rsid w:val="006C43BA"/>
    <w:rsid w:val="006C4727"/>
    <w:rsid w:val="006C5267"/>
    <w:rsid w:val="006C5C48"/>
    <w:rsid w:val="006C60B1"/>
    <w:rsid w:val="006C6C2D"/>
    <w:rsid w:val="006C7202"/>
    <w:rsid w:val="006C7596"/>
    <w:rsid w:val="006C76E1"/>
    <w:rsid w:val="006D031E"/>
    <w:rsid w:val="006D0383"/>
    <w:rsid w:val="006D0A14"/>
    <w:rsid w:val="006D15C2"/>
    <w:rsid w:val="006D1C07"/>
    <w:rsid w:val="006D271B"/>
    <w:rsid w:val="006D2726"/>
    <w:rsid w:val="006D2835"/>
    <w:rsid w:val="006D28F4"/>
    <w:rsid w:val="006D2BAA"/>
    <w:rsid w:val="006D3B68"/>
    <w:rsid w:val="006D3DC0"/>
    <w:rsid w:val="006D42C7"/>
    <w:rsid w:val="006D454F"/>
    <w:rsid w:val="006D4DAF"/>
    <w:rsid w:val="006E0313"/>
    <w:rsid w:val="006E0769"/>
    <w:rsid w:val="006E0EB0"/>
    <w:rsid w:val="006E1E55"/>
    <w:rsid w:val="006E2898"/>
    <w:rsid w:val="006E291B"/>
    <w:rsid w:val="006E36D6"/>
    <w:rsid w:val="006E41B9"/>
    <w:rsid w:val="006E60C2"/>
    <w:rsid w:val="006E6438"/>
    <w:rsid w:val="006E69B8"/>
    <w:rsid w:val="006E69CB"/>
    <w:rsid w:val="006E6C43"/>
    <w:rsid w:val="006E7FD0"/>
    <w:rsid w:val="006F047C"/>
    <w:rsid w:val="006F1EFF"/>
    <w:rsid w:val="006F2594"/>
    <w:rsid w:val="006F28CD"/>
    <w:rsid w:val="006F4A38"/>
    <w:rsid w:val="006F4A7D"/>
    <w:rsid w:val="006F52CB"/>
    <w:rsid w:val="006F52CC"/>
    <w:rsid w:val="006F54CE"/>
    <w:rsid w:val="006F631D"/>
    <w:rsid w:val="006F63F3"/>
    <w:rsid w:val="006F6EDD"/>
    <w:rsid w:val="006F7736"/>
    <w:rsid w:val="007003C6"/>
    <w:rsid w:val="00700BD0"/>
    <w:rsid w:val="007018C5"/>
    <w:rsid w:val="00702AC1"/>
    <w:rsid w:val="00702F05"/>
    <w:rsid w:val="00703267"/>
    <w:rsid w:val="00703612"/>
    <w:rsid w:val="00704315"/>
    <w:rsid w:val="00704CA9"/>
    <w:rsid w:val="007050DB"/>
    <w:rsid w:val="007051AB"/>
    <w:rsid w:val="007058AA"/>
    <w:rsid w:val="007075D0"/>
    <w:rsid w:val="007078A8"/>
    <w:rsid w:val="007102F6"/>
    <w:rsid w:val="007106B0"/>
    <w:rsid w:val="007107E7"/>
    <w:rsid w:val="0071124D"/>
    <w:rsid w:val="007119CA"/>
    <w:rsid w:val="00711FBF"/>
    <w:rsid w:val="00712644"/>
    <w:rsid w:val="00712EBB"/>
    <w:rsid w:val="00712F1D"/>
    <w:rsid w:val="00714A87"/>
    <w:rsid w:val="007155DD"/>
    <w:rsid w:val="00715A03"/>
    <w:rsid w:val="00715C41"/>
    <w:rsid w:val="00715CD4"/>
    <w:rsid w:val="00716229"/>
    <w:rsid w:val="00716EA9"/>
    <w:rsid w:val="007175BC"/>
    <w:rsid w:val="007176A0"/>
    <w:rsid w:val="00722E50"/>
    <w:rsid w:val="007231B2"/>
    <w:rsid w:val="007233DB"/>
    <w:rsid w:val="00723FE8"/>
    <w:rsid w:val="0072511D"/>
    <w:rsid w:val="00726A7A"/>
    <w:rsid w:val="00726F59"/>
    <w:rsid w:val="007272E2"/>
    <w:rsid w:val="00730D73"/>
    <w:rsid w:val="00731D69"/>
    <w:rsid w:val="007320C0"/>
    <w:rsid w:val="00732470"/>
    <w:rsid w:val="00732699"/>
    <w:rsid w:val="00732DAB"/>
    <w:rsid w:val="00733748"/>
    <w:rsid w:val="00733C5C"/>
    <w:rsid w:val="00733DBB"/>
    <w:rsid w:val="0073410A"/>
    <w:rsid w:val="007346CA"/>
    <w:rsid w:val="00734EBA"/>
    <w:rsid w:val="00735C41"/>
    <w:rsid w:val="0073707A"/>
    <w:rsid w:val="0073732F"/>
    <w:rsid w:val="007400EA"/>
    <w:rsid w:val="007406F7"/>
    <w:rsid w:val="0074118B"/>
    <w:rsid w:val="0074149A"/>
    <w:rsid w:val="00741588"/>
    <w:rsid w:val="00741998"/>
    <w:rsid w:val="00741F4D"/>
    <w:rsid w:val="007421F2"/>
    <w:rsid w:val="0074410A"/>
    <w:rsid w:val="00744283"/>
    <w:rsid w:val="00745C62"/>
    <w:rsid w:val="007466D0"/>
    <w:rsid w:val="00746F41"/>
    <w:rsid w:val="007470D5"/>
    <w:rsid w:val="00747A13"/>
    <w:rsid w:val="00747D44"/>
    <w:rsid w:val="007501E1"/>
    <w:rsid w:val="007538F2"/>
    <w:rsid w:val="007540F3"/>
    <w:rsid w:val="00754646"/>
    <w:rsid w:val="007549EA"/>
    <w:rsid w:val="0075515B"/>
    <w:rsid w:val="00756176"/>
    <w:rsid w:val="00756C6D"/>
    <w:rsid w:val="0075702E"/>
    <w:rsid w:val="00757748"/>
    <w:rsid w:val="00760E35"/>
    <w:rsid w:val="0076117F"/>
    <w:rsid w:val="00761745"/>
    <w:rsid w:val="00762778"/>
    <w:rsid w:val="0076312B"/>
    <w:rsid w:val="007637B6"/>
    <w:rsid w:val="007663E1"/>
    <w:rsid w:val="0076672D"/>
    <w:rsid w:val="00766782"/>
    <w:rsid w:val="007674AF"/>
    <w:rsid w:val="007704C4"/>
    <w:rsid w:val="00771314"/>
    <w:rsid w:val="00771A15"/>
    <w:rsid w:val="00771A2E"/>
    <w:rsid w:val="00771EDB"/>
    <w:rsid w:val="00772C65"/>
    <w:rsid w:val="0077334D"/>
    <w:rsid w:val="0077351C"/>
    <w:rsid w:val="0077382F"/>
    <w:rsid w:val="00774FB8"/>
    <w:rsid w:val="00775BBB"/>
    <w:rsid w:val="00776D00"/>
    <w:rsid w:val="00777436"/>
    <w:rsid w:val="007804B1"/>
    <w:rsid w:val="00780913"/>
    <w:rsid w:val="00782C32"/>
    <w:rsid w:val="00783166"/>
    <w:rsid w:val="0078354B"/>
    <w:rsid w:val="007846A2"/>
    <w:rsid w:val="00784F23"/>
    <w:rsid w:val="00784FF9"/>
    <w:rsid w:val="00785457"/>
    <w:rsid w:val="0078650B"/>
    <w:rsid w:val="00791B45"/>
    <w:rsid w:val="0079316D"/>
    <w:rsid w:val="00794D69"/>
    <w:rsid w:val="00796D40"/>
    <w:rsid w:val="007972E2"/>
    <w:rsid w:val="0079740C"/>
    <w:rsid w:val="00797E29"/>
    <w:rsid w:val="007A1661"/>
    <w:rsid w:val="007A2199"/>
    <w:rsid w:val="007A2359"/>
    <w:rsid w:val="007A36A5"/>
    <w:rsid w:val="007A3B76"/>
    <w:rsid w:val="007A4899"/>
    <w:rsid w:val="007A4CB2"/>
    <w:rsid w:val="007A5265"/>
    <w:rsid w:val="007A5BF0"/>
    <w:rsid w:val="007A745C"/>
    <w:rsid w:val="007A7AB9"/>
    <w:rsid w:val="007A7E81"/>
    <w:rsid w:val="007B007A"/>
    <w:rsid w:val="007B02D4"/>
    <w:rsid w:val="007B0435"/>
    <w:rsid w:val="007B0EA7"/>
    <w:rsid w:val="007B16CD"/>
    <w:rsid w:val="007B26C0"/>
    <w:rsid w:val="007B27F0"/>
    <w:rsid w:val="007B2D1F"/>
    <w:rsid w:val="007B2D43"/>
    <w:rsid w:val="007B31EA"/>
    <w:rsid w:val="007B45C1"/>
    <w:rsid w:val="007B4BFB"/>
    <w:rsid w:val="007B5322"/>
    <w:rsid w:val="007B586A"/>
    <w:rsid w:val="007B5D60"/>
    <w:rsid w:val="007B724D"/>
    <w:rsid w:val="007C0F12"/>
    <w:rsid w:val="007C301E"/>
    <w:rsid w:val="007C303D"/>
    <w:rsid w:val="007C3AA0"/>
    <w:rsid w:val="007C42CD"/>
    <w:rsid w:val="007C52ED"/>
    <w:rsid w:val="007C71C9"/>
    <w:rsid w:val="007C7E9A"/>
    <w:rsid w:val="007D0239"/>
    <w:rsid w:val="007D0446"/>
    <w:rsid w:val="007D0854"/>
    <w:rsid w:val="007D0F9F"/>
    <w:rsid w:val="007D3C7C"/>
    <w:rsid w:val="007D55E9"/>
    <w:rsid w:val="007D5FC8"/>
    <w:rsid w:val="007D6016"/>
    <w:rsid w:val="007D7929"/>
    <w:rsid w:val="007D7A96"/>
    <w:rsid w:val="007E0437"/>
    <w:rsid w:val="007E0FF0"/>
    <w:rsid w:val="007E17BC"/>
    <w:rsid w:val="007E2951"/>
    <w:rsid w:val="007E2F7E"/>
    <w:rsid w:val="007E3323"/>
    <w:rsid w:val="007E38A9"/>
    <w:rsid w:val="007E39D2"/>
    <w:rsid w:val="007E3C45"/>
    <w:rsid w:val="007E4416"/>
    <w:rsid w:val="007E635A"/>
    <w:rsid w:val="007E6398"/>
    <w:rsid w:val="007F1077"/>
    <w:rsid w:val="007F1199"/>
    <w:rsid w:val="007F1C24"/>
    <w:rsid w:val="007F2341"/>
    <w:rsid w:val="007F2599"/>
    <w:rsid w:val="007F3578"/>
    <w:rsid w:val="007F4AFA"/>
    <w:rsid w:val="007F4C8A"/>
    <w:rsid w:val="007F51FA"/>
    <w:rsid w:val="007F672C"/>
    <w:rsid w:val="007F7668"/>
    <w:rsid w:val="007F7DC6"/>
    <w:rsid w:val="007F7FC3"/>
    <w:rsid w:val="00802D45"/>
    <w:rsid w:val="00802E66"/>
    <w:rsid w:val="00803BC2"/>
    <w:rsid w:val="00803E43"/>
    <w:rsid w:val="008047B9"/>
    <w:rsid w:val="00804C71"/>
    <w:rsid w:val="00804E92"/>
    <w:rsid w:val="00806AA4"/>
    <w:rsid w:val="00806EC2"/>
    <w:rsid w:val="00807D27"/>
    <w:rsid w:val="00807EAE"/>
    <w:rsid w:val="00810231"/>
    <w:rsid w:val="00811D23"/>
    <w:rsid w:val="00812C07"/>
    <w:rsid w:val="008133FB"/>
    <w:rsid w:val="00813FF5"/>
    <w:rsid w:val="0081411C"/>
    <w:rsid w:val="008141D4"/>
    <w:rsid w:val="00814244"/>
    <w:rsid w:val="008148D3"/>
    <w:rsid w:val="0081532A"/>
    <w:rsid w:val="0081559E"/>
    <w:rsid w:val="00816250"/>
    <w:rsid w:val="00816894"/>
    <w:rsid w:val="008173C5"/>
    <w:rsid w:val="0081768A"/>
    <w:rsid w:val="0081797F"/>
    <w:rsid w:val="008203B0"/>
    <w:rsid w:val="0082106E"/>
    <w:rsid w:val="00821DFF"/>
    <w:rsid w:val="0082250A"/>
    <w:rsid w:val="008246D0"/>
    <w:rsid w:val="0082585B"/>
    <w:rsid w:val="00826186"/>
    <w:rsid w:val="00826D55"/>
    <w:rsid w:val="00826DDF"/>
    <w:rsid w:val="00827692"/>
    <w:rsid w:val="00827D4D"/>
    <w:rsid w:val="00830FE3"/>
    <w:rsid w:val="00831F4A"/>
    <w:rsid w:val="00832193"/>
    <w:rsid w:val="00832634"/>
    <w:rsid w:val="00836171"/>
    <w:rsid w:val="0083675E"/>
    <w:rsid w:val="00841020"/>
    <w:rsid w:val="008418FE"/>
    <w:rsid w:val="0084342D"/>
    <w:rsid w:val="00845331"/>
    <w:rsid w:val="00846137"/>
    <w:rsid w:val="008466F3"/>
    <w:rsid w:val="00847847"/>
    <w:rsid w:val="00847C92"/>
    <w:rsid w:val="00847D47"/>
    <w:rsid w:val="00850223"/>
    <w:rsid w:val="00850655"/>
    <w:rsid w:val="00850791"/>
    <w:rsid w:val="00850926"/>
    <w:rsid w:val="00850D30"/>
    <w:rsid w:val="00851B2D"/>
    <w:rsid w:val="00852788"/>
    <w:rsid w:val="008538D8"/>
    <w:rsid w:val="008540AE"/>
    <w:rsid w:val="00855E9C"/>
    <w:rsid w:val="00856194"/>
    <w:rsid w:val="00856945"/>
    <w:rsid w:val="00856E8A"/>
    <w:rsid w:val="00857A75"/>
    <w:rsid w:val="00857B1F"/>
    <w:rsid w:val="00857DB5"/>
    <w:rsid w:val="008608C7"/>
    <w:rsid w:val="00860902"/>
    <w:rsid w:val="0086101D"/>
    <w:rsid w:val="00861D39"/>
    <w:rsid w:val="0086247C"/>
    <w:rsid w:val="00863AC5"/>
    <w:rsid w:val="00863D27"/>
    <w:rsid w:val="00864203"/>
    <w:rsid w:val="008646C9"/>
    <w:rsid w:val="00865D08"/>
    <w:rsid w:val="00865FA5"/>
    <w:rsid w:val="008667C6"/>
    <w:rsid w:val="00867C37"/>
    <w:rsid w:val="00870235"/>
    <w:rsid w:val="0087153A"/>
    <w:rsid w:val="00871D80"/>
    <w:rsid w:val="00872C07"/>
    <w:rsid w:val="00873AC6"/>
    <w:rsid w:val="00874227"/>
    <w:rsid w:val="00874681"/>
    <w:rsid w:val="008747AD"/>
    <w:rsid w:val="0087514F"/>
    <w:rsid w:val="0087637E"/>
    <w:rsid w:val="008765FC"/>
    <w:rsid w:val="008769BE"/>
    <w:rsid w:val="00876E1D"/>
    <w:rsid w:val="00877344"/>
    <w:rsid w:val="00882D2E"/>
    <w:rsid w:val="00882DE2"/>
    <w:rsid w:val="00883081"/>
    <w:rsid w:val="008833AD"/>
    <w:rsid w:val="0088379D"/>
    <w:rsid w:val="00884095"/>
    <w:rsid w:val="00884D3B"/>
    <w:rsid w:val="00884E9B"/>
    <w:rsid w:val="008857F5"/>
    <w:rsid w:val="00885C0C"/>
    <w:rsid w:val="00886151"/>
    <w:rsid w:val="00890D28"/>
    <w:rsid w:val="0089104F"/>
    <w:rsid w:val="00891994"/>
    <w:rsid w:val="00893101"/>
    <w:rsid w:val="00893692"/>
    <w:rsid w:val="0089376A"/>
    <w:rsid w:val="00893DDE"/>
    <w:rsid w:val="00894765"/>
    <w:rsid w:val="00894C1F"/>
    <w:rsid w:val="008954F2"/>
    <w:rsid w:val="00896287"/>
    <w:rsid w:val="00896DDC"/>
    <w:rsid w:val="00896E3C"/>
    <w:rsid w:val="008A045C"/>
    <w:rsid w:val="008A116D"/>
    <w:rsid w:val="008A27AC"/>
    <w:rsid w:val="008A2803"/>
    <w:rsid w:val="008A3071"/>
    <w:rsid w:val="008A38C6"/>
    <w:rsid w:val="008A393C"/>
    <w:rsid w:val="008A4388"/>
    <w:rsid w:val="008A4FC0"/>
    <w:rsid w:val="008A5072"/>
    <w:rsid w:val="008A516D"/>
    <w:rsid w:val="008A6675"/>
    <w:rsid w:val="008A66CB"/>
    <w:rsid w:val="008A676A"/>
    <w:rsid w:val="008A725D"/>
    <w:rsid w:val="008B1018"/>
    <w:rsid w:val="008B166B"/>
    <w:rsid w:val="008B1AEE"/>
    <w:rsid w:val="008B21B2"/>
    <w:rsid w:val="008B23EF"/>
    <w:rsid w:val="008B3792"/>
    <w:rsid w:val="008B5A8B"/>
    <w:rsid w:val="008B6EF7"/>
    <w:rsid w:val="008B71F1"/>
    <w:rsid w:val="008B73C1"/>
    <w:rsid w:val="008B7C79"/>
    <w:rsid w:val="008C023B"/>
    <w:rsid w:val="008C033C"/>
    <w:rsid w:val="008C11CC"/>
    <w:rsid w:val="008C1579"/>
    <w:rsid w:val="008C24BB"/>
    <w:rsid w:val="008C360D"/>
    <w:rsid w:val="008C362C"/>
    <w:rsid w:val="008C396E"/>
    <w:rsid w:val="008C40D3"/>
    <w:rsid w:val="008C5F71"/>
    <w:rsid w:val="008C78E6"/>
    <w:rsid w:val="008C7CB5"/>
    <w:rsid w:val="008D00EE"/>
    <w:rsid w:val="008D1C65"/>
    <w:rsid w:val="008D1D4E"/>
    <w:rsid w:val="008D2DBC"/>
    <w:rsid w:val="008D32DD"/>
    <w:rsid w:val="008D39AF"/>
    <w:rsid w:val="008D3D90"/>
    <w:rsid w:val="008D51D6"/>
    <w:rsid w:val="008D6F38"/>
    <w:rsid w:val="008E0048"/>
    <w:rsid w:val="008E05A1"/>
    <w:rsid w:val="008E08CA"/>
    <w:rsid w:val="008E113B"/>
    <w:rsid w:val="008E159E"/>
    <w:rsid w:val="008E1CB8"/>
    <w:rsid w:val="008E1E98"/>
    <w:rsid w:val="008E219A"/>
    <w:rsid w:val="008E2B63"/>
    <w:rsid w:val="008E36A2"/>
    <w:rsid w:val="008E4961"/>
    <w:rsid w:val="008E4D11"/>
    <w:rsid w:val="008E5390"/>
    <w:rsid w:val="008E6201"/>
    <w:rsid w:val="008E74E8"/>
    <w:rsid w:val="008E7B37"/>
    <w:rsid w:val="008F106F"/>
    <w:rsid w:val="008F1E7D"/>
    <w:rsid w:val="008F2A92"/>
    <w:rsid w:val="008F2B6D"/>
    <w:rsid w:val="008F38B7"/>
    <w:rsid w:val="008F427D"/>
    <w:rsid w:val="008F5856"/>
    <w:rsid w:val="008F5E73"/>
    <w:rsid w:val="008F60DB"/>
    <w:rsid w:val="008F6860"/>
    <w:rsid w:val="008F6993"/>
    <w:rsid w:val="008F7D2C"/>
    <w:rsid w:val="009006A0"/>
    <w:rsid w:val="00900847"/>
    <w:rsid w:val="00901AB7"/>
    <w:rsid w:val="00901B66"/>
    <w:rsid w:val="00901EDF"/>
    <w:rsid w:val="00902150"/>
    <w:rsid w:val="00902971"/>
    <w:rsid w:val="00903881"/>
    <w:rsid w:val="009039DC"/>
    <w:rsid w:val="00904153"/>
    <w:rsid w:val="00904500"/>
    <w:rsid w:val="00904B54"/>
    <w:rsid w:val="00905C75"/>
    <w:rsid w:val="00906485"/>
    <w:rsid w:val="0090694E"/>
    <w:rsid w:val="009077C6"/>
    <w:rsid w:val="00907C04"/>
    <w:rsid w:val="00910EA9"/>
    <w:rsid w:val="00910F62"/>
    <w:rsid w:val="0091120D"/>
    <w:rsid w:val="00911D26"/>
    <w:rsid w:val="00911DAB"/>
    <w:rsid w:val="00912820"/>
    <w:rsid w:val="00913AA0"/>
    <w:rsid w:val="00913ABC"/>
    <w:rsid w:val="00914CD1"/>
    <w:rsid w:val="0091779F"/>
    <w:rsid w:val="00917914"/>
    <w:rsid w:val="00917D9E"/>
    <w:rsid w:val="00920260"/>
    <w:rsid w:val="009221F6"/>
    <w:rsid w:val="009229B6"/>
    <w:rsid w:val="009229BC"/>
    <w:rsid w:val="00922B9D"/>
    <w:rsid w:val="00923E60"/>
    <w:rsid w:val="00925020"/>
    <w:rsid w:val="009258A4"/>
    <w:rsid w:val="009259BE"/>
    <w:rsid w:val="00926612"/>
    <w:rsid w:val="00926723"/>
    <w:rsid w:val="00927708"/>
    <w:rsid w:val="00932474"/>
    <w:rsid w:val="00932A5B"/>
    <w:rsid w:val="009332F4"/>
    <w:rsid w:val="00934564"/>
    <w:rsid w:val="009345BB"/>
    <w:rsid w:val="00934F7B"/>
    <w:rsid w:val="0093571F"/>
    <w:rsid w:val="0093701F"/>
    <w:rsid w:val="00940955"/>
    <w:rsid w:val="0094173C"/>
    <w:rsid w:val="00941757"/>
    <w:rsid w:val="00941EDB"/>
    <w:rsid w:val="00942441"/>
    <w:rsid w:val="00942D00"/>
    <w:rsid w:val="00946312"/>
    <w:rsid w:val="00946701"/>
    <w:rsid w:val="00947EF1"/>
    <w:rsid w:val="00950354"/>
    <w:rsid w:val="00950518"/>
    <w:rsid w:val="00950698"/>
    <w:rsid w:val="00950E81"/>
    <w:rsid w:val="009522CA"/>
    <w:rsid w:val="00952AD2"/>
    <w:rsid w:val="00952C48"/>
    <w:rsid w:val="0095306C"/>
    <w:rsid w:val="009531A5"/>
    <w:rsid w:val="00954546"/>
    <w:rsid w:val="00954E41"/>
    <w:rsid w:val="00955055"/>
    <w:rsid w:val="0095510B"/>
    <w:rsid w:val="00956231"/>
    <w:rsid w:val="0095645F"/>
    <w:rsid w:val="009569DD"/>
    <w:rsid w:val="009575DE"/>
    <w:rsid w:val="0096019A"/>
    <w:rsid w:val="00960295"/>
    <w:rsid w:val="009611D1"/>
    <w:rsid w:val="0096133D"/>
    <w:rsid w:val="00961F1C"/>
    <w:rsid w:val="009623A0"/>
    <w:rsid w:val="00963E34"/>
    <w:rsid w:val="0096467B"/>
    <w:rsid w:val="00964835"/>
    <w:rsid w:val="00967224"/>
    <w:rsid w:val="00967EA7"/>
    <w:rsid w:val="009706A1"/>
    <w:rsid w:val="00970D94"/>
    <w:rsid w:val="00971DF3"/>
    <w:rsid w:val="009731AC"/>
    <w:rsid w:val="00973648"/>
    <w:rsid w:val="00974346"/>
    <w:rsid w:val="009743DD"/>
    <w:rsid w:val="0097567A"/>
    <w:rsid w:val="00977144"/>
    <w:rsid w:val="0097790E"/>
    <w:rsid w:val="00977E84"/>
    <w:rsid w:val="009820CA"/>
    <w:rsid w:val="00982618"/>
    <w:rsid w:val="00982CA5"/>
    <w:rsid w:val="009830AD"/>
    <w:rsid w:val="0098327F"/>
    <w:rsid w:val="00983F6C"/>
    <w:rsid w:val="009847F6"/>
    <w:rsid w:val="00984B1E"/>
    <w:rsid w:val="00984E64"/>
    <w:rsid w:val="009902A2"/>
    <w:rsid w:val="00991006"/>
    <w:rsid w:val="009911AC"/>
    <w:rsid w:val="00991821"/>
    <w:rsid w:val="0099375E"/>
    <w:rsid w:val="00994678"/>
    <w:rsid w:val="00994AE7"/>
    <w:rsid w:val="00994F3E"/>
    <w:rsid w:val="00995707"/>
    <w:rsid w:val="00996057"/>
    <w:rsid w:val="009A0157"/>
    <w:rsid w:val="009A0320"/>
    <w:rsid w:val="009A0B6A"/>
    <w:rsid w:val="009A1433"/>
    <w:rsid w:val="009A25D4"/>
    <w:rsid w:val="009A2769"/>
    <w:rsid w:val="009A3855"/>
    <w:rsid w:val="009A41EE"/>
    <w:rsid w:val="009A49D2"/>
    <w:rsid w:val="009A53DA"/>
    <w:rsid w:val="009A54CD"/>
    <w:rsid w:val="009A6D6B"/>
    <w:rsid w:val="009B0C57"/>
    <w:rsid w:val="009B18D5"/>
    <w:rsid w:val="009B1ADB"/>
    <w:rsid w:val="009B1F0B"/>
    <w:rsid w:val="009B27A8"/>
    <w:rsid w:val="009B2908"/>
    <w:rsid w:val="009B2D22"/>
    <w:rsid w:val="009B3B24"/>
    <w:rsid w:val="009B3C81"/>
    <w:rsid w:val="009B5303"/>
    <w:rsid w:val="009B561F"/>
    <w:rsid w:val="009B5629"/>
    <w:rsid w:val="009B5AB7"/>
    <w:rsid w:val="009B5BB2"/>
    <w:rsid w:val="009B7534"/>
    <w:rsid w:val="009C06B4"/>
    <w:rsid w:val="009C17C2"/>
    <w:rsid w:val="009C19CC"/>
    <w:rsid w:val="009C29E1"/>
    <w:rsid w:val="009C2DCD"/>
    <w:rsid w:val="009C341E"/>
    <w:rsid w:val="009C395D"/>
    <w:rsid w:val="009C3BBB"/>
    <w:rsid w:val="009C6C73"/>
    <w:rsid w:val="009C7AC3"/>
    <w:rsid w:val="009C7C21"/>
    <w:rsid w:val="009D075D"/>
    <w:rsid w:val="009D0DA7"/>
    <w:rsid w:val="009D1668"/>
    <w:rsid w:val="009D1909"/>
    <w:rsid w:val="009D1B0F"/>
    <w:rsid w:val="009D347E"/>
    <w:rsid w:val="009D35A7"/>
    <w:rsid w:val="009D3CEF"/>
    <w:rsid w:val="009D3F5A"/>
    <w:rsid w:val="009D5144"/>
    <w:rsid w:val="009D5200"/>
    <w:rsid w:val="009D5506"/>
    <w:rsid w:val="009D5629"/>
    <w:rsid w:val="009D5F5B"/>
    <w:rsid w:val="009D736E"/>
    <w:rsid w:val="009D797D"/>
    <w:rsid w:val="009D7CBB"/>
    <w:rsid w:val="009D7EC0"/>
    <w:rsid w:val="009E06C0"/>
    <w:rsid w:val="009E0967"/>
    <w:rsid w:val="009E0B7F"/>
    <w:rsid w:val="009E0C57"/>
    <w:rsid w:val="009E12CD"/>
    <w:rsid w:val="009E297E"/>
    <w:rsid w:val="009E376A"/>
    <w:rsid w:val="009E4FE9"/>
    <w:rsid w:val="009E6848"/>
    <w:rsid w:val="009E73BF"/>
    <w:rsid w:val="009E7EFC"/>
    <w:rsid w:val="009F039E"/>
    <w:rsid w:val="009F0825"/>
    <w:rsid w:val="009F13DB"/>
    <w:rsid w:val="009F21D0"/>
    <w:rsid w:val="009F4E7E"/>
    <w:rsid w:val="009F52A9"/>
    <w:rsid w:val="009F547F"/>
    <w:rsid w:val="009F5AA9"/>
    <w:rsid w:val="009F65BA"/>
    <w:rsid w:val="009F7F00"/>
    <w:rsid w:val="00A00663"/>
    <w:rsid w:val="00A011F6"/>
    <w:rsid w:val="00A02890"/>
    <w:rsid w:val="00A02E55"/>
    <w:rsid w:val="00A02F7F"/>
    <w:rsid w:val="00A0499E"/>
    <w:rsid w:val="00A05C95"/>
    <w:rsid w:val="00A06783"/>
    <w:rsid w:val="00A06B5B"/>
    <w:rsid w:val="00A07A1A"/>
    <w:rsid w:val="00A10CA9"/>
    <w:rsid w:val="00A11BF7"/>
    <w:rsid w:val="00A132B3"/>
    <w:rsid w:val="00A137D9"/>
    <w:rsid w:val="00A13B3D"/>
    <w:rsid w:val="00A140AE"/>
    <w:rsid w:val="00A140E8"/>
    <w:rsid w:val="00A1491A"/>
    <w:rsid w:val="00A14CE2"/>
    <w:rsid w:val="00A15D2D"/>
    <w:rsid w:val="00A15FA7"/>
    <w:rsid w:val="00A16F8C"/>
    <w:rsid w:val="00A17664"/>
    <w:rsid w:val="00A176C9"/>
    <w:rsid w:val="00A1798C"/>
    <w:rsid w:val="00A17FA8"/>
    <w:rsid w:val="00A203EA"/>
    <w:rsid w:val="00A22134"/>
    <w:rsid w:val="00A22922"/>
    <w:rsid w:val="00A234F1"/>
    <w:rsid w:val="00A23CD6"/>
    <w:rsid w:val="00A24BAC"/>
    <w:rsid w:val="00A24FF1"/>
    <w:rsid w:val="00A25B96"/>
    <w:rsid w:val="00A26120"/>
    <w:rsid w:val="00A2665F"/>
    <w:rsid w:val="00A26BBE"/>
    <w:rsid w:val="00A271F2"/>
    <w:rsid w:val="00A273BF"/>
    <w:rsid w:val="00A27402"/>
    <w:rsid w:val="00A301B7"/>
    <w:rsid w:val="00A309F3"/>
    <w:rsid w:val="00A30A89"/>
    <w:rsid w:val="00A31263"/>
    <w:rsid w:val="00A31A12"/>
    <w:rsid w:val="00A32A53"/>
    <w:rsid w:val="00A34C2F"/>
    <w:rsid w:val="00A362B5"/>
    <w:rsid w:val="00A37415"/>
    <w:rsid w:val="00A37D90"/>
    <w:rsid w:val="00A40112"/>
    <w:rsid w:val="00A40C4D"/>
    <w:rsid w:val="00A42F2E"/>
    <w:rsid w:val="00A431BC"/>
    <w:rsid w:val="00A44FB0"/>
    <w:rsid w:val="00A45384"/>
    <w:rsid w:val="00A454E0"/>
    <w:rsid w:val="00A456C3"/>
    <w:rsid w:val="00A47A8B"/>
    <w:rsid w:val="00A47E71"/>
    <w:rsid w:val="00A5143F"/>
    <w:rsid w:val="00A51A17"/>
    <w:rsid w:val="00A520C4"/>
    <w:rsid w:val="00A52572"/>
    <w:rsid w:val="00A53074"/>
    <w:rsid w:val="00A533EB"/>
    <w:rsid w:val="00A54034"/>
    <w:rsid w:val="00A54630"/>
    <w:rsid w:val="00A54CE6"/>
    <w:rsid w:val="00A54D83"/>
    <w:rsid w:val="00A55A57"/>
    <w:rsid w:val="00A5657D"/>
    <w:rsid w:val="00A609E2"/>
    <w:rsid w:val="00A619B4"/>
    <w:rsid w:val="00A634C3"/>
    <w:rsid w:val="00A63A71"/>
    <w:rsid w:val="00A652BC"/>
    <w:rsid w:val="00A6587D"/>
    <w:rsid w:val="00A65C7B"/>
    <w:rsid w:val="00A6777F"/>
    <w:rsid w:val="00A67C61"/>
    <w:rsid w:val="00A7188F"/>
    <w:rsid w:val="00A719A4"/>
    <w:rsid w:val="00A71A8B"/>
    <w:rsid w:val="00A71F4D"/>
    <w:rsid w:val="00A72AE1"/>
    <w:rsid w:val="00A7323C"/>
    <w:rsid w:val="00A73403"/>
    <w:rsid w:val="00A73FBC"/>
    <w:rsid w:val="00A75A3B"/>
    <w:rsid w:val="00A764C8"/>
    <w:rsid w:val="00A80407"/>
    <w:rsid w:val="00A80D38"/>
    <w:rsid w:val="00A81321"/>
    <w:rsid w:val="00A815D4"/>
    <w:rsid w:val="00A822D7"/>
    <w:rsid w:val="00A82FA1"/>
    <w:rsid w:val="00A85740"/>
    <w:rsid w:val="00A86367"/>
    <w:rsid w:val="00A86A1D"/>
    <w:rsid w:val="00A87CA2"/>
    <w:rsid w:val="00A90131"/>
    <w:rsid w:val="00A90378"/>
    <w:rsid w:val="00A90924"/>
    <w:rsid w:val="00A90A2F"/>
    <w:rsid w:val="00A90ABB"/>
    <w:rsid w:val="00A9192B"/>
    <w:rsid w:val="00A91CE6"/>
    <w:rsid w:val="00A925B0"/>
    <w:rsid w:val="00A93AEC"/>
    <w:rsid w:val="00A9401C"/>
    <w:rsid w:val="00A94D5D"/>
    <w:rsid w:val="00A951B7"/>
    <w:rsid w:val="00A95ECD"/>
    <w:rsid w:val="00A964DF"/>
    <w:rsid w:val="00A96698"/>
    <w:rsid w:val="00A96D45"/>
    <w:rsid w:val="00AA0C39"/>
    <w:rsid w:val="00AA103A"/>
    <w:rsid w:val="00AA10D0"/>
    <w:rsid w:val="00AA2AF9"/>
    <w:rsid w:val="00AA2B9C"/>
    <w:rsid w:val="00AA3389"/>
    <w:rsid w:val="00AA37BD"/>
    <w:rsid w:val="00AA3F1B"/>
    <w:rsid w:val="00AA4541"/>
    <w:rsid w:val="00AA6907"/>
    <w:rsid w:val="00AB0B3A"/>
    <w:rsid w:val="00AB19EA"/>
    <w:rsid w:val="00AB2398"/>
    <w:rsid w:val="00AB38BF"/>
    <w:rsid w:val="00AB4582"/>
    <w:rsid w:val="00AB4F6D"/>
    <w:rsid w:val="00AB5CE6"/>
    <w:rsid w:val="00AB5F1E"/>
    <w:rsid w:val="00AB60FF"/>
    <w:rsid w:val="00AB70F7"/>
    <w:rsid w:val="00AB726F"/>
    <w:rsid w:val="00AB7F26"/>
    <w:rsid w:val="00AC00F8"/>
    <w:rsid w:val="00AC0134"/>
    <w:rsid w:val="00AC02A2"/>
    <w:rsid w:val="00AC1713"/>
    <w:rsid w:val="00AC1EEA"/>
    <w:rsid w:val="00AC2062"/>
    <w:rsid w:val="00AC24C2"/>
    <w:rsid w:val="00AC342E"/>
    <w:rsid w:val="00AC3493"/>
    <w:rsid w:val="00AC363F"/>
    <w:rsid w:val="00AC4559"/>
    <w:rsid w:val="00AC4583"/>
    <w:rsid w:val="00AC4A47"/>
    <w:rsid w:val="00AC5657"/>
    <w:rsid w:val="00AC57B1"/>
    <w:rsid w:val="00AC58E6"/>
    <w:rsid w:val="00AC6059"/>
    <w:rsid w:val="00AC60A6"/>
    <w:rsid w:val="00AC74E7"/>
    <w:rsid w:val="00AC799A"/>
    <w:rsid w:val="00AD09B0"/>
    <w:rsid w:val="00AD130F"/>
    <w:rsid w:val="00AD16F3"/>
    <w:rsid w:val="00AD1B14"/>
    <w:rsid w:val="00AD3C3E"/>
    <w:rsid w:val="00AD40EA"/>
    <w:rsid w:val="00AD4361"/>
    <w:rsid w:val="00AD44E0"/>
    <w:rsid w:val="00AD5D10"/>
    <w:rsid w:val="00AD6EDE"/>
    <w:rsid w:val="00AD75A4"/>
    <w:rsid w:val="00AE03EB"/>
    <w:rsid w:val="00AE1955"/>
    <w:rsid w:val="00AE1A99"/>
    <w:rsid w:val="00AE20D6"/>
    <w:rsid w:val="00AE282B"/>
    <w:rsid w:val="00AE29D3"/>
    <w:rsid w:val="00AE2BF4"/>
    <w:rsid w:val="00AE361B"/>
    <w:rsid w:val="00AE49EF"/>
    <w:rsid w:val="00AE60C6"/>
    <w:rsid w:val="00AE6583"/>
    <w:rsid w:val="00AE796C"/>
    <w:rsid w:val="00AF1F22"/>
    <w:rsid w:val="00AF2A7A"/>
    <w:rsid w:val="00AF2E75"/>
    <w:rsid w:val="00AF4306"/>
    <w:rsid w:val="00AF4AE2"/>
    <w:rsid w:val="00AF4E19"/>
    <w:rsid w:val="00AF5BDB"/>
    <w:rsid w:val="00AF724D"/>
    <w:rsid w:val="00B0062E"/>
    <w:rsid w:val="00B028C0"/>
    <w:rsid w:val="00B02B16"/>
    <w:rsid w:val="00B03558"/>
    <w:rsid w:val="00B03F56"/>
    <w:rsid w:val="00B04C06"/>
    <w:rsid w:val="00B0597B"/>
    <w:rsid w:val="00B05CF0"/>
    <w:rsid w:val="00B06094"/>
    <w:rsid w:val="00B07B7D"/>
    <w:rsid w:val="00B07DBB"/>
    <w:rsid w:val="00B10084"/>
    <w:rsid w:val="00B10279"/>
    <w:rsid w:val="00B10504"/>
    <w:rsid w:val="00B11185"/>
    <w:rsid w:val="00B1122B"/>
    <w:rsid w:val="00B11DF1"/>
    <w:rsid w:val="00B1257B"/>
    <w:rsid w:val="00B12C39"/>
    <w:rsid w:val="00B12D7F"/>
    <w:rsid w:val="00B13300"/>
    <w:rsid w:val="00B13BA4"/>
    <w:rsid w:val="00B14315"/>
    <w:rsid w:val="00B150AC"/>
    <w:rsid w:val="00B1535F"/>
    <w:rsid w:val="00B159B3"/>
    <w:rsid w:val="00B17375"/>
    <w:rsid w:val="00B17584"/>
    <w:rsid w:val="00B17A3F"/>
    <w:rsid w:val="00B21043"/>
    <w:rsid w:val="00B2179F"/>
    <w:rsid w:val="00B21DD2"/>
    <w:rsid w:val="00B21DFA"/>
    <w:rsid w:val="00B22076"/>
    <w:rsid w:val="00B22179"/>
    <w:rsid w:val="00B2394E"/>
    <w:rsid w:val="00B24D9C"/>
    <w:rsid w:val="00B25FEE"/>
    <w:rsid w:val="00B26344"/>
    <w:rsid w:val="00B26B74"/>
    <w:rsid w:val="00B31BFE"/>
    <w:rsid w:val="00B32B02"/>
    <w:rsid w:val="00B355B6"/>
    <w:rsid w:val="00B35778"/>
    <w:rsid w:val="00B367D1"/>
    <w:rsid w:val="00B36F6D"/>
    <w:rsid w:val="00B3734E"/>
    <w:rsid w:val="00B37E40"/>
    <w:rsid w:val="00B4030D"/>
    <w:rsid w:val="00B4131B"/>
    <w:rsid w:val="00B416B9"/>
    <w:rsid w:val="00B438F4"/>
    <w:rsid w:val="00B43C2B"/>
    <w:rsid w:val="00B452AD"/>
    <w:rsid w:val="00B45FA2"/>
    <w:rsid w:val="00B502F5"/>
    <w:rsid w:val="00B5189E"/>
    <w:rsid w:val="00B52F3E"/>
    <w:rsid w:val="00B538E0"/>
    <w:rsid w:val="00B543C6"/>
    <w:rsid w:val="00B5455B"/>
    <w:rsid w:val="00B54F64"/>
    <w:rsid w:val="00B5529B"/>
    <w:rsid w:val="00B56ED7"/>
    <w:rsid w:val="00B572C1"/>
    <w:rsid w:val="00B60DE1"/>
    <w:rsid w:val="00B63A99"/>
    <w:rsid w:val="00B64429"/>
    <w:rsid w:val="00B64746"/>
    <w:rsid w:val="00B64DD6"/>
    <w:rsid w:val="00B65791"/>
    <w:rsid w:val="00B65B65"/>
    <w:rsid w:val="00B65D27"/>
    <w:rsid w:val="00B6790B"/>
    <w:rsid w:val="00B67B57"/>
    <w:rsid w:val="00B67EB0"/>
    <w:rsid w:val="00B701A6"/>
    <w:rsid w:val="00B70302"/>
    <w:rsid w:val="00B717A4"/>
    <w:rsid w:val="00B7199F"/>
    <w:rsid w:val="00B71BBB"/>
    <w:rsid w:val="00B71EF4"/>
    <w:rsid w:val="00B7273A"/>
    <w:rsid w:val="00B728E7"/>
    <w:rsid w:val="00B73FA6"/>
    <w:rsid w:val="00B743CB"/>
    <w:rsid w:val="00B74B65"/>
    <w:rsid w:val="00B756A5"/>
    <w:rsid w:val="00B75C4B"/>
    <w:rsid w:val="00B766B2"/>
    <w:rsid w:val="00B77170"/>
    <w:rsid w:val="00B7782A"/>
    <w:rsid w:val="00B77B11"/>
    <w:rsid w:val="00B8034B"/>
    <w:rsid w:val="00B813FA"/>
    <w:rsid w:val="00B81701"/>
    <w:rsid w:val="00B81A0B"/>
    <w:rsid w:val="00B828D0"/>
    <w:rsid w:val="00B83906"/>
    <w:rsid w:val="00B83D45"/>
    <w:rsid w:val="00B85FD7"/>
    <w:rsid w:val="00B86886"/>
    <w:rsid w:val="00B8777B"/>
    <w:rsid w:val="00B87BDB"/>
    <w:rsid w:val="00B90DE1"/>
    <w:rsid w:val="00B90E2E"/>
    <w:rsid w:val="00B916B9"/>
    <w:rsid w:val="00B91D9F"/>
    <w:rsid w:val="00B92A51"/>
    <w:rsid w:val="00B93153"/>
    <w:rsid w:val="00B93631"/>
    <w:rsid w:val="00B9563B"/>
    <w:rsid w:val="00B966C4"/>
    <w:rsid w:val="00B968B8"/>
    <w:rsid w:val="00BA0230"/>
    <w:rsid w:val="00BA16CB"/>
    <w:rsid w:val="00BA2224"/>
    <w:rsid w:val="00BA3349"/>
    <w:rsid w:val="00BA4947"/>
    <w:rsid w:val="00BA5A1B"/>
    <w:rsid w:val="00BA5C21"/>
    <w:rsid w:val="00BA6204"/>
    <w:rsid w:val="00BA6228"/>
    <w:rsid w:val="00BA63FA"/>
    <w:rsid w:val="00BA6DC3"/>
    <w:rsid w:val="00BA795E"/>
    <w:rsid w:val="00BB1501"/>
    <w:rsid w:val="00BB2C71"/>
    <w:rsid w:val="00BB3230"/>
    <w:rsid w:val="00BB3BA7"/>
    <w:rsid w:val="00BB5C14"/>
    <w:rsid w:val="00BB5C28"/>
    <w:rsid w:val="00BB6277"/>
    <w:rsid w:val="00BB7255"/>
    <w:rsid w:val="00BB74FC"/>
    <w:rsid w:val="00BB77D5"/>
    <w:rsid w:val="00BC0C8D"/>
    <w:rsid w:val="00BC1A5C"/>
    <w:rsid w:val="00BC2798"/>
    <w:rsid w:val="00BC313E"/>
    <w:rsid w:val="00BC337A"/>
    <w:rsid w:val="00BC35B5"/>
    <w:rsid w:val="00BC4216"/>
    <w:rsid w:val="00BC45BC"/>
    <w:rsid w:val="00BC4E91"/>
    <w:rsid w:val="00BC51F5"/>
    <w:rsid w:val="00BC5E9E"/>
    <w:rsid w:val="00BC74CD"/>
    <w:rsid w:val="00BC799B"/>
    <w:rsid w:val="00BD09C7"/>
    <w:rsid w:val="00BD1555"/>
    <w:rsid w:val="00BD1B58"/>
    <w:rsid w:val="00BD273B"/>
    <w:rsid w:val="00BD44FD"/>
    <w:rsid w:val="00BD461E"/>
    <w:rsid w:val="00BD548A"/>
    <w:rsid w:val="00BD54C1"/>
    <w:rsid w:val="00BD554A"/>
    <w:rsid w:val="00BD5873"/>
    <w:rsid w:val="00BD6379"/>
    <w:rsid w:val="00BD755C"/>
    <w:rsid w:val="00BE317C"/>
    <w:rsid w:val="00BE37AE"/>
    <w:rsid w:val="00BE4361"/>
    <w:rsid w:val="00BE47AF"/>
    <w:rsid w:val="00BE47CF"/>
    <w:rsid w:val="00BE4AE6"/>
    <w:rsid w:val="00BE6C42"/>
    <w:rsid w:val="00BE6F62"/>
    <w:rsid w:val="00BE7301"/>
    <w:rsid w:val="00BF0603"/>
    <w:rsid w:val="00BF09E9"/>
    <w:rsid w:val="00BF0A62"/>
    <w:rsid w:val="00BF1307"/>
    <w:rsid w:val="00BF1E3A"/>
    <w:rsid w:val="00BF359D"/>
    <w:rsid w:val="00BF35C1"/>
    <w:rsid w:val="00BF3F75"/>
    <w:rsid w:val="00BF40DD"/>
    <w:rsid w:val="00BF4367"/>
    <w:rsid w:val="00BF5C60"/>
    <w:rsid w:val="00BF5FFD"/>
    <w:rsid w:val="00BF606E"/>
    <w:rsid w:val="00BF666B"/>
    <w:rsid w:val="00BF6AA6"/>
    <w:rsid w:val="00BF769C"/>
    <w:rsid w:val="00BF7E8C"/>
    <w:rsid w:val="00BF7F1A"/>
    <w:rsid w:val="00C007A4"/>
    <w:rsid w:val="00C00FE2"/>
    <w:rsid w:val="00C01B85"/>
    <w:rsid w:val="00C01CA0"/>
    <w:rsid w:val="00C02CCE"/>
    <w:rsid w:val="00C0445C"/>
    <w:rsid w:val="00C07974"/>
    <w:rsid w:val="00C07BE3"/>
    <w:rsid w:val="00C104A7"/>
    <w:rsid w:val="00C10C7A"/>
    <w:rsid w:val="00C10F2F"/>
    <w:rsid w:val="00C121BF"/>
    <w:rsid w:val="00C13DD2"/>
    <w:rsid w:val="00C144DB"/>
    <w:rsid w:val="00C151AC"/>
    <w:rsid w:val="00C16E3C"/>
    <w:rsid w:val="00C178F2"/>
    <w:rsid w:val="00C20331"/>
    <w:rsid w:val="00C20D1A"/>
    <w:rsid w:val="00C20F4D"/>
    <w:rsid w:val="00C21827"/>
    <w:rsid w:val="00C23251"/>
    <w:rsid w:val="00C234CB"/>
    <w:rsid w:val="00C239B3"/>
    <w:rsid w:val="00C23C3B"/>
    <w:rsid w:val="00C23C66"/>
    <w:rsid w:val="00C24DFE"/>
    <w:rsid w:val="00C256B6"/>
    <w:rsid w:val="00C27575"/>
    <w:rsid w:val="00C27FE8"/>
    <w:rsid w:val="00C31358"/>
    <w:rsid w:val="00C31572"/>
    <w:rsid w:val="00C31B66"/>
    <w:rsid w:val="00C32227"/>
    <w:rsid w:val="00C32EA7"/>
    <w:rsid w:val="00C32F81"/>
    <w:rsid w:val="00C33CAE"/>
    <w:rsid w:val="00C350B9"/>
    <w:rsid w:val="00C359B2"/>
    <w:rsid w:val="00C36E6C"/>
    <w:rsid w:val="00C40A9A"/>
    <w:rsid w:val="00C40E26"/>
    <w:rsid w:val="00C40FB5"/>
    <w:rsid w:val="00C410C5"/>
    <w:rsid w:val="00C41210"/>
    <w:rsid w:val="00C41554"/>
    <w:rsid w:val="00C418C4"/>
    <w:rsid w:val="00C42A68"/>
    <w:rsid w:val="00C42E7C"/>
    <w:rsid w:val="00C430D6"/>
    <w:rsid w:val="00C43243"/>
    <w:rsid w:val="00C434B0"/>
    <w:rsid w:val="00C437F4"/>
    <w:rsid w:val="00C467F9"/>
    <w:rsid w:val="00C478A9"/>
    <w:rsid w:val="00C503BA"/>
    <w:rsid w:val="00C50B43"/>
    <w:rsid w:val="00C5222F"/>
    <w:rsid w:val="00C52360"/>
    <w:rsid w:val="00C52371"/>
    <w:rsid w:val="00C52EF7"/>
    <w:rsid w:val="00C52F3A"/>
    <w:rsid w:val="00C5417F"/>
    <w:rsid w:val="00C543AA"/>
    <w:rsid w:val="00C55892"/>
    <w:rsid w:val="00C55DDC"/>
    <w:rsid w:val="00C55E85"/>
    <w:rsid w:val="00C56101"/>
    <w:rsid w:val="00C56A2E"/>
    <w:rsid w:val="00C56B09"/>
    <w:rsid w:val="00C56F0C"/>
    <w:rsid w:val="00C620DC"/>
    <w:rsid w:val="00C62CED"/>
    <w:rsid w:val="00C63177"/>
    <w:rsid w:val="00C63616"/>
    <w:rsid w:val="00C63E4F"/>
    <w:rsid w:val="00C648EA"/>
    <w:rsid w:val="00C64A3A"/>
    <w:rsid w:val="00C64B81"/>
    <w:rsid w:val="00C64E51"/>
    <w:rsid w:val="00C65ACB"/>
    <w:rsid w:val="00C66A4B"/>
    <w:rsid w:val="00C674CA"/>
    <w:rsid w:val="00C70357"/>
    <w:rsid w:val="00C71C8B"/>
    <w:rsid w:val="00C722DF"/>
    <w:rsid w:val="00C72787"/>
    <w:rsid w:val="00C72F53"/>
    <w:rsid w:val="00C73AB5"/>
    <w:rsid w:val="00C73AC6"/>
    <w:rsid w:val="00C740F5"/>
    <w:rsid w:val="00C743BB"/>
    <w:rsid w:val="00C7504A"/>
    <w:rsid w:val="00C75469"/>
    <w:rsid w:val="00C76974"/>
    <w:rsid w:val="00C76A5E"/>
    <w:rsid w:val="00C80417"/>
    <w:rsid w:val="00C80526"/>
    <w:rsid w:val="00C81184"/>
    <w:rsid w:val="00C83369"/>
    <w:rsid w:val="00C83AFE"/>
    <w:rsid w:val="00C83D48"/>
    <w:rsid w:val="00C8513B"/>
    <w:rsid w:val="00C85EED"/>
    <w:rsid w:val="00C87AC3"/>
    <w:rsid w:val="00C87BDC"/>
    <w:rsid w:val="00C87C7F"/>
    <w:rsid w:val="00C90674"/>
    <w:rsid w:val="00C90774"/>
    <w:rsid w:val="00C912A3"/>
    <w:rsid w:val="00C91683"/>
    <w:rsid w:val="00C92655"/>
    <w:rsid w:val="00C92E14"/>
    <w:rsid w:val="00C93067"/>
    <w:rsid w:val="00C94278"/>
    <w:rsid w:val="00C955DA"/>
    <w:rsid w:val="00C957DB"/>
    <w:rsid w:val="00C95FB9"/>
    <w:rsid w:val="00C97A22"/>
    <w:rsid w:val="00CA050D"/>
    <w:rsid w:val="00CA1D69"/>
    <w:rsid w:val="00CA1D85"/>
    <w:rsid w:val="00CA357D"/>
    <w:rsid w:val="00CA5C71"/>
    <w:rsid w:val="00CA73BE"/>
    <w:rsid w:val="00CA76A1"/>
    <w:rsid w:val="00CA7A7E"/>
    <w:rsid w:val="00CB043B"/>
    <w:rsid w:val="00CB045E"/>
    <w:rsid w:val="00CB2E9B"/>
    <w:rsid w:val="00CB3C68"/>
    <w:rsid w:val="00CB48A1"/>
    <w:rsid w:val="00CB4D09"/>
    <w:rsid w:val="00CB6864"/>
    <w:rsid w:val="00CC0E35"/>
    <w:rsid w:val="00CC1679"/>
    <w:rsid w:val="00CC17D7"/>
    <w:rsid w:val="00CC18E7"/>
    <w:rsid w:val="00CC32F5"/>
    <w:rsid w:val="00CC3430"/>
    <w:rsid w:val="00CC3B56"/>
    <w:rsid w:val="00CC3D51"/>
    <w:rsid w:val="00CC4667"/>
    <w:rsid w:val="00CC472D"/>
    <w:rsid w:val="00CC489D"/>
    <w:rsid w:val="00CC4C2A"/>
    <w:rsid w:val="00CC61FF"/>
    <w:rsid w:val="00CC7123"/>
    <w:rsid w:val="00CC7B78"/>
    <w:rsid w:val="00CD03C0"/>
    <w:rsid w:val="00CD062E"/>
    <w:rsid w:val="00CD0CE6"/>
    <w:rsid w:val="00CD10D8"/>
    <w:rsid w:val="00CD27F7"/>
    <w:rsid w:val="00CD2CB2"/>
    <w:rsid w:val="00CD39B2"/>
    <w:rsid w:val="00CD3E4B"/>
    <w:rsid w:val="00CD45B3"/>
    <w:rsid w:val="00CD469F"/>
    <w:rsid w:val="00CD4E81"/>
    <w:rsid w:val="00CD69BC"/>
    <w:rsid w:val="00CD733E"/>
    <w:rsid w:val="00CD736D"/>
    <w:rsid w:val="00CE0924"/>
    <w:rsid w:val="00CE10C3"/>
    <w:rsid w:val="00CE3990"/>
    <w:rsid w:val="00CE50DC"/>
    <w:rsid w:val="00CE559D"/>
    <w:rsid w:val="00CE7B19"/>
    <w:rsid w:val="00CF1C33"/>
    <w:rsid w:val="00CF21FE"/>
    <w:rsid w:val="00CF39CD"/>
    <w:rsid w:val="00CF40C1"/>
    <w:rsid w:val="00CF40D3"/>
    <w:rsid w:val="00CF4496"/>
    <w:rsid w:val="00CF482E"/>
    <w:rsid w:val="00CF4FCC"/>
    <w:rsid w:val="00CF5906"/>
    <w:rsid w:val="00CF5ED6"/>
    <w:rsid w:val="00CF6435"/>
    <w:rsid w:val="00D005F3"/>
    <w:rsid w:val="00D01A58"/>
    <w:rsid w:val="00D03F49"/>
    <w:rsid w:val="00D05271"/>
    <w:rsid w:val="00D052F5"/>
    <w:rsid w:val="00D05325"/>
    <w:rsid w:val="00D0537C"/>
    <w:rsid w:val="00D054C7"/>
    <w:rsid w:val="00D06378"/>
    <w:rsid w:val="00D06547"/>
    <w:rsid w:val="00D06B54"/>
    <w:rsid w:val="00D07D55"/>
    <w:rsid w:val="00D07ECA"/>
    <w:rsid w:val="00D10021"/>
    <w:rsid w:val="00D1225F"/>
    <w:rsid w:val="00D132D9"/>
    <w:rsid w:val="00D13C21"/>
    <w:rsid w:val="00D1440D"/>
    <w:rsid w:val="00D14460"/>
    <w:rsid w:val="00D14932"/>
    <w:rsid w:val="00D14F03"/>
    <w:rsid w:val="00D1567B"/>
    <w:rsid w:val="00D15B29"/>
    <w:rsid w:val="00D16037"/>
    <w:rsid w:val="00D16287"/>
    <w:rsid w:val="00D16FF9"/>
    <w:rsid w:val="00D17DE7"/>
    <w:rsid w:val="00D17EC4"/>
    <w:rsid w:val="00D20373"/>
    <w:rsid w:val="00D20BDA"/>
    <w:rsid w:val="00D21240"/>
    <w:rsid w:val="00D2135A"/>
    <w:rsid w:val="00D21851"/>
    <w:rsid w:val="00D229ED"/>
    <w:rsid w:val="00D2325D"/>
    <w:rsid w:val="00D23A27"/>
    <w:rsid w:val="00D23A99"/>
    <w:rsid w:val="00D24293"/>
    <w:rsid w:val="00D24A9A"/>
    <w:rsid w:val="00D24E42"/>
    <w:rsid w:val="00D255B3"/>
    <w:rsid w:val="00D25974"/>
    <w:rsid w:val="00D25E02"/>
    <w:rsid w:val="00D26DA8"/>
    <w:rsid w:val="00D2738B"/>
    <w:rsid w:val="00D273E2"/>
    <w:rsid w:val="00D27744"/>
    <w:rsid w:val="00D30059"/>
    <w:rsid w:val="00D30134"/>
    <w:rsid w:val="00D306D8"/>
    <w:rsid w:val="00D3099B"/>
    <w:rsid w:val="00D30C48"/>
    <w:rsid w:val="00D31404"/>
    <w:rsid w:val="00D324BA"/>
    <w:rsid w:val="00D32E17"/>
    <w:rsid w:val="00D336B9"/>
    <w:rsid w:val="00D33A09"/>
    <w:rsid w:val="00D33BCE"/>
    <w:rsid w:val="00D341D6"/>
    <w:rsid w:val="00D353CE"/>
    <w:rsid w:val="00D35418"/>
    <w:rsid w:val="00D35DBA"/>
    <w:rsid w:val="00D370EB"/>
    <w:rsid w:val="00D420E2"/>
    <w:rsid w:val="00D42587"/>
    <w:rsid w:val="00D42647"/>
    <w:rsid w:val="00D42696"/>
    <w:rsid w:val="00D4374A"/>
    <w:rsid w:val="00D439C4"/>
    <w:rsid w:val="00D43BB1"/>
    <w:rsid w:val="00D44307"/>
    <w:rsid w:val="00D443C0"/>
    <w:rsid w:val="00D44D33"/>
    <w:rsid w:val="00D4521C"/>
    <w:rsid w:val="00D4615A"/>
    <w:rsid w:val="00D462B0"/>
    <w:rsid w:val="00D46BBA"/>
    <w:rsid w:val="00D4721E"/>
    <w:rsid w:val="00D5002F"/>
    <w:rsid w:val="00D53A52"/>
    <w:rsid w:val="00D556F8"/>
    <w:rsid w:val="00D55873"/>
    <w:rsid w:val="00D560D0"/>
    <w:rsid w:val="00D56574"/>
    <w:rsid w:val="00D567DB"/>
    <w:rsid w:val="00D56C9D"/>
    <w:rsid w:val="00D57656"/>
    <w:rsid w:val="00D60E66"/>
    <w:rsid w:val="00D616FD"/>
    <w:rsid w:val="00D61CEA"/>
    <w:rsid w:val="00D62217"/>
    <w:rsid w:val="00D62228"/>
    <w:rsid w:val="00D63A9E"/>
    <w:rsid w:val="00D63C0A"/>
    <w:rsid w:val="00D64DFF"/>
    <w:rsid w:val="00D66258"/>
    <w:rsid w:val="00D66CE6"/>
    <w:rsid w:val="00D66ECB"/>
    <w:rsid w:val="00D66F97"/>
    <w:rsid w:val="00D67066"/>
    <w:rsid w:val="00D675BF"/>
    <w:rsid w:val="00D700FF"/>
    <w:rsid w:val="00D71370"/>
    <w:rsid w:val="00D71498"/>
    <w:rsid w:val="00D71B83"/>
    <w:rsid w:val="00D71D47"/>
    <w:rsid w:val="00D71DFD"/>
    <w:rsid w:val="00D73352"/>
    <w:rsid w:val="00D733EF"/>
    <w:rsid w:val="00D74878"/>
    <w:rsid w:val="00D74AC6"/>
    <w:rsid w:val="00D751FE"/>
    <w:rsid w:val="00D76FD6"/>
    <w:rsid w:val="00D77BA0"/>
    <w:rsid w:val="00D80726"/>
    <w:rsid w:val="00D80CA5"/>
    <w:rsid w:val="00D80FB5"/>
    <w:rsid w:val="00D84D65"/>
    <w:rsid w:val="00D85438"/>
    <w:rsid w:val="00D85484"/>
    <w:rsid w:val="00D85A58"/>
    <w:rsid w:val="00D85D36"/>
    <w:rsid w:val="00D85FDE"/>
    <w:rsid w:val="00D868CC"/>
    <w:rsid w:val="00D86B27"/>
    <w:rsid w:val="00D87A83"/>
    <w:rsid w:val="00D87DF4"/>
    <w:rsid w:val="00D908DA"/>
    <w:rsid w:val="00D90F2C"/>
    <w:rsid w:val="00D91C32"/>
    <w:rsid w:val="00D91C39"/>
    <w:rsid w:val="00D93204"/>
    <w:rsid w:val="00D944FA"/>
    <w:rsid w:val="00D95D86"/>
    <w:rsid w:val="00D963FE"/>
    <w:rsid w:val="00D9641E"/>
    <w:rsid w:val="00D9667F"/>
    <w:rsid w:val="00D97985"/>
    <w:rsid w:val="00DA0360"/>
    <w:rsid w:val="00DA03AD"/>
    <w:rsid w:val="00DA045C"/>
    <w:rsid w:val="00DA08AD"/>
    <w:rsid w:val="00DA09E7"/>
    <w:rsid w:val="00DA1AA8"/>
    <w:rsid w:val="00DA2793"/>
    <w:rsid w:val="00DA2E2A"/>
    <w:rsid w:val="00DA3379"/>
    <w:rsid w:val="00DA4788"/>
    <w:rsid w:val="00DA53FC"/>
    <w:rsid w:val="00DA569C"/>
    <w:rsid w:val="00DA56F8"/>
    <w:rsid w:val="00DA5D6E"/>
    <w:rsid w:val="00DA6FDA"/>
    <w:rsid w:val="00DA7E06"/>
    <w:rsid w:val="00DB0297"/>
    <w:rsid w:val="00DB0511"/>
    <w:rsid w:val="00DB0B0A"/>
    <w:rsid w:val="00DB100E"/>
    <w:rsid w:val="00DB1347"/>
    <w:rsid w:val="00DB3190"/>
    <w:rsid w:val="00DB3864"/>
    <w:rsid w:val="00DB3CA5"/>
    <w:rsid w:val="00DB517B"/>
    <w:rsid w:val="00DB5186"/>
    <w:rsid w:val="00DB534E"/>
    <w:rsid w:val="00DB5B88"/>
    <w:rsid w:val="00DB624C"/>
    <w:rsid w:val="00DB6DF3"/>
    <w:rsid w:val="00DC10AD"/>
    <w:rsid w:val="00DC13F2"/>
    <w:rsid w:val="00DC291B"/>
    <w:rsid w:val="00DC4721"/>
    <w:rsid w:val="00DC49BF"/>
    <w:rsid w:val="00DC5A74"/>
    <w:rsid w:val="00DC65BE"/>
    <w:rsid w:val="00DC6A39"/>
    <w:rsid w:val="00DD01F4"/>
    <w:rsid w:val="00DD1746"/>
    <w:rsid w:val="00DD2149"/>
    <w:rsid w:val="00DD25C8"/>
    <w:rsid w:val="00DD2FA6"/>
    <w:rsid w:val="00DD343C"/>
    <w:rsid w:val="00DD39C7"/>
    <w:rsid w:val="00DD4B5E"/>
    <w:rsid w:val="00DD5D12"/>
    <w:rsid w:val="00DD64E2"/>
    <w:rsid w:val="00DD6928"/>
    <w:rsid w:val="00DE0350"/>
    <w:rsid w:val="00DE2402"/>
    <w:rsid w:val="00DE2AC2"/>
    <w:rsid w:val="00DE2C0B"/>
    <w:rsid w:val="00DE38D2"/>
    <w:rsid w:val="00DE3B0E"/>
    <w:rsid w:val="00DE3D91"/>
    <w:rsid w:val="00DE3F65"/>
    <w:rsid w:val="00DE6D7D"/>
    <w:rsid w:val="00DE6E24"/>
    <w:rsid w:val="00DF048C"/>
    <w:rsid w:val="00DF0B07"/>
    <w:rsid w:val="00DF17A5"/>
    <w:rsid w:val="00DF1C10"/>
    <w:rsid w:val="00DF1DFC"/>
    <w:rsid w:val="00DF28FC"/>
    <w:rsid w:val="00DF33FE"/>
    <w:rsid w:val="00DF43C1"/>
    <w:rsid w:val="00DF4A40"/>
    <w:rsid w:val="00DF4BF5"/>
    <w:rsid w:val="00DF529C"/>
    <w:rsid w:val="00DF5DBC"/>
    <w:rsid w:val="00DF7DC0"/>
    <w:rsid w:val="00E000F0"/>
    <w:rsid w:val="00E00871"/>
    <w:rsid w:val="00E00E8B"/>
    <w:rsid w:val="00E017B3"/>
    <w:rsid w:val="00E01A2D"/>
    <w:rsid w:val="00E0324D"/>
    <w:rsid w:val="00E03788"/>
    <w:rsid w:val="00E03BBE"/>
    <w:rsid w:val="00E03D37"/>
    <w:rsid w:val="00E04C3F"/>
    <w:rsid w:val="00E04E93"/>
    <w:rsid w:val="00E0681E"/>
    <w:rsid w:val="00E07213"/>
    <w:rsid w:val="00E07957"/>
    <w:rsid w:val="00E07FED"/>
    <w:rsid w:val="00E10605"/>
    <w:rsid w:val="00E118A7"/>
    <w:rsid w:val="00E11C73"/>
    <w:rsid w:val="00E11E60"/>
    <w:rsid w:val="00E13158"/>
    <w:rsid w:val="00E13877"/>
    <w:rsid w:val="00E13D36"/>
    <w:rsid w:val="00E140F2"/>
    <w:rsid w:val="00E143C8"/>
    <w:rsid w:val="00E143F2"/>
    <w:rsid w:val="00E14C37"/>
    <w:rsid w:val="00E14D6B"/>
    <w:rsid w:val="00E14E47"/>
    <w:rsid w:val="00E15AF2"/>
    <w:rsid w:val="00E20C47"/>
    <w:rsid w:val="00E20F7B"/>
    <w:rsid w:val="00E214C2"/>
    <w:rsid w:val="00E22053"/>
    <w:rsid w:val="00E22433"/>
    <w:rsid w:val="00E22654"/>
    <w:rsid w:val="00E22DC8"/>
    <w:rsid w:val="00E2380F"/>
    <w:rsid w:val="00E23B45"/>
    <w:rsid w:val="00E23EAF"/>
    <w:rsid w:val="00E2420A"/>
    <w:rsid w:val="00E24491"/>
    <w:rsid w:val="00E24D00"/>
    <w:rsid w:val="00E250EF"/>
    <w:rsid w:val="00E265D9"/>
    <w:rsid w:val="00E26B15"/>
    <w:rsid w:val="00E2799B"/>
    <w:rsid w:val="00E27C47"/>
    <w:rsid w:val="00E27E60"/>
    <w:rsid w:val="00E30437"/>
    <w:rsid w:val="00E322C4"/>
    <w:rsid w:val="00E32D69"/>
    <w:rsid w:val="00E336E9"/>
    <w:rsid w:val="00E34467"/>
    <w:rsid w:val="00E34782"/>
    <w:rsid w:val="00E34FD9"/>
    <w:rsid w:val="00E35FCE"/>
    <w:rsid w:val="00E36575"/>
    <w:rsid w:val="00E367F2"/>
    <w:rsid w:val="00E4175A"/>
    <w:rsid w:val="00E41E2F"/>
    <w:rsid w:val="00E42048"/>
    <w:rsid w:val="00E426B6"/>
    <w:rsid w:val="00E434F0"/>
    <w:rsid w:val="00E434F8"/>
    <w:rsid w:val="00E456E1"/>
    <w:rsid w:val="00E45874"/>
    <w:rsid w:val="00E45F34"/>
    <w:rsid w:val="00E468C7"/>
    <w:rsid w:val="00E46E98"/>
    <w:rsid w:val="00E47101"/>
    <w:rsid w:val="00E47FFE"/>
    <w:rsid w:val="00E504A9"/>
    <w:rsid w:val="00E5063A"/>
    <w:rsid w:val="00E52BC2"/>
    <w:rsid w:val="00E548D9"/>
    <w:rsid w:val="00E55769"/>
    <w:rsid w:val="00E55797"/>
    <w:rsid w:val="00E562AA"/>
    <w:rsid w:val="00E565C1"/>
    <w:rsid w:val="00E56DD7"/>
    <w:rsid w:val="00E60AB6"/>
    <w:rsid w:val="00E60C01"/>
    <w:rsid w:val="00E613C2"/>
    <w:rsid w:val="00E6156A"/>
    <w:rsid w:val="00E615E4"/>
    <w:rsid w:val="00E619C3"/>
    <w:rsid w:val="00E61F8B"/>
    <w:rsid w:val="00E62845"/>
    <w:rsid w:val="00E635C0"/>
    <w:rsid w:val="00E639BE"/>
    <w:rsid w:val="00E64D16"/>
    <w:rsid w:val="00E65DE4"/>
    <w:rsid w:val="00E66A39"/>
    <w:rsid w:val="00E66AED"/>
    <w:rsid w:val="00E706D4"/>
    <w:rsid w:val="00E70D83"/>
    <w:rsid w:val="00E71A78"/>
    <w:rsid w:val="00E71F60"/>
    <w:rsid w:val="00E7205A"/>
    <w:rsid w:val="00E72C4B"/>
    <w:rsid w:val="00E72E3B"/>
    <w:rsid w:val="00E737CD"/>
    <w:rsid w:val="00E7515D"/>
    <w:rsid w:val="00E75907"/>
    <w:rsid w:val="00E75EA1"/>
    <w:rsid w:val="00E7628F"/>
    <w:rsid w:val="00E76386"/>
    <w:rsid w:val="00E764B7"/>
    <w:rsid w:val="00E765D6"/>
    <w:rsid w:val="00E768A8"/>
    <w:rsid w:val="00E771C4"/>
    <w:rsid w:val="00E77565"/>
    <w:rsid w:val="00E77C89"/>
    <w:rsid w:val="00E8007F"/>
    <w:rsid w:val="00E80488"/>
    <w:rsid w:val="00E804D0"/>
    <w:rsid w:val="00E80874"/>
    <w:rsid w:val="00E8149A"/>
    <w:rsid w:val="00E82E31"/>
    <w:rsid w:val="00E83146"/>
    <w:rsid w:val="00E831DB"/>
    <w:rsid w:val="00E84E37"/>
    <w:rsid w:val="00E868F5"/>
    <w:rsid w:val="00E8695E"/>
    <w:rsid w:val="00E87EFD"/>
    <w:rsid w:val="00E90692"/>
    <w:rsid w:val="00E908D5"/>
    <w:rsid w:val="00E9094D"/>
    <w:rsid w:val="00E909E4"/>
    <w:rsid w:val="00E90A2E"/>
    <w:rsid w:val="00E91F77"/>
    <w:rsid w:val="00E93221"/>
    <w:rsid w:val="00E93A11"/>
    <w:rsid w:val="00E9450F"/>
    <w:rsid w:val="00E94835"/>
    <w:rsid w:val="00E950F4"/>
    <w:rsid w:val="00E960B4"/>
    <w:rsid w:val="00E96695"/>
    <w:rsid w:val="00E97014"/>
    <w:rsid w:val="00E9717E"/>
    <w:rsid w:val="00EA1F77"/>
    <w:rsid w:val="00EA232F"/>
    <w:rsid w:val="00EA48A0"/>
    <w:rsid w:val="00EA490A"/>
    <w:rsid w:val="00EA6A30"/>
    <w:rsid w:val="00EA78AE"/>
    <w:rsid w:val="00EB4609"/>
    <w:rsid w:val="00EB4EA1"/>
    <w:rsid w:val="00EB65E8"/>
    <w:rsid w:val="00EB6B4E"/>
    <w:rsid w:val="00EB715B"/>
    <w:rsid w:val="00EC0172"/>
    <w:rsid w:val="00EC09AD"/>
    <w:rsid w:val="00EC2427"/>
    <w:rsid w:val="00EC3E23"/>
    <w:rsid w:val="00EC4461"/>
    <w:rsid w:val="00EC4C01"/>
    <w:rsid w:val="00EC5039"/>
    <w:rsid w:val="00EC504D"/>
    <w:rsid w:val="00EC56F3"/>
    <w:rsid w:val="00EC59DC"/>
    <w:rsid w:val="00EC5B49"/>
    <w:rsid w:val="00EC5D06"/>
    <w:rsid w:val="00EC5DD8"/>
    <w:rsid w:val="00EC6676"/>
    <w:rsid w:val="00EC79A6"/>
    <w:rsid w:val="00ED04A7"/>
    <w:rsid w:val="00ED168C"/>
    <w:rsid w:val="00ED1A6E"/>
    <w:rsid w:val="00ED2B31"/>
    <w:rsid w:val="00ED3964"/>
    <w:rsid w:val="00ED3CD7"/>
    <w:rsid w:val="00ED53E2"/>
    <w:rsid w:val="00ED605D"/>
    <w:rsid w:val="00ED69B8"/>
    <w:rsid w:val="00ED6EF5"/>
    <w:rsid w:val="00ED7ADE"/>
    <w:rsid w:val="00ED7E31"/>
    <w:rsid w:val="00EE11D4"/>
    <w:rsid w:val="00EE2059"/>
    <w:rsid w:val="00EE21B3"/>
    <w:rsid w:val="00EE28EA"/>
    <w:rsid w:val="00EE2A07"/>
    <w:rsid w:val="00EE2D2F"/>
    <w:rsid w:val="00EE3BC3"/>
    <w:rsid w:val="00EE3BED"/>
    <w:rsid w:val="00EE427B"/>
    <w:rsid w:val="00EE42B1"/>
    <w:rsid w:val="00EE4728"/>
    <w:rsid w:val="00EE4E38"/>
    <w:rsid w:val="00EE5BD5"/>
    <w:rsid w:val="00EF0465"/>
    <w:rsid w:val="00EF073B"/>
    <w:rsid w:val="00EF2D99"/>
    <w:rsid w:val="00EF2F03"/>
    <w:rsid w:val="00EF3D91"/>
    <w:rsid w:val="00EF3FFF"/>
    <w:rsid w:val="00EF5EE3"/>
    <w:rsid w:val="00EF62C5"/>
    <w:rsid w:val="00EF6CC8"/>
    <w:rsid w:val="00EF788F"/>
    <w:rsid w:val="00EF7D09"/>
    <w:rsid w:val="00F002B0"/>
    <w:rsid w:val="00F0048F"/>
    <w:rsid w:val="00F01178"/>
    <w:rsid w:val="00F01238"/>
    <w:rsid w:val="00F018B1"/>
    <w:rsid w:val="00F019A9"/>
    <w:rsid w:val="00F020C1"/>
    <w:rsid w:val="00F0215B"/>
    <w:rsid w:val="00F02223"/>
    <w:rsid w:val="00F025F3"/>
    <w:rsid w:val="00F028BD"/>
    <w:rsid w:val="00F04524"/>
    <w:rsid w:val="00F04EF7"/>
    <w:rsid w:val="00F056A6"/>
    <w:rsid w:val="00F05822"/>
    <w:rsid w:val="00F05ACA"/>
    <w:rsid w:val="00F06628"/>
    <w:rsid w:val="00F07C7F"/>
    <w:rsid w:val="00F101E3"/>
    <w:rsid w:val="00F1031F"/>
    <w:rsid w:val="00F104BB"/>
    <w:rsid w:val="00F11AE3"/>
    <w:rsid w:val="00F11C21"/>
    <w:rsid w:val="00F11C42"/>
    <w:rsid w:val="00F1240C"/>
    <w:rsid w:val="00F14753"/>
    <w:rsid w:val="00F148AD"/>
    <w:rsid w:val="00F14A39"/>
    <w:rsid w:val="00F14C50"/>
    <w:rsid w:val="00F15DA0"/>
    <w:rsid w:val="00F16501"/>
    <w:rsid w:val="00F16CE5"/>
    <w:rsid w:val="00F16D0F"/>
    <w:rsid w:val="00F175E4"/>
    <w:rsid w:val="00F17673"/>
    <w:rsid w:val="00F20861"/>
    <w:rsid w:val="00F21264"/>
    <w:rsid w:val="00F213BD"/>
    <w:rsid w:val="00F2213E"/>
    <w:rsid w:val="00F22F89"/>
    <w:rsid w:val="00F233E8"/>
    <w:rsid w:val="00F23CA8"/>
    <w:rsid w:val="00F248E4"/>
    <w:rsid w:val="00F26C1E"/>
    <w:rsid w:val="00F26FF6"/>
    <w:rsid w:val="00F2763D"/>
    <w:rsid w:val="00F27E31"/>
    <w:rsid w:val="00F30407"/>
    <w:rsid w:val="00F3112A"/>
    <w:rsid w:val="00F3141A"/>
    <w:rsid w:val="00F32CD9"/>
    <w:rsid w:val="00F337F6"/>
    <w:rsid w:val="00F34123"/>
    <w:rsid w:val="00F35D49"/>
    <w:rsid w:val="00F370CC"/>
    <w:rsid w:val="00F3714B"/>
    <w:rsid w:val="00F404E4"/>
    <w:rsid w:val="00F410F3"/>
    <w:rsid w:val="00F42336"/>
    <w:rsid w:val="00F4250A"/>
    <w:rsid w:val="00F425CC"/>
    <w:rsid w:val="00F429E9"/>
    <w:rsid w:val="00F43819"/>
    <w:rsid w:val="00F43DDE"/>
    <w:rsid w:val="00F43F26"/>
    <w:rsid w:val="00F44CFE"/>
    <w:rsid w:val="00F44D67"/>
    <w:rsid w:val="00F4675C"/>
    <w:rsid w:val="00F505D8"/>
    <w:rsid w:val="00F50A52"/>
    <w:rsid w:val="00F51493"/>
    <w:rsid w:val="00F51512"/>
    <w:rsid w:val="00F52022"/>
    <w:rsid w:val="00F526E4"/>
    <w:rsid w:val="00F52D03"/>
    <w:rsid w:val="00F52FA8"/>
    <w:rsid w:val="00F53BE6"/>
    <w:rsid w:val="00F53E5D"/>
    <w:rsid w:val="00F540CB"/>
    <w:rsid w:val="00F54AA4"/>
    <w:rsid w:val="00F55710"/>
    <w:rsid w:val="00F55BA2"/>
    <w:rsid w:val="00F560F9"/>
    <w:rsid w:val="00F569C0"/>
    <w:rsid w:val="00F57568"/>
    <w:rsid w:val="00F579E6"/>
    <w:rsid w:val="00F602E5"/>
    <w:rsid w:val="00F60C8D"/>
    <w:rsid w:val="00F61327"/>
    <w:rsid w:val="00F61F63"/>
    <w:rsid w:val="00F61F90"/>
    <w:rsid w:val="00F62F0F"/>
    <w:rsid w:val="00F635A5"/>
    <w:rsid w:val="00F6414B"/>
    <w:rsid w:val="00F64D19"/>
    <w:rsid w:val="00F6545E"/>
    <w:rsid w:val="00F66EB3"/>
    <w:rsid w:val="00F67A1D"/>
    <w:rsid w:val="00F67F37"/>
    <w:rsid w:val="00F71878"/>
    <w:rsid w:val="00F71AE4"/>
    <w:rsid w:val="00F72846"/>
    <w:rsid w:val="00F73E3B"/>
    <w:rsid w:val="00F74095"/>
    <w:rsid w:val="00F74500"/>
    <w:rsid w:val="00F746C1"/>
    <w:rsid w:val="00F75103"/>
    <w:rsid w:val="00F756B9"/>
    <w:rsid w:val="00F75D02"/>
    <w:rsid w:val="00F76412"/>
    <w:rsid w:val="00F80344"/>
    <w:rsid w:val="00F80719"/>
    <w:rsid w:val="00F80CD5"/>
    <w:rsid w:val="00F80D60"/>
    <w:rsid w:val="00F80ECB"/>
    <w:rsid w:val="00F816FB"/>
    <w:rsid w:val="00F81C17"/>
    <w:rsid w:val="00F82123"/>
    <w:rsid w:val="00F83883"/>
    <w:rsid w:val="00F84068"/>
    <w:rsid w:val="00F8468A"/>
    <w:rsid w:val="00F84E47"/>
    <w:rsid w:val="00F84E8F"/>
    <w:rsid w:val="00F854AA"/>
    <w:rsid w:val="00F86159"/>
    <w:rsid w:val="00F8679F"/>
    <w:rsid w:val="00F86BA8"/>
    <w:rsid w:val="00F87060"/>
    <w:rsid w:val="00F87B2A"/>
    <w:rsid w:val="00F9269D"/>
    <w:rsid w:val="00F94612"/>
    <w:rsid w:val="00F948BA"/>
    <w:rsid w:val="00F9531D"/>
    <w:rsid w:val="00F96A1A"/>
    <w:rsid w:val="00F96EFC"/>
    <w:rsid w:val="00F97270"/>
    <w:rsid w:val="00F972A2"/>
    <w:rsid w:val="00F972F5"/>
    <w:rsid w:val="00F97886"/>
    <w:rsid w:val="00F97A61"/>
    <w:rsid w:val="00F97ED5"/>
    <w:rsid w:val="00FA01A5"/>
    <w:rsid w:val="00FA075D"/>
    <w:rsid w:val="00FA19DF"/>
    <w:rsid w:val="00FA2CFA"/>
    <w:rsid w:val="00FA2ECF"/>
    <w:rsid w:val="00FA3AFA"/>
    <w:rsid w:val="00FA4444"/>
    <w:rsid w:val="00FA46AF"/>
    <w:rsid w:val="00FA5541"/>
    <w:rsid w:val="00FA5D16"/>
    <w:rsid w:val="00FA6750"/>
    <w:rsid w:val="00FA708D"/>
    <w:rsid w:val="00FA7645"/>
    <w:rsid w:val="00FA7AB4"/>
    <w:rsid w:val="00FB009D"/>
    <w:rsid w:val="00FB1233"/>
    <w:rsid w:val="00FB1D66"/>
    <w:rsid w:val="00FB200D"/>
    <w:rsid w:val="00FB3541"/>
    <w:rsid w:val="00FB3A28"/>
    <w:rsid w:val="00FB562B"/>
    <w:rsid w:val="00FB5ACA"/>
    <w:rsid w:val="00FB6127"/>
    <w:rsid w:val="00FB6A95"/>
    <w:rsid w:val="00FB775E"/>
    <w:rsid w:val="00FC129E"/>
    <w:rsid w:val="00FC190B"/>
    <w:rsid w:val="00FC2BF0"/>
    <w:rsid w:val="00FC329C"/>
    <w:rsid w:val="00FC38F8"/>
    <w:rsid w:val="00FC3E53"/>
    <w:rsid w:val="00FC41F2"/>
    <w:rsid w:val="00FC4D8A"/>
    <w:rsid w:val="00FC52F0"/>
    <w:rsid w:val="00FC5F42"/>
    <w:rsid w:val="00FC60BB"/>
    <w:rsid w:val="00FC77C5"/>
    <w:rsid w:val="00FC7DDD"/>
    <w:rsid w:val="00FC7E34"/>
    <w:rsid w:val="00FD0CA9"/>
    <w:rsid w:val="00FD12EE"/>
    <w:rsid w:val="00FD1F25"/>
    <w:rsid w:val="00FD20CD"/>
    <w:rsid w:val="00FD2301"/>
    <w:rsid w:val="00FD24A2"/>
    <w:rsid w:val="00FD28F5"/>
    <w:rsid w:val="00FD2DE1"/>
    <w:rsid w:val="00FD3A8D"/>
    <w:rsid w:val="00FD7F6F"/>
    <w:rsid w:val="00FE020B"/>
    <w:rsid w:val="00FE0278"/>
    <w:rsid w:val="00FE05F8"/>
    <w:rsid w:val="00FE179E"/>
    <w:rsid w:val="00FE1AE7"/>
    <w:rsid w:val="00FE2A23"/>
    <w:rsid w:val="00FE3A68"/>
    <w:rsid w:val="00FE3DF3"/>
    <w:rsid w:val="00FE3F9E"/>
    <w:rsid w:val="00FE6BB4"/>
    <w:rsid w:val="00FE7259"/>
    <w:rsid w:val="00FE7C94"/>
    <w:rsid w:val="00FF13C1"/>
    <w:rsid w:val="00FF1649"/>
    <w:rsid w:val="00FF1B08"/>
    <w:rsid w:val="00FF2B13"/>
    <w:rsid w:val="00FF4581"/>
    <w:rsid w:val="00FF5B74"/>
    <w:rsid w:val="00FF5C00"/>
    <w:rsid w:val="00FF65C6"/>
    <w:rsid w:val="010D35FE"/>
    <w:rsid w:val="01235F95"/>
    <w:rsid w:val="028393AB"/>
    <w:rsid w:val="02E12376"/>
    <w:rsid w:val="032B6ACA"/>
    <w:rsid w:val="04131790"/>
    <w:rsid w:val="0454114F"/>
    <w:rsid w:val="04DC84B3"/>
    <w:rsid w:val="05256D19"/>
    <w:rsid w:val="061554C0"/>
    <w:rsid w:val="06C2B6F9"/>
    <w:rsid w:val="0718F357"/>
    <w:rsid w:val="076F913A"/>
    <w:rsid w:val="078BB211"/>
    <w:rsid w:val="07AF11B6"/>
    <w:rsid w:val="0981FE36"/>
    <w:rsid w:val="09E69114"/>
    <w:rsid w:val="0AA69A84"/>
    <w:rsid w:val="0AAA000B"/>
    <w:rsid w:val="0B50BBF7"/>
    <w:rsid w:val="0BAF9672"/>
    <w:rsid w:val="0C3383EA"/>
    <w:rsid w:val="0C9A6244"/>
    <w:rsid w:val="0E9A73CB"/>
    <w:rsid w:val="0EE1484B"/>
    <w:rsid w:val="0F12E9BB"/>
    <w:rsid w:val="0FC2FC07"/>
    <w:rsid w:val="10A8DF84"/>
    <w:rsid w:val="11332039"/>
    <w:rsid w:val="1142BA56"/>
    <w:rsid w:val="1159C23C"/>
    <w:rsid w:val="12A11B6A"/>
    <w:rsid w:val="12F5929D"/>
    <w:rsid w:val="138C1619"/>
    <w:rsid w:val="13C1FD40"/>
    <w:rsid w:val="13C227AB"/>
    <w:rsid w:val="13D49C0A"/>
    <w:rsid w:val="1482CE1F"/>
    <w:rsid w:val="1494D4BB"/>
    <w:rsid w:val="14E714E3"/>
    <w:rsid w:val="14FA9603"/>
    <w:rsid w:val="1503C034"/>
    <w:rsid w:val="151ED408"/>
    <w:rsid w:val="153C90EE"/>
    <w:rsid w:val="15663085"/>
    <w:rsid w:val="16C1F0A1"/>
    <w:rsid w:val="1753C9EC"/>
    <w:rsid w:val="1756C873"/>
    <w:rsid w:val="1798D37D"/>
    <w:rsid w:val="17C5E9B8"/>
    <w:rsid w:val="180DF9AC"/>
    <w:rsid w:val="1955C110"/>
    <w:rsid w:val="1A181667"/>
    <w:rsid w:val="1AB6C386"/>
    <w:rsid w:val="1B00A482"/>
    <w:rsid w:val="1B115BEE"/>
    <w:rsid w:val="1B91AA0A"/>
    <w:rsid w:val="1C3EAD7A"/>
    <w:rsid w:val="1C47720D"/>
    <w:rsid w:val="1D288705"/>
    <w:rsid w:val="1D2D7A6B"/>
    <w:rsid w:val="1DE1B165"/>
    <w:rsid w:val="1EDD88BC"/>
    <w:rsid w:val="1F5C4550"/>
    <w:rsid w:val="20800DA4"/>
    <w:rsid w:val="21015972"/>
    <w:rsid w:val="215D812B"/>
    <w:rsid w:val="21BFF0AE"/>
    <w:rsid w:val="22583A36"/>
    <w:rsid w:val="225AFD26"/>
    <w:rsid w:val="22DB8624"/>
    <w:rsid w:val="22E88619"/>
    <w:rsid w:val="22F01EEC"/>
    <w:rsid w:val="22F1DCA2"/>
    <w:rsid w:val="235BC10F"/>
    <w:rsid w:val="23CB6DCB"/>
    <w:rsid w:val="23EFACF9"/>
    <w:rsid w:val="23EFE28E"/>
    <w:rsid w:val="23F20717"/>
    <w:rsid w:val="243C7EC1"/>
    <w:rsid w:val="24447D6F"/>
    <w:rsid w:val="24775685"/>
    <w:rsid w:val="25194BB2"/>
    <w:rsid w:val="2594FA50"/>
    <w:rsid w:val="2621673F"/>
    <w:rsid w:val="266271E6"/>
    <w:rsid w:val="26ABAED2"/>
    <w:rsid w:val="26CB2490"/>
    <w:rsid w:val="27030E8D"/>
    <w:rsid w:val="27E8A7AC"/>
    <w:rsid w:val="28386666"/>
    <w:rsid w:val="283DEFB7"/>
    <w:rsid w:val="2935DBC4"/>
    <w:rsid w:val="2942FECA"/>
    <w:rsid w:val="29862CC3"/>
    <w:rsid w:val="29D436C7"/>
    <w:rsid w:val="2AEC15FD"/>
    <w:rsid w:val="2AF75D26"/>
    <w:rsid w:val="2B1B9BCA"/>
    <w:rsid w:val="2C5A95E7"/>
    <w:rsid w:val="2DBA53D1"/>
    <w:rsid w:val="2E262651"/>
    <w:rsid w:val="2EEE3E84"/>
    <w:rsid w:val="2EFF437B"/>
    <w:rsid w:val="2F2A7803"/>
    <w:rsid w:val="2F3FEEB0"/>
    <w:rsid w:val="2FC1F6B2"/>
    <w:rsid w:val="3108E7A4"/>
    <w:rsid w:val="31230077"/>
    <w:rsid w:val="31809B7C"/>
    <w:rsid w:val="323D132A"/>
    <w:rsid w:val="32F99774"/>
    <w:rsid w:val="330298D7"/>
    <w:rsid w:val="33557CFA"/>
    <w:rsid w:val="3496E33D"/>
    <w:rsid w:val="34F43830"/>
    <w:rsid w:val="35910E67"/>
    <w:rsid w:val="36989162"/>
    <w:rsid w:val="36F12D03"/>
    <w:rsid w:val="3772524F"/>
    <w:rsid w:val="37765E8D"/>
    <w:rsid w:val="378701A8"/>
    <w:rsid w:val="37CC686B"/>
    <w:rsid w:val="382066D5"/>
    <w:rsid w:val="38CD9C51"/>
    <w:rsid w:val="38CF0A09"/>
    <w:rsid w:val="3960EB72"/>
    <w:rsid w:val="39B01E5A"/>
    <w:rsid w:val="3A360544"/>
    <w:rsid w:val="3A58C09F"/>
    <w:rsid w:val="3A829E08"/>
    <w:rsid w:val="3BB2FEA8"/>
    <w:rsid w:val="3C0DBAF0"/>
    <w:rsid w:val="3D587764"/>
    <w:rsid w:val="3D906161"/>
    <w:rsid w:val="3DAB4493"/>
    <w:rsid w:val="3DC152E8"/>
    <w:rsid w:val="3DFE4F2B"/>
    <w:rsid w:val="3E36A3FC"/>
    <w:rsid w:val="3E86FD39"/>
    <w:rsid w:val="3FE7D146"/>
    <w:rsid w:val="40F09EEF"/>
    <w:rsid w:val="4187AD60"/>
    <w:rsid w:val="422BE887"/>
    <w:rsid w:val="42313E70"/>
    <w:rsid w:val="4266A2FA"/>
    <w:rsid w:val="42AE51AF"/>
    <w:rsid w:val="42DF1FD9"/>
    <w:rsid w:val="439C8A32"/>
    <w:rsid w:val="43C7B8E8"/>
    <w:rsid w:val="44037E31"/>
    <w:rsid w:val="449A65F8"/>
    <w:rsid w:val="44E94E10"/>
    <w:rsid w:val="45403DBF"/>
    <w:rsid w:val="45852F11"/>
    <w:rsid w:val="45AAE7B5"/>
    <w:rsid w:val="45C06E27"/>
    <w:rsid w:val="464E3EB0"/>
    <w:rsid w:val="46791441"/>
    <w:rsid w:val="46FF59AA"/>
    <w:rsid w:val="47A3C93A"/>
    <w:rsid w:val="4883005B"/>
    <w:rsid w:val="48845172"/>
    <w:rsid w:val="49353900"/>
    <w:rsid w:val="496DD71B"/>
    <w:rsid w:val="498FEBAB"/>
    <w:rsid w:val="499DB137"/>
    <w:rsid w:val="4A49132D"/>
    <w:rsid w:val="4AC86397"/>
    <w:rsid w:val="4B27087F"/>
    <w:rsid w:val="4C34CB58"/>
    <w:rsid w:val="4D617811"/>
    <w:rsid w:val="4D91381A"/>
    <w:rsid w:val="4E2885D6"/>
    <w:rsid w:val="50D0DB92"/>
    <w:rsid w:val="50DFE0C2"/>
    <w:rsid w:val="51AFF844"/>
    <w:rsid w:val="52E15853"/>
    <w:rsid w:val="5312FE8C"/>
    <w:rsid w:val="54602C5E"/>
    <w:rsid w:val="548BD03D"/>
    <w:rsid w:val="54E0E0F5"/>
    <w:rsid w:val="55701E37"/>
    <w:rsid w:val="55C8F905"/>
    <w:rsid w:val="561C84EA"/>
    <w:rsid w:val="563B54AB"/>
    <w:rsid w:val="56D4D40A"/>
    <w:rsid w:val="571CB5E1"/>
    <w:rsid w:val="58D3EAC1"/>
    <w:rsid w:val="58D5586D"/>
    <w:rsid w:val="58EDA10D"/>
    <w:rsid w:val="590099C7"/>
    <w:rsid w:val="593A7D3D"/>
    <w:rsid w:val="5997F13F"/>
    <w:rsid w:val="59A1ACD1"/>
    <w:rsid w:val="59C3D268"/>
    <w:rsid w:val="59C73570"/>
    <w:rsid w:val="5A1F0209"/>
    <w:rsid w:val="5AC6C2C2"/>
    <w:rsid w:val="5B528279"/>
    <w:rsid w:val="5B9749B1"/>
    <w:rsid w:val="5BA10C54"/>
    <w:rsid w:val="5BB9BD8E"/>
    <w:rsid w:val="5BC4A684"/>
    <w:rsid w:val="5C0B8B83"/>
    <w:rsid w:val="5C6F5E8F"/>
    <w:rsid w:val="5C8AEB12"/>
    <w:rsid w:val="5CB22DE8"/>
    <w:rsid w:val="5CFE43A0"/>
    <w:rsid w:val="5D197CFF"/>
    <w:rsid w:val="5D755F8C"/>
    <w:rsid w:val="5D76C07F"/>
    <w:rsid w:val="5DD40AEA"/>
    <w:rsid w:val="5E613CA5"/>
    <w:rsid w:val="5E772389"/>
    <w:rsid w:val="5E86D76B"/>
    <w:rsid w:val="5EDF6B59"/>
    <w:rsid w:val="5F2A0BB8"/>
    <w:rsid w:val="5F432C45"/>
    <w:rsid w:val="5F6FDB4B"/>
    <w:rsid w:val="5F945DD3"/>
    <w:rsid w:val="604DF71E"/>
    <w:rsid w:val="60DEFCA6"/>
    <w:rsid w:val="61106986"/>
    <w:rsid w:val="611BC42A"/>
    <w:rsid w:val="6146C183"/>
    <w:rsid w:val="622ECB94"/>
    <w:rsid w:val="625C2EB8"/>
    <w:rsid w:val="628D1897"/>
    <w:rsid w:val="629B550F"/>
    <w:rsid w:val="635A523D"/>
    <w:rsid w:val="63CDA7DF"/>
    <w:rsid w:val="649F3151"/>
    <w:rsid w:val="65AA0A89"/>
    <w:rsid w:val="65B26DC9"/>
    <w:rsid w:val="665A2F49"/>
    <w:rsid w:val="66B2FACC"/>
    <w:rsid w:val="66CC23BA"/>
    <w:rsid w:val="66F71ADD"/>
    <w:rsid w:val="670F8D8D"/>
    <w:rsid w:val="683FE0A6"/>
    <w:rsid w:val="68AC91C4"/>
    <w:rsid w:val="68EA0E8B"/>
    <w:rsid w:val="6918C067"/>
    <w:rsid w:val="6991D00B"/>
    <w:rsid w:val="6AA32E8F"/>
    <w:rsid w:val="6AC40B4F"/>
    <w:rsid w:val="6AEBE3A9"/>
    <w:rsid w:val="6B723785"/>
    <w:rsid w:val="6C160B1E"/>
    <w:rsid w:val="6C6A71FD"/>
    <w:rsid w:val="6CF3B243"/>
    <w:rsid w:val="6CFC49E3"/>
    <w:rsid w:val="6D296923"/>
    <w:rsid w:val="6E65412E"/>
    <w:rsid w:val="6E73CE8A"/>
    <w:rsid w:val="6ECD1E05"/>
    <w:rsid w:val="6F156E9F"/>
    <w:rsid w:val="6F974028"/>
    <w:rsid w:val="6FAF87A5"/>
    <w:rsid w:val="7028B4DB"/>
    <w:rsid w:val="7131935C"/>
    <w:rsid w:val="7191C016"/>
    <w:rsid w:val="71EE6D27"/>
    <w:rsid w:val="71FB072D"/>
    <w:rsid w:val="723A4BAD"/>
    <w:rsid w:val="731F89F4"/>
    <w:rsid w:val="733A56FB"/>
    <w:rsid w:val="733BC86E"/>
    <w:rsid w:val="73991D61"/>
    <w:rsid w:val="73D8D658"/>
    <w:rsid w:val="74765640"/>
    <w:rsid w:val="74816A44"/>
    <w:rsid w:val="748F0386"/>
    <w:rsid w:val="74BFF112"/>
    <w:rsid w:val="74F853D0"/>
    <w:rsid w:val="750BFED3"/>
    <w:rsid w:val="75109EFE"/>
    <w:rsid w:val="75FA0EFF"/>
    <w:rsid w:val="7818DCD2"/>
    <w:rsid w:val="78ECB257"/>
    <w:rsid w:val="7B148D84"/>
    <w:rsid w:val="7B2D13D1"/>
    <w:rsid w:val="7B553C76"/>
    <w:rsid w:val="7B9278B0"/>
    <w:rsid w:val="7C5F7873"/>
    <w:rsid w:val="7CC66C3A"/>
    <w:rsid w:val="7CF10CD7"/>
    <w:rsid w:val="7CFE88ED"/>
    <w:rsid w:val="7DC268A1"/>
    <w:rsid w:val="7DD593AC"/>
    <w:rsid w:val="7E0EA2DA"/>
    <w:rsid w:val="7E2A85C6"/>
    <w:rsid w:val="7E8CDD38"/>
    <w:rsid w:val="7EC59C28"/>
    <w:rsid w:val="7F0ECA0C"/>
    <w:rsid w:val="7F344D22"/>
    <w:rsid w:val="7F6480E3"/>
    <w:rsid w:val="7F762061"/>
    <w:rsid w:val="7FA6A40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659FE"/>
  <w15:docId w15:val="{94A784BA-5D01-4851-8980-E9A581DC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E81"/>
    <w:rPr>
      <w:sz w:val="24"/>
      <w:szCs w:val="24"/>
    </w:rPr>
  </w:style>
  <w:style w:type="paragraph" w:styleId="Nadpis1">
    <w:name w:val="heading 1"/>
    <w:basedOn w:val="Normln"/>
    <w:next w:val="Normln"/>
    <w:link w:val="Nadpis1Char"/>
    <w:qFormat/>
    <w:rsid w:val="006B21F1"/>
    <w:pPr>
      <w:keepNext/>
      <w:tabs>
        <w:tab w:val="left" w:pos="624"/>
      </w:tabs>
      <w:spacing w:before="240" w:after="240" w:line="360" w:lineRule="auto"/>
      <w:ind w:left="624" w:hanging="624"/>
      <w:outlineLvl w:val="0"/>
    </w:pPr>
    <w:rPr>
      <w:b/>
      <w:bCs/>
      <w:kern w:val="32"/>
      <w:sz w:val="32"/>
      <w:szCs w:val="32"/>
    </w:rPr>
  </w:style>
  <w:style w:type="paragraph" w:styleId="Nadpis2">
    <w:name w:val="heading 2"/>
    <w:basedOn w:val="Normln"/>
    <w:next w:val="Normln"/>
    <w:link w:val="Nadpis2Char"/>
    <w:qFormat/>
    <w:rsid w:val="006B21F1"/>
    <w:pPr>
      <w:keepNext/>
      <w:spacing w:before="240" w:after="120" w:line="360" w:lineRule="auto"/>
      <w:outlineLvl w:val="1"/>
    </w:pPr>
    <w:rPr>
      <w:b/>
      <w:bCs/>
      <w:sz w:val="28"/>
      <w:szCs w:val="28"/>
    </w:rPr>
  </w:style>
  <w:style w:type="paragraph" w:styleId="Nadpis3">
    <w:name w:val="heading 3"/>
    <w:basedOn w:val="Normln"/>
    <w:next w:val="Normln"/>
    <w:link w:val="Nadpis3Char"/>
    <w:qFormat/>
    <w:rsid w:val="006B21F1"/>
    <w:pPr>
      <w:keepNext/>
      <w:jc w:val="both"/>
      <w:outlineLvl w:val="2"/>
    </w:pPr>
    <w:rPr>
      <w:sz w:val="28"/>
      <w:szCs w:val="28"/>
    </w:rPr>
  </w:style>
  <w:style w:type="paragraph" w:styleId="Nadpis4">
    <w:name w:val="heading 4"/>
    <w:basedOn w:val="Normln"/>
    <w:next w:val="Normln"/>
    <w:link w:val="Nadpis4Char"/>
    <w:qFormat/>
    <w:rsid w:val="006B21F1"/>
    <w:pPr>
      <w:keepNext/>
      <w:jc w:val="both"/>
      <w:outlineLvl w:val="3"/>
    </w:pPr>
    <w:rPr>
      <w:sz w:val="28"/>
      <w:szCs w:val="28"/>
      <w:u w:val="single"/>
    </w:rPr>
  </w:style>
  <w:style w:type="paragraph" w:styleId="Nadpis5">
    <w:name w:val="heading 5"/>
    <w:basedOn w:val="Normln"/>
    <w:next w:val="Normln"/>
    <w:link w:val="Nadpis5Char"/>
    <w:qFormat/>
    <w:rsid w:val="006B21F1"/>
    <w:pPr>
      <w:keepNext/>
      <w:outlineLvl w:val="4"/>
    </w:pPr>
    <w:rPr>
      <w:sz w:val="28"/>
      <w:szCs w:val="28"/>
    </w:rPr>
  </w:style>
  <w:style w:type="paragraph" w:styleId="Nadpis6">
    <w:name w:val="heading 6"/>
    <w:basedOn w:val="Normln"/>
    <w:next w:val="Normln"/>
    <w:link w:val="Nadpis6Char"/>
    <w:qFormat/>
    <w:rsid w:val="006B21F1"/>
    <w:pPr>
      <w:keepNext/>
      <w:jc w:val="both"/>
      <w:outlineLvl w:val="5"/>
    </w:pPr>
    <w:rPr>
      <w:rFonts w:ascii="Tahoma" w:hAnsi="Tahoma" w:cs="Tahoma"/>
      <w:u w:val="single"/>
    </w:rPr>
  </w:style>
  <w:style w:type="paragraph" w:styleId="Nadpis7">
    <w:name w:val="heading 7"/>
    <w:basedOn w:val="Normln"/>
    <w:next w:val="Normln"/>
    <w:link w:val="Nadpis7Char"/>
    <w:qFormat/>
    <w:rsid w:val="000F2B7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0D38"/>
    <w:rPr>
      <w:rFonts w:ascii="Cambria" w:hAnsi="Cambria" w:cs="Cambria"/>
      <w:b/>
      <w:bCs/>
      <w:kern w:val="32"/>
      <w:sz w:val="32"/>
      <w:szCs w:val="32"/>
    </w:rPr>
  </w:style>
  <w:style w:type="character" w:customStyle="1" w:styleId="Nadpis2Char">
    <w:name w:val="Nadpis 2 Char"/>
    <w:basedOn w:val="Standardnpsmoodstavce"/>
    <w:link w:val="Nadpis2"/>
    <w:rsid w:val="00A80D38"/>
    <w:rPr>
      <w:rFonts w:ascii="Cambria" w:hAnsi="Cambria" w:cs="Cambria"/>
      <w:b/>
      <w:bCs/>
      <w:i/>
      <w:iCs/>
      <w:sz w:val="28"/>
      <w:szCs w:val="28"/>
    </w:rPr>
  </w:style>
  <w:style w:type="character" w:customStyle="1" w:styleId="Nadpis3Char">
    <w:name w:val="Nadpis 3 Char"/>
    <w:basedOn w:val="Standardnpsmoodstavce"/>
    <w:link w:val="Nadpis3"/>
    <w:semiHidden/>
    <w:rsid w:val="00A80D38"/>
    <w:rPr>
      <w:rFonts w:ascii="Cambria" w:hAnsi="Cambria" w:cs="Cambria"/>
      <w:b/>
      <w:bCs/>
      <w:sz w:val="26"/>
      <w:szCs w:val="26"/>
    </w:rPr>
  </w:style>
  <w:style w:type="character" w:customStyle="1" w:styleId="Nadpis4Char">
    <w:name w:val="Nadpis 4 Char"/>
    <w:basedOn w:val="Standardnpsmoodstavce"/>
    <w:link w:val="Nadpis4"/>
    <w:semiHidden/>
    <w:rsid w:val="00A80D38"/>
    <w:rPr>
      <w:rFonts w:ascii="Calibri" w:hAnsi="Calibri" w:cs="Calibri"/>
      <w:b/>
      <w:bCs/>
      <w:sz w:val="28"/>
      <w:szCs w:val="28"/>
    </w:rPr>
  </w:style>
  <w:style w:type="character" w:customStyle="1" w:styleId="Nadpis5Char">
    <w:name w:val="Nadpis 5 Char"/>
    <w:basedOn w:val="Standardnpsmoodstavce"/>
    <w:link w:val="Nadpis5"/>
    <w:semiHidden/>
    <w:rsid w:val="00A80D38"/>
    <w:rPr>
      <w:rFonts w:ascii="Calibri" w:hAnsi="Calibri" w:cs="Calibri"/>
      <w:b/>
      <w:bCs/>
      <w:i/>
      <w:iCs/>
      <w:sz w:val="26"/>
      <w:szCs w:val="26"/>
    </w:rPr>
  </w:style>
  <w:style w:type="character" w:customStyle="1" w:styleId="Nadpis6Char">
    <w:name w:val="Nadpis 6 Char"/>
    <w:basedOn w:val="Standardnpsmoodstavce"/>
    <w:link w:val="Nadpis6"/>
    <w:semiHidden/>
    <w:rsid w:val="00A80D38"/>
    <w:rPr>
      <w:rFonts w:ascii="Calibri" w:hAnsi="Calibri" w:cs="Calibri"/>
      <w:b/>
      <w:bCs/>
    </w:rPr>
  </w:style>
  <w:style w:type="character" w:customStyle="1" w:styleId="Nadpis7Char">
    <w:name w:val="Nadpis 7 Char"/>
    <w:basedOn w:val="Standardnpsmoodstavce"/>
    <w:link w:val="Nadpis7"/>
    <w:semiHidden/>
    <w:rsid w:val="00A80D38"/>
    <w:rPr>
      <w:rFonts w:ascii="Calibri" w:hAnsi="Calibri" w:cs="Calibri"/>
      <w:sz w:val="24"/>
      <w:szCs w:val="24"/>
    </w:rPr>
  </w:style>
  <w:style w:type="paragraph" w:styleId="Zkladntext">
    <w:name w:val="Body Text"/>
    <w:basedOn w:val="Normln"/>
    <w:link w:val="ZkladntextChar"/>
    <w:rsid w:val="006B21F1"/>
    <w:pPr>
      <w:jc w:val="both"/>
    </w:pPr>
    <w:rPr>
      <w:sz w:val="28"/>
      <w:szCs w:val="28"/>
    </w:rPr>
  </w:style>
  <w:style w:type="character" w:customStyle="1" w:styleId="ZkladntextChar">
    <w:name w:val="Základní text Char"/>
    <w:basedOn w:val="Standardnpsmoodstavce"/>
    <w:link w:val="Zkladntext"/>
    <w:semiHidden/>
    <w:rsid w:val="00A80D38"/>
    <w:rPr>
      <w:rFonts w:cs="Times New Roman"/>
      <w:sz w:val="24"/>
      <w:szCs w:val="24"/>
    </w:rPr>
  </w:style>
  <w:style w:type="paragraph" w:customStyle="1" w:styleId="Styl1">
    <w:name w:val="Styl1"/>
    <w:basedOn w:val="Normln"/>
    <w:rsid w:val="006B21F1"/>
    <w:pPr>
      <w:numPr>
        <w:numId w:val="2"/>
      </w:numPr>
    </w:pPr>
  </w:style>
  <w:style w:type="paragraph" w:customStyle="1" w:styleId="Styl2">
    <w:name w:val="Styl2"/>
    <w:basedOn w:val="Normln"/>
    <w:rsid w:val="006B21F1"/>
    <w:pPr>
      <w:numPr>
        <w:ilvl w:val="1"/>
        <w:numId w:val="2"/>
      </w:numPr>
    </w:pPr>
  </w:style>
  <w:style w:type="paragraph" w:styleId="Zhlav">
    <w:name w:val="header"/>
    <w:basedOn w:val="Normln"/>
    <w:link w:val="ZhlavChar"/>
    <w:rsid w:val="006B21F1"/>
    <w:pPr>
      <w:tabs>
        <w:tab w:val="center" w:pos="4536"/>
        <w:tab w:val="right" w:pos="9072"/>
      </w:tabs>
    </w:pPr>
  </w:style>
  <w:style w:type="character" w:customStyle="1" w:styleId="ZhlavChar">
    <w:name w:val="Záhlaví Char"/>
    <w:basedOn w:val="Standardnpsmoodstavce"/>
    <w:link w:val="Zhlav"/>
    <w:semiHidden/>
    <w:rsid w:val="00A80D38"/>
    <w:rPr>
      <w:rFonts w:cs="Times New Roman"/>
      <w:sz w:val="24"/>
      <w:szCs w:val="24"/>
    </w:rPr>
  </w:style>
  <w:style w:type="paragraph" w:styleId="Zpat">
    <w:name w:val="footer"/>
    <w:basedOn w:val="Normln"/>
    <w:link w:val="ZpatChar"/>
    <w:uiPriority w:val="99"/>
    <w:rsid w:val="006B21F1"/>
    <w:pPr>
      <w:tabs>
        <w:tab w:val="center" w:pos="4536"/>
        <w:tab w:val="right" w:pos="9072"/>
      </w:tabs>
    </w:pPr>
  </w:style>
  <w:style w:type="character" w:customStyle="1" w:styleId="ZpatChar">
    <w:name w:val="Zápatí Char"/>
    <w:basedOn w:val="Standardnpsmoodstavce"/>
    <w:link w:val="Zpat"/>
    <w:uiPriority w:val="99"/>
    <w:rsid w:val="00771EDB"/>
    <w:rPr>
      <w:rFonts w:cs="Times New Roman"/>
      <w:sz w:val="24"/>
      <w:szCs w:val="24"/>
    </w:rPr>
  </w:style>
  <w:style w:type="character" w:styleId="slostrnky">
    <w:name w:val="page number"/>
    <w:basedOn w:val="Standardnpsmoodstavce"/>
    <w:rsid w:val="006B21F1"/>
    <w:rPr>
      <w:rFonts w:cs="Times New Roman"/>
    </w:rPr>
  </w:style>
  <w:style w:type="paragraph" w:styleId="Zkladntextodsazen">
    <w:name w:val="Body Text Indent"/>
    <w:basedOn w:val="Normln"/>
    <w:link w:val="ZkladntextodsazenChar"/>
    <w:rsid w:val="006B21F1"/>
    <w:pPr>
      <w:jc w:val="both"/>
    </w:pPr>
    <w:rPr>
      <w:sz w:val="28"/>
      <w:szCs w:val="28"/>
    </w:rPr>
  </w:style>
  <w:style w:type="character" w:customStyle="1" w:styleId="ZkladntextodsazenChar">
    <w:name w:val="Základní text odsazený Char"/>
    <w:basedOn w:val="Standardnpsmoodstavce"/>
    <w:link w:val="Zkladntextodsazen"/>
    <w:semiHidden/>
    <w:rsid w:val="00A80D38"/>
    <w:rPr>
      <w:rFonts w:cs="Times New Roman"/>
      <w:sz w:val="24"/>
      <w:szCs w:val="24"/>
    </w:rPr>
  </w:style>
  <w:style w:type="paragraph" w:styleId="Zkladntext3">
    <w:name w:val="Body Text 3"/>
    <w:basedOn w:val="Normln"/>
    <w:link w:val="Zkladntext3Char"/>
    <w:rsid w:val="006B21F1"/>
    <w:rPr>
      <w:rFonts w:ascii="Tahoma" w:hAnsi="Tahoma" w:cs="Tahoma"/>
      <w:sz w:val="28"/>
      <w:szCs w:val="28"/>
    </w:rPr>
  </w:style>
  <w:style w:type="character" w:customStyle="1" w:styleId="Zkladntext3Char">
    <w:name w:val="Základní text 3 Char"/>
    <w:basedOn w:val="Standardnpsmoodstavce"/>
    <w:link w:val="Zkladntext3"/>
    <w:semiHidden/>
    <w:rsid w:val="00A80D38"/>
    <w:rPr>
      <w:rFonts w:cs="Times New Roman"/>
      <w:sz w:val="16"/>
      <w:szCs w:val="16"/>
    </w:rPr>
  </w:style>
  <w:style w:type="paragraph" w:styleId="Textpoznpodarou">
    <w:name w:val="footnote text"/>
    <w:basedOn w:val="Normln"/>
    <w:link w:val="TextpoznpodarouChar"/>
    <w:semiHidden/>
    <w:rsid w:val="006B21F1"/>
    <w:rPr>
      <w:sz w:val="20"/>
      <w:szCs w:val="20"/>
    </w:rPr>
  </w:style>
  <w:style w:type="character" w:customStyle="1" w:styleId="TextpoznpodarouChar">
    <w:name w:val="Text pozn. pod čarou Char"/>
    <w:basedOn w:val="Standardnpsmoodstavce"/>
    <w:link w:val="Textpoznpodarou"/>
    <w:semiHidden/>
    <w:rsid w:val="00A80D38"/>
    <w:rPr>
      <w:rFonts w:cs="Times New Roman"/>
      <w:sz w:val="20"/>
      <w:szCs w:val="20"/>
    </w:rPr>
  </w:style>
  <w:style w:type="character" w:styleId="Znakapoznpodarou">
    <w:name w:val="footnote reference"/>
    <w:basedOn w:val="Standardnpsmoodstavce"/>
    <w:semiHidden/>
    <w:rsid w:val="006B21F1"/>
    <w:rPr>
      <w:rFonts w:cs="Times New Roman"/>
      <w:vertAlign w:val="superscript"/>
    </w:rPr>
  </w:style>
  <w:style w:type="paragraph" w:styleId="Normlnweb">
    <w:name w:val="Normal (Web)"/>
    <w:basedOn w:val="Normln"/>
    <w:uiPriority w:val="99"/>
    <w:rsid w:val="006B21F1"/>
    <w:pPr>
      <w:spacing w:before="150" w:after="30"/>
    </w:pPr>
    <w:rPr>
      <w:rFonts w:ascii="Verdana" w:hAnsi="Verdana" w:cs="Verdana"/>
    </w:rPr>
  </w:style>
  <w:style w:type="character" w:styleId="Siln">
    <w:name w:val="Strong"/>
    <w:basedOn w:val="Standardnpsmoodstavce"/>
    <w:uiPriority w:val="22"/>
    <w:qFormat/>
    <w:rsid w:val="006B21F1"/>
    <w:rPr>
      <w:rFonts w:cs="Times New Roman"/>
      <w:b/>
      <w:bCs/>
    </w:rPr>
  </w:style>
  <w:style w:type="paragraph" w:customStyle="1" w:styleId="Zkladntextodsazen1">
    <w:name w:val="Základní text odsazený1"/>
    <w:basedOn w:val="Normln"/>
    <w:link w:val="BodyTextIndentChar"/>
    <w:rsid w:val="006B21F1"/>
    <w:pPr>
      <w:ind w:left="540" w:hanging="540"/>
      <w:jc w:val="both"/>
    </w:pPr>
    <w:rPr>
      <w:sz w:val="28"/>
      <w:szCs w:val="28"/>
    </w:rPr>
  </w:style>
  <w:style w:type="character" w:customStyle="1" w:styleId="BodyTextIndentChar">
    <w:name w:val="Body Text Indent Char"/>
    <w:basedOn w:val="Standardnpsmoodstavce"/>
    <w:link w:val="Zkladntextodsazen1"/>
    <w:rsid w:val="00A80D38"/>
    <w:rPr>
      <w:rFonts w:cs="Times New Roman"/>
      <w:sz w:val="24"/>
      <w:szCs w:val="24"/>
    </w:rPr>
  </w:style>
  <w:style w:type="character" w:customStyle="1" w:styleId="platne1">
    <w:name w:val="platne1"/>
    <w:basedOn w:val="Standardnpsmoodstavce"/>
    <w:rsid w:val="006B21F1"/>
    <w:rPr>
      <w:rFonts w:cs="Times New Roman"/>
    </w:rPr>
  </w:style>
  <w:style w:type="character" w:styleId="Hypertextovodkaz">
    <w:name w:val="Hyperlink"/>
    <w:basedOn w:val="Standardnpsmoodstavce"/>
    <w:uiPriority w:val="99"/>
    <w:rsid w:val="00655853"/>
    <w:rPr>
      <w:rFonts w:cs="Times New Roman"/>
      <w:color w:val="0000FF"/>
      <w:u w:val="single"/>
    </w:rPr>
  </w:style>
  <w:style w:type="paragraph" w:styleId="Textbubliny">
    <w:name w:val="Balloon Text"/>
    <w:basedOn w:val="Normln"/>
    <w:link w:val="TextbublinyChar"/>
    <w:semiHidden/>
    <w:rsid w:val="009E7EFC"/>
    <w:rPr>
      <w:rFonts w:ascii="Tahoma" w:hAnsi="Tahoma" w:cs="Tahoma"/>
      <w:sz w:val="16"/>
      <w:szCs w:val="16"/>
    </w:rPr>
  </w:style>
  <w:style w:type="character" w:customStyle="1" w:styleId="TextbublinyChar">
    <w:name w:val="Text bubliny Char"/>
    <w:basedOn w:val="Standardnpsmoodstavce"/>
    <w:link w:val="Textbubliny"/>
    <w:semiHidden/>
    <w:rsid w:val="00A80D38"/>
    <w:rPr>
      <w:rFonts w:cs="Times New Roman"/>
      <w:sz w:val="2"/>
      <w:szCs w:val="2"/>
    </w:rPr>
  </w:style>
  <w:style w:type="paragraph" w:customStyle="1" w:styleId="KUMS-adresa">
    <w:name w:val="KUMS-adresa"/>
    <w:basedOn w:val="Normln"/>
    <w:rsid w:val="00522B8F"/>
    <w:pPr>
      <w:spacing w:line="280" w:lineRule="exact"/>
      <w:jc w:val="both"/>
    </w:pPr>
    <w:rPr>
      <w:rFonts w:ascii="Tahoma" w:hAnsi="Tahoma" w:cs="Tahoma"/>
      <w:noProof/>
      <w:sz w:val="20"/>
      <w:szCs w:val="20"/>
    </w:rPr>
  </w:style>
  <w:style w:type="character" w:styleId="Sledovanodkaz">
    <w:name w:val="FollowedHyperlink"/>
    <w:basedOn w:val="Standardnpsmoodstavce"/>
    <w:rsid w:val="009A53DA"/>
    <w:rPr>
      <w:rFonts w:cs="Times New Roman"/>
      <w:color w:val="800080"/>
      <w:u w:val="single"/>
    </w:rPr>
  </w:style>
  <w:style w:type="paragraph" w:customStyle="1" w:styleId="Styl">
    <w:name w:val="Styl"/>
    <w:basedOn w:val="Normln"/>
    <w:rsid w:val="00C40E26"/>
    <w:pPr>
      <w:spacing w:after="160" w:line="240" w:lineRule="exact"/>
    </w:pPr>
    <w:rPr>
      <w:rFonts w:ascii="Times New Roman Bold" w:hAnsi="Times New Roman Bold" w:cs="Times New Roman Bold"/>
      <w:sz w:val="22"/>
      <w:szCs w:val="22"/>
      <w:lang w:val="sk-SK" w:eastAsia="en-US"/>
    </w:rPr>
  </w:style>
  <w:style w:type="paragraph" w:styleId="FormtovanvHTML">
    <w:name w:val="HTML Preformatted"/>
    <w:basedOn w:val="Normln"/>
    <w:link w:val="FormtovanvHTMLChar"/>
    <w:rsid w:val="00F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A80D38"/>
    <w:rPr>
      <w:rFonts w:ascii="Courier New" w:hAnsi="Courier New" w:cs="Courier New"/>
      <w:sz w:val="20"/>
      <w:szCs w:val="20"/>
    </w:rPr>
  </w:style>
  <w:style w:type="paragraph" w:customStyle="1" w:styleId="CharChar8CharChar">
    <w:name w:val="Char Char8 Char Char"/>
    <w:basedOn w:val="Normln"/>
    <w:rsid w:val="003E1150"/>
    <w:pPr>
      <w:spacing w:after="160" w:line="240" w:lineRule="exact"/>
    </w:pPr>
    <w:rPr>
      <w:rFonts w:ascii="Verdana" w:hAnsi="Verdana" w:cs="Verdana"/>
      <w:sz w:val="20"/>
      <w:szCs w:val="20"/>
      <w:lang w:val="en-US" w:eastAsia="en-US"/>
    </w:rPr>
  </w:style>
  <w:style w:type="paragraph" w:customStyle="1" w:styleId="Char4CharCharCharCharCharCharCharCharChar">
    <w:name w:val="Char4 Char Char Char Char Char Char Char Char Char"/>
    <w:basedOn w:val="Normln"/>
    <w:rsid w:val="00F635A5"/>
    <w:pPr>
      <w:spacing w:after="160" w:line="240" w:lineRule="exact"/>
    </w:pPr>
    <w:rPr>
      <w:rFonts w:ascii="Times New Roman Bold" w:hAnsi="Times New Roman Bold" w:cs="Times New Roman Bold"/>
      <w:sz w:val="22"/>
      <w:szCs w:val="22"/>
      <w:lang w:val="sk-SK" w:eastAsia="en-US"/>
    </w:rPr>
  </w:style>
  <w:style w:type="paragraph" w:customStyle="1" w:styleId="Char4CharCharCharCharCharCharCharCharChar1">
    <w:name w:val="Char4 Char Char Char Char Char Char Char Char Char1"/>
    <w:basedOn w:val="Normln"/>
    <w:rsid w:val="00EF3D91"/>
    <w:pPr>
      <w:spacing w:after="160" w:line="240" w:lineRule="exact"/>
    </w:pPr>
    <w:rPr>
      <w:rFonts w:ascii="Times New Roman Bold" w:hAnsi="Times New Roman Bold" w:cs="Times New Roman Bold"/>
      <w:sz w:val="22"/>
      <w:szCs w:val="22"/>
      <w:lang w:val="sk-SK" w:eastAsia="en-US"/>
    </w:rPr>
  </w:style>
  <w:style w:type="paragraph" w:customStyle="1" w:styleId="CharChar8CharChar1">
    <w:name w:val="Char Char8 Char Char1"/>
    <w:basedOn w:val="Normln"/>
    <w:rsid w:val="00E32D69"/>
    <w:pPr>
      <w:spacing w:after="160" w:line="240" w:lineRule="exact"/>
    </w:pPr>
    <w:rPr>
      <w:rFonts w:ascii="Verdana" w:hAnsi="Verdana" w:cs="Verdana"/>
      <w:sz w:val="20"/>
      <w:szCs w:val="20"/>
      <w:lang w:val="en-US" w:eastAsia="en-US"/>
    </w:rPr>
  </w:style>
  <w:style w:type="paragraph" w:styleId="Textkomente">
    <w:name w:val="annotation text"/>
    <w:basedOn w:val="Normln"/>
    <w:link w:val="TextkomenteChar"/>
    <w:semiHidden/>
    <w:rsid w:val="00E32D69"/>
    <w:rPr>
      <w:sz w:val="20"/>
      <w:szCs w:val="20"/>
    </w:rPr>
  </w:style>
  <w:style w:type="character" w:customStyle="1" w:styleId="TextkomenteChar">
    <w:name w:val="Text komentáře Char"/>
    <w:basedOn w:val="Standardnpsmoodstavce"/>
    <w:link w:val="Textkomente"/>
    <w:semiHidden/>
    <w:rsid w:val="00E32D69"/>
    <w:rPr>
      <w:rFonts w:cs="Times New Roman"/>
      <w:sz w:val="20"/>
      <w:szCs w:val="20"/>
    </w:rPr>
  </w:style>
  <w:style w:type="paragraph" w:customStyle="1" w:styleId="Odstavecseseznamem1">
    <w:name w:val="Odstavec se seznamem1"/>
    <w:basedOn w:val="Normln"/>
    <w:rsid w:val="00ED2B31"/>
    <w:pPr>
      <w:ind w:left="720"/>
      <w:contextualSpacing/>
    </w:pPr>
  </w:style>
  <w:style w:type="paragraph" w:customStyle="1" w:styleId="Bezmezer1">
    <w:name w:val="Bez mezer1"/>
    <w:rsid w:val="00B75C4B"/>
    <w:rPr>
      <w:rFonts w:ascii="Calibri" w:hAnsi="Calibri" w:cs="Calibri"/>
      <w:noProof/>
      <w:sz w:val="22"/>
      <w:szCs w:val="22"/>
      <w:lang w:eastAsia="en-US"/>
    </w:rPr>
  </w:style>
  <w:style w:type="paragraph" w:customStyle="1" w:styleId="CharChar8CharChar2">
    <w:name w:val="Char Char8 Char Char2"/>
    <w:basedOn w:val="Normln"/>
    <w:rsid w:val="00C52F3A"/>
    <w:pPr>
      <w:spacing w:after="160" w:line="240" w:lineRule="exact"/>
    </w:pPr>
    <w:rPr>
      <w:rFonts w:ascii="Verdana" w:hAnsi="Verdana" w:cs="Verdana"/>
      <w:sz w:val="20"/>
      <w:szCs w:val="20"/>
      <w:lang w:val="en-US" w:eastAsia="en-US"/>
    </w:rPr>
  </w:style>
  <w:style w:type="paragraph" w:customStyle="1" w:styleId="CharChar8CharChar3">
    <w:name w:val="Char Char8 Char Char3"/>
    <w:basedOn w:val="Normln"/>
    <w:rsid w:val="005F3F3E"/>
    <w:pPr>
      <w:spacing w:after="160" w:line="240" w:lineRule="exact"/>
    </w:pPr>
    <w:rPr>
      <w:rFonts w:ascii="Verdana" w:hAnsi="Verdana" w:cs="Verdana"/>
      <w:sz w:val="20"/>
      <w:szCs w:val="20"/>
      <w:lang w:val="en-US" w:eastAsia="en-US"/>
    </w:rPr>
  </w:style>
  <w:style w:type="paragraph" w:customStyle="1" w:styleId="Char4CharCharCharCharCharCharCharCharChar2">
    <w:name w:val="Char4 Char Char Char Char Char Char Char Char Char2"/>
    <w:basedOn w:val="Normln"/>
    <w:rsid w:val="0091779F"/>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CF40C1"/>
    <w:pPr>
      <w:ind w:left="720"/>
      <w:contextualSpacing/>
    </w:pPr>
  </w:style>
  <w:style w:type="paragraph" w:customStyle="1" w:styleId="Mjtext">
    <w:name w:val="Můj text"/>
    <w:basedOn w:val="Normln"/>
    <w:link w:val="MjtextChar"/>
    <w:rsid w:val="00A82FA1"/>
    <w:pPr>
      <w:spacing w:before="120" w:after="240"/>
      <w:jc w:val="both"/>
    </w:pPr>
    <w:rPr>
      <w:rFonts w:ascii="Tahoma" w:hAnsi="Tahoma" w:cs="Tahoma"/>
      <w:sz w:val="20"/>
    </w:rPr>
  </w:style>
  <w:style w:type="character" w:customStyle="1" w:styleId="MjtextChar">
    <w:name w:val="Můj text Char"/>
    <w:basedOn w:val="Standardnpsmoodstavce"/>
    <w:link w:val="Mjtext"/>
    <w:rsid w:val="00A82FA1"/>
    <w:rPr>
      <w:rFonts w:ascii="Tahoma" w:hAnsi="Tahoma" w:cs="Tahoma"/>
      <w:szCs w:val="24"/>
    </w:rPr>
  </w:style>
  <w:style w:type="paragraph" w:styleId="Zkladntextodsazen2">
    <w:name w:val="Body Text Indent 2"/>
    <w:basedOn w:val="Normln"/>
    <w:link w:val="Zkladntextodsazen2Char"/>
    <w:semiHidden/>
    <w:rsid w:val="000024E5"/>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semiHidden/>
    <w:rsid w:val="000024E5"/>
    <w:rPr>
      <w:sz w:val="24"/>
      <w:szCs w:val="24"/>
      <w:lang w:val="x-none" w:eastAsia="x-none"/>
    </w:rPr>
  </w:style>
  <w:style w:type="paragraph" w:styleId="Bezmezer">
    <w:name w:val="No Spacing"/>
    <w:uiPriority w:val="1"/>
    <w:qFormat/>
    <w:rsid w:val="00D64DFF"/>
    <w:pPr>
      <w:jc w:val="both"/>
    </w:pPr>
    <w:rPr>
      <w:rFonts w:ascii="Tahoma" w:eastAsiaTheme="minorHAnsi" w:hAnsi="Tahoma" w:cstheme="minorBidi"/>
      <w:sz w:val="24"/>
      <w:szCs w:val="22"/>
      <w:lang w:eastAsia="en-US"/>
    </w:rPr>
  </w:style>
  <w:style w:type="character" w:customStyle="1" w:styleId="s30">
    <w:name w:val="s30"/>
    <w:basedOn w:val="Standardnpsmoodstavce"/>
    <w:rsid w:val="005738C9"/>
  </w:style>
  <w:style w:type="paragraph" w:customStyle="1" w:styleId="Schvleno">
    <w:name w:val="Schváleno"/>
    <w:basedOn w:val="Normln"/>
    <w:next w:val="Normln"/>
    <w:rsid w:val="00D71DFD"/>
    <w:pPr>
      <w:spacing w:before="120" w:line="400" w:lineRule="exact"/>
      <w:jc w:val="center"/>
    </w:pPr>
    <w:rPr>
      <w:rFonts w:ascii="Calibri" w:eastAsia="Calibri" w:hAnsi="Calibri"/>
      <w:sz w:val="28"/>
      <w:szCs w:val="22"/>
      <w:lang w:eastAsia="en-US"/>
    </w:rPr>
  </w:style>
  <w:style w:type="character" w:styleId="Odkaznakoment">
    <w:name w:val="annotation reference"/>
    <w:basedOn w:val="Standardnpsmoodstavce"/>
    <w:uiPriority w:val="99"/>
    <w:semiHidden/>
    <w:unhideWhenUsed/>
    <w:rsid w:val="00D55873"/>
    <w:rPr>
      <w:sz w:val="16"/>
      <w:szCs w:val="16"/>
    </w:rPr>
  </w:style>
  <w:style w:type="paragraph" w:styleId="Pedmtkomente">
    <w:name w:val="annotation subject"/>
    <w:basedOn w:val="Textkomente"/>
    <w:next w:val="Textkomente"/>
    <w:link w:val="PedmtkomenteChar"/>
    <w:uiPriority w:val="99"/>
    <w:semiHidden/>
    <w:unhideWhenUsed/>
    <w:rsid w:val="00D55873"/>
    <w:rPr>
      <w:b/>
      <w:bCs/>
    </w:rPr>
  </w:style>
  <w:style w:type="character" w:customStyle="1" w:styleId="PedmtkomenteChar">
    <w:name w:val="Předmět komentáře Char"/>
    <w:basedOn w:val="TextkomenteChar"/>
    <w:link w:val="Pedmtkomente"/>
    <w:uiPriority w:val="99"/>
    <w:semiHidden/>
    <w:rsid w:val="00D55873"/>
    <w:rPr>
      <w:rFonts w:cs="Times New Roman"/>
      <w:b/>
      <w:bCs/>
      <w:sz w:val="20"/>
      <w:szCs w:val="20"/>
    </w:rPr>
  </w:style>
  <w:style w:type="paragraph" w:customStyle="1" w:styleId="zkladntextodsazen10">
    <w:name w:val="zkladntextodsazen1"/>
    <w:basedOn w:val="Normln"/>
    <w:rsid w:val="00D336B9"/>
    <w:pPr>
      <w:ind w:left="540" w:hanging="540"/>
      <w:jc w:val="both"/>
    </w:pPr>
    <w:rPr>
      <w:rFonts w:ascii="Calibri" w:eastAsiaTheme="minorHAnsi" w:hAnsi="Calibri" w:cs="Calibri"/>
      <w:sz w:val="28"/>
      <w:szCs w:val="28"/>
    </w:rPr>
  </w:style>
  <w:style w:type="paragraph" w:customStyle="1" w:styleId="MSKNormal">
    <w:name w:val="MSK_Normal"/>
    <w:basedOn w:val="Normln"/>
    <w:link w:val="MSKNormalChar"/>
    <w:qFormat/>
    <w:rsid w:val="0071124D"/>
    <w:pPr>
      <w:jc w:val="both"/>
    </w:pPr>
    <w:rPr>
      <w:rFonts w:ascii="Tahoma" w:eastAsia="Calibri" w:hAnsi="Tahoma"/>
    </w:rPr>
  </w:style>
  <w:style w:type="character" w:customStyle="1" w:styleId="MSKNormalChar">
    <w:name w:val="MSK_Normal Char"/>
    <w:link w:val="MSKNormal"/>
    <w:rsid w:val="0071124D"/>
    <w:rPr>
      <w:rFonts w:ascii="Tahoma" w:eastAsia="Calibri" w:hAnsi="Tahoma"/>
      <w:sz w:val="24"/>
      <w:szCs w:val="24"/>
    </w:rPr>
  </w:style>
  <w:style w:type="paragraph" w:customStyle="1" w:styleId="brz-css-qtinc">
    <w:name w:val="brz-css-qtinc"/>
    <w:basedOn w:val="Normln"/>
    <w:rsid w:val="003F4E5B"/>
    <w:pPr>
      <w:spacing w:before="100" w:beforeAutospacing="1" w:after="100" w:afterAutospacing="1"/>
    </w:pPr>
  </w:style>
  <w:style w:type="character" w:customStyle="1" w:styleId="brz-cp-color7">
    <w:name w:val="brz-cp-color7"/>
    <w:basedOn w:val="Standardnpsmoodstavce"/>
    <w:rsid w:val="003F4E5B"/>
  </w:style>
  <w:style w:type="paragraph" w:customStyle="1" w:styleId="brz-css-emkix">
    <w:name w:val="brz-css-emkix"/>
    <w:basedOn w:val="Normln"/>
    <w:rsid w:val="003F4E5B"/>
    <w:pPr>
      <w:spacing w:before="100" w:beforeAutospacing="1" w:after="100" w:afterAutospacing="1"/>
    </w:pPr>
  </w:style>
  <w:style w:type="paragraph" w:customStyle="1" w:styleId="brz-css-tfkwt">
    <w:name w:val="brz-css-tfkwt"/>
    <w:basedOn w:val="Normln"/>
    <w:rsid w:val="003F4E5B"/>
    <w:pPr>
      <w:spacing w:before="100" w:beforeAutospacing="1" w:after="100" w:afterAutospacing="1"/>
    </w:pPr>
  </w:style>
  <w:style w:type="paragraph" w:customStyle="1" w:styleId="brz-css-szdka">
    <w:name w:val="brz-css-szdka"/>
    <w:basedOn w:val="Normln"/>
    <w:rsid w:val="003F4E5B"/>
    <w:pPr>
      <w:spacing w:before="100" w:beforeAutospacing="1" w:after="100" w:afterAutospacing="1"/>
    </w:pPr>
  </w:style>
  <w:style w:type="paragraph" w:customStyle="1" w:styleId="brz-css-xnkph">
    <w:name w:val="brz-css-xnkph"/>
    <w:basedOn w:val="Normln"/>
    <w:rsid w:val="003F4E5B"/>
    <w:pPr>
      <w:spacing w:before="100" w:beforeAutospacing="1" w:after="100" w:afterAutospacing="1"/>
    </w:pPr>
  </w:style>
  <w:style w:type="paragraph" w:customStyle="1" w:styleId="brz-css-xerqe">
    <w:name w:val="brz-css-xerqe"/>
    <w:basedOn w:val="Normln"/>
    <w:rsid w:val="003F4E5B"/>
    <w:pPr>
      <w:spacing w:before="100" w:beforeAutospacing="1" w:after="100" w:afterAutospacing="1"/>
    </w:pPr>
  </w:style>
  <w:style w:type="paragraph" w:customStyle="1" w:styleId="brz-css-qfnvt">
    <w:name w:val="brz-css-qfnvt"/>
    <w:basedOn w:val="Normln"/>
    <w:rsid w:val="00D10021"/>
    <w:pPr>
      <w:spacing w:before="100" w:beforeAutospacing="1" w:after="100" w:afterAutospacing="1"/>
    </w:pPr>
  </w:style>
  <w:style w:type="paragraph" w:customStyle="1" w:styleId="brz-css-fowkc">
    <w:name w:val="brz-css-fowkc"/>
    <w:basedOn w:val="Normln"/>
    <w:rsid w:val="00D10021"/>
    <w:pPr>
      <w:spacing w:before="100" w:beforeAutospacing="1" w:after="100" w:afterAutospacing="1"/>
    </w:pPr>
  </w:style>
  <w:style w:type="paragraph" w:customStyle="1" w:styleId="Mojeodrka">
    <w:name w:val="Moje odrážka"/>
    <w:basedOn w:val="Nadpis4"/>
    <w:rsid w:val="00D370EB"/>
    <w:pPr>
      <w:numPr>
        <w:numId w:val="45"/>
      </w:numPr>
      <w:spacing w:after="120"/>
    </w:pPr>
    <w:rPr>
      <w:rFonts w:ascii="Tahoma" w:hAnsi="Tahoma" w:cs="Tahoma"/>
      <w:bCs/>
      <w:sz w:val="20"/>
      <w:szCs w:val="20"/>
      <w:u w:val="none"/>
    </w:rPr>
  </w:style>
  <w:style w:type="paragraph" w:styleId="Obsah1">
    <w:name w:val="toc 1"/>
    <w:aliases w:val="Můj obsah"/>
    <w:basedOn w:val="Normln"/>
    <w:next w:val="Normln"/>
    <w:autoRedefine/>
    <w:uiPriority w:val="39"/>
    <w:rsid w:val="000A509D"/>
    <w:pPr>
      <w:tabs>
        <w:tab w:val="left" w:pos="454"/>
        <w:tab w:val="right" w:leader="dot" w:pos="9062"/>
      </w:tabs>
      <w:spacing w:before="120"/>
    </w:pPr>
    <w:rPr>
      <w:rFonts w:ascii="Tahoma" w:hAnsi="Tahoma" w:cs="Tahoma"/>
      <w:b/>
      <w:bCs/>
      <w:noProof/>
    </w:rPr>
  </w:style>
  <w:style w:type="paragraph" w:styleId="Nadpisobsahu">
    <w:name w:val="TOC Heading"/>
    <w:basedOn w:val="Nadpis1"/>
    <w:next w:val="Normln"/>
    <w:uiPriority w:val="39"/>
    <w:unhideWhenUsed/>
    <w:qFormat/>
    <w:rsid w:val="00F04EF7"/>
    <w:pPr>
      <w:keepLines/>
      <w:tabs>
        <w:tab w:val="clear" w:pos="624"/>
      </w:tabs>
      <w:spacing w:after="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paragraph" w:styleId="Obsah3">
    <w:name w:val="toc 3"/>
    <w:basedOn w:val="Normln"/>
    <w:next w:val="Normln"/>
    <w:autoRedefine/>
    <w:uiPriority w:val="39"/>
    <w:unhideWhenUsed/>
    <w:rsid w:val="00B32B02"/>
    <w:pPr>
      <w:tabs>
        <w:tab w:val="right" w:leader="dot" w:pos="9062"/>
      </w:tabs>
      <w:spacing w:after="100"/>
    </w:pPr>
    <w:rPr>
      <w:rFonts w:ascii="Tahoma" w:hAnsi="Tahoma" w:cs="Tahoma"/>
      <w:b/>
      <w:bCs/>
      <w:noProof/>
    </w:rPr>
  </w:style>
  <w:style w:type="paragraph" w:styleId="Obsah2">
    <w:name w:val="toc 2"/>
    <w:basedOn w:val="Normln"/>
    <w:next w:val="Normln"/>
    <w:autoRedefine/>
    <w:uiPriority w:val="39"/>
    <w:unhideWhenUsed/>
    <w:rsid w:val="002A777D"/>
    <w:pPr>
      <w:spacing w:after="100" w:line="259" w:lineRule="auto"/>
      <w:ind w:left="220"/>
    </w:pPr>
    <w:rPr>
      <w:rFonts w:asciiTheme="minorHAnsi" w:eastAsiaTheme="minorEastAsia" w:hAnsiTheme="minorHAnsi"/>
      <w:sz w:val="22"/>
      <w:szCs w:val="22"/>
    </w:rPr>
  </w:style>
  <w:style w:type="character" w:styleId="Zdraznn">
    <w:name w:val="Emphasis"/>
    <w:basedOn w:val="Standardnpsmoodstavce"/>
    <w:uiPriority w:val="20"/>
    <w:qFormat/>
    <w:rsid w:val="006B2752"/>
    <w:rPr>
      <w:i/>
      <w:iCs/>
    </w:rPr>
  </w:style>
  <w:style w:type="paragraph" w:customStyle="1" w:styleId="lag">
    <w:name w:val="lag"/>
    <w:basedOn w:val="Normln"/>
    <w:rsid w:val="00001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2609378">
      <w:bodyDiv w:val="1"/>
      <w:marLeft w:val="0"/>
      <w:marRight w:val="0"/>
      <w:marTop w:val="0"/>
      <w:marBottom w:val="0"/>
      <w:divBdr>
        <w:top w:val="none" w:sz="0" w:space="0" w:color="auto"/>
        <w:left w:val="none" w:sz="0" w:space="0" w:color="auto"/>
        <w:bottom w:val="none" w:sz="0" w:space="0" w:color="auto"/>
        <w:right w:val="none" w:sz="0" w:space="0" w:color="auto"/>
      </w:divBdr>
    </w:div>
    <w:div w:id="36785864">
      <w:bodyDiv w:val="1"/>
      <w:marLeft w:val="0"/>
      <w:marRight w:val="0"/>
      <w:marTop w:val="0"/>
      <w:marBottom w:val="0"/>
      <w:divBdr>
        <w:top w:val="none" w:sz="0" w:space="0" w:color="auto"/>
        <w:left w:val="none" w:sz="0" w:space="0" w:color="auto"/>
        <w:bottom w:val="none" w:sz="0" w:space="0" w:color="auto"/>
        <w:right w:val="none" w:sz="0" w:space="0" w:color="auto"/>
      </w:divBdr>
    </w:div>
    <w:div w:id="41180234">
      <w:bodyDiv w:val="1"/>
      <w:marLeft w:val="0"/>
      <w:marRight w:val="0"/>
      <w:marTop w:val="0"/>
      <w:marBottom w:val="0"/>
      <w:divBdr>
        <w:top w:val="none" w:sz="0" w:space="0" w:color="auto"/>
        <w:left w:val="none" w:sz="0" w:space="0" w:color="auto"/>
        <w:bottom w:val="none" w:sz="0" w:space="0" w:color="auto"/>
        <w:right w:val="none" w:sz="0" w:space="0" w:color="auto"/>
      </w:divBdr>
    </w:div>
    <w:div w:id="41712611">
      <w:bodyDiv w:val="1"/>
      <w:marLeft w:val="0"/>
      <w:marRight w:val="0"/>
      <w:marTop w:val="0"/>
      <w:marBottom w:val="0"/>
      <w:divBdr>
        <w:top w:val="none" w:sz="0" w:space="0" w:color="auto"/>
        <w:left w:val="none" w:sz="0" w:space="0" w:color="auto"/>
        <w:bottom w:val="none" w:sz="0" w:space="0" w:color="auto"/>
        <w:right w:val="none" w:sz="0" w:space="0" w:color="auto"/>
      </w:divBdr>
    </w:div>
    <w:div w:id="55009911">
      <w:bodyDiv w:val="1"/>
      <w:marLeft w:val="0"/>
      <w:marRight w:val="0"/>
      <w:marTop w:val="0"/>
      <w:marBottom w:val="0"/>
      <w:divBdr>
        <w:top w:val="none" w:sz="0" w:space="0" w:color="auto"/>
        <w:left w:val="none" w:sz="0" w:space="0" w:color="auto"/>
        <w:bottom w:val="none" w:sz="0" w:space="0" w:color="auto"/>
        <w:right w:val="none" w:sz="0" w:space="0" w:color="auto"/>
      </w:divBdr>
    </w:div>
    <w:div w:id="60105030">
      <w:bodyDiv w:val="1"/>
      <w:marLeft w:val="0"/>
      <w:marRight w:val="0"/>
      <w:marTop w:val="0"/>
      <w:marBottom w:val="0"/>
      <w:divBdr>
        <w:top w:val="none" w:sz="0" w:space="0" w:color="auto"/>
        <w:left w:val="none" w:sz="0" w:space="0" w:color="auto"/>
        <w:bottom w:val="none" w:sz="0" w:space="0" w:color="auto"/>
        <w:right w:val="none" w:sz="0" w:space="0" w:color="auto"/>
      </w:divBdr>
    </w:div>
    <w:div w:id="78987933">
      <w:bodyDiv w:val="1"/>
      <w:marLeft w:val="0"/>
      <w:marRight w:val="0"/>
      <w:marTop w:val="0"/>
      <w:marBottom w:val="0"/>
      <w:divBdr>
        <w:top w:val="none" w:sz="0" w:space="0" w:color="auto"/>
        <w:left w:val="none" w:sz="0" w:space="0" w:color="auto"/>
        <w:bottom w:val="none" w:sz="0" w:space="0" w:color="auto"/>
        <w:right w:val="none" w:sz="0" w:space="0" w:color="auto"/>
      </w:divBdr>
    </w:div>
    <w:div w:id="152572457">
      <w:bodyDiv w:val="1"/>
      <w:marLeft w:val="0"/>
      <w:marRight w:val="0"/>
      <w:marTop w:val="0"/>
      <w:marBottom w:val="0"/>
      <w:divBdr>
        <w:top w:val="none" w:sz="0" w:space="0" w:color="auto"/>
        <w:left w:val="none" w:sz="0" w:space="0" w:color="auto"/>
        <w:bottom w:val="none" w:sz="0" w:space="0" w:color="auto"/>
        <w:right w:val="none" w:sz="0" w:space="0" w:color="auto"/>
      </w:divBdr>
    </w:div>
    <w:div w:id="183710580">
      <w:bodyDiv w:val="1"/>
      <w:marLeft w:val="0"/>
      <w:marRight w:val="0"/>
      <w:marTop w:val="0"/>
      <w:marBottom w:val="0"/>
      <w:divBdr>
        <w:top w:val="none" w:sz="0" w:space="0" w:color="auto"/>
        <w:left w:val="none" w:sz="0" w:space="0" w:color="auto"/>
        <w:bottom w:val="none" w:sz="0" w:space="0" w:color="auto"/>
        <w:right w:val="none" w:sz="0" w:space="0" w:color="auto"/>
      </w:divBdr>
    </w:div>
    <w:div w:id="236943193">
      <w:bodyDiv w:val="1"/>
      <w:marLeft w:val="0"/>
      <w:marRight w:val="0"/>
      <w:marTop w:val="0"/>
      <w:marBottom w:val="0"/>
      <w:divBdr>
        <w:top w:val="none" w:sz="0" w:space="0" w:color="auto"/>
        <w:left w:val="none" w:sz="0" w:space="0" w:color="auto"/>
        <w:bottom w:val="none" w:sz="0" w:space="0" w:color="auto"/>
        <w:right w:val="none" w:sz="0" w:space="0" w:color="auto"/>
      </w:divBdr>
    </w:div>
    <w:div w:id="248925336">
      <w:bodyDiv w:val="1"/>
      <w:marLeft w:val="0"/>
      <w:marRight w:val="0"/>
      <w:marTop w:val="0"/>
      <w:marBottom w:val="0"/>
      <w:divBdr>
        <w:top w:val="none" w:sz="0" w:space="0" w:color="auto"/>
        <w:left w:val="none" w:sz="0" w:space="0" w:color="auto"/>
        <w:bottom w:val="none" w:sz="0" w:space="0" w:color="auto"/>
        <w:right w:val="none" w:sz="0" w:space="0" w:color="auto"/>
      </w:divBdr>
    </w:div>
    <w:div w:id="273250763">
      <w:bodyDiv w:val="1"/>
      <w:marLeft w:val="0"/>
      <w:marRight w:val="0"/>
      <w:marTop w:val="0"/>
      <w:marBottom w:val="0"/>
      <w:divBdr>
        <w:top w:val="none" w:sz="0" w:space="0" w:color="auto"/>
        <w:left w:val="none" w:sz="0" w:space="0" w:color="auto"/>
        <w:bottom w:val="none" w:sz="0" w:space="0" w:color="auto"/>
        <w:right w:val="none" w:sz="0" w:space="0" w:color="auto"/>
      </w:divBdr>
    </w:div>
    <w:div w:id="282267561">
      <w:bodyDiv w:val="1"/>
      <w:marLeft w:val="0"/>
      <w:marRight w:val="0"/>
      <w:marTop w:val="0"/>
      <w:marBottom w:val="0"/>
      <w:divBdr>
        <w:top w:val="none" w:sz="0" w:space="0" w:color="auto"/>
        <w:left w:val="none" w:sz="0" w:space="0" w:color="auto"/>
        <w:bottom w:val="none" w:sz="0" w:space="0" w:color="auto"/>
        <w:right w:val="none" w:sz="0" w:space="0" w:color="auto"/>
      </w:divBdr>
      <w:divsChild>
        <w:div w:id="713189704">
          <w:marLeft w:val="0"/>
          <w:marRight w:val="0"/>
          <w:marTop w:val="150"/>
          <w:marBottom w:val="150"/>
          <w:divBdr>
            <w:top w:val="none" w:sz="0" w:space="0" w:color="auto"/>
            <w:left w:val="none" w:sz="0" w:space="0" w:color="auto"/>
            <w:bottom w:val="none" w:sz="0" w:space="0" w:color="auto"/>
            <w:right w:val="none" w:sz="0" w:space="0" w:color="auto"/>
          </w:divBdr>
          <w:divsChild>
            <w:div w:id="415173517">
              <w:marLeft w:val="0"/>
              <w:marRight w:val="0"/>
              <w:marTop w:val="0"/>
              <w:marBottom w:val="0"/>
              <w:divBdr>
                <w:top w:val="none" w:sz="0" w:space="0" w:color="auto"/>
                <w:left w:val="none" w:sz="0" w:space="0" w:color="auto"/>
                <w:bottom w:val="none" w:sz="0" w:space="0" w:color="auto"/>
                <w:right w:val="none" w:sz="0" w:space="0" w:color="auto"/>
              </w:divBdr>
              <w:divsChild>
                <w:div w:id="2612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039">
          <w:marLeft w:val="0"/>
          <w:marRight w:val="0"/>
          <w:marTop w:val="150"/>
          <w:marBottom w:val="150"/>
          <w:divBdr>
            <w:top w:val="none" w:sz="0" w:space="0" w:color="auto"/>
            <w:left w:val="none" w:sz="0" w:space="0" w:color="auto"/>
            <w:bottom w:val="none" w:sz="0" w:space="0" w:color="auto"/>
            <w:right w:val="none" w:sz="0" w:space="0" w:color="auto"/>
          </w:divBdr>
          <w:divsChild>
            <w:div w:id="174080748">
              <w:marLeft w:val="0"/>
              <w:marRight w:val="0"/>
              <w:marTop w:val="0"/>
              <w:marBottom w:val="0"/>
              <w:divBdr>
                <w:top w:val="none" w:sz="0" w:space="0" w:color="auto"/>
                <w:left w:val="none" w:sz="0" w:space="0" w:color="auto"/>
                <w:bottom w:val="none" w:sz="0" w:space="0" w:color="auto"/>
                <w:right w:val="none" w:sz="0" w:space="0" w:color="auto"/>
              </w:divBdr>
              <w:divsChild>
                <w:div w:id="1356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886137">
      <w:bodyDiv w:val="1"/>
      <w:marLeft w:val="0"/>
      <w:marRight w:val="0"/>
      <w:marTop w:val="0"/>
      <w:marBottom w:val="0"/>
      <w:divBdr>
        <w:top w:val="none" w:sz="0" w:space="0" w:color="auto"/>
        <w:left w:val="none" w:sz="0" w:space="0" w:color="auto"/>
        <w:bottom w:val="none" w:sz="0" w:space="0" w:color="auto"/>
        <w:right w:val="none" w:sz="0" w:space="0" w:color="auto"/>
      </w:divBdr>
    </w:div>
    <w:div w:id="475680678">
      <w:bodyDiv w:val="1"/>
      <w:marLeft w:val="0"/>
      <w:marRight w:val="0"/>
      <w:marTop w:val="0"/>
      <w:marBottom w:val="0"/>
      <w:divBdr>
        <w:top w:val="none" w:sz="0" w:space="0" w:color="auto"/>
        <w:left w:val="none" w:sz="0" w:space="0" w:color="auto"/>
        <w:bottom w:val="none" w:sz="0" w:space="0" w:color="auto"/>
        <w:right w:val="none" w:sz="0" w:space="0" w:color="auto"/>
      </w:divBdr>
    </w:div>
    <w:div w:id="475806041">
      <w:bodyDiv w:val="1"/>
      <w:marLeft w:val="0"/>
      <w:marRight w:val="0"/>
      <w:marTop w:val="0"/>
      <w:marBottom w:val="0"/>
      <w:divBdr>
        <w:top w:val="none" w:sz="0" w:space="0" w:color="auto"/>
        <w:left w:val="none" w:sz="0" w:space="0" w:color="auto"/>
        <w:bottom w:val="none" w:sz="0" w:space="0" w:color="auto"/>
        <w:right w:val="none" w:sz="0" w:space="0" w:color="auto"/>
      </w:divBdr>
    </w:div>
    <w:div w:id="478545474">
      <w:bodyDiv w:val="1"/>
      <w:marLeft w:val="0"/>
      <w:marRight w:val="0"/>
      <w:marTop w:val="0"/>
      <w:marBottom w:val="0"/>
      <w:divBdr>
        <w:top w:val="none" w:sz="0" w:space="0" w:color="auto"/>
        <w:left w:val="none" w:sz="0" w:space="0" w:color="auto"/>
        <w:bottom w:val="none" w:sz="0" w:space="0" w:color="auto"/>
        <w:right w:val="none" w:sz="0" w:space="0" w:color="auto"/>
      </w:divBdr>
      <w:divsChild>
        <w:div w:id="885486498">
          <w:marLeft w:val="446"/>
          <w:marRight w:val="0"/>
          <w:marTop w:val="0"/>
          <w:marBottom w:val="0"/>
          <w:divBdr>
            <w:top w:val="none" w:sz="0" w:space="0" w:color="auto"/>
            <w:left w:val="none" w:sz="0" w:space="0" w:color="auto"/>
            <w:bottom w:val="none" w:sz="0" w:space="0" w:color="auto"/>
            <w:right w:val="none" w:sz="0" w:space="0" w:color="auto"/>
          </w:divBdr>
        </w:div>
        <w:div w:id="1337727774">
          <w:marLeft w:val="446"/>
          <w:marRight w:val="0"/>
          <w:marTop w:val="0"/>
          <w:marBottom w:val="0"/>
          <w:divBdr>
            <w:top w:val="none" w:sz="0" w:space="0" w:color="auto"/>
            <w:left w:val="none" w:sz="0" w:space="0" w:color="auto"/>
            <w:bottom w:val="none" w:sz="0" w:space="0" w:color="auto"/>
            <w:right w:val="none" w:sz="0" w:space="0" w:color="auto"/>
          </w:divBdr>
        </w:div>
        <w:div w:id="1784179970">
          <w:marLeft w:val="446"/>
          <w:marRight w:val="0"/>
          <w:marTop w:val="0"/>
          <w:marBottom w:val="0"/>
          <w:divBdr>
            <w:top w:val="none" w:sz="0" w:space="0" w:color="auto"/>
            <w:left w:val="none" w:sz="0" w:space="0" w:color="auto"/>
            <w:bottom w:val="none" w:sz="0" w:space="0" w:color="auto"/>
            <w:right w:val="none" w:sz="0" w:space="0" w:color="auto"/>
          </w:divBdr>
        </w:div>
      </w:divsChild>
    </w:div>
    <w:div w:id="565647256">
      <w:bodyDiv w:val="1"/>
      <w:marLeft w:val="0"/>
      <w:marRight w:val="0"/>
      <w:marTop w:val="0"/>
      <w:marBottom w:val="0"/>
      <w:divBdr>
        <w:top w:val="none" w:sz="0" w:space="0" w:color="auto"/>
        <w:left w:val="none" w:sz="0" w:space="0" w:color="auto"/>
        <w:bottom w:val="none" w:sz="0" w:space="0" w:color="auto"/>
        <w:right w:val="none" w:sz="0" w:space="0" w:color="auto"/>
      </w:divBdr>
    </w:div>
    <w:div w:id="642857758">
      <w:bodyDiv w:val="1"/>
      <w:marLeft w:val="0"/>
      <w:marRight w:val="0"/>
      <w:marTop w:val="0"/>
      <w:marBottom w:val="0"/>
      <w:divBdr>
        <w:top w:val="none" w:sz="0" w:space="0" w:color="auto"/>
        <w:left w:val="none" w:sz="0" w:space="0" w:color="auto"/>
        <w:bottom w:val="none" w:sz="0" w:space="0" w:color="auto"/>
        <w:right w:val="none" w:sz="0" w:space="0" w:color="auto"/>
      </w:divBdr>
    </w:div>
    <w:div w:id="808521623">
      <w:bodyDiv w:val="1"/>
      <w:marLeft w:val="0"/>
      <w:marRight w:val="0"/>
      <w:marTop w:val="0"/>
      <w:marBottom w:val="0"/>
      <w:divBdr>
        <w:top w:val="none" w:sz="0" w:space="0" w:color="auto"/>
        <w:left w:val="none" w:sz="0" w:space="0" w:color="auto"/>
        <w:bottom w:val="none" w:sz="0" w:space="0" w:color="auto"/>
        <w:right w:val="none" w:sz="0" w:space="0" w:color="auto"/>
      </w:divBdr>
    </w:div>
    <w:div w:id="831335095">
      <w:bodyDiv w:val="1"/>
      <w:marLeft w:val="0"/>
      <w:marRight w:val="0"/>
      <w:marTop w:val="0"/>
      <w:marBottom w:val="0"/>
      <w:divBdr>
        <w:top w:val="none" w:sz="0" w:space="0" w:color="auto"/>
        <w:left w:val="none" w:sz="0" w:space="0" w:color="auto"/>
        <w:bottom w:val="none" w:sz="0" w:space="0" w:color="auto"/>
        <w:right w:val="none" w:sz="0" w:space="0" w:color="auto"/>
      </w:divBdr>
    </w:div>
    <w:div w:id="833446973">
      <w:bodyDiv w:val="1"/>
      <w:marLeft w:val="0"/>
      <w:marRight w:val="0"/>
      <w:marTop w:val="0"/>
      <w:marBottom w:val="0"/>
      <w:divBdr>
        <w:top w:val="none" w:sz="0" w:space="0" w:color="auto"/>
        <w:left w:val="none" w:sz="0" w:space="0" w:color="auto"/>
        <w:bottom w:val="none" w:sz="0" w:space="0" w:color="auto"/>
        <w:right w:val="none" w:sz="0" w:space="0" w:color="auto"/>
      </w:divBdr>
    </w:div>
    <w:div w:id="877275139">
      <w:bodyDiv w:val="1"/>
      <w:marLeft w:val="0"/>
      <w:marRight w:val="0"/>
      <w:marTop w:val="0"/>
      <w:marBottom w:val="0"/>
      <w:divBdr>
        <w:top w:val="none" w:sz="0" w:space="0" w:color="auto"/>
        <w:left w:val="none" w:sz="0" w:space="0" w:color="auto"/>
        <w:bottom w:val="none" w:sz="0" w:space="0" w:color="auto"/>
        <w:right w:val="none" w:sz="0" w:space="0" w:color="auto"/>
      </w:divBdr>
    </w:div>
    <w:div w:id="882864685">
      <w:bodyDiv w:val="1"/>
      <w:marLeft w:val="0"/>
      <w:marRight w:val="0"/>
      <w:marTop w:val="0"/>
      <w:marBottom w:val="0"/>
      <w:divBdr>
        <w:top w:val="none" w:sz="0" w:space="0" w:color="auto"/>
        <w:left w:val="none" w:sz="0" w:space="0" w:color="auto"/>
        <w:bottom w:val="none" w:sz="0" w:space="0" w:color="auto"/>
        <w:right w:val="none" w:sz="0" w:space="0" w:color="auto"/>
      </w:divBdr>
    </w:div>
    <w:div w:id="1202858688">
      <w:bodyDiv w:val="1"/>
      <w:marLeft w:val="0"/>
      <w:marRight w:val="0"/>
      <w:marTop w:val="0"/>
      <w:marBottom w:val="0"/>
      <w:divBdr>
        <w:top w:val="none" w:sz="0" w:space="0" w:color="auto"/>
        <w:left w:val="none" w:sz="0" w:space="0" w:color="auto"/>
        <w:bottom w:val="none" w:sz="0" w:space="0" w:color="auto"/>
        <w:right w:val="none" w:sz="0" w:space="0" w:color="auto"/>
      </w:divBdr>
    </w:div>
    <w:div w:id="1234437377">
      <w:bodyDiv w:val="1"/>
      <w:marLeft w:val="0"/>
      <w:marRight w:val="0"/>
      <w:marTop w:val="0"/>
      <w:marBottom w:val="0"/>
      <w:divBdr>
        <w:top w:val="none" w:sz="0" w:space="0" w:color="auto"/>
        <w:left w:val="none" w:sz="0" w:space="0" w:color="auto"/>
        <w:bottom w:val="none" w:sz="0" w:space="0" w:color="auto"/>
        <w:right w:val="none" w:sz="0" w:space="0" w:color="auto"/>
      </w:divBdr>
      <w:divsChild>
        <w:div w:id="794561295">
          <w:marLeft w:val="0"/>
          <w:marRight w:val="0"/>
          <w:marTop w:val="150"/>
          <w:marBottom w:val="150"/>
          <w:divBdr>
            <w:top w:val="none" w:sz="0" w:space="0" w:color="auto"/>
            <w:left w:val="none" w:sz="0" w:space="0" w:color="auto"/>
            <w:bottom w:val="none" w:sz="0" w:space="0" w:color="auto"/>
            <w:right w:val="none" w:sz="0" w:space="0" w:color="auto"/>
          </w:divBdr>
          <w:divsChild>
            <w:div w:id="1406225398">
              <w:marLeft w:val="0"/>
              <w:marRight w:val="0"/>
              <w:marTop w:val="0"/>
              <w:marBottom w:val="0"/>
              <w:divBdr>
                <w:top w:val="none" w:sz="0" w:space="0" w:color="auto"/>
                <w:left w:val="none" w:sz="0" w:space="0" w:color="auto"/>
                <w:bottom w:val="none" w:sz="0" w:space="0" w:color="auto"/>
                <w:right w:val="none" w:sz="0" w:space="0" w:color="auto"/>
              </w:divBdr>
              <w:divsChild>
                <w:div w:id="17237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9558">
          <w:marLeft w:val="0"/>
          <w:marRight w:val="0"/>
          <w:marTop w:val="150"/>
          <w:marBottom w:val="150"/>
          <w:divBdr>
            <w:top w:val="none" w:sz="0" w:space="0" w:color="auto"/>
            <w:left w:val="none" w:sz="0" w:space="0" w:color="auto"/>
            <w:bottom w:val="none" w:sz="0" w:space="0" w:color="auto"/>
            <w:right w:val="none" w:sz="0" w:space="0" w:color="auto"/>
          </w:divBdr>
          <w:divsChild>
            <w:div w:id="422803379">
              <w:marLeft w:val="0"/>
              <w:marRight w:val="0"/>
              <w:marTop w:val="0"/>
              <w:marBottom w:val="0"/>
              <w:divBdr>
                <w:top w:val="none" w:sz="0" w:space="0" w:color="auto"/>
                <w:left w:val="none" w:sz="0" w:space="0" w:color="auto"/>
                <w:bottom w:val="none" w:sz="0" w:space="0" w:color="auto"/>
                <w:right w:val="none" w:sz="0" w:space="0" w:color="auto"/>
              </w:divBdr>
              <w:divsChild>
                <w:div w:id="17208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2927">
      <w:bodyDiv w:val="1"/>
      <w:marLeft w:val="0"/>
      <w:marRight w:val="0"/>
      <w:marTop w:val="0"/>
      <w:marBottom w:val="0"/>
      <w:divBdr>
        <w:top w:val="none" w:sz="0" w:space="0" w:color="auto"/>
        <w:left w:val="none" w:sz="0" w:space="0" w:color="auto"/>
        <w:bottom w:val="none" w:sz="0" w:space="0" w:color="auto"/>
        <w:right w:val="none" w:sz="0" w:space="0" w:color="auto"/>
      </w:divBdr>
    </w:div>
    <w:div w:id="1284968455">
      <w:bodyDiv w:val="1"/>
      <w:marLeft w:val="0"/>
      <w:marRight w:val="0"/>
      <w:marTop w:val="0"/>
      <w:marBottom w:val="0"/>
      <w:divBdr>
        <w:top w:val="none" w:sz="0" w:space="0" w:color="auto"/>
        <w:left w:val="none" w:sz="0" w:space="0" w:color="auto"/>
        <w:bottom w:val="none" w:sz="0" w:space="0" w:color="auto"/>
        <w:right w:val="none" w:sz="0" w:space="0" w:color="auto"/>
      </w:divBdr>
    </w:div>
    <w:div w:id="1349525058">
      <w:bodyDiv w:val="1"/>
      <w:marLeft w:val="0"/>
      <w:marRight w:val="0"/>
      <w:marTop w:val="0"/>
      <w:marBottom w:val="0"/>
      <w:divBdr>
        <w:top w:val="none" w:sz="0" w:space="0" w:color="auto"/>
        <w:left w:val="none" w:sz="0" w:space="0" w:color="auto"/>
        <w:bottom w:val="none" w:sz="0" w:space="0" w:color="auto"/>
        <w:right w:val="none" w:sz="0" w:space="0" w:color="auto"/>
      </w:divBdr>
    </w:div>
    <w:div w:id="1424112569">
      <w:bodyDiv w:val="1"/>
      <w:marLeft w:val="0"/>
      <w:marRight w:val="0"/>
      <w:marTop w:val="0"/>
      <w:marBottom w:val="0"/>
      <w:divBdr>
        <w:top w:val="none" w:sz="0" w:space="0" w:color="auto"/>
        <w:left w:val="none" w:sz="0" w:space="0" w:color="auto"/>
        <w:bottom w:val="none" w:sz="0" w:space="0" w:color="auto"/>
        <w:right w:val="none" w:sz="0" w:space="0" w:color="auto"/>
      </w:divBdr>
    </w:div>
    <w:div w:id="1435856576">
      <w:bodyDiv w:val="1"/>
      <w:marLeft w:val="0"/>
      <w:marRight w:val="0"/>
      <w:marTop w:val="0"/>
      <w:marBottom w:val="0"/>
      <w:divBdr>
        <w:top w:val="none" w:sz="0" w:space="0" w:color="auto"/>
        <w:left w:val="none" w:sz="0" w:space="0" w:color="auto"/>
        <w:bottom w:val="none" w:sz="0" w:space="0" w:color="auto"/>
        <w:right w:val="none" w:sz="0" w:space="0" w:color="auto"/>
      </w:divBdr>
    </w:div>
    <w:div w:id="1540512553">
      <w:bodyDiv w:val="1"/>
      <w:marLeft w:val="0"/>
      <w:marRight w:val="0"/>
      <w:marTop w:val="0"/>
      <w:marBottom w:val="0"/>
      <w:divBdr>
        <w:top w:val="none" w:sz="0" w:space="0" w:color="auto"/>
        <w:left w:val="none" w:sz="0" w:space="0" w:color="auto"/>
        <w:bottom w:val="none" w:sz="0" w:space="0" w:color="auto"/>
        <w:right w:val="none" w:sz="0" w:space="0" w:color="auto"/>
      </w:divBdr>
    </w:div>
    <w:div w:id="1564103970">
      <w:bodyDiv w:val="1"/>
      <w:marLeft w:val="0"/>
      <w:marRight w:val="0"/>
      <w:marTop w:val="0"/>
      <w:marBottom w:val="0"/>
      <w:divBdr>
        <w:top w:val="none" w:sz="0" w:space="0" w:color="auto"/>
        <w:left w:val="none" w:sz="0" w:space="0" w:color="auto"/>
        <w:bottom w:val="none" w:sz="0" w:space="0" w:color="auto"/>
        <w:right w:val="none" w:sz="0" w:space="0" w:color="auto"/>
      </w:divBdr>
    </w:div>
    <w:div w:id="1640501592">
      <w:bodyDiv w:val="1"/>
      <w:marLeft w:val="0"/>
      <w:marRight w:val="0"/>
      <w:marTop w:val="0"/>
      <w:marBottom w:val="0"/>
      <w:divBdr>
        <w:top w:val="none" w:sz="0" w:space="0" w:color="auto"/>
        <w:left w:val="none" w:sz="0" w:space="0" w:color="auto"/>
        <w:bottom w:val="none" w:sz="0" w:space="0" w:color="auto"/>
        <w:right w:val="none" w:sz="0" w:space="0" w:color="auto"/>
      </w:divBdr>
    </w:div>
    <w:div w:id="1829397079">
      <w:bodyDiv w:val="1"/>
      <w:marLeft w:val="0"/>
      <w:marRight w:val="0"/>
      <w:marTop w:val="0"/>
      <w:marBottom w:val="0"/>
      <w:divBdr>
        <w:top w:val="none" w:sz="0" w:space="0" w:color="auto"/>
        <w:left w:val="none" w:sz="0" w:space="0" w:color="auto"/>
        <w:bottom w:val="none" w:sz="0" w:space="0" w:color="auto"/>
        <w:right w:val="none" w:sz="0" w:space="0" w:color="auto"/>
      </w:divBdr>
    </w:div>
    <w:div w:id="1898933520">
      <w:bodyDiv w:val="1"/>
      <w:marLeft w:val="0"/>
      <w:marRight w:val="0"/>
      <w:marTop w:val="0"/>
      <w:marBottom w:val="0"/>
      <w:divBdr>
        <w:top w:val="none" w:sz="0" w:space="0" w:color="auto"/>
        <w:left w:val="none" w:sz="0" w:space="0" w:color="auto"/>
        <w:bottom w:val="none" w:sz="0" w:space="0" w:color="auto"/>
        <w:right w:val="none" w:sz="0" w:space="0" w:color="auto"/>
      </w:divBdr>
    </w:div>
    <w:div w:id="2089768923">
      <w:bodyDiv w:val="1"/>
      <w:marLeft w:val="0"/>
      <w:marRight w:val="0"/>
      <w:marTop w:val="0"/>
      <w:marBottom w:val="0"/>
      <w:divBdr>
        <w:top w:val="none" w:sz="0" w:space="0" w:color="auto"/>
        <w:left w:val="none" w:sz="0" w:space="0" w:color="auto"/>
        <w:bottom w:val="none" w:sz="0" w:space="0" w:color="auto"/>
        <w:right w:val="none" w:sz="0" w:space="0" w:color="auto"/>
      </w:divBdr>
    </w:div>
    <w:div w:id="2101949030">
      <w:bodyDiv w:val="1"/>
      <w:marLeft w:val="0"/>
      <w:marRight w:val="0"/>
      <w:marTop w:val="0"/>
      <w:marBottom w:val="0"/>
      <w:divBdr>
        <w:top w:val="none" w:sz="0" w:space="0" w:color="auto"/>
        <w:left w:val="none" w:sz="0" w:space="0" w:color="auto"/>
        <w:bottom w:val="none" w:sz="0" w:space="0" w:color="auto"/>
        <w:right w:val="none" w:sz="0" w:space="0" w:color="auto"/>
      </w:divBdr>
    </w:div>
    <w:div w:id="21128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mskraj.sharepoint.com/teams/Odd.rozpotu-Ppravarozpotu2024/Shared%20Documents/P&#345;&#237;prava%20rozpo&#269;tu%202024/6GRAFYKalkula&#269;ka%202024-03-11-verze%20V&#221;HL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40000"/>
                  <a:lumOff val="60000"/>
                </a:schemeClr>
              </a:solidFill>
              <a:ln>
                <a:solidFill>
                  <a:schemeClr val="tx2">
                    <a:lumMod val="20000"/>
                    <a:lumOff val="80000"/>
                  </a:schemeClr>
                </a:solidFill>
              </a:ln>
              <a:effectLst/>
            </c:spPr>
            <c:extLst>
              <c:ext xmlns:c16="http://schemas.microsoft.com/office/drawing/2014/chart" uri="{C3380CC4-5D6E-409C-BE32-E72D297353CC}">
                <c16:uniqueId val="{00000001-EC8E-4B85-A1E9-6E0C9284A2A9}"/>
              </c:ext>
            </c:extLst>
          </c:dPt>
          <c:cat>
            <c:numRef>
              <c:f>'[6GRAFYKalkulačka 2024-03-11-verze VÝHLED.xlsx]grafy'!$B$4:$B$7</c:f>
              <c:numCache>
                <c:formatCode>General</c:formatCode>
                <c:ptCount val="4"/>
                <c:pt idx="0">
                  <c:v>2024</c:v>
                </c:pt>
                <c:pt idx="1">
                  <c:v>2025</c:v>
                </c:pt>
                <c:pt idx="2">
                  <c:v>2026</c:v>
                </c:pt>
                <c:pt idx="3">
                  <c:v>2027</c:v>
                </c:pt>
              </c:numCache>
            </c:numRef>
          </c:cat>
          <c:val>
            <c:numRef>
              <c:f>'[6GRAFYKalkulačka 2024-03-11-verze VÝHLED.xlsx]grafy'!$C$4:$C$7</c:f>
              <c:numCache>
                <c:formatCode>#,##0</c:formatCode>
                <c:ptCount val="4"/>
                <c:pt idx="0">
                  <c:v>40081.120999999999</c:v>
                </c:pt>
                <c:pt idx="1">
                  <c:v>42542.678999999996</c:v>
                </c:pt>
                <c:pt idx="2">
                  <c:v>42144.044000000002</c:v>
                </c:pt>
                <c:pt idx="3">
                  <c:v>39448.940999999999</c:v>
                </c:pt>
              </c:numCache>
            </c:numRef>
          </c:val>
          <c:extLst>
            <c:ext xmlns:c16="http://schemas.microsoft.com/office/drawing/2014/chart" uri="{C3380CC4-5D6E-409C-BE32-E72D297353CC}">
              <c16:uniqueId val="{00000002-EC8E-4B85-A1E9-6E0C9284A2A9}"/>
            </c:ext>
          </c:extLst>
        </c:ser>
        <c:dLbls>
          <c:showLegendKey val="0"/>
          <c:showVal val="0"/>
          <c:showCatName val="0"/>
          <c:showSerName val="0"/>
          <c:showPercent val="0"/>
          <c:showBubbleSize val="0"/>
        </c:dLbls>
        <c:gapWidth val="219"/>
        <c:overlap val="-27"/>
        <c:axId val="252138128"/>
        <c:axId val="252138520"/>
      </c:barChart>
      <c:catAx>
        <c:axId val="25213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52138520"/>
        <c:crosses val="autoZero"/>
        <c:auto val="1"/>
        <c:lblAlgn val="ctr"/>
        <c:lblOffset val="100"/>
        <c:noMultiLvlLbl val="0"/>
      </c:catAx>
      <c:valAx>
        <c:axId val="252138520"/>
        <c:scaling>
          <c:orientation val="minMax"/>
          <c:max val="45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52138128"/>
        <c:crosses val="autoZero"/>
        <c:crossBetween val="between"/>
        <c:majorUnit val="5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e56fcd-e289-43f0-bcc4-807f27d8cd5d">
      <UserInfo>
        <DisplayName>Konkolský Ivo</DisplayName>
        <AccountId>13</AccountId>
        <AccountType/>
      </UserInfo>
      <UserInfo>
        <DisplayName>Kotulová Ivona</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5D6CFB96EBAA4D8EE22DAD62206245" ma:contentTypeVersion="5" ma:contentTypeDescription="Create a new document." ma:contentTypeScope="" ma:versionID="174220226f52e08546f9a04f3809cc56">
  <xsd:schema xmlns:xsd="http://www.w3.org/2001/XMLSchema" xmlns:xs="http://www.w3.org/2001/XMLSchema" xmlns:p="http://schemas.microsoft.com/office/2006/metadata/properties" xmlns:ns2="a2fc0c6d-6a99-40dd-8a27-ce2701e7eea6" xmlns:ns3="7be56fcd-e289-43f0-bcc4-807f27d8cd5d" targetNamespace="http://schemas.microsoft.com/office/2006/metadata/properties" ma:root="true" ma:fieldsID="985778835ad42734c0a1c022d7d06599" ns2:_="" ns3:_="">
    <xsd:import namespace="a2fc0c6d-6a99-40dd-8a27-ce2701e7eea6"/>
    <xsd:import namespace="7be56fcd-e289-43f0-bcc4-807f27d8cd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c0c6d-6a99-40dd-8a27-ce2701e7e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56fcd-e289-43f0-bcc4-807f27d8cd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1C7DD-6933-471A-8D05-D08B1CD262F9}">
  <ds:schemaRefs>
    <ds:schemaRef ds:uri="http://schemas.microsoft.com/office/2006/metadata/properties"/>
    <ds:schemaRef ds:uri="http://schemas.microsoft.com/office/infopath/2007/PartnerControls"/>
    <ds:schemaRef ds:uri="7be56fcd-e289-43f0-bcc4-807f27d8cd5d"/>
  </ds:schemaRefs>
</ds:datastoreItem>
</file>

<file path=customXml/itemProps2.xml><?xml version="1.0" encoding="utf-8"?>
<ds:datastoreItem xmlns:ds="http://schemas.openxmlformats.org/officeDocument/2006/customXml" ds:itemID="{4B4B2D21-64A9-4E69-AC52-47441C49E214}">
  <ds:schemaRefs>
    <ds:schemaRef ds:uri="http://schemas.openxmlformats.org/officeDocument/2006/bibliography"/>
  </ds:schemaRefs>
</ds:datastoreItem>
</file>

<file path=customXml/itemProps3.xml><?xml version="1.0" encoding="utf-8"?>
<ds:datastoreItem xmlns:ds="http://schemas.openxmlformats.org/officeDocument/2006/customXml" ds:itemID="{E8BBB454-2EFF-4B03-92DD-7AC438A8DF89}">
  <ds:schemaRefs>
    <ds:schemaRef ds:uri="http://schemas.microsoft.com/sharepoint/v3/contenttype/forms"/>
  </ds:schemaRefs>
</ds:datastoreItem>
</file>

<file path=customXml/itemProps4.xml><?xml version="1.0" encoding="utf-8"?>
<ds:datastoreItem xmlns:ds="http://schemas.openxmlformats.org/officeDocument/2006/customXml" ds:itemID="{A0AA4FC4-AF90-4835-B3C2-31ED4DD61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c0c6d-6a99-40dd-8a27-ce2701e7eea6"/>
    <ds:schemaRef ds:uri="7be56fcd-e289-43f0-bcc4-807f27d8c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18</Pages>
  <Words>4748</Words>
  <Characters>28016</Characters>
  <Application>Microsoft Office Word</Application>
  <DocSecurity>0</DocSecurity>
  <Lines>233</Lines>
  <Paragraphs>65</Paragraphs>
  <ScaleCrop>false</ScaleCrop>
  <Company>Moravskoslezský kraj</Company>
  <LinksUpToDate>false</LinksUpToDate>
  <CharactersWithSpaces>32699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Rozpočtový výhled Moravskoslezského kraje na léta 2006 a 2007</dc:title>
  <dc:subject/>
  <dc:creator>vaclachova</dc:creator>
  <cp:keywords/>
  <dc:description/>
  <cp:lastModifiedBy>Metelka Tomáš</cp:lastModifiedBy>
  <cp:revision>332</cp:revision>
  <cp:lastPrinted>2022-11-18T17:56:00Z</cp:lastPrinted>
  <dcterms:created xsi:type="dcterms:W3CDTF">2023-10-16T20:08:00Z</dcterms:created>
  <dcterms:modified xsi:type="dcterms:W3CDTF">2023-11-21T07:19:00Z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0x0101001A5D6CFB96EBAA4D8EE22DAD62206245</vt:lpwstr>
  </property>
  <property fmtid="{D5CDD505-2E9C-101B-9397-08002B2CF9AE}" pid="3" name="MSIP_Label_bc18e8b5-cf04-4356-9f73-4b8f937bc4ae_Enabled">
    <vt:lpwstr>true</vt:lpwstr>
  </property>
  <property fmtid="{D5CDD505-2E9C-101B-9397-08002B2CF9AE}" pid="4" name="MSIP_Label_bc18e8b5-cf04-4356-9f73-4b8f937bc4ae_SetDate">
    <vt:lpwstr>2022-11-21T11:11:38Z</vt:lpwstr>
  </property>
  <property fmtid="{D5CDD505-2E9C-101B-9397-08002B2CF9AE}" pid="5" name="MSIP_Label_bc18e8b5-cf04-4356-9f73-4b8f937bc4ae_Method">
    <vt:lpwstr>Privileged</vt:lpwstr>
  </property>
  <property fmtid="{D5CDD505-2E9C-101B-9397-08002B2CF9AE}" pid="6" name="MSIP_Label_bc18e8b5-cf04-4356-9f73-4b8f937bc4ae_Name">
    <vt:lpwstr>Neveřejná informace (bez označení)</vt:lpwstr>
  </property>
  <property fmtid="{D5CDD505-2E9C-101B-9397-08002B2CF9AE}" pid="7" name="MSIP_Label_bc18e8b5-cf04-4356-9f73-4b8f937bc4ae_SiteId">
    <vt:lpwstr>39f24d0b-aa30-4551-8e81-43c77cf1000e</vt:lpwstr>
  </property>
  <property fmtid="{D5CDD505-2E9C-101B-9397-08002B2CF9AE}" pid="8" name="MSIP_Label_bc18e8b5-cf04-4356-9f73-4b8f937bc4ae_ActionId">
    <vt:lpwstr>271b826f-bdbe-4f31-8b5e-7bf20cbc1c00</vt:lpwstr>
  </property>
  <property fmtid="{D5CDD505-2E9C-101B-9397-08002B2CF9AE}" pid="9" name="MSIP_Label_bc18e8b5-cf04-4356-9f73-4b8f937bc4ae_ContentBits">
    <vt:lpwstr>0</vt:lpwstr>
  </property>
</Properties>
</file>