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69" w:rsidRPr="00456FC2" w:rsidRDefault="001E2769" w:rsidP="001E2769">
      <w:pPr>
        <w:jc w:val="center"/>
        <w:rPr>
          <w:rFonts w:ascii="MetaOT-Norm" w:hAnsi="MetaOT-Norm"/>
          <w:b/>
          <w:bCs/>
          <w:noProof/>
          <w:sz w:val="32"/>
          <w:szCs w:val="32"/>
          <w:lang w:val="cs-CZ"/>
        </w:rPr>
      </w:pPr>
      <w:r w:rsidRPr="00456FC2">
        <w:rPr>
          <w:rFonts w:ascii="MetaOT-Norm" w:hAnsi="MetaOT-Norm"/>
          <w:b/>
          <w:bCs/>
          <w:noProof/>
          <w:sz w:val="32"/>
          <w:szCs w:val="32"/>
          <w:lang w:val="cs-CZ"/>
        </w:rPr>
        <w:t>Memorandum o porozumění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Toto memorandum o porozumění (dále jen „</w:t>
      </w: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memorandum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“) uzavírají dne </w:t>
      </w:r>
      <w:r>
        <w:rPr>
          <w:rFonts w:ascii="MetaOT-Norm" w:hAnsi="MetaOT-Norm"/>
          <w:noProof/>
          <w:sz w:val="24"/>
          <w:szCs w:val="24"/>
          <w:lang w:val="cs-CZ"/>
        </w:rPr>
        <w:t>……….</w:t>
      </w:r>
      <w:r w:rsidRPr="001E2769">
        <w:rPr>
          <w:rFonts w:ascii="MetaOT-Norm" w:hAnsi="MetaOT-Norm"/>
          <w:noProof/>
          <w:sz w:val="24"/>
          <w:szCs w:val="24"/>
          <w:lang w:val="cs-CZ"/>
        </w:rPr>
        <w:t>201</w:t>
      </w:r>
      <w:r>
        <w:rPr>
          <w:rFonts w:ascii="MetaOT-Norm" w:hAnsi="MetaOT-Norm"/>
          <w:noProof/>
          <w:sz w:val="24"/>
          <w:szCs w:val="24"/>
          <w:lang w:val="cs-CZ"/>
        </w:rPr>
        <w:t>7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 (dále jen „</w:t>
      </w: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datum účinnosti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>“):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 xml:space="preserve">Sharjah Investment and Development Authority (Shurooq) 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(Úřad pro investice a rozvoj Šardžá), nezávislý orgán státní správy se sídlem v Al Qasba v Šardžá na adrese P.O. Box: 867, Šardžá, Spojené arabské emiráty byl zřízen vyhláškou emíra č. 2 z roku 2009, kterou vydal Jeho Výsost šejk Dr. Sultan bin Muhammad Al Qasimi, člen nejvyšší rady, vládce Šardžá, a předsedá mu Její Výsost šejch Bodour bint Sultan Al Qasimi, (dále jen „Shurooq“) 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Uvedený orgán zastupuje </w:t>
      </w:r>
      <w:r w:rsidRPr="00456FC2">
        <w:rPr>
          <w:rFonts w:ascii="MetaOT-Norm" w:hAnsi="MetaOT-Norm"/>
          <w:b/>
          <w:bCs/>
          <w:noProof/>
          <w:sz w:val="24"/>
          <w:szCs w:val="24"/>
          <w:lang w:val="cs-CZ"/>
        </w:rPr>
        <w:t>Jeho Výsost Marwan bin Jassim Al Sarkal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 ve funkci </w:t>
      </w: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generálního ředitele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 (dále jen „GŘ“)</w:t>
      </w:r>
    </w:p>
    <w:p w:rsidR="001E2769" w:rsidRDefault="009B69D6" w:rsidP="009B69D6">
      <w:pPr>
        <w:jc w:val="center"/>
        <w:rPr>
          <w:rFonts w:ascii="MetaOT-Norm" w:hAnsi="MetaOT-Norm"/>
          <w:noProof/>
          <w:sz w:val="24"/>
          <w:szCs w:val="24"/>
          <w:lang w:val="cs-CZ"/>
        </w:rPr>
      </w:pPr>
      <w:r>
        <w:rPr>
          <w:rFonts w:ascii="MetaOT-Norm" w:hAnsi="MetaOT-Norm"/>
          <w:noProof/>
          <w:sz w:val="24"/>
          <w:szCs w:val="24"/>
          <w:lang w:val="cs-CZ"/>
        </w:rPr>
        <w:t>a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9B69D6">
        <w:rPr>
          <w:rFonts w:ascii="MetaOT-Norm" w:hAnsi="MetaOT-Norm"/>
          <w:b/>
          <w:noProof/>
          <w:sz w:val="24"/>
          <w:szCs w:val="24"/>
          <w:lang w:val="cs-CZ"/>
        </w:rPr>
        <w:t>Moravskoslezský kraj</w:t>
      </w:r>
    </w:p>
    <w:p w:rsidR="009B69D6" w:rsidRDefault="009B69D6" w:rsidP="009B69D6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9B69D6">
        <w:rPr>
          <w:rFonts w:ascii="MetaOT-Norm" w:hAnsi="MetaOT-Norm"/>
          <w:noProof/>
          <w:sz w:val="24"/>
          <w:szCs w:val="24"/>
          <w:lang w:val="cs-CZ"/>
        </w:rPr>
        <w:t xml:space="preserve">se sídlem na adrese </w:t>
      </w:r>
      <w:r w:rsidRPr="001E2769">
        <w:rPr>
          <w:rFonts w:ascii="MetaOT-Norm" w:hAnsi="MetaOT-Norm"/>
          <w:noProof/>
          <w:sz w:val="24"/>
          <w:szCs w:val="24"/>
          <w:lang w:val="cs-CZ"/>
        </w:rPr>
        <w:t>28. října</w:t>
      </w:r>
      <w:r w:rsidRPr="009B69D6">
        <w:rPr>
          <w:rFonts w:ascii="MetaOT-Norm" w:hAnsi="MetaOT-Norm"/>
          <w:noProof/>
          <w:sz w:val="24"/>
          <w:szCs w:val="24"/>
          <w:lang w:val="cs-CZ"/>
        </w:rPr>
        <w:t xml:space="preserve">, budova č.: </w:t>
      </w:r>
      <w:r>
        <w:rPr>
          <w:rFonts w:ascii="MetaOT-Norm" w:hAnsi="MetaOT-Norm"/>
          <w:noProof/>
          <w:sz w:val="24"/>
          <w:szCs w:val="24"/>
          <w:lang w:val="cs-CZ"/>
        </w:rPr>
        <w:t>117</w:t>
      </w:r>
      <w:r w:rsidRPr="009B69D6">
        <w:rPr>
          <w:rFonts w:ascii="MetaOT-Norm" w:hAnsi="MetaOT-Norm"/>
          <w:noProof/>
          <w:sz w:val="24"/>
          <w:szCs w:val="24"/>
          <w:lang w:val="cs-CZ"/>
        </w:rPr>
        <w:t xml:space="preserve">, </w:t>
      </w:r>
      <w:r>
        <w:rPr>
          <w:rFonts w:ascii="MetaOT-Norm" w:hAnsi="MetaOT-Norm"/>
          <w:noProof/>
          <w:sz w:val="24"/>
          <w:szCs w:val="24"/>
          <w:lang w:val="cs-CZ"/>
        </w:rPr>
        <w:t xml:space="preserve">702 18 Ostrava </w:t>
      </w:r>
      <w:r w:rsidRPr="009B69D6">
        <w:rPr>
          <w:rFonts w:ascii="MetaOT-Norm" w:hAnsi="MetaOT-Norm"/>
          <w:noProof/>
          <w:sz w:val="24"/>
          <w:szCs w:val="24"/>
          <w:lang w:val="cs-CZ"/>
        </w:rPr>
        <w:t>(dále jen „</w:t>
      </w:r>
      <w:r>
        <w:rPr>
          <w:rFonts w:ascii="MetaOT-Norm" w:hAnsi="MetaOT-Norm"/>
          <w:noProof/>
          <w:sz w:val="24"/>
          <w:szCs w:val="24"/>
          <w:lang w:val="cs-CZ"/>
        </w:rPr>
        <w:t xml:space="preserve">MSK“), který zastupuje </w:t>
      </w:r>
      <w:r w:rsidRPr="009B69D6">
        <w:rPr>
          <w:rFonts w:ascii="MetaOT-Norm" w:hAnsi="MetaOT-Norm"/>
          <w:b/>
          <w:noProof/>
          <w:sz w:val="24"/>
          <w:szCs w:val="24"/>
          <w:lang w:val="cs-CZ"/>
        </w:rPr>
        <w:t>Prof. Ing. Ivo Vondrák, CSc.</w:t>
      </w:r>
      <w:r>
        <w:rPr>
          <w:rFonts w:ascii="MetaOT-Norm" w:hAnsi="MetaOT-Norm"/>
          <w:noProof/>
          <w:sz w:val="24"/>
          <w:szCs w:val="24"/>
          <w:lang w:val="cs-CZ"/>
        </w:rPr>
        <w:t xml:space="preserve"> v</w:t>
      </w:r>
      <w:r w:rsidRPr="009B69D6">
        <w:rPr>
          <w:rFonts w:ascii="MetaOT-Norm" w:hAnsi="MetaOT-Norm"/>
          <w:noProof/>
          <w:sz w:val="24"/>
          <w:szCs w:val="24"/>
          <w:lang w:val="cs-CZ"/>
        </w:rPr>
        <w:t>e funkci</w:t>
      </w:r>
      <w:r>
        <w:rPr>
          <w:rFonts w:ascii="MetaOT-Norm" w:hAnsi="MetaOT-Norm"/>
          <w:noProof/>
          <w:sz w:val="24"/>
          <w:szCs w:val="24"/>
          <w:lang w:val="cs-CZ"/>
        </w:rPr>
        <w:t xml:space="preserve"> hejtmana kraje</w:t>
      </w:r>
    </w:p>
    <w:p w:rsidR="001E2769" w:rsidRPr="00456FC2" w:rsidRDefault="009B69D6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 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(dále společně označované jako „</w:t>
      </w:r>
      <w:r w:rsidR="001E2769" w:rsidRPr="00456FC2">
        <w:rPr>
          <w:rFonts w:ascii="MetaOT-Norm" w:hAnsi="MetaOT-Norm"/>
          <w:b/>
          <w:noProof/>
          <w:sz w:val="24"/>
          <w:szCs w:val="24"/>
          <w:lang w:val="cs-CZ"/>
        </w:rPr>
        <w:t>smluvní strany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“ a jednotlivě jako „</w:t>
      </w:r>
      <w:r w:rsidR="001E2769" w:rsidRPr="00456FC2">
        <w:rPr>
          <w:rFonts w:ascii="MetaOT-Norm" w:hAnsi="MetaOT-Norm"/>
          <w:b/>
          <w:noProof/>
          <w:sz w:val="24"/>
          <w:szCs w:val="24"/>
          <w:lang w:val="cs-CZ"/>
        </w:rPr>
        <w:t>smluvní strana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“)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Úvod</w:t>
      </w:r>
    </w:p>
    <w:p w:rsidR="001E2769" w:rsidRPr="00456FC2" w:rsidRDefault="009B69D6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>
        <w:rPr>
          <w:rFonts w:ascii="MetaOT-Norm" w:hAnsi="MetaOT-Norm"/>
          <w:noProof/>
          <w:sz w:val="24"/>
          <w:szCs w:val="24"/>
          <w:lang w:val="cs-CZ"/>
        </w:rPr>
        <w:t xml:space="preserve">S ohledem na 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 xml:space="preserve">strategickou povahu partnerství mezi </w:t>
      </w:r>
      <w:r w:rsidR="001E2769">
        <w:rPr>
          <w:rFonts w:ascii="MetaOT-Norm" w:hAnsi="MetaOT-Norm"/>
          <w:noProof/>
          <w:sz w:val="24"/>
          <w:szCs w:val="24"/>
          <w:lang w:val="cs-CZ"/>
        </w:rPr>
        <w:t>Moravskoslezským krajem a</w:t>
      </w:r>
      <w:r w:rsidR="001E2769">
        <w:rPr>
          <w:rFonts w:ascii="MetaOT-Norm" w:hAnsi="MetaOT-Norm" w:hint="eastAsia"/>
          <w:noProof/>
          <w:sz w:val="24"/>
          <w:szCs w:val="24"/>
          <w:lang w:val="cs-CZ"/>
        </w:rPr>
        <w:t> 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úřadem Sharjah Investment and Development Authority (Shurrooq) ve všech ekonomických a obchodních oblastech a ve snaze podpořit dosahování významného cíle spočívajícího v podpoře obchodní, technické a ekonomické spolupráce za účelem posílení obchodních vztahů a rozvoje vzájemné spolupráce mezi úřadem Shurooq a</w:t>
      </w:r>
      <w:r w:rsidR="001E2769">
        <w:rPr>
          <w:rFonts w:ascii="MetaOT-Norm" w:hAnsi="MetaOT-Norm" w:hint="eastAsia"/>
          <w:noProof/>
          <w:sz w:val="24"/>
          <w:szCs w:val="24"/>
          <w:lang w:val="cs-CZ"/>
        </w:rPr>
        <w:t> </w:t>
      </w:r>
      <w:r w:rsidR="001E2769">
        <w:rPr>
          <w:rFonts w:ascii="MetaOT-Norm" w:hAnsi="MetaOT-Norm"/>
          <w:noProof/>
          <w:sz w:val="24"/>
          <w:szCs w:val="24"/>
          <w:lang w:val="cs-CZ"/>
        </w:rPr>
        <w:t>M</w:t>
      </w:r>
      <w:r>
        <w:rPr>
          <w:rFonts w:ascii="MetaOT-Norm" w:hAnsi="MetaOT-Norm"/>
          <w:noProof/>
          <w:sz w:val="24"/>
          <w:szCs w:val="24"/>
          <w:lang w:val="cs-CZ"/>
        </w:rPr>
        <w:t>SK k v</w:t>
      </w:r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zájemnému prospěchu podnikatelských sektorů a ve snaze přilákat investic</w:t>
      </w:r>
      <w:bookmarkStart w:id="0" w:name="_GoBack"/>
      <w:bookmarkEnd w:id="0"/>
      <w:r w:rsidR="001E2769" w:rsidRPr="00456FC2">
        <w:rPr>
          <w:rFonts w:ascii="MetaOT-Norm" w:hAnsi="MetaOT-Norm"/>
          <w:noProof/>
          <w:sz w:val="24"/>
          <w:szCs w:val="24"/>
          <w:lang w:val="cs-CZ"/>
        </w:rPr>
        <w:t>e a zdroje ze zahraničních trhů; se nyní uzavírá následující memorandum o porozumění: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první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podpořit, propagovat a usnadnit investiční a rozvojovou spolupráci mezi svými obchodními komunitami s cílem podpořit vzájemné zájmy obou stran, a to v souladu se zákony a předpisy obou zemí.</w:t>
      </w:r>
    </w:p>
    <w:p w:rsidR="001E2769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lastRenderedPageBreak/>
        <w:t>Článek druhý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podpořit výměnu obchodních delegací, vývoz a projednávání ekonomických otázek a podpoří následné aktivity navazující na takové návštěvy.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třetí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koordinovat, vytvořit a rozšiřovat obchodní síť, která umožní využívat obchodní příležitosti dostupné v obou zemích.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čtvrtý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podpořit vzájemnou výměnu ekonomických informací, statistik a obchodních údajů s cílem podpořit obchodní smlouvy a realizovat společné projekty. Smluvní strany rovněž podpoří vzájemné výzkumné aktivity, je-li to možné a potřebné.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pátý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vyměňovat si publikace, časopisy, periodika, katalogy, zákony a právní předpisy upravující ekonomickou a obchodní činnost určené jejich příslušným obchodním komunitám.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šestý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Každá smluvní strana se vynasnaží pomáhat druhé smluvní straně s organizací obchodních veletrhů, výstav, konferencí, seminářů a dalších podobných činností konajících se v obou zemích a pomáhat druhé smluvní straně s účastí na těchto akcích.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sedmý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identifikovat bariéry a hledat vhodná řešení umožňující odstranit případné překážky, které mohou bránit růstu investic a obchodu.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osmý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Smluvní strany se vynasnaží podpořit a povzbudit výměnu technického odborného know-how a nabídku odborné přípravy a vzdělávání.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devátý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Obě smluvní strany se vynasnaží propagovat investiční příležitosti dostupné v příslušné zemi s cílem podpořit bilaterální investice.</w:t>
      </w:r>
    </w:p>
    <w:p w:rsidR="001E2769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lastRenderedPageBreak/>
        <w:t>Článek desátý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Není-li dohodnuto jinak, každá smluvní strana ponese náklady a výdaje související s jejím podílem na vykonávání činností vyplývajících z tohoto memoranda. Schopnost každé smluvní strany vykonávat činnosti vyplývající z tohoto memoranda závisí na dostupných finančních prostředcích, lidských a dalších zdrojích.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jedenáctý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Za účelem provádění tohoto memoranda smluvní strany čas od času přezkoumají uvedená ustanovení s přihlédnutím k novým záležitostem, které si mohou vyžádat doplnění nových článků, úpravu stávajících článků nebo vytvoření nového memoranda pro zvláštní účel/obchodní činnost/aktivitu mezi smluvními stranami. Toto memorandum lze na základě dohody smluvních stran kdykoliv změnit.</w:t>
      </w:r>
    </w:p>
    <w:p w:rsidR="001E2769" w:rsidRPr="00456FC2" w:rsidRDefault="001E2769" w:rsidP="001E2769">
      <w:pPr>
        <w:jc w:val="center"/>
        <w:rPr>
          <w:rFonts w:ascii="MetaOT-Norm" w:hAnsi="MetaOT-Norm"/>
          <w:b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Článek dvanáctý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Toto memorandum nabývá účinnosti podpisem smluvních stran a zůstává účinné, dokud si obě smluvní strany nebo některá ze smluvních stran v dopise adresovaném druhé smluvní straně nevyžádají jeho ukončení. Platnost memoranda lze po konzultaci mezi smluvními stranami kdykoliv ukončit.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Toto memorandum není smlouvou, nýbrž pouze dokumentem o spolupráci.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Toto memorandum bylo vyhotoveno ve dvou vyhotoveních a podepsáno dne </w:t>
      </w:r>
      <w:r>
        <w:rPr>
          <w:rFonts w:ascii="MetaOT-Norm" w:hAnsi="MetaOT-Norm"/>
          <w:noProof/>
          <w:sz w:val="24"/>
          <w:szCs w:val="24"/>
          <w:lang w:val="cs-CZ"/>
        </w:rPr>
        <w:t>………</w:t>
      </w:r>
      <w:r w:rsidRPr="009B69D6">
        <w:rPr>
          <w:rFonts w:ascii="MetaOT-Norm" w:hAnsi="MetaOT-Norm"/>
          <w:noProof/>
          <w:sz w:val="24"/>
          <w:szCs w:val="24"/>
          <w:lang w:val="cs-CZ"/>
        </w:rPr>
        <w:t>201</w:t>
      </w:r>
      <w:r>
        <w:rPr>
          <w:rFonts w:ascii="MetaOT-Norm" w:hAnsi="MetaOT-Norm"/>
          <w:noProof/>
          <w:sz w:val="24"/>
          <w:szCs w:val="24"/>
          <w:lang w:val="cs-CZ"/>
        </w:rPr>
        <w:t>7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>, přičemž každá smluvní strana obdrží jedno vyhotovení.</w:t>
      </w:r>
    </w:p>
    <w:p w:rsidR="001E2769" w:rsidRPr="00456FC2" w:rsidRDefault="001E2769" w:rsidP="001E2769">
      <w:pPr>
        <w:jc w:val="both"/>
        <w:rPr>
          <w:rFonts w:asciiTheme="majorHAnsi" w:hAnsiTheme="majorHAnsi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Za </w:t>
      </w:r>
      <w:r w:rsidRPr="00456FC2">
        <w:rPr>
          <w:rFonts w:ascii="MetaOT-Norm" w:hAnsi="MetaOT-Norm"/>
          <w:b/>
          <w:noProof/>
          <w:sz w:val="24"/>
          <w:szCs w:val="24"/>
          <w:lang w:val="cs-CZ"/>
        </w:rPr>
        <w:t>Sharjah Investment and Development Authority (Shurooq)</w:t>
      </w: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 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spacing w:line="240" w:lineRule="auto"/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_____________________________</w:t>
      </w:r>
    </w:p>
    <w:p w:rsidR="001E2769" w:rsidRPr="00456FC2" w:rsidRDefault="001E2769" w:rsidP="001E2769">
      <w:pPr>
        <w:spacing w:line="240" w:lineRule="auto"/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b/>
          <w:bCs/>
          <w:noProof/>
          <w:lang w:val="cs-CZ"/>
        </w:rPr>
        <w:t>Jeho Výsost Marwan bin Jassim Al Sarkal</w:t>
      </w:r>
    </w:p>
    <w:p w:rsidR="001E2769" w:rsidRPr="00456FC2" w:rsidRDefault="001E2769" w:rsidP="001E2769">
      <w:pPr>
        <w:pStyle w:val="Bezmezer"/>
        <w:rPr>
          <w:rFonts w:ascii="MetaOT-Norm" w:hAnsi="MetaOT-Norm"/>
          <w:noProof/>
          <w:lang w:val="cs-CZ"/>
        </w:rPr>
      </w:pPr>
      <w:r w:rsidRPr="00456FC2">
        <w:rPr>
          <w:rFonts w:ascii="MetaOT-Norm" w:hAnsi="MetaOT-Norm"/>
          <w:noProof/>
          <w:lang w:val="cs-CZ"/>
        </w:rPr>
        <w:t>Generální ředitel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jc w:val="both"/>
        <w:rPr>
          <w:rFonts w:ascii="MetaOT-Norm" w:hAnsi="MetaOT-Norm"/>
          <w:b/>
          <w:noProof/>
          <w:sz w:val="24"/>
          <w:szCs w:val="24"/>
          <w:lang w:val="cs-CZ" w:eastAsia="zh-CN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 xml:space="preserve">Za </w:t>
      </w:r>
      <w:r>
        <w:rPr>
          <w:rFonts w:ascii="MetaOT-Norm" w:hAnsi="MetaOT-Norm"/>
          <w:noProof/>
          <w:sz w:val="24"/>
          <w:szCs w:val="24"/>
          <w:lang w:val="cs-CZ"/>
        </w:rPr>
        <w:t xml:space="preserve">Moravskoslezský kraj </w:t>
      </w:r>
    </w:p>
    <w:p w:rsidR="001E2769" w:rsidRPr="00456FC2" w:rsidRDefault="001E2769" w:rsidP="001E2769">
      <w:pPr>
        <w:jc w:val="both"/>
        <w:rPr>
          <w:rFonts w:ascii="MetaOT-Norm" w:hAnsi="MetaOT-Norm"/>
          <w:noProof/>
          <w:sz w:val="24"/>
          <w:szCs w:val="24"/>
          <w:lang w:val="cs-CZ"/>
        </w:rPr>
      </w:pPr>
    </w:p>
    <w:p w:rsidR="001E2769" w:rsidRPr="00456FC2" w:rsidRDefault="001E2769" w:rsidP="001E2769">
      <w:pPr>
        <w:spacing w:line="240" w:lineRule="auto"/>
        <w:jc w:val="both"/>
        <w:rPr>
          <w:rFonts w:ascii="MetaOT-Norm" w:hAnsi="MetaOT-Norm"/>
          <w:noProof/>
          <w:sz w:val="24"/>
          <w:szCs w:val="24"/>
          <w:lang w:val="cs-CZ"/>
        </w:rPr>
      </w:pPr>
      <w:r w:rsidRPr="00456FC2">
        <w:rPr>
          <w:rFonts w:ascii="MetaOT-Norm" w:hAnsi="MetaOT-Norm"/>
          <w:noProof/>
          <w:sz w:val="24"/>
          <w:szCs w:val="24"/>
          <w:lang w:val="cs-CZ"/>
        </w:rPr>
        <w:t>_____________________________</w:t>
      </w:r>
    </w:p>
    <w:p w:rsidR="001E2769" w:rsidRPr="00456FC2" w:rsidRDefault="001E2769" w:rsidP="001E2769">
      <w:pPr>
        <w:pStyle w:val="Bezmezer"/>
        <w:rPr>
          <w:noProof/>
          <w:lang w:val="cs-CZ" w:eastAsia="zh-CN"/>
        </w:rPr>
      </w:pPr>
      <w:r>
        <w:rPr>
          <w:rFonts w:ascii="MetaOT-Norm" w:hAnsi="MetaOT-Norm"/>
          <w:noProof/>
          <w:lang w:val="cs-CZ" w:eastAsia="zh-CN"/>
        </w:rPr>
        <w:t>Prof. Ing. Ivo Vondrák, CSc.</w:t>
      </w:r>
    </w:p>
    <w:p w:rsidR="001E2769" w:rsidRPr="00456FC2" w:rsidRDefault="001E2769" w:rsidP="001E2769">
      <w:pPr>
        <w:pStyle w:val="Bezmezer"/>
        <w:rPr>
          <w:noProof/>
          <w:lang w:val="cs-CZ" w:eastAsia="zh-CN"/>
        </w:rPr>
      </w:pPr>
    </w:p>
    <w:sectPr w:rsidR="001E2769" w:rsidRPr="00456FC2" w:rsidSect="00DA018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69D6">
      <w:pPr>
        <w:spacing w:after="0" w:line="240" w:lineRule="auto"/>
      </w:pPr>
      <w:r>
        <w:separator/>
      </w:r>
    </w:p>
  </w:endnote>
  <w:endnote w:type="continuationSeparator" w:id="0">
    <w:p w:rsidR="00000000" w:rsidRDefault="009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OT-Norm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etaOT-Norm" w:hAnsi="MetaOT-Norm"/>
        <w:noProof/>
        <w:sz w:val="20"/>
        <w:szCs w:val="20"/>
        <w:lang w:val="cs-CZ"/>
      </w:rPr>
      <w:id w:val="5298824"/>
      <w:docPartObj>
        <w:docPartGallery w:val="Page Numbers (Bottom of Page)"/>
        <w:docPartUnique/>
      </w:docPartObj>
    </w:sdtPr>
    <w:sdtEndPr/>
    <w:sdtContent>
      <w:sdt>
        <w:sdtPr>
          <w:rPr>
            <w:rFonts w:ascii="MetaOT-Norm" w:hAnsi="MetaOT-Norm"/>
            <w:noProof/>
            <w:sz w:val="20"/>
            <w:szCs w:val="20"/>
            <w:lang w:val="cs-CZ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E0CCA" w:rsidRPr="00A16E0F" w:rsidRDefault="001E2769">
            <w:pPr>
              <w:pStyle w:val="Zpat"/>
              <w:jc w:val="right"/>
              <w:rPr>
                <w:rFonts w:ascii="MetaOT-Norm" w:hAnsi="MetaOT-Norm"/>
                <w:noProof/>
                <w:sz w:val="20"/>
                <w:szCs w:val="20"/>
                <w:lang w:val="cs-CZ"/>
              </w:rPr>
            </w:pPr>
            <w:r w:rsidRPr="00A16E0F">
              <w:rPr>
                <w:rFonts w:ascii="MetaOT-Norm" w:hAnsi="MetaOT-Norm"/>
                <w:noProof/>
                <w:sz w:val="20"/>
                <w:szCs w:val="20"/>
                <w:lang w:val="cs-CZ"/>
              </w:rPr>
              <w:t xml:space="preserve">Strana </w: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begin"/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instrText xml:space="preserve"> PAGE </w:instrTex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separate"/>
            </w:r>
            <w:r w:rsidR="009B69D6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t>2</w: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end"/>
            </w:r>
            <w:r w:rsidRPr="00A16E0F">
              <w:rPr>
                <w:rFonts w:ascii="MetaOT-Norm" w:hAnsi="MetaOT-Norm"/>
                <w:noProof/>
                <w:sz w:val="20"/>
                <w:szCs w:val="20"/>
                <w:lang w:val="cs-CZ"/>
              </w:rPr>
              <w:t xml:space="preserve"> z </w: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begin"/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instrText xml:space="preserve"> NUMPAGES  </w:instrTex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separate"/>
            </w:r>
            <w:r w:rsidR="009B69D6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t>3</w:t>
            </w:r>
            <w:r w:rsidRPr="00A16E0F">
              <w:rPr>
                <w:rFonts w:ascii="MetaOT-Norm" w:hAnsi="MetaOT-Norm"/>
                <w:b/>
                <w:noProof/>
                <w:sz w:val="20"/>
                <w:szCs w:val="20"/>
                <w:lang w:val="cs-CZ"/>
              </w:rPr>
              <w:fldChar w:fldCharType="end"/>
            </w:r>
          </w:p>
        </w:sdtContent>
      </w:sdt>
    </w:sdtContent>
  </w:sdt>
  <w:p w:rsidR="00AE0CCA" w:rsidRPr="00A16E0F" w:rsidRDefault="009B69D6">
    <w:pPr>
      <w:pStyle w:val="Zpat"/>
      <w:rPr>
        <w:rFonts w:ascii="MetaOT-Norm" w:hAnsi="MetaOT-Norm"/>
        <w:noProof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69D6">
      <w:pPr>
        <w:spacing w:after="0" w:line="240" w:lineRule="auto"/>
      </w:pPr>
      <w:r>
        <w:separator/>
      </w:r>
    </w:p>
  </w:footnote>
  <w:footnote w:type="continuationSeparator" w:id="0">
    <w:p w:rsidR="00000000" w:rsidRDefault="009B6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69"/>
    <w:rsid w:val="001E2769"/>
    <w:rsid w:val="0059642A"/>
    <w:rsid w:val="009B69D6"/>
    <w:rsid w:val="00A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F07C2-52ED-4F77-9336-97FB24D1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2769"/>
    <w:pPr>
      <w:spacing w:after="200" w:line="276" w:lineRule="auto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2769"/>
    <w:pPr>
      <w:spacing w:after="0" w:line="240" w:lineRule="auto"/>
    </w:pPr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1E2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769"/>
    <w:rPr>
      <w:rFonts w:eastAsiaTheme="minorEastAsia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E27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7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769"/>
    <w:rPr>
      <w:rFonts w:eastAsiaTheme="minorEastAsia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6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2</cp:revision>
  <dcterms:created xsi:type="dcterms:W3CDTF">2017-02-21T08:32:00Z</dcterms:created>
  <dcterms:modified xsi:type="dcterms:W3CDTF">2017-02-21T08:55:00Z</dcterms:modified>
</cp:coreProperties>
</file>