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284" w:bottomFromText="680" w:vertAnchor="page" w:horzAnchor="margin" w:tblpY="2761"/>
        <w:tblOverlap w:val="never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4526"/>
        <w:gridCol w:w="4140"/>
      </w:tblGrid>
      <w:tr w:rsidR="00AD13F8" w14:paraId="17D4A1DE" w14:textId="77777777" w:rsidTr="00D84CC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1D217D4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Váš dopis zn.: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03E8F24A" w14:textId="61BED874" w:rsidR="00AD13F8" w:rsidRDefault="00D84CC7">
            <w:pPr>
              <w:spacing w:line="240" w:lineRule="exact"/>
            </w:pPr>
            <w:r>
              <w:t>MF</w:t>
            </w:r>
            <w:r w:rsidR="00B96E12">
              <w:t>-6691/2024/2201-22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207D93" w14:textId="6F657A81" w:rsidR="00F84357" w:rsidRPr="00FB0B1C" w:rsidRDefault="00F84357" w:rsidP="00F84357">
            <w:pPr>
              <w:spacing w:line="280" w:lineRule="exact"/>
            </w:pPr>
            <w:r w:rsidRPr="00FB0B1C">
              <w:t xml:space="preserve">Ministerstvo </w:t>
            </w:r>
            <w:r w:rsidR="00D84CC7">
              <w:t>financí</w:t>
            </w:r>
          </w:p>
          <w:p w14:paraId="1A7E1BCA" w14:textId="4E706280" w:rsidR="00F84357" w:rsidRPr="00FB0B1C" w:rsidRDefault="00D84CC7" w:rsidP="00F84357">
            <w:pPr>
              <w:spacing w:line="28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Ing. Zbyněk Stanjura</w:t>
            </w:r>
          </w:p>
          <w:p w14:paraId="72FCCE60" w14:textId="487FA0EA" w:rsidR="00F84357" w:rsidRPr="00FB0B1C" w:rsidRDefault="00F84357" w:rsidP="00F84357">
            <w:pPr>
              <w:spacing w:line="280" w:lineRule="exact"/>
            </w:pPr>
            <w:r w:rsidRPr="00FB0B1C">
              <w:t>ministr</w:t>
            </w:r>
          </w:p>
          <w:p w14:paraId="67862957" w14:textId="77777777" w:rsidR="00F84357" w:rsidRPr="00FB0B1C" w:rsidRDefault="00F84357" w:rsidP="00F84357">
            <w:pPr>
              <w:pStyle w:val="KUMS-text"/>
              <w:spacing w:after="0"/>
            </w:pPr>
            <w:r w:rsidRPr="00FB0B1C">
              <w:t xml:space="preserve">P r a h a </w:t>
            </w:r>
          </w:p>
          <w:p w14:paraId="1AA3C54C" w14:textId="77777777" w:rsidR="00AD13F8" w:rsidRDefault="00AD13F8">
            <w:pPr>
              <w:spacing w:line="240" w:lineRule="exact"/>
            </w:pPr>
          </w:p>
        </w:tc>
      </w:tr>
      <w:tr w:rsidR="00AD13F8" w14:paraId="1C2C8F09" w14:textId="77777777" w:rsidTr="00D84CC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3529066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 dne: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17A6F39" w14:textId="1D4AD2E4" w:rsidR="00AD13F8" w:rsidRDefault="00B96E12">
            <w:pPr>
              <w:spacing w:line="240" w:lineRule="exact"/>
            </w:pPr>
            <w:r>
              <w:t>2024-04-15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9B333" w14:textId="77777777" w:rsidR="00AD13F8" w:rsidRDefault="00AD13F8">
            <w:pPr>
              <w:spacing w:line="240" w:lineRule="exact"/>
            </w:pPr>
          </w:p>
        </w:tc>
      </w:tr>
      <w:tr w:rsidR="00AD13F8" w14:paraId="0C2848C9" w14:textId="77777777" w:rsidTr="00D84CC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4780822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Čj</w:t>
            </w:r>
            <w:r w:rsidR="00FD2983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:</w:t>
            </w:r>
          </w:p>
        </w:tc>
        <w:bookmarkStart w:id="0" w:name="Text1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3BDD0593" w14:textId="122133FD" w:rsidR="00AD13F8" w:rsidRDefault="00EE538D">
            <w:pPr>
              <w:spacing w:line="240" w:lineRule="exact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MSWField: cj"/>
                  <w:textInput>
                    <w:default w:val="MSK  54117/2024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MSK  54117/2024</w:t>
            </w:r>
            <w:r>
              <w:fldChar w:fldCharType="end"/>
            </w:r>
            <w:bookmarkEnd w:id="0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BB0BF" w14:textId="77777777" w:rsidR="00AD13F8" w:rsidRDefault="00AD13F8">
            <w:pPr>
              <w:spacing w:line="240" w:lineRule="exact"/>
            </w:pPr>
          </w:p>
        </w:tc>
      </w:tr>
      <w:tr w:rsidR="00AD13F8" w14:paraId="4DDC51BD" w14:textId="77777777" w:rsidTr="00D84CC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07CFFBF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Sp. zn.:</w:t>
            </w:r>
          </w:p>
        </w:tc>
        <w:bookmarkStart w:id="1" w:name="Text2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566BE2C1" w14:textId="77777777" w:rsidR="00AD13F8" w:rsidRDefault="00EE538D">
            <w:pPr>
              <w:spacing w:line="240" w:lineRule="exact"/>
            </w:pPr>
            <w:r>
              <w:fldChar w:fldCharType="begin" w:fldLock="1">
                <w:ffData>
                  <w:name w:val="Text3"/>
                  <w:enabled/>
                  <w:calcOnExit w:val="0"/>
                  <w:statusText w:type="text" w:val="MSWField: cj_spis"/>
                  <w:textInput>
                    <w:default w:val="POR/9976/2024/Dra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POR/9976/2024/Dra</w:t>
            </w:r>
            <w:r>
              <w:fldChar w:fldCharType="end"/>
            </w:r>
            <w:bookmarkEnd w:id="1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6F1F1" w14:textId="77777777" w:rsidR="00AD13F8" w:rsidRDefault="00AD13F8">
            <w:pPr>
              <w:spacing w:line="240" w:lineRule="exact"/>
            </w:pPr>
          </w:p>
        </w:tc>
      </w:tr>
      <w:tr w:rsidR="00AD13F8" w14:paraId="0867EAE7" w14:textId="77777777" w:rsidTr="00D84CC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838996D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</w:p>
        </w:tc>
        <w:bookmarkStart w:id="2" w:name="Text3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E62B54D" w14:textId="77777777" w:rsidR="00AD13F8" w:rsidRDefault="00EE538D">
            <w:pPr>
              <w:spacing w:line="240" w:lineRule="exact"/>
            </w:pPr>
            <w:r>
              <w:fldChar w:fldCharType="begin" w:fldLock="1">
                <w:ffData>
                  <w:name w:val="Text4"/>
                  <w:enabled/>
                  <w:calcOnExit w:val="0"/>
                  <w:statusText w:type="text" w:val="MSWField: spis_znak"/>
                  <w:textInput>
                    <w:default w:val="089.4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089.4</w:t>
            </w:r>
            <w:r>
              <w:fldChar w:fldCharType="end"/>
            </w:r>
            <w:bookmarkEnd w:id="2"/>
            <w:r w:rsidR="00AD13F8">
              <w:t xml:space="preserve"> </w:t>
            </w:r>
            <w:bookmarkStart w:id="3" w:name="Text4"/>
            <w:r>
              <w:fldChar w:fldCharType="begin" w:fldLock="1">
                <w:ffData>
                  <w:name w:val="Text5"/>
                  <w:enabled/>
                  <w:calcOnExit w:val="0"/>
                  <w:statusText w:type="text" w:val="MSWField: skart_lhut"/>
                  <w:textInput>
                    <w:default w:val="S5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S5</w:t>
            </w:r>
            <w:r>
              <w:fldChar w:fldCharType="end"/>
            </w:r>
            <w:bookmarkEnd w:id="3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2287C" w14:textId="77777777" w:rsidR="00AD13F8" w:rsidRDefault="00AD13F8">
            <w:pPr>
              <w:spacing w:line="240" w:lineRule="exact"/>
            </w:pPr>
          </w:p>
        </w:tc>
      </w:tr>
      <w:tr w:rsidR="00AD13F8" w14:paraId="42E397FC" w14:textId="77777777" w:rsidTr="00D84CC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5AB48D5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Vyřizuje: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715CD99" w14:textId="772969A3" w:rsidR="00AD13F8" w:rsidRDefault="00AB6B02">
            <w:pPr>
              <w:spacing w:line="240" w:lineRule="exact"/>
            </w:pPr>
            <w:r>
              <w:t>Mgr. Silvie Janečková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D4597" w14:textId="77777777" w:rsidR="00AD13F8" w:rsidRDefault="00AD13F8">
            <w:pPr>
              <w:spacing w:line="240" w:lineRule="exact"/>
            </w:pPr>
          </w:p>
        </w:tc>
      </w:tr>
      <w:tr w:rsidR="00AD13F8" w14:paraId="0797F18A" w14:textId="77777777" w:rsidTr="00D84CC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04A6821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Odbor:</w:t>
            </w:r>
          </w:p>
        </w:tc>
        <w:bookmarkStart w:id="4" w:name="Text9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31897BB4" w14:textId="77777777" w:rsidR="00AD13F8" w:rsidRDefault="00EE538D">
            <w:pPr>
              <w:spacing w:line="240" w:lineRule="exact"/>
            </w:pPr>
            <w: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_suo"/>
                  <w:textInput>
                    <w:default w:val="Odbor právní a organizační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Odbor právní a organizační</w:t>
            </w:r>
            <w:r>
              <w:fldChar w:fldCharType="end"/>
            </w:r>
            <w:bookmarkEnd w:id="4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B6756" w14:textId="77777777" w:rsidR="00AD13F8" w:rsidRDefault="00AD13F8">
            <w:pPr>
              <w:spacing w:line="240" w:lineRule="exact"/>
            </w:pPr>
          </w:p>
        </w:tc>
      </w:tr>
      <w:tr w:rsidR="00AD13F8" w14:paraId="033374D6" w14:textId="77777777" w:rsidTr="00D84CC7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B19DD73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5A517CF4" w14:textId="56D6F40F" w:rsidR="00AD13F8" w:rsidRDefault="00AD13F8">
            <w:pPr>
              <w:spacing w:line="240" w:lineRule="exact"/>
            </w:pPr>
            <w:r>
              <w:t xml:space="preserve">595 622 </w:t>
            </w:r>
            <w:r w:rsidR="00AB6B02">
              <w:t>255</w:t>
            </w:r>
          </w:p>
        </w:tc>
      </w:tr>
      <w:tr w:rsidR="00AD13F8" w14:paraId="3D90D68C" w14:textId="77777777" w:rsidTr="00D84CC7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815E133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2A6D48DC" w14:textId="77777777" w:rsidR="00AD13F8" w:rsidRDefault="00AD13F8" w:rsidP="008C65A2">
            <w:pPr>
              <w:spacing w:line="240" w:lineRule="exact"/>
            </w:pPr>
            <w:r>
              <w:t>595</w:t>
            </w:r>
            <w:r w:rsidR="008C65A2">
              <w:t> </w:t>
            </w:r>
            <w:r>
              <w:t>622</w:t>
            </w:r>
            <w:r w:rsidR="008C65A2">
              <w:t xml:space="preserve"> 126</w:t>
            </w:r>
            <w:r>
              <w:t xml:space="preserve"> </w:t>
            </w:r>
          </w:p>
        </w:tc>
      </w:tr>
      <w:tr w:rsidR="00AD13F8" w14:paraId="3EC0352F" w14:textId="77777777" w:rsidTr="00D84CC7">
        <w:trPr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8837C4B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86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68" w:type="dxa"/>
            </w:tcMar>
          </w:tcPr>
          <w:p w14:paraId="6744355E" w14:textId="77777777" w:rsidR="00AD13F8" w:rsidRDefault="001649D7" w:rsidP="00E226C2">
            <w:pPr>
              <w:spacing w:line="240" w:lineRule="exact"/>
            </w:pPr>
            <w:r>
              <w:t>posta@</w:t>
            </w:r>
            <w:r w:rsidR="00E226C2">
              <w:t>msk</w:t>
            </w:r>
            <w:r>
              <w:t>.cz</w:t>
            </w:r>
          </w:p>
        </w:tc>
      </w:tr>
      <w:tr w:rsidR="00AD13F8" w14:paraId="2B6C63F9" w14:textId="77777777" w:rsidTr="00D84CC7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EC52456" w14:textId="77777777" w:rsidR="00AD13F8" w:rsidRDefault="00AD13F8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1C0FF666" w14:textId="3E1C7B50" w:rsidR="00E7162F" w:rsidRDefault="00E7162F">
            <w:pPr>
              <w:spacing w:line="240" w:lineRule="exact"/>
            </w:pPr>
            <w:r>
              <w:t>2024-04-22</w:t>
            </w:r>
          </w:p>
        </w:tc>
      </w:tr>
    </w:tbl>
    <w:p w14:paraId="6C70F9BE" w14:textId="461B70CC" w:rsidR="00D84CC7" w:rsidRPr="00710AE3" w:rsidRDefault="00D84CC7" w:rsidP="00D84CC7">
      <w:pPr>
        <w:pStyle w:val="KUMS-Osloven"/>
        <w:rPr>
          <w:b/>
          <w:bCs/>
        </w:rPr>
      </w:pPr>
      <w:r w:rsidRPr="00710AE3">
        <w:rPr>
          <w:b/>
          <w:bCs/>
        </w:rPr>
        <w:t xml:space="preserve">Stanovisko k připomínkovému řízení č. j. </w:t>
      </w:r>
      <w:r w:rsidR="00B96E12" w:rsidRPr="00B96E12">
        <w:rPr>
          <w:b/>
          <w:bCs/>
        </w:rPr>
        <w:t>MF-6691/2024/2201-22</w:t>
      </w:r>
    </w:p>
    <w:p w14:paraId="4529CF48" w14:textId="77777777" w:rsidR="00D84CC7" w:rsidRDefault="00D84CC7" w:rsidP="00D84CC7">
      <w:pPr>
        <w:pStyle w:val="FormtovanvHTML"/>
        <w:spacing w:line="360" w:lineRule="auto"/>
        <w:jc w:val="both"/>
        <w:rPr>
          <w:rFonts w:ascii="Tahoma" w:hAnsi="Tahoma" w:cs="Tahoma"/>
          <w:i w:val="0"/>
          <w:iCs w:val="0"/>
          <w:sz w:val="24"/>
          <w:szCs w:val="24"/>
        </w:rPr>
      </w:pPr>
    </w:p>
    <w:p w14:paraId="7001CE4D" w14:textId="7D8D8299" w:rsidR="00D84CC7" w:rsidRPr="00E03024" w:rsidRDefault="00D84CC7" w:rsidP="00D84CC7">
      <w:pPr>
        <w:pStyle w:val="FormtovanvHTML"/>
        <w:spacing w:line="360" w:lineRule="auto"/>
        <w:jc w:val="both"/>
        <w:rPr>
          <w:rFonts w:ascii="Tahoma" w:hAnsi="Tahoma" w:cs="Tahoma"/>
          <w:i w:val="0"/>
          <w:iCs w:val="0"/>
        </w:rPr>
      </w:pPr>
      <w:r>
        <w:rPr>
          <w:rFonts w:ascii="Tahoma" w:hAnsi="Tahoma" w:cs="Tahoma"/>
          <w:i w:val="0"/>
          <w:iCs w:val="0"/>
        </w:rPr>
        <w:t>K</w:t>
      </w:r>
      <w:r w:rsidRPr="00E03024">
        <w:rPr>
          <w:rFonts w:ascii="Tahoma" w:hAnsi="Tahoma" w:cs="Tahoma"/>
          <w:i w:val="0"/>
          <w:iCs w:val="0"/>
        </w:rPr>
        <w:t xml:space="preserve"> dopisu </w:t>
      </w:r>
      <w:r>
        <w:rPr>
          <w:rFonts w:ascii="Tahoma" w:hAnsi="Tahoma" w:cs="Tahoma"/>
          <w:i w:val="0"/>
          <w:iCs w:val="0"/>
        </w:rPr>
        <w:t xml:space="preserve">ministra </w:t>
      </w:r>
      <w:r w:rsidR="00B96E12">
        <w:rPr>
          <w:rFonts w:ascii="Tahoma" w:hAnsi="Tahoma" w:cs="Tahoma"/>
          <w:i w:val="0"/>
          <w:iCs w:val="0"/>
        </w:rPr>
        <w:t>financí</w:t>
      </w:r>
      <w:r w:rsidRPr="00E03024">
        <w:rPr>
          <w:rFonts w:ascii="Tahoma" w:hAnsi="Tahoma" w:cs="Tahoma"/>
          <w:i w:val="0"/>
          <w:iCs w:val="0"/>
        </w:rPr>
        <w:t xml:space="preserve"> č. j. </w:t>
      </w:r>
      <w:r w:rsidR="00B96E12" w:rsidRPr="00B96E12">
        <w:rPr>
          <w:rFonts w:ascii="Tahoma" w:hAnsi="Tahoma" w:cs="Tahoma"/>
          <w:i w:val="0"/>
          <w:iCs w:val="0"/>
        </w:rPr>
        <w:t>MF-6691/2024/2201-22</w:t>
      </w:r>
      <w:r>
        <w:rPr>
          <w:rFonts w:ascii="Tahoma" w:hAnsi="Tahoma" w:cs="Tahoma"/>
          <w:i w:val="0"/>
          <w:iCs w:val="0"/>
        </w:rPr>
        <w:t xml:space="preserve"> z</w:t>
      </w:r>
      <w:r w:rsidR="00B96E12">
        <w:rPr>
          <w:rFonts w:ascii="Tahoma" w:hAnsi="Tahoma" w:cs="Tahoma"/>
          <w:i w:val="0"/>
          <w:iCs w:val="0"/>
        </w:rPr>
        <w:t>e dne 15. dubna</w:t>
      </w:r>
      <w:r>
        <w:rPr>
          <w:rFonts w:ascii="Tahoma" w:hAnsi="Tahoma" w:cs="Tahoma"/>
          <w:i w:val="0"/>
          <w:iCs w:val="0"/>
        </w:rPr>
        <w:t xml:space="preserve"> 2024</w:t>
      </w:r>
      <w:r w:rsidRPr="00E03024">
        <w:rPr>
          <w:rFonts w:ascii="Tahoma" w:hAnsi="Tahoma" w:cs="Tahoma"/>
          <w:i w:val="0"/>
          <w:iCs w:val="0"/>
        </w:rPr>
        <w:t xml:space="preserve"> sděluj</w:t>
      </w:r>
      <w:r>
        <w:rPr>
          <w:rFonts w:ascii="Tahoma" w:hAnsi="Tahoma" w:cs="Tahoma"/>
          <w:i w:val="0"/>
          <w:iCs w:val="0"/>
        </w:rPr>
        <w:t>eme</w:t>
      </w:r>
      <w:r w:rsidRPr="00E03024">
        <w:rPr>
          <w:rFonts w:ascii="Tahoma" w:hAnsi="Tahoma" w:cs="Tahoma"/>
          <w:i w:val="0"/>
          <w:iCs w:val="0"/>
        </w:rPr>
        <w:t xml:space="preserve">, že </w:t>
      </w:r>
      <w:r>
        <w:rPr>
          <w:rFonts w:ascii="Tahoma" w:hAnsi="Tahoma" w:cs="Tahoma"/>
          <w:i w:val="0"/>
          <w:iCs w:val="0"/>
        </w:rPr>
        <w:t xml:space="preserve">k návrhu </w:t>
      </w:r>
      <w:r w:rsidR="00E41849" w:rsidRPr="00E41849">
        <w:rPr>
          <w:rFonts w:ascii="Tahoma" w:hAnsi="Tahoma" w:cs="Tahoma"/>
          <w:i w:val="0"/>
          <w:iCs w:val="0"/>
        </w:rPr>
        <w:t>zákona, kterým se mění zákon č. 243/2000 Sb., o rozpočtovém určení výnosů některých daní územním samosprávným celkům a některým státním fondům (zákon o rozpočtovém určení daní), ve znění pozdějších předpisů</w:t>
      </w:r>
      <w:r>
        <w:rPr>
          <w:rFonts w:ascii="Tahoma" w:hAnsi="Tahoma" w:cs="Tahoma"/>
          <w:i w:val="0"/>
          <w:iCs w:val="0"/>
        </w:rPr>
        <w:t xml:space="preserve">, </w:t>
      </w:r>
      <w:r w:rsidRPr="00092B19">
        <w:rPr>
          <w:rFonts w:ascii="Tahoma" w:hAnsi="Tahoma" w:cs="Tahoma"/>
          <w:b/>
          <w:i w:val="0"/>
          <w:iCs w:val="0"/>
        </w:rPr>
        <w:t>má</w:t>
      </w:r>
      <w:r>
        <w:rPr>
          <w:rFonts w:ascii="Tahoma" w:hAnsi="Tahoma" w:cs="Tahoma"/>
          <w:b/>
          <w:i w:val="0"/>
          <w:iCs w:val="0"/>
        </w:rPr>
        <w:t> </w:t>
      </w:r>
      <w:r w:rsidRPr="00092B19">
        <w:rPr>
          <w:rFonts w:ascii="Tahoma" w:hAnsi="Tahoma" w:cs="Tahoma"/>
          <w:b/>
          <w:i w:val="0"/>
          <w:iCs w:val="0"/>
        </w:rPr>
        <w:t xml:space="preserve">Moravskoslezský kraj </w:t>
      </w:r>
      <w:r>
        <w:rPr>
          <w:rFonts w:ascii="Tahoma" w:hAnsi="Tahoma" w:cs="Tahoma"/>
          <w:b/>
          <w:i w:val="0"/>
          <w:iCs w:val="0"/>
        </w:rPr>
        <w:t>zásadní připomínky</w:t>
      </w:r>
      <w:r w:rsidRPr="000C6699">
        <w:rPr>
          <w:rFonts w:ascii="Tahoma" w:hAnsi="Tahoma" w:cs="Tahoma"/>
          <w:bCs/>
          <w:i w:val="0"/>
          <w:iCs w:val="0"/>
        </w:rPr>
        <w:t>, kter</w:t>
      </w:r>
      <w:r>
        <w:rPr>
          <w:rFonts w:ascii="Tahoma" w:hAnsi="Tahoma" w:cs="Tahoma"/>
          <w:bCs/>
          <w:i w:val="0"/>
          <w:iCs w:val="0"/>
        </w:rPr>
        <w:t>é</w:t>
      </w:r>
      <w:r w:rsidRPr="000C6699">
        <w:rPr>
          <w:rFonts w:ascii="Tahoma" w:hAnsi="Tahoma" w:cs="Tahoma"/>
          <w:bCs/>
          <w:i w:val="0"/>
          <w:iCs w:val="0"/>
        </w:rPr>
        <w:t xml:space="preserve"> j</w:t>
      </w:r>
      <w:r>
        <w:rPr>
          <w:rFonts w:ascii="Tahoma" w:hAnsi="Tahoma" w:cs="Tahoma"/>
          <w:bCs/>
          <w:i w:val="0"/>
          <w:iCs w:val="0"/>
        </w:rPr>
        <w:t>sou</w:t>
      </w:r>
      <w:r w:rsidRPr="000C6699">
        <w:rPr>
          <w:rFonts w:ascii="Tahoma" w:hAnsi="Tahoma" w:cs="Tahoma"/>
          <w:bCs/>
          <w:i w:val="0"/>
          <w:iCs w:val="0"/>
        </w:rPr>
        <w:t xml:space="preserve"> </w:t>
      </w:r>
      <w:r>
        <w:rPr>
          <w:rFonts w:ascii="Tahoma" w:hAnsi="Tahoma" w:cs="Tahoma"/>
          <w:i w:val="0"/>
          <w:iCs w:val="0"/>
        </w:rPr>
        <w:t xml:space="preserve">uvedeny </w:t>
      </w:r>
      <w:r w:rsidRPr="00E03024">
        <w:rPr>
          <w:rFonts w:ascii="Tahoma" w:hAnsi="Tahoma" w:cs="Tahoma"/>
          <w:i w:val="0"/>
          <w:iCs w:val="0"/>
        </w:rPr>
        <w:t>v příloze tohoto dopisu.</w:t>
      </w:r>
    </w:p>
    <w:p w14:paraId="10545550" w14:textId="77777777" w:rsidR="00D84CC7" w:rsidRDefault="00D84CC7" w:rsidP="00D84CC7">
      <w:pPr>
        <w:spacing w:line="360" w:lineRule="auto"/>
        <w:jc w:val="both"/>
      </w:pPr>
    </w:p>
    <w:p w14:paraId="0E59A2ED" w14:textId="77777777" w:rsidR="00D84CC7" w:rsidRDefault="00D84CC7" w:rsidP="00D84CC7">
      <w:pPr>
        <w:spacing w:line="360" w:lineRule="auto"/>
        <w:jc w:val="both"/>
      </w:pPr>
      <w:r>
        <w:t>S pozdravem</w:t>
      </w:r>
    </w:p>
    <w:p w14:paraId="1FCC0ECE" w14:textId="77777777" w:rsidR="00D84CC7" w:rsidRDefault="00D84CC7" w:rsidP="00D84CC7">
      <w:pPr>
        <w:pStyle w:val="KUMS-text"/>
        <w:rPr>
          <w:sz w:val="18"/>
          <w:szCs w:val="18"/>
        </w:rPr>
      </w:pPr>
    </w:p>
    <w:p w14:paraId="7260AADB" w14:textId="77777777" w:rsidR="00D84CC7" w:rsidRDefault="00D84CC7" w:rsidP="00D84CC7">
      <w:pPr>
        <w:pStyle w:val="KUMS-text"/>
        <w:rPr>
          <w:sz w:val="18"/>
          <w:szCs w:val="18"/>
        </w:rPr>
      </w:pPr>
    </w:p>
    <w:p w14:paraId="01879257" w14:textId="77777777" w:rsidR="00D84CC7" w:rsidRPr="00EF4666" w:rsidRDefault="00D84CC7" w:rsidP="00D84CC7">
      <w:pPr>
        <w:pStyle w:val="KUMS-jmnoafunkce"/>
      </w:pPr>
      <w:r w:rsidRPr="00EF4666">
        <w:t>Ing. Josef Bělica, MBA</w:t>
      </w:r>
    </w:p>
    <w:p w14:paraId="4905D3F8" w14:textId="77777777" w:rsidR="00D84CC7" w:rsidRPr="00A6138B" w:rsidRDefault="00D84CC7" w:rsidP="00D84CC7">
      <w:pPr>
        <w:pStyle w:val="KUMS-jmnoafunkce"/>
      </w:pPr>
      <w:r>
        <w:t>hejtman kraje</w:t>
      </w:r>
    </w:p>
    <w:p w14:paraId="7FA1AC0E" w14:textId="77777777" w:rsidR="00D84CC7" w:rsidRDefault="00D84CC7" w:rsidP="00D84CC7">
      <w:pPr>
        <w:spacing w:line="360" w:lineRule="auto"/>
        <w:jc w:val="both"/>
        <w:rPr>
          <w:u w:val="single"/>
        </w:rPr>
      </w:pPr>
    </w:p>
    <w:p w14:paraId="78528E04" w14:textId="77777777" w:rsidR="00D84CC7" w:rsidRPr="00D102F3" w:rsidRDefault="00D84CC7" w:rsidP="00D84CC7">
      <w:pPr>
        <w:spacing w:line="360" w:lineRule="auto"/>
        <w:jc w:val="both"/>
        <w:rPr>
          <w:u w:val="single"/>
        </w:rPr>
      </w:pPr>
      <w:r w:rsidRPr="00D102F3">
        <w:rPr>
          <w:u w:val="single"/>
        </w:rPr>
        <w:t>Příloha</w:t>
      </w:r>
    </w:p>
    <w:p w14:paraId="121F3641" w14:textId="77777777" w:rsidR="00D84CC7" w:rsidRDefault="00D84CC7" w:rsidP="00D84CC7">
      <w:pPr>
        <w:pStyle w:val="FormtovanvHTML"/>
        <w:spacing w:line="360" w:lineRule="auto"/>
        <w:jc w:val="both"/>
        <w:rPr>
          <w:rFonts w:ascii="Tahoma" w:hAnsi="Tahoma" w:cs="Tahoma"/>
          <w:i w:val="0"/>
          <w:iCs w:val="0"/>
        </w:rPr>
      </w:pPr>
    </w:p>
    <w:p w14:paraId="52710666" w14:textId="77777777" w:rsidR="00D84CC7" w:rsidRPr="00E41849" w:rsidRDefault="00D84CC7" w:rsidP="00E41849">
      <w:pPr>
        <w:pStyle w:val="FormtovanvHTML"/>
        <w:spacing w:line="360" w:lineRule="auto"/>
        <w:jc w:val="both"/>
        <w:rPr>
          <w:rFonts w:ascii="Tahoma" w:hAnsi="Tahoma" w:cs="Tahoma"/>
          <w:i w:val="0"/>
          <w:iCs w:val="0"/>
        </w:rPr>
      </w:pPr>
    </w:p>
    <w:p w14:paraId="4B8D2787" w14:textId="77777777" w:rsidR="00D84CC7" w:rsidRPr="00E41849" w:rsidRDefault="00D84CC7" w:rsidP="00E41849">
      <w:pPr>
        <w:pStyle w:val="FormtovanvHTML"/>
        <w:spacing w:line="360" w:lineRule="auto"/>
        <w:jc w:val="both"/>
        <w:rPr>
          <w:rFonts w:ascii="Tahoma" w:hAnsi="Tahoma" w:cs="Tahoma"/>
          <w:i w:val="0"/>
          <w:iCs w:val="0"/>
        </w:rPr>
      </w:pPr>
    </w:p>
    <w:p w14:paraId="01324AAD" w14:textId="77777777" w:rsidR="00D84CC7" w:rsidRDefault="00D84CC7" w:rsidP="00D84CC7"/>
    <w:p w14:paraId="01678028" w14:textId="77777777" w:rsidR="00D84CC7" w:rsidRDefault="00D84CC7" w:rsidP="00D84CC7"/>
    <w:p w14:paraId="7AAC1F93" w14:textId="77777777" w:rsidR="00D84CC7" w:rsidRDefault="00D84CC7" w:rsidP="00D84CC7"/>
    <w:p w14:paraId="384433B6" w14:textId="77777777" w:rsidR="00D84CC7" w:rsidRDefault="00D84CC7" w:rsidP="00D84CC7"/>
    <w:p w14:paraId="2B80AE9A" w14:textId="77777777" w:rsidR="00D84CC7" w:rsidRDefault="00D84CC7" w:rsidP="00D84CC7"/>
    <w:p w14:paraId="02B7097D" w14:textId="77777777" w:rsidR="00D84CC7" w:rsidRDefault="00D84CC7" w:rsidP="00D84CC7"/>
    <w:p w14:paraId="42F3B516" w14:textId="77777777" w:rsidR="00D84CC7" w:rsidRDefault="00D84CC7" w:rsidP="00D84CC7"/>
    <w:p w14:paraId="566A9DEC" w14:textId="77777777" w:rsidR="00A95994" w:rsidRDefault="00A95994" w:rsidP="00D84CC7"/>
    <w:p w14:paraId="562FDBEB" w14:textId="77777777" w:rsidR="00A95994" w:rsidRDefault="00A95994" w:rsidP="00D84CC7"/>
    <w:p w14:paraId="1A76DB13" w14:textId="77777777" w:rsidR="00D84CC7" w:rsidRPr="00C17FF9" w:rsidRDefault="00D84CC7" w:rsidP="00D84CC7"/>
    <w:p w14:paraId="5CBF165B" w14:textId="77777777" w:rsidR="00D84CC7" w:rsidRDefault="00D84CC7" w:rsidP="00D84CC7">
      <w:pPr>
        <w:pStyle w:val="Nzev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lastRenderedPageBreak/>
        <w:t>Příloha</w:t>
      </w:r>
    </w:p>
    <w:p w14:paraId="29C99294" w14:textId="77777777" w:rsidR="00D84CC7" w:rsidRDefault="00D84CC7" w:rsidP="00D84CC7">
      <w:pPr>
        <w:pStyle w:val="Nzev"/>
        <w:rPr>
          <w:caps/>
          <w:sz w:val="36"/>
          <w:szCs w:val="36"/>
        </w:rPr>
      </w:pPr>
    </w:p>
    <w:p w14:paraId="3508F25C" w14:textId="77777777" w:rsidR="00D84CC7" w:rsidRDefault="00D84CC7" w:rsidP="00D84CC7">
      <w:pPr>
        <w:pStyle w:val="Nzev"/>
        <w:rPr>
          <w:caps/>
          <w:sz w:val="36"/>
          <w:szCs w:val="36"/>
        </w:rPr>
      </w:pPr>
      <w:r>
        <w:rPr>
          <w:caps/>
          <w:sz w:val="36"/>
          <w:szCs w:val="36"/>
        </w:rPr>
        <w:t>Moravskoslezský kraj</w:t>
      </w:r>
    </w:p>
    <w:p w14:paraId="33468EE9" w14:textId="77777777" w:rsidR="00D84CC7" w:rsidRDefault="00D84CC7" w:rsidP="00D84CC7">
      <w:pPr>
        <w:pStyle w:val="Zkladntextodsazen2"/>
        <w:spacing w:after="0" w:line="240" w:lineRule="auto"/>
        <w:ind w:left="0"/>
        <w:jc w:val="center"/>
        <w:rPr>
          <w:b/>
          <w:bCs/>
          <w:sz w:val="26"/>
          <w:szCs w:val="26"/>
        </w:rPr>
      </w:pPr>
    </w:p>
    <w:p w14:paraId="34E5522B" w14:textId="77777777" w:rsidR="00D84CC7" w:rsidRDefault="00D84CC7" w:rsidP="00D84CC7">
      <w:pPr>
        <w:pStyle w:val="Zkladntextodsazen2"/>
        <w:spacing w:after="0" w:line="240" w:lineRule="auto"/>
        <w:ind w:left="0"/>
        <w:jc w:val="center"/>
        <w:rPr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Stanovisko</w:t>
      </w:r>
    </w:p>
    <w:p w14:paraId="4C47110F" w14:textId="3AAC2EC5" w:rsidR="001A62BF" w:rsidRDefault="00D84CC7" w:rsidP="00DF5D07">
      <w:pPr>
        <w:pStyle w:val="KUMS-text"/>
        <w:spacing w:after="0"/>
        <w:jc w:val="center"/>
        <w:rPr>
          <w:b/>
          <w:bCs/>
        </w:rPr>
      </w:pPr>
      <w:r>
        <w:rPr>
          <w:b/>
          <w:bCs/>
        </w:rPr>
        <w:t>k </w:t>
      </w:r>
      <w:r w:rsidRPr="00FE4FD4">
        <w:rPr>
          <w:b/>
          <w:bCs/>
        </w:rPr>
        <w:t xml:space="preserve">návrhu </w:t>
      </w:r>
      <w:r w:rsidR="00E41849" w:rsidRPr="00E41849">
        <w:rPr>
          <w:b/>
          <w:bCs/>
        </w:rPr>
        <w:t xml:space="preserve">zákona, kterým se mění zákon č. 243/2000 Sb., o rozpočtovém určení výnosů </w:t>
      </w:r>
    </w:p>
    <w:p w14:paraId="66291A82" w14:textId="0CCA69BC" w:rsidR="00E41849" w:rsidRDefault="00E41849" w:rsidP="00D84CC7">
      <w:pPr>
        <w:pStyle w:val="KUMS-text"/>
        <w:spacing w:after="0"/>
        <w:jc w:val="center"/>
        <w:rPr>
          <w:b/>
          <w:bCs/>
        </w:rPr>
      </w:pPr>
      <w:r w:rsidRPr="00E41849">
        <w:rPr>
          <w:b/>
          <w:bCs/>
        </w:rPr>
        <w:t xml:space="preserve">některých daní územním samosprávným celkům a některým státním fondům </w:t>
      </w:r>
    </w:p>
    <w:p w14:paraId="39FD0528" w14:textId="77777777" w:rsidR="00E41849" w:rsidRDefault="00E41849" w:rsidP="00D84CC7">
      <w:pPr>
        <w:pStyle w:val="KUMS-text"/>
        <w:spacing w:after="0"/>
        <w:jc w:val="center"/>
        <w:rPr>
          <w:b/>
          <w:bCs/>
        </w:rPr>
      </w:pPr>
      <w:r w:rsidRPr="00E41849">
        <w:rPr>
          <w:b/>
          <w:bCs/>
        </w:rPr>
        <w:t xml:space="preserve">(zákon o rozpočtovém určení daní), </w:t>
      </w:r>
    </w:p>
    <w:p w14:paraId="5C8E0713" w14:textId="51EADBBF" w:rsidR="00D84CC7" w:rsidRPr="00600754" w:rsidRDefault="00E41849" w:rsidP="00D84CC7">
      <w:pPr>
        <w:pStyle w:val="KUMS-text"/>
        <w:spacing w:after="0"/>
        <w:jc w:val="center"/>
        <w:rPr>
          <w:b/>
          <w:bCs/>
        </w:rPr>
      </w:pPr>
      <w:r w:rsidRPr="00E41849">
        <w:rPr>
          <w:b/>
          <w:bCs/>
        </w:rPr>
        <w:t>ve znění pozdějších předpisů</w:t>
      </w:r>
    </w:p>
    <w:p w14:paraId="4FB23A5E" w14:textId="77777777" w:rsidR="00D84CC7" w:rsidRDefault="00D84CC7" w:rsidP="00D84CC7">
      <w:pPr>
        <w:pBdr>
          <w:bottom w:val="single" w:sz="6" w:space="1" w:color="auto"/>
        </w:pBdr>
        <w:jc w:val="center"/>
        <w:rPr>
          <w:b/>
          <w:bCs/>
        </w:rPr>
      </w:pPr>
    </w:p>
    <w:p w14:paraId="03761985" w14:textId="77777777" w:rsidR="00D84CC7" w:rsidRDefault="00D84CC7" w:rsidP="00D84CC7">
      <w:pPr>
        <w:autoSpaceDE w:val="0"/>
        <w:autoSpaceDN w:val="0"/>
        <w:adjustRightInd w:val="0"/>
        <w:spacing w:line="280" w:lineRule="exact"/>
        <w:jc w:val="both"/>
      </w:pPr>
    </w:p>
    <w:p w14:paraId="64BDAFF9" w14:textId="77777777" w:rsidR="00D84CC7" w:rsidRDefault="00D84CC7" w:rsidP="00D84CC7">
      <w:pPr>
        <w:pStyle w:val="KUMS-text"/>
        <w:spacing w:after="0"/>
        <w:rPr>
          <w:b/>
          <w:spacing w:val="20"/>
          <w:sz w:val="22"/>
          <w:szCs w:val="22"/>
        </w:rPr>
      </w:pPr>
    </w:p>
    <w:p w14:paraId="5C14C72F" w14:textId="38A477EB" w:rsidR="00D84CC7" w:rsidRDefault="00D84CC7" w:rsidP="00D84CC7">
      <w:pPr>
        <w:pStyle w:val="KUMS-text"/>
        <w:spacing w:after="240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Zásadní </w:t>
      </w:r>
      <w:r w:rsidRPr="0057287E">
        <w:rPr>
          <w:b/>
          <w:spacing w:val="20"/>
          <w:sz w:val="22"/>
          <w:szCs w:val="22"/>
        </w:rPr>
        <w:t>připomínk</w:t>
      </w:r>
      <w:r>
        <w:rPr>
          <w:b/>
          <w:spacing w:val="20"/>
          <w:sz w:val="22"/>
          <w:szCs w:val="22"/>
        </w:rPr>
        <w:t>y</w:t>
      </w:r>
      <w:r w:rsidR="00B8789E">
        <w:rPr>
          <w:b/>
          <w:spacing w:val="20"/>
          <w:sz w:val="22"/>
          <w:szCs w:val="22"/>
        </w:rPr>
        <w:t xml:space="preserve"> obecné</w:t>
      </w:r>
    </w:p>
    <w:p w14:paraId="242A4D36" w14:textId="0E342D22" w:rsidR="00D84CC7" w:rsidRPr="00C62617" w:rsidRDefault="00EA706E" w:rsidP="00D84CC7">
      <w:pPr>
        <w:spacing w:line="280" w:lineRule="exact"/>
        <w:jc w:val="both"/>
        <w:rPr>
          <w:b/>
        </w:rPr>
      </w:pPr>
      <w:r>
        <w:rPr>
          <w:b/>
        </w:rPr>
        <w:t xml:space="preserve">1. </w:t>
      </w:r>
      <w:r w:rsidR="00267BFB">
        <w:rPr>
          <w:b/>
        </w:rPr>
        <w:t>OBECNÁ</w:t>
      </w:r>
      <w:r w:rsidR="00D84CC7" w:rsidRPr="00C62617">
        <w:rPr>
          <w:b/>
        </w:rPr>
        <w:t xml:space="preserve"> ZÁSADNÍ PŘIPOMÍNKA</w:t>
      </w:r>
    </w:p>
    <w:p w14:paraId="2A3832D2" w14:textId="450E2790" w:rsidR="00EA706E" w:rsidRPr="00EA706E" w:rsidRDefault="00EA706E" w:rsidP="00EA706E">
      <w:pPr>
        <w:spacing w:line="280" w:lineRule="exact"/>
        <w:jc w:val="both"/>
      </w:pPr>
      <w:r w:rsidRPr="00EA706E">
        <w:t>Celý návrh</w:t>
      </w:r>
      <w:r>
        <w:t xml:space="preserve"> </w:t>
      </w:r>
      <w:r w:rsidRPr="00EA706E">
        <w:t>zákona, kterým se mění zákon č. 243/2000 Sb., o rozpočtovém určení výnosů některých daní územním samosprávným celkům a některým státním fondům (zákon o rozpočtovém určení daní), ve znění pozdějších předpisů</w:t>
      </w:r>
      <w:r>
        <w:t xml:space="preserve"> (dále též jen „</w:t>
      </w:r>
      <w:r w:rsidR="00214860">
        <w:t xml:space="preserve">návrh zákona o </w:t>
      </w:r>
      <w:r w:rsidRPr="00EA706E">
        <w:t>RUD</w:t>
      </w:r>
      <w:r>
        <w:t>“)</w:t>
      </w:r>
      <w:r w:rsidRPr="00EA706E">
        <w:t xml:space="preserve"> se jeví jako </w:t>
      </w:r>
      <w:r w:rsidRPr="00EA706E">
        <w:rPr>
          <w:b/>
          <w:bCs/>
        </w:rPr>
        <w:t>politické rozhodnutí</w:t>
      </w:r>
      <w:r w:rsidRPr="00EA706E">
        <w:t xml:space="preserve"> bez respektování současných ekonomických souvislostí a dalšího efektivního směrování rozvoje krajů, což může v budoucnu </w:t>
      </w:r>
      <w:r w:rsidR="00311024">
        <w:t>znamenat</w:t>
      </w:r>
      <w:r w:rsidRPr="00EA706E">
        <w:t xml:space="preserve"> vznik výrazných meziregionálních rozdílů, neboť krajům, které dnes vykazují nižší výkonnost v souvislosti s dlouhodobým řešením dopadů strukturálních změn, nový návrh RUD poskytuje zdroje v menší míře, než jiným krajům a nůžky rozdílů zdrojů v přepočtu na obyvatele se tak mezi kraji více rozevírají. </w:t>
      </w:r>
    </w:p>
    <w:p w14:paraId="49027157" w14:textId="77777777" w:rsidR="00EA706E" w:rsidRDefault="00EA706E" w:rsidP="00EA706E">
      <w:pPr>
        <w:spacing w:line="280" w:lineRule="exact"/>
        <w:jc w:val="both"/>
        <w:rPr>
          <w:b/>
        </w:rPr>
      </w:pPr>
    </w:p>
    <w:p w14:paraId="22801939" w14:textId="77777777" w:rsidR="00902D2E" w:rsidRPr="00EA706E" w:rsidRDefault="00902D2E" w:rsidP="00EA706E">
      <w:pPr>
        <w:spacing w:line="280" w:lineRule="exact"/>
        <w:jc w:val="both"/>
        <w:rPr>
          <w:b/>
        </w:rPr>
      </w:pPr>
    </w:p>
    <w:p w14:paraId="65E51850" w14:textId="47337F8D" w:rsidR="00D21A9C" w:rsidRPr="00C62617" w:rsidRDefault="00D21A9C" w:rsidP="00D21A9C">
      <w:pPr>
        <w:spacing w:line="280" w:lineRule="exact"/>
        <w:jc w:val="both"/>
        <w:rPr>
          <w:b/>
        </w:rPr>
      </w:pPr>
      <w:r>
        <w:rPr>
          <w:b/>
        </w:rPr>
        <w:t>2. OBECNÁ</w:t>
      </w:r>
      <w:r w:rsidRPr="00C62617">
        <w:rPr>
          <w:b/>
        </w:rPr>
        <w:t xml:space="preserve"> ZÁSADNÍ PŘIPOMÍNKA</w:t>
      </w:r>
    </w:p>
    <w:p w14:paraId="3479531F" w14:textId="6E272898" w:rsidR="00EA706E" w:rsidRPr="00EA706E" w:rsidRDefault="00EA706E" w:rsidP="00EA706E">
      <w:pPr>
        <w:spacing w:line="280" w:lineRule="exact"/>
        <w:jc w:val="both"/>
      </w:pPr>
      <w:r w:rsidRPr="00EA706E">
        <w:t xml:space="preserve">Důvodová zpráva k návrhu zákona o RUD </w:t>
      </w:r>
      <w:r w:rsidRPr="00EA706E">
        <w:rPr>
          <w:b/>
          <w:bCs/>
        </w:rPr>
        <w:t>neobsahuje ekonomické zdůvodnění použitých kritérií a jejich vah</w:t>
      </w:r>
      <w:r w:rsidRPr="00EA706E">
        <w:t>. Odůvodnění principů je provedeno „dohodou většiny krajů“. Není tak provedeno srovnání s reálnými podmínkami hospodaření krajů. Tato analýza by ukázala na nevhodné druhy použitých kritérií a jejich vah, kdy</w:t>
      </w:r>
      <w:r w:rsidR="00902D2E">
        <w:t> </w:t>
      </w:r>
      <w:r w:rsidRPr="00EA706E">
        <w:t>je</w:t>
      </w:r>
      <w:r w:rsidR="003B2159">
        <w:t> </w:t>
      </w:r>
      <w:r w:rsidRPr="00EA706E">
        <w:t>nutno spojit navrhovaná kritéria a jejich váhy s konkrétními podmínkami hospodaření krajů a</w:t>
      </w:r>
      <w:r w:rsidR="003B2159">
        <w:t> </w:t>
      </w:r>
      <w:r w:rsidRPr="00EA706E">
        <w:t xml:space="preserve">s objektivními rozdíly mezi kraji, které existují. </w:t>
      </w:r>
    </w:p>
    <w:p w14:paraId="2D76A760" w14:textId="77777777" w:rsidR="00EA706E" w:rsidRPr="00EA706E" w:rsidRDefault="00EA706E" w:rsidP="00EA706E">
      <w:pPr>
        <w:spacing w:line="280" w:lineRule="exact"/>
        <w:jc w:val="both"/>
      </w:pPr>
    </w:p>
    <w:p w14:paraId="3BFFE2EB" w14:textId="77777777" w:rsidR="00EA706E" w:rsidRPr="00EA706E" w:rsidRDefault="00EA706E" w:rsidP="00EA706E">
      <w:pPr>
        <w:spacing w:line="280" w:lineRule="exact"/>
        <w:jc w:val="both"/>
      </w:pPr>
    </w:p>
    <w:p w14:paraId="0EAE0641" w14:textId="77813901" w:rsidR="00902D2E" w:rsidRPr="00C62617" w:rsidRDefault="00902D2E" w:rsidP="00902D2E">
      <w:pPr>
        <w:spacing w:line="280" w:lineRule="exact"/>
        <w:jc w:val="both"/>
        <w:rPr>
          <w:b/>
        </w:rPr>
      </w:pPr>
      <w:r>
        <w:rPr>
          <w:b/>
        </w:rPr>
        <w:t>3. OBECNÁ</w:t>
      </w:r>
      <w:r w:rsidRPr="00C62617">
        <w:rPr>
          <w:b/>
        </w:rPr>
        <w:t xml:space="preserve"> ZÁSADNÍ PŘIPOMÍNKA</w:t>
      </w:r>
    </w:p>
    <w:p w14:paraId="2BF4AD33" w14:textId="007A3B9D" w:rsidR="00EA706E" w:rsidRPr="00EA706E" w:rsidRDefault="00EA706E" w:rsidP="00EA706E">
      <w:pPr>
        <w:spacing w:line="280" w:lineRule="exact"/>
        <w:jc w:val="both"/>
      </w:pPr>
      <w:r w:rsidRPr="00EA706E">
        <w:t>Schválený návrh Rady Asociace krajů Č</w:t>
      </w:r>
      <w:r w:rsidR="00902D2E">
        <w:t>eské republiky</w:t>
      </w:r>
      <w:r w:rsidR="00E54DD4">
        <w:t xml:space="preserve"> ze</w:t>
      </w:r>
      <w:r w:rsidRPr="00EA706E">
        <w:t xml:space="preserve"> dne 14. 3. 2024 pracoval s postupným </w:t>
      </w:r>
      <w:r w:rsidR="00E54DD4">
        <w:t>„</w:t>
      </w:r>
      <w:r w:rsidRPr="00EA706E">
        <w:t>dolitím</w:t>
      </w:r>
      <w:r w:rsidR="00E54DD4">
        <w:t>“</w:t>
      </w:r>
      <w:r w:rsidRPr="00EA706E">
        <w:t xml:space="preserve"> 10</w:t>
      </w:r>
      <w:r w:rsidR="003B2159">
        <w:t> </w:t>
      </w:r>
      <w:r w:rsidRPr="00EA706E">
        <w:t>mld.</w:t>
      </w:r>
      <w:r w:rsidR="00E54DD4">
        <w:t> </w:t>
      </w:r>
      <w:r w:rsidRPr="00EA706E">
        <w:t>Kč. V návrhu zákona o RUD je však již počítáno s celkovou částkou 11,3 mld. Kč, z toho v roce 2025 ve</w:t>
      </w:r>
      <w:r w:rsidR="003B2159">
        <w:t> </w:t>
      </w:r>
      <w:r w:rsidRPr="00EA706E">
        <w:t xml:space="preserve">výši 7,3 mld. Kč, tedy </w:t>
      </w:r>
      <w:r w:rsidRPr="00EA706E">
        <w:rPr>
          <w:b/>
          <w:bCs/>
        </w:rPr>
        <w:t>o 1,3 mld. Kč více</w:t>
      </w:r>
      <w:r w:rsidRPr="00EA706E">
        <w:t xml:space="preserve">, než bylo původně plánováno. Není zdůvodněno, kde státní rozpočet získá v době konsolidace veřejných financí navíc pro kraje tuto částku. </w:t>
      </w:r>
    </w:p>
    <w:p w14:paraId="64A5447C" w14:textId="77777777" w:rsidR="00EA706E" w:rsidRPr="00EA706E" w:rsidRDefault="00EA706E" w:rsidP="00EA706E">
      <w:pPr>
        <w:spacing w:line="280" w:lineRule="exact"/>
        <w:jc w:val="both"/>
      </w:pPr>
      <w:r w:rsidRPr="00EA706E">
        <w:t xml:space="preserve"> </w:t>
      </w:r>
    </w:p>
    <w:p w14:paraId="33412369" w14:textId="77777777" w:rsidR="00EA706E" w:rsidRDefault="00EA706E" w:rsidP="00EA706E">
      <w:pPr>
        <w:spacing w:line="280" w:lineRule="exact"/>
        <w:jc w:val="both"/>
      </w:pPr>
    </w:p>
    <w:p w14:paraId="742780D2" w14:textId="77777777" w:rsidR="00B8789E" w:rsidRDefault="00B8789E" w:rsidP="00B8789E">
      <w:pPr>
        <w:pStyle w:val="KUMS-text"/>
        <w:spacing w:after="240"/>
        <w:rPr>
          <w:b/>
          <w:spacing w:val="20"/>
          <w:sz w:val="22"/>
          <w:szCs w:val="22"/>
        </w:rPr>
      </w:pPr>
    </w:p>
    <w:p w14:paraId="71E83C84" w14:textId="77777777" w:rsidR="00B8789E" w:rsidRDefault="00B8789E" w:rsidP="00B8789E">
      <w:pPr>
        <w:pStyle w:val="KUMS-text"/>
        <w:spacing w:after="240"/>
        <w:rPr>
          <w:b/>
          <w:spacing w:val="20"/>
          <w:sz w:val="22"/>
          <w:szCs w:val="22"/>
        </w:rPr>
      </w:pPr>
    </w:p>
    <w:p w14:paraId="79A2479F" w14:textId="77777777" w:rsidR="00B8789E" w:rsidRDefault="00B8789E" w:rsidP="00B8789E">
      <w:pPr>
        <w:pStyle w:val="KUMS-text"/>
        <w:spacing w:after="240"/>
        <w:rPr>
          <w:b/>
          <w:spacing w:val="20"/>
          <w:sz w:val="22"/>
          <w:szCs w:val="22"/>
        </w:rPr>
      </w:pPr>
    </w:p>
    <w:p w14:paraId="6BCC402C" w14:textId="756688FD" w:rsidR="00B8789E" w:rsidRDefault="00B8789E" w:rsidP="00B8789E">
      <w:pPr>
        <w:pStyle w:val="KUMS-text"/>
        <w:spacing w:after="240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lastRenderedPageBreak/>
        <w:t xml:space="preserve">Zásadní </w:t>
      </w:r>
      <w:r w:rsidRPr="0057287E">
        <w:rPr>
          <w:b/>
          <w:spacing w:val="20"/>
          <w:sz w:val="22"/>
          <w:szCs w:val="22"/>
        </w:rPr>
        <w:t>připomínk</w:t>
      </w:r>
      <w:r>
        <w:rPr>
          <w:b/>
          <w:spacing w:val="20"/>
          <w:sz w:val="22"/>
          <w:szCs w:val="22"/>
        </w:rPr>
        <w:t xml:space="preserve">y </w:t>
      </w:r>
    </w:p>
    <w:p w14:paraId="5F68DCCE" w14:textId="7144198F" w:rsidR="00B8789E" w:rsidRPr="00C62617" w:rsidRDefault="00B8789E" w:rsidP="00B8789E">
      <w:pPr>
        <w:spacing w:line="280" w:lineRule="exact"/>
        <w:jc w:val="both"/>
        <w:rPr>
          <w:b/>
        </w:rPr>
      </w:pPr>
      <w:r>
        <w:rPr>
          <w:b/>
        </w:rPr>
        <w:t xml:space="preserve">1. </w:t>
      </w:r>
      <w:r w:rsidRPr="00C62617">
        <w:rPr>
          <w:b/>
        </w:rPr>
        <w:t>ZÁSADNÍ PŘIPOMÍNKA</w:t>
      </w:r>
    </w:p>
    <w:p w14:paraId="25046D57" w14:textId="70636AB2" w:rsidR="00EA706E" w:rsidRPr="00B8789E" w:rsidRDefault="00EA706E" w:rsidP="00EA706E">
      <w:pPr>
        <w:spacing w:line="280" w:lineRule="exact"/>
        <w:jc w:val="both"/>
        <w:rPr>
          <w:b/>
        </w:rPr>
      </w:pPr>
      <w:r w:rsidRPr="00B8789E">
        <w:rPr>
          <w:b/>
        </w:rPr>
        <w:t>K</w:t>
      </w:r>
      <w:r w:rsidR="00F72E4C">
        <w:rPr>
          <w:b/>
        </w:rPr>
        <w:t xml:space="preserve"> principům </w:t>
      </w:r>
      <w:r w:rsidR="006F78E9">
        <w:rPr>
          <w:b/>
        </w:rPr>
        <w:t>návrhu zákona, zejm. k</w:t>
      </w:r>
      <w:r w:rsidRPr="00B8789E">
        <w:rPr>
          <w:b/>
        </w:rPr>
        <w:t xml:space="preserve"> § 3</w:t>
      </w:r>
      <w:r w:rsidR="00B8789E">
        <w:rPr>
          <w:b/>
        </w:rPr>
        <w:t xml:space="preserve"> </w:t>
      </w:r>
      <w:r w:rsidRPr="00B8789E">
        <w:rPr>
          <w:b/>
        </w:rPr>
        <w:t>odst. 2 a 3</w:t>
      </w:r>
    </w:p>
    <w:p w14:paraId="71D1029A" w14:textId="66C2FCD4" w:rsidR="00EA706E" w:rsidRPr="00EA706E" w:rsidRDefault="00EA706E" w:rsidP="00B8789E">
      <w:pPr>
        <w:pStyle w:val="Odstavecseseznamem"/>
        <w:numPr>
          <w:ilvl w:val="0"/>
          <w:numId w:val="1"/>
        </w:numPr>
        <w:spacing w:line="280" w:lineRule="exact"/>
        <w:ind w:left="360"/>
        <w:rPr>
          <w:rFonts w:ascii="Tahoma" w:hAnsi="Tahoma" w:cs="Tahoma"/>
          <w:sz w:val="20"/>
        </w:rPr>
      </w:pPr>
      <w:r w:rsidRPr="00EA706E">
        <w:rPr>
          <w:rFonts w:ascii="Tahoma" w:hAnsi="Tahoma" w:cs="Tahoma"/>
          <w:sz w:val="20"/>
        </w:rPr>
        <w:t xml:space="preserve">Zcela nevhodně je zvoleno kritérium </w:t>
      </w:r>
      <w:r w:rsidRPr="00EA706E">
        <w:rPr>
          <w:rFonts w:ascii="Tahoma" w:hAnsi="Tahoma" w:cs="Tahoma"/>
          <w:b/>
          <w:bCs/>
          <w:sz w:val="20"/>
        </w:rPr>
        <w:t>počet kilometrů silnic v kraji (silnice II. a III. tříd)</w:t>
      </w:r>
      <w:r w:rsidR="00A40A1E" w:rsidRPr="00A40A1E">
        <w:rPr>
          <w:rFonts w:ascii="Tahoma" w:hAnsi="Tahoma" w:cs="Tahoma"/>
          <w:sz w:val="20"/>
        </w:rPr>
        <w:t>,</w:t>
      </w:r>
      <w:r w:rsidRPr="00EA706E">
        <w:rPr>
          <w:rFonts w:ascii="Tahoma" w:hAnsi="Tahoma" w:cs="Tahoma"/>
          <w:b/>
          <w:bCs/>
          <w:sz w:val="20"/>
        </w:rPr>
        <w:t xml:space="preserve"> </w:t>
      </w:r>
      <w:r w:rsidRPr="00EA706E">
        <w:rPr>
          <w:rFonts w:ascii="Tahoma" w:hAnsi="Tahoma" w:cs="Tahoma"/>
          <w:sz w:val="20"/>
        </w:rPr>
        <w:t xml:space="preserve">pomocí kterého jsou prostředky rozdělovány jen podle délky, tedy na základě dvouproudových silnic a nereflektuje na silnice </w:t>
      </w:r>
      <w:r w:rsidR="00A40A1E">
        <w:rPr>
          <w:rFonts w:ascii="Tahoma" w:hAnsi="Tahoma" w:cs="Tahoma"/>
          <w:sz w:val="20"/>
        </w:rPr>
        <w:t>čtyř</w:t>
      </w:r>
      <w:r w:rsidRPr="00EA706E">
        <w:rPr>
          <w:rFonts w:ascii="Tahoma" w:hAnsi="Tahoma" w:cs="Tahoma"/>
          <w:sz w:val="20"/>
        </w:rPr>
        <w:t>proudové, které jsou v gesci některých krajů. Toto kritérium by mělo být doplněno vzhledem k tomu, že mezi kraji se liší jednak intenzita dopravy (rozdíl intenzit</w:t>
      </w:r>
      <w:r w:rsidR="007F1B1C">
        <w:rPr>
          <w:rFonts w:ascii="Tahoma" w:hAnsi="Tahoma" w:cs="Tahoma"/>
          <w:sz w:val="20"/>
        </w:rPr>
        <w:t>y</w:t>
      </w:r>
      <w:r w:rsidRPr="00EA706E">
        <w:rPr>
          <w:rFonts w:ascii="Tahoma" w:hAnsi="Tahoma" w:cs="Tahoma"/>
          <w:sz w:val="20"/>
        </w:rPr>
        <w:t xml:space="preserve"> dopravy mezi kraji, což je počet vozidel, které se pohybují denně na 1 km silnic v kraji je až 2,3 násobný), liší se šířka silnic (šířka silnic je větší např.</w:t>
      </w:r>
      <w:r w:rsidR="007F1B1C">
        <w:rPr>
          <w:rFonts w:ascii="Tahoma" w:hAnsi="Tahoma" w:cs="Tahoma"/>
          <w:sz w:val="20"/>
        </w:rPr>
        <w:t> </w:t>
      </w:r>
      <w:r w:rsidRPr="00EA706E">
        <w:rPr>
          <w:rFonts w:ascii="Tahoma" w:hAnsi="Tahoma" w:cs="Tahoma"/>
          <w:sz w:val="20"/>
        </w:rPr>
        <w:t>u</w:t>
      </w:r>
      <w:r w:rsidR="007F1B1C">
        <w:rPr>
          <w:rFonts w:ascii="Tahoma" w:hAnsi="Tahoma" w:cs="Tahoma"/>
          <w:sz w:val="20"/>
        </w:rPr>
        <w:t> </w:t>
      </w:r>
      <w:r w:rsidRPr="00EA706E">
        <w:rPr>
          <w:rFonts w:ascii="Tahoma" w:hAnsi="Tahoma" w:cs="Tahoma"/>
          <w:sz w:val="20"/>
        </w:rPr>
        <w:t>krajů, kde krajské silnice  mají více pruhů, přičemž do celkové délky se započítává jen jeden pruh; průměrná šířka silnic se liší mezi kraji až o 20 %) a dále se liší rozsah mostů na těchto silnicích (vyjádřeno plochou mostů mezi kraji na 1 km se tato hodnota mezi kraji liší až 4,7 krát</w:t>
      </w:r>
      <w:r w:rsidR="007F1B1C">
        <w:rPr>
          <w:rFonts w:ascii="Tahoma" w:hAnsi="Tahoma" w:cs="Tahoma"/>
          <w:sz w:val="20"/>
        </w:rPr>
        <w:t>)</w:t>
      </w:r>
      <w:r w:rsidRPr="00EA706E">
        <w:rPr>
          <w:rFonts w:ascii="Tahoma" w:hAnsi="Tahoma" w:cs="Tahoma"/>
          <w:sz w:val="20"/>
        </w:rPr>
        <w:t>.</w:t>
      </w:r>
    </w:p>
    <w:p w14:paraId="7A5DC980" w14:textId="77777777" w:rsidR="00EA706E" w:rsidRPr="00EA706E" w:rsidRDefault="00EA706E" w:rsidP="00B8789E">
      <w:pPr>
        <w:spacing w:line="280" w:lineRule="exact"/>
        <w:jc w:val="both"/>
      </w:pPr>
    </w:p>
    <w:p w14:paraId="7B082191" w14:textId="77777777" w:rsidR="00EA706E" w:rsidRPr="00EA706E" w:rsidRDefault="00EA706E" w:rsidP="00B8789E">
      <w:pPr>
        <w:pStyle w:val="Odstavecseseznamem"/>
        <w:numPr>
          <w:ilvl w:val="0"/>
          <w:numId w:val="1"/>
        </w:numPr>
        <w:spacing w:line="280" w:lineRule="exact"/>
        <w:ind w:left="360"/>
        <w:rPr>
          <w:rFonts w:ascii="Tahoma" w:hAnsi="Tahoma" w:cs="Tahoma"/>
          <w:sz w:val="20"/>
        </w:rPr>
      </w:pPr>
      <w:r w:rsidRPr="00EA706E">
        <w:rPr>
          <w:rFonts w:ascii="Tahoma" w:hAnsi="Tahoma" w:cs="Tahoma"/>
          <w:b/>
          <w:bCs/>
          <w:sz w:val="20"/>
        </w:rPr>
        <w:t>Počet výjezdových základen zdravotnické záchranné služby</w:t>
      </w:r>
      <w:r w:rsidRPr="00EA706E">
        <w:rPr>
          <w:rFonts w:ascii="Tahoma" w:hAnsi="Tahoma" w:cs="Tahoma"/>
          <w:sz w:val="20"/>
        </w:rPr>
        <w:t xml:space="preserve"> kraje nevypovídá a nepodává žádné relevantní informace týkající se samotných poskytovaných služeb, tedy počtu výjezdů, zásahů či zákroků provedených na území kraje</w:t>
      </w:r>
    </w:p>
    <w:p w14:paraId="01FCB170" w14:textId="77777777" w:rsidR="00EA706E" w:rsidRPr="00EA706E" w:rsidRDefault="00EA706E" w:rsidP="00B8789E">
      <w:pPr>
        <w:pStyle w:val="Odstavecseseznamem"/>
        <w:spacing w:line="280" w:lineRule="exact"/>
        <w:ind w:left="371"/>
        <w:rPr>
          <w:rFonts w:ascii="Tahoma" w:hAnsi="Tahoma" w:cs="Tahoma"/>
          <w:sz w:val="20"/>
        </w:rPr>
      </w:pPr>
    </w:p>
    <w:p w14:paraId="562FCF9B" w14:textId="77777777" w:rsidR="00EA706E" w:rsidRPr="00EA706E" w:rsidRDefault="00EA706E" w:rsidP="00B8789E">
      <w:pPr>
        <w:pStyle w:val="Odstavecseseznamem"/>
        <w:numPr>
          <w:ilvl w:val="0"/>
          <w:numId w:val="1"/>
        </w:numPr>
        <w:spacing w:line="280" w:lineRule="exact"/>
        <w:ind w:left="371"/>
        <w:rPr>
          <w:rFonts w:ascii="Tahoma" w:hAnsi="Tahoma" w:cs="Tahoma"/>
          <w:sz w:val="20"/>
        </w:rPr>
      </w:pPr>
      <w:r w:rsidRPr="00EA706E">
        <w:rPr>
          <w:rFonts w:ascii="Tahoma" w:hAnsi="Tahoma" w:cs="Tahoma"/>
          <w:sz w:val="20"/>
        </w:rPr>
        <w:t xml:space="preserve">Důležitou oblastí činnosti krajů je školství, reprezentované parametrem </w:t>
      </w:r>
      <w:r w:rsidRPr="00EA706E">
        <w:rPr>
          <w:rFonts w:ascii="Tahoma" w:hAnsi="Tahoma" w:cs="Tahoma"/>
          <w:b/>
          <w:bCs/>
          <w:sz w:val="20"/>
        </w:rPr>
        <w:t>počtu dětí, žáků a studentů navštěvujících školu zřizovanou krajem</w:t>
      </w:r>
      <w:r w:rsidRPr="00EA706E">
        <w:rPr>
          <w:rFonts w:ascii="Tahoma" w:hAnsi="Tahoma" w:cs="Tahoma"/>
          <w:sz w:val="20"/>
        </w:rPr>
        <w:t xml:space="preserve">. V návrhu RUD je školství zastoupeno pouze vahou 4 %, což je ve srovnání se skutečnými výdaji krajů na školství méně než třetina (v roce 2022 to bylo 12,5 %). Toto kritérium tak v podstatě podporuje ty kraje, které budou mít počty žáků zejména ve středních školách nižší, protože skutečné výdaje na žáka se pohybují kolem 30 tis. Kč a uvedené kritérium tak „přiznává“ krajům jen asi třetinu této částky. </w:t>
      </w:r>
    </w:p>
    <w:p w14:paraId="033C56D0" w14:textId="77777777" w:rsidR="00EA706E" w:rsidRPr="00EA706E" w:rsidRDefault="00EA706E" w:rsidP="00B8789E">
      <w:pPr>
        <w:spacing w:line="280" w:lineRule="exact"/>
        <w:jc w:val="both"/>
      </w:pPr>
    </w:p>
    <w:p w14:paraId="3CDB2A73" w14:textId="0D08437A" w:rsidR="00EA706E" w:rsidRPr="00EA706E" w:rsidRDefault="00EA706E" w:rsidP="00B8789E">
      <w:pPr>
        <w:pStyle w:val="Odstavecseseznamem"/>
        <w:numPr>
          <w:ilvl w:val="0"/>
          <w:numId w:val="1"/>
        </w:numPr>
        <w:spacing w:line="280" w:lineRule="exact"/>
        <w:ind w:left="371"/>
        <w:rPr>
          <w:rFonts w:ascii="Tahoma" w:hAnsi="Tahoma" w:cs="Tahoma"/>
          <w:sz w:val="20"/>
        </w:rPr>
      </w:pPr>
      <w:r w:rsidRPr="00EA706E">
        <w:rPr>
          <w:rFonts w:ascii="Tahoma" w:hAnsi="Tahoma" w:cs="Tahoma"/>
          <w:sz w:val="20"/>
        </w:rPr>
        <w:t xml:space="preserve">Váha </w:t>
      </w:r>
      <w:r w:rsidRPr="00EA706E">
        <w:rPr>
          <w:rFonts w:ascii="Tahoma" w:hAnsi="Tahoma" w:cs="Tahoma"/>
          <w:b/>
          <w:bCs/>
          <w:sz w:val="20"/>
        </w:rPr>
        <w:t>počtu obyvatel</w:t>
      </w:r>
      <w:r w:rsidRPr="00EA706E">
        <w:rPr>
          <w:rFonts w:ascii="Tahoma" w:hAnsi="Tahoma" w:cs="Tahoma"/>
          <w:sz w:val="20"/>
        </w:rPr>
        <w:t xml:space="preserve"> by měla být výrazně vyšší, neboť je to zejména občan, </w:t>
      </w:r>
      <w:r w:rsidR="00C13E84">
        <w:rPr>
          <w:rFonts w:ascii="Tahoma" w:hAnsi="Tahoma" w:cs="Tahoma"/>
          <w:sz w:val="20"/>
        </w:rPr>
        <w:t>kterému</w:t>
      </w:r>
      <w:r w:rsidRPr="00EA706E">
        <w:rPr>
          <w:rFonts w:ascii="Tahoma" w:hAnsi="Tahoma" w:cs="Tahoma"/>
          <w:sz w:val="20"/>
        </w:rPr>
        <w:t xml:space="preserve"> jsou služby krajů poskytovány a kdy je nutno zajistit služby pro každého </w:t>
      </w:r>
      <w:r w:rsidR="00C13E84">
        <w:rPr>
          <w:rFonts w:ascii="Tahoma" w:hAnsi="Tahoma" w:cs="Tahoma"/>
          <w:sz w:val="20"/>
        </w:rPr>
        <w:t xml:space="preserve">občana </w:t>
      </w:r>
      <w:r w:rsidRPr="00EA706E">
        <w:rPr>
          <w:rFonts w:ascii="Tahoma" w:hAnsi="Tahoma" w:cs="Tahoma"/>
          <w:sz w:val="20"/>
        </w:rPr>
        <w:t>na adekvátní úrovni. Při přepočtu RUD</w:t>
      </w:r>
      <w:r w:rsidR="00376E89">
        <w:rPr>
          <w:rFonts w:ascii="Tahoma" w:hAnsi="Tahoma" w:cs="Tahoma"/>
          <w:sz w:val="20"/>
        </w:rPr>
        <w:t> </w:t>
      </w:r>
      <w:r w:rsidRPr="00EA706E">
        <w:rPr>
          <w:rFonts w:ascii="Tahoma" w:hAnsi="Tahoma" w:cs="Tahoma"/>
          <w:sz w:val="20"/>
        </w:rPr>
        <w:t>na</w:t>
      </w:r>
      <w:r w:rsidR="00C13E84">
        <w:rPr>
          <w:rFonts w:ascii="Tahoma" w:hAnsi="Tahoma" w:cs="Tahoma"/>
          <w:sz w:val="20"/>
        </w:rPr>
        <w:t> </w:t>
      </w:r>
      <w:r w:rsidRPr="00EA706E">
        <w:rPr>
          <w:rFonts w:ascii="Tahoma" w:hAnsi="Tahoma" w:cs="Tahoma"/>
          <w:sz w:val="20"/>
        </w:rPr>
        <w:t>obyvatele dochází k dalšímu rozevírání nůžek (rozdíl bude až dvojnásobný), což je v přímém rozporu s původní deklarací M</w:t>
      </w:r>
      <w:r w:rsidR="00376E89">
        <w:rPr>
          <w:rFonts w:ascii="Tahoma" w:hAnsi="Tahoma" w:cs="Tahoma"/>
          <w:sz w:val="20"/>
        </w:rPr>
        <w:t>inisterstva financí</w:t>
      </w:r>
      <w:r w:rsidRPr="00EA706E">
        <w:rPr>
          <w:rFonts w:ascii="Tahoma" w:hAnsi="Tahoma" w:cs="Tahoma"/>
          <w:sz w:val="20"/>
        </w:rPr>
        <w:t xml:space="preserve"> o potřebě jejich postupného uzavírání. Naopak v rámci Závěrečné zprávy z hodnocení dopadů regulace (RIA) se pak na str. 10 uvádí, že tato nová podoba vyhovuje představám </w:t>
      </w:r>
      <w:r w:rsidR="00376E89" w:rsidRPr="00EA706E">
        <w:rPr>
          <w:rFonts w:ascii="Tahoma" w:hAnsi="Tahoma" w:cs="Tahoma"/>
          <w:sz w:val="20"/>
        </w:rPr>
        <w:t>M</w:t>
      </w:r>
      <w:r w:rsidR="00376E89">
        <w:rPr>
          <w:rFonts w:ascii="Tahoma" w:hAnsi="Tahoma" w:cs="Tahoma"/>
          <w:sz w:val="20"/>
        </w:rPr>
        <w:t>inisterstva financí</w:t>
      </w:r>
      <w:r w:rsidRPr="00EA706E">
        <w:rPr>
          <w:rFonts w:ascii="Tahoma" w:hAnsi="Tahoma" w:cs="Tahoma"/>
          <w:sz w:val="20"/>
        </w:rPr>
        <w:t xml:space="preserve">, což je zcela zarážející. </w:t>
      </w:r>
    </w:p>
    <w:p w14:paraId="3EF86328" w14:textId="77777777" w:rsidR="00EA706E" w:rsidRPr="00EA706E" w:rsidRDefault="00EA706E" w:rsidP="00B8789E">
      <w:pPr>
        <w:pStyle w:val="Odstavecseseznamem"/>
        <w:spacing w:line="280" w:lineRule="exact"/>
        <w:ind w:left="371"/>
        <w:rPr>
          <w:rFonts w:ascii="Tahoma" w:hAnsi="Tahoma" w:cs="Tahoma"/>
          <w:sz w:val="20"/>
        </w:rPr>
      </w:pPr>
    </w:p>
    <w:p w14:paraId="5A00DD28" w14:textId="331837A0" w:rsidR="00EA706E" w:rsidRPr="00EA706E" w:rsidRDefault="00EA706E" w:rsidP="00B8789E">
      <w:pPr>
        <w:pStyle w:val="Odstavecseseznamem"/>
        <w:numPr>
          <w:ilvl w:val="0"/>
          <w:numId w:val="1"/>
        </w:numPr>
        <w:autoSpaceDN w:val="0"/>
        <w:spacing w:line="280" w:lineRule="exact"/>
        <w:ind w:left="371"/>
        <w:rPr>
          <w:rFonts w:ascii="Tahoma" w:hAnsi="Tahoma" w:cs="Tahoma"/>
          <w:sz w:val="20"/>
        </w:rPr>
      </w:pPr>
      <w:r w:rsidRPr="00EA706E">
        <w:rPr>
          <w:rFonts w:ascii="Tahoma" w:hAnsi="Tahoma" w:cs="Tahoma"/>
          <w:sz w:val="20"/>
        </w:rPr>
        <w:t xml:space="preserve">Počet </w:t>
      </w:r>
      <w:r w:rsidRPr="00EA706E">
        <w:rPr>
          <w:rFonts w:ascii="Tahoma" w:hAnsi="Tahoma" w:cs="Tahoma"/>
          <w:b/>
          <w:bCs/>
          <w:sz w:val="20"/>
        </w:rPr>
        <w:t xml:space="preserve">urgentních příjmů typu I v nemocnicích kraje </w:t>
      </w:r>
      <w:r w:rsidRPr="00EA706E">
        <w:rPr>
          <w:rFonts w:ascii="Tahoma" w:hAnsi="Tahoma" w:cs="Tahoma"/>
          <w:sz w:val="20"/>
        </w:rPr>
        <w:t xml:space="preserve">zcela vyřazuje z RUD kraje, které mají na svém území </w:t>
      </w:r>
      <w:r w:rsidR="004F7E8F">
        <w:rPr>
          <w:rFonts w:ascii="Tahoma" w:hAnsi="Tahoma" w:cs="Tahoma"/>
          <w:sz w:val="20"/>
        </w:rPr>
        <w:t>f</w:t>
      </w:r>
      <w:r w:rsidRPr="00EA706E">
        <w:rPr>
          <w:rFonts w:ascii="Tahoma" w:hAnsi="Tahoma" w:cs="Tahoma"/>
          <w:sz w:val="20"/>
        </w:rPr>
        <w:t xml:space="preserve">akultní nemocnici. Kritérium tak nijak nerespektuje výdaje vynakládané kraji na jimi zřízené nemocnice (zejména v oblasti oprav a investic) a zcela ignoruje náklady na financování lůžkové péče v krajských nemocnicích. </w:t>
      </w:r>
    </w:p>
    <w:p w14:paraId="6E312963" w14:textId="77777777" w:rsidR="00EA706E" w:rsidRPr="00EA706E" w:rsidRDefault="00EA706E" w:rsidP="00B8789E">
      <w:pPr>
        <w:spacing w:line="280" w:lineRule="exact"/>
        <w:jc w:val="both"/>
      </w:pPr>
    </w:p>
    <w:p w14:paraId="6F0D9D58" w14:textId="503694ED" w:rsidR="00EA706E" w:rsidRPr="00EA706E" w:rsidRDefault="00EA706E" w:rsidP="00B8789E">
      <w:pPr>
        <w:pStyle w:val="Odstavecseseznamem"/>
        <w:numPr>
          <w:ilvl w:val="0"/>
          <w:numId w:val="1"/>
        </w:numPr>
        <w:spacing w:line="280" w:lineRule="exact"/>
        <w:ind w:left="371"/>
        <w:rPr>
          <w:rFonts w:ascii="Tahoma" w:hAnsi="Tahoma" w:cs="Tahoma"/>
          <w:sz w:val="20"/>
        </w:rPr>
      </w:pPr>
      <w:r w:rsidRPr="00EA706E">
        <w:rPr>
          <w:rFonts w:ascii="Tahoma" w:hAnsi="Tahoma" w:cs="Tahoma"/>
          <w:sz w:val="20"/>
        </w:rPr>
        <w:t>Navrhovaný RUD podporuje kritériem</w:t>
      </w:r>
      <w:r w:rsidRPr="00EA706E">
        <w:rPr>
          <w:rFonts w:ascii="Tahoma" w:hAnsi="Tahoma" w:cs="Tahoma"/>
          <w:b/>
          <w:bCs/>
          <w:sz w:val="20"/>
        </w:rPr>
        <w:t xml:space="preserve"> počtu obcí k rozloze </w:t>
      </w:r>
      <w:r w:rsidRPr="004F7E8F">
        <w:rPr>
          <w:rFonts w:ascii="Tahoma" w:hAnsi="Tahoma" w:cs="Tahoma"/>
          <w:b/>
          <w:bCs/>
          <w:sz w:val="20"/>
        </w:rPr>
        <w:t>území</w:t>
      </w:r>
      <w:r w:rsidRPr="00EA706E">
        <w:rPr>
          <w:rFonts w:ascii="Tahoma" w:hAnsi="Tahoma" w:cs="Tahoma"/>
          <w:sz w:val="20"/>
        </w:rPr>
        <w:t xml:space="preserve"> kraje s více menšími obcemi (byť je</w:t>
      </w:r>
      <w:r w:rsidR="004F7E8F">
        <w:rPr>
          <w:rFonts w:ascii="Tahoma" w:hAnsi="Tahoma" w:cs="Tahoma"/>
          <w:sz w:val="20"/>
        </w:rPr>
        <w:t> </w:t>
      </w:r>
      <w:r w:rsidRPr="00EA706E">
        <w:rPr>
          <w:rFonts w:ascii="Tahoma" w:hAnsi="Tahoma" w:cs="Tahoma"/>
          <w:sz w:val="20"/>
        </w:rPr>
        <w:t xml:space="preserve">obecně vnímána tendence v této oblasti snížit velký počet malých obcí). Zde použité kritérium tak podporuje ty kraje, které budou paradoxně počty obcí zvyšovat. Toto kritérium rovněž </w:t>
      </w:r>
      <w:r w:rsidR="00512E29" w:rsidRPr="00EA706E">
        <w:rPr>
          <w:rFonts w:ascii="Tahoma" w:hAnsi="Tahoma" w:cs="Tahoma"/>
          <w:sz w:val="20"/>
        </w:rPr>
        <w:t xml:space="preserve">nijak </w:t>
      </w:r>
      <w:r w:rsidRPr="00EA706E">
        <w:rPr>
          <w:rFonts w:ascii="Tahoma" w:hAnsi="Tahoma" w:cs="Tahoma"/>
          <w:sz w:val="20"/>
        </w:rPr>
        <w:t xml:space="preserve">nerespektuje reálnou </w:t>
      </w:r>
      <w:r w:rsidRPr="00512E29">
        <w:rPr>
          <w:rFonts w:ascii="Tahoma" w:hAnsi="Tahoma" w:cs="Tahoma"/>
          <w:sz w:val="20"/>
        </w:rPr>
        <w:t>velikost krajů, protože např. při trojnásobné velikosti plochy kraje a počtu obcí v kraji oba kraje získají st</w:t>
      </w:r>
      <w:r w:rsidRPr="00EA706E">
        <w:rPr>
          <w:rFonts w:ascii="Tahoma" w:hAnsi="Tahoma" w:cs="Tahoma"/>
          <w:sz w:val="20"/>
        </w:rPr>
        <w:t>ejný příjem (viz příklad). Malá velikost některých krajů v</w:t>
      </w:r>
      <w:r w:rsidR="00512E29">
        <w:rPr>
          <w:rFonts w:ascii="Tahoma" w:hAnsi="Tahoma" w:cs="Tahoma"/>
          <w:sz w:val="20"/>
        </w:rPr>
        <w:t> </w:t>
      </w:r>
      <w:r w:rsidRPr="00EA706E">
        <w:rPr>
          <w:rFonts w:ascii="Tahoma" w:hAnsi="Tahoma" w:cs="Tahoma"/>
          <w:sz w:val="20"/>
        </w:rPr>
        <w:t>Č</w:t>
      </w:r>
      <w:r w:rsidR="00512E29">
        <w:rPr>
          <w:rFonts w:ascii="Tahoma" w:hAnsi="Tahoma" w:cs="Tahoma"/>
          <w:sz w:val="20"/>
        </w:rPr>
        <w:t>eské republice</w:t>
      </w:r>
      <w:r w:rsidRPr="00EA706E">
        <w:rPr>
          <w:rFonts w:ascii="Tahoma" w:hAnsi="Tahoma" w:cs="Tahoma"/>
          <w:sz w:val="20"/>
        </w:rPr>
        <w:t xml:space="preserve"> nebyla již před léty z ekonomických důvodů akceptována ani E</w:t>
      </w:r>
      <w:r w:rsidR="00B51E3F">
        <w:rPr>
          <w:rFonts w:ascii="Tahoma" w:hAnsi="Tahoma" w:cs="Tahoma"/>
          <w:sz w:val="20"/>
        </w:rPr>
        <w:t>vropskou unií</w:t>
      </w:r>
      <w:r w:rsidRPr="00EA706E">
        <w:rPr>
          <w:rFonts w:ascii="Tahoma" w:hAnsi="Tahoma" w:cs="Tahoma"/>
          <w:sz w:val="20"/>
        </w:rPr>
        <w:t xml:space="preserve">, díky čemuž musely vzniknout větší územní celky (regiony soudržnosti). Návrhem RUD jsou pak naopak tyto menší kraje </w:t>
      </w:r>
      <w:r w:rsidR="00D3591C">
        <w:rPr>
          <w:rFonts w:ascii="Tahoma" w:hAnsi="Tahoma" w:cs="Tahoma"/>
          <w:sz w:val="20"/>
        </w:rPr>
        <w:t>zvýho</w:t>
      </w:r>
      <w:r w:rsidR="00AF305D">
        <w:rPr>
          <w:rFonts w:ascii="Tahoma" w:hAnsi="Tahoma" w:cs="Tahoma"/>
          <w:sz w:val="20"/>
        </w:rPr>
        <w:t>dňov</w:t>
      </w:r>
      <w:r w:rsidR="00D3591C">
        <w:rPr>
          <w:rFonts w:ascii="Tahoma" w:hAnsi="Tahoma" w:cs="Tahoma"/>
          <w:sz w:val="20"/>
        </w:rPr>
        <w:t>ány</w:t>
      </w:r>
      <w:r w:rsidRPr="00EA706E">
        <w:rPr>
          <w:rFonts w:ascii="Tahoma" w:hAnsi="Tahoma" w:cs="Tahoma"/>
          <w:sz w:val="20"/>
        </w:rPr>
        <w:t>, přičemž rozdíly v počtu obyvatel mezi kraji jsou až čtyřnásobné, což snižuje efektivnost hospodaření na regionální úrovni.</w:t>
      </w:r>
    </w:p>
    <w:p w14:paraId="58CD2678" w14:textId="77777777" w:rsidR="00512E29" w:rsidRDefault="00512E29" w:rsidP="00B8789E">
      <w:pPr>
        <w:spacing w:line="280" w:lineRule="exact"/>
        <w:ind w:left="360"/>
        <w:jc w:val="both"/>
        <w:rPr>
          <w:rFonts w:eastAsia="Times New Roman"/>
        </w:rPr>
      </w:pPr>
    </w:p>
    <w:p w14:paraId="12530C6A" w14:textId="77777777" w:rsidR="00512E29" w:rsidRDefault="00512E29" w:rsidP="00B8789E">
      <w:pPr>
        <w:spacing w:line="280" w:lineRule="exact"/>
        <w:ind w:left="360"/>
        <w:jc w:val="both"/>
        <w:rPr>
          <w:rFonts w:eastAsia="Times New Roman"/>
        </w:rPr>
      </w:pPr>
    </w:p>
    <w:p w14:paraId="785A25D6" w14:textId="5149ABDD" w:rsidR="00EA706E" w:rsidRPr="00EA706E" w:rsidRDefault="00EA706E" w:rsidP="00B8789E">
      <w:pPr>
        <w:spacing w:line="280" w:lineRule="exact"/>
        <w:ind w:left="360"/>
        <w:jc w:val="both"/>
        <w:rPr>
          <w:rFonts w:eastAsia="Times New Roman"/>
        </w:rPr>
      </w:pPr>
      <w:r w:rsidRPr="00EA706E">
        <w:rPr>
          <w:rFonts w:eastAsia="Times New Roman"/>
        </w:rPr>
        <w:lastRenderedPageBreak/>
        <w:t>Příklad dopadu pro 2 rozdílné kraje, které obdrží stejnou částku při rozdílné rozloze i počtu obcí:</w:t>
      </w:r>
    </w:p>
    <w:tbl>
      <w:tblPr>
        <w:tblStyle w:val="Mkatabulky"/>
        <w:tblW w:w="0" w:type="auto"/>
        <w:tblInd w:w="355" w:type="dxa"/>
        <w:tblLook w:val="04A0" w:firstRow="1" w:lastRow="0" w:firstColumn="1" w:lastColumn="0" w:noHBand="0" w:noVBand="1"/>
      </w:tblPr>
      <w:tblGrid>
        <w:gridCol w:w="1108"/>
        <w:gridCol w:w="1812"/>
        <w:gridCol w:w="1812"/>
        <w:gridCol w:w="1813"/>
        <w:gridCol w:w="1813"/>
      </w:tblGrid>
      <w:tr w:rsidR="00EA706E" w:rsidRPr="00B13F7D" w14:paraId="4312AFD7" w14:textId="77777777" w:rsidTr="00B8789E">
        <w:tc>
          <w:tcPr>
            <w:tcW w:w="1108" w:type="dxa"/>
          </w:tcPr>
          <w:p w14:paraId="356A8019" w14:textId="77777777" w:rsidR="00EA706E" w:rsidRPr="00B13F7D" w:rsidRDefault="00EA706E" w:rsidP="00EA706E">
            <w:pPr>
              <w:spacing w:line="280" w:lineRule="exact"/>
              <w:jc w:val="both"/>
              <w:rPr>
                <w:b/>
                <w:bCs/>
              </w:rPr>
            </w:pPr>
            <w:r w:rsidRPr="00B13F7D">
              <w:rPr>
                <w:b/>
                <w:bCs/>
              </w:rPr>
              <w:t>Kraj</w:t>
            </w:r>
          </w:p>
        </w:tc>
        <w:tc>
          <w:tcPr>
            <w:tcW w:w="1812" w:type="dxa"/>
          </w:tcPr>
          <w:p w14:paraId="51C11493" w14:textId="77777777" w:rsidR="00EA706E" w:rsidRPr="00B13F7D" w:rsidRDefault="00EA706E" w:rsidP="00EA706E">
            <w:pPr>
              <w:spacing w:line="280" w:lineRule="exact"/>
              <w:jc w:val="both"/>
              <w:rPr>
                <w:b/>
                <w:bCs/>
                <w:vertAlign w:val="superscript"/>
              </w:rPr>
            </w:pPr>
            <w:r w:rsidRPr="00B13F7D">
              <w:rPr>
                <w:b/>
                <w:bCs/>
              </w:rPr>
              <w:t>Rozloha v km</w:t>
            </w:r>
            <w:r w:rsidRPr="00B13F7D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812" w:type="dxa"/>
          </w:tcPr>
          <w:p w14:paraId="773F2EE7" w14:textId="77777777" w:rsidR="00EA706E" w:rsidRPr="00B13F7D" w:rsidRDefault="00EA706E" w:rsidP="00EA706E">
            <w:pPr>
              <w:spacing w:line="280" w:lineRule="exact"/>
              <w:jc w:val="both"/>
              <w:rPr>
                <w:b/>
                <w:bCs/>
              </w:rPr>
            </w:pPr>
            <w:r w:rsidRPr="00B13F7D">
              <w:rPr>
                <w:b/>
                <w:bCs/>
              </w:rPr>
              <w:t>Počet obcí</w:t>
            </w:r>
          </w:p>
        </w:tc>
        <w:tc>
          <w:tcPr>
            <w:tcW w:w="1813" w:type="dxa"/>
          </w:tcPr>
          <w:p w14:paraId="4DF75C83" w14:textId="77777777" w:rsidR="00EA706E" w:rsidRPr="00B13F7D" w:rsidRDefault="00EA706E" w:rsidP="00EA706E">
            <w:pPr>
              <w:spacing w:line="280" w:lineRule="exact"/>
              <w:jc w:val="both"/>
              <w:rPr>
                <w:b/>
                <w:bCs/>
              </w:rPr>
            </w:pPr>
            <w:r w:rsidRPr="00B13F7D">
              <w:rPr>
                <w:b/>
                <w:bCs/>
              </w:rPr>
              <w:t>Podíl obce/rozloha</w:t>
            </w:r>
          </w:p>
        </w:tc>
        <w:tc>
          <w:tcPr>
            <w:tcW w:w="1813" w:type="dxa"/>
          </w:tcPr>
          <w:p w14:paraId="25A4EC87" w14:textId="77777777" w:rsidR="00EA706E" w:rsidRPr="00B13F7D" w:rsidRDefault="00EA706E" w:rsidP="00EA706E">
            <w:pPr>
              <w:spacing w:line="280" w:lineRule="exact"/>
              <w:jc w:val="both"/>
              <w:rPr>
                <w:b/>
                <w:bCs/>
              </w:rPr>
            </w:pPr>
            <w:r w:rsidRPr="00B13F7D">
              <w:rPr>
                <w:b/>
                <w:bCs/>
              </w:rPr>
              <w:t>Podíl na RUD</w:t>
            </w:r>
          </w:p>
        </w:tc>
      </w:tr>
      <w:tr w:rsidR="00E04AF7" w:rsidRPr="00EA706E" w14:paraId="1911C9F2" w14:textId="77777777" w:rsidTr="00B8789E">
        <w:tc>
          <w:tcPr>
            <w:tcW w:w="1108" w:type="dxa"/>
          </w:tcPr>
          <w:p w14:paraId="3EF098CE" w14:textId="77777777" w:rsidR="00E04AF7" w:rsidRPr="00EA706E" w:rsidRDefault="00E04AF7" w:rsidP="00EA706E">
            <w:pPr>
              <w:spacing w:line="280" w:lineRule="exact"/>
              <w:jc w:val="both"/>
            </w:pPr>
            <w:r w:rsidRPr="00EA706E">
              <w:t>Kraj A</w:t>
            </w:r>
          </w:p>
        </w:tc>
        <w:tc>
          <w:tcPr>
            <w:tcW w:w="1812" w:type="dxa"/>
          </w:tcPr>
          <w:p w14:paraId="2F22FE8A" w14:textId="77777777" w:rsidR="00E04AF7" w:rsidRPr="00EA706E" w:rsidRDefault="00E04AF7" w:rsidP="00EA706E">
            <w:pPr>
              <w:spacing w:line="280" w:lineRule="exact"/>
              <w:jc w:val="both"/>
            </w:pPr>
            <w:r w:rsidRPr="00EA706E">
              <w:t>9000</w:t>
            </w:r>
          </w:p>
        </w:tc>
        <w:tc>
          <w:tcPr>
            <w:tcW w:w="1812" w:type="dxa"/>
          </w:tcPr>
          <w:p w14:paraId="6C8BB698" w14:textId="77777777" w:rsidR="00E04AF7" w:rsidRPr="00EA706E" w:rsidRDefault="00E04AF7" w:rsidP="00EA706E">
            <w:pPr>
              <w:spacing w:line="280" w:lineRule="exact"/>
              <w:jc w:val="both"/>
            </w:pPr>
            <w:r w:rsidRPr="00EA706E">
              <w:t>600</w:t>
            </w:r>
          </w:p>
        </w:tc>
        <w:tc>
          <w:tcPr>
            <w:tcW w:w="1813" w:type="dxa"/>
          </w:tcPr>
          <w:p w14:paraId="46E8C37A" w14:textId="77777777" w:rsidR="00E04AF7" w:rsidRPr="00EA706E" w:rsidRDefault="00E04AF7" w:rsidP="00EA706E">
            <w:pPr>
              <w:spacing w:line="280" w:lineRule="exact"/>
              <w:jc w:val="both"/>
            </w:pPr>
            <w:r w:rsidRPr="00EA706E">
              <w:t>6,6</w:t>
            </w:r>
          </w:p>
        </w:tc>
        <w:tc>
          <w:tcPr>
            <w:tcW w:w="1813" w:type="dxa"/>
            <w:vMerge w:val="restart"/>
          </w:tcPr>
          <w:p w14:paraId="6AA00CA3" w14:textId="78B94406" w:rsidR="00E04AF7" w:rsidRPr="00EA706E" w:rsidRDefault="00E04AF7" w:rsidP="00EA706E">
            <w:pPr>
              <w:spacing w:line="280" w:lineRule="exact"/>
              <w:jc w:val="both"/>
            </w:pPr>
            <w:r>
              <w:t>kraj A i B</w:t>
            </w:r>
            <w:r w:rsidRPr="00EA706E">
              <w:t xml:space="preserve"> obdrží stejnou částku</w:t>
            </w:r>
            <w:r>
              <w:t xml:space="preserve"> z RUD</w:t>
            </w:r>
          </w:p>
        </w:tc>
      </w:tr>
      <w:tr w:rsidR="00E04AF7" w:rsidRPr="00EA706E" w14:paraId="585EE4C6" w14:textId="77777777" w:rsidTr="00B8789E">
        <w:tc>
          <w:tcPr>
            <w:tcW w:w="1108" w:type="dxa"/>
          </w:tcPr>
          <w:p w14:paraId="5A7CFEA3" w14:textId="77777777" w:rsidR="00E04AF7" w:rsidRPr="00EA706E" w:rsidRDefault="00E04AF7" w:rsidP="00EA706E">
            <w:pPr>
              <w:spacing w:line="280" w:lineRule="exact"/>
              <w:jc w:val="both"/>
            </w:pPr>
            <w:r w:rsidRPr="00EA706E">
              <w:t>Kraj B</w:t>
            </w:r>
          </w:p>
        </w:tc>
        <w:tc>
          <w:tcPr>
            <w:tcW w:w="1812" w:type="dxa"/>
          </w:tcPr>
          <w:p w14:paraId="08419620" w14:textId="77777777" w:rsidR="00E04AF7" w:rsidRPr="00EA706E" w:rsidRDefault="00E04AF7" w:rsidP="00EA706E">
            <w:pPr>
              <w:spacing w:line="280" w:lineRule="exact"/>
              <w:jc w:val="both"/>
            </w:pPr>
            <w:r w:rsidRPr="00EA706E">
              <w:t>3000</w:t>
            </w:r>
          </w:p>
        </w:tc>
        <w:tc>
          <w:tcPr>
            <w:tcW w:w="1812" w:type="dxa"/>
          </w:tcPr>
          <w:p w14:paraId="5728F41C" w14:textId="77777777" w:rsidR="00E04AF7" w:rsidRPr="00EA706E" w:rsidRDefault="00E04AF7" w:rsidP="00EA706E">
            <w:pPr>
              <w:spacing w:line="280" w:lineRule="exact"/>
              <w:jc w:val="both"/>
            </w:pPr>
            <w:r w:rsidRPr="00EA706E">
              <w:t>200</w:t>
            </w:r>
          </w:p>
        </w:tc>
        <w:tc>
          <w:tcPr>
            <w:tcW w:w="1813" w:type="dxa"/>
          </w:tcPr>
          <w:p w14:paraId="5929AFA3" w14:textId="77777777" w:rsidR="00E04AF7" w:rsidRPr="00EA706E" w:rsidRDefault="00E04AF7" w:rsidP="00EA706E">
            <w:pPr>
              <w:spacing w:line="280" w:lineRule="exact"/>
              <w:jc w:val="both"/>
            </w:pPr>
            <w:r w:rsidRPr="00EA706E">
              <w:t>6,6</w:t>
            </w:r>
          </w:p>
        </w:tc>
        <w:tc>
          <w:tcPr>
            <w:tcW w:w="1813" w:type="dxa"/>
            <w:vMerge/>
          </w:tcPr>
          <w:p w14:paraId="2F43D569" w14:textId="77777777" w:rsidR="00E04AF7" w:rsidRPr="00EA706E" w:rsidRDefault="00E04AF7" w:rsidP="00EA706E">
            <w:pPr>
              <w:spacing w:line="280" w:lineRule="exact"/>
              <w:jc w:val="both"/>
            </w:pPr>
          </w:p>
        </w:tc>
      </w:tr>
    </w:tbl>
    <w:p w14:paraId="4B7B72A5" w14:textId="77777777" w:rsidR="00EA706E" w:rsidRPr="00EA706E" w:rsidRDefault="00EA706E" w:rsidP="00B8789E">
      <w:pPr>
        <w:spacing w:line="280" w:lineRule="exact"/>
        <w:jc w:val="both"/>
      </w:pPr>
    </w:p>
    <w:p w14:paraId="59EA014D" w14:textId="0B4DDE9C" w:rsidR="00EA706E" w:rsidRPr="00EA706E" w:rsidRDefault="00EA706E" w:rsidP="00B8789E">
      <w:pPr>
        <w:pStyle w:val="Odstavecseseznamem"/>
        <w:numPr>
          <w:ilvl w:val="0"/>
          <w:numId w:val="1"/>
        </w:numPr>
        <w:spacing w:line="280" w:lineRule="exact"/>
        <w:ind w:left="371"/>
        <w:rPr>
          <w:rFonts w:ascii="Tahoma" w:hAnsi="Tahoma" w:cs="Tahoma"/>
          <w:sz w:val="20"/>
        </w:rPr>
      </w:pPr>
      <w:r w:rsidRPr="00EA706E">
        <w:rPr>
          <w:rFonts w:ascii="Tahoma" w:hAnsi="Tahoma" w:cs="Tahoma"/>
          <w:sz w:val="20"/>
        </w:rPr>
        <w:t>Nevhodně je pojata</w:t>
      </w:r>
      <w:r w:rsidR="00377609">
        <w:rPr>
          <w:rFonts w:ascii="Tahoma" w:hAnsi="Tahoma" w:cs="Tahoma"/>
          <w:sz w:val="20"/>
        </w:rPr>
        <w:t xml:space="preserve"> </w:t>
      </w:r>
      <w:r w:rsidRPr="00EA706E">
        <w:rPr>
          <w:rFonts w:ascii="Tahoma" w:hAnsi="Tahoma" w:cs="Tahoma"/>
          <w:b/>
          <w:bCs/>
          <w:sz w:val="20"/>
        </w:rPr>
        <w:t>role vyrovnávacího koeficientu</w:t>
      </w:r>
      <w:r w:rsidRPr="00EA706E">
        <w:rPr>
          <w:rFonts w:ascii="Tahoma" w:hAnsi="Tahoma" w:cs="Tahoma"/>
          <w:sz w:val="20"/>
        </w:rPr>
        <w:t>, který by mohl např. v případech velkých rozdílů mezi stávajícím stavem a novým RUD vyrovnat extrémní rozdíly mezi kraji; nicméně taková role tohoto koeficientu zde není a tento koeficient je přímo zařazen mezi kritéria RUD, čímž paradoxně tento koeficient rozdíly mezi kraji naopak zvyšuje. Samotný vyrovnávací koeficient s vahou 7 % tak nemá dánu zdůvodnitelnou obsahovou podstatu a jeho velikost, vzhledem k významné roli krajů např. v oblasti školství, která má váhu pouze 4 %, se jeví navíc extrémně nadhodnocená. Shodnou částku v případě tohoto kritéria obdrží velký i malý kraj.</w:t>
      </w:r>
    </w:p>
    <w:p w14:paraId="0140CD41" w14:textId="77777777" w:rsidR="00EA706E" w:rsidRPr="00EA706E" w:rsidRDefault="00EA706E" w:rsidP="00B8789E">
      <w:pPr>
        <w:spacing w:line="280" w:lineRule="exact"/>
        <w:jc w:val="both"/>
      </w:pPr>
    </w:p>
    <w:p w14:paraId="2E0EE7C5" w14:textId="2518893C" w:rsidR="00EA706E" w:rsidRPr="00EA706E" w:rsidRDefault="00EA706E" w:rsidP="00B8789E">
      <w:pPr>
        <w:pStyle w:val="Odstavecseseznamem"/>
        <w:numPr>
          <w:ilvl w:val="0"/>
          <w:numId w:val="1"/>
        </w:numPr>
        <w:spacing w:line="280" w:lineRule="exact"/>
        <w:ind w:left="371"/>
        <w:rPr>
          <w:rFonts w:ascii="Tahoma" w:hAnsi="Tahoma" w:cs="Tahoma"/>
          <w:sz w:val="20"/>
        </w:rPr>
      </w:pPr>
      <w:r w:rsidRPr="00EA706E">
        <w:rPr>
          <w:rFonts w:ascii="Tahoma" w:hAnsi="Tahoma" w:cs="Tahoma"/>
          <w:sz w:val="20"/>
        </w:rPr>
        <w:t xml:space="preserve">RUD vůbec neřeší rozdílné podmínky krajů v potřebě </w:t>
      </w:r>
      <w:r w:rsidRPr="00EA706E">
        <w:rPr>
          <w:rFonts w:ascii="Tahoma" w:hAnsi="Tahoma" w:cs="Tahoma"/>
          <w:b/>
          <w:bCs/>
          <w:sz w:val="20"/>
        </w:rPr>
        <w:t>sociálních služeb</w:t>
      </w:r>
      <w:r w:rsidRPr="00EA706E">
        <w:rPr>
          <w:rFonts w:ascii="Tahoma" w:hAnsi="Tahoma" w:cs="Tahoma"/>
          <w:sz w:val="20"/>
        </w:rPr>
        <w:t>, které by odrážely náročnost zaměstnání osob (např. v těžkém průmyslu) a narůstající trend stárnoucí populace a s tím spojené výdaje do</w:t>
      </w:r>
      <w:r w:rsidR="00E53165">
        <w:rPr>
          <w:rFonts w:ascii="Tahoma" w:hAnsi="Tahoma" w:cs="Tahoma"/>
          <w:sz w:val="20"/>
        </w:rPr>
        <w:t> </w:t>
      </w:r>
      <w:r w:rsidRPr="00EA706E">
        <w:rPr>
          <w:rFonts w:ascii="Tahoma" w:hAnsi="Tahoma" w:cs="Tahoma"/>
          <w:sz w:val="20"/>
        </w:rPr>
        <w:t>sociálních služeb, zastřešované právě kraji.</w:t>
      </w:r>
    </w:p>
    <w:p w14:paraId="0CDE2A0B" w14:textId="77777777" w:rsidR="00EA706E" w:rsidRPr="00EA706E" w:rsidRDefault="00EA706E" w:rsidP="00EA706E">
      <w:pPr>
        <w:spacing w:line="280" w:lineRule="exact"/>
        <w:jc w:val="both"/>
      </w:pPr>
    </w:p>
    <w:p w14:paraId="41FF8CD3" w14:textId="1604D2F0" w:rsidR="00EA706E" w:rsidRPr="00EA706E" w:rsidRDefault="00EA706E" w:rsidP="00EA706E">
      <w:pPr>
        <w:spacing w:line="280" w:lineRule="exact"/>
        <w:jc w:val="both"/>
        <w:rPr>
          <w:b/>
          <w:bCs/>
        </w:rPr>
      </w:pPr>
      <w:r w:rsidRPr="00EA706E">
        <w:rPr>
          <w:b/>
          <w:bCs/>
        </w:rPr>
        <w:t xml:space="preserve">Vzhledem k výše uvedenému </w:t>
      </w:r>
      <w:r w:rsidRPr="00320F63">
        <w:rPr>
          <w:b/>
          <w:bCs/>
          <w:u w:val="single"/>
        </w:rPr>
        <w:t xml:space="preserve">žádáme o přepracování </w:t>
      </w:r>
      <w:r w:rsidR="00A97532" w:rsidRPr="00320F63">
        <w:rPr>
          <w:b/>
          <w:bCs/>
          <w:u w:val="single"/>
        </w:rPr>
        <w:t>celého předloženého návrhu zákona, a</w:t>
      </w:r>
      <w:r w:rsidR="00075902">
        <w:rPr>
          <w:b/>
          <w:bCs/>
          <w:u w:val="single"/>
        </w:rPr>
        <w:t> </w:t>
      </w:r>
      <w:r w:rsidR="00A97532" w:rsidRPr="00320F63">
        <w:rPr>
          <w:b/>
          <w:bCs/>
          <w:u w:val="single"/>
        </w:rPr>
        <w:t>to</w:t>
      </w:r>
      <w:r w:rsidR="00075902">
        <w:rPr>
          <w:b/>
          <w:bCs/>
          <w:u w:val="single"/>
        </w:rPr>
        <w:t> </w:t>
      </w:r>
      <w:r w:rsidR="00A97532" w:rsidRPr="00320F63">
        <w:rPr>
          <w:b/>
          <w:bCs/>
          <w:u w:val="single"/>
        </w:rPr>
        <w:t>na</w:t>
      </w:r>
      <w:r w:rsidR="00075902">
        <w:rPr>
          <w:b/>
          <w:bCs/>
          <w:u w:val="single"/>
        </w:rPr>
        <w:t> </w:t>
      </w:r>
      <w:r w:rsidR="00A97532" w:rsidRPr="00320F63">
        <w:rPr>
          <w:b/>
          <w:bCs/>
          <w:u w:val="single"/>
        </w:rPr>
        <w:t xml:space="preserve">základě </w:t>
      </w:r>
      <w:r w:rsidRPr="00320F63">
        <w:rPr>
          <w:b/>
          <w:bCs/>
          <w:u w:val="single"/>
        </w:rPr>
        <w:t>metodologie nového modelu RUD</w:t>
      </w:r>
      <w:r w:rsidRPr="00EA706E">
        <w:rPr>
          <w:b/>
          <w:bCs/>
        </w:rPr>
        <w:t xml:space="preserve"> v souladu a</w:t>
      </w:r>
      <w:r w:rsidR="00E53165">
        <w:rPr>
          <w:b/>
          <w:bCs/>
        </w:rPr>
        <w:t> </w:t>
      </w:r>
      <w:r w:rsidRPr="00EA706E">
        <w:rPr>
          <w:b/>
          <w:bCs/>
        </w:rPr>
        <w:t>principy usnesení Komise pro</w:t>
      </w:r>
      <w:r w:rsidR="00075902">
        <w:rPr>
          <w:b/>
          <w:bCs/>
        </w:rPr>
        <w:t> </w:t>
      </w:r>
      <w:r w:rsidRPr="00EA706E">
        <w:rPr>
          <w:b/>
          <w:bCs/>
        </w:rPr>
        <w:t>financování a</w:t>
      </w:r>
      <w:r w:rsidR="00320F63">
        <w:rPr>
          <w:b/>
          <w:bCs/>
        </w:rPr>
        <w:t> </w:t>
      </w:r>
      <w:r w:rsidRPr="00EA706E">
        <w:rPr>
          <w:b/>
          <w:bCs/>
        </w:rPr>
        <w:t>majetek krajů Rady Asociace krajů Č</w:t>
      </w:r>
      <w:r w:rsidR="00E53165">
        <w:rPr>
          <w:b/>
          <w:bCs/>
        </w:rPr>
        <w:t>eské republiky</w:t>
      </w:r>
      <w:r w:rsidRPr="00EA706E">
        <w:rPr>
          <w:b/>
          <w:bCs/>
        </w:rPr>
        <w:t xml:space="preserve"> ze dne 21. 4. 2022 (usnesení č.</w:t>
      </w:r>
      <w:r w:rsidR="00075902">
        <w:rPr>
          <w:b/>
          <w:bCs/>
        </w:rPr>
        <w:t> </w:t>
      </w:r>
      <w:r w:rsidRPr="00EA706E">
        <w:rPr>
          <w:b/>
          <w:bCs/>
        </w:rPr>
        <w:t>10/22), které stanovilo kritéria rozdělení daňových výnosů a</w:t>
      </w:r>
      <w:r w:rsidR="00CF751E">
        <w:rPr>
          <w:b/>
          <w:bCs/>
        </w:rPr>
        <w:t> </w:t>
      </w:r>
      <w:r w:rsidRPr="00EA706E">
        <w:rPr>
          <w:b/>
          <w:bCs/>
        </w:rPr>
        <w:t>jednotlivé podíly (váhy) dle</w:t>
      </w:r>
      <w:r w:rsidR="00135BFA">
        <w:rPr>
          <w:b/>
          <w:bCs/>
        </w:rPr>
        <w:t> </w:t>
      </w:r>
      <w:r w:rsidRPr="00EA706E">
        <w:rPr>
          <w:b/>
          <w:bCs/>
        </w:rPr>
        <w:t xml:space="preserve">skutečně vynakládaných výdajů krajů:  </w:t>
      </w:r>
    </w:p>
    <w:p w14:paraId="03CA4BEB" w14:textId="77777777" w:rsidR="00EA706E" w:rsidRPr="00EA706E" w:rsidRDefault="00EA706E" w:rsidP="00EA706E">
      <w:pPr>
        <w:spacing w:line="280" w:lineRule="exact"/>
        <w:jc w:val="both"/>
        <w:rPr>
          <w:b/>
          <w:bCs/>
        </w:rPr>
      </w:pPr>
    </w:p>
    <w:tbl>
      <w:tblPr>
        <w:tblW w:w="911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1275"/>
        <w:gridCol w:w="5235"/>
      </w:tblGrid>
      <w:tr w:rsidR="00EA706E" w14:paraId="128DD4C1" w14:textId="77777777" w:rsidTr="009E73A2">
        <w:trPr>
          <w:trHeight w:val="315"/>
        </w:trPr>
        <w:tc>
          <w:tcPr>
            <w:tcW w:w="2609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F164B" w14:textId="77777777" w:rsidR="00EA706E" w:rsidRDefault="00EA706E" w:rsidP="009E73A2">
            <w:pPr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 xml:space="preserve">Kritéria rozdělení </w:t>
            </w:r>
          </w:p>
          <w:p w14:paraId="5D96FD42" w14:textId="77777777" w:rsidR="00EA706E" w:rsidRDefault="00EA706E" w:rsidP="009E73A2">
            <w:pPr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daňových výnosů</w:t>
            </w:r>
          </w:p>
        </w:tc>
        <w:tc>
          <w:tcPr>
            <w:tcW w:w="127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EA7CC" w14:textId="77777777" w:rsidR="00EA706E" w:rsidRDefault="00EA706E" w:rsidP="009E73A2">
            <w:pPr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Podíl (váha)</w:t>
            </w:r>
          </w:p>
        </w:tc>
        <w:tc>
          <w:tcPr>
            <w:tcW w:w="5235" w:type="dxa"/>
            <w:shd w:val="clear" w:color="auto" w:fill="D9D9D9"/>
          </w:tcPr>
          <w:p w14:paraId="09F7E6EC" w14:textId="77777777" w:rsidR="00EA706E" w:rsidRDefault="00EA706E" w:rsidP="009E73A2">
            <w:pPr>
              <w:ind w:left="129"/>
              <w:rPr>
                <w:b/>
                <w:bCs/>
                <w:color w:val="1F4E79"/>
              </w:rPr>
            </w:pPr>
          </w:p>
          <w:p w14:paraId="0662ACDA" w14:textId="77777777" w:rsidR="00EA706E" w:rsidRDefault="00EA706E" w:rsidP="009E73A2">
            <w:pPr>
              <w:ind w:left="129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Zdroj</w:t>
            </w:r>
          </w:p>
        </w:tc>
      </w:tr>
      <w:tr w:rsidR="00EA706E" w14:paraId="18FC92F9" w14:textId="77777777" w:rsidTr="009E73A2">
        <w:trPr>
          <w:trHeight w:val="300"/>
        </w:trPr>
        <w:tc>
          <w:tcPr>
            <w:tcW w:w="2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7B45F" w14:textId="77777777" w:rsidR="00EA706E" w:rsidRPr="008A5E3B" w:rsidRDefault="00EA706E" w:rsidP="009E73A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Délka silnic II. a III. třídy v kraji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F8C90" w14:textId="77777777" w:rsidR="00EA706E" w:rsidRPr="008A5E3B" w:rsidRDefault="00EA706E" w:rsidP="009E73A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13,108542%</w:t>
            </w:r>
          </w:p>
        </w:tc>
        <w:tc>
          <w:tcPr>
            <w:tcW w:w="5235" w:type="dxa"/>
          </w:tcPr>
          <w:p w14:paraId="4D0020F1" w14:textId="5601184C" w:rsidR="00EA706E" w:rsidRPr="008A5E3B" w:rsidRDefault="00EA706E" w:rsidP="009E73A2">
            <w:pPr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eastAsia="Times New Roman" w:hAnsiTheme="minorHAnsi" w:cstheme="minorHAnsi"/>
                <w:color w:val="000000" w:themeColor="text1"/>
              </w:rPr>
              <w:t>Ministerstva dopravy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-</w:t>
            </w:r>
            <w:r w:rsidRPr="008A5E3B">
              <w:rPr>
                <w:rFonts w:asciiTheme="minorHAnsi" w:eastAsia="Times New Roman" w:hAnsiTheme="minorHAnsi" w:cstheme="minorHAnsi"/>
                <w:color w:val="000000" w:themeColor="text1"/>
              </w:rPr>
              <w:t>poč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et</w:t>
            </w:r>
            <w:r w:rsidRPr="008A5E3B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kilometrů silnic II. a III. třídy k 1.</w:t>
            </w:r>
            <w:r w:rsidR="007C4FFE">
              <w:rPr>
                <w:rFonts w:asciiTheme="minorHAnsi" w:eastAsia="Times New Roman" w:hAnsiTheme="minorHAnsi" w:cstheme="minorHAnsi"/>
                <w:color w:val="000000" w:themeColor="text1"/>
              </w:rPr>
              <w:t> </w:t>
            </w:r>
            <w:r w:rsidRPr="008A5E3B">
              <w:rPr>
                <w:rFonts w:asciiTheme="minorHAnsi" w:eastAsia="Times New Roman" w:hAnsiTheme="minorHAnsi" w:cstheme="minorHAnsi"/>
                <w:color w:val="000000" w:themeColor="text1"/>
              </w:rPr>
              <w:t>lednu běžného roku</w:t>
            </w:r>
          </w:p>
        </w:tc>
      </w:tr>
      <w:tr w:rsidR="00EA706E" w14:paraId="1EE380A5" w14:textId="77777777" w:rsidTr="009E73A2">
        <w:trPr>
          <w:trHeight w:val="300"/>
        </w:trPr>
        <w:tc>
          <w:tcPr>
            <w:tcW w:w="2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F10A2" w14:textId="77777777" w:rsidR="00EA706E" w:rsidRPr="008A5E3B" w:rsidRDefault="00EA706E" w:rsidP="009E73A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Dopravní výkony na silnicích II. a III. třídy v kraji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DD6D6" w14:textId="77777777" w:rsidR="00EA706E" w:rsidRPr="008A5E3B" w:rsidRDefault="00EA706E" w:rsidP="009E73A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8,341799%</w:t>
            </w:r>
          </w:p>
        </w:tc>
        <w:tc>
          <w:tcPr>
            <w:tcW w:w="5235" w:type="dxa"/>
          </w:tcPr>
          <w:p w14:paraId="5E37D497" w14:textId="77777777" w:rsidR="00EA706E" w:rsidRPr="008A5E3B" w:rsidRDefault="00EA706E" w:rsidP="009E73A2">
            <w:pPr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ŘSD</w:t>
            </w:r>
            <w:r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>poslední celostátního sčítání dopravy</w:t>
            </w:r>
          </w:p>
        </w:tc>
      </w:tr>
      <w:tr w:rsidR="00EA706E" w14:paraId="3061C35D" w14:textId="77777777" w:rsidTr="009E73A2">
        <w:trPr>
          <w:trHeight w:val="300"/>
        </w:trPr>
        <w:tc>
          <w:tcPr>
            <w:tcW w:w="2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B00FA" w14:textId="0C2F36AA" w:rsidR="00EA706E" w:rsidRPr="008A5E3B" w:rsidRDefault="00EA706E" w:rsidP="009E73A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Plocha mostů na silnicích II.</w:t>
            </w:r>
            <w:r w:rsidR="007C4FFE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7C4FFE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>III. třídy v kraji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F131CA" w14:textId="77777777" w:rsidR="00EA706E" w:rsidRPr="008A5E3B" w:rsidRDefault="00EA706E" w:rsidP="009E73A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2,383371%</w:t>
            </w:r>
          </w:p>
        </w:tc>
        <w:tc>
          <w:tcPr>
            <w:tcW w:w="5235" w:type="dxa"/>
          </w:tcPr>
          <w:p w14:paraId="460FEA59" w14:textId="77777777" w:rsidR="00EA706E" w:rsidRPr="008A5E3B" w:rsidRDefault="00EA706E" w:rsidP="009E73A2">
            <w:pPr>
              <w:pStyle w:val="Standard"/>
              <w:suppressAutoHyphens w:val="0"/>
              <w:ind w:left="129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Systém hospodaření s mosty (BMS) k 1. lednu běžného roku</w:t>
            </w:r>
          </w:p>
          <w:p w14:paraId="6B9E3B9C" w14:textId="77777777" w:rsidR="00EA706E" w:rsidRPr="008A5E3B" w:rsidRDefault="00EA706E" w:rsidP="009E73A2">
            <w:pPr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A706E" w14:paraId="13E5A5F4" w14:textId="77777777" w:rsidTr="009E73A2">
        <w:trPr>
          <w:trHeight w:val="300"/>
        </w:trPr>
        <w:tc>
          <w:tcPr>
            <w:tcW w:w="2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08BA5" w14:textId="77777777" w:rsidR="00EA706E" w:rsidRPr="008A5E3B" w:rsidRDefault="00EA706E" w:rsidP="009E73A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Počet obyvatel kraje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A1003" w14:textId="77777777" w:rsidR="00EA706E" w:rsidRPr="008A5E3B" w:rsidRDefault="00EA706E" w:rsidP="009E73A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37,177386%</w:t>
            </w:r>
          </w:p>
        </w:tc>
        <w:tc>
          <w:tcPr>
            <w:tcW w:w="5235" w:type="dxa"/>
          </w:tcPr>
          <w:p w14:paraId="6154F91D" w14:textId="77777777" w:rsidR="00EA706E" w:rsidRPr="008A5E3B" w:rsidRDefault="00EA706E" w:rsidP="009E73A2">
            <w:pPr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Registr obyvatel veden</w:t>
            </w:r>
            <w:r>
              <w:rPr>
                <w:rFonts w:asciiTheme="minorHAnsi" w:hAnsiTheme="minorHAnsi" w:cstheme="minorHAnsi"/>
                <w:color w:val="000000" w:themeColor="text1"/>
              </w:rPr>
              <w:t>ý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 xml:space="preserve"> podle zákona o základních registrech k 1. lednu běžného roku</w:t>
            </w:r>
          </w:p>
        </w:tc>
      </w:tr>
      <w:tr w:rsidR="00EA706E" w14:paraId="633F57CD" w14:textId="77777777" w:rsidTr="009E73A2">
        <w:trPr>
          <w:trHeight w:val="300"/>
        </w:trPr>
        <w:tc>
          <w:tcPr>
            <w:tcW w:w="2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C4200" w14:textId="77777777" w:rsidR="00EA706E" w:rsidRPr="008A5E3B" w:rsidRDefault="00EA706E" w:rsidP="009E73A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Rozloha kraje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CFB54" w14:textId="77777777" w:rsidR="00EA706E" w:rsidRPr="008A5E3B" w:rsidRDefault="00EA706E" w:rsidP="009E73A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13,521367%</w:t>
            </w:r>
          </w:p>
        </w:tc>
        <w:tc>
          <w:tcPr>
            <w:tcW w:w="5235" w:type="dxa"/>
          </w:tcPr>
          <w:p w14:paraId="59E28CC5" w14:textId="77777777" w:rsidR="00EA706E" w:rsidRPr="008A5E3B" w:rsidRDefault="00EA706E" w:rsidP="009E73A2">
            <w:pPr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Česk</w:t>
            </w:r>
            <w:r>
              <w:rPr>
                <w:rFonts w:asciiTheme="minorHAnsi" w:hAnsiTheme="minorHAnsi" w:cstheme="minorHAnsi"/>
                <w:color w:val="000000" w:themeColor="text1"/>
              </w:rPr>
              <w:t>ý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 xml:space="preserve"> úřad zeměměřick</w:t>
            </w:r>
            <w:r>
              <w:rPr>
                <w:rFonts w:asciiTheme="minorHAnsi" w:hAnsiTheme="minorHAnsi" w:cstheme="minorHAnsi"/>
                <w:color w:val="000000" w:themeColor="text1"/>
              </w:rPr>
              <w:t>ý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 xml:space="preserve"> a katastrální k 1. lednu běžného roku. Rozloha území kraje a rozloha území státu se určí jako obsah polygonu vymezeného hranicemi příslušného územního prvku evidovanými v základním registru územní identifikace, adres a nemovitostí</w:t>
            </w:r>
          </w:p>
        </w:tc>
      </w:tr>
      <w:tr w:rsidR="00EA706E" w14:paraId="269B61D4" w14:textId="77777777" w:rsidTr="009E73A2">
        <w:trPr>
          <w:trHeight w:val="300"/>
        </w:trPr>
        <w:tc>
          <w:tcPr>
            <w:tcW w:w="2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184571" w14:textId="77777777" w:rsidR="00EA706E" w:rsidRPr="008A5E3B" w:rsidRDefault="00EA706E" w:rsidP="009E73A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Počet žáků škol zřizovaných krajem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CBE18" w14:textId="77777777" w:rsidR="00EA706E" w:rsidRPr="008A5E3B" w:rsidRDefault="00EA706E" w:rsidP="009E73A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12,411031%</w:t>
            </w:r>
          </w:p>
        </w:tc>
        <w:tc>
          <w:tcPr>
            <w:tcW w:w="5235" w:type="dxa"/>
          </w:tcPr>
          <w:p w14:paraId="6585617A" w14:textId="1B8F7ABA" w:rsidR="00EA706E" w:rsidRPr="008A5E3B" w:rsidRDefault="00EA706E" w:rsidP="009E73A2">
            <w:pPr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>okumentace škol vedené podle školského zákona, a</w:t>
            </w:r>
            <w:r w:rsidR="007C4FFE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>to</w:t>
            </w:r>
            <w:r w:rsidR="007C4FFE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>ze</w:t>
            </w:r>
            <w:r w:rsidR="007C4FFE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>stavu k 30. září roku, který bezprostředně předchází běžnému roku. V případě vyšších odborných škol se vychází ze</w:t>
            </w:r>
            <w:r w:rsidR="007C4FFE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>stavu k 31. říjnu roku, který bezprostředně předchází běžnému roku. Do počtu dětí, žáků a studentů se u hlavního města Prahy nezahrnují údaje o počtu dětí účastnících se</w:t>
            </w:r>
            <w:r w:rsidR="007C4FFE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>předškolního vzdělávání a počtu žáků plnících povinnou školní docházku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 xml:space="preserve"> Pro účely propočtu se počtem dětí, žáků a</w:t>
            </w:r>
            <w:r w:rsidR="007C4FFE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t xml:space="preserve">studentů rozumí počet dětí, žáků a studentů v mateřských </w:t>
            </w:r>
            <w:r w:rsidRPr="008A5E3B">
              <w:rPr>
                <w:rFonts w:asciiTheme="minorHAnsi" w:hAnsiTheme="minorHAnsi" w:cstheme="minorHAnsi"/>
                <w:color w:val="000000" w:themeColor="text1"/>
              </w:rPr>
              <w:lastRenderedPageBreak/>
              <w:t>školách, základních školách, středních školách a vyšších odborných školách.</w:t>
            </w:r>
          </w:p>
          <w:p w14:paraId="48F97F74" w14:textId="77777777" w:rsidR="00EA706E" w:rsidRPr="008A5E3B" w:rsidRDefault="00EA706E" w:rsidP="009E73A2">
            <w:pPr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A706E" w14:paraId="0923CECB" w14:textId="77777777" w:rsidTr="009E73A2">
        <w:trPr>
          <w:trHeight w:val="300"/>
        </w:trPr>
        <w:tc>
          <w:tcPr>
            <w:tcW w:w="2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4CFF1" w14:textId="77777777" w:rsidR="00EA706E" w:rsidRPr="008A5E3B" w:rsidRDefault="00EA706E" w:rsidP="009E73A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lastRenderedPageBreak/>
              <w:t>Výnosy nemocnic krajů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A26CA" w14:textId="77777777" w:rsidR="00EA706E" w:rsidRPr="008A5E3B" w:rsidRDefault="00EA706E" w:rsidP="009E73A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6,631388%</w:t>
            </w:r>
          </w:p>
        </w:tc>
        <w:tc>
          <w:tcPr>
            <w:tcW w:w="5235" w:type="dxa"/>
          </w:tcPr>
          <w:p w14:paraId="039F1636" w14:textId="77777777" w:rsidR="00EA706E" w:rsidRPr="008A5E3B" w:rsidRDefault="00EA706E" w:rsidP="009E73A2">
            <w:pPr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Zdravotnické statistiky ČR (ÚZIS).</w:t>
            </w:r>
          </w:p>
        </w:tc>
      </w:tr>
      <w:tr w:rsidR="00EA706E" w14:paraId="5FD69D1C" w14:textId="77777777" w:rsidTr="009E73A2">
        <w:trPr>
          <w:trHeight w:val="300"/>
        </w:trPr>
        <w:tc>
          <w:tcPr>
            <w:tcW w:w="2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0E590" w14:textId="77777777" w:rsidR="00EA706E" w:rsidRPr="008A5E3B" w:rsidRDefault="00EA706E" w:rsidP="009E73A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Příspěvky na péči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39869" w14:textId="77777777" w:rsidR="00EA706E" w:rsidRPr="008A5E3B" w:rsidRDefault="00EA706E" w:rsidP="009E73A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1,939341%</w:t>
            </w:r>
          </w:p>
        </w:tc>
        <w:tc>
          <w:tcPr>
            <w:tcW w:w="5235" w:type="dxa"/>
          </w:tcPr>
          <w:p w14:paraId="526AB87A" w14:textId="23283A52" w:rsidR="00EA706E" w:rsidRPr="008A5E3B" w:rsidRDefault="00EA706E" w:rsidP="009E73A2">
            <w:pPr>
              <w:pStyle w:val="Standard"/>
              <w:suppressAutoHyphens w:val="0"/>
              <w:ind w:left="129"/>
              <w:jc w:val="left"/>
              <w:rPr>
                <w:rFonts w:asciiTheme="minorHAnsi" w:hAnsiTheme="minorHAnsi" w:cs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  <w:t>Objem</w:t>
            </w:r>
            <w:r w:rsidRPr="008A5E3B">
              <w:rPr>
                <w:rFonts w:asciiTheme="minorHAnsi" w:hAnsiTheme="minorHAnsi" w:cs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příspěvků na péči v předchozím roce, uvedeného ve</w:t>
            </w:r>
            <w:r w:rsidR="009F3914">
              <w:rPr>
                <w:rFonts w:asciiTheme="minorHAnsi" w:hAnsiTheme="minorHAnsi" w:cstheme="minorHAnsi"/>
                <w:color w:val="000000" w:themeColor="text1"/>
                <w:kern w:val="0"/>
                <w:sz w:val="20"/>
                <w:szCs w:val="20"/>
                <w:lang w:eastAsia="en-US" w:bidi="ar-SA"/>
              </w:rPr>
              <w:t> </w:t>
            </w:r>
            <w:r w:rsidRPr="008A5E3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Statistické ročenky práce a sociálních věcí.</w:t>
            </w:r>
          </w:p>
          <w:p w14:paraId="63341355" w14:textId="77777777" w:rsidR="00EA706E" w:rsidRPr="008A5E3B" w:rsidRDefault="00EA706E" w:rsidP="009E73A2">
            <w:pPr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A706E" w14:paraId="45B0FA4C" w14:textId="77777777" w:rsidTr="009E73A2">
        <w:trPr>
          <w:trHeight w:val="315"/>
        </w:trPr>
        <w:tc>
          <w:tcPr>
            <w:tcW w:w="2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63754" w14:textId="77777777" w:rsidR="00EA706E" w:rsidRPr="008A5E3B" w:rsidRDefault="00EA706E" w:rsidP="009E73A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Vyrovnávací příspěvek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56A88" w14:textId="77777777" w:rsidR="00EA706E" w:rsidRPr="008A5E3B" w:rsidRDefault="00EA706E" w:rsidP="009E73A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color w:val="000000" w:themeColor="text1"/>
              </w:rPr>
              <w:t>4,485775%</w:t>
            </w:r>
          </w:p>
        </w:tc>
        <w:tc>
          <w:tcPr>
            <w:tcW w:w="5235" w:type="dxa"/>
          </w:tcPr>
          <w:p w14:paraId="6C24B527" w14:textId="77777777" w:rsidR="00EA706E" w:rsidRDefault="00EA706E" w:rsidP="009E73A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7467986" w14:textId="77777777" w:rsidR="00EA706E" w:rsidRPr="008A5E3B" w:rsidRDefault="00EA706E" w:rsidP="009E73A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A706E" w14:paraId="3B685175" w14:textId="77777777" w:rsidTr="009E73A2">
        <w:trPr>
          <w:trHeight w:val="315"/>
        </w:trPr>
        <w:tc>
          <w:tcPr>
            <w:tcW w:w="2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F0FAD" w14:textId="77777777" w:rsidR="00EA706E" w:rsidRPr="008A5E3B" w:rsidRDefault="00EA706E" w:rsidP="009E73A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Celkem</w:t>
            </w: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89200F" w14:textId="77777777" w:rsidR="00EA706E" w:rsidRPr="008A5E3B" w:rsidRDefault="00EA706E" w:rsidP="009E73A2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A5E3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100,000000%</w:t>
            </w:r>
          </w:p>
        </w:tc>
        <w:tc>
          <w:tcPr>
            <w:tcW w:w="5235" w:type="dxa"/>
          </w:tcPr>
          <w:p w14:paraId="119FD2D8" w14:textId="77777777" w:rsidR="00EA706E" w:rsidRPr="008A5E3B" w:rsidRDefault="00EA706E" w:rsidP="009E73A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0C8082D5" w14:textId="77777777" w:rsidR="009F3914" w:rsidRDefault="009F3914" w:rsidP="00EA706E">
      <w:pPr>
        <w:spacing w:line="280" w:lineRule="exact"/>
        <w:jc w:val="both"/>
        <w:rPr>
          <w:b/>
        </w:rPr>
      </w:pPr>
    </w:p>
    <w:p w14:paraId="4A83068A" w14:textId="77777777" w:rsidR="009F3914" w:rsidRDefault="009F3914" w:rsidP="00EA706E">
      <w:pPr>
        <w:spacing w:line="280" w:lineRule="exact"/>
        <w:jc w:val="both"/>
        <w:rPr>
          <w:b/>
        </w:rPr>
      </w:pPr>
    </w:p>
    <w:p w14:paraId="07831189" w14:textId="406CA011" w:rsidR="009F3914" w:rsidRPr="00C62617" w:rsidRDefault="009F3914" w:rsidP="009F3914">
      <w:pPr>
        <w:spacing w:line="280" w:lineRule="exact"/>
        <w:jc w:val="both"/>
        <w:rPr>
          <w:b/>
        </w:rPr>
      </w:pPr>
      <w:r>
        <w:rPr>
          <w:b/>
        </w:rPr>
        <w:t xml:space="preserve">2. </w:t>
      </w:r>
      <w:r w:rsidRPr="00C62617">
        <w:rPr>
          <w:b/>
        </w:rPr>
        <w:t>ZÁSADNÍ PŘIPOMÍNKA</w:t>
      </w:r>
    </w:p>
    <w:p w14:paraId="59C63AF0" w14:textId="43939081" w:rsidR="00EA706E" w:rsidRPr="00EA706E" w:rsidRDefault="00EA706E" w:rsidP="00EA706E">
      <w:pPr>
        <w:spacing w:line="280" w:lineRule="exact"/>
        <w:jc w:val="both"/>
      </w:pPr>
      <w:r w:rsidRPr="00EA706E">
        <w:t>Celkově nesystémově je do návrhu RUD zařazen</w:t>
      </w:r>
      <w:r w:rsidR="009F3914">
        <w:t>o hlavní město</w:t>
      </w:r>
      <w:r w:rsidRPr="00EA706E">
        <w:t xml:space="preserve"> Praha, uplatněním pouze části kritérií (výběr těchto kritérií není nikde zdůvodněn) ve srovnání s jinými kraji či paradoxně zařazením pouze 20 % z kritéria počtu obyvatel. Je s</w:t>
      </w:r>
      <w:r w:rsidR="009F3914">
        <w:t> </w:t>
      </w:r>
      <w:r w:rsidRPr="00EA706E">
        <w:t>podivem, že bez zdůvodnění a v rozporu s tím, co bylo schváleno 11 kraji na Asociaci krajů Č</w:t>
      </w:r>
      <w:r w:rsidR="00E30134">
        <w:t>eské republiky dne</w:t>
      </w:r>
      <w:r w:rsidRPr="00EA706E">
        <w:t xml:space="preserve"> 14. 3. 2024 (tedy model bez zařazení obyvatel hlavního města Prahy) se v návrhu zákona objevuje zařazení jedné pětiny počtu obyvatel hlavního města Prahy do propočtu RUD, aniž by došlo k projednání a schválení na úrovní Asociace krajů </w:t>
      </w:r>
      <w:r w:rsidR="00E30134" w:rsidRPr="00EA706E">
        <w:t>Č</w:t>
      </w:r>
      <w:r w:rsidR="00E30134">
        <w:t>eské republiky</w:t>
      </w:r>
      <w:r w:rsidRPr="00EA706E">
        <w:t>, což byla jedna z podmínek předkládaného zákona. M</w:t>
      </w:r>
      <w:r w:rsidR="00E30134">
        <w:t>inisterstvo financí</w:t>
      </w:r>
      <w:r w:rsidRPr="00EA706E">
        <w:t xml:space="preserve"> dlouhodobě upozorňovalo na potřebu vyřazení </w:t>
      </w:r>
      <w:r w:rsidR="00E30134">
        <w:t xml:space="preserve">hlavního města </w:t>
      </w:r>
      <w:r w:rsidRPr="00EA706E">
        <w:t xml:space="preserve">Prahy z RUD krajů. Předložený návrh oproti této dlouhodobé myšlence zavádí uplatněním jen některých kritérií u </w:t>
      </w:r>
      <w:r w:rsidR="00E30134">
        <w:t xml:space="preserve">hlavního města </w:t>
      </w:r>
      <w:r w:rsidRPr="00EA706E">
        <w:t>Prahy zcela absurdní model je</w:t>
      </w:r>
      <w:r w:rsidR="00E30134">
        <w:t>ho</w:t>
      </w:r>
      <w:r w:rsidRPr="00EA706E">
        <w:t xml:space="preserve"> financování. </w:t>
      </w:r>
      <w:r w:rsidR="00E30134">
        <w:t xml:space="preserve">Toto není nijak </w:t>
      </w:r>
      <w:r w:rsidRPr="00EA706E">
        <w:t xml:space="preserve">zdůvodněno </w:t>
      </w:r>
      <w:r w:rsidR="00E30134">
        <w:t>a</w:t>
      </w:r>
      <w:r w:rsidRPr="00EA706E">
        <w:t>ni ve zvláštní části důvodové zprávy k</w:t>
      </w:r>
      <w:r w:rsidR="00CC5656">
        <w:t> </w:t>
      </w:r>
      <w:r w:rsidRPr="00EA706E">
        <w:t>bodu</w:t>
      </w:r>
      <w:r w:rsidR="00CC5656">
        <w:t> </w:t>
      </w:r>
      <w:r w:rsidRPr="00EA706E">
        <w:t>5</w:t>
      </w:r>
      <w:r w:rsidR="00E30134">
        <w:t> </w:t>
      </w:r>
      <w:r w:rsidRPr="00EA706E">
        <w:t>(§</w:t>
      </w:r>
      <w:r w:rsidR="00E30134">
        <w:t> </w:t>
      </w:r>
      <w:r w:rsidRPr="00EA706E">
        <w:t>3</w:t>
      </w:r>
      <w:r w:rsidR="00E30134">
        <w:t> </w:t>
      </w:r>
      <w:r w:rsidRPr="00EA706E">
        <w:t>odst. 2 a 3).</w:t>
      </w:r>
    </w:p>
    <w:p w14:paraId="24CFF59C" w14:textId="77777777" w:rsidR="00EA706E" w:rsidRDefault="00EA706E" w:rsidP="00EA706E">
      <w:pPr>
        <w:spacing w:line="280" w:lineRule="exact"/>
        <w:jc w:val="both"/>
      </w:pPr>
    </w:p>
    <w:p w14:paraId="140B14FE" w14:textId="77777777" w:rsidR="00AF305D" w:rsidRPr="00EA706E" w:rsidRDefault="00AF305D" w:rsidP="00EA706E">
      <w:pPr>
        <w:spacing w:line="280" w:lineRule="exact"/>
        <w:jc w:val="both"/>
      </w:pPr>
    </w:p>
    <w:p w14:paraId="6EC8F5D1" w14:textId="669164CD" w:rsidR="00CC5656" w:rsidRPr="00C62617" w:rsidRDefault="00CC5656" w:rsidP="00CC5656">
      <w:pPr>
        <w:spacing w:line="280" w:lineRule="exact"/>
        <w:jc w:val="both"/>
        <w:rPr>
          <w:b/>
        </w:rPr>
      </w:pPr>
      <w:r>
        <w:rPr>
          <w:b/>
        </w:rPr>
        <w:t xml:space="preserve">3. </w:t>
      </w:r>
      <w:r w:rsidRPr="00C62617">
        <w:rPr>
          <w:b/>
        </w:rPr>
        <w:t>ZÁSADNÍ PŘIPOMÍNKA</w:t>
      </w:r>
    </w:p>
    <w:p w14:paraId="1AC78E8E" w14:textId="5B64B8D5" w:rsidR="00D31077" w:rsidRDefault="00EA706E" w:rsidP="00EA706E">
      <w:pPr>
        <w:spacing w:line="280" w:lineRule="exact"/>
        <w:jc w:val="both"/>
      </w:pPr>
      <w:r w:rsidRPr="00EA706E">
        <w:t>Důvodová zpráva</w:t>
      </w:r>
      <w:r w:rsidR="00CC5656">
        <w:t xml:space="preserve"> (</w:t>
      </w:r>
      <w:r w:rsidRPr="00EA706E">
        <w:t xml:space="preserve">bod 12 </w:t>
      </w:r>
      <w:r w:rsidR="00CC5656">
        <w:t xml:space="preserve">na </w:t>
      </w:r>
      <w:r w:rsidRPr="00EA706E">
        <w:t xml:space="preserve">str.9) hovoří o možnosti nápomoci plnění úkolů kraji díky předloženému návrhu. </w:t>
      </w:r>
      <w:r w:rsidR="00A67C91">
        <w:t>Současně Záv</w:t>
      </w:r>
      <w:r w:rsidR="001B2701">
        <w:t>ě</w:t>
      </w:r>
      <w:r w:rsidR="00A67C91">
        <w:t>rečná zpráva z hodn</w:t>
      </w:r>
      <w:r w:rsidR="001B2701">
        <w:t>ocení</w:t>
      </w:r>
      <w:r w:rsidR="00A67C91">
        <w:t xml:space="preserve"> dopadu regulace (RIA) uvádí, </w:t>
      </w:r>
      <w:r w:rsidR="008E781D">
        <w:t xml:space="preserve">že ve srovnání s očekávanou skutečností plnění daňových příjmů za rok 2024 </w:t>
      </w:r>
      <w:r w:rsidR="001B2701">
        <w:t xml:space="preserve">přináší návrh již v roce 2025 všem krajům (s výjimkou hl. města Prahy) pozitivní efekt, byť v případě Moravskoslezského kraje spíše symbolický. </w:t>
      </w:r>
      <w:r w:rsidRPr="00EA706E">
        <w:t>Je</w:t>
      </w:r>
      <w:r w:rsidR="00CC5656">
        <w:t> </w:t>
      </w:r>
      <w:r w:rsidRPr="00EA706E">
        <w:t>nutno konstatovat, že jde pouze o</w:t>
      </w:r>
      <w:r w:rsidR="005633BE">
        <w:t> </w:t>
      </w:r>
      <w:r w:rsidRPr="00EA706E">
        <w:t>vybrané kraje a rozdílnost dopadu je velmi výrazná. V případě Moravskoslezského kraje je negativní dopad zaznamenán i v roce 2027, tedy po dolití celých 11,3 mld. Kč, neboť v tomto cílovém roce kraj získá 171 mil. Kč, nicméně již neobdrží pravidelnou roční dotaci ze Státního fondu dopravní infrastruktury ve výši 216 mil. Kč. Dopad pro kraj je tedy i ve finálním roce 2027 minus 45 mil. K</w:t>
      </w:r>
      <w:r w:rsidR="00771FFB">
        <w:t>č, při srovnání s aktuálně platným stavem.</w:t>
      </w:r>
    </w:p>
    <w:p w14:paraId="1C4CD507" w14:textId="590E75BC" w:rsidR="00EA706E" w:rsidRPr="00EA706E" w:rsidRDefault="0085713D" w:rsidP="00EA706E">
      <w:pPr>
        <w:spacing w:line="280" w:lineRule="exact"/>
        <w:jc w:val="both"/>
      </w:pPr>
      <w:r>
        <w:t>Na</w:t>
      </w:r>
      <w:r w:rsidR="001548D7">
        <w:t xml:space="preserve"> negativní dopad</w:t>
      </w:r>
      <w:r w:rsidR="005809AA">
        <w:t xml:space="preserve"> a nevhodnost řady zvolených kritérií</w:t>
      </w:r>
      <w:r w:rsidR="001548D7">
        <w:t xml:space="preserve"> </w:t>
      </w:r>
      <w:r w:rsidR="00EF4823">
        <w:t xml:space="preserve">pro </w:t>
      </w:r>
      <w:r w:rsidR="00734B4A">
        <w:t>strukturálně postižené regiony</w:t>
      </w:r>
      <w:r w:rsidR="00EF4823">
        <w:t xml:space="preserve"> </w:t>
      </w:r>
      <w:r w:rsidR="00734B4A">
        <w:t>upozorňuje</w:t>
      </w:r>
      <w:r w:rsidR="00EF4823">
        <w:t xml:space="preserve"> i Daniel Prokop, od roku 2022 člen Národní ekonomické </w:t>
      </w:r>
      <w:r w:rsidR="00734B4A">
        <w:t>rady vlády.</w:t>
      </w:r>
    </w:p>
    <w:p w14:paraId="4A951BEC" w14:textId="77777777" w:rsidR="00EA706E" w:rsidRPr="00EA706E" w:rsidRDefault="00EA706E" w:rsidP="00EA706E">
      <w:pPr>
        <w:spacing w:line="280" w:lineRule="exact"/>
        <w:jc w:val="both"/>
      </w:pPr>
    </w:p>
    <w:p w14:paraId="555D1748" w14:textId="77777777" w:rsidR="00EA706E" w:rsidRDefault="00EA706E" w:rsidP="00EA706E">
      <w:pPr>
        <w:spacing w:line="280" w:lineRule="exact"/>
        <w:jc w:val="both"/>
      </w:pPr>
    </w:p>
    <w:p w14:paraId="13AFF46A" w14:textId="3B829384" w:rsidR="006C3C11" w:rsidRDefault="00AC392B" w:rsidP="006C3C11">
      <w:pPr>
        <w:spacing w:line="280" w:lineRule="exact"/>
        <w:jc w:val="both"/>
        <w:rPr>
          <w:b/>
        </w:rPr>
      </w:pPr>
      <w:r>
        <w:rPr>
          <w:b/>
        </w:rPr>
        <w:t>ZÁVĚREČNÁ</w:t>
      </w:r>
      <w:r w:rsidR="006C3C11">
        <w:rPr>
          <w:b/>
        </w:rPr>
        <w:t xml:space="preserve"> OBECNÁ</w:t>
      </w:r>
      <w:r w:rsidR="006C3C11" w:rsidRPr="00C62617">
        <w:rPr>
          <w:b/>
        </w:rPr>
        <w:t xml:space="preserve"> ZÁSADNÍ PŘIPOMÍNKA</w:t>
      </w:r>
    </w:p>
    <w:p w14:paraId="790B7B03" w14:textId="18512AEB" w:rsidR="00F875DC" w:rsidRPr="00E621FC" w:rsidRDefault="00F875DC" w:rsidP="00F875DC">
      <w:pPr>
        <w:pStyle w:val="xmsonormal"/>
        <w:shd w:val="clear" w:color="auto" w:fill="FFFFFF" w:themeFill="background1"/>
        <w:spacing w:line="280" w:lineRule="atLeast"/>
        <w:jc w:val="both"/>
        <w:rPr>
          <w:rFonts w:eastAsiaTheme="minorEastAsia"/>
          <w:b/>
          <w:bCs/>
        </w:rPr>
      </w:pPr>
      <w:r w:rsidRPr="00E621FC">
        <w:rPr>
          <w:rFonts w:eastAsiaTheme="minorEastAsia"/>
          <w:b/>
          <w:bCs/>
        </w:rPr>
        <w:t xml:space="preserve">V případě, že nebude akceptován návrh </w:t>
      </w:r>
      <w:r w:rsidR="00E7162F">
        <w:rPr>
          <w:rFonts w:eastAsiaTheme="minorEastAsia"/>
          <w:b/>
          <w:bCs/>
        </w:rPr>
        <w:t>Moravskoslezského kraje</w:t>
      </w:r>
      <w:r w:rsidRPr="00E621FC">
        <w:rPr>
          <w:rFonts w:eastAsiaTheme="minorEastAsia"/>
          <w:b/>
          <w:bCs/>
        </w:rPr>
        <w:t xml:space="preserve"> na přepracování změny zákona v souladu s usnesením Komise pro financování a majetek krajů Rady Asociace krajů České republiky ze dne 21. 4. 2022, navrhujeme jako další variantu navýšit prostředky pro</w:t>
      </w:r>
      <w:r w:rsidR="00E7162F">
        <w:rPr>
          <w:rFonts w:eastAsiaTheme="minorEastAsia"/>
          <w:b/>
          <w:bCs/>
        </w:rPr>
        <w:t> </w:t>
      </w:r>
      <w:r w:rsidRPr="00E621FC">
        <w:rPr>
          <w:rFonts w:eastAsiaTheme="minorEastAsia"/>
          <w:b/>
          <w:bCs/>
        </w:rPr>
        <w:t>Moravskoslezský kraj nad rámec modelu výpočtu podílů jednotlivých krajů samostatným každoročním příspěvkem ve výši 0,1 % z celostátního hrubého výnosu daní uvedených v § 3 odst.</w:t>
      </w:r>
      <w:r w:rsidR="00E7162F">
        <w:rPr>
          <w:rFonts w:eastAsiaTheme="minorEastAsia"/>
          <w:b/>
          <w:bCs/>
        </w:rPr>
        <w:t> </w:t>
      </w:r>
      <w:r w:rsidRPr="00E621FC">
        <w:rPr>
          <w:rFonts w:eastAsiaTheme="minorEastAsia"/>
          <w:b/>
          <w:bCs/>
        </w:rPr>
        <w:t>1 zákona o RUD. O výši tohoto příspěvku by byl ponížen příjem krajů z celostátního hrubého výnosu daní v § 3 odst. 1 zákona o RUD.</w:t>
      </w:r>
    </w:p>
    <w:p w14:paraId="487B28A9" w14:textId="77777777" w:rsidR="00F875DC" w:rsidRDefault="00F875DC" w:rsidP="00F875DC">
      <w:pPr>
        <w:pStyle w:val="xmsonormal"/>
        <w:shd w:val="clear" w:color="auto" w:fill="FFFFFF" w:themeFill="background1"/>
        <w:spacing w:line="280" w:lineRule="atLeast"/>
        <w:jc w:val="both"/>
      </w:pPr>
      <w:r>
        <w:rPr>
          <w:b/>
          <w:bCs/>
        </w:rPr>
        <w:lastRenderedPageBreak/>
        <w:t> </w:t>
      </w:r>
    </w:p>
    <w:p w14:paraId="2E47532A" w14:textId="5B71CA31" w:rsidR="006F4A1E" w:rsidRDefault="00AC392B" w:rsidP="00EA706E">
      <w:pPr>
        <w:spacing w:line="280" w:lineRule="exact"/>
        <w:jc w:val="both"/>
        <w:rPr>
          <w:b/>
          <w:bCs/>
        </w:rPr>
      </w:pPr>
      <w:r w:rsidRPr="00320F63">
        <w:rPr>
          <w:b/>
          <w:bCs/>
        </w:rPr>
        <w:t>Pokud by výše uvedené obecné i konkrétní zásadní připomínky k </w:t>
      </w:r>
      <w:r w:rsidR="00A06398" w:rsidRPr="00320F63">
        <w:rPr>
          <w:b/>
          <w:bCs/>
        </w:rPr>
        <w:t>předloženému</w:t>
      </w:r>
      <w:r w:rsidRPr="00320F63">
        <w:rPr>
          <w:b/>
          <w:bCs/>
        </w:rPr>
        <w:t xml:space="preserve"> návrhu zákona </w:t>
      </w:r>
      <w:r w:rsidR="00DF44E4" w:rsidRPr="00320F63">
        <w:rPr>
          <w:b/>
          <w:bCs/>
        </w:rPr>
        <w:t>o</w:t>
      </w:r>
      <w:r w:rsidR="00320F63">
        <w:rPr>
          <w:b/>
          <w:bCs/>
        </w:rPr>
        <w:t> </w:t>
      </w:r>
      <w:r w:rsidR="00DF44E4" w:rsidRPr="00320F63">
        <w:rPr>
          <w:b/>
          <w:bCs/>
        </w:rPr>
        <w:t xml:space="preserve">RUD nebyly ze strany Ministerstva financí akceptovány, </w:t>
      </w:r>
      <w:r w:rsidR="00A06398" w:rsidRPr="00320F63">
        <w:rPr>
          <w:b/>
          <w:bCs/>
        </w:rPr>
        <w:t>požadujeme</w:t>
      </w:r>
      <w:r w:rsidR="00DF44E4" w:rsidRPr="00320F63">
        <w:rPr>
          <w:b/>
          <w:bCs/>
        </w:rPr>
        <w:t xml:space="preserve"> </w:t>
      </w:r>
      <w:r w:rsidR="00A4751F" w:rsidRPr="00320F63">
        <w:rPr>
          <w:b/>
          <w:bCs/>
        </w:rPr>
        <w:t xml:space="preserve">stažení </w:t>
      </w:r>
      <w:r w:rsidR="00A06398" w:rsidRPr="00320F63">
        <w:rPr>
          <w:b/>
          <w:bCs/>
        </w:rPr>
        <w:t>předloženého</w:t>
      </w:r>
      <w:r w:rsidR="00A4751F" w:rsidRPr="00320F63">
        <w:rPr>
          <w:b/>
          <w:bCs/>
        </w:rPr>
        <w:t xml:space="preserve"> návrhu zákona z legislativního procesu a ponechání </w:t>
      </w:r>
      <w:r w:rsidR="007205EF" w:rsidRPr="00320F63">
        <w:rPr>
          <w:b/>
          <w:bCs/>
        </w:rPr>
        <w:t xml:space="preserve">stávajícího </w:t>
      </w:r>
      <w:r w:rsidR="00A4751F" w:rsidRPr="00320F63">
        <w:rPr>
          <w:b/>
          <w:bCs/>
        </w:rPr>
        <w:t>znění zákona o RUD v platnosti.</w:t>
      </w:r>
      <w:r w:rsidR="00E173DD">
        <w:rPr>
          <w:b/>
          <w:bCs/>
        </w:rPr>
        <w:t xml:space="preserve"> </w:t>
      </w:r>
    </w:p>
    <w:p w14:paraId="2EEAA4E2" w14:textId="77777777" w:rsidR="006F4A1E" w:rsidRDefault="006F4A1E" w:rsidP="00EA706E">
      <w:pPr>
        <w:spacing w:line="280" w:lineRule="exact"/>
        <w:jc w:val="both"/>
        <w:rPr>
          <w:b/>
          <w:bCs/>
        </w:rPr>
      </w:pPr>
    </w:p>
    <w:p w14:paraId="3AE0D1D6" w14:textId="633F8513" w:rsidR="00A97532" w:rsidRPr="006F7C7C" w:rsidRDefault="00375D2F" w:rsidP="00EA706E">
      <w:pPr>
        <w:spacing w:line="280" w:lineRule="exact"/>
        <w:jc w:val="both"/>
        <w:rPr>
          <w:b/>
          <w:bCs/>
          <w:u w:val="single"/>
        </w:rPr>
      </w:pPr>
      <w:r w:rsidRPr="006F7C7C">
        <w:rPr>
          <w:b/>
          <w:bCs/>
          <w:u w:val="single"/>
        </w:rPr>
        <w:t>Považujeme za alarmující</w:t>
      </w:r>
      <w:r w:rsidR="00297067" w:rsidRPr="006F7C7C">
        <w:rPr>
          <w:b/>
          <w:bCs/>
          <w:u w:val="single"/>
        </w:rPr>
        <w:t>, že předložení navrhovaného zákona</w:t>
      </w:r>
      <w:r w:rsidR="00F55F1A" w:rsidRPr="006F7C7C">
        <w:rPr>
          <w:b/>
          <w:bCs/>
          <w:u w:val="single"/>
        </w:rPr>
        <w:t xml:space="preserve"> </w:t>
      </w:r>
      <w:r w:rsidR="00297067" w:rsidRPr="006F7C7C">
        <w:rPr>
          <w:b/>
          <w:bCs/>
          <w:u w:val="single"/>
        </w:rPr>
        <w:t>nepředcházela důkladná a podrobná analýz</w:t>
      </w:r>
      <w:r w:rsidR="00635C79" w:rsidRPr="006F7C7C">
        <w:rPr>
          <w:b/>
          <w:bCs/>
          <w:u w:val="single"/>
        </w:rPr>
        <w:t xml:space="preserve">a </w:t>
      </w:r>
      <w:r w:rsidR="00132B10" w:rsidRPr="006F7C7C">
        <w:rPr>
          <w:b/>
          <w:bCs/>
          <w:u w:val="single"/>
        </w:rPr>
        <w:t xml:space="preserve">skutečných výdajů </w:t>
      </w:r>
      <w:r w:rsidR="00CD4504" w:rsidRPr="006F7C7C">
        <w:rPr>
          <w:b/>
          <w:bCs/>
          <w:u w:val="single"/>
        </w:rPr>
        <w:t>krajů a budoucích dopadů do financování krajů</w:t>
      </w:r>
      <w:r w:rsidR="00132B10" w:rsidRPr="006F7C7C">
        <w:rPr>
          <w:b/>
          <w:bCs/>
          <w:u w:val="single"/>
        </w:rPr>
        <w:t xml:space="preserve"> </w:t>
      </w:r>
      <w:r w:rsidR="00297067" w:rsidRPr="006F7C7C">
        <w:rPr>
          <w:b/>
          <w:bCs/>
          <w:u w:val="single"/>
        </w:rPr>
        <w:t>tak</w:t>
      </w:r>
      <w:r w:rsidR="00132B10" w:rsidRPr="006F7C7C">
        <w:rPr>
          <w:b/>
          <w:bCs/>
          <w:u w:val="single"/>
        </w:rPr>
        <w:t>,</w:t>
      </w:r>
      <w:r w:rsidR="00297067" w:rsidRPr="006F7C7C">
        <w:rPr>
          <w:b/>
          <w:bCs/>
          <w:u w:val="single"/>
        </w:rPr>
        <w:t xml:space="preserve"> jak tomu </w:t>
      </w:r>
      <w:r w:rsidR="006F4A1E" w:rsidRPr="006F7C7C">
        <w:rPr>
          <w:b/>
          <w:bCs/>
          <w:u w:val="single"/>
        </w:rPr>
        <w:t>bylo v případě dřívější změ</w:t>
      </w:r>
      <w:r w:rsidR="00635C79" w:rsidRPr="006F7C7C">
        <w:rPr>
          <w:b/>
          <w:bCs/>
          <w:u w:val="single"/>
        </w:rPr>
        <w:t>n</w:t>
      </w:r>
      <w:r w:rsidR="006F4A1E" w:rsidRPr="006F7C7C">
        <w:rPr>
          <w:b/>
          <w:bCs/>
          <w:u w:val="single"/>
        </w:rPr>
        <w:t>y u RUD obcí.</w:t>
      </w:r>
    </w:p>
    <w:p w14:paraId="47F9CB61" w14:textId="77777777" w:rsidR="00A97532" w:rsidRDefault="00A97532" w:rsidP="00EA706E">
      <w:pPr>
        <w:spacing w:line="280" w:lineRule="exact"/>
        <w:jc w:val="both"/>
      </w:pPr>
    </w:p>
    <w:p w14:paraId="2F50E5FF" w14:textId="77777777" w:rsidR="00320F63" w:rsidRPr="00EA706E" w:rsidRDefault="00320F63" w:rsidP="00EA706E">
      <w:pPr>
        <w:spacing w:line="280" w:lineRule="exact"/>
        <w:jc w:val="both"/>
      </w:pPr>
    </w:p>
    <w:p w14:paraId="49073E36" w14:textId="77777777" w:rsidR="00D84CC7" w:rsidRDefault="00D84CC7" w:rsidP="00D84CC7">
      <w:pPr>
        <w:pStyle w:val="KUMS-text"/>
        <w:spacing w:after="240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Doporučující</w:t>
      </w:r>
      <w:r w:rsidRPr="0057287E">
        <w:rPr>
          <w:b/>
          <w:spacing w:val="20"/>
          <w:sz w:val="22"/>
          <w:szCs w:val="22"/>
        </w:rPr>
        <w:t xml:space="preserve"> připomínky</w:t>
      </w:r>
      <w:r w:rsidRPr="0057287E">
        <w:rPr>
          <w:b/>
          <w:spacing w:val="20"/>
          <w:sz w:val="22"/>
          <w:szCs w:val="22"/>
        </w:rPr>
        <w:tab/>
      </w:r>
    </w:p>
    <w:p w14:paraId="26A28AC8" w14:textId="4AD781CD" w:rsidR="00267BFB" w:rsidRDefault="00267BFB" w:rsidP="00267BFB">
      <w:pPr>
        <w:pStyle w:val="KUMS-text"/>
        <w:spacing w:after="0"/>
      </w:pPr>
      <w:r>
        <w:t>-</w:t>
      </w:r>
    </w:p>
    <w:p w14:paraId="090DF654" w14:textId="77777777" w:rsidR="00D84CC7" w:rsidRPr="001A7DBC" w:rsidRDefault="00D84CC7" w:rsidP="00D84CC7">
      <w:pPr>
        <w:pStyle w:val="KUMS-text"/>
        <w:tabs>
          <w:tab w:val="left" w:pos="1065"/>
        </w:tabs>
        <w:spacing w:after="0"/>
      </w:pPr>
      <w:r w:rsidRPr="001A7DBC">
        <w:tab/>
      </w:r>
    </w:p>
    <w:p w14:paraId="77AFB3FA" w14:textId="77777777" w:rsidR="00D84CC7" w:rsidRPr="001A7DBC" w:rsidRDefault="00D84CC7" w:rsidP="00D84CC7">
      <w:pPr>
        <w:pStyle w:val="KUMS-text"/>
        <w:spacing w:after="0"/>
        <w:rPr>
          <w:b/>
          <w:spacing w:val="20"/>
        </w:rPr>
      </w:pPr>
    </w:p>
    <w:p w14:paraId="532715E3" w14:textId="77777777" w:rsidR="00D84CC7" w:rsidRPr="00AD4726" w:rsidRDefault="00D84CC7" w:rsidP="00D84CC7">
      <w:pPr>
        <w:pStyle w:val="KUMS-Vc"/>
      </w:pPr>
    </w:p>
    <w:p w14:paraId="1D7F7497" w14:textId="77777777" w:rsidR="00D84CC7" w:rsidRPr="00AD4726" w:rsidRDefault="00D84CC7" w:rsidP="00D84CC7">
      <w:pPr>
        <w:pStyle w:val="KUMS-Vc"/>
      </w:pPr>
    </w:p>
    <w:p w14:paraId="74A3BD5D" w14:textId="5577B53E" w:rsidR="00127760" w:rsidRPr="00AD4726" w:rsidRDefault="00127760" w:rsidP="00D84CC7">
      <w:pPr>
        <w:pStyle w:val="KUMS-Vc"/>
      </w:pPr>
    </w:p>
    <w:sectPr w:rsidR="00127760" w:rsidRPr="00AD4726" w:rsidSect="00C25E8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11" w:right="907" w:bottom="1701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1520" w14:textId="77777777" w:rsidR="00C25E84" w:rsidRDefault="00C25E84">
      <w:r>
        <w:separator/>
      </w:r>
    </w:p>
  </w:endnote>
  <w:endnote w:type="continuationSeparator" w:id="0">
    <w:p w14:paraId="6BED3106" w14:textId="77777777" w:rsidR="00C25E84" w:rsidRDefault="00C2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2"/>
      <w:gridCol w:w="134"/>
      <w:gridCol w:w="2055"/>
      <w:gridCol w:w="3154"/>
      <w:gridCol w:w="2432"/>
      <w:gridCol w:w="1218"/>
      <w:gridCol w:w="60"/>
    </w:tblGrid>
    <w:tr w:rsidR="00AD4726" w:rsidRPr="00AD4726" w14:paraId="0CF9E88B" w14:textId="77777777" w:rsidTr="00127760">
      <w:trPr>
        <w:gridAfter w:val="1"/>
        <w:wAfter w:w="60" w:type="dxa"/>
        <w:trHeight w:val="397"/>
      </w:trPr>
      <w:tc>
        <w:tcPr>
          <w:tcW w:w="1142" w:type="dxa"/>
          <w:vAlign w:val="bottom"/>
          <w:hideMark/>
        </w:tcPr>
        <w:p w14:paraId="17429AA8" w14:textId="5E5CF55A" w:rsidR="00AD4726" w:rsidRDefault="00065F04" w:rsidP="00AD4726">
          <w:pPr>
            <w:pStyle w:val="Zpat"/>
            <w:tabs>
              <w:tab w:val="right" w:pos="6677"/>
            </w:tabs>
            <w:spacing w:line="276" w:lineRule="auto"/>
            <w:jc w:val="center"/>
            <w:rPr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23DEF712" wp14:editId="7AD1D17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685"/>
                    <wp:effectExtent l="0" t="0" r="2540" b="4445"/>
                    <wp:wrapNone/>
                    <wp:docPr id="395404405" name="MSIPCM9274490abc53981558cb7e1e" descr="{&quot;HashCode&quot;:404668015,&quot;Height&quot;:841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5A32F7" w14:textId="77777777" w:rsidR="00AD4726" w:rsidRDefault="00AD4726" w:rsidP="00AD472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</w:p>
                              <w:p w14:paraId="5961EFD1" w14:textId="77777777" w:rsidR="00AD4726" w:rsidRDefault="00AD4726" w:rsidP="00AD472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DEF71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274490abc53981558cb7e1e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      <v:textbox inset="20pt,0,,0">
                      <w:txbxContent>
                        <w:p w14:paraId="025A32F7" w14:textId="77777777" w:rsidR="00AD4726" w:rsidRDefault="00AD4726" w:rsidP="00AD472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5961EFD1" w14:textId="77777777" w:rsidR="00AD4726" w:rsidRDefault="00AD4726" w:rsidP="00AD472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7775" w:type="dxa"/>
          <w:gridSpan w:val="4"/>
          <w:vAlign w:val="bottom"/>
        </w:tcPr>
        <w:p w14:paraId="7133D427" w14:textId="77777777" w:rsidR="00AD4726" w:rsidRDefault="00AD4726" w:rsidP="00AD472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</w:p>
      </w:tc>
      <w:tc>
        <w:tcPr>
          <w:tcW w:w="1218" w:type="dxa"/>
          <w:hideMark/>
        </w:tcPr>
        <w:p w14:paraId="6C5ED40D" w14:textId="77777777" w:rsidR="00AD4726" w:rsidRPr="00127760" w:rsidRDefault="00AD4726" w:rsidP="00AD4726">
          <w:pPr>
            <w:pStyle w:val="Zpat"/>
            <w:tabs>
              <w:tab w:val="clear" w:pos="4536"/>
              <w:tab w:val="clear" w:pos="9072"/>
              <w:tab w:val="right" w:pos="6691"/>
              <w:tab w:val="right" w:pos="10206"/>
            </w:tabs>
            <w:spacing w:line="276" w:lineRule="auto"/>
            <w:jc w:val="center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fldChar w:fldCharType="begin"/>
          </w:r>
          <w:r w:rsidRPr="00127760">
            <w:rPr>
              <w:sz w:val="14"/>
              <w:szCs w:val="14"/>
            </w:rPr>
            <w:instrText xml:space="preserve"> PAGE </w:instrText>
          </w:r>
          <w:r w:rsidRPr="00127760">
            <w:rPr>
              <w:sz w:val="14"/>
              <w:szCs w:val="14"/>
            </w:rPr>
            <w:fldChar w:fldCharType="separate"/>
          </w:r>
          <w:r w:rsidRPr="00127760">
            <w:rPr>
              <w:noProof/>
              <w:sz w:val="14"/>
              <w:szCs w:val="14"/>
            </w:rPr>
            <w:t>2</w:t>
          </w:r>
          <w:r w:rsidRPr="00127760">
            <w:rPr>
              <w:sz w:val="14"/>
              <w:szCs w:val="14"/>
            </w:rPr>
            <w:fldChar w:fldCharType="end"/>
          </w:r>
          <w:r w:rsidRPr="00127760">
            <w:rPr>
              <w:sz w:val="14"/>
              <w:szCs w:val="14"/>
            </w:rPr>
            <w:t>/</w:t>
          </w:r>
          <w:r w:rsidRPr="00127760">
            <w:rPr>
              <w:sz w:val="14"/>
              <w:szCs w:val="14"/>
            </w:rPr>
            <w:fldChar w:fldCharType="begin"/>
          </w:r>
          <w:r w:rsidRPr="00127760">
            <w:rPr>
              <w:sz w:val="14"/>
              <w:szCs w:val="14"/>
            </w:rPr>
            <w:instrText xml:space="preserve"> NUMPAGES </w:instrText>
          </w:r>
          <w:r w:rsidRPr="00127760">
            <w:rPr>
              <w:sz w:val="14"/>
              <w:szCs w:val="14"/>
            </w:rPr>
            <w:fldChar w:fldCharType="separate"/>
          </w:r>
          <w:r w:rsidRPr="00127760">
            <w:rPr>
              <w:noProof/>
              <w:sz w:val="14"/>
              <w:szCs w:val="14"/>
            </w:rPr>
            <w:t>2</w:t>
          </w:r>
          <w:r w:rsidRPr="00127760">
            <w:rPr>
              <w:sz w:val="14"/>
              <w:szCs w:val="14"/>
            </w:rPr>
            <w:fldChar w:fldCharType="end"/>
          </w:r>
        </w:p>
      </w:tc>
    </w:tr>
    <w:tr w:rsidR="00127760" w:rsidRPr="00AD4726" w14:paraId="2E2043C0" w14:textId="77777777" w:rsidTr="00127760">
      <w:tc>
        <w:tcPr>
          <w:tcW w:w="1276" w:type="dxa"/>
          <w:gridSpan w:val="2"/>
          <w:hideMark/>
        </w:tcPr>
        <w:p w14:paraId="6A5ACCAC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Tel.: 595 622 222</w:t>
          </w:r>
        </w:p>
      </w:tc>
      <w:tc>
        <w:tcPr>
          <w:tcW w:w="2055" w:type="dxa"/>
          <w:hideMark/>
        </w:tcPr>
        <w:p w14:paraId="386ADAD2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IČ: 70890692</w:t>
          </w:r>
        </w:p>
      </w:tc>
      <w:tc>
        <w:tcPr>
          <w:tcW w:w="3154" w:type="dxa"/>
          <w:vMerge w:val="restart"/>
          <w:hideMark/>
        </w:tcPr>
        <w:p w14:paraId="76597930" w14:textId="4C0C4F8C" w:rsidR="00127760" w:rsidRDefault="00065F04" w:rsidP="00AD472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noProof/>
              <w:color w:val="C0C0C0"/>
              <w:sz w:val="14"/>
              <w:szCs w:val="14"/>
            </w:rPr>
            <w:drawing>
              <wp:inline distT="0" distB="0" distL="0" distR="0" wp14:anchorId="3BB93B17" wp14:editId="3D038B85">
                <wp:extent cx="1457325" cy="38100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dxa"/>
          <w:gridSpan w:val="3"/>
        </w:tcPr>
        <w:p w14:paraId="618B0A8A" w14:textId="77777777" w:rsidR="00127760" w:rsidRDefault="00127760" w:rsidP="00AD4726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27760" w:rsidRPr="00AD4726" w14:paraId="399D9457" w14:textId="77777777" w:rsidTr="00127760">
      <w:tc>
        <w:tcPr>
          <w:tcW w:w="1276" w:type="dxa"/>
          <w:gridSpan w:val="2"/>
          <w:hideMark/>
        </w:tcPr>
        <w:p w14:paraId="26D3DAA5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Fax: 595 622 126</w:t>
          </w:r>
        </w:p>
      </w:tc>
      <w:tc>
        <w:tcPr>
          <w:tcW w:w="2055" w:type="dxa"/>
          <w:hideMark/>
        </w:tcPr>
        <w:p w14:paraId="2877A0C5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DIČ: CZ70890692</w:t>
          </w:r>
        </w:p>
      </w:tc>
      <w:tc>
        <w:tcPr>
          <w:tcW w:w="3154" w:type="dxa"/>
          <w:vMerge/>
          <w:vAlign w:val="center"/>
          <w:hideMark/>
        </w:tcPr>
        <w:p w14:paraId="105F5B38" w14:textId="77777777" w:rsidR="00127760" w:rsidRDefault="00127760" w:rsidP="00AD472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gridSpan w:val="3"/>
        </w:tcPr>
        <w:p w14:paraId="353B28EB" w14:textId="595582CA" w:rsidR="00127760" w:rsidRDefault="00065F04" w:rsidP="00AD4726">
          <w:pPr>
            <w:pStyle w:val="Zpat"/>
            <w:spacing w:line="276" w:lineRule="auto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C1CBB1F" wp14:editId="714AB02C">
                <wp:extent cx="2266950" cy="133350"/>
                <wp:effectExtent l="0" t="0" r="0" b="0"/>
                <wp:docPr id="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760" w:rsidRPr="00AD4726" w14:paraId="67837713" w14:textId="77777777" w:rsidTr="00127760">
      <w:tc>
        <w:tcPr>
          <w:tcW w:w="1276" w:type="dxa"/>
          <w:gridSpan w:val="2"/>
          <w:hideMark/>
        </w:tcPr>
        <w:p w14:paraId="6D50A6B1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ID DS: 8x6bxsd</w:t>
          </w:r>
        </w:p>
      </w:tc>
      <w:tc>
        <w:tcPr>
          <w:tcW w:w="2055" w:type="dxa"/>
          <w:hideMark/>
        </w:tcPr>
        <w:p w14:paraId="4A17D361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Č. účtu: 1650676349/0800</w:t>
          </w:r>
        </w:p>
      </w:tc>
      <w:tc>
        <w:tcPr>
          <w:tcW w:w="3154" w:type="dxa"/>
          <w:vMerge/>
          <w:vAlign w:val="center"/>
          <w:hideMark/>
        </w:tcPr>
        <w:p w14:paraId="0F150C7A" w14:textId="77777777" w:rsidR="00127760" w:rsidRDefault="00127760" w:rsidP="00AD472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gridSpan w:val="3"/>
          <w:hideMark/>
        </w:tcPr>
        <w:p w14:paraId="358C6ECD" w14:textId="77777777" w:rsidR="00127760" w:rsidRDefault="00127760" w:rsidP="00AD4726">
          <w:pPr>
            <w:pStyle w:val="Zpat"/>
            <w:spacing w:line="276" w:lineRule="auto"/>
            <w:jc w:val="center"/>
            <w:rPr>
              <w:color w:val="E41C76"/>
              <w:sz w:val="14"/>
              <w:szCs w:val="14"/>
            </w:rPr>
          </w:pPr>
          <w:r>
            <w:rPr>
              <w:sz w:val="18"/>
              <w:szCs w:val="18"/>
            </w:rPr>
            <w:t xml:space="preserve">  </w:t>
          </w:r>
          <w:r>
            <w:rPr>
              <w:color w:val="FF0000"/>
              <w:sz w:val="18"/>
              <w:szCs w:val="18"/>
            </w:rPr>
            <w:t>www.msk.cz</w:t>
          </w:r>
        </w:p>
      </w:tc>
    </w:tr>
  </w:tbl>
  <w:p w14:paraId="397C147B" w14:textId="77777777"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7"/>
      <w:gridCol w:w="2054"/>
      <w:gridCol w:w="3153"/>
      <w:gridCol w:w="3710"/>
    </w:tblGrid>
    <w:tr w:rsidR="00127760" w:rsidRPr="00AD4726" w14:paraId="4BB020D5" w14:textId="77777777" w:rsidTr="00127760">
      <w:tc>
        <w:tcPr>
          <w:tcW w:w="1277" w:type="dxa"/>
          <w:hideMark/>
        </w:tcPr>
        <w:p w14:paraId="16BADC14" w14:textId="7AE87A8E" w:rsidR="00127760" w:rsidRPr="00127760" w:rsidRDefault="00065F04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3E5A35F" wp14:editId="4659B7A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685"/>
                    <wp:effectExtent l="0" t="0" r="2540" b="4445"/>
                    <wp:wrapNone/>
                    <wp:docPr id="1332837679" name="MSIPCM71b94d1e92bdbfdc327105e1" descr="{&quot;HashCode&quot;:404668015,&quot;Height&quot;:841.0,&quot;Width&quot;:595.0,&quot;Placement&quot;:&quot;Footer&quot;,&quot;Index&quot;:&quot;FirstPage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EE875A" w14:textId="77777777" w:rsidR="00127760" w:rsidRDefault="00127760" w:rsidP="00AD472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</w:p>
                              <w:p w14:paraId="1FCB8414" w14:textId="77777777" w:rsidR="00127760" w:rsidRDefault="00127760" w:rsidP="00AD4726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E5A35F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1b94d1e92bdbfdc327105e1" o:spid="_x0000_s1028" type="#_x0000_t202" alt="{&quot;HashCode&quot;:40466801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Hv5QEAAKE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" o:allowincell="f" filled="f" stroked="f">
                    <v:textbox inset="20pt,0,,0">
                      <w:txbxContent>
                        <w:p w14:paraId="7EEE875A" w14:textId="77777777" w:rsidR="00127760" w:rsidRDefault="00127760" w:rsidP="00AD472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1FCB8414" w14:textId="77777777" w:rsidR="00127760" w:rsidRDefault="00127760" w:rsidP="00AD472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27760" w:rsidRPr="00127760">
            <w:rPr>
              <w:sz w:val="14"/>
              <w:szCs w:val="14"/>
            </w:rPr>
            <w:t>Tel.: 595 622 222</w:t>
          </w:r>
        </w:p>
      </w:tc>
      <w:tc>
        <w:tcPr>
          <w:tcW w:w="2054" w:type="dxa"/>
          <w:hideMark/>
        </w:tcPr>
        <w:p w14:paraId="1999972D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IČ: 70890692</w:t>
          </w:r>
        </w:p>
      </w:tc>
      <w:tc>
        <w:tcPr>
          <w:tcW w:w="3153" w:type="dxa"/>
          <w:vMerge w:val="restart"/>
          <w:hideMark/>
        </w:tcPr>
        <w:p w14:paraId="34495DC2" w14:textId="00146EB0" w:rsidR="00127760" w:rsidRDefault="00065F04" w:rsidP="00AD4726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noProof/>
              <w:color w:val="C0C0C0"/>
              <w:sz w:val="14"/>
              <w:szCs w:val="14"/>
            </w:rPr>
            <w:drawing>
              <wp:inline distT="0" distB="0" distL="0" distR="0" wp14:anchorId="7BB96925" wp14:editId="0622CCB8">
                <wp:extent cx="1457325" cy="381000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dxa"/>
        </w:tcPr>
        <w:p w14:paraId="7D9EAF18" w14:textId="77777777" w:rsidR="00127760" w:rsidRDefault="00127760" w:rsidP="00AD4726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127760" w:rsidRPr="00AD4726" w14:paraId="41A2F793" w14:textId="77777777" w:rsidTr="00127760">
      <w:tc>
        <w:tcPr>
          <w:tcW w:w="1277" w:type="dxa"/>
          <w:hideMark/>
        </w:tcPr>
        <w:p w14:paraId="3EE8619F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Fax: 595 622 126</w:t>
          </w:r>
        </w:p>
      </w:tc>
      <w:tc>
        <w:tcPr>
          <w:tcW w:w="2054" w:type="dxa"/>
          <w:hideMark/>
        </w:tcPr>
        <w:p w14:paraId="73F5ED38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DIČ: CZ70890692</w:t>
          </w:r>
        </w:p>
      </w:tc>
      <w:tc>
        <w:tcPr>
          <w:tcW w:w="3153" w:type="dxa"/>
          <w:vMerge/>
          <w:vAlign w:val="center"/>
          <w:hideMark/>
        </w:tcPr>
        <w:p w14:paraId="3C9A8317" w14:textId="77777777" w:rsidR="00127760" w:rsidRDefault="00127760" w:rsidP="00AD472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</w:tcPr>
        <w:p w14:paraId="0EA3EC0A" w14:textId="2A348662" w:rsidR="00127760" w:rsidRDefault="00065F04" w:rsidP="00AD4726">
          <w:pPr>
            <w:pStyle w:val="Zpat"/>
            <w:spacing w:line="276" w:lineRule="auto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1303B764" wp14:editId="6CCA5BE6">
                <wp:extent cx="2266950" cy="133350"/>
                <wp:effectExtent l="0" t="0" r="0" b="0"/>
                <wp:docPr id="1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760" w:rsidRPr="00AD4726" w14:paraId="5EF76A5A" w14:textId="77777777" w:rsidTr="00127760">
      <w:tc>
        <w:tcPr>
          <w:tcW w:w="1277" w:type="dxa"/>
          <w:hideMark/>
        </w:tcPr>
        <w:p w14:paraId="2400A83B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ID DS: 8x6bxsd</w:t>
          </w:r>
        </w:p>
      </w:tc>
      <w:tc>
        <w:tcPr>
          <w:tcW w:w="2054" w:type="dxa"/>
          <w:hideMark/>
        </w:tcPr>
        <w:p w14:paraId="4842B381" w14:textId="77777777" w:rsidR="00127760" w:rsidRPr="00127760" w:rsidRDefault="00127760" w:rsidP="00AD4726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127760">
            <w:rPr>
              <w:sz w:val="14"/>
              <w:szCs w:val="14"/>
            </w:rPr>
            <w:t>Č. účtu: 1650676349/0800</w:t>
          </w:r>
        </w:p>
      </w:tc>
      <w:tc>
        <w:tcPr>
          <w:tcW w:w="3153" w:type="dxa"/>
          <w:vMerge/>
          <w:vAlign w:val="center"/>
          <w:hideMark/>
        </w:tcPr>
        <w:p w14:paraId="41ED2E0F" w14:textId="77777777" w:rsidR="00127760" w:rsidRDefault="00127760" w:rsidP="00AD4726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hideMark/>
        </w:tcPr>
        <w:p w14:paraId="430CD941" w14:textId="77777777" w:rsidR="00127760" w:rsidRDefault="00127760" w:rsidP="00AD4726">
          <w:pPr>
            <w:pStyle w:val="Zpat"/>
            <w:spacing w:line="276" w:lineRule="auto"/>
            <w:jc w:val="center"/>
            <w:rPr>
              <w:color w:val="E41C76"/>
              <w:sz w:val="14"/>
              <w:szCs w:val="14"/>
            </w:rPr>
          </w:pPr>
          <w:r>
            <w:rPr>
              <w:sz w:val="18"/>
              <w:szCs w:val="18"/>
            </w:rPr>
            <w:t xml:space="preserve">  </w:t>
          </w:r>
          <w:r>
            <w:rPr>
              <w:color w:val="FF0000"/>
              <w:sz w:val="18"/>
              <w:szCs w:val="18"/>
            </w:rPr>
            <w:t>www.msk.cz</w:t>
          </w:r>
        </w:p>
      </w:tc>
    </w:tr>
  </w:tbl>
  <w:p w14:paraId="54B7F36F" w14:textId="77777777" w:rsidR="00AD13F8" w:rsidRDefault="00AD13F8">
    <w:pPr>
      <w:pStyle w:val="Zpat"/>
      <w:tabs>
        <w:tab w:val="left" w:pos="1588"/>
        <w:tab w:val="left" w:pos="3232"/>
      </w:tabs>
      <w:spacing w:line="160" w:lineRule="exac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F7C9" w14:textId="77777777" w:rsidR="00C25E84" w:rsidRDefault="00C25E84">
      <w:r>
        <w:separator/>
      </w:r>
    </w:p>
  </w:footnote>
  <w:footnote w:type="continuationSeparator" w:id="0">
    <w:p w14:paraId="4797AB3C" w14:textId="77777777" w:rsidR="00C25E84" w:rsidRDefault="00C2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85"/>
      <w:gridCol w:w="846"/>
      <w:gridCol w:w="2542"/>
      <w:gridCol w:w="847"/>
      <w:gridCol w:w="2545"/>
    </w:tblGrid>
    <w:tr w:rsidR="00FD2983" w:rsidRPr="00127760" w14:paraId="16870B22" w14:textId="77777777" w:rsidTr="00FD2983">
      <w:tc>
        <w:tcPr>
          <w:tcW w:w="3119" w:type="dxa"/>
        </w:tcPr>
        <w:p w14:paraId="0D460FD9" w14:textId="77777777" w:rsidR="00FD2983" w:rsidRPr="00127760" w:rsidRDefault="00FD2983" w:rsidP="00FD2983">
          <w:pPr>
            <w:pStyle w:val="Zhlav"/>
            <w:spacing w:line="254" w:lineRule="auto"/>
            <w:rPr>
              <w:rFonts w:ascii="Calibri" w:hAnsi="Calibri" w:cs="Times New Roman"/>
            </w:rPr>
          </w:pPr>
        </w:p>
      </w:tc>
      <w:tc>
        <w:tcPr>
          <w:tcW w:w="851" w:type="dxa"/>
          <w:vAlign w:val="center"/>
          <w:hideMark/>
        </w:tcPr>
        <w:p w14:paraId="53DAA2C4" w14:textId="77777777" w:rsidR="00FD2983" w:rsidRPr="00127760" w:rsidRDefault="00FD2983" w:rsidP="00FD2983">
          <w:pPr>
            <w:pStyle w:val="Zhlav"/>
            <w:spacing w:line="254" w:lineRule="auto"/>
            <w:jc w:val="right"/>
          </w:pPr>
          <w:r w:rsidRPr="00127760">
            <w:t>Čj.:</w:t>
          </w:r>
        </w:p>
      </w:tc>
      <w:tc>
        <w:tcPr>
          <w:tcW w:w="2552" w:type="dxa"/>
          <w:hideMark/>
        </w:tcPr>
        <w:p w14:paraId="05A3161E" w14:textId="77777777" w:rsidR="00FD2983" w:rsidRPr="00127760" w:rsidRDefault="00EE538D" w:rsidP="00FD2983">
          <w:pPr>
            <w:pStyle w:val="Zhlav"/>
            <w:spacing w:line="254" w:lineRule="auto"/>
          </w:pPr>
          <w:r w:rsidRPr="00127760">
            <w:fldChar w:fldCharType="begin"/>
          </w:r>
          <w:r w:rsidRPr="00127760">
            <w:instrText>MACROBUTTON MSWField(cj) MSK  54117/2024</w:instrText>
          </w:r>
          <w:r w:rsidRPr="00127760">
            <w:fldChar w:fldCharType="separate"/>
          </w:r>
          <w:r>
            <w:t>MSK  54117/2024</w:t>
          </w:r>
          <w:r w:rsidRPr="00127760">
            <w:fldChar w:fldCharType="end"/>
          </w:r>
        </w:p>
      </w:tc>
      <w:tc>
        <w:tcPr>
          <w:tcW w:w="851" w:type="dxa"/>
          <w:vAlign w:val="center"/>
          <w:hideMark/>
        </w:tcPr>
        <w:p w14:paraId="5C94395D" w14:textId="77777777" w:rsidR="00FD2983" w:rsidRPr="00127760" w:rsidRDefault="00FD2983" w:rsidP="00FD2983">
          <w:pPr>
            <w:pStyle w:val="Zhlav"/>
            <w:spacing w:line="254" w:lineRule="auto"/>
            <w:jc w:val="right"/>
          </w:pPr>
          <w:r w:rsidRPr="00127760">
            <w:t>Sp. zn.:</w:t>
          </w:r>
        </w:p>
      </w:tc>
      <w:tc>
        <w:tcPr>
          <w:tcW w:w="2552" w:type="dxa"/>
          <w:hideMark/>
        </w:tcPr>
        <w:p w14:paraId="3D699507" w14:textId="77777777" w:rsidR="00FD2983" w:rsidRPr="00127760" w:rsidRDefault="00EE538D" w:rsidP="00FD2983">
          <w:pPr>
            <w:pStyle w:val="Zhlav"/>
            <w:spacing w:line="254" w:lineRule="auto"/>
          </w:pPr>
          <w:r w:rsidRPr="00127760">
            <w:fldChar w:fldCharType="begin"/>
          </w:r>
          <w:r w:rsidRPr="00127760">
            <w:instrText>MACROBUTTON MSWField(cj_spis) POR/9976/2024/Dra</w:instrText>
          </w:r>
          <w:r w:rsidRPr="00127760">
            <w:fldChar w:fldCharType="separate"/>
          </w:r>
          <w:r>
            <w:t>POR/9976/2024/Dra</w:t>
          </w:r>
          <w:r w:rsidRPr="00127760">
            <w:fldChar w:fldCharType="end"/>
          </w:r>
        </w:p>
      </w:tc>
    </w:tr>
  </w:tbl>
  <w:p w14:paraId="55C2C5CE" w14:textId="77777777" w:rsidR="002E3552" w:rsidRDefault="002E35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6237"/>
      <w:gridCol w:w="1862"/>
    </w:tblGrid>
    <w:tr w:rsidR="00AD13F8" w14:paraId="26EC51D6" w14:textId="77777777">
      <w:trPr>
        <w:trHeight w:val="1814"/>
      </w:trPr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419D5687" w14:textId="1E267A75" w:rsidR="00AD13F8" w:rsidRDefault="00065F04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inline distT="0" distB="0" distL="0" distR="0" wp14:anchorId="05435EF8" wp14:editId="4F7D8A10">
                <wp:extent cx="876300" cy="1066800"/>
                <wp:effectExtent l="0" t="0" r="0" b="0"/>
                <wp:docPr id="6" name="obráz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0D4924" w14:textId="77777777" w:rsidR="00AD13F8" w:rsidRDefault="00AD13F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4BBCA96" w14:textId="77777777" w:rsidR="00AD13F8" w:rsidRDefault="00AD13F8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2357B489" w14:textId="36BAB322" w:rsidR="00AD13F8" w:rsidRDefault="00065F04">
          <w:pPr>
            <w:pStyle w:val="Zhlav"/>
            <w:tabs>
              <w:tab w:val="left" w:pos="1814"/>
            </w:tabs>
            <w:rPr>
              <w:caps/>
              <w:sz w:val="42"/>
              <w:szCs w:val="4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0" wp14:anchorId="049F073F" wp14:editId="0D84B259">
                    <wp:simplePos x="0" y="0"/>
                    <wp:positionH relativeFrom="margin">
                      <wp:posOffset>2812415</wp:posOffset>
                    </wp:positionH>
                    <wp:positionV relativeFrom="page">
                      <wp:posOffset>-62865</wp:posOffset>
                    </wp:positionV>
                    <wp:extent cx="2538095" cy="577215"/>
                    <wp:effectExtent l="0" t="3810" r="0" b="0"/>
                    <wp:wrapNone/>
                    <wp:docPr id="12764526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38095" cy="577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20402B" w14:textId="77777777" w:rsidR="00AD13F8" w:rsidRDefault="00EE538D">
                                <w:pPr>
                                  <w:jc w:val="right"/>
                                  <w:rPr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begin" w:fldLock="1">
                                    <w:ffData>
                                      <w:name w:val="Text1"/>
                                      <w:enabled/>
                                      <w:calcOnExit w:val="0"/>
                                      <w:statusText w:type="text" w:val="MSWField: id_pisemnosti_car"/>
                                      <w:textInput>
                                        <w:default w:val="*KUMSX02YQ4JQ*"/>
                                      </w:textInput>
                                    </w:ffData>
                                  </w:fldCha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instrText xml:space="preserve">FORMTEXT </w:instrTex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t>*KUMSX02YQ4JQ*</w: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9F07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221.45pt;margin-top:-4.95pt;width:199.85pt;height:45.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" o:allowoverlap="f" filled="f" stroked="f">
                    <v:textbox>
                      <w:txbxContent>
                        <w:p w14:paraId="5620402B" w14:textId="77777777" w:rsidR="00AD13F8" w:rsidRDefault="00EE538D">
                          <w:pPr>
                            <w:jc w:val="right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begin" w:fldLock="1">
                              <w:ffData>
                                <w:name w:val="Text1"/>
                                <w:enabled/>
                                <w:calcOnExit w:val="0"/>
                                <w:statusText w:type="text" w:val="MSWField: id_pisemnosti_car"/>
                                <w:textInput>
                                  <w:default w:val="*KUMSX02YQ4JQ*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instrText xml:space="preserve">FORMTEXT </w:instrTex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separate"/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t>*KUMSX02YQ4JQ*</w: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AD13F8">
            <w:rPr>
              <w:caps/>
              <w:sz w:val="42"/>
              <w:szCs w:val="42"/>
            </w:rPr>
            <w:t>Moravskoslezský kraj</w:t>
          </w:r>
        </w:p>
        <w:p w14:paraId="76B5AFA7" w14:textId="77777777" w:rsidR="00AD13F8" w:rsidRDefault="00AD13F8">
          <w:pPr>
            <w:pStyle w:val="Zhlav"/>
            <w:tabs>
              <w:tab w:val="left" w:pos="1814"/>
            </w:tabs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hejtman kraje</w:t>
          </w:r>
        </w:p>
        <w:p w14:paraId="3320893D" w14:textId="77777777" w:rsidR="00127760" w:rsidRDefault="00127760" w:rsidP="00127760">
          <w:pPr>
            <w:pStyle w:val="Zhlav"/>
            <w:tabs>
              <w:tab w:val="left" w:pos="1814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>28. října 2771/117, 702 00  Ostrava</w:t>
          </w:r>
        </w:p>
        <w:p w14:paraId="023DAE79" w14:textId="77777777" w:rsidR="00AD13F8" w:rsidRDefault="00AD13F8">
          <w:pPr>
            <w:pStyle w:val="Zhlav"/>
            <w:tabs>
              <w:tab w:val="left" w:pos="1814"/>
            </w:tabs>
          </w:pPr>
        </w:p>
      </w:tc>
      <w:tc>
        <w:tcPr>
          <w:tcW w:w="1862" w:type="dxa"/>
          <w:tcBorders>
            <w:top w:val="nil"/>
            <w:left w:val="nil"/>
            <w:bottom w:val="nil"/>
            <w:right w:val="nil"/>
          </w:tcBorders>
        </w:tcPr>
        <w:p w14:paraId="135B0C1C" w14:textId="77777777" w:rsidR="00AD13F8" w:rsidRDefault="00AD13F8"/>
      </w:tc>
    </w:tr>
  </w:tbl>
  <w:p w14:paraId="530C4A0B" w14:textId="77777777" w:rsidR="00AD13F8" w:rsidRDefault="00AD1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4A0"/>
    <w:multiLevelType w:val="hybridMultilevel"/>
    <w:tmpl w:val="3348CB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2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AD"/>
    <w:rsid w:val="00032E61"/>
    <w:rsid w:val="00033987"/>
    <w:rsid w:val="00045EBC"/>
    <w:rsid w:val="00065F04"/>
    <w:rsid w:val="00075902"/>
    <w:rsid w:val="000A6DD4"/>
    <w:rsid w:val="00127760"/>
    <w:rsid w:val="00132B10"/>
    <w:rsid w:val="00132B80"/>
    <w:rsid w:val="00135BFA"/>
    <w:rsid w:val="001548D7"/>
    <w:rsid w:val="001649D7"/>
    <w:rsid w:val="001A1208"/>
    <w:rsid w:val="001A62BF"/>
    <w:rsid w:val="001B2701"/>
    <w:rsid w:val="00214860"/>
    <w:rsid w:val="00267BFB"/>
    <w:rsid w:val="0029046D"/>
    <w:rsid w:val="00297067"/>
    <w:rsid w:val="002E3552"/>
    <w:rsid w:val="00311024"/>
    <w:rsid w:val="00320F63"/>
    <w:rsid w:val="003338C9"/>
    <w:rsid w:val="003466C3"/>
    <w:rsid w:val="00375D2F"/>
    <w:rsid w:val="00376E89"/>
    <w:rsid w:val="00377609"/>
    <w:rsid w:val="00393F46"/>
    <w:rsid w:val="003B2159"/>
    <w:rsid w:val="003C3EC0"/>
    <w:rsid w:val="003F68B2"/>
    <w:rsid w:val="004107B9"/>
    <w:rsid w:val="00423193"/>
    <w:rsid w:val="00452641"/>
    <w:rsid w:val="004A6DA6"/>
    <w:rsid w:val="004D24C4"/>
    <w:rsid w:val="004F7E8F"/>
    <w:rsid w:val="00512E29"/>
    <w:rsid w:val="00527FD8"/>
    <w:rsid w:val="005633BE"/>
    <w:rsid w:val="005715DC"/>
    <w:rsid w:val="005733BC"/>
    <w:rsid w:val="005809AA"/>
    <w:rsid w:val="005F4AB1"/>
    <w:rsid w:val="00614E6C"/>
    <w:rsid w:val="00631005"/>
    <w:rsid w:val="00635C79"/>
    <w:rsid w:val="00663A0B"/>
    <w:rsid w:val="006C3C11"/>
    <w:rsid w:val="006D2BEB"/>
    <w:rsid w:val="006D3BAD"/>
    <w:rsid w:val="006E69C2"/>
    <w:rsid w:val="006F4A1E"/>
    <w:rsid w:val="006F78E9"/>
    <w:rsid w:val="006F7C7C"/>
    <w:rsid w:val="007205EF"/>
    <w:rsid w:val="00726FBA"/>
    <w:rsid w:val="00734B4A"/>
    <w:rsid w:val="00771FFB"/>
    <w:rsid w:val="007B4159"/>
    <w:rsid w:val="007C4FFE"/>
    <w:rsid w:val="007F1B1C"/>
    <w:rsid w:val="0085713D"/>
    <w:rsid w:val="008733AD"/>
    <w:rsid w:val="008C1817"/>
    <w:rsid w:val="008C65A2"/>
    <w:rsid w:val="008E0D6B"/>
    <w:rsid w:val="008E781D"/>
    <w:rsid w:val="00902D2E"/>
    <w:rsid w:val="00946967"/>
    <w:rsid w:val="00951971"/>
    <w:rsid w:val="009A3E7F"/>
    <w:rsid w:val="009F3914"/>
    <w:rsid w:val="009F3D9C"/>
    <w:rsid w:val="00A06398"/>
    <w:rsid w:val="00A206AD"/>
    <w:rsid w:val="00A40A1E"/>
    <w:rsid w:val="00A4751F"/>
    <w:rsid w:val="00A67C91"/>
    <w:rsid w:val="00A95994"/>
    <w:rsid w:val="00A97532"/>
    <w:rsid w:val="00AB6B02"/>
    <w:rsid w:val="00AC392B"/>
    <w:rsid w:val="00AD13F8"/>
    <w:rsid w:val="00AD4726"/>
    <w:rsid w:val="00AF305D"/>
    <w:rsid w:val="00B13F7D"/>
    <w:rsid w:val="00B51E3F"/>
    <w:rsid w:val="00B8789E"/>
    <w:rsid w:val="00B96E12"/>
    <w:rsid w:val="00BB0320"/>
    <w:rsid w:val="00BD2563"/>
    <w:rsid w:val="00BF5983"/>
    <w:rsid w:val="00C13E84"/>
    <w:rsid w:val="00C25E84"/>
    <w:rsid w:val="00C92366"/>
    <w:rsid w:val="00C934BF"/>
    <w:rsid w:val="00CC5656"/>
    <w:rsid w:val="00CD4504"/>
    <w:rsid w:val="00CF751E"/>
    <w:rsid w:val="00D113DC"/>
    <w:rsid w:val="00D21A9C"/>
    <w:rsid w:val="00D31077"/>
    <w:rsid w:val="00D3591C"/>
    <w:rsid w:val="00D84CC7"/>
    <w:rsid w:val="00D8665B"/>
    <w:rsid w:val="00DF3D3C"/>
    <w:rsid w:val="00DF44E4"/>
    <w:rsid w:val="00DF5D07"/>
    <w:rsid w:val="00E04AF7"/>
    <w:rsid w:val="00E173DD"/>
    <w:rsid w:val="00E226C2"/>
    <w:rsid w:val="00E30134"/>
    <w:rsid w:val="00E41849"/>
    <w:rsid w:val="00E53165"/>
    <w:rsid w:val="00E54DD4"/>
    <w:rsid w:val="00E621FC"/>
    <w:rsid w:val="00E7162F"/>
    <w:rsid w:val="00E85D79"/>
    <w:rsid w:val="00EA706E"/>
    <w:rsid w:val="00EE538D"/>
    <w:rsid w:val="00EF4823"/>
    <w:rsid w:val="00F40F74"/>
    <w:rsid w:val="00F55F1A"/>
    <w:rsid w:val="00F72E4C"/>
    <w:rsid w:val="00F84357"/>
    <w:rsid w:val="00F875DC"/>
    <w:rsid w:val="00F9533E"/>
    <w:rsid w:val="00FA64ED"/>
    <w:rsid w:val="00FD2983"/>
    <w:rsid w:val="00FD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0E3BB"/>
  <w14:defaultImageDpi w14:val="0"/>
  <w15:docId w15:val="{0189B064-5F40-4E5E-81F8-FE0FE9CF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qFormat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styleId="FormtovanvHTML">
    <w:name w:val="HTML Preformatted"/>
    <w:basedOn w:val="Normln"/>
    <w:link w:val="FormtovanvHTMLChar"/>
    <w:uiPriority w:val="99"/>
    <w:rsid w:val="00D84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/>
      <w:iCs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84CC7"/>
    <w:rPr>
      <w:rFonts w:ascii="Courier New" w:hAnsi="Courier New" w:cs="Courier New"/>
      <w:i/>
      <w:iCs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D84CC7"/>
    <w:pPr>
      <w:spacing w:after="120" w:line="480" w:lineRule="auto"/>
      <w:ind w:left="283"/>
    </w:pPr>
    <w:rPr>
      <w:rFonts w:eastAsia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84CC7"/>
    <w:rPr>
      <w:rFonts w:ascii="Tahoma" w:eastAsia="Times New Roman" w:hAnsi="Tahoma" w:cs="Tahoma"/>
      <w:sz w:val="20"/>
      <w:szCs w:val="20"/>
    </w:rPr>
  </w:style>
  <w:style w:type="paragraph" w:styleId="Nzev">
    <w:name w:val="Title"/>
    <w:basedOn w:val="Normln"/>
    <w:link w:val="NzevChar"/>
    <w:qFormat/>
    <w:rsid w:val="00D84CC7"/>
    <w:pPr>
      <w:jc w:val="center"/>
    </w:pPr>
    <w:rPr>
      <w:rFonts w:eastAsia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D84CC7"/>
    <w:rPr>
      <w:rFonts w:ascii="Tahoma" w:eastAsia="Times New Roman" w:hAnsi="Tahoma" w:cs="Tahoma"/>
      <w:b/>
      <w:bCs/>
      <w:sz w:val="24"/>
      <w:szCs w:val="24"/>
    </w:rPr>
  </w:style>
  <w:style w:type="paragraph" w:customStyle="1" w:styleId="Textpsmene">
    <w:name w:val="Text písmene"/>
    <w:basedOn w:val="Normln"/>
    <w:link w:val="TextpsmeneChar"/>
    <w:rsid w:val="00D84CC7"/>
    <w:pPr>
      <w:tabs>
        <w:tab w:val="num" w:pos="605"/>
      </w:tabs>
      <w:ind w:left="605" w:hanging="425"/>
      <w:jc w:val="both"/>
      <w:outlineLvl w:val="7"/>
    </w:pPr>
    <w:rPr>
      <w:rFonts w:ascii="Times New Roman" w:eastAsia="Times New Roman" w:hAnsi="Times New Roman" w:cs="Times New Roman"/>
      <w:sz w:val="24"/>
    </w:rPr>
  </w:style>
  <w:style w:type="character" w:customStyle="1" w:styleId="TextpsmeneChar">
    <w:name w:val="Text písmene Char"/>
    <w:link w:val="Textpsmene"/>
    <w:rsid w:val="00D84CC7"/>
    <w:rPr>
      <w:rFonts w:ascii="Times New Roman" w:eastAsia="Times New Roman" w:hAnsi="Times New Roman"/>
      <w:sz w:val="24"/>
      <w:szCs w:val="20"/>
    </w:rPr>
  </w:style>
  <w:style w:type="character" w:customStyle="1" w:styleId="s30">
    <w:name w:val="s30"/>
    <w:basedOn w:val="Standardnpsmoodstavce"/>
    <w:rsid w:val="00D84CC7"/>
  </w:style>
  <w:style w:type="character" w:customStyle="1" w:styleId="s31">
    <w:name w:val="s31"/>
    <w:basedOn w:val="Standardnpsmoodstavce"/>
    <w:rsid w:val="00D84CC7"/>
  </w:style>
  <w:style w:type="paragraph" w:styleId="Odstavecseseznamem">
    <w:name w:val="List Paragraph"/>
    <w:aliases w:val="Odstavec_muj,Nad,Conclusion de partie,moje odra,nad 1,Fiche List Paragraph,Dot pt,List Paragraph Char Char Char,Indicator Text,Numbered Para 1,List Paragraph à moi,Odsek zoznamu4,LISTA,Listaszerű bekezdés2,Listaszerű bekezdés3,3"/>
    <w:basedOn w:val="Normln"/>
    <w:link w:val="OdstavecseseznamemChar"/>
    <w:uiPriority w:val="34"/>
    <w:qFormat/>
    <w:rsid w:val="00EA706E"/>
    <w:pPr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andard">
    <w:name w:val="Standard"/>
    <w:rsid w:val="00EA706E"/>
    <w:pPr>
      <w:suppressAutoHyphens/>
      <w:autoSpaceDN w:val="0"/>
      <w:spacing w:after="0" w:line="240" w:lineRule="auto"/>
      <w:jc w:val="both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character" w:customStyle="1" w:styleId="OdstavecseseznamemChar">
    <w:name w:val="Odstavec se seznamem Char"/>
    <w:aliases w:val="Odstavec_muj Char,Nad Char,Conclusion de partie Char,moje odra Char,nad 1 Char,Fiche List Paragraph Char,Dot pt Char,List Paragraph Char Char Char Char,Indicator Text Char,Numbered Para 1 Char,List Paragraph à moi Char,3 Char"/>
    <w:link w:val="Odstavecseseznamem"/>
    <w:uiPriority w:val="34"/>
    <w:qFormat/>
    <w:locked/>
    <w:rsid w:val="00EA706E"/>
    <w:rPr>
      <w:rFonts w:ascii="Times New Roman" w:eastAsia="Times New Roman" w:hAnsi="Times New Roman"/>
      <w:sz w:val="24"/>
      <w:szCs w:val="20"/>
    </w:rPr>
  </w:style>
  <w:style w:type="table" w:styleId="Mkatabulky">
    <w:name w:val="Table Grid"/>
    <w:basedOn w:val="Normlntabulka"/>
    <w:uiPriority w:val="39"/>
    <w:rsid w:val="00EA706E"/>
    <w:pPr>
      <w:spacing w:after="0" w:line="240" w:lineRule="auto"/>
    </w:pPr>
    <w:rPr>
      <w:rFonts w:eastAsia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1E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E3F"/>
  </w:style>
  <w:style w:type="character" w:customStyle="1" w:styleId="TextkomenteChar">
    <w:name w:val="Text komentáře Char"/>
    <w:basedOn w:val="Standardnpsmoodstavce"/>
    <w:link w:val="Textkomente"/>
    <w:uiPriority w:val="99"/>
    <w:rsid w:val="00B51E3F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E3F"/>
    <w:rPr>
      <w:rFonts w:ascii="Tahoma" w:hAnsi="Tahoma" w:cs="Tahoma"/>
      <w:b/>
      <w:bCs/>
      <w:sz w:val="20"/>
      <w:szCs w:val="20"/>
    </w:rPr>
  </w:style>
  <w:style w:type="paragraph" w:customStyle="1" w:styleId="xmsonormal">
    <w:name w:val="x_msonormal"/>
    <w:basedOn w:val="Normln"/>
    <w:rsid w:val="00F875D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  <Datum xmlns="cb9dfb18-ecd9-4d74-a938-ecf7de4f3d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7" ma:contentTypeDescription="Create a new document." ma:contentTypeScope="" ma:versionID="59bcf1d50f6433eab8eee04c1f6ab4e5">
  <xsd:schema xmlns:xsd="http://www.w3.org/2001/XMLSchema" xmlns:xs="http://www.w3.org/2001/XMLSchema" xmlns:p="http://schemas.microsoft.com/office/2006/metadata/properties" xmlns:ns2="cb9dfb18-ecd9-4d74-a938-ecf7de4f3d08" xmlns:ns3="30f05adf-e681-4a76-beaf-c04308791892" targetNamespace="http://schemas.microsoft.com/office/2006/metadata/properties" ma:root="true" ma:fieldsID="4ccb563e5b7b2c313c71cfbcb4952843" ns2:_="" ns3:_="">
    <xsd:import namespace="cb9dfb18-ecd9-4d74-a938-ecf7de4f3d08"/>
    <xsd:import namespace="30f05adf-e681-4a76-beaf-c04308791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d72406-5cc3-4b12-b151-6a8c00c665e0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11D7A-F7FC-4817-89AF-20E9FCF08725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customXml/itemProps2.xml><?xml version="1.0" encoding="utf-8"?>
<ds:datastoreItem xmlns:ds="http://schemas.openxmlformats.org/officeDocument/2006/customXml" ds:itemID="{52B3555F-11D3-461D-A87C-FA5C7F03F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fb18-ecd9-4d74-a938-ecf7de4f3d08"/>
    <ds:schemaRef ds:uri="30f05adf-e681-4a76-beaf-c04308791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192ED-B825-4B87-9C3C-7045F80C5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1846</Words>
  <Characters>10898</Characters>
  <Application>Microsoft Office Word</Application>
  <DocSecurity>0</DocSecurity>
  <Lines>90</Lines>
  <Paragraphs>25</Paragraphs>
  <ScaleCrop>false</ScaleCrop>
  <Company>Krajský úřad</Company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Janečková Silvie</cp:lastModifiedBy>
  <cp:revision>2</cp:revision>
  <dcterms:created xsi:type="dcterms:W3CDTF">2024-06-05T12:26:00Z</dcterms:created>
  <dcterms:modified xsi:type="dcterms:W3CDTF">2024-06-05T12:26:00Z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2022-03-25T09:38:41Z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5cdc5f22-9c23-457d-a394-cf383ecb27e8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0x010100BB3BA6C4C7FA934495C34874A5521E3A</vt:lpwstr>
  </property>
  <property fmtid="{D5CDD505-2E9C-101B-9397-08002B2CF9AE}" pid="10" name="MediaServiceImageTags">
    <vt:lpwstr/>
  </property>
</Properties>
</file>