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BBADB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F85AC2">
        <w:rPr>
          <w:rFonts w:ascii="Tahoma" w:hAnsi="Tahoma" w:cs="Tahoma"/>
        </w:rPr>
        <w:t>6</w:t>
      </w:r>
    </w:p>
    <w:p w14:paraId="61F0B2D5" w14:textId="5615BB5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F85AC2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F85AC2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0319932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6/19</w:t>
      </w:r>
      <w:r w:rsidR="00907CA6">
        <w:rPr>
          <w:rFonts w:ascii="Tahoma" w:hAnsi="Tahoma" w:cs="Tahoma"/>
          <w:sz w:val="22"/>
          <w:szCs w:val="22"/>
        </w:rPr>
        <w:t>8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63A35DD6" w14:textId="77777777" w:rsidR="00F82584" w:rsidRPr="009A7A59" w:rsidRDefault="00F82584" w:rsidP="00F8258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51D6AF80" w14:textId="77777777" w:rsidR="007E4CE0" w:rsidRDefault="007E4CE0" w:rsidP="007E4CE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46606CD" w14:textId="77777777" w:rsidR="00907CA6" w:rsidRPr="00B47390" w:rsidRDefault="00907CA6" w:rsidP="00907CA6">
      <w:pPr>
        <w:pStyle w:val="MSKNormal"/>
        <w:rPr>
          <w:rFonts w:cs="Tahoma"/>
          <w:sz w:val="22"/>
          <w:szCs w:val="22"/>
        </w:rPr>
      </w:pPr>
    </w:p>
    <w:p w14:paraId="391FCA0E" w14:textId="77777777" w:rsidR="00907CA6" w:rsidRPr="00356CC9" w:rsidRDefault="00907CA6" w:rsidP="00907CA6">
      <w:pPr>
        <w:pStyle w:val="MSKDoplnek"/>
        <w:numPr>
          <w:ilvl w:val="1"/>
          <w:numId w:val="10"/>
        </w:numPr>
        <w:jc w:val="left"/>
        <w:rPr>
          <w:rFonts w:cs="Tahoma"/>
          <w:sz w:val="22"/>
          <w:szCs w:val="22"/>
        </w:rPr>
      </w:pPr>
      <w:r w:rsidRPr="00356CC9">
        <w:rPr>
          <w:rFonts w:cs="Tahoma"/>
          <w:sz w:val="22"/>
          <w:szCs w:val="22"/>
        </w:rPr>
        <w:t>bere na vědomí</w:t>
      </w:r>
    </w:p>
    <w:p w14:paraId="13973DED" w14:textId="77777777" w:rsidR="00907CA6" w:rsidRPr="00B47390" w:rsidRDefault="00907CA6" w:rsidP="00907CA6">
      <w:pPr>
        <w:pStyle w:val="MSKNormal"/>
        <w:rPr>
          <w:rFonts w:cs="Tahoma"/>
          <w:sz w:val="22"/>
          <w:szCs w:val="22"/>
        </w:rPr>
      </w:pPr>
    </w:p>
    <w:p w14:paraId="2C2F6179" w14:textId="77777777" w:rsidR="00907CA6" w:rsidRPr="00B47390" w:rsidRDefault="00907CA6" w:rsidP="00907CA6">
      <w:pPr>
        <w:jc w:val="both"/>
        <w:rPr>
          <w:rFonts w:ascii="Tahoma" w:hAnsi="Tahoma" w:cs="Tahoma"/>
          <w:sz w:val="22"/>
          <w:szCs w:val="22"/>
        </w:rPr>
      </w:pPr>
      <w:r w:rsidRPr="00B47390">
        <w:rPr>
          <w:rFonts w:ascii="Tahoma" w:hAnsi="Tahoma" w:cs="Tahoma"/>
          <w:sz w:val="22"/>
          <w:szCs w:val="22"/>
        </w:rPr>
        <w:t>informaci o postupu zajištění dopravní obslužnosti drážní osobní dopravou na území Moravskoslezského kraje veřejnou drážní osobní dopravou na trati 313 Milotice nad Opavou – Vrbno pod Pradědem a částečně i na trati 310 Olomouc – Krnov – Opava východ včetně přesahu do Olomouckého kraje od 12/2025 do 12/2031 v rámci provozního souboru Vrbno pod Pradědem, v souladu s notifikací zveřejněnou v Úředním věstníku Evropské unie, evidovanou pod č. 636611-2023 s ohledem na následný postup, na jehož základě bude uzavřena smlouva o veřejných službách v přepravě cestujících a zajištění provozního souboru Vrbno pod Pradědem, dle předloženého materiálu</w:t>
      </w:r>
    </w:p>
    <w:p w14:paraId="30BB3786" w14:textId="77777777" w:rsidR="00907CA6" w:rsidRPr="00B47390" w:rsidRDefault="00907CA6" w:rsidP="00907CA6">
      <w:pPr>
        <w:pStyle w:val="MSKNormal"/>
        <w:rPr>
          <w:rFonts w:cs="Tahoma"/>
          <w:sz w:val="22"/>
          <w:szCs w:val="22"/>
        </w:rPr>
      </w:pPr>
    </w:p>
    <w:p w14:paraId="194DDDFC" w14:textId="77777777" w:rsidR="00907CA6" w:rsidRPr="00B47390" w:rsidRDefault="00907CA6" w:rsidP="00907CA6">
      <w:pPr>
        <w:pStyle w:val="MSKNormal"/>
        <w:rPr>
          <w:rFonts w:cs="Tahoma"/>
          <w:sz w:val="22"/>
          <w:szCs w:val="22"/>
        </w:rPr>
      </w:pPr>
    </w:p>
    <w:p w14:paraId="5B49B8E7" w14:textId="77777777" w:rsidR="00907CA6" w:rsidRPr="00B47390" w:rsidRDefault="00907CA6" w:rsidP="00907CA6">
      <w:pPr>
        <w:pStyle w:val="MSKDoplnek"/>
        <w:numPr>
          <w:ilvl w:val="1"/>
          <w:numId w:val="1"/>
        </w:numPr>
        <w:jc w:val="left"/>
        <w:rPr>
          <w:rFonts w:cs="Tahoma"/>
          <w:sz w:val="22"/>
          <w:szCs w:val="22"/>
        </w:rPr>
      </w:pPr>
      <w:r w:rsidRPr="00B47390">
        <w:rPr>
          <w:rFonts w:cs="Tahoma"/>
          <w:sz w:val="22"/>
          <w:szCs w:val="22"/>
        </w:rPr>
        <w:t>doporučuje</w:t>
      </w:r>
    </w:p>
    <w:p w14:paraId="36476423" w14:textId="77777777" w:rsidR="00907CA6" w:rsidRPr="00B47390" w:rsidRDefault="00907CA6" w:rsidP="00907CA6">
      <w:pPr>
        <w:pStyle w:val="MSKNormal"/>
        <w:rPr>
          <w:rFonts w:cs="Tahoma"/>
          <w:sz w:val="22"/>
          <w:szCs w:val="22"/>
        </w:rPr>
      </w:pPr>
    </w:p>
    <w:p w14:paraId="6BD973F8" w14:textId="77777777" w:rsidR="00907CA6" w:rsidRPr="00B47390" w:rsidRDefault="00907CA6" w:rsidP="00907CA6">
      <w:pPr>
        <w:jc w:val="both"/>
        <w:rPr>
          <w:rFonts w:ascii="Tahoma" w:hAnsi="Tahoma" w:cs="Tahoma"/>
          <w:sz w:val="22"/>
          <w:szCs w:val="22"/>
        </w:rPr>
      </w:pPr>
      <w:r w:rsidRPr="00B47390">
        <w:rPr>
          <w:rFonts w:ascii="Tahoma" w:hAnsi="Tahoma" w:cs="Tahoma"/>
          <w:sz w:val="22"/>
          <w:szCs w:val="22"/>
        </w:rPr>
        <w:t>zastupitelstvu kraje</w:t>
      </w:r>
    </w:p>
    <w:p w14:paraId="1042E875" w14:textId="77777777" w:rsidR="00907CA6" w:rsidRPr="00B47390" w:rsidRDefault="00907CA6" w:rsidP="00907CA6">
      <w:pPr>
        <w:jc w:val="both"/>
        <w:rPr>
          <w:rFonts w:ascii="Tahoma" w:hAnsi="Tahoma" w:cs="Tahoma"/>
          <w:sz w:val="22"/>
          <w:szCs w:val="22"/>
        </w:rPr>
      </w:pPr>
      <w:r w:rsidRPr="00B47390">
        <w:rPr>
          <w:rFonts w:ascii="Tahoma" w:hAnsi="Tahoma" w:cs="Tahoma"/>
          <w:sz w:val="22"/>
          <w:szCs w:val="22"/>
        </w:rPr>
        <w:t>rozhodnout o závazku kraje v odhadované max. výši 136.620.000 Kč k zajištění dopravní obslužnosti v Moravskoslezském kraji veřejnou drážní osobní dopravou provozního souboru Vrbno pod Pradědem, od prosince 2025 do prosince 2031, dle předloženého materiálu</w:t>
      </w:r>
    </w:p>
    <w:p w14:paraId="71DC919D" w14:textId="77777777" w:rsidR="00907CA6" w:rsidRDefault="00907CA6" w:rsidP="00907CA6">
      <w:pPr>
        <w:pStyle w:val="MSKNormal"/>
      </w:pPr>
    </w:p>
    <w:p w14:paraId="52FBC73D" w14:textId="77777777" w:rsidR="00F82584" w:rsidRDefault="00F82584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5E0B5D4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0</w:t>
      </w:r>
      <w:r w:rsidR="00947B6C">
        <w:rPr>
          <w:rFonts w:ascii="Tahoma" w:hAnsi="Tahoma" w:cs="Tahoma"/>
          <w:sz w:val="22"/>
          <w:szCs w:val="22"/>
        </w:rPr>
        <w:t>.</w:t>
      </w:r>
      <w:r w:rsidR="00F85AC2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54A9B"/>
    <w:rsid w:val="00282836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14C1B"/>
    <w:rsid w:val="00890FCA"/>
    <w:rsid w:val="00907CA6"/>
    <w:rsid w:val="00947B6C"/>
    <w:rsid w:val="0098440A"/>
    <w:rsid w:val="00A10DBC"/>
    <w:rsid w:val="00A17FF0"/>
    <w:rsid w:val="00A62E06"/>
    <w:rsid w:val="00A72014"/>
    <w:rsid w:val="00AD5EE1"/>
    <w:rsid w:val="00AE58C2"/>
    <w:rsid w:val="00AE5B44"/>
    <w:rsid w:val="00B6695F"/>
    <w:rsid w:val="00BC1ECF"/>
    <w:rsid w:val="00BE5851"/>
    <w:rsid w:val="00C04FFC"/>
    <w:rsid w:val="00C16B34"/>
    <w:rsid w:val="00C91309"/>
    <w:rsid w:val="00CD3FAC"/>
    <w:rsid w:val="00D170AB"/>
    <w:rsid w:val="00D62CCF"/>
    <w:rsid w:val="00DB33ED"/>
    <w:rsid w:val="00DD09B1"/>
    <w:rsid w:val="00DE40B3"/>
    <w:rsid w:val="00E6556D"/>
    <w:rsid w:val="00E84D2F"/>
    <w:rsid w:val="00E95B8B"/>
    <w:rsid w:val="00EE61D0"/>
    <w:rsid w:val="00F63149"/>
    <w:rsid w:val="00F82584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2024-08-19T06:34:00Z</dcterms:created>
  <dcterms:modified xsi:type="dcterms:W3CDTF">2024-08-19T06:34:00Z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