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>28. října 2771/117, 702 00 Ostrava</w:t>
      </w:r>
      <w:r w:rsidR="00FF4FCC">
        <w:rPr>
          <w:rFonts w:ascii="Tahoma" w:hAnsi="Tahoma" w:cs="Tahoma"/>
        </w:rPr>
        <w:t xml:space="preserve">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A0AB99A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="008640E9"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="008B2DF7"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(dále jen „Krajské sítě“) 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680D81A2" w14:textId="4B32F2B6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</w:rPr>
        <w:t>nebo (</w:t>
      </w:r>
      <w:r w:rsidR="001E1B33" w:rsidRPr="00985184">
        <w:rPr>
          <w:rFonts w:ascii="Tahoma" w:hAnsi="Tahoma" w:cs="Tahoma"/>
          <w:i/>
          <w:iCs/>
          <w:color w:val="4F81BD" w:themeColor="accent1"/>
        </w:rPr>
        <w:t>nadbytečná varianta se odstraní)</w:t>
      </w:r>
    </w:p>
    <w:p w14:paraId="29024BF0" w14:textId="77777777" w:rsidR="006576E9" w:rsidRPr="00985184" w:rsidRDefault="006576E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883B043" w14:textId="59ABBB10" w:rsidR="004C1A61" w:rsidRPr="00985184" w:rsidRDefault="004C1A61" w:rsidP="004C1A6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vypouští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</w:t>
      </w:r>
      <w:r w:rsidRPr="00985184">
        <w:rPr>
          <w:rFonts w:ascii="Tahoma" w:hAnsi="Tahoma" w:cs="Tahoma"/>
          <w:i/>
          <w:iCs/>
          <w:color w:val="4F81BD" w:themeColor="accent1"/>
        </w:rPr>
        <w:noBreakHyphen/>
        <w:t xml:space="preserve">2026 (dále jen „Krajské sítě“) </w:t>
      </w:r>
      <w:r w:rsidR="00153FAA" w:rsidRPr="00985184">
        <w:rPr>
          <w:rFonts w:ascii="Tahoma" w:hAnsi="Tahoma" w:cs="Tahoma"/>
          <w:i/>
          <w:iCs/>
          <w:color w:val="4F81BD" w:themeColor="accent1"/>
        </w:rPr>
        <w:t>do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__________. Změny jsou promítnuty do Přílohy č. I tohoto dodatku.</w:t>
      </w:r>
    </w:p>
    <w:p w14:paraId="65D24CD5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7FB345ED" w14:textId="77777777" w:rsidR="0000015E" w:rsidRPr="00985184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6E8D3ECB" w14:textId="69AAA722" w:rsidR="00B30BC0" w:rsidRPr="00985184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 </w:t>
      </w:r>
      <w:r w:rsidR="00F6034A" w:rsidRPr="00985184">
        <w:rPr>
          <w:rFonts w:ascii="Tahoma" w:hAnsi="Tahoma" w:cs="Tahoma"/>
        </w:rPr>
        <w:t xml:space="preserve">                           </w:t>
      </w:r>
      <w:r w:rsidRPr="00985184">
        <w:rPr>
          <w:rFonts w:ascii="Tahoma" w:hAnsi="Tahoma" w:cs="Tahoma"/>
        </w:rPr>
        <w:t xml:space="preserve">s 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 </w:t>
      </w: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6FF20D40" w14:textId="7F984FCB" w:rsidR="0054380D" w:rsidRPr="00985184" w:rsidRDefault="00A41E5B" w:rsidP="0054380D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FA508A" w:rsidRPr="00985184">
        <w:rPr>
          <w:rFonts w:ascii="Tahoma" w:hAnsi="Tahoma" w:cs="Tahoma"/>
        </w:rPr>
        <w:t>_______</w:t>
      </w:r>
      <w:r w:rsidR="002B53A9" w:rsidRPr="00985184">
        <w:rPr>
          <w:rFonts w:ascii="Tahoma" w:hAnsi="Tahoma" w:cs="Tahoma"/>
        </w:rPr>
        <w:t>.</w:t>
      </w:r>
    </w:p>
    <w:p w14:paraId="75090F50" w14:textId="18D6D04F" w:rsidR="000C3DA9" w:rsidRPr="00C75419" w:rsidRDefault="00150E46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Tento dodatek</w:t>
      </w:r>
      <w:r w:rsidR="000C3DA9" w:rsidRPr="00985184">
        <w:rPr>
          <w:rFonts w:ascii="Tahoma" w:hAnsi="Tahoma" w:cs="Tahoma"/>
        </w:rPr>
        <w:t xml:space="preserve"> je na základě pověření uděleného se souhlasem rady kraje oprávněn podepsat náměstek hejtmana kraje. V případě nepřítomnosti náměstka hejtmana kraje podepisuje </w:t>
      </w:r>
      <w:r w:rsidRPr="00985184">
        <w:rPr>
          <w:rFonts w:ascii="Tahoma" w:hAnsi="Tahoma" w:cs="Tahoma"/>
        </w:rPr>
        <w:t>dodatek</w:t>
      </w:r>
      <w:r w:rsidR="000C3DA9" w:rsidRPr="00985184">
        <w:rPr>
          <w:rFonts w:ascii="Tahoma" w:hAnsi="Tahoma" w:cs="Tahoma"/>
        </w:rPr>
        <w:t xml:space="preserve"> hejtman kraje, případně jeho zástupce v pořadí určeném usnesením zastupitelstva </w:t>
      </w:r>
      <w:r w:rsidR="000C3DA9" w:rsidRPr="00C75419">
        <w:rPr>
          <w:rFonts w:ascii="Tahoma" w:hAnsi="Tahoma" w:cs="Tahoma"/>
        </w:rPr>
        <w:t>kraje č. 1/</w:t>
      </w:r>
      <w:r w:rsidR="00C75419" w:rsidRPr="00C75419">
        <w:rPr>
          <w:rFonts w:ascii="Tahoma" w:hAnsi="Tahoma" w:cs="Tahoma"/>
        </w:rPr>
        <w:t>11</w:t>
      </w:r>
      <w:r w:rsidR="000C3DA9" w:rsidRPr="00C75419">
        <w:rPr>
          <w:rFonts w:ascii="Tahoma" w:hAnsi="Tahoma" w:cs="Tahoma"/>
        </w:rPr>
        <w:t xml:space="preserve"> ze dne </w:t>
      </w:r>
      <w:r w:rsidR="00C75419" w:rsidRPr="00C75419">
        <w:rPr>
          <w:rFonts w:ascii="Tahoma" w:hAnsi="Tahoma" w:cs="Tahoma"/>
        </w:rPr>
        <w:t>21</w:t>
      </w:r>
      <w:r w:rsidR="000C3DA9" w:rsidRPr="00C75419">
        <w:rPr>
          <w:rFonts w:ascii="Tahoma" w:hAnsi="Tahoma" w:cs="Tahoma"/>
        </w:rPr>
        <w:t>. 1</w:t>
      </w:r>
      <w:r w:rsidR="00C75419" w:rsidRPr="00C75419">
        <w:rPr>
          <w:rFonts w:ascii="Tahoma" w:hAnsi="Tahoma" w:cs="Tahoma"/>
        </w:rPr>
        <w:t>0</w:t>
      </w:r>
      <w:r w:rsidR="000C3DA9" w:rsidRPr="00C75419">
        <w:rPr>
          <w:rFonts w:ascii="Tahoma" w:hAnsi="Tahoma" w:cs="Tahoma"/>
        </w:rPr>
        <w:t>. 202</w:t>
      </w:r>
      <w:r w:rsidR="00C75419" w:rsidRPr="00C75419">
        <w:rPr>
          <w:rFonts w:ascii="Tahoma" w:hAnsi="Tahoma" w:cs="Tahoma"/>
        </w:rPr>
        <w:t>4</w:t>
      </w:r>
      <w:r w:rsidR="000C3DA9" w:rsidRPr="00C75419">
        <w:rPr>
          <w:rFonts w:ascii="Tahoma" w:hAnsi="Tahoma" w:cs="Tahoma"/>
        </w:rPr>
        <w:t>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………</w:t>
      </w:r>
      <w:r w:rsidR="009A53BE" w:rsidRPr="00985184">
        <w:rPr>
          <w:rFonts w:ascii="Tahoma" w:hAnsi="Tahoma" w:cs="Tahoma"/>
        </w:rPr>
        <w:t>…..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0A1DA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B9E16CD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A9E07CE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02F6643C" w14:textId="53A41581" w:rsidR="00A07ECF" w:rsidRPr="00985184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       </w:t>
      </w:r>
    </w:p>
    <w:p w14:paraId="2DB7A1B8" w14:textId="3C67DD1D" w:rsidR="003919C5" w:rsidRDefault="001C13BC" w:rsidP="00FA508A">
      <w:pPr>
        <w:spacing w:after="0" w:line="240" w:lineRule="auto"/>
        <w:ind w:left="851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</w:t>
      </w:r>
      <w:r w:rsidR="00A07ECF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C75419">
        <w:rPr>
          <w:rFonts w:ascii="Tahoma" w:hAnsi="Tahoma" w:cs="Tahoma"/>
        </w:rPr>
        <w:t xml:space="preserve"> </w:t>
      </w:r>
      <w:r w:rsidR="003919C5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8B0F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6C5B" w14:textId="77777777" w:rsidR="00BD4AD9" w:rsidRDefault="00BD4AD9" w:rsidP="005051F5">
      <w:pPr>
        <w:spacing w:after="0" w:line="240" w:lineRule="auto"/>
      </w:pPr>
      <w:r>
        <w:separator/>
      </w:r>
    </w:p>
  </w:endnote>
  <w:endnote w:type="continuationSeparator" w:id="0">
    <w:p w14:paraId="3F8CB143" w14:textId="77777777" w:rsidR="00BD4AD9" w:rsidRDefault="00BD4AD9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BA54" w14:textId="77777777" w:rsidR="00BD4AD9" w:rsidRDefault="00BD4AD9" w:rsidP="005051F5">
      <w:pPr>
        <w:spacing w:after="0" w:line="240" w:lineRule="auto"/>
      </w:pPr>
      <w:r>
        <w:separator/>
      </w:r>
    </w:p>
  </w:footnote>
  <w:footnote w:type="continuationSeparator" w:id="0">
    <w:p w14:paraId="68D82674" w14:textId="77777777" w:rsidR="00BD4AD9" w:rsidRDefault="00BD4AD9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FDB"/>
    <w:rsid w:val="001F56F3"/>
    <w:rsid w:val="002054B4"/>
    <w:rsid w:val="002063D4"/>
    <w:rsid w:val="00224A64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10590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5692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5804"/>
    <w:rsid w:val="00BF79FD"/>
    <w:rsid w:val="00C02730"/>
    <w:rsid w:val="00C114EA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9</cp:revision>
  <cp:lastPrinted>2024-05-06T07:24:00Z</cp:lastPrinted>
  <dcterms:created xsi:type="dcterms:W3CDTF">2024-05-06T07:50:00Z</dcterms:created>
  <dcterms:modified xsi:type="dcterms:W3CDTF">2024-11-04T09:31:00Z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