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AA4C9" w14:textId="23A317DF" w:rsidR="00014B18" w:rsidRPr="001A5150" w:rsidRDefault="00014B18" w:rsidP="00C22C6C">
      <w:pPr>
        <w:pStyle w:val="Nadpis1"/>
      </w:pPr>
      <w:bookmarkStart w:id="0" w:name="_Hlk198211789"/>
      <w:r w:rsidRPr="001A5150">
        <w:t>Plnění rozpočtu Moravskoslezského kraje k</w:t>
      </w:r>
      <w:r w:rsidR="00E574BD" w:rsidRPr="001A5150">
        <w:t> </w:t>
      </w:r>
      <w:r w:rsidR="00164DCF" w:rsidRPr="001A5150">
        <w:t>31. 7. 2025</w:t>
      </w:r>
    </w:p>
    <w:p w14:paraId="586AA4CA" w14:textId="77777777" w:rsidR="00014B18" w:rsidRPr="001A5150" w:rsidRDefault="00014B18" w:rsidP="003E25B7">
      <w:pPr>
        <w:pStyle w:val="Nadpis2"/>
      </w:pPr>
      <w:r w:rsidRPr="001A5150">
        <w:t>Úvod</w:t>
      </w:r>
    </w:p>
    <w:p w14:paraId="586AA4CB" w14:textId="77777777" w:rsidR="00014B18" w:rsidRPr="001A5150" w:rsidRDefault="00014B18" w:rsidP="00B145ED">
      <w:pPr>
        <w:rPr>
          <w:rFonts w:cs="Tahoma"/>
          <w:sz w:val="2"/>
          <w:szCs w:val="2"/>
        </w:rPr>
      </w:pPr>
    </w:p>
    <w:p w14:paraId="4E1985B5" w14:textId="6CCF6277" w:rsidR="004A556D" w:rsidRPr="001A5150" w:rsidRDefault="004A556D" w:rsidP="009B594B">
      <w:r w:rsidRPr="001A5150">
        <w:t>Rozpočet Moravskoslezského kraje pro rok 202</w:t>
      </w:r>
      <w:r w:rsidR="00FF103F" w:rsidRPr="001A5150">
        <w:t>5</w:t>
      </w:r>
      <w:r w:rsidRPr="001A5150">
        <w:t xml:space="preserve"> byl schválen ve výši </w:t>
      </w:r>
      <w:r w:rsidR="00FF103F" w:rsidRPr="001A5150">
        <w:t>42.722.075</w:t>
      </w:r>
      <w:r w:rsidRPr="001A5150">
        <w:t xml:space="preserve"> tis. Kč. Zdroje schváleného rozpočtu tvoří příjmy v objemu </w:t>
      </w:r>
      <w:r w:rsidR="00FF103F" w:rsidRPr="001A5150">
        <w:t>39.580.699</w:t>
      </w:r>
      <w:r w:rsidRPr="001A5150">
        <w:t> tis. Kč a</w:t>
      </w:r>
      <w:r w:rsidR="00942BA8" w:rsidRPr="001A5150">
        <w:t> </w:t>
      </w:r>
      <w:r w:rsidRPr="001A5150">
        <w:t>financování ve</w:t>
      </w:r>
      <w:r w:rsidR="009B594B" w:rsidRPr="001A5150">
        <w:t> </w:t>
      </w:r>
      <w:r w:rsidRPr="001A5150">
        <w:t xml:space="preserve">výši </w:t>
      </w:r>
      <w:r w:rsidR="00FF103F" w:rsidRPr="001A5150">
        <w:t>3.141.376</w:t>
      </w:r>
      <w:r w:rsidRPr="001A5150">
        <w:t xml:space="preserve"> tis. Kč. </w:t>
      </w:r>
    </w:p>
    <w:p w14:paraId="581636D3" w14:textId="67A4192C" w:rsidR="00CA2451" w:rsidRPr="001A5150" w:rsidRDefault="00E87A91" w:rsidP="001318E4">
      <w:pPr>
        <w:pStyle w:val="Styltab"/>
      </w:pPr>
      <w:bookmarkStart w:id="1" w:name="_Hlk150704573"/>
      <w:r w:rsidRPr="001A5150">
        <w:t>Hospodaření Moravskoslezského kraje k </w:t>
      </w:r>
      <w:r w:rsidR="00164DCF" w:rsidRPr="001A5150">
        <w:t>31. 7. 2025</w:t>
      </w:r>
      <w:r w:rsidR="00A52F4A" w:rsidRPr="001A5150">
        <w:tab/>
      </w:r>
      <w:r w:rsidRPr="001A5150">
        <w:t>v tis. Kč</w:t>
      </w:r>
      <w:bookmarkStart w:id="2" w:name="_MON_1489983302"/>
      <w:bookmarkStart w:id="3" w:name="_MON_1490158136"/>
      <w:bookmarkStart w:id="4" w:name="_MON_1490161178"/>
      <w:bookmarkStart w:id="5" w:name="_MON_1490161199"/>
      <w:bookmarkStart w:id="6" w:name="_MON_1490172727"/>
      <w:bookmarkStart w:id="7" w:name="_MON_1490433935"/>
      <w:bookmarkStart w:id="8" w:name="_MON_1469334758"/>
      <w:bookmarkStart w:id="9" w:name="_MON_1469335147"/>
      <w:bookmarkStart w:id="10" w:name="_MON_1469339558"/>
      <w:bookmarkStart w:id="11" w:name="_MON_1477284508"/>
      <w:bookmarkStart w:id="12" w:name="_MON_1476600780"/>
      <w:bookmarkStart w:id="13" w:name="_MON_1476600823"/>
      <w:bookmarkEnd w:id="2"/>
      <w:bookmarkEnd w:id="3"/>
      <w:bookmarkEnd w:id="4"/>
      <w:bookmarkEnd w:id="5"/>
      <w:bookmarkEnd w:id="6"/>
      <w:bookmarkEnd w:id="7"/>
      <w:bookmarkEnd w:id="8"/>
      <w:bookmarkEnd w:id="9"/>
      <w:bookmarkEnd w:id="10"/>
      <w:bookmarkEnd w:id="11"/>
      <w:bookmarkEnd w:id="12"/>
      <w:bookmarkEnd w:id="13"/>
      <w:bookmarkStart w:id="14" w:name="_MON_1476601264"/>
      <w:bookmarkEnd w:id="14"/>
      <w:r w:rsidR="00BB2C2A" w:rsidRPr="001A5150">
        <w:object w:dxaOrig="10524" w:dyaOrig="1443" w14:anchorId="67422C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85pt;height:1in" o:ole="">
            <v:imagedata r:id="rId8" o:title=""/>
          </v:shape>
          <o:OLEObject Type="Embed" ProgID="Excel.Sheet.8" ShapeID="_x0000_i1025" DrawAspect="Content" ObjectID="_1817201189" r:id="rId9"/>
        </w:object>
      </w:r>
    </w:p>
    <w:bookmarkEnd w:id="1"/>
    <w:p w14:paraId="5473203C" w14:textId="77777777" w:rsidR="00965C24" w:rsidRPr="001A5150" w:rsidRDefault="00965C24" w:rsidP="00965C24">
      <w:pPr>
        <w:spacing w:after="0"/>
        <w:rPr>
          <w:rFonts w:cs="Tahoma"/>
          <w:szCs w:val="20"/>
        </w:rPr>
      </w:pPr>
    </w:p>
    <w:p w14:paraId="586AA4CF" w14:textId="51D4F501" w:rsidR="00596ABD" w:rsidRPr="001A5150" w:rsidRDefault="00596ABD" w:rsidP="00596ABD">
      <w:pPr>
        <w:rPr>
          <w:rFonts w:cs="Tahoma"/>
          <w:szCs w:val="20"/>
        </w:rPr>
      </w:pPr>
      <w:r w:rsidRPr="001A5150">
        <w:rPr>
          <w:rFonts w:cs="Tahoma"/>
          <w:szCs w:val="20"/>
        </w:rPr>
        <w:t>Upravený rozpočet Moravskoslezského kraje k </w:t>
      </w:r>
      <w:r w:rsidR="00164DCF" w:rsidRPr="001A5150">
        <w:rPr>
          <w:rFonts w:cs="Tahoma"/>
          <w:szCs w:val="20"/>
        </w:rPr>
        <w:t>31. 7. 2025</w:t>
      </w:r>
      <w:r w:rsidRPr="001A5150">
        <w:rPr>
          <w:rFonts w:cs="Tahoma"/>
          <w:szCs w:val="20"/>
        </w:rPr>
        <w:t xml:space="preserve"> </w:t>
      </w:r>
      <w:r w:rsidR="00A1795A" w:rsidRPr="001A5150">
        <w:rPr>
          <w:rFonts w:cs="Tahoma"/>
          <w:szCs w:val="20"/>
        </w:rPr>
        <w:t>je ve</w:t>
      </w:r>
      <w:r w:rsidR="008622CF" w:rsidRPr="001A5150">
        <w:rPr>
          <w:rFonts w:cs="Tahoma"/>
          <w:szCs w:val="20"/>
        </w:rPr>
        <w:t> </w:t>
      </w:r>
      <w:r w:rsidR="00A1795A" w:rsidRPr="001A5150">
        <w:rPr>
          <w:rFonts w:cs="Tahoma"/>
          <w:szCs w:val="20"/>
        </w:rPr>
        <w:t xml:space="preserve">výši </w:t>
      </w:r>
      <w:r w:rsidR="0058309C" w:rsidRPr="001A5150">
        <w:rPr>
          <w:rFonts w:cs="Tahoma"/>
          <w:szCs w:val="20"/>
        </w:rPr>
        <w:t>45.923.768</w:t>
      </w:r>
      <w:r w:rsidR="00F62277" w:rsidRPr="001A5150">
        <w:rPr>
          <w:rFonts w:cs="Tahoma"/>
          <w:szCs w:val="20"/>
        </w:rPr>
        <w:t> </w:t>
      </w:r>
      <w:r w:rsidRPr="001A5150">
        <w:rPr>
          <w:rFonts w:cs="Tahoma"/>
          <w:szCs w:val="20"/>
        </w:rPr>
        <w:t xml:space="preserve">tis. Kč. </w:t>
      </w:r>
    </w:p>
    <w:bookmarkEnd w:id="0"/>
    <w:p w14:paraId="1ABBB478" w14:textId="6A44A2A0" w:rsidR="00B945F7" w:rsidRPr="001A5150" w:rsidRDefault="00B945F7" w:rsidP="00B945F7">
      <w:pPr>
        <w:pStyle w:val="Nadpis3"/>
      </w:pPr>
      <w:r w:rsidRPr="001A5150">
        <w:t>Úpravy rozpočtu v roce 202</w:t>
      </w:r>
      <w:r w:rsidR="00C52663" w:rsidRPr="001A5150">
        <w:t>5</w:t>
      </w:r>
      <w:r w:rsidRPr="001A5150">
        <w:t>:</w:t>
      </w:r>
    </w:p>
    <w:p w14:paraId="20FA73D7" w14:textId="77777777" w:rsidR="00F94B0D" w:rsidRPr="001A5150" w:rsidRDefault="00F94B0D" w:rsidP="00F94B0D">
      <w:pPr>
        <w:numPr>
          <w:ilvl w:val="0"/>
          <w:numId w:val="31"/>
        </w:numPr>
      </w:pPr>
      <w:bookmarkStart w:id="15" w:name="_Hlk87974665"/>
      <w:r w:rsidRPr="001A5150">
        <w:t>Zůstatek finančních prostředků rozpočtového hospodaření roku 2024</w:t>
      </w:r>
    </w:p>
    <w:p w14:paraId="433AB774" w14:textId="77777777" w:rsidR="00F94B0D" w:rsidRPr="001A5150" w:rsidRDefault="00F94B0D" w:rsidP="00F94B0D">
      <w:r w:rsidRPr="001A5150">
        <w:t xml:space="preserve">V souladu s usnesením zastupitelstva kraje č. 2/22 ze dne 16. 12. 2024 došlo ke zvýšení výdajové části rozpočtu a snížení příjmové části rozpočtu zapojením části zůstatku finančních prostředků rozpočtového hospodaření roku 2024 do rozpočtu na rok 2025 v celkové výši 3.743.820 tis. Kč, z toho prostředky ve výši: </w:t>
      </w:r>
    </w:p>
    <w:p w14:paraId="3E9CA765" w14:textId="77777777" w:rsidR="00F94B0D" w:rsidRPr="001A5150" w:rsidRDefault="00F94B0D" w:rsidP="007F4851">
      <w:pPr>
        <w:numPr>
          <w:ilvl w:val="0"/>
          <w:numId w:val="32"/>
        </w:numPr>
        <w:spacing w:after="0"/>
        <w:ind w:left="1066" w:hanging="357"/>
      </w:pPr>
      <w:r w:rsidRPr="001A5150">
        <w:t>2.898.159 tis. Kč k dofinancování akcí spolufinancovaných z evropských finančních zdrojů, akcí reprodukce majetku kraje a akcí jinak smluvně zajištěných a převedených do roku 2025 (usnesení rady kraje č. 6/407 ze dne 20. 1. 2025),</w:t>
      </w:r>
    </w:p>
    <w:p w14:paraId="1ACEA7C2" w14:textId="77777777" w:rsidR="00F94B0D" w:rsidRPr="001A5150" w:rsidRDefault="00F94B0D" w:rsidP="007F4851">
      <w:pPr>
        <w:numPr>
          <w:ilvl w:val="0"/>
          <w:numId w:val="32"/>
        </w:numPr>
        <w:spacing w:after="0"/>
        <w:ind w:left="1066" w:hanging="357"/>
      </w:pPr>
      <w:r w:rsidRPr="001A5150">
        <w:t xml:space="preserve">158 tis. Kč účelové prostředky k vrácení na účet </w:t>
      </w:r>
      <w:proofErr w:type="gramStart"/>
      <w:r w:rsidRPr="001A5150">
        <w:t>MŠMT - vratka</w:t>
      </w:r>
      <w:proofErr w:type="gramEnd"/>
      <w:r w:rsidRPr="001A5150">
        <w:t xml:space="preserve"> prostředků od školy zřízené obcí přijatá koncem roku 2024 (usnesení rady kraje č. 9/528 ze dne 10. 2. 2025),</w:t>
      </w:r>
    </w:p>
    <w:p w14:paraId="05067DB2" w14:textId="77777777" w:rsidR="00F94B0D" w:rsidRPr="001A5150" w:rsidRDefault="00F94B0D" w:rsidP="007F4851">
      <w:pPr>
        <w:numPr>
          <w:ilvl w:val="0"/>
          <w:numId w:val="32"/>
        </w:numPr>
        <w:spacing w:after="0"/>
        <w:ind w:left="1066" w:hanging="357"/>
      </w:pPr>
      <w:r w:rsidRPr="001A5150">
        <w:t>2.106 tis. Kč v souvislosti s finančním vypořádáním účelově poskytnutých dotací kraji v roce 2024 z jednotlivých kapitol státního rozpočtu (usnesení rady kraje č. 14/774 ze dne 31. 3. 2025),</w:t>
      </w:r>
    </w:p>
    <w:p w14:paraId="6510BC53" w14:textId="77777777" w:rsidR="00F94B0D" w:rsidRPr="001A5150" w:rsidRDefault="00F94B0D" w:rsidP="007F4851">
      <w:pPr>
        <w:numPr>
          <w:ilvl w:val="0"/>
          <w:numId w:val="32"/>
        </w:numPr>
        <w:spacing w:after="0"/>
        <w:ind w:left="1066" w:hanging="357"/>
      </w:pPr>
      <w:r w:rsidRPr="001A5150">
        <w:t>8.100 tis. Kč účelové prostředky na pořízení osobních ochranných pracovních prostředků zaměstnanců Zdravotnické záchranné služby MSK (usnesení rady kraje č. 14/774 ze dne 31. 3. 2025),</w:t>
      </w:r>
    </w:p>
    <w:p w14:paraId="4E15B1DD" w14:textId="77777777" w:rsidR="00F94B0D" w:rsidRPr="001A5150" w:rsidRDefault="00F94B0D" w:rsidP="007F4851">
      <w:pPr>
        <w:numPr>
          <w:ilvl w:val="0"/>
          <w:numId w:val="32"/>
        </w:numPr>
        <w:spacing w:after="0"/>
        <w:ind w:left="1066" w:hanging="357"/>
      </w:pPr>
      <w:r w:rsidRPr="001A5150">
        <w:t>801.335 tis. Kč k dofinancování akcí rozpočtu kraje na rok 2025 a financování nových akcí v souladu se Strategií rozvoje Moravskoslezského kraje na léta 2019–2027, schválenou usnesením zastupitelstva kraje č. 14/1717 ze dne 12. 12. 2019, a programovým prohlášením vedení Moravskoslezského kraje na volební období 2024–2028,</w:t>
      </w:r>
    </w:p>
    <w:p w14:paraId="315552D6" w14:textId="77777777" w:rsidR="00F94B0D" w:rsidRPr="001A5150" w:rsidRDefault="00F94B0D" w:rsidP="007F4851">
      <w:pPr>
        <w:numPr>
          <w:ilvl w:val="0"/>
          <w:numId w:val="32"/>
        </w:numPr>
        <w:spacing w:after="0"/>
        <w:ind w:left="1066" w:hanging="357"/>
      </w:pPr>
      <w:r w:rsidRPr="001A5150">
        <w:t>28.480 tis. Kč k nahrazení části příjmů z vratek návratných finančních výpomocí v rozpočtu kraje na rok 2025 (usnesení rady kraje č. 17/967 ze dne 12. 5. 2025),</w:t>
      </w:r>
    </w:p>
    <w:p w14:paraId="3157B6A2" w14:textId="77777777" w:rsidR="00F94B0D" w:rsidRPr="001A5150" w:rsidRDefault="00F94B0D" w:rsidP="007F4851">
      <w:pPr>
        <w:numPr>
          <w:ilvl w:val="0"/>
          <w:numId w:val="32"/>
        </w:numPr>
        <w:spacing w:after="0"/>
        <w:ind w:left="1066" w:hanging="357"/>
      </w:pPr>
      <w:r w:rsidRPr="001A5150">
        <w:t>5.482 tis. Kč k vypořádání Sociálního fondu za rok 2024 (usnesení rady kraje č. 18/1036 ze dne 26. 5. 2025).</w:t>
      </w:r>
    </w:p>
    <w:p w14:paraId="3F4678FF" w14:textId="77777777" w:rsidR="00F94B0D" w:rsidRPr="001A5150" w:rsidRDefault="00F94B0D" w:rsidP="0016028C"/>
    <w:p w14:paraId="6BA305AF" w14:textId="77777777" w:rsidR="001C21FB" w:rsidRPr="001A5150" w:rsidRDefault="001C21FB" w:rsidP="001C21FB">
      <w:pPr>
        <w:numPr>
          <w:ilvl w:val="0"/>
          <w:numId w:val="5"/>
        </w:numPr>
        <w:ind w:left="714" w:hanging="357"/>
        <w:rPr>
          <w:rFonts w:cs="Tahoma"/>
          <w:szCs w:val="20"/>
        </w:rPr>
      </w:pPr>
      <w:bookmarkStart w:id="16" w:name="_Hlk166502148"/>
      <w:r w:rsidRPr="001A5150">
        <w:rPr>
          <w:rFonts w:cs="Tahoma"/>
          <w:szCs w:val="20"/>
        </w:rPr>
        <w:t>Přijetí účelových dotací</w:t>
      </w:r>
    </w:p>
    <w:p w14:paraId="2125EE0C" w14:textId="0F45D246" w:rsidR="00EA1D50" w:rsidRPr="001A5150" w:rsidRDefault="0093659C" w:rsidP="00144F66">
      <w:pPr>
        <w:spacing w:after="0"/>
      </w:pPr>
      <w:bookmarkStart w:id="17" w:name="_Hlk206479187"/>
      <w:r w:rsidRPr="001A5150">
        <w:t>Součástí</w:t>
      </w:r>
      <w:r w:rsidR="002403DF" w:rsidRPr="001A5150">
        <w:t xml:space="preserve"> schváleného rozpočtu kraje </w:t>
      </w:r>
      <w:r w:rsidRPr="001A5150">
        <w:t xml:space="preserve">jsou rovněž i </w:t>
      </w:r>
      <w:r w:rsidR="002403DF" w:rsidRPr="001A5150">
        <w:t>vybrané dotace ze státního rozpočtu</w:t>
      </w:r>
      <w:r w:rsidR="005D7194" w:rsidRPr="001A5150">
        <w:t xml:space="preserve"> (zejména kapitola M</w:t>
      </w:r>
      <w:r w:rsidR="002E2E27" w:rsidRPr="001A5150">
        <w:t>inisterstva školství, mládeže a tělovýchovy a Ministerstva práce a sociálních věcí</w:t>
      </w:r>
      <w:r w:rsidR="005D7194" w:rsidRPr="001A5150">
        <w:t>)</w:t>
      </w:r>
      <w:r w:rsidR="00CA2D56" w:rsidRPr="001A5150">
        <w:t>. Dotace jsou zahrnuty do schváleného rozpočtu v předpokládané výši</w:t>
      </w:r>
      <w:r w:rsidR="00EA1D50" w:rsidRPr="001A5150">
        <w:t xml:space="preserve"> s ohledem na dostupné informace o vývoji v období přípravy rozpočtu.</w:t>
      </w:r>
    </w:p>
    <w:p w14:paraId="3427291C" w14:textId="77777777" w:rsidR="00EA1D50" w:rsidRPr="001A5150" w:rsidRDefault="00EA1D50" w:rsidP="00144F66">
      <w:pPr>
        <w:spacing w:after="0"/>
      </w:pPr>
    </w:p>
    <w:p w14:paraId="29D47AF0" w14:textId="7F857490" w:rsidR="00CA2D56" w:rsidRPr="001A5150" w:rsidRDefault="00CA2D56" w:rsidP="00144F66">
      <w:pPr>
        <w:spacing w:after="0"/>
      </w:pPr>
      <w:r w:rsidRPr="001A5150">
        <w:t>V</w:t>
      </w:r>
      <w:r w:rsidR="00896773" w:rsidRPr="001A5150">
        <w:t xml:space="preserve"> období</w:t>
      </w:r>
      <w:r w:rsidRPr="001A5150">
        <w:t xml:space="preserve"> </w:t>
      </w:r>
      <w:r w:rsidR="00EA1D50" w:rsidRPr="001A5150">
        <w:t xml:space="preserve">leden až </w:t>
      </w:r>
      <w:r w:rsidR="00896773" w:rsidRPr="001A5150">
        <w:t>duben</w:t>
      </w:r>
      <w:r w:rsidR="00EA1D50" w:rsidRPr="001A5150">
        <w:t xml:space="preserve"> </w:t>
      </w:r>
      <w:r w:rsidRPr="001A5150">
        <w:t xml:space="preserve">došlo </w:t>
      </w:r>
      <w:r w:rsidR="00EA1D50" w:rsidRPr="001A5150">
        <w:t>mj.</w:t>
      </w:r>
      <w:r w:rsidRPr="001A5150">
        <w:t xml:space="preserve"> ke zpřesnění objemu prostředků na přímé výdaje na</w:t>
      </w:r>
      <w:r w:rsidR="00EA1D50" w:rsidRPr="001A5150">
        <w:t> </w:t>
      </w:r>
      <w:r w:rsidRPr="001A5150">
        <w:t xml:space="preserve">vzdělávání pro školy a školská zařízení zřizované krajem a obcemi, a to snížení </w:t>
      </w:r>
      <w:r w:rsidR="002E2E27" w:rsidRPr="001A5150">
        <w:t xml:space="preserve">předpokládaného </w:t>
      </w:r>
      <w:r w:rsidR="00EA1D50" w:rsidRPr="001A5150">
        <w:t xml:space="preserve">objemu dotací </w:t>
      </w:r>
      <w:r w:rsidRPr="001A5150">
        <w:t>o</w:t>
      </w:r>
      <w:r w:rsidR="00EA1D50" w:rsidRPr="001A5150">
        <w:t> </w:t>
      </w:r>
      <w:r w:rsidRPr="001A5150">
        <w:t>905.422</w:t>
      </w:r>
      <w:r w:rsidR="00EA1D50" w:rsidRPr="001A5150">
        <w:t> </w:t>
      </w:r>
      <w:r w:rsidRPr="001A5150">
        <w:t>tis.</w:t>
      </w:r>
      <w:r w:rsidR="00EA1D50" w:rsidRPr="001A5150">
        <w:t> </w:t>
      </w:r>
      <w:r w:rsidRPr="001A5150">
        <w:t>Kč (částka zohledň</w:t>
      </w:r>
      <w:r w:rsidR="00896773" w:rsidRPr="001A5150">
        <w:t>ovala</w:t>
      </w:r>
      <w:r w:rsidRPr="001A5150">
        <w:t xml:space="preserve"> navrhovaný </w:t>
      </w:r>
      <w:r w:rsidR="00EA1D50" w:rsidRPr="001A5150">
        <w:t>převod</w:t>
      </w:r>
      <w:r w:rsidRPr="001A5150">
        <w:t xml:space="preserve"> odpovědnosti za financování nepedagogické práce ve školách a</w:t>
      </w:r>
      <w:r w:rsidR="00896773" w:rsidRPr="001A5150">
        <w:t> </w:t>
      </w:r>
      <w:r w:rsidRPr="001A5150">
        <w:t>školských zařízeních zřizovaných kraje</w:t>
      </w:r>
      <w:r w:rsidR="002E2E27" w:rsidRPr="001A5150">
        <w:t>m</w:t>
      </w:r>
      <w:r w:rsidRPr="001A5150">
        <w:t xml:space="preserve"> a obcemi od 1. září 2025 na jejich zřizovatele, platby nepedagogických pracovníků a ostatní výdaje byly stanoveny pouze</w:t>
      </w:r>
      <w:r w:rsidR="00EA1D50" w:rsidRPr="001A5150">
        <w:t xml:space="preserve"> </w:t>
      </w:r>
      <w:r w:rsidRPr="001A5150">
        <w:t>na období leden až srpen 2025).</w:t>
      </w:r>
      <w:r w:rsidR="00896773" w:rsidRPr="001A5150">
        <w:t xml:space="preserve"> Naopak tomu však bylo v období květen až červenec, kdy došlo k navýšení objemu dotace o 464.218 tis. Kč o prostředky určené na navýšení rozpisu rozpočtu v oblasti nepedagogické práce a ostatních neinvestičních výdajů pro školská zařízení na období září až prosinec 2025.</w:t>
      </w:r>
    </w:p>
    <w:bookmarkEnd w:id="17"/>
    <w:p w14:paraId="72D8C1B3" w14:textId="77777777" w:rsidR="00CA2D56" w:rsidRPr="001A5150" w:rsidRDefault="00CA2D56" w:rsidP="00144F66">
      <w:pPr>
        <w:spacing w:after="0"/>
      </w:pPr>
    </w:p>
    <w:bookmarkEnd w:id="15"/>
    <w:bookmarkEnd w:id="16"/>
    <w:p w14:paraId="386AD3B7" w14:textId="4CC23496" w:rsidR="00651C83" w:rsidRPr="001A5150" w:rsidRDefault="00651C83" w:rsidP="00651C83">
      <w:pPr>
        <w:numPr>
          <w:ilvl w:val="0"/>
          <w:numId w:val="5"/>
        </w:numPr>
        <w:rPr>
          <w:rFonts w:cs="Tahoma"/>
          <w:szCs w:val="20"/>
        </w:rPr>
      </w:pPr>
      <w:r w:rsidRPr="001A5150">
        <w:rPr>
          <w:rFonts w:cs="Tahoma"/>
          <w:szCs w:val="20"/>
        </w:rPr>
        <w:t>Úpravy rozpočtu v souvislosti s</w:t>
      </w:r>
      <w:r w:rsidR="00CF4169">
        <w:rPr>
          <w:rFonts w:cs="Tahoma"/>
          <w:szCs w:val="20"/>
        </w:rPr>
        <w:t xml:space="preserve"> mimořádnými událostmi </w:t>
      </w:r>
    </w:p>
    <w:p w14:paraId="7548ED3E" w14:textId="1B08A8BE" w:rsidR="00651C83" w:rsidRPr="001A5150" w:rsidRDefault="005D571D" w:rsidP="00651C83">
      <w:r w:rsidRPr="001A5150">
        <w:t xml:space="preserve">V roce 2025 se pokračuje s odstraněním následků rozsáhlých povodní, které zasáhly </w:t>
      </w:r>
      <w:r w:rsidR="00651C83" w:rsidRPr="001A5150">
        <w:t>Moravskoslezský kraj v září 2024</w:t>
      </w:r>
      <w:r w:rsidRPr="001A5150">
        <w:t xml:space="preserve">. </w:t>
      </w:r>
      <w:r w:rsidR="00651C83" w:rsidRPr="001A5150">
        <w:t xml:space="preserve">Na úhradu těchto prací byly ve sledovaném období </w:t>
      </w:r>
      <w:r w:rsidR="005358A8" w:rsidRPr="001A5150">
        <w:t>čerpány prostředky ve výši</w:t>
      </w:r>
      <w:r w:rsidR="00651C83" w:rsidRPr="001A5150">
        <w:t xml:space="preserve"> </w:t>
      </w:r>
      <w:r w:rsidR="00A07691" w:rsidRPr="001A5150">
        <w:t>296.754</w:t>
      </w:r>
      <w:r w:rsidR="00651C83" w:rsidRPr="001A5150">
        <w:t> tis. Kč. Bližší informace o prostředcích vyčleněných v rozpočtu kraje na likvidaci škod vzniklých v důsledku povodní a jejich čerpání jsou popsány v odvětví krizového řízení v rámci kapitoly Plnění rozpočtu kraje dle odvětví.</w:t>
      </w:r>
    </w:p>
    <w:p w14:paraId="185A8275" w14:textId="5E23D3E9" w:rsidR="00520E85" w:rsidRPr="001A5150" w:rsidRDefault="00520E85" w:rsidP="00520E85">
      <w:r w:rsidRPr="001A5150">
        <w:t>V souvislosti s poskytováním humanitární pomoci občanům Ukrajiny byly ve sledovaném období leden až </w:t>
      </w:r>
      <w:r w:rsidR="00A07691" w:rsidRPr="001A5150">
        <w:t>červenec</w:t>
      </w:r>
      <w:r w:rsidRPr="001A5150">
        <w:t xml:space="preserve"> čerpán</w:t>
      </w:r>
      <w:r w:rsidR="005358A8" w:rsidRPr="001A5150">
        <w:t>y prostředky ve výši</w:t>
      </w:r>
      <w:r w:rsidRPr="001A5150">
        <w:t xml:space="preserve"> </w:t>
      </w:r>
      <w:r w:rsidR="00A07691" w:rsidRPr="001A5150">
        <w:t>9.606</w:t>
      </w:r>
      <w:r w:rsidRPr="001A5150">
        <w:t> tis. Kč. Bližší informace o prostředcích vyčleněných v rozpočtu kraje na humanitární pomoc občanům Ukrajiny postiženým ozbrojeným konfliktem a jejich čerpání jsou popsány v odvětví krizového řízení v rámci kapitoly Plnění rozpočtu kraje dle odvětví.</w:t>
      </w:r>
    </w:p>
    <w:p w14:paraId="0C7E1A0B" w14:textId="77777777" w:rsidR="00B945F7" w:rsidRPr="001A5150" w:rsidRDefault="00B945F7" w:rsidP="00520E85">
      <w:pPr>
        <w:numPr>
          <w:ilvl w:val="0"/>
          <w:numId w:val="5"/>
        </w:numPr>
        <w:rPr>
          <w:rFonts w:cs="Tahoma"/>
          <w:szCs w:val="20"/>
        </w:rPr>
      </w:pPr>
      <w:r w:rsidRPr="001A5150">
        <w:rPr>
          <w:rFonts w:cs="Tahoma"/>
          <w:szCs w:val="20"/>
        </w:rPr>
        <w:t>Ostatní úpravy rozpočtu</w:t>
      </w:r>
    </w:p>
    <w:p w14:paraId="70953446" w14:textId="10141D53" w:rsidR="00375D24" w:rsidRPr="001A5150" w:rsidRDefault="00375D24" w:rsidP="00375D24">
      <w:pPr>
        <w:rPr>
          <w:rFonts w:cs="Tahoma"/>
          <w:szCs w:val="20"/>
        </w:rPr>
      </w:pPr>
      <w:r w:rsidRPr="001A5150">
        <w:rPr>
          <w:rFonts w:cs="Tahoma"/>
          <w:szCs w:val="20"/>
        </w:rPr>
        <w:t>Úpravy rozpočtu roku 202</w:t>
      </w:r>
      <w:r w:rsidR="0093659C" w:rsidRPr="001A5150">
        <w:rPr>
          <w:rFonts w:cs="Tahoma"/>
          <w:szCs w:val="20"/>
        </w:rPr>
        <w:t>5</w:t>
      </w:r>
      <w:r w:rsidRPr="001A5150">
        <w:rPr>
          <w:rFonts w:cs="Tahoma"/>
          <w:szCs w:val="20"/>
        </w:rPr>
        <w:t xml:space="preserve"> souvisely také se zapojením prostředků určených pro finanční vypořádání dotací přijatých v minulých obdobích do rozpočtu kraje. Průběžně byly do rozpočtu kraje zapojovány vratky nevyužitých prostředků od příspěvkových organizací (např. zapojení vratek z finančního vypořádání příspěvku na energie za rok 202</w:t>
      </w:r>
      <w:r w:rsidR="0093659C" w:rsidRPr="001A5150">
        <w:rPr>
          <w:rFonts w:cs="Tahoma"/>
          <w:szCs w:val="20"/>
        </w:rPr>
        <w:t>4</w:t>
      </w:r>
      <w:r w:rsidRPr="001A5150">
        <w:rPr>
          <w:rFonts w:cs="Tahoma"/>
          <w:szCs w:val="20"/>
        </w:rPr>
        <w:t xml:space="preserve"> od příspěvkových organizací ve výši </w:t>
      </w:r>
      <w:r w:rsidR="00B6663B" w:rsidRPr="001A5150">
        <w:rPr>
          <w:rFonts w:cs="Tahoma"/>
          <w:szCs w:val="20"/>
        </w:rPr>
        <w:t>72</w:t>
      </w:r>
      <w:r w:rsidRPr="001A5150">
        <w:rPr>
          <w:rFonts w:cs="Tahoma"/>
          <w:szCs w:val="20"/>
        </w:rPr>
        <w:t> mil. Kč) a vratky nevyužitých prostředků z dotací poskytnutých v rámci vyhlášených dotačních programů i</w:t>
      </w:r>
      <w:r w:rsidR="00E6684C" w:rsidRPr="001A5150">
        <w:rPr>
          <w:rFonts w:cs="Tahoma"/>
          <w:szCs w:val="20"/>
        </w:rPr>
        <w:t> </w:t>
      </w:r>
      <w:r w:rsidRPr="001A5150">
        <w:rPr>
          <w:rFonts w:cs="Tahoma"/>
          <w:szCs w:val="20"/>
        </w:rPr>
        <w:t>individuálních dotací. Dále byl rozpočet kraje průběžně navyšován o přeplněné (neočekávané či</w:t>
      </w:r>
      <w:r w:rsidR="00E6684C" w:rsidRPr="001A5150">
        <w:rPr>
          <w:rFonts w:cs="Tahoma"/>
          <w:szCs w:val="20"/>
        </w:rPr>
        <w:t> </w:t>
      </w:r>
      <w:r w:rsidRPr="001A5150">
        <w:rPr>
          <w:rFonts w:cs="Tahoma"/>
          <w:szCs w:val="20"/>
        </w:rPr>
        <w:t>mimořádné) příjmy roku 202</w:t>
      </w:r>
      <w:r w:rsidR="0093659C" w:rsidRPr="001A5150">
        <w:rPr>
          <w:rFonts w:cs="Tahoma"/>
          <w:szCs w:val="20"/>
        </w:rPr>
        <w:t>5</w:t>
      </w:r>
      <w:r w:rsidRPr="001A5150">
        <w:rPr>
          <w:rFonts w:cs="Tahoma"/>
          <w:szCs w:val="20"/>
        </w:rPr>
        <w:t xml:space="preserve"> související s vlastní činností kraje, kdy tyto prostředky reflektují aktuální potřeby kraje. Neméně významné byly úpravy rozpočtu související s odpovídajícím zatřízením dle platné legislativy.</w:t>
      </w:r>
    </w:p>
    <w:p w14:paraId="607FC278" w14:textId="22450A3B" w:rsidR="00B945F7" w:rsidRPr="001A5150" w:rsidRDefault="00B945F7" w:rsidP="00B945F7">
      <w:pPr>
        <w:rPr>
          <w:rFonts w:cs="Tahoma"/>
          <w:szCs w:val="20"/>
        </w:rPr>
      </w:pPr>
      <w:r w:rsidRPr="001A5150">
        <w:rPr>
          <w:rFonts w:cs="Tahoma"/>
          <w:szCs w:val="20"/>
        </w:rPr>
        <w:t>Zbývající úpravy rozpočtu neměly významný dopad na celkovou výši rozpočtu kraje. Přehled všech schválených rozpočtových opatření radou kraje je uveden v příloze č. 1 předloženého materiálu.</w:t>
      </w:r>
    </w:p>
    <w:p w14:paraId="586AA4DE" w14:textId="77777777" w:rsidR="007F2479" w:rsidRPr="001A5150" w:rsidRDefault="007F2479" w:rsidP="00094480">
      <w:pPr>
        <w:pStyle w:val="Nadpis2"/>
      </w:pPr>
      <w:r w:rsidRPr="001A5150">
        <w:t>Příjmová část rozpočtu</w:t>
      </w:r>
    </w:p>
    <w:p w14:paraId="577DBFCA" w14:textId="12DC6A5B" w:rsidR="007C08E3" w:rsidRPr="001A5150" w:rsidRDefault="00264EB0" w:rsidP="007C08E3">
      <w:pPr>
        <w:rPr>
          <w:rFonts w:cs="Tahoma"/>
          <w:szCs w:val="20"/>
        </w:rPr>
      </w:pPr>
      <w:r w:rsidRPr="001A5150">
        <w:rPr>
          <w:rFonts w:cs="Tahoma"/>
          <w:szCs w:val="20"/>
        </w:rPr>
        <w:t>K 31. 7. 2025 jsou příjmy rozpočtu plněny na 69 % upraveného rozpočtu. Skutečné příjmy činí 27.286.133 </w:t>
      </w:r>
      <w:r w:rsidRPr="001A5150">
        <w:t>tis</w:t>
      </w:r>
      <w:r w:rsidRPr="001A5150">
        <w:rPr>
          <w:rFonts w:cs="Tahoma"/>
          <w:szCs w:val="20"/>
        </w:rPr>
        <w:t>. Kč. Ve srovnání skutečných příjmů období leden </w:t>
      </w:r>
      <w:r w:rsidRPr="001A5150">
        <w:rPr>
          <w:rFonts w:cs="Tahoma"/>
          <w:szCs w:val="20"/>
        </w:rPr>
        <w:noBreakHyphen/>
        <w:t> červenec 2025 se stejným obdobím roku 2024 došlo celkově v letošním roce ke zvýšení objemu příjmů kraje o 552.634 tis. Kč. Meziroční nárůst příjmů souvisel s vyšším objemem přijatých dotací z jednotlivých ministerstev a z evropských finančních zdrojů (růst o 603.823 tis. Kč) a skutečných daňových příjmů (růst o 271.745 tis. Kč). K poklesu příjmů došlo u přijatých nedaňových příjmů (o 291.580 tis. Kč) a kapitálových příjmů (o 31.354 tis. Kč).</w:t>
      </w:r>
    </w:p>
    <w:p w14:paraId="179CF140" w14:textId="57EA19DC" w:rsidR="000D05C7" w:rsidRPr="001A5150" w:rsidRDefault="001F69DE" w:rsidP="001318E4">
      <w:pPr>
        <w:pStyle w:val="Styltab"/>
      </w:pPr>
      <w:r w:rsidRPr="001A5150">
        <w:t xml:space="preserve">Přehled příjmů kraje v členění dle rozpočtové skladby </w:t>
      </w:r>
      <w:r w:rsidRPr="001A5150">
        <w:tab/>
        <w:t>v tis. Kč</w:t>
      </w:r>
    </w:p>
    <w:bookmarkStart w:id="18" w:name="_MON_1817039027"/>
    <w:bookmarkEnd w:id="18"/>
    <w:p w14:paraId="3A0B7FD2" w14:textId="6FEDDA4B" w:rsidR="00264EB0" w:rsidRPr="001A5150" w:rsidRDefault="00D25855" w:rsidP="00234A17">
      <w:r w:rsidRPr="001A5150">
        <w:object w:dxaOrig="9468" w:dyaOrig="1736" w14:anchorId="66337460">
          <v:shape id="_x0000_i1026" type="#_x0000_t75" style="width:468.3pt;height:86.4pt" o:ole="">
            <v:imagedata r:id="rId10" o:title=""/>
          </v:shape>
          <o:OLEObject Type="Embed" ProgID="Excel.Sheet.8" ShapeID="_x0000_i1026" DrawAspect="Content" ObjectID="_1817201190" r:id="rId11"/>
        </w:object>
      </w:r>
    </w:p>
    <w:p w14:paraId="586AA4E2" w14:textId="77777777" w:rsidR="007344D2" w:rsidRPr="001A5150" w:rsidRDefault="007344D2" w:rsidP="007344D2">
      <w:pPr>
        <w:pStyle w:val="Nadpis3"/>
      </w:pPr>
      <w:r w:rsidRPr="001A5150">
        <w:lastRenderedPageBreak/>
        <w:t>Daňové příjmy</w:t>
      </w:r>
    </w:p>
    <w:p w14:paraId="0B694FD8" w14:textId="74E89A98" w:rsidR="00BB654F" w:rsidRPr="001A5150" w:rsidRDefault="00264EB0" w:rsidP="00BB654F">
      <w:pPr>
        <w:rPr>
          <w:rFonts w:cs="Tahoma"/>
          <w:szCs w:val="20"/>
        </w:rPr>
      </w:pPr>
      <w:r w:rsidRPr="001A5150">
        <w:rPr>
          <w:rFonts w:cs="Tahoma"/>
          <w:szCs w:val="20"/>
        </w:rPr>
        <w:t xml:space="preserve">Schválený rozpočet daňových příjmů kraje činí 10.772.400 tis. Kč, upravený rozpočet činí 10.747.011 tis. Kč. V období </w:t>
      </w:r>
      <w:proofErr w:type="gramStart"/>
      <w:r w:rsidRPr="001A5150">
        <w:rPr>
          <w:rFonts w:cs="Tahoma"/>
          <w:szCs w:val="20"/>
        </w:rPr>
        <w:t>leden – červenec</w:t>
      </w:r>
      <w:proofErr w:type="gramEnd"/>
      <w:r w:rsidRPr="001A5150">
        <w:rPr>
          <w:rFonts w:cs="Tahoma"/>
          <w:szCs w:val="20"/>
        </w:rPr>
        <w:t xml:space="preserve"> roku 2025 byl rozpočet daňových příjmů snížen u daně z příjmů právnických osob v případech, kdy poplatníkem je kraj o 25.490 tis. Kč a navýšen zapojením příjmů ze správních poplatků o 101 tis. Kč. </w:t>
      </w:r>
      <w:r w:rsidR="007C08E3" w:rsidRPr="001A5150">
        <w:rPr>
          <w:rFonts w:cs="Tahoma"/>
          <w:szCs w:val="20"/>
        </w:rPr>
        <w:t xml:space="preserve"> </w:t>
      </w:r>
      <w:r w:rsidR="00BB654F" w:rsidRPr="001A5150">
        <w:rPr>
          <w:rFonts w:cs="Tahoma"/>
          <w:szCs w:val="20"/>
        </w:rPr>
        <w:t xml:space="preserve"> </w:t>
      </w:r>
    </w:p>
    <w:p w14:paraId="1CC4AB8C" w14:textId="5A813D5D" w:rsidR="00F026CB" w:rsidRPr="001A5150" w:rsidRDefault="00EC605A" w:rsidP="001318E4">
      <w:pPr>
        <w:pStyle w:val="Styltab"/>
      </w:pPr>
      <w:r w:rsidRPr="001A5150">
        <w:t xml:space="preserve">Přehled příjmů kraje – daňové příjmy </w:t>
      </w:r>
      <w:r w:rsidRPr="001A5150">
        <w:tab/>
        <w:t>v tis. Kč</w:t>
      </w:r>
    </w:p>
    <w:bookmarkStart w:id="19" w:name="_MON_1817035678"/>
    <w:bookmarkEnd w:id="19"/>
    <w:p w14:paraId="084F9C3B" w14:textId="7AE23BF9" w:rsidR="00264EB0" w:rsidRPr="001A5150" w:rsidRDefault="0011076E" w:rsidP="00BE502B">
      <w:pPr>
        <w:rPr>
          <w:rFonts w:cs="Tahoma"/>
          <w:szCs w:val="20"/>
        </w:rPr>
      </w:pPr>
      <w:r w:rsidRPr="001A5150">
        <w:object w:dxaOrig="9086" w:dyaOrig="5228" w14:anchorId="71292F1D">
          <v:shape id="_x0000_i1027" type="#_x0000_t75" style="width:465.8pt;height:262.95pt" o:ole="">
            <v:imagedata r:id="rId12" o:title=""/>
          </v:shape>
          <o:OLEObject Type="Embed" ProgID="Excel.Sheet.8" ShapeID="_x0000_i1027" DrawAspect="Content" ObjectID="_1817201191" r:id="rId13"/>
        </w:object>
      </w:r>
    </w:p>
    <w:p w14:paraId="20E4CCC4" w14:textId="77777777" w:rsidR="00660021" w:rsidRPr="001A5150" w:rsidRDefault="00660021" w:rsidP="00660021">
      <w:pPr>
        <w:rPr>
          <w:rFonts w:cs="Tahoma"/>
          <w:szCs w:val="20"/>
        </w:rPr>
      </w:pPr>
      <w:r w:rsidRPr="001A5150">
        <w:rPr>
          <w:rFonts w:cs="Tahoma"/>
          <w:szCs w:val="20"/>
        </w:rPr>
        <w:t xml:space="preserve">Skutečně přijaté daňové příjmy kraje k 31. 7. 2025 činí 6.578.965 tis. Kč, tj. 61 % upraveného rozpočtu. Výnosy ze sdílených daní dosáhly výše 6.415.516 tis. Kč, ve stejném období loňského roku pak 6.140.159 tis. Kč. Ve srovnání období leden až červenec 2025 a stejného období roku 2024 došlo celkově ke zvýšení příjmů ze sdílených daní o 275.357 tis. Kč. </w:t>
      </w:r>
    </w:p>
    <w:p w14:paraId="134866C9" w14:textId="70FCEAFE" w:rsidR="00660021" w:rsidRPr="001A5150" w:rsidRDefault="00660021" w:rsidP="00660021">
      <w:pPr>
        <w:rPr>
          <w:rFonts w:cs="Tahoma"/>
          <w:szCs w:val="20"/>
        </w:rPr>
      </w:pPr>
      <w:r w:rsidRPr="001A5150">
        <w:rPr>
          <w:rFonts w:cs="Tahoma"/>
          <w:szCs w:val="20"/>
        </w:rPr>
        <w:t>Na zvýšení celkového výnosu sdílených daní se podílela nejvíce daň z příjmů právnických osob (o 97.510 tis. Kč), daň z příjmů fyzických osob placené plátci (o 91.900 tis. Kč), daň z přidané hodnoty (o 70.349 tis. Kč), daň z příjmů fyzických osob placené poplatníky (o 44.925 tis. Kč). Zvýšený daňový výběr je dán postupným mzdovým růstem a na něj navazujícím přetrvávajícím nákupním apetitem domácností, který se následně propisuje i do zvýšeného výběru DPH a zisků firem, které v tomto období podávají daňové přiznání s doplatkem daně. Naopak zaznamenaný pokles u daně vybírané srážkou (cca 29.326 tis. Kč) je dán postupným snižováním úrokových sazeb ČNB a na něj navazující snižování sazeb komerčních bank z vkladů fyzických osob.</w:t>
      </w:r>
    </w:p>
    <w:p w14:paraId="349B0E7E" w14:textId="4BEDB98D" w:rsidR="00660021" w:rsidRPr="001A5150" w:rsidRDefault="007344D2" w:rsidP="00660021">
      <w:pPr>
        <w:rPr>
          <w:rFonts w:cs="Tahoma"/>
          <w:szCs w:val="20"/>
        </w:rPr>
      </w:pPr>
      <w:r w:rsidRPr="001A5150">
        <w:rPr>
          <w:rStyle w:val="Zdraznnjemn"/>
          <w:color w:val="auto"/>
        </w:rPr>
        <w:lastRenderedPageBreak/>
        <w:t xml:space="preserve">Graf č. 1: Vývoj </w:t>
      </w:r>
      <w:r w:rsidR="00676091" w:rsidRPr="001A5150">
        <w:rPr>
          <w:rStyle w:val="Zdraznnjemn"/>
          <w:color w:val="auto"/>
        </w:rPr>
        <w:t xml:space="preserve">plnění příjmů ze </w:t>
      </w:r>
      <w:r w:rsidRPr="001A5150">
        <w:rPr>
          <w:rStyle w:val="Zdraznnjemn"/>
          <w:color w:val="auto"/>
        </w:rPr>
        <w:t xml:space="preserve">sdílených daní </w:t>
      </w:r>
      <w:r w:rsidR="00676091" w:rsidRPr="001A5150">
        <w:rPr>
          <w:rStyle w:val="Zdraznnjemn"/>
          <w:color w:val="auto"/>
        </w:rPr>
        <w:t xml:space="preserve">v jednotlivých měsících </w:t>
      </w:r>
      <w:r w:rsidRPr="001A5150">
        <w:rPr>
          <w:rStyle w:val="Zdraznnjemn"/>
          <w:color w:val="auto"/>
        </w:rPr>
        <w:t>(bez daně z příjmů právnických osob</w:t>
      </w:r>
      <w:r w:rsidR="000B599F" w:rsidRPr="001A5150">
        <w:rPr>
          <w:rStyle w:val="Zdraznnjemn"/>
          <w:color w:val="auto"/>
        </w:rPr>
        <w:t xml:space="preserve"> za kraje) v letech 20</w:t>
      </w:r>
      <w:r w:rsidR="0051224C" w:rsidRPr="001A5150">
        <w:rPr>
          <w:rStyle w:val="Zdraznnjemn"/>
          <w:color w:val="auto"/>
        </w:rPr>
        <w:t>2</w:t>
      </w:r>
      <w:r w:rsidR="00BE502B" w:rsidRPr="001A5150">
        <w:rPr>
          <w:rStyle w:val="Zdraznnjemn"/>
          <w:color w:val="auto"/>
        </w:rPr>
        <w:t>3</w:t>
      </w:r>
      <w:r w:rsidR="0051224C" w:rsidRPr="001A5150">
        <w:rPr>
          <w:rStyle w:val="Zdraznnjemn"/>
          <w:color w:val="auto"/>
        </w:rPr>
        <w:t> </w:t>
      </w:r>
      <w:r w:rsidR="0051224C" w:rsidRPr="001A5150">
        <w:rPr>
          <w:rStyle w:val="Zdraznnjemn"/>
          <w:color w:val="auto"/>
        </w:rPr>
        <w:noBreakHyphen/>
        <w:t> 202</w:t>
      </w:r>
      <w:r w:rsidR="00BE502B" w:rsidRPr="001A5150">
        <w:rPr>
          <w:rStyle w:val="Zdraznnjemn"/>
          <w:color w:val="auto"/>
        </w:rPr>
        <w:t>5</w:t>
      </w:r>
      <w:r w:rsidRPr="001A5150">
        <w:rPr>
          <w:rStyle w:val="Zdraznnjemn"/>
          <w:color w:val="auto"/>
        </w:rPr>
        <w:tab/>
      </w:r>
      <w:r w:rsidR="00D04ECD" w:rsidRPr="001A5150">
        <w:rPr>
          <w:rStyle w:val="Zdraznnjemn"/>
          <w:color w:val="auto"/>
        </w:rPr>
        <w:tab/>
      </w:r>
      <w:r w:rsidR="00DF37D5" w:rsidRPr="001A5150">
        <w:rPr>
          <w:rStyle w:val="Zdraznnjemn"/>
          <w:color w:val="auto"/>
        </w:rPr>
        <w:tab/>
      </w:r>
      <w:r w:rsidR="00DF37D5" w:rsidRPr="001A5150">
        <w:rPr>
          <w:rStyle w:val="Zdraznnjemn"/>
          <w:color w:val="auto"/>
        </w:rPr>
        <w:tab/>
      </w:r>
      <w:r w:rsidR="00DF37D5" w:rsidRPr="001A5150">
        <w:rPr>
          <w:rStyle w:val="Zdraznnjemn"/>
          <w:color w:val="auto"/>
        </w:rPr>
        <w:tab/>
      </w:r>
      <w:r w:rsidR="00DF37D5" w:rsidRPr="001A5150">
        <w:rPr>
          <w:rStyle w:val="Zdraznnjemn"/>
          <w:color w:val="auto"/>
        </w:rPr>
        <w:tab/>
      </w:r>
      <w:r w:rsidR="00DF37D5" w:rsidRPr="001A5150">
        <w:rPr>
          <w:rStyle w:val="Zdraznnjemn"/>
          <w:color w:val="auto"/>
        </w:rPr>
        <w:tab/>
      </w:r>
      <w:r w:rsidR="00DF37D5" w:rsidRPr="001A5150">
        <w:rPr>
          <w:rStyle w:val="Zdraznnjemn"/>
          <w:color w:val="auto"/>
        </w:rPr>
        <w:tab/>
      </w:r>
      <w:r w:rsidR="0028162E" w:rsidRPr="001A5150">
        <w:rPr>
          <w:rStyle w:val="Zdraznnjemn"/>
          <w:color w:val="auto"/>
        </w:rPr>
        <w:t xml:space="preserve">    </w:t>
      </w:r>
      <w:r w:rsidR="00D04ECD" w:rsidRPr="001A5150">
        <w:rPr>
          <w:rStyle w:val="Zdraznnjemn"/>
          <w:color w:val="auto"/>
        </w:rPr>
        <w:t xml:space="preserve">    </w:t>
      </w:r>
      <w:r w:rsidR="0028162E" w:rsidRPr="001A5150">
        <w:rPr>
          <w:rStyle w:val="Zdraznnjemn"/>
          <w:color w:val="auto"/>
        </w:rPr>
        <w:t xml:space="preserve">      </w:t>
      </w:r>
      <w:r w:rsidRPr="001A5150">
        <w:rPr>
          <w:rStyle w:val="Zdraznnjemn"/>
          <w:color w:val="auto"/>
        </w:rPr>
        <w:t>v tis.</w:t>
      </w:r>
      <w:r w:rsidR="00D04ECD" w:rsidRPr="001A5150">
        <w:rPr>
          <w:rStyle w:val="Zdraznnjemn"/>
          <w:color w:val="auto"/>
        </w:rPr>
        <w:t xml:space="preserve"> </w:t>
      </w:r>
      <w:r w:rsidRPr="001A5150">
        <w:rPr>
          <w:rStyle w:val="Zdraznnjemn"/>
          <w:color w:val="auto"/>
        </w:rPr>
        <w:t>Kč</w:t>
      </w:r>
      <w:r w:rsidR="00660021" w:rsidRPr="001A5150">
        <w:rPr>
          <w:noProof/>
        </w:rPr>
        <w:drawing>
          <wp:inline distT="0" distB="0" distL="0" distR="0" wp14:anchorId="625C3E68" wp14:editId="4B296BEA">
            <wp:extent cx="5972810" cy="2976245"/>
            <wp:effectExtent l="0" t="0" r="8890" b="14605"/>
            <wp:docPr id="1465836416" name="Graf 14658364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ACE6E70" w14:textId="1C8D08A9" w:rsidR="00660021" w:rsidRPr="001A5150" w:rsidRDefault="00660021" w:rsidP="00660021">
      <w:pPr>
        <w:pStyle w:val="MSKNormal"/>
        <w:spacing w:after="0"/>
        <w:rPr>
          <w:rFonts w:cs="Tahoma"/>
          <w:szCs w:val="20"/>
        </w:rPr>
      </w:pPr>
      <w:r w:rsidRPr="001A5150">
        <w:rPr>
          <w:rFonts w:cs="Tahoma"/>
          <w:szCs w:val="20"/>
        </w:rPr>
        <w:t>Mezi daňové příjmy se zahrnují správní poplatky, jejichž skutečný výběr k 31. 7. 2025 dosáhl celkové výše 38.939 tis.</w:t>
      </w:r>
      <w:r w:rsidR="00E649CB" w:rsidRPr="001A5150">
        <w:rPr>
          <w:rFonts w:cs="Tahoma"/>
          <w:szCs w:val="20"/>
        </w:rPr>
        <w:t> </w:t>
      </w:r>
      <w:r w:rsidRPr="001A5150">
        <w:rPr>
          <w:rFonts w:cs="Tahoma"/>
          <w:szCs w:val="20"/>
        </w:rPr>
        <w:t>Kč, přičemž přijaté poplatky za odebrané množství podzemní vody činily výši 15.365 tis. Kč, úhrady za</w:t>
      </w:r>
      <w:r w:rsidR="00BD3487" w:rsidRPr="001A5150">
        <w:rPr>
          <w:rFonts w:cs="Tahoma"/>
          <w:szCs w:val="20"/>
        </w:rPr>
        <w:t> </w:t>
      </w:r>
      <w:r w:rsidRPr="001A5150">
        <w:rPr>
          <w:rFonts w:cs="Tahoma"/>
          <w:szCs w:val="20"/>
        </w:rPr>
        <w:t>dobývání nerostů a</w:t>
      </w:r>
      <w:r w:rsidR="00BD3487" w:rsidRPr="001A5150">
        <w:rPr>
          <w:rFonts w:cs="Tahoma"/>
          <w:szCs w:val="20"/>
        </w:rPr>
        <w:t> </w:t>
      </w:r>
      <w:r w:rsidRPr="001A5150">
        <w:rPr>
          <w:rFonts w:cs="Tahoma"/>
          <w:szCs w:val="20"/>
        </w:rPr>
        <w:t>poplatků za geologické práce činily 14.561 tis. Kč, přijaté poplatky za znečišťování ovzduší činily 7.261</w:t>
      </w:r>
      <w:r w:rsidR="00284CCE" w:rsidRPr="001A5150">
        <w:rPr>
          <w:rFonts w:cs="Tahoma"/>
          <w:szCs w:val="20"/>
        </w:rPr>
        <w:t> </w:t>
      </w:r>
      <w:r w:rsidRPr="001A5150">
        <w:rPr>
          <w:rFonts w:cs="Tahoma"/>
          <w:szCs w:val="20"/>
        </w:rPr>
        <w:t>tis.</w:t>
      </w:r>
      <w:r w:rsidR="00284CCE" w:rsidRPr="001A5150">
        <w:rPr>
          <w:rFonts w:cs="Tahoma"/>
          <w:szCs w:val="20"/>
        </w:rPr>
        <w:t> </w:t>
      </w:r>
      <w:r w:rsidRPr="001A5150">
        <w:rPr>
          <w:rFonts w:cs="Tahoma"/>
          <w:szCs w:val="20"/>
        </w:rPr>
        <w:t>Kč, a na správních poplatcích byla inkasována částka ve výši 1.752 tis. Kč.</w:t>
      </w:r>
    </w:p>
    <w:p w14:paraId="586AA4EB" w14:textId="77777777" w:rsidR="007344D2" w:rsidRPr="001A5150" w:rsidRDefault="007344D2" w:rsidP="007344D2">
      <w:pPr>
        <w:pStyle w:val="Nadpis3"/>
      </w:pPr>
      <w:r w:rsidRPr="001A5150">
        <w:t>Nedaňové příjmy</w:t>
      </w:r>
    </w:p>
    <w:p w14:paraId="380FE964" w14:textId="77777777" w:rsidR="00D94695" w:rsidRPr="001A5150" w:rsidRDefault="00D94695" w:rsidP="00D94695">
      <w:pPr>
        <w:autoSpaceDE w:val="0"/>
        <w:autoSpaceDN w:val="0"/>
        <w:adjustRightInd w:val="0"/>
        <w:rPr>
          <w:rFonts w:cs="Tahoma"/>
          <w:szCs w:val="20"/>
        </w:rPr>
      </w:pPr>
      <w:r w:rsidRPr="001A5150">
        <w:rPr>
          <w:rFonts w:cs="Tahoma"/>
          <w:szCs w:val="20"/>
        </w:rPr>
        <w:t xml:space="preserve">Schválený rozpočet nedaňových příjmů činí 833.043 tis. Kč, upravený rozpočet činí 1.166.827 tis. Kč. Rozpočet nedaňových příjmů byl za období leden až červenec 2025 navýšen o 333.784 tis. Kč. </w:t>
      </w:r>
    </w:p>
    <w:p w14:paraId="5579709A" w14:textId="6B1F2AC7" w:rsidR="00D94695" w:rsidRPr="001A5150" w:rsidRDefault="00D94695" w:rsidP="00D94695">
      <w:pPr>
        <w:autoSpaceDE w:val="0"/>
        <w:autoSpaceDN w:val="0"/>
        <w:adjustRightInd w:val="0"/>
        <w:rPr>
          <w:rFonts w:cs="Tahoma"/>
          <w:szCs w:val="20"/>
        </w:rPr>
      </w:pPr>
      <w:r w:rsidRPr="001A5150">
        <w:rPr>
          <w:rFonts w:cs="Tahoma"/>
          <w:szCs w:val="20"/>
        </w:rPr>
        <w:t>Do rozpočtu kraje byly od začátku roku zapojeny příjmy z finančního vypořádání dotací a příspěvků za rok 2024 (případně předešlá léta) ve výši 270.221 tis. Kč, příjmy z pojistných plnění ve výši 41.600 tis. Kč, příjmy ze sankčních plateb ve výši 14.001 tis. Kč, příjem z odvodů příspěvkových organizací ve výši 5.970 tis. Kč, příjem z poskytování služeb, výrobků, prací, výkonů a práv ve výši 1.365 tis. Kč, aj. Naopak ke snížení rozpočtu došlo u příjmů z pronájmu ostatních nemovitostí a jejich částí o 7.334 tis. Kč, a to zejména z důvodu vzájemného započtení budoucích pohledávek mezi společnosti Letiště Ostrava, a.s., a Moravskoslezským krajem, z titulu zhodnocení majetku kraje (realizací oprav a technického zhodnocení majetku) prostřednictvím společnosti Letiště Ostrava, a.s., v souladu se smlouvou o nájmu podniku č. 0671/2004/POR ze dne 28. 6. 2004 a u příjmů ze splátek půjčených prostředků ve výši 4.329 tis. Kč.</w:t>
      </w:r>
    </w:p>
    <w:p w14:paraId="61AB4FC3" w14:textId="694EE99F" w:rsidR="00CD0587" w:rsidRPr="001A5150" w:rsidRDefault="00BE502B" w:rsidP="001318E4">
      <w:pPr>
        <w:pStyle w:val="Styltab"/>
      </w:pPr>
      <w:r w:rsidRPr="001A5150">
        <w:lastRenderedPageBreak/>
        <w:t>P</w:t>
      </w:r>
      <w:r w:rsidR="007344D2" w:rsidRPr="001A5150">
        <w:t>řehled příjmů kraje – nedaňové příjmy</w:t>
      </w:r>
      <w:r w:rsidR="00ED1FCB" w:rsidRPr="001A5150">
        <w:tab/>
      </w:r>
      <w:r w:rsidR="007344D2" w:rsidRPr="001A5150">
        <w:t>v tis. Kč</w:t>
      </w:r>
    </w:p>
    <w:p w14:paraId="440CEF3B" w14:textId="6945258C" w:rsidR="00D94695" w:rsidRPr="001A5150" w:rsidRDefault="00D94695" w:rsidP="00BE502B">
      <w:r w:rsidRPr="001A5150">
        <w:object w:dxaOrig="9256" w:dyaOrig="8858" w14:anchorId="64BAB1D5">
          <v:shape id="_x0000_i1028" type="#_x0000_t75" style="width:467.7pt;height:454.55pt" o:ole="">
            <v:imagedata r:id="rId15" o:title=""/>
          </v:shape>
          <o:OLEObject Type="Embed" ProgID="Excel.Sheet.8" ShapeID="_x0000_i1028" DrawAspect="Content" ObjectID="_1817201192" r:id="rId16"/>
        </w:object>
      </w:r>
    </w:p>
    <w:p w14:paraId="05F7FCF6" w14:textId="77777777" w:rsidR="00D94695" w:rsidRPr="001A5150" w:rsidRDefault="00D94695" w:rsidP="00D94695">
      <w:pPr>
        <w:rPr>
          <w:rFonts w:cs="Tahoma"/>
        </w:rPr>
      </w:pPr>
      <w:r w:rsidRPr="001A5150">
        <w:t>Skutečné přijaté nedaňové příjmy kraje dosáhly k </w:t>
      </w:r>
      <w:r w:rsidRPr="001A5150">
        <w:rPr>
          <w:rFonts w:cs="Tahoma"/>
          <w:szCs w:val="20"/>
        </w:rPr>
        <w:t>31. 7. 2025</w:t>
      </w:r>
      <w:r w:rsidRPr="001A5150">
        <w:t xml:space="preserve"> výše 912.376 tis. Kč, tj. 78 %</w:t>
      </w:r>
      <w:r w:rsidRPr="001A5150">
        <w:rPr>
          <w:rFonts w:cs="Tahoma"/>
        </w:rPr>
        <w:t xml:space="preserve"> upraveného rozpočtu. </w:t>
      </w:r>
    </w:p>
    <w:p w14:paraId="15B00F35" w14:textId="77777777" w:rsidR="00D94695" w:rsidRPr="001A5150" w:rsidRDefault="00D94695" w:rsidP="00D94695">
      <w:pPr>
        <w:pStyle w:val="FormtovanvHTML"/>
        <w:spacing w:before="120"/>
        <w:rPr>
          <w:rFonts w:ascii="Tahoma" w:hAnsi="Tahoma" w:cs="Tahoma"/>
        </w:rPr>
      </w:pPr>
      <w:r w:rsidRPr="001A5150">
        <w:rPr>
          <w:rFonts w:ascii="Tahoma" w:hAnsi="Tahoma" w:cs="Tahoma"/>
        </w:rPr>
        <w:t>Do rozpočtu kraje byly přijaty nedaňové příjmy ve výši 307.343 tis. Kč (položky 2223 a 2229) z vratek finančních prostředků zaslaných na účet kraje v rámci finančního vypořádání za rok 2024 (případně i minulých let) převážně z poskytnutých dotací z jednotlivých kapitol státního rozpočtu, z jednotlivých dotačních programů kraje, individuálních dotací a nevyčerpaných a vrácených dotací poskytnutých dopravcům z rozpočtu kraje v roce 2024 na úhradu prokazatelné ztráty v silniční dopravě.</w:t>
      </w:r>
    </w:p>
    <w:p w14:paraId="1E4433AE" w14:textId="77777777" w:rsidR="00D94695" w:rsidRPr="001A5150" w:rsidRDefault="00D94695" w:rsidP="00D94695">
      <w:pPr>
        <w:pStyle w:val="FormtovanvHTML"/>
        <w:spacing w:before="120"/>
        <w:rPr>
          <w:rFonts w:ascii="Tahoma" w:hAnsi="Tahoma" w:cs="Tahoma"/>
        </w:rPr>
      </w:pPr>
      <w:r w:rsidRPr="001A5150">
        <w:rPr>
          <w:rFonts w:ascii="Tahoma" w:hAnsi="Tahoma" w:cs="Tahoma"/>
        </w:rPr>
        <w:t>Významnou část nedaňových příjmů, které kraj za sledované období přijal, tvoří úroky z bankovních účtů ve výši 147.885 tis. Kč (položka 2141), u kterých se daří prostřednictvím nasmlouvaných bankovních produktů souvisejících se zhodnocováním finančních prostředků kraje dosahovat vyššího úrokového zhodnocení.</w:t>
      </w:r>
    </w:p>
    <w:p w14:paraId="397F625E" w14:textId="77777777" w:rsidR="00D94695" w:rsidRPr="001A5150" w:rsidRDefault="00D94695" w:rsidP="00D94695">
      <w:pPr>
        <w:pStyle w:val="FormtovanvHTML"/>
        <w:spacing w:before="120"/>
        <w:rPr>
          <w:rFonts w:ascii="Tahoma" w:hAnsi="Tahoma" w:cs="Tahoma"/>
        </w:rPr>
      </w:pPr>
      <w:r w:rsidRPr="001A5150">
        <w:rPr>
          <w:rFonts w:ascii="Tahoma" w:hAnsi="Tahoma" w:cs="Tahoma"/>
        </w:rPr>
        <w:lastRenderedPageBreak/>
        <w:t>Do rozpočtu kraje byl přijat objem nedaňových příjmů ve výši 291.444 tis. Kč (položky 2412, 2420, 2441, 2449, 2451, 2459 a 2460), který představuje splátky půjčených prostředků od různých subjektů – právnických osob tuzemska i zahraničí, obcí a příspěvkových organizací.</w:t>
      </w:r>
    </w:p>
    <w:p w14:paraId="66ED86EA" w14:textId="77777777" w:rsidR="00D94695" w:rsidRPr="001A5150" w:rsidRDefault="00D94695" w:rsidP="00D94695">
      <w:pPr>
        <w:rPr>
          <w:rFonts w:cs="Tahoma"/>
        </w:rPr>
      </w:pPr>
      <w:r w:rsidRPr="001A5150">
        <w:rPr>
          <w:rFonts w:cs="Tahoma"/>
        </w:rPr>
        <w:t xml:space="preserve">Příjem ze sankčních plateb ve výši 33.325 tis. Kč (položky 2211 a 2212) zahrnuje přijaté pokuty (od obcí, právnických a fyzických osob) související zejména s realizací následné veřejnosprávní kontroly u příjemců veřejné finanční podpory podle zákona o finanční kontrole, s pokutami uloženými za správní delikty v rámci institutu </w:t>
      </w:r>
      <w:proofErr w:type="spellStart"/>
      <w:r w:rsidRPr="001A5150">
        <w:rPr>
          <w:rFonts w:cs="Tahoma"/>
        </w:rPr>
        <w:t>nízkorychlostního</w:t>
      </w:r>
      <w:proofErr w:type="spellEnd"/>
      <w:r w:rsidRPr="001A5150">
        <w:rPr>
          <w:rFonts w:cs="Tahoma"/>
        </w:rPr>
        <w:t xml:space="preserve"> vážení, s pokutami za porušení podmínek smluv o poskytování veřejných služeb v přepravě cestujících veřejnou linkovou a drážní dopravou, smluvní pokuty aj.</w:t>
      </w:r>
    </w:p>
    <w:p w14:paraId="415DA5E2" w14:textId="77777777" w:rsidR="00D94695" w:rsidRPr="001A5150" w:rsidRDefault="00D94695" w:rsidP="00D94695">
      <w:pPr>
        <w:pStyle w:val="FormtovanvHTML"/>
        <w:spacing w:before="120"/>
        <w:rPr>
          <w:rFonts w:ascii="Tahoma" w:hAnsi="Tahoma" w:cs="Tahoma"/>
        </w:rPr>
      </w:pPr>
      <w:r w:rsidRPr="001A5150">
        <w:rPr>
          <w:rFonts w:ascii="Tahoma" w:hAnsi="Tahoma" w:cs="Tahoma"/>
        </w:rPr>
        <w:t xml:space="preserve">Příjmy z pojistných plnění (položka 2322) ve výši 56.656 tis. Kč byly přijaty z pojistných úhrad za škody způsobené na majetku kraje.  </w:t>
      </w:r>
    </w:p>
    <w:p w14:paraId="40B1B800" w14:textId="77777777" w:rsidR="00D94695" w:rsidRPr="001A5150" w:rsidRDefault="00D94695" w:rsidP="00D94695">
      <w:pPr>
        <w:pStyle w:val="FormtovanvHTML"/>
        <w:spacing w:before="120"/>
        <w:rPr>
          <w:rFonts w:ascii="Tahoma" w:hAnsi="Tahoma" w:cs="Tahoma"/>
        </w:rPr>
      </w:pPr>
      <w:r w:rsidRPr="001A5150">
        <w:rPr>
          <w:rFonts w:ascii="Tahoma" w:hAnsi="Tahoma" w:cs="Tahoma"/>
        </w:rPr>
        <w:t>Příjmy z poskytování služeb, výrobků, prací, výkonů a práv (položka 2111) ve výši 21.294 tis. Kč byly přijaty zejména z příjmů v rámci propagace Moravskoslezského kraje prostřednictvím letecké reklamy (16.791 tis. Kč) a příjmů z pořádání Her "Olympiády dětí a mládeže" (2.015 tis. Kč).</w:t>
      </w:r>
    </w:p>
    <w:p w14:paraId="7CECBD3A" w14:textId="77777777" w:rsidR="00D94695" w:rsidRPr="001A5150" w:rsidRDefault="00D94695" w:rsidP="00D94695">
      <w:pPr>
        <w:pStyle w:val="FormtovanvHTML"/>
        <w:spacing w:before="120"/>
        <w:rPr>
          <w:rFonts w:ascii="Tahoma" w:hAnsi="Tahoma" w:cs="Tahoma"/>
        </w:rPr>
      </w:pPr>
      <w:r w:rsidRPr="001A5150">
        <w:rPr>
          <w:rFonts w:ascii="Tahoma" w:hAnsi="Tahoma" w:cs="Tahoma"/>
        </w:rPr>
        <w:t>Příjmy z pronájmu nebo pachtu pozemků, nemovitých a movitých věcí (položky 2131, 2132 a 2133) dosáhly celkové výše 20.600 tis. Kč. Jedná se zejména o příjmy plynoucí z pronájmu Nemocnice s poliklinikou v Novém Jičíně ve výši 20.324 tis. Kč (tzv. reinvestiční část nájemného).</w:t>
      </w:r>
    </w:p>
    <w:p w14:paraId="2124431F" w14:textId="77777777" w:rsidR="00D94695" w:rsidRPr="001A5150" w:rsidRDefault="00D94695" w:rsidP="00D94695">
      <w:pPr>
        <w:pStyle w:val="FormtovanvHTML"/>
        <w:spacing w:before="120"/>
        <w:rPr>
          <w:rFonts w:ascii="Tahoma" w:hAnsi="Tahoma" w:cs="Tahoma"/>
        </w:rPr>
      </w:pPr>
      <w:r w:rsidRPr="001A5150">
        <w:rPr>
          <w:rFonts w:ascii="Tahoma" w:hAnsi="Tahoma" w:cs="Tahoma"/>
        </w:rPr>
        <w:t xml:space="preserve">Příjmy z odvodů příspěvkových organizací (položka 2122) ve výši 5.970 tis. Kč zahrnuje odvody z investičního fondů příspěvkových organizací v odvětví školství a sociálních věcí. </w:t>
      </w:r>
    </w:p>
    <w:p w14:paraId="586AA4F8" w14:textId="77777777" w:rsidR="007344D2" w:rsidRPr="001A5150" w:rsidRDefault="007344D2" w:rsidP="007344D2">
      <w:pPr>
        <w:pStyle w:val="Nadpis3"/>
      </w:pPr>
      <w:r w:rsidRPr="001A5150">
        <w:t>Kapitálové příjmy</w:t>
      </w:r>
    </w:p>
    <w:p w14:paraId="1875A0D6" w14:textId="77777777" w:rsidR="00D94695" w:rsidRPr="001A5150" w:rsidRDefault="00D94695" w:rsidP="00D94695">
      <w:pPr>
        <w:autoSpaceDE w:val="0"/>
        <w:autoSpaceDN w:val="0"/>
        <w:adjustRightInd w:val="0"/>
        <w:rPr>
          <w:rFonts w:cs="Tahoma"/>
          <w:szCs w:val="20"/>
        </w:rPr>
      </w:pPr>
      <w:r w:rsidRPr="001A5150">
        <w:rPr>
          <w:rFonts w:cs="Tahoma"/>
          <w:szCs w:val="20"/>
        </w:rPr>
        <w:t>Schválený rozpočet kapitálových příjmů činí 5.603 tis. Kč. Rozpočet byl navýšen k 31. 7. 2025 na 13.211 tis. Kč z důvodu zapojení příjmů z prodeje dlouhodobého majetku (navýšení o 7.608 tis. Kč).</w:t>
      </w:r>
    </w:p>
    <w:p w14:paraId="608A911A" w14:textId="3AA4F669" w:rsidR="003414A0" w:rsidRPr="001A5150" w:rsidRDefault="007344D2" w:rsidP="001318E4">
      <w:pPr>
        <w:pStyle w:val="Styltab"/>
      </w:pPr>
      <w:r w:rsidRPr="001A5150">
        <w:t xml:space="preserve">Přehled příjmů kraje – kapitálové příjmy </w:t>
      </w:r>
      <w:r w:rsidRPr="001A5150">
        <w:tab/>
        <w:t>v tis. Kč</w:t>
      </w:r>
    </w:p>
    <w:p w14:paraId="647D8321" w14:textId="07402700" w:rsidR="00D94695" w:rsidRPr="001A5150" w:rsidRDefault="00D94695" w:rsidP="00BE502B">
      <w:pPr>
        <w:autoSpaceDE w:val="0"/>
        <w:autoSpaceDN w:val="0"/>
        <w:adjustRightInd w:val="0"/>
        <w:rPr>
          <w:rFonts w:cs="Tahoma"/>
          <w:szCs w:val="20"/>
        </w:rPr>
      </w:pPr>
      <w:r w:rsidRPr="001A5150">
        <w:object w:dxaOrig="9367" w:dyaOrig="1780" w14:anchorId="0E0C41AC">
          <v:shape id="_x0000_i1029" type="#_x0000_t75" style="width:470.2pt;height:88.9pt" o:ole="">
            <v:imagedata r:id="rId17" o:title=""/>
          </v:shape>
          <o:OLEObject Type="Embed" ProgID="Excel.Sheet.8" ShapeID="_x0000_i1029" DrawAspect="Content" ObjectID="_1817201193" r:id="rId18"/>
        </w:object>
      </w:r>
    </w:p>
    <w:p w14:paraId="05C99E47" w14:textId="5893D39E" w:rsidR="00D94695" w:rsidRPr="001A5150" w:rsidRDefault="00D94695" w:rsidP="00D94695">
      <w:pPr>
        <w:autoSpaceDE w:val="0"/>
        <w:autoSpaceDN w:val="0"/>
        <w:adjustRightInd w:val="0"/>
        <w:rPr>
          <w:rFonts w:cs="Tahoma"/>
          <w:szCs w:val="20"/>
        </w:rPr>
      </w:pPr>
      <w:r w:rsidRPr="001A5150">
        <w:rPr>
          <w:rFonts w:cs="Tahoma"/>
          <w:szCs w:val="20"/>
        </w:rPr>
        <w:t>Kapitálové příjmy představují přijaté prostředky v úhrnné výši 11.809 tis. Kč, což znamená plnění těchto příjmů na 89 % upraveného rozpočtu. Jedná se zejména o příjmy z prodeje pozemků ve výši 2.099 tis. Kč a příjmy z prodeje ostatních nemovitých věcí a jejich částí ve výši 2.102 tis. Kč, které souvisí s</w:t>
      </w:r>
      <w:r w:rsidRPr="001A5150">
        <w:t> </w:t>
      </w:r>
      <w:r w:rsidRPr="001A5150">
        <w:rPr>
          <w:rFonts w:cs="Tahoma"/>
          <w:szCs w:val="20"/>
        </w:rPr>
        <w:t xml:space="preserve">fakturami vystavenými na základě kupních smluv na prodej pozemků a nemovitostí na území Moravskoslezského kraje. Dále jsou to příjmy z prodeje dlouhodobého majetku ve výši 7.608 tis. Kč, které byly přijaty z vypořádání stavebních objektů s městem Rýmařov v rámci projektu Rekonstrukce silnic II/445 a II/370 (Rýmařov). </w:t>
      </w:r>
    </w:p>
    <w:p w14:paraId="586AA4FD" w14:textId="77777777" w:rsidR="007344D2" w:rsidRPr="001A5150" w:rsidRDefault="007344D2" w:rsidP="007344D2">
      <w:pPr>
        <w:pStyle w:val="Nadpis3"/>
      </w:pPr>
      <w:r w:rsidRPr="001A5150">
        <w:t>Přijaté dotace</w:t>
      </w:r>
    </w:p>
    <w:p w14:paraId="73366BE0" w14:textId="77777777" w:rsidR="00D94695" w:rsidRPr="001A5150" w:rsidRDefault="00D94695" w:rsidP="00D94695">
      <w:pPr>
        <w:pStyle w:val="Zkladntext"/>
        <w:tabs>
          <w:tab w:val="clear" w:pos="720"/>
        </w:tabs>
        <w:rPr>
          <w:rFonts w:cs="Tahoma"/>
          <w:sz w:val="20"/>
          <w:szCs w:val="20"/>
        </w:rPr>
      </w:pPr>
      <w:r w:rsidRPr="001A5150">
        <w:rPr>
          <w:rFonts w:cs="Tahoma"/>
          <w:sz w:val="20"/>
          <w:szCs w:val="20"/>
        </w:rPr>
        <w:t xml:space="preserve">Od počátku roku přijal Moravskoslezský kraj dotace v úhrnné výši 19.782.982 tis. Kč, což znamená plnění těchto příjmů na 71 % upraveného rozpočtu.  </w:t>
      </w:r>
    </w:p>
    <w:p w14:paraId="2EFD5868" w14:textId="0E93BED5" w:rsidR="006776F2" w:rsidRPr="001A5150" w:rsidRDefault="007344D2" w:rsidP="001318E4">
      <w:pPr>
        <w:pStyle w:val="Styltab"/>
      </w:pPr>
      <w:r w:rsidRPr="001A5150">
        <w:lastRenderedPageBreak/>
        <w:t>Přehled příjmů kraje – přijaté transfery</w:t>
      </w:r>
      <w:r w:rsidR="00331139" w:rsidRPr="001A5150">
        <w:tab/>
      </w:r>
      <w:r w:rsidRPr="001A5150">
        <w:t>v tis. Kč</w:t>
      </w:r>
    </w:p>
    <w:bookmarkStart w:id="20" w:name="_MON_1817035998"/>
    <w:bookmarkEnd w:id="20"/>
    <w:p w14:paraId="6A6FA8A1" w14:textId="64ADFE1A" w:rsidR="00D94695" w:rsidRPr="001A5150" w:rsidRDefault="00D94695" w:rsidP="00BE502B">
      <w:pPr>
        <w:spacing w:after="240"/>
        <w:rPr>
          <w:rFonts w:cs="Tahoma"/>
          <w:szCs w:val="20"/>
        </w:rPr>
      </w:pPr>
      <w:r w:rsidRPr="001A5150">
        <w:object w:dxaOrig="10572" w:dyaOrig="8784" w14:anchorId="1E9C4562">
          <v:shape id="_x0000_i1030" type="#_x0000_t75" style="width:467.7pt;height:439.5pt" o:ole="">
            <v:imagedata r:id="rId19" o:title=""/>
          </v:shape>
          <o:OLEObject Type="Embed" ProgID="Excel.Sheet.8" ShapeID="_x0000_i1030" DrawAspect="Content" ObjectID="_1817201194" r:id="rId20"/>
        </w:object>
      </w:r>
    </w:p>
    <w:p w14:paraId="437B4A13" w14:textId="77777777" w:rsidR="00D94695" w:rsidRPr="001A5150" w:rsidRDefault="00D94695" w:rsidP="00D94695">
      <w:pPr>
        <w:spacing w:after="240"/>
        <w:rPr>
          <w:rFonts w:cs="Tahoma"/>
          <w:szCs w:val="20"/>
        </w:rPr>
      </w:pPr>
      <w:r w:rsidRPr="001A5150">
        <w:rPr>
          <w:rFonts w:cs="Tahoma"/>
          <w:szCs w:val="20"/>
        </w:rPr>
        <w:t>Objemově nejvýznamnější dotace byly poskytnuty z </w:t>
      </w:r>
      <w:r w:rsidRPr="001A5150">
        <w:rPr>
          <w:rFonts w:cs="Tahoma"/>
          <w:b/>
          <w:szCs w:val="20"/>
        </w:rPr>
        <w:t>Ministerstva školství, mládeže a tělovýchovy</w:t>
      </w:r>
      <w:r w:rsidRPr="001A5150">
        <w:rPr>
          <w:rFonts w:cs="Tahoma"/>
          <w:szCs w:val="20"/>
        </w:rPr>
        <w:t xml:space="preserve">, a to zejména na úhradu přímých nákladů na vzdělávání ve školách a školských zařízeních zřizovaných krajem a obcemi (14.308.065 tis. Kč), dále dotace pro soukromé školy (1.256.012 tis. Kč), na podporu zaměstnanců škol a školských zařízení (16.636 tis. Kč), </w:t>
      </w:r>
      <w:r w:rsidRPr="001A5150">
        <w:t xml:space="preserve">adaptační a integrační aktivity cizinců ve školách (5.097 tis. Kč), </w:t>
      </w:r>
      <w:r w:rsidRPr="001A5150">
        <w:rPr>
          <w:rFonts w:cs="Tahoma"/>
          <w:szCs w:val="20"/>
        </w:rPr>
        <w:t xml:space="preserve">na </w:t>
      </w:r>
      <w:r w:rsidRPr="001A5150">
        <w:t>provázející učitelé ve školách – pokusné ověřování (2.430 tis. Kč) a na soutěže (1.619 tis. Kč).</w:t>
      </w:r>
    </w:p>
    <w:p w14:paraId="6BD59EA1" w14:textId="3B0172B9" w:rsidR="00D94695" w:rsidRPr="001A5150" w:rsidRDefault="00D94695" w:rsidP="00D94695">
      <w:pPr>
        <w:spacing w:after="240"/>
        <w:rPr>
          <w:rFonts w:cs="Tahoma"/>
          <w:szCs w:val="20"/>
        </w:rPr>
      </w:pPr>
      <w:r w:rsidRPr="001A5150">
        <w:rPr>
          <w:rFonts w:cs="Tahoma"/>
          <w:b/>
          <w:szCs w:val="20"/>
        </w:rPr>
        <w:t>Ministerstvo práce a sociálních věcí</w:t>
      </w:r>
      <w:r w:rsidRPr="001A5150">
        <w:rPr>
          <w:rFonts w:cs="Tahoma"/>
          <w:szCs w:val="20"/>
        </w:rPr>
        <w:t xml:space="preserve"> zaslalo neinvestiční nedávkový transfer podle zákona č. 108/2006 Sb., o sociálních službách - § 101 (3.118.327 tis. Kč), neinvestiční transfer na státní příspěvek zřizovatelům zařízení pro děti vyžadující okamžitou pomoc (27.000 tis. Kč), transfery pro poskytovatele služby péče o dítě v dětské skupině (2.322 tis. Kč), příspěvek na výkon sociální práce (1.911 tis. </w:t>
      </w:r>
      <w:r w:rsidRPr="001A5150">
        <w:t>Kč)</w:t>
      </w:r>
      <w:r w:rsidRPr="001A5150">
        <w:rPr>
          <w:rFonts w:cs="Tahoma"/>
          <w:szCs w:val="20"/>
        </w:rPr>
        <w:t xml:space="preserve"> a</w:t>
      </w:r>
      <w:r w:rsidR="00837DDE" w:rsidRPr="001A5150">
        <w:rPr>
          <w:rFonts w:cs="Tahoma"/>
          <w:szCs w:val="20"/>
        </w:rPr>
        <w:t> </w:t>
      </w:r>
      <w:r w:rsidRPr="001A5150">
        <w:rPr>
          <w:rFonts w:cs="Tahoma"/>
          <w:szCs w:val="20"/>
        </w:rPr>
        <w:t>nedávkové transfery na podporu rodiny (390 tis. Kč).</w:t>
      </w:r>
    </w:p>
    <w:p w14:paraId="7D337D9F" w14:textId="77777777" w:rsidR="00D94695" w:rsidRPr="001A5150" w:rsidRDefault="00D94695" w:rsidP="00D94695">
      <w:pPr>
        <w:spacing w:after="240"/>
        <w:rPr>
          <w:rFonts w:cs="Tahoma"/>
          <w:szCs w:val="20"/>
        </w:rPr>
      </w:pPr>
      <w:r w:rsidRPr="001A5150">
        <w:rPr>
          <w:rFonts w:cs="Tahoma"/>
          <w:szCs w:val="20"/>
        </w:rPr>
        <w:t>V rámci souhrnného dotačního vztahu státního rozpočtu k rozpočtu kraje byla poskytnuta Moravskoslezskému kraji z </w:t>
      </w:r>
      <w:r w:rsidRPr="001A5150">
        <w:rPr>
          <w:rFonts w:cs="Tahoma"/>
          <w:b/>
          <w:bCs/>
          <w:szCs w:val="20"/>
        </w:rPr>
        <w:t>Ministerstva financí</w:t>
      </w:r>
      <w:r w:rsidRPr="001A5150">
        <w:rPr>
          <w:rFonts w:cs="Tahoma"/>
          <w:szCs w:val="20"/>
        </w:rPr>
        <w:t xml:space="preserve"> neinvestiční dotace (134.725 tis. Kč). Tuto dotaci </w:t>
      </w:r>
      <w:r w:rsidRPr="001A5150">
        <w:rPr>
          <w:rFonts w:cs="Tahoma"/>
          <w:szCs w:val="20"/>
        </w:rPr>
        <w:lastRenderedPageBreak/>
        <w:t>poskytuje Ministerstvo financí z kapitoly Všeobecná pokladní správa měsíčně jednou dvanáctinou a je určena jako příspěvek na výkon státní správy. Dále byly z této kapitoly poskytnuty dotace na Povodně 2024 (135.972 tis. Kč), kompenzační příspěvek na ubytování osob z Ukrajiny (4.511 tis. Kč) a dotace na výdaje při volbách do Parlamentu ČR (500 tis. Kč).</w:t>
      </w:r>
    </w:p>
    <w:p w14:paraId="3B6735C6" w14:textId="77777777" w:rsidR="00D94695" w:rsidRPr="001A5150" w:rsidRDefault="00D94695" w:rsidP="00D94695">
      <w:pPr>
        <w:spacing w:after="240"/>
        <w:rPr>
          <w:rFonts w:cs="Tahoma"/>
          <w:szCs w:val="20"/>
        </w:rPr>
      </w:pPr>
      <w:r w:rsidRPr="001A5150">
        <w:rPr>
          <w:rFonts w:cs="Tahoma"/>
          <w:b/>
          <w:bCs/>
          <w:szCs w:val="20"/>
        </w:rPr>
        <w:t>Ministerstvo dopravy</w:t>
      </w:r>
      <w:r w:rsidRPr="001A5150">
        <w:rPr>
          <w:rFonts w:cs="Tahoma"/>
          <w:szCs w:val="20"/>
        </w:rPr>
        <w:t xml:space="preserve"> poskytlo dotace na úhradu prokazatelné ztráty v drážní osobní dopravě (255.745 tis. Kč).</w:t>
      </w:r>
    </w:p>
    <w:p w14:paraId="0186ADE6" w14:textId="77777777" w:rsidR="00D94695" w:rsidRPr="001A5150" w:rsidRDefault="00D94695" w:rsidP="00D94695">
      <w:pPr>
        <w:autoSpaceDE w:val="0"/>
        <w:autoSpaceDN w:val="0"/>
        <w:adjustRightInd w:val="0"/>
        <w:spacing w:after="240"/>
        <w:rPr>
          <w:rFonts w:cs="Tahoma"/>
          <w:szCs w:val="20"/>
        </w:rPr>
      </w:pPr>
      <w:r w:rsidRPr="001A5150">
        <w:rPr>
          <w:rFonts w:cs="Tahoma"/>
          <w:b/>
          <w:szCs w:val="20"/>
        </w:rPr>
        <w:t>Ministerstvo zdravotnictví</w:t>
      </w:r>
      <w:r w:rsidRPr="001A5150">
        <w:rPr>
          <w:rFonts w:cs="Tahoma"/>
          <w:szCs w:val="20"/>
        </w:rPr>
        <w:t xml:space="preserve"> poskytlo zejména dotace na specializační vzdělávání zdravotnických pracovníků – rezidenční místa lékařů (10.914 tis. Kč) a rezidenční místa </w:t>
      </w:r>
      <w:proofErr w:type="spellStart"/>
      <w:r w:rsidRPr="001A5150">
        <w:rPr>
          <w:rFonts w:cs="Tahoma"/>
          <w:szCs w:val="20"/>
        </w:rPr>
        <w:t>nelékařů</w:t>
      </w:r>
      <w:proofErr w:type="spellEnd"/>
      <w:r w:rsidRPr="001A5150">
        <w:rPr>
          <w:rFonts w:cs="Tahoma"/>
          <w:szCs w:val="20"/>
        </w:rPr>
        <w:t xml:space="preserve"> (2.789 tis. Kč). Dále dotace pro </w:t>
      </w:r>
      <w:r w:rsidRPr="001A5150">
        <w:t xml:space="preserve">Záchrannou zdravotnickou službu </w:t>
      </w:r>
      <w:r w:rsidRPr="001A5150">
        <w:rPr>
          <w:rFonts w:cs="Tahoma"/>
          <w:szCs w:val="20"/>
        </w:rPr>
        <w:t>na řešení mimořádných událostí a krizových situací (11.826 tis. Kč).</w:t>
      </w:r>
    </w:p>
    <w:p w14:paraId="26C9F02D" w14:textId="77777777" w:rsidR="00D94695" w:rsidRPr="001A5150" w:rsidRDefault="00D94695" w:rsidP="00D94695">
      <w:pPr>
        <w:autoSpaceDE w:val="0"/>
        <w:autoSpaceDN w:val="0"/>
        <w:adjustRightInd w:val="0"/>
        <w:spacing w:after="240"/>
      </w:pPr>
      <w:r w:rsidRPr="001A5150">
        <w:rPr>
          <w:b/>
          <w:bCs/>
        </w:rPr>
        <w:t>Ministerstvo kultury</w:t>
      </w:r>
      <w:r w:rsidRPr="001A5150">
        <w:t xml:space="preserve"> poskytlo neinvestiční dotace na podporu profesionálních divadel a stálých profesionálních symfonických orchestrů a pěveckých sborů (7.840 tis. Kč), na kulturní aktivity (496 tis. Kč), dotace na rozvoj informační sítě veřejných knihoven (317 tis. Kč) aj.</w:t>
      </w:r>
    </w:p>
    <w:p w14:paraId="2C0FBADA" w14:textId="77777777" w:rsidR="00D94695" w:rsidRPr="001A5150" w:rsidRDefault="00D94695" w:rsidP="00D94695">
      <w:pPr>
        <w:spacing w:after="240"/>
        <w:rPr>
          <w:rFonts w:cs="Tahoma"/>
          <w:szCs w:val="20"/>
        </w:rPr>
      </w:pPr>
      <w:r w:rsidRPr="001A5150">
        <w:rPr>
          <w:rFonts w:cs="Tahoma"/>
          <w:szCs w:val="20"/>
        </w:rPr>
        <w:t>Z </w:t>
      </w:r>
      <w:r w:rsidRPr="001A5150">
        <w:rPr>
          <w:rFonts w:cs="Tahoma"/>
          <w:b/>
          <w:bCs/>
          <w:szCs w:val="20"/>
        </w:rPr>
        <w:t>Úřadu vlády</w:t>
      </w:r>
      <w:r w:rsidRPr="001A5150">
        <w:rPr>
          <w:rFonts w:cs="Tahoma"/>
          <w:szCs w:val="20"/>
        </w:rPr>
        <w:t xml:space="preserve"> byly zaslány dotace na podporu koordinátora romských poradců (300 tis. Kč). </w:t>
      </w:r>
      <w:r w:rsidRPr="001A5150">
        <w:rPr>
          <w:rFonts w:cs="Tahoma"/>
          <w:b/>
          <w:bCs/>
          <w:szCs w:val="20"/>
        </w:rPr>
        <w:t>Ministerstvo vnitra</w:t>
      </w:r>
      <w:r w:rsidRPr="001A5150">
        <w:rPr>
          <w:rFonts w:cs="Tahoma"/>
          <w:szCs w:val="20"/>
        </w:rPr>
        <w:t xml:space="preserve"> poskytlo dotaci na prevenci kriminality na místní úrovni (93 tis. Kč).</w:t>
      </w:r>
    </w:p>
    <w:p w14:paraId="72800DA1" w14:textId="0DA8BE81" w:rsidR="00D94695" w:rsidRPr="001A5150" w:rsidRDefault="00D94695" w:rsidP="00D94695">
      <w:pPr>
        <w:autoSpaceDE w:val="0"/>
        <w:autoSpaceDN w:val="0"/>
        <w:adjustRightInd w:val="0"/>
        <w:spacing w:after="240"/>
        <w:rPr>
          <w:rFonts w:cs="Tahoma"/>
          <w:szCs w:val="20"/>
        </w:rPr>
      </w:pPr>
      <w:r w:rsidRPr="001A5150">
        <w:rPr>
          <w:rFonts w:cs="Tahoma"/>
          <w:b/>
          <w:szCs w:val="20"/>
        </w:rPr>
        <w:t>Dotace od územně samosprávných celků</w:t>
      </w:r>
      <w:r w:rsidRPr="001A5150">
        <w:rPr>
          <w:rFonts w:cs="Tahoma"/>
          <w:szCs w:val="20"/>
        </w:rPr>
        <w:t xml:space="preserve"> v celkové výši 88.197 tis. Kč zahrnují dotace od obcí Moravskoslezského kraje a jiných krajů na spolufinancování úhrady prokazatelné ztráty v silniční a drážní dopravě (77.742 tis. Kč), dotace na Výstavbu sportovní haly pro Gymnázium a SPŠEI ve Frenštátě pod</w:t>
      </w:r>
      <w:r w:rsidR="00837DDE" w:rsidRPr="001A5150">
        <w:rPr>
          <w:rFonts w:cs="Tahoma"/>
          <w:szCs w:val="20"/>
        </w:rPr>
        <w:t> </w:t>
      </w:r>
      <w:r w:rsidRPr="001A5150">
        <w:rPr>
          <w:rFonts w:cs="Tahoma"/>
          <w:szCs w:val="20"/>
        </w:rPr>
        <w:t>Radhoštěm (Gymnázium a Střední průmyslová škola elektrotechniky a informatiky, Frenštát pod</w:t>
      </w:r>
      <w:r w:rsidR="00837DDE" w:rsidRPr="001A5150">
        <w:rPr>
          <w:rFonts w:cs="Tahoma"/>
          <w:szCs w:val="20"/>
        </w:rPr>
        <w:t> </w:t>
      </w:r>
      <w:r w:rsidRPr="001A5150">
        <w:rPr>
          <w:rFonts w:cs="Tahoma"/>
          <w:szCs w:val="20"/>
        </w:rPr>
        <w:t>Radhoštěm, příspěvková organizace) (7.000 tis. Kč), dotace na spolufinancování projektů „Kotlíkové dotace v Moravskoslezském kraji 4. a 5. grantové schéma“ (2.155 tis. Kč) a dotace a dary na „Hry Olympiády dětí a mládeže" a „Povodně“ (1.300 tis. Kč).</w:t>
      </w:r>
    </w:p>
    <w:p w14:paraId="3597C62C" w14:textId="77777777" w:rsidR="00D94695" w:rsidRPr="001A5150" w:rsidRDefault="00D94695" w:rsidP="00D94695">
      <w:r w:rsidRPr="001A5150">
        <w:t>Od </w:t>
      </w:r>
      <w:r w:rsidRPr="001A5150">
        <w:rPr>
          <w:b/>
        </w:rPr>
        <w:t xml:space="preserve">partnera projektu </w:t>
      </w:r>
      <w:r w:rsidRPr="001A5150">
        <w:t>byly přijaty finanční prostředky v celkové výši 1.660 tis. Kč na projekt „NUTSHELL@CE-</w:t>
      </w:r>
      <w:proofErr w:type="spellStart"/>
      <w:r w:rsidRPr="001A5150">
        <w:t>Strengthening</w:t>
      </w:r>
      <w:proofErr w:type="spellEnd"/>
      <w:r w:rsidRPr="001A5150">
        <w:t xml:space="preserve"> public transport to </w:t>
      </w:r>
      <w:proofErr w:type="spellStart"/>
      <w:r w:rsidRPr="001A5150">
        <w:t>enhance</w:t>
      </w:r>
      <w:proofErr w:type="spellEnd"/>
      <w:r w:rsidRPr="001A5150">
        <w:t xml:space="preserve"> </w:t>
      </w:r>
      <w:proofErr w:type="spellStart"/>
      <w:r w:rsidRPr="001A5150">
        <w:t>accessibility</w:t>
      </w:r>
      <w:proofErr w:type="spellEnd"/>
      <w:r w:rsidRPr="001A5150">
        <w:t xml:space="preserve"> in </w:t>
      </w:r>
      <w:proofErr w:type="spellStart"/>
      <w:r w:rsidRPr="001A5150">
        <w:t>rural</w:t>
      </w:r>
      <w:proofErr w:type="spellEnd"/>
      <w:r w:rsidRPr="001A5150">
        <w:t xml:space="preserve"> </w:t>
      </w:r>
      <w:proofErr w:type="spellStart"/>
      <w:r w:rsidRPr="001A5150">
        <w:t>central</w:t>
      </w:r>
      <w:proofErr w:type="spellEnd"/>
      <w:r w:rsidRPr="001A5150">
        <w:t xml:space="preserve"> </w:t>
      </w:r>
      <w:proofErr w:type="spellStart"/>
      <w:r w:rsidRPr="001A5150">
        <w:t>Europe</w:t>
      </w:r>
      <w:proofErr w:type="spellEnd"/>
      <w:r w:rsidRPr="001A5150">
        <w:t xml:space="preserve"> – NUTSHELL@CE-Posílení veřejné dopravy pro zlepšení dostupnosti ve venkovských oblastech střední Evropy“ realizovaný v rámci Operačního programu </w:t>
      </w:r>
      <w:proofErr w:type="spellStart"/>
      <w:r w:rsidRPr="001A5150">
        <w:t>Interreg</w:t>
      </w:r>
      <w:proofErr w:type="spellEnd"/>
      <w:r w:rsidRPr="001A5150">
        <w:t xml:space="preserve"> </w:t>
      </w:r>
      <w:proofErr w:type="spellStart"/>
      <w:r w:rsidRPr="001A5150">
        <w:t>Central</w:t>
      </w:r>
      <w:proofErr w:type="spellEnd"/>
      <w:r w:rsidRPr="001A5150">
        <w:t xml:space="preserve"> </w:t>
      </w:r>
      <w:proofErr w:type="spellStart"/>
      <w:r w:rsidRPr="001A5150">
        <w:t>Europe</w:t>
      </w:r>
      <w:proofErr w:type="spellEnd"/>
      <w:r w:rsidRPr="001A5150">
        <w:t xml:space="preserve"> 2021+ (112 tis. Kč), na projekt „UNIFHY-</w:t>
      </w:r>
      <w:proofErr w:type="spellStart"/>
      <w:r w:rsidRPr="001A5150">
        <w:t>Unifying</w:t>
      </w:r>
      <w:proofErr w:type="spellEnd"/>
      <w:r w:rsidRPr="001A5150">
        <w:t xml:space="preserve"> </w:t>
      </w:r>
      <w:proofErr w:type="spellStart"/>
      <w:r w:rsidRPr="001A5150">
        <w:t>policies</w:t>
      </w:r>
      <w:proofErr w:type="spellEnd"/>
      <w:r w:rsidRPr="001A5150">
        <w:t xml:space="preserve"> to support </w:t>
      </w:r>
      <w:proofErr w:type="spellStart"/>
      <w:r w:rsidRPr="001A5150">
        <w:t>the</w:t>
      </w:r>
      <w:proofErr w:type="spellEnd"/>
      <w:r w:rsidRPr="001A5150">
        <w:t xml:space="preserve"> </w:t>
      </w:r>
      <w:proofErr w:type="spellStart"/>
      <w:r w:rsidRPr="001A5150">
        <w:t>uptake</w:t>
      </w:r>
      <w:proofErr w:type="spellEnd"/>
      <w:r w:rsidRPr="001A5150">
        <w:t xml:space="preserve"> </w:t>
      </w:r>
      <w:proofErr w:type="spellStart"/>
      <w:r w:rsidRPr="001A5150">
        <w:t>of</w:t>
      </w:r>
      <w:proofErr w:type="spellEnd"/>
      <w:r w:rsidRPr="001A5150">
        <w:t xml:space="preserve"> green hydrogen to </w:t>
      </w:r>
      <w:proofErr w:type="spellStart"/>
      <w:r w:rsidRPr="001A5150">
        <w:t>decarbonize</w:t>
      </w:r>
      <w:proofErr w:type="spellEnd"/>
      <w:r w:rsidRPr="001A5150">
        <w:t xml:space="preserve"> </w:t>
      </w:r>
      <w:proofErr w:type="spellStart"/>
      <w:r w:rsidRPr="001A5150">
        <w:t>Europe</w:t>
      </w:r>
      <w:proofErr w:type="spellEnd"/>
      <w:r w:rsidRPr="001A5150">
        <w:t xml:space="preserve">“-„UNIFHY- Sjednocení politik na podporu zavádění zeleného vodíku k dekarbonizaci Evropy“ realizovaný v rámci Operačního programu </w:t>
      </w:r>
      <w:proofErr w:type="spellStart"/>
      <w:r w:rsidRPr="001A5150">
        <w:t>Interreg</w:t>
      </w:r>
      <w:proofErr w:type="spellEnd"/>
      <w:r w:rsidRPr="001A5150">
        <w:t xml:space="preserve"> </w:t>
      </w:r>
      <w:proofErr w:type="spellStart"/>
      <w:r w:rsidRPr="001A5150">
        <w:t>Europe</w:t>
      </w:r>
      <w:proofErr w:type="spellEnd"/>
      <w:r w:rsidRPr="001A5150">
        <w:t xml:space="preserve"> 2021+ (700 tis. Kč) a na projekt Juraj a Ondráš – zbojnické legendy realizovaný v rámci Operačního programu </w:t>
      </w:r>
      <w:proofErr w:type="spellStart"/>
      <w:r w:rsidRPr="001A5150">
        <w:t>Interreg</w:t>
      </w:r>
      <w:proofErr w:type="spellEnd"/>
      <w:r w:rsidRPr="001A5150">
        <w:t xml:space="preserve"> SR - ČR 2021+ (848 tis. Kč).</w:t>
      </w:r>
    </w:p>
    <w:p w14:paraId="1A9A5EC7" w14:textId="77777777" w:rsidR="00D94695" w:rsidRPr="001A5150" w:rsidRDefault="00D94695" w:rsidP="00D94695">
      <w:pPr>
        <w:autoSpaceDE w:val="0"/>
        <w:autoSpaceDN w:val="0"/>
        <w:adjustRightInd w:val="0"/>
        <w:spacing w:after="240"/>
        <w:rPr>
          <w:rFonts w:cs="Tahoma"/>
          <w:szCs w:val="20"/>
        </w:rPr>
      </w:pPr>
      <w:r w:rsidRPr="001A5150">
        <w:rPr>
          <w:rFonts w:cs="Tahoma"/>
          <w:szCs w:val="20"/>
        </w:rPr>
        <w:t>Další neinvestiční a investiční dotace (vyjma dotace od územně samosprávných celků, partnerů projektů a veřejných rozpočtů jiných států) v celkové výši 383.972 tis. Kč poskytnuté na akce spolufinancované z evropských finančních zdrojů jednotlivými ministerstvy jsou uvedeny v tabulce č. 6.</w:t>
      </w:r>
    </w:p>
    <w:p w14:paraId="586AA510" w14:textId="77777777" w:rsidR="008560CA" w:rsidRPr="001A5150" w:rsidRDefault="008560CA" w:rsidP="003E25B7">
      <w:pPr>
        <w:pStyle w:val="Nadpis2"/>
      </w:pPr>
      <w:r w:rsidRPr="001A5150">
        <w:t xml:space="preserve">Financování </w:t>
      </w:r>
    </w:p>
    <w:p w14:paraId="76B2CBD4" w14:textId="77777777" w:rsidR="00D94695" w:rsidRPr="001A5150" w:rsidRDefault="00D94695" w:rsidP="00D94695">
      <w:pPr>
        <w:spacing w:before="120" w:after="240"/>
        <w:rPr>
          <w:rFonts w:cs="Tahoma"/>
          <w:szCs w:val="20"/>
        </w:rPr>
      </w:pPr>
      <w:bookmarkStart w:id="21" w:name="_Hlk46926605"/>
      <w:r w:rsidRPr="001A5150">
        <w:rPr>
          <w:rFonts w:cs="Tahoma"/>
          <w:szCs w:val="20"/>
        </w:rPr>
        <w:t>Pro rok 2025 byl schválen rozpočet Moravskoslezského kraje jako schodkový (rozdíl příjmů a výdajů představuje částku 3.141.376 tis. Kč). Schválený schodek byl tvořen především zapojením části zůstatku hospodaření roku 2024 ve výši 1.903.482 tis. Kč (z toho ve výši 500.000 tis. Kč termínovaných vkladů), přijetím půjčených prostředků ve výši 1.314.040 tis. Kč, příděly do peněžních fondů a zapojením fondů do rozpočtu kraje v celkové výši 652.474 tis. Kč a dále splacením půjčených prostředků ve výši 728.620 tis. Kč. Využitím výše popsaných složek financování byla výše zdrojů a výdajů v rozpočtu kraje vyrovnaná.</w:t>
      </w:r>
    </w:p>
    <w:p w14:paraId="44427E86" w14:textId="77777777" w:rsidR="00D94695" w:rsidRPr="001A5150" w:rsidRDefault="00D94695" w:rsidP="00D94695">
      <w:pPr>
        <w:spacing w:before="120" w:after="240"/>
        <w:rPr>
          <w:rFonts w:cs="Tahoma"/>
          <w:szCs w:val="20"/>
        </w:rPr>
      </w:pPr>
      <w:r w:rsidRPr="001A5150">
        <w:rPr>
          <w:rFonts w:cs="Tahoma"/>
          <w:szCs w:val="20"/>
        </w:rPr>
        <w:t>V rámci upraveného rozpočtu k 31. 7. 2025 dosáhlo saldo příjmů a výdajů výše -6.180.421 tis. Kč (upravený rozpočet financování tedy dosáhl celkové výše 6.180.421 tis. Kč). Podrobněji jsou jednotlivé položky financování uvedeny v tabulce č. 7.</w:t>
      </w:r>
    </w:p>
    <w:p w14:paraId="61622DC0" w14:textId="28F8FC14" w:rsidR="005865D5" w:rsidRPr="001A5150" w:rsidRDefault="00877517" w:rsidP="001318E4">
      <w:pPr>
        <w:pStyle w:val="Styltab"/>
      </w:pPr>
      <w:r w:rsidRPr="001A5150">
        <w:lastRenderedPageBreak/>
        <w:t>Struktura financování rozpočtu kraje na rok 202</w:t>
      </w:r>
      <w:r w:rsidR="00862E99" w:rsidRPr="001A5150">
        <w:t>5</w:t>
      </w:r>
      <w:r w:rsidR="005865D5" w:rsidRPr="001A5150">
        <w:tab/>
        <w:t>v tis. Kč</w:t>
      </w:r>
    </w:p>
    <w:p w14:paraId="3315FEC0" w14:textId="01A0E3CA" w:rsidR="00D94695" w:rsidRPr="001A5150" w:rsidRDefault="00D94695" w:rsidP="00C44CCF">
      <w:r w:rsidRPr="001A5150">
        <w:object w:dxaOrig="9533" w:dyaOrig="4860" w14:anchorId="6DDAE570">
          <v:shape id="_x0000_i1031" type="#_x0000_t75" style="width:468.3pt;height:249.8pt" o:ole="">
            <v:imagedata r:id="rId21" o:title=""/>
            <o:lock v:ext="edit" aspectratio="f"/>
          </v:shape>
          <o:OLEObject Type="Embed" ProgID="Excel.Sheet.12" ShapeID="_x0000_i1031" DrawAspect="Content" ObjectID="_1817201195" r:id="rId22"/>
        </w:object>
      </w:r>
    </w:p>
    <w:p w14:paraId="53177977" w14:textId="77777777" w:rsidR="00D94695" w:rsidRPr="001A5150" w:rsidRDefault="00862E99" w:rsidP="00D94695">
      <w:pPr>
        <w:spacing w:after="60"/>
        <w:rPr>
          <w:rFonts w:cs="Tahoma"/>
          <w:sz w:val="16"/>
          <w:szCs w:val="16"/>
        </w:rPr>
      </w:pPr>
      <w:r w:rsidRPr="001A5150">
        <w:rPr>
          <w:rFonts w:cs="Tahoma"/>
          <w:b/>
          <w:sz w:val="16"/>
          <w:szCs w:val="16"/>
          <w:vertAlign w:val="superscript"/>
        </w:rPr>
        <w:t>*)</w:t>
      </w:r>
      <w:r w:rsidRPr="001A5150">
        <w:rPr>
          <w:rFonts w:cs="Tahoma"/>
          <w:sz w:val="16"/>
          <w:szCs w:val="16"/>
        </w:rPr>
        <w:t xml:space="preserve"> </w:t>
      </w:r>
      <w:r w:rsidR="00D94695" w:rsidRPr="001A5150">
        <w:rPr>
          <w:rFonts w:cs="Tahoma"/>
          <w:sz w:val="16"/>
          <w:szCs w:val="16"/>
        </w:rPr>
        <w:t>Změna stavu prostředků je uvedena ve sloupci „Skutečnost k 31. 7. 2025“ s opačným znaménkem – kladná hodnota představuje pokles objemu prostředků na účtech (bez zohlednění termínovaných vkladů).</w:t>
      </w:r>
    </w:p>
    <w:p w14:paraId="15F3EB71" w14:textId="77777777" w:rsidR="007F65EE" w:rsidRPr="001A5150" w:rsidRDefault="007F65EE" w:rsidP="007F65EE">
      <w:pPr>
        <w:spacing w:before="240"/>
        <w:rPr>
          <w:rFonts w:cs="Tahoma"/>
          <w:szCs w:val="20"/>
        </w:rPr>
      </w:pPr>
      <w:r w:rsidRPr="001A5150">
        <w:rPr>
          <w:rFonts w:cs="Tahoma"/>
          <w:szCs w:val="20"/>
        </w:rPr>
        <w:t>Od počátku roku 2025 byly postupně realizovány rozpočtové úpravy týkající se oblasti financování, a to jak v souvislosti s</w:t>
      </w:r>
      <w:r w:rsidRPr="001A5150">
        <w:t> </w:t>
      </w:r>
      <w:r w:rsidRPr="001A5150">
        <w:rPr>
          <w:rFonts w:cs="Tahoma"/>
          <w:szCs w:val="20"/>
        </w:rPr>
        <w:t>přesným vyčíslením a následným zapojením kladného zůstatku rozpočtového hospodaření roku 2024, tak ve vztahu k objemu přijatých dlouhodobých půjčených prostředků.</w:t>
      </w:r>
    </w:p>
    <w:p w14:paraId="499BF8E9" w14:textId="77777777" w:rsidR="007F65EE" w:rsidRPr="001A5150" w:rsidRDefault="007F65EE" w:rsidP="007F65EE">
      <w:pPr>
        <w:spacing w:before="240"/>
        <w:rPr>
          <w:szCs w:val="20"/>
        </w:rPr>
      </w:pPr>
      <w:r w:rsidRPr="001A5150">
        <w:t>K </w:t>
      </w:r>
      <w:r w:rsidRPr="001A5150">
        <w:rPr>
          <w:szCs w:val="20"/>
        </w:rPr>
        <w:t xml:space="preserve">31. 7. 2025 </w:t>
      </w:r>
      <w:r w:rsidRPr="001A5150">
        <w:t>došlo k úpravě finančních prostředků, které představují zdroje roku 2024 a jsou určeny ke krytí jednotlivých výdajů v rozpočtu roku 2025, na částku 5.362.409 tis. Kč (včetně prostředků na účtech termínovaných vkladů), a to zejména z důvodu zapojení účelově vázaných finančních prostředků z roku 2024 k dofinancování akcí spolufinancovaných z evropských finančních zdrojů, akcí reprodukce majetku kraje a akcí jinak smluvně zajištěných a převedených do roku 2024. Podstatná část nespecifikovaného zůstatku rozpočtového hospodaření roku 2024 ve výši 801.335 tis. Kč byla postupně zapojena do rozpočtu kraje na rok 2025. Jednalo se o prostředky, které byly použity k dofinancování akcí rozpočtu kraje na rok 2025 a financování nových akcí v souladu se Strategií rozvoje Moravskoslezského kraje na léta 2019</w:t>
      </w:r>
      <w:r w:rsidRPr="001A5150">
        <w:noBreakHyphen/>
        <w:t>2027, a dále šlo o prostředky ve výši 28.480 tis. Kč k nahrazení části příjmů z vratek návratných finančních výpomocí v rozpočtu kraje na rok 2025.</w:t>
      </w:r>
    </w:p>
    <w:p w14:paraId="7FA8D895" w14:textId="409D0B0D" w:rsidR="007F65EE" w:rsidRDefault="007F65EE" w:rsidP="007F65EE">
      <w:pPr>
        <w:pStyle w:val="Mjtext"/>
        <w:spacing w:after="120"/>
        <w:rPr>
          <w:szCs w:val="20"/>
        </w:rPr>
      </w:pPr>
      <w:r w:rsidRPr="001A5150">
        <w:rPr>
          <w:szCs w:val="20"/>
        </w:rPr>
        <w:t xml:space="preserve">K 31. 7. 2025 došlo ke změnám také u peněžních fondů. Skutečný stav na účtech fondů včetně jejich tvorby, čerpání a zůstatků na účtech znázorňuje tabulka č. </w:t>
      </w:r>
      <w:r w:rsidR="00856BC7">
        <w:rPr>
          <w:szCs w:val="20"/>
        </w:rPr>
        <w:t>8</w:t>
      </w:r>
      <w:r w:rsidRPr="001A5150">
        <w:rPr>
          <w:szCs w:val="20"/>
        </w:rPr>
        <w:t>.</w:t>
      </w:r>
    </w:p>
    <w:p w14:paraId="7D90E9F2" w14:textId="77777777" w:rsidR="002F3DA8" w:rsidRDefault="002F3DA8" w:rsidP="002F3DA8">
      <w:pPr>
        <w:pStyle w:val="Mjtext"/>
        <w:spacing w:after="120"/>
        <w:rPr>
          <w:szCs w:val="20"/>
        </w:rPr>
      </w:pPr>
    </w:p>
    <w:p w14:paraId="2F84EDF2" w14:textId="77777777" w:rsidR="00761367" w:rsidRDefault="00761367" w:rsidP="002F3DA8">
      <w:pPr>
        <w:pStyle w:val="Mjtext"/>
        <w:spacing w:after="120"/>
        <w:rPr>
          <w:szCs w:val="20"/>
        </w:rPr>
      </w:pPr>
    </w:p>
    <w:p w14:paraId="082B43E1" w14:textId="77777777" w:rsidR="00761367" w:rsidRDefault="00761367" w:rsidP="002F3DA8">
      <w:pPr>
        <w:pStyle w:val="Mjtext"/>
        <w:spacing w:after="120"/>
        <w:rPr>
          <w:szCs w:val="20"/>
        </w:rPr>
      </w:pPr>
    </w:p>
    <w:p w14:paraId="37EBF683" w14:textId="77777777" w:rsidR="00761367" w:rsidRDefault="00761367" w:rsidP="002F3DA8">
      <w:pPr>
        <w:pStyle w:val="Mjtext"/>
        <w:spacing w:after="120"/>
        <w:rPr>
          <w:szCs w:val="20"/>
        </w:rPr>
      </w:pPr>
    </w:p>
    <w:p w14:paraId="6F981C6C" w14:textId="77777777" w:rsidR="00761367" w:rsidRDefault="00761367" w:rsidP="002F3DA8">
      <w:pPr>
        <w:pStyle w:val="Mjtext"/>
        <w:spacing w:after="120"/>
        <w:rPr>
          <w:szCs w:val="20"/>
        </w:rPr>
      </w:pPr>
    </w:p>
    <w:p w14:paraId="17DA344D" w14:textId="77777777" w:rsidR="00761367" w:rsidRDefault="00761367" w:rsidP="002F3DA8">
      <w:pPr>
        <w:pStyle w:val="Mjtext"/>
        <w:spacing w:after="120"/>
        <w:rPr>
          <w:szCs w:val="20"/>
        </w:rPr>
      </w:pPr>
    </w:p>
    <w:p w14:paraId="2BCD9DA6" w14:textId="77777777" w:rsidR="00761367" w:rsidRDefault="00761367" w:rsidP="002F3DA8">
      <w:pPr>
        <w:pStyle w:val="Mjtext"/>
        <w:spacing w:after="120"/>
        <w:rPr>
          <w:szCs w:val="20"/>
        </w:rPr>
      </w:pPr>
    </w:p>
    <w:p w14:paraId="6204BEEB" w14:textId="77777777" w:rsidR="00761367" w:rsidRDefault="00761367" w:rsidP="002F3DA8">
      <w:pPr>
        <w:pStyle w:val="Mjtext"/>
        <w:spacing w:after="120"/>
        <w:rPr>
          <w:szCs w:val="20"/>
        </w:rPr>
      </w:pPr>
    </w:p>
    <w:p w14:paraId="0B89D972" w14:textId="74895BF7" w:rsidR="007F65EE" w:rsidRPr="001A5150" w:rsidRDefault="007F65EE" w:rsidP="007F65EE">
      <w:pPr>
        <w:pStyle w:val="Mjtext"/>
        <w:spacing w:after="120"/>
        <w:rPr>
          <w:szCs w:val="20"/>
        </w:rPr>
      </w:pPr>
      <w:r w:rsidRPr="001A5150">
        <w:rPr>
          <w:szCs w:val="20"/>
        </w:rPr>
        <w:lastRenderedPageBreak/>
        <w:t>Zastupitelstvo kraje rozhodlo usnesením č. 4/188 ze 16. 6. 2025 rozdělit část zůstatku finančních prostředků rozpočtového hospodaření kraje za rok 2024 a přidělit finanční prostředky ze zůstatku finančních prostředků rozpočtového hospodaření kraje za rok 2024 do Fondu pro financování strategických projektů Moravskoslezského kraje ve výši 350.000 tis. Kč na dofinancování poskytnutí dotace pro statutární město Havířov na projekt „Humanizace a rozšíření kapacity pobytové sociální služby poskytované organizací Domov seniorů Havířov, příspěvková organizace“ v letech 2026 a 2027 a dále do Zajišťovacího fondu ve výši 100.000 tis. Kč na spolufinancování programu Státního fondu podpory investic Živel 3 určeného pro</w:t>
      </w:r>
      <w:r w:rsidR="00CA7B29" w:rsidRPr="001A5150">
        <w:rPr>
          <w:szCs w:val="20"/>
        </w:rPr>
        <w:t> </w:t>
      </w:r>
      <w:r w:rsidRPr="001A5150">
        <w:rPr>
          <w:szCs w:val="20"/>
        </w:rPr>
        <w:t>domácnosti na obnovu nebo výstavbu obydlí poškozených nebo zničených povodněmi v září 2024. Tato operace proběhla mimo rozpočet kraje. Dále zastupitelstvo kraje rozhodlo usnesením č. 4/191 ze dne 16. 6. 2025 přidělit finanční prostředky, z vrácených příjmů za energie od příspěvkových organizací v odvětví školství v</w:t>
      </w:r>
      <w:r w:rsidR="00CA7B29" w:rsidRPr="001A5150">
        <w:rPr>
          <w:szCs w:val="20"/>
        </w:rPr>
        <w:t> </w:t>
      </w:r>
      <w:r w:rsidRPr="001A5150">
        <w:rPr>
          <w:szCs w:val="20"/>
        </w:rPr>
        <w:t>roce 2025, ve</w:t>
      </w:r>
      <w:r w:rsidR="00CA7B29" w:rsidRPr="001A5150">
        <w:rPr>
          <w:szCs w:val="20"/>
        </w:rPr>
        <w:t> </w:t>
      </w:r>
      <w:r w:rsidRPr="001A5150">
        <w:rPr>
          <w:szCs w:val="20"/>
        </w:rPr>
        <w:t>výši 10.000</w:t>
      </w:r>
      <w:r w:rsidR="00CA7B29" w:rsidRPr="001A5150">
        <w:rPr>
          <w:szCs w:val="20"/>
        </w:rPr>
        <w:t> </w:t>
      </w:r>
      <w:r w:rsidRPr="001A5150">
        <w:rPr>
          <w:szCs w:val="20"/>
        </w:rPr>
        <w:t>tis.</w:t>
      </w:r>
      <w:r w:rsidR="00CA7B29" w:rsidRPr="001A5150">
        <w:rPr>
          <w:szCs w:val="20"/>
        </w:rPr>
        <w:t> </w:t>
      </w:r>
      <w:r w:rsidRPr="001A5150">
        <w:rPr>
          <w:szCs w:val="20"/>
        </w:rPr>
        <w:t xml:space="preserve">Kč do Fondu pro financování strategických projektů Moravskoslezského kraje za účelem navýšení profinancování projektu „Výstavba sportovního plaveckého bazénu při Sportovním gymnáziu Dany a Emila Zátopkových v Ostravě“. </w:t>
      </w:r>
    </w:p>
    <w:p w14:paraId="6C93EA98" w14:textId="395EFC2C" w:rsidR="007F65EE" w:rsidRDefault="007F65EE" w:rsidP="007F65EE">
      <w:pPr>
        <w:spacing w:after="60"/>
        <w:rPr>
          <w:rFonts w:cs="Tahoma"/>
          <w:szCs w:val="20"/>
        </w:rPr>
      </w:pPr>
      <w:r w:rsidRPr="001A5150">
        <w:rPr>
          <w:rFonts w:cs="Tahoma"/>
          <w:szCs w:val="20"/>
        </w:rPr>
        <w:t xml:space="preserve">V rámci aktivních krátkodobých operací řízení likvidity, které se rovněž zachycují na položkách třídy Financování, probíhají vklady a výběry na účtech termínovaných vkladů. Ve schváleném rozpočtu se jedná u příjmů o zapojení části zůstatku hospodaření roku 2024 ve výši 500.000 tis. Kč, který k datu 31. 7. 2025 zůstal nezměněn. Příjem prostředků z účtů termínovaných vkladů z důvodu ukončení termínovaných vkladů činí v celkovém objemu 19.198.222 tis. Kč, naopak skutečný výdej prostředků na účty krátkodobých termínovaných vkladů dosáhl ke sledovanému datu výše 22.048.222 tis. Kč. Jedná se zejména o realizaci opakovaných termínovaných vkladů prostřednictvím </w:t>
      </w:r>
      <w:proofErr w:type="spellStart"/>
      <w:r w:rsidRPr="001A5150">
        <w:rPr>
          <w:rFonts w:cs="Tahoma"/>
          <w:szCs w:val="20"/>
        </w:rPr>
        <w:t>dealingu</w:t>
      </w:r>
      <w:proofErr w:type="spellEnd"/>
      <w:r w:rsidRPr="001A5150">
        <w:rPr>
          <w:rFonts w:cs="Tahoma"/>
          <w:szCs w:val="20"/>
        </w:rPr>
        <w:t xml:space="preserve"> bank, a to z důvodu maximalizace úrokových výnosů plynoucích do rozpočtu kraje. Rozdíl mezi výběry a vklady ve výši 2.850.000 tis. Kč představuje pokles objemu prostředků ve sledovaném období na účtech termínovaných vkladů.</w:t>
      </w:r>
    </w:p>
    <w:p w14:paraId="5E396565" w14:textId="61877C34" w:rsidR="00761367" w:rsidRPr="00856BC7" w:rsidRDefault="009F4EE6" w:rsidP="00761367">
      <w:pPr>
        <w:pStyle w:val="Styltab"/>
        <w:spacing w:after="120"/>
      </w:pPr>
      <w:r>
        <w:t>Skutečný stav na účtech</w:t>
      </w:r>
      <w:r w:rsidR="003C6269">
        <w:t xml:space="preserve"> </w:t>
      </w:r>
      <w:r>
        <w:t>fondů</w:t>
      </w:r>
      <w:r w:rsidR="00761367" w:rsidRPr="001A5150">
        <w:t xml:space="preserve"> k 31. 7. 2025</w:t>
      </w:r>
      <w:r w:rsidR="00761367" w:rsidRPr="001A5150">
        <w:tab/>
        <w:t>v tis. Kč</w:t>
      </w:r>
      <w:r w:rsidR="00761367" w:rsidRPr="001A5150">
        <w:object w:dxaOrig="11390" w:dyaOrig="3917" w14:anchorId="0BF67FC5">
          <v:shape id="_x0000_i1104" type="#_x0000_t75" style="width:475.2pt;height:175.95pt" o:ole="">
            <v:imagedata r:id="rId23" o:title=""/>
          </v:shape>
          <o:OLEObject Type="Embed" ProgID="Excel.Sheet.12" ShapeID="_x0000_i1104" DrawAspect="Content" ObjectID="_1817201196" r:id="rId24"/>
        </w:object>
      </w:r>
    </w:p>
    <w:bookmarkEnd w:id="21"/>
    <w:p w14:paraId="586AA51C" w14:textId="77777777" w:rsidR="008560CA" w:rsidRPr="001A5150" w:rsidRDefault="008560CA" w:rsidP="001459D6">
      <w:pPr>
        <w:pStyle w:val="Nadpis3"/>
        <w:rPr>
          <w:rFonts w:cs="Tahoma"/>
          <w:szCs w:val="20"/>
        </w:rPr>
      </w:pPr>
      <w:r w:rsidRPr="001A5150">
        <w:t>Financování prostřednictvím cizích zdrojů (úvěrů)</w:t>
      </w:r>
    </w:p>
    <w:p w14:paraId="40D29026" w14:textId="77777777" w:rsidR="007F65EE" w:rsidRPr="001A5150" w:rsidRDefault="007F65EE" w:rsidP="007F65EE">
      <w:pPr>
        <w:spacing w:before="120" w:after="120"/>
        <w:rPr>
          <w:szCs w:val="20"/>
        </w:rPr>
      </w:pPr>
      <w:r w:rsidRPr="001A5150">
        <w:rPr>
          <w:szCs w:val="20"/>
        </w:rPr>
        <w:t>Celková zadluženost (výše nesplacených úvěrů) Moravskoslezského kraje k 31. 7. 2025 dosáhla výše 3.372.248 tis. Kč. V následující tabulce č. 8 jsou přehledně popsány úvěry využívané krajem.</w:t>
      </w:r>
    </w:p>
    <w:p w14:paraId="68F0D1D3" w14:textId="77777777" w:rsidR="007F65EE" w:rsidRPr="001A5150" w:rsidRDefault="007F65EE" w:rsidP="007F65EE">
      <w:pPr>
        <w:spacing w:before="120" w:after="120"/>
        <w:rPr>
          <w:szCs w:val="20"/>
        </w:rPr>
      </w:pPr>
      <w:r w:rsidRPr="001A5150">
        <w:rPr>
          <w:szCs w:val="20"/>
        </w:rPr>
        <w:t>Na splácení úvěru UCB, a.s. (projektový 2024+) jsou využívány především prostředky, které kraj obdrží od jednotlivých řídících orgánů za akce, na jejichž předfinancování si kraj půjčil (splacené prostředky mohou být znovu načerpány až do výše poskytnutého úvěru) a částečně vlastní prostředky kraje. Úvěr lze čerpat v období let 2024-2029 a splacen musí být nejpozději do 31. 12. 2030.</w:t>
      </w:r>
    </w:p>
    <w:p w14:paraId="79AE8B8D" w14:textId="77777777" w:rsidR="007F65EE" w:rsidRPr="001A5150" w:rsidRDefault="007F65EE" w:rsidP="007F65EE">
      <w:pPr>
        <w:spacing w:before="120" w:after="120"/>
        <w:rPr>
          <w:szCs w:val="20"/>
        </w:rPr>
      </w:pPr>
      <w:r w:rsidRPr="001A5150">
        <w:rPr>
          <w:szCs w:val="20"/>
        </w:rPr>
        <w:t>V prosinci 2024 byl dočerpán úvěr od ČS, a. s., do celkové výše 3 mld. Kč. Splácení úvěru započne v roce 2026.</w:t>
      </w:r>
    </w:p>
    <w:p w14:paraId="382CA2C0" w14:textId="77777777" w:rsidR="007F65EE" w:rsidRPr="001A5150" w:rsidRDefault="007F65EE" w:rsidP="007F65EE">
      <w:pPr>
        <w:spacing w:before="120" w:after="120"/>
        <w:rPr>
          <w:szCs w:val="20"/>
        </w:rPr>
      </w:pPr>
      <w:r w:rsidRPr="001A5150">
        <w:rPr>
          <w:szCs w:val="20"/>
        </w:rPr>
        <w:t>V roce 2025 by současně mělo dojít k doplacení úvěrů od EIB a UCB, a.s. na refinancování.</w:t>
      </w:r>
    </w:p>
    <w:p w14:paraId="37D45530" w14:textId="77777777" w:rsidR="00312DB5" w:rsidRPr="001A5150" w:rsidRDefault="00312DB5" w:rsidP="001318E4">
      <w:pPr>
        <w:pStyle w:val="Styltab"/>
      </w:pPr>
      <w:r w:rsidRPr="001A5150">
        <w:lastRenderedPageBreak/>
        <w:t>Přehled úvěrů využívaných krajem</w:t>
      </w:r>
    </w:p>
    <w:bookmarkStart w:id="22" w:name="_MON_1816592546"/>
    <w:bookmarkEnd w:id="22"/>
    <w:p w14:paraId="36923389" w14:textId="3F97404B" w:rsidR="007F65EE" w:rsidRPr="001A5150" w:rsidRDefault="007F65EE" w:rsidP="00312DB5">
      <w:r w:rsidRPr="001A5150">
        <w:rPr>
          <w:i/>
        </w:rPr>
        <w:object w:dxaOrig="10146" w:dyaOrig="10486" w14:anchorId="21CFE52A">
          <v:shape id="_x0000_i1032" type="#_x0000_t75" style="width:480.2pt;height:557.85pt" o:ole="">
            <v:imagedata r:id="rId25" o:title=""/>
          </v:shape>
          <o:OLEObject Type="Embed" ProgID="Excel.Sheet.12" ShapeID="_x0000_i1032" DrawAspect="Content" ObjectID="_1817201197" r:id="rId26"/>
        </w:object>
      </w:r>
    </w:p>
    <w:p w14:paraId="55AC0D0F" w14:textId="77777777" w:rsidR="007F65EE" w:rsidRPr="001A5150" w:rsidRDefault="007F65EE" w:rsidP="007F65EE">
      <w:pPr>
        <w:rPr>
          <w:rFonts w:cs="Tahoma"/>
          <w:sz w:val="18"/>
          <w:szCs w:val="18"/>
        </w:rPr>
      </w:pPr>
      <w:r w:rsidRPr="001A5150">
        <w:t xml:space="preserve">Bližší informace o zůstatcích finančních prostředků na účtech kraje jsou obsaženy </w:t>
      </w:r>
      <w:r w:rsidRPr="001A5150">
        <w:rPr>
          <w:rFonts w:cs="Tahoma"/>
          <w:szCs w:val="20"/>
        </w:rPr>
        <w:t>v </w:t>
      </w:r>
      <w:r w:rsidRPr="001A5150">
        <w:t>příloze č. 7 Stav a rozložení finančních prostředků na bankovních účtech kraje a informace ke Sberbank CZ, a. s. v likvidaci.</w:t>
      </w:r>
    </w:p>
    <w:p w14:paraId="7EA2FCC8" w14:textId="77777777" w:rsidR="00312DB5" w:rsidRPr="001A5150" w:rsidRDefault="00312DB5" w:rsidP="00312DB5">
      <w:pPr>
        <w:pStyle w:val="Mjtext"/>
        <w:spacing w:after="120"/>
        <w:rPr>
          <w:szCs w:val="20"/>
        </w:rPr>
      </w:pPr>
    </w:p>
    <w:p w14:paraId="586AA5A0" w14:textId="77777777" w:rsidR="00014B18" w:rsidRPr="001A5150" w:rsidRDefault="00014B18" w:rsidP="007D29FE">
      <w:pPr>
        <w:pStyle w:val="Nadpis2"/>
      </w:pPr>
      <w:r w:rsidRPr="001A5150">
        <w:lastRenderedPageBreak/>
        <w:t>Výdajová část rozpočtu</w:t>
      </w:r>
    </w:p>
    <w:p w14:paraId="586AA5A1" w14:textId="087DE63C" w:rsidR="00014B18" w:rsidRPr="001A5150" w:rsidRDefault="00014B18" w:rsidP="00FE21CC">
      <w:r w:rsidRPr="001A5150">
        <w:t>Výdaje kraje jsou celkem čerpány k </w:t>
      </w:r>
      <w:r w:rsidR="00164DCF" w:rsidRPr="001A5150">
        <w:t>31. 7. 2025</w:t>
      </w:r>
      <w:r w:rsidRPr="001A5150">
        <w:t xml:space="preserve"> ve výši </w:t>
      </w:r>
      <w:r w:rsidR="008D1713" w:rsidRPr="001A5150">
        <w:t>26.084.639</w:t>
      </w:r>
      <w:r w:rsidR="00790ECA" w:rsidRPr="001A5150">
        <w:t> </w:t>
      </w:r>
      <w:r w:rsidRPr="001A5150">
        <w:t xml:space="preserve">tis. Kč, což činí </w:t>
      </w:r>
      <w:r w:rsidR="008D1713" w:rsidRPr="001A5150">
        <w:t>59</w:t>
      </w:r>
      <w:r w:rsidR="004F3DA0" w:rsidRPr="001A5150">
        <w:t> </w:t>
      </w:r>
      <w:r w:rsidRPr="001A5150">
        <w:t>% upraveného rozpočtu.</w:t>
      </w:r>
    </w:p>
    <w:p w14:paraId="60E5C773" w14:textId="6C64A5D7" w:rsidR="002606A5" w:rsidRPr="001A5150" w:rsidRDefault="00ED7CFF" w:rsidP="001318E4">
      <w:pPr>
        <w:pStyle w:val="Styltab"/>
      </w:pPr>
      <w:r w:rsidRPr="001A5150">
        <w:t xml:space="preserve">Přehled výdajů rozpočtu kraje v členění dle rozpočtové skladby </w:t>
      </w:r>
      <w:r w:rsidR="00302260" w:rsidRPr="001A5150">
        <w:tab/>
        <w:t>v tis. Kč</w:t>
      </w:r>
      <w:bookmarkStart w:id="23" w:name="_MON_1489915522"/>
      <w:bookmarkEnd w:id="23"/>
      <w:r w:rsidR="0081428A" w:rsidRPr="001A5150">
        <w:object w:dxaOrig="9624" w:dyaOrig="1371" w14:anchorId="71CAB2EC">
          <v:shape id="_x0000_i1092" type="#_x0000_t75" style="width:481.45pt;height:64.5pt" o:ole="">
            <v:imagedata r:id="rId27" o:title=""/>
          </v:shape>
          <o:OLEObject Type="Embed" ProgID="Excel.Sheet.8" ShapeID="_x0000_i1092" DrawAspect="Content" ObjectID="_1817201198" r:id="rId28"/>
        </w:object>
      </w:r>
    </w:p>
    <w:p w14:paraId="0B4C6E8E" w14:textId="56AB243D" w:rsidR="00152679" w:rsidRPr="001A5150" w:rsidRDefault="00152679" w:rsidP="001318E4">
      <w:pPr>
        <w:pStyle w:val="Styltab"/>
      </w:pPr>
      <w:r w:rsidRPr="001A5150">
        <w:t>Přehled výdajů rozpočtu kraje tříděných dle odvětví v roce 202</w:t>
      </w:r>
      <w:r w:rsidR="00B0101F" w:rsidRPr="001A5150">
        <w:t>5</w:t>
      </w:r>
      <w:r w:rsidRPr="001A5150">
        <w:tab/>
        <w:t>v tis. Kč</w:t>
      </w:r>
      <w:bookmarkStart w:id="24" w:name="_MON_1477203383"/>
      <w:bookmarkEnd w:id="24"/>
      <w:r w:rsidR="008629C8" w:rsidRPr="001A5150">
        <w:object w:dxaOrig="9273" w:dyaOrig="4093" w14:anchorId="08E66F67">
          <v:shape id="_x0000_i1035" type="#_x0000_t75" style="width:481.45pt;height:3in" o:ole="">
            <v:imagedata r:id="rId29" o:title=""/>
          </v:shape>
          <o:OLEObject Type="Embed" ProgID="Excel.Sheet.8" ShapeID="_x0000_i1035" DrawAspect="Content" ObjectID="_1817201199" r:id="rId30"/>
        </w:object>
      </w:r>
    </w:p>
    <w:p w14:paraId="6FE5360A" w14:textId="21A8E022" w:rsidR="008B193B" w:rsidRPr="001A5150" w:rsidRDefault="008B193B" w:rsidP="008B193B">
      <w:pPr>
        <w:pStyle w:val="MSKNormal"/>
        <w:spacing w:before="200" w:after="0"/>
        <w:rPr>
          <w:sz w:val="16"/>
          <w:szCs w:val="16"/>
        </w:rPr>
      </w:pPr>
      <w:r w:rsidRPr="001A5150">
        <w:rPr>
          <w:sz w:val="16"/>
          <w:szCs w:val="16"/>
          <w:vertAlign w:val="superscript"/>
        </w:rPr>
        <w:t>*)</w:t>
      </w:r>
      <w:r w:rsidRPr="001A5150">
        <w:rPr>
          <w:sz w:val="16"/>
          <w:szCs w:val="16"/>
        </w:rPr>
        <w:t xml:space="preserve"> Odvětví informatiky a kybernetické bezpečnosti </w:t>
      </w:r>
      <w:r w:rsidR="00A41E93" w:rsidRPr="001A5150">
        <w:rPr>
          <w:sz w:val="16"/>
          <w:szCs w:val="16"/>
        </w:rPr>
        <w:t xml:space="preserve">bylo </w:t>
      </w:r>
      <w:r w:rsidR="0080147E" w:rsidRPr="001A5150">
        <w:rPr>
          <w:sz w:val="16"/>
          <w:szCs w:val="16"/>
        </w:rPr>
        <w:t>vyčleněno v</w:t>
      </w:r>
      <w:r w:rsidR="00A41E93" w:rsidRPr="001A5150">
        <w:rPr>
          <w:sz w:val="16"/>
          <w:szCs w:val="16"/>
        </w:rPr>
        <w:t xml:space="preserve"> rozpočtu kraje od roku 2025.</w:t>
      </w:r>
    </w:p>
    <w:p w14:paraId="049F6918" w14:textId="1C6B90B9" w:rsidR="001F383C" w:rsidRPr="001A5150" w:rsidRDefault="001F383C" w:rsidP="001F383C">
      <w:pPr>
        <w:pStyle w:val="MSKNormal"/>
        <w:spacing w:before="200"/>
      </w:pPr>
      <w:r w:rsidRPr="001A5150">
        <w:t xml:space="preserve">Ve srovnání skutečných výdajů v období leden až </w:t>
      </w:r>
      <w:r w:rsidR="00BF49CD" w:rsidRPr="001A5150">
        <w:t>červenec</w:t>
      </w:r>
      <w:r w:rsidRPr="001A5150">
        <w:t> 202</w:t>
      </w:r>
      <w:r w:rsidR="007222CA" w:rsidRPr="001A5150">
        <w:t>5</w:t>
      </w:r>
      <w:r w:rsidRPr="001A5150">
        <w:t xml:space="preserve"> a stejného období roku 202</w:t>
      </w:r>
      <w:r w:rsidR="007222CA" w:rsidRPr="001A5150">
        <w:t>4</w:t>
      </w:r>
      <w:r w:rsidRPr="001A5150">
        <w:t xml:space="preserve"> došlo celkově v letošním roce k </w:t>
      </w:r>
      <w:r w:rsidR="009225FE" w:rsidRPr="001A5150">
        <w:t>růstu</w:t>
      </w:r>
      <w:r w:rsidRPr="001A5150">
        <w:t xml:space="preserve"> objemu výdajů kraje celkem o </w:t>
      </w:r>
      <w:r w:rsidR="00BF49CD" w:rsidRPr="001A5150">
        <w:t>1.587.884</w:t>
      </w:r>
      <w:r w:rsidRPr="001A5150">
        <w:t xml:space="preserve"> tis. Kč. Meziroční </w:t>
      </w:r>
      <w:r w:rsidR="009225FE" w:rsidRPr="001A5150">
        <w:t>růst</w:t>
      </w:r>
      <w:r w:rsidRPr="001A5150">
        <w:t xml:space="preserve"> objemu výdajů souvisel zejména s</w:t>
      </w:r>
      <w:r w:rsidR="009225FE" w:rsidRPr="001A5150">
        <w:t> vyšší</w:t>
      </w:r>
      <w:r w:rsidRPr="001A5150">
        <w:t xml:space="preserve">m objemem výdajů </w:t>
      </w:r>
      <w:r w:rsidR="007222CA" w:rsidRPr="001A5150">
        <w:t>u samosprávných a jiných činností realizovaných prostřednictvím krajského úřadu (meziroční růst o </w:t>
      </w:r>
      <w:r w:rsidR="00BF49CD" w:rsidRPr="001A5150">
        <w:t>1.428.788</w:t>
      </w:r>
      <w:r w:rsidR="007222CA" w:rsidRPr="001A5150">
        <w:t> tis.</w:t>
      </w:r>
      <w:r w:rsidR="008D625E" w:rsidRPr="001A5150">
        <w:t> </w:t>
      </w:r>
      <w:r w:rsidR="007222CA" w:rsidRPr="001A5150">
        <w:t>Kč) a u příspěvku na provoz příspěvkovým organizacím kraje (meziročně o </w:t>
      </w:r>
      <w:r w:rsidR="00BF49CD" w:rsidRPr="001A5150">
        <w:t>419.795</w:t>
      </w:r>
      <w:r w:rsidR="007222CA" w:rsidRPr="001A5150">
        <w:t> tis. Kč).</w:t>
      </w:r>
      <w:r w:rsidR="009225FE" w:rsidRPr="001A5150">
        <w:t xml:space="preserve"> K meziročnímu poklesu objemu výdajů došlo u</w:t>
      </w:r>
      <w:r w:rsidR="00BF49CD" w:rsidRPr="001A5150">
        <w:t> </w:t>
      </w:r>
      <w:r w:rsidR="009225FE" w:rsidRPr="001A5150">
        <w:t xml:space="preserve">akcí </w:t>
      </w:r>
      <w:r w:rsidR="007222CA" w:rsidRPr="001A5150">
        <w:t>reprodukce majetku kraje (meziročně o </w:t>
      </w:r>
      <w:r w:rsidR="00BF49CD" w:rsidRPr="001A5150">
        <w:t>303.160</w:t>
      </w:r>
      <w:r w:rsidR="007222CA" w:rsidRPr="001A5150">
        <w:t> tis. Kč)</w:t>
      </w:r>
      <w:r w:rsidRPr="001A5150">
        <w:t xml:space="preserve">. </w:t>
      </w:r>
    </w:p>
    <w:p w14:paraId="4C7DDF50" w14:textId="1C4807D0" w:rsidR="000D2BF8" w:rsidRPr="001A5150" w:rsidRDefault="001F383C" w:rsidP="001F383C">
      <w:pPr>
        <w:pStyle w:val="MSKNormal"/>
      </w:pPr>
      <w:r w:rsidRPr="001A5150">
        <w:t xml:space="preserve">V meziročním porovnání skutečných výdajů mezi jednotlivými odvětvími došlo k největšímu </w:t>
      </w:r>
      <w:r w:rsidR="0099429D" w:rsidRPr="001A5150">
        <w:t xml:space="preserve">růstu </w:t>
      </w:r>
      <w:r w:rsidRPr="001A5150">
        <w:t xml:space="preserve">objemu výdajů </w:t>
      </w:r>
      <w:r w:rsidR="008D625E" w:rsidRPr="001A5150">
        <w:t xml:space="preserve">zejména </w:t>
      </w:r>
      <w:r w:rsidRPr="001A5150">
        <w:t xml:space="preserve">v odvětví </w:t>
      </w:r>
      <w:r w:rsidR="000D2BF8" w:rsidRPr="001A5150">
        <w:t>školství</w:t>
      </w:r>
      <w:r w:rsidRPr="001A5150">
        <w:t xml:space="preserve"> (o </w:t>
      </w:r>
      <w:r w:rsidR="00BF49CD" w:rsidRPr="001A5150">
        <w:t>1.536.204</w:t>
      </w:r>
      <w:r w:rsidR="0099429D" w:rsidRPr="001A5150">
        <w:t> </w:t>
      </w:r>
      <w:r w:rsidRPr="001A5150">
        <w:t>tis.</w:t>
      </w:r>
      <w:r w:rsidR="0099429D" w:rsidRPr="001A5150">
        <w:t> </w:t>
      </w:r>
      <w:r w:rsidRPr="001A5150">
        <w:t>Kč)</w:t>
      </w:r>
      <w:r w:rsidR="000D2BF8" w:rsidRPr="001A5150">
        <w:t xml:space="preserve"> a</w:t>
      </w:r>
      <w:r w:rsidRPr="001A5150">
        <w:t xml:space="preserve"> </w:t>
      </w:r>
      <w:r w:rsidR="0099429D" w:rsidRPr="001A5150">
        <w:t xml:space="preserve">v odvětví </w:t>
      </w:r>
      <w:r w:rsidR="00BF49CD" w:rsidRPr="001A5150">
        <w:t>kultury</w:t>
      </w:r>
      <w:r w:rsidR="0099429D" w:rsidRPr="001A5150">
        <w:t xml:space="preserve"> (meziroční růst o </w:t>
      </w:r>
      <w:r w:rsidR="00BF49CD" w:rsidRPr="001A5150">
        <w:t>181.306</w:t>
      </w:r>
      <w:r w:rsidR="0099429D" w:rsidRPr="001A5150">
        <w:t> tis. Kč)</w:t>
      </w:r>
      <w:r w:rsidRPr="001A5150">
        <w:t xml:space="preserve">. K významnému </w:t>
      </w:r>
      <w:r w:rsidR="009225FE" w:rsidRPr="001A5150">
        <w:t>poklesu objemu rozpočtu došlo zejména v</w:t>
      </w:r>
      <w:r w:rsidR="000D2BF8" w:rsidRPr="001A5150">
        <w:t> </w:t>
      </w:r>
      <w:r w:rsidR="009225FE" w:rsidRPr="001A5150">
        <w:t>odvětví</w:t>
      </w:r>
      <w:r w:rsidR="000D2BF8" w:rsidRPr="001A5150">
        <w:t xml:space="preserve"> zdravotnictví (meziročně o </w:t>
      </w:r>
      <w:r w:rsidR="00BF49CD" w:rsidRPr="001A5150">
        <w:t>249.898</w:t>
      </w:r>
      <w:r w:rsidR="000D2BF8" w:rsidRPr="001A5150">
        <w:t> tis. Kč)</w:t>
      </w:r>
      <w:r w:rsidR="008D625E" w:rsidRPr="001A5150">
        <w:t xml:space="preserve"> a</w:t>
      </w:r>
      <w:r w:rsidR="000D2BF8" w:rsidRPr="001A5150">
        <w:t xml:space="preserve"> v odvětví </w:t>
      </w:r>
      <w:r w:rsidR="00BF49CD" w:rsidRPr="001A5150">
        <w:t>finance a správa majetku (m</w:t>
      </w:r>
      <w:r w:rsidR="009225FE" w:rsidRPr="001A5150">
        <w:t>eziročně</w:t>
      </w:r>
      <w:r w:rsidR="0099429D" w:rsidRPr="001A5150">
        <w:t> </w:t>
      </w:r>
      <w:r w:rsidR="009225FE" w:rsidRPr="001A5150">
        <w:t>o</w:t>
      </w:r>
      <w:r w:rsidR="0099429D" w:rsidRPr="001A5150">
        <w:t> </w:t>
      </w:r>
      <w:r w:rsidR="00BF49CD" w:rsidRPr="001A5150">
        <w:t>185.005</w:t>
      </w:r>
      <w:r w:rsidR="009225FE" w:rsidRPr="001A5150">
        <w:t> tis. Kč)</w:t>
      </w:r>
      <w:r w:rsidR="008D625E" w:rsidRPr="001A5150">
        <w:t>.</w:t>
      </w:r>
    </w:p>
    <w:p w14:paraId="586AA5A8" w14:textId="58FC39D7" w:rsidR="00490414" w:rsidRPr="001A5150" w:rsidRDefault="00490414">
      <w:pPr>
        <w:pStyle w:val="Odstavecseseznamem"/>
        <w:numPr>
          <w:ilvl w:val="0"/>
          <w:numId w:val="8"/>
        </w:numPr>
        <w:spacing w:before="400" w:after="400"/>
        <w:ind w:left="284" w:hanging="284"/>
        <w:rPr>
          <w:b/>
          <w:sz w:val="24"/>
        </w:rPr>
      </w:pPr>
      <w:r w:rsidRPr="001A5150">
        <w:rPr>
          <w:b/>
          <w:sz w:val="24"/>
        </w:rPr>
        <w:t>Plnění rozpočtu kraje dle odvětví</w:t>
      </w:r>
    </w:p>
    <w:p w14:paraId="5D363EF8" w14:textId="1E557F05" w:rsidR="007A50C6" w:rsidRPr="001A5150" w:rsidRDefault="00D516E4" w:rsidP="006A2616">
      <w:r w:rsidRPr="001A5150">
        <w:t xml:space="preserve">Podrobnější údaje o výdajích na </w:t>
      </w:r>
      <w:r w:rsidR="007A50C6" w:rsidRPr="001A5150">
        <w:t>akcích reprodukce majetku kraje a akc</w:t>
      </w:r>
      <w:r w:rsidRPr="001A5150">
        <w:t xml:space="preserve">ích </w:t>
      </w:r>
      <w:r w:rsidR="007A50C6" w:rsidRPr="001A5150">
        <w:t>spolufinancovan</w:t>
      </w:r>
      <w:r w:rsidR="00EA7E56" w:rsidRPr="001A5150">
        <w:t>ých</w:t>
      </w:r>
      <w:r w:rsidR="007A50C6" w:rsidRPr="001A5150">
        <w:t xml:space="preserve"> z evropských finančních zdrojů </w:t>
      </w:r>
      <w:r w:rsidR="00491F11" w:rsidRPr="001A5150">
        <w:t xml:space="preserve">v jednotlivých odvětvích </w:t>
      </w:r>
      <w:r w:rsidR="001736A5" w:rsidRPr="001A5150">
        <w:t xml:space="preserve">jsou </w:t>
      </w:r>
      <w:r w:rsidRPr="001A5150">
        <w:t>uvedeny v </w:t>
      </w:r>
      <w:r w:rsidR="001736A5" w:rsidRPr="001A5150">
        <w:t>příloze č. 4, resp. 5, materiálu.</w:t>
      </w:r>
    </w:p>
    <w:p w14:paraId="586AA5A9" w14:textId="77777777" w:rsidR="00C77CE4" w:rsidRPr="001A5150" w:rsidRDefault="00C77CE4" w:rsidP="00C77CE4">
      <w:pPr>
        <w:pStyle w:val="Nadpis3"/>
        <w:rPr>
          <w:rFonts w:cs="Tahoma"/>
          <w:sz w:val="20"/>
          <w:szCs w:val="20"/>
        </w:rPr>
      </w:pPr>
      <w:r w:rsidRPr="001A5150">
        <w:lastRenderedPageBreak/>
        <w:t>Vlastní správní činnost kraje a činnost zastupitelstva kraje</w:t>
      </w:r>
    </w:p>
    <w:p w14:paraId="510301A1" w14:textId="22220592" w:rsidR="009B224C" w:rsidRPr="001A5150" w:rsidRDefault="00962325" w:rsidP="009B224C">
      <w:pPr>
        <w:rPr>
          <w:rFonts w:cs="Tahoma"/>
          <w:szCs w:val="20"/>
        </w:rPr>
      </w:pPr>
      <w:r w:rsidRPr="001A5150">
        <w:rPr>
          <w:rFonts w:cs="Tahoma"/>
          <w:szCs w:val="20"/>
        </w:rPr>
        <w:t>Schválený rozpočet výdajů ve</w:t>
      </w:r>
      <w:r w:rsidR="009255EF" w:rsidRPr="001A5150">
        <w:rPr>
          <w:rFonts w:cs="Tahoma"/>
          <w:szCs w:val="20"/>
        </w:rPr>
        <w:t> </w:t>
      </w:r>
      <w:r w:rsidRPr="001A5150">
        <w:rPr>
          <w:rFonts w:cs="Tahoma"/>
          <w:szCs w:val="20"/>
        </w:rPr>
        <w:t xml:space="preserve">výši </w:t>
      </w:r>
      <w:r w:rsidR="007218D3" w:rsidRPr="001A5150">
        <w:rPr>
          <w:rFonts w:cs="Tahoma"/>
          <w:szCs w:val="20"/>
        </w:rPr>
        <w:t>848.232</w:t>
      </w:r>
      <w:r w:rsidR="00E97CEF" w:rsidRPr="001A5150">
        <w:rPr>
          <w:rFonts w:cs="Tahoma"/>
          <w:szCs w:val="20"/>
        </w:rPr>
        <w:t> tis. </w:t>
      </w:r>
      <w:r w:rsidRPr="001A5150">
        <w:rPr>
          <w:rFonts w:cs="Tahoma"/>
          <w:szCs w:val="20"/>
        </w:rPr>
        <w:t xml:space="preserve">Kč v odvětví vlastní správní činnost kraje </w:t>
      </w:r>
      <w:r w:rsidR="009859A6" w:rsidRPr="001A5150">
        <w:rPr>
          <w:rFonts w:cs="Tahoma"/>
          <w:szCs w:val="20"/>
        </w:rPr>
        <w:t>a</w:t>
      </w:r>
      <w:r w:rsidR="00AE2EA2" w:rsidRPr="001A5150">
        <w:rPr>
          <w:rFonts w:cs="Tahoma"/>
          <w:szCs w:val="20"/>
        </w:rPr>
        <w:t> </w:t>
      </w:r>
      <w:r w:rsidR="009859A6" w:rsidRPr="001A5150">
        <w:rPr>
          <w:rFonts w:cs="Tahoma"/>
          <w:szCs w:val="20"/>
        </w:rPr>
        <w:t xml:space="preserve">činnost zastupitelstva kraje </w:t>
      </w:r>
      <w:r w:rsidRPr="001A5150">
        <w:rPr>
          <w:rFonts w:cs="Tahoma"/>
          <w:szCs w:val="20"/>
        </w:rPr>
        <w:t>byl celkově upraven na</w:t>
      </w:r>
      <w:r w:rsidR="009255EF" w:rsidRPr="001A5150">
        <w:rPr>
          <w:rFonts w:cs="Tahoma"/>
          <w:szCs w:val="20"/>
        </w:rPr>
        <w:t> </w:t>
      </w:r>
      <w:r w:rsidRPr="001A5150">
        <w:rPr>
          <w:rFonts w:cs="Tahoma"/>
          <w:szCs w:val="20"/>
        </w:rPr>
        <w:t xml:space="preserve">částku </w:t>
      </w:r>
      <w:r w:rsidR="00762DB9" w:rsidRPr="001A5150">
        <w:rPr>
          <w:rFonts w:cs="Tahoma"/>
          <w:szCs w:val="20"/>
        </w:rPr>
        <w:t>860.281</w:t>
      </w:r>
      <w:r w:rsidR="00BD382F" w:rsidRPr="001A5150">
        <w:rPr>
          <w:rFonts w:cs="Tahoma"/>
          <w:szCs w:val="20"/>
        </w:rPr>
        <w:t> </w:t>
      </w:r>
      <w:r w:rsidRPr="001A5150">
        <w:rPr>
          <w:rFonts w:cs="Tahoma"/>
          <w:szCs w:val="20"/>
        </w:rPr>
        <w:t>tis.</w:t>
      </w:r>
      <w:r w:rsidR="00E97CEF" w:rsidRPr="001A5150">
        <w:rPr>
          <w:rFonts w:cs="Tahoma"/>
          <w:szCs w:val="20"/>
        </w:rPr>
        <w:t> </w:t>
      </w:r>
      <w:r w:rsidRPr="001A5150">
        <w:rPr>
          <w:rFonts w:cs="Tahoma"/>
          <w:szCs w:val="20"/>
        </w:rPr>
        <w:t>Kč</w:t>
      </w:r>
      <w:r w:rsidR="0050200E" w:rsidRPr="001A5150">
        <w:rPr>
          <w:rFonts w:cs="Tahoma"/>
          <w:szCs w:val="20"/>
        </w:rPr>
        <w:t xml:space="preserve">, což představuje </w:t>
      </w:r>
      <w:r w:rsidR="00B07D62" w:rsidRPr="001A5150">
        <w:rPr>
          <w:rFonts w:cs="Tahoma"/>
          <w:szCs w:val="20"/>
        </w:rPr>
        <w:t>n</w:t>
      </w:r>
      <w:r w:rsidR="00776401" w:rsidRPr="001A5150">
        <w:rPr>
          <w:rFonts w:cs="Tahoma"/>
          <w:szCs w:val="20"/>
        </w:rPr>
        <w:t>av</w:t>
      </w:r>
      <w:r w:rsidR="00B07D62" w:rsidRPr="001A5150">
        <w:rPr>
          <w:rFonts w:cs="Tahoma"/>
          <w:szCs w:val="20"/>
        </w:rPr>
        <w:t>ý</w:t>
      </w:r>
      <w:r w:rsidR="00776401" w:rsidRPr="001A5150">
        <w:rPr>
          <w:rFonts w:cs="Tahoma"/>
          <w:szCs w:val="20"/>
        </w:rPr>
        <w:t>še</w:t>
      </w:r>
      <w:r w:rsidR="00B07D62" w:rsidRPr="001A5150">
        <w:rPr>
          <w:rFonts w:cs="Tahoma"/>
          <w:szCs w:val="20"/>
        </w:rPr>
        <w:t>ní</w:t>
      </w:r>
      <w:r w:rsidR="0050200E" w:rsidRPr="001A5150">
        <w:rPr>
          <w:rFonts w:cs="Tahoma"/>
          <w:szCs w:val="20"/>
        </w:rPr>
        <w:t xml:space="preserve"> o</w:t>
      </w:r>
      <w:r w:rsidR="009859A6" w:rsidRPr="001A5150">
        <w:rPr>
          <w:rFonts w:cs="Tahoma"/>
          <w:szCs w:val="20"/>
        </w:rPr>
        <w:t> </w:t>
      </w:r>
      <w:r w:rsidR="00762DB9" w:rsidRPr="001A5150">
        <w:rPr>
          <w:rFonts w:cs="Tahoma"/>
          <w:szCs w:val="20"/>
        </w:rPr>
        <w:t>12.049</w:t>
      </w:r>
      <w:r w:rsidR="00115F1A" w:rsidRPr="001A5150">
        <w:rPr>
          <w:rFonts w:cs="Tahoma"/>
          <w:szCs w:val="20"/>
        </w:rPr>
        <w:t> </w:t>
      </w:r>
      <w:r w:rsidR="0050200E" w:rsidRPr="001A5150">
        <w:rPr>
          <w:rFonts w:cs="Tahoma"/>
          <w:szCs w:val="20"/>
        </w:rPr>
        <w:t>tis. Kč</w:t>
      </w:r>
      <w:r w:rsidRPr="001A5150">
        <w:rPr>
          <w:rFonts w:cs="Tahoma"/>
          <w:szCs w:val="20"/>
        </w:rPr>
        <w:t xml:space="preserve">. </w:t>
      </w:r>
      <w:r w:rsidR="009B224C" w:rsidRPr="001A5150">
        <w:rPr>
          <w:rFonts w:cs="Tahoma"/>
          <w:szCs w:val="20"/>
        </w:rPr>
        <w:t>K </w:t>
      </w:r>
      <w:r w:rsidR="00164DCF" w:rsidRPr="001A5150">
        <w:rPr>
          <w:rFonts w:cs="Tahoma"/>
          <w:szCs w:val="20"/>
        </w:rPr>
        <w:t>31. 7. 2025</w:t>
      </w:r>
      <w:r w:rsidR="009B224C" w:rsidRPr="001A5150">
        <w:rPr>
          <w:rFonts w:cs="Tahoma"/>
          <w:szCs w:val="20"/>
        </w:rPr>
        <w:t xml:space="preserve"> byly v tomto odvětví čerpány prostředky v objemu </w:t>
      </w:r>
      <w:r w:rsidR="00762DB9" w:rsidRPr="001A5150">
        <w:rPr>
          <w:rFonts w:cs="Tahoma"/>
          <w:szCs w:val="20"/>
        </w:rPr>
        <w:t>434.357</w:t>
      </w:r>
      <w:r w:rsidR="009B224C" w:rsidRPr="001A5150">
        <w:rPr>
          <w:rFonts w:cs="Tahoma"/>
          <w:szCs w:val="20"/>
        </w:rPr>
        <w:t> tis. Kč, tj. </w:t>
      </w:r>
      <w:r w:rsidR="00762DB9" w:rsidRPr="001A5150">
        <w:rPr>
          <w:rFonts w:cs="Tahoma"/>
          <w:szCs w:val="20"/>
        </w:rPr>
        <w:t>50</w:t>
      </w:r>
      <w:r w:rsidR="009B224C" w:rsidRPr="001A5150">
        <w:rPr>
          <w:rFonts w:cs="Tahoma"/>
          <w:szCs w:val="20"/>
        </w:rPr>
        <w:t xml:space="preserve"> % upraveného rozpočtu. </w:t>
      </w:r>
    </w:p>
    <w:p w14:paraId="78DAABB9" w14:textId="17486313" w:rsidR="001D370B" w:rsidRPr="001A5150" w:rsidRDefault="009078B1" w:rsidP="001318E4">
      <w:pPr>
        <w:pStyle w:val="Styltab"/>
      </w:pPr>
      <w:r w:rsidRPr="001A5150">
        <w:t xml:space="preserve">Výdaje v odvětví vlastní správní činnost kraje </w:t>
      </w:r>
      <w:r w:rsidR="009859A6" w:rsidRPr="001A5150">
        <w:t xml:space="preserve">a činnost zastupitelstva kraje </w:t>
      </w:r>
      <w:r w:rsidRPr="001A5150">
        <w:t>v členění dle</w:t>
      </w:r>
      <w:r w:rsidR="000D4D62" w:rsidRPr="001A5150">
        <w:t xml:space="preserve"> </w:t>
      </w:r>
      <w:r w:rsidRPr="001A5150">
        <w:t>účelu</w:t>
      </w:r>
      <w:r w:rsidR="00105084" w:rsidRPr="001A5150">
        <w:tab/>
      </w:r>
      <w:r w:rsidRPr="001A5150">
        <w:t>v tis. Kč</w:t>
      </w:r>
      <w:bookmarkStart w:id="25" w:name="_MON_1681553429"/>
      <w:bookmarkStart w:id="26" w:name="_MON_1555996063"/>
      <w:bookmarkEnd w:id="25"/>
      <w:bookmarkEnd w:id="26"/>
      <w:bookmarkStart w:id="27" w:name="_MON_1722137372"/>
      <w:bookmarkEnd w:id="27"/>
      <w:r w:rsidR="00762DB9" w:rsidRPr="001A5150">
        <w:object w:dxaOrig="9448" w:dyaOrig="1558" w14:anchorId="77FAD4EB">
          <v:shape id="_x0000_i1036" type="#_x0000_t75" style="width:475.85pt;height:79.5pt" o:ole="">
            <v:imagedata r:id="rId31" o:title=""/>
          </v:shape>
          <o:OLEObject Type="Embed" ProgID="Excel.Sheet.8" ShapeID="_x0000_i1036" DrawAspect="Content" ObjectID="_1817201200" r:id="rId32"/>
        </w:object>
      </w:r>
    </w:p>
    <w:p w14:paraId="7030697D" w14:textId="31C6C3E1" w:rsidR="0049134C" w:rsidRPr="001A5150" w:rsidRDefault="00D516E4" w:rsidP="00AD38EE">
      <w:pPr>
        <w:spacing w:before="200"/>
      </w:pPr>
      <w:r w:rsidRPr="001A5150">
        <w:t>Objemově významná úprava rozpočtu v období leden až duben souvisela s nedočerpanými účelově vymezenými výdaji roku 202</w:t>
      </w:r>
      <w:r w:rsidR="0049134C" w:rsidRPr="001A5150">
        <w:t>4</w:t>
      </w:r>
      <w:r w:rsidRPr="001A5150">
        <w:t xml:space="preserve"> v tomto odvětví, které byly zapojeny ke stejnému účelu do rozpočtu roku 202</w:t>
      </w:r>
      <w:r w:rsidR="0049134C" w:rsidRPr="001A5150">
        <w:t>5</w:t>
      </w:r>
      <w:r w:rsidRPr="001A5150">
        <w:t xml:space="preserve"> v celkové výši </w:t>
      </w:r>
      <w:r w:rsidR="0049134C" w:rsidRPr="001A5150">
        <w:t>7.734</w:t>
      </w:r>
      <w:r w:rsidR="00954BC4" w:rsidRPr="001A5150">
        <w:t> </w:t>
      </w:r>
      <w:r w:rsidRPr="001A5150">
        <w:t>tis.</w:t>
      </w:r>
      <w:r w:rsidR="00954BC4" w:rsidRPr="001A5150">
        <w:t> </w:t>
      </w:r>
      <w:r w:rsidRPr="001A5150">
        <w:t>Kč</w:t>
      </w:r>
      <w:r w:rsidR="001125C7" w:rsidRPr="001A5150">
        <w:t>. Na</w:t>
      </w:r>
      <w:r w:rsidR="00954BC4" w:rsidRPr="001A5150">
        <w:t> </w:t>
      </w:r>
      <w:r w:rsidR="001125C7" w:rsidRPr="001A5150">
        <w:t>akce</w:t>
      </w:r>
      <w:r w:rsidR="00851C54" w:rsidRPr="001A5150">
        <w:t xml:space="preserve"> reprodukce majetku kraje byly zapojeny prostředky ve</w:t>
      </w:r>
      <w:r w:rsidR="00085B7E" w:rsidRPr="001A5150">
        <w:t> </w:t>
      </w:r>
      <w:r w:rsidR="00851C54" w:rsidRPr="001A5150">
        <w:t xml:space="preserve">výši </w:t>
      </w:r>
      <w:r w:rsidR="0049134C" w:rsidRPr="001A5150">
        <w:t>7.134</w:t>
      </w:r>
      <w:r w:rsidR="00954BC4" w:rsidRPr="001A5150">
        <w:t> </w:t>
      </w:r>
      <w:r w:rsidR="00851C54" w:rsidRPr="001A5150">
        <w:t>tis.</w:t>
      </w:r>
      <w:r w:rsidR="00954BC4" w:rsidRPr="001A5150">
        <w:t> </w:t>
      </w:r>
      <w:r w:rsidR="00851C54" w:rsidRPr="001A5150">
        <w:t xml:space="preserve">Kč, z toho </w:t>
      </w:r>
      <w:r w:rsidR="0049134C" w:rsidRPr="001A5150">
        <w:t>3.791</w:t>
      </w:r>
      <w:r w:rsidR="00954BC4" w:rsidRPr="001A5150">
        <w:t> </w:t>
      </w:r>
      <w:r w:rsidR="00851C54" w:rsidRPr="001A5150">
        <w:t>tis.</w:t>
      </w:r>
      <w:r w:rsidR="00954BC4" w:rsidRPr="001A5150">
        <w:t> </w:t>
      </w:r>
      <w:r w:rsidR="00851C54" w:rsidRPr="001A5150">
        <w:t xml:space="preserve">Kč na akci </w:t>
      </w:r>
      <w:r w:rsidR="0049134C" w:rsidRPr="001A5150">
        <w:t xml:space="preserve">Ostatní kapitálové </w:t>
      </w:r>
      <w:proofErr w:type="gramStart"/>
      <w:r w:rsidR="0049134C" w:rsidRPr="001A5150">
        <w:t>výdaje - činnost</w:t>
      </w:r>
      <w:proofErr w:type="gramEnd"/>
      <w:r w:rsidR="0049134C" w:rsidRPr="001A5150">
        <w:t xml:space="preserve"> krajského úřadu a 3.343 tis. Kč na akci Rekonstrukce budovy krajského úřadu.</w:t>
      </w:r>
    </w:p>
    <w:p w14:paraId="1BEDC845" w14:textId="1E9ABBB4" w:rsidR="005B2BD3" w:rsidRPr="001A5150" w:rsidRDefault="005B2BD3" w:rsidP="00AD38EE">
      <w:pPr>
        <w:spacing w:before="200"/>
      </w:pPr>
      <w:r w:rsidRPr="001A5150">
        <w:t xml:space="preserve">V období květen až červenec došlo k navýšení objemu rozpočtu odvětví o 2.714 tis. Kč. Změna objemu rozpočtu souvisela zejména se zapojením části zůstatku rozpočtového hospodaření kraje za rok 2024 </w:t>
      </w:r>
      <w:r w:rsidR="007177D3" w:rsidRPr="001A5150">
        <w:t xml:space="preserve">do odvětví </w:t>
      </w:r>
      <w:r w:rsidRPr="001A5150">
        <w:t xml:space="preserve">ve výši 12.000 tis. Kč </w:t>
      </w:r>
      <w:r w:rsidR="00F10D98" w:rsidRPr="001A5150">
        <w:t xml:space="preserve">na postupnou obnovu vybavení kanceláří </w:t>
      </w:r>
      <w:r w:rsidR="0007732A" w:rsidRPr="001A5150">
        <w:t xml:space="preserve">v budově krajského úřadu </w:t>
      </w:r>
      <w:r w:rsidRPr="001A5150">
        <w:t>a dále pak s převodem vyčíslených úspor do zdrojů pro přípravu rozpočtu kraje na rok 2026 ve výši 10.738 tis. Kč.</w:t>
      </w:r>
    </w:p>
    <w:p w14:paraId="52A92964" w14:textId="6EE18C78" w:rsidR="002B53F2" w:rsidRPr="001A5150" w:rsidRDefault="00FC2884" w:rsidP="001318E4">
      <w:pPr>
        <w:pStyle w:val="Styltab"/>
      </w:pPr>
      <w:bookmarkStart w:id="28" w:name="_MON_1476601572"/>
      <w:bookmarkStart w:id="29" w:name="_MON_1477202647"/>
      <w:bookmarkStart w:id="30" w:name="_MON_1477288478"/>
      <w:bookmarkStart w:id="31" w:name="_MON_1477289495"/>
      <w:bookmarkStart w:id="32" w:name="_MON_1489915635"/>
      <w:bookmarkStart w:id="33" w:name="_MON_1490172779"/>
      <w:bookmarkEnd w:id="28"/>
      <w:bookmarkEnd w:id="29"/>
      <w:bookmarkEnd w:id="30"/>
      <w:bookmarkEnd w:id="31"/>
      <w:bookmarkEnd w:id="32"/>
      <w:bookmarkEnd w:id="33"/>
      <w:r w:rsidRPr="001A5150">
        <w:t xml:space="preserve">Výdaje v odvětví vlastní správní činnost kraje </w:t>
      </w:r>
      <w:r w:rsidR="00FE5E65" w:rsidRPr="001A5150">
        <w:t xml:space="preserve">a činnost zastupitelstvo kraje </w:t>
      </w:r>
      <w:r w:rsidRPr="001A5150">
        <w:t>na</w:t>
      </w:r>
      <w:r w:rsidR="00350772" w:rsidRPr="001A5150">
        <w:t> </w:t>
      </w:r>
      <w:r w:rsidRPr="001A5150">
        <w:t>samosprávné a</w:t>
      </w:r>
      <w:r w:rsidR="00AE675A" w:rsidRPr="001A5150">
        <w:t> </w:t>
      </w:r>
      <w:r w:rsidRPr="001A5150">
        <w:t>jiné činnosti zajišťované prostřednictvím krajského úřadu</w:t>
      </w:r>
      <w:r w:rsidR="00AD4916" w:rsidRPr="001A5150">
        <w:tab/>
      </w:r>
      <w:r w:rsidRPr="001A5150">
        <w:t>v tis. Kč</w:t>
      </w:r>
      <w:bookmarkStart w:id="34" w:name="_MON_1728280644"/>
      <w:bookmarkEnd w:id="34"/>
      <w:r w:rsidR="00762DB9" w:rsidRPr="001A5150">
        <w:object w:dxaOrig="9514" w:dyaOrig="2590" w14:anchorId="6DE1779B">
          <v:shape id="_x0000_i1037" type="#_x0000_t75" style="width:465.8pt;height:129.6pt" o:ole="">
            <v:imagedata r:id="rId33" o:title=""/>
          </v:shape>
          <o:OLEObject Type="Embed" ProgID="Excel.Sheet.8" ShapeID="_x0000_i1037" DrawAspect="Content" ObjectID="_1817201201" r:id="rId34"/>
        </w:object>
      </w:r>
    </w:p>
    <w:p w14:paraId="318DB4A8" w14:textId="77777777" w:rsidR="0021397C" w:rsidRPr="001A5150" w:rsidRDefault="0021397C" w:rsidP="0021397C">
      <w:bookmarkStart w:id="35" w:name="_Hlk206426761"/>
    </w:p>
    <w:p w14:paraId="586AA5B3" w14:textId="18011DF4" w:rsidR="00014B18" w:rsidRPr="001A5150" w:rsidRDefault="00014B18" w:rsidP="005521F6">
      <w:pPr>
        <w:pStyle w:val="Nadpis3"/>
        <w:rPr>
          <w:rFonts w:cs="Tahoma"/>
          <w:sz w:val="20"/>
          <w:szCs w:val="20"/>
        </w:rPr>
      </w:pPr>
      <w:bookmarkStart w:id="36" w:name="_MON_1477220562"/>
      <w:bookmarkStart w:id="37" w:name="_MON_1477222014"/>
      <w:bookmarkStart w:id="38" w:name="_MON_1477380477"/>
      <w:bookmarkStart w:id="39" w:name="_MON_1477463927"/>
      <w:bookmarkStart w:id="40" w:name="_MON_1489915799"/>
      <w:bookmarkStart w:id="41" w:name="_MON_1489916635"/>
      <w:bookmarkStart w:id="42" w:name="_MON_1490172797"/>
      <w:bookmarkStart w:id="43" w:name="_MON_1490174772"/>
      <w:bookmarkStart w:id="44" w:name="_MON_1469363987"/>
      <w:bookmarkStart w:id="45" w:name="_MON_1469364494"/>
      <w:bookmarkStart w:id="46" w:name="_MON_1469532281"/>
      <w:bookmarkStart w:id="47" w:name="_MON_1469534243"/>
      <w:bookmarkStart w:id="48" w:name="_MON_1469856231"/>
      <w:bookmarkStart w:id="49" w:name="_MON_1469865863"/>
      <w:bookmarkStart w:id="50" w:name="_Hlk20642771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1A5150">
        <w:t>Odvětví financí a</w:t>
      </w:r>
      <w:r w:rsidR="00350772" w:rsidRPr="001A5150">
        <w:t> </w:t>
      </w:r>
      <w:r w:rsidRPr="001A5150">
        <w:t>správy majetku</w:t>
      </w:r>
    </w:p>
    <w:p w14:paraId="50CDED86" w14:textId="709B3DAB" w:rsidR="00212901" w:rsidRPr="001A5150" w:rsidRDefault="00014B18" w:rsidP="00212901">
      <w:pPr>
        <w:rPr>
          <w:rFonts w:cs="Tahoma"/>
          <w:szCs w:val="20"/>
        </w:rPr>
      </w:pPr>
      <w:r w:rsidRPr="001A5150">
        <w:rPr>
          <w:rFonts w:cs="Tahoma"/>
        </w:rPr>
        <w:t>Schválený rozpočet výdajů v odvětví finance a</w:t>
      </w:r>
      <w:r w:rsidR="001962B6" w:rsidRPr="001A5150">
        <w:rPr>
          <w:rFonts w:cs="Tahoma"/>
        </w:rPr>
        <w:t> </w:t>
      </w:r>
      <w:r w:rsidRPr="001A5150">
        <w:rPr>
          <w:rFonts w:cs="Tahoma"/>
        </w:rPr>
        <w:t>správa majetku ve</w:t>
      </w:r>
      <w:r w:rsidR="00800CB2" w:rsidRPr="001A5150">
        <w:rPr>
          <w:rFonts w:cs="Tahoma"/>
        </w:rPr>
        <w:t> </w:t>
      </w:r>
      <w:r w:rsidRPr="001A5150">
        <w:rPr>
          <w:rFonts w:cs="Tahoma"/>
        </w:rPr>
        <w:t xml:space="preserve">výši </w:t>
      </w:r>
      <w:r w:rsidR="00220312" w:rsidRPr="001A5150">
        <w:rPr>
          <w:rFonts w:cs="Tahoma"/>
        </w:rPr>
        <w:t>555.486</w:t>
      </w:r>
      <w:r w:rsidRPr="001A5150">
        <w:rPr>
          <w:rFonts w:cs="Tahoma"/>
        </w:rPr>
        <w:t> tis. Kč b</w:t>
      </w:r>
      <w:r w:rsidR="00663FD8" w:rsidRPr="001A5150">
        <w:rPr>
          <w:rFonts w:cs="Tahoma"/>
        </w:rPr>
        <w:t>yl </w:t>
      </w:r>
      <w:r w:rsidRPr="001A5150">
        <w:rPr>
          <w:rFonts w:cs="Tahoma"/>
        </w:rPr>
        <w:t>k</w:t>
      </w:r>
      <w:r w:rsidR="00EC3354" w:rsidRPr="001A5150">
        <w:rPr>
          <w:rFonts w:cs="Tahoma"/>
        </w:rPr>
        <w:t> </w:t>
      </w:r>
      <w:r w:rsidR="00164DCF" w:rsidRPr="001A5150">
        <w:rPr>
          <w:rFonts w:cs="Tahoma"/>
        </w:rPr>
        <w:t>31. 7. 2025</w:t>
      </w:r>
      <w:r w:rsidRPr="001A5150">
        <w:rPr>
          <w:rFonts w:cs="Tahoma"/>
        </w:rPr>
        <w:t xml:space="preserve"> upraven na</w:t>
      </w:r>
      <w:r w:rsidR="00800CB2" w:rsidRPr="001A5150">
        <w:rPr>
          <w:rFonts w:cs="Tahoma"/>
        </w:rPr>
        <w:t> </w:t>
      </w:r>
      <w:r w:rsidRPr="001A5150">
        <w:rPr>
          <w:rFonts w:cs="Tahoma"/>
        </w:rPr>
        <w:t xml:space="preserve">částku </w:t>
      </w:r>
      <w:r w:rsidR="00762DB9" w:rsidRPr="001A5150">
        <w:rPr>
          <w:rFonts w:cs="Tahoma"/>
        </w:rPr>
        <w:t>1.243.184</w:t>
      </w:r>
      <w:r w:rsidR="006009FF" w:rsidRPr="001A5150">
        <w:rPr>
          <w:rFonts w:cs="Tahoma"/>
        </w:rPr>
        <w:t> </w:t>
      </w:r>
      <w:r w:rsidRPr="001A5150">
        <w:rPr>
          <w:rFonts w:cs="Tahoma"/>
        </w:rPr>
        <w:t>tis.</w:t>
      </w:r>
      <w:r w:rsidR="006009FF" w:rsidRPr="001A5150">
        <w:rPr>
          <w:rFonts w:cs="Tahoma"/>
        </w:rPr>
        <w:t> </w:t>
      </w:r>
      <w:r w:rsidR="00200136" w:rsidRPr="001A5150">
        <w:rPr>
          <w:rFonts w:cs="Tahoma"/>
        </w:rPr>
        <w:t>Kč, což představuje navýšení o</w:t>
      </w:r>
      <w:r w:rsidR="00B300E8" w:rsidRPr="001A5150">
        <w:rPr>
          <w:rFonts w:cs="Tahoma"/>
        </w:rPr>
        <w:t> </w:t>
      </w:r>
      <w:r w:rsidR="00762DB9" w:rsidRPr="001A5150">
        <w:rPr>
          <w:rFonts w:cs="Tahoma"/>
        </w:rPr>
        <w:t>687.698</w:t>
      </w:r>
      <w:r w:rsidR="002F20C5" w:rsidRPr="001A5150">
        <w:rPr>
          <w:rFonts w:cs="Tahoma"/>
        </w:rPr>
        <w:t> </w:t>
      </w:r>
      <w:r w:rsidR="00200136" w:rsidRPr="001A5150">
        <w:rPr>
          <w:rFonts w:cs="Tahoma"/>
        </w:rPr>
        <w:t>tis.</w:t>
      </w:r>
      <w:r w:rsidR="00B300E8" w:rsidRPr="001A5150">
        <w:rPr>
          <w:rFonts w:cs="Tahoma"/>
        </w:rPr>
        <w:t> </w:t>
      </w:r>
      <w:r w:rsidR="00200136" w:rsidRPr="001A5150">
        <w:rPr>
          <w:rFonts w:cs="Tahoma"/>
        </w:rPr>
        <w:t>Kč.</w:t>
      </w:r>
      <w:r w:rsidR="00212901" w:rsidRPr="001A5150">
        <w:rPr>
          <w:rFonts w:cs="Tahoma"/>
        </w:rPr>
        <w:t xml:space="preserve"> </w:t>
      </w:r>
      <w:r w:rsidR="00212901" w:rsidRPr="001A5150">
        <w:rPr>
          <w:rFonts w:cs="Tahoma"/>
          <w:szCs w:val="20"/>
        </w:rPr>
        <w:t>K </w:t>
      </w:r>
      <w:r w:rsidR="00164DCF" w:rsidRPr="001A5150">
        <w:rPr>
          <w:rFonts w:cs="Tahoma"/>
          <w:szCs w:val="20"/>
        </w:rPr>
        <w:t>31. 7. 2025</w:t>
      </w:r>
      <w:r w:rsidR="00212901" w:rsidRPr="001A5150">
        <w:rPr>
          <w:rFonts w:cs="Tahoma"/>
          <w:szCs w:val="20"/>
        </w:rPr>
        <w:t xml:space="preserve"> byly v tomto odvětví čerpány prostředky v objemu </w:t>
      </w:r>
      <w:r w:rsidR="00762DB9" w:rsidRPr="001A5150">
        <w:rPr>
          <w:rFonts w:cs="Tahoma"/>
          <w:szCs w:val="20"/>
        </w:rPr>
        <w:t>306.600</w:t>
      </w:r>
      <w:r w:rsidR="00212901" w:rsidRPr="001A5150">
        <w:rPr>
          <w:rFonts w:cs="Tahoma"/>
          <w:szCs w:val="20"/>
        </w:rPr>
        <w:t> tis. Kč, tj. </w:t>
      </w:r>
      <w:r w:rsidR="00762DB9" w:rsidRPr="001A5150">
        <w:rPr>
          <w:rFonts w:cs="Tahoma"/>
          <w:szCs w:val="20"/>
        </w:rPr>
        <w:t>25</w:t>
      </w:r>
      <w:r w:rsidR="00212901" w:rsidRPr="001A5150">
        <w:rPr>
          <w:rFonts w:cs="Tahoma"/>
          <w:szCs w:val="20"/>
        </w:rPr>
        <w:t xml:space="preserve"> % upraveného rozpočtu. </w:t>
      </w:r>
    </w:p>
    <w:p w14:paraId="0B05C180" w14:textId="6B93204A" w:rsidR="00E243A7" w:rsidRPr="001A5150" w:rsidRDefault="00A46F98" w:rsidP="001318E4">
      <w:pPr>
        <w:pStyle w:val="Styltab"/>
      </w:pPr>
      <w:r w:rsidRPr="001A5150">
        <w:lastRenderedPageBreak/>
        <w:t>Výdaje v odvětví finance a správa majetku v členění dle účelu</w:t>
      </w:r>
      <w:r w:rsidRPr="001A5150">
        <w:tab/>
        <w:t>v tis. Kč</w:t>
      </w:r>
      <w:bookmarkStart w:id="51" w:name="_MON_1555995872"/>
      <w:bookmarkEnd w:id="51"/>
      <w:r w:rsidR="00762DB9" w:rsidRPr="001A5150">
        <w:object w:dxaOrig="9434" w:dyaOrig="1573" w14:anchorId="365EE590">
          <v:shape id="_x0000_i1038" type="#_x0000_t75" style="width:474.55pt;height:79.5pt" o:ole="">
            <v:imagedata r:id="rId35" o:title=""/>
          </v:shape>
          <o:OLEObject Type="Embed" ProgID="Excel.Sheet.8" ShapeID="_x0000_i1038" DrawAspect="Content" ObjectID="_1817201202" r:id="rId36"/>
        </w:object>
      </w:r>
    </w:p>
    <w:p w14:paraId="64DB10E2" w14:textId="2AE2D45E" w:rsidR="00FC4682" w:rsidRPr="001A5150" w:rsidRDefault="00642B3B" w:rsidP="00FC4682">
      <w:pPr>
        <w:pStyle w:val="MSKNormal"/>
        <w:spacing w:before="200"/>
      </w:pPr>
      <w:bookmarkStart w:id="52" w:name="_Hlk166493502"/>
      <w:bookmarkStart w:id="53" w:name="_Hlk198546444"/>
      <w:r w:rsidRPr="001A5150">
        <w:t>V</w:t>
      </w:r>
      <w:r w:rsidR="0020294F">
        <w:t> </w:t>
      </w:r>
      <w:r w:rsidR="000D28F5">
        <w:t>obd</w:t>
      </w:r>
      <w:r w:rsidR="0020294F">
        <w:t xml:space="preserve">obí leden až duben </w:t>
      </w:r>
      <w:r w:rsidRPr="001A5150">
        <w:t xml:space="preserve">došlo k zapojení </w:t>
      </w:r>
      <w:r w:rsidR="00067AC8" w:rsidRPr="001A5150">
        <w:t>nedočerpaný</w:t>
      </w:r>
      <w:r w:rsidRPr="001A5150">
        <w:t>ch</w:t>
      </w:r>
      <w:r w:rsidR="00067AC8" w:rsidRPr="001A5150">
        <w:t xml:space="preserve"> účelově vymezený</w:t>
      </w:r>
      <w:r w:rsidRPr="001A5150">
        <w:t>ch</w:t>
      </w:r>
      <w:r w:rsidR="00067AC8" w:rsidRPr="001A5150">
        <w:t xml:space="preserve"> výdaj</w:t>
      </w:r>
      <w:r w:rsidRPr="001A5150">
        <w:t>ů</w:t>
      </w:r>
      <w:r w:rsidR="00067AC8" w:rsidRPr="001A5150">
        <w:t xml:space="preserve"> roku 202</w:t>
      </w:r>
      <w:r w:rsidRPr="001A5150">
        <w:t>4 do</w:t>
      </w:r>
      <w:r w:rsidR="00F903A4">
        <w:t> </w:t>
      </w:r>
      <w:r w:rsidRPr="001A5150">
        <w:t xml:space="preserve">rozpočtu 2025 </w:t>
      </w:r>
      <w:r w:rsidR="00147BB5" w:rsidRPr="001A5150">
        <w:t xml:space="preserve">ve výši </w:t>
      </w:r>
      <w:r w:rsidRPr="001A5150">
        <w:t>3.401</w:t>
      </w:r>
      <w:r w:rsidR="00147BB5" w:rsidRPr="001A5150">
        <w:t> tis. Kč</w:t>
      </w:r>
      <w:r w:rsidRPr="001A5150">
        <w:t>. Dále došlo k zatřídění finančního vypořádání dotací za rok 2024 a</w:t>
      </w:r>
      <w:r w:rsidR="00F903A4">
        <w:t> </w:t>
      </w:r>
      <w:r w:rsidRPr="001A5150">
        <w:t xml:space="preserve">minulá léta do tohoto odvětví v objemu </w:t>
      </w:r>
      <w:r w:rsidR="004C5721" w:rsidRPr="001A5150">
        <w:t>32.915</w:t>
      </w:r>
      <w:r w:rsidRPr="001A5150">
        <w:t xml:space="preserve"> tis. Kč. </w:t>
      </w:r>
      <w:r w:rsidR="00FC4682" w:rsidRPr="001A5150">
        <w:t>Významná změna objemu rozpočtu souvisela s</w:t>
      </w:r>
      <w:r w:rsidR="00F903A4">
        <w:t> </w:t>
      </w:r>
      <w:r w:rsidR="00FC4682" w:rsidRPr="001A5150">
        <w:t>uvolněním rozpočtovaných prostředků v rámci revize akcí spolufinancovaných z evropských finančních zdrojů a jejich převodem do zdrojů pro tvorbu rozpočtu kraje na rok 2026 ve výši 363.494 tis. Kč a do rezervy na mimořádné akce a akce s nedořešeným financováním ve výši 112.824 tis. Kč.</w:t>
      </w:r>
    </w:p>
    <w:p w14:paraId="2A42860C" w14:textId="71A4EC82" w:rsidR="00FE2F60" w:rsidRPr="001A5150" w:rsidRDefault="00894F8E" w:rsidP="00FC4682">
      <w:pPr>
        <w:pStyle w:val="MSKNormal"/>
        <w:spacing w:before="200"/>
      </w:pPr>
      <w:bookmarkStart w:id="54" w:name="_Hlk206427693"/>
      <w:r w:rsidRPr="001A5150">
        <w:t xml:space="preserve">V období květen až červenec došlo ke zvýšení objemu </w:t>
      </w:r>
      <w:r w:rsidR="006F7AB4" w:rsidRPr="001A5150">
        <w:t xml:space="preserve">výdajů </w:t>
      </w:r>
      <w:r w:rsidRPr="001A5150">
        <w:t xml:space="preserve">rozpočtu odvětví o 183.728 tis. Kč. </w:t>
      </w:r>
      <w:r w:rsidR="00FE2F60" w:rsidRPr="001A5150">
        <w:t>Významné rozpočtové úpravy souvisely především se zapojením dotací přijatých na výdaje předfinancované z rozpočtu kraje do zdrojů pro tvorbu rozpočtu kraje na rok 2026, s převodem vyčíslených úspor jednotlivých odvětví do zdrojů pro tvorbu rozpočtu kraje na rok 2026 a s dofinancováním akcí z rozpočtové rezervy.</w:t>
      </w:r>
    </w:p>
    <w:bookmarkEnd w:id="54"/>
    <w:p w14:paraId="06BE269E" w14:textId="77777777" w:rsidR="00894F8E" w:rsidRPr="001A5150" w:rsidRDefault="00894F8E" w:rsidP="00FC4682">
      <w:pPr>
        <w:pStyle w:val="MSKNormal"/>
        <w:spacing w:before="200"/>
      </w:pPr>
    </w:p>
    <w:bookmarkEnd w:id="52"/>
    <w:bookmarkEnd w:id="53"/>
    <w:p w14:paraId="111F23CF" w14:textId="030C5B06" w:rsidR="00E201A0" w:rsidRPr="001A5150" w:rsidRDefault="00A46F98" w:rsidP="001318E4">
      <w:pPr>
        <w:pStyle w:val="Styltab"/>
      </w:pPr>
      <w:r w:rsidRPr="001A5150">
        <w:lastRenderedPageBreak/>
        <w:t>Výdaje v odvětví finance a správa majetku</w:t>
      </w:r>
      <w:r w:rsidR="006A5928" w:rsidRPr="001A5150">
        <w:t xml:space="preserve"> </w:t>
      </w:r>
      <w:r w:rsidRPr="001A5150">
        <w:t>na samosprávné a jiné činnosti zajišťované prostřednictvím krajského úřadu</w:t>
      </w:r>
      <w:r w:rsidR="0074769F" w:rsidRPr="001A5150">
        <w:tab/>
      </w:r>
      <w:r w:rsidRPr="001A5150">
        <w:t>v tis. Kč</w:t>
      </w:r>
      <w:bookmarkStart w:id="55" w:name="_Hlk117585293"/>
      <w:bookmarkStart w:id="56" w:name="_MON_1555995643"/>
      <w:bookmarkEnd w:id="56"/>
      <w:r w:rsidR="00932C1C" w:rsidRPr="001A5150">
        <w:object w:dxaOrig="9576" w:dyaOrig="7277" w14:anchorId="4C1826DA">
          <v:shape id="_x0000_i1039" type="#_x0000_t75" style="width:473.3pt;height:365pt" o:ole="">
            <v:imagedata r:id="rId37" o:title=""/>
          </v:shape>
          <o:OLEObject Type="Embed" ProgID="Excel.Sheet.8" ShapeID="_x0000_i1039" DrawAspect="Content" ObjectID="_1817201203" r:id="rId38"/>
        </w:object>
      </w:r>
      <w:bookmarkEnd w:id="55"/>
    </w:p>
    <w:bookmarkEnd w:id="35"/>
    <w:p w14:paraId="273BF8D1" w14:textId="77777777" w:rsidR="00386FF0" w:rsidRPr="001A5150" w:rsidRDefault="00386FF0" w:rsidP="00386FF0"/>
    <w:p w14:paraId="586AA5BF" w14:textId="21F4C8DB" w:rsidR="00014B18" w:rsidRPr="001A5150" w:rsidRDefault="00014B18" w:rsidP="00A46F98">
      <w:pPr>
        <w:pStyle w:val="Nadpis3"/>
      </w:pPr>
      <w:bookmarkStart w:id="57" w:name="_MON_1469429911"/>
      <w:bookmarkStart w:id="58" w:name="_MON_1469430595"/>
      <w:bookmarkStart w:id="59" w:name="_MON_1469511194"/>
      <w:bookmarkStart w:id="60" w:name="_MON_1469512540"/>
      <w:bookmarkStart w:id="61" w:name="_MON_1469512602"/>
      <w:bookmarkStart w:id="62" w:name="_MON_1469512642"/>
      <w:bookmarkStart w:id="63" w:name="_MON_1469513231"/>
      <w:bookmarkStart w:id="64" w:name="_MON_1476601694"/>
      <w:bookmarkStart w:id="65" w:name="_MON_1477217821"/>
      <w:bookmarkStart w:id="66" w:name="_MON_1477218280"/>
      <w:bookmarkStart w:id="67" w:name="_MON_1477218351"/>
      <w:bookmarkStart w:id="68" w:name="_MON_1477218533"/>
      <w:bookmarkStart w:id="69" w:name="_MON_1477218625"/>
      <w:bookmarkStart w:id="70" w:name="_MON_1477222342"/>
      <w:bookmarkStart w:id="71" w:name="_MON_1477292928"/>
      <w:bookmarkStart w:id="72" w:name="_MON_1477292942"/>
      <w:bookmarkStart w:id="73" w:name="_MON_1477463975"/>
      <w:bookmarkStart w:id="74" w:name="_MON_1489919987"/>
      <w:bookmarkStart w:id="75" w:name="_MON_1490172874"/>
      <w:bookmarkStart w:id="76" w:name="_MON_1490174807"/>
      <w:bookmarkStart w:id="77" w:name="_MON_1490419312"/>
      <w:bookmarkEnd w:id="50"/>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1A5150">
        <w:t>Odvětví dopravy</w:t>
      </w:r>
    </w:p>
    <w:p w14:paraId="62E83380" w14:textId="56DF5411" w:rsidR="00927D44" w:rsidRPr="001A5150" w:rsidRDefault="00435F4A" w:rsidP="00927D44">
      <w:pPr>
        <w:rPr>
          <w:rFonts w:cs="Tahoma"/>
          <w:szCs w:val="20"/>
        </w:rPr>
      </w:pPr>
      <w:r w:rsidRPr="001A5150">
        <w:rPr>
          <w:rFonts w:cs="Tahoma"/>
          <w:szCs w:val="20"/>
        </w:rPr>
        <w:t xml:space="preserve">Během sledovaného období byl schválený rozpočet </w:t>
      </w:r>
      <w:r w:rsidR="009D4527" w:rsidRPr="001A5150">
        <w:rPr>
          <w:rFonts w:cs="Tahoma"/>
          <w:szCs w:val="20"/>
        </w:rPr>
        <w:t>v odvětví dopravy ve</w:t>
      </w:r>
      <w:r w:rsidR="00221231" w:rsidRPr="001A5150">
        <w:rPr>
          <w:rFonts w:cs="Tahoma"/>
          <w:szCs w:val="20"/>
        </w:rPr>
        <w:t> </w:t>
      </w:r>
      <w:r w:rsidR="009D4527" w:rsidRPr="001A5150">
        <w:rPr>
          <w:rFonts w:cs="Tahoma"/>
          <w:szCs w:val="20"/>
        </w:rPr>
        <w:t xml:space="preserve">výši </w:t>
      </w:r>
      <w:r w:rsidR="006A21B8" w:rsidRPr="001A5150">
        <w:rPr>
          <w:rFonts w:cs="Tahoma"/>
          <w:szCs w:val="20"/>
        </w:rPr>
        <w:t>5.468.504</w:t>
      </w:r>
      <w:r w:rsidR="009D4527" w:rsidRPr="001A5150">
        <w:rPr>
          <w:rFonts w:cs="Tahoma"/>
          <w:szCs w:val="20"/>
        </w:rPr>
        <w:t> tis. Kč u</w:t>
      </w:r>
      <w:r w:rsidRPr="001A5150">
        <w:rPr>
          <w:rFonts w:cs="Tahoma"/>
          <w:szCs w:val="20"/>
        </w:rPr>
        <w:t>praven na </w:t>
      </w:r>
      <w:r w:rsidR="00252BED" w:rsidRPr="001A5150">
        <w:rPr>
          <w:rFonts w:cs="Tahoma"/>
          <w:szCs w:val="20"/>
        </w:rPr>
        <w:t>5.660.307</w:t>
      </w:r>
      <w:r w:rsidR="00A016A2" w:rsidRPr="001A5150">
        <w:rPr>
          <w:rFonts w:cs="Tahoma"/>
          <w:szCs w:val="20"/>
        </w:rPr>
        <w:t> </w:t>
      </w:r>
      <w:r w:rsidR="00C45BC9" w:rsidRPr="001A5150">
        <w:rPr>
          <w:rFonts w:cs="Tahoma"/>
          <w:szCs w:val="20"/>
        </w:rPr>
        <w:t>tis. Kč, tj.</w:t>
      </w:r>
      <w:r w:rsidR="005B3A80" w:rsidRPr="001A5150">
        <w:rPr>
          <w:rFonts w:cs="Tahoma"/>
          <w:szCs w:val="20"/>
        </w:rPr>
        <w:t xml:space="preserve"> </w:t>
      </w:r>
      <w:r w:rsidR="00ED69F1" w:rsidRPr="001A5150">
        <w:rPr>
          <w:rFonts w:cs="Tahoma"/>
          <w:szCs w:val="20"/>
        </w:rPr>
        <w:t xml:space="preserve">zvýšen </w:t>
      </w:r>
      <w:r w:rsidR="00C45BC9" w:rsidRPr="001A5150">
        <w:rPr>
          <w:rFonts w:cs="Tahoma"/>
          <w:szCs w:val="20"/>
        </w:rPr>
        <w:t>o</w:t>
      </w:r>
      <w:r w:rsidR="00412FAC" w:rsidRPr="001A5150">
        <w:rPr>
          <w:rFonts w:cs="Tahoma"/>
          <w:szCs w:val="20"/>
        </w:rPr>
        <w:t> </w:t>
      </w:r>
      <w:r w:rsidR="00252BED" w:rsidRPr="001A5150">
        <w:rPr>
          <w:rFonts w:cs="Tahoma"/>
          <w:szCs w:val="20"/>
        </w:rPr>
        <w:t>191.803</w:t>
      </w:r>
      <w:r w:rsidR="003D607B" w:rsidRPr="001A5150">
        <w:rPr>
          <w:rFonts w:cs="Tahoma"/>
          <w:szCs w:val="20"/>
        </w:rPr>
        <w:t> </w:t>
      </w:r>
      <w:r w:rsidR="00C45BC9" w:rsidRPr="001A5150">
        <w:rPr>
          <w:rFonts w:cs="Tahoma"/>
          <w:szCs w:val="20"/>
        </w:rPr>
        <w:t>tis. Kč.</w:t>
      </w:r>
      <w:r w:rsidR="00ED69F1" w:rsidRPr="001A5150">
        <w:rPr>
          <w:rFonts w:cs="Tahoma"/>
          <w:szCs w:val="20"/>
        </w:rPr>
        <w:t xml:space="preserve"> </w:t>
      </w:r>
      <w:r w:rsidR="00927D44" w:rsidRPr="001A5150">
        <w:rPr>
          <w:rFonts w:cs="Tahoma"/>
          <w:szCs w:val="20"/>
        </w:rPr>
        <w:t xml:space="preserve">Skutečné výdaje v odvětví </w:t>
      </w:r>
      <w:r w:rsidR="00F71A95" w:rsidRPr="001A5150">
        <w:rPr>
          <w:rFonts w:cs="Tahoma"/>
          <w:szCs w:val="20"/>
        </w:rPr>
        <w:t>dopravy</w:t>
      </w:r>
      <w:r w:rsidR="00927D44" w:rsidRPr="001A5150">
        <w:rPr>
          <w:rFonts w:cs="Tahoma"/>
          <w:szCs w:val="20"/>
        </w:rPr>
        <w:t xml:space="preserve"> činily k </w:t>
      </w:r>
      <w:r w:rsidR="00164DCF" w:rsidRPr="001A5150">
        <w:rPr>
          <w:rFonts w:cs="Tahoma"/>
          <w:szCs w:val="20"/>
        </w:rPr>
        <w:t>31. 7. 2025</w:t>
      </w:r>
      <w:r w:rsidR="00927D44" w:rsidRPr="001A5150">
        <w:rPr>
          <w:rFonts w:cs="Tahoma"/>
          <w:szCs w:val="20"/>
        </w:rPr>
        <w:t xml:space="preserve"> celkem </w:t>
      </w:r>
      <w:r w:rsidR="00252BED" w:rsidRPr="001A5150">
        <w:rPr>
          <w:rFonts w:cs="Tahoma"/>
          <w:szCs w:val="20"/>
        </w:rPr>
        <w:t>2.600</w:t>
      </w:r>
      <w:r w:rsidR="00957683" w:rsidRPr="001A5150">
        <w:rPr>
          <w:rFonts w:cs="Tahoma"/>
          <w:szCs w:val="20"/>
        </w:rPr>
        <w:t>.</w:t>
      </w:r>
      <w:r w:rsidR="00252BED" w:rsidRPr="001A5150">
        <w:rPr>
          <w:rFonts w:cs="Tahoma"/>
          <w:szCs w:val="20"/>
        </w:rPr>
        <w:t>995</w:t>
      </w:r>
      <w:r w:rsidR="00927D44" w:rsidRPr="001A5150">
        <w:rPr>
          <w:rFonts w:cs="Tahoma"/>
          <w:szCs w:val="20"/>
        </w:rPr>
        <w:t xml:space="preserve"> tis. Kč, tj. čerpání ve výši </w:t>
      </w:r>
      <w:r w:rsidR="00252BED" w:rsidRPr="001A5150">
        <w:rPr>
          <w:rFonts w:cs="Tahoma"/>
          <w:szCs w:val="20"/>
        </w:rPr>
        <w:t>46</w:t>
      </w:r>
      <w:r w:rsidR="00927D44" w:rsidRPr="001A5150">
        <w:rPr>
          <w:rFonts w:cs="Tahoma"/>
          <w:szCs w:val="20"/>
        </w:rPr>
        <w:t> % upraveného rozpočtu.</w:t>
      </w:r>
    </w:p>
    <w:p w14:paraId="586AA5CC" w14:textId="425DE7D2" w:rsidR="0066571B" w:rsidRPr="001A5150" w:rsidRDefault="00CF7F0A" w:rsidP="001318E4">
      <w:pPr>
        <w:pStyle w:val="Styltab"/>
      </w:pPr>
      <w:r w:rsidRPr="001A5150">
        <w:t>Výdaje v odvětví dopravy</w:t>
      </w:r>
      <w:r w:rsidR="00BC4BCF" w:rsidRPr="001A5150">
        <w:t xml:space="preserve"> </w:t>
      </w:r>
      <w:r w:rsidRPr="001A5150">
        <w:t>v členění dle účelu</w:t>
      </w:r>
      <w:r w:rsidRPr="001A5150">
        <w:tab/>
        <w:t>v tis. Kč</w:t>
      </w:r>
      <w:bookmarkStart w:id="78" w:name="_MON_1555918113"/>
      <w:bookmarkEnd w:id="78"/>
      <w:r w:rsidR="00252BED" w:rsidRPr="001A5150">
        <w:object w:dxaOrig="9417" w:dyaOrig="2067" w14:anchorId="586AA6A9">
          <v:shape id="_x0000_i1040" type="#_x0000_t75" style="width:474.55pt;height:100.15pt" o:ole="">
            <v:imagedata r:id="rId39" o:title=""/>
          </v:shape>
          <o:OLEObject Type="Embed" ProgID="Excel.Sheet.8" ShapeID="_x0000_i1040" DrawAspect="Content" ObjectID="_1817201204" r:id="rId40"/>
        </w:object>
      </w:r>
    </w:p>
    <w:p w14:paraId="394A1BDF" w14:textId="66EC11C7" w:rsidR="00F16DBE" w:rsidRPr="001A5150" w:rsidRDefault="00532361" w:rsidP="00A738B2">
      <w:pPr>
        <w:spacing w:before="200"/>
      </w:pPr>
      <w:r w:rsidRPr="001A5150">
        <w:t>Objemově významná úprava rozpočtu v období leden až duben souvisela s nedočerpanými účelově vymezenými výdaji roku 202</w:t>
      </w:r>
      <w:r w:rsidR="00F16DBE" w:rsidRPr="001A5150">
        <w:t>4</w:t>
      </w:r>
      <w:r w:rsidRPr="001A5150">
        <w:t xml:space="preserve"> v tomto odvětví, které byly zapojeny ke stejnému účelu do rozpočtu roku 202</w:t>
      </w:r>
      <w:r w:rsidR="00F16DBE" w:rsidRPr="001A5150">
        <w:t>5</w:t>
      </w:r>
      <w:r w:rsidRPr="001A5150">
        <w:t xml:space="preserve"> v celkové výši </w:t>
      </w:r>
      <w:r w:rsidR="00F16DBE" w:rsidRPr="001A5150">
        <w:t>284.582</w:t>
      </w:r>
      <w:r w:rsidRPr="001A5150">
        <w:t> tis. Kč</w:t>
      </w:r>
      <w:r w:rsidR="000A083E" w:rsidRPr="001A5150">
        <w:t xml:space="preserve">. </w:t>
      </w:r>
      <w:r w:rsidR="00F16DBE" w:rsidRPr="001A5150">
        <w:t>U akcí reprodukce majetku kraje došlo k</w:t>
      </w:r>
      <w:r w:rsidR="00CD54D9" w:rsidRPr="001A5150">
        <w:t> </w:t>
      </w:r>
      <w:r w:rsidR="00F16DBE" w:rsidRPr="001A5150">
        <w:t xml:space="preserve">navýšení objemu rozpočtu </w:t>
      </w:r>
      <w:r w:rsidR="00F16DBE" w:rsidRPr="001A5150">
        <w:lastRenderedPageBreak/>
        <w:t>o</w:t>
      </w:r>
      <w:r w:rsidR="005B064C" w:rsidRPr="001A5150">
        <w:t> </w:t>
      </w:r>
      <w:r w:rsidR="00F16DBE" w:rsidRPr="001A5150">
        <w:t>159.598</w:t>
      </w:r>
      <w:r w:rsidR="00CD54D9" w:rsidRPr="001A5150">
        <w:t> </w:t>
      </w:r>
      <w:r w:rsidR="00F16DBE" w:rsidRPr="001A5150">
        <w:t>tis.</w:t>
      </w:r>
      <w:r w:rsidR="00CD54D9" w:rsidRPr="001A5150">
        <w:t> </w:t>
      </w:r>
      <w:r w:rsidR="00F16DBE" w:rsidRPr="001A5150">
        <w:t>Kč</w:t>
      </w:r>
      <w:r w:rsidR="005B064C" w:rsidRPr="001A5150">
        <w:t xml:space="preserve"> a</w:t>
      </w:r>
      <w:r w:rsidR="00CD54D9" w:rsidRPr="001A5150">
        <w:t> </w:t>
      </w:r>
      <w:r w:rsidR="005B064C" w:rsidRPr="001A5150">
        <w:t>u</w:t>
      </w:r>
      <w:r w:rsidR="00CD54D9" w:rsidRPr="001A5150">
        <w:t> </w:t>
      </w:r>
      <w:r w:rsidR="005B064C" w:rsidRPr="001A5150">
        <w:t>akcí spolufinancovaných z evropských finančních zdrojů o</w:t>
      </w:r>
      <w:r w:rsidR="00091D51" w:rsidRPr="001A5150">
        <w:t> </w:t>
      </w:r>
      <w:r w:rsidR="005B064C" w:rsidRPr="001A5150">
        <w:t>74.136</w:t>
      </w:r>
      <w:r w:rsidR="00091D51" w:rsidRPr="001A5150">
        <w:t> </w:t>
      </w:r>
      <w:r w:rsidR="005B064C" w:rsidRPr="001A5150">
        <w:t>tis.</w:t>
      </w:r>
      <w:r w:rsidR="00091D51" w:rsidRPr="001A5150">
        <w:t> </w:t>
      </w:r>
      <w:r w:rsidR="005B064C" w:rsidRPr="001A5150">
        <w:t>Kč. Další významné rozpočtové úpravy ve sledovaném období souvisely s revizí akcí spolufinancovaných z evropských finančních zdrojů, kdy došlo ke zreálnění čerpání výdajů v letech, a snížení objemu rozpočtu odvětví o</w:t>
      </w:r>
      <w:r w:rsidR="00561B94" w:rsidRPr="001A5150">
        <w:t> 266.036 </w:t>
      </w:r>
      <w:r w:rsidR="005B064C" w:rsidRPr="001A5150">
        <w:t>tis. Kč.</w:t>
      </w:r>
    </w:p>
    <w:p w14:paraId="4AE16D0F" w14:textId="426C06A9" w:rsidR="003C4EEA" w:rsidRPr="001A5150" w:rsidRDefault="003C4EEA" w:rsidP="00A738B2">
      <w:pPr>
        <w:spacing w:before="200"/>
      </w:pPr>
      <w:r w:rsidRPr="001A5150">
        <w:t>V období květen až červenec došlo k navýšení objemu rozpočtu odvětví o 138.775 tis. Kč. Ze zůstatku rozpočtového hospodaření roku 2024 byly zapojeny do odvětví prostředky ve výši 72.000 tis. Kč (z toho 60.000 tis. Kč na zajištění dopravní obslužnosti linkové a 12.000 tis. Kč na zvýšení příspěvku na provoz zřízené příspěvkové organizaci). Další významná rozpočtová úprava se týkala vyčlenění prostředků v rozpočtu kraje na zajištění akce Moravskoslezské cestovné ve výši 75.000 tis. Kč.</w:t>
      </w:r>
    </w:p>
    <w:p w14:paraId="50518A3C" w14:textId="55EF75C9" w:rsidR="00E201A0" w:rsidRPr="001A5150" w:rsidRDefault="00CF7F0A" w:rsidP="001318E4">
      <w:pPr>
        <w:pStyle w:val="Styltab"/>
      </w:pPr>
      <w:bookmarkStart w:id="79" w:name="_MON_1469513291"/>
      <w:bookmarkStart w:id="80" w:name="_MON_1469513386"/>
      <w:bookmarkStart w:id="81" w:name="_MON_1469513397"/>
      <w:bookmarkStart w:id="82" w:name="_MON_1469513536"/>
      <w:bookmarkStart w:id="83" w:name="_MON_1469513549"/>
      <w:bookmarkStart w:id="84" w:name="_MON_1476601711"/>
      <w:bookmarkStart w:id="85" w:name="_MON_1477203562"/>
      <w:bookmarkStart w:id="86" w:name="_MON_1477293806"/>
      <w:bookmarkStart w:id="87" w:name="_MON_1477463994"/>
      <w:bookmarkStart w:id="88" w:name="_MON_1489918066"/>
      <w:bookmarkStart w:id="89" w:name="_MON_1490172890"/>
      <w:bookmarkEnd w:id="79"/>
      <w:bookmarkEnd w:id="80"/>
      <w:bookmarkEnd w:id="81"/>
      <w:bookmarkEnd w:id="82"/>
      <w:bookmarkEnd w:id="83"/>
      <w:bookmarkEnd w:id="84"/>
      <w:bookmarkEnd w:id="85"/>
      <w:bookmarkEnd w:id="86"/>
      <w:bookmarkEnd w:id="87"/>
      <w:bookmarkEnd w:id="88"/>
      <w:bookmarkEnd w:id="89"/>
      <w:r w:rsidRPr="001A5150">
        <w:t>Výdaje v</w:t>
      </w:r>
      <w:r w:rsidR="00421223" w:rsidRPr="001A5150">
        <w:t> </w:t>
      </w:r>
      <w:r w:rsidRPr="001A5150">
        <w:t>odvětví dopravy na</w:t>
      </w:r>
      <w:r w:rsidR="00421223" w:rsidRPr="001A5150">
        <w:t> </w:t>
      </w:r>
      <w:r w:rsidRPr="001A5150">
        <w:t>samosprávné a</w:t>
      </w:r>
      <w:r w:rsidR="00421223" w:rsidRPr="001A5150">
        <w:t> </w:t>
      </w:r>
      <w:r w:rsidRPr="001A5150">
        <w:t>jiné činnosti zajišťované prostřednictvím krajského úřadu</w:t>
      </w:r>
      <w:r w:rsidR="005A0C74" w:rsidRPr="001A5150">
        <w:tab/>
      </w:r>
      <w:r w:rsidRPr="001A5150">
        <w:t>v tis. Kč</w:t>
      </w:r>
      <w:bookmarkStart w:id="90" w:name="_MON_1689582827"/>
      <w:bookmarkEnd w:id="90"/>
      <w:r w:rsidR="00252BED" w:rsidRPr="001A5150">
        <w:object w:dxaOrig="9514" w:dyaOrig="5448" w14:anchorId="47591A63">
          <v:shape id="_x0000_i1041" type="#_x0000_t75" style="width:468.95pt;height:268.6pt" o:ole="">
            <v:imagedata r:id="rId41" o:title=""/>
          </v:shape>
          <o:OLEObject Type="Embed" ProgID="Excel.Sheet.8" ShapeID="_x0000_i1041" DrawAspect="Content" ObjectID="_1817201205" r:id="rId42"/>
        </w:object>
      </w:r>
    </w:p>
    <w:p w14:paraId="604B88EB" w14:textId="77777777" w:rsidR="002265EB" w:rsidRPr="001A5150" w:rsidRDefault="002265EB" w:rsidP="002265EB"/>
    <w:p w14:paraId="7FD4420B" w14:textId="59AEAB4F" w:rsidR="001F7CD9" w:rsidRPr="001A5150" w:rsidRDefault="00383BF5" w:rsidP="001318E4">
      <w:pPr>
        <w:pStyle w:val="Styltab"/>
      </w:pPr>
      <w:bookmarkStart w:id="91" w:name="_MON_1469431348"/>
      <w:bookmarkStart w:id="92" w:name="_MON_1469513667"/>
      <w:bookmarkStart w:id="93" w:name="_MON_1476601729"/>
      <w:bookmarkStart w:id="94" w:name="_MON_1477217360"/>
      <w:bookmarkStart w:id="95" w:name="_MON_1477219215"/>
      <w:bookmarkStart w:id="96" w:name="_MON_1477219316"/>
      <w:bookmarkStart w:id="97" w:name="_MON_1477294689"/>
      <w:bookmarkStart w:id="98" w:name="_MON_1477295415"/>
      <w:bookmarkStart w:id="99" w:name="_MON_1477295440"/>
      <w:bookmarkStart w:id="100" w:name="_MON_1477380340"/>
      <w:bookmarkStart w:id="101" w:name="_MON_1477380350"/>
      <w:bookmarkStart w:id="102" w:name="_MON_1477462001"/>
      <w:bookmarkStart w:id="103" w:name="_MON_1489920747"/>
      <w:bookmarkStart w:id="104" w:name="_MON_1489921103"/>
      <w:bookmarkStart w:id="105" w:name="_MON_1490172906"/>
      <w:bookmarkStart w:id="106" w:name="_MON_1490419344"/>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1A5150">
        <w:t>Příspěvek na</w:t>
      </w:r>
      <w:r w:rsidR="00421223" w:rsidRPr="001A5150">
        <w:t> </w:t>
      </w:r>
      <w:r w:rsidRPr="001A5150">
        <w:t>provoz příspěvkov</w:t>
      </w:r>
      <w:r w:rsidR="00AB2F33" w:rsidRPr="001A5150">
        <w:t>é</w:t>
      </w:r>
      <w:r w:rsidR="007F02CD" w:rsidRPr="001A5150">
        <w:t xml:space="preserve"> organizac</w:t>
      </w:r>
      <w:r w:rsidR="00AB2F33" w:rsidRPr="001A5150">
        <w:t>i</w:t>
      </w:r>
      <w:r w:rsidRPr="001A5150">
        <w:t xml:space="preserve"> v</w:t>
      </w:r>
      <w:r w:rsidR="00421223" w:rsidRPr="001A5150">
        <w:t> </w:t>
      </w:r>
      <w:r w:rsidRPr="001A5150">
        <w:t>odvětví dopravy</w:t>
      </w:r>
      <w:r w:rsidR="00A61CC8" w:rsidRPr="001A5150">
        <w:tab/>
      </w:r>
      <w:r w:rsidRPr="001A5150">
        <w:t>v tis. Kč</w:t>
      </w:r>
      <w:bookmarkStart w:id="107" w:name="_MON_1603610578"/>
      <w:bookmarkStart w:id="108" w:name="_MON_1490172920"/>
      <w:bookmarkStart w:id="109" w:name="_MON_1469431693"/>
      <w:bookmarkStart w:id="110" w:name="_MON_1476601746"/>
      <w:bookmarkEnd w:id="107"/>
      <w:bookmarkEnd w:id="108"/>
      <w:bookmarkEnd w:id="109"/>
      <w:bookmarkEnd w:id="110"/>
      <w:bookmarkStart w:id="111" w:name="_MON_1477217743"/>
      <w:bookmarkEnd w:id="111"/>
      <w:r w:rsidR="00252BED" w:rsidRPr="001A5150">
        <w:object w:dxaOrig="9327" w:dyaOrig="1340" w14:anchorId="6A238F0E">
          <v:shape id="_x0000_i1042" type="#_x0000_t75" style="width:472.05pt;height:67.6pt" o:ole="">
            <v:imagedata r:id="rId43" o:title=""/>
          </v:shape>
          <o:OLEObject Type="Embed" ProgID="Excel.Sheet.8" ShapeID="_x0000_i1042" DrawAspect="Content" ObjectID="_1817201206" r:id="rId44"/>
        </w:object>
      </w:r>
    </w:p>
    <w:p w14:paraId="7250ACFC" w14:textId="77777777" w:rsidR="00386FF0" w:rsidRPr="001A5150" w:rsidRDefault="00386FF0" w:rsidP="00386FF0"/>
    <w:p w14:paraId="31AC12B9" w14:textId="2FED1546" w:rsidR="00B024F6" w:rsidRPr="001A5150" w:rsidRDefault="00B024F6" w:rsidP="00B024F6">
      <w:pPr>
        <w:pStyle w:val="Nadpis3"/>
      </w:pPr>
      <w:r w:rsidRPr="001A5150">
        <w:t xml:space="preserve">Odvětví </w:t>
      </w:r>
      <w:r w:rsidR="00E17A4C" w:rsidRPr="001A5150">
        <w:t>informatiky a kybernetické bezpečnosti</w:t>
      </w:r>
    </w:p>
    <w:p w14:paraId="123E32E1" w14:textId="15D8A443" w:rsidR="00CB42B7" w:rsidRPr="001A5150" w:rsidRDefault="0018172D" w:rsidP="00CB42B7">
      <w:pPr>
        <w:rPr>
          <w:rFonts w:cs="Tahoma"/>
          <w:szCs w:val="20"/>
        </w:rPr>
      </w:pPr>
      <w:r w:rsidRPr="001A5150">
        <w:t xml:space="preserve">Schválený rozpočet výdajů ve výši </w:t>
      </w:r>
      <w:r w:rsidR="00E819CE" w:rsidRPr="001A5150">
        <w:t>394.277</w:t>
      </w:r>
      <w:r w:rsidRPr="001A5150">
        <w:t xml:space="preserve"> tis. Kč v odvětví </w:t>
      </w:r>
      <w:r w:rsidR="00E819CE" w:rsidRPr="001A5150">
        <w:t>informatiky a kybernetické bezpečnosti</w:t>
      </w:r>
      <w:r w:rsidRPr="001A5150">
        <w:t xml:space="preserve"> byl </w:t>
      </w:r>
      <w:r w:rsidR="007459D6" w:rsidRPr="001A5150">
        <w:t xml:space="preserve">upraven </w:t>
      </w:r>
      <w:r w:rsidRPr="001A5150">
        <w:t xml:space="preserve">na částku </w:t>
      </w:r>
      <w:r w:rsidR="00252BED" w:rsidRPr="001A5150">
        <w:t>449.708</w:t>
      </w:r>
      <w:r w:rsidRPr="001A5150">
        <w:t xml:space="preserve"> tis. Kč, což představuje </w:t>
      </w:r>
      <w:r w:rsidR="00E819CE" w:rsidRPr="001A5150">
        <w:t>navýšení</w:t>
      </w:r>
      <w:r w:rsidR="001348AC" w:rsidRPr="001A5150">
        <w:t xml:space="preserve"> objemu rozpočtu odvětví o </w:t>
      </w:r>
      <w:r w:rsidR="00252BED" w:rsidRPr="001A5150">
        <w:t>55.431</w:t>
      </w:r>
      <w:r w:rsidRPr="001A5150">
        <w:t> tis. Kč.</w:t>
      </w:r>
      <w:r w:rsidR="00CB42B7" w:rsidRPr="001A5150">
        <w:t xml:space="preserve"> </w:t>
      </w:r>
      <w:r w:rsidR="00CB42B7" w:rsidRPr="001A5150">
        <w:rPr>
          <w:rFonts w:cs="Tahoma"/>
          <w:szCs w:val="20"/>
        </w:rPr>
        <w:t>Skutečné výdaje v odvětví činily k </w:t>
      </w:r>
      <w:r w:rsidR="00164DCF" w:rsidRPr="001A5150">
        <w:rPr>
          <w:rFonts w:cs="Tahoma"/>
          <w:szCs w:val="20"/>
        </w:rPr>
        <w:t>31. 7. 2025</w:t>
      </w:r>
      <w:r w:rsidR="00CB42B7" w:rsidRPr="001A5150">
        <w:rPr>
          <w:rFonts w:cs="Tahoma"/>
          <w:szCs w:val="20"/>
        </w:rPr>
        <w:t xml:space="preserve"> celkem </w:t>
      </w:r>
      <w:r w:rsidR="00252BED" w:rsidRPr="001A5150">
        <w:rPr>
          <w:rFonts w:cs="Tahoma"/>
          <w:szCs w:val="20"/>
        </w:rPr>
        <w:t>61.186</w:t>
      </w:r>
      <w:r w:rsidR="00CB42B7" w:rsidRPr="001A5150">
        <w:rPr>
          <w:rFonts w:cs="Tahoma"/>
          <w:szCs w:val="20"/>
        </w:rPr>
        <w:t xml:space="preserve"> tis. Kč, tj. čerpání ve výši </w:t>
      </w:r>
      <w:r w:rsidR="00252BED" w:rsidRPr="001A5150">
        <w:rPr>
          <w:rFonts w:cs="Tahoma"/>
          <w:szCs w:val="20"/>
        </w:rPr>
        <w:t>14</w:t>
      </w:r>
      <w:r w:rsidR="00CB42B7" w:rsidRPr="001A5150">
        <w:rPr>
          <w:rFonts w:cs="Tahoma"/>
          <w:szCs w:val="20"/>
        </w:rPr>
        <w:t> % upraveného rozpočtu.</w:t>
      </w:r>
    </w:p>
    <w:p w14:paraId="37212DC9" w14:textId="19EB492C" w:rsidR="00A16F84" w:rsidRPr="001A5150" w:rsidRDefault="00B024F6" w:rsidP="001318E4">
      <w:pPr>
        <w:pStyle w:val="Styltab"/>
      </w:pPr>
      <w:r w:rsidRPr="001A5150">
        <w:lastRenderedPageBreak/>
        <w:t xml:space="preserve">Výdaje v odvětví </w:t>
      </w:r>
      <w:r w:rsidR="00E17A4C" w:rsidRPr="001A5150">
        <w:t>informatiky a kybernetické bezpečnosti</w:t>
      </w:r>
      <w:r w:rsidRPr="001A5150">
        <w:t xml:space="preserve"> v členění dle účelu</w:t>
      </w:r>
      <w:r w:rsidRPr="001A5150">
        <w:tab/>
        <w:t>v tis. Kč</w:t>
      </w:r>
      <w:bookmarkStart w:id="112" w:name="_MON_1682654892"/>
      <w:bookmarkEnd w:id="112"/>
      <w:bookmarkStart w:id="113" w:name="_MON_1682841598"/>
      <w:bookmarkEnd w:id="113"/>
      <w:r w:rsidR="00252BED" w:rsidRPr="001A5150">
        <w:object w:dxaOrig="9276" w:dyaOrig="2067" w14:anchorId="0EE63AB6">
          <v:shape id="_x0000_i1043" type="#_x0000_t75" style="width:467.7pt;height:100.15pt" o:ole="">
            <v:imagedata r:id="rId45" o:title=""/>
          </v:shape>
          <o:OLEObject Type="Embed" ProgID="Excel.Sheet.8" ShapeID="_x0000_i1043" DrawAspect="Content" ObjectID="_1817201207" r:id="rId46"/>
        </w:object>
      </w:r>
    </w:p>
    <w:p w14:paraId="3C8C832C" w14:textId="58BCE933" w:rsidR="001B58CB" w:rsidRPr="001A5150" w:rsidRDefault="00CB42B7" w:rsidP="001B58CB">
      <w:pPr>
        <w:pStyle w:val="MSKNormal"/>
        <w:spacing w:before="200"/>
      </w:pPr>
      <w:bookmarkStart w:id="114" w:name="_Hlk166492002"/>
      <w:r w:rsidRPr="001A5150">
        <w:t>Objemově významná úprava rozpočtu od počátku roku do </w:t>
      </w:r>
      <w:r w:rsidR="00164DCF" w:rsidRPr="001A5150">
        <w:t>31. 7. 2025</w:t>
      </w:r>
      <w:r w:rsidRPr="001A5150">
        <w:t xml:space="preserve"> souvisela s nedočerpanými účelově vymezenými výdaji roku 202</w:t>
      </w:r>
      <w:r w:rsidR="004019D8" w:rsidRPr="001A5150">
        <w:t>4</w:t>
      </w:r>
      <w:r w:rsidRPr="001A5150">
        <w:t xml:space="preserve"> v tomto odvětví, které byly zapojeny ke stejnému účelu do rozpočtu roku 202</w:t>
      </w:r>
      <w:r w:rsidR="004019D8" w:rsidRPr="001A5150">
        <w:t>5</w:t>
      </w:r>
      <w:r w:rsidRPr="001A5150">
        <w:t xml:space="preserve"> v celkové výši </w:t>
      </w:r>
      <w:r w:rsidR="004019D8" w:rsidRPr="001A5150">
        <w:t>122.090</w:t>
      </w:r>
      <w:r w:rsidRPr="001A5150">
        <w:t xml:space="preserve"> tis. Kč, z toho </w:t>
      </w:r>
      <w:r w:rsidR="00EA457C" w:rsidRPr="001A5150">
        <w:t>na </w:t>
      </w:r>
      <w:r w:rsidR="004019D8" w:rsidRPr="001A5150">
        <w:t>akce reprodukce majetku kraje o</w:t>
      </w:r>
      <w:r w:rsidR="008A076C" w:rsidRPr="001A5150">
        <w:t> </w:t>
      </w:r>
      <w:r w:rsidR="004019D8" w:rsidRPr="001A5150">
        <w:t>72.315</w:t>
      </w:r>
      <w:r w:rsidR="008A076C" w:rsidRPr="001A5150">
        <w:t> </w:t>
      </w:r>
      <w:r w:rsidR="004019D8" w:rsidRPr="001A5150">
        <w:t>tis.</w:t>
      </w:r>
      <w:r w:rsidR="008A076C" w:rsidRPr="001A5150">
        <w:t> </w:t>
      </w:r>
      <w:r w:rsidR="004019D8" w:rsidRPr="001A5150">
        <w:t>Kč</w:t>
      </w:r>
      <w:r w:rsidR="008A076C" w:rsidRPr="001A5150">
        <w:t xml:space="preserve"> a akce spolufinancované z evropských finančních zdrojů o</w:t>
      </w:r>
      <w:r w:rsidR="0072284B" w:rsidRPr="001A5150">
        <w:t> </w:t>
      </w:r>
      <w:r w:rsidR="0018085E" w:rsidRPr="001A5150">
        <w:t>18.883</w:t>
      </w:r>
      <w:r w:rsidR="008A076C" w:rsidRPr="001A5150">
        <w:t xml:space="preserve"> tis. Kč. </w:t>
      </w:r>
      <w:r w:rsidR="001B58CB" w:rsidRPr="001A5150">
        <w:t>Dále došlo ve</w:t>
      </w:r>
      <w:r w:rsidR="0072284B" w:rsidRPr="001A5150">
        <w:t> </w:t>
      </w:r>
      <w:r w:rsidR="001B58CB" w:rsidRPr="001A5150">
        <w:t xml:space="preserve">sledovaném období provedenou revizí ke zreálnění čerpání výdajů u akcí spolufinancovaných z evropských zdrojů, čímž došlo ke snížení objemu rozpočtu o 35.195 tis. Kč. </w:t>
      </w:r>
    </w:p>
    <w:p w14:paraId="19A39F0C" w14:textId="37BF89C9" w:rsidR="004F1773" w:rsidRPr="001A5150" w:rsidRDefault="004F1773" w:rsidP="001B58CB">
      <w:pPr>
        <w:pStyle w:val="MSKNormal"/>
        <w:spacing w:before="200"/>
      </w:pPr>
      <w:r w:rsidRPr="001A5150">
        <w:t xml:space="preserve">V období květen až červenec došlo ke snížení objemu rozpočtu odvětví o 33.477 tis. Kč, což bylo ovlivněno zejména snížením objemu rozpočtu na akcích spolufinancovaných z evropských finančních zdrojů o 31.819 tis. Kč v souvislosti s ukončením </w:t>
      </w:r>
      <w:r w:rsidR="002C2E13" w:rsidRPr="001A5150">
        <w:t xml:space="preserve">projektů </w:t>
      </w:r>
      <w:proofErr w:type="spellStart"/>
      <w:r w:rsidRPr="001A5150">
        <w:t>kyberbezpčnosti</w:t>
      </w:r>
      <w:proofErr w:type="spellEnd"/>
      <w:r w:rsidRPr="001A5150">
        <w:t xml:space="preserve"> a převodem prostředků do rozpočtové rezervy.</w:t>
      </w:r>
    </w:p>
    <w:bookmarkEnd w:id="114"/>
    <w:p w14:paraId="43E95275" w14:textId="4230F30E" w:rsidR="00484ED4" w:rsidRPr="001A5150" w:rsidRDefault="00B024F6" w:rsidP="001318E4">
      <w:pPr>
        <w:pStyle w:val="Styltab"/>
      </w:pPr>
      <w:r w:rsidRPr="001A5150">
        <w:t xml:space="preserve">Výdaje v odvětví </w:t>
      </w:r>
      <w:r w:rsidR="00E17A4C" w:rsidRPr="001A5150">
        <w:t>informatiky a kybernetické bezpečnosti n</w:t>
      </w:r>
      <w:r w:rsidRPr="001A5150">
        <w:t>a samosprávné a jiné činnosti zajišťované prostřednictvím krajského úřadu</w:t>
      </w:r>
      <w:r w:rsidRPr="001A5150">
        <w:tab/>
        <w:t>v tis. Kč</w:t>
      </w:r>
      <w:bookmarkStart w:id="115" w:name="_MON_1682654974"/>
      <w:bookmarkEnd w:id="115"/>
      <w:bookmarkStart w:id="116" w:name="_MON_1683094767"/>
      <w:bookmarkEnd w:id="116"/>
      <w:r w:rsidR="00747264" w:rsidRPr="001A5150">
        <w:object w:dxaOrig="10272" w:dyaOrig="2024" w14:anchorId="36103016">
          <v:shape id="_x0000_i1044" type="#_x0000_t75" style="width:465.2pt;height:93.9pt" o:ole="">
            <v:imagedata r:id="rId47" o:title=""/>
          </v:shape>
          <o:OLEObject Type="Embed" ProgID="Excel.Sheet.8" ShapeID="_x0000_i1044" DrawAspect="Content" ObjectID="_1817201208" r:id="rId48"/>
        </w:object>
      </w:r>
    </w:p>
    <w:p w14:paraId="150ED710" w14:textId="77777777" w:rsidR="00A04C18" w:rsidRPr="001A5150" w:rsidRDefault="00A04C18" w:rsidP="00A04C18"/>
    <w:p w14:paraId="16C34291" w14:textId="114875A2" w:rsidR="00E541DF" w:rsidRPr="001A5150" w:rsidRDefault="00E541DF" w:rsidP="001318E4">
      <w:pPr>
        <w:pStyle w:val="Styltab"/>
      </w:pPr>
      <w:r w:rsidRPr="001A5150">
        <w:t>Příspěvek na provoz příspěvkov</w:t>
      </w:r>
      <w:r w:rsidR="00001224" w:rsidRPr="001A5150">
        <w:t>ým organizacím v odvětví chytrého regionu</w:t>
      </w:r>
      <w:r w:rsidRPr="001A5150">
        <w:tab/>
        <w:t>v tis. Kč</w:t>
      </w:r>
      <w:bookmarkStart w:id="117" w:name="_MON_1683092988"/>
      <w:bookmarkEnd w:id="117"/>
      <w:r w:rsidR="00747264" w:rsidRPr="001A5150">
        <w:object w:dxaOrig="9403" w:dyaOrig="1949" w14:anchorId="20DCD9CF">
          <v:shape id="_x0000_i1045" type="#_x0000_t75" style="width:470.8pt;height:84.5pt" o:ole="">
            <v:imagedata r:id="rId49" o:title=""/>
          </v:shape>
          <o:OLEObject Type="Embed" ProgID="Excel.Sheet.8" ShapeID="_x0000_i1045" DrawAspect="Content" ObjectID="_1817201209" r:id="rId50"/>
        </w:object>
      </w:r>
    </w:p>
    <w:p w14:paraId="02BA708A" w14:textId="77777777" w:rsidR="0064736D" w:rsidRPr="001A5150" w:rsidRDefault="0064736D" w:rsidP="008B66E1"/>
    <w:p w14:paraId="586AA5D1" w14:textId="77777777" w:rsidR="00014B18" w:rsidRPr="001A5150" w:rsidRDefault="00014B18" w:rsidP="00C71052">
      <w:pPr>
        <w:pStyle w:val="Nadpis3"/>
      </w:pPr>
      <w:r w:rsidRPr="001A5150">
        <w:t>Odvětví krizového řízení</w:t>
      </w:r>
    </w:p>
    <w:p w14:paraId="496ABF32" w14:textId="1DCBB804" w:rsidR="005B2EA3" w:rsidRPr="001A5150" w:rsidRDefault="00014B18" w:rsidP="005B2EA3">
      <w:r w:rsidRPr="001A5150">
        <w:t>Schválený rozpočet výdajů ve</w:t>
      </w:r>
      <w:r w:rsidR="006C3B95" w:rsidRPr="001A5150">
        <w:t> </w:t>
      </w:r>
      <w:r w:rsidRPr="001A5150">
        <w:t xml:space="preserve">výši </w:t>
      </w:r>
      <w:r w:rsidR="009A1555" w:rsidRPr="001A5150">
        <w:t>373.197</w:t>
      </w:r>
      <w:r w:rsidR="000077F5" w:rsidRPr="001A5150">
        <w:t> tis. Kč</w:t>
      </w:r>
      <w:r w:rsidRPr="001A5150">
        <w:t xml:space="preserve"> v odvětví krizové</w:t>
      </w:r>
      <w:r w:rsidR="00404F76" w:rsidRPr="001A5150">
        <w:t>ho</w:t>
      </w:r>
      <w:r w:rsidRPr="001A5150">
        <w:t xml:space="preserve"> řízení byl celkově </w:t>
      </w:r>
      <w:r w:rsidR="009A1555" w:rsidRPr="001A5150">
        <w:t>upraven</w:t>
      </w:r>
      <w:r w:rsidRPr="001A5150">
        <w:t xml:space="preserve"> na částku </w:t>
      </w:r>
      <w:r w:rsidR="002B6167" w:rsidRPr="001A5150">
        <w:t>581.028</w:t>
      </w:r>
      <w:r w:rsidR="00824277" w:rsidRPr="001A5150">
        <w:t> </w:t>
      </w:r>
      <w:r w:rsidR="00CB5EF7" w:rsidRPr="001A5150">
        <w:t>tis.</w:t>
      </w:r>
      <w:r w:rsidR="000077F5" w:rsidRPr="001A5150">
        <w:t> </w:t>
      </w:r>
      <w:r w:rsidR="00CB5EF7" w:rsidRPr="001A5150">
        <w:t>Kč</w:t>
      </w:r>
      <w:r w:rsidR="000077F5" w:rsidRPr="001A5150">
        <w:t xml:space="preserve">, což představuje </w:t>
      </w:r>
      <w:r w:rsidR="00A025FE" w:rsidRPr="001A5150">
        <w:t>navýšení rozpočtu</w:t>
      </w:r>
      <w:r w:rsidR="000077F5" w:rsidRPr="001A5150">
        <w:t xml:space="preserve"> o</w:t>
      </w:r>
      <w:r w:rsidR="006C3B95" w:rsidRPr="001A5150">
        <w:t> </w:t>
      </w:r>
      <w:r w:rsidR="002B6167" w:rsidRPr="001A5150">
        <w:t>207.831</w:t>
      </w:r>
      <w:r w:rsidR="00635B5E" w:rsidRPr="001A5150">
        <w:t> </w:t>
      </w:r>
      <w:r w:rsidR="000077F5" w:rsidRPr="001A5150">
        <w:t>tis. </w:t>
      </w:r>
      <w:r w:rsidR="00A025FE" w:rsidRPr="001A5150">
        <w:t>Kč.</w:t>
      </w:r>
      <w:r w:rsidR="005B2EA3" w:rsidRPr="001A5150">
        <w:t xml:space="preserve"> Skutečné výdaje v odvětví krizového řízení činily k </w:t>
      </w:r>
      <w:r w:rsidR="00164DCF" w:rsidRPr="001A5150">
        <w:t>31. 7. 2025</w:t>
      </w:r>
      <w:r w:rsidR="005B2EA3" w:rsidRPr="001A5150">
        <w:t xml:space="preserve"> celkem </w:t>
      </w:r>
      <w:r w:rsidR="002B6167" w:rsidRPr="001A5150">
        <w:t>282.741</w:t>
      </w:r>
      <w:r w:rsidR="005B2EA3" w:rsidRPr="001A5150">
        <w:t xml:space="preserve"> tis. Kč, tj. čerpání ve výši </w:t>
      </w:r>
      <w:r w:rsidR="002B6167" w:rsidRPr="001A5150">
        <w:t>49</w:t>
      </w:r>
      <w:r w:rsidR="005B2EA3" w:rsidRPr="001A5150">
        <w:t> % upraveného rozpočtu.</w:t>
      </w:r>
    </w:p>
    <w:p w14:paraId="586AA5DA" w14:textId="43AE0E14" w:rsidR="0066571B" w:rsidRPr="001A5150" w:rsidRDefault="007E481E" w:rsidP="001318E4">
      <w:pPr>
        <w:pStyle w:val="Styltab"/>
      </w:pPr>
      <w:r w:rsidRPr="001A5150">
        <w:lastRenderedPageBreak/>
        <w:t>Výdaje v odvětví krizového řízení v členění dle účelu</w:t>
      </w:r>
      <w:r w:rsidRPr="001A5150">
        <w:tab/>
        <w:t>v tis. Kč</w:t>
      </w:r>
      <w:bookmarkStart w:id="118" w:name="_MON_1555831140"/>
      <w:bookmarkEnd w:id="118"/>
      <w:r w:rsidR="00747264" w:rsidRPr="001A5150">
        <w:object w:dxaOrig="9370" w:dyaOrig="2081" w14:anchorId="586AA6AC">
          <v:shape id="_x0000_i1046" type="#_x0000_t75" style="width:468.3pt;height:108.3pt" o:ole="">
            <v:imagedata r:id="rId51" o:title=""/>
          </v:shape>
          <o:OLEObject Type="Embed" ProgID="Excel.Sheet.8" ShapeID="_x0000_i1046" DrawAspect="Content" ObjectID="_1817201210" r:id="rId52"/>
        </w:object>
      </w:r>
    </w:p>
    <w:p w14:paraId="3BC41160" w14:textId="2CA115DA" w:rsidR="00997CF0" w:rsidRPr="001A5150" w:rsidRDefault="005B2EA3" w:rsidP="00BE7880">
      <w:pPr>
        <w:spacing w:before="200"/>
      </w:pPr>
      <w:bookmarkStart w:id="119" w:name="_MON_1476601766"/>
      <w:bookmarkStart w:id="120" w:name="_MON_1477203727"/>
      <w:bookmarkStart w:id="121" w:name="_MON_1477295486"/>
      <w:bookmarkStart w:id="122" w:name="_MON_1477295521"/>
      <w:bookmarkStart w:id="123" w:name="_MON_1477464034"/>
      <w:bookmarkStart w:id="124" w:name="_MON_1489918177"/>
      <w:bookmarkStart w:id="125" w:name="_MON_1490072996"/>
      <w:bookmarkStart w:id="126" w:name="_MON_1490075493"/>
      <w:bookmarkStart w:id="127" w:name="_MON_1490172950"/>
      <w:bookmarkStart w:id="128" w:name="_Hlk198543385"/>
      <w:bookmarkEnd w:id="119"/>
      <w:bookmarkEnd w:id="120"/>
      <w:bookmarkEnd w:id="121"/>
      <w:bookmarkEnd w:id="122"/>
      <w:bookmarkEnd w:id="123"/>
      <w:bookmarkEnd w:id="124"/>
      <w:bookmarkEnd w:id="125"/>
      <w:bookmarkEnd w:id="126"/>
      <w:bookmarkEnd w:id="127"/>
      <w:r w:rsidRPr="001A5150">
        <w:t>Objemově významná úprava rozpočtu v období leden až duben souvisela s nedočerpanými účelově vymezenými výdaji roku 202</w:t>
      </w:r>
      <w:r w:rsidR="00997CF0" w:rsidRPr="001A5150">
        <w:t>4</w:t>
      </w:r>
      <w:r w:rsidRPr="001A5150">
        <w:t xml:space="preserve"> v tomto odvětví, které byly zapojeny ke stejnému účelu do rozpočtu roku 202</w:t>
      </w:r>
      <w:r w:rsidR="00997CF0" w:rsidRPr="001A5150">
        <w:t>5</w:t>
      </w:r>
      <w:r w:rsidRPr="001A5150">
        <w:t xml:space="preserve"> v celkové výši </w:t>
      </w:r>
      <w:r w:rsidR="00997CF0" w:rsidRPr="001A5150">
        <w:t>196.633</w:t>
      </w:r>
      <w:r w:rsidRPr="001A5150">
        <w:t xml:space="preserve"> tis. Kč, z toho </w:t>
      </w:r>
      <w:r w:rsidR="00997CF0" w:rsidRPr="001A5150">
        <w:t>190.056</w:t>
      </w:r>
      <w:r w:rsidRPr="001A5150">
        <w:t xml:space="preserve"> tis. Kč bylo určeno na samosprávné a jiné činnosti zajišťované prostřednictvím krajského úřadu. </w:t>
      </w:r>
      <w:r w:rsidR="00997CF0" w:rsidRPr="001A5150">
        <w:t xml:space="preserve">Další významná úprava rozpočtu </w:t>
      </w:r>
      <w:r w:rsidR="0072284B" w:rsidRPr="001A5150">
        <w:t xml:space="preserve">v tomto období </w:t>
      </w:r>
      <w:r w:rsidR="00997CF0" w:rsidRPr="001A5150">
        <w:t xml:space="preserve">se týkala akce spolufinancované z evropských finančních zdrojů Městečko bezpečí, kdy došlo ke zreálnění </w:t>
      </w:r>
      <w:r w:rsidR="004019D8" w:rsidRPr="001A5150">
        <w:t>čerpání výdajů v letech a snížení objemu rozpočtu o</w:t>
      </w:r>
      <w:r w:rsidR="00122FCC" w:rsidRPr="001A5150">
        <w:t xml:space="preserve"> 74.925 tis. Kč.</w:t>
      </w:r>
      <w:r w:rsidR="004019D8" w:rsidRPr="001A5150">
        <w:t xml:space="preserve"> </w:t>
      </w:r>
    </w:p>
    <w:p w14:paraId="0B77790C" w14:textId="4B456C9C" w:rsidR="004C2EE2" w:rsidRPr="001A5150" w:rsidRDefault="002B4F5B" w:rsidP="004C2EE2">
      <w:pPr>
        <w:spacing w:before="200"/>
      </w:pPr>
      <w:r w:rsidRPr="001A5150">
        <w:t>V období květen až červen</w:t>
      </w:r>
      <w:r w:rsidR="004077B6" w:rsidRPr="001A5150">
        <w:t>ec</w:t>
      </w:r>
      <w:r w:rsidRPr="001A5150">
        <w:t xml:space="preserve"> došlo ke snížení objemu rozpočtu výdajů odvětví o 5.928 tis. Kč.</w:t>
      </w:r>
      <w:r w:rsidR="004C2EE2" w:rsidRPr="001A5150">
        <w:t xml:space="preserve"> </w:t>
      </w:r>
      <w:r w:rsidR="004077B6" w:rsidRPr="001A5150">
        <w:t>D</w:t>
      </w:r>
      <w:r w:rsidR="0041474B" w:rsidRPr="001A5150">
        <w:t xml:space="preserve">o odvětví </w:t>
      </w:r>
      <w:r w:rsidR="004077B6" w:rsidRPr="001A5150">
        <w:t xml:space="preserve">krizového řízení jsou průběžně zapojována </w:t>
      </w:r>
      <w:r w:rsidR="0041474B" w:rsidRPr="001A5150">
        <w:t>pojistn</w:t>
      </w:r>
      <w:r w:rsidR="004077B6" w:rsidRPr="001A5150">
        <w:t>á</w:t>
      </w:r>
      <w:r w:rsidR="0041474B" w:rsidRPr="001A5150">
        <w:t xml:space="preserve"> plnění na obnovu majetku po povodni</w:t>
      </w:r>
      <w:r w:rsidR="004077B6" w:rsidRPr="001A5150">
        <w:t xml:space="preserve">, která jsou následně převáděna do jiných odvětví v souladu s rozhodnutím rady kraje na základě aktualizace rozsahu poškozeného majetku příspěvkových organizací, které byly zasaženy povodní v září 2024. </w:t>
      </w:r>
      <w:r w:rsidR="002E7004" w:rsidRPr="001A5150">
        <w:t>Ve</w:t>
      </w:r>
      <w:r w:rsidR="005F4F6F" w:rsidRPr="001A5150">
        <w:t> </w:t>
      </w:r>
      <w:r w:rsidR="002E7004" w:rsidRPr="001A5150">
        <w:t xml:space="preserve">sledovaném období tak byly </w:t>
      </w:r>
      <w:r w:rsidR="005F4F6F" w:rsidRPr="001A5150">
        <w:t xml:space="preserve">do odvětví školství a zdravotnictví </w:t>
      </w:r>
      <w:r w:rsidR="002E7004" w:rsidRPr="001A5150">
        <w:t xml:space="preserve">převedeny prostředky </w:t>
      </w:r>
      <w:r w:rsidR="005F4F6F" w:rsidRPr="001A5150">
        <w:t xml:space="preserve">pro </w:t>
      </w:r>
      <w:r w:rsidR="002E7004" w:rsidRPr="001A5150">
        <w:t>příspěvkov</w:t>
      </w:r>
      <w:r w:rsidR="005F4F6F" w:rsidRPr="001A5150">
        <w:t>é</w:t>
      </w:r>
      <w:r w:rsidR="002E7004" w:rsidRPr="001A5150">
        <w:t xml:space="preserve"> organizac</w:t>
      </w:r>
      <w:r w:rsidR="005F4F6F" w:rsidRPr="001A5150">
        <w:t>e kraje</w:t>
      </w:r>
      <w:r w:rsidR="002E7004" w:rsidRPr="001A5150">
        <w:t xml:space="preserve"> ve</w:t>
      </w:r>
      <w:r w:rsidR="00CD6D4D" w:rsidRPr="001A5150">
        <w:t> </w:t>
      </w:r>
      <w:r w:rsidR="002E7004" w:rsidRPr="001A5150">
        <w:t>výši 22.728</w:t>
      </w:r>
      <w:r w:rsidR="00CD6D4D" w:rsidRPr="001A5150">
        <w:t> </w:t>
      </w:r>
      <w:r w:rsidR="002E7004" w:rsidRPr="001A5150">
        <w:t>tis.</w:t>
      </w:r>
      <w:r w:rsidR="00CD6D4D" w:rsidRPr="001A5150">
        <w:t> </w:t>
      </w:r>
      <w:r w:rsidR="002E7004" w:rsidRPr="001A5150">
        <w:t>Kč</w:t>
      </w:r>
      <w:r w:rsidR="005F4F6F" w:rsidRPr="001A5150">
        <w:t>. D</w:t>
      </w:r>
      <w:r w:rsidR="002E7004" w:rsidRPr="001A5150">
        <w:t>ále by</w:t>
      </w:r>
      <w:r w:rsidR="005F4F6F" w:rsidRPr="001A5150">
        <w:t>ly</w:t>
      </w:r>
      <w:r w:rsidR="002E7004" w:rsidRPr="001A5150">
        <w:t xml:space="preserve"> do</w:t>
      </w:r>
      <w:r w:rsidR="00CD6D4D" w:rsidRPr="001A5150">
        <w:t> </w:t>
      </w:r>
      <w:r w:rsidR="002E7004" w:rsidRPr="001A5150">
        <w:t xml:space="preserve">odvětví krizového </w:t>
      </w:r>
      <w:r w:rsidR="00D27421" w:rsidRPr="001A5150">
        <w:t xml:space="preserve">řízení </w:t>
      </w:r>
      <w:r w:rsidR="002E7004" w:rsidRPr="001A5150">
        <w:t>zapojeny příjmy z pojistných plnění na</w:t>
      </w:r>
      <w:r w:rsidR="00CD6D4D" w:rsidRPr="001A5150">
        <w:t> </w:t>
      </w:r>
      <w:r w:rsidR="002E7004" w:rsidRPr="001A5150">
        <w:t>řešení povodňových škod ve</w:t>
      </w:r>
      <w:r w:rsidR="00CD6D4D" w:rsidRPr="001A5150">
        <w:t> </w:t>
      </w:r>
      <w:r w:rsidR="002E7004" w:rsidRPr="001A5150">
        <w:t>výši 4.263</w:t>
      </w:r>
      <w:r w:rsidR="00CD6D4D" w:rsidRPr="001A5150">
        <w:t> </w:t>
      </w:r>
      <w:r w:rsidR="002E7004" w:rsidRPr="001A5150">
        <w:t>tis.</w:t>
      </w:r>
      <w:r w:rsidR="00CD6D4D" w:rsidRPr="001A5150">
        <w:t> </w:t>
      </w:r>
      <w:r w:rsidR="002E7004" w:rsidRPr="001A5150">
        <w:t>Kč</w:t>
      </w:r>
      <w:r w:rsidR="00A73513" w:rsidRPr="001A5150">
        <w:t xml:space="preserve">, </w:t>
      </w:r>
      <w:r w:rsidR="00CD6D4D" w:rsidRPr="001A5150">
        <w:t xml:space="preserve">o jejichž použití nebylo dosud radou kraje rozhodnuto. </w:t>
      </w:r>
      <w:r w:rsidR="005F4F6F" w:rsidRPr="001A5150">
        <w:t>Rozpočet výdajů odvětví byl dále navýšen z rezervních zdrojů o</w:t>
      </w:r>
      <w:r w:rsidR="00A73513" w:rsidRPr="001A5150">
        <w:t> 2.566 </w:t>
      </w:r>
      <w:r w:rsidR="005F4F6F" w:rsidRPr="001A5150">
        <w:t>tis.</w:t>
      </w:r>
      <w:r w:rsidR="00A73513" w:rsidRPr="001A5150">
        <w:t> </w:t>
      </w:r>
      <w:r w:rsidR="005F4F6F" w:rsidRPr="001A5150">
        <w:t>Kč v souvislosti s poskytnutím individuálních dotací obcím na zmírnění</w:t>
      </w:r>
      <w:r w:rsidR="00A73513" w:rsidRPr="001A5150">
        <w:rPr>
          <w:noProof/>
          <w:szCs w:val="20"/>
        </w:rPr>
        <w:t xml:space="preserve"> a odstranění následků povodňových škod na území obce.</w:t>
      </w:r>
      <w:r w:rsidR="00A73513" w:rsidRPr="001A5150">
        <w:t xml:space="preserve"> </w:t>
      </w:r>
      <w:r w:rsidR="00AB1C2A" w:rsidRPr="001A5150">
        <w:t xml:space="preserve">Další úprava rozpočtu odvětví souvisela zejména se zapojením </w:t>
      </w:r>
      <w:r w:rsidR="004C2EE2" w:rsidRPr="001A5150">
        <w:t>části zůstatku rozpočtového hospodaření kraje za rok 2024 ve výši 6.078</w:t>
      </w:r>
      <w:r w:rsidR="00CD6D4D" w:rsidRPr="001A5150">
        <w:t> </w:t>
      </w:r>
      <w:r w:rsidR="004C2EE2" w:rsidRPr="001A5150">
        <w:t>tis.</w:t>
      </w:r>
      <w:r w:rsidR="00CD6D4D" w:rsidRPr="001A5150">
        <w:t> </w:t>
      </w:r>
      <w:r w:rsidR="004C2EE2" w:rsidRPr="001A5150">
        <w:t>Kč na poskytnutí individuálních dotací určených jako příspěvek obcím na financování potřeb jednotek sborů dobrovolných hasičů obcí.</w:t>
      </w:r>
    </w:p>
    <w:p w14:paraId="7CD0063C" w14:textId="77777777" w:rsidR="0041474B" w:rsidRPr="001A5150" w:rsidRDefault="0041474B" w:rsidP="004C2EE2">
      <w:pPr>
        <w:spacing w:before="200"/>
      </w:pPr>
    </w:p>
    <w:p w14:paraId="59A29DC9" w14:textId="2CF5E2E5" w:rsidR="0041474B" w:rsidRPr="001A5150" w:rsidRDefault="0041474B" w:rsidP="004C2EE2">
      <w:pPr>
        <w:spacing w:before="200"/>
      </w:pPr>
    </w:p>
    <w:bookmarkEnd w:id="128"/>
    <w:p w14:paraId="586AA5DC" w14:textId="664408E9" w:rsidR="00126BE1" w:rsidRPr="001A5150" w:rsidRDefault="007E481E" w:rsidP="001318E4">
      <w:pPr>
        <w:pStyle w:val="Styltab"/>
      </w:pPr>
      <w:r w:rsidRPr="001A5150">
        <w:lastRenderedPageBreak/>
        <w:t>Výdaje v odvětví krizového řízení na</w:t>
      </w:r>
      <w:r w:rsidR="00C369F2" w:rsidRPr="001A5150">
        <w:t> </w:t>
      </w:r>
      <w:r w:rsidRPr="001A5150">
        <w:t>samosprávné a jiné činnosti zajišťované prostřednictvím krajského úřadu</w:t>
      </w:r>
      <w:r w:rsidR="00DE353C" w:rsidRPr="001A5150">
        <w:tab/>
      </w:r>
      <w:r w:rsidRPr="001A5150">
        <w:t>v tis.</w:t>
      </w:r>
      <w:r w:rsidR="00DE353C" w:rsidRPr="001A5150">
        <w:t> </w:t>
      </w:r>
      <w:r w:rsidRPr="001A5150">
        <w:t>Kč</w:t>
      </w:r>
      <w:bookmarkStart w:id="129" w:name="_MON_1476601805"/>
      <w:bookmarkStart w:id="130" w:name="_MON_1477217003"/>
      <w:bookmarkStart w:id="131" w:name="_MON_1477295687"/>
      <w:bookmarkStart w:id="132" w:name="_MON_1477296706"/>
      <w:bookmarkStart w:id="133" w:name="_MON_1477372083"/>
      <w:bookmarkStart w:id="134" w:name="_MON_1477380368"/>
      <w:bookmarkStart w:id="135" w:name="_MON_1477464064"/>
      <w:bookmarkStart w:id="136" w:name="_MON_1489921161"/>
      <w:bookmarkStart w:id="137" w:name="_MON_1490172975"/>
      <w:bookmarkStart w:id="138" w:name="_MON_1490174931"/>
      <w:bookmarkStart w:id="139" w:name="_MON_1555402149"/>
      <w:bookmarkStart w:id="140" w:name="_MON_1469443806"/>
      <w:bookmarkStart w:id="141" w:name="_MON_1469513887"/>
      <w:bookmarkStart w:id="142" w:name="_MON_1469513939"/>
      <w:bookmarkStart w:id="143" w:name="_MON_1469513959"/>
      <w:bookmarkStart w:id="144" w:name="_MON_1469514694"/>
      <w:bookmarkStart w:id="145" w:name="_MON_1469514705"/>
      <w:bookmarkStart w:id="146" w:name="_MON_1469514769"/>
      <w:bookmarkStart w:id="147" w:name="_MON_146994652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Start w:id="148" w:name="_MON_1469946969"/>
      <w:bookmarkEnd w:id="148"/>
      <w:r w:rsidR="00747264" w:rsidRPr="001A5150">
        <w:object w:dxaOrig="10303" w:dyaOrig="8330" w14:anchorId="586AA6AD">
          <v:shape id="_x0000_i1047" type="#_x0000_t75" style="width:464.55pt;height:361.25pt" o:ole="">
            <v:imagedata r:id="rId53" o:title=""/>
          </v:shape>
          <o:OLEObject Type="Embed" ProgID="Excel.Sheet.8" ShapeID="_x0000_i1047" DrawAspect="Content" ObjectID="_1817201211" r:id="rId54"/>
        </w:object>
      </w:r>
    </w:p>
    <w:p w14:paraId="4206A9E0" w14:textId="77777777" w:rsidR="002A522C" w:rsidRPr="001A5150" w:rsidRDefault="002A522C" w:rsidP="002A522C"/>
    <w:p w14:paraId="46FDFF94" w14:textId="2087124C" w:rsidR="006F3CAF" w:rsidRPr="001A5150" w:rsidRDefault="00D30DA9" w:rsidP="001318E4">
      <w:pPr>
        <w:pStyle w:val="Styltab"/>
      </w:pPr>
      <w:r w:rsidRPr="001A5150">
        <w:t>Příspěvek na</w:t>
      </w:r>
      <w:r w:rsidR="00892911" w:rsidRPr="001A5150">
        <w:t> </w:t>
      </w:r>
      <w:r w:rsidRPr="001A5150">
        <w:t xml:space="preserve">provoz příspěvkovým organizacím </w:t>
      </w:r>
      <w:r w:rsidR="00B565FB" w:rsidRPr="001A5150">
        <w:t>kraje</w:t>
      </w:r>
      <w:r w:rsidRPr="001A5150">
        <w:tab/>
        <w:t>v tis. Kč</w:t>
      </w:r>
      <w:bookmarkStart w:id="149" w:name="_MON_1681554248"/>
      <w:bookmarkEnd w:id="149"/>
      <w:r w:rsidR="00747264" w:rsidRPr="001A5150">
        <w:object w:dxaOrig="10005" w:dyaOrig="1805" w14:anchorId="15A97F62">
          <v:shape id="_x0000_i1048" type="#_x0000_t75" style="width:466.45pt;height:80.75pt" o:ole="">
            <v:imagedata r:id="rId55" o:title=""/>
          </v:shape>
          <o:OLEObject Type="Embed" ProgID="Excel.Sheet.8" ShapeID="_x0000_i1048" DrawAspect="Content" ObjectID="_1817201212" r:id="rId56"/>
        </w:object>
      </w:r>
    </w:p>
    <w:p w14:paraId="3FD06D56" w14:textId="77777777" w:rsidR="00CB37DD" w:rsidRPr="001A5150" w:rsidRDefault="00CB37DD" w:rsidP="008D2CE6">
      <w:pPr>
        <w:pStyle w:val="Odstavecseseznamem"/>
        <w:spacing w:after="0"/>
      </w:pPr>
      <w:bookmarkStart w:id="150" w:name="_Hlk111196706"/>
      <w:bookmarkStart w:id="151" w:name="_Hlk72143309"/>
    </w:p>
    <w:p w14:paraId="31C5D516" w14:textId="0DAA7052" w:rsidR="00F03B41" w:rsidRPr="001A5150" w:rsidRDefault="00F34F5F" w:rsidP="00F03B41">
      <w:pPr>
        <w:pStyle w:val="Mjtext"/>
        <w:rPr>
          <w:szCs w:val="20"/>
        </w:rPr>
      </w:pPr>
      <w:r w:rsidRPr="001A5150">
        <w:t>Ve sledovaném období pokračovaly likvidační práce na území zasaženém povodní v září 2024, probíhá obnova území vedoucí k odstranění dopadů povodně na životy a zdraví osob, majetek a životní prostředí. Zdroje a výdaje související s odstraňováním následků povodní a s obnovou území po povodních jsou uvedeny v tabulkách.</w:t>
      </w:r>
    </w:p>
    <w:p w14:paraId="57950ACB" w14:textId="3E3B3A34" w:rsidR="005041FD" w:rsidRPr="001A5150" w:rsidRDefault="005041FD" w:rsidP="001318E4">
      <w:pPr>
        <w:pStyle w:val="Styltab"/>
      </w:pPr>
      <w:r w:rsidRPr="001A5150">
        <w:lastRenderedPageBreak/>
        <w:t>Zdroje na obnovu území po povodních</w:t>
      </w:r>
      <w:r w:rsidRPr="001A5150">
        <w:tab/>
        <w:t>v tis. Kč</w:t>
      </w:r>
    </w:p>
    <w:bookmarkStart w:id="152" w:name="_MON_1809317726"/>
    <w:bookmarkEnd w:id="152"/>
    <w:p w14:paraId="32DAB787" w14:textId="3EA12804" w:rsidR="00F12CD1" w:rsidRPr="001A5150" w:rsidRDefault="004C2EE2" w:rsidP="005041FD">
      <w:pPr>
        <w:pStyle w:val="Mjtext"/>
        <w:spacing w:before="40"/>
      </w:pPr>
      <w:r w:rsidRPr="001A5150">
        <w:object w:dxaOrig="10041" w:dyaOrig="5321" w14:anchorId="740A772E">
          <v:shape id="_x0000_i1049" type="#_x0000_t75" style="width:467.7pt;height:274.85pt" o:ole="">
            <v:imagedata r:id="rId57" o:title=""/>
          </v:shape>
          <o:OLEObject Type="Embed" ProgID="Excel.Sheet.12" ShapeID="_x0000_i1049" DrawAspect="Content" ObjectID="_1817201213" r:id="rId58"/>
        </w:object>
      </w:r>
    </w:p>
    <w:p w14:paraId="7FD78B73" w14:textId="1F80457B" w:rsidR="00F34F5F" w:rsidRPr="001A5150" w:rsidRDefault="00F34F5F" w:rsidP="00F34F5F">
      <w:pPr>
        <w:pStyle w:val="Mjtext"/>
        <w:spacing w:before="40"/>
      </w:pPr>
      <w:r w:rsidRPr="001A5150">
        <w:rPr>
          <w:vertAlign w:val="superscript"/>
        </w:rPr>
        <w:t>*)</w:t>
      </w:r>
      <w:r w:rsidRPr="001A5150">
        <w:t xml:space="preserve"> Vzhledem k tomu, že veškeré prvotní náklady vynaložené na akce a nezbytná opatření v souvislosti s povodní byly předfinancovány z rozpočtu kraje, byla poskytnutá dotace ze strany MF ve výši 135.972 tis. Kč zapojena do rozpočtu kraje jakožto zdroj pro tvorbu rozpočtu kraje roku 2026.</w:t>
      </w:r>
    </w:p>
    <w:p w14:paraId="7E8C6166" w14:textId="77777777" w:rsidR="00F34F5F" w:rsidRPr="001A5150" w:rsidRDefault="00F34F5F" w:rsidP="00F34F5F">
      <w:pPr>
        <w:pStyle w:val="Mjtext"/>
        <w:spacing w:before="40"/>
      </w:pPr>
    </w:p>
    <w:p w14:paraId="32DC9231" w14:textId="51AE7938" w:rsidR="00F12CD1" w:rsidRPr="001A5150" w:rsidRDefault="005041FD" w:rsidP="00F62208">
      <w:pPr>
        <w:pStyle w:val="Styltab"/>
      </w:pPr>
      <w:r w:rsidRPr="001A5150">
        <w:lastRenderedPageBreak/>
        <w:t>Výdaje na obnovu území po povodních</w:t>
      </w:r>
      <w:r w:rsidRPr="001A5150">
        <w:tab/>
        <w:t>v tis. Kč</w:t>
      </w:r>
      <w:bookmarkStart w:id="153" w:name="_MON_1817176935"/>
      <w:bookmarkEnd w:id="153"/>
      <w:r w:rsidR="00385D5E" w:rsidRPr="001A5150">
        <w:object w:dxaOrig="9931" w:dyaOrig="6545" w14:anchorId="52E135F2">
          <v:shape id="_x0000_i1050" type="#_x0000_t75" style="width:462.7pt;height:337.45pt" o:ole="">
            <v:imagedata r:id="rId59" o:title=""/>
          </v:shape>
          <o:OLEObject Type="Embed" ProgID="Excel.Sheet.12" ShapeID="_x0000_i1050" DrawAspect="Content" ObjectID="_1817201214" r:id="rId60"/>
        </w:object>
      </w:r>
    </w:p>
    <w:p w14:paraId="1FE456DE" w14:textId="4F3955F7" w:rsidR="00AE596A" w:rsidRPr="001A5150" w:rsidRDefault="00AE596A" w:rsidP="00AE596A">
      <w:pPr>
        <w:pStyle w:val="Mjtext"/>
        <w:rPr>
          <w:szCs w:val="20"/>
        </w:rPr>
      </w:pPr>
      <w:r w:rsidRPr="001A5150">
        <w:rPr>
          <w:szCs w:val="20"/>
        </w:rPr>
        <w:t>Ve sledovaném období byla nadále poskytována humanitární pomoc osobám postiženým ozbrojeným konfliktem na Ukrajině. Jednalo se především o zajištění ubytovacích kapacit a výdaje spojené s adaptací a</w:t>
      </w:r>
      <w:r w:rsidR="00581B64" w:rsidRPr="001A5150">
        <w:rPr>
          <w:szCs w:val="20"/>
        </w:rPr>
        <w:t> </w:t>
      </w:r>
      <w:r w:rsidRPr="001A5150">
        <w:rPr>
          <w:szCs w:val="20"/>
        </w:rPr>
        <w:t>integrací osob s dočasnou ochranou. Zdroje a výdaje na poskytnutí humanitární pomoci občanům Ukrajiny jsou uvedeny níže v tabulkách.</w:t>
      </w:r>
    </w:p>
    <w:p w14:paraId="3EF4069E" w14:textId="4FF6B29A" w:rsidR="002A522C" w:rsidRPr="001A5150" w:rsidRDefault="002A522C" w:rsidP="001318E4">
      <w:pPr>
        <w:pStyle w:val="Styltab"/>
      </w:pPr>
      <w:r w:rsidRPr="001A5150">
        <w:t>Zdroje na poskytnutí humanitární pomoci občanům Ukrajiny v roce 2025</w:t>
      </w:r>
      <w:r w:rsidRPr="001A5150">
        <w:tab/>
        <w:t>v tis. Kč</w:t>
      </w:r>
    </w:p>
    <w:bookmarkStart w:id="154" w:name="_MON_1817176763"/>
    <w:bookmarkEnd w:id="154"/>
    <w:p w14:paraId="43ECA5F3" w14:textId="0D44CD60" w:rsidR="00AE596A" w:rsidRPr="001A5150" w:rsidRDefault="00385D5E" w:rsidP="002A522C">
      <w:pPr>
        <w:pStyle w:val="Mjtext"/>
        <w:spacing w:before="40"/>
      </w:pPr>
      <w:r w:rsidRPr="001A5150">
        <w:object w:dxaOrig="10159" w:dyaOrig="2842" w14:anchorId="68A732F1">
          <v:shape id="_x0000_i1051" type="#_x0000_t75" style="width:473.3pt;height:146.5pt" o:ole="">
            <v:imagedata r:id="rId61" o:title=""/>
          </v:shape>
          <o:OLEObject Type="Embed" ProgID="Excel.Sheet.12" ShapeID="_x0000_i1051" DrawAspect="Content" ObjectID="_1817201215" r:id="rId62"/>
        </w:object>
      </w:r>
    </w:p>
    <w:p w14:paraId="3D3B5165" w14:textId="77777777" w:rsidR="00AE596A" w:rsidRPr="001A5150" w:rsidRDefault="00AE596A" w:rsidP="00AE596A">
      <w:pPr>
        <w:spacing w:after="240"/>
        <w:rPr>
          <w:rFonts w:cs="Tahoma"/>
          <w:szCs w:val="20"/>
        </w:rPr>
      </w:pPr>
      <w:r w:rsidRPr="001A5150">
        <w:rPr>
          <w:rFonts w:cs="Tahoma"/>
          <w:szCs w:val="20"/>
          <w:vertAlign w:val="superscript"/>
        </w:rPr>
        <w:t>*)</w:t>
      </w:r>
      <w:r w:rsidRPr="001A5150">
        <w:rPr>
          <w:rFonts w:cs="Tahoma"/>
          <w:szCs w:val="20"/>
        </w:rPr>
        <w:t xml:space="preserve"> Dotace MF na úhradu výdajů na zajištění nouzového ubytování pro osoby s dočasnou ochranou a dotace MPSV na zajištění koordinace a adaptace osob s dočasnou ochranou jsou poskytovány ex-post a jsou předfinancovány z prostředků kraje. V částce 4.512 tis. Kč je zahrnuta dotace MF na pokrytí výdajů, které kraj vynaložil z vlastních prostředků v listopadu a prosinci 2024.</w:t>
      </w:r>
    </w:p>
    <w:p w14:paraId="5157EDF7" w14:textId="21D0E2F6" w:rsidR="002A522C" w:rsidRPr="001A5150" w:rsidRDefault="002A522C" w:rsidP="001318E4">
      <w:pPr>
        <w:pStyle w:val="Styltab"/>
      </w:pPr>
      <w:r w:rsidRPr="001A5150">
        <w:lastRenderedPageBreak/>
        <w:t>Výdaje na poskytnutí humanitární pomoci občanům Ukrajiny v roce 2025</w:t>
      </w:r>
      <w:r w:rsidRPr="001A5150">
        <w:tab/>
        <w:t>v tis. Kč</w:t>
      </w:r>
    </w:p>
    <w:bookmarkStart w:id="155" w:name="_MON_1817118208"/>
    <w:bookmarkEnd w:id="155"/>
    <w:p w14:paraId="06AFE9AD" w14:textId="462FD3B0" w:rsidR="00AE596A" w:rsidRPr="001A5150" w:rsidRDefault="00F12CD1" w:rsidP="002A522C">
      <w:r w:rsidRPr="001A5150">
        <w:object w:dxaOrig="10157" w:dyaOrig="2017" w14:anchorId="25A44267">
          <v:shape id="_x0000_i1052" type="#_x0000_t75" style="width:473.3pt;height:103.95pt" o:ole="">
            <v:imagedata r:id="rId63" o:title=""/>
          </v:shape>
          <o:OLEObject Type="Embed" ProgID="Excel.Sheet.12" ShapeID="_x0000_i1052" DrawAspect="Content" ObjectID="_1817201216" r:id="rId64"/>
        </w:object>
      </w:r>
    </w:p>
    <w:p w14:paraId="5FD04ABB" w14:textId="77777777" w:rsidR="00AE596A" w:rsidRPr="001A5150" w:rsidRDefault="00AE596A" w:rsidP="002A522C">
      <w:pPr>
        <w:rPr>
          <w:rFonts w:cs="Tahoma"/>
          <w:szCs w:val="20"/>
        </w:rPr>
      </w:pPr>
    </w:p>
    <w:bookmarkEnd w:id="150"/>
    <w:bookmarkEnd w:id="151"/>
    <w:p w14:paraId="586AA5DD" w14:textId="77777777" w:rsidR="00014B18" w:rsidRPr="001A5150" w:rsidRDefault="00014B18" w:rsidP="007E481E">
      <w:pPr>
        <w:pStyle w:val="Nadpis3"/>
      </w:pPr>
      <w:r w:rsidRPr="001A5150">
        <w:t xml:space="preserve">Odvětví kultury </w:t>
      </w:r>
    </w:p>
    <w:p w14:paraId="27083997" w14:textId="452C97E7" w:rsidR="00A54947" w:rsidRPr="001A5150" w:rsidRDefault="00014B18" w:rsidP="00A54947">
      <w:bookmarkStart w:id="156" w:name="_Hlk166573446"/>
      <w:r w:rsidRPr="001A5150">
        <w:t xml:space="preserve">V roce </w:t>
      </w:r>
      <w:r w:rsidR="00C22C6C" w:rsidRPr="001A5150">
        <w:t>20</w:t>
      </w:r>
      <w:r w:rsidR="00157037" w:rsidRPr="001A5150">
        <w:t>2</w:t>
      </w:r>
      <w:r w:rsidR="003932EB" w:rsidRPr="001A5150">
        <w:t>5</w:t>
      </w:r>
      <w:r w:rsidRPr="001A5150">
        <w:t xml:space="preserve"> bylo ve</w:t>
      </w:r>
      <w:r w:rsidR="00D924F5" w:rsidRPr="001A5150">
        <w:t> </w:t>
      </w:r>
      <w:r w:rsidRPr="001A5150">
        <w:t>schváleném rozpočtu kraje vyčleněno na</w:t>
      </w:r>
      <w:r w:rsidR="00D924F5" w:rsidRPr="001A5150">
        <w:t> </w:t>
      </w:r>
      <w:r w:rsidRPr="001A5150">
        <w:t xml:space="preserve">financování výdajů v odvětví kultury celkem </w:t>
      </w:r>
      <w:r w:rsidR="003932EB" w:rsidRPr="001A5150">
        <w:t>1.817.259</w:t>
      </w:r>
      <w:r w:rsidRPr="001A5150">
        <w:t> tis.</w:t>
      </w:r>
      <w:r w:rsidR="00D924F5" w:rsidRPr="001A5150">
        <w:t> </w:t>
      </w:r>
      <w:r w:rsidRPr="001A5150">
        <w:t>Kč. K</w:t>
      </w:r>
      <w:r w:rsidR="00CF1682" w:rsidRPr="001A5150">
        <w:t> </w:t>
      </w:r>
      <w:r w:rsidR="00164DCF" w:rsidRPr="001A5150">
        <w:t>31. 7. 2025</w:t>
      </w:r>
      <w:r w:rsidRPr="001A5150">
        <w:t xml:space="preserve"> </w:t>
      </w:r>
      <w:r w:rsidR="00262B00" w:rsidRPr="001A5150">
        <w:t>byl rozpočet odvětví upraven na</w:t>
      </w:r>
      <w:r w:rsidR="00207219" w:rsidRPr="001A5150">
        <w:t> </w:t>
      </w:r>
      <w:r w:rsidR="00747264" w:rsidRPr="001A5150">
        <w:t>1.591.671</w:t>
      </w:r>
      <w:r w:rsidR="005E62A4" w:rsidRPr="001A5150">
        <w:t> </w:t>
      </w:r>
      <w:r w:rsidR="00262B00" w:rsidRPr="001A5150">
        <w:t>tis.</w:t>
      </w:r>
      <w:r w:rsidR="00186D2E" w:rsidRPr="001A5150">
        <w:t> </w:t>
      </w:r>
      <w:r w:rsidR="00262B00" w:rsidRPr="001A5150">
        <w:t>Kč, čímž došlo</w:t>
      </w:r>
      <w:r w:rsidRPr="001A5150">
        <w:t xml:space="preserve"> k</w:t>
      </w:r>
      <w:r w:rsidR="007375B0" w:rsidRPr="001A5150">
        <w:t>e</w:t>
      </w:r>
      <w:r w:rsidR="006E42C1" w:rsidRPr="001A5150">
        <w:t> </w:t>
      </w:r>
      <w:r w:rsidR="001154A6" w:rsidRPr="001A5150">
        <w:t>snížení</w:t>
      </w:r>
      <w:r w:rsidR="002664B0" w:rsidRPr="001A5150">
        <w:t xml:space="preserve"> objemu rozpočtu </w:t>
      </w:r>
      <w:r w:rsidRPr="001A5150">
        <w:t>o</w:t>
      </w:r>
      <w:r w:rsidR="00FF14AA" w:rsidRPr="001A5150">
        <w:t> </w:t>
      </w:r>
      <w:r w:rsidR="00747264" w:rsidRPr="001A5150">
        <w:t>225.588</w:t>
      </w:r>
      <w:r w:rsidR="00D924F5" w:rsidRPr="001A5150">
        <w:t> </w:t>
      </w:r>
      <w:r w:rsidRPr="001A5150">
        <w:t>tis.</w:t>
      </w:r>
      <w:r w:rsidR="00D924F5" w:rsidRPr="001A5150">
        <w:t> </w:t>
      </w:r>
      <w:r w:rsidRPr="001A5150">
        <w:t>Kč</w:t>
      </w:r>
      <w:r w:rsidR="009C2C24" w:rsidRPr="001A5150">
        <w:t>.</w:t>
      </w:r>
      <w:r w:rsidR="00A54947" w:rsidRPr="001A5150">
        <w:t xml:space="preserve"> Skutečné výdaje v</w:t>
      </w:r>
      <w:r w:rsidR="003D0600" w:rsidRPr="001A5150">
        <w:t> </w:t>
      </w:r>
      <w:r w:rsidR="00A54947" w:rsidRPr="001A5150">
        <w:t>odvětví</w:t>
      </w:r>
      <w:r w:rsidR="003D0600" w:rsidRPr="001A5150">
        <w:t xml:space="preserve"> kultury</w:t>
      </w:r>
      <w:r w:rsidR="00A54947" w:rsidRPr="001A5150">
        <w:t xml:space="preserve"> činily k </w:t>
      </w:r>
      <w:r w:rsidR="00164DCF" w:rsidRPr="001A5150">
        <w:t>31. 7. 2025</w:t>
      </w:r>
      <w:r w:rsidR="00A54947" w:rsidRPr="001A5150">
        <w:t xml:space="preserve"> celkem </w:t>
      </w:r>
      <w:r w:rsidR="00747264" w:rsidRPr="001A5150">
        <w:t>606.672</w:t>
      </w:r>
      <w:r w:rsidR="00A54947" w:rsidRPr="001A5150">
        <w:t xml:space="preserve"> tis. Kč, tj. čerpání ve výši </w:t>
      </w:r>
      <w:r w:rsidR="00747264" w:rsidRPr="001A5150">
        <w:t>38</w:t>
      </w:r>
      <w:r w:rsidR="00A54947" w:rsidRPr="001A5150">
        <w:t> % upraveného rozpočtu.</w:t>
      </w:r>
    </w:p>
    <w:bookmarkEnd w:id="156"/>
    <w:p w14:paraId="4C3B7EE4" w14:textId="0B1B4F12" w:rsidR="003930F5" w:rsidRPr="001A5150" w:rsidRDefault="00001314" w:rsidP="001318E4">
      <w:pPr>
        <w:pStyle w:val="Styltab"/>
      </w:pPr>
      <w:r w:rsidRPr="001A5150">
        <w:t>Výdaje v odvětví kultury v členění dle účelu</w:t>
      </w:r>
      <w:r w:rsidRPr="001A5150">
        <w:tab/>
        <w:t>v tis. Kč</w:t>
      </w:r>
      <w:bookmarkStart w:id="157" w:name="_MON_1681554388"/>
      <w:bookmarkEnd w:id="157"/>
      <w:r w:rsidR="00F12CD1" w:rsidRPr="001A5150">
        <w:object w:dxaOrig="9355" w:dyaOrig="2067" w14:anchorId="46B3D2F4">
          <v:shape id="_x0000_i1053" type="#_x0000_t75" style="width:468.3pt;height:108.3pt" o:ole="">
            <v:imagedata r:id="rId65" o:title=""/>
          </v:shape>
          <o:OLEObject Type="Embed" ProgID="Excel.Sheet.8" ShapeID="_x0000_i1053" DrawAspect="Content" ObjectID="_1817201217" r:id="rId66"/>
        </w:object>
      </w:r>
    </w:p>
    <w:p w14:paraId="0298D955" w14:textId="77777777" w:rsidR="003F459C" w:rsidRPr="001A5150" w:rsidRDefault="003F459C" w:rsidP="003F459C">
      <w:pPr>
        <w:spacing w:after="0"/>
      </w:pPr>
      <w:bookmarkStart w:id="158" w:name="_Hlk166573397"/>
    </w:p>
    <w:p w14:paraId="5F98CD7F" w14:textId="3FD96B49" w:rsidR="003F459C" w:rsidRPr="001A5150" w:rsidRDefault="00BA2765" w:rsidP="003F459C">
      <w:pPr>
        <w:spacing w:after="0"/>
      </w:pPr>
      <w:bookmarkStart w:id="159" w:name="_Hlk198534232"/>
      <w:r w:rsidRPr="001A5150">
        <w:t>Objemově významná úprava rozpočtu v období leden až duben souvisela s nedočerpanými účelově vymezenými výdaji roku 202</w:t>
      </w:r>
      <w:r w:rsidR="00295ABB" w:rsidRPr="001A5150">
        <w:t>4</w:t>
      </w:r>
      <w:r w:rsidRPr="001A5150">
        <w:t xml:space="preserve"> v tomto odvětví, které byly zapojeny ke</w:t>
      </w:r>
      <w:r w:rsidR="008B10AD" w:rsidRPr="001A5150">
        <w:t> </w:t>
      </w:r>
      <w:r w:rsidRPr="001A5150">
        <w:t>stejnému účelu do rozpočtu roku 202</w:t>
      </w:r>
      <w:r w:rsidR="00295ABB" w:rsidRPr="001A5150">
        <w:t>5</w:t>
      </w:r>
      <w:r w:rsidRPr="001A5150">
        <w:t xml:space="preserve"> v celkové výši </w:t>
      </w:r>
      <w:r w:rsidR="00295ABB" w:rsidRPr="001A5150">
        <w:t>501.106</w:t>
      </w:r>
      <w:r w:rsidRPr="001A5150">
        <w:t xml:space="preserve"> tis. Kč, z toho </w:t>
      </w:r>
      <w:r w:rsidR="00295ABB" w:rsidRPr="001A5150">
        <w:t xml:space="preserve">321.304 tis. Kč bylo určeno na financování akcí </w:t>
      </w:r>
      <w:r w:rsidR="003F459C" w:rsidRPr="001A5150">
        <w:t>spolufinancovaných z evropských finančních zdrojů</w:t>
      </w:r>
      <w:r w:rsidR="00295ABB" w:rsidRPr="001A5150">
        <w:t xml:space="preserve"> a 142.173</w:t>
      </w:r>
      <w:r w:rsidR="008B10AD" w:rsidRPr="001A5150">
        <w:t> </w:t>
      </w:r>
      <w:r w:rsidR="007071C3" w:rsidRPr="001A5150">
        <w:t>tis.</w:t>
      </w:r>
      <w:r w:rsidR="008B10AD" w:rsidRPr="001A5150">
        <w:t> </w:t>
      </w:r>
      <w:r w:rsidR="007071C3" w:rsidRPr="001A5150">
        <w:t>Kč bylo určeno na</w:t>
      </w:r>
      <w:r w:rsidR="008B10AD" w:rsidRPr="001A5150">
        <w:t xml:space="preserve"> financování </w:t>
      </w:r>
      <w:r w:rsidR="007071C3" w:rsidRPr="001A5150">
        <w:t>samosprávn</w:t>
      </w:r>
      <w:r w:rsidR="008B10AD" w:rsidRPr="001A5150">
        <w:t>ých</w:t>
      </w:r>
      <w:r w:rsidR="00295ABB" w:rsidRPr="001A5150">
        <w:t xml:space="preserve"> a</w:t>
      </w:r>
      <w:r w:rsidR="003D0600" w:rsidRPr="001A5150">
        <w:t> </w:t>
      </w:r>
      <w:r w:rsidR="00AC39B9" w:rsidRPr="001A5150">
        <w:t>jin</w:t>
      </w:r>
      <w:r w:rsidR="008B10AD" w:rsidRPr="001A5150">
        <w:t>ých</w:t>
      </w:r>
      <w:r w:rsidR="00AC39B9" w:rsidRPr="001A5150">
        <w:t xml:space="preserve"> činnost</w:t>
      </w:r>
      <w:r w:rsidR="008B10AD" w:rsidRPr="001A5150">
        <w:t xml:space="preserve">í </w:t>
      </w:r>
      <w:r w:rsidR="00144B42" w:rsidRPr="001A5150">
        <w:t>zajišťovan</w:t>
      </w:r>
      <w:r w:rsidR="006F353A" w:rsidRPr="001A5150">
        <w:t>ých</w:t>
      </w:r>
      <w:r w:rsidR="00144B42" w:rsidRPr="001A5150">
        <w:t xml:space="preserve"> prostřednictvím krajského úřad</w:t>
      </w:r>
      <w:r w:rsidR="00295ABB" w:rsidRPr="001A5150">
        <w:t>u</w:t>
      </w:r>
      <w:r w:rsidRPr="001A5150">
        <w:t>.</w:t>
      </w:r>
      <w:r w:rsidR="004F7747" w:rsidRPr="001A5150">
        <w:t xml:space="preserve"> </w:t>
      </w:r>
      <w:r w:rsidR="00295ABB" w:rsidRPr="001A5150">
        <w:t xml:space="preserve">Další významná úprava rozpočtu ve sledovaném období se týkala zreálnění čerpání výdajů v letech u akcí spolufinancovaných z evropských finančních zdrojů, což mělo za následek snížení objemu rozpočtu o </w:t>
      </w:r>
      <w:r w:rsidR="0088654F" w:rsidRPr="001A5150">
        <w:t>779.575</w:t>
      </w:r>
      <w:r w:rsidR="00C91A51" w:rsidRPr="001A5150">
        <w:t xml:space="preserve"> tis. Kč,</w:t>
      </w:r>
      <w:r w:rsidR="00295ABB" w:rsidRPr="001A5150">
        <w:t xml:space="preserve"> zejména u akce </w:t>
      </w:r>
      <w:r w:rsidR="003F459C" w:rsidRPr="001A5150">
        <w:t xml:space="preserve">Černá kostka – Centrum digitalizace, vědy a inovací došlo ke snížení </w:t>
      </w:r>
      <w:r w:rsidR="00154241" w:rsidRPr="001A5150">
        <w:t xml:space="preserve">objemu rozpočtu </w:t>
      </w:r>
      <w:r w:rsidR="003F459C" w:rsidRPr="001A5150">
        <w:t>ve</w:t>
      </w:r>
      <w:r w:rsidR="00154241" w:rsidRPr="001A5150">
        <w:t> </w:t>
      </w:r>
      <w:r w:rsidR="003F459C" w:rsidRPr="001A5150">
        <w:t>sledovaném období o </w:t>
      </w:r>
      <w:r w:rsidR="0088654F" w:rsidRPr="001A5150">
        <w:t>601.433</w:t>
      </w:r>
      <w:r w:rsidR="003F459C" w:rsidRPr="001A5150">
        <w:t> tis. Kč.</w:t>
      </w:r>
    </w:p>
    <w:p w14:paraId="53CEAB8F" w14:textId="77777777" w:rsidR="00AF381E" w:rsidRPr="001A5150" w:rsidRDefault="00AF381E" w:rsidP="003F459C">
      <w:pPr>
        <w:spacing w:after="0"/>
      </w:pPr>
    </w:p>
    <w:p w14:paraId="2D25682C" w14:textId="0F65B663" w:rsidR="00AF381E" w:rsidRPr="001A5150" w:rsidRDefault="00AF381E" w:rsidP="003F459C">
      <w:pPr>
        <w:spacing w:after="0"/>
      </w:pPr>
      <w:r w:rsidRPr="001A5150">
        <w:t xml:space="preserve">V období květen až červenec došlo k navýšení objemu rozpočtu odvětví o 48.324 tis. Kč. Do výdajů rozpočtu odvětví byla </w:t>
      </w:r>
      <w:r w:rsidR="00F97A4B" w:rsidRPr="001A5150">
        <w:t xml:space="preserve">zejména </w:t>
      </w:r>
      <w:r w:rsidRPr="001A5150">
        <w:t>zapojena část zůstatku rozpočtového hospodaření kraje za rok 2024 ve výši 39.757 tis. Kč (posílení dvou dotačních programů v souhrnné výši 27.500</w:t>
      </w:r>
      <w:r w:rsidR="00F97A4B" w:rsidRPr="001A5150">
        <w:t> </w:t>
      </w:r>
      <w:r w:rsidRPr="001A5150">
        <w:t>tis.</w:t>
      </w:r>
      <w:r w:rsidR="00F97A4B" w:rsidRPr="001A5150">
        <w:t> </w:t>
      </w:r>
      <w:r w:rsidRPr="001A5150">
        <w:t>Kč a navýšení příspěvku na</w:t>
      </w:r>
      <w:r w:rsidR="00F97A4B" w:rsidRPr="001A5150">
        <w:t> </w:t>
      </w:r>
      <w:r w:rsidRPr="001A5150">
        <w:t>provoz o 12.257 tis. Kč)</w:t>
      </w:r>
      <w:r w:rsidR="00F97A4B" w:rsidRPr="001A5150">
        <w:t>.</w:t>
      </w:r>
    </w:p>
    <w:p w14:paraId="703C6A8C" w14:textId="59846BD0" w:rsidR="00E704E2" w:rsidRPr="001A5150" w:rsidRDefault="00001314" w:rsidP="001318E4">
      <w:pPr>
        <w:pStyle w:val="Styltab"/>
      </w:pPr>
      <w:bookmarkStart w:id="160" w:name="_MON_1469515630"/>
      <w:bookmarkStart w:id="161" w:name="_MON_1469515637"/>
      <w:bookmarkStart w:id="162" w:name="_MON_1469515816"/>
      <w:bookmarkStart w:id="163" w:name="_MON_1476601825"/>
      <w:bookmarkStart w:id="164" w:name="_MON_1477203815"/>
      <w:bookmarkStart w:id="165" w:name="_MON_1477296719"/>
      <w:bookmarkStart w:id="166" w:name="_MON_1477296733"/>
      <w:bookmarkStart w:id="167" w:name="_MON_1477464109"/>
      <w:bookmarkStart w:id="168" w:name="_MON_1489918255"/>
      <w:bookmarkStart w:id="169" w:name="_MON_1489919467"/>
      <w:bookmarkStart w:id="170" w:name="_MON_1490172995"/>
      <w:bookmarkStart w:id="171" w:name="_MON_1490173024"/>
      <w:bookmarkStart w:id="172" w:name="_MON_1490420861"/>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sidRPr="001A5150">
        <w:lastRenderedPageBreak/>
        <w:t>Výdaje v odvětví kultury na</w:t>
      </w:r>
      <w:r w:rsidR="00910C46" w:rsidRPr="001A5150">
        <w:t> </w:t>
      </w:r>
      <w:r w:rsidRPr="001A5150">
        <w:t>samosprávné a jiné činnosti zajišťované prostřednictvím krajského úřadu</w:t>
      </w:r>
      <w:r w:rsidR="0062319C" w:rsidRPr="001A5150">
        <w:tab/>
      </w:r>
      <w:r w:rsidRPr="001A5150">
        <w:t>v tis. Kč</w:t>
      </w:r>
      <w:bookmarkStart w:id="173" w:name="_MON_1681554436"/>
      <w:bookmarkEnd w:id="173"/>
      <w:bookmarkStart w:id="174" w:name="_MON_1555934466"/>
      <w:bookmarkEnd w:id="174"/>
      <w:r w:rsidR="004D434E" w:rsidRPr="001A5150">
        <w:object w:dxaOrig="10320" w:dyaOrig="7721" w14:anchorId="58D05DBE">
          <v:shape id="_x0000_i1054" type="#_x0000_t75" style="width:465.2pt;height:342.45pt" o:ole="">
            <v:imagedata r:id="rId67" o:title=""/>
          </v:shape>
          <o:OLEObject Type="Embed" ProgID="Excel.Sheet.8" ShapeID="_x0000_i1054" DrawAspect="Content" ObjectID="_1817201218" r:id="rId68"/>
        </w:object>
      </w:r>
    </w:p>
    <w:p w14:paraId="7B343CD0" w14:textId="77777777" w:rsidR="00B354F3" w:rsidRPr="001A5150" w:rsidRDefault="00B354F3" w:rsidP="00B354F3"/>
    <w:p w14:paraId="04AD0EF9" w14:textId="3EB1E82F" w:rsidR="00E704E2" w:rsidRPr="001A5150" w:rsidRDefault="00001314" w:rsidP="001318E4">
      <w:pPr>
        <w:pStyle w:val="Styltab"/>
      </w:pPr>
      <w:bookmarkStart w:id="175" w:name="_MON_1469444208"/>
      <w:bookmarkStart w:id="176" w:name="_MON_1469444674"/>
      <w:bookmarkStart w:id="177" w:name="_MON_1476601844"/>
      <w:bookmarkStart w:id="178" w:name="_MON_1477210917"/>
      <w:bookmarkStart w:id="179" w:name="_MON_1477380410"/>
      <w:bookmarkStart w:id="180" w:name="_MON_1477464118"/>
      <w:bookmarkStart w:id="181" w:name="_MON_1489921486"/>
      <w:bookmarkStart w:id="182" w:name="_MON_1490173042"/>
      <w:bookmarkEnd w:id="175"/>
      <w:bookmarkEnd w:id="176"/>
      <w:bookmarkEnd w:id="177"/>
      <w:bookmarkEnd w:id="178"/>
      <w:bookmarkEnd w:id="179"/>
      <w:bookmarkEnd w:id="180"/>
      <w:bookmarkEnd w:id="181"/>
      <w:bookmarkEnd w:id="182"/>
      <w:r w:rsidRPr="001A5150">
        <w:t>Příspěvek na</w:t>
      </w:r>
      <w:r w:rsidR="003F7D6D" w:rsidRPr="001A5150">
        <w:t> </w:t>
      </w:r>
      <w:r w:rsidRPr="001A5150">
        <w:t>provoz příspěvkovým organizacím v</w:t>
      </w:r>
      <w:r w:rsidR="004143CF" w:rsidRPr="001A5150">
        <w:t> </w:t>
      </w:r>
      <w:r w:rsidRPr="001A5150">
        <w:t>odvětví kultury</w:t>
      </w:r>
      <w:r w:rsidRPr="001A5150">
        <w:tab/>
        <w:t>v tis. Kč</w:t>
      </w:r>
      <w:bookmarkStart w:id="183" w:name="_MON_1476601865"/>
      <w:bookmarkStart w:id="184" w:name="_MON_1477211156"/>
      <w:bookmarkStart w:id="185" w:name="_MON_1489922197"/>
      <w:bookmarkStart w:id="186" w:name="_MON_1489922348"/>
      <w:bookmarkStart w:id="187" w:name="_MON_1490173055"/>
      <w:bookmarkStart w:id="188" w:name="_MON_1490174992"/>
      <w:bookmarkStart w:id="189" w:name="_MON_1681554325"/>
      <w:bookmarkStart w:id="190" w:name="_MON_1490419667"/>
      <w:bookmarkStart w:id="191" w:name="_MON_1490419737"/>
      <w:bookmarkStart w:id="192" w:name="_MON_1490420976"/>
      <w:bookmarkStart w:id="193" w:name="_MON_1490420996"/>
      <w:bookmarkEnd w:id="183"/>
      <w:bookmarkEnd w:id="184"/>
      <w:bookmarkEnd w:id="185"/>
      <w:bookmarkEnd w:id="186"/>
      <w:bookmarkEnd w:id="187"/>
      <w:bookmarkEnd w:id="188"/>
      <w:bookmarkEnd w:id="189"/>
      <w:bookmarkEnd w:id="190"/>
      <w:bookmarkEnd w:id="191"/>
      <w:bookmarkEnd w:id="192"/>
      <w:bookmarkEnd w:id="193"/>
      <w:bookmarkStart w:id="194" w:name="_MON_1469444790"/>
      <w:bookmarkEnd w:id="194"/>
      <w:r w:rsidR="004D434E" w:rsidRPr="001A5150">
        <w:object w:dxaOrig="9943" w:dyaOrig="3632" w14:anchorId="09049348">
          <v:shape id="_x0000_i1055" type="#_x0000_t75" style="width:464.55pt;height:169.65pt" o:ole="">
            <v:imagedata r:id="rId69" o:title=""/>
          </v:shape>
          <o:OLEObject Type="Embed" ProgID="Excel.Sheet.8" ShapeID="_x0000_i1055" DrawAspect="Content" ObjectID="_1817201219" r:id="rId70"/>
        </w:object>
      </w:r>
    </w:p>
    <w:p w14:paraId="414A34F2" w14:textId="77777777" w:rsidR="00A83E59" w:rsidRPr="001A5150" w:rsidRDefault="00A83E59" w:rsidP="00A83E59"/>
    <w:p w14:paraId="586AA5EE" w14:textId="77777777" w:rsidR="00014B18" w:rsidRPr="001A5150" w:rsidRDefault="00014B18" w:rsidP="00001314">
      <w:pPr>
        <w:pStyle w:val="Nadpis3"/>
      </w:pPr>
      <w:r w:rsidRPr="001A5150">
        <w:lastRenderedPageBreak/>
        <w:t>Odvětví prezentace kraje a ediční plán</w:t>
      </w:r>
    </w:p>
    <w:p w14:paraId="4164C94A" w14:textId="148406C6" w:rsidR="00BC2D7E" w:rsidRPr="001A5150" w:rsidRDefault="00014B18" w:rsidP="00BC2D7E">
      <w:r w:rsidRPr="001A5150">
        <w:rPr>
          <w:rFonts w:cs="Tahoma"/>
          <w:szCs w:val="20"/>
        </w:rPr>
        <w:t>Schválený rozpočet výdajů ve</w:t>
      </w:r>
      <w:r w:rsidR="00C634DE" w:rsidRPr="001A5150">
        <w:rPr>
          <w:rFonts w:cs="Tahoma"/>
          <w:szCs w:val="20"/>
        </w:rPr>
        <w:t> </w:t>
      </w:r>
      <w:r w:rsidRPr="001A5150">
        <w:rPr>
          <w:rFonts w:cs="Tahoma"/>
          <w:szCs w:val="20"/>
        </w:rPr>
        <w:t xml:space="preserve">výši </w:t>
      </w:r>
      <w:r w:rsidR="008067CD" w:rsidRPr="001A5150">
        <w:rPr>
          <w:rFonts w:cs="Tahoma"/>
          <w:szCs w:val="20"/>
        </w:rPr>
        <w:t>31.148</w:t>
      </w:r>
      <w:r w:rsidR="00C634DE" w:rsidRPr="001A5150">
        <w:rPr>
          <w:rFonts w:cs="Tahoma"/>
          <w:szCs w:val="20"/>
        </w:rPr>
        <w:t> </w:t>
      </w:r>
      <w:r w:rsidRPr="001A5150">
        <w:rPr>
          <w:rFonts w:cs="Tahoma"/>
          <w:szCs w:val="20"/>
        </w:rPr>
        <w:t>tis.</w:t>
      </w:r>
      <w:r w:rsidR="00C634DE" w:rsidRPr="001A5150">
        <w:rPr>
          <w:rFonts w:cs="Tahoma"/>
          <w:szCs w:val="20"/>
        </w:rPr>
        <w:t> </w:t>
      </w:r>
      <w:r w:rsidRPr="001A5150">
        <w:rPr>
          <w:rFonts w:cs="Tahoma"/>
          <w:szCs w:val="20"/>
        </w:rPr>
        <w:t>Kč v odvětví prezentace kraje a</w:t>
      </w:r>
      <w:r w:rsidR="00C634DE" w:rsidRPr="001A5150">
        <w:rPr>
          <w:rFonts w:cs="Tahoma"/>
          <w:szCs w:val="20"/>
        </w:rPr>
        <w:t> </w:t>
      </w:r>
      <w:r w:rsidRPr="001A5150">
        <w:rPr>
          <w:rFonts w:cs="Tahoma"/>
          <w:szCs w:val="20"/>
        </w:rPr>
        <w:t xml:space="preserve">ediční plán byl celkově </w:t>
      </w:r>
      <w:r w:rsidR="00672553" w:rsidRPr="001A5150">
        <w:rPr>
          <w:rFonts w:cs="Tahoma"/>
          <w:szCs w:val="20"/>
        </w:rPr>
        <w:t>navýšen</w:t>
      </w:r>
      <w:r w:rsidRPr="001A5150">
        <w:rPr>
          <w:rFonts w:cs="Tahoma"/>
          <w:szCs w:val="20"/>
        </w:rPr>
        <w:t xml:space="preserve"> na</w:t>
      </w:r>
      <w:r w:rsidR="005C24B3" w:rsidRPr="001A5150">
        <w:rPr>
          <w:rFonts w:cs="Tahoma"/>
          <w:szCs w:val="20"/>
        </w:rPr>
        <w:t> </w:t>
      </w:r>
      <w:r w:rsidRPr="001A5150">
        <w:rPr>
          <w:rFonts w:cs="Tahoma"/>
          <w:szCs w:val="20"/>
        </w:rPr>
        <w:t xml:space="preserve">částku </w:t>
      </w:r>
      <w:r w:rsidR="004D434E" w:rsidRPr="001A5150">
        <w:rPr>
          <w:rFonts w:cs="Tahoma"/>
          <w:szCs w:val="20"/>
        </w:rPr>
        <w:t>51.074</w:t>
      </w:r>
      <w:r w:rsidR="00C634DE" w:rsidRPr="001A5150">
        <w:t> </w:t>
      </w:r>
      <w:r w:rsidRPr="001A5150">
        <w:rPr>
          <w:rFonts w:cs="Tahoma"/>
          <w:szCs w:val="20"/>
        </w:rPr>
        <w:t>tis.</w:t>
      </w:r>
      <w:r w:rsidR="00C634DE" w:rsidRPr="001A5150">
        <w:rPr>
          <w:rFonts w:cs="Tahoma"/>
          <w:szCs w:val="20"/>
        </w:rPr>
        <w:t> </w:t>
      </w:r>
      <w:r w:rsidRPr="001A5150">
        <w:rPr>
          <w:rFonts w:cs="Tahoma"/>
          <w:szCs w:val="20"/>
        </w:rPr>
        <w:t>Kč</w:t>
      </w:r>
      <w:r w:rsidR="002E4EDB" w:rsidRPr="001A5150">
        <w:rPr>
          <w:rFonts w:cs="Tahoma"/>
          <w:szCs w:val="20"/>
        </w:rPr>
        <w:t xml:space="preserve">, což je </w:t>
      </w:r>
      <w:r w:rsidR="00AF6791" w:rsidRPr="001A5150">
        <w:rPr>
          <w:rFonts w:cs="Tahoma"/>
          <w:szCs w:val="20"/>
        </w:rPr>
        <w:t>navýšení</w:t>
      </w:r>
      <w:r w:rsidR="009122B4" w:rsidRPr="001A5150">
        <w:rPr>
          <w:rFonts w:cs="Tahoma"/>
          <w:szCs w:val="20"/>
        </w:rPr>
        <w:t xml:space="preserve"> o</w:t>
      </w:r>
      <w:r w:rsidR="00D40E9C" w:rsidRPr="001A5150">
        <w:rPr>
          <w:rFonts w:cs="Tahoma"/>
          <w:szCs w:val="20"/>
        </w:rPr>
        <w:t> </w:t>
      </w:r>
      <w:r w:rsidR="004D434E" w:rsidRPr="001A5150">
        <w:rPr>
          <w:rFonts w:cs="Tahoma"/>
          <w:szCs w:val="20"/>
        </w:rPr>
        <w:t>19.926</w:t>
      </w:r>
      <w:r w:rsidR="002E4EDB" w:rsidRPr="001A5150">
        <w:rPr>
          <w:rFonts w:cs="Tahoma"/>
          <w:szCs w:val="20"/>
        </w:rPr>
        <w:t> tis. Kč</w:t>
      </w:r>
      <w:r w:rsidRPr="001A5150">
        <w:rPr>
          <w:rFonts w:cs="Tahoma"/>
          <w:szCs w:val="20"/>
        </w:rPr>
        <w:t xml:space="preserve">. </w:t>
      </w:r>
      <w:r w:rsidR="00BC2D7E" w:rsidRPr="001A5150">
        <w:t xml:space="preserve">Celkové výdaje v odvětví byly čerpány ve výši </w:t>
      </w:r>
      <w:r w:rsidR="004D434E" w:rsidRPr="001A5150">
        <w:t>20.557</w:t>
      </w:r>
      <w:r w:rsidR="00BC2D7E" w:rsidRPr="001A5150">
        <w:t xml:space="preserve"> tis. Kč, tj. </w:t>
      </w:r>
      <w:r w:rsidR="004D434E" w:rsidRPr="001A5150">
        <w:t>40</w:t>
      </w:r>
      <w:r w:rsidR="00BC2D7E" w:rsidRPr="001A5150">
        <w:t> % upraveného rozpočtu.</w:t>
      </w:r>
    </w:p>
    <w:p w14:paraId="57333829" w14:textId="20180C37" w:rsidR="00E704E2" w:rsidRPr="001A5150" w:rsidRDefault="006419A2" w:rsidP="001318E4">
      <w:pPr>
        <w:pStyle w:val="Styltab"/>
      </w:pPr>
      <w:r w:rsidRPr="001A5150">
        <w:t>V</w:t>
      </w:r>
      <w:r w:rsidR="00FD7C90" w:rsidRPr="001A5150">
        <w:t xml:space="preserve">ýdaje v odvětví prezentace kraje a ediční </w:t>
      </w:r>
      <w:r w:rsidR="00011936" w:rsidRPr="001A5150">
        <w:t>plán</w:t>
      </w:r>
      <w:r w:rsidR="00FD7C90" w:rsidRPr="001A5150">
        <w:t xml:space="preserve"> v členění dle účelu</w:t>
      </w:r>
      <w:r w:rsidR="00FD7C90" w:rsidRPr="001A5150">
        <w:tab/>
        <w:t>v tis. Kč</w:t>
      </w:r>
      <w:bookmarkStart w:id="195" w:name="_MON_1681554515"/>
      <w:bookmarkEnd w:id="195"/>
      <w:bookmarkStart w:id="196" w:name="_MON_1555936372"/>
      <w:bookmarkEnd w:id="196"/>
      <w:r w:rsidR="004D434E" w:rsidRPr="001A5150">
        <w:object w:dxaOrig="9353" w:dyaOrig="1167" w14:anchorId="62FE663E">
          <v:shape id="_x0000_i1056" type="#_x0000_t75" style="width:468.3pt;height:58.25pt" o:ole="">
            <v:imagedata r:id="rId71" o:title=""/>
          </v:shape>
          <o:OLEObject Type="Embed" ProgID="Excel.Sheet.8" ShapeID="_x0000_i1056" DrawAspect="Content" ObjectID="_1817201220" r:id="rId72"/>
        </w:object>
      </w:r>
    </w:p>
    <w:p w14:paraId="08AF9C39" w14:textId="035E47E4" w:rsidR="001C4371" w:rsidRPr="001A5150" w:rsidRDefault="009873D1" w:rsidP="008B0F6E">
      <w:pPr>
        <w:pStyle w:val="MSKNormal"/>
        <w:spacing w:before="200"/>
      </w:pPr>
      <w:r w:rsidRPr="001A5150">
        <w:t>V období leden až duben byly zapojeny do rozpočtu tohoto odvětví nedočerpané účelově vymezené výdaje roku 202</w:t>
      </w:r>
      <w:r w:rsidR="00177E10" w:rsidRPr="001A5150">
        <w:t>4</w:t>
      </w:r>
      <w:r w:rsidRPr="001A5150">
        <w:t xml:space="preserve"> ve výši </w:t>
      </w:r>
      <w:r w:rsidR="00177E10" w:rsidRPr="001A5150">
        <w:t>5.257</w:t>
      </w:r>
      <w:r w:rsidRPr="001A5150">
        <w:t xml:space="preserve"> tis. Kč, z toho </w:t>
      </w:r>
      <w:r w:rsidR="00F7258F" w:rsidRPr="001A5150">
        <w:t xml:space="preserve">zejména </w:t>
      </w:r>
      <w:r w:rsidRPr="001A5150">
        <w:t xml:space="preserve">na akci rozpočtu kraje </w:t>
      </w:r>
      <w:r w:rsidR="00F7258F" w:rsidRPr="001A5150">
        <w:t xml:space="preserve">Mediální publicita MSK ve výši </w:t>
      </w:r>
      <w:r w:rsidR="00177E10" w:rsidRPr="001A5150">
        <w:t>2.379</w:t>
      </w:r>
      <w:r w:rsidR="00F7258F" w:rsidRPr="001A5150">
        <w:t> tis. Kč</w:t>
      </w:r>
      <w:r w:rsidR="001C4371" w:rsidRPr="001A5150">
        <w:t>.</w:t>
      </w:r>
      <w:r w:rsidR="00F4381A" w:rsidRPr="001A5150">
        <w:t xml:space="preserve"> Dále byl v tomto období navýšen objem rozpočtu odvětví o prostředky </w:t>
      </w:r>
      <w:r w:rsidR="00CF4D96" w:rsidRPr="001A5150">
        <w:t xml:space="preserve">ve výši </w:t>
      </w:r>
      <w:r w:rsidR="00FE3EB9" w:rsidRPr="001A5150">
        <w:t>7</w:t>
      </w:r>
      <w:r w:rsidR="00177E10" w:rsidRPr="001A5150">
        <w:t>.000</w:t>
      </w:r>
      <w:r w:rsidR="00C56157" w:rsidRPr="001A5150">
        <w:t> tis. Kč z </w:t>
      </w:r>
      <w:r w:rsidR="00FE3EB9" w:rsidRPr="001A5150">
        <w:t>nespecifikované části zůstatku rozpočtového hospodaření kraje za rok 2024, z toho na akci</w:t>
      </w:r>
      <w:r w:rsidR="00843DDE" w:rsidRPr="001A5150">
        <w:t xml:space="preserve"> rozpočtu kraje </w:t>
      </w:r>
      <w:r w:rsidR="003F4D3A" w:rsidRPr="001A5150">
        <w:t xml:space="preserve">Mediální publicita MSK </w:t>
      </w:r>
      <w:r w:rsidR="00843DDE" w:rsidRPr="001A5150">
        <w:t>o </w:t>
      </w:r>
      <w:r w:rsidR="00FE3EB9" w:rsidRPr="001A5150">
        <w:t>4</w:t>
      </w:r>
      <w:r w:rsidR="003E12B9" w:rsidRPr="001A5150">
        <w:t>.</w:t>
      </w:r>
      <w:r w:rsidR="00FE3EB9" w:rsidRPr="001A5150">
        <w:t>000</w:t>
      </w:r>
      <w:r w:rsidR="00843DDE" w:rsidRPr="001A5150">
        <w:t xml:space="preserve"> tis. Kč</w:t>
      </w:r>
      <w:r w:rsidR="003F4D3A" w:rsidRPr="001A5150">
        <w:t xml:space="preserve"> a na akci Realizace komunikační strategie o </w:t>
      </w:r>
      <w:r w:rsidR="00FE3EB9" w:rsidRPr="001A5150">
        <w:t>3.000</w:t>
      </w:r>
      <w:r w:rsidR="003F4D3A" w:rsidRPr="001A5150">
        <w:t xml:space="preserve"> tis. Kč.</w:t>
      </w:r>
    </w:p>
    <w:p w14:paraId="3FD0AF86" w14:textId="08C6FB22" w:rsidR="00660347" w:rsidRPr="001A5150" w:rsidRDefault="00660347" w:rsidP="008B0F6E">
      <w:pPr>
        <w:pStyle w:val="MSKNormal"/>
        <w:spacing w:before="200"/>
      </w:pPr>
      <w:r w:rsidRPr="001A5150">
        <w:t>V období květen až červenec došlo ke zvýšení objemu rozpočtu o 5.184 tis. Kč, z toho na akci rozpočtu kraje Realizace komunikační strategie o 3.619 tis. Kč (realizace projektu Marketing pro mladé v MSK) a na akci Propagace kraje a prezentační předměty ve výši 1.500 tis. Kč (</w:t>
      </w:r>
      <w:r w:rsidR="00D7756F" w:rsidRPr="001A5150">
        <w:t xml:space="preserve">zejména posílení výdajů </w:t>
      </w:r>
      <w:r w:rsidR="00686029" w:rsidRPr="001A5150">
        <w:t xml:space="preserve">souvisejících s pořádáním </w:t>
      </w:r>
      <w:r w:rsidR="00D7756F" w:rsidRPr="001A5150">
        <w:t xml:space="preserve">prestižní akce </w:t>
      </w:r>
      <w:r w:rsidR="00D7756F" w:rsidRPr="001A5150">
        <w:rPr>
          <w:rFonts w:cs="Tahoma"/>
        </w:rPr>
        <w:t>Cena hejtmana kraje za společenskou odpovědnost)</w:t>
      </w:r>
      <w:r w:rsidRPr="001A5150">
        <w:t>.</w:t>
      </w:r>
    </w:p>
    <w:p w14:paraId="1715B5E1" w14:textId="77777777" w:rsidR="00660347" w:rsidRPr="001A5150" w:rsidRDefault="00660347" w:rsidP="008B0F6E">
      <w:pPr>
        <w:pStyle w:val="MSKNormal"/>
        <w:spacing w:before="200"/>
      </w:pPr>
    </w:p>
    <w:p w14:paraId="11D66735" w14:textId="68C9E3B7" w:rsidR="00D44D29" w:rsidRPr="001A5150" w:rsidRDefault="00FD7C90" w:rsidP="001318E4">
      <w:pPr>
        <w:pStyle w:val="Styltab"/>
      </w:pPr>
      <w:r w:rsidRPr="001A5150">
        <w:t xml:space="preserve">Výdaje v odvětví prezentace kraje a ediční </w:t>
      </w:r>
      <w:r w:rsidR="00011936" w:rsidRPr="001A5150">
        <w:t>plán</w:t>
      </w:r>
      <w:r w:rsidRPr="001A5150">
        <w:t xml:space="preserve"> na samosprávné a jiné činnosti zajišťované prostřednictvím krajského úřadu</w:t>
      </w:r>
      <w:r w:rsidR="001D386A" w:rsidRPr="001A5150">
        <w:tab/>
      </w:r>
      <w:r w:rsidRPr="001A5150">
        <w:t>v tis. Kč</w:t>
      </w:r>
      <w:bookmarkStart w:id="197" w:name="_MON_1469445012"/>
      <w:bookmarkStart w:id="198" w:name="_MON_1476601901"/>
      <w:bookmarkStart w:id="199" w:name="_MON_1477210788"/>
      <w:bookmarkStart w:id="200" w:name="_MON_1477372125"/>
      <w:bookmarkStart w:id="201" w:name="_MON_1489922461"/>
      <w:bookmarkStart w:id="202" w:name="_MON_1490173084"/>
      <w:bookmarkEnd w:id="197"/>
      <w:bookmarkEnd w:id="198"/>
      <w:bookmarkEnd w:id="199"/>
      <w:bookmarkEnd w:id="200"/>
      <w:bookmarkEnd w:id="201"/>
      <w:bookmarkEnd w:id="202"/>
      <w:bookmarkStart w:id="203" w:name="_MON_1490175040"/>
      <w:bookmarkEnd w:id="203"/>
      <w:r w:rsidR="004D434E" w:rsidRPr="001A5150">
        <w:object w:dxaOrig="9605" w:dyaOrig="3243" w14:anchorId="586AA6B3">
          <v:shape id="_x0000_i1057" type="#_x0000_t75" style="width:477.1pt;height:148.4pt" o:ole="">
            <v:imagedata r:id="rId73" o:title=""/>
          </v:shape>
          <o:OLEObject Type="Embed" ProgID="Excel.Sheet.8" ShapeID="_x0000_i1057" DrawAspect="Content" ObjectID="_1817201221" r:id="rId74"/>
        </w:object>
      </w:r>
    </w:p>
    <w:p w14:paraId="263D82A4" w14:textId="77777777" w:rsidR="00E76BD3" w:rsidRPr="001A5150" w:rsidRDefault="00E76BD3" w:rsidP="00E76BD3"/>
    <w:p w14:paraId="586AA5F6" w14:textId="77777777" w:rsidR="00014B18" w:rsidRPr="001A5150" w:rsidRDefault="00014B18" w:rsidP="00FD7C90">
      <w:pPr>
        <w:pStyle w:val="Nadpis3"/>
      </w:pPr>
      <w:r w:rsidRPr="001A5150">
        <w:t xml:space="preserve">Odvětví regionálního rozvoje </w:t>
      </w:r>
    </w:p>
    <w:p w14:paraId="11842463" w14:textId="47633231" w:rsidR="00D36DFC" w:rsidRPr="001A5150" w:rsidRDefault="00014B18" w:rsidP="00D36DFC">
      <w:r w:rsidRPr="001A5150">
        <w:rPr>
          <w:rFonts w:cs="Tahoma"/>
          <w:szCs w:val="20"/>
        </w:rPr>
        <w:t>Schválený rozpočet výdajů ve</w:t>
      </w:r>
      <w:r w:rsidR="00EA2718" w:rsidRPr="001A5150">
        <w:rPr>
          <w:rFonts w:cs="Tahoma"/>
          <w:szCs w:val="20"/>
        </w:rPr>
        <w:t> </w:t>
      </w:r>
      <w:r w:rsidRPr="001A5150">
        <w:rPr>
          <w:rFonts w:cs="Tahoma"/>
          <w:szCs w:val="20"/>
        </w:rPr>
        <w:t xml:space="preserve">výši </w:t>
      </w:r>
      <w:r w:rsidR="008067CD" w:rsidRPr="001A5150">
        <w:rPr>
          <w:rFonts w:cs="Tahoma"/>
          <w:szCs w:val="20"/>
        </w:rPr>
        <w:t>540.901</w:t>
      </w:r>
      <w:r w:rsidRPr="001A5150">
        <w:rPr>
          <w:rFonts w:cs="Tahoma"/>
          <w:szCs w:val="20"/>
        </w:rPr>
        <w:t xml:space="preserve"> tis. Kč v odvětví regionálního rozvoje byl </w:t>
      </w:r>
      <w:r w:rsidR="0026154E" w:rsidRPr="001A5150">
        <w:rPr>
          <w:rFonts w:cs="Tahoma"/>
          <w:szCs w:val="20"/>
        </w:rPr>
        <w:t>navýšen na</w:t>
      </w:r>
      <w:r w:rsidR="00C6579E" w:rsidRPr="001A5150">
        <w:rPr>
          <w:rFonts w:cs="Tahoma"/>
          <w:szCs w:val="20"/>
        </w:rPr>
        <w:t> </w:t>
      </w:r>
      <w:r w:rsidR="0026154E" w:rsidRPr="001A5150">
        <w:rPr>
          <w:rFonts w:cs="Tahoma"/>
          <w:szCs w:val="20"/>
        </w:rPr>
        <w:t xml:space="preserve">částku </w:t>
      </w:r>
      <w:r w:rsidR="00400F78" w:rsidRPr="001A5150">
        <w:rPr>
          <w:rFonts w:cs="Tahoma"/>
          <w:szCs w:val="20"/>
        </w:rPr>
        <w:t>1.102.337</w:t>
      </w:r>
      <w:r w:rsidRPr="001A5150">
        <w:rPr>
          <w:rFonts w:cs="Tahoma"/>
          <w:szCs w:val="20"/>
        </w:rPr>
        <w:t> tis. Kč</w:t>
      </w:r>
      <w:r w:rsidR="009F459B" w:rsidRPr="001A5150">
        <w:rPr>
          <w:rFonts w:cs="Tahoma"/>
          <w:szCs w:val="20"/>
        </w:rPr>
        <w:t>, tj.</w:t>
      </w:r>
      <w:r w:rsidR="00A027E9" w:rsidRPr="001A5150">
        <w:rPr>
          <w:rFonts w:cs="Tahoma"/>
          <w:szCs w:val="20"/>
        </w:rPr>
        <w:t> </w:t>
      </w:r>
      <w:r w:rsidR="00CC31E9" w:rsidRPr="001A5150">
        <w:rPr>
          <w:rFonts w:cs="Tahoma"/>
          <w:szCs w:val="20"/>
        </w:rPr>
        <w:t>na</w:t>
      </w:r>
      <w:r w:rsidR="00BE3D08" w:rsidRPr="001A5150">
        <w:rPr>
          <w:rFonts w:cs="Tahoma"/>
          <w:szCs w:val="20"/>
        </w:rPr>
        <w:t>výšení</w:t>
      </w:r>
      <w:r w:rsidR="000635A3" w:rsidRPr="001A5150">
        <w:rPr>
          <w:rFonts w:cs="Tahoma"/>
          <w:szCs w:val="20"/>
        </w:rPr>
        <w:t xml:space="preserve"> </w:t>
      </w:r>
      <w:r w:rsidR="009F459B" w:rsidRPr="001A5150">
        <w:rPr>
          <w:rFonts w:cs="Tahoma"/>
          <w:szCs w:val="20"/>
        </w:rPr>
        <w:t>o </w:t>
      </w:r>
      <w:r w:rsidR="00400F78" w:rsidRPr="001A5150">
        <w:rPr>
          <w:rFonts w:cs="Tahoma"/>
          <w:szCs w:val="20"/>
        </w:rPr>
        <w:t>561.436</w:t>
      </w:r>
      <w:r w:rsidR="00547CDD" w:rsidRPr="001A5150">
        <w:rPr>
          <w:rFonts w:cs="Tahoma"/>
          <w:szCs w:val="20"/>
        </w:rPr>
        <w:t> </w:t>
      </w:r>
      <w:r w:rsidR="009F459B" w:rsidRPr="001A5150">
        <w:rPr>
          <w:rFonts w:cs="Tahoma"/>
          <w:szCs w:val="20"/>
        </w:rPr>
        <w:t>tis. Kč.</w:t>
      </w:r>
      <w:r w:rsidR="00D36DFC" w:rsidRPr="001A5150">
        <w:t xml:space="preserve"> Celkové výdaje v odvětví byly čerpány ve výši </w:t>
      </w:r>
      <w:r w:rsidR="00400F78" w:rsidRPr="001A5150">
        <w:t>257.807</w:t>
      </w:r>
      <w:r w:rsidR="00D36DFC" w:rsidRPr="001A5150">
        <w:t xml:space="preserve"> tis. Kč, tj. </w:t>
      </w:r>
      <w:r w:rsidR="00400F78" w:rsidRPr="001A5150">
        <w:t>23 </w:t>
      </w:r>
      <w:r w:rsidR="00D36DFC" w:rsidRPr="001A5150">
        <w:t>% upraveného rozpočtu.</w:t>
      </w:r>
    </w:p>
    <w:p w14:paraId="586AA605" w14:textId="4D026E35" w:rsidR="00F967C2" w:rsidRPr="001A5150" w:rsidRDefault="00FD7C90" w:rsidP="001318E4">
      <w:pPr>
        <w:pStyle w:val="Styltab"/>
      </w:pPr>
      <w:r w:rsidRPr="001A5150">
        <w:lastRenderedPageBreak/>
        <w:t>Výdaje v odvětví regionálního rozvoje v členění dle účelu</w:t>
      </w:r>
      <w:r w:rsidR="00084562" w:rsidRPr="001A5150">
        <w:tab/>
      </w:r>
      <w:r w:rsidR="001E5784" w:rsidRPr="001A5150">
        <w:t>v tis. Kč</w:t>
      </w:r>
      <w:bookmarkStart w:id="204" w:name="_MON_1555937844"/>
      <w:bookmarkEnd w:id="204"/>
      <w:r w:rsidR="00400F78" w:rsidRPr="001A5150">
        <w:object w:dxaOrig="9480" w:dyaOrig="1414" w14:anchorId="586AA6B4">
          <v:shape id="_x0000_i1058" type="#_x0000_t75" style="width:467.7pt;height:70.75pt" o:ole="">
            <v:imagedata r:id="rId75" o:title=""/>
          </v:shape>
          <o:OLEObject Type="Embed" ProgID="Excel.Sheet.8" ShapeID="_x0000_i1058" DrawAspect="Content" ObjectID="_1817201222" r:id="rId76"/>
        </w:object>
      </w:r>
    </w:p>
    <w:p w14:paraId="015713DD" w14:textId="1FAA5014" w:rsidR="00795606" w:rsidRPr="001A5150" w:rsidRDefault="00D36DFC" w:rsidP="00FF77A9">
      <w:pPr>
        <w:pStyle w:val="MSKNormal"/>
        <w:spacing w:before="200"/>
      </w:pPr>
      <w:bookmarkStart w:id="205" w:name="_Hlk166474329"/>
      <w:r w:rsidRPr="001A5150">
        <w:t>Úprava rozpočtu v odvětví regionálního rozvoje v období leden až duben souvisela s nedočerpanými účelově vymezenými výdaji roku 202</w:t>
      </w:r>
      <w:r w:rsidR="00FE3EB9" w:rsidRPr="001A5150">
        <w:t>4</w:t>
      </w:r>
      <w:r w:rsidRPr="001A5150">
        <w:t xml:space="preserve"> v tomto odvětví, které byly zapojeny ke stejnému účelu do rozpočtu roku 202</w:t>
      </w:r>
      <w:r w:rsidR="00FE3EB9" w:rsidRPr="001A5150">
        <w:t>5</w:t>
      </w:r>
      <w:r w:rsidRPr="001A5150">
        <w:t xml:space="preserve"> ve výši </w:t>
      </w:r>
      <w:r w:rsidR="00FE3EB9" w:rsidRPr="001A5150">
        <w:t>183.335</w:t>
      </w:r>
      <w:r w:rsidRPr="001A5150">
        <w:t> tis. Kč, z toho na </w:t>
      </w:r>
      <w:r w:rsidR="0041746C" w:rsidRPr="001A5150">
        <w:t xml:space="preserve">akce spolufinancované z evropských finančních zdrojů </w:t>
      </w:r>
      <w:r w:rsidR="006554A1" w:rsidRPr="001A5150">
        <w:t xml:space="preserve">ve výši </w:t>
      </w:r>
      <w:r w:rsidR="00FE3EB9" w:rsidRPr="001A5150">
        <w:t>141.811</w:t>
      </w:r>
      <w:r w:rsidR="0041746C" w:rsidRPr="001A5150">
        <w:t xml:space="preserve"> tis. Kč (akce Vouchery pro podnikatele v Moravskoslezském kraji – 1. výzva ve výši </w:t>
      </w:r>
      <w:r w:rsidR="00FE3EB9" w:rsidRPr="001A5150">
        <w:t>91.688</w:t>
      </w:r>
      <w:r w:rsidR="0041746C" w:rsidRPr="001A5150">
        <w:t xml:space="preserve"> tis. Kč). </w:t>
      </w:r>
      <w:r w:rsidRPr="001A5150">
        <w:t>Další úprav</w:t>
      </w:r>
      <w:r w:rsidR="00770F6A" w:rsidRPr="001A5150">
        <w:t>a</w:t>
      </w:r>
      <w:r w:rsidRPr="001A5150">
        <w:t xml:space="preserve"> </w:t>
      </w:r>
      <w:r w:rsidR="00E052F2" w:rsidRPr="001A5150">
        <w:t>rozpočtu</w:t>
      </w:r>
      <w:r w:rsidR="00770F6A" w:rsidRPr="001A5150">
        <w:t xml:space="preserve"> v tomto odvětví souvisela se </w:t>
      </w:r>
      <w:r w:rsidRPr="001A5150">
        <w:t>zapojení</w:t>
      </w:r>
      <w:r w:rsidR="00770F6A" w:rsidRPr="001A5150">
        <w:t>m</w:t>
      </w:r>
      <w:r w:rsidRPr="001A5150">
        <w:t xml:space="preserve"> </w:t>
      </w:r>
      <w:r w:rsidR="00795606" w:rsidRPr="001A5150">
        <w:t>prostředků Fondu finančních zdrojů JESSICA do rozpočtu kraje ve výši 137.193 tis. Kč na poskytnutí úvěrů schváleným žadatelům</w:t>
      </w:r>
      <w:r w:rsidR="00E04076" w:rsidRPr="001A5150">
        <w:t xml:space="preserve"> o úvěr</w:t>
      </w:r>
      <w:r w:rsidR="00795606" w:rsidRPr="001A5150">
        <w:t>.</w:t>
      </w:r>
    </w:p>
    <w:p w14:paraId="75DC62D5" w14:textId="76FFC91F" w:rsidR="00670782" w:rsidRPr="001A5150" w:rsidRDefault="00400F78" w:rsidP="00670782">
      <w:pPr>
        <w:pStyle w:val="MSKNormal"/>
        <w:spacing w:before="200"/>
      </w:pPr>
      <w:r w:rsidRPr="001A5150">
        <w:t>V období květen až červenec došlo ke zvýšení objemu rozpočtu odvětví o 232.557 tis. Kč, což souviselo zejména se zapojením části zůstatku rozpočtového hospodaření do výdajů</w:t>
      </w:r>
      <w:r w:rsidR="00D16B70" w:rsidRPr="001A5150">
        <w:t xml:space="preserve"> odvětví</w:t>
      </w:r>
      <w:r w:rsidRPr="001A5150">
        <w:t xml:space="preserve"> ve výši 250.000</w:t>
      </w:r>
      <w:r w:rsidR="00D16B70" w:rsidRPr="001A5150">
        <w:t> </w:t>
      </w:r>
      <w:r w:rsidRPr="001A5150">
        <w:t>tis.</w:t>
      </w:r>
      <w:r w:rsidR="00D16B70" w:rsidRPr="001A5150">
        <w:t> </w:t>
      </w:r>
      <w:r w:rsidRPr="001A5150">
        <w:t>Kč určeného na nákup obchodního podílu – SIC Ostrava s.r.o.</w:t>
      </w:r>
      <w:r w:rsidR="00670782" w:rsidRPr="001A5150">
        <w:t xml:space="preserve"> Dále došlo ve sledovaném období ke snížení objemu výdajů na akcích spolufinancovaných z evropských finančních zdrojů o 17.864 tis. Kč, což souviselo s</w:t>
      </w:r>
      <w:r w:rsidR="00837364" w:rsidRPr="001A5150">
        <w:t> postupným přesunem prostředků do ostatních odvětví na zajištění financování akcí,</w:t>
      </w:r>
      <w:r w:rsidR="00670782" w:rsidRPr="001A5150">
        <w:t xml:space="preserve"> a k převodu vyčíslených úspor</w:t>
      </w:r>
      <w:r w:rsidRPr="001A5150">
        <w:t xml:space="preserve"> </w:t>
      </w:r>
      <w:r w:rsidR="00670782" w:rsidRPr="001A5150">
        <w:t>ve</w:t>
      </w:r>
      <w:r w:rsidR="00837364" w:rsidRPr="001A5150">
        <w:t> </w:t>
      </w:r>
      <w:r w:rsidR="00670782" w:rsidRPr="001A5150">
        <w:t xml:space="preserve">výši 738 tis. Kč do zdrojů pro tvorbu rozpočtu </w:t>
      </w:r>
      <w:r w:rsidR="00D16B70" w:rsidRPr="001A5150">
        <w:t xml:space="preserve">kraje </w:t>
      </w:r>
      <w:r w:rsidR="00670782" w:rsidRPr="001A5150">
        <w:t>na rok 2026.</w:t>
      </w:r>
    </w:p>
    <w:p w14:paraId="5C31E3A4" w14:textId="22C8745A" w:rsidR="00400F78" w:rsidRPr="001A5150" w:rsidRDefault="00400F78" w:rsidP="00FF77A9">
      <w:pPr>
        <w:pStyle w:val="MSKNormal"/>
        <w:spacing w:before="200"/>
      </w:pPr>
    </w:p>
    <w:p w14:paraId="642F3B8C" w14:textId="77777777" w:rsidR="00400F78" w:rsidRPr="001A5150" w:rsidRDefault="00400F78" w:rsidP="00FF77A9">
      <w:pPr>
        <w:pStyle w:val="MSKNormal"/>
        <w:spacing w:before="200"/>
      </w:pPr>
    </w:p>
    <w:bookmarkEnd w:id="205"/>
    <w:p w14:paraId="018A400E" w14:textId="5FEA79C2" w:rsidR="00E704E2" w:rsidRPr="001A5150" w:rsidRDefault="003C3932" w:rsidP="001318E4">
      <w:pPr>
        <w:pStyle w:val="Styltab"/>
      </w:pPr>
      <w:r w:rsidRPr="001A5150">
        <w:lastRenderedPageBreak/>
        <w:t>Výdaje v odvětví regionálního rozvoje na samosprávné a jiné činnosti zajišťované prostřednictvím krajského úřadu</w:t>
      </w:r>
      <w:r w:rsidRPr="001A5150">
        <w:tab/>
        <w:t xml:space="preserve">v tis. Kč </w:t>
      </w:r>
      <w:bookmarkStart w:id="206" w:name="_MON_1603602908"/>
      <w:bookmarkEnd w:id="206"/>
      <w:r w:rsidR="004D434E" w:rsidRPr="001A5150">
        <w:object w:dxaOrig="10320" w:dyaOrig="7968" w14:anchorId="5003BD88">
          <v:shape id="_x0000_i1059" type="#_x0000_t75" style="width:465.2pt;height:341.85pt" o:ole="">
            <v:imagedata r:id="rId77" o:title=""/>
          </v:shape>
          <o:OLEObject Type="Embed" ProgID="Excel.Sheet.8" ShapeID="_x0000_i1059" DrawAspect="Content" ObjectID="_1817201223" r:id="rId78"/>
        </w:object>
      </w:r>
    </w:p>
    <w:p w14:paraId="4DB9A535" w14:textId="77777777" w:rsidR="009C76BA" w:rsidRPr="001A5150" w:rsidRDefault="009C76BA" w:rsidP="009C76BA"/>
    <w:p w14:paraId="586AA608" w14:textId="77777777" w:rsidR="00014B18" w:rsidRPr="001A5150" w:rsidRDefault="00014B18" w:rsidP="00FD7C90">
      <w:pPr>
        <w:pStyle w:val="Nadpis3"/>
      </w:pPr>
      <w:bookmarkStart w:id="207" w:name="_MON_1469445347"/>
      <w:bookmarkStart w:id="208" w:name="_MON_1469516480"/>
      <w:bookmarkStart w:id="209" w:name="_MON_1469516900"/>
      <w:bookmarkStart w:id="210" w:name="_MON_1469516914"/>
      <w:bookmarkStart w:id="211" w:name="_MON_1476601952"/>
      <w:bookmarkStart w:id="212" w:name="_MON_1477210571"/>
      <w:bookmarkStart w:id="213" w:name="_MON_1477308564"/>
      <w:bookmarkStart w:id="214" w:name="_MON_1477377414"/>
      <w:bookmarkStart w:id="215" w:name="_MON_1477378100"/>
      <w:bookmarkStart w:id="216" w:name="_MON_1477378707"/>
      <w:bookmarkStart w:id="217" w:name="_MON_1477464166"/>
      <w:bookmarkStart w:id="218" w:name="_MON_1477464187"/>
      <w:bookmarkStart w:id="219" w:name="_MON_1489923050"/>
      <w:bookmarkStart w:id="220" w:name="_MON_1489923367"/>
      <w:bookmarkStart w:id="221" w:name="_MON_1489923518"/>
      <w:bookmarkStart w:id="222" w:name="_MON_1489923540"/>
      <w:bookmarkStart w:id="223" w:name="_MON_1490173122"/>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sidRPr="001A5150">
        <w:t>Odvětví cestovního ruchu</w:t>
      </w:r>
    </w:p>
    <w:p w14:paraId="4C02A545" w14:textId="29B979B9" w:rsidR="00EE12DC" w:rsidRPr="001A5150" w:rsidRDefault="00014B18" w:rsidP="00EE12DC">
      <w:r w:rsidRPr="001A5150">
        <w:t>Schválený rozpočet výdajů ve</w:t>
      </w:r>
      <w:r w:rsidR="00B40870" w:rsidRPr="001A5150">
        <w:t> </w:t>
      </w:r>
      <w:r w:rsidRPr="001A5150">
        <w:t xml:space="preserve">výši </w:t>
      </w:r>
      <w:r w:rsidR="0092068D" w:rsidRPr="001A5150">
        <w:t>166.648</w:t>
      </w:r>
      <w:r w:rsidR="00922F01" w:rsidRPr="001A5150">
        <w:t> </w:t>
      </w:r>
      <w:r w:rsidRPr="001A5150">
        <w:t>tis.</w:t>
      </w:r>
      <w:r w:rsidR="00922F01" w:rsidRPr="001A5150">
        <w:t> </w:t>
      </w:r>
      <w:r w:rsidRPr="001A5150">
        <w:t xml:space="preserve">Kč v odvětví cestovního ruchu byl celkově </w:t>
      </w:r>
      <w:r w:rsidR="0092068D" w:rsidRPr="001A5150">
        <w:t>upraven</w:t>
      </w:r>
      <w:r w:rsidRPr="001A5150">
        <w:t xml:space="preserve"> na částku </w:t>
      </w:r>
      <w:r w:rsidR="00CA59D5" w:rsidRPr="001A5150">
        <w:t>237.373</w:t>
      </w:r>
      <w:r w:rsidR="00922F01" w:rsidRPr="001A5150">
        <w:t> </w:t>
      </w:r>
      <w:r w:rsidRPr="001A5150">
        <w:t>tis.</w:t>
      </w:r>
      <w:r w:rsidR="00922F01" w:rsidRPr="001A5150">
        <w:t> </w:t>
      </w:r>
      <w:r w:rsidRPr="001A5150">
        <w:t>Kč</w:t>
      </w:r>
      <w:r w:rsidR="00AE1D53" w:rsidRPr="001A5150">
        <w:t xml:space="preserve">, což představuje navýšení o </w:t>
      </w:r>
      <w:r w:rsidR="00CA59D5" w:rsidRPr="001A5150">
        <w:t>70.725</w:t>
      </w:r>
      <w:r w:rsidR="00AE1D53" w:rsidRPr="001A5150">
        <w:t xml:space="preserve"> tis. Kč</w:t>
      </w:r>
      <w:r w:rsidRPr="001A5150">
        <w:t>.</w:t>
      </w:r>
      <w:r w:rsidR="00E307E3" w:rsidRPr="001A5150">
        <w:t xml:space="preserve"> </w:t>
      </w:r>
      <w:r w:rsidR="00EE12DC" w:rsidRPr="001A5150">
        <w:t>Čerpání výdajů v odvětví cestovního ruchu činilo k </w:t>
      </w:r>
      <w:r w:rsidR="00164DCF" w:rsidRPr="001A5150">
        <w:t>31. 7. 2025</w:t>
      </w:r>
      <w:r w:rsidR="00EE12DC" w:rsidRPr="001A5150">
        <w:t xml:space="preserve"> celkem </w:t>
      </w:r>
      <w:r w:rsidR="00CA59D5" w:rsidRPr="001A5150">
        <w:t>127.577</w:t>
      </w:r>
      <w:r w:rsidR="00EE12DC" w:rsidRPr="001A5150">
        <w:t xml:space="preserve"> tis. Kč, což představuje </w:t>
      </w:r>
      <w:r w:rsidR="00CA59D5" w:rsidRPr="001A5150">
        <w:t>54</w:t>
      </w:r>
      <w:r w:rsidR="00EE12DC" w:rsidRPr="001A5150">
        <w:t xml:space="preserve"> % upraveného rozpočtu. </w:t>
      </w:r>
    </w:p>
    <w:p w14:paraId="2A9BACE2" w14:textId="365D4CDF" w:rsidR="00A35EA0" w:rsidRPr="001A5150" w:rsidRDefault="00FD7C90" w:rsidP="001318E4">
      <w:pPr>
        <w:pStyle w:val="Styltab"/>
      </w:pPr>
      <w:r w:rsidRPr="001A5150">
        <w:t>Výdaje v odvětví cestovního ruchu v členění dle účelu</w:t>
      </w:r>
      <w:r w:rsidRPr="001A5150">
        <w:tab/>
        <w:t>v tis. Kč</w:t>
      </w:r>
      <w:bookmarkStart w:id="224" w:name="_MON_1690375366"/>
      <w:bookmarkEnd w:id="224"/>
      <w:r w:rsidR="004D434E" w:rsidRPr="001A5150">
        <w:object w:dxaOrig="9417" w:dyaOrig="2067" w14:anchorId="31442C00">
          <v:shape id="_x0000_i1060" type="#_x0000_t75" style="width:468.3pt;height:108.3pt" o:ole="">
            <v:imagedata r:id="rId79" o:title=""/>
          </v:shape>
          <o:OLEObject Type="Embed" ProgID="Excel.Sheet.8" ShapeID="_x0000_i1060" DrawAspect="Content" ObjectID="_1817201224" r:id="rId80"/>
        </w:object>
      </w:r>
    </w:p>
    <w:p w14:paraId="35E5692B" w14:textId="1AD57C2C" w:rsidR="00E04076" w:rsidRPr="001A5150" w:rsidRDefault="00222499" w:rsidP="00100DF4">
      <w:pPr>
        <w:pStyle w:val="MSKNormal"/>
        <w:spacing w:before="200"/>
      </w:pPr>
      <w:r w:rsidRPr="001A5150">
        <w:t>V</w:t>
      </w:r>
      <w:r w:rsidR="00EE12DC" w:rsidRPr="001A5150">
        <w:t>ýznamná úprava v období leden až duben souvisela s nedočerpanými účelově vymezenými výdaji roku 202</w:t>
      </w:r>
      <w:r w:rsidR="00E04076" w:rsidRPr="001A5150">
        <w:t>4</w:t>
      </w:r>
      <w:r w:rsidR="00EE12DC" w:rsidRPr="001A5150">
        <w:t xml:space="preserve"> v celkovém objemu </w:t>
      </w:r>
      <w:r w:rsidR="00E04076" w:rsidRPr="001A5150">
        <w:t>49.564</w:t>
      </w:r>
      <w:r w:rsidR="00EE12DC" w:rsidRPr="001A5150">
        <w:t> tis. Kč, které byly zapojeny ke stejnému účelu do rozpočtu roku 202</w:t>
      </w:r>
      <w:r w:rsidR="00E04076" w:rsidRPr="001A5150">
        <w:t>5</w:t>
      </w:r>
      <w:r w:rsidR="00420116" w:rsidRPr="001A5150">
        <w:t xml:space="preserve">, z toho byly určeny na výdaje na </w:t>
      </w:r>
      <w:r w:rsidR="00EE12DC" w:rsidRPr="001A5150">
        <w:t>samosprávné a jiné činnosti realizované krajským úřadem</w:t>
      </w:r>
      <w:r w:rsidR="00D0555F" w:rsidRPr="001A5150">
        <w:t xml:space="preserve"> prostředky ve</w:t>
      </w:r>
      <w:r w:rsidRPr="001A5150">
        <w:t> </w:t>
      </w:r>
      <w:r w:rsidR="00D0555F" w:rsidRPr="001A5150">
        <w:t xml:space="preserve">výši </w:t>
      </w:r>
      <w:r w:rsidR="00E04076" w:rsidRPr="001A5150">
        <w:t>49.374</w:t>
      </w:r>
      <w:r w:rsidR="00D0555F" w:rsidRPr="001A5150">
        <w:t xml:space="preserve"> tis. Kč</w:t>
      </w:r>
      <w:r w:rsidR="00EE12DC" w:rsidRPr="001A5150">
        <w:t xml:space="preserve">. Do rozpočtu odvětví cestovního ruchu byla ve sledovaném období zapojena část </w:t>
      </w:r>
      <w:r w:rsidR="00EE12DC" w:rsidRPr="001A5150">
        <w:lastRenderedPageBreak/>
        <w:t>zůstatku rozpočtového hospodaření kraje za rok 202</w:t>
      </w:r>
      <w:r w:rsidR="00E04076" w:rsidRPr="001A5150">
        <w:t>4</w:t>
      </w:r>
      <w:r w:rsidR="00EE12DC" w:rsidRPr="001A5150">
        <w:t xml:space="preserve"> ve výši </w:t>
      </w:r>
      <w:r w:rsidR="00E04076" w:rsidRPr="001A5150">
        <w:t>18.484</w:t>
      </w:r>
      <w:r w:rsidR="00EE12DC" w:rsidRPr="001A5150">
        <w:t> tis. Kč</w:t>
      </w:r>
      <w:r w:rsidR="00E04076" w:rsidRPr="001A5150">
        <w:t xml:space="preserve"> v rámci akce Individuální dotace – Podpora významných akcí cestovního ruchu</w:t>
      </w:r>
      <w:r w:rsidR="00EE12DC" w:rsidRPr="001A5150">
        <w:t xml:space="preserve">, a to </w:t>
      </w:r>
      <w:r w:rsidR="00E04076" w:rsidRPr="001A5150">
        <w:t>v návaznosti na dřívější předložení závěrečného vyúčtování individuální dotace, u níž bylo plánováno vyplacení v roce 2026 a prostředky byly součástí schváleného Střednědobého výhledu rozpočtu Moravskoslezského kraje na léta 2026-2028.</w:t>
      </w:r>
    </w:p>
    <w:p w14:paraId="609B9F7A" w14:textId="3A08572D" w:rsidR="000940C7" w:rsidRPr="001A5150" w:rsidRDefault="00767153" w:rsidP="001D026F">
      <w:pPr>
        <w:pStyle w:val="MSKNormal"/>
        <w:spacing w:before="200"/>
      </w:pPr>
      <w:r w:rsidRPr="001A5150">
        <w:t xml:space="preserve">V období květen až červenec došlo ke zvýšení objemu rozpočtu odvětví </w:t>
      </w:r>
      <w:r w:rsidR="001D026F" w:rsidRPr="001A5150">
        <w:t>o 896 tis. Kč</w:t>
      </w:r>
      <w:r w:rsidR="005F06F8" w:rsidRPr="001A5150">
        <w:t xml:space="preserve">. Na změnu objemu rozpočtu mělo vliv nejen zapojení </w:t>
      </w:r>
      <w:r w:rsidR="001D026F" w:rsidRPr="001A5150">
        <w:t>vrat</w:t>
      </w:r>
      <w:r w:rsidR="000940C7" w:rsidRPr="001A5150">
        <w:t>e</w:t>
      </w:r>
      <w:r w:rsidR="001D026F" w:rsidRPr="001A5150">
        <w:t>k vyúčtovaných dotací</w:t>
      </w:r>
      <w:r w:rsidR="000940C7" w:rsidRPr="001A5150">
        <w:t xml:space="preserve"> ve výši 1.145 tis. Kč do výdajů (</w:t>
      </w:r>
      <w:r w:rsidR="00CF6CE8" w:rsidRPr="001A5150">
        <w:t>např. na </w:t>
      </w:r>
      <w:r w:rsidR="000940C7" w:rsidRPr="001A5150">
        <w:t xml:space="preserve">poskytnutí </w:t>
      </w:r>
      <w:r w:rsidR="001D026F" w:rsidRPr="001A5150">
        <w:t>individuální dotac</w:t>
      </w:r>
      <w:r w:rsidR="00CF6CE8" w:rsidRPr="001A5150">
        <w:t xml:space="preserve">e </w:t>
      </w:r>
      <w:r w:rsidR="001D026F" w:rsidRPr="001A5150">
        <w:t xml:space="preserve">subjektu </w:t>
      </w:r>
      <w:proofErr w:type="gramStart"/>
      <w:r w:rsidR="001D026F" w:rsidRPr="001A5150">
        <w:t>Jeseníky - Sdružení</w:t>
      </w:r>
      <w:proofErr w:type="gramEnd"/>
      <w:r w:rsidR="001D026F" w:rsidRPr="001A5150">
        <w:t xml:space="preserve"> cestovního ruchu na</w:t>
      </w:r>
      <w:r w:rsidR="005F06F8" w:rsidRPr="001A5150">
        <w:t> </w:t>
      </w:r>
      <w:r w:rsidR="001D026F" w:rsidRPr="001A5150">
        <w:t>podporu projektu Podpora návštěvnosti destinace Jeseníky – Moravskoslezský kraj II. etapa)</w:t>
      </w:r>
      <w:r w:rsidR="000940C7" w:rsidRPr="001A5150">
        <w:t xml:space="preserve">, ale také </w:t>
      </w:r>
      <w:r w:rsidR="004A7D59" w:rsidRPr="001A5150">
        <w:t xml:space="preserve">zejména </w:t>
      </w:r>
      <w:r w:rsidR="000940C7" w:rsidRPr="001A5150">
        <w:t xml:space="preserve">převod vyčíslené úspory ve výši 247 tis. Kč do zdrojů </w:t>
      </w:r>
      <w:r w:rsidR="00AA4F9C" w:rsidRPr="001A5150">
        <w:t>pro tvorbu rozpočtu na rok 2026</w:t>
      </w:r>
      <w:r w:rsidR="000940C7" w:rsidRPr="001A5150">
        <w:t>.</w:t>
      </w:r>
    </w:p>
    <w:p w14:paraId="586AA614" w14:textId="1B412FC9" w:rsidR="00B47D6C" w:rsidRPr="001A5150" w:rsidRDefault="00FD7C90" w:rsidP="001318E4">
      <w:pPr>
        <w:pStyle w:val="Styltab"/>
      </w:pPr>
      <w:bookmarkStart w:id="225" w:name="_MON_1476601971"/>
      <w:bookmarkStart w:id="226" w:name="_MON_1477204127"/>
      <w:bookmarkStart w:id="227" w:name="_MON_1489918522"/>
      <w:bookmarkStart w:id="228" w:name="_MON_1490173141"/>
      <w:bookmarkStart w:id="229" w:name="_MON_1490173163"/>
      <w:bookmarkEnd w:id="225"/>
      <w:bookmarkEnd w:id="226"/>
      <w:bookmarkEnd w:id="227"/>
      <w:bookmarkEnd w:id="228"/>
      <w:bookmarkEnd w:id="229"/>
      <w:r w:rsidRPr="001A5150">
        <w:t>Výdaje v odvětví cestovního ruchu na</w:t>
      </w:r>
      <w:r w:rsidR="00CD744C" w:rsidRPr="001A5150">
        <w:t> </w:t>
      </w:r>
      <w:r w:rsidRPr="001A5150">
        <w:t>samosprávné a jiné činnosti zajišťované prostřednictvím krajského úřadu</w:t>
      </w:r>
      <w:r w:rsidRPr="001A5150">
        <w:tab/>
        <w:t>v tis. Kč</w:t>
      </w:r>
      <w:bookmarkStart w:id="230" w:name="_MON_1555401915"/>
      <w:bookmarkEnd w:id="230"/>
      <w:r w:rsidR="00CA59D5" w:rsidRPr="001A5150">
        <w:object w:dxaOrig="10493" w:dyaOrig="6464" w14:anchorId="586AA6B7">
          <v:shape id="_x0000_i1061" type="#_x0000_t75" style="width:472.05pt;height:266.1pt" o:ole="">
            <v:imagedata r:id="rId81" o:title=""/>
          </v:shape>
          <o:OLEObject Type="Embed" ProgID="Excel.Sheet.8" ShapeID="_x0000_i1061" DrawAspect="Content" ObjectID="_1817201225" r:id="rId82"/>
        </w:object>
      </w:r>
    </w:p>
    <w:p w14:paraId="586AA616" w14:textId="59321B44" w:rsidR="00D21663" w:rsidRPr="001A5150" w:rsidRDefault="00D21663" w:rsidP="001318E4">
      <w:pPr>
        <w:pStyle w:val="Styltab"/>
      </w:pPr>
      <w:r w:rsidRPr="001A5150">
        <w:t>Příspěvek na</w:t>
      </w:r>
      <w:r w:rsidR="00CD744C" w:rsidRPr="001A5150">
        <w:t> </w:t>
      </w:r>
      <w:r w:rsidRPr="001A5150">
        <w:t>provoz příspěvkovým organizacím kraje</w:t>
      </w:r>
      <w:r w:rsidR="006F076A" w:rsidRPr="001A5150">
        <w:tab/>
      </w:r>
      <w:r w:rsidRPr="001A5150">
        <w:t>v tis. Kč</w:t>
      </w:r>
      <w:bookmarkStart w:id="231" w:name="_MON_1595406710"/>
      <w:bookmarkEnd w:id="231"/>
      <w:r w:rsidR="00CA59D5" w:rsidRPr="001A5150">
        <w:object w:dxaOrig="10032" w:dyaOrig="1400" w14:anchorId="586AA6B8">
          <v:shape id="_x0000_i1062" type="#_x0000_t75" style="width:471.45pt;height:58.85pt" o:ole="">
            <v:imagedata r:id="rId83" o:title=""/>
          </v:shape>
          <o:OLEObject Type="Embed" ProgID="Excel.Sheet.8" ShapeID="_x0000_i1062" DrawAspect="Content" ObjectID="_1817201226" r:id="rId84"/>
        </w:object>
      </w:r>
    </w:p>
    <w:p w14:paraId="0F2C5AA6" w14:textId="77777777" w:rsidR="000934AC" w:rsidRPr="001A5150" w:rsidRDefault="000934AC" w:rsidP="000934AC"/>
    <w:p w14:paraId="586AA617" w14:textId="77777777" w:rsidR="008B22CC" w:rsidRPr="001A5150" w:rsidRDefault="008B22CC" w:rsidP="00FD7C90">
      <w:pPr>
        <w:pStyle w:val="Nadpis3"/>
      </w:pPr>
      <w:bookmarkStart w:id="232" w:name="_MON_1469445359"/>
      <w:bookmarkStart w:id="233" w:name="_MON_1469516999"/>
      <w:bookmarkStart w:id="234" w:name="_MON_1469517546"/>
      <w:bookmarkStart w:id="235" w:name="_MON_1476601992"/>
      <w:bookmarkStart w:id="236" w:name="_MON_1477209799"/>
      <w:bookmarkStart w:id="237" w:name="_MON_1477372345"/>
      <w:bookmarkStart w:id="238" w:name="_MON_1477378279"/>
      <w:bookmarkStart w:id="239" w:name="_MON_1477378284"/>
      <w:bookmarkStart w:id="240" w:name="_MON_1477378695"/>
      <w:bookmarkStart w:id="241" w:name="_MON_1477464212"/>
      <w:bookmarkStart w:id="242" w:name="_MON_1489923555"/>
      <w:bookmarkStart w:id="243" w:name="_MON_1490173177"/>
      <w:bookmarkEnd w:id="232"/>
      <w:bookmarkEnd w:id="233"/>
      <w:bookmarkEnd w:id="234"/>
      <w:bookmarkEnd w:id="235"/>
      <w:bookmarkEnd w:id="236"/>
      <w:bookmarkEnd w:id="237"/>
      <w:bookmarkEnd w:id="238"/>
      <w:bookmarkEnd w:id="239"/>
      <w:bookmarkEnd w:id="240"/>
      <w:bookmarkEnd w:id="241"/>
      <w:bookmarkEnd w:id="242"/>
      <w:bookmarkEnd w:id="243"/>
      <w:r w:rsidRPr="001A5150">
        <w:t xml:space="preserve">Odvětví sociálních věcí </w:t>
      </w:r>
    </w:p>
    <w:p w14:paraId="5E3D5BB6" w14:textId="6EA3EFBB" w:rsidR="001D09D4" w:rsidRPr="001A5150" w:rsidRDefault="008B22CC" w:rsidP="001D09D4">
      <w:pPr>
        <w:spacing w:after="240"/>
        <w:rPr>
          <w:rFonts w:cs="Tahoma"/>
          <w:szCs w:val="20"/>
        </w:rPr>
      </w:pPr>
      <w:r w:rsidRPr="001A5150">
        <w:rPr>
          <w:rFonts w:cs="Tahoma"/>
          <w:szCs w:val="20"/>
        </w:rPr>
        <w:t>Schválený rozpočet výdajů na</w:t>
      </w:r>
      <w:r w:rsidR="00965AF8" w:rsidRPr="001A5150">
        <w:rPr>
          <w:rFonts w:cs="Tahoma"/>
          <w:szCs w:val="20"/>
        </w:rPr>
        <w:t> </w:t>
      </w:r>
      <w:r w:rsidRPr="001A5150">
        <w:rPr>
          <w:rFonts w:cs="Tahoma"/>
          <w:szCs w:val="20"/>
        </w:rPr>
        <w:t xml:space="preserve">rok </w:t>
      </w:r>
      <w:r w:rsidR="0055624A" w:rsidRPr="001A5150">
        <w:rPr>
          <w:rFonts w:cs="Tahoma"/>
          <w:szCs w:val="20"/>
        </w:rPr>
        <w:t>202</w:t>
      </w:r>
      <w:r w:rsidR="001745E1" w:rsidRPr="001A5150">
        <w:rPr>
          <w:rFonts w:cs="Tahoma"/>
          <w:szCs w:val="20"/>
        </w:rPr>
        <w:t>5</w:t>
      </w:r>
      <w:r w:rsidRPr="001A5150">
        <w:rPr>
          <w:rFonts w:cs="Tahoma"/>
          <w:szCs w:val="20"/>
        </w:rPr>
        <w:t xml:space="preserve"> v odvětví sociálních věcí ve</w:t>
      </w:r>
      <w:r w:rsidR="00965AF8" w:rsidRPr="001A5150">
        <w:rPr>
          <w:rFonts w:cs="Tahoma"/>
          <w:szCs w:val="20"/>
        </w:rPr>
        <w:t> </w:t>
      </w:r>
      <w:r w:rsidRPr="001A5150">
        <w:rPr>
          <w:rFonts w:cs="Tahoma"/>
          <w:szCs w:val="20"/>
        </w:rPr>
        <w:t xml:space="preserve">výši </w:t>
      </w:r>
      <w:r w:rsidR="001745E1" w:rsidRPr="001A5150">
        <w:rPr>
          <w:rFonts w:cs="Tahoma"/>
          <w:szCs w:val="20"/>
        </w:rPr>
        <w:t>4.757.214</w:t>
      </w:r>
      <w:r w:rsidRPr="001A5150">
        <w:rPr>
          <w:rFonts w:cs="Tahoma"/>
          <w:szCs w:val="20"/>
        </w:rPr>
        <w:t xml:space="preserve"> tis. Kč byl následně upraven na částku </w:t>
      </w:r>
      <w:r w:rsidR="00CA59D5" w:rsidRPr="001A5150">
        <w:rPr>
          <w:rFonts w:cs="Tahoma"/>
          <w:szCs w:val="20"/>
        </w:rPr>
        <w:t>5.022.179</w:t>
      </w:r>
      <w:r w:rsidRPr="001A5150">
        <w:rPr>
          <w:rFonts w:cs="Tahoma"/>
          <w:szCs w:val="20"/>
        </w:rPr>
        <w:t> tis. Kč</w:t>
      </w:r>
      <w:r w:rsidR="00A1506E" w:rsidRPr="001A5150">
        <w:rPr>
          <w:rFonts w:cs="Tahoma"/>
          <w:szCs w:val="20"/>
        </w:rPr>
        <w:t>, což představuje navýšení o</w:t>
      </w:r>
      <w:r w:rsidR="00321A9C" w:rsidRPr="001A5150">
        <w:rPr>
          <w:rFonts w:cs="Tahoma"/>
          <w:szCs w:val="20"/>
        </w:rPr>
        <w:t> </w:t>
      </w:r>
      <w:r w:rsidR="00CA59D5" w:rsidRPr="001A5150">
        <w:rPr>
          <w:rFonts w:cs="Tahoma"/>
          <w:szCs w:val="20"/>
        </w:rPr>
        <w:t>264.965</w:t>
      </w:r>
      <w:r w:rsidR="00191211" w:rsidRPr="001A5150">
        <w:rPr>
          <w:rFonts w:cs="Tahoma"/>
          <w:szCs w:val="20"/>
        </w:rPr>
        <w:t xml:space="preserve"> </w:t>
      </w:r>
      <w:r w:rsidR="00A1506E" w:rsidRPr="001A5150">
        <w:rPr>
          <w:rFonts w:cs="Tahoma"/>
          <w:szCs w:val="20"/>
        </w:rPr>
        <w:t>tis. Kč.</w:t>
      </w:r>
      <w:r w:rsidRPr="001A5150">
        <w:rPr>
          <w:rFonts w:cs="Tahoma"/>
          <w:szCs w:val="20"/>
        </w:rPr>
        <w:t xml:space="preserve"> </w:t>
      </w:r>
      <w:r w:rsidR="001D09D4" w:rsidRPr="001A5150">
        <w:t>Výdaje</w:t>
      </w:r>
      <w:r w:rsidR="001D09D4" w:rsidRPr="001A5150">
        <w:rPr>
          <w:rFonts w:cs="Tahoma"/>
          <w:szCs w:val="20"/>
        </w:rPr>
        <w:t xml:space="preserve"> byly v odvětví čerpány ve výši </w:t>
      </w:r>
      <w:r w:rsidR="00CA59D5" w:rsidRPr="001A5150">
        <w:rPr>
          <w:rFonts w:cs="Tahoma"/>
          <w:szCs w:val="20"/>
        </w:rPr>
        <w:t>3.868.651</w:t>
      </w:r>
      <w:r w:rsidR="00DF294A" w:rsidRPr="001A5150">
        <w:rPr>
          <w:rFonts w:cs="Tahoma"/>
          <w:szCs w:val="20"/>
        </w:rPr>
        <w:t> </w:t>
      </w:r>
      <w:r w:rsidR="00AF0BAE" w:rsidRPr="001A5150">
        <w:rPr>
          <w:rFonts w:cs="Tahoma"/>
          <w:szCs w:val="20"/>
        </w:rPr>
        <w:t>t</w:t>
      </w:r>
      <w:r w:rsidR="001D09D4" w:rsidRPr="001A5150">
        <w:rPr>
          <w:rFonts w:cs="Tahoma"/>
          <w:szCs w:val="20"/>
        </w:rPr>
        <w:t>is. Kč, tj. na </w:t>
      </w:r>
      <w:r w:rsidR="00CA59D5" w:rsidRPr="001A5150">
        <w:rPr>
          <w:rFonts w:cs="Tahoma"/>
          <w:szCs w:val="20"/>
        </w:rPr>
        <w:t>77</w:t>
      </w:r>
      <w:r w:rsidR="001D09D4" w:rsidRPr="001A5150">
        <w:rPr>
          <w:rFonts w:cs="Tahoma"/>
          <w:szCs w:val="20"/>
        </w:rPr>
        <w:t xml:space="preserve"> % upraveného rozpočtu. </w:t>
      </w:r>
    </w:p>
    <w:p w14:paraId="3711E9AA" w14:textId="46F10C50" w:rsidR="00334938" w:rsidRPr="001A5150" w:rsidRDefault="002B471A" w:rsidP="001318E4">
      <w:pPr>
        <w:pStyle w:val="Styltab"/>
      </w:pPr>
      <w:r w:rsidRPr="001A5150">
        <w:lastRenderedPageBreak/>
        <w:t>Výdaje v odvětví sociálních věcí v členění dle účelu</w:t>
      </w:r>
      <w:r w:rsidRPr="001A5150">
        <w:tab/>
        <w:t>v tis. Kč</w:t>
      </w:r>
      <w:bookmarkStart w:id="244" w:name="_MON_1555990546"/>
      <w:bookmarkEnd w:id="244"/>
      <w:r w:rsidR="00CA59D5" w:rsidRPr="001A5150">
        <w:object w:dxaOrig="9355" w:dyaOrig="2314" w14:anchorId="71C24FC2">
          <v:shape id="_x0000_i1063" type="#_x0000_t75" style="width:468.3pt;height:122.1pt" o:ole="">
            <v:imagedata r:id="rId85" o:title=""/>
          </v:shape>
          <o:OLEObject Type="Embed" ProgID="Excel.Sheet.8" ShapeID="_x0000_i1063" DrawAspect="Content" ObjectID="_1817201227" r:id="rId86"/>
        </w:object>
      </w:r>
    </w:p>
    <w:p w14:paraId="6705E2D5" w14:textId="77777777" w:rsidR="009F3536" w:rsidRPr="001A5150" w:rsidRDefault="009F3536" w:rsidP="004D54D2">
      <w:pPr>
        <w:spacing w:after="0"/>
      </w:pPr>
      <w:bookmarkStart w:id="245" w:name="_Hlk166571928"/>
    </w:p>
    <w:p w14:paraId="1C941EB4" w14:textId="261141F9" w:rsidR="008E3DF1" w:rsidRPr="001A5150" w:rsidRDefault="00AF0BAE" w:rsidP="009F3536">
      <w:pPr>
        <w:spacing w:after="0"/>
      </w:pPr>
      <w:bookmarkStart w:id="246" w:name="_Hlk198536678"/>
      <w:r w:rsidRPr="001A5150">
        <w:t xml:space="preserve">Významná rozpočtová úprava v období leden až duben souvisela </w:t>
      </w:r>
      <w:r w:rsidR="00AB4D9B" w:rsidRPr="001A5150">
        <w:t>s</w:t>
      </w:r>
      <w:r w:rsidR="001174A1" w:rsidRPr="001A5150">
        <w:t xml:space="preserve">e zapojením </w:t>
      </w:r>
      <w:r w:rsidRPr="001A5150">
        <w:t>nedočerpaných účelově vymezených výdajů roku 202</w:t>
      </w:r>
      <w:r w:rsidR="004D54D2" w:rsidRPr="001A5150">
        <w:t>4</w:t>
      </w:r>
      <w:r w:rsidRPr="001A5150">
        <w:t xml:space="preserve"> ve výši </w:t>
      </w:r>
      <w:r w:rsidR="004D54D2" w:rsidRPr="001A5150">
        <w:t>356.202</w:t>
      </w:r>
      <w:r w:rsidRPr="001A5150">
        <w:t> tis. Kč, které byly zapojeny ke stejnému účelu do rozpočtu roku 202</w:t>
      </w:r>
      <w:r w:rsidR="004D54D2" w:rsidRPr="001A5150">
        <w:t>5</w:t>
      </w:r>
      <w:r w:rsidR="00B67BF3" w:rsidRPr="001A5150">
        <w:t>. Na</w:t>
      </w:r>
      <w:r w:rsidR="00203434" w:rsidRPr="001A5150">
        <w:t> </w:t>
      </w:r>
      <w:r w:rsidR="00B67BF3" w:rsidRPr="001A5150">
        <w:t xml:space="preserve">akce </w:t>
      </w:r>
      <w:r w:rsidR="004D54D2" w:rsidRPr="001A5150">
        <w:t>spolufinancované z evropských finančních zdrojů byly celkově zapojeny prostředky ve výši 225.036 tis. Kč, z toho zejména na akci Výstavba domova se zvláštním režimem 29.095 tis. Kč, na akci Podpora služeb sociální prevence 2022+ 26.455 tis. Kč a na akci Zateplení a stavební úpravy správní budovy, pavilonu E a F Domova Březiny 21.514 tis. Kč. U akcí reprodukce majetku kraje došlo k navýšení objemu rozpočtu o 129.700 tis. Kč, z toho u akce rozpočtu kraje Rekonstrukce budovy a spojovací chodby Máchova o 84.030 tis. Kč.</w:t>
      </w:r>
      <w:r w:rsidR="009F3536" w:rsidRPr="001A5150">
        <w:t xml:space="preserve"> </w:t>
      </w:r>
      <w:r w:rsidR="008E3DF1" w:rsidRPr="001A5150">
        <w:t>Ve sledovaném období dále došlo k výraznému snížení objemu rozpočtu na akcích spolufinancovaných z evropských finančních zdrojů</w:t>
      </w:r>
      <w:r w:rsidR="00AB7E62" w:rsidRPr="001A5150">
        <w:t>, a to</w:t>
      </w:r>
      <w:r w:rsidR="009F3536" w:rsidRPr="001A5150">
        <w:t xml:space="preserve"> o</w:t>
      </w:r>
      <w:r w:rsidR="00F41F89" w:rsidRPr="001A5150">
        <w:t> 302.174 </w:t>
      </w:r>
      <w:r w:rsidR="009F3536" w:rsidRPr="001A5150">
        <w:t>tis. Kč</w:t>
      </w:r>
      <w:r w:rsidR="008E3DF1" w:rsidRPr="001A5150">
        <w:t>, což souviselo s provedenými souhrnnými rozpočtovými úpravami</w:t>
      </w:r>
      <w:r w:rsidR="009F3536" w:rsidRPr="001A5150">
        <w:t xml:space="preserve"> </w:t>
      </w:r>
      <w:r w:rsidR="00AB7E62" w:rsidRPr="001A5150">
        <w:t>ve sledovaném období</w:t>
      </w:r>
      <w:r w:rsidR="008E3DF1" w:rsidRPr="001A5150">
        <w:t>, kterými došlo ke zreálnění čerpání výdajů v letech.</w:t>
      </w:r>
    </w:p>
    <w:p w14:paraId="2E558977" w14:textId="77777777" w:rsidR="0048270C" w:rsidRPr="001A5150" w:rsidRDefault="0048270C" w:rsidP="00DD1CDF">
      <w:pPr>
        <w:spacing w:after="0"/>
      </w:pPr>
      <w:bookmarkStart w:id="247" w:name="_Hlk182813975"/>
      <w:bookmarkStart w:id="248" w:name="_Hlk174343347"/>
    </w:p>
    <w:p w14:paraId="6BA609E3" w14:textId="22BDE1B1" w:rsidR="0039651E" w:rsidRPr="001A5150" w:rsidRDefault="0039651E" w:rsidP="00DD1CDF">
      <w:pPr>
        <w:spacing w:after="0"/>
      </w:pPr>
      <w:r w:rsidRPr="001A5150">
        <w:t>V období květen až červen došlo ke zvýšení objemu rozpočtu o 38.517 tis. Kč</w:t>
      </w:r>
      <w:r w:rsidR="00E269FE" w:rsidRPr="001A5150">
        <w:t xml:space="preserve">. Změna objemu rozpočtu byla ovlivněna </w:t>
      </w:r>
      <w:r w:rsidRPr="001A5150">
        <w:t xml:space="preserve">zejména zapojením části zůstatku rozpočtového hospodaření kraje za rok 2024 </w:t>
      </w:r>
      <w:r w:rsidR="00E269FE" w:rsidRPr="001A5150">
        <w:t xml:space="preserve">do odvětví </w:t>
      </w:r>
      <w:r w:rsidRPr="001A5150">
        <w:t>ve</w:t>
      </w:r>
      <w:r w:rsidR="00E269FE" w:rsidRPr="001A5150">
        <w:t> </w:t>
      </w:r>
      <w:r w:rsidRPr="001A5150">
        <w:t>výši 50.000 Kč (podpor</w:t>
      </w:r>
      <w:r w:rsidR="00F21562" w:rsidRPr="001A5150">
        <w:t>a</w:t>
      </w:r>
      <w:r w:rsidRPr="001A5150">
        <w:t xml:space="preserve"> projektu Humanizace a rozšíření pobytové sociální služby v Havířově), </w:t>
      </w:r>
      <w:r w:rsidR="00E269FE" w:rsidRPr="001A5150">
        <w:t>zapojením dotací do výdajů na akce spolufinancované z evropských finančních zdrojů ve výši 11.235 tis</w:t>
      </w:r>
      <w:r w:rsidR="00193B9E" w:rsidRPr="001A5150">
        <w:t xml:space="preserve">. Kč a dále </w:t>
      </w:r>
      <w:r w:rsidRPr="001A5150">
        <w:t>převodem vyčíslených úspor do zdrojů rozpočtu kraje na rok 2026 ve výši 30.606 tis. Kč.</w:t>
      </w:r>
      <w:r w:rsidR="00E269FE" w:rsidRPr="001A5150">
        <w:t xml:space="preserve"> </w:t>
      </w:r>
      <w:r w:rsidR="001755E3" w:rsidRPr="001A5150">
        <w:t xml:space="preserve"> </w:t>
      </w:r>
    </w:p>
    <w:p w14:paraId="76379BAD" w14:textId="77777777" w:rsidR="0048270C" w:rsidRPr="001A5150" w:rsidRDefault="0048270C" w:rsidP="00DD1CDF">
      <w:pPr>
        <w:spacing w:after="0"/>
      </w:pPr>
    </w:p>
    <w:bookmarkEnd w:id="246"/>
    <w:bookmarkEnd w:id="247"/>
    <w:p w14:paraId="56FDC44B" w14:textId="4B24B8E8" w:rsidR="00DD1CDF" w:rsidRPr="001A5150" w:rsidRDefault="00DD1CDF" w:rsidP="006F51D6">
      <w:pPr>
        <w:pStyle w:val="MSKNormal"/>
        <w:spacing w:before="200"/>
        <w:rPr>
          <w:rFonts w:eastAsia="Times New Roman"/>
        </w:rPr>
      </w:pPr>
    </w:p>
    <w:p w14:paraId="04B0862E" w14:textId="4BBF95E0" w:rsidR="003A5DCC" w:rsidRPr="001A5150" w:rsidRDefault="003A5DCC" w:rsidP="008E3DF1">
      <w:pPr>
        <w:pStyle w:val="MSKNormal"/>
        <w:spacing w:before="200"/>
        <w:rPr>
          <w:rFonts w:eastAsia="Times New Roman"/>
        </w:rPr>
      </w:pPr>
    </w:p>
    <w:bookmarkEnd w:id="245"/>
    <w:bookmarkEnd w:id="248"/>
    <w:p w14:paraId="52A81764" w14:textId="3205A5D8" w:rsidR="00B67BF3" w:rsidRPr="001A5150" w:rsidRDefault="00B67BF3" w:rsidP="005A11C3">
      <w:pPr>
        <w:pStyle w:val="MSKNormal"/>
        <w:spacing w:before="200"/>
      </w:pPr>
    </w:p>
    <w:p w14:paraId="5221B290" w14:textId="5EE35E79" w:rsidR="002D3B05" w:rsidRPr="001A5150" w:rsidRDefault="00CC2361" w:rsidP="001318E4">
      <w:pPr>
        <w:pStyle w:val="Styltab"/>
      </w:pPr>
      <w:r w:rsidRPr="001A5150">
        <w:lastRenderedPageBreak/>
        <w:t xml:space="preserve">Výdaje </w:t>
      </w:r>
      <w:r w:rsidR="0000376B" w:rsidRPr="001A5150">
        <w:t xml:space="preserve">v odvětví sociálních věcí na samosprávné a jiné činnosti zajišťované prostřednictvím krajského úřadu </w:t>
      </w:r>
      <w:r w:rsidRPr="001A5150">
        <w:tab/>
        <w:t>v tis. Kč</w:t>
      </w:r>
      <w:bookmarkStart w:id="249" w:name="_MON_1697603213"/>
      <w:bookmarkEnd w:id="249"/>
      <w:r w:rsidR="00CA59D5" w:rsidRPr="001A5150">
        <w:object w:dxaOrig="10128" w:dyaOrig="11335" w14:anchorId="06724AC1">
          <v:shape id="_x0000_i1064" type="#_x0000_t75" style="width:458.3pt;height:418.25pt" o:ole="">
            <v:imagedata r:id="rId87" o:title=""/>
          </v:shape>
          <o:OLEObject Type="Embed" ProgID="Excel.Sheet.8" ShapeID="_x0000_i1064" DrawAspect="Content" ObjectID="_1817201228" r:id="rId88"/>
        </w:object>
      </w:r>
    </w:p>
    <w:p w14:paraId="69A6F995" w14:textId="77777777" w:rsidR="00C61D07" w:rsidRPr="001A5150" w:rsidRDefault="00C61D07" w:rsidP="00C61D07"/>
    <w:p w14:paraId="73680321" w14:textId="24050E16" w:rsidR="00B42CDF" w:rsidRPr="001A5150" w:rsidRDefault="002B471A" w:rsidP="001318E4">
      <w:pPr>
        <w:pStyle w:val="Styltab"/>
      </w:pPr>
      <w:bookmarkStart w:id="250" w:name="_MON_1477209319"/>
      <w:bookmarkStart w:id="251" w:name="_MON_1477209606"/>
      <w:bookmarkStart w:id="252" w:name="_MON_1477378718"/>
      <w:bookmarkStart w:id="253" w:name="_MON_1477378723"/>
      <w:bookmarkStart w:id="254" w:name="_MON_1477378730"/>
      <w:bookmarkStart w:id="255" w:name="_MON_1477464258"/>
      <w:bookmarkStart w:id="256" w:name="_MON_1490423487"/>
      <w:bookmarkStart w:id="257" w:name="_MON_1469808523"/>
      <w:bookmarkStart w:id="258" w:name="_MON_1469869906"/>
      <w:bookmarkStart w:id="259" w:name="_MON_1469869926"/>
      <w:bookmarkStart w:id="260" w:name="_MON_1476602044"/>
      <w:bookmarkEnd w:id="250"/>
      <w:bookmarkEnd w:id="251"/>
      <w:bookmarkEnd w:id="252"/>
      <w:bookmarkEnd w:id="253"/>
      <w:bookmarkEnd w:id="254"/>
      <w:bookmarkEnd w:id="255"/>
      <w:bookmarkEnd w:id="256"/>
      <w:bookmarkEnd w:id="257"/>
      <w:bookmarkEnd w:id="258"/>
      <w:bookmarkEnd w:id="259"/>
      <w:bookmarkEnd w:id="260"/>
      <w:r w:rsidRPr="001A5150">
        <w:t>Příspěvek na</w:t>
      </w:r>
      <w:r w:rsidR="004D2E7D" w:rsidRPr="001A5150">
        <w:t> </w:t>
      </w:r>
      <w:r w:rsidRPr="001A5150">
        <w:t>provoz příspěvkovým organizacím v odvětví sociálních věcí</w:t>
      </w:r>
      <w:r w:rsidRPr="001A5150">
        <w:tab/>
        <w:t>v tis. Kč</w:t>
      </w:r>
      <w:bookmarkStart w:id="261" w:name="_MON_1490175208"/>
      <w:bookmarkStart w:id="262" w:name="_MON_1490421434"/>
      <w:bookmarkStart w:id="263" w:name="_MON_1469809285"/>
      <w:bookmarkStart w:id="264" w:name="_MON_1469864900"/>
      <w:bookmarkStart w:id="265" w:name="_MON_1469869953"/>
      <w:bookmarkStart w:id="266" w:name="_MON_1476602064"/>
      <w:bookmarkStart w:id="267" w:name="_MON_1477209673"/>
      <w:bookmarkStart w:id="268" w:name="_MON_1489924387"/>
      <w:bookmarkStart w:id="269" w:name="_MON_1489924486"/>
      <w:bookmarkEnd w:id="261"/>
      <w:bookmarkEnd w:id="262"/>
      <w:bookmarkEnd w:id="263"/>
      <w:bookmarkEnd w:id="264"/>
      <w:bookmarkEnd w:id="265"/>
      <w:bookmarkEnd w:id="266"/>
      <w:bookmarkEnd w:id="267"/>
      <w:bookmarkEnd w:id="268"/>
      <w:bookmarkEnd w:id="269"/>
      <w:bookmarkStart w:id="270" w:name="_MON_1490173221"/>
      <w:bookmarkEnd w:id="270"/>
      <w:r w:rsidR="00CA59D5" w:rsidRPr="001A5150">
        <w:object w:dxaOrig="9833" w:dyaOrig="3022" w14:anchorId="784D001F">
          <v:shape id="_x0000_i1065" type="#_x0000_t75" style="width:462.7pt;height:137.1pt" o:ole="">
            <v:imagedata r:id="rId89" o:title=""/>
          </v:shape>
          <o:OLEObject Type="Embed" ProgID="Excel.Sheet.8" ShapeID="_x0000_i1065" DrawAspect="Content" ObjectID="_1817201229" r:id="rId90"/>
        </w:object>
      </w:r>
    </w:p>
    <w:p w14:paraId="2CDF1500" w14:textId="77777777" w:rsidR="00840157" w:rsidRPr="001A5150" w:rsidRDefault="00840157" w:rsidP="00840157"/>
    <w:p w14:paraId="0600010A" w14:textId="15DDF313" w:rsidR="00884699" w:rsidRPr="001A5150" w:rsidRDefault="002B471A" w:rsidP="001318E4">
      <w:pPr>
        <w:pStyle w:val="Styltab"/>
      </w:pPr>
      <w:r w:rsidRPr="001A5150">
        <w:lastRenderedPageBreak/>
        <w:t>Návratné finanční výpomoci v odvětví sociálních věcí</w:t>
      </w:r>
      <w:r w:rsidR="001A3737" w:rsidRPr="001A5150">
        <w:tab/>
      </w:r>
      <w:r w:rsidRPr="001A5150">
        <w:t>v tis. Kč</w:t>
      </w:r>
      <w:bookmarkStart w:id="271" w:name="_MON_1469869979"/>
      <w:bookmarkStart w:id="272" w:name="_MON_1476602084"/>
      <w:bookmarkStart w:id="273" w:name="_MON_1477209757"/>
      <w:bookmarkStart w:id="274" w:name="_MON_1489924627"/>
      <w:bookmarkStart w:id="275" w:name="_MON_1489924654"/>
      <w:bookmarkStart w:id="276" w:name="_MON_1489924962"/>
      <w:bookmarkEnd w:id="271"/>
      <w:bookmarkEnd w:id="272"/>
      <w:bookmarkEnd w:id="273"/>
      <w:bookmarkEnd w:id="274"/>
      <w:bookmarkEnd w:id="275"/>
      <w:bookmarkEnd w:id="276"/>
      <w:bookmarkStart w:id="277" w:name="_MON_1490173241"/>
      <w:bookmarkEnd w:id="277"/>
      <w:r w:rsidR="00CA59D5" w:rsidRPr="001A5150">
        <w:object w:dxaOrig="9151" w:dyaOrig="5820" w14:anchorId="49348D90">
          <v:shape id="_x0000_i1066" type="#_x0000_t75" style="width:460.15pt;height:302.4pt" o:ole="">
            <v:imagedata r:id="rId91" o:title=""/>
          </v:shape>
          <o:OLEObject Type="Embed" ProgID="Excel.Sheet.8" ShapeID="_x0000_i1066" DrawAspect="Content" ObjectID="_1817201230" r:id="rId92"/>
        </w:object>
      </w:r>
    </w:p>
    <w:p w14:paraId="35F688CD" w14:textId="77777777" w:rsidR="0040572F" w:rsidRPr="001A5150" w:rsidRDefault="0040572F" w:rsidP="0040572F"/>
    <w:p w14:paraId="586AA627" w14:textId="77777777" w:rsidR="00014B18" w:rsidRPr="001A5150" w:rsidRDefault="00014B18" w:rsidP="00AD79B0">
      <w:pPr>
        <w:pStyle w:val="Nadpis3"/>
      </w:pPr>
      <w:r w:rsidRPr="001A5150">
        <w:t>Odvětví školství</w:t>
      </w:r>
    </w:p>
    <w:p w14:paraId="16777262" w14:textId="675BFB83" w:rsidR="00DF294A" w:rsidRPr="001A5150" w:rsidRDefault="00014B18" w:rsidP="00DF294A">
      <w:r w:rsidRPr="001A5150">
        <w:t>Schválený rozpočet výdajů ve</w:t>
      </w:r>
      <w:r w:rsidR="001F0E28" w:rsidRPr="001A5150">
        <w:t> </w:t>
      </w:r>
      <w:r w:rsidRPr="001A5150">
        <w:t xml:space="preserve">výši </w:t>
      </w:r>
      <w:r w:rsidR="00C541DA" w:rsidRPr="001A5150">
        <w:t>25.949.500</w:t>
      </w:r>
      <w:r w:rsidRPr="001A5150">
        <w:t> tis. Kč v</w:t>
      </w:r>
      <w:r w:rsidR="00C02AF4" w:rsidRPr="001A5150">
        <w:t> </w:t>
      </w:r>
      <w:r w:rsidRPr="001A5150">
        <w:t xml:space="preserve">odvětví školství byl </w:t>
      </w:r>
      <w:r w:rsidR="00C541DA" w:rsidRPr="001A5150">
        <w:t>upraven</w:t>
      </w:r>
      <w:r w:rsidRPr="001A5150">
        <w:t xml:space="preserve"> na částku </w:t>
      </w:r>
      <w:r w:rsidR="00256EB3" w:rsidRPr="001A5150">
        <w:t>26.225.364</w:t>
      </w:r>
      <w:r w:rsidR="00423E4C" w:rsidRPr="001A5150">
        <w:t> </w:t>
      </w:r>
      <w:r w:rsidRPr="001A5150">
        <w:t>tis. Kč</w:t>
      </w:r>
      <w:r w:rsidR="00D40613" w:rsidRPr="001A5150">
        <w:t xml:space="preserve">, </w:t>
      </w:r>
      <w:r w:rsidR="00D40613" w:rsidRPr="001A5150">
        <w:rPr>
          <w:rFonts w:cs="Tahoma"/>
          <w:szCs w:val="20"/>
        </w:rPr>
        <w:t>což představuje</w:t>
      </w:r>
      <w:r w:rsidR="001755E3" w:rsidRPr="001A5150">
        <w:rPr>
          <w:rFonts w:cs="Tahoma"/>
          <w:szCs w:val="20"/>
        </w:rPr>
        <w:t xml:space="preserve"> zvýšení</w:t>
      </w:r>
      <w:r w:rsidR="00D40613" w:rsidRPr="001A5150">
        <w:rPr>
          <w:rFonts w:cs="Tahoma"/>
          <w:szCs w:val="20"/>
        </w:rPr>
        <w:t xml:space="preserve"> o </w:t>
      </w:r>
      <w:r w:rsidR="00256EB3" w:rsidRPr="001A5150">
        <w:rPr>
          <w:rFonts w:cs="Tahoma"/>
          <w:szCs w:val="20"/>
        </w:rPr>
        <w:t>275.864</w:t>
      </w:r>
      <w:r w:rsidR="00D40613" w:rsidRPr="001A5150">
        <w:rPr>
          <w:rFonts w:cs="Tahoma"/>
          <w:szCs w:val="20"/>
        </w:rPr>
        <w:t xml:space="preserve"> tis. Kč.</w:t>
      </w:r>
      <w:r w:rsidRPr="001A5150">
        <w:t xml:space="preserve"> </w:t>
      </w:r>
      <w:r w:rsidR="00DF294A" w:rsidRPr="001A5150">
        <w:t xml:space="preserve">Celkové výdaje v odvětví byly čerpány ve výši </w:t>
      </w:r>
      <w:r w:rsidR="00256EB3" w:rsidRPr="001A5150">
        <w:t>17.250.650</w:t>
      </w:r>
      <w:r w:rsidR="00DF294A" w:rsidRPr="001A5150">
        <w:t xml:space="preserve"> tis. Kč, tj. </w:t>
      </w:r>
      <w:r w:rsidR="00256EB3" w:rsidRPr="001A5150">
        <w:t>66</w:t>
      </w:r>
      <w:r w:rsidR="00DF294A" w:rsidRPr="001A5150">
        <w:t> % upraveného rozpočtu.</w:t>
      </w:r>
    </w:p>
    <w:p w14:paraId="7DE60C8D" w14:textId="547AF60F" w:rsidR="004A1EE1" w:rsidRPr="001A5150" w:rsidRDefault="002B471A" w:rsidP="001318E4">
      <w:pPr>
        <w:pStyle w:val="Styltab"/>
      </w:pPr>
      <w:r w:rsidRPr="001A5150">
        <w:t>Výdaje v odvětví školství v</w:t>
      </w:r>
      <w:r w:rsidR="00CB3036" w:rsidRPr="001A5150">
        <w:t> </w:t>
      </w:r>
      <w:r w:rsidRPr="001A5150">
        <w:t>členění dle účelu</w:t>
      </w:r>
      <w:r w:rsidR="001110F8" w:rsidRPr="001A5150">
        <w:tab/>
      </w:r>
      <w:r w:rsidRPr="001A5150">
        <w:t>v tis. Kč</w:t>
      </w:r>
      <w:bookmarkStart w:id="278" w:name="_MON_1681556513"/>
      <w:bookmarkEnd w:id="278"/>
      <w:bookmarkStart w:id="279" w:name="_MON_1597053312"/>
      <w:bookmarkEnd w:id="279"/>
      <w:r w:rsidR="00256EB3" w:rsidRPr="001A5150">
        <w:object w:dxaOrig="9338" w:dyaOrig="2314" w14:anchorId="3D5CB67F">
          <v:shape id="_x0000_i1067" type="#_x0000_t75" style="width:467.7pt;height:115.2pt" o:ole="">
            <v:imagedata r:id="rId93" o:title=""/>
          </v:shape>
          <o:OLEObject Type="Embed" ProgID="Excel.Sheet.8" ShapeID="_x0000_i1067" DrawAspect="Content" ObjectID="_1817201231" r:id="rId94"/>
        </w:object>
      </w:r>
    </w:p>
    <w:p w14:paraId="71DE27F5" w14:textId="1D97DA8E" w:rsidR="003173D3" w:rsidRPr="001A5150" w:rsidRDefault="00D34172" w:rsidP="003173D3">
      <w:pPr>
        <w:spacing w:before="200"/>
      </w:pPr>
      <w:bookmarkStart w:id="280" w:name="_Hlk198539181"/>
      <w:r w:rsidRPr="001A5150">
        <w:t xml:space="preserve">Významná úprava </w:t>
      </w:r>
      <w:r w:rsidR="003D1A01" w:rsidRPr="001A5150">
        <w:t xml:space="preserve">rozpočtu </w:t>
      </w:r>
      <w:r w:rsidRPr="001A5150">
        <w:t xml:space="preserve">odvětví </w:t>
      </w:r>
      <w:r w:rsidR="00CD51ED" w:rsidRPr="001A5150">
        <w:t xml:space="preserve">v období leden až duben </w:t>
      </w:r>
      <w:r w:rsidRPr="001A5150">
        <w:t xml:space="preserve">souvisela </w:t>
      </w:r>
      <w:r w:rsidR="00B115BD" w:rsidRPr="001A5150">
        <w:t>se snížením objemu prostředků na přímé výdaje na vzdělávání pro školy a školská zařízení zřizované krajem a obcemi o</w:t>
      </w:r>
      <w:r w:rsidR="0025461C" w:rsidRPr="001A5150">
        <w:t> </w:t>
      </w:r>
      <w:r w:rsidR="00B115BD" w:rsidRPr="001A5150">
        <w:t>905.422</w:t>
      </w:r>
      <w:r w:rsidR="0025461C" w:rsidRPr="001A5150">
        <w:t> </w:t>
      </w:r>
      <w:r w:rsidR="00B115BD" w:rsidRPr="001A5150">
        <w:t>tis.</w:t>
      </w:r>
      <w:r w:rsidR="0025461C" w:rsidRPr="001A5150">
        <w:t> </w:t>
      </w:r>
      <w:r w:rsidR="00B115BD" w:rsidRPr="001A5150">
        <w:t>Kč (částka zohledňuje navrhovaný převod odpovědnosti za financování nepedagogické práce ve školách a</w:t>
      </w:r>
      <w:r w:rsidR="0025461C" w:rsidRPr="001A5150">
        <w:t> </w:t>
      </w:r>
      <w:r w:rsidR="00B115BD" w:rsidRPr="001A5150">
        <w:t>školských zařízeních zřizovaných krajem a obcemi od 1.</w:t>
      </w:r>
      <w:r w:rsidR="0025461C" w:rsidRPr="001A5150">
        <w:t> </w:t>
      </w:r>
      <w:r w:rsidR="00B115BD" w:rsidRPr="001A5150">
        <w:t>září</w:t>
      </w:r>
      <w:r w:rsidR="0025461C" w:rsidRPr="001A5150">
        <w:t> </w:t>
      </w:r>
      <w:r w:rsidR="00B115BD" w:rsidRPr="001A5150">
        <w:t>2025 na</w:t>
      </w:r>
      <w:r w:rsidR="0025461C" w:rsidRPr="001A5150">
        <w:t> </w:t>
      </w:r>
      <w:r w:rsidR="00B115BD" w:rsidRPr="001A5150">
        <w:t xml:space="preserve">jejich zřizovatele, platby </w:t>
      </w:r>
      <w:r w:rsidR="0025461C" w:rsidRPr="001A5150">
        <w:t>nepedagogických</w:t>
      </w:r>
      <w:r w:rsidR="00B115BD" w:rsidRPr="001A5150">
        <w:t xml:space="preserve"> pracovníků</w:t>
      </w:r>
      <w:r w:rsidR="0025461C" w:rsidRPr="001A5150">
        <w:t xml:space="preserve"> </w:t>
      </w:r>
      <w:r w:rsidR="00B115BD" w:rsidRPr="001A5150">
        <w:t>a ostatní výdaje byly stanoveny pouze</w:t>
      </w:r>
      <w:r w:rsidR="0025461C" w:rsidRPr="001A5150">
        <w:t xml:space="preserve"> </w:t>
      </w:r>
      <w:r w:rsidR="00B115BD" w:rsidRPr="001A5150">
        <w:t>na</w:t>
      </w:r>
      <w:r w:rsidR="0025461C" w:rsidRPr="001A5150">
        <w:t> </w:t>
      </w:r>
      <w:r w:rsidR="00B115BD" w:rsidRPr="001A5150">
        <w:t>období leden až s</w:t>
      </w:r>
      <w:r w:rsidR="0025461C" w:rsidRPr="001A5150">
        <w:t>rpen</w:t>
      </w:r>
      <w:r w:rsidR="00B115BD" w:rsidRPr="001A5150">
        <w:t xml:space="preserve"> 2025).</w:t>
      </w:r>
      <w:r w:rsidR="0025461C" w:rsidRPr="001A5150">
        <w:t xml:space="preserve"> Další vý</w:t>
      </w:r>
      <w:r w:rsidR="00B115BD" w:rsidRPr="001A5150">
        <w:t>znamná</w:t>
      </w:r>
      <w:r w:rsidR="00F52D7B" w:rsidRPr="001A5150">
        <w:t xml:space="preserve"> úprava rozpočtu v</w:t>
      </w:r>
      <w:r w:rsidR="00924D74" w:rsidRPr="001A5150">
        <w:t>e sledovaném období</w:t>
      </w:r>
      <w:r w:rsidR="000C3F4F" w:rsidRPr="001A5150">
        <w:t xml:space="preserve"> souvisela s nedočerpanými účelově vymezenými výdaji roku 202</w:t>
      </w:r>
      <w:r w:rsidR="00B115BD" w:rsidRPr="001A5150">
        <w:t>4</w:t>
      </w:r>
      <w:r w:rsidR="000C3F4F" w:rsidRPr="001A5150">
        <w:t>, které byly zapojeny ke stejnému účelu do rozpočtu roku 202</w:t>
      </w:r>
      <w:r w:rsidR="00B115BD" w:rsidRPr="001A5150">
        <w:t>5</w:t>
      </w:r>
      <w:r w:rsidR="000C3F4F" w:rsidRPr="001A5150">
        <w:t xml:space="preserve"> v celkové výši </w:t>
      </w:r>
      <w:r w:rsidR="00B115BD" w:rsidRPr="001A5150">
        <w:t>476.532</w:t>
      </w:r>
      <w:r w:rsidR="000C3F4F" w:rsidRPr="001A5150">
        <w:t xml:space="preserve"> tis. Kč. Jednalo se zejména o výdaje určené na akce reprodukce majetku kraje ve výši </w:t>
      </w:r>
      <w:r w:rsidR="00B115BD" w:rsidRPr="001A5150">
        <w:t>235.142</w:t>
      </w:r>
      <w:r w:rsidR="000C3F4F" w:rsidRPr="001A5150">
        <w:t> tis. Kč</w:t>
      </w:r>
      <w:r w:rsidR="00B115BD" w:rsidRPr="001A5150">
        <w:t xml:space="preserve"> a </w:t>
      </w:r>
      <w:r w:rsidR="000C3F4F" w:rsidRPr="001A5150">
        <w:t xml:space="preserve">akce </w:t>
      </w:r>
      <w:r w:rsidR="000C3F4F" w:rsidRPr="001A5150">
        <w:lastRenderedPageBreak/>
        <w:t xml:space="preserve">spolufinancované z evropských finančních zdrojů v celkové výši </w:t>
      </w:r>
      <w:r w:rsidR="00B115BD" w:rsidRPr="001A5150">
        <w:t>157.734</w:t>
      </w:r>
      <w:r w:rsidR="000C3F4F" w:rsidRPr="001A5150">
        <w:t> tis. Kč</w:t>
      </w:r>
      <w:r w:rsidR="00B115BD" w:rsidRPr="001A5150">
        <w:t>.</w:t>
      </w:r>
      <w:r w:rsidR="00D00F4C" w:rsidRPr="001A5150">
        <w:t xml:space="preserve"> </w:t>
      </w:r>
      <w:r w:rsidR="00B115BD" w:rsidRPr="001A5150">
        <w:t xml:space="preserve">Další významnou rozpočtovou úpravou došlo ke snížení objemu rozpočtu o </w:t>
      </w:r>
      <w:r w:rsidR="00A94C2C" w:rsidRPr="001A5150">
        <w:t>356.750 tis. Kč</w:t>
      </w:r>
      <w:r w:rsidR="00B115BD" w:rsidRPr="001A5150">
        <w:t>, a to u akcí spolufinancovaných z evropských finančních zdrojů s ohledem na provedenou revizi financování investičních akcí a rozložením financování do</w:t>
      </w:r>
      <w:r w:rsidR="0025461C" w:rsidRPr="001A5150">
        <w:t> </w:t>
      </w:r>
      <w:r w:rsidR="00B115BD" w:rsidRPr="001A5150">
        <w:t>dalších let</w:t>
      </w:r>
      <w:r w:rsidR="003173D3" w:rsidRPr="001A5150">
        <w:t>. Dále došlo k navýšení rozpočtu u akcí spolufinancovaných z evropských finančních zdrojů v odvětví školství o přijaté dotace, o převod akcí původně realizovaných jako reprodukce majetku kraje a zapojení vratek ve výši 89.278 tis. Kč.  </w:t>
      </w:r>
    </w:p>
    <w:p w14:paraId="6633F75C" w14:textId="38BA18FE" w:rsidR="00D155E0" w:rsidRPr="001A5150" w:rsidRDefault="00D155E0" w:rsidP="003173D3">
      <w:pPr>
        <w:spacing w:before="200"/>
      </w:pPr>
      <w:r w:rsidRPr="001A5150">
        <w:t>V období květen až červenec došlo ke zvýšení objemu rozpočtu odvětví o 711.763</w:t>
      </w:r>
      <w:r w:rsidR="00794B5F" w:rsidRPr="001A5150">
        <w:t> </w:t>
      </w:r>
      <w:r w:rsidRPr="001A5150">
        <w:t>tis.</w:t>
      </w:r>
      <w:r w:rsidR="00794B5F" w:rsidRPr="001A5150">
        <w:t> </w:t>
      </w:r>
      <w:r w:rsidRPr="001A5150">
        <w:t>Kč. Tato změna souvisela zejména se</w:t>
      </w:r>
      <w:r w:rsidR="00AE729F" w:rsidRPr="001A5150">
        <w:t xml:space="preserve"> zapojením dotací ze státního rozpočtu na přímé náklady na</w:t>
      </w:r>
      <w:r w:rsidR="00794B5F" w:rsidRPr="001A5150">
        <w:t> </w:t>
      </w:r>
      <w:r w:rsidR="00AE729F" w:rsidRPr="001A5150">
        <w:t>vzdělávání ve výši 464.219 tis. Kč. N</w:t>
      </w:r>
      <w:r w:rsidRPr="001A5150">
        <w:t xml:space="preserve">a akcích spolufinancovaných z evropských finančních zdrojů došlo </w:t>
      </w:r>
      <w:r w:rsidR="00AE729F" w:rsidRPr="001A5150">
        <w:t xml:space="preserve">ve sledovaném období </w:t>
      </w:r>
      <w:r w:rsidRPr="001A5150">
        <w:t>ke zvýšení objemu rozpočtu o 84.929 tis. Kč, a to především v souvislosti se zapojením dotací do výdajů na</w:t>
      </w:r>
      <w:r w:rsidR="00AE729F" w:rsidRPr="001A5150">
        <w:t> </w:t>
      </w:r>
      <w:r w:rsidRPr="001A5150">
        <w:t xml:space="preserve">jednotlivé akce (např. akce Operační program Jan Amos Komenský – Priorita 2 – Vzdělávání </w:t>
      </w:r>
      <w:r w:rsidR="00AE729F" w:rsidRPr="001A5150">
        <w:t xml:space="preserve">navýšení </w:t>
      </w:r>
      <w:r w:rsidRPr="001A5150">
        <w:t>o</w:t>
      </w:r>
      <w:r w:rsidR="00AE729F" w:rsidRPr="001A5150">
        <w:t> </w:t>
      </w:r>
      <w:r w:rsidRPr="001A5150">
        <w:t>52.028 tis. Kč)</w:t>
      </w:r>
      <w:r w:rsidR="00AE729F" w:rsidRPr="001A5150">
        <w:t xml:space="preserve">. </w:t>
      </w:r>
      <w:r w:rsidRPr="001A5150">
        <w:t>U akcí reprodukce majetku kraje došlo ke zvýšení objemu rozpočtu o 63.679 tis. Kč (zejména na akcích Obnova majetku po povodních v odvětví školství o 18.050 tis. Kč, Obnova movitého majetku škol a školských zařízení o 16.574 tis. Kč, Odstranění havarijního stavu zateplovacího systému o</w:t>
      </w:r>
      <w:r w:rsidR="00AE729F" w:rsidRPr="001A5150">
        <w:t> </w:t>
      </w:r>
      <w:r w:rsidRPr="001A5150">
        <w:t>10.000 tis. Kč).</w:t>
      </w:r>
      <w:r w:rsidR="00AE729F" w:rsidRPr="001A5150">
        <w:t xml:space="preserve"> Ze</w:t>
      </w:r>
      <w:r w:rsidR="00794B5F" w:rsidRPr="001A5150">
        <w:t> </w:t>
      </w:r>
      <w:r w:rsidR="00AE729F" w:rsidRPr="001A5150">
        <w:t>zůstatku rozpočtového hospodaření kraje za rok 2024 byly do odvětví zapojeny prostředky především na poskytnutí individuální dotace na podporu sportu a pohybových aktivit občanů kraje ve výši 40.000 Kč</w:t>
      </w:r>
      <w:r w:rsidR="00F44970" w:rsidRPr="001A5150">
        <w:t xml:space="preserve"> a </w:t>
      </w:r>
      <w:r w:rsidR="00AE729F" w:rsidRPr="001A5150">
        <w:t xml:space="preserve">na </w:t>
      </w:r>
      <w:r w:rsidR="00794B5F" w:rsidRPr="001A5150">
        <w:t>poskytnutí návratných finančních výpomocí příspěvkovým organizacím v odvětví ve výši 22.000 tis. Kč.</w:t>
      </w:r>
    </w:p>
    <w:p w14:paraId="27BDB366" w14:textId="5E4CDB25" w:rsidR="004A1EE1" w:rsidRPr="001A5150" w:rsidRDefault="002B471A" w:rsidP="001318E4">
      <w:pPr>
        <w:pStyle w:val="Styltab"/>
      </w:pPr>
      <w:bookmarkStart w:id="281" w:name="_MON_1469518322"/>
      <w:bookmarkStart w:id="282" w:name="_MON_1469518565"/>
      <w:bookmarkStart w:id="283" w:name="_MON_1476602109"/>
      <w:bookmarkStart w:id="284" w:name="_MON_1477204321"/>
      <w:bookmarkStart w:id="285" w:name="_MON_1489918951"/>
      <w:bookmarkStart w:id="286" w:name="_MON_1490173260"/>
      <w:bookmarkStart w:id="287" w:name="_MON_1490173309"/>
      <w:bookmarkStart w:id="288" w:name="_MON_1490421482"/>
      <w:bookmarkEnd w:id="280"/>
      <w:bookmarkEnd w:id="281"/>
      <w:bookmarkEnd w:id="282"/>
      <w:bookmarkEnd w:id="283"/>
      <w:bookmarkEnd w:id="284"/>
      <w:bookmarkEnd w:id="285"/>
      <w:bookmarkEnd w:id="286"/>
      <w:bookmarkEnd w:id="287"/>
      <w:bookmarkEnd w:id="288"/>
      <w:r w:rsidRPr="001A5150">
        <w:lastRenderedPageBreak/>
        <w:t>Výdaje v odvětví školství na</w:t>
      </w:r>
      <w:r w:rsidR="00A649B6" w:rsidRPr="001A5150">
        <w:t> </w:t>
      </w:r>
      <w:r w:rsidRPr="001A5150">
        <w:t>samosprávné a jiné činnosti zajišťované prostřednictvím krajského úřadu</w:t>
      </w:r>
      <w:r w:rsidR="001110F8" w:rsidRPr="001A5150">
        <w:tab/>
      </w:r>
      <w:r w:rsidRPr="001A5150">
        <w:t>v tis.</w:t>
      </w:r>
      <w:r w:rsidR="00A649B6" w:rsidRPr="001A5150">
        <w:t> </w:t>
      </w:r>
      <w:r w:rsidRPr="001A5150">
        <w:t>Kč</w:t>
      </w:r>
      <w:bookmarkStart w:id="289" w:name="_MON_1489927361"/>
      <w:bookmarkStart w:id="290" w:name="_MON_1595409103"/>
      <w:bookmarkStart w:id="291" w:name="_MON_1490173292"/>
      <w:bookmarkStart w:id="292" w:name="_MON_1490175270"/>
      <w:bookmarkStart w:id="293" w:name="_MON_1469445703"/>
      <w:bookmarkStart w:id="294" w:name="_MON_1469446043"/>
      <w:bookmarkStart w:id="295" w:name="_MON_1681556558"/>
      <w:bookmarkStart w:id="296" w:name="_MON_1469446771"/>
      <w:bookmarkStart w:id="297" w:name="_MON_1469446777"/>
      <w:bookmarkStart w:id="298" w:name="_MON_1476602132"/>
      <w:bookmarkStart w:id="299" w:name="_MON_1477207434"/>
      <w:bookmarkEnd w:id="289"/>
      <w:bookmarkEnd w:id="290"/>
      <w:bookmarkEnd w:id="291"/>
      <w:bookmarkEnd w:id="292"/>
      <w:bookmarkEnd w:id="293"/>
      <w:bookmarkEnd w:id="294"/>
      <w:bookmarkEnd w:id="295"/>
      <w:bookmarkEnd w:id="296"/>
      <w:bookmarkEnd w:id="297"/>
      <w:bookmarkEnd w:id="298"/>
      <w:bookmarkEnd w:id="299"/>
      <w:bookmarkStart w:id="300" w:name="_MON_1489926648"/>
      <w:bookmarkEnd w:id="300"/>
      <w:r w:rsidR="00C064D8" w:rsidRPr="001A5150">
        <w:object w:dxaOrig="10411" w:dyaOrig="10020" w14:anchorId="3B783849">
          <v:shape id="_x0000_i1068" type="#_x0000_t75" style="width:474.55pt;height:430.75pt" o:ole="">
            <v:imagedata r:id="rId95" o:title=""/>
          </v:shape>
          <o:OLEObject Type="Embed" ProgID="Excel.Sheet.8" ShapeID="_x0000_i1068" DrawAspect="Content" ObjectID="_1817201232" r:id="rId96"/>
        </w:object>
      </w:r>
    </w:p>
    <w:p w14:paraId="39D2AA24" w14:textId="77777777" w:rsidR="00666FD3" w:rsidRPr="001A5150" w:rsidRDefault="00666FD3" w:rsidP="00666FD3"/>
    <w:p w14:paraId="6519214A" w14:textId="0416EA4D" w:rsidR="00923889" w:rsidRPr="001A5150" w:rsidRDefault="00923889" w:rsidP="001318E4">
      <w:pPr>
        <w:pStyle w:val="Styltab"/>
      </w:pPr>
      <w:r w:rsidRPr="001A5150">
        <w:lastRenderedPageBreak/>
        <w:t>Příspěvek na provoz příspěvkovým organizacím v odvětví školství</w:t>
      </w:r>
      <w:r w:rsidRPr="001A5150">
        <w:tab/>
        <w:t>v tis. Kč</w:t>
      </w:r>
      <w:bookmarkStart w:id="301" w:name="_MON_1690386065"/>
      <w:bookmarkEnd w:id="301"/>
      <w:r w:rsidR="00C064D8" w:rsidRPr="001A5150">
        <w:object w:dxaOrig="9991" w:dyaOrig="7532" w14:anchorId="04624C26">
          <v:shape id="_x0000_i1069" type="#_x0000_t75" style="width:470.2pt;height:352.5pt" o:ole="">
            <v:imagedata r:id="rId97" o:title=""/>
          </v:shape>
          <o:OLEObject Type="Embed" ProgID="Excel.Sheet.8" ShapeID="_x0000_i1069" DrawAspect="Content" ObjectID="_1817201233" r:id="rId98"/>
        </w:object>
      </w:r>
    </w:p>
    <w:p w14:paraId="1D010EEE" w14:textId="77777777" w:rsidR="00840157" w:rsidRPr="001A5150" w:rsidRDefault="00840157" w:rsidP="00840157"/>
    <w:p w14:paraId="64519505" w14:textId="15714B57" w:rsidR="0091691D" w:rsidRPr="001A5150" w:rsidRDefault="000177A8" w:rsidP="001318E4">
      <w:pPr>
        <w:pStyle w:val="Styltab"/>
      </w:pPr>
      <w:r w:rsidRPr="001A5150">
        <w:lastRenderedPageBreak/>
        <w:t>Návratné finanční výpomoci v</w:t>
      </w:r>
      <w:r w:rsidR="00077862" w:rsidRPr="001A5150">
        <w:t> </w:t>
      </w:r>
      <w:r w:rsidRPr="001A5150">
        <w:t>odvětví školství</w:t>
      </w:r>
      <w:r w:rsidR="00762A6D" w:rsidRPr="001A5150">
        <w:tab/>
      </w:r>
      <w:r w:rsidRPr="001A5150">
        <w:t>v tis.</w:t>
      </w:r>
      <w:r w:rsidR="00577CA7" w:rsidRPr="001A5150">
        <w:t> </w:t>
      </w:r>
      <w:r w:rsidRPr="001A5150">
        <w:t>Kč</w:t>
      </w:r>
      <w:bookmarkStart w:id="302" w:name="_MON_1716189380"/>
      <w:bookmarkEnd w:id="302"/>
      <w:bookmarkStart w:id="303" w:name="_MON_1563716715"/>
      <w:bookmarkEnd w:id="303"/>
      <w:r w:rsidR="006018DF" w:rsidRPr="001A5150">
        <w:object w:dxaOrig="9451" w:dyaOrig="10500" w14:anchorId="63CBF438">
          <v:shape id="_x0000_i1070" type="#_x0000_t75" style="width:475.2pt;height:554.7pt" o:ole="">
            <v:imagedata r:id="rId99" o:title=""/>
          </v:shape>
          <o:OLEObject Type="Embed" ProgID="Excel.Sheet.8" ShapeID="_x0000_i1070" DrawAspect="Content" ObjectID="_1817201234" r:id="rId100"/>
        </w:object>
      </w:r>
    </w:p>
    <w:p w14:paraId="5E01E828" w14:textId="77777777" w:rsidR="00F44970" w:rsidRPr="001A5150" w:rsidRDefault="00F44970" w:rsidP="00F44970"/>
    <w:p w14:paraId="586AA639" w14:textId="215AA2FD" w:rsidR="00014B18" w:rsidRPr="001A5150" w:rsidRDefault="00014B18" w:rsidP="00AD79B0">
      <w:pPr>
        <w:pStyle w:val="Nadpis3"/>
      </w:pPr>
      <w:r w:rsidRPr="001A5150">
        <w:lastRenderedPageBreak/>
        <w:t>Odvětví územního plánování a</w:t>
      </w:r>
      <w:r w:rsidR="00033427" w:rsidRPr="001A5150">
        <w:t> </w:t>
      </w:r>
      <w:r w:rsidRPr="001A5150">
        <w:t>stavebního řádu</w:t>
      </w:r>
    </w:p>
    <w:p w14:paraId="0B20C18C" w14:textId="1C044C84" w:rsidR="00DF294A" w:rsidRPr="001A5150" w:rsidRDefault="00014B18" w:rsidP="00DF294A">
      <w:r w:rsidRPr="001A5150">
        <w:t>Rozpočet výdajů v odvětví územního plánování a stavebního řádu byl schválen ve</w:t>
      </w:r>
      <w:r w:rsidR="00854BDF" w:rsidRPr="001A5150">
        <w:t> </w:t>
      </w:r>
      <w:r w:rsidRPr="001A5150">
        <w:t xml:space="preserve">výši </w:t>
      </w:r>
      <w:r w:rsidR="009A5C5B" w:rsidRPr="001A5150">
        <w:t>76.629</w:t>
      </w:r>
      <w:r w:rsidRPr="001A5150">
        <w:t> tis. Kč a následně upraven na</w:t>
      </w:r>
      <w:r w:rsidR="00077862" w:rsidRPr="001A5150">
        <w:t> </w:t>
      </w:r>
      <w:r w:rsidR="009A5C5B" w:rsidRPr="001A5150">
        <w:t>108.</w:t>
      </w:r>
      <w:r w:rsidR="00C064D8" w:rsidRPr="001A5150">
        <w:t>4</w:t>
      </w:r>
      <w:r w:rsidR="009A5C5B" w:rsidRPr="001A5150">
        <w:t>98</w:t>
      </w:r>
      <w:r w:rsidR="00854BDF" w:rsidRPr="001A5150">
        <w:t> </w:t>
      </w:r>
      <w:r w:rsidRPr="001A5150">
        <w:t>tis.</w:t>
      </w:r>
      <w:r w:rsidR="00854BDF" w:rsidRPr="001A5150">
        <w:t> </w:t>
      </w:r>
      <w:r w:rsidRPr="001A5150">
        <w:t>Kč</w:t>
      </w:r>
      <w:r w:rsidR="00786A48" w:rsidRPr="001A5150">
        <w:t xml:space="preserve">, což představuje </w:t>
      </w:r>
      <w:r w:rsidR="00670AD4" w:rsidRPr="001A5150">
        <w:t>na</w:t>
      </w:r>
      <w:r w:rsidR="009A5C5B" w:rsidRPr="001A5150">
        <w:t>výšení</w:t>
      </w:r>
      <w:r w:rsidR="00A96A9A" w:rsidRPr="001A5150">
        <w:t xml:space="preserve"> objemu </w:t>
      </w:r>
      <w:r w:rsidR="00786A48" w:rsidRPr="001A5150">
        <w:t>rozpočtu o</w:t>
      </w:r>
      <w:r w:rsidR="00325FC2" w:rsidRPr="001A5150">
        <w:t> </w:t>
      </w:r>
      <w:r w:rsidR="009A5C5B" w:rsidRPr="001A5150">
        <w:t>31.</w:t>
      </w:r>
      <w:r w:rsidR="00C064D8" w:rsidRPr="001A5150">
        <w:t>8</w:t>
      </w:r>
      <w:r w:rsidR="009A5C5B" w:rsidRPr="001A5150">
        <w:t>69</w:t>
      </w:r>
      <w:r w:rsidR="00786A48" w:rsidRPr="001A5150">
        <w:t xml:space="preserve"> tis. Kč. </w:t>
      </w:r>
      <w:r w:rsidR="00DF294A" w:rsidRPr="001A5150">
        <w:t xml:space="preserve">Celkové výdaje v odvětví byly čerpány ve výši </w:t>
      </w:r>
      <w:r w:rsidR="00C064D8" w:rsidRPr="001A5150">
        <w:t>9.391</w:t>
      </w:r>
      <w:r w:rsidR="00DF294A" w:rsidRPr="001A5150">
        <w:t xml:space="preserve"> tis. Kč, tj. </w:t>
      </w:r>
      <w:r w:rsidR="00C064D8" w:rsidRPr="001A5150">
        <w:t>9</w:t>
      </w:r>
      <w:r w:rsidR="00DF294A" w:rsidRPr="001A5150">
        <w:t> % upraveného rozpočtu.</w:t>
      </w:r>
    </w:p>
    <w:p w14:paraId="3923D6D4" w14:textId="1529BBD1" w:rsidR="004A1EE1" w:rsidRPr="001A5150" w:rsidRDefault="00947F74" w:rsidP="001318E4">
      <w:pPr>
        <w:pStyle w:val="Styltab"/>
      </w:pPr>
      <w:r w:rsidRPr="001A5150">
        <w:t>Výdaje v</w:t>
      </w:r>
      <w:r w:rsidR="00597DCE" w:rsidRPr="001A5150">
        <w:t> </w:t>
      </w:r>
      <w:r w:rsidRPr="001A5150">
        <w:t>odvětví územního plánování a</w:t>
      </w:r>
      <w:r w:rsidR="00597DCE" w:rsidRPr="001A5150">
        <w:t> </w:t>
      </w:r>
      <w:r w:rsidRPr="001A5150">
        <w:t>stavebního řádu v</w:t>
      </w:r>
      <w:r w:rsidR="00597DCE" w:rsidRPr="001A5150">
        <w:t> </w:t>
      </w:r>
      <w:r w:rsidRPr="001A5150">
        <w:t>členění dle účelu</w:t>
      </w:r>
      <w:r w:rsidRPr="001A5150">
        <w:tab/>
        <w:t>v tis. Kč</w:t>
      </w:r>
      <w:bookmarkStart w:id="304" w:name="_MON_1681556775"/>
      <w:bookmarkEnd w:id="304"/>
      <w:bookmarkStart w:id="305" w:name="_MON_1555992578"/>
      <w:bookmarkEnd w:id="305"/>
      <w:r w:rsidR="00C064D8" w:rsidRPr="001A5150">
        <w:object w:dxaOrig="9499" w:dyaOrig="1414" w14:anchorId="2CBE6305">
          <v:shape id="_x0000_i1071" type="#_x0000_t75" style="width:467.7pt;height:70.75pt" o:ole="">
            <v:imagedata r:id="rId101" o:title=""/>
          </v:shape>
          <o:OLEObject Type="Embed" ProgID="Excel.Sheet.8" ShapeID="_x0000_i1071" DrawAspect="Content" ObjectID="_1817201235" r:id="rId102"/>
        </w:object>
      </w:r>
    </w:p>
    <w:p w14:paraId="23CD4653" w14:textId="77777777" w:rsidR="00952324" w:rsidRPr="001A5150" w:rsidRDefault="00952324" w:rsidP="00952324">
      <w:pPr>
        <w:spacing w:after="0"/>
      </w:pPr>
    </w:p>
    <w:p w14:paraId="3CE3A0ED" w14:textId="1E0DB3AB" w:rsidR="00670AD4" w:rsidRPr="001A5150" w:rsidRDefault="00853D03" w:rsidP="00670AD4">
      <w:pPr>
        <w:spacing w:after="0"/>
      </w:pPr>
      <w:r w:rsidRPr="001A5150">
        <w:t>Objemově významná úprava v období leden až duben souvisela s nedočerpanými účelově vymezenými výdaji roku 202</w:t>
      </w:r>
      <w:r w:rsidR="00952324" w:rsidRPr="001A5150">
        <w:t>4</w:t>
      </w:r>
      <w:r w:rsidRPr="001A5150">
        <w:t xml:space="preserve"> v tomto odvětví ve výši </w:t>
      </w:r>
      <w:r w:rsidR="00952324" w:rsidRPr="001A5150">
        <w:t>40.970</w:t>
      </w:r>
      <w:r w:rsidRPr="001A5150">
        <w:t> tis. Kč, které byly zapojeny ke stejnému účelu do rozpočtu roku 202</w:t>
      </w:r>
      <w:r w:rsidR="00952324" w:rsidRPr="001A5150">
        <w:t>5</w:t>
      </w:r>
      <w:r w:rsidRPr="001A5150">
        <w:t xml:space="preserve">. Jednalo se zejména o prostředky určené na financování </w:t>
      </w:r>
      <w:r w:rsidR="00952324" w:rsidRPr="001A5150">
        <w:t>akce spolufinancované z evropských finančních zdrojů Digitální technická mapa Moravskoslezského kraje II o 29.939 tis. Kč.</w:t>
      </w:r>
      <w:r w:rsidR="00670AD4" w:rsidRPr="001A5150">
        <w:t xml:space="preserve"> Ve sledovaném období dále došlo ke snížení objemu rozpočtu na akci spolufinancovaných z evropských finančních zdrojů, a to o 9.501 tis. Kč, což souviselo s provedenými souhrnnými rozpočtovými úpravami, kterými došlo ke zreálnění čerpání výdajů v letech.</w:t>
      </w:r>
    </w:p>
    <w:p w14:paraId="1423CFB2" w14:textId="77777777" w:rsidR="00670AD4" w:rsidRPr="001A5150" w:rsidRDefault="00670AD4" w:rsidP="00952324">
      <w:pPr>
        <w:spacing w:after="0"/>
      </w:pPr>
    </w:p>
    <w:p w14:paraId="2A1ECBBF" w14:textId="6CC66744" w:rsidR="001922CF" w:rsidRPr="001A5150" w:rsidRDefault="001922CF" w:rsidP="00952324">
      <w:pPr>
        <w:spacing w:after="0"/>
      </w:pPr>
      <w:r w:rsidRPr="001A5150">
        <w:t xml:space="preserve">V období květen až červenec došlo ke zvýšení objemu rozpočtu odvětví </w:t>
      </w:r>
      <w:r w:rsidR="006109D4" w:rsidRPr="001A5150">
        <w:t>o </w:t>
      </w:r>
      <w:r w:rsidRPr="001A5150">
        <w:t>400</w:t>
      </w:r>
      <w:r w:rsidR="006109D4" w:rsidRPr="001A5150">
        <w:t> </w:t>
      </w:r>
      <w:r w:rsidRPr="001A5150">
        <w:t>tis.</w:t>
      </w:r>
      <w:r w:rsidR="006109D4" w:rsidRPr="001A5150">
        <w:t> </w:t>
      </w:r>
      <w:r w:rsidRPr="001A5150">
        <w:t>Kč, což souviselo se zvýšením objemu rozpočtu na akci Technická údržba, podpora a služby k software v odvětví územního plánování a stavebního řádu o 500 tis. Kč a dále došlo k převodu vyčíslených úspor odvětví do zdrojů pro přípravu rozpočtu kraje na rok 2026 ve výši 100 tis. Kč.</w:t>
      </w:r>
    </w:p>
    <w:p w14:paraId="2EBDEFE3" w14:textId="4D3CAF44" w:rsidR="002503D9" w:rsidRPr="001A5150" w:rsidRDefault="002B471A" w:rsidP="001318E4">
      <w:pPr>
        <w:pStyle w:val="Styltab"/>
      </w:pPr>
      <w:r w:rsidRPr="001A5150">
        <w:t>Výdaje v</w:t>
      </w:r>
      <w:r w:rsidR="00070899" w:rsidRPr="001A5150">
        <w:t> </w:t>
      </w:r>
      <w:r w:rsidRPr="001A5150">
        <w:t>odvětví územního plánování a stavebního řádu na</w:t>
      </w:r>
      <w:r w:rsidR="00597DCE" w:rsidRPr="001A5150">
        <w:t> </w:t>
      </w:r>
      <w:r w:rsidRPr="001A5150">
        <w:t>samosprávné a</w:t>
      </w:r>
      <w:r w:rsidR="00070899" w:rsidRPr="001A5150">
        <w:t> </w:t>
      </w:r>
      <w:r w:rsidRPr="001A5150">
        <w:t>jiné činnosti zajišťované prostřednictvím krajského úřadu</w:t>
      </w:r>
      <w:r w:rsidR="00E0318D" w:rsidRPr="001A5150">
        <w:tab/>
      </w:r>
      <w:r w:rsidRPr="001A5150">
        <w:t>v tis. Kč</w:t>
      </w:r>
      <w:bookmarkStart w:id="306" w:name="_MON_1490173386"/>
      <w:bookmarkStart w:id="307" w:name="_MON_1490175394"/>
      <w:bookmarkStart w:id="308" w:name="_MON_1681556936"/>
      <w:bookmarkStart w:id="309" w:name="_MON_1469448288"/>
      <w:bookmarkStart w:id="310" w:name="_MON_1476602219"/>
      <w:bookmarkStart w:id="311" w:name="_MON_1477207387"/>
      <w:bookmarkEnd w:id="306"/>
      <w:bookmarkEnd w:id="307"/>
      <w:bookmarkEnd w:id="308"/>
      <w:bookmarkEnd w:id="309"/>
      <w:bookmarkEnd w:id="310"/>
      <w:bookmarkEnd w:id="311"/>
      <w:bookmarkStart w:id="312" w:name="_MON_1489928615"/>
      <w:bookmarkEnd w:id="312"/>
      <w:r w:rsidR="00C064D8" w:rsidRPr="001A5150">
        <w:object w:dxaOrig="9770" w:dyaOrig="2746" w14:anchorId="1D61FD47">
          <v:shape id="_x0000_i1072" type="#_x0000_t75" style="width:472.7pt;height:136.5pt" o:ole="">
            <v:imagedata r:id="rId103" o:title=""/>
          </v:shape>
          <o:OLEObject Type="Embed" ProgID="Excel.Sheet.8" ShapeID="_x0000_i1072" DrawAspect="Content" ObjectID="_1817201236" r:id="rId104"/>
        </w:object>
      </w:r>
    </w:p>
    <w:p w14:paraId="6E24D63D" w14:textId="77777777" w:rsidR="0040572F" w:rsidRPr="001A5150" w:rsidRDefault="0040572F" w:rsidP="0040572F"/>
    <w:p w14:paraId="586AA642" w14:textId="77777777" w:rsidR="008B22CC" w:rsidRPr="001A5150" w:rsidRDefault="008B22CC" w:rsidP="00AD79B0">
      <w:pPr>
        <w:pStyle w:val="Nadpis3"/>
      </w:pPr>
      <w:r w:rsidRPr="001A5150">
        <w:t>Odvětví zdravotnictví</w:t>
      </w:r>
    </w:p>
    <w:p w14:paraId="3B05DEBB" w14:textId="46DD220E" w:rsidR="008C4BE6" w:rsidRPr="001A5150" w:rsidRDefault="008B22CC" w:rsidP="008C4BE6">
      <w:r w:rsidRPr="001A5150">
        <w:t>Schválený rozpočet výdajů v odvětví zdravotnictví představuje částku </w:t>
      </w:r>
      <w:r w:rsidR="00BE20AE" w:rsidRPr="001A5150">
        <w:t>1.431.830</w:t>
      </w:r>
      <w:r w:rsidR="006206EA" w:rsidRPr="001A5150">
        <w:t> </w:t>
      </w:r>
      <w:r w:rsidRPr="001A5150">
        <w:t>tis.</w:t>
      </w:r>
      <w:r w:rsidR="006206EA" w:rsidRPr="001A5150">
        <w:t> </w:t>
      </w:r>
      <w:r w:rsidRPr="001A5150">
        <w:t>Kč. K </w:t>
      </w:r>
      <w:r w:rsidR="00164DCF" w:rsidRPr="001A5150">
        <w:t>31. 7. 2025</w:t>
      </w:r>
      <w:r w:rsidRPr="001A5150">
        <w:t xml:space="preserve"> činil upravený rozpočet </w:t>
      </w:r>
      <w:r w:rsidR="003A14A8" w:rsidRPr="001A5150">
        <w:t>2.124.426</w:t>
      </w:r>
      <w:r w:rsidR="006206EA" w:rsidRPr="001A5150">
        <w:t> </w:t>
      </w:r>
      <w:r w:rsidRPr="001A5150">
        <w:t>tis.</w:t>
      </w:r>
      <w:r w:rsidR="006206EA" w:rsidRPr="001A5150">
        <w:t> </w:t>
      </w:r>
      <w:r w:rsidRPr="001A5150">
        <w:t>Kč</w:t>
      </w:r>
      <w:r w:rsidR="006206EA" w:rsidRPr="001A5150">
        <w:t xml:space="preserve">, což představuje </w:t>
      </w:r>
      <w:r w:rsidR="002838AB" w:rsidRPr="001A5150">
        <w:t>navýšení o</w:t>
      </w:r>
      <w:r w:rsidR="00077862" w:rsidRPr="001A5150">
        <w:t> </w:t>
      </w:r>
      <w:r w:rsidR="003A14A8" w:rsidRPr="001A5150">
        <w:t>692.596</w:t>
      </w:r>
      <w:r w:rsidR="002838AB" w:rsidRPr="001A5150">
        <w:t> tis. Kč.</w:t>
      </w:r>
      <w:r w:rsidR="008C4BE6" w:rsidRPr="001A5150">
        <w:t xml:space="preserve"> Celkové výdaje v odvětví byly čerpány ve výši </w:t>
      </w:r>
      <w:r w:rsidR="003A14A8" w:rsidRPr="001A5150">
        <w:t>884.941</w:t>
      </w:r>
      <w:r w:rsidR="008C4BE6" w:rsidRPr="001A5150">
        <w:t xml:space="preserve"> tis. Kč, tj. </w:t>
      </w:r>
      <w:r w:rsidR="003A14A8" w:rsidRPr="001A5150">
        <w:t>42</w:t>
      </w:r>
      <w:r w:rsidR="008C4BE6" w:rsidRPr="001A5150">
        <w:t> % upraveného rozpočtu.</w:t>
      </w:r>
    </w:p>
    <w:p w14:paraId="586AA64D" w14:textId="611513B4" w:rsidR="00F967C2" w:rsidRPr="001A5150" w:rsidRDefault="00C435B8" w:rsidP="001318E4">
      <w:pPr>
        <w:pStyle w:val="Styltab"/>
      </w:pPr>
      <w:bookmarkStart w:id="313" w:name="_MON_1489919139"/>
      <w:bookmarkStart w:id="314" w:name="_MON_1490173399"/>
      <w:bookmarkStart w:id="315" w:name="_MON_1469361471"/>
      <w:bookmarkStart w:id="316" w:name="_MON_1476602247"/>
      <w:bookmarkStart w:id="317" w:name="_MON_1477204522"/>
      <w:bookmarkStart w:id="318" w:name="_MON_1477311390"/>
      <w:bookmarkEnd w:id="313"/>
      <w:bookmarkEnd w:id="314"/>
      <w:bookmarkEnd w:id="315"/>
      <w:bookmarkEnd w:id="316"/>
      <w:bookmarkEnd w:id="317"/>
      <w:bookmarkEnd w:id="318"/>
      <w:r w:rsidRPr="001A5150">
        <w:lastRenderedPageBreak/>
        <w:t>Výdaje v odvětví zdravotnictví v členění dle účelu</w:t>
      </w:r>
      <w:r w:rsidRPr="001A5150">
        <w:tab/>
        <w:t>v tis. Kč</w:t>
      </w:r>
      <w:bookmarkStart w:id="319" w:name="_MON_1555994180"/>
      <w:bookmarkEnd w:id="319"/>
      <w:r w:rsidR="003A14A8" w:rsidRPr="001A5150">
        <w:object w:dxaOrig="9480" w:dyaOrig="2314" w14:anchorId="586AA6C3">
          <v:shape id="_x0000_i1073" type="#_x0000_t75" style="width:467.7pt;height:115.2pt" o:ole="">
            <v:imagedata r:id="rId105" o:title=""/>
          </v:shape>
          <o:OLEObject Type="Embed" ProgID="Excel.Sheet.8" ShapeID="_x0000_i1073" DrawAspect="Content" ObjectID="_1817201237" r:id="rId106"/>
        </w:object>
      </w:r>
    </w:p>
    <w:p w14:paraId="1028E62C" w14:textId="54B51425" w:rsidR="00B021CD" w:rsidRPr="001A5150" w:rsidRDefault="00835CD9" w:rsidP="00980602">
      <w:pPr>
        <w:spacing w:before="200" w:after="0"/>
      </w:pPr>
      <w:r w:rsidRPr="001A5150">
        <w:t>Objemově významná úprava v období leden až duben souvisela s nedočerpanými účelově vymezenými výdaji roku 202</w:t>
      </w:r>
      <w:r w:rsidR="00F35712" w:rsidRPr="001A5150">
        <w:t>4</w:t>
      </w:r>
      <w:r w:rsidRPr="001A5150">
        <w:t xml:space="preserve"> v tomto odvětví ve výši </w:t>
      </w:r>
      <w:r w:rsidR="00F35712" w:rsidRPr="001A5150">
        <w:t>419.542</w:t>
      </w:r>
      <w:r w:rsidRPr="001A5150">
        <w:t> tis. Kč, které byly zapojeny ke stejnému účelu do rozpočtu roku 202</w:t>
      </w:r>
      <w:r w:rsidR="00F35712" w:rsidRPr="001A5150">
        <w:t>5</w:t>
      </w:r>
      <w:r w:rsidRPr="001A5150">
        <w:t xml:space="preserve">. Jednalo se zejména o prostředky určené na financování akcí reprodukce majetku kraje ve výši </w:t>
      </w:r>
      <w:r w:rsidR="00F35712" w:rsidRPr="001A5150">
        <w:t>302.672</w:t>
      </w:r>
      <w:r w:rsidRPr="001A5150">
        <w:t> tis. Kč</w:t>
      </w:r>
      <w:r w:rsidR="000C2CCB" w:rsidRPr="001A5150">
        <w:t xml:space="preserve"> a</w:t>
      </w:r>
      <w:r w:rsidR="006F1088" w:rsidRPr="001A5150">
        <w:t xml:space="preserve"> akcí spolufinancovaných z evropských finančních zdrojů ve výši </w:t>
      </w:r>
      <w:r w:rsidR="00F35712" w:rsidRPr="001A5150">
        <w:t>96.189</w:t>
      </w:r>
      <w:r w:rsidR="006F1088" w:rsidRPr="001A5150">
        <w:t> tis. Kč.</w:t>
      </w:r>
      <w:r w:rsidRPr="001A5150">
        <w:t xml:space="preserve"> </w:t>
      </w:r>
    </w:p>
    <w:p w14:paraId="482DE919" w14:textId="3D067C46" w:rsidR="006973C6" w:rsidRPr="001A5150" w:rsidRDefault="006109D4" w:rsidP="006973C6">
      <w:pPr>
        <w:spacing w:before="200" w:after="0"/>
      </w:pPr>
      <w:r w:rsidRPr="001A5150">
        <w:t xml:space="preserve">V období květen až červenec došlo ke zvýšení objemu </w:t>
      </w:r>
      <w:r w:rsidR="004337E3" w:rsidRPr="001A5150">
        <w:t>rozpočtu</w:t>
      </w:r>
      <w:r w:rsidRPr="001A5150">
        <w:t xml:space="preserve"> odvětví o 245.182 tis. Kč. </w:t>
      </w:r>
      <w:r w:rsidR="004337E3" w:rsidRPr="001A5150">
        <w:t>Významný vliv mělo zapojení části zůstatku rozpočtového hospodaření kraje za rok 2024 ve výši 227.300 tis. Kč, z toho zejména</w:t>
      </w:r>
      <w:r w:rsidR="006973C6" w:rsidRPr="001A5150">
        <w:t xml:space="preserve"> na převzetí nemocnic Bruntál a Rýmařov Sdruženým zdravotnickým zařízením Krnov ve výši 100.000 tis. Kč a na dofinancování provozu </w:t>
      </w:r>
      <w:r w:rsidR="00FB25BC" w:rsidRPr="001A5150">
        <w:t xml:space="preserve">nemocnic </w:t>
      </w:r>
      <w:r w:rsidR="006973C6" w:rsidRPr="001A5150">
        <w:t xml:space="preserve">Třinec a Havířov na </w:t>
      </w:r>
      <w:proofErr w:type="spellStart"/>
      <w:r w:rsidR="006973C6" w:rsidRPr="001A5150">
        <w:t>posplatné</w:t>
      </w:r>
      <w:proofErr w:type="spellEnd"/>
      <w:r w:rsidR="006973C6" w:rsidRPr="001A5150">
        <w:t xml:space="preserve"> závazky ve výši 120.000 tis. Kč.</w:t>
      </w:r>
    </w:p>
    <w:p w14:paraId="586AA64F" w14:textId="4A73A814" w:rsidR="008B22CC" w:rsidRPr="001A5150" w:rsidRDefault="004337E3" w:rsidP="006973C6">
      <w:pPr>
        <w:spacing w:before="200" w:after="0"/>
      </w:pPr>
      <w:r w:rsidRPr="001A5150">
        <w:t xml:space="preserve"> </w:t>
      </w:r>
      <w:r w:rsidR="00A31BF8" w:rsidRPr="001A5150">
        <w:t>Výdaje v odvětví zdravotnictví na samosprávné a jiné činnosti zajišťované prostřednictvím krajského úřadu</w:t>
      </w:r>
      <w:r w:rsidR="00A31BF8" w:rsidRPr="001A5150">
        <w:tab/>
        <w:t>v tis. Kč</w:t>
      </w:r>
      <w:bookmarkStart w:id="320" w:name="_MON_1490003760"/>
      <w:bookmarkStart w:id="321" w:name="_MON_1490173411"/>
      <w:bookmarkStart w:id="322" w:name="_MON_1490175437"/>
      <w:bookmarkStart w:id="323" w:name="_MON_1469450040"/>
      <w:bookmarkStart w:id="324" w:name="_MON_1469520067"/>
      <w:bookmarkStart w:id="325" w:name="_MON_1469520728"/>
      <w:bookmarkStart w:id="326" w:name="_MON_1476602266"/>
      <w:bookmarkStart w:id="327" w:name="_MON_1477207118"/>
      <w:bookmarkStart w:id="328" w:name="_MON_1477311675"/>
      <w:bookmarkStart w:id="329" w:name="_MON_1477464400"/>
      <w:bookmarkStart w:id="330" w:name="_MON_1489928717"/>
      <w:bookmarkEnd w:id="320"/>
      <w:bookmarkEnd w:id="321"/>
      <w:bookmarkEnd w:id="322"/>
      <w:bookmarkEnd w:id="323"/>
      <w:bookmarkEnd w:id="324"/>
      <w:bookmarkEnd w:id="325"/>
      <w:bookmarkEnd w:id="326"/>
      <w:bookmarkEnd w:id="327"/>
      <w:bookmarkEnd w:id="328"/>
      <w:bookmarkEnd w:id="329"/>
      <w:bookmarkEnd w:id="330"/>
      <w:bookmarkStart w:id="331" w:name="_MON_1489929114"/>
      <w:bookmarkEnd w:id="331"/>
      <w:r w:rsidR="00E05E1A" w:rsidRPr="001A5150">
        <w:object w:dxaOrig="9739" w:dyaOrig="5391" w14:anchorId="586AA6C4">
          <v:shape id="_x0000_i1074" type="#_x0000_t75" style="width:466.45pt;height:262.35pt" o:ole="">
            <v:imagedata r:id="rId107" o:title=""/>
          </v:shape>
          <o:OLEObject Type="Embed" ProgID="Excel.Sheet.8" ShapeID="_x0000_i1074" DrawAspect="Content" ObjectID="_1817201238" r:id="rId108"/>
        </w:object>
      </w:r>
    </w:p>
    <w:p w14:paraId="372AC0A8" w14:textId="77777777" w:rsidR="00F43CCC" w:rsidRPr="001A5150" w:rsidRDefault="00F43CCC" w:rsidP="00F43CCC"/>
    <w:p w14:paraId="77FFB758" w14:textId="1ABF634C" w:rsidR="00A83E59" w:rsidRPr="001A5150" w:rsidRDefault="00210593" w:rsidP="001318E4">
      <w:pPr>
        <w:pStyle w:val="Styltab"/>
      </w:pPr>
      <w:r w:rsidRPr="001A5150">
        <w:lastRenderedPageBreak/>
        <w:t>Příspěvek na</w:t>
      </w:r>
      <w:r w:rsidR="0001191D" w:rsidRPr="001A5150">
        <w:t> </w:t>
      </w:r>
      <w:r w:rsidRPr="001A5150">
        <w:t>provoz příspěvkovým organizacím v odvětví zdravotnictví</w:t>
      </w:r>
      <w:r w:rsidRPr="001A5150">
        <w:tab/>
        <w:t>v tis. Kč</w:t>
      </w:r>
      <w:bookmarkStart w:id="332" w:name="_MON_1490174599"/>
      <w:bookmarkStart w:id="333" w:name="_MON_1490174695"/>
      <w:bookmarkStart w:id="334" w:name="_MON_1490175476"/>
      <w:bookmarkStart w:id="335" w:name="_MON_1469450252"/>
      <w:bookmarkStart w:id="336" w:name="_MON_1476602291"/>
      <w:bookmarkStart w:id="337" w:name="_MON_1477206718"/>
      <w:bookmarkStart w:id="338" w:name="_MON_1477206746"/>
      <w:bookmarkStart w:id="339" w:name="_MON_1489929152"/>
      <w:bookmarkEnd w:id="332"/>
      <w:bookmarkEnd w:id="333"/>
      <w:bookmarkEnd w:id="334"/>
      <w:bookmarkEnd w:id="335"/>
      <w:bookmarkEnd w:id="336"/>
      <w:bookmarkEnd w:id="337"/>
      <w:bookmarkEnd w:id="338"/>
      <w:bookmarkEnd w:id="339"/>
      <w:bookmarkStart w:id="340" w:name="_MON_1490173424"/>
      <w:bookmarkEnd w:id="340"/>
      <w:r w:rsidR="00232E3E" w:rsidRPr="001A5150">
        <w:object w:dxaOrig="9907" w:dyaOrig="5890" w14:anchorId="586AA6C5">
          <v:shape id="_x0000_i1075" type="#_x0000_t75" style="width:471.45pt;height:274.25pt" o:ole="">
            <v:imagedata r:id="rId109" o:title=""/>
          </v:shape>
          <o:OLEObject Type="Embed" ProgID="Excel.Sheet.8" ShapeID="_x0000_i1075" DrawAspect="Content" ObjectID="_1817201239" r:id="rId110"/>
        </w:object>
      </w:r>
    </w:p>
    <w:p w14:paraId="4F965B0B" w14:textId="77777777" w:rsidR="00203FEC" w:rsidRPr="001A5150" w:rsidRDefault="00203FEC" w:rsidP="00203FEC"/>
    <w:p w14:paraId="2E9EB141" w14:textId="4412754E" w:rsidR="009E4A8C" w:rsidRPr="001A5150" w:rsidRDefault="009E4A8C" w:rsidP="001318E4">
      <w:pPr>
        <w:pStyle w:val="Styltab"/>
      </w:pPr>
      <w:r w:rsidRPr="001A5150">
        <w:t>Návratné finanční výpomoci v odvětví zdravotnictví</w:t>
      </w:r>
      <w:r w:rsidRPr="001A5150">
        <w:tab/>
        <w:t>v tis. Kč</w:t>
      </w:r>
      <w:bookmarkStart w:id="341" w:name="_MON_1793206087"/>
      <w:bookmarkEnd w:id="341"/>
      <w:r w:rsidR="0044467B" w:rsidRPr="001A5150">
        <w:object w:dxaOrig="9372" w:dyaOrig="1544" w14:anchorId="6E5E3185">
          <v:shape id="_x0000_i1076" type="#_x0000_t75" style="width:475.85pt;height:78.9pt" o:ole="">
            <v:imagedata r:id="rId111" o:title=""/>
          </v:shape>
          <o:OLEObject Type="Embed" ProgID="Excel.Sheet.8" ShapeID="_x0000_i1076" DrawAspect="Content" ObjectID="_1817201240" r:id="rId112"/>
        </w:object>
      </w:r>
    </w:p>
    <w:p w14:paraId="3ADC92F4" w14:textId="77777777" w:rsidR="00203FEC" w:rsidRPr="001A5150" w:rsidRDefault="00203FEC" w:rsidP="00203FEC"/>
    <w:p w14:paraId="586AA654" w14:textId="77777777" w:rsidR="00014B18" w:rsidRPr="001A5150" w:rsidRDefault="00014B18" w:rsidP="00AD79B0">
      <w:pPr>
        <w:pStyle w:val="Nadpis3"/>
      </w:pPr>
      <w:r w:rsidRPr="001A5150">
        <w:t>Odvětví životního prostředí</w:t>
      </w:r>
    </w:p>
    <w:p w14:paraId="31664A38" w14:textId="53AB3914" w:rsidR="008C4BE6" w:rsidRPr="001A5150" w:rsidRDefault="00014B18" w:rsidP="008C4BE6">
      <w:r w:rsidRPr="001A5150">
        <w:t xml:space="preserve">Schválený rozpočet výdajů v odvětví životního prostředí </w:t>
      </w:r>
      <w:r w:rsidR="00431826" w:rsidRPr="001A5150">
        <w:t>ve</w:t>
      </w:r>
      <w:r w:rsidR="00EE741F" w:rsidRPr="001A5150">
        <w:t> </w:t>
      </w:r>
      <w:r w:rsidR="00431826" w:rsidRPr="001A5150">
        <w:t xml:space="preserve">výši </w:t>
      </w:r>
      <w:r w:rsidR="000D371A" w:rsidRPr="001A5150">
        <w:t>311.250 </w:t>
      </w:r>
      <w:r w:rsidR="00431826" w:rsidRPr="001A5150">
        <w:t>tis. Kč byl k </w:t>
      </w:r>
      <w:r w:rsidR="00164DCF" w:rsidRPr="001A5150">
        <w:t>31. 7. 2025</w:t>
      </w:r>
      <w:r w:rsidR="00431826" w:rsidRPr="001A5150">
        <w:t xml:space="preserve"> zvýšen na</w:t>
      </w:r>
      <w:r w:rsidR="00D4440E" w:rsidRPr="001A5150">
        <w:t> </w:t>
      </w:r>
      <w:r w:rsidR="006018DF" w:rsidRPr="001A5150">
        <w:t>666.339</w:t>
      </w:r>
      <w:r w:rsidR="00A73973" w:rsidRPr="001A5150">
        <w:t> </w:t>
      </w:r>
      <w:r w:rsidR="00AF164E" w:rsidRPr="001A5150">
        <w:t>tis</w:t>
      </w:r>
      <w:r w:rsidR="00431826" w:rsidRPr="001A5150">
        <w:t>. Kč, což představuje navýšení o</w:t>
      </w:r>
      <w:r w:rsidR="00847CD4" w:rsidRPr="001A5150">
        <w:t> </w:t>
      </w:r>
      <w:r w:rsidR="006018DF" w:rsidRPr="001A5150">
        <w:t>355.089</w:t>
      </w:r>
      <w:r w:rsidR="00A50D02" w:rsidRPr="001A5150">
        <w:t> </w:t>
      </w:r>
      <w:r w:rsidR="00431826" w:rsidRPr="001A5150">
        <w:t>tis. Kč.</w:t>
      </w:r>
      <w:r w:rsidR="008C4BE6" w:rsidRPr="001A5150">
        <w:t xml:space="preserve"> Celkové výdaje v odvětví byly čerpány ve výši </w:t>
      </w:r>
      <w:r w:rsidR="006018DF" w:rsidRPr="001A5150">
        <w:t>172.514</w:t>
      </w:r>
      <w:r w:rsidR="008C4BE6" w:rsidRPr="001A5150">
        <w:t xml:space="preserve"> tis. Kč, tj. </w:t>
      </w:r>
      <w:r w:rsidR="006018DF" w:rsidRPr="001A5150">
        <w:t>2</w:t>
      </w:r>
      <w:r w:rsidR="000D371A" w:rsidRPr="001A5150">
        <w:t>6</w:t>
      </w:r>
      <w:r w:rsidR="008C4BE6" w:rsidRPr="001A5150">
        <w:t> % upraveného rozpočtu.</w:t>
      </w:r>
    </w:p>
    <w:p w14:paraId="3CAC83F9" w14:textId="5770D374" w:rsidR="002005A5" w:rsidRPr="001A5150" w:rsidRDefault="00C435B8" w:rsidP="001318E4">
      <w:pPr>
        <w:pStyle w:val="Styltab"/>
      </w:pPr>
      <w:r w:rsidRPr="001A5150">
        <w:lastRenderedPageBreak/>
        <w:t>Výdaje v odvětví životního prostředí v členění dle účelu</w:t>
      </w:r>
      <w:r w:rsidR="00837113" w:rsidRPr="001A5150">
        <w:tab/>
      </w:r>
      <w:r w:rsidRPr="001A5150">
        <w:t>v tis. Kč</w:t>
      </w:r>
      <w:bookmarkStart w:id="342" w:name="_MON_1682602567"/>
      <w:bookmarkEnd w:id="342"/>
      <w:r w:rsidR="006018DF" w:rsidRPr="001A5150">
        <w:object w:dxaOrig="9609" w:dyaOrig="2328" w14:anchorId="414FCC03">
          <v:shape id="_x0000_i1077" type="#_x0000_t75" style="width:475.85pt;height:122.1pt" o:ole="">
            <v:imagedata r:id="rId113" o:title=""/>
          </v:shape>
          <o:OLEObject Type="Embed" ProgID="Excel.Sheet.8" ShapeID="_x0000_i1077" DrawAspect="Content" ObjectID="_1817201241" r:id="rId114"/>
        </w:object>
      </w:r>
    </w:p>
    <w:p w14:paraId="32DB889B" w14:textId="102A78D8" w:rsidR="00B938B9" w:rsidRPr="001A5150" w:rsidRDefault="003C2CCF" w:rsidP="003B1E4F">
      <w:pPr>
        <w:pStyle w:val="MSKNormal"/>
        <w:spacing w:before="200"/>
      </w:pPr>
      <w:bookmarkStart w:id="343" w:name="_Hlk166490029"/>
      <w:r w:rsidRPr="001A5150">
        <w:t>Objemově významná úprava v období leden až duben souvisela s nedočerpanými účelově vymezenými výdaji roku 202</w:t>
      </w:r>
      <w:r w:rsidR="001E672D" w:rsidRPr="001A5150">
        <w:t>4</w:t>
      </w:r>
      <w:r w:rsidRPr="001A5150">
        <w:t xml:space="preserve"> v tomto odvětví ve výši </w:t>
      </w:r>
      <w:r w:rsidR="001E672D" w:rsidRPr="001A5150">
        <w:t>441.361</w:t>
      </w:r>
      <w:r w:rsidRPr="001A5150">
        <w:t> tis. Kč, které byly zapojeny ke stejnému účelu do rozpočtu roku 202</w:t>
      </w:r>
      <w:r w:rsidR="001E672D" w:rsidRPr="001A5150">
        <w:t>5</w:t>
      </w:r>
      <w:r w:rsidRPr="001A5150">
        <w:t>.</w:t>
      </w:r>
      <w:r w:rsidR="001E672D" w:rsidRPr="001A5150">
        <w:t xml:space="preserve"> U akcí spolufinancovaných z evropských finančních zdrojů došlo k navýšení objemu rozpočtu o 325.463 tis. Kč, z toho o 207.017</w:t>
      </w:r>
      <w:r w:rsidRPr="001A5150">
        <w:t xml:space="preserve"> tis. Kč </w:t>
      </w:r>
      <w:r w:rsidR="001E672D" w:rsidRPr="001A5150">
        <w:t>u</w:t>
      </w:r>
      <w:r w:rsidRPr="001A5150">
        <w:t> projekt</w:t>
      </w:r>
      <w:r w:rsidR="001E672D" w:rsidRPr="001A5150">
        <w:t>ů</w:t>
      </w:r>
      <w:r w:rsidRPr="001A5150">
        <w:t xml:space="preserve"> kotlíkových dotac</w:t>
      </w:r>
      <w:r w:rsidR="001E672D" w:rsidRPr="001A5150">
        <w:t>í. U výdajů na samosprávné a jiné činnosti realizované krajským úřadem došlo k navýšení objemu rozpočtu o 85.647 tis. Kč.</w:t>
      </w:r>
      <w:r w:rsidR="008A18E9" w:rsidRPr="001A5150">
        <w:t xml:space="preserve"> Ve sledovaném období došlo také </w:t>
      </w:r>
      <w:r w:rsidR="00B938B9" w:rsidRPr="001A5150">
        <w:t xml:space="preserve">ke zreálnění čerpání výdajů v letech u akcí spolufinancovaných z evropských finančních zdrojů, úpravou došlo ke snížení objemu rozpočtu o </w:t>
      </w:r>
      <w:r w:rsidR="00FB0E97" w:rsidRPr="001A5150">
        <w:t>44.224</w:t>
      </w:r>
      <w:r w:rsidR="00B938B9" w:rsidRPr="001A5150">
        <w:t xml:space="preserve"> tis. Kč.</w:t>
      </w:r>
    </w:p>
    <w:p w14:paraId="081C202C" w14:textId="0A073168" w:rsidR="000770A4" w:rsidRPr="001A5150" w:rsidRDefault="000770A4" w:rsidP="003B1E4F">
      <w:pPr>
        <w:pStyle w:val="MSKNormal"/>
        <w:spacing w:before="200"/>
      </w:pPr>
      <w:r w:rsidRPr="001A5150">
        <w:t>V období květen až červenec došlo ke snížení objemu rozpočtu odvětví o 30.627 tis. Kč, což souviselo zejména s převodem vyčíslených úspor na jednotlivých akcích v odvětví a jejich převodem do zdrojů pro</w:t>
      </w:r>
      <w:r w:rsidR="00F44970" w:rsidRPr="001A5150">
        <w:t> </w:t>
      </w:r>
      <w:r w:rsidRPr="001A5150">
        <w:t>přípravu rozpočtu kraje na rok 2026 ve výši 23.366 tis. Kč.</w:t>
      </w:r>
    </w:p>
    <w:bookmarkEnd w:id="343"/>
    <w:p w14:paraId="1E0E5B3D" w14:textId="728CC851" w:rsidR="00E757A8" w:rsidRPr="001A5150" w:rsidRDefault="00210593" w:rsidP="001318E4">
      <w:pPr>
        <w:pStyle w:val="Styltab"/>
      </w:pPr>
      <w:r w:rsidRPr="001A5150">
        <w:lastRenderedPageBreak/>
        <w:t>Výdaje v</w:t>
      </w:r>
      <w:r w:rsidR="00CF18D3" w:rsidRPr="001A5150">
        <w:t> </w:t>
      </w:r>
      <w:r w:rsidRPr="001A5150">
        <w:t>odvětví životního prostředí na</w:t>
      </w:r>
      <w:r w:rsidR="00CF18D3" w:rsidRPr="001A5150">
        <w:t> </w:t>
      </w:r>
      <w:r w:rsidRPr="001A5150">
        <w:t>samosprávné a jiné činnosti zajišťované prostřednictvím krajského úřadu</w:t>
      </w:r>
      <w:r w:rsidR="00A70929" w:rsidRPr="001A5150">
        <w:tab/>
      </w:r>
      <w:r w:rsidRPr="001A5150">
        <w:t>v tis. Kč</w:t>
      </w:r>
      <w:bookmarkStart w:id="344" w:name="_MON_1500287680"/>
      <w:bookmarkEnd w:id="344"/>
      <w:r w:rsidR="006B546D" w:rsidRPr="001A5150">
        <w:object w:dxaOrig="9972" w:dyaOrig="10479" w14:anchorId="586AA6C8">
          <v:shape id="_x0000_i1078" type="#_x0000_t75" style="width:473.95pt;height:532.8pt" o:ole="">
            <v:imagedata r:id="rId115" o:title=""/>
          </v:shape>
          <o:OLEObject Type="Embed" ProgID="Excel.Sheet.8" ShapeID="_x0000_i1078" DrawAspect="Content" ObjectID="_1817201242" r:id="rId116"/>
        </w:object>
      </w:r>
    </w:p>
    <w:p w14:paraId="4D43F450" w14:textId="77777777" w:rsidR="00A07E4F" w:rsidRPr="001A5150" w:rsidRDefault="00A07E4F" w:rsidP="00A07E4F"/>
    <w:p w14:paraId="2C77F05F" w14:textId="04E7B325" w:rsidR="00443B00" w:rsidRPr="001A5150" w:rsidRDefault="00A163F9" w:rsidP="001318E4">
      <w:pPr>
        <w:pStyle w:val="Styltab"/>
      </w:pPr>
      <w:r w:rsidRPr="001A5150">
        <w:lastRenderedPageBreak/>
        <w:t>Příspěvek na provoz příspěvkovým organizacím kraje</w:t>
      </w:r>
      <w:r w:rsidR="00443B00" w:rsidRPr="001A5150">
        <w:tab/>
        <w:t>v tis. Kč</w:t>
      </w:r>
      <w:bookmarkStart w:id="345" w:name="_MON_1714037861"/>
      <w:bookmarkEnd w:id="345"/>
      <w:r w:rsidR="00F77B89" w:rsidRPr="001A5150">
        <w:object w:dxaOrig="9938" w:dyaOrig="1688" w14:anchorId="45A38025">
          <v:shape id="_x0000_i1079" type="#_x0000_t75" style="width:473.3pt;height:84.5pt" o:ole="">
            <v:imagedata r:id="rId117" o:title=""/>
          </v:shape>
          <o:OLEObject Type="Embed" ProgID="Excel.Sheet.8" ShapeID="_x0000_i1079" DrawAspect="Content" ObjectID="_1817201243" r:id="rId118"/>
        </w:object>
      </w:r>
    </w:p>
    <w:p w14:paraId="64EE3348" w14:textId="77777777" w:rsidR="00905321" w:rsidRPr="001A5150" w:rsidRDefault="00905321" w:rsidP="00905321"/>
    <w:p w14:paraId="2132400D" w14:textId="1D7E5892" w:rsidR="00905321" w:rsidRPr="001A5150" w:rsidRDefault="00905321" w:rsidP="001318E4">
      <w:pPr>
        <w:pStyle w:val="Styltab"/>
      </w:pPr>
      <w:r w:rsidRPr="001A5150">
        <w:t>Návratné finanční výpomoci v odvětví životního prostředí</w:t>
      </w:r>
      <w:r w:rsidRPr="001A5150">
        <w:tab/>
        <w:t>v tis. Kč</w:t>
      </w:r>
      <w:bookmarkStart w:id="346" w:name="_MON_1793327569"/>
      <w:bookmarkEnd w:id="346"/>
      <w:r w:rsidR="00F77B89" w:rsidRPr="001A5150">
        <w:object w:dxaOrig="9451" w:dyaOrig="1297" w14:anchorId="10173237">
          <v:shape id="_x0000_i1080" type="#_x0000_t75" style="width:475.2pt;height:64.5pt" o:ole="">
            <v:imagedata r:id="rId119" o:title=""/>
          </v:shape>
          <o:OLEObject Type="Embed" ProgID="Excel.Sheet.8" ShapeID="_x0000_i1080" DrawAspect="Content" ObjectID="_1817201244" r:id="rId120"/>
        </w:object>
      </w:r>
    </w:p>
    <w:p w14:paraId="6D7A8397" w14:textId="77777777" w:rsidR="00905321" w:rsidRPr="001A5150" w:rsidRDefault="00905321" w:rsidP="00905321"/>
    <w:p w14:paraId="586AA65F" w14:textId="513F1F2A" w:rsidR="00827B83" w:rsidRPr="001A5150" w:rsidRDefault="00827B83">
      <w:pPr>
        <w:pStyle w:val="Odstavecseseznamem"/>
        <w:numPr>
          <w:ilvl w:val="0"/>
          <w:numId w:val="8"/>
        </w:numPr>
        <w:spacing w:before="400" w:after="240"/>
        <w:ind w:left="284" w:hanging="284"/>
        <w:rPr>
          <w:b/>
          <w:sz w:val="24"/>
        </w:rPr>
      </w:pPr>
      <w:r w:rsidRPr="001A5150">
        <w:rPr>
          <w:b/>
          <w:sz w:val="24"/>
        </w:rPr>
        <w:t>Přehled financování dotačních programů k </w:t>
      </w:r>
      <w:r w:rsidR="00164DCF" w:rsidRPr="001A5150">
        <w:rPr>
          <w:b/>
          <w:sz w:val="24"/>
        </w:rPr>
        <w:t>31. 7. 2025</w:t>
      </w:r>
    </w:p>
    <w:p w14:paraId="4E23D6F5" w14:textId="77777777" w:rsidR="00E567BC" w:rsidRPr="001A5150" w:rsidRDefault="00014B18" w:rsidP="00B87AD6">
      <w:pPr>
        <w:rPr>
          <w:rFonts w:cs="Tahoma"/>
          <w:szCs w:val="20"/>
        </w:rPr>
      </w:pPr>
      <w:r w:rsidRPr="001A5150">
        <w:rPr>
          <w:rFonts w:cs="Tahoma"/>
          <w:szCs w:val="20"/>
        </w:rPr>
        <w:t xml:space="preserve">V roce </w:t>
      </w:r>
      <w:r w:rsidR="00FA5CE7" w:rsidRPr="001A5150">
        <w:rPr>
          <w:rFonts w:cs="Tahoma"/>
          <w:szCs w:val="20"/>
        </w:rPr>
        <w:t>20</w:t>
      </w:r>
      <w:r w:rsidR="00B87A13" w:rsidRPr="001A5150">
        <w:rPr>
          <w:rFonts w:cs="Tahoma"/>
          <w:szCs w:val="20"/>
        </w:rPr>
        <w:t>2</w:t>
      </w:r>
      <w:r w:rsidR="0080147E" w:rsidRPr="001A5150">
        <w:rPr>
          <w:rFonts w:cs="Tahoma"/>
          <w:szCs w:val="20"/>
        </w:rPr>
        <w:t>5</w:t>
      </w:r>
      <w:r w:rsidRPr="001A5150">
        <w:rPr>
          <w:rFonts w:cs="Tahoma"/>
          <w:szCs w:val="20"/>
        </w:rPr>
        <w:t xml:space="preserve"> bylo ve</w:t>
      </w:r>
      <w:r w:rsidR="00B26946" w:rsidRPr="001A5150">
        <w:rPr>
          <w:rFonts w:cs="Tahoma"/>
          <w:szCs w:val="20"/>
        </w:rPr>
        <w:t> </w:t>
      </w:r>
      <w:r w:rsidRPr="001A5150">
        <w:rPr>
          <w:rFonts w:cs="Tahoma"/>
          <w:szCs w:val="20"/>
        </w:rPr>
        <w:t>schváleném rozpočtu kraje vyčleněno na</w:t>
      </w:r>
      <w:r w:rsidR="00B26946" w:rsidRPr="001A5150">
        <w:rPr>
          <w:rFonts w:cs="Tahoma"/>
          <w:szCs w:val="20"/>
        </w:rPr>
        <w:t> </w:t>
      </w:r>
      <w:r w:rsidRPr="001A5150">
        <w:rPr>
          <w:rFonts w:cs="Tahoma"/>
          <w:szCs w:val="20"/>
        </w:rPr>
        <w:t xml:space="preserve">financování dotačních programů celkem </w:t>
      </w:r>
      <w:r w:rsidR="00881241" w:rsidRPr="001A5150">
        <w:rPr>
          <w:rFonts w:cs="Tahoma"/>
          <w:szCs w:val="20"/>
        </w:rPr>
        <w:t>574.787</w:t>
      </w:r>
      <w:r w:rsidRPr="001A5150">
        <w:rPr>
          <w:rFonts w:cs="Tahoma"/>
          <w:szCs w:val="20"/>
        </w:rPr>
        <w:t xml:space="preserve"> tis. Kč. </w:t>
      </w:r>
    </w:p>
    <w:p w14:paraId="586AA660" w14:textId="2361BF93" w:rsidR="00E9358D" w:rsidRPr="001A5150" w:rsidRDefault="00E567BC" w:rsidP="00B87AD6">
      <w:pPr>
        <w:rPr>
          <w:rFonts w:cs="Tahoma"/>
          <w:szCs w:val="20"/>
        </w:rPr>
      </w:pPr>
      <w:r w:rsidRPr="001A5150">
        <w:rPr>
          <w:rFonts w:cs="Tahoma"/>
          <w:szCs w:val="20"/>
        </w:rPr>
        <w:t>V období leden až duben</w:t>
      </w:r>
      <w:r w:rsidR="00014B18" w:rsidRPr="001A5150">
        <w:rPr>
          <w:rFonts w:cs="Tahoma"/>
          <w:szCs w:val="20"/>
        </w:rPr>
        <w:t xml:space="preserve"> došlo k úpravám rozpočtu, a</w:t>
      </w:r>
      <w:r w:rsidR="00B87A13" w:rsidRPr="001A5150">
        <w:rPr>
          <w:rFonts w:cs="Tahoma"/>
          <w:szCs w:val="20"/>
        </w:rPr>
        <w:t> </w:t>
      </w:r>
      <w:r w:rsidR="00014B18" w:rsidRPr="001A5150">
        <w:rPr>
          <w:rFonts w:cs="Tahoma"/>
          <w:szCs w:val="20"/>
        </w:rPr>
        <w:t>to</w:t>
      </w:r>
      <w:r w:rsidR="00B26946" w:rsidRPr="001A5150">
        <w:rPr>
          <w:rFonts w:cs="Tahoma"/>
          <w:szCs w:val="20"/>
        </w:rPr>
        <w:t> </w:t>
      </w:r>
      <w:r w:rsidR="00014B18" w:rsidRPr="001A5150">
        <w:rPr>
          <w:rFonts w:cs="Tahoma"/>
          <w:szCs w:val="20"/>
        </w:rPr>
        <w:t>nárůstu o</w:t>
      </w:r>
      <w:r w:rsidR="00B80487" w:rsidRPr="001A5150">
        <w:rPr>
          <w:rFonts w:cs="Tahoma"/>
          <w:szCs w:val="20"/>
        </w:rPr>
        <w:t> </w:t>
      </w:r>
      <w:r w:rsidR="00881241" w:rsidRPr="001A5150">
        <w:rPr>
          <w:rFonts w:cs="Tahoma"/>
          <w:szCs w:val="20"/>
        </w:rPr>
        <w:t>2.617.416</w:t>
      </w:r>
      <w:r w:rsidR="00BA3119" w:rsidRPr="001A5150">
        <w:rPr>
          <w:rFonts w:cs="Tahoma"/>
          <w:szCs w:val="20"/>
        </w:rPr>
        <w:t> </w:t>
      </w:r>
      <w:r w:rsidR="00014B18" w:rsidRPr="001A5150">
        <w:rPr>
          <w:rFonts w:cs="Tahoma"/>
          <w:szCs w:val="20"/>
        </w:rPr>
        <w:t>tis.</w:t>
      </w:r>
      <w:r w:rsidR="001A61B5" w:rsidRPr="001A5150">
        <w:rPr>
          <w:rFonts w:cs="Tahoma"/>
          <w:szCs w:val="20"/>
        </w:rPr>
        <w:t> </w:t>
      </w:r>
      <w:r w:rsidR="00014B18" w:rsidRPr="001A5150">
        <w:rPr>
          <w:rFonts w:cs="Tahoma"/>
          <w:szCs w:val="20"/>
        </w:rPr>
        <w:t xml:space="preserve">Kč. Navýšení bylo způsobeno </w:t>
      </w:r>
      <w:r w:rsidR="00F946EB" w:rsidRPr="001A5150">
        <w:rPr>
          <w:rFonts w:cs="Tahoma"/>
          <w:szCs w:val="20"/>
        </w:rPr>
        <w:t xml:space="preserve">nejen </w:t>
      </w:r>
      <w:r w:rsidR="00014B18" w:rsidRPr="001A5150">
        <w:rPr>
          <w:rFonts w:cs="Tahoma"/>
          <w:szCs w:val="20"/>
        </w:rPr>
        <w:t>zapojením</w:t>
      </w:r>
      <w:r w:rsidR="00F169BE" w:rsidRPr="001A5150">
        <w:rPr>
          <w:rFonts w:cs="Tahoma"/>
          <w:szCs w:val="20"/>
        </w:rPr>
        <w:t xml:space="preserve"> nespecifikované</w:t>
      </w:r>
      <w:r w:rsidR="00014B18" w:rsidRPr="001A5150">
        <w:rPr>
          <w:rFonts w:cs="Tahoma"/>
          <w:szCs w:val="20"/>
        </w:rPr>
        <w:t xml:space="preserve"> části zůstatku finančních prostředků roku </w:t>
      </w:r>
      <w:r w:rsidR="0063417C" w:rsidRPr="001A5150">
        <w:rPr>
          <w:rFonts w:cs="Tahoma"/>
          <w:szCs w:val="20"/>
        </w:rPr>
        <w:t>20</w:t>
      </w:r>
      <w:r w:rsidR="001E592E" w:rsidRPr="001A5150">
        <w:rPr>
          <w:rFonts w:cs="Tahoma"/>
          <w:szCs w:val="20"/>
        </w:rPr>
        <w:t>2</w:t>
      </w:r>
      <w:r w:rsidR="0049134C" w:rsidRPr="001A5150">
        <w:rPr>
          <w:rFonts w:cs="Tahoma"/>
          <w:szCs w:val="20"/>
        </w:rPr>
        <w:t>4</w:t>
      </w:r>
      <w:r w:rsidR="00014B18" w:rsidRPr="001A5150">
        <w:rPr>
          <w:rFonts w:cs="Tahoma"/>
          <w:szCs w:val="20"/>
        </w:rPr>
        <w:t xml:space="preserve"> do rozpočtu roku</w:t>
      </w:r>
      <w:r w:rsidR="00C47225" w:rsidRPr="001A5150">
        <w:rPr>
          <w:rFonts w:cs="Tahoma"/>
          <w:szCs w:val="20"/>
        </w:rPr>
        <w:t> </w:t>
      </w:r>
      <w:r w:rsidR="00C22C6C" w:rsidRPr="001A5150">
        <w:rPr>
          <w:rFonts w:cs="Tahoma"/>
          <w:szCs w:val="20"/>
        </w:rPr>
        <w:t>20</w:t>
      </w:r>
      <w:r w:rsidR="00FF5581" w:rsidRPr="001A5150">
        <w:rPr>
          <w:rFonts w:cs="Tahoma"/>
          <w:szCs w:val="20"/>
        </w:rPr>
        <w:t>2</w:t>
      </w:r>
      <w:r w:rsidR="0049134C" w:rsidRPr="001A5150">
        <w:rPr>
          <w:rFonts w:cs="Tahoma"/>
          <w:szCs w:val="20"/>
        </w:rPr>
        <w:t>5</w:t>
      </w:r>
      <w:r w:rsidR="00014B18" w:rsidRPr="001A5150">
        <w:rPr>
          <w:rFonts w:cs="Tahoma"/>
          <w:szCs w:val="20"/>
        </w:rPr>
        <w:t xml:space="preserve"> za</w:t>
      </w:r>
      <w:r w:rsidR="004619D8" w:rsidRPr="001A5150">
        <w:rPr>
          <w:rFonts w:cs="Tahoma"/>
          <w:szCs w:val="20"/>
        </w:rPr>
        <w:t> </w:t>
      </w:r>
      <w:r w:rsidR="00014B18" w:rsidRPr="001A5150">
        <w:rPr>
          <w:rFonts w:cs="Tahoma"/>
          <w:szCs w:val="20"/>
        </w:rPr>
        <w:t>účelem výplaty víceletých projektů</w:t>
      </w:r>
      <w:r w:rsidR="0049134C" w:rsidRPr="001A5150">
        <w:rPr>
          <w:rFonts w:cs="Tahoma"/>
          <w:szCs w:val="20"/>
        </w:rPr>
        <w:t xml:space="preserve"> v objemu 132.812 tis. Kč</w:t>
      </w:r>
      <w:r w:rsidR="000E5F7D" w:rsidRPr="001A5150">
        <w:rPr>
          <w:rFonts w:cs="Tahoma"/>
          <w:szCs w:val="20"/>
        </w:rPr>
        <w:t>, ale zejména</w:t>
      </w:r>
      <w:r w:rsidR="00E738C7" w:rsidRPr="001A5150">
        <w:rPr>
          <w:rFonts w:cs="Tahoma"/>
          <w:szCs w:val="20"/>
        </w:rPr>
        <w:t xml:space="preserve"> </w:t>
      </w:r>
      <w:r w:rsidR="00881241" w:rsidRPr="001A5150">
        <w:rPr>
          <w:rFonts w:cs="Tahoma"/>
          <w:szCs w:val="20"/>
        </w:rPr>
        <w:t xml:space="preserve">rozhodnutím zastupitelstva kraje o poskytnutí </w:t>
      </w:r>
      <w:r w:rsidR="00D94828" w:rsidRPr="001A5150">
        <w:rPr>
          <w:rFonts w:cs="Tahoma"/>
          <w:szCs w:val="20"/>
        </w:rPr>
        <w:t xml:space="preserve">dotací v rámci dotačního programu </w:t>
      </w:r>
      <w:r w:rsidR="00E738C7" w:rsidRPr="001A5150">
        <w:rPr>
          <w:rFonts w:cs="Tahoma"/>
          <w:szCs w:val="20"/>
        </w:rPr>
        <w:t>Program na</w:t>
      </w:r>
      <w:r w:rsidR="00B26946" w:rsidRPr="001A5150">
        <w:rPr>
          <w:rFonts w:cs="Tahoma"/>
          <w:szCs w:val="20"/>
        </w:rPr>
        <w:t> </w:t>
      </w:r>
      <w:r w:rsidR="00E738C7" w:rsidRPr="001A5150">
        <w:rPr>
          <w:rFonts w:cs="Tahoma"/>
          <w:szCs w:val="20"/>
        </w:rPr>
        <w:t xml:space="preserve">podporu poskytování sociálních služeb </w:t>
      </w:r>
      <w:r w:rsidR="00167F76" w:rsidRPr="001A5150">
        <w:rPr>
          <w:rFonts w:cs="Tahoma"/>
          <w:szCs w:val="20"/>
        </w:rPr>
        <w:t>v</w:t>
      </w:r>
      <w:r w:rsidR="00C7268D" w:rsidRPr="001A5150">
        <w:rPr>
          <w:rFonts w:cs="Tahoma"/>
          <w:szCs w:val="20"/>
        </w:rPr>
        <w:t> celkovém objemu</w:t>
      </w:r>
      <w:r w:rsidR="00167F76" w:rsidRPr="001A5150">
        <w:rPr>
          <w:rFonts w:cs="Tahoma"/>
          <w:szCs w:val="20"/>
        </w:rPr>
        <w:t xml:space="preserve"> </w:t>
      </w:r>
      <w:r w:rsidR="00881241" w:rsidRPr="001A5150">
        <w:rPr>
          <w:rFonts w:cs="Tahoma"/>
          <w:szCs w:val="20"/>
        </w:rPr>
        <w:t>3.118.327</w:t>
      </w:r>
      <w:r w:rsidR="00C0281C" w:rsidRPr="001A5150">
        <w:rPr>
          <w:rFonts w:cs="Tahoma"/>
          <w:szCs w:val="20"/>
        </w:rPr>
        <w:t> </w:t>
      </w:r>
      <w:r w:rsidR="00E738C7" w:rsidRPr="001A5150">
        <w:rPr>
          <w:rFonts w:cs="Tahoma"/>
          <w:szCs w:val="20"/>
        </w:rPr>
        <w:t>tis.</w:t>
      </w:r>
      <w:r w:rsidR="00B80487" w:rsidRPr="001A5150">
        <w:rPr>
          <w:rFonts w:cs="Tahoma"/>
          <w:szCs w:val="20"/>
        </w:rPr>
        <w:t> </w:t>
      </w:r>
      <w:r w:rsidR="00E738C7" w:rsidRPr="001A5150">
        <w:rPr>
          <w:rFonts w:cs="Tahoma"/>
          <w:szCs w:val="20"/>
        </w:rPr>
        <w:t xml:space="preserve">Kč </w:t>
      </w:r>
      <w:r w:rsidR="00D94828" w:rsidRPr="001A5150">
        <w:rPr>
          <w:rFonts w:cs="Tahoma"/>
          <w:szCs w:val="20"/>
        </w:rPr>
        <w:t>financovaného</w:t>
      </w:r>
      <w:r w:rsidR="00E738C7" w:rsidRPr="001A5150">
        <w:rPr>
          <w:rFonts w:cs="Tahoma"/>
          <w:szCs w:val="20"/>
        </w:rPr>
        <w:t xml:space="preserve"> z kapitoly Minis</w:t>
      </w:r>
      <w:r w:rsidR="00C7268D" w:rsidRPr="001A5150">
        <w:rPr>
          <w:rFonts w:cs="Tahoma"/>
          <w:szCs w:val="20"/>
        </w:rPr>
        <w:t>terstva práce a</w:t>
      </w:r>
      <w:r w:rsidR="007E57B6" w:rsidRPr="001A5150">
        <w:rPr>
          <w:rFonts w:cs="Tahoma"/>
          <w:szCs w:val="20"/>
        </w:rPr>
        <w:t> </w:t>
      </w:r>
      <w:r w:rsidR="00C7268D" w:rsidRPr="001A5150">
        <w:rPr>
          <w:rFonts w:cs="Tahoma"/>
          <w:szCs w:val="20"/>
        </w:rPr>
        <w:t>sociálních věcí</w:t>
      </w:r>
      <w:r w:rsidR="00E9358D" w:rsidRPr="001A5150">
        <w:rPr>
          <w:rFonts w:cs="Tahoma"/>
          <w:szCs w:val="20"/>
        </w:rPr>
        <w:t xml:space="preserve"> (</w:t>
      </w:r>
      <w:r w:rsidR="00C7268D" w:rsidRPr="001A5150">
        <w:rPr>
          <w:rFonts w:cs="Tahoma"/>
          <w:szCs w:val="20"/>
        </w:rPr>
        <w:t xml:space="preserve">z toho </w:t>
      </w:r>
      <w:r w:rsidR="00E9358D" w:rsidRPr="001A5150">
        <w:rPr>
          <w:rFonts w:cs="Tahoma"/>
          <w:szCs w:val="20"/>
        </w:rPr>
        <w:t>finanční</w:t>
      </w:r>
      <w:r w:rsidR="00C7268D" w:rsidRPr="001A5150">
        <w:rPr>
          <w:rFonts w:cs="Tahoma"/>
          <w:szCs w:val="20"/>
        </w:rPr>
        <w:t xml:space="preserve"> prostředky ve</w:t>
      </w:r>
      <w:r w:rsidR="00702237" w:rsidRPr="001A5150">
        <w:rPr>
          <w:rFonts w:cs="Tahoma"/>
          <w:szCs w:val="20"/>
        </w:rPr>
        <w:t> </w:t>
      </w:r>
      <w:r w:rsidR="00C7268D" w:rsidRPr="001A5150">
        <w:rPr>
          <w:rFonts w:cs="Tahoma"/>
          <w:szCs w:val="20"/>
        </w:rPr>
        <w:t xml:space="preserve">výši </w:t>
      </w:r>
      <w:r w:rsidR="00881241" w:rsidRPr="001A5150">
        <w:rPr>
          <w:rFonts w:cs="Tahoma"/>
          <w:szCs w:val="20"/>
        </w:rPr>
        <w:t>2.482.648</w:t>
      </w:r>
      <w:r w:rsidR="00C7268D" w:rsidRPr="001A5150">
        <w:rPr>
          <w:rFonts w:cs="Tahoma"/>
          <w:szCs w:val="20"/>
        </w:rPr>
        <w:t> tis. Kč byly rozpočtovány v rámci dotačního programu a</w:t>
      </w:r>
      <w:r w:rsidR="00E36DC9" w:rsidRPr="001A5150">
        <w:rPr>
          <w:rFonts w:cs="Tahoma"/>
          <w:szCs w:val="20"/>
        </w:rPr>
        <w:t> </w:t>
      </w:r>
      <w:r w:rsidR="00C7268D" w:rsidRPr="001A5150">
        <w:rPr>
          <w:rFonts w:cs="Tahoma"/>
          <w:szCs w:val="20"/>
        </w:rPr>
        <w:t xml:space="preserve">prostředky ve výši </w:t>
      </w:r>
      <w:r w:rsidR="00881241" w:rsidRPr="001A5150">
        <w:rPr>
          <w:rFonts w:cs="Tahoma"/>
          <w:szCs w:val="20"/>
        </w:rPr>
        <w:t>635.679</w:t>
      </w:r>
      <w:r w:rsidR="00E36DC9" w:rsidRPr="001A5150">
        <w:rPr>
          <w:rFonts w:cs="Tahoma"/>
          <w:szCs w:val="20"/>
        </w:rPr>
        <w:t> </w:t>
      </w:r>
      <w:r w:rsidR="00C7268D" w:rsidRPr="001A5150">
        <w:rPr>
          <w:rFonts w:cs="Tahoma"/>
          <w:szCs w:val="20"/>
        </w:rPr>
        <w:t>tis.</w:t>
      </w:r>
      <w:r w:rsidR="00E36DC9" w:rsidRPr="001A5150">
        <w:rPr>
          <w:rFonts w:cs="Tahoma"/>
          <w:szCs w:val="20"/>
        </w:rPr>
        <w:t> </w:t>
      </w:r>
      <w:r w:rsidR="00C7268D" w:rsidRPr="001A5150">
        <w:rPr>
          <w:rFonts w:cs="Tahoma"/>
          <w:szCs w:val="20"/>
        </w:rPr>
        <w:t>Kč byly rozpočtovány jako příspěvek na</w:t>
      </w:r>
      <w:r w:rsidR="00E36DC9" w:rsidRPr="001A5150">
        <w:rPr>
          <w:rFonts w:cs="Tahoma"/>
          <w:szCs w:val="20"/>
        </w:rPr>
        <w:t> </w:t>
      </w:r>
      <w:r w:rsidR="00C7268D" w:rsidRPr="001A5150">
        <w:rPr>
          <w:rFonts w:cs="Tahoma"/>
          <w:szCs w:val="20"/>
        </w:rPr>
        <w:t>provoz zřízeným příspěvkovým organizacím</w:t>
      </w:r>
      <w:r w:rsidR="00E9358D" w:rsidRPr="001A5150">
        <w:rPr>
          <w:rFonts w:cs="Tahoma"/>
          <w:szCs w:val="20"/>
        </w:rPr>
        <w:t>)</w:t>
      </w:r>
      <w:r w:rsidR="00C7268D" w:rsidRPr="001A5150">
        <w:rPr>
          <w:rFonts w:cs="Tahoma"/>
          <w:szCs w:val="20"/>
        </w:rPr>
        <w:t>.</w:t>
      </w:r>
      <w:r w:rsidR="00014B18" w:rsidRPr="001A5150">
        <w:rPr>
          <w:rFonts w:cs="Tahoma"/>
          <w:szCs w:val="20"/>
        </w:rPr>
        <w:t xml:space="preserve"> </w:t>
      </w:r>
    </w:p>
    <w:p w14:paraId="3C465590" w14:textId="16564366" w:rsidR="00E41415" w:rsidRPr="001A5150" w:rsidRDefault="00E567BC" w:rsidP="00E41415">
      <w:pPr>
        <w:spacing w:after="0"/>
        <w:rPr>
          <w:rFonts w:cs="Tahoma"/>
          <w:szCs w:val="20"/>
        </w:rPr>
      </w:pPr>
      <w:r w:rsidRPr="001A5150">
        <w:rPr>
          <w:rFonts w:cs="Tahoma"/>
          <w:szCs w:val="20"/>
        </w:rPr>
        <w:t>V období květen až červenec došlo ke zvýšení objemu rozpočtu výdajů u dotačních programů o 31.192 tis. Kč. Významné bylo navýšení objemu rozpočtu u dvou dotačních programů v odvětví kultury zapojením části výsledku rozpočtového hospodaření kraje za rok 2024 ve výši 27.500 tis. Kč a dále</w:t>
      </w:r>
      <w:r w:rsidR="00E41415" w:rsidRPr="001A5150">
        <w:rPr>
          <w:rFonts w:cs="Tahoma"/>
          <w:szCs w:val="20"/>
        </w:rPr>
        <w:t xml:space="preserve"> navýšení dotačního programu v odvětví </w:t>
      </w:r>
      <w:r w:rsidR="00F645D0" w:rsidRPr="001A5150">
        <w:rPr>
          <w:rFonts w:cs="Tahoma"/>
          <w:szCs w:val="20"/>
        </w:rPr>
        <w:t>regionálního</w:t>
      </w:r>
      <w:r w:rsidR="00E41415" w:rsidRPr="001A5150">
        <w:rPr>
          <w:rFonts w:cs="Tahoma"/>
          <w:szCs w:val="20"/>
        </w:rPr>
        <w:t xml:space="preserve"> rozvoje</w:t>
      </w:r>
      <w:r w:rsidRPr="001A5150">
        <w:rPr>
          <w:rFonts w:cs="Tahoma"/>
          <w:szCs w:val="20"/>
        </w:rPr>
        <w:t xml:space="preserve"> </w:t>
      </w:r>
      <w:r w:rsidR="00E41415" w:rsidRPr="001A5150">
        <w:rPr>
          <w:rFonts w:cs="Tahoma"/>
          <w:szCs w:val="20"/>
        </w:rPr>
        <w:t>Podpora znevýhodněných oblastí Moravskoslezského kraje o 7.626 tis. Kč z úspory vykázané v odvětví regionálního rozvoje na akci Podpora rozvojových aktivit v oblasti regionálního rozvoje.</w:t>
      </w:r>
    </w:p>
    <w:p w14:paraId="5924A10F" w14:textId="77777777" w:rsidR="00E41415" w:rsidRPr="001A5150" w:rsidRDefault="00E41415" w:rsidP="00E41415">
      <w:pPr>
        <w:spacing w:after="0"/>
        <w:rPr>
          <w:rFonts w:cs="Tahoma"/>
          <w:szCs w:val="20"/>
        </w:rPr>
      </w:pPr>
    </w:p>
    <w:p w14:paraId="586AA661" w14:textId="686D01E5" w:rsidR="00014B18" w:rsidRPr="001A5150" w:rsidRDefault="00014B18" w:rsidP="00B87AD6">
      <w:pPr>
        <w:rPr>
          <w:rFonts w:cs="Tahoma"/>
          <w:szCs w:val="20"/>
        </w:rPr>
      </w:pPr>
      <w:r w:rsidRPr="001A5150">
        <w:rPr>
          <w:rFonts w:cs="Tahoma"/>
          <w:szCs w:val="20"/>
        </w:rPr>
        <w:t>K</w:t>
      </w:r>
      <w:r w:rsidR="002B1A89" w:rsidRPr="001A5150">
        <w:rPr>
          <w:rFonts w:cs="Tahoma"/>
          <w:szCs w:val="20"/>
        </w:rPr>
        <w:t>e</w:t>
      </w:r>
      <w:r w:rsidR="00002988" w:rsidRPr="001A5150">
        <w:rPr>
          <w:rFonts w:cs="Tahoma"/>
          <w:szCs w:val="20"/>
        </w:rPr>
        <w:t> </w:t>
      </w:r>
      <w:r w:rsidR="002B1A89" w:rsidRPr="001A5150">
        <w:rPr>
          <w:rFonts w:cs="Tahoma"/>
          <w:szCs w:val="20"/>
        </w:rPr>
        <w:t>dni</w:t>
      </w:r>
      <w:r w:rsidRPr="001A5150">
        <w:rPr>
          <w:rFonts w:cs="Tahoma"/>
          <w:szCs w:val="20"/>
        </w:rPr>
        <w:t> </w:t>
      </w:r>
      <w:r w:rsidR="00164DCF" w:rsidRPr="001A5150">
        <w:rPr>
          <w:rFonts w:cs="Tahoma"/>
          <w:szCs w:val="20"/>
        </w:rPr>
        <w:t>31. 7. 2025</w:t>
      </w:r>
      <w:r w:rsidRPr="001A5150">
        <w:rPr>
          <w:rFonts w:cs="Tahoma"/>
          <w:szCs w:val="20"/>
        </w:rPr>
        <w:t xml:space="preserve"> bylo vyčerpáno </w:t>
      </w:r>
      <w:r w:rsidR="001539FD" w:rsidRPr="001A5150">
        <w:rPr>
          <w:rFonts w:cs="Tahoma"/>
          <w:szCs w:val="20"/>
        </w:rPr>
        <w:t>2.758.279</w:t>
      </w:r>
      <w:r w:rsidR="003C2EBD" w:rsidRPr="001A5150">
        <w:rPr>
          <w:rFonts w:cs="Tahoma"/>
          <w:szCs w:val="20"/>
        </w:rPr>
        <w:t> </w:t>
      </w:r>
      <w:r w:rsidRPr="001A5150">
        <w:rPr>
          <w:rFonts w:cs="Tahoma"/>
          <w:szCs w:val="20"/>
        </w:rPr>
        <w:t>tis.</w:t>
      </w:r>
      <w:r w:rsidR="009743C4" w:rsidRPr="001A5150">
        <w:rPr>
          <w:rFonts w:cs="Tahoma"/>
          <w:szCs w:val="20"/>
        </w:rPr>
        <w:t> </w:t>
      </w:r>
      <w:r w:rsidRPr="001A5150">
        <w:rPr>
          <w:rFonts w:cs="Tahoma"/>
          <w:szCs w:val="20"/>
        </w:rPr>
        <w:t xml:space="preserve">Kč. </w:t>
      </w:r>
      <w:r w:rsidR="00082557" w:rsidRPr="001A5150">
        <w:rPr>
          <w:rFonts w:cs="Tahoma"/>
          <w:szCs w:val="20"/>
        </w:rPr>
        <w:t>Dotační programy jsou průběžně</w:t>
      </w:r>
      <w:r w:rsidRPr="001A5150">
        <w:rPr>
          <w:rFonts w:cs="Tahoma"/>
          <w:szCs w:val="20"/>
        </w:rPr>
        <w:t xml:space="preserve"> vyhlašovány, po termínu pro</w:t>
      </w:r>
      <w:r w:rsidR="00B26946" w:rsidRPr="001A5150">
        <w:rPr>
          <w:rFonts w:cs="Tahoma"/>
          <w:szCs w:val="20"/>
        </w:rPr>
        <w:t> </w:t>
      </w:r>
      <w:r w:rsidRPr="001A5150">
        <w:rPr>
          <w:rFonts w:cs="Tahoma"/>
          <w:szCs w:val="20"/>
        </w:rPr>
        <w:t xml:space="preserve">předložení žádostí jsou tyto žádosti posuzovány a předkládány </w:t>
      </w:r>
      <w:r w:rsidR="007F6C19" w:rsidRPr="001A5150">
        <w:rPr>
          <w:rFonts w:cs="Tahoma"/>
          <w:szCs w:val="20"/>
        </w:rPr>
        <w:t xml:space="preserve">ke schválení </w:t>
      </w:r>
      <w:r w:rsidRPr="001A5150">
        <w:rPr>
          <w:rFonts w:cs="Tahoma"/>
          <w:szCs w:val="20"/>
        </w:rPr>
        <w:t>zastupitelstv</w:t>
      </w:r>
      <w:r w:rsidR="007F6C19" w:rsidRPr="001A5150">
        <w:rPr>
          <w:rFonts w:cs="Tahoma"/>
          <w:szCs w:val="20"/>
        </w:rPr>
        <w:t>u</w:t>
      </w:r>
      <w:r w:rsidRPr="001A5150">
        <w:rPr>
          <w:rFonts w:cs="Tahoma"/>
          <w:szCs w:val="20"/>
        </w:rPr>
        <w:t xml:space="preserve"> kraje </w:t>
      </w:r>
      <w:r w:rsidR="00E67D22" w:rsidRPr="001A5150">
        <w:rPr>
          <w:rFonts w:cs="Tahoma"/>
          <w:szCs w:val="20"/>
        </w:rPr>
        <w:t>a</w:t>
      </w:r>
      <w:r w:rsidR="00082557" w:rsidRPr="001A5150">
        <w:rPr>
          <w:rFonts w:cs="Tahoma"/>
          <w:szCs w:val="20"/>
        </w:rPr>
        <w:t> </w:t>
      </w:r>
      <w:r w:rsidR="00E67D22" w:rsidRPr="001A5150">
        <w:rPr>
          <w:rFonts w:cs="Tahoma"/>
          <w:szCs w:val="20"/>
        </w:rPr>
        <w:t xml:space="preserve">jejich proplácení se realizuje </w:t>
      </w:r>
      <w:r w:rsidR="000B7418" w:rsidRPr="001A5150">
        <w:rPr>
          <w:rFonts w:cs="Tahoma"/>
          <w:szCs w:val="20"/>
        </w:rPr>
        <w:t>průběžně</w:t>
      </w:r>
      <w:r w:rsidR="00B96566" w:rsidRPr="001A5150">
        <w:rPr>
          <w:rFonts w:cs="Tahoma"/>
          <w:szCs w:val="20"/>
        </w:rPr>
        <w:t>, zejména však v závěru roku, kdy jsou předkládána závěrečná vyúčtování.</w:t>
      </w:r>
    </w:p>
    <w:p w14:paraId="586AA662" w14:textId="5B98CBE1" w:rsidR="00BC338B" w:rsidRPr="001A5150" w:rsidRDefault="00BC338B" w:rsidP="00B87AD6">
      <w:pPr>
        <w:rPr>
          <w:rFonts w:cs="Tahoma"/>
          <w:szCs w:val="20"/>
        </w:rPr>
      </w:pPr>
      <w:r w:rsidRPr="001A5150">
        <w:rPr>
          <w:rFonts w:cs="Tahoma"/>
          <w:szCs w:val="20"/>
        </w:rPr>
        <w:t>V níže uvedeném přehledu a textové části této kapitoly nejsou obsaženy prostředky určené příspěvkovým organizacím kraje poskytnuté v rámci dotačních programů. Tyto finanční prostředky jsou součástí příspěvku na</w:t>
      </w:r>
      <w:r w:rsidR="00702237" w:rsidRPr="001A5150">
        <w:rPr>
          <w:rFonts w:cs="Tahoma"/>
          <w:szCs w:val="20"/>
        </w:rPr>
        <w:t> </w:t>
      </w:r>
      <w:r w:rsidRPr="001A5150">
        <w:rPr>
          <w:rFonts w:cs="Tahoma"/>
          <w:szCs w:val="20"/>
        </w:rPr>
        <w:t>provoz zřízeným příspěvkovým organizacím. Dále zde nejsou obsaženy prostředky určené na financování programu kotlíkových dotací</w:t>
      </w:r>
      <w:r w:rsidR="00C77CAB" w:rsidRPr="001A5150">
        <w:rPr>
          <w:rFonts w:cs="Tahoma"/>
          <w:szCs w:val="20"/>
        </w:rPr>
        <w:t xml:space="preserve"> v odvětví životního prostředí</w:t>
      </w:r>
      <w:r w:rsidR="00074509" w:rsidRPr="001A5150">
        <w:rPr>
          <w:rFonts w:cs="Tahoma"/>
          <w:szCs w:val="20"/>
        </w:rPr>
        <w:t xml:space="preserve"> spolufinancovaných </w:t>
      </w:r>
      <w:r w:rsidR="004A68F1" w:rsidRPr="001A5150">
        <w:rPr>
          <w:rFonts w:cs="Tahoma"/>
          <w:szCs w:val="20"/>
        </w:rPr>
        <w:t>z</w:t>
      </w:r>
      <w:r w:rsidR="00902596" w:rsidRPr="001A5150">
        <w:rPr>
          <w:rFonts w:cs="Tahoma"/>
          <w:szCs w:val="20"/>
        </w:rPr>
        <w:t> </w:t>
      </w:r>
      <w:r w:rsidR="004A68F1" w:rsidRPr="001A5150">
        <w:rPr>
          <w:rFonts w:cs="Tahoma"/>
          <w:szCs w:val="20"/>
        </w:rPr>
        <w:t>prostředků</w:t>
      </w:r>
      <w:r w:rsidR="00902596" w:rsidRPr="001A5150">
        <w:rPr>
          <w:rFonts w:cs="Tahoma"/>
          <w:szCs w:val="20"/>
        </w:rPr>
        <w:t xml:space="preserve"> evropských</w:t>
      </w:r>
      <w:r w:rsidR="00074509" w:rsidRPr="001A5150">
        <w:rPr>
          <w:rFonts w:cs="Tahoma"/>
          <w:szCs w:val="20"/>
        </w:rPr>
        <w:t xml:space="preserve"> finančních</w:t>
      </w:r>
      <w:r w:rsidR="00902596" w:rsidRPr="001A5150">
        <w:rPr>
          <w:rFonts w:cs="Tahoma"/>
          <w:szCs w:val="20"/>
        </w:rPr>
        <w:t xml:space="preserve"> zdrojů</w:t>
      </w:r>
      <w:r w:rsidRPr="001A5150">
        <w:rPr>
          <w:rFonts w:cs="Tahoma"/>
          <w:szCs w:val="20"/>
        </w:rPr>
        <w:t>. Tyto údaje jsou</w:t>
      </w:r>
      <w:r w:rsidR="00C77CAB" w:rsidRPr="001A5150">
        <w:rPr>
          <w:rFonts w:cs="Tahoma"/>
          <w:szCs w:val="20"/>
        </w:rPr>
        <w:t xml:space="preserve"> součástí </w:t>
      </w:r>
      <w:r w:rsidR="005702F7" w:rsidRPr="001A5150">
        <w:rPr>
          <w:rFonts w:cs="Tahoma"/>
          <w:szCs w:val="20"/>
        </w:rPr>
        <w:t>přílo</w:t>
      </w:r>
      <w:r w:rsidR="0095718F" w:rsidRPr="001A5150">
        <w:rPr>
          <w:rFonts w:cs="Tahoma"/>
          <w:szCs w:val="20"/>
        </w:rPr>
        <w:t>hy</w:t>
      </w:r>
      <w:r w:rsidR="005702F7" w:rsidRPr="001A5150">
        <w:rPr>
          <w:rFonts w:cs="Tahoma"/>
          <w:szCs w:val="20"/>
        </w:rPr>
        <w:t xml:space="preserve"> č.</w:t>
      </w:r>
      <w:r w:rsidR="001358FD" w:rsidRPr="001A5150">
        <w:rPr>
          <w:rFonts w:cs="Tahoma"/>
          <w:szCs w:val="20"/>
        </w:rPr>
        <w:t> </w:t>
      </w:r>
      <w:r w:rsidR="005702F7" w:rsidRPr="001A5150">
        <w:rPr>
          <w:rFonts w:cs="Tahoma"/>
          <w:szCs w:val="20"/>
        </w:rPr>
        <w:t>4 materiálu.</w:t>
      </w:r>
    </w:p>
    <w:p w14:paraId="586AA664" w14:textId="57DE1168" w:rsidR="00014B18" w:rsidRPr="001A5150" w:rsidRDefault="00F060C2" w:rsidP="001318E4">
      <w:pPr>
        <w:pStyle w:val="Styltab"/>
      </w:pPr>
      <w:r w:rsidRPr="001A5150">
        <w:lastRenderedPageBreak/>
        <w:t xml:space="preserve">Dotační programy Moravskoslezského kraje k </w:t>
      </w:r>
      <w:r w:rsidR="00164DCF" w:rsidRPr="001A5150">
        <w:t>31. 7. 2025</w:t>
      </w:r>
      <w:r w:rsidRPr="001A5150">
        <w:t xml:space="preserve"> - členění dle odvětví</w:t>
      </w:r>
      <w:r w:rsidRPr="001A5150">
        <w:tab/>
        <w:t>v tis. Kč</w:t>
      </w:r>
      <w:bookmarkStart w:id="347" w:name="_MON_1490173470"/>
      <w:bookmarkStart w:id="348" w:name="_MON_1469360641"/>
      <w:bookmarkStart w:id="349" w:name="_MON_1476602379"/>
      <w:bookmarkStart w:id="350" w:name="_MON_1477199255"/>
      <w:bookmarkStart w:id="351" w:name="_MON_1477282558"/>
      <w:bookmarkEnd w:id="347"/>
      <w:bookmarkEnd w:id="348"/>
      <w:bookmarkEnd w:id="349"/>
      <w:bookmarkEnd w:id="350"/>
      <w:bookmarkEnd w:id="351"/>
      <w:bookmarkStart w:id="352" w:name="_MON_1489910509"/>
      <w:bookmarkEnd w:id="352"/>
      <w:r w:rsidR="001539FD" w:rsidRPr="001A5150">
        <w:object w:dxaOrig="9641" w:dyaOrig="2854" w14:anchorId="586AA6CA">
          <v:shape id="_x0000_i1081" type="#_x0000_t75" style="width:475.2pt;height:136.5pt" o:ole="">
            <v:imagedata r:id="rId121" o:title=""/>
          </v:shape>
          <o:OLEObject Type="Embed" ProgID="Excel.Sheet.8" ShapeID="_x0000_i1081" DrawAspect="Content" ObjectID="_1817201245" r:id="rId122"/>
        </w:object>
      </w:r>
    </w:p>
    <w:p w14:paraId="3A55187F" w14:textId="77777777" w:rsidR="00184AC5" w:rsidRPr="001A5150" w:rsidRDefault="00184AC5" w:rsidP="00184AC5"/>
    <w:p w14:paraId="5EFC3448" w14:textId="0C80B526" w:rsidR="00184AC5" w:rsidRPr="001A5150" w:rsidRDefault="00184AC5" w:rsidP="00184AC5">
      <w:pPr>
        <w:pStyle w:val="Odstavecseseznamem"/>
        <w:numPr>
          <w:ilvl w:val="0"/>
          <w:numId w:val="8"/>
        </w:numPr>
        <w:spacing w:before="400" w:after="240"/>
        <w:ind w:left="284" w:hanging="284"/>
        <w:rPr>
          <w:b/>
          <w:sz w:val="24"/>
        </w:rPr>
      </w:pPr>
      <w:r w:rsidRPr="001A5150">
        <w:rPr>
          <w:b/>
          <w:sz w:val="24"/>
        </w:rPr>
        <w:t>Přehled financování individuálních dotací k </w:t>
      </w:r>
      <w:r w:rsidR="00164DCF" w:rsidRPr="001A5150">
        <w:rPr>
          <w:b/>
          <w:sz w:val="24"/>
        </w:rPr>
        <w:t>31. 7. 2025</w:t>
      </w:r>
    </w:p>
    <w:p w14:paraId="17485BE6" w14:textId="77777777" w:rsidR="00265AF9" w:rsidRPr="001A5150" w:rsidRDefault="00184AC5" w:rsidP="00184AC5">
      <w:pPr>
        <w:rPr>
          <w:rFonts w:cs="Tahoma"/>
          <w:szCs w:val="20"/>
        </w:rPr>
      </w:pPr>
      <w:r w:rsidRPr="001A5150">
        <w:rPr>
          <w:rFonts w:cs="Tahoma"/>
          <w:szCs w:val="20"/>
        </w:rPr>
        <w:t xml:space="preserve">V roce 2025 bylo ve schváleném rozpočtu kraje vyčleněno na financování </w:t>
      </w:r>
      <w:r w:rsidR="00B10AF8" w:rsidRPr="001A5150">
        <w:rPr>
          <w:rFonts w:cs="Tahoma"/>
          <w:szCs w:val="20"/>
        </w:rPr>
        <w:t>individuálních dotací</w:t>
      </w:r>
      <w:r w:rsidRPr="001A5150">
        <w:rPr>
          <w:rFonts w:cs="Tahoma"/>
          <w:szCs w:val="20"/>
        </w:rPr>
        <w:t xml:space="preserve"> celkem </w:t>
      </w:r>
      <w:r w:rsidR="00B10AF8" w:rsidRPr="001A5150">
        <w:rPr>
          <w:rFonts w:cs="Tahoma"/>
          <w:szCs w:val="20"/>
        </w:rPr>
        <w:t>801.652</w:t>
      </w:r>
      <w:r w:rsidRPr="001A5150">
        <w:rPr>
          <w:rFonts w:cs="Tahoma"/>
          <w:szCs w:val="20"/>
        </w:rPr>
        <w:t xml:space="preserve"> tis. Kč. </w:t>
      </w:r>
    </w:p>
    <w:p w14:paraId="58AA70C8" w14:textId="4EF7E63C" w:rsidR="00B10AF8" w:rsidRPr="001A5150" w:rsidRDefault="00C328E3" w:rsidP="00184AC5">
      <w:pPr>
        <w:rPr>
          <w:rFonts w:cs="Tahoma"/>
          <w:szCs w:val="20"/>
        </w:rPr>
      </w:pPr>
      <w:r w:rsidRPr="001A5150">
        <w:rPr>
          <w:rFonts w:cs="Tahoma"/>
          <w:szCs w:val="20"/>
        </w:rPr>
        <w:t>V období leden až duben</w:t>
      </w:r>
      <w:r w:rsidR="00184AC5" w:rsidRPr="001A5150">
        <w:rPr>
          <w:rFonts w:cs="Tahoma"/>
          <w:szCs w:val="20"/>
        </w:rPr>
        <w:t xml:space="preserve"> došlo k úpravám rozpočtu, a to nárůstu o </w:t>
      </w:r>
      <w:r w:rsidR="00B10AF8" w:rsidRPr="001A5150">
        <w:rPr>
          <w:rFonts w:cs="Tahoma"/>
          <w:szCs w:val="20"/>
        </w:rPr>
        <w:t>401.989</w:t>
      </w:r>
      <w:r w:rsidR="00184AC5" w:rsidRPr="001A5150">
        <w:rPr>
          <w:rFonts w:cs="Tahoma"/>
          <w:szCs w:val="20"/>
        </w:rPr>
        <w:t xml:space="preserve"> tis. Kč. Navýšení bylo způsobeno </w:t>
      </w:r>
      <w:r w:rsidR="00B10AF8" w:rsidRPr="001A5150">
        <w:rPr>
          <w:rFonts w:cs="Tahoma"/>
          <w:szCs w:val="20"/>
        </w:rPr>
        <w:t>zejména</w:t>
      </w:r>
      <w:r w:rsidR="00184AC5" w:rsidRPr="001A5150">
        <w:rPr>
          <w:rFonts w:cs="Tahoma"/>
          <w:szCs w:val="20"/>
        </w:rPr>
        <w:t xml:space="preserve"> zapojením nespecifikované části zůstatku finančních prostředků roku 202</w:t>
      </w:r>
      <w:r w:rsidR="00B10AF8" w:rsidRPr="001A5150">
        <w:rPr>
          <w:rFonts w:cs="Tahoma"/>
          <w:szCs w:val="20"/>
        </w:rPr>
        <w:t>4</w:t>
      </w:r>
      <w:r w:rsidR="00184AC5" w:rsidRPr="001A5150">
        <w:rPr>
          <w:rFonts w:cs="Tahoma"/>
          <w:szCs w:val="20"/>
        </w:rPr>
        <w:t xml:space="preserve"> do rozpočtu roku 202</w:t>
      </w:r>
      <w:r w:rsidR="00B10AF8" w:rsidRPr="001A5150">
        <w:rPr>
          <w:rFonts w:cs="Tahoma"/>
          <w:szCs w:val="20"/>
        </w:rPr>
        <w:t>5</w:t>
      </w:r>
      <w:r w:rsidR="00184AC5" w:rsidRPr="001A5150">
        <w:rPr>
          <w:rFonts w:cs="Tahoma"/>
          <w:szCs w:val="20"/>
        </w:rPr>
        <w:t xml:space="preserve"> </w:t>
      </w:r>
      <w:r w:rsidR="00C5563F" w:rsidRPr="001A5150">
        <w:rPr>
          <w:rFonts w:cs="Tahoma"/>
          <w:szCs w:val="20"/>
        </w:rPr>
        <w:t xml:space="preserve">ve výši 280.260 tis. Kč </w:t>
      </w:r>
      <w:r w:rsidR="00184AC5" w:rsidRPr="001A5150">
        <w:rPr>
          <w:rFonts w:cs="Tahoma"/>
          <w:szCs w:val="20"/>
        </w:rPr>
        <w:t xml:space="preserve">za účelem výplaty víceletých projektů, </w:t>
      </w:r>
      <w:r w:rsidR="00B10AF8" w:rsidRPr="001A5150">
        <w:rPr>
          <w:rFonts w:cs="Tahoma"/>
          <w:szCs w:val="20"/>
        </w:rPr>
        <w:t>případně</w:t>
      </w:r>
      <w:r w:rsidR="00C5563F" w:rsidRPr="001A5150">
        <w:rPr>
          <w:rFonts w:cs="Tahoma"/>
          <w:szCs w:val="20"/>
        </w:rPr>
        <w:t xml:space="preserve"> výplaty</w:t>
      </w:r>
      <w:r w:rsidR="00B10AF8" w:rsidRPr="001A5150">
        <w:rPr>
          <w:rFonts w:cs="Tahoma"/>
          <w:szCs w:val="20"/>
        </w:rPr>
        <w:t xml:space="preserve"> dotací schválených koncem roku 2024</w:t>
      </w:r>
      <w:r w:rsidR="00C5563F" w:rsidRPr="001A5150">
        <w:rPr>
          <w:rFonts w:cs="Tahoma"/>
          <w:szCs w:val="20"/>
        </w:rPr>
        <w:t>.</w:t>
      </w:r>
    </w:p>
    <w:p w14:paraId="7A8F4D94" w14:textId="75394B33" w:rsidR="0022073C" w:rsidRPr="001A5150" w:rsidRDefault="00C328E3" w:rsidP="00184AC5">
      <w:pPr>
        <w:rPr>
          <w:rFonts w:cs="Tahoma"/>
          <w:szCs w:val="20"/>
        </w:rPr>
      </w:pPr>
      <w:r w:rsidRPr="001A5150">
        <w:rPr>
          <w:rFonts w:cs="Tahoma"/>
          <w:szCs w:val="20"/>
        </w:rPr>
        <w:t>V období květen až červenec došlo k navýšení objemu rozpočtu výdajů na financování individuálních dotací o</w:t>
      </w:r>
      <w:r w:rsidR="0022073C" w:rsidRPr="001A5150">
        <w:rPr>
          <w:rFonts w:cs="Tahoma"/>
          <w:szCs w:val="20"/>
        </w:rPr>
        <w:t> </w:t>
      </w:r>
      <w:r w:rsidRPr="001A5150">
        <w:rPr>
          <w:rFonts w:cs="Tahoma"/>
          <w:szCs w:val="20"/>
        </w:rPr>
        <w:t>110.195</w:t>
      </w:r>
      <w:r w:rsidR="0022073C" w:rsidRPr="001A5150">
        <w:rPr>
          <w:rFonts w:cs="Tahoma"/>
          <w:szCs w:val="20"/>
        </w:rPr>
        <w:t> </w:t>
      </w:r>
      <w:r w:rsidRPr="001A5150">
        <w:rPr>
          <w:rFonts w:cs="Tahoma"/>
          <w:szCs w:val="20"/>
        </w:rPr>
        <w:t>tis.</w:t>
      </w:r>
      <w:r w:rsidR="0022073C" w:rsidRPr="001A5150">
        <w:rPr>
          <w:rFonts w:cs="Tahoma"/>
          <w:szCs w:val="20"/>
        </w:rPr>
        <w:t> </w:t>
      </w:r>
      <w:r w:rsidRPr="001A5150">
        <w:rPr>
          <w:rFonts w:cs="Tahoma"/>
          <w:szCs w:val="20"/>
        </w:rPr>
        <w:t xml:space="preserve">Kč. </w:t>
      </w:r>
      <w:r w:rsidR="0022073C" w:rsidRPr="001A5150">
        <w:rPr>
          <w:rFonts w:cs="Tahoma"/>
          <w:szCs w:val="20"/>
        </w:rPr>
        <w:t xml:space="preserve">Na navýšení objemu rozpočtu výdajů se významně podílelo zapojení části zůstatku rozpočtového hospodaření kraje za rok 2024 na poskytnutí individuálních dotací </w:t>
      </w:r>
      <w:r w:rsidR="00265AF9" w:rsidRPr="001A5150">
        <w:rPr>
          <w:rFonts w:cs="Tahoma"/>
          <w:szCs w:val="20"/>
        </w:rPr>
        <w:t xml:space="preserve">v odvětví sociálních věcí (podpora projektu </w:t>
      </w:r>
      <w:r w:rsidR="0022073C" w:rsidRPr="001A5150">
        <w:rPr>
          <w:rFonts w:cs="Tahoma"/>
          <w:szCs w:val="20"/>
        </w:rPr>
        <w:t>Humanizace a rozšíření pobytové sociální služby v</w:t>
      </w:r>
      <w:r w:rsidR="00265AF9" w:rsidRPr="001A5150">
        <w:rPr>
          <w:rFonts w:cs="Tahoma"/>
          <w:szCs w:val="20"/>
        </w:rPr>
        <w:t> </w:t>
      </w:r>
      <w:r w:rsidR="0022073C" w:rsidRPr="001A5150">
        <w:rPr>
          <w:rFonts w:cs="Tahoma"/>
          <w:szCs w:val="20"/>
        </w:rPr>
        <w:t>Havířově</w:t>
      </w:r>
      <w:r w:rsidR="00265AF9" w:rsidRPr="001A5150">
        <w:rPr>
          <w:rFonts w:cs="Tahoma"/>
          <w:szCs w:val="20"/>
        </w:rPr>
        <w:t xml:space="preserve"> ve výši 50.000 tis. Kč) a v odvětví školství (</w:t>
      </w:r>
      <w:r w:rsidR="0022073C" w:rsidRPr="001A5150">
        <w:t>podporu sportu a pohybových aktivit občanů kraje</w:t>
      </w:r>
      <w:r w:rsidR="00265AF9" w:rsidRPr="001A5150">
        <w:rPr>
          <w:rFonts w:cs="Tahoma"/>
          <w:szCs w:val="20"/>
        </w:rPr>
        <w:t xml:space="preserve"> ve výši 40.000 tis. Kč)</w:t>
      </w:r>
      <w:r w:rsidR="0022073C" w:rsidRPr="001A5150">
        <w:t>.</w:t>
      </w:r>
    </w:p>
    <w:p w14:paraId="71B0551B" w14:textId="64FB6C1E" w:rsidR="00CC61F5" w:rsidRPr="001A5150" w:rsidRDefault="00184AC5" w:rsidP="00CC61F5">
      <w:pPr>
        <w:rPr>
          <w:rFonts w:cs="Tahoma"/>
          <w:szCs w:val="20"/>
        </w:rPr>
      </w:pPr>
      <w:r w:rsidRPr="001A5150">
        <w:rPr>
          <w:rFonts w:cs="Tahoma"/>
          <w:szCs w:val="20"/>
        </w:rPr>
        <w:t>Ke dni </w:t>
      </w:r>
      <w:r w:rsidR="00164DCF" w:rsidRPr="001A5150">
        <w:rPr>
          <w:rFonts w:cs="Tahoma"/>
          <w:szCs w:val="20"/>
        </w:rPr>
        <w:t>31. 7. 2025</w:t>
      </w:r>
      <w:r w:rsidRPr="001A5150">
        <w:rPr>
          <w:rFonts w:cs="Tahoma"/>
          <w:szCs w:val="20"/>
        </w:rPr>
        <w:t xml:space="preserve"> bylo vyčerpáno </w:t>
      </w:r>
      <w:r w:rsidR="00A36F98" w:rsidRPr="001A5150">
        <w:rPr>
          <w:rFonts w:cs="Tahoma"/>
          <w:szCs w:val="20"/>
        </w:rPr>
        <w:t>620.033</w:t>
      </w:r>
      <w:r w:rsidRPr="001A5150">
        <w:rPr>
          <w:rFonts w:cs="Tahoma"/>
          <w:szCs w:val="20"/>
        </w:rPr>
        <w:t> tis. Kč</w:t>
      </w:r>
      <w:r w:rsidR="00B10AF8" w:rsidRPr="001A5150">
        <w:rPr>
          <w:rFonts w:cs="Tahoma"/>
          <w:szCs w:val="20"/>
        </w:rPr>
        <w:t xml:space="preserve">, </w:t>
      </w:r>
      <w:r w:rsidR="00CC61F5" w:rsidRPr="001A5150">
        <w:rPr>
          <w:rFonts w:cs="Tahoma"/>
          <w:szCs w:val="20"/>
        </w:rPr>
        <w:t>tj. </w:t>
      </w:r>
      <w:r w:rsidR="00A36F98" w:rsidRPr="001A5150">
        <w:rPr>
          <w:rFonts w:cs="Tahoma"/>
          <w:szCs w:val="20"/>
        </w:rPr>
        <w:t>47</w:t>
      </w:r>
      <w:r w:rsidR="00CC61F5" w:rsidRPr="001A5150">
        <w:rPr>
          <w:rFonts w:cs="Tahoma"/>
          <w:szCs w:val="20"/>
        </w:rPr>
        <w:t xml:space="preserve"> % upraveného rozpočtu. </w:t>
      </w:r>
    </w:p>
    <w:p w14:paraId="321D359C" w14:textId="0867264B" w:rsidR="00184AC5" w:rsidRPr="001A5150" w:rsidRDefault="00184AC5" w:rsidP="001318E4">
      <w:pPr>
        <w:pStyle w:val="Styltab"/>
      </w:pPr>
      <w:r w:rsidRPr="001A5150">
        <w:t xml:space="preserve">Individuální dotace financované z rozpočtu Moravskoslezského kraje k </w:t>
      </w:r>
      <w:r w:rsidR="00164DCF" w:rsidRPr="001A5150">
        <w:t>31. 7. 2025</w:t>
      </w:r>
      <w:r w:rsidRPr="001A5150">
        <w:t xml:space="preserve"> - členění dle odvětví</w:t>
      </w:r>
      <w:r w:rsidRPr="001A5150">
        <w:tab/>
        <w:t>v tis. Kč</w:t>
      </w:r>
      <w:bookmarkStart w:id="353" w:name="_MON_1807933452"/>
      <w:bookmarkEnd w:id="353"/>
      <w:r w:rsidR="00A36F98" w:rsidRPr="001A5150">
        <w:object w:dxaOrig="9641" w:dyaOrig="3595" w14:anchorId="74BBAD81">
          <v:shape id="_x0000_i1082" type="#_x0000_t75" style="width:475.2pt;height:172.8pt" o:ole="">
            <v:imagedata r:id="rId123" o:title=""/>
          </v:shape>
          <o:OLEObject Type="Embed" ProgID="Excel.Sheet.8" ShapeID="_x0000_i1082" DrawAspect="Content" ObjectID="_1817201246" r:id="rId124"/>
        </w:object>
      </w:r>
    </w:p>
    <w:p w14:paraId="386A20DB" w14:textId="77777777" w:rsidR="00184AC5" w:rsidRDefault="00184AC5" w:rsidP="00184AC5">
      <w:bookmarkStart w:id="354" w:name="_Hlk198273624"/>
    </w:p>
    <w:p w14:paraId="45EEB1CD" w14:textId="77777777" w:rsidR="00197A6F" w:rsidRPr="001A5150" w:rsidRDefault="00197A6F" w:rsidP="00184AC5"/>
    <w:p w14:paraId="586AA665" w14:textId="44D92251" w:rsidR="00014B18" w:rsidRPr="001A5150" w:rsidRDefault="00014B18">
      <w:pPr>
        <w:pStyle w:val="Odstavecseseznamem"/>
        <w:numPr>
          <w:ilvl w:val="0"/>
          <w:numId w:val="8"/>
        </w:numPr>
        <w:spacing w:before="400" w:after="240"/>
        <w:ind w:left="284" w:hanging="284"/>
        <w:rPr>
          <w:b/>
          <w:sz w:val="24"/>
        </w:rPr>
      </w:pPr>
      <w:bookmarkStart w:id="355" w:name="_Hlk150704730"/>
      <w:r w:rsidRPr="001A5150">
        <w:rPr>
          <w:b/>
          <w:sz w:val="24"/>
        </w:rPr>
        <w:lastRenderedPageBreak/>
        <w:t>Přehled výdajů na</w:t>
      </w:r>
      <w:r w:rsidR="00AA0F52" w:rsidRPr="001A5150">
        <w:rPr>
          <w:b/>
          <w:sz w:val="24"/>
        </w:rPr>
        <w:t> </w:t>
      </w:r>
      <w:r w:rsidRPr="001A5150">
        <w:rPr>
          <w:b/>
          <w:sz w:val="24"/>
        </w:rPr>
        <w:t>reprodukci majetku kraje k </w:t>
      </w:r>
      <w:r w:rsidR="00164DCF" w:rsidRPr="001A5150">
        <w:rPr>
          <w:b/>
          <w:sz w:val="24"/>
        </w:rPr>
        <w:t>31. 7. 2025</w:t>
      </w:r>
      <w:r w:rsidRPr="001A5150">
        <w:rPr>
          <w:b/>
          <w:sz w:val="24"/>
        </w:rPr>
        <w:t xml:space="preserve"> v členění dle odvětví</w:t>
      </w:r>
    </w:p>
    <w:p w14:paraId="586AA666" w14:textId="74714F73" w:rsidR="008036FA" w:rsidRPr="001A5150" w:rsidRDefault="00014B18" w:rsidP="00D24A5E">
      <w:r w:rsidRPr="001A5150">
        <w:t>Schváleným rozpočtem na</w:t>
      </w:r>
      <w:r w:rsidR="0080547D" w:rsidRPr="001A5150">
        <w:t> </w:t>
      </w:r>
      <w:r w:rsidRPr="001A5150">
        <w:t xml:space="preserve">rok </w:t>
      </w:r>
      <w:r w:rsidR="00C22C6C" w:rsidRPr="001A5150">
        <w:t>20</w:t>
      </w:r>
      <w:r w:rsidR="00355E41" w:rsidRPr="001A5150">
        <w:t>2</w:t>
      </w:r>
      <w:r w:rsidR="00184AC5" w:rsidRPr="001A5150">
        <w:t>5</w:t>
      </w:r>
      <w:r w:rsidRPr="001A5150">
        <w:t xml:space="preserve"> byla na</w:t>
      </w:r>
      <w:r w:rsidR="009743C4" w:rsidRPr="001A5150">
        <w:t> </w:t>
      </w:r>
      <w:r w:rsidRPr="001A5150">
        <w:t>obnovu stávajícího a pořízení nového majetku kraje vyčleněna částka ve</w:t>
      </w:r>
      <w:r w:rsidR="00B26946" w:rsidRPr="001A5150">
        <w:t> </w:t>
      </w:r>
      <w:r w:rsidRPr="001A5150">
        <w:t xml:space="preserve">výši </w:t>
      </w:r>
      <w:r w:rsidR="00516A5D" w:rsidRPr="001A5150">
        <w:t>2.793.299</w:t>
      </w:r>
      <w:r w:rsidRPr="001A5150">
        <w:t> tis. Kč</w:t>
      </w:r>
      <w:r w:rsidR="00665054" w:rsidRPr="001A5150">
        <w:t xml:space="preserve"> (vyjma akcí spolufinancovaných z evropských finančních zdrojů)</w:t>
      </w:r>
      <w:r w:rsidRPr="001A5150">
        <w:t>.</w:t>
      </w:r>
      <w:r w:rsidR="009743C4" w:rsidRPr="001A5150">
        <w:t xml:space="preserve"> Upravený rozpočet k </w:t>
      </w:r>
      <w:r w:rsidR="00164DCF" w:rsidRPr="001A5150">
        <w:t>31. 7. 2025</w:t>
      </w:r>
      <w:r w:rsidR="009743C4" w:rsidRPr="001A5150">
        <w:t xml:space="preserve"> byl ve</w:t>
      </w:r>
      <w:r w:rsidR="006E12A0" w:rsidRPr="001A5150">
        <w:t> </w:t>
      </w:r>
      <w:r w:rsidR="009743C4" w:rsidRPr="001A5150">
        <w:t xml:space="preserve">výši </w:t>
      </w:r>
      <w:r w:rsidR="001318E4" w:rsidRPr="001A5150">
        <w:t>3.900.982</w:t>
      </w:r>
      <w:r w:rsidR="00FC5344" w:rsidRPr="001A5150">
        <w:t> </w:t>
      </w:r>
      <w:r w:rsidR="009743C4" w:rsidRPr="001A5150">
        <w:t>tis. Kč.</w:t>
      </w:r>
      <w:r w:rsidRPr="001A5150">
        <w:t xml:space="preserve"> </w:t>
      </w:r>
    </w:p>
    <w:p w14:paraId="20767896" w14:textId="77777777" w:rsidR="00610C5C" w:rsidRPr="001A5150" w:rsidRDefault="00610C5C" w:rsidP="00610C5C">
      <w:r w:rsidRPr="001A5150">
        <w:t xml:space="preserve">Čerpání těchto výdajů v jednotlivých odvětvích činilo k 31. 7. 2025 úhrnně 926.117 tis. Kč, tj. čerpání na 24 % upraveného rozpočtu. Výše čerpání je ovlivněna zejména prodloužením zadávacích řízení na realizaci staveb, např. s ohledem na množství dotazů k zadávací dokumentaci, na potřebu doplnění nabídek ve vztahu k zákonu o zadávání veřejných zakázek a přetíženosti samotného administrátora těchto veřejných zakázek. Dalším důvodem jsou dlouhé lhůty trvání územního a stavebního řízení při zhotovování projektových dokumentací a získání stavebních povolení (zvláště s účinností nového stavebního zákona) nebo </w:t>
      </w:r>
      <w:r w:rsidRPr="001A5150">
        <w:rPr>
          <w:rFonts w:cs="Tahoma"/>
        </w:rPr>
        <w:t>vzájemná koordinace se souběžně realizovanými akcemi</w:t>
      </w:r>
      <w:r w:rsidRPr="001A5150">
        <w:t>. Větší počet investičních akcí v odvětví školství byl zahájen ve vazbě na letní prázdniny, přičemž dokončení těchto akcí je plánováno v měsících říjnu a listopadu, což má samozřejmě dopad i na samotnou fakturaci a prostavěnost.</w:t>
      </w:r>
    </w:p>
    <w:p w14:paraId="413F35A6" w14:textId="77335013" w:rsidR="00680741" w:rsidRPr="001A5150" w:rsidRDefault="00DD1F4A" w:rsidP="001318E4">
      <w:pPr>
        <w:pStyle w:val="Styltab"/>
      </w:pPr>
      <w:r w:rsidRPr="001A5150">
        <w:t xml:space="preserve">Reprodukce majetku kraje k </w:t>
      </w:r>
      <w:r w:rsidR="00164DCF" w:rsidRPr="001A5150">
        <w:t>31. 7. 2025</w:t>
      </w:r>
      <w:r w:rsidRPr="001A5150">
        <w:t xml:space="preserve"> - členění dle odvětví</w:t>
      </w:r>
      <w:r w:rsidRPr="001A5150">
        <w:tab/>
        <w:t>v tis. Kč</w:t>
      </w:r>
      <w:bookmarkStart w:id="356" w:name="_MON_1477200718"/>
      <w:bookmarkStart w:id="357" w:name="_Hlk111467078"/>
      <w:bookmarkEnd w:id="356"/>
      <w:bookmarkStart w:id="358" w:name="_MON_1490173522"/>
      <w:bookmarkEnd w:id="358"/>
      <w:r w:rsidR="00610C5C" w:rsidRPr="001A5150">
        <w:object w:dxaOrig="9653" w:dyaOrig="5091" w14:anchorId="30FA05A3">
          <v:shape id="_x0000_i1083" type="#_x0000_t75" style="width:468.3pt;height:252.3pt" o:ole="">
            <v:imagedata r:id="rId125" o:title=""/>
          </v:shape>
          <o:OLEObject Type="Embed" ProgID="Excel.Sheet.8" ShapeID="_x0000_i1083" DrawAspect="Content" ObjectID="_1817201247" r:id="rId126"/>
        </w:object>
      </w:r>
    </w:p>
    <w:p w14:paraId="6C96C0BA" w14:textId="1E90CF19" w:rsidR="00D55535" w:rsidRPr="001A5150" w:rsidRDefault="00D55535" w:rsidP="00D55535"/>
    <w:p w14:paraId="5498601D" w14:textId="02FCAB5E" w:rsidR="00665054" w:rsidRPr="001A5150" w:rsidRDefault="00610C5C" w:rsidP="00610C5C">
      <w:pPr>
        <w:pStyle w:val="MSKNormal"/>
        <w:spacing w:before="200"/>
      </w:pPr>
      <w:r w:rsidRPr="001A5150">
        <w:t>Na reprodukci majetku kraje v rámci akcí spolufinancovaných z evropských finančních zdrojů byla ve schváleném rozpočtu na rok 2025 vyčleněna částka ve výši 3.638.018 tis. Kč. K 31. 7. 2025 byl rozpočet upraven na výši 2.664.415 tis. Kč, vyčerpáno bylo na tyto akce 620.207 tis. Kč, což představuje 23 % upraveného rozpočtu. Výše čerpání je ovlivněna stejnými příčinami jako u akcí financovaných pouze z </w:t>
      </w:r>
    </w:p>
    <w:p w14:paraId="10260232" w14:textId="54E26223" w:rsidR="00AC5C79" w:rsidRPr="001A5150" w:rsidRDefault="00AC5C79" w:rsidP="00F56147">
      <w:pPr>
        <w:pStyle w:val="MSKNormal"/>
        <w:spacing w:before="200"/>
      </w:pPr>
      <w:r w:rsidRPr="001A5150">
        <w:t xml:space="preserve">Podrobný přehled akcí v oblasti reprodukce majetku kraje (vyjma reprodukce majetku kraje v rámci akcí spolufinancovaných z evropských finančních zdrojů), a to v členění na jednotlivá odvětví je uveden v příloze č. 4 materiálu. </w:t>
      </w:r>
    </w:p>
    <w:p w14:paraId="586AA66C" w14:textId="7B179777" w:rsidR="00014B18" w:rsidRPr="001A5150" w:rsidRDefault="00014B18">
      <w:pPr>
        <w:pStyle w:val="Nadpis3"/>
        <w:numPr>
          <w:ilvl w:val="0"/>
          <w:numId w:val="8"/>
        </w:numPr>
        <w:ind w:left="426" w:hanging="426"/>
      </w:pPr>
      <w:bookmarkStart w:id="359" w:name="_Hlk182590877"/>
      <w:bookmarkStart w:id="360" w:name="_Hlk80086811"/>
      <w:bookmarkStart w:id="361" w:name="_Hlk87886864"/>
      <w:bookmarkEnd w:id="354"/>
      <w:bookmarkEnd w:id="355"/>
      <w:bookmarkEnd w:id="357"/>
      <w:r w:rsidRPr="001A5150">
        <w:rPr>
          <w:sz w:val="24"/>
        </w:rPr>
        <w:lastRenderedPageBreak/>
        <w:t>Přehled výdajů na akce spolufi</w:t>
      </w:r>
      <w:r w:rsidR="00027099" w:rsidRPr="001A5150">
        <w:rPr>
          <w:sz w:val="24"/>
        </w:rPr>
        <w:t>nancované z evropských zdrojů k</w:t>
      </w:r>
      <w:r w:rsidR="004365F2" w:rsidRPr="001A5150">
        <w:rPr>
          <w:sz w:val="24"/>
        </w:rPr>
        <w:t> </w:t>
      </w:r>
      <w:r w:rsidR="00164DCF" w:rsidRPr="001A5150">
        <w:rPr>
          <w:sz w:val="24"/>
        </w:rPr>
        <w:t>31. 7. 2025</w:t>
      </w:r>
      <w:r w:rsidRPr="001A5150">
        <w:rPr>
          <w:sz w:val="24"/>
        </w:rPr>
        <w:t xml:space="preserve"> v členění dle odvětví</w:t>
      </w:r>
    </w:p>
    <w:p w14:paraId="64CEBB9A" w14:textId="2D56B220" w:rsidR="004B69A8" w:rsidRPr="001A5150" w:rsidRDefault="00821F33" w:rsidP="004929F7">
      <w:pPr>
        <w:pStyle w:val="Zkladntext3"/>
        <w:rPr>
          <w:color w:val="auto"/>
          <w:sz w:val="20"/>
          <w:szCs w:val="20"/>
        </w:rPr>
      </w:pPr>
      <w:r w:rsidRPr="001A5150">
        <w:rPr>
          <w:color w:val="auto"/>
          <w:sz w:val="20"/>
          <w:szCs w:val="20"/>
        </w:rPr>
        <w:t>Na akce spolufinancované z evropských zdrojů bylo pro rok 202</w:t>
      </w:r>
      <w:r w:rsidR="00185350" w:rsidRPr="001A5150">
        <w:rPr>
          <w:color w:val="auto"/>
          <w:sz w:val="20"/>
          <w:szCs w:val="20"/>
        </w:rPr>
        <w:t>5</w:t>
      </w:r>
      <w:r w:rsidRPr="001A5150">
        <w:rPr>
          <w:color w:val="auto"/>
          <w:sz w:val="20"/>
          <w:szCs w:val="20"/>
        </w:rPr>
        <w:t xml:space="preserve"> ve schváleném rozpočtu vyčleněno </w:t>
      </w:r>
      <w:r w:rsidR="00185350" w:rsidRPr="001A5150">
        <w:rPr>
          <w:color w:val="auto"/>
          <w:sz w:val="20"/>
          <w:szCs w:val="20"/>
        </w:rPr>
        <w:t>4.046.977</w:t>
      </w:r>
      <w:r w:rsidRPr="001A5150">
        <w:rPr>
          <w:color w:val="auto"/>
          <w:sz w:val="20"/>
          <w:szCs w:val="20"/>
        </w:rPr>
        <w:t xml:space="preserve"> tis. Kč, </w:t>
      </w:r>
      <w:r w:rsidR="005475B7" w:rsidRPr="001A5150">
        <w:rPr>
          <w:color w:val="auto"/>
          <w:sz w:val="20"/>
          <w:szCs w:val="20"/>
        </w:rPr>
        <w:t xml:space="preserve">a to na realizaci </w:t>
      </w:r>
      <w:r w:rsidR="004B69A8" w:rsidRPr="001A5150">
        <w:rPr>
          <w:color w:val="auto"/>
          <w:sz w:val="20"/>
          <w:szCs w:val="20"/>
        </w:rPr>
        <w:t>122</w:t>
      </w:r>
      <w:r w:rsidR="005475B7" w:rsidRPr="001A5150">
        <w:rPr>
          <w:color w:val="auto"/>
          <w:sz w:val="20"/>
          <w:szCs w:val="20"/>
        </w:rPr>
        <w:t xml:space="preserve"> projektů. </w:t>
      </w:r>
      <w:r w:rsidR="004B69A8" w:rsidRPr="001A5150">
        <w:rPr>
          <w:color w:val="auto"/>
          <w:sz w:val="20"/>
          <w:szCs w:val="20"/>
        </w:rPr>
        <w:t xml:space="preserve">Na začátku roku došlo zapojením části účelového zůstatku finančních prostředků rozpočtového hospodaření roku 2024 do rozpočtu 2025 ke zvýšení výdajové části rozpočtu celkem o 1.395.419 tis. Kč. </w:t>
      </w:r>
    </w:p>
    <w:p w14:paraId="76A403DB" w14:textId="77777777" w:rsidR="00273CC6" w:rsidRPr="001A5150" w:rsidRDefault="00273CC6" w:rsidP="00273CC6">
      <w:pPr>
        <w:pStyle w:val="Zkladntext3"/>
        <w:rPr>
          <w:color w:val="auto"/>
          <w:sz w:val="20"/>
          <w:szCs w:val="20"/>
        </w:rPr>
      </w:pPr>
      <w:r w:rsidRPr="001A5150">
        <w:rPr>
          <w:color w:val="auto"/>
          <w:sz w:val="20"/>
          <w:szCs w:val="20"/>
        </w:rPr>
        <w:t>K navýšení výdajové části rozpočtu o částku 278.611 tis. Kč v rámci sledovaného období došlo rovněž zejména v důsledku změny v příjmech. Zejména byly zapojeny dotace poskytnuté jednotlivými řídícími orgány za účelem spolufinancování projektů z evropských zdrojů. K 31. 7. 2025 došlo ke snížení upraveného rozpočtu výdajů o úhrnnou částku 1.918.379 tis. Kč na základě provedených souhrnných rozpočtových úprav za období leden až duben.</w:t>
      </w:r>
    </w:p>
    <w:p w14:paraId="1A31628F" w14:textId="089873BE" w:rsidR="006920BE" w:rsidRDefault="00273CC6" w:rsidP="006920BE">
      <w:pPr>
        <w:pStyle w:val="Zkladntext3"/>
        <w:rPr>
          <w:color w:val="auto"/>
          <w:sz w:val="20"/>
          <w:szCs w:val="20"/>
        </w:rPr>
      </w:pPr>
      <w:r w:rsidRPr="001A5150">
        <w:rPr>
          <w:color w:val="auto"/>
          <w:sz w:val="20"/>
          <w:szCs w:val="20"/>
        </w:rPr>
        <w:t>K 31. 7. 2025 činil upravený rozpočet 3.756.312 tis. Kč, a to na realizaci 163 projektů a 2 akcí na přípravu projektů, vyčerpáno bylo na tyto akce 1.047.382 tis. Kč, což představuje 28 % upraveného rozpočtu.</w:t>
      </w:r>
      <w:r w:rsidR="00412B3E">
        <w:rPr>
          <w:color w:val="auto"/>
          <w:sz w:val="20"/>
          <w:szCs w:val="20"/>
        </w:rPr>
        <w:t xml:space="preserve"> </w:t>
      </w:r>
      <w:r w:rsidR="006920BE" w:rsidRPr="006920BE">
        <w:rPr>
          <w:color w:val="auto"/>
          <w:sz w:val="20"/>
          <w:szCs w:val="20"/>
        </w:rPr>
        <w:t>Výše čerpání je ovlivněna zejména projekty energetických úspor z důvodu zdlouhavého procesu výběru dodavatele stavby, a tudíž odložením zahájení realizace stavby o několik měsíců (např. s ohledem na množství dotazů k zadávací dokumentaci, na potřebu doplnění nabídek ve vztahu k zákonu o zadávání veřejných zakázek). Dalším důvodem nižšího čerpání je zpožděná projektová příprava u fotovoltaických elektráren z důvodu nedostatečných kapacit projektantů na trhu či z důvodu dlouhých lhůt trvání územního a stavebního řízení zvláště s účinností nového stavebního zákona. Dále u projektů z operačního programu Spravedlivé transformace (Vouchery pro veřejný sektor, Vouchery pro podnikatele a Vouchery pro</w:t>
      </w:r>
      <w:r w:rsidR="00197A6F">
        <w:rPr>
          <w:color w:val="auto"/>
          <w:sz w:val="20"/>
          <w:szCs w:val="20"/>
        </w:rPr>
        <w:t> </w:t>
      </w:r>
      <w:r w:rsidR="006920BE" w:rsidRPr="006920BE">
        <w:rPr>
          <w:color w:val="auto"/>
          <w:sz w:val="20"/>
          <w:szCs w:val="20"/>
        </w:rPr>
        <w:t>univerzity) obdržel kraj významný objem finančních prostředků zálohově a jejich výplata je možná, dle</w:t>
      </w:r>
      <w:r w:rsidR="00197A6F">
        <w:rPr>
          <w:color w:val="auto"/>
          <w:sz w:val="20"/>
          <w:szCs w:val="20"/>
        </w:rPr>
        <w:t> </w:t>
      </w:r>
      <w:r w:rsidR="006920BE" w:rsidRPr="006920BE">
        <w:rPr>
          <w:color w:val="auto"/>
          <w:sz w:val="20"/>
          <w:szCs w:val="20"/>
        </w:rPr>
        <w:t xml:space="preserve">podmínek vyhlášeného dotačního titulu, až na základě předložených závěrečných vyúčtováních konečných příjemců dotace. </w:t>
      </w:r>
    </w:p>
    <w:p w14:paraId="313E8FC4" w14:textId="77777777" w:rsidR="00197A6F" w:rsidRPr="006920BE" w:rsidRDefault="00197A6F" w:rsidP="006920BE">
      <w:pPr>
        <w:pStyle w:val="Zkladntext3"/>
        <w:rPr>
          <w:color w:val="auto"/>
          <w:sz w:val="20"/>
          <w:szCs w:val="20"/>
        </w:rPr>
      </w:pPr>
    </w:p>
    <w:p w14:paraId="4CBBFED2" w14:textId="3C7E1E24" w:rsidR="00734E3F" w:rsidRPr="001A5150" w:rsidRDefault="00DD1F4A" w:rsidP="001318E4">
      <w:pPr>
        <w:pStyle w:val="Styltab"/>
      </w:pPr>
      <w:r w:rsidRPr="001A5150">
        <w:lastRenderedPageBreak/>
        <w:t xml:space="preserve">Akce spolufinancované z evropských zdrojů k </w:t>
      </w:r>
      <w:r w:rsidR="00164DCF" w:rsidRPr="001A5150">
        <w:t>31. 7. 2025</w:t>
      </w:r>
      <w:r w:rsidRPr="001A5150">
        <w:t xml:space="preserve"> - členění dle odvětví</w:t>
      </w:r>
      <w:r w:rsidRPr="001A5150">
        <w:tab/>
        <w:t>v tis. Kč</w:t>
      </w:r>
    </w:p>
    <w:bookmarkStart w:id="362" w:name="_MON_1793599468"/>
    <w:bookmarkEnd w:id="362"/>
    <w:p w14:paraId="46224E98" w14:textId="197AC94F" w:rsidR="001355EB" w:rsidRPr="001A5150" w:rsidRDefault="001355EB" w:rsidP="005D6FD5">
      <w:pPr>
        <w:rPr>
          <w:highlight w:val="yellow"/>
        </w:rPr>
      </w:pPr>
      <w:r w:rsidRPr="001A5150">
        <w:object w:dxaOrig="9463" w:dyaOrig="7579" w14:anchorId="0114E3FB">
          <v:shape id="_x0000_i1084" type="#_x0000_t75" style="width:474.55pt;height:384.4pt" o:ole="">
            <v:imagedata r:id="rId127" o:title=""/>
          </v:shape>
          <o:OLEObject Type="Embed" ProgID="Excel.Sheet.8" ShapeID="_x0000_i1084" DrawAspect="Content" ObjectID="_1817201248" r:id="rId128"/>
        </w:object>
      </w:r>
    </w:p>
    <w:p w14:paraId="14EF9F6D" w14:textId="77777777" w:rsidR="001355EB" w:rsidRPr="001A5150" w:rsidRDefault="001355EB" w:rsidP="001355EB">
      <w:r w:rsidRPr="001A5150">
        <w:t xml:space="preserve">Pro plynulé zajištění realizace projektů spolufinancovaných z evropských finančních zdrojů schválilo zastupitelstvo kraje zahájení realizace některých projektů před vydáním rozhodnutí o poskytnutí dotace. V souvislosti s tím zastupitelstvo kraje postupně rozhodlo o závazku dofinancovat celkem 100 projektů v případě nevydání rozhodnutí o poskytnutí dotace, z toho 2 projekty nebyly přijaty k financování z důvodu přeplnění alokace a budou realizovány z vlastních zdrojů v rámci akcí reprodukce majetku kraje. Ke dni zpracování materiálu bylo vydáno rozhodnutí o poskytnutí dotace u 60 projektů. V současnosti aktuální výše celkového závazku činí přibližně 653.575 tis. Kč.  </w:t>
      </w:r>
    </w:p>
    <w:bookmarkEnd w:id="359"/>
    <w:p w14:paraId="22CA85C5" w14:textId="77777777" w:rsidR="00BC6B59" w:rsidRPr="001A5150" w:rsidRDefault="00BC6B59" w:rsidP="00B11D9E">
      <w:pPr>
        <w:rPr>
          <w:rFonts w:cs="Tahoma"/>
          <w:szCs w:val="20"/>
        </w:rPr>
      </w:pPr>
    </w:p>
    <w:p w14:paraId="6CE9F204" w14:textId="77777777" w:rsidR="00BC6B59" w:rsidRPr="001A5150" w:rsidRDefault="00BC6B59" w:rsidP="00B11D9E"/>
    <w:bookmarkEnd w:id="360"/>
    <w:p w14:paraId="586AA675" w14:textId="77777777" w:rsidR="00014B18" w:rsidRPr="001A5150" w:rsidRDefault="00657C59" w:rsidP="003C43D7">
      <w:pPr>
        <w:pStyle w:val="xl33"/>
        <w:tabs>
          <w:tab w:val="left" w:pos="2160"/>
        </w:tabs>
        <w:spacing w:before="400" w:beforeAutospacing="0" w:after="120" w:afterAutospacing="0"/>
        <w:ind w:left="360"/>
        <w:textAlignment w:val="auto"/>
        <w:rPr>
          <w:rFonts w:cs="Tahoma"/>
          <w:bCs w:val="0"/>
          <w:sz w:val="16"/>
          <w:szCs w:val="16"/>
          <w:u w:val="single"/>
        </w:rPr>
      </w:pPr>
      <w:r w:rsidRPr="001A5150">
        <w:rPr>
          <w:rFonts w:cs="Tahoma"/>
          <w:bCs w:val="0"/>
          <w:sz w:val="16"/>
          <w:szCs w:val="16"/>
          <w:u w:val="single"/>
        </w:rPr>
        <w:br w:type="page"/>
      </w:r>
      <w:bookmarkEnd w:id="361"/>
      <w:r w:rsidR="00014B18" w:rsidRPr="001A5150">
        <w:rPr>
          <w:rFonts w:cs="Tahoma"/>
          <w:bCs w:val="0"/>
          <w:sz w:val="16"/>
          <w:szCs w:val="16"/>
          <w:u w:val="single"/>
        </w:rPr>
        <w:lastRenderedPageBreak/>
        <w:t>Seznam použitých zkratek:</w:t>
      </w:r>
    </w:p>
    <w:p w14:paraId="586AA676" w14:textId="77777777" w:rsidR="00014B18" w:rsidRPr="001A5150" w:rsidRDefault="00014B18" w:rsidP="00360AD3">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a.s.</w:t>
      </w:r>
      <w:r w:rsidRPr="001A5150">
        <w:rPr>
          <w:rFonts w:cs="Tahoma"/>
          <w:b w:val="0"/>
          <w:sz w:val="18"/>
          <w:szCs w:val="18"/>
        </w:rPr>
        <w:tab/>
        <w:t>akciová společnost</w:t>
      </w:r>
    </w:p>
    <w:p w14:paraId="586AA677" w14:textId="77777777" w:rsidR="006E5C46" w:rsidRPr="001A5150" w:rsidRDefault="006E5C46" w:rsidP="00360AD3">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ČNB</w:t>
      </w:r>
      <w:r w:rsidRPr="001A5150">
        <w:rPr>
          <w:rFonts w:cs="Tahoma"/>
          <w:b w:val="0"/>
          <w:sz w:val="18"/>
          <w:szCs w:val="18"/>
        </w:rPr>
        <w:tab/>
        <w:t>Česká národní banka</w:t>
      </w:r>
    </w:p>
    <w:p w14:paraId="586AA678" w14:textId="77777777" w:rsidR="006E5C46" w:rsidRPr="001A5150" w:rsidRDefault="006E5C46" w:rsidP="00360AD3">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ČS</w:t>
      </w:r>
      <w:r w:rsidRPr="001A5150">
        <w:rPr>
          <w:rFonts w:cs="Tahoma"/>
          <w:b w:val="0"/>
          <w:sz w:val="18"/>
          <w:szCs w:val="18"/>
        </w:rPr>
        <w:tab/>
        <w:t>Česká spořitelna, a.</w:t>
      </w:r>
      <w:r w:rsidR="000E3CCB" w:rsidRPr="001A5150">
        <w:rPr>
          <w:rFonts w:cs="Tahoma"/>
          <w:b w:val="0"/>
          <w:sz w:val="18"/>
          <w:szCs w:val="18"/>
        </w:rPr>
        <w:t> </w:t>
      </w:r>
      <w:r w:rsidRPr="001A5150">
        <w:rPr>
          <w:rFonts w:cs="Tahoma"/>
          <w:b w:val="0"/>
          <w:sz w:val="18"/>
          <w:szCs w:val="18"/>
        </w:rPr>
        <w:t>s.</w:t>
      </w:r>
    </w:p>
    <w:p w14:paraId="586AA679" w14:textId="77777777" w:rsidR="00014B18" w:rsidRPr="001A5150" w:rsidRDefault="00014B18" w:rsidP="00360AD3">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ČSOB</w:t>
      </w:r>
      <w:r w:rsidRPr="001A5150">
        <w:rPr>
          <w:rFonts w:cs="Tahoma"/>
          <w:b w:val="0"/>
          <w:sz w:val="18"/>
          <w:szCs w:val="18"/>
        </w:rPr>
        <w:tab/>
        <w:t>Československá obchodní banka, a.</w:t>
      </w:r>
      <w:r w:rsidR="000E3CCB" w:rsidRPr="001A5150">
        <w:rPr>
          <w:rFonts w:cs="Tahoma"/>
          <w:b w:val="0"/>
          <w:sz w:val="18"/>
          <w:szCs w:val="18"/>
        </w:rPr>
        <w:t> </w:t>
      </w:r>
      <w:r w:rsidRPr="001A5150">
        <w:rPr>
          <w:rFonts w:cs="Tahoma"/>
          <w:b w:val="0"/>
          <w:sz w:val="18"/>
          <w:szCs w:val="18"/>
        </w:rPr>
        <w:t>s.</w:t>
      </w:r>
    </w:p>
    <w:p w14:paraId="586AA67A" w14:textId="77777777" w:rsidR="00014B18" w:rsidRPr="001A5150" w:rsidRDefault="00014B18" w:rsidP="003C43D7">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DPH</w:t>
      </w:r>
      <w:r w:rsidRPr="001A5150">
        <w:rPr>
          <w:rFonts w:cs="Tahoma"/>
          <w:b w:val="0"/>
          <w:sz w:val="18"/>
          <w:szCs w:val="18"/>
        </w:rPr>
        <w:tab/>
        <w:t>daň z přidané hodnoty</w:t>
      </w:r>
    </w:p>
    <w:p w14:paraId="586AA67B" w14:textId="77777777" w:rsidR="00014B18" w:rsidRPr="001A5150" w:rsidRDefault="00014B18" w:rsidP="003C43D7">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EIB</w:t>
      </w:r>
      <w:r w:rsidRPr="001A5150">
        <w:rPr>
          <w:rFonts w:cs="Tahoma"/>
          <w:b w:val="0"/>
          <w:sz w:val="18"/>
          <w:szCs w:val="18"/>
        </w:rPr>
        <w:tab/>
        <w:t>Evropská investiční banka</w:t>
      </w:r>
    </w:p>
    <w:p w14:paraId="586AA67C" w14:textId="77777777" w:rsidR="00014B18" w:rsidRPr="001A5150" w:rsidRDefault="00014B18" w:rsidP="003C43D7">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EU</w:t>
      </w:r>
      <w:r w:rsidRPr="001A5150">
        <w:rPr>
          <w:rFonts w:cs="Tahoma"/>
          <w:b w:val="0"/>
          <w:sz w:val="18"/>
          <w:szCs w:val="18"/>
        </w:rPr>
        <w:tab/>
        <w:t>Evropská unie</w:t>
      </w:r>
    </w:p>
    <w:p w14:paraId="586AA67D" w14:textId="77777777" w:rsidR="00014B18" w:rsidRPr="001A5150" w:rsidRDefault="00014B18" w:rsidP="003C43D7">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HZS MSK</w:t>
      </w:r>
      <w:r w:rsidRPr="001A5150">
        <w:rPr>
          <w:rFonts w:cs="Tahoma"/>
          <w:b w:val="0"/>
          <w:sz w:val="18"/>
          <w:szCs w:val="18"/>
        </w:rPr>
        <w:tab/>
        <w:t>Hasičský záchranný sbor Moravskoslezského kraje</w:t>
      </w:r>
    </w:p>
    <w:p w14:paraId="586AA67E" w14:textId="77777777" w:rsidR="00014B18" w:rsidRPr="001A5150" w:rsidRDefault="00014B18" w:rsidP="003C43D7">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ICT</w:t>
      </w:r>
      <w:r w:rsidRPr="001A5150">
        <w:rPr>
          <w:rFonts w:cs="Tahoma"/>
          <w:b w:val="0"/>
          <w:sz w:val="18"/>
          <w:szCs w:val="18"/>
        </w:rPr>
        <w:tab/>
        <w:t>informační a komunikační technologie</w:t>
      </w:r>
    </w:p>
    <w:p w14:paraId="586AA67F" w14:textId="77777777" w:rsidR="006E5C46" w:rsidRPr="001A5150" w:rsidRDefault="006E5C46" w:rsidP="003C43D7">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JT</w:t>
      </w:r>
      <w:r w:rsidRPr="001A5150">
        <w:rPr>
          <w:rFonts w:cs="Tahoma"/>
          <w:b w:val="0"/>
          <w:sz w:val="18"/>
          <w:szCs w:val="18"/>
        </w:rPr>
        <w:tab/>
      </w:r>
      <w:r w:rsidR="00C9721C" w:rsidRPr="001A5150">
        <w:rPr>
          <w:rFonts w:cs="Tahoma"/>
          <w:b w:val="0"/>
          <w:sz w:val="18"/>
          <w:szCs w:val="18"/>
        </w:rPr>
        <w:t>J&amp;T Banka, a. s.</w:t>
      </w:r>
    </w:p>
    <w:p w14:paraId="586AA680" w14:textId="77777777" w:rsidR="00014B18" w:rsidRPr="001A5150" w:rsidRDefault="00014B18" w:rsidP="003C43D7">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IZS</w:t>
      </w:r>
      <w:r w:rsidRPr="001A5150">
        <w:rPr>
          <w:rFonts w:cs="Tahoma"/>
          <w:b w:val="0"/>
          <w:sz w:val="18"/>
          <w:szCs w:val="18"/>
        </w:rPr>
        <w:tab/>
        <w:t>Integrovaný záchranný systém</w:t>
      </w:r>
    </w:p>
    <w:p w14:paraId="586AA681" w14:textId="77777777" w:rsidR="000E3CCB" w:rsidRPr="001A5150" w:rsidRDefault="000E3CCB" w:rsidP="003C43D7">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KB</w:t>
      </w:r>
      <w:r w:rsidRPr="001A5150">
        <w:rPr>
          <w:rFonts w:cs="Tahoma"/>
          <w:b w:val="0"/>
          <w:sz w:val="18"/>
          <w:szCs w:val="18"/>
        </w:rPr>
        <w:tab/>
        <w:t>Komerční banka, a. s.</w:t>
      </w:r>
    </w:p>
    <w:p w14:paraId="586AA683" w14:textId="77777777" w:rsidR="00DE4129" w:rsidRPr="001A5150" w:rsidRDefault="00DE4129" w:rsidP="003C43D7">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MONETA</w:t>
      </w:r>
      <w:r w:rsidRPr="001A5150">
        <w:rPr>
          <w:rFonts w:cs="Tahoma"/>
          <w:b w:val="0"/>
          <w:sz w:val="18"/>
          <w:szCs w:val="18"/>
        </w:rPr>
        <w:tab/>
      </w:r>
      <w:proofErr w:type="spellStart"/>
      <w:r w:rsidRPr="001A5150">
        <w:rPr>
          <w:rFonts w:cs="Tahoma"/>
          <w:b w:val="0"/>
          <w:sz w:val="18"/>
          <w:szCs w:val="18"/>
        </w:rPr>
        <w:t>MONETA</w:t>
      </w:r>
      <w:proofErr w:type="spellEnd"/>
      <w:r w:rsidRPr="001A5150">
        <w:rPr>
          <w:rFonts w:cs="Tahoma"/>
          <w:b w:val="0"/>
          <w:sz w:val="18"/>
          <w:szCs w:val="18"/>
        </w:rPr>
        <w:t xml:space="preserve"> Money Bank, a. s.</w:t>
      </w:r>
    </w:p>
    <w:p w14:paraId="7B133783" w14:textId="15CA4068" w:rsidR="001F1CF0" w:rsidRPr="001A5150" w:rsidRDefault="001F1CF0" w:rsidP="003C43D7">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MPSV</w:t>
      </w:r>
      <w:r w:rsidRPr="001A5150">
        <w:rPr>
          <w:rFonts w:cs="Tahoma"/>
          <w:b w:val="0"/>
          <w:sz w:val="18"/>
          <w:szCs w:val="18"/>
        </w:rPr>
        <w:tab/>
        <w:t>Ministerstvo práce a sociálních věci</w:t>
      </w:r>
    </w:p>
    <w:p w14:paraId="586AA684" w14:textId="22BB009C" w:rsidR="00014B18" w:rsidRPr="001A5150" w:rsidRDefault="00014B18" w:rsidP="003C43D7">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MSK</w:t>
      </w:r>
      <w:r w:rsidRPr="001A5150">
        <w:rPr>
          <w:rFonts w:cs="Tahoma"/>
          <w:b w:val="0"/>
          <w:sz w:val="18"/>
          <w:szCs w:val="18"/>
        </w:rPr>
        <w:tab/>
        <w:t>Moravskoslezský kraj</w:t>
      </w:r>
    </w:p>
    <w:p w14:paraId="586AA685" w14:textId="77777777" w:rsidR="00014B18" w:rsidRPr="001A5150" w:rsidRDefault="00014B18" w:rsidP="003C43D7">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MŠMT</w:t>
      </w:r>
      <w:r w:rsidRPr="001A5150">
        <w:rPr>
          <w:rFonts w:cs="Tahoma"/>
          <w:b w:val="0"/>
          <w:sz w:val="18"/>
          <w:szCs w:val="18"/>
        </w:rPr>
        <w:tab/>
        <w:t>Ministerstvo školství, mládeže a tělovýchovy</w:t>
      </w:r>
    </w:p>
    <w:p w14:paraId="586AA686" w14:textId="77777777" w:rsidR="00014B18" w:rsidRPr="001A5150" w:rsidRDefault="00014B18" w:rsidP="003C43D7">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NKP</w:t>
      </w:r>
      <w:r w:rsidRPr="001A5150">
        <w:rPr>
          <w:rFonts w:cs="Tahoma"/>
          <w:b w:val="0"/>
          <w:sz w:val="18"/>
          <w:szCs w:val="18"/>
        </w:rPr>
        <w:tab/>
        <w:t>Národní kulturní památka</w:t>
      </w:r>
    </w:p>
    <w:p w14:paraId="586AA687" w14:textId="77777777" w:rsidR="000E3CCB" w:rsidRPr="001A5150" w:rsidRDefault="000E3CCB" w:rsidP="003C43D7">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OB</w:t>
      </w:r>
      <w:r w:rsidRPr="001A5150">
        <w:rPr>
          <w:rFonts w:cs="Tahoma"/>
          <w:b w:val="0"/>
          <w:sz w:val="18"/>
          <w:szCs w:val="18"/>
        </w:rPr>
        <w:tab/>
      </w:r>
      <w:proofErr w:type="spellStart"/>
      <w:r w:rsidRPr="001A5150">
        <w:rPr>
          <w:rFonts w:cs="Tahoma"/>
          <w:b w:val="0"/>
          <w:sz w:val="18"/>
          <w:szCs w:val="18"/>
        </w:rPr>
        <w:t>Oberbank</w:t>
      </w:r>
      <w:proofErr w:type="spellEnd"/>
      <w:r w:rsidRPr="001A5150">
        <w:rPr>
          <w:rFonts w:cs="Tahoma"/>
          <w:b w:val="0"/>
          <w:sz w:val="18"/>
          <w:szCs w:val="18"/>
        </w:rPr>
        <w:t xml:space="preserve"> AG pobočka Česká republika</w:t>
      </w:r>
    </w:p>
    <w:p w14:paraId="586AA688" w14:textId="77777777" w:rsidR="00014B18" w:rsidRPr="001A5150" w:rsidRDefault="00014B18" w:rsidP="003C43D7">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OP</w:t>
      </w:r>
      <w:r w:rsidRPr="001A5150">
        <w:rPr>
          <w:rFonts w:cs="Tahoma"/>
          <w:b w:val="0"/>
          <w:sz w:val="18"/>
          <w:szCs w:val="18"/>
        </w:rPr>
        <w:tab/>
        <w:t>operační program</w:t>
      </w:r>
    </w:p>
    <w:p w14:paraId="586AA689" w14:textId="77777777" w:rsidR="00014B18" w:rsidRPr="001A5150" w:rsidRDefault="00014B18" w:rsidP="003C43D7">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p. o.</w:t>
      </w:r>
      <w:r w:rsidRPr="001A5150">
        <w:rPr>
          <w:rFonts w:cs="Tahoma"/>
          <w:b w:val="0"/>
          <w:sz w:val="18"/>
          <w:szCs w:val="18"/>
        </w:rPr>
        <w:tab/>
        <w:t>příspěvková organizace</w:t>
      </w:r>
    </w:p>
    <w:p w14:paraId="586AA68A" w14:textId="77777777" w:rsidR="000E3CCB" w:rsidRPr="001A5150" w:rsidRDefault="000E3CCB" w:rsidP="003C43D7">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PPF</w:t>
      </w:r>
      <w:r w:rsidRPr="001A5150">
        <w:rPr>
          <w:rFonts w:cs="Tahoma"/>
          <w:b w:val="0"/>
          <w:sz w:val="18"/>
          <w:szCs w:val="18"/>
        </w:rPr>
        <w:tab/>
      </w:r>
      <w:proofErr w:type="spellStart"/>
      <w:r w:rsidRPr="001A5150">
        <w:rPr>
          <w:rFonts w:cs="Tahoma"/>
          <w:b w:val="0"/>
          <w:sz w:val="18"/>
          <w:szCs w:val="18"/>
        </w:rPr>
        <w:t>PPF</w:t>
      </w:r>
      <w:proofErr w:type="spellEnd"/>
      <w:r w:rsidRPr="001A5150">
        <w:rPr>
          <w:rFonts w:cs="Tahoma"/>
          <w:b w:val="0"/>
          <w:sz w:val="18"/>
          <w:szCs w:val="18"/>
        </w:rPr>
        <w:t xml:space="preserve"> Banka, a. s.</w:t>
      </w:r>
    </w:p>
    <w:p w14:paraId="586AA68B" w14:textId="77777777" w:rsidR="008A0968" w:rsidRPr="001A5150" w:rsidRDefault="008A0968" w:rsidP="003C43D7">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RFB</w:t>
      </w:r>
      <w:r w:rsidRPr="001A5150">
        <w:rPr>
          <w:rFonts w:cs="Tahoma"/>
          <w:b w:val="0"/>
          <w:sz w:val="18"/>
          <w:szCs w:val="18"/>
        </w:rPr>
        <w:tab/>
        <w:t>Raiffeisenbank, a. s.</w:t>
      </w:r>
    </w:p>
    <w:p w14:paraId="586AA68C" w14:textId="3EEBAC53" w:rsidR="008A0968" w:rsidRPr="001A5150" w:rsidRDefault="008A0968" w:rsidP="003C43D7">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SB</w:t>
      </w:r>
      <w:r w:rsidRPr="001A5150">
        <w:rPr>
          <w:rFonts w:cs="Tahoma"/>
          <w:b w:val="0"/>
          <w:sz w:val="18"/>
          <w:szCs w:val="18"/>
        </w:rPr>
        <w:tab/>
        <w:t>S</w:t>
      </w:r>
      <w:r w:rsidR="00E720E0" w:rsidRPr="001A5150">
        <w:rPr>
          <w:rFonts w:cs="Tahoma"/>
          <w:b w:val="0"/>
          <w:sz w:val="18"/>
          <w:szCs w:val="18"/>
        </w:rPr>
        <w:t>b</w:t>
      </w:r>
      <w:r w:rsidRPr="001A5150">
        <w:rPr>
          <w:rFonts w:cs="Tahoma"/>
          <w:b w:val="0"/>
          <w:sz w:val="18"/>
          <w:szCs w:val="18"/>
        </w:rPr>
        <w:t>erbank CZ, a. s.</w:t>
      </w:r>
    </w:p>
    <w:p w14:paraId="586AA68D" w14:textId="77777777" w:rsidR="00014B18" w:rsidRPr="001A5150" w:rsidRDefault="00014B18" w:rsidP="003C43D7">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SFDI</w:t>
      </w:r>
      <w:r w:rsidRPr="001A5150">
        <w:rPr>
          <w:rFonts w:cs="Tahoma"/>
          <w:b w:val="0"/>
          <w:sz w:val="18"/>
          <w:szCs w:val="18"/>
        </w:rPr>
        <w:tab/>
        <w:t>Státní fond dopravní infrastruktury</w:t>
      </w:r>
    </w:p>
    <w:p w14:paraId="586AA68E" w14:textId="77777777" w:rsidR="00014B18" w:rsidRPr="001A5150" w:rsidRDefault="00014B18" w:rsidP="003C43D7">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s. p.</w:t>
      </w:r>
      <w:r w:rsidRPr="001A5150">
        <w:rPr>
          <w:rFonts w:cs="Tahoma"/>
          <w:b w:val="0"/>
          <w:sz w:val="18"/>
          <w:szCs w:val="18"/>
        </w:rPr>
        <w:tab/>
        <w:t>státní podnik</w:t>
      </w:r>
    </w:p>
    <w:p w14:paraId="586AA68F" w14:textId="77777777" w:rsidR="00014B18" w:rsidRPr="001A5150" w:rsidRDefault="00014B18" w:rsidP="003C43D7">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s. r. o.</w:t>
      </w:r>
      <w:r w:rsidRPr="001A5150">
        <w:rPr>
          <w:rFonts w:cs="Tahoma"/>
          <w:b w:val="0"/>
          <w:sz w:val="18"/>
          <w:szCs w:val="18"/>
        </w:rPr>
        <w:tab/>
        <w:t>společnost s ručením omezeným</w:t>
      </w:r>
    </w:p>
    <w:p w14:paraId="586AA691" w14:textId="77777777" w:rsidR="0043656C" w:rsidRPr="001A5150" w:rsidRDefault="0043656C" w:rsidP="003C43D7">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UCB</w:t>
      </w:r>
      <w:r w:rsidRPr="001A5150">
        <w:rPr>
          <w:rFonts w:cs="Tahoma"/>
          <w:b w:val="0"/>
          <w:sz w:val="18"/>
          <w:szCs w:val="18"/>
        </w:rPr>
        <w:tab/>
      </w:r>
      <w:proofErr w:type="spellStart"/>
      <w:r w:rsidRPr="001A5150">
        <w:rPr>
          <w:rFonts w:cs="Tahoma"/>
          <w:b w:val="0"/>
          <w:sz w:val="18"/>
          <w:szCs w:val="18"/>
        </w:rPr>
        <w:t>UniCredit</w:t>
      </w:r>
      <w:proofErr w:type="spellEnd"/>
      <w:r w:rsidRPr="001A5150">
        <w:rPr>
          <w:rFonts w:cs="Tahoma"/>
          <w:b w:val="0"/>
          <w:sz w:val="18"/>
          <w:szCs w:val="18"/>
        </w:rPr>
        <w:t xml:space="preserve"> Bank Czech Republic and Slovakia, a.</w:t>
      </w:r>
      <w:r w:rsidR="000E3CCB" w:rsidRPr="001A5150">
        <w:rPr>
          <w:rFonts w:cs="Tahoma"/>
          <w:b w:val="0"/>
          <w:sz w:val="18"/>
          <w:szCs w:val="18"/>
        </w:rPr>
        <w:t> </w:t>
      </w:r>
      <w:r w:rsidRPr="001A5150">
        <w:rPr>
          <w:rFonts w:cs="Tahoma"/>
          <w:b w:val="0"/>
          <w:sz w:val="18"/>
          <w:szCs w:val="18"/>
        </w:rPr>
        <w:t>s.</w:t>
      </w:r>
    </w:p>
    <w:p w14:paraId="586AA693" w14:textId="02CD41C0" w:rsidR="00014B18" w:rsidRPr="001A5150" w:rsidRDefault="00014B18" w:rsidP="003C43D7">
      <w:pPr>
        <w:pStyle w:val="xl33"/>
        <w:tabs>
          <w:tab w:val="left" w:pos="2340"/>
        </w:tabs>
        <w:spacing w:before="0" w:beforeAutospacing="0" w:after="0" w:afterAutospacing="0"/>
        <w:ind w:left="360"/>
        <w:textAlignment w:val="auto"/>
        <w:rPr>
          <w:rFonts w:cs="Tahoma"/>
          <w:b w:val="0"/>
          <w:sz w:val="18"/>
          <w:szCs w:val="18"/>
        </w:rPr>
      </w:pPr>
      <w:r w:rsidRPr="001A5150">
        <w:rPr>
          <w:rFonts w:cs="Tahoma"/>
          <w:b w:val="0"/>
          <w:sz w:val="18"/>
          <w:szCs w:val="18"/>
        </w:rPr>
        <w:t>VŠB-TU</w:t>
      </w:r>
      <w:r w:rsidRPr="001A5150">
        <w:rPr>
          <w:rFonts w:cs="Tahoma"/>
          <w:b w:val="0"/>
          <w:sz w:val="18"/>
          <w:szCs w:val="18"/>
        </w:rPr>
        <w:tab/>
        <w:t>Vysoká škola báňská – Technická univerzita</w:t>
      </w:r>
    </w:p>
    <w:sectPr w:rsidR="00014B18" w:rsidRPr="001A5150" w:rsidSect="002E39C5">
      <w:footerReference w:type="default" r:id="rId129"/>
      <w:pgSz w:w="12240" w:h="15840"/>
      <w:pgMar w:top="1417" w:right="1417" w:bottom="1135" w:left="1417"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10B65" w14:textId="77777777" w:rsidR="008128DE" w:rsidRDefault="008128DE">
      <w:r>
        <w:separator/>
      </w:r>
    </w:p>
  </w:endnote>
  <w:endnote w:type="continuationSeparator" w:id="0">
    <w:p w14:paraId="0F795EFA" w14:textId="77777777" w:rsidR="008128DE" w:rsidRDefault="00812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321737"/>
      <w:docPartObj>
        <w:docPartGallery w:val="Page Numbers (Bottom of Page)"/>
        <w:docPartUnique/>
      </w:docPartObj>
    </w:sdtPr>
    <w:sdtContent>
      <w:p w14:paraId="5BAD2C5F" w14:textId="424E74B2" w:rsidR="00013B63" w:rsidRDefault="00013B63">
        <w:pPr>
          <w:pStyle w:val="Zpat"/>
          <w:jc w:val="center"/>
        </w:pPr>
        <w:r>
          <w:fldChar w:fldCharType="begin"/>
        </w:r>
        <w:r>
          <w:instrText>PAGE   \* MERGEFORMAT</w:instrText>
        </w:r>
        <w:r>
          <w:fldChar w:fldCharType="separate"/>
        </w:r>
        <w:r w:rsidR="00F10DDB">
          <w:rPr>
            <w:noProof/>
          </w:rPr>
          <w:t>36</w:t>
        </w:r>
        <w:r>
          <w:fldChar w:fldCharType="end"/>
        </w:r>
      </w:p>
      <w:p w14:paraId="3E268030" w14:textId="6EB9F5D7" w:rsidR="00013B63" w:rsidRPr="000934AC" w:rsidRDefault="00013B63" w:rsidP="000934AC">
        <w:pPr>
          <w:rPr>
            <w:rFonts w:ascii="Calibri" w:hAnsi="Calibri" w:cs="Calibri"/>
            <w:color w:val="000000"/>
            <w:sz w:val="18"/>
          </w:rPr>
        </w:pPr>
        <w:r w:rsidRPr="003C37FC">
          <w:rPr>
            <w:rFonts w:ascii="Calibri" w:hAnsi="Calibri" w:cs="Calibri"/>
            <w:color w:val="000000"/>
            <w:sz w:val="18"/>
          </w:rPr>
          <w:t>Klasifikace informací: Neveřejné</w:t>
        </w:r>
      </w:p>
    </w:sdtContent>
  </w:sdt>
  <w:p w14:paraId="41C7FC68" w14:textId="77777777" w:rsidR="00013B63" w:rsidRDefault="00013B6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3C90E" w14:textId="77777777" w:rsidR="008128DE" w:rsidRDefault="008128DE">
      <w:r>
        <w:separator/>
      </w:r>
    </w:p>
  </w:footnote>
  <w:footnote w:type="continuationSeparator" w:id="0">
    <w:p w14:paraId="48F4C513" w14:textId="77777777" w:rsidR="008128DE" w:rsidRDefault="008128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3E0BE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0C35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D677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4025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9A39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C474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D2DC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B86844"/>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A86C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ACABF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ADE1BA7"/>
    <w:multiLevelType w:val="hybridMultilevel"/>
    <w:tmpl w:val="53C666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A1B4498"/>
    <w:multiLevelType w:val="hybridMultilevel"/>
    <w:tmpl w:val="53C666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3C20BDD"/>
    <w:multiLevelType w:val="hybridMultilevel"/>
    <w:tmpl w:val="9990A600"/>
    <w:lvl w:ilvl="0" w:tplc="7816539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7CF786F"/>
    <w:multiLevelType w:val="multilevel"/>
    <w:tmpl w:val="EF6EFEAC"/>
    <w:lvl w:ilvl="0">
      <w:start w:val="1"/>
      <w:numFmt w:val="decimal"/>
      <w:lvlText w:val="%1"/>
      <w:lvlJc w:val="left"/>
      <w:pPr>
        <w:tabs>
          <w:tab w:val="num" w:pos="624"/>
        </w:tabs>
        <w:ind w:left="624" w:hanging="624"/>
      </w:pPr>
      <w:rPr>
        <w:rFonts w:ascii="Times New Roman" w:hAnsi="Times New Roman" w:hint="default"/>
        <w:b/>
        <w:i w:val="0"/>
        <w:sz w:val="32"/>
      </w:rPr>
    </w:lvl>
    <w:lvl w:ilvl="1">
      <w:start w:val="1"/>
      <w:numFmt w:val="decimal"/>
      <w:suff w:val="space"/>
      <w:lvlText w:val="Tabulka %1.%2:"/>
      <w:lvlJc w:val="left"/>
      <w:pPr>
        <w:ind w:left="0" w:firstLine="0"/>
      </w:pPr>
      <w:rPr>
        <w:rFonts w:ascii="Tahoma" w:hAnsi="Tahoma" w:hint="default"/>
        <w:b w:val="0"/>
        <w:i w:val="0"/>
        <w:color w:val="auto"/>
        <w:sz w:val="20"/>
        <w:szCs w:val="20"/>
      </w:rPr>
    </w:lvl>
    <w:lvl w:ilvl="2">
      <w:start w:val="1"/>
      <w:numFmt w:val="decimal"/>
      <w:lvlText w:val="%1.%2.%3"/>
      <w:lvlJc w:val="left"/>
      <w:pPr>
        <w:tabs>
          <w:tab w:val="num" w:pos="1080"/>
        </w:tabs>
        <w:ind w:left="624" w:hanging="624"/>
      </w:pPr>
      <w:rPr>
        <w:rFonts w:ascii="Times New Roman" w:hAnsi="Times New Roman" w:hint="default"/>
        <w:b/>
        <w:i w:val="0"/>
        <w:sz w:val="24"/>
      </w:rPr>
    </w:lvl>
    <w:lvl w:ilvl="3">
      <w:start w:val="1"/>
      <w:numFmt w:val="decimal"/>
      <w:lvlText w:val="%1.%2.%3.%4"/>
      <w:lvlJc w:val="left"/>
      <w:pPr>
        <w:tabs>
          <w:tab w:val="num" w:pos="1080"/>
        </w:tabs>
        <w:ind w:left="227" w:hanging="227"/>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4" w15:restartNumberingAfterBreak="0">
    <w:nsid w:val="31262DBA"/>
    <w:multiLevelType w:val="hybridMultilevel"/>
    <w:tmpl w:val="4014D1E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1CF0570"/>
    <w:multiLevelType w:val="hybridMultilevel"/>
    <w:tmpl w:val="398631C6"/>
    <w:lvl w:ilvl="0" w:tplc="DB4EF002">
      <w:start w:val="1"/>
      <w:numFmt w:val="decimal"/>
      <w:pStyle w:val="Styltab"/>
      <w:suff w:val="space"/>
      <w:lvlText w:val="Tabulka %1:"/>
      <w:lvlJc w:val="left"/>
      <w:pPr>
        <w:ind w:left="1276"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6" w15:restartNumberingAfterBreak="0">
    <w:nsid w:val="32103D28"/>
    <w:multiLevelType w:val="hybridMultilevel"/>
    <w:tmpl w:val="DFAA17C0"/>
    <w:lvl w:ilvl="0" w:tplc="72384D68">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25C2F5A"/>
    <w:multiLevelType w:val="hybridMultilevel"/>
    <w:tmpl w:val="89C26F88"/>
    <w:lvl w:ilvl="0" w:tplc="443033CC">
      <w:start w:val="1"/>
      <w:numFmt w:val="upperRoman"/>
      <w:pStyle w:val="Nadpis4"/>
      <w:lvlText w:val="%1."/>
      <w:lvlJc w:val="left"/>
      <w:pPr>
        <w:tabs>
          <w:tab w:val="num" w:pos="1080"/>
        </w:tabs>
        <w:ind w:left="1080" w:hanging="72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C3E5A3E"/>
    <w:multiLevelType w:val="hybridMultilevel"/>
    <w:tmpl w:val="53C666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C770502"/>
    <w:multiLevelType w:val="hybridMultilevel"/>
    <w:tmpl w:val="B8A88108"/>
    <w:lvl w:ilvl="0" w:tplc="7816539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A564485"/>
    <w:multiLevelType w:val="multilevel"/>
    <w:tmpl w:val="3D1E11F8"/>
    <w:lvl w:ilvl="0">
      <w:start w:val="1"/>
      <w:numFmt w:val="none"/>
      <w:pStyle w:val="MSKNavrhusneseniZacatek"/>
      <w:suff w:val="nothing"/>
      <w:lvlText w:val=""/>
      <w:lvlJc w:val="left"/>
      <w:pPr>
        <w:ind w:left="0" w:firstLine="0"/>
      </w:pPr>
      <w:rPr>
        <w:rFonts w:ascii="Tahoma" w:hAnsi="Tahoma" w:hint="default"/>
        <w:b w:val="0"/>
        <w:i w:val="0"/>
        <w:sz w:val="24"/>
      </w:rPr>
    </w:lvl>
    <w:lvl w:ilvl="1">
      <w:start w:val="1"/>
      <w:numFmt w:val="decimal"/>
      <w:pStyle w:val="MSKDoplnek"/>
      <w:suff w:val="nothing"/>
      <w:lvlText w:val="%2. "/>
      <w:lvlJc w:val="left"/>
      <w:pPr>
        <w:ind w:left="0" w:firstLine="0"/>
      </w:pPr>
      <w:rPr>
        <w:rFonts w:ascii="Tahoma" w:hAnsi="Tahoma" w:hint="default"/>
        <w:b w:val="0"/>
        <w:i w:val="0"/>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78257F25"/>
    <w:multiLevelType w:val="hybridMultilevel"/>
    <w:tmpl w:val="16ECBDAA"/>
    <w:lvl w:ilvl="0" w:tplc="255486B8">
      <w:numFmt w:val="bullet"/>
      <w:lvlText w:val="-"/>
      <w:lvlJc w:val="left"/>
      <w:pPr>
        <w:ind w:left="1069" w:hanging="360"/>
      </w:pPr>
      <w:rPr>
        <w:rFonts w:ascii="Tahoma" w:eastAsia="Times New Roman" w:hAnsi="Tahoma" w:cs="Tahoma"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16cid:durableId="688021890">
    <w:abstractNumId w:val="17"/>
  </w:num>
  <w:num w:numId="2" w16cid:durableId="100495661">
    <w:abstractNumId w:val="9"/>
  </w:num>
  <w:num w:numId="3" w16cid:durableId="190579367">
    <w:abstractNumId w:val="7"/>
  </w:num>
  <w:num w:numId="4" w16cid:durableId="1664550579">
    <w:abstractNumId w:val="21"/>
  </w:num>
  <w:num w:numId="5" w16cid:durableId="1991979275">
    <w:abstractNumId w:val="10"/>
  </w:num>
  <w:num w:numId="6" w16cid:durableId="1717385199">
    <w:abstractNumId w:val="20"/>
  </w:num>
  <w:num w:numId="7" w16cid:durableId="1065031753">
    <w:abstractNumId w:val="15"/>
  </w:num>
  <w:num w:numId="8" w16cid:durableId="32047266">
    <w:abstractNumId w:val="14"/>
  </w:num>
  <w:num w:numId="9" w16cid:durableId="2100323992">
    <w:abstractNumId w:val="19"/>
  </w:num>
  <w:num w:numId="10" w16cid:durableId="843324528">
    <w:abstractNumId w:val="12"/>
  </w:num>
  <w:num w:numId="11" w16cid:durableId="58941181">
    <w:abstractNumId w:val="21"/>
  </w:num>
  <w:num w:numId="12" w16cid:durableId="277225931">
    <w:abstractNumId w:val="8"/>
  </w:num>
  <w:num w:numId="13" w16cid:durableId="1263681958">
    <w:abstractNumId w:val="3"/>
  </w:num>
  <w:num w:numId="14" w16cid:durableId="1075860542">
    <w:abstractNumId w:val="2"/>
  </w:num>
  <w:num w:numId="15" w16cid:durableId="1735203072">
    <w:abstractNumId w:val="1"/>
  </w:num>
  <w:num w:numId="16" w16cid:durableId="1012954218">
    <w:abstractNumId w:val="0"/>
  </w:num>
  <w:num w:numId="17" w16cid:durableId="842744565">
    <w:abstractNumId w:val="6"/>
  </w:num>
  <w:num w:numId="18" w16cid:durableId="252665680">
    <w:abstractNumId w:val="5"/>
  </w:num>
  <w:num w:numId="19" w16cid:durableId="1707481541">
    <w:abstractNumId w:val="4"/>
  </w:num>
  <w:num w:numId="20" w16cid:durableId="1164903663">
    <w:abstractNumId w:val="19"/>
  </w:num>
  <w:num w:numId="21" w16cid:durableId="143786977">
    <w:abstractNumId w:val="21"/>
  </w:num>
  <w:num w:numId="22" w16cid:durableId="1024984748">
    <w:abstractNumId w:val="16"/>
  </w:num>
  <w:num w:numId="23" w16cid:durableId="488250314">
    <w:abstractNumId w:val="13"/>
  </w:num>
  <w:num w:numId="24" w16cid:durableId="1150365060">
    <w:abstractNumId w:val="21"/>
  </w:num>
  <w:num w:numId="25" w16cid:durableId="742144112">
    <w:abstractNumId w:val="21"/>
  </w:num>
  <w:num w:numId="26" w16cid:durableId="1117066631">
    <w:abstractNumId w:val="21"/>
  </w:num>
  <w:num w:numId="27" w16cid:durableId="1162624613">
    <w:abstractNumId w:val="18"/>
  </w:num>
  <w:num w:numId="28" w16cid:durableId="977537254">
    <w:abstractNumId w:val="11"/>
  </w:num>
  <w:num w:numId="29" w16cid:durableId="1131947919">
    <w:abstractNumId w:val="16"/>
  </w:num>
  <w:num w:numId="30" w16cid:durableId="1655716864">
    <w:abstractNumId w:val="21"/>
  </w:num>
  <w:num w:numId="31" w16cid:durableId="3904718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9818360">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E4F"/>
    <w:rsid w:val="0000019C"/>
    <w:rsid w:val="000002CC"/>
    <w:rsid w:val="000003EA"/>
    <w:rsid w:val="000008F3"/>
    <w:rsid w:val="00000A1E"/>
    <w:rsid w:val="00000AFF"/>
    <w:rsid w:val="00000BBE"/>
    <w:rsid w:val="00000CD4"/>
    <w:rsid w:val="00000D4A"/>
    <w:rsid w:val="00000D71"/>
    <w:rsid w:val="0000103B"/>
    <w:rsid w:val="000010E6"/>
    <w:rsid w:val="00001224"/>
    <w:rsid w:val="000012C5"/>
    <w:rsid w:val="00001314"/>
    <w:rsid w:val="00001548"/>
    <w:rsid w:val="0000157C"/>
    <w:rsid w:val="00001830"/>
    <w:rsid w:val="000019B3"/>
    <w:rsid w:val="00001C43"/>
    <w:rsid w:val="00001DEE"/>
    <w:rsid w:val="00002228"/>
    <w:rsid w:val="000024BB"/>
    <w:rsid w:val="000024EA"/>
    <w:rsid w:val="000025D9"/>
    <w:rsid w:val="000028BD"/>
    <w:rsid w:val="00002988"/>
    <w:rsid w:val="00002A8E"/>
    <w:rsid w:val="00002DEB"/>
    <w:rsid w:val="00002F09"/>
    <w:rsid w:val="0000302E"/>
    <w:rsid w:val="00003431"/>
    <w:rsid w:val="000034FD"/>
    <w:rsid w:val="0000376B"/>
    <w:rsid w:val="000037C2"/>
    <w:rsid w:val="00003857"/>
    <w:rsid w:val="00003903"/>
    <w:rsid w:val="00003AB3"/>
    <w:rsid w:val="00003C16"/>
    <w:rsid w:val="00003CD7"/>
    <w:rsid w:val="00003E72"/>
    <w:rsid w:val="000042A0"/>
    <w:rsid w:val="00004494"/>
    <w:rsid w:val="0000454F"/>
    <w:rsid w:val="000046FE"/>
    <w:rsid w:val="000048E0"/>
    <w:rsid w:val="00005037"/>
    <w:rsid w:val="00005061"/>
    <w:rsid w:val="000051CE"/>
    <w:rsid w:val="00005256"/>
    <w:rsid w:val="000054B6"/>
    <w:rsid w:val="00005880"/>
    <w:rsid w:val="00005C40"/>
    <w:rsid w:val="00005E27"/>
    <w:rsid w:val="00005E84"/>
    <w:rsid w:val="00005EA2"/>
    <w:rsid w:val="00005EC6"/>
    <w:rsid w:val="00005EC8"/>
    <w:rsid w:val="00005F85"/>
    <w:rsid w:val="0000609A"/>
    <w:rsid w:val="0000612C"/>
    <w:rsid w:val="0000613B"/>
    <w:rsid w:val="0000668B"/>
    <w:rsid w:val="00006BE5"/>
    <w:rsid w:val="00006C8D"/>
    <w:rsid w:val="00006D1F"/>
    <w:rsid w:val="00006E76"/>
    <w:rsid w:val="00007567"/>
    <w:rsid w:val="000076CF"/>
    <w:rsid w:val="00007762"/>
    <w:rsid w:val="000077F5"/>
    <w:rsid w:val="00007944"/>
    <w:rsid w:val="00007C33"/>
    <w:rsid w:val="00007CFC"/>
    <w:rsid w:val="00007E14"/>
    <w:rsid w:val="00010031"/>
    <w:rsid w:val="00010170"/>
    <w:rsid w:val="0001036E"/>
    <w:rsid w:val="000103C1"/>
    <w:rsid w:val="00010512"/>
    <w:rsid w:val="0001066E"/>
    <w:rsid w:val="0001094F"/>
    <w:rsid w:val="000109A3"/>
    <w:rsid w:val="00010A3F"/>
    <w:rsid w:val="00010F46"/>
    <w:rsid w:val="00010FEA"/>
    <w:rsid w:val="000111FB"/>
    <w:rsid w:val="00011549"/>
    <w:rsid w:val="000116CA"/>
    <w:rsid w:val="00011769"/>
    <w:rsid w:val="0001191D"/>
    <w:rsid w:val="00011936"/>
    <w:rsid w:val="00011C1F"/>
    <w:rsid w:val="00011C9A"/>
    <w:rsid w:val="00011CA4"/>
    <w:rsid w:val="00011CFB"/>
    <w:rsid w:val="00011D2D"/>
    <w:rsid w:val="000123D1"/>
    <w:rsid w:val="00012854"/>
    <w:rsid w:val="00012928"/>
    <w:rsid w:val="00012938"/>
    <w:rsid w:val="00013197"/>
    <w:rsid w:val="0001319A"/>
    <w:rsid w:val="00013548"/>
    <w:rsid w:val="0001369A"/>
    <w:rsid w:val="000137CB"/>
    <w:rsid w:val="00013805"/>
    <w:rsid w:val="00013897"/>
    <w:rsid w:val="000138D0"/>
    <w:rsid w:val="00013A48"/>
    <w:rsid w:val="00013B63"/>
    <w:rsid w:val="00013BB3"/>
    <w:rsid w:val="00013C3E"/>
    <w:rsid w:val="00013C91"/>
    <w:rsid w:val="00013E4F"/>
    <w:rsid w:val="000141E3"/>
    <w:rsid w:val="00014912"/>
    <w:rsid w:val="00014AAB"/>
    <w:rsid w:val="00014B18"/>
    <w:rsid w:val="00014C04"/>
    <w:rsid w:val="0001563A"/>
    <w:rsid w:val="00015AC2"/>
    <w:rsid w:val="00015C47"/>
    <w:rsid w:val="00016024"/>
    <w:rsid w:val="0001603C"/>
    <w:rsid w:val="000163E5"/>
    <w:rsid w:val="000163E6"/>
    <w:rsid w:val="0001645B"/>
    <w:rsid w:val="00016610"/>
    <w:rsid w:val="000166A6"/>
    <w:rsid w:val="000166D5"/>
    <w:rsid w:val="00016807"/>
    <w:rsid w:val="0001684A"/>
    <w:rsid w:val="000169F3"/>
    <w:rsid w:val="00016B19"/>
    <w:rsid w:val="00016EE6"/>
    <w:rsid w:val="00017006"/>
    <w:rsid w:val="00017309"/>
    <w:rsid w:val="00017405"/>
    <w:rsid w:val="0001744C"/>
    <w:rsid w:val="000175F6"/>
    <w:rsid w:val="00017720"/>
    <w:rsid w:val="0001773D"/>
    <w:rsid w:val="000177A8"/>
    <w:rsid w:val="000178AC"/>
    <w:rsid w:val="00017ACD"/>
    <w:rsid w:val="00020117"/>
    <w:rsid w:val="000203A6"/>
    <w:rsid w:val="000205C8"/>
    <w:rsid w:val="000206F4"/>
    <w:rsid w:val="000208D8"/>
    <w:rsid w:val="0002099D"/>
    <w:rsid w:val="00020B7E"/>
    <w:rsid w:val="00020BE8"/>
    <w:rsid w:val="00020D67"/>
    <w:rsid w:val="00020DA3"/>
    <w:rsid w:val="00020E1C"/>
    <w:rsid w:val="00021020"/>
    <w:rsid w:val="000212C6"/>
    <w:rsid w:val="000214EF"/>
    <w:rsid w:val="000214FE"/>
    <w:rsid w:val="00021576"/>
    <w:rsid w:val="00021683"/>
    <w:rsid w:val="000217F2"/>
    <w:rsid w:val="00021807"/>
    <w:rsid w:val="00021941"/>
    <w:rsid w:val="000219FD"/>
    <w:rsid w:val="00021E0B"/>
    <w:rsid w:val="00021E6C"/>
    <w:rsid w:val="00022188"/>
    <w:rsid w:val="0002251C"/>
    <w:rsid w:val="00022608"/>
    <w:rsid w:val="0002260B"/>
    <w:rsid w:val="0002273D"/>
    <w:rsid w:val="00022F9F"/>
    <w:rsid w:val="000230ED"/>
    <w:rsid w:val="00023133"/>
    <w:rsid w:val="0002325F"/>
    <w:rsid w:val="00023354"/>
    <w:rsid w:val="000236ED"/>
    <w:rsid w:val="000237B1"/>
    <w:rsid w:val="00023821"/>
    <w:rsid w:val="000238EE"/>
    <w:rsid w:val="000238FE"/>
    <w:rsid w:val="00023CAE"/>
    <w:rsid w:val="00023DC2"/>
    <w:rsid w:val="00023DF8"/>
    <w:rsid w:val="00023E12"/>
    <w:rsid w:val="0002414C"/>
    <w:rsid w:val="00024483"/>
    <w:rsid w:val="00024987"/>
    <w:rsid w:val="000249A5"/>
    <w:rsid w:val="00024B50"/>
    <w:rsid w:val="00024CAC"/>
    <w:rsid w:val="00024F31"/>
    <w:rsid w:val="000251E2"/>
    <w:rsid w:val="00025482"/>
    <w:rsid w:val="0002575E"/>
    <w:rsid w:val="0002578C"/>
    <w:rsid w:val="00025C4B"/>
    <w:rsid w:val="00025C6D"/>
    <w:rsid w:val="00025F38"/>
    <w:rsid w:val="0002604A"/>
    <w:rsid w:val="000262DD"/>
    <w:rsid w:val="0002656E"/>
    <w:rsid w:val="000265AD"/>
    <w:rsid w:val="000265BE"/>
    <w:rsid w:val="000267BD"/>
    <w:rsid w:val="0002698B"/>
    <w:rsid w:val="00026B50"/>
    <w:rsid w:val="00027099"/>
    <w:rsid w:val="000271F7"/>
    <w:rsid w:val="000272DC"/>
    <w:rsid w:val="000272E1"/>
    <w:rsid w:val="000276E7"/>
    <w:rsid w:val="000277A0"/>
    <w:rsid w:val="000277BF"/>
    <w:rsid w:val="0002799E"/>
    <w:rsid w:val="00027EA6"/>
    <w:rsid w:val="0003004D"/>
    <w:rsid w:val="000300E3"/>
    <w:rsid w:val="00030303"/>
    <w:rsid w:val="000304BB"/>
    <w:rsid w:val="00030512"/>
    <w:rsid w:val="0003058E"/>
    <w:rsid w:val="000305D3"/>
    <w:rsid w:val="0003062F"/>
    <w:rsid w:val="00030826"/>
    <w:rsid w:val="00030B69"/>
    <w:rsid w:val="00030F47"/>
    <w:rsid w:val="000311BD"/>
    <w:rsid w:val="000312C6"/>
    <w:rsid w:val="00031569"/>
    <w:rsid w:val="000315A6"/>
    <w:rsid w:val="00031891"/>
    <w:rsid w:val="00031A76"/>
    <w:rsid w:val="00031B0F"/>
    <w:rsid w:val="00031D32"/>
    <w:rsid w:val="00031DF5"/>
    <w:rsid w:val="000323B9"/>
    <w:rsid w:val="00032448"/>
    <w:rsid w:val="00032452"/>
    <w:rsid w:val="000329E4"/>
    <w:rsid w:val="00032C9B"/>
    <w:rsid w:val="00032E3B"/>
    <w:rsid w:val="00033044"/>
    <w:rsid w:val="00033427"/>
    <w:rsid w:val="0003373B"/>
    <w:rsid w:val="000337A0"/>
    <w:rsid w:val="00033970"/>
    <w:rsid w:val="00033A5C"/>
    <w:rsid w:val="00033AA0"/>
    <w:rsid w:val="00033C57"/>
    <w:rsid w:val="00033D2C"/>
    <w:rsid w:val="0003483C"/>
    <w:rsid w:val="00034C42"/>
    <w:rsid w:val="0003532B"/>
    <w:rsid w:val="000353AE"/>
    <w:rsid w:val="000355B4"/>
    <w:rsid w:val="000359A7"/>
    <w:rsid w:val="00035A3B"/>
    <w:rsid w:val="00035B27"/>
    <w:rsid w:val="00035B3E"/>
    <w:rsid w:val="00035C58"/>
    <w:rsid w:val="00035D63"/>
    <w:rsid w:val="00035DC7"/>
    <w:rsid w:val="00035F1D"/>
    <w:rsid w:val="00036220"/>
    <w:rsid w:val="00036231"/>
    <w:rsid w:val="00036295"/>
    <w:rsid w:val="0003629D"/>
    <w:rsid w:val="00036370"/>
    <w:rsid w:val="000365D2"/>
    <w:rsid w:val="00036676"/>
    <w:rsid w:val="00036742"/>
    <w:rsid w:val="00036BDC"/>
    <w:rsid w:val="00036DB6"/>
    <w:rsid w:val="00036DF9"/>
    <w:rsid w:val="00036E35"/>
    <w:rsid w:val="00036EC9"/>
    <w:rsid w:val="00036F4B"/>
    <w:rsid w:val="00037017"/>
    <w:rsid w:val="0003767C"/>
    <w:rsid w:val="000376FB"/>
    <w:rsid w:val="00037862"/>
    <w:rsid w:val="00037C15"/>
    <w:rsid w:val="00037C2C"/>
    <w:rsid w:val="00037D85"/>
    <w:rsid w:val="00037EE8"/>
    <w:rsid w:val="000402A5"/>
    <w:rsid w:val="00040840"/>
    <w:rsid w:val="00040C0A"/>
    <w:rsid w:val="00040C5C"/>
    <w:rsid w:val="0004112D"/>
    <w:rsid w:val="000418A9"/>
    <w:rsid w:val="00041EDE"/>
    <w:rsid w:val="00041F26"/>
    <w:rsid w:val="00041F78"/>
    <w:rsid w:val="00042229"/>
    <w:rsid w:val="0004294B"/>
    <w:rsid w:val="00042A54"/>
    <w:rsid w:val="00042B10"/>
    <w:rsid w:val="00042B6E"/>
    <w:rsid w:val="00042E0A"/>
    <w:rsid w:val="00042FBC"/>
    <w:rsid w:val="0004353A"/>
    <w:rsid w:val="00043CA8"/>
    <w:rsid w:val="00043E4D"/>
    <w:rsid w:val="00044387"/>
    <w:rsid w:val="00044506"/>
    <w:rsid w:val="00044521"/>
    <w:rsid w:val="00044803"/>
    <w:rsid w:val="00044836"/>
    <w:rsid w:val="0004486A"/>
    <w:rsid w:val="00044D18"/>
    <w:rsid w:val="00044EBA"/>
    <w:rsid w:val="00044ECA"/>
    <w:rsid w:val="00044ED4"/>
    <w:rsid w:val="00044F15"/>
    <w:rsid w:val="0004507B"/>
    <w:rsid w:val="0004520F"/>
    <w:rsid w:val="000454D3"/>
    <w:rsid w:val="000456BA"/>
    <w:rsid w:val="000457A3"/>
    <w:rsid w:val="00045817"/>
    <w:rsid w:val="0004582E"/>
    <w:rsid w:val="00045911"/>
    <w:rsid w:val="00045B63"/>
    <w:rsid w:val="00046338"/>
    <w:rsid w:val="000463CB"/>
    <w:rsid w:val="00046611"/>
    <w:rsid w:val="00046B52"/>
    <w:rsid w:val="00046C77"/>
    <w:rsid w:val="00046DD0"/>
    <w:rsid w:val="00046E20"/>
    <w:rsid w:val="00047314"/>
    <w:rsid w:val="00047361"/>
    <w:rsid w:val="00047397"/>
    <w:rsid w:val="000478E7"/>
    <w:rsid w:val="00047EFE"/>
    <w:rsid w:val="00047F89"/>
    <w:rsid w:val="00050551"/>
    <w:rsid w:val="000506FA"/>
    <w:rsid w:val="000507C7"/>
    <w:rsid w:val="00050960"/>
    <w:rsid w:val="00050AF7"/>
    <w:rsid w:val="00050B3D"/>
    <w:rsid w:val="00050C2E"/>
    <w:rsid w:val="00050C67"/>
    <w:rsid w:val="00050C7A"/>
    <w:rsid w:val="00050CA0"/>
    <w:rsid w:val="00050DB3"/>
    <w:rsid w:val="00050E5F"/>
    <w:rsid w:val="00050EE5"/>
    <w:rsid w:val="00051045"/>
    <w:rsid w:val="000510E6"/>
    <w:rsid w:val="000512DA"/>
    <w:rsid w:val="000515FD"/>
    <w:rsid w:val="00051830"/>
    <w:rsid w:val="00051F84"/>
    <w:rsid w:val="00051F95"/>
    <w:rsid w:val="00052035"/>
    <w:rsid w:val="000522BE"/>
    <w:rsid w:val="00052466"/>
    <w:rsid w:val="000524C4"/>
    <w:rsid w:val="000528AF"/>
    <w:rsid w:val="00052B62"/>
    <w:rsid w:val="00052CED"/>
    <w:rsid w:val="00052FA0"/>
    <w:rsid w:val="00053371"/>
    <w:rsid w:val="00053485"/>
    <w:rsid w:val="00053556"/>
    <w:rsid w:val="00053633"/>
    <w:rsid w:val="000537FD"/>
    <w:rsid w:val="000538C7"/>
    <w:rsid w:val="000539D4"/>
    <w:rsid w:val="00053A27"/>
    <w:rsid w:val="00053A3A"/>
    <w:rsid w:val="00053B66"/>
    <w:rsid w:val="00053C30"/>
    <w:rsid w:val="00053DA6"/>
    <w:rsid w:val="00054046"/>
    <w:rsid w:val="00054205"/>
    <w:rsid w:val="00054328"/>
    <w:rsid w:val="000544D0"/>
    <w:rsid w:val="000544DE"/>
    <w:rsid w:val="0005456A"/>
    <w:rsid w:val="00054A39"/>
    <w:rsid w:val="00054B19"/>
    <w:rsid w:val="00054EE7"/>
    <w:rsid w:val="00054FA9"/>
    <w:rsid w:val="00055039"/>
    <w:rsid w:val="00055075"/>
    <w:rsid w:val="00055076"/>
    <w:rsid w:val="0005525F"/>
    <w:rsid w:val="00055380"/>
    <w:rsid w:val="000555D2"/>
    <w:rsid w:val="00055676"/>
    <w:rsid w:val="000557B0"/>
    <w:rsid w:val="000558BC"/>
    <w:rsid w:val="00055A51"/>
    <w:rsid w:val="00055C49"/>
    <w:rsid w:val="00055D3C"/>
    <w:rsid w:val="00055D69"/>
    <w:rsid w:val="000560ED"/>
    <w:rsid w:val="00056149"/>
    <w:rsid w:val="000565D8"/>
    <w:rsid w:val="00056660"/>
    <w:rsid w:val="000566E0"/>
    <w:rsid w:val="00056726"/>
    <w:rsid w:val="0005692C"/>
    <w:rsid w:val="00056B73"/>
    <w:rsid w:val="00056B79"/>
    <w:rsid w:val="00056C10"/>
    <w:rsid w:val="00056C64"/>
    <w:rsid w:val="00056D69"/>
    <w:rsid w:val="00056D6E"/>
    <w:rsid w:val="00056E78"/>
    <w:rsid w:val="00056EB4"/>
    <w:rsid w:val="00056FC8"/>
    <w:rsid w:val="00057072"/>
    <w:rsid w:val="00057238"/>
    <w:rsid w:val="00057345"/>
    <w:rsid w:val="000573AD"/>
    <w:rsid w:val="00057478"/>
    <w:rsid w:val="0005751C"/>
    <w:rsid w:val="00057552"/>
    <w:rsid w:val="000575AC"/>
    <w:rsid w:val="000576E6"/>
    <w:rsid w:val="00057802"/>
    <w:rsid w:val="00057AF8"/>
    <w:rsid w:val="00057B45"/>
    <w:rsid w:val="00057BB3"/>
    <w:rsid w:val="00057D3A"/>
    <w:rsid w:val="00057E4B"/>
    <w:rsid w:val="0006019F"/>
    <w:rsid w:val="0006035A"/>
    <w:rsid w:val="00060904"/>
    <w:rsid w:val="000610FE"/>
    <w:rsid w:val="00061106"/>
    <w:rsid w:val="00061177"/>
    <w:rsid w:val="00061223"/>
    <w:rsid w:val="0006129B"/>
    <w:rsid w:val="000613C0"/>
    <w:rsid w:val="00061469"/>
    <w:rsid w:val="00061908"/>
    <w:rsid w:val="00061998"/>
    <w:rsid w:val="00061E36"/>
    <w:rsid w:val="00061FB1"/>
    <w:rsid w:val="00062080"/>
    <w:rsid w:val="000620A5"/>
    <w:rsid w:val="0006244C"/>
    <w:rsid w:val="00062688"/>
    <w:rsid w:val="000628A3"/>
    <w:rsid w:val="00062ED6"/>
    <w:rsid w:val="0006330A"/>
    <w:rsid w:val="0006334E"/>
    <w:rsid w:val="00063380"/>
    <w:rsid w:val="00063383"/>
    <w:rsid w:val="000634F7"/>
    <w:rsid w:val="000635A3"/>
    <w:rsid w:val="00063775"/>
    <w:rsid w:val="00063AC0"/>
    <w:rsid w:val="00063B5D"/>
    <w:rsid w:val="00063D20"/>
    <w:rsid w:val="00063E38"/>
    <w:rsid w:val="00063E4A"/>
    <w:rsid w:val="00063EAC"/>
    <w:rsid w:val="00063EF0"/>
    <w:rsid w:val="00064515"/>
    <w:rsid w:val="00064630"/>
    <w:rsid w:val="000649DF"/>
    <w:rsid w:val="00064AC8"/>
    <w:rsid w:val="00064C00"/>
    <w:rsid w:val="00064FB3"/>
    <w:rsid w:val="00065176"/>
    <w:rsid w:val="000651D0"/>
    <w:rsid w:val="00065576"/>
    <w:rsid w:val="000657AD"/>
    <w:rsid w:val="00066235"/>
    <w:rsid w:val="00066292"/>
    <w:rsid w:val="000663A9"/>
    <w:rsid w:val="000663BB"/>
    <w:rsid w:val="000665DC"/>
    <w:rsid w:val="00066A41"/>
    <w:rsid w:val="00067138"/>
    <w:rsid w:val="00067289"/>
    <w:rsid w:val="00067460"/>
    <w:rsid w:val="0006788A"/>
    <w:rsid w:val="00067AC8"/>
    <w:rsid w:val="00067C0A"/>
    <w:rsid w:val="00067E27"/>
    <w:rsid w:val="00067E7E"/>
    <w:rsid w:val="00067F0C"/>
    <w:rsid w:val="00067F1B"/>
    <w:rsid w:val="00070009"/>
    <w:rsid w:val="0007007F"/>
    <w:rsid w:val="0007009F"/>
    <w:rsid w:val="000704FF"/>
    <w:rsid w:val="0007075C"/>
    <w:rsid w:val="00070771"/>
    <w:rsid w:val="00070864"/>
    <w:rsid w:val="00070877"/>
    <w:rsid w:val="00070880"/>
    <w:rsid w:val="00070899"/>
    <w:rsid w:val="0007098A"/>
    <w:rsid w:val="00070BC6"/>
    <w:rsid w:val="00070CF7"/>
    <w:rsid w:val="00070E88"/>
    <w:rsid w:val="00070F3F"/>
    <w:rsid w:val="00071135"/>
    <w:rsid w:val="00071155"/>
    <w:rsid w:val="00071262"/>
    <w:rsid w:val="00071382"/>
    <w:rsid w:val="00071638"/>
    <w:rsid w:val="000716C7"/>
    <w:rsid w:val="0007173D"/>
    <w:rsid w:val="000718C4"/>
    <w:rsid w:val="00071E90"/>
    <w:rsid w:val="00071F8F"/>
    <w:rsid w:val="00072094"/>
    <w:rsid w:val="0007211A"/>
    <w:rsid w:val="000727C5"/>
    <w:rsid w:val="0007296A"/>
    <w:rsid w:val="00072B1D"/>
    <w:rsid w:val="00072B28"/>
    <w:rsid w:val="00072C37"/>
    <w:rsid w:val="00073129"/>
    <w:rsid w:val="000733B2"/>
    <w:rsid w:val="000734E2"/>
    <w:rsid w:val="00073591"/>
    <w:rsid w:val="0007387A"/>
    <w:rsid w:val="00073CA0"/>
    <w:rsid w:val="00074247"/>
    <w:rsid w:val="00074353"/>
    <w:rsid w:val="00074509"/>
    <w:rsid w:val="000746D9"/>
    <w:rsid w:val="00074732"/>
    <w:rsid w:val="00074779"/>
    <w:rsid w:val="00074780"/>
    <w:rsid w:val="000747E0"/>
    <w:rsid w:val="000747EC"/>
    <w:rsid w:val="00074935"/>
    <w:rsid w:val="00074D7D"/>
    <w:rsid w:val="00074DED"/>
    <w:rsid w:val="000751BC"/>
    <w:rsid w:val="000752D0"/>
    <w:rsid w:val="000752DB"/>
    <w:rsid w:val="000752F6"/>
    <w:rsid w:val="0007533B"/>
    <w:rsid w:val="00075368"/>
    <w:rsid w:val="000755AC"/>
    <w:rsid w:val="000755E7"/>
    <w:rsid w:val="00075600"/>
    <w:rsid w:val="0007577D"/>
    <w:rsid w:val="00075908"/>
    <w:rsid w:val="00075B55"/>
    <w:rsid w:val="00075BA5"/>
    <w:rsid w:val="00075F8B"/>
    <w:rsid w:val="00076461"/>
    <w:rsid w:val="00076DB7"/>
    <w:rsid w:val="00076EC9"/>
    <w:rsid w:val="00076FA9"/>
    <w:rsid w:val="00076FB8"/>
    <w:rsid w:val="00076FCF"/>
    <w:rsid w:val="000770A4"/>
    <w:rsid w:val="000770F9"/>
    <w:rsid w:val="000772D5"/>
    <w:rsid w:val="0007732A"/>
    <w:rsid w:val="0007745D"/>
    <w:rsid w:val="000774CB"/>
    <w:rsid w:val="00077862"/>
    <w:rsid w:val="00077980"/>
    <w:rsid w:val="00077A0F"/>
    <w:rsid w:val="00077BBC"/>
    <w:rsid w:val="00077C5E"/>
    <w:rsid w:val="00077D43"/>
    <w:rsid w:val="00077E0F"/>
    <w:rsid w:val="00077E46"/>
    <w:rsid w:val="00080022"/>
    <w:rsid w:val="000806B0"/>
    <w:rsid w:val="00080C9E"/>
    <w:rsid w:val="000811D1"/>
    <w:rsid w:val="0008129A"/>
    <w:rsid w:val="000813E3"/>
    <w:rsid w:val="00081740"/>
    <w:rsid w:val="00081854"/>
    <w:rsid w:val="00081AB0"/>
    <w:rsid w:val="00081F56"/>
    <w:rsid w:val="00081F99"/>
    <w:rsid w:val="0008206A"/>
    <w:rsid w:val="0008206E"/>
    <w:rsid w:val="000823C0"/>
    <w:rsid w:val="00082526"/>
    <w:rsid w:val="00082557"/>
    <w:rsid w:val="00082583"/>
    <w:rsid w:val="000825B6"/>
    <w:rsid w:val="00082712"/>
    <w:rsid w:val="00082742"/>
    <w:rsid w:val="00082AF7"/>
    <w:rsid w:val="00082D0D"/>
    <w:rsid w:val="00082DC2"/>
    <w:rsid w:val="00082DE0"/>
    <w:rsid w:val="00082EF1"/>
    <w:rsid w:val="00083391"/>
    <w:rsid w:val="000834B9"/>
    <w:rsid w:val="000834CD"/>
    <w:rsid w:val="0008361F"/>
    <w:rsid w:val="00083729"/>
    <w:rsid w:val="00083761"/>
    <w:rsid w:val="000838AE"/>
    <w:rsid w:val="00083AA0"/>
    <w:rsid w:val="00083B30"/>
    <w:rsid w:val="00083CDF"/>
    <w:rsid w:val="00083F86"/>
    <w:rsid w:val="0008432C"/>
    <w:rsid w:val="0008444B"/>
    <w:rsid w:val="00084562"/>
    <w:rsid w:val="0008478A"/>
    <w:rsid w:val="000849CD"/>
    <w:rsid w:val="00084BF0"/>
    <w:rsid w:val="00084FC9"/>
    <w:rsid w:val="00085235"/>
    <w:rsid w:val="0008559B"/>
    <w:rsid w:val="000855F8"/>
    <w:rsid w:val="00085651"/>
    <w:rsid w:val="000856D9"/>
    <w:rsid w:val="000859A5"/>
    <w:rsid w:val="00085A69"/>
    <w:rsid w:val="00085B6D"/>
    <w:rsid w:val="00085B7E"/>
    <w:rsid w:val="00085D3A"/>
    <w:rsid w:val="00085DD1"/>
    <w:rsid w:val="00085F68"/>
    <w:rsid w:val="00086500"/>
    <w:rsid w:val="000868E4"/>
    <w:rsid w:val="0008694E"/>
    <w:rsid w:val="00086BD9"/>
    <w:rsid w:val="00086CF4"/>
    <w:rsid w:val="00086D44"/>
    <w:rsid w:val="00086F07"/>
    <w:rsid w:val="00086FC4"/>
    <w:rsid w:val="0008717F"/>
    <w:rsid w:val="000873F0"/>
    <w:rsid w:val="00087466"/>
    <w:rsid w:val="0008758E"/>
    <w:rsid w:val="000876CC"/>
    <w:rsid w:val="000877D7"/>
    <w:rsid w:val="00087B02"/>
    <w:rsid w:val="00087C06"/>
    <w:rsid w:val="00087CE1"/>
    <w:rsid w:val="00087F23"/>
    <w:rsid w:val="00087F38"/>
    <w:rsid w:val="000901AF"/>
    <w:rsid w:val="000903A7"/>
    <w:rsid w:val="00090C6A"/>
    <w:rsid w:val="00090F2A"/>
    <w:rsid w:val="00090F70"/>
    <w:rsid w:val="0009101A"/>
    <w:rsid w:val="00091239"/>
    <w:rsid w:val="0009173A"/>
    <w:rsid w:val="00091886"/>
    <w:rsid w:val="000918BD"/>
    <w:rsid w:val="00091947"/>
    <w:rsid w:val="0009196F"/>
    <w:rsid w:val="00091A3C"/>
    <w:rsid w:val="00091D51"/>
    <w:rsid w:val="0009204D"/>
    <w:rsid w:val="0009219C"/>
    <w:rsid w:val="000922F7"/>
    <w:rsid w:val="000927EF"/>
    <w:rsid w:val="00092961"/>
    <w:rsid w:val="00092B0B"/>
    <w:rsid w:val="00092B59"/>
    <w:rsid w:val="00092CD7"/>
    <w:rsid w:val="00092D2B"/>
    <w:rsid w:val="000930A7"/>
    <w:rsid w:val="000930B4"/>
    <w:rsid w:val="000934AC"/>
    <w:rsid w:val="00093739"/>
    <w:rsid w:val="00093905"/>
    <w:rsid w:val="00093930"/>
    <w:rsid w:val="00093A8F"/>
    <w:rsid w:val="00093C71"/>
    <w:rsid w:val="00093E98"/>
    <w:rsid w:val="00094009"/>
    <w:rsid w:val="000940C7"/>
    <w:rsid w:val="0009416D"/>
    <w:rsid w:val="00094480"/>
    <w:rsid w:val="00094503"/>
    <w:rsid w:val="00094867"/>
    <w:rsid w:val="00094B60"/>
    <w:rsid w:val="00094BD8"/>
    <w:rsid w:val="00094DB3"/>
    <w:rsid w:val="00095002"/>
    <w:rsid w:val="00095A08"/>
    <w:rsid w:val="00095B26"/>
    <w:rsid w:val="00095F22"/>
    <w:rsid w:val="0009621B"/>
    <w:rsid w:val="0009655B"/>
    <w:rsid w:val="000966B8"/>
    <w:rsid w:val="000967D1"/>
    <w:rsid w:val="000969C0"/>
    <w:rsid w:val="00096BCE"/>
    <w:rsid w:val="00096BD9"/>
    <w:rsid w:val="00096EEA"/>
    <w:rsid w:val="0009708D"/>
    <w:rsid w:val="0009711A"/>
    <w:rsid w:val="00097280"/>
    <w:rsid w:val="00097407"/>
    <w:rsid w:val="000974A8"/>
    <w:rsid w:val="00097541"/>
    <w:rsid w:val="000976B8"/>
    <w:rsid w:val="000978FB"/>
    <w:rsid w:val="00097A9D"/>
    <w:rsid w:val="000A014E"/>
    <w:rsid w:val="000A0173"/>
    <w:rsid w:val="000A01FE"/>
    <w:rsid w:val="000A0278"/>
    <w:rsid w:val="000A03F6"/>
    <w:rsid w:val="000A043B"/>
    <w:rsid w:val="000A047D"/>
    <w:rsid w:val="000A04BF"/>
    <w:rsid w:val="000A0570"/>
    <w:rsid w:val="000A05B3"/>
    <w:rsid w:val="000A083E"/>
    <w:rsid w:val="000A0AF5"/>
    <w:rsid w:val="000A0B03"/>
    <w:rsid w:val="000A0C64"/>
    <w:rsid w:val="000A0C99"/>
    <w:rsid w:val="000A0CD5"/>
    <w:rsid w:val="000A0DBD"/>
    <w:rsid w:val="000A0F77"/>
    <w:rsid w:val="000A117C"/>
    <w:rsid w:val="000A11A1"/>
    <w:rsid w:val="000A14A9"/>
    <w:rsid w:val="000A1760"/>
    <w:rsid w:val="000A1986"/>
    <w:rsid w:val="000A1AFE"/>
    <w:rsid w:val="000A1DCC"/>
    <w:rsid w:val="000A1E09"/>
    <w:rsid w:val="000A1ED6"/>
    <w:rsid w:val="000A229D"/>
    <w:rsid w:val="000A2A4F"/>
    <w:rsid w:val="000A2B46"/>
    <w:rsid w:val="000A2E27"/>
    <w:rsid w:val="000A30F0"/>
    <w:rsid w:val="000A3140"/>
    <w:rsid w:val="000A3316"/>
    <w:rsid w:val="000A344F"/>
    <w:rsid w:val="000A3510"/>
    <w:rsid w:val="000A3729"/>
    <w:rsid w:val="000A3772"/>
    <w:rsid w:val="000A38EB"/>
    <w:rsid w:val="000A3B9F"/>
    <w:rsid w:val="000A3E1B"/>
    <w:rsid w:val="000A4293"/>
    <w:rsid w:val="000A42A7"/>
    <w:rsid w:val="000A431F"/>
    <w:rsid w:val="000A43CB"/>
    <w:rsid w:val="000A4410"/>
    <w:rsid w:val="000A4674"/>
    <w:rsid w:val="000A483B"/>
    <w:rsid w:val="000A48DC"/>
    <w:rsid w:val="000A4B31"/>
    <w:rsid w:val="000A4C10"/>
    <w:rsid w:val="000A4CF5"/>
    <w:rsid w:val="000A535F"/>
    <w:rsid w:val="000A5E6E"/>
    <w:rsid w:val="000A5F64"/>
    <w:rsid w:val="000A6641"/>
    <w:rsid w:val="000A6751"/>
    <w:rsid w:val="000A6973"/>
    <w:rsid w:val="000A7399"/>
    <w:rsid w:val="000A7456"/>
    <w:rsid w:val="000A760D"/>
    <w:rsid w:val="000A762D"/>
    <w:rsid w:val="000A772B"/>
    <w:rsid w:val="000A7933"/>
    <w:rsid w:val="000A7B02"/>
    <w:rsid w:val="000A7BD3"/>
    <w:rsid w:val="000B0560"/>
    <w:rsid w:val="000B0682"/>
    <w:rsid w:val="000B071A"/>
    <w:rsid w:val="000B0720"/>
    <w:rsid w:val="000B09B7"/>
    <w:rsid w:val="000B0E2D"/>
    <w:rsid w:val="000B0E9E"/>
    <w:rsid w:val="000B119F"/>
    <w:rsid w:val="000B135A"/>
    <w:rsid w:val="000B13B3"/>
    <w:rsid w:val="000B1707"/>
    <w:rsid w:val="000B1735"/>
    <w:rsid w:val="000B17F5"/>
    <w:rsid w:val="000B181D"/>
    <w:rsid w:val="000B186B"/>
    <w:rsid w:val="000B1BC4"/>
    <w:rsid w:val="000B1E4D"/>
    <w:rsid w:val="000B2194"/>
    <w:rsid w:val="000B25F0"/>
    <w:rsid w:val="000B263F"/>
    <w:rsid w:val="000B28A2"/>
    <w:rsid w:val="000B29AA"/>
    <w:rsid w:val="000B2B0A"/>
    <w:rsid w:val="000B2B47"/>
    <w:rsid w:val="000B2BFF"/>
    <w:rsid w:val="000B2D8F"/>
    <w:rsid w:val="000B30A4"/>
    <w:rsid w:val="000B3110"/>
    <w:rsid w:val="000B319C"/>
    <w:rsid w:val="000B35CE"/>
    <w:rsid w:val="000B3616"/>
    <w:rsid w:val="000B3643"/>
    <w:rsid w:val="000B36C5"/>
    <w:rsid w:val="000B383F"/>
    <w:rsid w:val="000B387B"/>
    <w:rsid w:val="000B38A9"/>
    <w:rsid w:val="000B393B"/>
    <w:rsid w:val="000B3B3B"/>
    <w:rsid w:val="000B3D61"/>
    <w:rsid w:val="000B3D6E"/>
    <w:rsid w:val="000B3E1B"/>
    <w:rsid w:val="000B4055"/>
    <w:rsid w:val="000B40F6"/>
    <w:rsid w:val="000B4225"/>
    <w:rsid w:val="000B422D"/>
    <w:rsid w:val="000B43D4"/>
    <w:rsid w:val="000B44DA"/>
    <w:rsid w:val="000B464D"/>
    <w:rsid w:val="000B4960"/>
    <w:rsid w:val="000B4BF0"/>
    <w:rsid w:val="000B4CB8"/>
    <w:rsid w:val="000B4D20"/>
    <w:rsid w:val="000B4D2B"/>
    <w:rsid w:val="000B4DB5"/>
    <w:rsid w:val="000B4DFF"/>
    <w:rsid w:val="000B51B1"/>
    <w:rsid w:val="000B54A1"/>
    <w:rsid w:val="000B551C"/>
    <w:rsid w:val="000B56C6"/>
    <w:rsid w:val="000B599F"/>
    <w:rsid w:val="000B5B3A"/>
    <w:rsid w:val="000B5B87"/>
    <w:rsid w:val="000B5BFE"/>
    <w:rsid w:val="000B5C80"/>
    <w:rsid w:val="000B5EB8"/>
    <w:rsid w:val="000B607E"/>
    <w:rsid w:val="000B6207"/>
    <w:rsid w:val="000B6B43"/>
    <w:rsid w:val="000B6CA4"/>
    <w:rsid w:val="000B6F68"/>
    <w:rsid w:val="000B728F"/>
    <w:rsid w:val="000B7418"/>
    <w:rsid w:val="000B7459"/>
    <w:rsid w:val="000B7754"/>
    <w:rsid w:val="000B7C53"/>
    <w:rsid w:val="000B7CB2"/>
    <w:rsid w:val="000B7D05"/>
    <w:rsid w:val="000C0088"/>
    <w:rsid w:val="000C00D0"/>
    <w:rsid w:val="000C0253"/>
    <w:rsid w:val="000C0484"/>
    <w:rsid w:val="000C08D2"/>
    <w:rsid w:val="000C0954"/>
    <w:rsid w:val="000C0A69"/>
    <w:rsid w:val="000C10A2"/>
    <w:rsid w:val="000C10D5"/>
    <w:rsid w:val="000C10F3"/>
    <w:rsid w:val="000C1195"/>
    <w:rsid w:val="000C14A6"/>
    <w:rsid w:val="000C15F0"/>
    <w:rsid w:val="000C1828"/>
    <w:rsid w:val="000C1BA1"/>
    <w:rsid w:val="000C1CC7"/>
    <w:rsid w:val="000C1DF5"/>
    <w:rsid w:val="000C205F"/>
    <w:rsid w:val="000C21C9"/>
    <w:rsid w:val="000C2215"/>
    <w:rsid w:val="000C23F4"/>
    <w:rsid w:val="000C2BFF"/>
    <w:rsid w:val="000C2CCB"/>
    <w:rsid w:val="000C2E38"/>
    <w:rsid w:val="000C3491"/>
    <w:rsid w:val="000C3543"/>
    <w:rsid w:val="000C3765"/>
    <w:rsid w:val="000C3893"/>
    <w:rsid w:val="000C38EA"/>
    <w:rsid w:val="000C3B22"/>
    <w:rsid w:val="000C3B73"/>
    <w:rsid w:val="000C3E79"/>
    <w:rsid w:val="000C3E7C"/>
    <w:rsid w:val="000C3F3E"/>
    <w:rsid w:val="000C3F4F"/>
    <w:rsid w:val="000C40E2"/>
    <w:rsid w:val="000C4120"/>
    <w:rsid w:val="000C419A"/>
    <w:rsid w:val="000C4411"/>
    <w:rsid w:val="000C464A"/>
    <w:rsid w:val="000C478B"/>
    <w:rsid w:val="000C48FE"/>
    <w:rsid w:val="000C4BED"/>
    <w:rsid w:val="000C4CE3"/>
    <w:rsid w:val="000C4E10"/>
    <w:rsid w:val="000C4F66"/>
    <w:rsid w:val="000C5098"/>
    <w:rsid w:val="000C50E4"/>
    <w:rsid w:val="000C516E"/>
    <w:rsid w:val="000C533A"/>
    <w:rsid w:val="000C5428"/>
    <w:rsid w:val="000C57C1"/>
    <w:rsid w:val="000C591D"/>
    <w:rsid w:val="000C59C9"/>
    <w:rsid w:val="000C5A28"/>
    <w:rsid w:val="000C5AA5"/>
    <w:rsid w:val="000C5B3A"/>
    <w:rsid w:val="000C5B5D"/>
    <w:rsid w:val="000C5BF2"/>
    <w:rsid w:val="000C5F1F"/>
    <w:rsid w:val="000C5F22"/>
    <w:rsid w:val="000C5F52"/>
    <w:rsid w:val="000C5F9F"/>
    <w:rsid w:val="000C5FF7"/>
    <w:rsid w:val="000C60C6"/>
    <w:rsid w:val="000C61BB"/>
    <w:rsid w:val="000C624F"/>
    <w:rsid w:val="000C631B"/>
    <w:rsid w:val="000C6597"/>
    <w:rsid w:val="000C6640"/>
    <w:rsid w:val="000C68B5"/>
    <w:rsid w:val="000C6BCD"/>
    <w:rsid w:val="000C6F5E"/>
    <w:rsid w:val="000C70BD"/>
    <w:rsid w:val="000C7314"/>
    <w:rsid w:val="000C761F"/>
    <w:rsid w:val="000C7683"/>
    <w:rsid w:val="000C7BBE"/>
    <w:rsid w:val="000C7FA4"/>
    <w:rsid w:val="000C7FCA"/>
    <w:rsid w:val="000D00E2"/>
    <w:rsid w:val="000D0262"/>
    <w:rsid w:val="000D028A"/>
    <w:rsid w:val="000D04B0"/>
    <w:rsid w:val="000D05C7"/>
    <w:rsid w:val="000D0762"/>
    <w:rsid w:val="000D0786"/>
    <w:rsid w:val="000D0ADD"/>
    <w:rsid w:val="000D0AE8"/>
    <w:rsid w:val="000D0B85"/>
    <w:rsid w:val="000D0C55"/>
    <w:rsid w:val="000D115F"/>
    <w:rsid w:val="000D1318"/>
    <w:rsid w:val="000D1589"/>
    <w:rsid w:val="000D192C"/>
    <w:rsid w:val="000D1C5F"/>
    <w:rsid w:val="000D1CA0"/>
    <w:rsid w:val="000D1DE8"/>
    <w:rsid w:val="000D1EEE"/>
    <w:rsid w:val="000D1FE5"/>
    <w:rsid w:val="000D234F"/>
    <w:rsid w:val="000D23F8"/>
    <w:rsid w:val="000D25A7"/>
    <w:rsid w:val="000D2704"/>
    <w:rsid w:val="000D2804"/>
    <w:rsid w:val="000D28F5"/>
    <w:rsid w:val="000D291C"/>
    <w:rsid w:val="000D2BF8"/>
    <w:rsid w:val="000D2CB7"/>
    <w:rsid w:val="000D2DB1"/>
    <w:rsid w:val="000D2DB7"/>
    <w:rsid w:val="000D2E38"/>
    <w:rsid w:val="000D323A"/>
    <w:rsid w:val="000D330D"/>
    <w:rsid w:val="000D3357"/>
    <w:rsid w:val="000D3666"/>
    <w:rsid w:val="000D371A"/>
    <w:rsid w:val="000D37A5"/>
    <w:rsid w:val="000D37AB"/>
    <w:rsid w:val="000D3817"/>
    <w:rsid w:val="000D3883"/>
    <w:rsid w:val="000D3C63"/>
    <w:rsid w:val="000D3CF1"/>
    <w:rsid w:val="000D3DE4"/>
    <w:rsid w:val="000D3E64"/>
    <w:rsid w:val="000D3F3D"/>
    <w:rsid w:val="000D3FDE"/>
    <w:rsid w:val="000D40DE"/>
    <w:rsid w:val="000D42C4"/>
    <w:rsid w:val="000D451A"/>
    <w:rsid w:val="000D48FE"/>
    <w:rsid w:val="000D4947"/>
    <w:rsid w:val="000D49FA"/>
    <w:rsid w:val="000D4C3A"/>
    <w:rsid w:val="000D4D0B"/>
    <w:rsid w:val="000D4D62"/>
    <w:rsid w:val="000D4E15"/>
    <w:rsid w:val="000D4E60"/>
    <w:rsid w:val="000D54FD"/>
    <w:rsid w:val="000D5A66"/>
    <w:rsid w:val="000D5BD9"/>
    <w:rsid w:val="000D5C65"/>
    <w:rsid w:val="000D5DB4"/>
    <w:rsid w:val="000D5DFD"/>
    <w:rsid w:val="000D61C2"/>
    <w:rsid w:val="000D645E"/>
    <w:rsid w:val="000D654E"/>
    <w:rsid w:val="000D6654"/>
    <w:rsid w:val="000D66C4"/>
    <w:rsid w:val="000D6A81"/>
    <w:rsid w:val="000D6A94"/>
    <w:rsid w:val="000D6FCF"/>
    <w:rsid w:val="000D726D"/>
    <w:rsid w:val="000D7731"/>
    <w:rsid w:val="000D77FA"/>
    <w:rsid w:val="000D7C6C"/>
    <w:rsid w:val="000D7DAF"/>
    <w:rsid w:val="000E0063"/>
    <w:rsid w:val="000E02D7"/>
    <w:rsid w:val="000E04FD"/>
    <w:rsid w:val="000E05FA"/>
    <w:rsid w:val="000E0652"/>
    <w:rsid w:val="000E0729"/>
    <w:rsid w:val="000E0C50"/>
    <w:rsid w:val="000E0E37"/>
    <w:rsid w:val="000E113B"/>
    <w:rsid w:val="000E132A"/>
    <w:rsid w:val="000E18E4"/>
    <w:rsid w:val="000E1918"/>
    <w:rsid w:val="000E1EB9"/>
    <w:rsid w:val="000E1FF1"/>
    <w:rsid w:val="000E202F"/>
    <w:rsid w:val="000E2404"/>
    <w:rsid w:val="000E27AC"/>
    <w:rsid w:val="000E2916"/>
    <w:rsid w:val="000E2D24"/>
    <w:rsid w:val="000E2EA6"/>
    <w:rsid w:val="000E2FA1"/>
    <w:rsid w:val="000E31B5"/>
    <w:rsid w:val="000E33E8"/>
    <w:rsid w:val="000E34A2"/>
    <w:rsid w:val="000E354F"/>
    <w:rsid w:val="000E3647"/>
    <w:rsid w:val="000E3742"/>
    <w:rsid w:val="000E3773"/>
    <w:rsid w:val="000E37FB"/>
    <w:rsid w:val="000E3C25"/>
    <w:rsid w:val="000E3C5A"/>
    <w:rsid w:val="000E3CCB"/>
    <w:rsid w:val="000E4250"/>
    <w:rsid w:val="000E42EF"/>
    <w:rsid w:val="000E481C"/>
    <w:rsid w:val="000E4B32"/>
    <w:rsid w:val="000E4DE8"/>
    <w:rsid w:val="000E4EA7"/>
    <w:rsid w:val="000E5098"/>
    <w:rsid w:val="000E54A6"/>
    <w:rsid w:val="000E554A"/>
    <w:rsid w:val="000E5583"/>
    <w:rsid w:val="000E56AA"/>
    <w:rsid w:val="000E589E"/>
    <w:rsid w:val="000E5AD0"/>
    <w:rsid w:val="000E5F7D"/>
    <w:rsid w:val="000E6379"/>
    <w:rsid w:val="000E638C"/>
    <w:rsid w:val="000E6392"/>
    <w:rsid w:val="000E63E7"/>
    <w:rsid w:val="000E6626"/>
    <w:rsid w:val="000E6781"/>
    <w:rsid w:val="000E6823"/>
    <w:rsid w:val="000E69ED"/>
    <w:rsid w:val="000E6A6B"/>
    <w:rsid w:val="000E7344"/>
    <w:rsid w:val="000E7516"/>
    <w:rsid w:val="000E772B"/>
    <w:rsid w:val="000E7FB0"/>
    <w:rsid w:val="000F005F"/>
    <w:rsid w:val="000F02B9"/>
    <w:rsid w:val="000F02D9"/>
    <w:rsid w:val="000F02E5"/>
    <w:rsid w:val="000F0484"/>
    <w:rsid w:val="000F097A"/>
    <w:rsid w:val="000F0BC2"/>
    <w:rsid w:val="000F0F0C"/>
    <w:rsid w:val="000F1154"/>
    <w:rsid w:val="000F1345"/>
    <w:rsid w:val="000F1391"/>
    <w:rsid w:val="000F15A9"/>
    <w:rsid w:val="000F165C"/>
    <w:rsid w:val="000F1737"/>
    <w:rsid w:val="000F1817"/>
    <w:rsid w:val="000F1B46"/>
    <w:rsid w:val="000F1B89"/>
    <w:rsid w:val="000F1E84"/>
    <w:rsid w:val="000F2061"/>
    <w:rsid w:val="000F2704"/>
    <w:rsid w:val="000F2C89"/>
    <w:rsid w:val="000F2CEB"/>
    <w:rsid w:val="000F3065"/>
    <w:rsid w:val="000F3077"/>
    <w:rsid w:val="000F32B7"/>
    <w:rsid w:val="000F3301"/>
    <w:rsid w:val="000F33A0"/>
    <w:rsid w:val="000F33BB"/>
    <w:rsid w:val="000F345B"/>
    <w:rsid w:val="000F347D"/>
    <w:rsid w:val="000F36C6"/>
    <w:rsid w:val="000F3D5E"/>
    <w:rsid w:val="000F3D6C"/>
    <w:rsid w:val="000F3EB7"/>
    <w:rsid w:val="000F3EF1"/>
    <w:rsid w:val="000F3F37"/>
    <w:rsid w:val="000F3FA4"/>
    <w:rsid w:val="000F49C6"/>
    <w:rsid w:val="000F4CB7"/>
    <w:rsid w:val="000F4F55"/>
    <w:rsid w:val="000F5060"/>
    <w:rsid w:val="000F5202"/>
    <w:rsid w:val="000F5504"/>
    <w:rsid w:val="000F5848"/>
    <w:rsid w:val="000F594A"/>
    <w:rsid w:val="000F5BAC"/>
    <w:rsid w:val="000F5C99"/>
    <w:rsid w:val="000F5CB9"/>
    <w:rsid w:val="000F60D2"/>
    <w:rsid w:val="000F6240"/>
    <w:rsid w:val="000F630D"/>
    <w:rsid w:val="000F658D"/>
    <w:rsid w:val="000F6AB2"/>
    <w:rsid w:val="000F6C88"/>
    <w:rsid w:val="000F6D04"/>
    <w:rsid w:val="000F6D60"/>
    <w:rsid w:val="000F7074"/>
    <w:rsid w:val="000F727D"/>
    <w:rsid w:val="000F7488"/>
    <w:rsid w:val="000F7670"/>
    <w:rsid w:val="000F7A59"/>
    <w:rsid w:val="000F7DA3"/>
    <w:rsid w:val="000F7FDF"/>
    <w:rsid w:val="0010085B"/>
    <w:rsid w:val="00100A9C"/>
    <w:rsid w:val="00100BF9"/>
    <w:rsid w:val="00100DF4"/>
    <w:rsid w:val="00100E29"/>
    <w:rsid w:val="00100E31"/>
    <w:rsid w:val="00100EF7"/>
    <w:rsid w:val="0010105F"/>
    <w:rsid w:val="00101293"/>
    <w:rsid w:val="0010171E"/>
    <w:rsid w:val="001017F5"/>
    <w:rsid w:val="00101831"/>
    <w:rsid w:val="00101920"/>
    <w:rsid w:val="00101D60"/>
    <w:rsid w:val="00101DEF"/>
    <w:rsid w:val="0010212A"/>
    <w:rsid w:val="001021C6"/>
    <w:rsid w:val="00102499"/>
    <w:rsid w:val="0010271D"/>
    <w:rsid w:val="00102936"/>
    <w:rsid w:val="00102AAF"/>
    <w:rsid w:val="00102D63"/>
    <w:rsid w:val="00102DF1"/>
    <w:rsid w:val="00102F58"/>
    <w:rsid w:val="00102F73"/>
    <w:rsid w:val="00103135"/>
    <w:rsid w:val="001032BA"/>
    <w:rsid w:val="001032BD"/>
    <w:rsid w:val="001032D4"/>
    <w:rsid w:val="001033B6"/>
    <w:rsid w:val="00103479"/>
    <w:rsid w:val="00103747"/>
    <w:rsid w:val="00103750"/>
    <w:rsid w:val="00103790"/>
    <w:rsid w:val="001038DD"/>
    <w:rsid w:val="00104182"/>
    <w:rsid w:val="001042E8"/>
    <w:rsid w:val="0010440F"/>
    <w:rsid w:val="0010446C"/>
    <w:rsid w:val="00104754"/>
    <w:rsid w:val="00104967"/>
    <w:rsid w:val="00104B50"/>
    <w:rsid w:val="00104DDD"/>
    <w:rsid w:val="00104F4F"/>
    <w:rsid w:val="00104FBF"/>
    <w:rsid w:val="00105084"/>
    <w:rsid w:val="00105088"/>
    <w:rsid w:val="0010508F"/>
    <w:rsid w:val="00105130"/>
    <w:rsid w:val="0010516D"/>
    <w:rsid w:val="001053DC"/>
    <w:rsid w:val="001055B7"/>
    <w:rsid w:val="00105866"/>
    <w:rsid w:val="00105CFB"/>
    <w:rsid w:val="00105FCC"/>
    <w:rsid w:val="00106006"/>
    <w:rsid w:val="00106748"/>
    <w:rsid w:val="00106783"/>
    <w:rsid w:val="001068F5"/>
    <w:rsid w:val="0010694A"/>
    <w:rsid w:val="00106A3F"/>
    <w:rsid w:val="00106B50"/>
    <w:rsid w:val="00106D6A"/>
    <w:rsid w:val="00106E7F"/>
    <w:rsid w:val="00106F66"/>
    <w:rsid w:val="00106FF7"/>
    <w:rsid w:val="00107059"/>
    <w:rsid w:val="00107112"/>
    <w:rsid w:val="001073EA"/>
    <w:rsid w:val="00107614"/>
    <w:rsid w:val="00107B30"/>
    <w:rsid w:val="00107E6F"/>
    <w:rsid w:val="00107EAC"/>
    <w:rsid w:val="00107EF1"/>
    <w:rsid w:val="0011019D"/>
    <w:rsid w:val="0011055E"/>
    <w:rsid w:val="0011066C"/>
    <w:rsid w:val="0011076E"/>
    <w:rsid w:val="00110D98"/>
    <w:rsid w:val="00110EE8"/>
    <w:rsid w:val="00111057"/>
    <w:rsid w:val="001110BA"/>
    <w:rsid w:val="001110F8"/>
    <w:rsid w:val="001115A5"/>
    <w:rsid w:val="00111760"/>
    <w:rsid w:val="001118A2"/>
    <w:rsid w:val="00111B7F"/>
    <w:rsid w:val="00111F57"/>
    <w:rsid w:val="00112297"/>
    <w:rsid w:val="00112327"/>
    <w:rsid w:val="001125C7"/>
    <w:rsid w:val="001125DF"/>
    <w:rsid w:val="001127CB"/>
    <w:rsid w:val="00112A26"/>
    <w:rsid w:val="00112A45"/>
    <w:rsid w:val="00112B99"/>
    <w:rsid w:val="00112F56"/>
    <w:rsid w:val="001133CF"/>
    <w:rsid w:val="00113562"/>
    <w:rsid w:val="00113575"/>
    <w:rsid w:val="001135E9"/>
    <w:rsid w:val="00113850"/>
    <w:rsid w:val="00113A58"/>
    <w:rsid w:val="00114204"/>
    <w:rsid w:val="001143E0"/>
    <w:rsid w:val="00114411"/>
    <w:rsid w:val="0011453C"/>
    <w:rsid w:val="001147C6"/>
    <w:rsid w:val="00114A38"/>
    <w:rsid w:val="00114B56"/>
    <w:rsid w:val="00114BE6"/>
    <w:rsid w:val="00114F45"/>
    <w:rsid w:val="001152C6"/>
    <w:rsid w:val="001154A6"/>
    <w:rsid w:val="001154D8"/>
    <w:rsid w:val="001154F6"/>
    <w:rsid w:val="001156E9"/>
    <w:rsid w:val="001157BE"/>
    <w:rsid w:val="00115B02"/>
    <w:rsid w:val="00115D37"/>
    <w:rsid w:val="00115EA6"/>
    <w:rsid w:val="00115F1A"/>
    <w:rsid w:val="001166A9"/>
    <w:rsid w:val="00116738"/>
    <w:rsid w:val="00116AE9"/>
    <w:rsid w:val="00116C16"/>
    <w:rsid w:val="00116D84"/>
    <w:rsid w:val="00116DAF"/>
    <w:rsid w:val="00116E2C"/>
    <w:rsid w:val="00116E97"/>
    <w:rsid w:val="00116EF9"/>
    <w:rsid w:val="001170EB"/>
    <w:rsid w:val="00117138"/>
    <w:rsid w:val="0011734E"/>
    <w:rsid w:val="001173BD"/>
    <w:rsid w:val="001174A1"/>
    <w:rsid w:val="00117654"/>
    <w:rsid w:val="00117A5B"/>
    <w:rsid w:val="00117B07"/>
    <w:rsid w:val="00117F0E"/>
    <w:rsid w:val="00120106"/>
    <w:rsid w:val="001208FF"/>
    <w:rsid w:val="001209A8"/>
    <w:rsid w:val="00120AC2"/>
    <w:rsid w:val="00120D12"/>
    <w:rsid w:val="001210CB"/>
    <w:rsid w:val="001214CC"/>
    <w:rsid w:val="001215DF"/>
    <w:rsid w:val="0012184F"/>
    <w:rsid w:val="00121AA8"/>
    <w:rsid w:val="00121B7A"/>
    <w:rsid w:val="00121D0B"/>
    <w:rsid w:val="001220B8"/>
    <w:rsid w:val="00122134"/>
    <w:rsid w:val="001222F3"/>
    <w:rsid w:val="0012233E"/>
    <w:rsid w:val="00122341"/>
    <w:rsid w:val="00122481"/>
    <w:rsid w:val="0012248E"/>
    <w:rsid w:val="001225A2"/>
    <w:rsid w:val="001226A2"/>
    <w:rsid w:val="00122C21"/>
    <w:rsid w:val="00122F5A"/>
    <w:rsid w:val="00122FCC"/>
    <w:rsid w:val="00123057"/>
    <w:rsid w:val="001230D9"/>
    <w:rsid w:val="001230E3"/>
    <w:rsid w:val="001234B8"/>
    <w:rsid w:val="00123D11"/>
    <w:rsid w:val="00124231"/>
    <w:rsid w:val="0012431C"/>
    <w:rsid w:val="00124510"/>
    <w:rsid w:val="00124A6C"/>
    <w:rsid w:val="00124C83"/>
    <w:rsid w:val="00124F25"/>
    <w:rsid w:val="001250C1"/>
    <w:rsid w:val="00125204"/>
    <w:rsid w:val="00125372"/>
    <w:rsid w:val="001253AB"/>
    <w:rsid w:val="001256F6"/>
    <w:rsid w:val="00125C38"/>
    <w:rsid w:val="00125C69"/>
    <w:rsid w:val="001263F9"/>
    <w:rsid w:val="00126457"/>
    <w:rsid w:val="0012663F"/>
    <w:rsid w:val="001269B9"/>
    <w:rsid w:val="00126A03"/>
    <w:rsid w:val="00126BE1"/>
    <w:rsid w:val="00126C2F"/>
    <w:rsid w:val="00126CCB"/>
    <w:rsid w:val="00126CEF"/>
    <w:rsid w:val="00126D92"/>
    <w:rsid w:val="00126DDE"/>
    <w:rsid w:val="00126FCF"/>
    <w:rsid w:val="00127015"/>
    <w:rsid w:val="001272DE"/>
    <w:rsid w:val="00127557"/>
    <w:rsid w:val="0012779A"/>
    <w:rsid w:val="001277F0"/>
    <w:rsid w:val="00127A3C"/>
    <w:rsid w:val="00127B3B"/>
    <w:rsid w:val="00127D24"/>
    <w:rsid w:val="00127E69"/>
    <w:rsid w:val="00127EB4"/>
    <w:rsid w:val="0013007A"/>
    <w:rsid w:val="0013033C"/>
    <w:rsid w:val="001304F4"/>
    <w:rsid w:val="001308A2"/>
    <w:rsid w:val="001308FA"/>
    <w:rsid w:val="0013123C"/>
    <w:rsid w:val="00131619"/>
    <w:rsid w:val="001318CF"/>
    <w:rsid w:val="001318D1"/>
    <w:rsid w:val="001318E4"/>
    <w:rsid w:val="00131F9A"/>
    <w:rsid w:val="0013260D"/>
    <w:rsid w:val="0013273A"/>
    <w:rsid w:val="001328F3"/>
    <w:rsid w:val="001332A7"/>
    <w:rsid w:val="001332B3"/>
    <w:rsid w:val="0013343B"/>
    <w:rsid w:val="00133788"/>
    <w:rsid w:val="001337C2"/>
    <w:rsid w:val="001338DB"/>
    <w:rsid w:val="00133957"/>
    <w:rsid w:val="00133C2F"/>
    <w:rsid w:val="00133CFA"/>
    <w:rsid w:val="00133E26"/>
    <w:rsid w:val="001343D6"/>
    <w:rsid w:val="00134650"/>
    <w:rsid w:val="001347EA"/>
    <w:rsid w:val="00134827"/>
    <w:rsid w:val="001348AC"/>
    <w:rsid w:val="001348ED"/>
    <w:rsid w:val="00134ACE"/>
    <w:rsid w:val="00134CDA"/>
    <w:rsid w:val="001351CD"/>
    <w:rsid w:val="00135243"/>
    <w:rsid w:val="0013537F"/>
    <w:rsid w:val="00135418"/>
    <w:rsid w:val="001355EB"/>
    <w:rsid w:val="001357D9"/>
    <w:rsid w:val="001358FD"/>
    <w:rsid w:val="00135980"/>
    <w:rsid w:val="00135ABC"/>
    <w:rsid w:val="00135D9F"/>
    <w:rsid w:val="001360C3"/>
    <w:rsid w:val="00136239"/>
    <w:rsid w:val="001362A6"/>
    <w:rsid w:val="001362A8"/>
    <w:rsid w:val="001365D2"/>
    <w:rsid w:val="0013662E"/>
    <w:rsid w:val="0013695F"/>
    <w:rsid w:val="001369B8"/>
    <w:rsid w:val="00136A4F"/>
    <w:rsid w:val="00136E06"/>
    <w:rsid w:val="00136ECE"/>
    <w:rsid w:val="00137019"/>
    <w:rsid w:val="001372AB"/>
    <w:rsid w:val="001373EF"/>
    <w:rsid w:val="00137881"/>
    <w:rsid w:val="001378C8"/>
    <w:rsid w:val="00137DB9"/>
    <w:rsid w:val="00137E89"/>
    <w:rsid w:val="001400E5"/>
    <w:rsid w:val="0014097C"/>
    <w:rsid w:val="00140A64"/>
    <w:rsid w:val="00140E4A"/>
    <w:rsid w:val="00140EA6"/>
    <w:rsid w:val="0014114D"/>
    <w:rsid w:val="001412B4"/>
    <w:rsid w:val="00141300"/>
    <w:rsid w:val="00141394"/>
    <w:rsid w:val="001414E3"/>
    <w:rsid w:val="001419B1"/>
    <w:rsid w:val="00141A1A"/>
    <w:rsid w:val="00141A7D"/>
    <w:rsid w:val="00141C18"/>
    <w:rsid w:val="00141CA7"/>
    <w:rsid w:val="00141CDC"/>
    <w:rsid w:val="00141D4D"/>
    <w:rsid w:val="00141EB5"/>
    <w:rsid w:val="00141FD7"/>
    <w:rsid w:val="00142169"/>
    <w:rsid w:val="001421C2"/>
    <w:rsid w:val="001424EE"/>
    <w:rsid w:val="00142833"/>
    <w:rsid w:val="0014290D"/>
    <w:rsid w:val="00142A5F"/>
    <w:rsid w:val="00142B06"/>
    <w:rsid w:val="00142B5E"/>
    <w:rsid w:val="00142BCC"/>
    <w:rsid w:val="00142BD3"/>
    <w:rsid w:val="00142CDF"/>
    <w:rsid w:val="00142DB3"/>
    <w:rsid w:val="00142E2D"/>
    <w:rsid w:val="00142F50"/>
    <w:rsid w:val="001431DE"/>
    <w:rsid w:val="00143951"/>
    <w:rsid w:val="0014398E"/>
    <w:rsid w:val="001439A3"/>
    <w:rsid w:val="00143E52"/>
    <w:rsid w:val="00144346"/>
    <w:rsid w:val="001443E4"/>
    <w:rsid w:val="00144483"/>
    <w:rsid w:val="001444C1"/>
    <w:rsid w:val="001448A3"/>
    <w:rsid w:val="00144919"/>
    <w:rsid w:val="0014494C"/>
    <w:rsid w:val="00144987"/>
    <w:rsid w:val="00144B39"/>
    <w:rsid w:val="00144B42"/>
    <w:rsid w:val="00144CE2"/>
    <w:rsid w:val="00144F66"/>
    <w:rsid w:val="00144FC1"/>
    <w:rsid w:val="001454EF"/>
    <w:rsid w:val="001457B2"/>
    <w:rsid w:val="001457F7"/>
    <w:rsid w:val="001459D6"/>
    <w:rsid w:val="00145A8A"/>
    <w:rsid w:val="00145B63"/>
    <w:rsid w:val="00146875"/>
    <w:rsid w:val="00147037"/>
    <w:rsid w:val="00147143"/>
    <w:rsid w:val="00147233"/>
    <w:rsid w:val="0014728F"/>
    <w:rsid w:val="001472BA"/>
    <w:rsid w:val="001475A5"/>
    <w:rsid w:val="0014768B"/>
    <w:rsid w:val="00147BB5"/>
    <w:rsid w:val="00147C41"/>
    <w:rsid w:val="00147CF9"/>
    <w:rsid w:val="00147D24"/>
    <w:rsid w:val="00147D37"/>
    <w:rsid w:val="00147F83"/>
    <w:rsid w:val="00150301"/>
    <w:rsid w:val="001505E7"/>
    <w:rsid w:val="001506AF"/>
    <w:rsid w:val="00150737"/>
    <w:rsid w:val="001507EB"/>
    <w:rsid w:val="00150A29"/>
    <w:rsid w:val="00150ADD"/>
    <w:rsid w:val="00150E30"/>
    <w:rsid w:val="0015108C"/>
    <w:rsid w:val="001513EB"/>
    <w:rsid w:val="001515F2"/>
    <w:rsid w:val="00151B57"/>
    <w:rsid w:val="00151C22"/>
    <w:rsid w:val="00151C95"/>
    <w:rsid w:val="00151E87"/>
    <w:rsid w:val="00151FF5"/>
    <w:rsid w:val="0015208D"/>
    <w:rsid w:val="0015256F"/>
    <w:rsid w:val="00152679"/>
    <w:rsid w:val="00152683"/>
    <w:rsid w:val="00152694"/>
    <w:rsid w:val="00152707"/>
    <w:rsid w:val="001527E7"/>
    <w:rsid w:val="0015284D"/>
    <w:rsid w:val="00152A7F"/>
    <w:rsid w:val="00152B64"/>
    <w:rsid w:val="00153065"/>
    <w:rsid w:val="001533DC"/>
    <w:rsid w:val="001537A8"/>
    <w:rsid w:val="001539FD"/>
    <w:rsid w:val="00153ADB"/>
    <w:rsid w:val="00153B0B"/>
    <w:rsid w:val="00153B81"/>
    <w:rsid w:val="00153E00"/>
    <w:rsid w:val="00154129"/>
    <w:rsid w:val="00154221"/>
    <w:rsid w:val="00154241"/>
    <w:rsid w:val="001543A2"/>
    <w:rsid w:val="001543FF"/>
    <w:rsid w:val="00154446"/>
    <w:rsid w:val="00154482"/>
    <w:rsid w:val="001546B9"/>
    <w:rsid w:val="001546C7"/>
    <w:rsid w:val="00154CBE"/>
    <w:rsid w:val="00154EC4"/>
    <w:rsid w:val="00154FBA"/>
    <w:rsid w:val="00154FC4"/>
    <w:rsid w:val="00155134"/>
    <w:rsid w:val="0015529D"/>
    <w:rsid w:val="001557FC"/>
    <w:rsid w:val="00155C9E"/>
    <w:rsid w:val="00156073"/>
    <w:rsid w:val="001560FA"/>
    <w:rsid w:val="0015635F"/>
    <w:rsid w:val="001567CE"/>
    <w:rsid w:val="00156A9C"/>
    <w:rsid w:val="00156BC8"/>
    <w:rsid w:val="00156CF2"/>
    <w:rsid w:val="00156E1F"/>
    <w:rsid w:val="00156E6F"/>
    <w:rsid w:val="00156F90"/>
    <w:rsid w:val="00157037"/>
    <w:rsid w:val="00157092"/>
    <w:rsid w:val="00157AA9"/>
    <w:rsid w:val="00157E63"/>
    <w:rsid w:val="00157E72"/>
    <w:rsid w:val="00157F58"/>
    <w:rsid w:val="00160030"/>
    <w:rsid w:val="0016028C"/>
    <w:rsid w:val="001602A6"/>
    <w:rsid w:val="00160BB6"/>
    <w:rsid w:val="00161060"/>
    <w:rsid w:val="001610D2"/>
    <w:rsid w:val="00161189"/>
    <w:rsid w:val="00161277"/>
    <w:rsid w:val="001614D5"/>
    <w:rsid w:val="0016158F"/>
    <w:rsid w:val="001616ED"/>
    <w:rsid w:val="00161C85"/>
    <w:rsid w:val="00161DF0"/>
    <w:rsid w:val="00161E24"/>
    <w:rsid w:val="0016213B"/>
    <w:rsid w:val="00162169"/>
    <w:rsid w:val="001621DF"/>
    <w:rsid w:val="00162333"/>
    <w:rsid w:val="00162486"/>
    <w:rsid w:val="001627A1"/>
    <w:rsid w:val="001627B8"/>
    <w:rsid w:val="001628F2"/>
    <w:rsid w:val="00162AA9"/>
    <w:rsid w:val="00162C35"/>
    <w:rsid w:val="00162F1B"/>
    <w:rsid w:val="00162F60"/>
    <w:rsid w:val="00163064"/>
    <w:rsid w:val="001631AA"/>
    <w:rsid w:val="00163201"/>
    <w:rsid w:val="00163337"/>
    <w:rsid w:val="00163389"/>
    <w:rsid w:val="001634F9"/>
    <w:rsid w:val="00163689"/>
    <w:rsid w:val="00163748"/>
    <w:rsid w:val="00163792"/>
    <w:rsid w:val="00163813"/>
    <w:rsid w:val="00163993"/>
    <w:rsid w:val="00163B34"/>
    <w:rsid w:val="00163BFB"/>
    <w:rsid w:val="00163F9A"/>
    <w:rsid w:val="001640D4"/>
    <w:rsid w:val="0016413E"/>
    <w:rsid w:val="001641AF"/>
    <w:rsid w:val="001643E9"/>
    <w:rsid w:val="001645B5"/>
    <w:rsid w:val="00164602"/>
    <w:rsid w:val="00164606"/>
    <w:rsid w:val="00164925"/>
    <w:rsid w:val="001649E2"/>
    <w:rsid w:val="00164AEC"/>
    <w:rsid w:val="00164D4C"/>
    <w:rsid w:val="00164DCF"/>
    <w:rsid w:val="00164E29"/>
    <w:rsid w:val="001650EC"/>
    <w:rsid w:val="00165418"/>
    <w:rsid w:val="001655F9"/>
    <w:rsid w:val="00165646"/>
    <w:rsid w:val="00165AF4"/>
    <w:rsid w:val="00165B6E"/>
    <w:rsid w:val="00165D35"/>
    <w:rsid w:val="00165E16"/>
    <w:rsid w:val="00165EFC"/>
    <w:rsid w:val="00166373"/>
    <w:rsid w:val="0016646D"/>
    <w:rsid w:val="001666E7"/>
    <w:rsid w:val="00166A55"/>
    <w:rsid w:val="00166C68"/>
    <w:rsid w:val="00166DB6"/>
    <w:rsid w:val="00166F92"/>
    <w:rsid w:val="001670A2"/>
    <w:rsid w:val="001670B2"/>
    <w:rsid w:val="001671A4"/>
    <w:rsid w:val="001672A7"/>
    <w:rsid w:val="0016736A"/>
    <w:rsid w:val="00167454"/>
    <w:rsid w:val="00167471"/>
    <w:rsid w:val="001679DD"/>
    <w:rsid w:val="00167A1E"/>
    <w:rsid w:val="00167CAA"/>
    <w:rsid w:val="00167CE3"/>
    <w:rsid w:val="00167E6E"/>
    <w:rsid w:val="00167F54"/>
    <w:rsid w:val="00167F76"/>
    <w:rsid w:val="0017006D"/>
    <w:rsid w:val="00170315"/>
    <w:rsid w:val="00170520"/>
    <w:rsid w:val="001705AD"/>
    <w:rsid w:val="00170A25"/>
    <w:rsid w:val="00170B78"/>
    <w:rsid w:val="00170C4B"/>
    <w:rsid w:val="00170DCF"/>
    <w:rsid w:val="001712BE"/>
    <w:rsid w:val="00171318"/>
    <w:rsid w:val="001716B9"/>
    <w:rsid w:val="00171821"/>
    <w:rsid w:val="00171895"/>
    <w:rsid w:val="00171A65"/>
    <w:rsid w:val="00171BC0"/>
    <w:rsid w:val="001720FC"/>
    <w:rsid w:val="00172213"/>
    <w:rsid w:val="00172700"/>
    <w:rsid w:val="00172AF1"/>
    <w:rsid w:val="00172AFA"/>
    <w:rsid w:val="00172F8A"/>
    <w:rsid w:val="00173034"/>
    <w:rsid w:val="0017323E"/>
    <w:rsid w:val="00173429"/>
    <w:rsid w:val="001734FC"/>
    <w:rsid w:val="001736A5"/>
    <w:rsid w:val="00173A4F"/>
    <w:rsid w:val="00173BD3"/>
    <w:rsid w:val="00173CB6"/>
    <w:rsid w:val="00173FCC"/>
    <w:rsid w:val="00173FCF"/>
    <w:rsid w:val="00174121"/>
    <w:rsid w:val="00174133"/>
    <w:rsid w:val="00174295"/>
    <w:rsid w:val="001745E1"/>
    <w:rsid w:val="00174A7E"/>
    <w:rsid w:val="00174CA9"/>
    <w:rsid w:val="00174D8F"/>
    <w:rsid w:val="00174EAE"/>
    <w:rsid w:val="00174EE8"/>
    <w:rsid w:val="00174F7F"/>
    <w:rsid w:val="001751A7"/>
    <w:rsid w:val="00175441"/>
    <w:rsid w:val="00175459"/>
    <w:rsid w:val="001755E3"/>
    <w:rsid w:val="001755EA"/>
    <w:rsid w:val="001759F2"/>
    <w:rsid w:val="00175ADC"/>
    <w:rsid w:val="00175B3A"/>
    <w:rsid w:val="00175ED5"/>
    <w:rsid w:val="00176521"/>
    <w:rsid w:val="001768B5"/>
    <w:rsid w:val="001768EE"/>
    <w:rsid w:val="00176ADD"/>
    <w:rsid w:val="00176DDC"/>
    <w:rsid w:val="00176F76"/>
    <w:rsid w:val="001770FB"/>
    <w:rsid w:val="00177140"/>
    <w:rsid w:val="001774C1"/>
    <w:rsid w:val="0017753F"/>
    <w:rsid w:val="00177681"/>
    <w:rsid w:val="00177D4D"/>
    <w:rsid w:val="00177E10"/>
    <w:rsid w:val="00177EF6"/>
    <w:rsid w:val="001801FC"/>
    <w:rsid w:val="0018039D"/>
    <w:rsid w:val="001804D1"/>
    <w:rsid w:val="00180785"/>
    <w:rsid w:val="0018085E"/>
    <w:rsid w:val="00180AEF"/>
    <w:rsid w:val="00180C03"/>
    <w:rsid w:val="00180C1F"/>
    <w:rsid w:val="00180D5C"/>
    <w:rsid w:val="00180E4E"/>
    <w:rsid w:val="00181127"/>
    <w:rsid w:val="001811F9"/>
    <w:rsid w:val="00181519"/>
    <w:rsid w:val="0018172D"/>
    <w:rsid w:val="0018186D"/>
    <w:rsid w:val="001818E8"/>
    <w:rsid w:val="00181C4B"/>
    <w:rsid w:val="00181CBD"/>
    <w:rsid w:val="00181D1A"/>
    <w:rsid w:val="00181E00"/>
    <w:rsid w:val="00181F2F"/>
    <w:rsid w:val="00182AD1"/>
    <w:rsid w:val="00182C64"/>
    <w:rsid w:val="00182C7D"/>
    <w:rsid w:val="00182CCA"/>
    <w:rsid w:val="00182DB3"/>
    <w:rsid w:val="00182E64"/>
    <w:rsid w:val="00183289"/>
    <w:rsid w:val="0018350A"/>
    <w:rsid w:val="00183DE3"/>
    <w:rsid w:val="00183E3D"/>
    <w:rsid w:val="001840AD"/>
    <w:rsid w:val="001841AE"/>
    <w:rsid w:val="001845E2"/>
    <w:rsid w:val="0018497D"/>
    <w:rsid w:val="00184AC0"/>
    <w:rsid w:val="00184AC5"/>
    <w:rsid w:val="00184EF0"/>
    <w:rsid w:val="001852B2"/>
    <w:rsid w:val="00185350"/>
    <w:rsid w:val="001856EB"/>
    <w:rsid w:val="00185886"/>
    <w:rsid w:val="00185B5D"/>
    <w:rsid w:val="00185C76"/>
    <w:rsid w:val="00185D5A"/>
    <w:rsid w:val="00185D8F"/>
    <w:rsid w:val="00185DE1"/>
    <w:rsid w:val="00186079"/>
    <w:rsid w:val="00186752"/>
    <w:rsid w:val="00186892"/>
    <w:rsid w:val="001868AC"/>
    <w:rsid w:val="00186938"/>
    <w:rsid w:val="00186AB5"/>
    <w:rsid w:val="00186D2E"/>
    <w:rsid w:val="00186EBA"/>
    <w:rsid w:val="001871A4"/>
    <w:rsid w:val="001872A5"/>
    <w:rsid w:val="001873F1"/>
    <w:rsid w:val="001874F5"/>
    <w:rsid w:val="001874FF"/>
    <w:rsid w:val="00187B68"/>
    <w:rsid w:val="00187BFF"/>
    <w:rsid w:val="00187C44"/>
    <w:rsid w:val="00187D3A"/>
    <w:rsid w:val="00187F43"/>
    <w:rsid w:val="001901B2"/>
    <w:rsid w:val="00190267"/>
    <w:rsid w:val="001902A3"/>
    <w:rsid w:val="0019045A"/>
    <w:rsid w:val="001904B3"/>
    <w:rsid w:val="00190625"/>
    <w:rsid w:val="00190665"/>
    <w:rsid w:val="0019070C"/>
    <w:rsid w:val="00190813"/>
    <w:rsid w:val="0019097E"/>
    <w:rsid w:val="001909D6"/>
    <w:rsid w:val="00191211"/>
    <w:rsid w:val="001914D1"/>
    <w:rsid w:val="0019185B"/>
    <w:rsid w:val="0019189B"/>
    <w:rsid w:val="00191F92"/>
    <w:rsid w:val="00191FDF"/>
    <w:rsid w:val="0019202C"/>
    <w:rsid w:val="0019207E"/>
    <w:rsid w:val="001922CF"/>
    <w:rsid w:val="001922F0"/>
    <w:rsid w:val="00192400"/>
    <w:rsid w:val="001925DE"/>
    <w:rsid w:val="00192844"/>
    <w:rsid w:val="00192C29"/>
    <w:rsid w:val="00192C42"/>
    <w:rsid w:val="00192DBC"/>
    <w:rsid w:val="00192F10"/>
    <w:rsid w:val="00192F87"/>
    <w:rsid w:val="001930AC"/>
    <w:rsid w:val="001935B9"/>
    <w:rsid w:val="00193658"/>
    <w:rsid w:val="00193B9E"/>
    <w:rsid w:val="00193FD9"/>
    <w:rsid w:val="0019429B"/>
    <w:rsid w:val="00194476"/>
    <w:rsid w:val="001944C0"/>
    <w:rsid w:val="0019464A"/>
    <w:rsid w:val="001946FC"/>
    <w:rsid w:val="00194CB1"/>
    <w:rsid w:val="00194E4B"/>
    <w:rsid w:val="00194FDE"/>
    <w:rsid w:val="00195075"/>
    <w:rsid w:val="001951FB"/>
    <w:rsid w:val="00195434"/>
    <w:rsid w:val="00195506"/>
    <w:rsid w:val="001955DD"/>
    <w:rsid w:val="00195760"/>
    <w:rsid w:val="00195834"/>
    <w:rsid w:val="00195B5E"/>
    <w:rsid w:val="00195B6F"/>
    <w:rsid w:val="00195CB9"/>
    <w:rsid w:val="00195D48"/>
    <w:rsid w:val="00195D60"/>
    <w:rsid w:val="00195DE4"/>
    <w:rsid w:val="00196173"/>
    <w:rsid w:val="001961C6"/>
    <w:rsid w:val="001961D3"/>
    <w:rsid w:val="001962B6"/>
    <w:rsid w:val="00196779"/>
    <w:rsid w:val="00196AF9"/>
    <w:rsid w:val="00196DDE"/>
    <w:rsid w:val="001972C5"/>
    <w:rsid w:val="00197360"/>
    <w:rsid w:val="00197A6F"/>
    <w:rsid w:val="00197B15"/>
    <w:rsid w:val="001A00C5"/>
    <w:rsid w:val="001A0300"/>
    <w:rsid w:val="001A050B"/>
    <w:rsid w:val="001A055F"/>
    <w:rsid w:val="001A057A"/>
    <w:rsid w:val="001A069E"/>
    <w:rsid w:val="001A09F3"/>
    <w:rsid w:val="001A0C02"/>
    <w:rsid w:val="001A0C5E"/>
    <w:rsid w:val="001A0E98"/>
    <w:rsid w:val="001A0F8E"/>
    <w:rsid w:val="001A1377"/>
    <w:rsid w:val="001A139F"/>
    <w:rsid w:val="001A151E"/>
    <w:rsid w:val="001A1762"/>
    <w:rsid w:val="001A17D2"/>
    <w:rsid w:val="001A190C"/>
    <w:rsid w:val="001A19A7"/>
    <w:rsid w:val="001A1CA9"/>
    <w:rsid w:val="001A1FCB"/>
    <w:rsid w:val="001A22B9"/>
    <w:rsid w:val="001A243E"/>
    <w:rsid w:val="001A244A"/>
    <w:rsid w:val="001A2499"/>
    <w:rsid w:val="001A26E3"/>
    <w:rsid w:val="001A27F5"/>
    <w:rsid w:val="001A28A4"/>
    <w:rsid w:val="001A2A64"/>
    <w:rsid w:val="001A2CF4"/>
    <w:rsid w:val="001A2FAF"/>
    <w:rsid w:val="001A33EE"/>
    <w:rsid w:val="001A34FC"/>
    <w:rsid w:val="001A3737"/>
    <w:rsid w:val="001A377A"/>
    <w:rsid w:val="001A3B5E"/>
    <w:rsid w:val="001A3DCA"/>
    <w:rsid w:val="001A3EFF"/>
    <w:rsid w:val="001A413D"/>
    <w:rsid w:val="001A4224"/>
    <w:rsid w:val="001A46A3"/>
    <w:rsid w:val="001A476D"/>
    <w:rsid w:val="001A47AE"/>
    <w:rsid w:val="001A48E2"/>
    <w:rsid w:val="001A49A0"/>
    <w:rsid w:val="001A4CD9"/>
    <w:rsid w:val="001A4FAC"/>
    <w:rsid w:val="001A5143"/>
    <w:rsid w:val="001A514B"/>
    <w:rsid w:val="001A5150"/>
    <w:rsid w:val="001A5658"/>
    <w:rsid w:val="001A5767"/>
    <w:rsid w:val="001A5955"/>
    <w:rsid w:val="001A5B2D"/>
    <w:rsid w:val="001A5BC9"/>
    <w:rsid w:val="001A61B5"/>
    <w:rsid w:val="001A629C"/>
    <w:rsid w:val="001A64CC"/>
    <w:rsid w:val="001A67A7"/>
    <w:rsid w:val="001A6881"/>
    <w:rsid w:val="001A707B"/>
    <w:rsid w:val="001A7141"/>
    <w:rsid w:val="001A729E"/>
    <w:rsid w:val="001A7387"/>
    <w:rsid w:val="001A73B0"/>
    <w:rsid w:val="001A73BC"/>
    <w:rsid w:val="001A77D7"/>
    <w:rsid w:val="001A7887"/>
    <w:rsid w:val="001A7891"/>
    <w:rsid w:val="001A79F5"/>
    <w:rsid w:val="001A7A7A"/>
    <w:rsid w:val="001A7CEF"/>
    <w:rsid w:val="001A7EB8"/>
    <w:rsid w:val="001A7FD5"/>
    <w:rsid w:val="001B0090"/>
    <w:rsid w:val="001B0222"/>
    <w:rsid w:val="001B08F7"/>
    <w:rsid w:val="001B0BE6"/>
    <w:rsid w:val="001B0E90"/>
    <w:rsid w:val="001B0F2B"/>
    <w:rsid w:val="001B0F4D"/>
    <w:rsid w:val="001B0FF2"/>
    <w:rsid w:val="001B1006"/>
    <w:rsid w:val="001B132F"/>
    <w:rsid w:val="001B158A"/>
    <w:rsid w:val="001B16C1"/>
    <w:rsid w:val="001B1847"/>
    <w:rsid w:val="001B18EF"/>
    <w:rsid w:val="001B1C06"/>
    <w:rsid w:val="001B1CB0"/>
    <w:rsid w:val="001B1D3B"/>
    <w:rsid w:val="001B2157"/>
    <w:rsid w:val="001B2896"/>
    <w:rsid w:val="001B299A"/>
    <w:rsid w:val="001B2A34"/>
    <w:rsid w:val="001B2A4C"/>
    <w:rsid w:val="001B2A52"/>
    <w:rsid w:val="001B2B88"/>
    <w:rsid w:val="001B2BF8"/>
    <w:rsid w:val="001B313D"/>
    <w:rsid w:val="001B31A1"/>
    <w:rsid w:val="001B31D2"/>
    <w:rsid w:val="001B33A3"/>
    <w:rsid w:val="001B33BF"/>
    <w:rsid w:val="001B3561"/>
    <w:rsid w:val="001B3822"/>
    <w:rsid w:val="001B3826"/>
    <w:rsid w:val="001B3946"/>
    <w:rsid w:val="001B3B9A"/>
    <w:rsid w:val="001B3CC8"/>
    <w:rsid w:val="001B414B"/>
    <w:rsid w:val="001B42A1"/>
    <w:rsid w:val="001B4414"/>
    <w:rsid w:val="001B4545"/>
    <w:rsid w:val="001B4550"/>
    <w:rsid w:val="001B4AAC"/>
    <w:rsid w:val="001B4AE3"/>
    <w:rsid w:val="001B4B21"/>
    <w:rsid w:val="001B4FAE"/>
    <w:rsid w:val="001B5343"/>
    <w:rsid w:val="001B53A7"/>
    <w:rsid w:val="001B5477"/>
    <w:rsid w:val="001B568A"/>
    <w:rsid w:val="001B57FC"/>
    <w:rsid w:val="001B58CB"/>
    <w:rsid w:val="001B5BC7"/>
    <w:rsid w:val="001B60E4"/>
    <w:rsid w:val="001B6135"/>
    <w:rsid w:val="001B6435"/>
    <w:rsid w:val="001B68BE"/>
    <w:rsid w:val="001B6B4A"/>
    <w:rsid w:val="001B6CDC"/>
    <w:rsid w:val="001B6D98"/>
    <w:rsid w:val="001B6EC6"/>
    <w:rsid w:val="001B7109"/>
    <w:rsid w:val="001B7160"/>
    <w:rsid w:val="001B71D1"/>
    <w:rsid w:val="001B7600"/>
    <w:rsid w:val="001B787E"/>
    <w:rsid w:val="001B7960"/>
    <w:rsid w:val="001B7990"/>
    <w:rsid w:val="001B79C3"/>
    <w:rsid w:val="001B7FC7"/>
    <w:rsid w:val="001C0184"/>
    <w:rsid w:val="001C0220"/>
    <w:rsid w:val="001C05EE"/>
    <w:rsid w:val="001C086A"/>
    <w:rsid w:val="001C0B22"/>
    <w:rsid w:val="001C0B7C"/>
    <w:rsid w:val="001C0CE2"/>
    <w:rsid w:val="001C0D65"/>
    <w:rsid w:val="001C0ED1"/>
    <w:rsid w:val="001C1047"/>
    <w:rsid w:val="001C1084"/>
    <w:rsid w:val="001C12FC"/>
    <w:rsid w:val="001C14D9"/>
    <w:rsid w:val="001C18D2"/>
    <w:rsid w:val="001C1CCA"/>
    <w:rsid w:val="001C1CEC"/>
    <w:rsid w:val="001C1D85"/>
    <w:rsid w:val="001C1FBD"/>
    <w:rsid w:val="001C21FB"/>
    <w:rsid w:val="001C221C"/>
    <w:rsid w:val="001C22E9"/>
    <w:rsid w:val="001C24D9"/>
    <w:rsid w:val="001C24F9"/>
    <w:rsid w:val="001C26A0"/>
    <w:rsid w:val="001C2738"/>
    <w:rsid w:val="001C297A"/>
    <w:rsid w:val="001C2A11"/>
    <w:rsid w:val="001C2A6C"/>
    <w:rsid w:val="001C2C6A"/>
    <w:rsid w:val="001C2D17"/>
    <w:rsid w:val="001C2EDB"/>
    <w:rsid w:val="001C2F80"/>
    <w:rsid w:val="001C3059"/>
    <w:rsid w:val="001C311D"/>
    <w:rsid w:val="001C324A"/>
    <w:rsid w:val="001C353C"/>
    <w:rsid w:val="001C3546"/>
    <w:rsid w:val="001C35F7"/>
    <w:rsid w:val="001C388D"/>
    <w:rsid w:val="001C3B9F"/>
    <w:rsid w:val="001C3DFA"/>
    <w:rsid w:val="001C41B5"/>
    <w:rsid w:val="001C4371"/>
    <w:rsid w:val="001C44C2"/>
    <w:rsid w:val="001C4551"/>
    <w:rsid w:val="001C459A"/>
    <w:rsid w:val="001C4787"/>
    <w:rsid w:val="001C4A16"/>
    <w:rsid w:val="001C4C2F"/>
    <w:rsid w:val="001C5061"/>
    <w:rsid w:val="001C5269"/>
    <w:rsid w:val="001C52CA"/>
    <w:rsid w:val="001C5573"/>
    <w:rsid w:val="001C56E8"/>
    <w:rsid w:val="001C5755"/>
    <w:rsid w:val="001C5767"/>
    <w:rsid w:val="001C5846"/>
    <w:rsid w:val="001C5932"/>
    <w:rsid w:val="001C5A0C"/>
    <w:rsid w:val="001C5E1E"/>
    <w:rsid w:val="001C5F82"/>
    <w:rsid w:val="001C614A"/>
    <w:rsid w:val="001C62A8"/>
    <w:rsid w:val="001C6458"/>
    <w:rsid w:val="001C6478"/>
    <w:rsid w:val="001C65B7"/>
    <w:rsid w:val="001C6608"/>
    <w:rsid w:val="001C67A4"/>
    <w:rsid w:val="001C6935"/>
    <w:rsid w:val="001C6B0D"/>
    <w:rsid w:val="001C6C13"/>
    <w:rsid w:val="001C6C5C"/>
    <w:rsid w:val="001C6CA7"/>
    <w:rsid w:val="001C70C3"/>
    <w:rsid w:val="001C769C"/>
    <w:rsid w:val="001C777D"/>
    <w:rsid w:val="001C7798"/>
    <w:rsid w:val="001C77B2"/>
    <w:rsid w:val="001C77C7"/>
    <w:rsid w:val="001C77DD"/>
    <w:rsid w:val="001C7BDE"/>
    <w:rsid w:val="001D01D2"/>
    <w:rsid w:val="001D026F"/>
    <w:rsid w:val="001D0435"/>
    <w:rsid w:val="001D0769"/>
    <w:rsid w:val="001D08F6"/>
    <w:rsid w:val="001D091C"/>
    <w:rsid w:val="001D0971"/>
    <w:rsid w:val="001D09D4"/>
    <w:rsid w:val="001D0A0B"/>
    <w:rsid w:val="001D0C39"/>
    <w:rsid w:val="001D0D37"/>
    <w:rsid w:val="001D0E7A"/>
    <w:rsid w:val="001D0F89"/>
    <w:rsid w:val="001D123D"/>
    <w:rsid w:val="001D12E7"/>
    <w:rsid w:val="001D1341"/>
    <w:rsid w:val="001D180E"/>
    <w:rsid w:val="001D1A0C"/>
    <w:rsid w:val="001D1ADB"/>
    <w:rsid w:val="001D1C0F"/>
    <w:rsid w:val="001D1F72"/>
    <w:rsid w:val="001D2384"/>
    <w:rsid w:val="001D2513"/>
    <w:rsid w:val="001D25C4"/>
    <w:rsid w:val="001D2647"/>
    <w:rsid w:val="001D2BAE"/>
    <w:rsid w:val="001D2BC9"/>
    <w:rsid w:val="001D2C38"/>
    <w:rsid w:val="001D2DDF"/>
    <w:rsid w:val="001D2EAA"/>
    <w:rsid w:val="001D2EC1"/>
    <w:rsid w:val="001D34BF"/>
    <w:rsid w:val="001D370B"/>
    <w:rsid w:val="001D37BC"/>
    <w:rsid w:val="001D386A"/>
    <w:rsid w:val="001D3A3D"/>
    <w:rsid w:val="001D3B73"/>
    <w:rsid w:val="001D3D11"/>
    <w:rsid w:val="001D3D6C"/>
    <w:rsid w:val="001D3ED3"/>
    <w:rsid w:val="001D4010"/>
    <w:rsid w:val="001D4016"/>
    <w:rsid w:val="001D411B"/>
    <w:rsid w:val="001D42A4"/>
    <w:rsid w:val="001D4466"/>
    <w:rsid w:val="001D4AF1"/>
    <w:rsid w:val="001D4E63"/>
    <w:rsid w:val="001D4EFB"/>
    <w:rsid w:val="001D4F79"/>
    <w:rsid w:val="001D4F88"/>
    <w:rsid w:val="001D4FC2"/>
    <w:rsid w:val="001D4FEA"/>
    <w:rsid w:val="001D5259"/>
    <w:rsid w:val="001D52B3"/>
    <w:rsid w:val="001D5498"/>
    <w:rsid w:val="001D5A5E"/>
    <w:rsid w:val="001D5AED"/>
    <w:rsid w:val="001D5CD6"/>
    <w:rsid w:val="001D629C"/>
    <w:rsid w:val="001D69FE"/>
    <w:rsid w:val="001D6A0C"/>
    <w:rsid w:val="001D6B9D"/>
    <w:rsid w:val="001D6C9F"/>
    <w:rsid w:val="001D6FA3"/>
    <w:rsid w:val="001D779B"/>
    <w:rsid w:val="001D784C"/>
    <w:rsid w:val="001D7877"/>
    <w:rsid w:val="001D78C5"/>
    <w:rsid w:val="001D7E24"/>
    <w:rsid w:val="001D7E80"/>
    <w:rsid w:val="001E007B"/>
    <w:rsid w:val="001E0127"/>
    <w:rsid w:val="001E02DF"/>
    <w:rsid w:val="001E066C"/>
    <w:rsid w:val="001E0767"/>
    <w:rsid w:val="001E0831"/>
    <w:rsid w:val="001E09CC"/>
    <w:rsid w:val="001E0DB0"/>
    <w:rsid w:val="001E0DE1"/>
    <w:rsid w:val="001E0E1D"/>
    <w:rsid w:val="001E0EA8"/>
    <w:rsid w:val="001E1021"/>
    <w:rsid w:val="001E1090"/>
    <w:rsid w:val="001E11B4"/>
    <w:rsid w:val="001E145E"/>
    <w:rsid w:val="001E18F6"/>
    <w:rsid w:val="001E1A57"/>
    <w:rsid w:val="001E1A89"/>
    <w:rsid w:val="001E1C53"/>
    <w:rsid w:val="001E1C5D"/>
    <w:rsid w:val="001E1D06"/>
    <w:rsid w:val="001E21F2"/>
    <w:rsid w:val="001E25FF"/>
    <w:rsid w:val="001E2800"/>
    <w:rsid w:val="001E2A0B"/>
    <w:rsid w:val="001E2A97"/>
    <w:rsid w:val="001E2AE7"/>
    <w:rsid w:val="001E2CCC"/>
    <w:rsid w:val="001E3588"/>
    <w:rsid w:val="001E3641"/>
    <w:rsid w:val="001E365F"/>
    <w:rsid w:val="001E366E"/>
    <w:rsid w:val="001E3752"/>
    <w:rsid w:val="001E3EA2"/>
    <w:rsid w:val="001E41D3"/>
    <w:rsid w:val="001E4493"/>
    <w:rsid w:val="001E47C5"/>
    <w:rsid w:val="001E48EF"/>
    <w:rsid w:val="001E4CA9"/>
    <w:rsid w:val="001E4D4A"/>
    <w:rsid w:val="001E4E63"/>
    <w:rsid w:val="001E5626"/>
    <w:rsid w:val="001E56BE"/>
    <w:rsid w:val="001E5784"/>
    <w:rsid w:val="001E57D9"/>
    <w:rsid w:val="001E592E"/>
    <w:rsid w:val="001E5AA4"/>
    <w:rsid w:val="001E5CED"/>
    <w:rsid w:val="001E5F26"/>
    <w:rsid w:val="001E637A"/>
    <w:rsid w:val="001E64ED"/>
    <w:rsid w:val="001E666E"/>
    <w:rsid w:val="001E672D"/>
    <w:rsid w:val="001E6845"/>
    <w:rsid w:val="001E688A"/>
    <w:rsid w:val="001E6BF1"/>
    <w:rsid w:val="001E6D8C"/>
    <w:rsid w:val="001E6F76"/>
    <w:rsid w:val="001E719A"/>
    <w:rsid w:val="001E766A"/>
    <w:rsid w:val="001E78EE"/>
    <w:rsid w:val="001E7A8F"/>
    <w:rsid w:val="001E7CF7"/>
    <w:rsid w:val="001E7E12"/>
    <w:rsid w:val="001F04C5"/>
    <w:rsid w:val="001F0712"/>
    <w:rsid w:val="001F0879"/>
    <w:rsid w:val="001F09A7"/>
    <w:rsid w:val="001F0A54"/>
    <w:rsid w:val="001F0E28"/>
    <w:rsid w:val="001F0EE1"/>
    <w:rsid w:val="001F0FDB"/>
    <w:rsid w:val="001F10B2"/>
    <w:rsid w:val="001F14B1"/>
    <w:rsid w:val="001F14C1"/>
    <w:rsid w:val="001F152E"/>
    <w:rsid w:val="001F1545"/>
    <w:rsid w:val="001F1589"/>
    <w:rsid w:val="001F185F"/>
    <w:rsid w:val="001F1BC1"/>
    <w:rsid w:val="001F1C66"/>
    <w:rsid w:val="001F1CF0"/>
    <w:rsid w:val="001F1F67"/>
    <w:rsid w:val="001F1FAB"/>
    <w:rsid w:val="001F2004"/>
    <w:rsid w:val="001F203F"/>
    <w:rsid w:val="001F2499"/>
    <w:rsid w:val="001F2577"/>
    <w:rsid w:val="001F2664"/>
    <w:rsid w:val="001F2F0D"/>
    <w:rsid w:val="001F2FB7"/>
    <w:rsid w:val="001F383C"/>
    <w:rsid w:val="001F3863"/>
    <w:rsid w:val="001F3ACA"/>
    <w:rsid w:val="001F3ADA"/>
    <w:rsid w:val="001F3D9A"/>
    <w:rsid w:val="001F405B"/>
    <w:rsid w:val="001F43C2"/>
    <w:rsid w:val="001F5088"/>
    <w:rsid w:val="001F53CF"/>
    <w:rsid w:val="001F5B31"/>
    <w:rsid w:val="001F5E40"/>
    <w:rsid w:val="001F5FA8"/>
    <w:rsid w:val="001F5FFD"/>
    <w:rsid w:val="001F6819"/>
    <w:rsid w:val="001F69DE"/>
    <w:rsid w:val="001F6C16"/>
    <w:rsid w:val="001F70FA"/>
    <w:rsid w:val="001F74CB"/>
    <w:rsid w:val="001F7A26"/>
    <w:rsid w:val="001F7BDF"/>
    <w:rsid w:val="001F7C93"/>
    <w:rsid w:val="001F7CD9"/>
    <w:rsid w:val="001F7E95"/>
    <w:rsid w:val="001F7EBE"/>
    <w:rsid w:val="00200002"/>
    <w:rsid w:val="00200136"/>
    <w:rsid w:val="00200209"/>
    <w:rsid w:val="00200505"/>
    <w:rsid w:val="00200510"/>
    <w:rsid w:val="002005A5"/>
    <w:rsid w:val="0020079C"/>
    <w:rsid w:val="002008E6"/>
    <w:rsid w:val="0020090C"/>
    <w:rsid w:val="002009B1"/>
    <w:rsid w:val="00200BEF"/>
    <w:rsid w:val="00200CA0"/>
    <w:rsid w:val="00200D8A"/>
    <w:rsid w:val="00200DEF"/>
    <w:rsid w:val="00200E36"/>
    <w:rsid w:val="00200E38"/>
    <w:rsid w:val="00200EE7"/>
    <w:rsid w:val="00201445"/>
    <w:rsid w:val="00201658"/>
    <w:rsid w:val="00201846"/>
    <w:rsid w:val="00201A8C"/>
    <w:rsid w:val="00201D17"/>
    <w:rsid w:val="002020A6"/>
    <w:rsid w:val="00202160"/>
    <w:rsid w:val="002022B7"/>
    <w:rsid w:val="00202554"/>
    <w:rsid w:val="0020268D"/>
    <w:rsid w:val="002028CE"/>
    <w:rsid w:val="0020290A"/>
    <w:rsid w:val="0020294F"/>
    <w:rsid w:val="002029B9"/>
    <w:rsid w:val="00202C01"/>
    <w:rsid w:val="00202E23"/>
    <w:rsid w:val="00202E4B"/>
    <w:rsid w:val="00202F0B"/>
    <w:rsid w:val="00203089"/>
    <w:rsid w:val="00203299"/>
    <w:rsid w:val="002032BA"/>
    <w:rsid w:val="00203434"/>
    <w:rsid w:val="00203CA7"/>
    <w:rsid w:val="00203D9B"/>
    <w:rsid w:val="00203DAD"/>
    <w:rsid w:val="00203DF9"/>
    <w:rsid w:val="00203F56"/>
    <w:rsid w:val="00203FBC"/>
    <w:rsid w:val="00203FEC"/>
    <w:rsid w:val="002041D5"/>
    <w:rsid w:val="00204231"/>
    <w:rsid w:val="00204370"/>
    <w:rsid w:val="00204AB4"/>
    <w:rsid w:val="00204B4B"/>
    <w:rsid w:val="00204B5E"/>
    <w:rsid w:val="00204C41"/>
    <w:rsid w:val="00204E7D"/>
    <w:rsid w:val="002050FF"/>
    <w:rsid w:val="0020552D"/>
    <w:rsid w:val="002055C6"/>
    <w:rsid w:val="00205625"/>
    <w:rsid w:val="002056DA"/>
    <w:rsid w:val="002057A3"/>
    <w:rsid w:val="00205B10"/>
    <w:rsid w:val="00205C3F"/>
    <w:rsid w:val="00205F19"/>
    <w:rsid w:val="00206458"/>
    <w:rsid w:val="0020673E"/>
    <w:rsid w:val="00206901"/>
    <w:rsid w:val="002069C2"/>
    <w:rsid w:val="00207037"/>
    <w:rsid w:val="00207219"/>
    <w:rsid w:val="00207380"/>
    <w:rsid w:val="002075E8"/>
    <w:rsid w:val="0020763D"/>
    <w:rsid w:val="00207C51"/>
    <w:rsid w:val="00207E33"/>
    <w:rsid w:val="0021002F"/>
    <w:rsid w:val="0021003C"/>
    <w:rsid w:val="00210157"/>
    <w:rsid w:val="00210320"/>
    <w:rsid w:val="002103C1"/>
    <w:rsid w:val="00210593"/>
    <w:rsid w:val="002107EB"/>
    <w:rsid w:val="00210F1A"/>
    <w:rsid w:val="0021142D"/>
    <w:rsid w:val="002116A8"/>
    <w:rsid w:val="002117C3"/>
    <w:rsid w:val="0021186A"/>
    <w:rsid w:val="00211D8F"/>
    <w:rsid w:val="002122CF"/>
    <w:rsid w:val="00212453"/>
    <w:rsid w:val="00212517"/>
    <w:rsid w:val="002125B2"/>
    <w:rsid w:val="00212604"/>
    <w:rsid w:val="00212703"/>
    <w:rsid w:val="00212901"/>
    <w:rsid w:val="00212A17"/>
    <w:rsid w:val="00212C26"/>
    <w:rsid w:val="00212D48"/>
    <w:rsid w:val="00213079"/>
    <w:rsid w:val="002131DF"/>
    <w:rsid w:val="00213294"/>
    <w:rsid w:val="002132B1"/>
    <w:rsid w:val="00213751"/>
    <w:rsid w:val="0021380E"/>
    <w:rsid w:val="0021384A"/>
    <w:rsid w:val="0021397C"/>
    <w:rsid w:val="00213A90"/>
    <w:rsid w:val="00213CED"/>
    <w:rsid w:val="00213E96"/>
    <w:rsid w:val="00213FFD"/>
    <w:rsid w:val="002141A8"/>
    <w:rsid w:val="0021422D"/>
    <w:rsid w:val="00214436"/>
    <w:rsid w:val="0021461C"/>
    <w:rsid w:val="002149A4"/>
    <w:rsid w:val="00214A4B"/>
    <w:rsid w:val="00214B2C"/>
    <w:rsid w:val="00214DB8"/>
    <w:rsid w:val="00214DE4"/>
    <w:rsid w:val="002153E4"/>
    <w:rsid w:val="002157DA"/>
    <w:rsid w:val="00215C4A"/>
    <w:rsid w:val="00215F47"/>
    <w:rsid w:val="00216047"/>
    <w:rsid w:val="0021609E"/>
    <w:rsid w:val="002162BB"/>
    <w:rsid w:val="00216328"/>
    <w:rsid w:val="002166BA"/>
    <w:rsid w:val="00216720"/>
    <w:rsid w:val="00216742"/>
    <w:rsid w:val="00216826"/>
    <w:rsid w:val="0021692A"/>
    <w:rsid w:val="00216A22"/>
    <w:rsid w:val="00216A7E"/>
    <w:rsid w:val="00216AD2"/>
    <w:rsid w:val="00216B0C"/>
    <w:rsid w:val="00216BC7"/>
    <w:rsid w:val="00216CED"/>
    <w:rsid w:val="00216D48"/>
    <w:rsid w:val="00216E03"/>
    <w:rsid w:val="00216F74"/>
    <w:rsid w:val="002173D7"/>
    <w:rsid w:val="0021744E"/>
    <w:rsid w:val="00217789"/>
    <w:rsid w:val="002177F4"/>
    <w:rsid w:val="00217ADE"/>
    <w:rsid w:val="00217B1E"/>
    <w:rsid w:val="00217B51"/>
    <w:rsid w:val="00217B71"/>
    <w:rsid w:val="00217C19"/>
    <w:rsid w:val="00217C3C"/>
    <w:rsid w:val="00217C44"/>
    <w:rsid w:val="00217C92"/>
    <w:rsid w:val="00217CB7"/>
    <w:rsid w:val="00217F6C"/>
    <w:rsid w:val="0022006C"/>
    <w:rsid w:val="002201D9"/>
    <w:rsid w:val="00220312"/>
    <w:rsid w:val="0022048D"/>
    <w:rsid w:val="00220730"/>
    <w:rsid w:val="0022073C"/>
    <w:rsid w:val="002207D7"/>
    <w:rsid w:val="00220E26"/>
    <w:rsid w:val="00220EA5"/>
    <w:rsid w:val="00220FFD"/>
    <w:rsid w:val="00221231"/>
    <w:rsid w:val="00221B32"/>
    <w:rsid w:val="00221D96"/>
    <w:rsid w:val="00222499"/>
    <w:rsid w:val="002224DD"/>
    <w:rsid w:val="00222843"/>
    <w:rsid w:val="002229BD"/>
    <w:rsid w:val="002229D6"/>
    <w:rsid w:val="00222A1C"/>
    <w:rsid w:val="00223047"/>
    <w:rsid w:val="0022329E"/>
    <w:rsid w:val="002233C0"/>
    <w:rsid w:val="00223509"/>
    <w:rsid w:val="002235BC"/>
    <w:rsid w:val="0022379C"/>
    <w:rsid w:val="0022453E"/>
    <w:rsid w:val="0022470F"/>
    <w:rsid w:val="002247BE"/>
    <w:rsid w:val="002247FE"/>
    <w:rsid w:val="00225048"/>
    <w:rsid w:val="002251AA"/>
    <w:rsid w:val="00225360"/>
    <w:rsid w:val="0022539A"/>
    <w:rsid w:val="0022593F"/>
    <w:rsid w:val="00225948"/>
    <w:rsid w:val="00225C8C"/>
    <w:rsid w:val="00225EFD"/>
    <w:rsid w:val="00225F54"/>
    <w:rsid w:val="00225F88"/>
    <w:rsid w:val="002260C0"/>
    <w:rsid w:val="00226343"/>
    <w:rsid w:val="0022638E"/>
    <w:rsid w:val="002265EB"/>
    <w:rsid w:val="0022683A"/>
    <w:rsid w:val="002269DA"/>
    <w:rsid w:val="00226CA8"/>
    <w:rsid w:val="002271DC"/>
    <w:rsid w:val="00227249"/>
    <w:rsid w:val="0022734F"/>
    <w:rsid w:val="002274E2"/>
    <w:rsid w:val="0022759D"/>
    <w:rsid w:val="002276E5"/>
    <w:rsid w:val="002300AD"/>
    <w:rsid w:val="002304F8"/>
    <w:rsid w:val="002306CC"/>
    <w:rsid w:val="0023071A"/>
    <w:rsid w:val="002308F4"/>
    <w:rsid w:val="00230B59"/>
    <w:rsid w:val="00230BDC"/>
    <w:rsid w:val="00230F11"/>
    <w:rsid w:val="00230F3B"/>
    <w:rsid w:val="00230F64"/>
    <w:rsid w:val="00231525"/>
    <w:rsid w:val="002315F7"/>
    <w:rsid w:val="002315FB"/>
    <w:rsid w:val="00231631"/>
    <w:rsid w:val="00231B77"/>
    <w:rsid w:val="00231CE2"/>
    <w:rsid w:val="002320B0"/>
    <w:rsid w:val="002320F3"/>
    <w:rsid w:val="00232149"/>
    <w:rsid w:val="002322E8"/>
    <w:rsid w:val="0023237B"/>
    <w:rsid w:val="002323E8"/>
    <w:rsid w:val="0023246A"/>
    <w:rsid w:val="002325A7"/>
    <w:rsid w:val="002325A8"/>
    <w:rsid w:val="002325D4"/>
    <w:rsid w:val="00232921"/>
    <w:rsid w:val="00232A09"/>
    <w:rsid w:val="00232B08"/>
    <w:rsid w:val="00232B84"/>
    <w:rsid w:val="00232B9E"/>
    <w:rsid w:val="00232CBB"/>
    <w:rsid w:val="00232E3E"/>
    <w:rsid w:val="00233112"/>
    <w:rsid w:val="00233505"/>
    <w:rsid w:val="00233A79"/>
    <w:rsid w:val="00233CF6"/>
    <w:rsid w:val="0023408B"/>
    <w:rsid w:val="00234928"/>
    <w:rsid w:val="002349EC"/>
    <w:rsid w:val="00234A17"/>
    <w:rsid w:val="00234CB5"/>
    <w:rsid w:val="00234D7A"/>
    <w:rsid w:val="00234F02"/>
    <w:rsid w:val="00234F75"/>
    <w:rsid w:val="0023504F"/>
    <w:rsid w:val="002355FD"/>
    <w:rsid w:val="00235781"/>
    <w:rsid w:val="00235A41"/>
    <w:rsid w:val="00235AC4"/>
    <w:rsid w:val="00235AD5"/>
    <w:rsid w:val="00235E6B"/>
    <w:rsid w:val="002360EE"/>
    <w:rsid w:val="0023625B"/>
    <w:rsid w:val="00236275"/>
    <w:rsid w:val="002362E3"/>
    <w:rsid w:val="00236D9B"/>
    <w:rsid w:val="00236DA7"/>
    <w:rsid w:val="00236E0B"/>
    <w:rsid w:val="00236FFB"/>
    <w:rsid w:val="002371B9"/>
    <w:rsid w:val="002374EA"/>
    <w:rsid w:val="0023772B"/>
    <w:rsid w:val="00237E8C"/>
    <w:rsid w:val="0024019A"/>
    <w:rsid w:val="00240238"/>
    <w:rsid w:val="0024033C"/>
    <w:rsid w:val="002403DF"/>
    <w:rsid w:val="00240465"/>
    <w:rsid w:val="0024079B"/>
    <w:rsid w:val="00240837"/>
    <w:rsid w:val="00240D1E"/>
    <w:rsid w:val="00240DB0"/>
    <w:rsid w:val="00240F9C"/>
    <w:rsid w:val="00240FA0"/>
    <w:rsid w:val="002411F4"/>
    <w:rsid w:val="002414D3"/>
    <w:rsid w:val="002414F6"/>
    <w:rsid w:val="002415F7"/>
    <w:rsid w:val="00241600"/>
    <w:rsid w:val="002416BC"/>
    <w:rsid w:val="002417A0"/>
    <w:rsid w:val="00241836"/>
    <w:rsid w:val="002418D8"/>
    <w:rsid w:val="00241B64"/>
    <w:rsid w:val="00241B92"/>
    <w:rsid w:val="00241C05"/>
    <w:rsid w:val="00241C26"/>
    <w:rsid w:val="00241D08"/>
    <w:rsid w:val="00241E2D"/>
    <w:rsid w:val="00242162"/>
    <w:rsid w:val="002422E0"/>
    <w:rsid w:val="0024246E"/>
    <w:rsid w:val="0024279B"/>
    <w:rsid w:val="00242D32"/>
    <w:rsid w:val="00242DC3"/>
    <w:rsid w:val="0024316A"/>
    <w:rsid w:val="0024327F"/>
    <w:rsid w:val="0024343A"/>
    <w:rsid w:val="002435D0"/>
    <w:rsid w:val="002437B0"/>
    <w:rsid w:val="0024390D"/>
    <w:rsid w:val="00243B1F"/>
    <w:rsid w:val="00243B34"/>
    <w:rsid w:val="00243C57"/>
    <w:rsid w:val="0024412C"/>
    <w:rsid w:val="00244211"/>
    <w:rsid w:val="0024460D"/>
    <w:rsid w:val="00244858"/>
    <w:rsid w:val="002449A4"/>
    <w:rsid w:val="00244E11"/>
    <w:rsid w:val="00244EE6"/>
    <w:rsid w:val="0024534F"/>
    <w:rsid w:val="0024545D"/>
    <w:rsid w:val="00245587"/>
    <w:rsid w:val="00245829"/>
    <w:rsid w:val="00245A90"/>
    <w:rsid w:val="00245D94"/>
    <w:rsid w:val="00245E65"/>
    <w:rsid w:val="00245EE0"/>
    <w:rsid w:val="00245FDF"/>
    <w:rsid w:val="002460DC"/>
    <w:rsid w:val="00246369"/>
    <w:rsid w:val="00246468"/>
    <w:rsid w:val="002465BA"/>
    <w:rsid w:val="0024682E"/>
    <w:rsid w:val="00246F7E"/>
    <w:rsid w:val="002470E7"/>
    <w:rsid w:val="00247144"/>
    <w:rsid w:val="002472B8"/>
    <w:rsid w:val="0024765F"/>
    <w:rsid w:val="00247857"/>
    <w:rsid w:val="002479CA"/>
    <w:rsid w:val="00247AA1"/>
    <w:rsid w:val="00247B9D"/>
    <w:rsid w:val="00247BE8"/>
    <w:rsid w:val="00247EE4"/>
    <w:rsid w:val="002503D3"/>
    <w:rsid w:val="002503D9"/>
    <w:rsid w:val="002506AC"/>
    <w:rsid w:val="002509D2"/>
    <w:rsid w:val="00250A05"/>
    <w:rsid w:val="00250BF0"/>
    <w:rsid w:val="00250D04"/>
    <w:rsid w:val="00250DA5"/>
    <w:rsid w:val="00250EC6"/>
    <w:rsid w:val="002511A9"/>
    <w:rsid w:val="002512B1"/>
    <w:rsid w:val="0025133D"/>
    <w:rsid w:val="00251529"/>
    <w:rsid w:val="002518D2"/>
    <w:rsid w:val="0025192F"/>
    <w:rsid w:val="00251A0B"/>
    <w:rsid w:val="00251D4B"/>
    <w:rsid w:val="00251D55"/>
    <w:rsid w:val="00251E2B"/>
    <w:rsid w:val="002523EA"/>
    <w:rsid w:val="002526DD"/>
    <w:rsid w:val="0025270D"/>
    <w:rsid w:val="00252B01"/>
    <w:rsid w:val="00252B7D"/>
    <w:rsid w:val="00252BED"/>
    <w:rsid w:val="00252F67"/>
    <w:rsid w:val="00253383"/>
    <w:rsid w:val="002533D9"/>
    <w:rsid w:val="00253A07"/>
    <w:rsid w:val="00253AF3"/>
    <w:rsid w:val="00253C04"/>
    <w:rsid w:val="00254097"/>
    <w:rsid w:val="002543DC"/>
    <w:rsid w:val="0025461C"/>
    <w:rsid w:val="002548A2"/>
    <w:rsid w:val="00254918"/>
    <w:rsid w:val="0025501B"/>
    <w:rsid w:val="00255046"/>
    <w:rsid w:val="00255170"/>
    <w:rsid w:val="00255215"/>
    <w:rsid w:val="00255239"/>
    <w:rsid w:val="002553E0"/>
    <w:rsid w:val="0025563B"/>
    <w:rsid w:val="00255B64"/>
    <w:rsid w:val="00256318"/>
    <w:rsid w:val="00256323"/>
    <w:rsid w:val="00256343"/>
    <w:rsid w:val="00256408"/>
    <w:rsid w:val="002567AB"/>
    <w:rsid w:val="002568DB"/>
    <w:rsid w:val="00256EB3"/>
    <w:rsid w:val="00257070"/>
    <w:rsid w:val="002570DE"/>
    <w:rsid w:val="00257121"/>
    <w:rsid w:val="0025718C"/>
    <w:rsid w:val="0025734C"/>
    <w:rsid w:val="00257571"/>
    <w:rsid w:val="002575D7"/>
    <w:rsid w:val="00257733"/>
    <w:rsid w:val="00257741"/>
    <w:rsid w:val="00257CED"/>
    <w:rsid w:val="0026008A"/>
    <w:rsid w:val="0026016B"/>
    <w:rsid w:val="002603D5"/>
    <w:rsid w:val="00260487"/>
    <w:rsid w:val="002605AD"/>
    <w:rsid w:val="002606A5"/>
    <w:rsid w:val="00260862"/>
    <w:rsid w:val="00260A35"/>
    <w:rsid w:val="00260E49"/>
    <w:rsid w:val="0026154E"/>
    <w:rsid w:val="00261829"/>
    <w:rsid w:val="00261918"/>
    <w:rsid w:val="00261948"/>
    <w:rsid w:val="00261A7E"/>
    <w:rsid w:val="00261E78"/>
    <w:rsid w:val="00261FCA"/>
    <w:rsid w:val="002621D1"/>
    <w:rsid w:val="00262291"/>
    <w:rsid w:val="00262589"/>
    <w:rsid w:val="002627A2"/>
    <w:rsid w:val="00262845"/>
    <w:rsid w:val="00262865"/>
    <w:rsid w:val="00262B00"/>
    <w:rsid w:val="00262C43"/>
    <w:rsid w:val="00262DD0"/>
    <w:rsid w:val="00262E44"/>
    <w:rsid w:val="0026328C"/>
    <w:rsid w:val="002633B8"/>
    <w:rsid w:val="002634F2"/>
    <w:rsid w:val="002635D4"/>
    <w:rsid w:val="00263603"/>
    <w:rsid w:val="0026373D"/>
    <w:rsid w:val="0026377A"/>
    <w:rsid w:val="002637A5"/>
    <w:rsid w:val="002637A8"/>
    <w:rsid w:val="00263803"/>
    <w:rsid w:val="002638F2"/>
    <w:rsid w:val="00263968"/>
    <w:rsid w:val="002639EF"/>
    <w:rsid w:val="00263C01"/>
    <w:rsid w:val="00263CEE"/>
    <w:rsid w:val="00264705"/>
    <w:rsid w:val="002647D1"/>
    <w:rsid w:val="00264ACB"/>
    <w:rsid w:val="00264BFE"/>
    <w:rsid w:val="00264C36"/>
    <w:rsid w:val="00264DA5"/>
    <w:rsid w:val="00264EB0"/>
    <w:rsid w:val="002653DF"/>
    <w:rsid w:val="002656CB"/>
    <w:rsid w:val="0026571A"/>
    <w:rsid w:val="00265A7F"/>
    <w:rsid w:val="00265AF9"/>
    <w:rsid w:val="00265D5F"/>
    <w:rsid w:val="00265EBD"/>
    <w:rsid w:val="00266156"/>
    <w:rsid w:val="002662D8"/>
    <w:rsid w:val="002664B0"/>
    <w:rsid w:val="0026688B"/>
    <w:rsid w:val="00266E45"/>
    <w:rsid w:val="0026792D"/>
    <w:rsid w:val="002679F2"/>
    <w:rsid w:val="00267D32"/>
    <w:rsid w:val="00267E68"/>
    <w:rsid w:val="00267EE9"/>
    <w:rsid w:val="0027020F"/>
    <w:rsid w:val="002702FD"/>
    <w:rsid w:val="0027044C"/>
    <w:rsid w:val="00270500"/>
    <w:rsid w:val="00270557"/>
    <w:rsid w:val="00270662"/>
    <w:rsid w:val="00270719"/>
    <w:rsid w:val="00270CD9"/>
    <w:rsid w:val="00270F23"/>
    <w:rsid w:val="0027130A"/>
    <w:rsid w:val="00271381"/>
    <w:rsid w:val="0027152C"/>
    <w:rsid w:val="00271544"/>
    <w:rsid w:val="00271AFF"/>
    <w:rsid w:val="00271B37"/>
    <w:rsid w:val="00272434"/>
    <w:rsid w:val="002724E1"/>
    <w:rsid w:val="0027251E"/>
    <w:rsid w:val="0027272F"/>
    <w:rsid w:val="002727E0"/>
    <w:rsid w:val="002729BB"/>
    <w:rsid w:val="00272A18"/>
    <w:rsid w:val="00272C96"/>
    <w:rsid w:val="00272F21"/>
    <w:rsid w:val="00272F52"/>
    <w:rsid w:val="002732E4"/>
    <w:rsid w:val="0027350F"/>
    <w:rsid w:val="002736BA"/>
    <w:rsid w:val="00273771"/>
    <w:rsid w:val="00273784"/>
    <w:rsid w:val="00273788"/>
    <w:rsid w:val="002737C6"/>
    <w:rsid w:val="002737E8"/>
    <w:rsid w:val="002738F7"/>
    <w:rsid w:val="002739D6"/>
    <w:rsid w:val="00273A15"/>
    <w:rsid w:val="00273A35"/>
    <w:rsid w:val="00273B66"/>
    <w:rsid w:val="00273B79"/>
    <w:rsid w:val="00273B8C"/>
    <w:rsid w:val="00273CC6"/>
    <w:rsid w:val="00273DE8"/>
    <w:rsid w:val="00274195"/>
    <w:rsid w:val="00274224"/>
    <w:rsid w:val="00274509"/>
    <w:rsid w:val="00274623"/>
    <w:rsid w:val="002749D8"/>
    <w:rsid w:val="00274DC9"/>
    <w:rsid w:val="00274EB1"/>
    <w:rsid w:val="0027503C"/>
    <w:rsid w:val="002751B9"/>
    <w:rsid w:val="002751E7"/>
    <w:rsid w:val="0027528B"/>
    <w:rsid w:val="002754EA"/>
    <w:rsid w:val="00275619"/>
    <w:rsid w:val="002758A2"/>
    <w:rsid w:val="00275D7F"/>
    <w:rsid w:val="00275F9D"/>
    <w:rsid w:val="002760E5"/>
    <w:rsid w:val="0027631A"/>
    <w:rsid w:val="0027637D"/>
    <w:rsid w:val="002763C5"/>
    <w:rsid w:val="00276569"/>
    <w:rsid w:val="00276A2A"/>
    <w:rsid w:val="00276A62"/>
    <w:rsid w:val="00276AE9"/>
    <w:rsid w:val="00276C1D"/>
    <w:rsid w:val="00276C9B"/>
    <w:rsid w:val="00276EA1"/>
    <w:rsid w:val="00276F8C"/>
    <w:rsid w:val="00276FAD"/>
    <w:rsid w:val="00276FBA"/>
    <w:rsid w:val="0027759B"/>
    <w:rsid w:val="002776A1"/>
    <w:rsid w:val="00277894"/>
    <w:rsid w:val="002779FD"/>
    <w:rsid w:val="00277B10"/>
    <w:rsid w:val="00280075"/>
    <w:rsid w:val="0028016A"/>
    <w:rsid w:val="002801A8"/>
    <w:rsid w:val="002801ED"/>
    <w:rsid w:val="002804D4"/>
    <w:rsid w:val="002805D2"/>
    <w:rsid w:val="002806DF"/>
    <w:rsid w:val="0028086E"/>
    <w:rsid w:val="002808E5"/>
    <w:rsid w:val="00280AB8"/>
    <w:rsid w:val="00280C27"/>
    <w:rsid w:val="00280EFA"/>
    <w:rsid w:val="0028120B"/>
    <w:rsid w:val="00281399"/>
    <w:rsid w:val="002814EB"/>
    <w:rsid w:val="002815AE"/>
    <w:rsid w:val="0028162E"/>
    <w:rsid w:val="0028167E"/>
    <w:rsid w:val="00281846"/>
    <w:rsid w:val="00281987"/>
    <w:rsid w:val="002819A2"/>
    <w:rsid w:val="00281B5D"/>
    <w:rsid w:val="00281C8E"/>
    <w:rsid w:val="00281D59"/>
    <w:rsid w:val="00281DDF"/>
    <w:rsid w:val="00282636"/>
    <w:rsid w:val="00282637"/>
    <w:rsid w:val="00282670"/>
    <w:rsid w:val="002826ED"/>
    <w:rsid w:val="00282CF4"/>
    <w:rsid w:val="00282DB3"/>
    <w:rsid w:val="00282DF5"/>
    <w:rsid w:val="00283251"/>
    <w:rsid w:val="0028326E"/>
    <w:rsid w:val="002838AB"/>
    <w:rsid w:val="00283A28"/>
    <w:rsid w:val="00283ADD"/>
    <w:rsid w:val="00283AF1"/>
    <w:rsid w:val="00283BC6"/>
    <w:rsid w:val="00283C56"/>
    <w:rsid w:val="002840CC"/>
    <w:rsid w:val="002843B4"/>
    <w:rsid w:val="0028443C"/>
    <w:rsid w:val="00284454"/>
    <w:rsid w:val="00284506"/>
    <w:rsid w:val="0028452F"/>
    <w:rsid w:val="00284904"/>
    <w:rsid w:val="00284B5E"/>
    <w:rsid w:val="00284CCE"/>
    <w:rsid w:val="0028525F"/>
    <w:rsid w:val="002852A7"/>
    <w:rsid w:val="00285364"/>
    <w:rsid w:val="0028554C"/>
    <w:rsid w:val="002855EA"/>
    <w:rsid w:val="0028598A"/>
    <w:rsid w:val="00285A70"/>
    <w:rsid w:val="00285AAC"/>
    <w:rsid w:val="00285AD6"/>
    <w:rsid w:val="00285B7C"/>
    <w:rsid w:val="00285C7B"/>
    <w:rsid w:val="00285C8D"/>
    <w:rsid w:val="00285CEB"/>
    <w:rsid w:val="00285E42"/>
    <w:rsid w:val="00286149"/>
    <w:rsid w:val="00286351"/>
    <w:rsid w:val="002864BB"/>
    <w:rsid w:val="002866ED"/>
    <w:rsid w:val="0028674B"/>
    <w:rsid w:val="00286D19"/>
    <w:rsid w:val="00286D29"/>
    <w:rsid w:val="002871E9"/>
    <w:rsid w:val="00287A8C"/>
    <w:rsid w:val="00287B59"/>
    <w:rsid w:val="0029006E"/>
    <w:rsid w:val="00290277"/>
    <w:rsid w:val="002905AE"/>
    <w:rsid w:val="00290653"/>
    <w:rsid w:val="002906B0"/>
    <w:rsid w:val="00290898"/>
    <w:rsid w:val="002909A3"/>
    <w:rsid w:val="00290F2A"/>
    <w:rsid w:val="002912D3"/>
    <w:rsid w:val="0029175A"/>
    <w:rsid w:val="00291831"/>
    <w:rsid w:val="002918C9"/>
    <w:rsid w:val="00291D23"/>
    <w:rsid w:val="00292217"/>
    <w:rsid w:val="0029223A"/>
    <w:rsid w:val="00292478"/>
    <w:rsid w:val="002924BA"/>
    <w:rsid w:val="00292629"/>
    <w:rsid w:val="002929FF"/>
    <w:rsid w:val="0029301A"/>
    <w:rsid w:val="00293684"/>
    <w:rsid w:val="00293722"/>
    <w:rsid w:val="00293A82"/>
    <w:rsid w:val="00293F73"/>
    <w:rsid w:val="0029408D"/>
    <w:rsid w:val="0029411D"/>
    <w:rsid w:val="00294302"/>
    <w:rsid w:val="0029452D"/>
    <w:rsid w:val="0029474C"/>
    <w:rsid w:val="00294BD1"/>
    <w:rsid w:val="00294F3E"/>
    <w:rsid w:val="00294F86"/>
    <w:rsid w:val="002954CB"/>
    <w:rsid w:val="00295503"/>
    <w:rsid w:val="0029552B"/>
    <w:rsid w:val="0029591D"/>
    <w:rsid w:val="00295AA8"/>
    <w:rsid w:val="00295AB6"/>
    <w:rsid w:val="00295ABB"/>
    <w:rsid w:val="00295EEC"/>
    <w:rsid w:val="00296236"/>
    <w:rsid w:val="00296339"/>
    <w:rsid w:val="002964F6"/>
    <w:rsid w:val="00296515"/>
    <w:rsid w:val="0029655A"/>
    <w:rsid w:val="0029677E"/>
    <w:rsid w:val="002967F0"/>
    <w:rsid w:val="002969AC"/>
    <w:rsid w:val="00296C0C"/>
    <w:rsid w:val="00296E4E"/>
    <w:rsid w:val="002970E7"/>
    <w:rsid w:val="00297107"/>
    <w:rsid w:val="0029719C"/>
    <w:rsid w:val="0029743D"/>
    <w:rsid w:val="00297457"/>
    <w:rsid w:val="00297628"/>
    <w:rsid w:val="002978DC"/>
    <w:rsid w:val="00297C09"/>
    <w:rsid w:val="00297C1A"/>
    <w:rsid w:val="00297DEE"/>
    <w:rsid w:val="002A05A3"/>
    <w:rsid w:val="002A05ED"/>
    <w:rsid w:val="002A0630"/>
    <w:rsid w:val="002A06C2"/>
    <w:rsid w:val="002A0850"/>
    <w:rsid w:val="002A0957"/>
    <w:rsid w:val="002A0A7E"/>
    <w:rsid w:val="002A0CCA"/>
    <w:rsid w:val="002A0D08"/>
    <w:rsid w:val="002A0FAD"/>
    <w:rsid w:val="002A12DE"/>
    <w:rsid w:val="002A14F7"/>
    <w:rsid w:val="002A1522"/>
    <w:rsid w:val="002A16FD"/>
    <w:rsid w:val="002A1A44"/>
    <w:rsid w:val="002A1A89"/>
    <w:rsid w:val="002A1CB2"/>
    <w:rsid w:val="002A1D00"/>
    <w:rsid w:val="002A1D34"/>
    <w:rsid w:val="002A205F"/>
    <w:rsid w:val="002A2077"/>
    <w:rsid w:val="002A2171"/>
    <w:rsid w:val="002A21DD"/>
    <w:rsid w:val="002A2222"/>
    <w:rsid w:val="002A2245"/>
    <w:rsid w:val="002A2271"/>
    <w:rsid w:val="002A2369"/>
    <w:rsid w:val="002A23E4"/>
    <w:rsid w:val="002A245C"/>
    <w:rsid w:val="002A24CA"/>
    <w:rsid w:val="002A2643"/>
    <w:rsid w:val="002A26C5"/>
    <w:rsid w:val="002A284B"/>
    <w:rsid w:val="002A2973"/>
    <w:rsid w:val="002A2E0F"/>
    <w:rsid w:val="002A31E6"/>
    <w:rsid w:val="002A39F1"/>
    <w:rsid w:val="002A3BCC"/>
    <w:rsid w:val="002A3DA0"/>
    <w:rsid w:val="002A3DF4"/>
    <w:rsid w:val="002A3E82"/>
    <w:rsid w:val="002A3F70"/>
    <w:rsid w:val="002A41B4"/>
    <w:rsid w:val="002A42A4"/>
    <w:rsid w:val="002A4390"/>
    <w:rsid w:val="002A4466"/>
    <w:rsid w:val="002A455D"/>
    <w:rsid w:val="002A45E1"/>
    <w:rsid w:val="002A49D6"/>
    <w:rsid w:val="002A4A5C"/>
    <w:rsid w:val="002A4AF5"/>
    <w:rsid w:val="002A4CA8"/>
    <w:rsid w:val="002A4D41"/>
    <w:rsid w:val="002A51AF"/>
    <w:rsid w:val="002A520C"/>
    <w:rsid w:val="002A522C"/>
    <w:rsid w:val="002A52DD"/>
    <w:rsid w:val="002A53B9"/>
    <w:rsid w:val="002A5772"/>
    <w:rsid w:val="002A5851"/>
    <w:rsid w:val="002A5BC4"/>
    <w:rsid w:val="002A5C22"/>
    <w:rsid w:val="002A5CAB"/>
    <w:rsid w:val="002A6247"/>
    <w:rsid w:val="002A6529"/>
    <w:rsid w:val="002A65E9"/>
    <w:rsid w:val="002A688F"/>
    <w:rsid w:val="002A6BE7"/>
    <w:rsid w:val="002A6CC9"/>
    <w:rsid w:val="002A6D51"/>
    <w:rsid w:val="002A6D56"/>
    <w:rsid w:val="002A706C"/>
    <w:rsid w:val="002A70BB"/>
    <w:rsid w:val="002A7408"/>
    <w:rsid w:val="002A7980"/>
    <w:rsid w:val="002A7BC7"/>
    <w:rsid w:val="002A7D87"/>
    <w:rsid w:val="002B070F"/>
    <w:rsid w:val="002B0967"/>
    <w:rsid w:val="002B0EFD"/>
    <w:rsid w:val="002B11AE"/>
    <w:rsid w:val="002B13F5"/>
    <w:rsid w:val="002B1422"/>
    <w:rsid w:val="002B1439"/>
    <w:rsid w:val="002B155C"/>
    <w:rsid w:val="002B187D"/>
    <w:rsid w:val="002B1982"/>
    <w:rsid w:val="002B19AC"/>
    <w:rsid w:val="002B1A89"/>
    <w:rsid w:val="002B1BA5"/>
    <w:rsid w:val="002B2055"/>
    <w:rsid w:val="002B21D5"/>
    <w:rsid w:val="002B230B"/>
    <w:rsid w:val="002B2416"/>
    <w:rsid w:val="002B2432"/>
    <w:rsid w:val="002B279B"/>
    <w:rsid w:val="002B27CF"/>
    <w:rsid w:val="002B29C3"/>
    <w:rsid w:val="002B2B71"/>
    <w:rsid w:val="002B2BDA"/>
    <w:rsid w:val="002B2D03"/>
    <w:rsid w:val="002B2DD0"/>
    <w:rsid w:val="002B2DF9"/>
    <w:rsid w:val="002B2E30"/>
    <w:rsid w:val="002B2E40"/>
    <w:rsid w:val="002B2F7E"/>
    <w:rsid w:val="002B3179"/>
    <w:rsid w:val="002B317B"/>
    <w:rsid w:val="002B3405"/>
    <w:rsid w:val="002B3457"/>
    <w:rsid w:val="002B370A"/>
    <w:rsid w:val="002B3966"/>
    <w:rsid w:val="002B3C8C"/>
    <w:rsid w:val="002B3D2D"/>
    <w:rsid w:val="002B3DF2"/>
    <w:rsid w:val="002B443B"/>
    <w:rsid w:val="002B4486"/>
    <w:rsid w:val="002B471A"/>
    <w:rsid w:val="002B4819"/>
    <w:rsid w:val="002B481A"/>
    <w:rsid w:val="002B4F5B"/>
    <w:rsid w:val="002B5067"/>
    <w:rsid w:val="002B5158"/>
    <w:rsid w:val="002B52A5"/>
    <w:rsid w:val="002B53F2"/>
    <w:rsid w:val="002B5617"/>
    <w:rsid w:val="002B57D5"/>
    <w:rsid w:val="002B5807"/>
    <w:rsid w:val="002B59DA"/>
    <w:rsid w:val="002B5A3E"/>
    <w:rsid w:val="002B5DA3"/>
    <w:rsid w:val="002B6013"/>
    <w:rsid w:val="002B6128"/>
    <w:rsid w:val="002B6167"/>
    <w:rsid w:val="002B6238"/>
    <w:rsid w:val="002B64EF"/>
    <w:rsid w:val="002B65F5"/>
    <w:rsid w:val="002B6600"/>
    <w:rsid w:val="002B69A2"/>
    <w:rsid w:val="002B6E5E"/>
    <w:rsid w:val="002B70AA"/>
    <w:rsid w:val="002B7205"/>
    <w:rsid w:val="002B72B1"/>
    <w:rsid w:val="002B74B0"/>
    <w:rsid w:val="002B7A4E"/>
    <w:rsid w:val="002B7AC1"/>
    <w:rsid w:val="002B7C1D"/>
    <w:rsid w:val="002B7E06"/>
    <w:rsid w:val="002C0003"/>
    <w:rsid w:val="002C0049"/>
    <w:rsid w:val="002C0120"/>
    <w:rsid w:val="002C0703"/>
    <w:rsid w:val="002C0808"/>
    <w:rsid w:val="002C08EF"/>
    <w:rsid w:val="002C0E65"/>
    <w:rsid w:val="002C0FD2"/>
    <w:rsid w:val="002C11BE"/>
    <w:rsid w:val="002C1299"/>
    <w:rsid w:val="002C12A6"/>
    <w:rsid w:val="002C16F0"/>
    <w:rsid w:val="002C17B7"/>
    <w:rsid w:val="002C196D"/>
    <w:rsid w:val="002C1B5A"/>
    <w:rsid w:val="002C2048"/>
    <w:rsid w:val="002C20F6"/>
    <w:rsid w:val="002C2149"/>
    <w:rsid w:val="002C2351"/>
    <w:rsid w:val="002C2428"/>
    <w:rsid w:val="002C2442"/>
    <w:rsid w:val="002C2B1E"/>
    <w:rsid w:val="002C2CD7"/>
    <w:rsid w:val="002C2CEF"/>
    <w:rsid w:val="002C2E13"/>
    <w:rsid w:val="002C3393"/>
    <w:rsid w:val="002C33B3"/>
    <w:rsid w:val="002C372D"/>
    <w:rsid w:val="002C39D1"/>
    <w:rsid w:val="002C3BB6"/>
    <w:rsid w:val="002C3DC5"/>
    <w:rsid w:val="002C3EA1"/>
    <w:rsid w:val="002C43BA"/>
    <w:rsid w:val="002C4402"/>
    <w:rsid w:val="002C44EB"/>
    <w:rsid w:val="002C475F"/>
    <w:rsid w:val="002C4CBC"/>
    <w:rsid w:val="002C4F68"/>
    <w:rsid w:val="002C4FD7"/>
    <w:rsid w:val="002C50DD"/>
    <w:rsid w:val="002C5196"/>
    <w:rsid w:val="002C51B2"/>
    <w:rsid w:val="002C5232"/>
    <w:rsid w:val="002C554E"/>
    <w:rsid w:val="002C5725"/>
    <w:rsid w:val="002C5D87"/>
    <w:rsid w:val="002C6037"/>
    <w:rsid w:val="002C64E4"/>
    <w:rsid w:val="002C65F3"/>
    <w:rsid w:val="002C6816"/>
    <w:rsid w:val="002C690B"/>
    <w:rsid w:val="002C6B14"/>
    <w:rsid w:val="002C6B83"/>
    <w:rsid w:val="002C6BE4"/>
    <w:rsid w:val="002C6FDE"/>
    <w:rsid w:val="002C7183"/>
    <w:rsid w:val="002C7560"/>
    <w:rsid w:val="002C776E"/>
    <w:rsid w:val="002C77EE"/>
    <w:rsid w:val="002C7DDD"/>
    <w:rsid w:val="002C7F74"/>
    <w:rsid w:val="002D0046"/>
    <w:rsid w:val="002D0065"/>
    <w:rsid w:val="002D01B8"/>
    <w:rsid w:val="002D0632"/>
    <w:rsid w:val="002D0AD9"/>
    <w:rsid w:val="002D0B5D"/>
    <w:rsid w:val="002D0D3B"/>
    <w:rsid w:val="002D0E3C"/>
    <w:rsid w:val="002D1180"/>
    <w:rsid w:val="002D138B"/>
    <w:rsid w:val="002D14D0"/>
    <w:rsid w:val="002D16A4"/>
    <w:rsid w:val="002D178D"/>
    <w:rsid w:val="002D1883"/>
    <w:rsid w:val="002D2147"/>
    <w:rsid w:val="002D240D"/>
    <w:rsid w:val="002D24FE"/>
    <w:rsid w:val="002D25DA"/>
    <w:rsid w:val="002D265E"/>
    <w:rsid w:val="002D273B"/>
    <w:rsid w:val="002D284F"/>
    <w:rsid w:val="002D2D49"/>
    <w:rsid w:val="002D2F62"/>
    <w:rsid w:val="002D3091"/>
    <w:rsid w:val="002D3192"/>
    <w:rsid w:val="002D3639"/>
    <w:rsid w:val="002D36B1"/>
    <w:rsid w:val="002D3ABB"/>
    <w:rsid w:val="002D3B05"/>
    <w:rsid w:val="002D3C21"/>
    <w:rsid w:val="002D3C40"/>
    <w:rsid w:val="002D4021"/>
    <w:rsid w:val="002D44EC"/>
    <w:rsid w:val="002D45BD"/>
    <w:rsid w:val="002D47EE"/>
    <w:rsid w:val="002D4B4C"/>
    <w:rsid w:val="002D4B6E"/>
    <w:rsid w:val="002D4D5C"/>
    <w:rsid w:val="002D4F01"/>
    <w:rsid w:val="002D52B1"/>
    <w:rsid w:val="002D52EC"/>
    <w:rsid w:val="002D5623"/>
    <w:rsid w:val="002D56F0"/>
    <w:rsid w:val="002D588F"/>
    <w:rsid w:val="002D594E"/>
    <w:rsid w:val="002D5BD2"/>
    <w:rsid w:val="002D5CC7"/>
    <w:rsid w:val="002D5E3A"/>
    <w:rsid w:val="002D6022"/>
    <w:rsid w:val="002D60FA"/>
    <w:rsid w:val="002D64FA"/>
    <w:rsid w:val="002D6713"/>
    <w:rsid w:val="002D692A"/>
    <w:rsid w:val="002D6D6E"/>
    <w:rsid w:val="002D6D92"/>
    <w:rsid w:val="002D6E06"/>
    <w:rsid w:val="002D6ED4"/>
    <w:rsid w:val="002D700F"/>
    <w:rsid w:val="002D7220"/>
    <w:rsid w:val="002D72D9"/>
    <w:rsid w:val="002D7326"/>
    <w:rsid w:val="002D7472"/>
    <w:rsid w:val="002D7913"/>
    <w:rsid w:val="002D7A6B"/>
    <w:rsid w:val="002D7B2D"/>
    <w:rsid w:val="002D7B92"/>
    <w:rsid w:val="002D7C14"/>
    <w:rsid w:val="002D7CB8"/>
    <w:rsid w:val="002D7DBA"/>
    <w:rsid w:val="002D7EF2"/>
    <w:rsid w:val="002D7F79"/>
    <w:rsid w:val="002E00E5"/>
    <w:rsid w:val="002E03B3"/>
    <w:rsid w:val="002E0509"/>
    <w:rsid w:val="002E079A"/>
    <w:rsid w:val="002E0C92"/>
    <w:rsid w:val="002E0E3B"/>
    <w:rsid w:val="002E0FF9"/>
    <w:rsid w:val="002E110E"/>
    <w:rsid w:val="002E12D7"/>
    <w:rsid w:val="002E135C"/>
    <w:rsid w:val="002E13E9"/>
    <w:rsid w:val="002E15DC"/>
    <w:rsid w:val="002E16EF"/>
    <w:rsid w:val="002E19DE"/>
    <w:rsid w:val="002E1A48"/>
    <w:rsid w:val="002E1C6B"/>
    <w:rsid w:val="002E26C2"/>
    <w:rsid w:val="002E2D8D"/>
    <w:rsid w:val="002E2E27"/>
    <w:rsid w:val="002E2EE2"/>
    <w:rsid w:val="002E2F3C"/>
    <w:rsid w:val="002E30A4"/>
    <w:rsid w:val="002E30DD"/>
    <w:rsid w:val="002E30FE"/>
    <w:rsid w:val="002E30FF"/>
    <w:rsid w:val="002E3524"/>
    <w:rsid w:val="002E3532"/>
    <w:rsid w:val="002E36DE"/>
    <w:rsid w:val="002E374E"/>
    <w:rsid w:val="002E37AA"/>
    <w:rsid w:val="002E39C5"/>
    <w:rsid w:val="002E3B1B"/>
    <w:rsid w:val="002E3B44"/>
    <w:rsid w:val="002E3C9D"/>
    <w:rsid w:val="002E3EA2"/>
    <w:rsid w:val="002E3EB0"/>
    <w:rsid w:val="002E3F12"/>
    <w:rsid w:val="002E3FF4"/>
    <w:rsid w:val="002E42DF"/>
    <w:rsid w:val="002E4525"/>
    <w:rsid w:val="002E475D"/>
    <w:rsid w:val="002E4B31"/>
    <w:rsid w:val="002E4C17"/>
    <w:rsid w:val="002E4D18"/>
    <w:rsid w:val="002E4D4C"/>
    <w:rsid w:val="002E4EDB"/>
    <w:rsid w:val="002E500F"/>
    <w:rsid w:val="002E5330"/>
    <w:rsid w:val="002E5358"/>
    <w:rsid w:val="002E53AA"/>
    <w:rsid w:val="002E5623"/>
    <w:rsid w:val="002E5805"/>
    <w:rsid w:val="002E5B71"/>
    <w:rsid w:val="002E5D45"/>
    <w:rsid w:val="002E5EDE"/>
    <w:rsid w:val="002E6498"/>
    <w:rsid w:val="002E6950"/>
    <w:rsid w:val="002E6A4F"/>
    <w:rsid w:val="002E6AC5"/>
    <w:rsid w:val="002E6BE8"/>
    <w:rsid w:val="002E6C1E"/>
    <w:rsid w:val="002E6CD7"/>
    <w:rsid w:val="002E6ED6"/>
    <w:rsid w:val="002E6F76"/>
    <w:rsid w:val="002E6F8E"/>
    <w:rsid w:val="002E7004"/>
    <w:rsid w:val="002E7033"/>
    <w:rsid w:val="002E736C"/>
    <w:rsid w:val="002E7373"/>
    <w:rsid w:val="002E79A6"/>
    <w:rsid w:val="002E7AB5"/>
    <w:rsid w:val="002E7B3F"/>
    <w:rsid w:val="002E7B9B"/>
    <w:rsid w:val="002E7BCF"/>
    <w:rsid w:val="002E7C7A"/>
    <w:rsid w:val="002E7DB9"/>
    <w:rsid w:val="002E7F1B"/>
    <w:rsid w:val="002F0075"/>
    <w:rsid w:val="002F03B1"/>
    <w:rsid w:val="002F0748"/>
    <w:rsid w:val="002F08DD"/>
    <w:rsid w:val="002F0AFA"/>
    <w:rsid w:val="002F0C5C"/>
    <w:rsid w:val="002F0D36"/>
    <w:rsid w:val="002F0E82"/>
    <w:rsid w:val="002F12A9"/>
    <w:rsid w:val="002F1315"/>
    <w:rsid w:val="002F1343"/>
    <w:rsid w:val="002F155B"/>
    <w:rsid w:val="002F18B5"/>
    <w:rsid w:val="002F1E12"/>
    <w:rsid w:val="002F1FF6"/>
    <w:rsid w:val="002F20C5"/>
    <w:rsid w:val="002F2201"/>
    <w:rsid w:val="002F223C"/>
    <w:rsid w:val="002F2493"/>
    <w:rsid w:val="002F2E5D"/>
    <w:rsid w:val="002F2E99"/>
    <w:rsid w:val="002F2EAB"/>
    <w:rsid w:val="002F2FBD"/>
    <w:rsid w:val="002F329B"/>
    <w:rsid w:val="002F32F4"/>
    <w:rsid w:val="002F3340"/>
    <w:rsid w:val="002F36CF"/>
    <w:rsid w:val="002F3ABA"/>
    <w:rsid w:val="002F3CE2"/>
    <w:rsid w:val="002F3CFE"/>
    <w:rsid w:val="002F3DA8"/>
    <w:rsid w:val="002F4114"/>
    <w:rsid w:val="002F4168"/>
    <w:rsid w:val="002F4583"/>
    <w:rsid w:val="002F4BBE"/>
    <w:rsid w:val="002F4C86"/>
    <w:rsid w:val="002F4E1A"/>
    <w:rsid w:val="002F505F"/>
    <w:rsid w:val="002F50C4"/>
    <w:rsid w:val="002F5273"/>
    <w:rsid w:val="002F533E"/>
    <w:rsid w:val="002F5693"/>
    <w:rsid w:val="002F599D"/>
    <w:rsid w:val="002F5A1E"/>
    <w:rsid w:val="002F5AD8"/>
    <w:rsid w:val="002F5D12"/>
    <w:rsid w:val="002F618B"/>
    <w:rsid w:val="002F63A7"/>
    <w:rsid w:val="002F63FE"/>
    <w:rsid w:val="002F643D"/>
    <w:rsid w:val="002F6628"/>
    <w:rsid w:val="002F6670"/>
    <w:rsid w:val="002F6AEE"/>
    <w:rsid w:val="002F6D8A"/>
    <w:rsid w:val="002F6E06"/>
    <w:rsid w:val="002F7263"/>
    <w:rsid w:val="002F7386"/>
    <w:rsid w:val="002F74FD"/>
    <w:rsid w:val="002F7853"/>
    <w:rsid w:val="002F7893"/>
    <w:rsid w:val="002F7932"/>
    <w:rsid w:val="002F7E71"/>
    <w:rsid w:val="003000C1"/>
    <w:rsid w:val="003001E2"/>
    <w:rsid w:val="0030032E"/>
    <w:rsid w:val="003004EC"/>
    <w:rsid w:val="00300530"/>
    <w:rsid w:val="00300531"/>
    <w:rsid w:val="00300536"/>
    <w:rsid w:val="003005BC"/>
    <w:rsid w:val="0030071E"/>
    <w:rsid w:val="00300762"/>
    <w:rsid w:val="003008D3"/>
    <w:rsid w:val="00300E17"/>
    <w:rsid w:val="00300FFB"/>
    <w:rsid w:val="00301183"/>
    <w:rsid w:val="00301263"/>
    <w:rsid w:val="003012EC"/>
    <w:rsid w:val="00301442"/>
    <w:rsid w:val="00301642"/>
    <w:rsid w:val="00301B78"/>
    <w:rsid w:val="00301BE8"/>
    <w:rsid w:val="00301F29"/>
    <w:rsid w:val="00302031"/>
    <w:rsid w:val="0030223E"/>
    <w:rsid w:val="00302260"/>
    <w:rsid w:val="003022DE"/>
    <w:rsid w:val="003024E7"/>
    <w:rsid w:val="003024F0"/>
    <w:rsid w:val="003025D0"/>
    <w:rsid w:val="003025D5"/>
    <w:rsid w:val="00302602"/>
    <w:rsid w:val="00302718"/>
    <w:rsid w:val="0030296D"/>
    <w:rsid w:val="00302B24"/>
    <w:rsid w:val="00303104"/>
    <w:rsid w:val="003031AF"/>
    <w:rsid w:val="0030363F"/>
    <w:rsid w:val="003037BF"/>
    <w:rsid w:val="00303A45"/>
    <w:rsid w:val="00303A56"/>
    <w:rsid w:val="00303C89"/>
    <w:rsid w:val="00304599"/>
    <w:rsid w:val="00304799"/>
    <w:rsid w:val="003049DD"/>
    <w:rsid w:val="00304A58"/>
    <w:rsid w:val="00304A95"/>
    <w:rsid w:val="00304B80"/>
    <w:rsid w:val="00304CBC"/>
    <w:rsid w:val="00304CF0"/>
    <w:rsid w:val="00304F39"/>
    <w:rsid w:val="003052B2"/>
    <w:rsid w:val="0030560E"/>
    <w:rsid w:val="003058C5"/>
    <w:rsid w:val="00305961"/>
    <w:rsid w:val="003059A3"/>
    <w:rsid w:val="00305C2F"/>
    <w:rsid w:val="00305D57"/>
    <w:rsid w:val="00305EF4"/>
    <w:rsid w:val="00305F42"/>
    <w:rsid w:val="00305F59"/>
    <w:rsid w:val="00306340"/>
    <w:rsid w:val="003065FD"/>
    <w:rsid w:val="00306A10"/>
    <w:rsid w:val="00306A81"/>
    <w:rsid w:val="00306A85"/>
    <w:rsid w:val="00306C1C"/>
    <w:rsid w:val="00306D29"/>
    <w:rsid w:val="00306DB6"/>
    <w:rsid w:val="0030706F"/>
    <w:rsid w:val="003071A6"/>
    <w:rsid w:val="003073C0"/>
    <w:rsid w:val="00307723"/>
    <w:rsid w:val="00307DF8"/>
    <w:rsid w:val="00307E79"/>
    <w:rsid w:val="00307E8E"/>
    <w:rsid w:val="00310902"/>
    <w:rsid w:val="00310A2C"/>
    <w:rsid w:val="00310A65"/>
    <w:rsid w:val="00310BCC"/>
    <w:rsid w:val="00310C12"/>
    <w:rsid w:val="00310CF4"/>
    <w:rsid w:val="00310E21"/>
    <w:rsid w:val="00311004"/>
    <w:rsid w:val="0031102D"/>
    <w:rsid w:val="00311281"/>
    <w:rsid w:val="0031155E"/>
    <w:rsid w:val="0031157F"/>
    <w:rsid w:val="00311785"/>
    <w:rsid w:val="00311FF0"/>
    <w:rsid w:val="00312514"/>
    <w:rsid w:val="00312816"/>
    <w:rsid w:val="00312931"/>
    <w:rsid w:val="00312A1E"/>
    <w:rsid w:val="00312A20"/>
    <w:rsid w:val="00312A2D"/>
    <w:rsid w:val="00312CB6"/>
    <w:rsid w:val="00312D92"/>
    <w:rsid w:val="00312DB5"/>
    <w:rsid w:val="00312F2B"/>
    <w:rsid w:val="00313145"/>
    <w:rsid w:val="00313AA1"/>
    <w:rsid w:val="00313D53"/>
    <w:rsid w:val="003141D0"/>
    <w:rsid w:val="0031423D"/>
    <w:rsid w:val="0031435B"/>
    <w:rsid w:val="00314468"/>
    <w:rsid w:val="00314482"/>
    <w:rsid w:val="003145AF"/>
    <w:rsid w:val="0031496A"/>
    <w:rsid w:val="00314AB9"/>
    <w:rsid w:val="00314E70"/>
    <w:rsid w:val="0031508D"/>
    <w:rsid w:val="003150BA"/>
    <w:rsid w:val="00315329"/>
    <w:rsid w:val="0031536C"/>
    <w:rsid w:val="00315488"/>
    <w:rsid w:val="0031577E"/>
    <w:rsid w:val="00315B2A"/>
    <w:rsid w:val="00315F91"/>
    <w:rsid w:val="0031626D"/>
    <w:rsid w:val="00316362"/>
    <w:rsid w:val="00316625"/>
    <w:rsid w:val="00316671"/>
    <w:rsid w:val="00316EEA"/>
    <w:rsid w:val="0031724D"/>
    <w:rsid w:val="003173D3"/>
    <w:rsid w:val="00317479"/>
    <w:rsid w:val="00317766"/>
    <w:rsid w:val="003178F4"/>
    <w:rsid w:val="00317AE6"/>
    <w:rsid w:val="00317B17"/>
    <w:rsid w:val="00317C07"/>
    <w:rsid w:val="00317C2D"/>
    <w:rsid w:val="00317F96"/>
    <w:rsid w:val="0032016F"/>
    <w:rsid w:val="00320238"/>
    <w:rsid w:val="0032025E"/>
    <w:rsid w:val="0032039F"/>
    <w:rsid w:val="003203EC"/>
    <w:rsid w:val="003205B0"/>
    <w:rsid w:val="00320A3E"/>
    <w:rsid w:val="00320CFC"/>
    <w:rsid w:val="00320EBE"/>
    <w:rsid w:val="00320F41"/>
    <w:rsid w:val="003212C4"/>
    <w:rsid w:val="003212E8"/>
    <w:rsid w:val="00321459"/>
    <w:rsid w:val="003215C6"/>
    <w:rsid w:val="0032163B"/>
    <w:rsid w:val="00321994"/>
    <w:rsid w:val="003219EE"/>
    <w:rsid w:val="00321A9C"/>
    <w:rsid w:val="00321EEA"/>
    <w:rsid w:val="00321EFC"/>
    <w:rsid w:val="00322316"/>
    <w:rsid w:val="0032250B"/>
    <w:rsid w:val="003225C1"/>
    <w:rsid w:val="003227CE"/>
    <w:rsid w:val="0032295B"/>
    <w:rsid w:val="00322AED"/>
    <w:rsid w:val="00322ED2"/>
    <w:rsid w:val="00322EF8"/>
    <w:rsid w:val="00322FB8"/>
    <w:rsid w:val="00322FEF"/>
    <w:rsid w:val="003230E6"/>
    <w:rsid w:val="0032399B"/>
    <w:rsid w:val="00323A2B"/>
    <w:rsid w:val="00323C73"/>
    <w:rsid w:val="00323EA3"/>
    <w:rsid w:val="00323EB5"/>
    <w:rsid w:val="00323F57"/>
    <w:rsid w:val="00324066"/>
    <w:rsid w:val="003245B7"/>
    <w:rsid w:val="0032463E"/>
    <w:rsid w:val="0032472B"/>
    <w:rsid w:val="00324831"/>
    <w:rsid w:val="003248C2"/>
    <w:rsid w:val="00324C53"/>
    <w:rsid w:val="00324CCF"/>
    <w:rsid w:val="00324E99"/>
    <w:rsid w:val="003250F6"/>
    <w:rsid w:val="00325349"/>
    <w:rsid w:val="003256AA"/>
    <w:rsid w:val="003258A2"/>
    <w:rsid w:val="00325991"/>
    <w:rsid w:val="00325BAA"/>
    <w:rsid w:val="00325C1C"/>
    <w:rsid w:val="00325C37"/>
    <w:rsid w:val="00325C77"/>
    <w:rsid w:val="00325F02"/>
    <w:rsid w:val="00325F64"/>
    <w:rsid w:val="00325FC2"/>
    <w:rsid w:val="00326028"/>
    <w:rsid w:val="003260CC"/>
    <w:rsid w:val="003260CF"/>
    <w:rsid w:val="00326113"/>
    <w:rsid w:val="0032622B"/>
    <w:rsid w:val="003262E4"/>
    <w:rsid w:val="00326352"/>
    <w:rsid w:val="00326354"/>
    <w:rsid w:val="0032637E"/>
    <w:rsid w:val="00326491"/>
    <w:rsid w:val="0032655C"/>
    <w:rsid w:val="0032665F"/>
    <w:rsid w:val="00326669"/>
    <w:rsid w:val="00326857"/>
    <w:rsid w:val="0032693B"/>
    <w:rsid w:val="003269EF"/>
    <w:rsid w:val="00326B4D"/>
    <w:rsid w:val="00326BC5"/>
    <w:rsid w:val="00326CD7"/>
    <w:rsid w:val="00326CE2"/>
    <w:rsid w:val="00326D41"/>
    <w:rsid w:val="00326DA8"/>
    <w:rsid w:val="00327091"/>
    <w:rsid w:val="003276AA"/>
    <w:rsid w:val="003277E4"/>
    <w:rsid w:val="0032792F"/>
    <w:rsid w:val="003300E9"/>
    <w:rsid w:val="003301B9"/>
    <w:rsid w:val="003302E3"/>
    <w:rsid w:val="00330800"/>
    <w:rsid w:val="00330FE3"/>
    <w:rsid w:val="00330FFB"/>
    <w:rsid w:val="00331139"/>
    <w:rsid w:val="0033117D"/>
    <w:rsid w:val="003312A0"/>
    <w:rsid w:val="00331385"/>
    <w:rsid w:val="00331523"/>
    <w:rsid w:val="00331625"/>
    <w:rsid w:val="003316B6"/>
    <w:rsid w:val="00331817"/>
    <w:rsid w:val="00331977"/>
    <w:rsid w:val="003319F9"/>
    <w:rsid w:val="00331BE4"/>
    <w:rsid w:val="00331BEF"/>
    <w:rsid w:val="00331C90"/>
    <w:rsid w:val="00331EDD"/>
    <w:rsid w:val="0033265C"/>
    <w:rsid w:val="00332CBE"/>
    <w:rsid w:val="0033301C"/>
    <w:rsid w:val="003330C7"/>
    <w:rsid w:val="00333468"/>
    <w:rsid w:val="00333574"/>
    <w:rsid w:val="003336AF"/>
    <w:rsid w:val="00333744"/>
    <w:rsid w:val="0033386C"/>
    <w:rsid w:val="00333B48"/>
    <w:rsid w:val="00333B90"/>
    <w:rsid w:val="00333BFB"/>
    <w:rsid w:val="00333DC8"/>
    <w:rsid w:val="00333E69"/>
    <w:rsid w:val="00334179"/>
    <w:rsid w:val="0033433D"/>
    <w:rsid w:val="00334560"/>
    <w:rsid w:val="00334593"/>
    <w:rsid w:val="0033460F"/>
    <w:rsid w:val="003346B4"/>
    <w:rsid w:val="003347CA"/>
    <w:rsid w:val="003347CB"/>
    <w:rsid w:val="003347DF"/>
    <w:rsid w:val="00334938"/>
    <w:rsid w:val="00334960"/>
    <w:rsid w:val="0033498E"/>
    <w:rsid w:val="00334CC8"/>
    <w:rsid w:val="00334D02"/>
    <w:rsid w:val="00334F30"/>
    <w:rsid w:val="00335175"/>
    <w:rsid w:val="00335C1B"/>
    <w:rsid w:val="00335C41"/>
    <w:rsid w:val="00335CFA"/>
    <w:rsid w:val="00335E1A"/>
    <w:rsid w:val="00335FE1"/>
    <w:rsid w:val="003362FA"/>
    <w:rsid w:val="00336375"/>
    <w:rsid w:val="003365FB"/>
    <w:rsid w:val="00336E18"/>
    <w:rsid w:val="00337173"/>
    <w:rsid w:val="0033745F"/>
    <w:rsid w:val="00337736"/>
    <w:rsid w:val="003377A2"/>
    <w:rsid w:val="00337907"/>
    <w:rsid w:val="00337E1A"/>
    <w:rsid w:val="00337F1A"/>
    <w:rsid w:val="00340047"/>
    <w:rsid w:val="0034015E"/>
    <w:rsid w:val="0034023D"/>
    <w:rsid w:val="003408DC"/>
    <w:rsid w:val="00340BBF"/>
    <w:rsid w:val="00340BC1"/>
    <w:rsid w:val="00340BE7"/>
    <w:rsid w:val="00340CD8"/>
    <w:rsid w:val="00340E77"/>
    <w:rsid w:val="00341361"/>
    <w:rsid w:val="0034149F"/>
    <w:rsid w:val="003414A0"/>
    <w:rsid w:val="0034173F"/>
    <w:rsid w:val="00341B6D"/>
    <w:rsid w:val="0034212B"/>
    <w:rsid w:val="00342291"/>
    <w:rsid w:val="00342393"/>
    <w:rsid w:val="003423FE"/>
    <w:rsid w:val="00342B3E"/>
    <w:rsid w:val="00342CC7"/>
    <w:rsid w:val="0034306E"/>
    <w:rsid w:val="00343511"/>
    <w:rsid w:val="003435FB"/>
    <w:rsid w:val="00343670"/>
    <w:rsid w:val="0034372D"/>
    <w:rsid w:val="00343C37"/>
    <w:rsid w:val="0034401E"/>
    <w:rsid w:val="003440CE"/>
    <w:rsid w:val="003445F9"/>
    <w:rsid w:val="00344605"/>
    <w:rsid w:val="0034499A"/>
    <w:rsid w:val="00344A87"/>
    <w:rsid w:val="00344B5B"/>
    <w:rsid w:val="00344EB0"/>
    <w:rsid w:val="00345107"/>
    <w:rsid w:val="00345226"/>
    <w:rsid w:val="0034527A"/>
    <w:rsid w:val="003455A2"/>
    <w:rsid w:val="00345724"/>
    <w:rsid w:val="00345831"/>
    <w:rsid w:val="003458F6"/>
    <w:rsid w:val="0034597E"/>
    <w:rsid w:val="00345C8B"/>
    <w:rsid w:val="00345D29"/>
    <w:rsid w:val="00345D8C"/>
    <w:rsid w:val="00345E5E"/>
    <w:rsid w:val="003462F6"/>
    <w:rsid w:val="00346566"/>
    <w:rsid w:val="00346599"/>
    <w:rsid w:val="00346631"/>
    <w:rsid w:val="00346641"/>
    <w:rsid w:val="00346820"/>
    <w:rsid w:val="00346922"/>
    <w:rsid w:val="00346D8E"/>
    <w:rsid w:val="00346EAA"/>
    <w:rsid w:val="00346ED3"/>
    <w:rsid w:val="00346F14"/>
    <w:rsid w:val="00346F26"/>
    <w:rsid w:val="003471D3"/>
    <w:rsid w:val="0034731C"/>
    <w:rsid w:val="00347651"/>
    <w:rsid w:val="00347779"/>
    <w:rsid w:val="00347948"/>
    <w:rsid w:val="00347B9D"/>
    <w:rsid w:val="00347D18"/>
    <w:rsid w:val="00347D42"/>
    <w:rsid w:val="00350211"/>
    <w:rsid w:val="0035039A"/>
    <w:rsid w:val="0035041A"/>
    <w:rsid w:val="003504AC"/>
    <w:rsid w:val="00350500"/>
    <w:rsid w:val="003506CB"/>
    <w:rsid w:val="00350772"/>
    <w:rsid w:val="00350AF7"/>
    <w:rsid w:val="00350B6B"/>
    <w:rsid w:val="00350E02"/>
    <w:rsid w:val="00351091"/>
    <w:rsid w:val="003516DE"/>
    <w:rsid w:val="00351D2C"/>
    <w:rsid w:val="00351F38"/>
    <w:rsid w:val="0035202A"/>
    <w:rsid w:val="00352284"/>
    <w:rsid w:val="003525B1"/>
    <w:rsid w:val="003526BF"/>
    <w:rsid w:val="00352AEC"/>
    <w:rsid w:val="00352BEC"/>
    <w:rsid w:val="00352CCC"/>
    <w:rsid w:val="00352CE3"/>
    <w:rsid w:val="00352D1F"/>
    <w:rsid w:val="00352EEF"/>
    <w:rsid w:val="003534FC"/>
    <w:rsid w:val="00353660"/>
    <w:rsid w:val="0035381E"/>
    <w:rsid w:val="003538CC"/>
    <w:rsid w:val="003538FA"/>
    <w:rsid w:val="00353EBE"/>
    <w:rsid w:val="00353F8D"/>
    <w:rsid w:val="00354044"/>
    <w:rsid w:val="0035428A"/>
    <w:rsid w:val="00354342"/>
    <w:rsid w:val="00354632"/>
    <w:rsid w:val="003546FA"/>
    <w:rsid w:val="0035471B"/>
    <w:rsid w:val="00354A7B"/>
    <w:rsid w:val="00354A86"/>
    <w:rsid w:val="00354EEA"/>
    <w:rsid w:val="00355123"/>
    <w:rsid w:val="003552B7"/>
    <w:rsid w:val="0035557D"/>
    <w:rsid w:val="0035585F"/>
    <w:rsid w:val="003558FD"/>
    <w:rsid w:val="00355913"/>
    <w:rsid w:val="00355A3F"/>
    <w:rsid w:val="00355CD2"/>
    <w:rsid w:val="00355D39"/>
    <w:rsid w:val="00355D97"/>
    <w:rsid w:val="00355DB7"/>
    <w:rsid w:val="00355E02"/>
    <w:rsid w:val="00355E41"/>
    <w:rsid w:val="00355FDD"/>
    <w:rsid w:val="00356362"/>
    <w:rsid w:val="003565B0"/>
    <w:rsid w:val="003566B7"/>
    <w:rsid w:val="00356CE7"/>
    <w:rsid w:val="00356F45"/>
    <w:rsid w:val="00357054"/>
    <w:rsid w:val="00357223"/>
    <w:rsid w:val="0035732D"/>
    <w:rsid w:val="003577DB"/>
    <w:rsid w:val="00357A50"/>
    <w:rsid w:val="00357A8F"/>
    <w:rsid w:val="00357B7B"/>
    <w:rsid w:val="00357B8C"/>
    <w:rsid w:val="00357F20"/>
    <w:rsid w:val="00360143"/>
    <w:rsid w:val="003602D5"/>
    <w:rsid w:val="003605F2"/>
    <w:rsid w:val="00360791"/>
    <w:rsid w:val="0036088E"/>
    <w:rsid w:val="00360AD3"/>
    <w:rsid w:val="00360CCA"/>
    <w:rsid w:val="00360D70"/>
    <w:rsid w:val="00360DA1"/>
    <w:rsid w:val="00360F1F"/>
    <w:rsid w:val="0036108D"/>
    <w:rsid w:val="0036122B"/>
    <w:rsid w:val="003612EA"/>
    <w:rsid w:val="003614E9"/>
    <w:rsid w:val="003616CA"/>
    <w:rsid w:val="00361751"/>
    <w:rsid w:val="00361813"/>
    <w:rsid w:val="0036199C"/>
    <w:rsid w:val="00361C22"/>
    <w:rsid w:val="00361CAF"/>
    <w:rsid w:val="00361D37"/>
    <w:rsid w:val="00362250"/>
    <w:rsid w:val="00362691"/>
    <w:rsid w:val="003627C8"/>
    <w:rsid w:val="00362831"/>
    <w:rsid w:val="0036286B"/>
    <w:rsid w:val="00362D37"/>
    <w:rsid w:val="00362D9F"/>
    <w:rsid w:val="00362E89"/>
    <w:rsid w:val="00362FF7"/>
    <w:rsid w:val="00363043"/>
    <w:rsid w:val="003634AC"/>
    <w:rsid w:val="00363AAA"/>
    <w:rsid w:val="00363C3F"/>
    <w:rsid w:val="00364064"/>
    <w:rsid w:val="00364330"/>
    <w:rsid w:val="00364670"/>
    <w:rsid w:val="003646FA"/>
    <w:rsid w:val="003647F6"/>
    <w:rsid w:val="00364820"/>
    <w:rsid w:val="00364827"/>
    <w:rsid w:val="00364838"/>
    <w:rsid w:val="003648B6"/>
    <w:rsid w:val="00364A67"/>
    <w:rsid w:val="00364B52"/>
    <w:rsid w:val="00364B98"/>
    <w:rsid w:val="00364D70"/>
    <w:rsid w:val="00364F20"/>
    <w:rsid w:val="00365168"/>
    <w:rsid w:val="0036550E"/>
    <w:rsid w:val="003656A5"/>
    <w:rsid w:val="00365D6F"/>
    <w:rsid w:val="00366185"/>
    <w:rsid w:val="00366203"/>
    <w:rsid w:val="0036686D"/>
    <w:rsid w:val="00366C37"/>
    <w:rsid w:val="00366F06"/>
    <w:rsid w:val="00366F37"/>
    <w:rsid w:val="0036719E"/>
    <w:rsid w:val="00367498"/>
    <w:rsid w:val="003678B5"/>
    <w:rsid w:val="00367947"/>
    <w:rsid w:val="00367D16"/>
    <w:rsid w:val="00367D93"/>
    <w:rsid w:val="00367D9F"/>
    <w:rsid w:val="00367DC0"/>
    <w:rsid w:val="00367EDF"/>
    <w:rsid w:val="003707C8"/>
    <w:rsid w:val="00370C69"/>
    <w:rsid w:val="00370FE0"/>
    <w:rsid w:val="00371037"/>
    <w:rsid w:val="00371163"/>
    <w:rsid w:val="00371196"/>
    <w:rsid w:val="0037124C"/>
    <w:rsid w:val="003712BA"/>
    <w:rsid w:val="00371869"/>
    <w:rsid w:val="003718FA"/>
    <w:rsid w:val="003719E9"/>
    <w:rsid w:val="00371A3E"/>
    <w:rsid w:val="00371B18"/>
    <w:rsid w:val="00371F1E"/>
    <w:rsid w:val="003720C6"/>
    <w:rsid w:val="003723A9"/>
    <w:rsid w:val="00372494"/>
    <w:rsid w:val="00372596"/>
    <w:rsid w:val="003729FE"/>
    <w:rsid w:val="00372B0B"/>
    <w:rsid w:val="0037363D"/>
    <w:rsid w:val="00373661"/>
    <w:rsid w:val="003736C7"/>
    <w:rsid w:val="0037382B"/>
    <w:rsid w:val="00373AF0"/>
    <w:rsid w:val="00373C76"/>
    <w:rsid w:val="00373DE5"/>
    <w:rsid w:val="00373DFC"/>
    <w:rsid w:val="00373E6B"/>
    <w:rsid w:val="00374571"/>
    <w:rsid w:val="00374859"/>
    <w:rsid w:val="003748B5"/>
    <w:rsid w:val="003748CB"/>
    <w:rsid w:val="00374B0C"/>
    <w:rsid w:val="00374C43"/>
    <w:rsid w:val="00374D7A"/>
    <w:rsid w:val="00374E10"/>
    <w:rsid w:val="0037573B"/>
    <w:rsid w:val="00375A64"/>
    <w:rsid w:val="00375B9A"/>
    <w:rsid w:val="00375CAF"/>
    <w:rsid w:val="00375D24"/>
    <w:rsid w:val="00375ECE"/>
    <w:rsid w:val="00376065"/>
    <w:rsid w:val="00376111"/>
    <w:rsid w:val="003761B9"/>
    <w:rsid w:val="00376351"/>
    <w:rsid w:val="003765C8"/>
    <w:rsid w:val="00376631"/>
    <w:rsid w:val="003767D7"/>
    <w:rsid w:val="0037689A"/>
    <w:rsid w:val="003768B8"/>
    <w:rsid w:val="003768E6"/>
    <w:rsid w:val="003769A0"/>
    <w:rsid w:val="00377173"/>
    <w:rsid w:val="00377335"/>
    <w:rsid w:val="00377510"/>
    <w:rsid w:val="003776B0"/>
    <w:rsid w:val="00377757"/>
    <w:rsid w:val="0037784D"/>
    <w:rsid w:val="003779D6"/>
    <w:rsid w:val="00377DB8"/>
    <w:rsid w:val="00377E7B"/>
    <w:rsid w:val="00380153"/>
    <w:rsid w:val="0038033D"/>
    <w:rsid w:val="00380406"/>
    <w:rsid w:val="003804AE"/>
    <w:rsid w:val="003804C5"/>
    <w:rsid w:val="00380505"/>
    <w:rsid w:val="00380653"/>
    <w:rsid w:val="00380794"/>
    <w:rsid w:val="00380B31"/>
    <w:rsid w:val="00380C34"/>
    <w:rsid w:val="00380CC8"/>
    <w:rsid w:val="00381066"/>
    <w:rsid w:val="003810F7"/>
    <w:rsid w:val="003813C4"/>
    <w:rsid w:val="0038155B"/>
    <w:rsid w:val="003815FD"/>
    <w:rsid w:val="00381AF0"/>
    <w:rsid w:val="003820F2"/>
    <w:rsid w:val="0038220F"/>
    <w:rsid w:val="003822B9"/>
    <w:rsid w:val="0038237A"/>
    <w:rsid w:val="003823C1"/>
    <w:rsid w:val="003824C3"/>
    <w:rsid w:val="003824FA"/>
    <w:rsid w:val="0038292A"/>
    <w:rsid w:val="003829EA"/>
    <w:rsid w:val="00382BF9"/>
    <w:rsid w:val="00382C85"/>
    <w:rsid w:val="00382D65"/>
    <w:rsid w:val="00383180"/>
    <w:rsid w:val="00383787"/>
    <w:rsid w:val="00383915"/>
    <w:rsid w:val="0038397F"/>
    <w:rsid w:val="00383B3C"/>
    <w:rsid w:val="00383BF5"/>
    <w:rsid w:val="00383F69"/>
    <w:rsid w:val="00384012"/>
    <w:rsid w:val="0038406A"/>
    <w:rsid w:val="003842B3"/>
    <w:rsid w:val="00384579"/>
    <w:rsid w:val="003849B5"/>
    <w:rsid w:val="00384AD9"/>
    <w:rsid w:val="00384BB4"/>
    <w:rsid w:val="00384BDC"/>
    <w:rsid w:val="0038540F"/>
    <w:rsid w:val="003854D7"/>
    <w:rsid w:val="003856F6"/>
    <w:rsid w:val="003857D9"/>
    <w:rsid w:val="00385854"/>
    <w:rsid w:val="00385880"/>
    <w:rsid w:val="0038598B"/>
    <w:rsid w:val="003859F6"/>
    <w:rsid w:val="00385A1C"/>
    <w:rsid w:val="00385A6D"/>
    <w:rsid w:val="00385B7E"/>
    <w:rsid w:val="00385D5B"/>
    <w:rsid w:val="00385D5E"/>
    <w:rsid w:val="00385DA8"/>
    <w:rsid w:val="003863AE"/>
    <w:rsid w:val="003865FE"/>
    <w:rsid w:val="00386684"/>
    <w:rsid w:val="00386913"/>
    <w:rsid w:val="00386A41"/>
    <w:rsid w:val="00386DE9"/>
    <w:rsid w:val="00386FF0"/>
    <w:rsid w:val="003870DC"/>
    <w:rsid w:val="00387483"/>
    <w:rsid w:val="003876A9"/>
    <w:rsid w:val="00387C0C"/>
    <w:rsid w:val="00387C2B"/>
    <w:rsid w:val="00387CFC"/>
    <w:rsid w:val="00387DFD"/>
    <w:rsid w:val="00387E82"/>
    <w:rsid w:val="0039004A"/>
    <w:rsid w:val="003900AE"/>
    <w:rsid w:val="0039012C"/>
    <w:rsid w:val="00390304"/>
    <w:rsid w:val="003903DB"/>
    <w:rsid w:val="0039057C"/>
    <w:rsid w:val="00390958"/>
    <w:rsid w:val="00390A46"/>
    <w:rsid w:val="00390F53"/>
    <w:rsid w:val="0039116B"/>
    <w:rsid w:val="00391298"/>
    <w:rsid w:val="003915E6"/>
    <w:rsid w:val="003915ED"/>
    <w:rsid w:val="003917A3"/>
    <w:rsid w:val="003919EB"/>
    <w:rsid w:val="00391BDB"/>
    <w:rsid w:val="00391D78"/>
    <w:rsid w:val="00391F08"/>
    <w:rsid w:val="00391F81"/>
    <w:rsid w:val="0039201E"/>
    <w:rsid w:val="003922FA"/>
    <w:rsid w:val="003927AF"/>
    <w:rsid w:val="00392999"/>
    <w:rsid w:val="003929D3"/>
    <w:rsid w:val="00392B53"/>
    <w:rsid w:val="00392E7A"/>
    <w:rsid w:val="003930F5"/>
    <w:rsid w:val="003931BE"/>
    <w:rsid w:val="003932EB"/>
    <w:rsid w:val="00393606"/>
    <w:rsid w:val="00393680"/>
    <w:rsid w:val="00393755"/>
    <w:rsid w:val="0039397A"/>
    <w:rsid w:val="00393CEA"/>
    <w:rsid w:val="00393D04"/>
    <w:rsid w:val="0039461E"/>
    <w:rsid w:val="00394A5E"/>
    <w:rsid w:val="00394A95"/>
    <w:rsid w:val="00394D3F"/>
    <w:rsid w:val="003954E8"/>
    <w:rsid w:val="003955D1"/>
    <w:rsid w:val="00395E5E"/>
    <w:rsid w:val="00395E7E"/>
    <w:rsid w:val="00396151"/>
    <w:rsid w:val="0039651E"/>
    <w:rsid w:val="00396538"/>
    <w:rsid w:val="00396550"/>
    <w:rsid w:val="00396606"/>
    <w:rsid w:val="00396628"/>
    <w:rsid w:val="00396D9E"/>
    <w:rsid w:val="00397498"/>
    <w:rsid w:val="003976BF"/>
    <w:rsid w:val="00397F8E"/>
    <w:rsid w:val="003A02F1"/>
    <w:rsid w:val="003A054D"/>
    <w:rsid w:val="003A05FC"/>
    <w:rsid w:val="003A06CF"/>
    <w:rsid w:val="003A0773"/>
    <w:rsid w:val="003A0947"/>
    <w:rsid w:val="003A09EF"/>
    <w:rsid w:val="003A0B4B"/>
    <w:rsid w:val="003A0D2C"/>
    <w:rsid w:val="003A0FF0"/>
    <w:rsid w:val="003A123E"/>
    <w:rsid w:val="003A14A8"/>
    <w:rsid w:val="003A1861"/>
    <w:rsid w:val="003A1BB7"/>
    <w:rsid w:val="003A1BCB"/>
    <w:rsid w:val="003A1DB7"/>
    <w:rsid w:val="003A1E3C"/>
    <w:rsid w:val="003A27FE"/>
    <w:rsid w:val="003A2960"/>
    <w:rsid w:val="003A2BA8"/>
    <w:rsid w:val="003A2C96"/>
    <w:rsid w:val="003A2E65"/>
    <w:rsid w:val="003A30B9"/>
    <w:rsid w:val="003A31A5"/>
    <w:rsid w:val="003A31CD"/>
    <w:rsid w:val="003A31E8"/>
    <w:rsid w:val="003A32DC"/>
    <w:rsid w:val="003A330C"/>
    <w:rsid w:val="003A3476"/>
    <w:rsid w:val="003A357F"/>
    <w:rsid w:val="003A35CA"/>
    <w:rsid w:val="003A3669"/>
    <w:rsid w:val="003A3688"/>
    <w:rsid w:val="003A37DC"/>
    <w:rsid w:val="003A38AB"/>
    <w:rsid w:val="003A397E"/>
    <w:rsid w:val="003A3BDF"/>
    <w:rsid w:val="003A3D56"/>
    <w:rsid w:val="003A3DD4"/>
    <w:rsid w:val="003A3F00"/>
    <w:rsid w:val="003A4038"/>
    <w:rsid w:val="003A405E"/>
    <w:rsid w:val="003A4088"/>
    <w:rsid w:val="003A411B"/>
    <w:rsid w:val="003A42C4"/>
    <w:rsid w:val="003A4720"/>
    <w:rsid w:val="003A4952"/>
    <w:rsid w:val="003A4B13"/>
    <w:rsid w:val="003A4D6A"/>
    <w:rsid w:val="003A4F44"/>
    <w:rsid w:val="003A505B"/>
    <w:rsid w:val="003A51A8"/>
    <w:rsid w:val="003A5228"/>
    <w:rsid w:val="003A576A"/>
    <w:rsid w:val="003A5BB2"/>
    <w:rsid w:val="003A5C07"/>
    <w:rsid w:val="003A5CCC"/>
    <w:rsid w:val="003A5D0F"/>
    <w:rsid w:val="003A5DCC"/>
    <w:rsid w:val="003A5FDC"/>
    <w:rsid w:val="003A6080"/>
    <w:rsid w:val="003A6281"/>
    <w:rsid w:val="003A67CD"/>
    <w:rsid w:val="003A6D58"/>
    <w:rsid w:val="003A6D6B"/>
    <w:rsid w:val="003A70B1"/>
    <w:rsid w:val="003A71AE"/>
    <w:rsid w:val="003A74A6"/>
    <w:rsid w:val="003A76B2"/>
    <w:rsid w:val="003A772C"/>
    <w:rsid w:val="003A7940"/>
    <w:rsid w:val="003A795B"/>
    <w:rsid w:val="003A7A79"/>
    <w:rsid w:val="003A7CD0"/>
    <w:rsid w:val="003A7D14"/>
    <w:rsid w:val="003A7D58"/>
    <w:rsid w:val="003B02FD"/>
    <w:rsid w:val="003B0396"/>
    <w:rsid w:val="003B0760"/>
    <w:rsid w:val="003B080A"/>
    <w:rsid w:val="003B0D15"/>
    <w:rsid w:val="003B1202"/>
    <w:rsid w:val="003B196F"/>
    <w:rsid w:val="003B1995"/>
    <w:rsid w:val="003B1E4F"/>
    <w:rsid w:val="003B1E63"/>
    <w:rsid w:val="003B218F"/>
    <w:rsid w:val="003B274B"/>
    <w:rsid w:val="003B2E9C"/>
    <w:rsid w:val="003B2EFA"/>
    <w:rsid w:val="003B2F78"/>
    <w:rsid w:val="003B3365"/>
    <w:rsid w:val="003B34C5"/>
    <w:rsid w:val="003B3738"/>
    <w:rsid w:val="003B3884"/>
    <w:rsid w:val="003B3947"/>
    <w:rsid w:val="003B3B52"/>
    <w:rsid w:val="003B3B54"/>
    <w:rsid w:val="003B3C9E"/>
    <w:rsid w:val="003B418F"/>
    <w:rsid w:val="003B449A"/>
    <w:rsid w:val="003B4542"/>
    <w:rsid w:val="003B45DE"/>
    <w:rsid w:val="003B479D"/>
    <w:rsid w:val="003B48D6"/>
    <w:rsid w:val="003B4BA2"/>
    <w:rsid w:val="003B4C1E"/>
    <w:rsid w:val="003B4F05"/>
    <w:rsid w:val="003B519C"/>
    <w:rsid w:val="003B52C0"/>
    <w:rsid w:val="003B54A1"/>
    <w:rsid w:val="003B54B1"/>
    <w:rsid w:val="003B54CF"/>
    <w:rsid w:val="003B56D3"/>
    <w:rsid w:val="003B5753"/>
    <w:rsid w:val="003B59A1"/>
    <w:rsid w:val="003B5ABA"/>
    <w:rsid w:val="003B5C60"/>
    <w:rsid w:val="003B5F11"/>
    <w:rsid w:val="003B5F6B"/>
    <w:rsid w:val="003B5F82"/>
    <w:rsid w:val="003B6019"/>
    <w:rsid w:val="003B6025"/>
    <w:rsid w:val="003B618B"/>
    <w:rsid w:val="003B62B0"/>
    <w:rsid w:val="003B62EB"/>
    <w:rsid w:val="003B646A"/>
    <w:rsid w:val="003B6954"/>
    <w:rsid w:val="003B6C4D"/>
    <w:rsid w:val="003B6C56"/>
    <w:rsid w:val="003B6D75"/>
    <w:rsid w:val="003B6E45"/>
    <w:rsid w:val="003B73A7"/>
    <w:rsid w:val="003B74B2"/>
    <w:rsid w:val="003B767F"/>
    <w:rsid w:val="003B79E3"/>
    <w:rsid w:val="003B7A00"/>
    <w:rsid w:val="003B7A66"/>
    <w:rsid w:val="003B7D9E"/>
    <w:rsid w:val="003B7F22"/>
    <w:rsid w:val="003B7F26"/>
    <w:rsid w:val="003C0062"/>
    <w:rsid w:val="003C037F"/>
    <w:rsid w:val="003C05C7"/>
    <w:rsid w:val="003C0DB9"/>
    <w:rsid w:val="003C0F64"/>
    <w:rsid w:val="003C0FA1"/>
    <w:rsid w:val="003C1167"/>
    <w:rsid w:val="003C1253"/>
    <w:rsid w:val="003C127F"/>
    <w:rsid w:val="003C12D5"/>
    <w:rsid w:val="003C1451"/>
    <w:rsid w:val="003C153D"/>
    <w:rsid w:val="003C159C"/>
    <w:rsid w:val="003C1630"/>
    <w:rsid w:val="003C1BEE"/>
    <w:rsid w:val="003C1DDB"/>
    <w:rsid w:val="003C1F43"/>
    <w:rsid w:val="003C239C"/>
    <w:rsid w:val="003C2844"/>
    <w:rsid w:val="003C2901"/>
    <w:rsid w:val="003C2A83"/>
    <w:rsid w:val="003C2CCF"/>
    <w:rsid w:val="003C2E76"/>
    <w:rsid w:val="003C2EBD"/>
    <w:rsid w:val="003C3391"/>
    <w:rsid w:val="003C3502"/>
    <w:rsid w:val="003C35D0"/>
    <w:rsid w:val="003C37F5"/>
    <w:rsid w:val="003C3932"/>
    <w:rsid w:val="003C3AF0"/>
    <w:rsid w:val="003C3BB4"/>
    <w:rsid w:val="003C3CE0"/>
    <w:rsid w:val="003C3D0F"/>
    <w:rsid w:val="003C3D2E"/>
    <w:rsid w:val="003C3E6F"/>
    <w:rsid w:val="003C42AA"/>
    <w:rsid w:val="003C42CA"/>
    <w:rsid w:val="003C4336"/>
    <w:rsid w:val="003C43D7"/>
    <w:rsid w:val="003C471D"/>
    <w:rsid w:val="003C4847"/>
    <w:rsid w:val="003C4BDA"/>
    <w:rsid w:val="003C4CE0"/>
    <w:rsid w:val="003C4E03"/>
    <w:rsid w:val="003C4EEA"/>
    <w:rsid w:val="003C554E"/>
    <w:rsid w:val="003C5A63"/>
    <w:rsid w:val="003C5AF9"/>
    <w:rsid w:val="003C5BE5"/>
    <w:rsid w:val="003C5EE1"/>
    <w:rsid w:val="003C5F95"/>
    <w:rsid w:val="003C6212"/>
    <w:rsid w:val="003C6269"/>
    <w:rsid w:val="003C628D"/>
    <w:rsid w:val="003C62DB"/>
    <w:rsid w:val="003C63F9"/>
    <w:rsid w:val="003C6487"/>
    <w:rsid w:val="003C676C"/>
    <w:rsid w:val="003C67B1"/>
    <w:rsid w:val="003C68DC"/>
    <w:rsid w:val="003C6ADE"/>
    <w:rsid w:val="003C6BCB"/>
    <w:rsid w:val="003C6D13"/>
    <w:rsid w:val="003C6E3C"/>
    <w:rsid w:val="003C6FCA"/>
    <w:rsid w:val="003C70F5"/>
    <w:rsid w:val="003C743E"/>
    <w:rsid w:val="003C75C3"/>
    <w:rsid w:val="003C7755"/>
    <w:rsid w:val="003C7795"/>
    <w:rsid w:val="003C78BA"/>
    <w:rsid w:val="003C7E63"/>
    <w:rsid w:val="003D00B3"/>
    <w:rsid w:val="003D0147"/>
    <w:rsid w:val="003D01BA"/>
    <w:rsid w:val="003D0463"/>
    <w:rsid w:val="003D0600"/>
    <w:rsid w:val="003D072C"/>
    <w:rsid w:val="003D0B81"/>
    <w:rsid w:val="003D0BF0"/>
    <w:rsid w:val="003D0D94"/>
    <w:rsid w:val="003D0FC7"/>
    <w:rsid w:val="003D10C0"/>
    <w:rsid w:val="003D11CB"/>
    <w:rsid w:val="003D12DE"/>
    <w:rsid w:val="003D18A7"/>
    <w:rsid w:val="003D1A01"/>
    <w:rsid w:val="003D1AF5"/>
    <w:rsid w:val="003D1B2C"/>
    <w:rsid w:val="003D1BBC"/>
    <w:rsid w:val="003D1CD3"/>
    <w:rsid w:val="003D1D9C"/>
    <w:rsid w:val="003D1FAC"/>
    <w:rsid w:val="003D2017"/>
    <w:rsid w:val="003D2173"/>
    <w:rsid w:val="003D23D8"/>
    <w:rsid w:val="003D2884"/>
    <w:rsid w:val="003D2AC4"/>
    <w:rsid w:val="003D2B74"/>
    <w:rsid w:val="003D2B9E"/>
    <w:rsid w:val="003D301F"/>
    <w:rsid w:val="003D30C6"/>
    <w:rsid w:val="003D3122"/>
    <w:rsid w:val="003D3439"/>
    <w:rsid w:val="003D34D5"/>
    <w:rsid w:val="003D3958"/>
    <w:rsid w:val="003D39CD"/>
    <w:rsid w:val="003D3E27"/>
    <w:rsid w:val="003D3E51"/>
    <w:rsid w:val="003D41CE"/>
    <w:rsid w:val="003D477B"/>
    <w:rsid w:val="003D4B12"/>
    <w:rsid w:val="003D4BA6"/>
    <w:rsid w:val="003D4C1F"/>
    <w:rsid w:val="003D4E54"/>
    <w:rsid w:val="003D4F69"/>
    <w:rsid w:val="003D513E"/>
    <w:rsid w:val="003D53FA"/>
    <w:rsid w:val="003D5475"/>
    <w:rsid w:val="003D5590"/>
    <w:rsid w:val="003D564B"/>
    <w:rsid w:val="003D56EC"/>
    <w:rsid w:val="003D56F1"/>
    <w:rsid w:val="003D59A8"/>
    <w:rsid w:val="003D607B"/>
    <w:rsid w:val="003D60D9"/>
    <w:rsid w:val="003D6365"/>
    <w:rsid w:val="003D64C0"/>
    <w:rsid w:val="003D6652"/>
    <w:rsid w:val="003D680F"/>
    <w:rsid w:val="003D6D16"/>
    <w:rsid w:val="003D709C"/>
    <w:rsid w:val="003D7189"/>
    <w:rsid w:val="003D71FA"/>
    <w:rsid w:val="003D73E6"/>
    <w:rsid w:val="003D73F0"/>
    <w:rsid w:val="003D744A"/>
    <w:rsid w:val="003D7477"/>
    <w:rsid w:val="003D7926"/>
    <w:rsid w:val="003D794A"/>
    <w:rsid w:val="003D7BCF"/>
    <w:rsid w:val="003D7C5E"/>
    <w:rsid w:val="003D7D19"/>
    <w:rsid w:val="003D7EA4"/>
    <w:rsid w:val="003E0090"/>
    <w:rsid w:val="003E0387"/>
    <w:rsid w:val="003E043D"/>
    <w:rsid w:val="003E0559"/>
    <w:rsid w:val="003E08A8"/>
    <w:rsid w:val="003E0D32"/>
    <w:rsid w:val="003E0EF5"/>
    <w:rsid w:val="003E119A"/>
    <w:rsid w:val="003E11F4"/>
    <w:rsid w:val="003E12B9"/>
    <w:rsid w:val="003E17B2"/>
    <w:rsid w:val="003E18DE"/>
    <w:rsid w:val="003E1A48"/>
    <w:rsid w:val="003E1B31"/>
    <w:rsid w:val="003E1C5F"/>
    <w:rsid w:val="003E1F9C"/>
    <w:rsid w:val="003E2041"/>
    <w:rsid w:val="003E2365"/>
    <w:rsid w:val="003E23E4"/>
    <w:rsid w:val="003E25B7"/>
    <w:rsid w:val="003E25E5"/>
    <w:rsid w:val="003E272B"/>
    <w:rsid w:val="003E2797"/>
    <w:rsid w:val="003E2E21"/>
    <w:rsid w:val="003E2F42"/>
    <w:rsid w:val="003E2FE9"/>
    <w:rsid w:val="003E3050"/>
    <w:rsid w:val="003E3661"/>
    <w:rsid w:val="003E375E"/>
    <w:rsid w:val="003E3A2A"/>
    <w:rsid w:val="003E3CE3"/>
    <w:rsid w:val="003E3D6F"/>
    <w:rsid w:val="003E3E36"/>
    <w:rsid w:val="003E3F9A"/>
    <w:rsid w:val="003E405C"/>
    <w:rsid w:val="003E40C7"/>
    <w:rsid w:val="003E4287"/>
    <w:rsid w:val="003E43A6"/>
    <w:rsid w:val="003E446C"/>
    <w:rsid w:val="003E4677"/>
    <w:rsid w:val="003E46C2"/>
    <w:rsid w:val="003E492D"/>
    <w:rsid w:val="003E49DE"/>
    <w:rsid w:val="003E4A62"/>
    <w:rsid w:val="003E4ADC"/>
    <w:rsid w:val="003E4CB8"/>
    <w:rsid w:val="003E4FC8"/>
    <w:rsid w:val="003E50E2"/>
    <w:rsid w:val="003E5412"/>
    <w:rsid w:val="003E58AF"/>
    <w:rsid w:val="003E5A47"/>
    <w:rsid w:val="003E5D51"/>
    <w:rsid w:val="003E5DC2"/>
    <w:rsid w:val="003E61A0"/>
    <w:rsid w:val="003E635A"/>
    <w:rsid w:val="003E64B7"/>
    <w:rsid w:val="003E64D8"/>
    <w:rsid w:val="003E658F"/>
    <w:rsid w:val="003E68A3"/>
    <w:rsid w:val="003E6997"/>
    <w:rsid w:val="003E69A4"/>
    <w:rsid w:val="003E6A8D"/>
    <w:rsid w:val="003E6BD3"/>
    <w:rsid w:val="003E6E52"/>
    <w:rsid w:val="003E707E"/>
    <w:rsid w:val="003E7213"/>
    <w:rsid w:val="003E748E"/>
    <w:rsid w:val="003E78F8"/>
    <w:rsid w:val="003E7956"/>
    <w:rsid w:val="003E7981"/>
    <w:rsid w:val="003E7C9F"/>
    <w:rsid w:val="003E7CD6"/>
    <w:rsid w:val="003E7E7C"/>
    <w:rsid w:val="003E7EDC"/>
    <w:rsid w:val="003E7F75"/>
    <w:rsid w:val="003F0111"/>
    <w:rsid w:val="003F015A"/>
    <w:rsid w:val="003F0668"/>
    <w:rsid w:val="003F097B"/>
    <w:rsid w:val="003F0985"/>
    <w:rsid w:val="003F099C"/>
    <w:rsid w:val="003F0AD3"/>
    <w:rsid w:val="003F0B11"/>
    <w:rsid w:val="003F0B55"/>
    <w:rsid w:val="003F0E00"/>
    <w:rsid w:val="003F0E03"/>
    <w:rsid w:val="003F0E08"/>
    <w:rsid w:val="003F0ED2"/>
    <w:rsid w:val="003F0FBA"/>
    <w:rsid w:val="003F10E0"/>
    <w:rsid w:val="003F11E3"/>
    <w:rsid w:val="003F12D7"/>
    <w:rsid w:val="003F141B"/>
    <w:rsid w:val="003F177E"/>
    <w:rsid w:val="003F1A23"/>
    <w:rsid w:val="003F1B8D"/>
    <w:rsid w:val="003F1BC9"/>
    <w:rsid w:val="003F1D84"/>
    <w:rsid w:val="003F1E46"/>
    <w:rsid w:val="003F1E4A"/>
    <w:rsid w:val="003F1FFE"/>
    <w:rsid w:val="003F2018"/>
    <w:rsid w:val="003F21DC"/>
    <w:rsid w:val="003F2208"/>
    <w:rsid w:val="003F236F"/>
    <w:rsid w:val="003F2443"/>
    <w:rsid w:val="003F25B1"/>
    <w:rsid w:val="003F25C1"/>
    <w:rsid w:val="003F27BA"/>
    <w:rsid w:val="003F2A28"/>
    <w:rsid w:val="003F2E82"/>
    <w:rsid w:val="003F306F"/>
    <w:rsid w:val="003F32F4"/>
    <w:rsid w:val="003F34B8"/>
    <w:rsid w:val="003F34F3"/>
    <w:rsid w:val="003F35E9"/>
    <w:rsid w:val="003F35F4"/>
    <w:rsid w:val="003F36F1"/>
    <w:rsid w:val="003F3918"/>
    <w:rsid w:val="003F3C84"/>
    <w:rsid w:val="003F3EFE"/>
    <w:rsid w:val="003F3F57"/>
    <w:rsid w:val="003F459C"/>
    <w:rsid w:val="003F4849"/>
    <w:rsid w:val="003F48AB"/>
    <w:rsid w:val="003F48D9"/>
    <w:rsid w:val="003F49EC"/>
    <w:rsid w:val="003F4D3A"/>
    <w:rsid w:val="003F4D62"/>
    <w:rsid w:val="003F4DBC"/>
    <w:rsid w:val="003F4DE3"/>
    <w:rsid w:val="003F4DF8"/>
    <w:rsid w:val="003F4EFB"/>
    <w:rsid w:val="003F51A9"/>
    <w:rsid w:val="003F51D1"/>
    <w:rsid w:val="003F5527"/>
    <w:rsid w:val="003F5789"/>
    <w:rsid w:val="003F5D4C"/>
    <w:rsid w:val="003F5EAA"/>
    <w:rsid w:val="003F6031"/>
    <w:rsid w:val="003F6597"/>
    <w:rsid w:val="003F674B"/>
    <w:rsid w:val="003F6876"/>
    <w:rsid w:val="003F6C7D"/>
    <w:rsid w:val="003F6EFD"/>
    <w:rsid w:val="003F77AE"/>
    <w:rsid w:val="003F7B64"/>
    <w:rsid w:val="003F7B74"/>
    <w:rsid w:val="003F7B81"/>
    <w:rsid w:val="003F7D6D"/>
    <w:rsid w:val="0040003D"/>
    <w:rsid w:val="0040015B"/>
    <w:rsid w:val="00400161"/>
    <w:rsid w:val="0040019B"/>
    <w:rsid w:val="0040053E"/>
    <w:rsid w:val="00400573"/>
    <w:rsid w:val="00400633"/>
    <w:rsid w:val="004008B2"/>
    <w:rsid w:val="004008C1"/>
    <w:rsid w:val="00400BAA"/>
    <w:rsid w:val="00400F78"/>
    <w:rsid w:val="00401163"/>
    <w:rsid w:val="004011AB"/>
    <w:rsid w:val="004011D8"/>
    <w:rsid w:val="004012BB"/>
    <w:rsid w:val="004013CC"/>
    <w:rsid w:val="004014D2"/>
    <w:rsid w:val="004014FE"/>
    <w:rsid w:val="00401692"/>
    <w:rsid w:val="00401759"/>
    <w:rsid w:val="00401774"/>
    <w:rsid w:val="004018FD"/>
    <w:rsid w:val="004019D8"/>
    <w:rsid w:val="00401AE7"/>
    <w:rsid w:val="00401DEC"/>
    <w:rsid w:val="00402183"/>
    <w:rsid w:val="0040224F"/>
    <w:rsid w:val="00402419"/>
    <w:rsid w:val="00402429"/>
    <w:rsid w:val="00402658"/>
    <w:rsid w:val="004026CD"/>
    <w:rsid w:val="0040270D"/>
    <w:rsid w:val="00402BD2"/>
    <w:rsid w:val="00402D3F"/>
    <w:rsid w:val="00402E33"/>
    <w:rsid w:val="00402E60"/>
    <w:rsid w:val="00403018"/>
    <w:rsid w:val="004030A3"/>
    <w:rsid w:val="004031FD"/>
    <w:rsid w:val="00403357"/>
    <w:rsid w:val="00403773"/>
    <w:rsid w:val="0040396E"/>
    <w:rsid w:val="00403A30"/>
    <w:rsid w:val="00403BCA"/>
    <w:rsid w:val="00403BEA"/>
    <w:rsid w:val="00403C54"/>
    <w:rsid w:val="00403F1D"/>
    <w:rsid w:val="00404059"/>
    <w:rsid w:val="004040BC"/>
    <w:rsid w:val="004043B1"/>
    <w:rsid w:val="0040444A"/>
    <w:rsid w:val="0040485D"/>
    <w:rsid w:val="00404A19"/>
    <w:rsid w:val="00404BBB"/>
    <w:rsid w:val="00404C0B"/>
    <w:rsid w:val="00404F70"/>
    <w:rsid w:val="00404F76"/>
    <w:rsid w:val="00404FD2"/>
    <w:rsid w:val="00405232"/>
    <w:rsid w:val="00405465"/>
    <w:rsid w:val="00405515"/>
    <w:rsid w:val="004055BF"/>
    <w:rsid w:val="0040572F"/>
    <w:rsid w:val="00405924"/>
    <w:rsid w:val="00405B4E"/>
    <w:rsid w:val="004063A9"/>
    <w:rsid w:val="00406544"/>
    <w:rsid w:val="004065C6"/>
    <w:rsid w:val="004066D5"/>
    <w:rsid w:val="00406737"/>
    <w:rsid w:val="00406B43"/>
    <w:rsid w:val="00406C21"/>
    <w:rsid w:val="00406DF4"/>
    <w:rsid w:val="004072DF"/>
    <w:rsid w:val="00407634"/>
    <w:rsid w:val="00407642"/>
    <w:rsid w:val="004077B6"/>
    <w:rsid w:val="0040799C"/>
    <w:rsid w:val="00407B1B"/>
    <w:rsid w:val="00407FA9"/>
    <w:rsid w:val="004100F4"/>
    <w:rsid w:val="00410167"/>
    <w:rsid w:val="00410346"/>
    <w:rsid w:val="0041038D"/>
    <w:rsid w:val="00410971"/>
    <w:rsid w:val="00410A03"/>
    <w:rsid w:val="00410A8A"/>
    <w:rsid w:val="00410AF6"/>
    <w:rsid w:val="00410B8D"/>
    <w:rsid w:val="00410C92"/>
    <w:rsid w:val="00410CDE"/>
    <w:rsid w:val="00410E88"/>
    <w:rsid w:val="004111B9"/>
    <w:rsid w:val="0041158B"/>
    <w:rsid w:val="00411682"/>
    <w:rsid w:val="004116F3"/>
    <w:rsid w:val="00411B05"/>
    <w:rsid w:val="00411B5D"/>
    <w:rsid w:val="00411B6E"/>
    <w:rsid w:val="00411BD4"/>
    <w:rsid w:val="00411CD0"/>
    <w:rsid w:val="00411DEF"/>
    <w:rsid w:val="00411E68"/>
    <w:rsid w:val="00412011"/>
    <w:rsid w:val="0041228C"/>
    <w:rsid w:val="00412373"/>
    <w:rsid w:val="004126F4"/>
    <w:rsid w:val="00412832"/>
    <w:rsid w:val="00412B3E"/>
    <w:rsid w:val="00412CDC"/>
    <w:rsid w:val="00412F9F"/>
    <w:rsid w:val="00412FAC"/>
    <w:rsid w:val="00412FF8"/>
    <w:rsid w:val="0041312C"/>
    <w:rsid w:val="00413216"/>
    <w:rsid w:val="0041321A"/>
    <w:rsid w:val="004133BB"/>
    <w:rsid w:val="00413527"/>
    <w:rsid w:val="004135E2"/>
    <w:rsid w:val="004137CF"/>
    <w:rsid w:val="004138F1"/>
    <w:rsid w:val="00413B10"/>
    <w:rsid w:val="00413B12"/>
    <w:rsid w:val="00413B85"/>
    <w:rsid w:val="00413B92"/>
    <w:rsid w:val="00413D3F"/>
    <w:rsid w:val="00413E07"/>
    <w:rsid w:val="00413FB3"/>
    <w:rsid w:val="00413FD9"/>
    <w:rsid w:val="004140A9"/>
    <w:rsid w:val="004142ED"/>
    <w:rsid w:val="004143CF"/>
    <w:rsid w:val="004146C6"/>
    <w:rsid w:val="0041474B"/>
    <w:rsid w:val="00414B3C"/>
    <w:rsid w:val="00414DC4"/>
    <w:rsid w:val="004151E0"/>
    <w:rsid w:val="00415342"/>
    <w:rsid w:val="004153A4"/>
    <w:rsid w:val="004158A5"/>
    <w:rsid w:val="004158BC"/>
    <w:rsid w:val="0041598F"/>
    <w:rsid w:val="00415A2E"/>
    <w:rsid w:val="00415A65"/>
    <w:rsid w:val="00415AE2"/>
    <w:rsid w:val="00415C42"/>
    <w:rsid w:val="00415E22"/>
    <w:rsid w:val="00415FF3"/>
    <w:rsid w:val="00416013"/>
    <w:rsid w:val="0041606B"/>
    <w:rsid w:val="00416160"/>
    <w:rsid w:val="004161A2"/>
    <w:rsid w:val="004162E6"/>
    <w:rsid w:val="004162FA"/>
    <w:rsid w:val="0041671C"/>
    <w:rsid w:val="00416BBE"/>
    <w:rsid w:val="0041712F"/>
    <w:rsid w:val="0041720A"/>
    <w:rsid w:val="0041746C"/>
    <w:rsid w:val="00417594"/>
    <w:rsid w:val="0041795E"/>
    <w:rsid w:val="00417AEE"/>
    <w:rsid w:val="00417BD1"/>
    <w:rsid w:val="00417E91"/>
    <w:rsid w:val="00420116"/>
    <w:rsid w:val="0042011B"/>
    <w:rsid w:val="00420523"/>
    <w:rsid w:val="004206DC"/>
    <w:rsid w:val="0042077C"/>
    <w:rsid w:val="004209BA"/>
    <w:rsid w:val="004209C4"/>
    <w:rsid w:val="004209DD"/>
    <w:rsid w:val="00420B41"/>
    <w:rsid w:val="00420D10"/>
    <w:rsid w:val="00420E43"/>
    <w:rsid w:val="004211C6"/>
    <w:rsid w:val="00421223"/>
    <w:rsid w:val="0042138F"/>
    <w:rsid w:val="00421A6C"/>
    <w:rsid w:val="00421CE0"/>
    <w:rsid w:val="00421D4E"/>
    <w:rsid w:val="00421D64"/>
    <w:rsid w:val="00421E22"/>
    <w:rsid w:val="00421EE9"/>
    <w:rsid w:val="004225FC"/>
    <w:rsid w:val="0042276F"/>
    <w:rsid w:val="004229FF"/>
    <w:rsid w:val="00422BF5"/>
    <w:rsid w:val="00423061"/>
    <w:rsid w:val="004231CA"/>
    <w:rsid w:val="004234D3"/>
    <w:rsid w:val="0042361C"/>
    <w:rsid w:val="00423849"/>
    <w:rsid w:val="004238C9"/>
    <w:rsid w:val="004239C6"/>
    <w:rsid w:val="00423C0B"/>
    <w:rsid w:val="00423C8D"/>
    <w:rsid w:val="00423DD3"/>
    <w:rsid w:val="00423E4C"/>
    <w:rsid w:val="00423FC1"/>
    <w:rsid w:val="004241AC"/>
    <w:rsid w:val="0042423F"/>
    <w:rsid w:val="00424520"/>
    <w:rsid w:val="004248E2"/>
    <w:rsid w:val="004249BD"/>
    <w:rsid w:val="00424B15"/>
    <w:rsid w:val="00424EC5"/>
    <w:rsid w:val="0042507F"/>
    <w:rsid w:val="00425286"/>
    <w:rsid w:val="00425422"/>
    <w:rsid w:val="0042546A"/>
    <w:rsid w:val="004255E7"/>
    <w:rsid w:val="00425A19"/>
    <w:rsid w:val="00425C83"/>
    <w:rsid w:val="00425C92"/>
    <w:rsid w:val="00425E49"/>
    <w:rsid w:val="00425FC3"/>
    <w:rsid w:val="004260E1"/>
    <w:rsid w:val="004263F4"/>
    <w:rsid w:val="00426BE4"/>
    <w:rsid w:val="00426D04"/>
    <w:rsid w:val="00426DC2"/>
    <w:rsid w:val="00426E68"/>
    <w:rsid w:val="00427364"/>
    <w:rsid w:val="004273E0"/>
    <w:rsid w:val="004274B9"/>
    <w:rsid w:val="0042764F"/>
    <w:rsid w:val="004279A7"/>
    <w:rsid w:val="00427C46"/>
    <w:rsid w:val="00427CE7"/>
    <w:rsid w:val="00427D52"/>
    <w:rsid w:val="00427D7B"/>
    <w:rsid w:val="00427E98"/>
    <w:rsid w:val="00427FCC"/>
    <w:rsid w:val="00430429"/>
    <w:rsid w:val="00430553"/>
    <w:rsid w:val="00430579"/>
    <w:rsid w:val="00430D0D"/>
    <w:rsid w:val="00430DEA"/>
    <w:rsid w:val="00430F6E"/>
    <w:rsid w:val="004310B8"/>
    <w:rsid w:val="004312BE"/>
    <w:rsid w:val="00431638"/>
    <w:rsid w:val="0043175E"/>
    <w:rsid w:val="00431826"/>
    <w:rsid w:val="00431C7E"/>
    <w:rsid w:val="004320CE"/>
    <w:rsid w:val="00432102"/>
    <w:rsid w:val="004321B4"/>
    <w:rsid w:val="004322E2"/>
    <w:rsid w:val="00432686"/>
    <w:rsid w:val="004326A0"/>
    <w:rsid w:val="004326BF"/>
    <w:rsid w:val="004327DE"/>
    <w:rsid w:val="004329B9"/>
    <w:rsid w:val="00432ADC"/>
    <w:rsid w:val="0043301D"/>
    <w:rsid w:val="00433172"/>
    <w:rsid w:val="004334BC"/>
    <w:rsid w:val="004337B4"/>
    <w:rsid w:val="004337E3"/>
    <w:rsid w:val="00433A49"/>
    <w:rsid w:val="00433A9D"/>
    <w:rsid w:val="00433BAE"/>
    <w:rsid w:val="00433CEA"/>
    <w:rsid w:val="00433D1B"/>
    <w:rsid w:val="00433F17"/>
    <w:rsid w:val="00434176"/>
    <w:rsid w:val="0043418F"/>
    <w:rsid w:val="0043466B"/>
    <w:rsid w:val="00434768"/>
    <w:rsid w:val="004349A4"/>
    <w:rsid w:val="004349C7"/>
    <w:rsid w:val="00434BCF"/>
    <w:rsid w:val="00434DC6"/>
    <w:rsid w:val="00434EDB"/>
    <w:rsid w:val="00435320"/>
    <w:rsid w:val="0043557C"/>
    <w:rsid w:val="004355A5"/>
    <w:rsid w:val="004355FA"/>
    <w:rsid w:val="00435644"/>
    <w:rsid w:val="004357B1"/>
    <w:rsid w:val="00435852"/>
    <w:rsid w:val="00435AA3"/>
    <w:rsid w:val="00435F4A"/>
    <w:rsid w:val="00436263"/>
    <w:rsid w:val="0043656C"/>
    <w:rsid w:val="004365F2"/>
    <w:rsid w:val="00436635"/>
    <w:rsid w:val="00436A62"/>
    <w:rsid w:val="00436B66"/>
    <w:rsid w:val="00436C1A"/>
    <w:rsid w:val="00436DC6"/>
    <w:rsid w:val="00436F4B"/>
    <w:rsid w:val="0043761B"/>
    <w:rsid w:val="0043761C"/>
    <w:rsid w:val="00437759"/>
    <w:rsid w:val="004377B6"/>
    <w:rsid w:val="004379A8"/>
    <w:rsid w:val="00437A3A"/>
    <w:rsid w:val="00437AFE"/>
    <w:rsid w:val="00437E92"/>
    <w:rsid w:val="00437F82"/>
    <w:rsid w:val="00440295"/>
    <w:rsid w:val="00440333"/>
    <w:rsid w:val="0044048F"/>
    <w:rsid w:val="00440718"/>
    <w:rsid w:val="0044079E"/>
    <w:rsid w:val="004408ED"/>
    <w:rsid w:val="0044116D"/>
    <w:rsid w:val="0044129D"/>
    <w:rsid w:val="00441339"/>
    <w:rsid w:val="004415D8"/>
    <w:rsid w:val="00441650"/>
    <w:rsid w:val="00441680"/>
    <w:rsid w:val="00441AC9"/>
    <w:rsid w:val="00441ACE"/>
    <w:rsid w:val="00441B81"/>
    <w:rsid w:val="00441BC8"/>
    <w:rsid w:val="00441D23"/>
    <w:rsid w:val="00441DCF"/>
    <w:rsid w:val="00441F6F"/>
    <w:rsid w:val="0044212C"/>
    <w:rsid w:val="004425A4"/>
    <w:rsid w:val="00442671"/>
    <w:rsid w:val="00442986"/>
    <w:rsid w:val="00442A08"/>
    <w:rsid w:val="00442E9E"/>
    <w:rsid w:val="0044305A"/>
    <w:rsid w:val="004431F1"/>
    <w:rsid w:val="0044337E"/>
    <w:rsid w:val="004433CD"/>
    <w:rsid w:val="00443620"/>
    <w:rsid w:val="004436AE"/>
    <w:rsid w:val="004437BE"/>
    <w:rsid w:val="004438C7"/>
    <w:rsid w:val="00443A84"/>
    <w:rsid w:val="00443B00"/>
    <w:rsid w:val="00443E64"/>
    <w:rsid w:val="00444029"/>
    <w:rsid w:val="00444043"/>
    <w:rsid w:val="00444330"/>
    <w:rsid w:val="0044467B"/>
    <w:rsid w:val="00444700"/>
    <w:rsid w:val="00444AAA"/>
    <w:rsid w:val="00444C63"/>
    <w:rsid w:val="004450DC"/>
    <w:rsid w:val="00445177"/>
    <w:rsid w:val="00445522"/>
    <w:rsid w:val="00445862"/>
    <w:rsid w:val="004458E3"/>
    <w:rsid w:val="004458FB"/>
    <w:rsid w:val="00445956"/>
    <w:rsid w:val="00445997"/>
    <w:rsid w:val="004459D6"/>
    <w:rsid w:val="00445B38"/>
    <w:rsid w:val="00445BEA"/>
    <w:rsid w:val="00445E35"/>
    <w:rsid w:val="00445E96"/>
    <w:rsid w:val="00445F0F"/>
    <w:rsid w:val="004461F1"/>
    <w:rsid w:val="004464AF"/>
    <w:rsid w:val="0044659A"/>
    <w:rsid w:val="00446706"/>
    <w:rsid w:val="00446736"/>
    <w:rsid w:val="00446844"/>
    <w:rsid w:val="00446945"/>
    <w:rsid w:val="0044696F"/>
    <w:rsid w:val="00446A1B"/>
    <w:rsid w:val="00446B1A"/>
    <w:rsid w:val="00446B47"/>
    <w:rsid w:val="00446BE9"/>
    <w:rsid w:val="00447147"/>
    <w:rsid w:val="004473E5"/>
    <w:rsid w:val="004475A5"/>
    <w:rsid w:val="0044767B"/>
    <w:rsid w:val="0044777F"/>
    <w:rsid w:val="004477C9"/>
    <w:rsid w:val="00447CF0"/>
    <w:rsid w:val="0045028C"/>
    <w:rsid w:val="0045033A"/>
    <w:rsid w:val="0045038F"/>
    <w:rsid w:val="00450673"/>
    <w:rsid w:val="004509D1"/>
    <w:rsid w:val="00450C6B"/>
    <w:rsid w:val="00450E04"/>
    <w:rsid w:val="00450FB7"/>
    <w:rsid w:val="00451609"/>
    <w:rsid w:val="00451ABD"/>
    <w:rsid w:val="00451B0E"/>
    <w:rsid w:val="00451B4E"/>
    <w:rsid w:val="00451BA7"/>
    <w:rsid w:val="00451FC4"/>
    <w:rsid w:val="0045201F"/>
    <w:rsid w:val="00452173"/>
    <w:rsid w:val="004521A3"/>
    <w:rsid w:val="004523E0"/>
    <w:rsid w:val="004525DD"/>
    <w:rsid w:val="00452604"/>
    <w:rsid w:val="00452927"/>
    <w:rsid w:val="004529D9"/>
    <w:rsid w:val="00452C07"/>
    <w:rsid w:val="00452E35"/>
    <w:rsid w:val="00452E5C"/>
    <w:rsid w:val="00452FB9"/>
    <w:rsid w:val="0045305D"/>
    <w:rsid w:val="0045307F"/>
    <w:rsid w:val="004530C1"/>
    <w:rsid w:val="00453318"/>
    <w:rsid w:val="004535D6"/>
    <w:rsid w:val="0045365E"/>
    <w:rsid w:val="00453AF4"/>
    <w:rsid w:val="00453BA1"/>
    <w:rsid w:val="00453FFA"/>
    <w:rsid w:val="0045417F"/>
    <w:rsid w:val="004541C4"/>
    <w:rsid w:val="004544A4"/>
    <w:rsid w:val="004544C2"/>
    <w:rsid w:val="004545C5"/>
    <w:rsid w:val="0045484A"/>
    <w:rsid w:val="00454955"/>
    <w:rsid w:val="004550E6"/>
    <w:rsid w:val="004551B8"/>
    <w:rsid w:val="0045527B"/>
    <w:rsid w:val="00455491"/>
    <w:rsid w:val="00455805"/>
    <w:rsid w:val="00455B55"/>
    <w:rsid w:val="00455B73"/>
    <w:rsid w:val="00455D02"/>
    <w:rsid w:val="00455E1C"/>
    <w:rsid w:val="00456031"/>
    <w:rsid w:val="00456179"/>
    <w:rsid w:val="00456546"/>
    <w:rsid w:val="0045679E"/>
    <w:rsid w:val="00456919"/>
    <w:rsid w:val="00456BCC"/>
    <w:rsid w:val="00456C69"/>
    <w:rsid w:val="00456D04"/>
    <w:rsid w:val="00456D67"/>
    <w:rsid w:val="00457025"/>
    <w:rsid w:val="0045726F"/>
    <w:rsid w:val="00457974"/>
    <w:rsid w:val="00460047"/>
    <w:rsid w:val="00460489"/>
    <w:rsid w:val="004604C3"/>
    <w:rsid w:val="00460551"/>
    <w:rsid w:val="004606E2"/>
    <w:rsid w:val="004607FC"/>
    <w:rsid w:val="00460911"/>
    <w:rsid w:val="0046096A"/>
    <w:rsid w:val="00460A32"/>
    <w:rsid w:val="00460AB7"/>
    <w:rsid w:val="00460EE6"/>
    <w:rsid w:val="0046110F"/>
    <w:rsid w:val="0046128F"/>
    <w:rsid w:val="004615E9"/>
    <w:rsid w:val="004615EF"/>
    <w:rsid w:val="004617ED"/>
    <w:rsid w:val="00461846"/>
    <w:rsid w:val="004618A2"/>
    <w:rsid w:val="004618BA"/>
    <w:rsid w:val="0046198F"/>
    <w:rsid w:val="004619D3"/>
    <w:rsid w:val="004619D8"/>
    <w:rsid w:val="00461CC9"/>
    <w:rsid w:val="00461D20"/>
    <w:rsid w:val="00461E3B"/>
    <w:rsid w:val="00461FB1"/>
    <w:rsid w:val="00462092"/>
    <w:rsid w:val="0046212C"/>
    <w:rsid w:val="00462185"/>
    <w:rsid w:val="0046271A"/>
    <w:rsid w:val="004629F0"/>
    <w:rsid w:val="00462B6C"/>
    <w:rsid w:val="00462C8D"/>
    <w:rsid w:val="00462E08"/>
    <w:rsid w:val="00462E11"/>
    <w:rsid w:val="00462FF6"/>
    <w:rsid w:val="00463312"/>
    <w:rsid w:val="004636A3"/>
    <w:rsid w:val="00463ABD"/>
    <w:rsid w:val="00463B2A"/>
    <w:rsid w:val="00463C43"/>
    <w:rsid w:val="00463E49"/>
    <w:rsid w:val="00464395"/>
    <w:rsid w:val="00464460"/>
    <w:rsid w:val="00464929"/>
    <w:rsid w:val="004649AE"/>
    <w:rsid w:val="00464B12"/>
    <w:rsid w:val="00464F0C"/>
    <w:rsid w:val="00465259"/>
    <w:rsid w:val="0046526B"/>
    <w:rsid w:val="004652F8"/>
    <w:rsid w:val="0046540C"/>
    <w:rsid w:val="004656CB"/>
    <w:rsid w:val="004656ED"/>
    <w:rsid w:val="00465719"/>
    <w:rsid w:val="00465753"/>
    <w:rsid w:val="00465A14"/>
    <w:rsid w:val="00465AF9"/>
    <w:rsid w:val="00465E53"/>
    <w:rsid w:val="00465E7B"/>
    <w:rsid w:val="00465F90"/>
    <w:rsid w:val="00466211"/>
    <w:rsid w:val="0046636E"/>
    <w:rsid w:val="0046660F"/>
    <w:rsid w:val="00466631"/>
    <w:rsid w:val="004667B1"/>
    <w:rsid w:val="004667D5"/>
    <w:rsid w:val="004668F4"/>
    <w:rsid w:val="00466AF5"/>
    <w:rsid w:val="00466B75"/>
    <w:rsid w:val="00466E5B"/>
    <w:rsid w:val="00466FBB"/>
    <w:rsid w:val="00466FE3"/>
    <w:rsid w:val="004670BF"/>
    <w:rsid w:val="004670E8"/>
    <w:rsid w:val="00467621"/>
    <w:rsid w:val="00467637"/>
    <w:rsid w:val="00467ADA"/>
    <w:rsid w:val="00467ADC"/>
    <w:rsid w:val="00467B75"/>
    <w:rsid w:val="00467CE6"/>
    <w:rsid w:val="00467CEE"/>
    <w:rsid w:val="00467D01"/>
    <w:rsid w:val="00467E6D"/>
    <w:rsid w:val="00467F9F"/>
    <w:rsid w:val="0047036D"/>
    <w:rsid w:val="00470618"/>
    <w:rsid w:val="004709CA"/>
    <w:rsid w:val="00470AC8"/>
    <w:rsid w:val="00470C5E"/>
    <w:rsid w:val="004711D8"/>
    <w:rsid w:val="004715DE"/>
    <w:rsid w:val="00471662"/>
    <w:rsid w:val="00471688"/>
    <w:rsid w:val="0047168D"/>
    <w:rsid w:val="00471805"/>
    <w:rsid w:val="00471807"/>
    <w:rsid w:val="004719E8"/>
    <w:rsid w:val="00471C17"/>
    <w:rsid w:val="00471F9A"/>
    <w:rsid w:val="00471FCC"/>
    <w:rsid w:val="00472004"/>
    <w:rsid w:val="00472212"/>
    <w:rsid w:val="00472382"/>
    <w:rsid w:val="004724B1"/>
    <w:rsid w:val="004728A8"/>
    <w:rsid w:val="00472E81"/>
    <w:rsid w:val="00472EAA"/>
    <w:rsid w:val="0047308F"/>
    <w:rsid w:val="00473130"/>
    <w:rsid w:val="004732DB"/>
    <w:rsid w:val="00473435"/>
    <w:rsid w:val="004734BF"/>
    <w:rsid w:val="004734C7"/>
    <w:rsid w:val="004735BC"/>
    <w:rsid w:val="004736EB"/>
    <w:rsid w:val="004738CA"/>
    <w:rsid w:val="0047426D"/>
    <w:rsid w:val="0047433C"/>
    <w:rsid w:val="004745F6"/>
    <w:rsid w:val="004747E0"/>
    <w:rsid w:val="004748C9"/>
    <w:rsid w:val="00474A53"/>
    <w:rsid w:val="00474BA1"/>
    <w:rsid w:val="00474C12"/>
    <w:rsid w:val="00475179"/>
    <w:rsid w:val="00475377"/>
    <w:rsid w:val="00475846"/>
    <w:rsid w:val="0047605E"/>
    <w:rsid w:val="00476111"/>
    <w:rsid w:val="004761CE"/>
    <w:rsid w:val="004764CE"/>
    <w:rsid w:val="0047660B"/>
    <w:rsid w:val="00476971"/>
    <w:rsid w:val="00476FD4"/>
    <w:rsid w:val="00477037"/>
    <w:rsid w:val="004775E2"/>
    <w:rsid w:val="00477D11"/>
    <w:rsid w:val="00477D7B"/>
    <w:rsid w:val="00477E41"/>
    <w:rsid w:val="0048054D"/>
    <w:rsid w:val="00480634"/>
    <w:rsid w:val="00480ADE"/>
    <w:rsid w:val="00480D42"/>
    <w:rsid w:val="00480DB2"/>
    <w:rsid w:val="00481141"/>
    <w:rsid w:val="00481176"/>
    <w:rsid w:val="00481308"/>
    <w:rsid w:val="00481354"/>
    <w:rsid w:val="00481400"/>
    <w:rsid w:val="00482006"/>
    <w:rsid w:val="00482073"/>
    <w:rsid w:val="00482226"/>
    <w:rsid w:val="00482422"/>
    <w:rsid w:val="004824BD"/>
    <w:rsid w:val="004824ED"/>
    <w:rsid w:val="0048256B"/>
    <w:rsid w:val="004826EA"/>
    <w:rsid w:val="0048270C"/>
    <w:rsid w:val="00482747"/>
    <w:rsid w:val="004828BC"/>
    <w:rsid w:val="00482B48"/>
    <w:rsid w:val="00482CBE"/>
    <w:rsid w:val="00482CFC"/>
    <w:rsid w:val="00482D4F"/>
    <w:rsid w:val="00482DA8"/>
    <w:rsid w:val="004832D7"/>
    <w:rsid w:val="00483555"/>
    <w:rsid w:val="00483585"/>
    <w:rsid w:val="004835BE"/>
    <w:rsid w:val="00483938"/>
    <w:rsid w:val="0048397F"/>
    <w:rsid w:val="00483AB4"/>
    <w:rsid w:val="00483B0D"/>
    <w:rsid w:val="00483B3E"/>
    <w:rsid w:val="00483C8A"/>
    <w:rsid w:val="00483EDC"/>
    <w:rsid w:val="00483F4E"/>
    <w:rsid w:val="00484595"/>
    <w:rsid w:val="00484846"/>
    <w:rsid w:val="00484B11"/>
    <w:rsid w:val="00484BFB"/>
    <w:rsid w:val="00484CF2"/>
    <w:rsid w:val="00484D23"/>
    <w:rsid w:val="00484ED4"/>
    <w:rsid w:val="0048540E"/>
    <w:rsid w:val="0048540F"/>
    <w:rsid w:val="00485480"/>
    <w:rsid w:val="004854A8"/>
    <w:rsid w:val="004857E1"/>
    <w:rsid w:val="004859D0"/>
    <w:rsid w:val="00485BBC"/>
    <w:rsid w:val="00485C1C"/>
    <w:rsid w:val="00485F1C"/>
    <w:rsid w:val="00485FAC"/>
    <w:rsid w:val="00485FF2"/>
    <w:rsid w:val="004862A6"/>
    <w:rsid w:val="004866CA"/>
    <w:rsid w:val="004866DB"/>
    <w:rsid w:val="00486900"/>
    <w:rsid w:val="00486BA0"/>
    <w:rsid w:val="004870FE"/>
    <w:rsid w:val="004874C1"/>
    <w:rsid w:val="004875A1"/>
    <w:rsid w:val="00487607"/>
    <w:rsid w:val="00487822"/>
    <w:rsid w:val="00487A42"/>
    <w:rsid w:val="00487C8C"/>
    <w:rsid w:val="00487EA1"/>
    <w:rsid w:val="00487EE8"/>
    <w:rsid w:val="004900B5"/>
    <w:rsid w:val="00490148"/>
    <w:rsid w:val="00490414"/>
    <w:rsid w:val="004904AD"/>
    <w:rsid w:val="00490619"/>
    <w:rsid w:val="004906B9"/>
    <w:rsid w:val="00490717"/>
    <w:rsid w:val="00490E3C"/>
    <w:rsid w:val="004911C1"/>
    <w:rsid w:val="004911C2"/>
    <w:rsid w:val="004911E1"/>
    <w:rsid w:val="0049134C"/>
    <w:rsid w:val="0049140F"/>
    <w:rsid w:val="004915A3"/>
    <w:rsid w:val="00491A5F"/>
    <w:rsid w:val="00491BD8"/>
    <w:rsid w:val="00491DD8"/>
    <w:rsid w:val="00491F11"/>
    <w:rsid w:val="00492180"/>
    <w:rsid w:val="0049262B"/>
    <w:rsid w:val="00492737"/>
    <w:rsid w:val="004927AC"/>
    <w:rsid w:val="00492927"/>
    <w:rsid w:val="004929F7"/>
    <w:rsid w:val="00492B53"/>
    <w:rsid w:val="00492F7A"/>
    <w:rsid w:val="004932C3"/>
    <w:rsid w:val="0049353D"/>
    <w:rsid w:val="00493852"/>
    <w:rsid w:val="004939B1"/>
    <w:rsid w:val="00493A25"/>
    <w:rsid w:val="004941E4"/>
    <w:rsid w:val="00494291"/>
    <w:rsid w:val="004942C9"/>
    <w:rsid w:val="0049443F"/>
    <w:rsid w:val="00494538"/>
    <w:rsid w:val="00494811"/>
    <w:rsid w:val="004949B3"/>
    <w:rsid w:val="00494BA4"/>
    <w:rsid w:val="00494ED7"/>
    <w:rsid w:val="00494FDF"/>
    <w:rsid w:val="00495027"/>
    <w:rsid w:val="00495192"/>
    <w:rsid w:val="00495344"/>
    <w:rsid w:val="0049534F"/>
    <w:rsid w:val="0049544E"/>
    <w:rsid w:val="0049552D"/>
    <w:rsid w:val="0049558F"/>
    <w:rsid w:val="004955DE"/>
    <w:rsid w:val="0049577A"/>
    <w:rsid w:val="004958A3"/>
    <w:rsid w:val="00495B22"/>
    <w:rsid w:val="00495B2C"/>
    <w:rsid w:val="00495EE9"/>
    <w:rsid w:val="00496146"/>
    <w:rsid w:val="00496397"/>
    <w:rsid w:val="004963D8"/>
    <w:rsid w:val="00496750"/>
    <w:rsid w:val="004967BF"/>
    <w:rsid w:val="004968AC"/>
    <w:rsid w:val="00496AEA"/>
    <w:rsid w:val="00497184"/>
    <w:rsid w:val="00497213"/>
    <w:rsid w:val="004972B5"/>
    <w:rsid w:val="00497553"/>
    <w:rsid w:val="004975DF"/>
    <w:rsid w:val="00497A55"/>
    <w:rsid w:val="00497DA1"/>
    <w:rsid w:val="00497E91"/>
    <w:rsid w:val="004A00DF"/>
    <w:rsid w:val="004A01CF"/>
    <w:rsid w:val="004A031B"/>
    <w:rsid w:val="004A0639"/>
    <w:rsid w:val="004A0769"/>
    <w:rsid w:val="004A07B9"/>
    <w:rsid w:val="004A088D"/>
    <w:rsid w:val="004A0C86"/>
    <w:rsid w:val="004A1166"/>
    <w:rsid w:val="004A1305"/>
    <w:rsid w:val="004A16F3"/>
    <w:rsid w:val="004A18C2"/>
    <w:rsid w:val="004A1971"/>
    <w:rsid w:val="004A1C3E"/>
    <w:rsid w:val="004A1CC1"/>
    <w:rsid w:val="004A1D34"/>
    <w:rsid w:val="004A1E0E"/>
    <w:rsid w:val="004A1EE1"/>
    <w:rsid w:val="004A1FC2"/>
    <w:rsid w:val="004A209A"/>
    <w:rsid w:val="004A223B"/>
    <w:rsid w:val="004A2CD1"/>
    <w:rsid w:val="004A30D2"/>
    <w:rsid w:val="004A31E8"/>
    <w:rsid w:val="004A34B6"/>
    <w:rsid w:val="004A3618"/>
    <w:rsid w:val="004A3638"/>
    <w:rsid w:val="004A36C5"/>
    <w:rsid w:val="004A374D"/>
    <w:rsid w:val="004A3A4F"/>
    <w:rsid w:val="004A3AE3"/>
    <w:rsid w:val="004A3B9A"/>
    <w:rsid w:val="004A3BE7"/>
    <w:rsid w:val="004A3BFE"/>
    <w:rsid w:val="004A3C44"/>
    <w:rsid w:val="004A3ED5"/>
    <w:rsid w:val="004A40F2"/>
    <w:rsid w:val="004A42B0"/>
    <w:rsid w:val="004A461D"/>
    <w:rsid w:val="004A4677"/>
    <w:rsid w:val="004A4712"/>
    <w:rsid w:val="004A4842"/>
    <w:rsid w:val="004A49A2"/>
    <w:rsid w:val="004A4AA2"/>
    <w:rsid w:val="004A4EDE"/>
    <w:rsid w:val="004A52B9"/>
    <w:rsid w:val="004A531D"/>
    <w:rsid w:val="004A556D"/>
    <w:rsid w:val="004A58AC"/>
    <w:rsid w:val="004A58B2"/>
    <w:rsid w:val="004A5A50"/>
    <w:rsid w:val="004A5A8E"/>
    <w:rsid w:val="004A5D28"/>
    <w:rsid w:val="004A5E33"/>
    <w:rsid w:val="004A60A0"/>
    <w:rsid w:val="004A60BC"/>
    <w:rsid w:val="004A615B"/>
    <w:rsid w:val="004A6364"/>
    <w:rsid w:val="004A65CC"/>
    <w:rsid w:val="004A65DF"/>
    <w:rsid w:val="004A66F8"/>
    <w:rsid w:val="004A68B4"/>
    <w:rsid w:val="004A68F1"/>
    <w:rsid w:val="004A6A14"/>
    <w:rsid w:val="004A6A6B"/>
    <w:rsid w:val="004A6BE7"/>
    <w:rsid w:val="004A6C0D"/>
    <w:rsid w:val="004A6E46"/>
    <w:rsid w:val="004A6F1B"/>
    <w:rsid w:val="004A6F97"/>
    <w:rsid w:val="004A72F0"/>
    <w:rsid w:val="004A748A"/>
    <w:rsid w:val="004A74C2"/>
    <w:rsid w:val="004A76D3"/>
    <w:rsid w:val="004A7D59"/>
    <w:rsid w:val="004A7EAD"/>
    <w:rsid w:val="004B00AA"/>
    <w:rsid w:val="004B0436"/>
    <w:rsid w:val="004B05CC"/>
    <w:rsid w:val="004B06B0"/>
    <w:rsid w:val="004B080E"/>
    <w:rsid w:val="004B0A64"/>
    <w:rsid w:val="004B0BD4"/>
    <w:rsid w:val="004B11E7"/>
    <w:rsid w:val="004B136B"/>
    <w:rsid w:val="004B1417"/>
    <w:rsid w:val="004B193F"/>
    <w:rsid w:val="004B1EB1"/>
    <w:rsid w:val="004B1ECC"/>
    <w:rsid w:val="004B2153"/>
    <w:rsid w:val="004B239F"/>
    <w:rsid w:val="004B23A4"/>
    <w:rsid w:val="004B2794"/>
    <w:rsid w:val="004B27AB"/>
    <w:rsid w:val="004B2A7F"/>
    <w:rsid w:val="004B2CAC"/>
    <w:rsid w:val="004B2EB5"/>
    <w:rsid w:val="004B3188"/>
    <w:rsid w:val="004B31C2"/>
    <w:rsid w:val="004B36CD"/>
    <w:rsid w:val="004B3A62"/>
    <w:rsid w:val="004B3FAC"/>
    <w:rsid w:val="004B4013"/>
    <w:rsid w:val="004B4592"/>
    <w:rsid w:val="004B48B8"/>
    <w:rsid w:val="004B4D01"/>
    <w:rsid w:val="004B4E46"/>
    <w:rsid w:val="004B4FA8"/>
    <w:rsid w:val="004B506F"/>
    <w:rsid w:val="004B5100"/>
    <w:rsid w:val="004B514A"/>
    <w:rsid w:val="004B528F"/>
    <w:rsid w:val="004B52F7"/>
    <w:rsid w:val="004B53EA"/>
    <w:rsid w:val="004B5663"/>
    <w:rsid w:val="004B5A9F"/>
    <w:rsid w:val="004B5B25"/>
    <w:rsid w:val="004B5FC2"/>
    <w:rsid w:val="004B605A"/>
    <w:rsid w:val="004B6173"/>
    <w:rsid w:val="004B61E0"/>
    <w:rsid w:val="004B627B"/>
    <w:rsid w:val="004B63DF"/>
    <w:rsid w:val="004B6513"/>
    <w:rsid w:val="004B6620"/>
    <w:rsid w:val="004B67D1"/>
    <w:rsid w:val="004B69A8"/>
    <w:rsid w:val="004B6A4E"/>
    <w:rsid w:val="004B6E1A"/>
    <w:rsid w:val="004B6EE1"/>
    <w:rsid w:val="004B6EE4"/>
    <w:rsid w:val="004B6FCF"/>
    <w:rsid w:val="004B7197"/>
    <w:rsid w:val="004B72C0"/>
    <w:rsid w:val="004B72D0"/>
    <w:rsid w:val="004B7337"/>
    <w:rsid w:val="004B742A"/>
    <w:rsid w:val="004B745A"/>
    <w:rsid w:val="004B762C"/>
    <w:rsid w:val="004B7633"/>
    <w:rsid w:val="004B76D4"/>
    <w:rsid w:val="004B7A79"/>
    <w:rsid w:val="004B7C22"/>
    <w:rsid w:val="004B7E49"/>
    <w:rsid w:val="004C0036"/>
    <w:rsid w:val="004C008D"/>
    <w:rsid w:val="004C0206"/>
    <w:rsid w:val="004C02B3"/>
    <w:rsid w:val="004C05F3"/>
    <w:rsid w:val="004C0CBB"/>
    <w:rsid w:val="004C0E0A"/>
    <w:rsid w:val="004C1185"/>
    <w:rsid w:val="004C18A1"/>
    <w:rsid w:val="004C19EC"/>
    <w:rsid w:val="004C1A5B"/>
    <w:rsid w:val="004C1B4B"/>
    <w:rsid w:val="004C1D92"/>
    <w:rsid w:val="004C20D9"/>
    <w:rsid w:val="004C215A"/>
    <w:rsid w:val="004C224E"/>
    <w:rsid w:val="004C225B"/>
    <w:rsid w:val="004C2688"/>
    <w:rsid w:val="004C27AA"/>
    <w:rsid w:val="004C28BD"/>
    <w:rsid w:val="004C2905"/>
    <w:rsid w:val="004C2A4B"/>
    <w:rsid w:val="004C2EE2"/>
    <w:rsid w:val="004C2FE3"/>
    <w:rsid w:val="004C3500"/>
    <w:rsid w:val="004C3566"/>
    <w:rsid w:val="004C3784"/>
    <w:rsid w:val="004C38A2"/>
    <w:rsid w:val="004C3CAF"/>
    <w:rsid w:val="004C3ED7"/>
    <w:rsid w:val="004C3F2A"/>
    <w:rsid w:val="004C3F82"/>
    <w:rsid w:val="004C4003"/>
    <w:rsid w:val="004C4310"/>
    <w:rsid w:val="004C43A1"/>
    <w:rsid w:val="004C43ED"/>
    <w:rsid w:val="004C45DB"/>
    <w:rsid w:val="004C48B2"/>
    <w:rsid w:val="004C4C24"/>
    <w:rsid w:val="004C4E8B"/>
    <w:rsid w:val="004C4F54"/>
    <w:rsid w:val="004C51B2"/>
    <w:rsid w:val="004C5237"/>
    <w:rsid w:val="004C52A7"/>
    <w:rsid w:val="004C546C"/>
    <w:rsid w:val="004C55B5"/>
    <w:rsid w:val="004C5721"/>
    <w:rsid w:val="004C572D"/>
    <w:rsid w:val="004C5DC8"/>
    <w:rsid w:val="004C5F35"/>
    <w:rsid w:val="004C60EA"/>
    <w:rsid w:val="004C60F2"/>
    <w:rsid w:val="004C6167"/>
    <w:rsid w:val="004C61AD"/>
    <w:rsid w:val="004C6320"/>
    <w:rsid w:val="004C63E0"/>
    <w:rsid w:val="004C6536"/>
    <w:rsid w:val="004C662F"/>
    <w:rsid w:val="004C6BDD"/>
    <w:rsid w:val="004C6D84"/>
    <w:rsid w:val="004C6DFF"/>
    <w:rsid w:val="004C7477"/>
    <w:rsid w:val="004C74DB"/>
    <w:rsid w:val="004C7720"/>
    <w:rsid w:val="004C77CB"/>
    <w:rsid w:val="004C785E"/>
    <w:rsid w:val="004C78BF"/>
    <w:rsid w:val="004C7A11"/>
    <w:rsid w:val="004C7C4A"/>
    <w:rsid w:val="004C7CF2"/>
    <w:rsid w:val="004C7D5F"/>
    <w:rsid w:val="004C7E3B"/>
    <w:rsid w:val="004C7F0E"/>
    <w:rsid w:val="004D0081"/>
    <w:rsid w:val="004D0218"/>
    <w:rsid w:val="004D0663"/>
    <w:rsid w:val="004D08C1"/>
    <w:rsid w:val="004D0902"/>
    <w:rsid w:val="004D0B7E"/>
    <w:rsid w:val="004D0C38"/>
    <w:rsid w:val="004D1118"/>
    <w:rsid w:val="004D1219"/>
    <w:rsid w:val="004D12D0"/>
    <w:rsid w:val="004D1624"/>
    <w:rsid w:val="004D1D28"/>
    <w:rsid w:val="004D1E57"/>
    <w:rsid w:val="004D1EB2"/>
    <w:rsid w:val="004D1EB7"/>
    <w:rsid w:val="004D20EA"/>
    <w:rsid w:val="004D233F"/>
    <w:rsid w:val="004D259F"/>
    <w:rsid w:val="004D28E8"/>
    <w:rsid w:val="004D2A1D"/>
    <w:rsid w:val="004D2C3A"/>
    <w:rsid w:val="004D2CE4"/>
    <w:rsid w:val="004D2DCA"/>
    <w:rsid w:val="004D2E7B"/>
    <w:rsid w:val="004D2E7D"/>
    <w:rsid w:val="004D2EE6"/>
    <w:rsid w:val="004D2FC8"/>
    <w:rsid w:val="004D2FF4"/>
    <w:rsid w:val="004D327D"/>
    <w:rsid w:val="004D342C"/>
    <w:rsid w:val="004D34DF"/>
    <w:rsid w:val="004D3512"/>
    <w:rsid w:val="004D35F8"/>
    <w:rsid w:val="004D42A4"/>
    <w:rsid w:val="004D434E"/>
    <w:rsid w:val="004D4695"/>
    <w:rsid w:val="004D46F0"/>
    <w:rsid w:val="004D472D"/>
    <w:rsid w:val="004D4730"/>
    <w:rsid w:val="004D490F"/>
    <w:rsid w:val="004D4A63"/>
    <w:rsid w:val="004D4BD6"/>
    <w:rsid w:val="004D4EFD"/>
    <w:rsid w:val="004D4FF9"/>
    <w:rsid w:val="004D5176"/>
    <w:rsid w:val="004D517E"/>
    <w:rsid w:val="004D519D"/>
    <w:rsid w:val="004D54D2"/>
    <w:rsid w:val="004D555B"/>
    <w:rsid w:val="004D5625"/>
    <w:rsid w:val="004D562C"/>
    <w:rsid w:val="004D56DB"/>
    <w:rsid w:val="004D5762"/>
    <w:rsid w:val="004D5902"/>
    <w:rsid w:val="004D5CBC"/>
    <w:rsid w:val="004D5D6E"/>
    <w:rsid w:val="004D5D7E"/>
    <w:rsid w:val="004D5F2E"/>
    <w:rsid w:val="004D6282"/>
    <w:rsid w:val="004D6518"/>
    <w:rsid w:val="004D6573"/>
    <w:rsid w:val="004D6602"/>
    <w:rsid w:val="004D663E"/>
    <w:rsid w:val="004D6BD4"/>
    <w:rsid w:val="004D6FCB"/>
    <w:rsid w:val="004D711D"/>
    <w:rsid w:val="004D7193"/>
    <w:rsid w:val="004D72C3"/>
    <w:rsid w:val="004D72C4"/>
    <w:rsid w:val="004D72C9"/>
    <w:rsid w:val="004D7318"/>
    <w:rsid w:val="004D74D4"/>
    <w:rsid w:val="004D7738"/>
    <w:rsid w:val="004D7873"/>
    <w:rsid w:val="004D78A1"/>
    <w:rsid w:val="004D7904"/>
    <w:rsid w:val="004D7B49"/>
    <w:rsid w:val="004D7CC2"/>
    <w:rsid w:val="004D7D40"/>
    <w:rsid w:val="004D7E86"/>
    <w:rsid w:val="004E00E0"/>
    <w:rsid w:val="004E067E"/>
    <w:rsid w:val="004E0961"/>
    <w:rsid w:val="004E0E54"/>
    <w:rsid w:val="004E0ED0"/>
    <w:rsid w:val="004E0EF3"/>
    <w:rsid w:val="004E14DA"/>
    <w:rsid w:val="004E1620"/>
    <w:rsid w:val="004E1724"/>
    <w:rsid w:val="004E186B"/>
    <w:rsid w:val="004E1C39"/>
    <w:rsid w:val="004E1F39"/>
    <w:rsid w:val="004E2440"/>
    <w:rsid w:val="004E2838"/>
    <w:rsid w:val="004E2F45"/>
    <w:rsid w:val="004E307A"/>
    <w:rsid w:val="004E314E"/>
    <w:rsid w:val="004E31A0"/>
    <w:rsid w:val="004E34C1"/>
    <w:rsid w:val="004E3625"/>
    <w:rsid w:val="004E375F"/>
    <w:rsid w:val="004E3860"/>
    <w:rsid w:val="004E3941"/>
    <w:rsid w:val="004E3B17"/>
    <w:rsid w:val="004E3B39"/>
    <w:rsid w:val="004E3B88"/>
    <w:rsid w:val="004E4376"/>
    <w:rsid w:val="004E4499"/>
    <w:rsid w:val="004E460D"/>
    <w:rsid w:val="004E465B"/>
    <w:rsid w:val="004E4827"/>
    <w:rsid w:val="004E4E87"/>
    <w:rsid w:val="004E4FB8"/>
    <w:rsid w:val="004E511E"/>
    <w:rsid w:val="004E5269"/>
    <w:rsid w:val="004E5272"/>
    <w:rsid w:val="004E53E3"/>
    <w:rsid w:val="004E5961"/>
    <w:rsid w:val="004E5A61"/>
    <w:rsid w:val="004E5C11"/>
    <w:rsid w:val="004E606B"/>
    <w:rsid w:val="004E64BB"/>
    <w:rsid w:val="004E64F1"/>
    <w:rsid w:val="004E6674"/>
    <w:rsid w:val="004E66E5"/>
    <w:rsid w:val="004E6740"/>
    <w:rsid w:val="004E67B9"/>
    <w:rsid w:val="004E69E7"/>
    <w:rsid w:val="004E6B47"/>
    <w:rsid w:val="004E6D53"/>
    <w:rsid w:val="004E6D6C"/>
    <w:rsid w:val="004E6F35"/>
    <w:rsid w:val="004E759E"/>
    <w:rsid w:val="004E76DC"/>
    <w:rsid w:val="004E7966"/>
    <w:rsid w:val="004E7A3F"/>
    <w:rsid w:val="004E7AAA"/>
    <w:rsid w:val="004E7AD8"/>
    <w:rsid w:val="004E7B6E"/>
    <w:rsid w:val="004E7B97"/>
    <w:rsid w:val="004E7C17"/>
    <w:rsid w:val="004E7C2B"/>
    <w:rsid w:val="004E7EA3"/>
    <w:rsid w:val="004F0033"/>
    <w:rsid w:val="004F0069"/>
    <w:rsid w:val="004F01EA"/>
    <w:rsid w:val="004F02C0"/>
    <w:rsid w:val="004F0443"/>
    <w:rsid w:val="004F0855"/>
    <w:rsid w:val="004F0A14"/>
    <w:rsid w:val="004F0F74"/>
    <w:rsid w:val="004F10C9"/>
    <w:rsid w:val="004F1324"/>
    <w:rsid w:val="004F14ED"/>
    <w:rsid w:val="004F15F0"/>
    <w:rsid w:val="004F1773"/>
    <w:rsid w:val="004F1902"/>
    <w:rsid w:val="004F1FD7"/>
    <w:rsid w:val="004F2377"/>
    <w:rsid w:val="004F2403"/>
    <w:rsid w:val="004F2412"/>
    <w:rsid w:val="004F2445"/>
    <w:rsid w:val="004F24DF"/>
    <w:rsid w:val="004F2617"/>
    <w:rsid w:val="004F2924"/>
    <w:rsid w:val="004F2A06"/>
    <w:rsid w:val="004F2A75"/>
    <w:rsid w:val="004F2E65"/>
    <w:rsid w:val="004F3198"/>
    <w:rsid w:val="004F31CD"/>
    <w:rsid w:val="004F3266"/>
    <w:rsid w:val="004F33B9"/>
    <w:rsid w:val="004F3450"/>
    <w:rsid w:val="004F34C4"/>
    <w:rsid w:val="004F3746"/>
    <w:rsid w:val="004F3B93"/>
    <w:rsid w:val="004F3C02"/>
    <w:rsid w:val="004F3DA0"/>
    <w:rsid w:val="004F3DB9"/>
    <w:rsid w:val="004F3F6E"/>
    <w:rsid w:val="004F406C"/>
    <w:rsid w:val="004F4829"/>
    <w:rsid w:val="004F494E"/>
    <w:rsid w:val="004F50C5"/>
    <w:rsid w:val="004F5450"/>
    <w:rsid w:val="004F565B"/>
    <w:rsid w:val="004F569A"/>
    <w:rsid w:val="004F56D3"/>
    <w:rsid w:val="004F57B9"/>
    <w:rsid w:val="004F5835"/>
    <w:rsid w:val="004F5A03"/>
    <w:rsid w:val="004F5A4E"/>
    <w:rsid w:val="004F5C79"/>
    <w:rsid w:val="004F5DB4"/>
    <w:rsid w:val="004F5FFA"/>
    <w:rsid w:val="004F604B"/>
    <w:rsid w:val="004F61CF"/>
    <w:rsid w:val="004F6739"/>
    <w:rsid w:val="004F6795"/>
    <w:rsid w:val="004F6822"/>
    <w:rsid w:val="004F6CEF"/>
    <w:rsid w:val="004F6FED"/>
    <w:rsid w:val="004F709E"/>
    <w:rsid w:val="004F72E2"/>
    <w:rsid w:val="004F7537"/>
    <w:rsid w:val="004F7597"/>
    <w:rsid w:val="004F76BA"/>
    <w:rsid w:val="004F7747"/>
    <w:rsid w:val="004F7903"/>
    <w:rsid w:val="004F7A8C"/>
    <w:rsid w:val="005000CF"/>
    <w:rsid w:val="005001BE"/>
    <w:rsid w:val="0050049B"/>
    <w:rsid w:val="0050064C"/>
    <w:rsid w:val="00500744"/>
    <w:rsid w:val="00500848"/>
    <w:rsid w:val="005008EC"/>
    <w:rsid w:val="00500A48"/>
    <w:rsid w:val="00500CA6"/>
    <w:rsid w:val="00500DF5"/>
    <w:rsid w:val="00500E13"/>
    <w:rsid w:val="00500E40"/>
    <w:rsid w:val="00500E8B"/>
    <w:rsid w:val="00501026"/>
    <w:rsid w:val="005011B9"/>
    <w:rsid w:val="00501280"/>
    <w:rsid w:val="005012D4"/>
    <w:rsid w:val="005012E5"/>
    <w:rsid w:val="005013C6"/>
    <w:rsid w:val="00501456"/>
    <w:rsid w:val="005014CC"/>
    <w:rsid w:val="00501534"/>
    <w:rsid w:val="00501962"/>
    <w:rsid w:val="00501B92"/>
    <w:rsid w:val="00501D0D"/>
    <w:rsid w:val="0050200E"/>
    <w:rsid w:val="00502123"/>
    <w:rsid w:val="005023B7"/>
    <w:rsid w:val="00502572"/>
    <w:rsid w:val="005025E4"/>
    <w:rsid w:val="00502B2C"/>
    <w:rsid w:val="00502B2D"/>
    <w:rsid w:val="00503268"/>
    <w:rsid w:val="00503344"/>
    <w:rsid w:val="00503539"/>
    <w:rsid w:val="00503798"/>
    <w:rsid w:val="0050382D"/>
    <w:rsid w:val="0050383A"/>
    <w:rsid w:val="00503891"/>
    <w:rsid w:val="00503E3A"/>
    <w:rsid w:val="00503E86"/>
    <w:rsid w:val="00503ED5"/>
    <w:rsid w:val="0050413B"/>
    <w:rsid w:val="00504165"/>
    <w:rsid w:val="005041FD"/>
    <w:rsid w:val="00504289"/>
    <w:rsid w:val="005048AC"/>
    <w:rsid w:val="00504A4F"/>
    <w:rsid w:val="00504A6C"/>
    <w:rsid w:val="00504AC7"/>
    <w:rsid w:val="00504C24"/>
    <w:rsid w:val="00504E2D"/>
    <w:rsid w:val="00504E70"/>
    <w:rsid w:val="00504F77"/>
    <w:rsid w:val="0050502A"/>
    <w:rsid w:val="005050AA"/>
    <w:rsid w:val="005050FA"/>
    <w:rsid w:val="0050522F"/>
    <w:rsid w:val="00505272"/>
    <w:rsid w:val="005052E4"/>
    <w:rsid w:val="005054B6"/>
    <w:rsid w:val="005054E2"/>
    <w:rsid w:val="0050550C"/>
    <w:rsid w:val="0050570F"/>
    <w:rsid w:val="00505B65"/>
    <w:rsid w:val="00505BE6"/>
    <w:rsid w:val="00505CF7"/>
    <w:rsid w:val="00505EAD"/>
    <w:rsid w:val="005061DD"/>
    <w:rsid w:val="005061E1"/>
    <w:rsid w:val="00506408"/>
    <w:rsid w:val="0050645A"/>
    <w:rsid w:val="005064B6"/>
    <w:rsid w:val="00506583"/>
    <w:rsid w:val="00506721"/>
    <w:rsid w:val="005067B8"/>
    <w:rsid w:val="00506AF6"/>
    <w:rsid w:val="00506B45"/>
    <w:rsid w:val="00506DD1"/>
    <w:rsid w:val="00506E97"/>
    <w:rsid w:val="00506EFD"/>
    <w:rsid w:val="005077D0"/>
    <w:rsid w:val="005078AF"/>
    <w:rsid w:val="005100AC"/>
    <w:rsid w:val="0051011A"/>
    <w:rsid w:val="00510304"/>
    <w:rsid w:val="00510985"/>
    <w:rsid w:val="00510F0E"/>
    <w:rsid w:val="00510F51"/>
    <w:rsid w:val="00511025"/>
    <w:rsid w:val="00511231"/>
    <w:rsid w:val="0051136D"/>
    <w:rsid w:val="005113E8"/>
    <w:rsid w:val="005113ED"/>
    <w:rsid w:val="0051154A"/>
    <w:rsid w:val="00511576"/>
    <w:rsid w:val="00511600"/>
    <w:rsid w:val="005119A7"/>
    <w:rsid w:val="00511BC3"/>
    <w:rsid w:val="00511F35"/>
    <w:rsid w:val="0051221A"/>
    <w:rsid w:val="0051224C"/>
    <w:rsid w:val="0051225F"/>
    <w:rsid w:val="005123C6"/>
    <w:rsid w:val="005124E9"/>
    <w:rsid w:val="0051279C"/>
    <w:rsid w:val="005127EE"/>
    <w:rsid w:val="00512A2C"/>
    <w:rsid w:val="00512B0A"/>
    <w:rsid w:val="00512C2B"/>
    <w:rsid w:val="00512F06"/>
    <w:rsid w:val="00512F8E"/>
    <w:rsid w:val="005135A0"/>
    <w:rsid w:val="0051393A"/>
    <w:rsid w:val="00513A95"/>
    <w:rsid w:val="00513D0C"/>
    <w:rsid w:val="00513E70"/>
    <w:rsid w:val="00513F08"/>
    <w:rsid w:val="00513FC4"/>
    <w:rsid w:val="005143E9"/>
    <w:rsid w:val="0051459D"/>
    <w:rsid w:val="00514678"/>
    <w:rsid w:val="005148E0"/>
    <w:rsid w:val="00514A29"/>
    <w:rsid w:val="00514FC7"/>
    <w:rsid w:val="00514FF2"/>
    <w:rsid w:val="0051564A"/>
    <w:rsid w:val="00515879"/>
    <w:rsid w:val="00515AED"/>
    <w:rsid w:val="00515C2A"/>
    <w:rsid w:val="00515D20"/>
    <w:rsid w:val="00515E31"/>
    <w:rsid w:val="00515EA9"/>
    <w:rsid w:val="00515F68"/>
    <w:rsid w:val="00515FCC"/>
    <w:rsid w:val="005164EF"/>
    <w:rsid w:val="0051651A"/>
    <w:rsid w:val="005165F0"/>
    <w:rsid w:val="0051682F"/>
    <w:rsid w:val="005168E2"/>
    <w:rsid w:val="005169DD"/>
    <w:rsid w:val="00516A5D"/>
    <w:rsid w:val="00516B42"/>
    <w:rsid w:val="00516BFE"/>
    <w:rsid w:val="00516EF1"/>
    <w:rsid w:val="00516F51"/>
    <w:rsid w:val="00517842"/>
    <w:rsid w:val="005178D6"/>
    <w:rsid w:val="00517CED"/>
    <w:rsid w:val="00517D14"/>
    <w:rsid w:val="00517D29"/>
    <w:rsid w:val="00517D4F"/>
    <w:rsid w:val="00520263"/>
    <w:rsid w:val="00520421"/>
    <w:rsid w:val="0052054E"/>
    <w:rsid w:val="00520594"/>
    <w:rsid w:val="0052080F"/>
    <w:rsid w:val="00520814"/>
    <w:rsid w:val="00520949"/>
    <w:rsid w:val="00520CE2"/>
    <w:rsid w:val="00520E85"/>
    <w:rsid w:val="00520F4F"/>
    <w:rsid w:val="00520F8A"/>
    <w:rsid w:val="0052115C"/>
    <w:rsid w:val="00521760"/>
    <w:rsid w:val="005218E7"/>
    <w:rsid w:val="00521A24"/>
    <w:rsid w:val="00521A94"/>
    <w:rsid w:val="00521E6F"/>
    <w:rsid w:val="005220B7"/>
    <w:rsid w:val="005222AD"/>
    <w:rsid w:val="005224B4"/>
    <w:rsid w:val="00522557"/>
    <w:rsid w:val="0052262F"/>
    <w:rsid w:val="0052285C"/>
    <w:rsid w:val="005228BC"/>
    <w:rsid w:val="00522A9C"/>
    <w:rsid w:val="00522C49"/>
    <w:rsid w:val="005231BD"/>
    <w:rsid w:val="00523354"/>
    <w:rsid w:val="0052351A"/>
    <w:rsid w:val="00523574"/>
    <w:rsid w:val="00523677"/>
    <w:rsid w:val="005238BD"/>
    <w:rsid w:val="005238F3"/>
    <w:rsid w:val="00523A46"/>
    <w:rsid w:val="00523A53"/>
    <w:rsid w:val="00523B12"/>
    <w:rsid w:val="00523B27"/>
    <w:rsid w:val="00523C2C"/>
    <w:rsid w:val="00523C2E"/>
    <w:rsid w:val="00523CCA"/>
    <w:rsid w:val="00523CF6"/>
    <w:rsid w:val="00523E2F"/>
    <w:rsid w:val="005244DE"/>
    <w:rsid w:val="005244E8"/>
    <w:rsid w:val="0052456A"/>
    <w:rsid w:val="005248EC"/>
    <w:rsid w:val="005249EA"/>
    <w:rsid w:val="005249EB"/>
    <w:rsid w:val="00524D54"/>
    <w:rsid w:val="00524E3A"/>
    <w:rsid w:val="00524F3C"/>
    <w:rsid w:val="00524FC9"/>
    <w:rsid w:val="00525142"/>
    <w:rsid w:val="005255BD"/>
    <w:rsid w:val="0052560B"/>
    <w:rsid w:val="0052567D"/>
    <w:rsid w:val="005256C5"/>
    <w:rsid w:val="00525913"/>
    <w:rsid w:val="00525A10"/>
    <w:rsid w:val="00525A95"/>
    <w:rsid w:val="00525BD2"/>
    <w:rsid w:val="00525CD1"/>
    <w:rsid w:val="00525D38"/>
    <w:rsid w:val="00525D94"/>
    <w:rsid w:val="00525E45"/>
    <w:rsid w:val="0052616A"/>
    <w:rsid w:val="005262A7"/>
    <w:rsid w:val="00526363"/>
    <w:rsid w:val="005263E2"/>
    <w:rsid w:val="00526497"/>
    <w:rsid w:val="005265CB"/>
    <w:rsid w:val="005267EC"/>
    <w:rsid w:val="0052698B"/>
    <w:rsid w:val="00526BFE"/>
    <w:rsid w:val="00526CD0"/>
    <w:rsid w:val="00526E0D"/>
    <w:rsid w:val="005271D4"/>
    <w:rsid w:val="00527266"/>
    <w:rsid w:val="005277CC"/>
    <w:rsid w:val="00527D5F"/>
    <w:rsid w:val="00527D90"/>
    <w:rsid w:val="00527D96"/>
    <w:rsid w:val="00527DA7"/>
    <w:rsid w:val="00527F94"/>
    <w:rsid w:val="0053004F"/>
    <w:rsid w:val="0053018C"/>
    <w:rsid w:val="00530563"/>
    <w:rsid w:val="00530577"/>
    <w:rsid w:val="0053068D"/>
    <w:rsid w:val="00530693"/>
    <w:rsid w:val="0053069C"/>
    <w:rsid w:val="00530703"/>
    <w:rsid w:val="00530926"/>
    <w:rsid w:val="00530B12"/>
    <w:rsid w:val="00530BC8"/>
    <w:rsid w:val="005310EA"/>
    <w:rsid w:val="00531332"/>
    <w:rsid w:val="00531CCA"/>
    <w:rsid w:val="00531D56"/>
    <w:rsid w:val="00531ECD"/>
    <w:rsid w:val="00531EE4"/>
    <w:rsid w:val="00531FE6"/>
    <w:rsid w:val="0053200F"/>
    <w:rsid w:val="0053233D"/>
    <w:rsid w:val="00532361"/>
    <w:rsid w:val="00532371"/>
    <w:rsid w:val="005324C5"/>
    <w:rsid w:val="00532511"/>
    <w:rsid w:val="00532690"/>
    <w:rsid w:val="0053284E"/>
    <w:rsid w:val="00532962"/>
    <w:rsid w:val="00532B81"/>
    <w:rsid w:val="00532BDC"/>
    <w:rsid w:val="00532EB8"/>
    <w:rsid w:val="0053337F"/>
    <w:rsid w:val="0053359D"/>
    <w:rsid w:val="005336C8"/>
    <w:rsid w:val="00533836"/>
    <w:rsid w:val="00533A5C"/>
    <w:rsid w:val="00533E3C"/>
    <w:rsid w:val="00533FD7"/>
    <w:rsid w:val="005340DC"/>
    <w:rsid w:val="005341BA"/>
    <w:rsid w:val="005344D5"/>
    <w:rsid w:val="0053476B"/>
    <w:rsid w:val="005347E4"/>
    <w:rsid w:val="0053484D"/>
    <w:rsid w:val="0053497D"/>
    <w:rsid w:val="00534C62"/>
    <w:rsid w:val="00534F73"/>
    <w:rsid w:val="005350DE"/>
    <w:rsid w:val="005351B4"/>
    <w:rsid w:val="005356DE"/>
    <w:rsid w:val="005357CC"/>
    <w:rsid w:val="005358A8"/>
    <w:rsid w:val="00535DE8"/>
    <w:rsid w:val="00535DF8"/>
    <w:rsid w:val="00536322"/>
    <w:rsid w:val="005363C2"/>
    <w:rsid w:val="00536603"/>
    <w:rsid w:val="005368F6"/>
    <w:rsid w:val="00536A2B"/>
    <w:rsid w:val="00536AAB"/>
    <w:rsid w:val="00536E33"/>
    <w:rsid w:val="00536FF4"/>
    <w:rsid w:val="005370AD"/>
    <w:rsid w:val="005375A2"/>
    <w:rsid w:val="00540155"/>
    <w:rsid w:val="00540433"/>
    <w:rsid w:val="00540537"/>
    <w:rsid w:val="0054078D"/>
    <w:rsid w:val="00540BB1"/>
    <w:rsid w:val="00540C66"/>
    <w:rsid w:val="00540D5C"/>
    <w:rsid w:val="005410BB"/>
    <w:rsid w:val="005410FD"/>
    <w:rsid w:val="0054144D"/>
    <w:rsid w:val="00541451"/>
    <w:rsid w:val="00541480"/>
    <w:rsid w:val="005417B4"/>
    <w:rsid w:val="00541B38"/>
    <w:rsid w:val="00541CA1"/>
    <w:rsid w:val="005420B5"/>
    <w:rsid w:val="00542513"/>
    <w:rsid w:val="005426BD"/>
    <w:rsid w:val="005427F0"/>
    <w:rsid w:val="00542833"/>
    <w:rsid w:val="00542BD6"/>
    <w:rsid w:val="00542D75"/>
    <w:rsid w:val="00542F8F"/>
    <w:rsid w:val="0054368A"/>
    <w:rsid w:val="005438CF"/>
    <w:rsid w:val="00543A25"/>
    <w:rsid w:val="00543ABD"/>
    <w:rsid w:val="00543F5F"/>
    <w:rsid w:val="0054456B"/>
    <w:rsid w:val="005446E5"/>
    <w:rsid w:val="00544753"/>
    <w:rsid w:val="00544D9E"/>
    <w:rsid w:val="0054575C"/>
    <w:rsid w:val="00545802"/>
    <w:rsid w:val="005458BC"/>
    <w:rsid w:val="00545A89"/>
    <w:rsid w:val="00545B33"/>
    <w:rsid w:val="00545CF8"/>
    <w:rsid w:val="00545D0D"/>
    <w:rsid w:val="00545E19"/>
    <w:rsid w:val="00545EA7"/>
    <w:rsid w:val="00545FF9"/>
    <w:rsid w:val="00546088"/>
    <w:rsid w:val="005463C5"/>
    <w:rsid w:val="00546811"/>
    <w:rsid w:val="00546997"/>
    <w:rsid w:val="00546B6B"/>
    <w:rsid w:val="00546C3C"/>
    <w:rsid w:val="00546CDF"/>
    <w:rsid w:val="00546E8C"/>
    <w:rsid w:val="0054743F"/>
    <w:rsid w:val="005474F2"/>
    <w:rsid w:val="005475B7"/>
    <w:rsid w:val="005476B5"/>
    <w:rsid w:val="00547732"/>
    <w:rsid w:val="005478A8"/>
    <w:rsid w:val="00547A1E"/>
    <w:rsid w:val="00547A85"/>
    <w:rsid w:val="00547AFD"/>
    <w:rsid w:val="00547C5D"/>
    <w:rsid w:val="00547CB7"/>
    <w:rsid w:val="00547CDD"/>
    <w:rsid w:val="00547CF9"/>
    <w:rsid w:val="00547E4E"/>
    <w:rsid w:val="00547E9B"/>
    <w:rsid w:val="005500FD"/>
    <w:rsid w:val="0055016B"/>
    <w:rsid w:val="005501EB"/>
    <w:rsid w:val="00550203"/>
    <w:rsid w:val="005504CA"/>
    <w:rsid w:val="0055067D"/>
    <w:rsid w:val="005506F7"/>
    <w:rsid w:val="00550772"/>
    <w:rsid w:val="00550916"/>
    <w:rsid w:val="00550D05"/>
    <w:rsid w:val="00550E15"/>
    <w:rsid w:val="00550EE7"/>
    <w:rsid w:val="0055116D"/>
    <w:rsid w:val="00551178"/>
    <w:rsid w:val="0055126A"/>
    <w:rsid w:val="005514AA"/>
    <w:rsid w:val="00551575"/>
    <w:rsid w:val="00551850"/>
    <w:rsid w:val="00551920"/>
    <w:rsid w:val="00551A8B"/>
    <w:rsid w:val="00551C31"/>
    <w:rsid w:val="00551DBD"/>
    <w:rsid w:val="00551EC4"/>
    <w:rsid w:val="00551EFE"/>
    <w:rsid w:val="00551FBE"/>
    <w:rsid w:val="00551FC1"/>
    <w:rsid w:val="00552028"/>
    <w:rsid w:val="005520BE"/>
    <w:rsid w:val="00552112"/>
    <w:rsid w:val="005521F6"/>
    <w:rsid w:val="00552294"/>
    <w:rsid w:val="005522C3"/>
    <w:rsid w:val="0055292E"/>
    <w:rsid w:val="00552AB7"/>
    <w:rsid w:val="00552B99"/>
    <w:rsid w:val="00552BEF"/>
    <w:rsid w:val="00552C5E"/>
    <w:rsid w:val="00552D60"/>
    <w:rsid w:val="00552DD9"/>
    <w:rsid w:val="00552E46"/>
    <w:rsid w:val="00552FAA"/>
    <w:rsid w:val="0055305D"/>
    <w:rsid w:val="005530BC"/>
    <w:rsid w:val="00553207"/>
    <w:rsid w:val="00553245"/>
    <w:rsid w:val="00553249"/>
    <w:rsid w:val="00553334"/>
    <w:rsid w:val="005533DD"/>
    <w:rsid w:val="0055357A"/>
    <w:rsid w:val="00553611"/>
    <w:rsid w:val="0055376D"/>
    <w:rsid w:val="00553804"/>
    <w:rsid w:val="005538DD"/>
    <w:rsid w:val="00553993"/>
    <w:rsid w:val="005539EC"/>
    <w:rsid w:val="00553AFE"/>
    <w:rsid w:val="00553E97"/>
    <w:rsid w:val="0055410A"/>
    <w:rsid w:val="00554469"/>
    <w:rsid w:val="0055465D"/>
    <w:rsid w:val="0055492B"/>
    <w:rsid w:val="00554CD0"/>
    <w:rsid w:val="00554E1B"/>
    <w:rsid w:val="00555144"/>
    <w:rsid w:val="0055530B"/>
    <w:rsid w:val="00555470"/>
    <w:rsid w:val="005558A7"/>
    <w:rsid w:val="0055595B"/>
    <w:rsid w:val="00555CF1"/>
    <w:rsid w:val="00555E31"/>
    <w:rsid w:val="005561BF"/>
    <w:rsid w:val="0055624A"/>
    <w:rsid w:val="005563AF"/>
    <w:rsid w:val="005563C0"/>
    <w:rsid w:val="005565A0"/>
    <w:rsid w:val="00556A42"/>
    <w:rsid w:val="00556AD5"/>
    <w:rsid w:val="0055713F"/>
    <w:rsid w:val="005573D0"/>
    <w:rsid w:val="0055764E"/>
    <w:rsid w:val="00557E61"/>
    <w:rsid w:val="0056031A"/>
    <w:rsid w:val="005605E9"/>
    <w:rsid w:val="0056064B"/>
    <w:rsid w:val="00560695"/>
    <w:rsid w:val="00560AC0"/>
    <w:rsid w:val="00560BD9"/>
    <w:rsid w:val="00560D42"/>
    <w:rsid w:val="0056113E"/>
    <w:rsid w:val="005611A5"/>
    <w:rsid w:val="0056136B"/>
    <w:rsid w:val="0056138D"/>
    <w:rsid w:val="005615C6"/>
    <w:rsid w:val="00561608"/>
    <w:rsid w:val="00561677"/>
    <w:rsid w:val="00561711"/>
    <w:rsid w:val="0056177C"/>
    <w:rsid w:val="00561B94"/>
    <w:rsid w:val="00561E4F"/>
    <w:rsid w:val="00562267"/>
    <w:rsid w:val="00562313"/>
    <w:rsid w:val="0056272E"/>
    <w:rsid w:val="00562B76"/>
    <w:rsid w:val="00562C0A"/>
    <w:rsid w:val="00562FFF"/>
    <w:rsid w:val="005631BF"/>
    <w:rsid w:val="00563285"/>
    <w:rsid w:val="0056337A"/>
    <w:rsid w:val="00563967"/>
    <w:rsid w:val="00563AA9"/>
    <w:rsid w:val="00563C80"/>
    <w:rsid w:val="00563D46"/>
    <w:rsid w:val="00563D9D"/>
    <w:rsid w:val="00563E53"/>
    <w:rsid w:val="005642D7"/>
    <w:rsid w:val="0056444E"/>
    <w:rsid w:val="005647EC"/>
    <w:rsid w:val="00564979"/>
    <w:rsid w:val="00564BE9"/>
    <w:rsid w:val="00564EA4"/>
    <w:rsid w:val="0056506D"/>
    <w:rsid w:val="00565128"/>
    <w:rsid w:val="00565347"/>
    <w:rsid w:val="005654F3"/>
    <w:rsid w:val="00565612"/>
    <w:rsid w:val="0056586B"/>
    <w:rsid w:val="00565C0C"/>
    <w:rsid w:val="00565CAF"/>
    <w:rsid w:val="005661F5"/>
    <w:rsid w:val="005664BC"/>
    <w:rsid w:val="0056684A"/>
    <w:rsid w:val="00566A6F"/>
    <w:rsid w:val="00566B59"/>
    <w:rsid w:val="00567117"/>
    <w:rsid w:val="005672D4"/>
    <w:rsid w:val="005675D4"/>
    <w:rsid w:val="00567ACD"/>
    <w:rsid w:val="00570195"/>
    <w:rsid w:val="005702F7"/>
    <w:rsid w:val="005703B4"/>
    <w:rsid w:val="0057055E"/>
    <w:rsid w:val="005707AE"/>
    <w:rsid w:val="00570843"/>
    <w:rsid w:val="005709AF"/>
    <w:rsid w:val="00570C24"/>
    <w:rsid w:val="00570D68"/>
    <w:rsid w:val="00570D6A"/>
    <w:rsid w:val="00570F51"/>
    <w:rsid w:val="005711A4"/>
    <w:rsid w:val="005712E8"/>
    <w:rsid w:val="00571510"/>
    <w:rsid w:val="00571639"/>
    <w:rsid w:val="005716E2"/>
    <w:rsid w:val="00571990"/>
    <w:rsid w:val="00571CE1"/>
    <w:rsid w:val="00571D0E"/>
    <w:rsid w:val="00571D4E"/>
    <w:rsid w:val="00571E50"/>
    <w:rsid w:val="0057225C"/>
    <w:rsid w:val="005722BD"/>
    <w:rsid w:val="00572571"/>
    <w:rsid w:val="00572669"/>
    <w:rsid w:val="005726E4"/>
    <w:rsid w:val="00572842"/>
    <w:rsid w:val="00572954"/>
    <w:rsid w:val="00572D99"/>
    <w:rsid w:val="005731AE"/>
    <w:rsid w:val="0057372E"/>
    <w:rsid w:val="005739C5"/>
    <w:rsid w:val="00573BAF"/>
    <w:rsid w:val="00573F64"/>
    <w:rsid w:val="00573F69"/>
    <w:rsid w:val="00573FFD"/>
    <w:rsid w:val="00574013"/>
    <w:rsid w:val="0057415B"/>
    <w:rsid w:val="005741C4"/>
    <w:rsid w:val="005741F9"/>
    <w:rsid w:val="0057430D"/>
    <w:rsid w:val="00574579"/>
    <w:rsid w:val="005745BF"/>
    <w:rsid w:val="005745D6"/>
    <w:rsid w:val="00574AC0"/>
    <w:rsid w:val="00574C6C"/>
    <w:rsid w:val="00574D22"/>
    <w:rsid w:val="00574D7F"/>
    <w:rsid w:val="00574E73"/>
    <w:rsid w:val="0057510D"/>
    <w:rsid w:val="00575267"/>
    <w:rsid w:val="0057528D"/>
    <w:rsid w:val="005752CE"/>
    <w:rsid w:val="005753A8"/>
    <w:rsid w:val="0057543E"/>
    <w:rsid w:val="0057545A"/>
    <w:rsid w:val="0057565D"/>
    <w:rsid w:val="005758C9"/>
    <w:rsid w:val="005759F8"/>
    <w:rsid w:val="00575BA3"/>
    <w:rsid w:val="00575C8E"/>
    <w:rsid w:val="005762F5"/>
    <w:rsid w:val="0057636C"/>
    <w:rsid w:val="0057656E"/>
    <w:rsid w:val="00576911"/>
    <w:rsid w:val="005769B9"/>
    <w:rsid w:val="00576A83"/>
    <w:rsid w:val="00576AA0"/>
    <w:rsid w:val="00576F6E"/>
    <w:rsid w:val="0057705E"/>
    <w:rsid w:val="005776FA"/>
    <w:rsid w:val="00577712"/>
    <w:rsid w:val="00577962"/>
    <w:rsid w:val="00577A54"/>
    <w:rsid w:val="00577CA7"/>
    <w:rsid w:val="00577E07"/>
    <w:rsid w:val="00577ED4"/>
    <w:rsid w:val="00580658"/>
    <w:rsid w:val="00580664"/>
    <w:rsid w:val="00580932"/>
    <w:rsid w:val="00580965"/>
    <w:rsid w:val="0058103E"/>
    <w:rsid w:val="005810A6"/>
    <w:rsid w:val="0058118E"/>
    <w:rsid w:val="005811BF"/>
    <w:rsid w:val="0058154F"/>
    <w:rsid w:val="00581A98"/>
    <w:rsid w:val="00581B64"/>
    <w:rsid w:val="00581C88"/>
    <w:rsid w:val="00581FAC"/>
    <w:rsid w:val="00582306"/>
    <w:rsid w:val="00582996"/>
    <w:rsid w:val="00582C94"/>
    <w:rsid w:val="00582E46"/>
    <w:rsid w:val="0058309C"/>
    <w:rsid w:val="00583210"/>
    <w:rsid w:val="00583552"/>
    <w:rsid w:val="005835B1"/>
    <w:rsid w:val="00583897"/>
    <w:rsid w:val="0058390E"/>
    <w:rsid w:val="00583B6D"/>
    <w:rsid w:val="00583BE1"/>
    <w:rsid w:val="00583F63"/>
    <w:rsid w:val="00583FA5"/>
    <w:rsid w:val="00584259"/>
    <w:rsid w:val="0058438A"/>
    <w:rsid w:val="0058440D"/>
    <w:rsid w:val="00584414"/>
    <w:rsid w:val="00584459"/>
    <w:rsid w:val="00584487"/>
    <w:rsid w:val="00584494"/>
    <w:rsid w:val="0058473A"/>
    <w:rsid w:val="0058476A"/>
    <w:rsid w:val="005847E3"/>
    <w:rsid w:val="0058488A"/>
    <w:rsid w:val="005848B5"/>
    <w:rsid w:val="00584A2D"/>
    <w:rsid w:val="00584BCE"/>
    <w:rsid w:val="00584D11"/>
    <w:rsid w:val="00584DFB"/>
    <w:rsid w:val="00585367"/>
    <w:rsid w:val="005853F2"/>
    <w:rsid w:val="005855AF"/>
    <w:rsid w:val="005856CB"/>
    <w:rsid w:val="005859DB"/>
    <w:rsid w:val="00585A19"/>
    <w:rsid w:val="00585AD7"/>
    <w:rsid w:val="00585D06"/>
    <w:rsid w:val="00585E23"/>
    <w:rsid w:val="00585F26"/>
    <w:rsid w:val="00585F8C"/>
    <w:rsid w:val="0058608F"/>
    <w:rsid w:val="00586180"/>
    <w:rsid w:val="00586210"/>
    <w:rsid w:val="005862B6"/>
    <w:rsid w:val="0058637E"/>
    <w:rsid w:val="005863DB"/>
    <w:rsid w:val="005864CC"/>
    <w:rsid w:val="005865B2"/>
    <w:rsid w:val="005865D5"/>
    <w:rsid w:val="00586680"/>
    <w:rsid w:val="00586734"/>
    <w:rsid w:val="00586735"/>
    <w:rsid w:val="00586B31"/>
    <w:rsid w:val="00586CDA"/>
    <w:rsid w:val="00586EA6"/>
    <w:rsid w:val="00586EDE"/>
    <w:rsid w:val="00586F61"/>
    <w:rsid w:val="00587028"/>
    <w:rsid w:val="005873FC"/>
    <w:rsid w:val="005874AD"/>
    <w:rsid w:val="005875AA"/>
    <w:rsid w:val="00587A14"/>
    <w:rsid w:val="00587B4A"/>
    <w:rsid w:val="00587C7A"/>
    <w:rsid w:val="00587CE1"/>
    <w:rsid w:val="0059008A"/>
    <w:rsid w:val="005901D2"/>
    <w:rsid w:val="00590545"/>
    <w:rsid w:val="0059055B"/>
    <w:rsid w:val="005906C3"/>
    <w:rsid w:val="00590700"/>
    <w:rsid w:val="005907F7"/>
    <w:rsid w:val="005907FA"/>
    <w:rsid w:val="00590875"/>
    <w:rsid w:val="00590AA2"/>
    <w:rsid w:val="00590B1C"/>
    <w:rsid w:val="00590C16"/>
    <w:rsid w:val="00590D02"/>
    <w:rsid w:val="00590EAF"/>
    <w:rsid w:val="005913A2"/>
    <w:rsid w:val="005913C5"/>
    <w:rsid w:val="0059172F"/>
    <w:rsid w:val="005918EF"/>
    <w:rsid w:val="00591EB2"/>
    <w:rsid w:val="00591EC3"/>
    <w:rsid w:val="00592007"/>
    <w:rsid w:val="00592207"/>
    <w:rsid w:val="005924A2"/>
    <w:rsid w:val="0059267F"/>
    <w:rsid w:val="005926F4"/>
    <w:rsid w:val="0059290B"/>
    <w:rsid w:val="00592F8A"/>
    <w:rsid w:val="00592FFD"/>
    <w:rsid w:val="0059310C"/>
    <w:rsid w:val="0059328A"/>
    <w:rsid w:val="0059333C"/>
    <w:rsid w:val="005934CA"/>
    <w:rsid w:val="005935AC"/>
    <w:rsid w:val="005935DB"/>
    <w:rsid w:val="005935E4"/>
    <w:rsid w:val="00593600"/>
    <w:rsid w:val="00593805"/>
    <w:rsid w:val="00593B8B"/>
    <w:rsid w:val="00593C83"/>
    <w:rsid w:val="00593E57"/>
    <w:rsid w:val="00594126"/>
    <w:rsid w:val="005944C3"/>
    <w:rsid w:val="005945F3"/>
    <w:rsid w:val="005947B0"/>
    <w:rsid w:val="0059499D"/>
    <w:rsid w:val="00594A2B"/>
    <w:rsid w:val="00594D76"/>
    <w:rsid w:val="00594E4D"/>
    <w:rsid w:val="00594F08"/>
    <w:rsid w:val="005950C8"/>
    <w:rsid w:val="0059524A"/>
    <w:rsid w:val="005952D7"/>
    <w:rsid w:val="0059589C"/>
    <w:rsid w:val="005958B3"/>
    <w:rsid w:val="005958DD"/>
    <w:rsid w:val="0059595A"/>
    <w:rsid w:val="00595A34"/>
    <w:rsid w:val="00595ADD"/>
    <w:rsid w:val="00595B23"/>
    <w:rsid w:val="00595B3F"/>
    <w:rsid w:val="00595B9E"/>
    <w:rsid w:val="00595EA0"/>
    <w:rsid w:val="00595ED6"/>
    <w:rsid w:val="00595FAD"/>
    <w:rsid w:val="00596312"/>
    <w:rsid w:val="00596384"/>
    <w:rsid w:val="0059666F"/>
    <w:rsid w:val="00596688"/>
    <w:rsid w:val="0059680B"/>
    <w:rsid w:val="005968F0"/>
    <w:rsid w:val="005969C4"/>
    <w:rsid w:val="00596ABD"/>
    <w:rsid w:val="00596BB3"/>
    <w:rsid w:val="00596F7E"/>
    <w:rsid w:val="00596FD9"/>
    <w:rsid w:val="005970E7"/>
    <w:rsid w:val="00597391"/>
    <w:rsid w:val="005979C7"/>
    <w:rsid w:val="00597A95"/>
    <w:rsid w:val="00597B9F"/>
    <w:rsid w:val="00597BAF"/>
    <w:rsid w:val="00597DCE"/>
    <w:rsid w:val="00597E69"/>
    <w:rsid w:val="005A00F4"/>
    <w:rsid w:val="005A0129"/>
    <w:rsid w:val="005A01EA"/>
    <w:rsid w:val="005A0462"/>
    <w:rsid w:val="005A071E"/>
    <w:rsid w:val="005A08A0"/>
    <w:rsid w:val="005A09EF"/>
    <w:rsid w:val="005A0A49"/>
    <w:rsid w:val="005A0C74"/>
    <w:rsid w:val="005A0CE0"/>
    <w:rsid w:val="005A0FB6"/>
    <w:rsid w:val="005A11C3"/>
    <w:rsid w:val="005A1382"/>
    <w:rsid w:val="005A1419"/>
    <w:rsid w:val="005A1422"/>
    <w:rsid w:val="005A15DA"/>
    <w:rsid w:val="005A15FF"/>
    <w:rsid w:val="005A16D7"/>
    <w:rsid w:val="005A17DE"/>
    <w:rsid w:val="005A182F"/>
    <w:rsid w:val="005A18EF"/>
    <w:rsid w:val="005A1C89"/>
    <w:rsid w:val="005A1DEA"/>
    <w:rsid w:val="005A1FE0"/>
    <w:rsid w:val="005A2032"/>
    <w:rsid w:val="005A20C1"/>
    <w:rsid w:val="005A20DE"/>
    <w:rsid w:val="005A2104"/>
    <w:rsid w:val="005A2137"/>
    <w:rsid w:val="005A2138"/>
    <w:rsid w:val="005A236C"/>
    <w:rsid w:val="005A256B"/>
    <w:rsid w:val="005A2673"/>
    <w:rsid w:val="005A272F"/>
    <w:rsid w:val="005A2839"/>
    <w:rsid w:val="005A28A4"/>
    <w:rsid w:val="005A2A63"/>
    <w:rsid w:val="005A2BD3"/>
    <w:rsid w:val="005A2BDF"/>
    <w:rsid w:val="005A3080"/>
    <w:rsid w:val="005A30D9"/>
    <w:rsid w:val="005A3122"/>
    <w:rsid w:val="005A3385"/>
    <w:rsid w:val="005A33B5"/>
    <w:rsid w:val="005A3405"/>
    <w:rsid w:val="005A3754"/>
    <w:rsid w:val="005A3A25"/>
    <w:rsid w:val="005A3F16"/>
    <w:rsid w:val="005A40B6"/>
    <w:rsid w:val="005A43E2"/>
    <w:rsid w:val="005A45C7"/>
    <w:rsid w:val="005A4602"/>
    <w:rsid w:val="005A46A1"/>
    <w:rsid w:val="005A4831"/>
    <w:rsid w:val="005A4DDD"/>
    <w:rsid w:val="005A4E30"/>
    <w:rsid w:val="005A4F5C"/>
    <w:rsid w:val="005A501E"/>
    <w:rsid w:val="005A56B8"/>
    <w:rsid w:val="005A58FF"/>
    <w:rsid w:val="005A5926"/>
    <w:rsid w:val="005A5AC7"/>
    <w:rsid w:val="005A5DAB"/>
    <w:rsid w:val="005A5DF1"/>
    <w:rsid w:val="005A5E64"/>
    <w:rsid w:val="005A5E82"/>
    <w:rsid w:val="005A62F3"/>
    <w:rsid w:val="005A6388"/>
    <w:rsid w:val="005A663A"/>
    <w:rsid w:val="005A692D"/>
    <w:rsid w:val="005A6A9A"/>
    <w:rsid w:val="005A6CB2"/>
    <w:rsid w:val="005A6D41"/>
    <w:rsid w:val="005A6F76"/>
    <w:rsid w:val="005A71A5"/>
    <w:rsid w:val="005A728D"/>
    <w:rsid w:val="005A7375"/>
    <w:rsid w:val="005A7B31"/>
    <w:rsid w:val="005A7BD5"/>
    <w:rsid w:val="005A7E23"/>
    <w:rsid w:val="005B03A2"/>
    <w:rsid w:val="005B03AA"/>
    <w:rsid w:val="005B0504"/>
    <w:rsid w:val="005B0575"/>
    <w:rsid w:val="005B0633"/>
    <w:rsid w:val="005B064C"/>
    <w:rsid w:val="005B082D"/>
    <w:rsid w:val="005B09F4"/>
    <w:rsid w:val="005B0E00"/>
    <w:rsid w:val="005B0F4F"/>
    <w:rsid w:val="005B0FD1"/>
    <w:rsid w:val="005B10FE"/>
    <w:rsid w:val="005B1176"/>
    <w:rsid w:val="005B119B"/>
    <w:rsid w:val="005B1297"/>
    <w:rsid w:val="005B1449"/>
    <w:rsid w:val="005B1899"/>
    <w:rsid w:val="005B1957"/>
    <w:rsid w:val="005B1B5F"/>
    <w:rsid w:val="005B20A4"/>
    <w:rsid w:val="005B2469"/>
    <w:rsid w:val="005B24CB"/>
    <w:rsid w:val="005B27AF"/>
    <w:rsid w:val="005B296F"/>
    <w:rsid w:val="005B2BD3"/>
    <w:rsid w:val="005B2BD4"/>
    <w:rsid w:val="005B2EA3"/>
    <w:rsid w:val="005B30FE"/>
    <w:rsid w:val="005B3364"/>
    <w:rsid w:val="005B3975"/>
    <w:rsid w:val="005B3A80"/>
    <w:rsid w:val="005B3C3A"/>
    <w:rsid w:val="005B45E4"/>
    <w:rsid w:val="005B4644"/>
    <w:rsid w:val="005B47E6"/>
    <w:rsid w:val="005B483F"/>
    <w:rsid w:val="005B48DD"/>
    <w:rsid w:val="005B4CB5"/>
    <w:rsid w:val="005B4EDC"/>
    <w:rsid w:val="005B547F"/>
    <w:rsid w:val="005B56B6"/>
    <w:rsid w:val="005B592D"/>
    <w:rsid w:val="005B597F"/>
    <w:rsid w:val="005B5A03"/>
    <w:rsid w:val="005B5A91"/>
    <w:rsid w:val="005B5B3F"/>
    <w:rsid w:val="005B5B4F"/>
    <w:rsid w:val="005B5BB6"/>
    <w:rsid w:val="005B5C2C"/>
    <w:rsid w:val="005B5CB1"/>
    <w:rsid w:val="005B60A5"/>
    <w:rsid w:val="005B60EB"/>
    <w:rsid w:val="005B6101"/>
    <w:rsid w:val="005B634E"/>
    <w:rsid w:val="005B65D2"/>
    <w:rsid w:val="005B6664"/>
    <w:rsid w:val="005B6F52"/>
    <w:rsid w:val="005B70B0"/>
    <w:rsid w:val="005B71CA"/>
    <w:rsid w:val="005B72BD"/>
    <w:rsid w:val="005B75EA"/>
    <w:rsid w:val="005B760E"/>
    <w:rsid w:val="005B7703"/>
    <w:rsid w:val="005B78FA"/>
    <w:rsid w:val="005B7EB5"/>
    <w:rsid w:val="005B7EF2"/>
    <w:rsid w:val="005B7FD3"/>
    <w:rsid w:val="005C0092"/>
    <w:rsid w:val="005C01F4"/>
    <w:rsid w:val="005C01FE"/>
    <w:rsid w:val="005C04A5"/>
    <w:rsid w:val="005C0655"/>
    <w:rsid w:val="005C09CC"/>
    <w:rsid w:val="005C0D9D"/>
    <w:rsid w:val="005C104B"/>
    <w:rsid w:val="005C12C5"/>
    <w:rsid w:val="005C1D48"/>
    <w:rsid w:val="005C1E59"/>
    <w:rsid w:val="005C2244"/>
    <w:rsid w:val="005C224C"/>
    <w:rsid w:val="005C2408"/>
    <w:rsid w:val="005C24B3"/>
    <w:rsid w:val="005C2538"/>
    <w:rsid w:val="005C2722"/>
    <w:rsid w:val="005C279F"/>
    <w:rsid w:val="005C2826"/>
    <w:rsid w:val="005C2984"/>
    <w:rsid w:val="005C2A00"/>
    <w:rsid w:val="005C2ACB"/>
    <w:rsid w:val="005C2C45"/>
    <w:rsid w:val="005C2C92"/>
    <w:rsid w:val="005C2D98"/>
    <w:rsid w:val="005C2DC7"/>
    <w:rsid w:val="005C2E64"/>
    <w:rsid w:val="005C3468"/>
    <w:rsid w:val="005C3737"/>
    <w:rsid w:val="005C3BD6"/>
    <w:rsid w:val="005C3ECF"/>
    <w:rsid w:val="005C4458"/>
    <w:rsid w:val="005C46F6"/>
    <w:rsid w:val="005C4736"/>
    <w:rsid w:val="005C4E4C"/>
    <w:rsid w:val="005C4E8E"/>
    <w:rsid w:val="005C5244"/>
    <w:rsid w:val="005C53EF"/>
    <w:rsid w:val="005C54B7"/>
    <w:rsid w:val="005C54D7"/>
    <w:rsid w:val="005C5627"/>
    <w:rsid w:val="005C56F0"/>
    <w:rsid w:val="005C597B"/>
    <w:rsid w:val="005C5C09"/>
    <w:rsid w:val="005C5EAD"/>
    <w:rsid w:val="005C5F6C"/>
    <w:rsid w:val="005C60FB"/>
    <w:rsid w:val="005C62BB"/>
    <w:rsid w:val="005C645A"/>
    <w:rsid w:val="005C693C"/>
    <w:rsid w:val="005C6A80"/>
    <w:rsid w:val="005C6CA9"/>
    <w:rsid w:val="005C6D33"/>
    <w:rsid w:val="005C6EE6"/>
    <w:rsid w:val="005C6FFD"/>
    <w:rsid w:val="005C7137"/>
    <w:rsid w:val="005C71C8"/>
    <w:rsid w:val="005C736B"/>
    <w:rsid w:val="005C7415"/>
    <w:rsid w:val="005C74C6"/>
    <w:rsid w:val="005C75CE"/>
    <w:rsid w:val="005C76C3"/>
    <w:rsid w:val="005C7BF0"/>
    <w:rsid w:val="005C7E74"/>
    <w:rsid w:val="005D0364"/>
    <w:rsid w:val="005D03C0"/>
    <w:rsid w:val="005D13A0"/>
    <w:rsid w:val="005D13C5"/>
    <w:rsid w:val="005D13E4"/>
    <w:rsid w:val="005D143A"/>
    <w:rsid w:val="005D151D"/>
    <w:rsid w:val="005D16E7"/>
    <w:rsid w:val="005D175A"/>
    <w:rsid w:val="005D17C7"/>
    <w:rsid w:val="005D18B0"/>
    <w:rsid w:val="005D1AEF"/>
    <w:rsid w:val="005D1C78"/>
    <w:rsid w:val="005D2E8C"/>
    <w:rsid w:val="005D32D8"/>
    <w:rsid w:val="005D357D"/>
    <w:rsid w:val="005D3A1B"/>
    <w:rsid w:val="005D3B27"/>
    <w:rsid w:val="005D3C7E"/>
    <w:rsid w:val="005D3CF3"/>
    <w:rsid w:val="005D3DA4"/>
    <w:rsid w:val="005D4028"/>
    <w:rsid w:val="005D429D"/>
    <w:rsid w:val="005D434F"/>
    <w:rsid w:val="005D4600"/>
    <w:rsid w:val="005D462C"/>
    <w:rsid w:val="005D469B"/>
    <w:rsid w:val="005D4C0A"/>
    <w:rsid w:val="005D4E3E"/>
    <w:rsid w:val="005D4F79"/>
    <w:rsid w:val="005D5015"/>
    <w:rsid w:val="005D5079"/>
    <w:rsid w:val="005D536D"/>
    <w:rsid w:val="005D571D"/>
    <w:rsid w:val="005D58DE"/>
    <w:rsid w:val="005D5E34"/>
    <w:rsid w:val="005D5E6A"/>
    <w:rsid w:val="005D5FB8"/>
    <w:rsid w:val="005D607B"/>
    <w:rsid w:val="005D63DB"/>
    <w:rsid w:val="005D6518"/>
    <w:rsid w:val="005D67D1"/>
    <w:rsid w:val="005D6985"/>
    <w:rsid w:val="005D6ADB"/>
    <w:rsid w:val="005D6F13"/>
    <w:rsid w:val="005D6FD5"/>
    <w:rsid w:val="005D7194"/>
    <w:rsid w:val="005D7561"/>
    <w:rsid w:val="005D7736"/>
    <w:rsid w:val="005D77F7"/>
    <w:rsid w:val="005D77FB"/>
    <w:rsid w:val="005D7CFF"/>
    <w:rsid w:val="005D7D00"/>
    <w:rsid w:val="005D7E1D"/>
    <w:rsid w:val="005D7F46"/>
    <w:rsid w:val="005D7F4E"/>
    <w:rsid w:val="005E0274"/>
    <w:rsid w:val="005E0355"/>
    <w:rsid w:val="005E0546"/>
    <w:rsid w:val="005E061B"/>
    <w:rsid w:val="005E070C"/>
    <w:rsid w:val="005E0754"/>
    <w:rsid w:val="005E081E"/>
    <w:rsid w:val="005E091C"/>
    <w:rsid w:val="005E0B4F"/>
    <w:rsid w:val="005E0D27"/>
    <w:rsid w:val="005E0F2A"/>
    <w:rsid w:val="005E0F6C"/>
    <w:rsid w:val="005E10B9"/>
    <w:rsid w:val="005E1966"/>
    <w:rsid w:val="005E1AB9"/>
    <w:rsid w:val="005E1DCD"/>
    <w:rsid w:val="005E1DEE"/>
    <w:rsid w:val="005E2147"/>
    <w:rsid w:val="005E224D"/>
    <w:rsid w:val="005E24E0"/>
    <w:rsid w:val="005E27DF"/>
    <w:rsid w:val="005E2942"/>
    <w:rsid w:val="005E2D72"/>
    <w:rsid w:val="005E2DC5"/>
    <w:rsid w:val="005E3116"/>
    <w:rsid w:val="005E3407"/>
    <w:rsid w:val="005E35B3"/>
    <w:rsid w:val="005E37CF"/>
    <w:rsid w:val="005E38E1"/>
    <w:rsid w:val="005E39DA"/>
    <w:rsid w:val="005E3A92"/>
    <w:rsid w:val="005E3AB4"/>
    <w:rsid w:val="005E3B6C"/>
    <w:rsid w:val="005E3FA8"/>
    <w:rsid w:val="005E460D"/>
    <w:rsid w:val="005E469B"/>
    <w:rsid w:val="005E4778"/>
    <w:rsid w:val="005E47FF"/>
    <w:rsid w:val="005E4837"/>
    <w:rsid w:val="005E4A02"/>
    <w:rsid w:val="005E4A62"/>
    <w:rsid w:val="005E4C3E"/>
    <w:rsid w:val="005E4DFE"/>
    <w:rsid w:val="005E4E88"/>
    <w:rsid w:val="005E4EFE"/>
    <w:rsid w:val="005E4F78"/>
    <w:rsid w:val="005E4F84"/>
    <w:rsid w:val="005E5031"/>
    <w:rsid w:val="005E5061"/>
    <w:rsid w:val="005E5112"/>
    <w:rsid w:val="005E5302"/>
    <w:rsid w:val="005E5445"/>
    <w:rsid w:val="005E553F"/>
    <w:rsid w:val="005E5713"/>
    <w:rsid w:val="005E57B0"/>
    <w:rsid w:val="005E5977"/>
    <w:rsid w:val="005E598C"/>
    <w:rsid w:val="005E5BB3"/>
    <w:rsid w:val="005E5C8A"/>
    <w:rsid w:val="005E5EB1"/>
    <w:rsid w:val="005E610C"/>
    <w:rsid w:val="005E6175"/>
    <w:rsid w:val="005E61CB"/>
    <w:rsid w:val="005E62A4"/>
    <w:rsid w:val="005E6417"/>
    <w:rsid w:val="005E6992"/>
    <w:rsid w:val="005E7196"/>
    <w:rsid w:val="005E72D6"/>
    <w:rsid w:val="005E75F2"/>
    <w:rsid w:val="005E7825"/>
    <w:rsid w:val="005E7870"/>
    <w:rsid w:val="005E7D3C"/>
    <w:rsid w:val="005E7FD1"/>
    <w:rsid w:val="005F00D6"/>
    <w:rsid w:val="005F01B7"/>
    <w:rsid w:val="005F0464"/>
    <w:rsid w:val="005F0663"/>
    <w:rsid w:val="005F06F8"/>
    <w:rsid w:val="005F082B"/>
    <w:rsid w:val="005F08B5"/>
    <w:rsid w:val="005F08E4"/>
    <w:rsid w:val="005F0C1A"/>
    <w:rsid w:val="005F0D17"/>
    <w:rsid w:val="005F0D49"/>
    <w:rsid w:val="005F11C5"/>
    <w:rsid w:val="005F13F1"/>
    <w:rsid w:val="005F16AC"/>
    <w:rsid w:val="005F1774"/>
    <w:rsid w:val="005F17E6"/>
    <w:rsid w:val="005F1969"/>
    <w:rsid w:val="005F19CA"/>
    <w:rsid w:val="005F1B64"/>
    <w:rsid w:val="005F1BA0"/>
    <w:rsid w:val="005F1F28"/>
    <w:rsid w:val="005F205A"/>
    <w:rsid w:val="005F247E"/>
    <w:rsid w:val="005F24B7"/>
    <w:rsid w:val="005F2929"/>
    <w:rsid w:val="005F2A09"/>
    <w:rsid w:val="005F2A2B"/>
    <w:rsid w:val="005F2B38"/>
    <w:rsid w:val="005F2B75"/>
    <w:rsid w:val="005F2CE3"/>
    <w:rsid w:val="005F2D17"/>
    <w:rsid w:val="005F2D5D"/>
    <w:rsid w:val="005F2F2C"/>
    <w:rsid w:val="005F379D"/>
    <w:rsid w:val="005F3823"/>
    <w:rsid w:val="005F3D2A"/>
    <w:rsid w:val="005F3D56"/>
    <w:rsid w:val="005F3DF2"/>
    <w:rsid w:val="005F3FF5"/>
    <w:rsid w:val="005F422C"/>
    <w:rsid w:val="005F43D3"/>
    <w:rsid w:val="005F4445"/>
    <w:rsid w:val="005F49EF"/>
    <w:rsid w:val="005F4A7F"/>
    <w:rsid w:val="005F4F6F"/>
    <w:rsid w:val="005F50A7"/>
    <w:rsid w:val="005F5102"/>
    <w:rsid w:val="005F5130"/>
    <w:rsid w:val="005F52FF"/>
    <w:rsid w:val="005F590A"/>
    <w:rsid w:val="005F5CA6"/>
    <w:rsid w:val="005F5F15"/>
    <w:rsid w:val="005F6338"/>
    <w:rsid w:val="005F638E"/>
    <w:rsid w:val="005F64A2"/>
    <w:rsid w:val="005F68B6"/>
    <w:rsid w:val="005F6A06"/>
    <w:rsid w:val="005F6C06"/>
    <w:rsid w:val="005F6E5C"/>
    <w:rsid w:val="005F6F8A"/>
    <w:rsid w:val="005F7174"/>
    <w:rsid w:val="005F7232"/>
    <w:rsid w:val="005F7574"/>
    <w:rsid w:val="005F7917"/>
    <w:rsid w:val="005F7934"/>
    <w:rsid w:val="005F7B4C"/>
    <w:rsid w:val="005F7DDC"/>
    <w:rsid w:val="006001FF"/>
    <w:rsid w:val="0060024C"/>
    <w:rsid w:val="00600318"/>
    <w:rsid w:val="00600344"/>
    <w:rsid w:val="00600651"/>
    <w:rsid w:val="00600700"/>
    <w:rsid w:val="00600763"/>
    <w:rsid w:val="006009FF"/>
    <w:rsid w:val="00600B19"/>
    <w:rsid w:val="00600B5E"/>
    <w:rsid w:val="00600C36"/>
    <w:rsid w:val="00600C3D"/>
    <w:rsid w:val="00600CF5"/>
    <w:rsid w:val="00600FC1"/>
    <w:rsid w:val="00600FCD"/>
    <w:rsid w:val="00600FE6"/>
    <w:rsid w:val="00601071"/>
    <w:rsid w:val="00601478"/>
    <w:rsid w:val="006015D1"/>
    <w:rsid w:val="006018DF"/>
    <w:rsid w:val="006019D2"/>
    <w:rsid w:val="00601BAB"/>
    <w:rsid w:val="00601BD6"/>
    <w:rsid w:val="00601E66"/>
    <w:rsid w:val="00601ECC"/>
    <w:rsid w:val="00601F9F"/>
    <w:rsid w:val="00602142"/>
    <w:rsid w:val="0060217E"/>
    <w:rsid w:val="006021A7"/>
    <w:rsid w:val="00602749"/>
    <w:rsid w:val="006029E7"/>
    <w:rsid w:val="00602B67"/>
    <w:rsid w:val="0060316D"/>
    <w:rsid w:val="00603180"/>
    <w:rsid w:val="0060331A"/>
    <w:rsid w:val="006033D7"/>
    <w:rsid w:val="00603435"/>
    <w:rsid w:val="00603BED"/>
    <w:rsid w:val="00604090"/>
    <w:rsid w:val="00604118"/>
    <w:rsid w:val="006042C2"/>
    <w:rsid w:val="006043E9"/>
    <w:rsid w:val="006047D6"/>
    <w:rsid w:val="00604850"/>
    <w:rsid w:val="00604AE2"/>
    <w:rsid w:val="00604F8C"/>
    <w:rsid w:val="00605157"/>
    <w:rsid w:val="00605198"/>
    <w:rsid w:val="00605258"/>
    <w:rsid w:val="006052B0"/>
    <w:rsid w:val="00605339"/>
    <w:rsid w:val="0060549B"/>
    <w:rsid w:val="006054E0"/>
    <w:rsid w:val="00605ACA"/>
    <w:rsid w:val="00605AE1"/>
    <w:rsid w:val="00605B63"/>
    <w:rsid w:val="00605D08"/>
    <w:rsid w:val="00606132"/>
    <w:rsid w:val="0060648E"/>
    <w:rsid w:val="006064BB"/>
    <w:rsid w:val="0060673F"/>
    <w:rsid w:val="0060686B"/>
    <w:rsid w:val="006068F6"/>
    <w:rsid w:val="00606D87"/>
    <w:rsid w:val="0060779A"/>
    <w:rsid w:val="00607E28"/>
    <w:rsid w:val="00610172"/>
    <w:rsid w:val="006101F5"/>
    <w:rsid w:val="006104E3"/>
    <w:rsid w:val="006109D4"/>
    <w:rsid w:val="00610B2E"/>
    <w:rsid w:val="00610C5C"/>
    <w:rsid w:val="00611076"/>
    <w:rsid w:val="006110C7"/>
    <w:rsid w:val="0061115A"/>
    <w:rsid w:val="00611346"/>
    <w:rsid w:val="00611452"/>
    <w:rsid w:val="006114BF"/>
    <w:rsid w:val="006124D9"/>
    <w:rsid w:val="006125F4"/>
    <w:rsid w:val="0061261B"/>
    <w:rsid w:val="006127B2"/>
    <w:rsid w:val="00612936"/>
    <w:rsid w:val="00612BBD"/>
    <w:rsid w:val="00612D64"/>
    <w:rsid w:val="00612E09"/>
    <w:rsid w:val="00612F8A"/>
    <w:rsid w:val="00612FC1"/>
    <w:rsid w:val="00613002"/>
    <w:rsid w:val="00613171"/>
    <w:rsid w:val="00613289"/>
    <w:rsid w:val="00613444"/>
    <w:rsid w:val="0061397B"/>
    <w:rsid w:val="0061398B"/>
    <w:rsid w:val="00613F82"/>
    <w:rsid w:val="00614497"/>
    <w:rsid w:val="006146E0"/>
    <w:rsid w:val="006149DE"/>
    <w:rsid w:val="00614F53"/>
    <w:rsid w:val="00615001"/>
    <w:rsid w:val="006150CB"/>
    <w:rsid w:val="0061533C"/>
    <w:rsid w:val="006153F9"/>
    <w:rsid w:val="00615503"/>
    <w:rsid w:val="006155D8"/>
    <w:rsid w:val="0061592B"/>
    <w:rsid w:val="00615AE2"/>
    <w:rsid w:val="00615B24"/>
    <w:rsid w:val="00615C90"/>
    <w:rsid w:val="0061628F"/>
    <w:rsid w:val="006163EE"/>
    <w:rsid w:val="0061667F"/>
    <w:rsid w:val="00616B10"/>
    <w:rsid w:val="00617400"/>
    <w:rsid w:val="00617502"/>
    <w:rsid w:val="006178B1"/>
    <w:rsid w:val="00617C68"/>
    <w:rsid w:val="00617FFC"/>
    <w:rsid w:val="006201E1"/>
    <w:rsid w:val="006202F3"/>
    <w:rsid w:val="006206EA"/>
    <w:rsid w:val="00620747"/>
    <w:rsid w:val="00620824"/>
    <w:rsid w:val="00620972"/>
    <w:rsid w:val="00620A2D"/>
    <w:rsid w:val="00620CAE"/>
    <w:rsid w:val="00620DCA"/>
    <w:rsid w:val="006212CA"/>
    <w:rsid w:val="006217B0"/>
    <w:rsid w:val="00621F73"/>
    <w:rsid w:val="00622431"/>
    <w:rsid w:val="00622725"/>
    <w:rsid w:val="006229D0"/>
    <w:rsid w:val="00622C12"/>
    <w:rsid w:val="0062319C"/>
    <w:rsid w:val="00623255"/>
    <w:rsid w:val="006233C7"/>
    <w:rsid w:val="00623732"/>
    <w:rsid w:val="006238C2"/>
    <w:rsid w:val="0062397C"/>
    <w:rsid w:val="006239D3"/>
    <w:rsid w:val="00623AB3"/>
    <w:rsid w:val="00623AC3"/>
    <w:rsid w:val="00623D2D"/>
    <w:rsid w:val="006243E4"/>
    <w:rsid w:val="0062482A"/>
    <w:rsid w:val="00624BBA"/>
    <w:rsid w:val="00624FAA"/>
    <w:rsid w:val="006252FE"/>
    <w:rsid w:val="0062540C"/>
    <w:rsid w:val="00625665"/>
    <w:rsid w:val="00625687"/>
    <w:rsid w:val="00625A21"/>
    <w:rsid w:val="00625AEB"/>
    <w:rsid w:val="00625D98"/>
    <w:rsid w:val="00625F90"/>
    <w:rsid w:val="00626373"/>
    <w:rsid w:val="006264E9"/>
    <w:rsid w:val="006265EC"/>
    <w:rsid w:val="00626623"/>
    <w:rsid w:val="0062675E"/>
    <w:rsid w:val="00626773"/>
    <w:rsid w:val="00626936"/>
    <w:rsid w:val="00626BD1"/>
    <w:rsid w:val="00626DB1"/>
    <w:rsid w:val="0062708D"/>
    <w:rsid w:val="006270DB"/>
    <w:rsid w:val="006270FA"/>
    <w:rsid w:val="006272FA"/>
    <w:rsid w:val="00627376"/>
    <w:rsid w:val="006275B5"/>
    <w:rsid w:val="00627650"/>
    <w:rsid w:val="00627654"/>
    <w:rsid w:val="00627689"/>
    <w:rsid w:val="00627DB4"/>
    <w:rsid w:val="00627F19"/>
    <w:rsid w:val="0063033D"/>
    <w:rsid w:val="0063050C"/>
    <w:rsid w:val="006307B3"/>
    <w:rsid w:val="00630930"/>
    <w:rsid w:val="00630962"/>
    <w:rsid w:val="006309B2"/>
    <w:rsid w:val="00630A0A"/>
    <w:rsid w:val="00630B2E"/>
    <w:rsid w:val="00630C53"/>
    <w:rsid w:val="00630C5B"/>
    <w:rsid w:val="00630C66"/>
    <w:rsid w:val="00630C90"/>
    <w:rsid w:val="00630E06"/>
    <w:rsid w:val="00630FA0"/>
    <w:rsid w:val="006313A8"/>
    <w:rsid w:val="0063157B"/>
    <w:rsid w:val="00631761"/>
    <w:rsid w:val="0063194E"/>
    <w:rsid w:val="00631BA5"/>
    <w:rsid w:val="00631C5D"/>
    <w:rsid w:val="00631D3A"/>
    <w:rsid w:val="00631E55"/>
    <w:rsid w:val="00631F07"/>
    <w:rsid w:val="00631FBE"/>
    <w:rsid w:val="00632046"/>
    <w:rsid w:val="006320CA"/>
    <w:rsid w:val="006321E2"/>
    <w:rsid w:val="006325F7"/>
    <w:rsid w:val="00632647"/>
    <w:rsid w:val="00632668"/>
    <w:rsid w:val="0063275C"/>
    <w:rsid w:val="00632BAA"/>
    <w:rsid w:val="00632D99"/>
    <w:rsid w:val="0063376C"/>
    <w:rsid w:val="00633AB8"/>
    <w:rsid w:val="00633B19"/>
    <w:rsid w:val="00633B35"/>
    <w:rsid w:val="00633E4B"/>
    <w:rsid w:val="00633F30"/>
    <w:rsid w:val="0063417C"/>
    <w:rsid w:val="006342D6"/>
    <w:rsid w:val="006342EF"/>
    <w:rsid w:val="00634701"/>
    <w:rsid w:val="00634784"/>
    <w:rsid w:val="0063490E"/>
    <w:rsid w:val="00634986"/>
    <w:rsid w:val="00634A21"/>
    <w:rsid w:val="00634B21"/>
    <w:rsid w:val="00634D91"/>
    <w:rsid w:val="006351DD"/>
    <w:rsid w:val="00635348"/>
    <w:rsid w:val="006353CE"/>
    <w:rsid w:val="00635553"/>
    <w:rsid w:val="00635B5E"/>
    <w:rsid w:val="00635DCB"/>
    <w:rsid w:val="006363A9"/>
    <w:rsid w:val="006364B5"/>
    <w:rsid w:val="0063657D"/>
    <w:rsid w:val="0063659F"/>
    <w:rsid w:val="006367C5"/>
    <w:rsid w:val="00636B79"/>
    <w:rsid w:val="00636E61"/>
    <w:rsid w:val="00636EAB"/>
    <w:rsid w:val="00636FA2"/>
    <w:rsid w:val="006372C1"/>
    <w:rsid w:val="0063731A"/>
    <w:rsid w:val="0063741B"/>
    <w:rsid w:val="00637647"/>
    <w:rsid w:val="00637798"/>
    <w:rsid w:val="006377A8"/>
    <w:rsid w:val="00637A8E"/>
    <w:rsid w:val="00637B82"/>
    <w:rsid w:val="00637C2B"/>
    <w:rsid w:val="00637FD5"/>
    <w:rsid w:val="006401AC"/>
    <w:rsid w:val="00640257"/>
    <w:rsid w:val="00640273"/>
    <w:rsid w:val="00640321"/>
    <w:rsid w:val="00640565"/>
    <w:rsid w:val="00640727"/>
    <w:rsid w:val="00640843"/>
    <w:rsid w:val="00640880"/>
    <w:rsid w:val="00640A20"/>
    <w:rsid w:val="00640D44"/>
    <w:rsid w:val="00640E26"/>
    <w:rsid w:val="00640FB3"/>
    <w:rsid w:val="00641079"/>
    <w:rsid w:val="0064140F"/>
    <w:rsid w:val="0064144E"/>
    <w:rsid w:val="00641510"/>
    <w:rsid w:val="006415C8"/>
    <w:rsid w:val="006419A2"/>
    <w:rsid w:val="00641B8D"/>
    <w:rsid w:val="00641C2A"/>
    <w:rsid w:val="00641CE9"/>
    <w:rsid w:val="00642026"/>
    <w:rsid w:val="006420D1"/>
    <w:rsid w:val="00642167"/>
    <w:rsid w:val="00642169"/>
    <w:rsid w:val="0064238A"/>
    <w:rsid w:val="006425B5"/>
    <w:rsid w:val="006427D4"/>
    <w:rsid w:val="0064282D"/>
    <w:rsid w:val="006428FE"/>
    <w:rsid w:val="00642A5E"/>
    <w:rsid w:val="00642AB5"/>
    <w:rsid w:val="00642B3B"/>
    <w:rsid w:val="00642BB9"/>
    <w:rsid w:val="00642C34"/>
    <w:rsid w:val="00642DF0"/>
    <w:rsid w:val="00642EDD"/>
    <w:rsid w:val="00642EE1"/>
    <w:rsid w:val="00643082"/>
    <w:rsid w:val="00643140"/>
    <w:rsid w:val="00643325"/>
    <w:rsid w:val="006433C4"/>
    <w:rsid w:val="006435B3"/>
    <w:rsid w:val="006435F5"/>
    <w:rsid w:val="00643B4D"/>
    <w:rsid w:val="0064411E"/>
    <w:rsid w:val="006441D9"/>
    <w:rsid w:val="0064494C"/>
    <w:rsid w:val="00644AD0"/>
    <w:rsid w:val="00644B73"/>
    <w:rsid w:val="00644F00"/>
    <w:rsid w:val="00644FAC"/>
    <w:rsid w:val="00644FBE"/>
    <w:rsid w:val="0064527D"/>
    <w:rsid w:val="006454BD"/>
    <w:rsid w:val="006458EF"/>
    <w:rsid w:val="00645A7A"/>
    <w:rsid w:val="00645B8D"/>
    <w:rsid w:val="00645CEE"/>
    <w:rsid w:val="00645E95"/>
    <w:rsid w:val="00645F66"/>
    <w:rsid w:val="00646132"/>
    <w:rsid w:val="0064637A"/>
    <w:rsid w:val="00646447"/>
    <w:rsid w:val="006464C1"/>
    <w:rsid w:val="006464D1"/>
    <w:rsid w:val="00646B8C"/>
    <w:rsid w:val="00646BCC"/>
    <w:rsid w:val="00646D2B"/>
    <w:rsid w:val="00646DA8"/>
    <w:rsid w:val="00646DA9"/>
    <w:rsid w:val="00646E2B"/>
    <w:rsid w:val="00647122"/>
    <w:rsid w:val="0064736D"/>
    <w:rsid w:val="00647416"/>
    <w:rsid w:val="00647688"/>
    <w:rsid w:val="006476C2"/>
    <w:rsid w:val="006477AB"/>
    <w:rsid w:val="006478E1"/>
    <w:rsid w:val="00647A7E"/>
    <w:rsid w:val="00647DA0"/>
    <w:rsid w:val="00650226"/>
    <w:rsid w:val="006503C7"/>
    <w:rsid w:val="0065040E"/>
    <w:rsid w:val="00650697"/>
    <w:rsid w:val="00650991"/>
    <w:rsid w:val="00650B0F"/>
    <w:rsid w:val="00650D0D"/>
    <w:rsid w:val="00650D5B"/>
    <w:rsid w:val="00650DAD"/>
    <w:rsid w:val="0065106D"/>
    <w:rsid w:val="00651465"/>
    <w:rsid w:val="006516DE"/>
    <w:rsid w:val="00651B01"/>
    <w:rsid w:val="00651C83"/>
    <w:rsid w:val="00651CFD"/>
    <w:rsid w:val="00651D4F"/>
    <w:rsid w:val="00651D9C"/>
    <w:rsid w:val="006521A2"/>
    <w:rsid w:val="006521A5"/>
    <w:rsid w:val="00652454"/>
    <w:rsid w:val="0065255B"/>
    <w:rsid w:val="006526FD"/>
    <w:rsid w:val="00652762"/>
    <w:rsid w:val="00652A68"/>
    <w:rsid w:val="00652A8D"/>
    <w:rsid w:val="00652B11"/>
    <w:rsid w:val="00652DAB"/>
    <w:rsid w:val="00652FBB"/>
    <w:rsid w:val="006532D3"/>
    <w:rsid w:val="00653345"/>
    <w:rsid w:val="006538E8"/>
    <w:rsid w:val="00653A64"/>
    <w:rsid w:val="00653ADF"/>
    <w:rsid w:val="00653C96"/>
    <w:rsid w:val="00653E89"/>
    <w:rsid w:val="0065412C"/>
    <w:rsid w:val="006541B0"/>
    <w:rsid w:val="006541B5"/>
    <w:rsid w:val="006542BC"/>
    <w:rsid w:val="006543DB"/>
    <w:rsid w:val="0065470C"/>
    <w:rsid w:val="006548A6"/>
    <w:rsid w:val="00654B1C"/>
    <w:rsid w:val="00654CDE"/>
    <w:rsid w:val="00654E16"/>
    <w:rsid w:val="006551A2"/>
    <w:rsid w:val="006553A3"/>
    <w:rsid w:val="00655445"/>
    <w:rsid w:val="00655487"/>
    <w:rsid w:val="006554A1"/>
    <w:rsid w:val="00655620"/>
    <w:rsid w:val="0065567E"/>
    <w:rsid w:val="00655A33"/>
    <w:rsid w:val="00655D38"/>
    <w:rsid w:val="006568EA"/>
    <w:rsid w:val="006569FC"/>
    <w:rsid w:val="00656B26"/>
    <w:rsid w:val="00656D50"/>
    <w:rsid w:val="00656D81"/>
    <w:rsid w:val="00656E29"/>
    <w:rsid w:val="00656E52"/>
    <w:rsid w:val="006570AA"/>
    <w:rsid w:val="006570B6"/>
    <w:rsid w:val="00657355"/>
    <w:rsid w:val="006573E5"/>
    <w:rsid w:val="00657524"/>
    <w:rsid w:val="006575BA"/>
    <w:rsid w:val="00657663"/>
    <w:rsid w:val="0065790B"/>
    <w:rsid w:val="00657AEB"/>
    <w:rsid w:val="00657BA7"/>
    <w:rsid w:val="00657C59"/>
    <w:rsid w:val="00657E4D"/>
    <w:rsid w:val="00657E57"/>
    <w:rsid w:val="00657F2F"/>
    <w:rsid w:val="00660021"/>
    <w:rsid w:val="006602DB"/>
    <w:rsid w:val="00660347"/>
    <w:rsid w:val="00660391"/>
    <w:rsid w:val="006608B3"/>
    <w:rsid w:val="006608F9"/>
    <w:rsid w:val="00660CCE"/>
    <w:rsid w:val="00660D4D"/>
    <w:rsid w:val="00661064"/>
    <w:rsid w:val="00661078"/>
    <w:rsid w:val="0066139A"/>
    <w:rsid w:val="006613F9"/>
    <w:rsid w:val="00661487"/>
    <w:rsid w:val="0066183F"/>
    <w:rsid w:val="006618AE"/>
    <w:rsid w:val="00661BAC"/>
    <w:rsid w:val="00661C66"/>
    <w:rsid w:val="00661D89"/>
    <w:rsid w:val="00662151"/>
    <w:rsid w:val="0066215E"/>
    <w:rsid w:val="006623F5"/>
    <w:rsid w:val="0066253C"/>
    <w:rsid w:val="0066293D"/>
    <w:rsid w:val="00662BD0"/>
    <w:rsid w:val="00662E4A"/>
    <w:rsid w:val="00662F88"/>
    <w:rsid w:val="0066300C"/>
    <w:rsid w:val="00663112"/>
    <w:rsid w:val="00663395"/>
    <w:rsid w:val="00663478"/>
    <w:rsid w:val="006636B8"/>
    <w:rsid w:val="00663999"/>
    <w:rsid w:val="00663B15"/>
    <w:rsid w:val="00663BE5"/>
    <w:rsid w:val="00663E78"/>
    <w:rsid w:val="00663EA0"/>
    <w:rsid w:val="00663EA5"/>
    <w:rsid w:val="00663EF0"/>
    <w:rsid w:val="00663FD8"/>
    <w:rsid w:val="00663FE4"/>
    <w:rsid w:val="00664367"/>
    <w:rsid w:val="00664496"/>
    <w:rsid w:val="00664587"/>
    <w:rsid w:val="0066476E"/>
    <w:rsid w:val="0066495E"/>
    <w:rsid w:val="0066498B"/>
    <w:rsid w:val="00664A0C"/>
    <w:rsid w:val="00664BB3"/>
    <w:rsid w:val="00664C20"/>
    <w:rsid w:val="00665042"/>
    <w:rsid w:val="00665054"/>
    <w:rsid w:val="00665075"/>
    <w:rsid w:val="0066524F"/>
    <w:rsid w:val="00665565"/>
    <w:rsid w:val="006656FD"/>
    <w:rsid w:val="0066571B"/>
    <w:rsid w:val="006658EE"/>
    <w:rsid w:val="00665C87"/>
    <w:rsid w:val="00665DB7"/>
    <w:rsid w:val="00665FA7"/>
    <w:rsid w:val="00666064"/>
    <w:rsid w:val="006662A7"/>
    <w:rsid w:val="006663C4"/>
    <w:rsid w:val="006663D5"/>
    <w:rsid w:val="0066664A"/>
    <w:rsid w:val="006668DD"/>
    <w:rsid w:val="00666C46"/>
    <w:rsid w:val="00666FD3"/>
    <w:rsid w:val="00667A49"/>
    <w:rsid w:val="00667B37"/>
    <w:rsid w:val="00667E54"/>
    <w:rsid w:val="00670400"/>
    <w:rsid w:val="006705A6"/>
    <w:rsid w:val="00670782"/>
    <w:rsid w:val="006708D8"/>
    <w:rsid w:val="00670AD4"/>
    <w:rsid w:val="00670B99"/>
    <w:rsid w:val="00670C15"/>
    <w:rsid w:val="00670C2D"/>
    <w:rsid w:val="00670D32"/>
    <w:rsid w:val="00670E34"/>
    <w:rsid w:val="00670E40"/>
    <w:rsid w:val="00670E55"/>
    <w:rsid w:val="00671386"/>
    <w:rsid w:val="006714BC"/>
    <w:rsid w:val="006714F8"/>
    <w:rsid w:val="00671504"/>
    <w:rsid w:val="00671623"/>
    <w:rsid w:val="0067187B"/>
    <w:rsid w:val="00671AAB"/>
    <w:rsid w:val="00671BFD"/>
    <w:rsid w:val="00671F4C"/>
    <w:rsid w:val="0067251A"/>
    <w:rsid w:val="00672553"/>
    <w:rsid w:val="0067264F"/>
    <w:rsid w:val="00672660"/>
    <w:rsid w:val="006726EE"/>
    <w:rsid w:val="00672705"/>
    <w:rsid w:val="00672746"/>
    <w:rsid w:val="0067295B"/>
    <w:rsid w:val="00672A82"/>
    <w:rsid w:val="00672AEB"/>
    <w:rsid w:val="00672F9C"/>
    <w:rsid w:val="00673026"/>
    <w:rsid w:val="006735D6"/>
    <w:rsid w:val="00673C0E"/>
    <w:rsid w:val="00673C73"/>
    <w:rsid w:val="00673E15"/>
    <w:rsid w:val="00673FBF"/>
    <w:rsid w:val="00674090"/>
    <w:rsid w:val="00674301"/>
    <w:rsid w:val="00674514"/>
    <w:rsid w:val="006745D1"/>
    <w:rsid w:val="00674E6D"/>
    <w:rsid w:val="00674F1B"/>
    <w:rsid w:val="00674F8E"/>
    <w:rsid w:val="006752C1"/>
    <w:rsid w:val="006752C4"/>
    <w:rsid w:val="00675424"/>
    <w:rsid w:val="006754A5"/>
    <w:rsid w:val="006755DD"/>
    <w:rsid w:val="00675640"/>
    <w:rsid w:val="006757C7"/>
    <w:rsid w:val="00675827"/>
    <w:rsid w:val="0067589D"/>
    <w:rsid w:val="00675CBE"/>
    <w:rsid w:val="00676091"/>
    <w:rsid w:val="006760DD"/>
    <w:rsid w:val="00676303"/>
    <w:rsid w:val="00676921"/>
    <w:rsid w:val="00676BED"/>
    <w:rsid w:val="00676CF2"/>
    <w:rsid w:val="00677075"/>
    <w:rsid w:val="0067740E"/>
    <w:rsid w:val="00677569"/>
    <w:rsid w:val="006776F2"/>
    <w:rsid w:val="00677BBF"/>
    <w:rsid w:val="00677FA2"/>
    <w:rsid w:val="006800B9"/>
    <w:rsid w:val="006801C6"/>
    <w:rsid w:val="006803EF"/>
    <w:rsid w:val="00680741"/>
    <w:rsid w:val="00680A8F"/>
    <w:rsid w:val="00680D4F"/>
    <w:rsid w:val="00680D8C"/>
    <w:rsid w:val="00680E2F"/>
    <w:rsid w:val="00680F71"/>
    <w:rsid w:val="00680F77"/>
    <w:rsid w:val="0068104F"/>
    <w:rsid w:val="0068113C"/>
    <w:rsid w:val="0068126A"/>
    <w:rsid w:val="00681582"/>
    <w:rsid w:val="006815AD"/>
    <w:rsid w:val="006817D4"/>
    <w:rsid w:val="00681862"/>
    <w:rsid w:val="006818A9"/>
    <w:rsid w:val="00681B21"/>
    <w:rsid w:val="00681B22"/>
    <w:rsid w:val="00681B91"/>
    <w:rsid w:val="00681BCA"/>
    <w:rsid w:val="00681D41"/>
    <w:rsid w:val="00681E0E"/>
    <w:rsid w:val="00682257"/>
    <w:rsid w:val="00682318"/>
    <w:rsid w:val="0068267D"/>
    <w:rsid w:val="00682746"/>
    <w:rsid w:val="006828D8"/>
    <w:rsid w:val="0068298B"/>
    <w:rsid w:val="006834C5"/>
    <w:rsid w:val="0068367D"/>
    <w:rsid w:val="00683882"/>
    <w:rsid w:val="00683960"/>
    <w:rsid w:val="00683B52"/>
    <w:rsid w:val="00683C55"/>
    <w:rsid w:val="006842A4"/>
    <w:rsid w:val="006843FB"/>
    <w:rsid w:val="0068452D"/>
    <w:rsid w:val="0068452F"/>
    <w:rsid w:val="00684627"/>
    <w:rsid w:val="0068469C"/>
    <w:rsid w:val="00684726"/>
    <w:rsid w:val="006847CC"/>
    <w:rsid w:val="006847CF"/>
    <w:rsid w:val="00684A52"/>
    <w:rsid w:val="00684C0B"/>
    <w:rsid w:val="00684ED6"/>
    <w:rsid w:val="00685354"/>
    <w:rsid w:val="0068553F"/>
    <w:rsid w:val="0068591F"/>
    <w:rsid w:val="0068592D"/>
    <w:rsid w:val="006859A7"/>
    <w:rsid w:val="006859FF"/>
    <w:rsid w:val="00685B5E"/>
    <w:rsid w:val="00685E75"/>
    <w:rsid w:val="00686029"/>
    <w:rsid w:val="0068602D"/>
    <w:rsid w:val="0068618F"/>
    <w:rsid w:val="006866F8"/>
    <w:rsid w:val="00686DFF"/>
    <w:rsid w:val="00686F67"/>
    <w:rsid w:val="00686FAC"/>
    <w:rsid w:val="006872A2"/>
    <w:rsid w:val="00687B2C"/>
    <w:rsid w:val="00687C2D"/>
    <w:rsid w:val="006901B7"/>
    <w:rsid w:val="006905AF"/>
    <w:rsid w:val="006905EA"/>
    <w:rsid w:val="006905F8"/>
    <w:rsid w:val="00690648"/>
    <w:rsid w:val="00690789"/>
    <w:rsid w:val="006908A0"/>
    <w:rsid w:val="006908E0"/>
    <w:rsid w:val="0069092D"/>
    <w:rsid w:val="00690F7C"/>
    <w:rsid w:val="006910E5"/>
    <w:rsid w:val="0069119E"/>
    <w:rsid w:val="006911EC"/>
    <w:rsid w:val="00691241"/>
    <w:rsid w:val="006914B6"/>
    <w:rsid w:val="0069166B"/>
    <w:rsid w:val="0069183E"/>
    <w:rsid w:val="00691993"/>
    <w:rsid w:val="00691A88"/>
    <w:rsid w:val="00691BFE"/>
    <w:rsid w:val="00691D21"/>
    <w:rsid w:val="00691DC2"/>
    <w:rsid w:val="00691EBB"/>
    <w:rsid w:val="006920BE"/>
    <w:rsid w:val="00692253"/>
    <w:rsid w:val="00692431"/>
    <w:rsid w:val="006926D9"/>
    <w:rsid w:val="00692B8B"/>
    <w:rsid w:val="00692DE6"/>
    <w:rsid w:val="00692E83"/>
    <w:rsid w:val="00693072"/>
    <w:rsid w:val="006931DD"/>
    <w:rsid w:val="00693296"/>
    <w:rsid w:val="0069334A"/>
    <w:rsid w:val="00693526"/>
    <w:rsid w:val="0069363C"/>
    <w:rsid w:val="006936EC"/>
    <w:rsid w:val="00693A0A"/>
    <w:rsid w:val="00693B64"/>
    <w:rsid w:val="00693C75"/>
    <w:rsid w:val="00693D03"/>
    <w:rsid w:val="00693EC6"/>
    <w:rsid w:val="0069400F"/>
    <w:rsid w:val="00694374"/>
    <w:rsid w:val="006943DB"/>
    <w:rsid w:val="00694507"/>
    <w:rsid w:val="006946E9"/>
    <w:rsid w:val="00694769"/>
    <w:rsid w:val="00694A28"/>
    <w:rsid w:val="00694CA4"/>
    <w:rsid w:val="00694D17"/>
    <w:rsid w:val="00694EDA"/>
    <w:rsid w:val="00694EF2"/>
    <w:rsid w:val="00694FD2"/>
    <w:rsid w:val="00695051"/>
    <w:rsid w:val="006953BA"/>
    <w:rsid w:val="006959F4"/>
    <w:rsid w:val="00695AD6"/>
    <w:rsid w:val="0069640E"/>
    <w:rsid w:val="00696500"/>
    <w:rsid w:val="0069652B"/>
    <w:rsid w:val="006966F1"/>
    <w:rsid w:val="0069682B"/>
    <w:rsid w:val="0069694C"/>
    <w:rsid w:val="00696979"/>
    <w:rsid w:val="00696997"/>
    <w:rsid w:val="00696A85"/>
    <w:rsid w:val="00696DA0"/>
    <w:rsid w:val="00696F09"/>
    <w:rsid w:val="00696F1E"/>
    <w:rsid w:val="00696F55"/>
    <w:rsid w:val="006971E2"/>
    <w:rsid w:val="0069725C"/>
    <w:rsid w:val="0069729A"/>
    <w:rsid w:val="006973C6"/>
    <w:rsid w:val="0069788C"/>
    <w:rsid w:val="00697994"/>
    <w:rsid w:val="006979A8"/>
    <w:rsid w:val="00697C32"/>
    <w:rsid w:val="00697EF3"/>
    <w:rsid w:val="006A0192"/>
    <w:rsid w:val="006A026D"/>
    <w:rsid w:val="006A034B"/>
    <w:rsid w:val="006A0427"/>
    <w:rsid w:val="006A04C5"/>
    <w:rsid w:val="006A0686"/>
    <w:rsid w:val="006A06F4"/>
    <w:rsid w:val="006A09E7"/>
    <w:rsid w:val="006A0A3E"/>
    <w:rsid w:val="006A0AF3"/>
    <w:rsid w:val="006A0D20"/>
    <w:rsid w:val="006A0F83"/>
    <w:rsid w:val="006A106A"/>
    <w:rsid w:val="006A11D0"/>
    <w:rsid w:val="006A11D6"/>
    <w:rsid w:val="006A1232"/>
    <w:rsid w:val="006A1406"/>
    <w:rsid w:val="006A14A7"/>
    <w:rsid w:val="006A15FA"/>
    <w:rsid w:val="006A199D"/>
    <w:rsid w:val="006A1AC6"/>
    <w:rsid w:val="006A1EFF"/>
    <w:rsid w:val="006A1FB4"/>
    <w:rsid w:val="006A1FBD"/>
    <w:rsid w:val="006A2041"/>
    <w:rsid w:val="006A21B8"/>
    <w:rsid w:val="006A2616"/>
    <w:rsid w:val="006A274D"/>
    <w:rsid w:val="006A2954"/>
    <w:rsid w:val="006A2C77"/>
    <w:rsid w:val="006A2DB8"/>
    <w:rsid w:val="006A3302"/>
    <w:rsid w:val="006A3563"/>
    <w:rsid w:val="006A35D0"/>
    <w:rsid w:val="006A36BD"/>
    <w:rsid w:val="006A36C2"/>
    <w:rsid w:val="006A3B6B"/>
    <w:rsid w:val="006A4206"/>
    <w:rsid w:val="006A43AA"/>
    <w:rsid w:val="006A44C0"/>
    <w:rsid w:val="006A46EE"/>
    <w:rsid w:val="006A4753"/>
    <w:rsid w:val="006A4872"/>
    <w:rsid w:val="006A4E53"/>
    <w:rsid w:val="006A514E"/>
    <w:rsid w:val="006A5928"/>
    <w:rsid w:val="006A59FA"/>
    <w:rsid w:val="006A5B05"/>
    <w:rsid w:val="006A5BF1"/>
    <w:rsid w:val="006A5CC6"/>
    <w:rsid w:val="006A5D71"/>
    <w:rsid w:val="006A5EDB"/>
    <w:rsid w:val="006A5F57"/>
    <w:rsid w:val="006A6081"/>
    <w:rsid w:val="006A624C"/>
    <w:rsid w:val="006A64C5"/>
    <w:rsid w:val="006A65A5"/>
    <w:rsid w:val="006A6955"/>
    <w:rsid w:val="006A6A8F"/>
    <w:rsid w:val="006A6B9D"/>
    <w:rsid w:val="006A6C00"/>
    <w:rsid w:val="006A6CDE"/>
    <w:rsid w:val="006A6D6C"/>
    <w:rsid w:val="006A709A"/>
    <w:rsid w:val="006A73C1"/>
    <w:rsid w:val="006A73F4"/>
    <w:rsid w:val="006A73FA"/>
    <w:rsid w:val="006A76A1"/>
    <w:rsid w:val="006A7788"/>
    <w:rsid w:val="006A78C3"/>
    <w:rsid w:val="006A7BDB"/>
    <w:rsid w:val="006A7D74"/>
    <w:rsid w:val="006A7F78"/>
    <w:rsid w:val="006A7FDE"/>
    <w:rsid w:val="006B0133"/>
    <w:rsid w:val="006B0294"/>
    <w:rsid w:val="006B0744"/>
    <w:rsid w:val="006B084A"/>
    <w:rsid w:val="006B0AFE"/>
    <w:rsid w:val="006B0B2C"/>
    <w:rsid w:val="006B0BDA"/>
    <w:rsid w:val="006B0BF3"/>
    <w:rsid w:val="006B0DD8"/>
    <w:rsid w:val="006B0E2D"/>
    <w:rsid w:val="006B194A"/>
    <w:rsid w:val="006B194C"/>
    <w:rsid w:val="006B1A94"/>
    <w:rsid w:val="006B1BB9"/>
    <w:rsid w:val="006B1D2C"/>
    <w:rsid w:val="006B1D3B"/>
    <w:rsid w:val="006B21E4"/>
    <w:rsid w:val="006B232D"/>
    <w:rsid w:val="006B24D6"/>
    <w:rsid w:val="006B25AF"/>
    <w:rsid w:val="006B2610"/>
    <w:rsid w:val="006B2642"/>
    <w:rsid w:val="006B2938"/>
    <w:rsid w:val="006B2B67"/>
    <w:rsid w:val="006B2FB8"/>
    <w:rsid w:val="006B32BC"/>
    <w:rsid w:val="006B3498"/>
    <w:rsid w:val="006B3720"/>
    <w:rsid w:val="006B374A"/>
    <w:rsid w:val="006B37BB"/>
    <w:rsid w:val="006B3805"/>
    <w:rsid w:val="006B38C4"/>
    <w:rsid w:val="006B3D54"/>
    <w:rsid w:val="006B4140"/>
    <w:rsid w:val="006B42B2"/>
    <w:rsid w:val="006B447B"/>
    <w:rsid w:val="006B45B4"/>
    <w:rsid w:val="006B4959"/>
    <w:rsid w:val="006B496D"/>
    <w:rsid w:val="006B49F5"/>
    <w:rsid w:val="006B4CD3"/>
    <w:rsid w:val="006B4E93"/>
    <w:rsid w:val="006B4FF9"/>
    <w:rsid w:val="006B5267"/>
    <w:rsid w:val="006B526F"/>
    <w:rsid w:val="006B546D"/>
    <w:rsid w:val="006B55BA"/>
    <w:rsid w:val="006B5930"/>
    <w:rsid w:val="006B5A35"/>
    <w:rsid w:val="006B5CD1"/>
    <w:rsid w:val="006B5D0A"/>
    <w:rsid w:val="006B5E43"/>
    <w:rsid w:val="006B5EBE"/>
    <w:rsid w:val="006B5F81"/>
    <w:rsid w:val="006B62F1"/>
    <w:rsid w:val="006B631F"/>
    <w:rsid w:val="006B692B"/>
    <w:rsid w:val="006B6C71"/>
    <w:rsid w:val="006B6D46"/>
    <w:rsid w:val="006B6E0C"/>
    <w:rsid w:val="006B6FF6"/>
    <w:rsid w:val="006B707F"/>
    <w:rsid w:val="006B7BD4"/>
    <w:rsid w:val="006B7E1A"/>
    <w:rsid w:val="006B7FE8"/>
    <w:rsid w:val="006C0371"/>
    <w:rsid w:val="006C0483"/>
    <w:rsid w:val="006C05FC"/>
    <w:rsid w:val="006C07F3"/>
    <w:rsid w:val="006C0BAC"/>
    <w:rsid w:val="006C0F4A"/>
    <w:rsid w:val="006C1123"/>
    <w:rsid w:val="006C134E"/>
    <w:rsid w:val="006C16E5"/>
    <w:rsid w:val="006C17B8"/>
    <w:rsid w:val="006C17FF"/>
    <w:rsid w:val="006C1CC0"/>
    <w:rsid w:val="006C1D2F"/>
    <w:rsid w:val="006C1E03"/>
    <w:rsid w:val="006C1E2E"/>
    <w:rsid w:val="006C2657"/>
    <w:rsid w:val="006C275C"/>
    <w:rsid w:val="006C3168"/>
    <w:rsid w:val="006C32BF"/>
    <w:rsid w:val="006C33FD"/>
    <w:rsid w:val="006C37B9"/>
    <w:rsid w:val="006C3831"/>
    <w:rsid w:val="006C3B95"/>
    <w:rsid w:val="006C3D6C"/>
    <w:rsid w:val="006C40BD"/>
    <w:rsid w:val="006C40BE"/>
    <w:rsid w:val="006C420B"/>
    <w:rsid w:val="006C4210"/>
    <w:rsid w:val="006C4221"/>
    <w:rsid w:val="006C42A9"/>
    <w:rsid w:val="006C47C5"/>
    <w:rsid w:val="006C48C5"/>
    <w:rsid w:val="006C48F9"/>
    <w:rsid w:val="006C4949"/>
    <w:rsid w:val="006C49B0"/>
    <w:rsid w:val="006C4BAE"/>
    <w:rsid w:val="006C4C9E"/>
    <w:rsid w:val="006C5149"/>
    <w:rsid w:val="006C51C5"/>
    <w:rsid w:val="006C51E5"/>
    <w:rsid w:val="006C52CD"/>
    <w:rsid w:val="006C54BF"/>
    <w:rsid w:val="006C57B3"/>
    <w:rsid w:val="006C57F0"/>
    <w:rsid w:val="006C58E4"/>
    <w:rsid w:val="006C59EC"/>
    <w:rsid w:val="006C5AD0"/>
    <w:rsid w:val="006C5C1F"/>
    <w:rsid w:val="006C5CF6"/>
    <w:rsid w:val="006C60AC"/>
    <w:rsid w:val="006C618C"/>
    <w:rsid w:val="006C62CE"/>
    <w:rsid w:val="006C6533"/>
    <w:rsid w:val="006C66D6"/>
    <w:rsid w:val="006C6771"/>
    <w:rsid w:val="006C6B1D"/>
    <w:rsid w:val="006C6CBF"/>
    <w:rsid w:val="006C6D11"/>
    <w:rsid w:val="006C6D33"/>
    <w:rsid w:val="006C6E0A"/>
    <w:rsid w:val="006C70CF"/>
    <w:rsid w:val="006C7671"/>
    <w:rsid w:val="006C7C43"/>
    <w:rsid w:val="006C7CE2"/>
    <w:rsid w:val="006C7D28"/>
    <w:rsid w:val="006C7D39"/>
    <w:rsid w:val="006C7FCE"/>
    <w:rsid w:val="006D05A6"/>
    <w:rsid w:val="006D07FA"/>
    <w:rsid w:val="006D0850"/>
    <w:rsid w:val="006D08C3"/>
    <w:rsid w:val="006D0B1D"/>
    <w:rsid w:val="006D0C65"/>
    <w:rsid w:val="006D0ECC"/>
    <w:rsid w:val="006D1026"/>
    <w:rsid w:val="006D10B2"/>
    <w:rsid w:val="006D1375"/>
    <w:rsid w:val="006D1BA5"/>
    <w:rsid w:val="006D1C18"/>
    <w:rsid w:val="006D1DB3"/>
    <w:rsid w:val="006D2053"/>
    <w:rsid w:val="006D20EE"/>
    <w:rsid w:val="006D2412"/>
    <w:rsid w:val="006D2437"/>
    <w:rsid w:val="006D2582"/>
    <w:rsid w:val="006D29C7"/>
    <w:rsid w:val="006D2C20"/>
    <w:rsid w:val="006D2D4F"/>
    <w:rsid w:val="006D2FB1"/>
    <w:rsid w:val="006D3051"/>
    <w:rsid w:val="006D329C"/>
    <w:rsid w:val="006D336B"/>
    <w:rsid w:val="006D364B"/>
    <w:rsid w:val="006D386B"/>
    <w:rsid w:val="006D3B5A"/>
    <w:rsid w:val="006D3B75"/>
    <w:rsid w:val="006D3BD4"/>
    <w:rsid w:val="006D3C0D"/>
    <w:rsid w:val="006D3E21"/>
    <w:rsid w:val="006D3EE6"/>
    <w:rsid w:val="006D400C"/>
    <w:rsid w:val="006D40E7"/>
    <w:rsid w:val="006D41B6"/>
    <w:rsid w:val="006D41E7"/>
    <w:rsid w:val="006D44DD"/>
    <w:rsid w:val="006D457D"/>
    <w:rsid w:val="006D45ED"/>
    <w:rsid w:val="006D474A"/>
    <w:rsid w:val="006D4907"/>
    <w:rsid w:val="006D4935"/>
    <w:rsid w:val="006D499F"/>
    <w:rsid w:val="006D4B81"/>
    <w:rsid w:val="006D4FE5"/>
    <w:rsid w:val="006D54B8"/>
    <w:rsid w:val="006D56DE"/>
    <w:rsid w:val="006D59D5"/>
    <w:rsid w:val="006D5CFC"/>
    <w:rsid w:val="006D5E00"/>
    <w:rsid w:val="006D5F39"/>
    <w:rsid w:val="006D6389"/>
    <w:rsid w:val="006D6393"/>
    <w:rsid w:val="006D669D"/>
    <w:rsid w:val="006D6710"/>
    <w:rsid w:val="006D679A"/>
    <w:rsid w:val="006D6987"/>
    <w:rsid w:val="006D6B07"/>
    <w:rsid w:val="006D6E57"/>
    <w:rsid w:val="006D6FDC"/>
    <w:rsid w:val="006D7168"/>
    <w:rsid w:val="006D7229"/>
    <w:rsid w:val="006D7269"/>
    <w:rsid w:val="006D72B3"/>
    <w:rsid w:val="006D75CF"/>
    <w:rsid w:val="006D7627"/>
    <w:rsid w:val="006D79AF"/>
    <w:rsid w:val="006D7C82"/>
    <w:rsid w:val="006D7D82"/>
    <w:rsid w:val="006D7F96"/>
    <w:rsid w:val="006E014E"/>
    <w:rsid w:val="006E016E"/>
    <w:rsid w:val="006E023E"/>
    <w:rsid w:val="006E0504"/>
    <w:rsid w:val="006E062B"/>
    <w:rsid w:val="006E0817"/>
    <w:rsid w:val="006E093F"/>
    <w:rsid w:val="006E0B3C"/>
    <w:rsid w:val="006E0CEF"/>
    <w:rsid w:val="006E0D20"/>
    <w:rsid w:val="006E0FEE"/>
    <w:rsid w:val="006E1006"/>
    <w:rsid w:val="006E1197"/>
    <w:rsid w:val="006E1280"/>
    <w:rsid w:val="006E12A0"/>
    <w:rsid w:val="006E1392"/>
    <w:rsid w:val="006E14B4"/>
    <w:rsid w:val="006E16BB"/>
    <w:rsid w:val="006E16ED"/>
    <w:rsid w:val="006E176C"/>
    <w:rsid w:val="006E1966"/>
    <w:rsid w:val="006E1C5A"/>
    <w:rsid w:val="006E1FC3"/>
    <w:rsid w:val="006E2038"/>
    <w:rsid w:val="006E260A"/>
    <w:rsid w:val="006E26EF"/>
    <w:rsid w:val="006E2716"/>
    <w:rsid w:val="006E27A3"/>
    <w:rsid w:val="006E29AB"/>
    <w:rsid w:val="006E2B68"/>
    <w:rsid w:val="006E2D1B"/>
    <w:rsid w:val="006E2D1C"/>
    <w:rsid w:val="006E2D3C"/>
    <w:rsid w:val="006E2DFB"/>
    <w:rsid w:val="006E2EAF"/>
    <w:rsid w:val="006E2F6A"/>
    <w:rsid w:val="006E30A9"/>
    <w:rsid w:val="006E31A8"/>
    <w:rsid w:val="006E31C7"/>
    <w:rsid w:val="006E36E8"/>
    <w:rsid w:val="006E3780"/>
    <w:rsid w:val="006E3867"/>
    <w:rsid w:val="006E3CEE"/>
    <w:rsid w:val="006E3D56"/>
    <w:rsid w:val="006E3D9A"/>
    <w:rsid w:val="006E3DE3"/>
    <w:rsid w:val="006E3F07"/>
    <w:rsid w:val="006E3F5D"/>
    <w:rsid w:val="006E41B4"/>
    <w:rsid w:val="006E42C1"/>
    <w:rsid w:val="006E44E2"/>
    <w:rsid w:val="006E4721"/>
    <w:rsid w:val="006E49BC"/>
    <w:rsid w:val="006E4C69"/>
    <w:rsid w:val="006E4C7E"/>
    <w:rsid w:val="006E4CD3"/>
    <w:rsid w:val="006E4D8B"/>
    <w:rsid w:val="006E4FC5"/>
    <w:rsid w:val="006E4FC7"/>
    <w:rsid w:val="006E597D"/>
    <w:rsid w:val="006E59F1"/>
    <w:rsid w:val="006E5B32"/>
    <w:rsid w:val="006E5BA1"/>
    <w:rsid w:val="006E5C46"/>
    <w:rsid w:val="006E5E91"/>
    <w:rsid w:val="006E6085"/>
    <w:rsid w:val="006E63CE"/>
    <w:rsid w:val="006E66BF"/>
    <w:rsid w:val="006E674A"/>
    <w:rsid w:val="006E6825"/>
    <w:rsid w:val="006E68E8"/>
    <w:rsid w:val="006E6957"/>
    <w:rsid w:val="006E6EC6"/>
    <w:rsid w:val="006E6FA4"/>
    <w:rsid w:val="006E6FD2"/>
    <w:rsid w:val="006E708E"/>
    <w:rsid w:val="006E718E"/>
    <w:rsid w:val="006E72F8"/>
    <w:rsid w:val="006E76E2"/>
    <w:rsid w:val="006E7729"/>
    <w:rsid w:val="006E7B68"/>
    <w:rsid w:val="006E7B7C"/>
    <w:rsid w:val="006E7B93"/>
    <w:rsid w:val="006E7D5E"/>
    <w:rsid w:val="006F01F3"/>
    <w:rsid w:val="006F0526"/>
    <w:rsid w:val="006F076A"/>
    <w:rsid w:val="006F0AA1"/>
    <w:rsid w:val="006F0AD8"/>
    <w:rsid w:val="006F0BF7"/>
    <w:rsid w:val="006F0C3D"/>
    <w:rsid w:val="006F0F50"/>
    <w:rsid w:val="006F1088"/>
    <w:rsid w:val="006F10FE"/>
    <w:rsid w:val="006F1247"/>
    <w:rsid w:val="006F19F3"/>
    <w:rsid w:val="006F1B28"/>
    <w:rsid w:val="006F1F80"/>
    <w:rsid w:val="006F2420"/>
    <w:rsid w:val="006F247E"/>
    <w:rsid w:val="006F24AE"/>
    <w:rsid w:val="006F25EF"/>
    <w:rsid w:val="006F26DD"/>
    <w:rsid w:val="006F274F"/>
    <w:rsid w:val="006F2873"/>
    <w:rsid w:val="006F2E30"/>
    <w:rsid w:val="006F305B"/>
    <w:rsid w:val="006F30DD"/>
    <w:rsid w:val="006F3115"/>
    <w:rsid w:val="006F353A"/>
    <w:rsid w:val="006F38EC"/>
    <w:rsid w:val="006F393D"/>
    <w:rsid w:val="006F3CAF"/>
    <w:rsid w:val="006F408F"/>
    <w:rsid w:val="006F40BA"/>
    <w:rsid w:val="006F41C7"/>
    <w:rsid w:val="006F46BB"/>
    <w:rsid w:val="006F479A"/>
    <w:rsid w:val="006F50E8"/>
    <w:rsid w:val="006F50F1"/>
    <w:rsid w:val="006F51C2"/>
    <w:rsid w:val="006F51D6"/>
    <w:rsid w:val="006F523A"/>
    <w:rsid w:val="006F54AB"/>
    <w:rsid w:val="006F56D5"/>
    <w:rsid w:val="006F5871"/>
    <w:rsid w:val="006F590A"/>
    <w:rsid w:val="006F593F"/>
    <w:rsid w:val="006F59F5"/>
    <w:rsid w:val="006F5A7E"/>
    <w:rsid w:val="006F5B8A"/>
    <w:rsid w:val="006F5BE7"/>
    <w:rsid w:val="006F5C75"/>
    <w:rsid w:val="006F5D70"/>
    <w:rsid w:val="006F5DCB"/>
    <w:rsid w:val="006F622E"/>
    <w:rsid w:val="006F69EF"/>
    <w:rsid w:val="006F6A27"/>
    <w:rsid w:val="006F6C59"/>
    <w:rsid w:val="006F6DA6"/>
    <w:rsid w:val="006F6F4B"/>
    <w:rsid w:val="006F71D0"/>
    <w:rsid w:val="006F7216"/>
    <w:rsid w:val="006F73F5"/>
    <w:rsid w:val="006F74EA"/>
    <w:rsid w:val="006F7592"/>
    <w:rsid w:val="006F7A32"/>
    <w:rsid w:val="006F7AB4"/>
    <w:rsid w:val="006F7CF1"/>
    <w:rsid w:val="006F7DB2"/>
    <w:rsid w:val="007001DB"/>
    <w:rsid w:val="007006DB"/>
    <w:rsid w:val="00700943"/>
    <w:rsid w:val="007009AD"/>
    <w:rsid w:val="00700C71"/>
    <w:rsid w:val="00700E41"/>
    <w:rsid w:val="00700FA4"/>
    <w:rsid w:val="00701C3B"/>
    <w:rsid w:val="00701C50"/>
    <w:rsid w:val="0070203A"/>
    <w:rsid w:val="007020EE"/>
    <w:rsid w:val="00702237"/>
    <w:rsid w:val="0070225F"/>
    <w:rsid w:val="0070229C"/>
    <w:rsid w:val="00702335"/>
    <w:rsid w:val="00702E6D"/>
    <w:rsid w:val="00703190"/>
    <w:rsid w:val="00703357"/>
    <w:rsid w:val="00703421"/>
    <w:rsid w:val="00703674"/>
    <w:rsid w:val="007036A2"/>
    <w:rsid w:val="007038C8"/>
    <w:rsid w:val="00703924"/>
    <w:rsid w:val="00703948"/>
    <w:rsid w:val="007039BC"/>
    <w:rsid w:val="00703F78"/>
    <w:rsid w:val="00704457"/>
    <w:rsid w:val="00704472"/>
    <w:rsid w:val="00704636"/>
    <w:rsid w:val="00704680"/>
    <w:rsid w:val="007046B4"/>
    <w:rsid w:val="00704788"/>
    <w:rsid w:val="0070481D"/>
    <w:rsid w:val="00704B76"/>
    <w:rsid w:val="00704D81"/>
    <w:rsid w:val="007052CF"/>
    <w:rsid w:val="00705303"/>
    <w:rsid w:val="007058D0"/>
    <w:rsid w:val="00705B2A"/>
    <w:rsid w:val="00705D8D"/>
    <w:rsid w:val="00705E75"/>
    <w:rsid w:val="00705F12"/>
    <w:rsid w:val="0070612C"/>
    <w:rsid w:val="007061AD"/>
    <w:rsid w:val="00706200"/>
    <w:rsid w:val="00706270"/>
    <w:rsid w:val="00706280"/>
    <w:rsid w:val="0070633B"/>
    <w:rsid w:val="007064F6"/>
    <w:rsid w:val="0070671D"/>
    <w:rsid w:val="00706910"/>
    <w:rsid w:val="00706E13"/>
    <w:rsid w:val="00706E59"/>
    <w:rsid w:val="00707041"/>
    <w:rsid w:val="007071C3"/>
    <w:rsid w:val="007075E2"/>
    <w:rsid w:val="0070772B"/>
    <w:rsid w:val="0070778C"/>
    <w:rsid w:val="00707859"/>
    <w:rsid w:val="00707B4A"/>
    <w:rsid w:val="00707E13"/>
    <w:rsid w:val="00707F30"/>
    <w:rsid w:val="00710549"/>
    <w:rsid w:val="007105AF"/>
    <w:rsid w:val="007112A0"/>
    <w:rsid w:val="00711467"/>
    <w:rsid w:val="00711533"/>
    <w:rsid w:val="007115A5"/>
    <w:rsid w:val="00711683"/>
    <w:rsid w:val="007116F8"/>
    <w:rsid w:val="00711A6C"/>
    <w:rsid w:val="00711DEF"/>
    <w:rsid w:val="007120A5"/>
    <w:rsid w:val="007120AD"/>
    <w:rsid w:val="007121F9"/>
    <w:rsid w:val="0071235C"/>
    <w:rsid w:val="00712490"/>
    <w:rsid w:val="00712EE2"/>
    <w:rsid w:val="0071309A"/>
    <w:rsid w:val="007133C9"/>
    <w:rsid w:val="007135F3"/>
    <w:rsid w:val="00713BE7"/>
    <w:rsid w:val="00713CEE"/>
    <w:rsid w:val="00713D1C"/>
    <w:rsid w:val="00714099"/>
    <w:rsid w:val="0071417D"/>
    <w:rsid w:val="00714298"/>
    <w:rsid w:val="007144E7"/>
    <w:rsid w:val="0071458F"/>
    <w:rsid w:val="00714690"/>
    <w:rsid w:val="007147BF"/>
    <w:rsid w:val="00714B5A"/>
    <w:rsid w:val="00715241"/>
    <w:rsid w:val="007153A9"/>
    <w:rsid w:val="00715604"/>
    <w:rsid w:val="0071577A"/>
    <w:rsid w:val="00715B0C"/>
    <w:rsid w:val="00715BDD"/>
    <w:rsid w:val="00715BE8"/>
    <w:rsid w:val="00715CF0"/>
    <w:rsid w:val="00715F74"/>
    <w:rsid w:val="00715FF7"/>
    <w:rsid w:val="007160A3"/>
    <w:rsid w:val="00716881"/>
    <w:rsid w:val="00716A2C"/>
    <w:rsid w:val="00716B6B"/>
    <w:rsid w:val="00716C68"/>
    <w:rsid w:val="00716E18"/>
    <w:rsid w:val="007171EE"/>
    <w:rsid w:val="00717315"/>
    <w:rsid w:val="007176EC"/>
    <w:rsid w:val="007177D3"/>
    <w:rsid w:val="00717B14"/>
    <w:rsid w:val="00717FBA"/>
    <w:rsid w:val="00720136"/>
    <w:rsid w:val="0072027A"/>
    <w:rsid w:val="007205FE"/>
    <w:rsid w:val="00720875"/>
    <w:rsid w:val="00720ABA"/>
    <w:rsid w:val="00720AD8"/>
    <w:rsid w:val="00720BCE"/>
    <w:rsid w:val="00720E40"/>
    <w:rsid w:val="00721144"/>
    <w:rsid w:val="00721630"/>
    <w:rsid w:val="00721673"/>
    <w:rsid w:val="0072186A"/>
    <w:rsid w:val="0072187A"/>
    <w:rsid w:val="007218D3"/>
    <w:rsid w:val="00721C5F"/>
    <w:rsid w:val="00721CB2"/>
    <w:rsid w:val="00721DB2"/>
    <w:rsid w:val="00721DDC"/>
    <w:rsid w:val="00721F0C"/>
    <w:rsid w:val="00721FB0"/>
    <w:rsid w:val="007220D0"/>
    <w:rsid w:val="007222CA"/>
    <w:rsid w:val="0072284B"/>
    <w:rsid w:val="0072292A"/>
    <w:rsid w:val="00722B83"/>
    <w:rsid w:val="00722BB2"/>
    <w:rsid w:val="00722CF6"/>
    <w:rsid w:val="00722E0B"/>
    <w:rsid w:val="00722ECC"/>
    <w:rsid w:val="007230DC"/>
    <w:rsid w:val="00723157"/>
    <w:rsid w:val="00723230"/>
    <w:rsid w:val="0072329E"/>
    <w:rsid w:val="00723416"/>
    <w:rsid w:val="00723427"/>
    <w:rsid w:val="007234F4"/>
    <w:rsid w:val="007235A3"/>
    <w:rsid w:val="007237FB"/>
    <w:rsid w:val="00723AD7"/>
    <w:rsid w:val="00723B99"/>
    <w:rsid w:val="00723DB2"/>
    <w:rsid w:val="00723E19"/>
    <w:rsid w:val="007240B7"/>
    <w:rsid w:val="007240CE"/>
    <w:rsid w:val="00724133"/>
    <w:rsid w:val="007248C2"/>
    <w:rsid w:val="00724AAB"/>
    <w:rsid w:val="00724B24"/>
    <w:rsid w:val="00724C1E"/>
    <w:rsid w:val="00724C58"/>
    <w:rsid w:val="00724C60"/>
    <w:rsid w:val="0072536B"/>
    <w:rsid w:val="007253BD"/>
    <w:rsid w:val="00725436"/>
    <w:rsid w:val="00725496"/>
    <w:rsid w:val="007254E1"/>
    <w:rsid w:val="00725604"/>
    <w:rsid w:val="00725953"/>
    <w:rsid w:val="00725A34"/>
    <w:rsid w:val="00725B16"/>
    <w:rsid w:val="00725B90"/>
    <w:rsid w:val="00725C4C"/>
    <w:rsid w:val="00725FF3"/>
    <w:rsid w:val="0072616A"/>
    <w:rsid w:val="007262AC"/>
    <w:rsid w:val="007262FB"/>
    <w:rsid w:val="007267B4"/>
    <w:rsid w:val="007267DA"/>
    <w:rsid w:val="00726934"/>
    <w:rsid w:val="00726BB7"/>
    <w:rsid w:val="00726C33"/>
    <w:rsid w:val="00726DA8"/>
    <w:rsid w:val="00726E9A"/>
    <w:rsid w:val="007270C3"/>
    <w:rsid w:val="0072760F"/>
    <w:rsid w:val="00727632"/>
    <w:rsid w:val="00727788"/>
    <w:rsid w:val="007277DD"/>
    <w:rsid w:val="007279CD"/>
    <w:rsid w:val="00727ECC"/>
    <w:rsid w:val="007300F1"/>
    <w:rsid w:val="0073031C"/>
    <w:rsid w:val="00730410"/>
    <w:rsid w:val="00730460"/>
    <w:rsid w:val="00730715"/>
    <w:rsid w:val="0073074C"/>
    <w:rsid w:val="0073096F"/>
    <w:rsid w:val="00730A9B"/>
    <w:rsid w:val="00730B08"/>
    <w:rsid w:val="0073172A"/>
    <w:rsid w:val="007319DC"/>
    <w:rsid w:val="00731AF6"/>
    <w:rsid w:val="00731BC2"/>
    <w:rsid w:val="00731CF9"/>
    <w:rsid w:val="00731CFF"/>
    <w:rsid w:val="00731F72"/>
    <w:rsid w:val="00731F8E"/>
    <w:rsid w:val="007320EF"/>
    <w:rsid w:val="00732196"/>
    <w:rsid w:val="0073253D"/>
    <w:rsid w:val="0073258D"/>
    <w:rsid w:val="007328A5"/>
    <w:rsid w:val="00732AD5"/>
    <w:rsid w:val="00732C2E"/>
    <w:rsid w:val="00732DCA"/>
    <w:rsid w:val="00732DE2"/>
    <w:rsid w:val="00733038"/>
    <w:rsid w:val="0073305C"/>
    <w:rsid w:val="007330BA"/>
    <w:rsid w:val="00733180"/>
    <w:rsid w:val="0073323F"/>
    <w:rsid w:val="0073383B"/>
    <w:rsid w:val="00733B1C"/>
    <w:rsid w:val="00733CE4"/>
    <w:rsid w:val="00733EE7"/>
    <w:rsid w:val="00733F14"/>
    <w:rsid w:val="00733FC0"/>
    <w:rsid w:val="007340D8"/>
    <w:rsid w:val="0073432F"/>
    <w:rsid w:val="007344D2"/>
    <w:rsid w:val="00734560"/>
    <w:rsid w:val="00734571"/>
    <w:rsid w:val="007348AC"/>
    <w:rsid w:val="00734AAA"/>
    <w:rsid w:val="00734AE6"/>
    <w:rsid w:val="00734BC2"/>
    <w:rsid w:val="00734CDA"/>
    <w:rsid w:val="00734DF9"/>
    <w:rsid w:val="00734E3F"/>
    <w:rsid w:val="00734EF0"/>
    <w:rsid w:val="00734F8B"/>
    <w:rsid w:val="00735594"/>
    <w:rsid w:val="0073593B"/>
    <w:rsid w:val="00735972"/>
    <w:rsid w:val="007359CF"/>
    <w:rsid w:val="00735A4E"/>
    <w:rsid w:val="00735ADE"/>
    <w:rsid w:val="00735C5C"/>
    <w:rsid w:val="00735DAD"/>
    <w:rsid w:val="00735F6E"/>
    <w:rsid w:val="00735FA2"/>
    <w:rsid w:val="00735FC3"/>
    <w:rsid w:val="007360E9"/>
    <w:rsid w:val="00736876"/>
    <w:rsid w:val="00736BA7"/>
    <w:rsid w:val="00736CC5"/>
    <w:rsid w:val="00736E1A"/>
    <w:rsid w:val="00736FAC"/>
    <w:rsid w:val="00736FF5"/>
    <w:rsid w:val="00737073"/>
    <w:rsid w:val="00737166"/>
    <w:rsid w:val="007371A2"/>
    <w:rsid w:val="00737338"/>
    <w:rsid w:val="007375B0"/>
    <w:rsid w:val="007375BC"/>
    <w:rsid w:val="00737F54"/>
    <w:rsid w:val="00740062"/>
    <w:rsid w:val="0074006A"/>
    <w:rsid w:val="00740451"/>
    <w:rsid w:val="00740825"/>
    <w:rsid w:val="007408F6"/>
    <w:rsid w:val="00740CC8"/>
    <w:rsid w:val="00740D6F"/>
    <w:rsid w:val="00740E38"/>
    <w:rsid w:val="00740FC9"/>
    <w:rsid w:val="00741019"/>
    <w:rsid w:val="007410B6"/>
    <w:rsid w:val="007410E5"/>
    <w:rsid w:val="007410F8"/>
    <w:rsid w:val="007413DE"/>
    <w:rsid w:val="0074155C"/>
    <w:rsid w:val="00741702"/>
    <w:rsid w:val="0074175A"/>
    <w:rsid w:val="007417AE"/>
    <w:rsid w:val="00741941"/>
    <w:rsid w:val="00741FA6"/>
    <w:rsid w:val="00742392"/>
    <w:rsid w:val="0074242F"/>
    <w:rsid w:val="0074255C"/>
    <w:rsid w:val="00742595"/>
    <w:rsid w:val="0074270F"/>
    <w:rsid w:val="007428DF"/>
    <w:rsid w:val="0074290C"/>
    <w:rsid w:val="00742A7D"/>
    <w:rsid w:val="00742B24"/>
    <w:rsid w:val="00742BAD"/>
    <w:rsid w:val="00742DF7"/>
    <w:rsid w:val="00742F13"/>
    <w:rsid w:val="00742F58"/>
    <w:rsid w:val="00742F83"/>
    <w:rsid w:val="0074310B"/>
    <w:rsid w:val="00743157"/>
    <w:rsid w:val="007431D4"/>
    <w:rsid w:val="00743373"/>
    <w:rsid w:val="0074350A"/>
    <w:rsid w:val="007435A0"/>
    <w:rsid w:val="0074370F"/>
    <w:rsid w:val="00743922"/>
    <w:rsid w:val="00743E1C"/>
    <w:rsid w:val="0074414E"/>
    <w:rsid w:val="00744190"/>
    <w:rsid w:val="0074427C"/>
    <w:rsid w:val="0074452D"/>
    <w:rsid w:val="00744731"/>
    <w:rsid w:val="00744924"/>
    <w:rsid w:val="00744ECE"/>
    <w:rsid w:val="00745427"/>
    <w:rsid w:val="007454E0"/>
    <w:rsid w:val="0074553E"/>
    <w:rsid w:val="007455B5"/>
    <w:rsid w:val="007457E7"/>
    <w:rsid w:val="007457F2"/>
    <w:rsid w:val="007459AF"/>
    <w:rsid w:val="007459D6"/>
    <w:rsid w:val="00745CDF"/>
    <w:rsid w:val="00745CF5"/>
    <w:rsid w:val="00745D47"/>
    <w:rsid w:val="00746034"/>
    <w:rsid w:val="00746190"/>
    <w:rsid w:val="007461B7"/>
    <w:rsid w:val="00746209"/>
    <w:rsid w:val="00746296"/>
    <w:rsid w:val="0074644F"/>
    <w:rsid w:val="007465A1"/>
    <w:rsid w:val="007467EF"/>
    <w:rsid w:val="00746A2C"/>
    <w:rsid w:val="00746A46"/>
    <w:rsid w:val="0074706D"/>
    <w:rsid w:val="00747226"/>
    <w:rsid w:val="00747264"/>
    <w:rsid w:val="0074769F"/>
    <w:rsid w:val="0074797F"/>
    <w:rsid w:val="00747CBC"/>
    <w:rsid w:val="00747F0F"/>
    <w:rsid w:val="00747FFE"/>
    <w:rsid w:val="007500A7"/>
    <w:rsid w:val="007500B0"/>
    <w:rsid w:val="00750347"/>
    <w:rsid w:val="00750365"/>
    <w:rsid w:val="007505B7"/>
    <w:rsid w:val="007506B7"/>
    <w:rsid w:val="00750874"/>
    <w:rsid w:val="007508BD"/>
    <w:rsid w:val="007509B7"/>
    <w:rsid w:val="007509DD"/>
    <w:rsid w:val="00750A09"/>
    <w:rsid w:val="00750B2A"/>
    <w:rsid w:val="00750E52"/>
    <w:rsid w:val="00751312"/>
    <w:rsid w:val="00751569"/>
    <w:rsid w:val="0075183E"/>
    <w:rsid w:val="007519BF"/>
    <w:rsid w:val="00751BA0"/>
    <w:rsid w:val="00751D82"/>
    <w:rsid w:val="00751DAA"/>
    <w:rsid w:val="00751E7F"/>
    <w:rsid w:val="00751ECA"/>
    <w:rsid w:val="00751F13"/>
    <w:rsid w:val="007521D3"/>
    <w:rsid w:val="0075237A"/>
    <w:rsid w:val="00752513"/>
    <w:rsid w:val="007526CC"/>
    <w:rsid w:val="00752855"/>
    <w:rsid w:val="00752AEF"/>
    <w:rsid w:val="00752AFA"/>
    <w:rsid w:val="00753035"/>
    <w:rsid w:val="00753474"/>
    <w:rsid w:val="0075355A"/>
    <w:rsid w:val="00753B1C"/>
    <w:rsid w:val="00753CB8"/>
    <w:rsid w:val="00754123"/>
    <w:rsid w:val="0075456D"/>
    <w:rsid w:val="0075457B"/>
    <w:rsid w:val="007545D9"/>
    <w:rsid w:val="007547C3"/>
    <w:rsid w:val="007549CD"/>
    <w:rsid w:val="00754DB8"/>
    <w:rsid w:val="0075517F"/>
    <w:rsid w:val="0075564E"/>
    <w:rsid w:val="00755781"/>
    <w:rsid w:val="00755858"/>
    <w:rsid w:val="00755C40"/>
    <w:rsid w:val="00755CFC"/>
    <w:rsid w:val="00755D3E"/>
    <w:rsid w:val="00755EFE"/>
    <w:rsid w:val="00755F56"/>
    <w:rsid w:val="00755FA4"/>
    <w:rsid w:val="007564E9"/>
    <w:rsid w:val="0075650E"/>
    <w:rsid w:val="00756544"/>
    <w:rsid w:val="007565DE"/>
    <w:rsid w:val="0075696B"/>
    <w:rsid w:val="007569B1"/>
    <w:rsid w:val="00757006"/>
    <w:rsid w:val="007575A9"/>
    <w:rsid w:val="007576C2"/>
    <w:rsid w:val="007576F0"/>
    <w:rsid w:val="00757762"/>
    <w:rsid w:val="007579C6"/>
    <w:rsid w:val="00757AEE"/>
    <w:rsid w:val="00757BA1"/>
    <w:rsid w:val="00757C97"/>
    <w:rsid w:val="007600FF"/>
    <w:rsid w:val="007602E5"/>
    <w:rsid w:val="00760AD8"/>
    <w:rsid w:val="00760EBE"/>
    <w:rsid w:val="00760F87"/>
    <w:rsid w:val="007612E8"/>
    <w:rsid w:val="00761367"/>
    <w:rsid w:val="0076186E"/>
    <w:rsid w:val="007619BD"/>
    <w:rsid w:val="00761A81"/>
    <w:rsid w:val="00761B63"/>
    <w:rsid w:val="00761EC9"/>
    <w:rsid w:val="00761F2B"/>
    <w:rsid w:val="007620B2"/>
    <w:rsid w:val="007627B4"/>
    <w:rsid w:val="00762A6D"/>
    <w:rsid w:val="00762C30"/>
    <w:rsid w:val="00762CA6"/>
    <w:rsid w:val="00762D1E"/>
    <w:rsid w:val="00762DB9"/>
    <w:rsid w:val="00762EF1"/>
    <w:rsid w:val="00763047"/>
    <w:rsid w:val="0076313B"/>
    <w:rsid w:val="007634A8"/>
    <w:rsid w:val="0076366F"/>
    <w:rsid w:val="00763777"/>
    <w:rsid w:val="007637C8"/>
    <w:rsid w:val="00763C30"/>
    <w:rsid w:val="00763C5A"/>
    <w:rsid w:val="00763D0D"/>
    <w:rsid w:val="00763E6E"/>
    <w:rsid w:val="007641CD"/>
    <w:rsid w:val="007646DD"/>
    <w:rsid w:val="0076472A"/>
    <w:rsid w:val="007649E1"/>
    <w:rsid w:val="00764A8F"/>
    <w:rsid w:val="00764D61"/>
    <w:rsid w:val="00764D9A"/>
    <w:rsid w:val="00764E2C"/>
    <w:rsid w:val="00764F6F"/>
    <w:rsid w:val="0076503C"/>
    <w:rsid w:val="007650CD"/>
    <w:rsid w:val="007651DE"/>
    <w:rsid w:val="007655A4"/>
    <w:rsid w:val="0076563B"/>
    <w:rsid w:val="00765648"/>
    <w:rsid w:val="007656F5"/>
    <w:rsid w:val="00765A8E"/>
    <w:rsid w:val="00765F8F"/>
    <w:rsid w:val="0076606C"/>
    <w:rsid w:val="007662E6"/>
    <w:rsid w:val="007662FC"/>
    <w:rsid w:val="0076639D"/>
    <w:rsid w:val="007664D8"/>
    <w:rsid w:val="00766C21"/>
    <w:rsid w:val="00766F12"/>
    <w:rsid w:val="00767153"/>
    <w:rsid w:val="0076737D"/>
    <w:rsid w:val="007674DE"/>
    <w:rsid w:val="0076755F"/>
    <w:rsid w:val="007676D8"/>
    <w:rsid w:val="0076780C"/>
    <w:rsid w:val="00767C58"/>
    <w:rsid w:val="00767D6E"/>
    <w:rsid w:val="00767FA4"/>
    <w:rsid w:val="00767FB5"/>
    <w:rsid w:val="00770025"/>
    <w:rsid w:val="007700AD"/>
    <w:rsid w:val="00770429"/>
    <w:rsid w:val="00770750"/>
    <w:rsid w:val="00770A82"/>
    <w:rsid w:val="00770A99"/>
    <w:rsid w:val="00770C2A"/>
    <w:rsid w:val="00770CDE"/>
    <w:rsid w:val="00770D56"/>
    <w:rsid w:val="00770DA3"/>
    <w:rsid w:val="00770EC2"/>
    <w:rsid w:val="00770F6A"/>
    <w:rsid w:val="0077101B"/>
    <w:rsid w:val="0077105F"/>
    <w:rsid w:val="007711F3"/>
    <w:rsid w:val="00771326"/>
    <w:rsid w:val="007713C1"/>
    <w:rsid w:val="00771529"/>
    <w:rsid w:val="0077174E"/>
    <w:rsid w:val="00771776"/>
    <w:rsid w:val="0077187E"/>
    <w:rsid w:val="007719F8"/>
    <w:rsid w:val="00771A96"/>
    <w:rsid w:val="00771B77"/>
    <w:rsid w:val="00771C61"/>
    <w:rsid w:val="00771FC5"/>
    <w:rsid w:val="00771FCB"/>
    <w:rsid w:val="007722EE"/>
    <w:rsid w:val="0077236D"/>
    <w:rsid w:val="007723B4"/>
    <w:rsid w:val="007728F5"/>
    <w:rsid w:val="00772944"/>
    <w:rsid w:val="00772C34"/>
    <w:rsid w:val="007732C0"/>
    <w:rsid w:val="007733BF"/>
    <w:rsid w:val="00773654"/>
    <w:rsid w:val="007736FC"/>
    <w:rsid w:val="00773788"/>
    <w:rsid w:val="00773908"/>
    <w:rsid w:val="00773978"/>
    <w:rsid w:val="00773B9C"/>
    <w:rsid w:val="00773BEC"/>
    <w:rsid w:val="007741FA"/>
    <w:rsid w:val="00774362"/>
    <w:rsid w:val="0077444B"/>
    <w:rsid w:val="007745DD"/>
    <w:rsid w:val="007747AD"/>
    <w:rsid w:val="00774A38"/>
    <w:rsid w:val="007751A5"/>
    <w:rsid w:val="0077526C"/>
    <w:rsid w:val="0077530E"/>
    <w:rsid w:val="00775682"/>
    <w:rsid w:val="007757BE"/>
    <w:rsid w:val="007759D8"/>
    <w:rsid w:val="00775BB3"/>
    <w:rsid w:val="00775D22"/>
    <w:rsid w:val="00775F56"/>
    <w:rsid w:val="00775FBC"/>
    <w:rsid w:val="00775FFD"/>
    <w:rsid w:val="0077603B"/>
    <w:rsid w:val="007762D1"/>
    <w:rsid w:val="00776401"/>
    <w:rsid w:val="00776703"/>
    <w:rsid w:val="00776745"/>
    <w:rsid w:val="00776AB3"/>
    <w:rsid w:val="00776EE0"/>
    <w:rsid w:val="00776EFA"/>
    <w:rsid w:val="007770B6"/>
    <w:rsid w:val="007770DA"/>
    <w:rsid w:val="0077714C"/>
    <w:rsid w:val="00777249"/>
    <w:rsid w:val="007775B8"/>
    <w:rsid w:val="0077765F"/>
    <w:rsid w:val="0077795B"/>
    <w:rsid w:val="00777BDF"/>
    <w:rsid w:val="00777E53"/>
    <w:rsid w:val="00777FED"/>
    <w:rsid w:val="007800C0"/>
    <w:rsid w:val="0078030E"/>
    <w:rsid w:val="007804F3"/>
    <w:rsid w:val="007805D5"/>
    <w:rsid w:val="00780655"/>
    <w:rsid w:val="007809C3"/>
    <w:rsid w:val="00780AAF"/>
    <w:rsid w:val="00780BF9"/>
    <w:rsid w:val="00780C57"/>
    <w:rsid w:val="00780F6B"/>
    <w:rsid w:val="00780F89"/>
    <w:rsid w:val="00780F96"/>
    <w:rsid w:val="00780FD6"/>
    <w:rsid w:val="00781190"/>
    <w:rsid w:val="0078137D"/>
    <w:rsid w:val="0078139F"/>
    <w:rsid w:val="00781434"/>
    <w:rsid w:val="00781561"/>
    <w:rsid w:val="0078168D"/>
    <w:rsid w:val="00781A14"/>
    <w:rsid w:val="00781F99"/>
    <w:rsid w:val="007820A6"/>
    <w:rsid w:val="007820F8"/>
    <w:rsid w:val="007821A4"/>
    <w:rsid w:val="007821E8"/>
    <w:rsid w:val="0078236E"/>
    <w:rsid w:val="0078245D"/>
    <w:rsid w:val="00782680"/>
    <w:rsid w:val="00782797"/>
    <w:rsid w:val="007829FC"/>
    <w:rsid w:val="00782A49"/>
    <w:rsid w:val="00782AA7"/>
    <w:rsid w:val="00782AF7"/>
    <w:rsid w:val="00782BC7"/>
    <w:rsid w:val="00782E14"/>
    <w:rsid w:val="00782F18"/>
    <w:rsid w:val="00783233"/>
    <w:rsid w:val="007834EF"/>
    <w:rsid w:val="00783772"/>
    <w:rsid w:val="007837A3"/>
    <w:rsid w:val="007838ED"/>
    <w:rsid w:val="00783AE2"/>
    <w:rsid w:val="00783B2D"/>
    <w:rsid w:val="00783B74"/>
    <w:rsid w:val="00783BA9"/>
    <w:rsid w:val="00783C9F"/>
    <w:rsid w:val="00783FB1"/>
    <w:rsid w:val="00784357"/>
    <w:rsid w:val="00784AD6"/>
    <w:rsid w:val="00784C71"/>
    <w:rsid w:val="00784EDE"/>
    <w:rsid w:val="007850A1"/>
    <w:rsid w:val="007850D6"/>
    <w:rsid w:val="00785327"/>
    <w:rsid w:val="00785993"/>
    <w:rsid w:val="00785A22"/>
    <w:rsid w:val="00785FC8"/>
    <w:rsid w:val="007860B1"/>
    <w:rsid w:val="007861FC"/>
    <w:rsid w:val="007864F6"/>
    <w:rsid w:val="007866AB"/>
    <w:rsid w:val="00786890"/>
    <w:rsid w:val="007868EB"/>
    <w:rsid w:val="00786A48"/>
    <w:rsid w:val="00786AF7"/>
    <w:rsid w:val="00786E05"/>
    <w:rsid w:val="0078714E"/>
    <w:rsid w:val="007871B8"/>
    <w:rsid w:val="00787494"/>
    <w:rsid w:val="00787501"/>
    <w:rsid w:val="0078762C"/>
    <w:rsid w:val="007876E9"/>
    <w:rsid w:val="0078785E"/>
    <w:rsid w:val="00787A97"/>
    <w:rsid w:val="00787F9A"/>
    <w:rsid w:val="0079033B"/>
    <w:rsid w:val="00790470"/>
    <w:rsid w:val="00790698"/>
    <w:rsid w:val="007906DB"/>
    <w:rsid w:val="007906DC"/>
    <w:rsid w:val="0079082E"/>
    <w:rsid w:val="00790D86"/>
    <w:rsid w:val="00790E57"/>
    <w:rsid w:val="00790EC7"/>
    <w:rsid w:val="00790ECA"/>
    <w:rsid w:val="0079107D"/>
    <w:rsid w:val="0079107E"/>
    <w:rsid w:val="00791377"/>
    <w:rsid w:val="00791400"/>
    <w:rsid w:val="007914DA"/>
    <w:rsid w:val="00791806"/>
    <w:rsid w:val="00791879"/>
    <w:rsid w:val="007918F6"/>
    <w:rsid w:val="00791A0E"/>
    <w:rsid w:val="00791B48"/>
    <w:rsid w:val="00791F07"/>
    <w:rsid w:val="007920F2"/>
    <w:rsid w:val="007921AC"/>
    <w:rsid w:val="0079239A"/>
    <w:rsid w:val="0079253B"/>
    <w:rsid w:val="007925E4"/>
    <w:rsid w:val="0079261F"/>
    <w:rsid w:val="00792A54"/>
    <w:rsid w:val="00792BB8"/>
    <w:rsid w:val="00792BEA"/>
    <w:rsid w:val="00792CAD"/>
    <w:rsid w:val="00792F1C"/>
    <w:rsid w:val="00793030"/>
    <w:rsid w:val="007932BE"/>
    <w:rsid w:val="0079340E"/>
    <w:rsid w:val="007937E1"/>
    <w:rsid w:val="00793C8F"/>
    <w:rsid w:val="0079402C"/>
    <w:rsid w:val="0079407C"/>
    <w:rsid w:val="00794143"/>
    <w:rsid w:val="007942D2"/>
    <w:rsid w:val="0079435C"/>
    <w:rsid w:val="007943A7"/>
    <w:rsid w:val="007945DB"/>
    <w:rsid w:val="007946FB"/>
    <w:rsid w:val="00794774"/>
    <w:rsid w:val="00794B5F"/>
    <w:rsid w:val="00794C95"/>
    <w:rsid w:val="00795208"/>
    <w:rsid w:val="00795377"/>
    <w:rsid w:val="0079548F"/>
    <w:rsid w:val="00795606"/>
    <w:rsid w:val="00795627"/>
    <w:rsid w:val="00795722"/>
    <w:rsid w:val="007957B1"/>
    <w:rsid w:val="00795829"/>
    <w:rsid w:val="00795A12"/>
    <w:rsid w:val="00795A3D"/>
    <w:rsid w:val="00795A3E"/>
    <w:rsid w:val="00795B12"/>
    <w:rsid w:val="00796020"/>
    <w:rsid w:val="007964F1"/>
    <w:rsid w:val="00796707"/>
    <w:rsid w:val="00796992"/>
    <w:rsid w:val="00796A51"/>
    <w:rsid w:val="00796C4F"/>
    <w:rsid w:val="00796CA0"/>
    <w:rsid w:val="00796E31"/>
    <w:rsid w:val="0079750D"/>
    <w:rsid w:val="00797591"/>
    <w:rsid w:val="0079776D"/>
    <w:rsid w:val="0079786C"/>
    <w:rsid w:val="007978DA"/>
    <w:rsid w:val="00797D6B"/>
    <w:rsid w:val="007A0299"/>
    <w:rsid w:val="007A064C"/>
    <w:rsid w:val="007A1179"/>
    <w:rsid w:val="007A156E"/>
    <w:rsid w:val="007A1606"/>
    <w:rsid w:val="007A17F3"/>
    <w:rsid w:val="007A190C"/>
    <w:rsid w:val="007A1A36"/>
    <w:rsid w:val="007A1D0B"/>
    <w:rsid w:val="007A1DE4"/>
    <w:rsid w:val="007A23E3"/>
    <w:rsid w:val="007A2449"/>
    <w:rsid w:val="007A29BD"/>
    <w:rsid w:val="007A29CC"/>
    <w:rsid w:val="007A29F2"/>
    <w:rsid w:val="007A2A04"/>
    <w:rsid w:val="007A2A31"/>
    <w:rsid w:val="007A2AE6"/>
    <w:rsid w:val="007A2B31"/>
    <w:rsid w:val="007A2B39"/>
    <w:rsid w:val="007A2C2B"/>
    <w:rsid w:val="007A2D8E"/>
    <w:rsid w:val="007A3018"/>
    <w:rsid w:val="007A317B"/>
    <w:rsid w:val="007A31F2"/>
    <w:rsid w:val="007A321B"/>
    <w:rsid w:val="007A3317"/>
    <w:rsid w:val="007A336F"/>
    <w:rsid w:val="007A363F"/>
    <w:rsid w:val="007A394E"/>
    <w:rsid w:val="007A3AB5"/>
    <w:rsid w:val="007A3AD6"/>
    <w:rsid w:val="007A3DDD"/>
    <w:rsid w:val="007A3E9E"/>
    <w:rsid w:val="007A45BC"/>
    <w:rsid w:val="007A4787"/>
    <w:rsid w:val="007A49CF"/>
    <w:rsid w:val="007A4C50"/>
    <w:rsid w:val="007A4EB4"/>
    <w:rsid w:val="007A4FB2"/>
    <w:rsid w:val="007A50C6"/>
    <w:rsid w:val="007A526D"/>
    <w:rsid w:val="007A553D"/>
    <w:rsid w:val="007A555F"/>
    <w:rsid w:val="007A55AA"/>
    <w:rsid w:val="007A5677"/>
    <w:rsid w:val="007A58C5"/>
    <w:rsid w:val="007A59AC"/>
    <w:rsid w:val="007A5BB0"/>
    <w:rsid w:val="007A5BB9"/>
    <w:rsid w:val="007A5CFE"/>
    <w:rsid w:val="007A5D06"/>
    <w:rsid w:val="007A5EB7"/>
    <w:rsid w:val="007A61FF"/>
    <w:rsid w:val="007A62AF"/>
    <w:rsid w:val="007A63C5"/>
    <w:rsid w:val="007A64EB"/>
    <w:rsid w:val="007A66E3"/>
    <w:rsid w:val="007A68E4"/>
    <w:rsid w:val="007A6C82"/>
    <w:rsid w:val="007A6EEC"/>
    <w:rsid w:val="007A7399"/>
    <w:rsid w:val="007A768F"/>
    <w:rsid w:val="007A76A1"/>
    <w:rsid w:val="007A788F"/>
    <w:rsid w:val="007A7A8B"/>
    <w:rsid w:val="007A7DED"/>
    <w:rsid w:val="007B021B"/>
    <w:rsid w:val="007B03FC"/>
    <w:rsid w:val="007B08DA"/>
    <w:rsid w:val="007B0AED"/>
    <w:rsid w:val="007B0B9F"/>
    <w:rsid w:val="007B0BC8"/>
    <w:rsid w:val="007B0D10"/>
    <w:rsid w:val="007B0F25"/>
    <w:rsid w:val="007B105B"/>
    <w:rsid w:val="007B1234"/>
    <w:rsid w:val="007B1275"/>
    <w:rsid w:val="007B1875"/>
    <w:rsid w:val="007B18CF"/>
    <w:rsid w:val="007B1999"/>
    <w:rsid w:val="007B19C0"/>
    <w:rsid w:val="007B1BB8"/>
    <w:rsid w:val="007B1C60"/>
    <w:rsid w:val="007B20B3"/>
    <w:rsid w:val="007B22A0"/>
    <w:rsid w:val="007B238F"/>
    <w:rsid w:val="007B23FE"/>
    <w:rsid w:val="007B2412"/>
    <w:rsid w:val="007B25D0"/>
    <w:rsid w:val="007B2B5A"/>
    <w:rsid w:val="007B2C55"/>
    <w:rsid w:val="007B2CB9"/>
    <w:rsid w:val="007B30ED"/>
    <w:rsid w:val="007B3169"/>
    <w:rsid w:val="007B3291"/>
    <w:rsid w:val="007B32D3"/>
    <w:rsid w:val="007B3339"/>
    <w:rsid w:val="007B36F1"/>
    <w:rsid w:val="007B3720"/>
    <w:rsid w:val="007B37C0"/>
    <w:rsid w:val="007B38B4"/>
    <w:rsid w:val="007B38CD"/>
    <w:rsid w:val="007B3CF3"/>
    <w:rsid w:val="007B3E00"/>
    <w:rsid w:val="007B42FC"/>
    <w:rsid w:val="007B4370"/>
    <w:rsid w:val="007B4394"/>
    <w:rsid w:val="007B465B"/>
    <w:rsid w:val="007B499F"/>
    <w:rsid w:val="007B4BD7"/>
    <w:rsid w:val="007B53E0"/>
    <w:rsid w:val="007B5477"/>
    <w:rsid w:val="007B55AE"/>
    <w:rsid w:val="007B55FC"/>
    <w:rsid w:val="007B572C"/>
    <w:rsid w:val="007B57C3"/>
    <w:rsid w:val="007B5A5F"/>
    <w:rsid w:val="007B5CD1"/>
    <w:rsid w:val="007B5DD6"/>
    <w:rsid w:val="007B5E05"/>
    <w:rsid w:val="007B5E78"/>
    <w:rsid w:val="007B5EE5"/>
    <w:rsid w:val="007B5F58"/>
    <w:rsid w:val="007B6014"/>
    <w:rsid w:val="007B6067"/>
    <w:rsid w:val="007B6196"/>
    <w:rsid w:val="007B62D1"/>
    <w:rsid w:val="007B63BE"/>
    <w:rsid w:val="007B63C0"/>
    <w:rsid w:val="007B669D"/>
    <w:rsid w:val="007B66E6"/>
    <w:rsid w:val="007B6807"/>
    <w:rsid w:val="007B7013"/>
    <w:rsid w:val="007B701F"/>
    <w:rsid w:val="007B71F4"/>
    <w:rsid w:val="007B73DC"/>
    <w:rsid w:val="007B754A"/>
    <w:rsid w:val="007B7843"/>
    <w:rsid w:val="007B7B0D"/>
    <w:rsid w:val="007B7F65"/>
    <w:rsid w:val="007B7FF1"/>
    <w:rsid w:val="007C02BB"/>
    <w:rsid w:val="007C0341"/>
    <w:rsid w:val="007C0515"/>
    <w:rsid w:val="007C067C"/>
    <w:rsid w:val="007C085E"/>
    <w:rsid w:val="007C08BB"/>
    <w:rsid w:val="007C08E3"/>
    <w:rsid w:val="007C0ACE"/>
    <w:rsid w:val="007C0C5E"/>
    <w:rsid w:val="007C0C8B"/>
    <w:rsid w:val="007C0D67"/>
    <w:rsid w:val="007C0E4D"/>
    <w:rsid w:val="007C0E69"/>
    <w:rsid w:val="007C12AE"/>
    <w:rsid w:val="007C15AE"/>
    <w:rsid w:val="007C1660"/>
    <w:rsid w:val="007C1A25"/>
    <w:rsid w:val="007C1AAE"/>
    <w:rsid w:val="007C1B31"/>
    <w:rsid w:val="007C1B83"/>
    <w:rsid w:val="007C1BD5"/>
    <w:rsid w:val="007C1BE1"/>
    <w:rsid w:val="007C1DC4"/>
    <w:rsid w:val="007C2064"/>
    <w:rsid w:val="007C220E"/>
    <w:rsid w:val="007C245D"/>
    <w:rsid w:val="007C24D5"/>
    <w:rsid w:val="007C255D"/>
    <w:rsid w:val="007C25BD"/>
    <w:rsid w:val="007C26AE"/>
    <w:rsid w:val="007C2946"/>
    <w:rsid w:val="007C30B5"/>
    <w:rsid w:val="007C3178"/>
    <w:rsid w:val="007C3945"/>
    <w:rsid w:val="007C39A0"/>
    <w:rsid w:val="007C3BC5"/>
    <w:rsid w:val="007C3C99"/>
    <w:rsid w:val="007C3DC2"/>
    <w:rsid w:val="007C3DF6"/>
    <w:rsid w:val="007C4017"/>
    <w:rsid w:val="007C4039"/>
    <w:rsid w:val="007C40A8"/>
    <w:rsid w:val="007C4137"/>
    <w:rsid w:val="007C41C0"/>
    <w:rsid w:val="007C464D"/>
    <w:rsid w:val="007C4C51"/>
    <w:rsid w:val="007C53E0"/>
    <w:rsid w:val="007C5406"/>
    <w:rsid w:val="007C5591"/>
    <w:rsid w:val="007C5620"/>
    <w:rsid w:val="007C59BF"/>
    <w:rsid w:val="007C5E75"/>
    <w:rsid w:val="007C61FA"/>
    <w:rsid w:val="007C6261"/>
    <w:rsid w:val="007C6352"/>
    <w:rsid w:val="007C67D2"/>
    <w:rsid w:val="007C6835"/>
    <w:rsid w:val="007C6A80"/>
    <w:rsid w:val="007C6ABD"/>
    <w:rsid w:val="007C6F54"/>
    <w:rsid w:val="007C7131"/>
    <w:rsid w:val="007C73E3"/>
    <w:rsid w:val="007C7492"/>
    <w:rsid w:val="007C7781"/>
    <w:rsid w:val="007C77E5"/>
    <w:rsid w:val="007C77F7"/>
    <w:rsid w:val="007C78B2"/>
    <w:rsid w:val="007C7ACE"/>
    <w:rsid w:val="007C7CAA"/>
    <w:rsid w:val="007D013C"/>
    <w:rsid w:val="007D0208"/>
    <w:rsid w:val="007D0448"/>
    <w:rsid w:val="007D0648"/>
    <w:rsid w:val="007D07CB"/>
    <w:rsid w:val="007D087E"/>
    <w:rsid w:val="007D08BF"/>
    <w:rsid w:val="007D0D68"/>
    <w:rsid w:val="007D0EDB"/>
    <w:rsid w:val="007D11A0"/>
    <w:rsid w:val="007D1293"/>
    <w:rsid w:val="007D132D"/>
    <w:rsid w:val="007D1351"/>
    <w:rsid w:val="007D13A9"/>
    <w:rsid w:val="007D1453"/>
    <w:rsid w:val="007D14D6"/>
    <w:rsid w:val="007D15DF"/>
    <w:rsid w:val="007D16DB"/>
    <w:rsid w:val="007D16EA"/>
    <w:rsid w:val="007D1833"/>
    <w:rsid w:val="007D19AF"/>
    <w:rsid w:val="007D1A8F"/>
    <w:rsid w:val="007D21B2"/>
    <w:rsid w:val="007D24B6"/>
    <w:rsid w:val="007D24E9"/>
    <w:rsid w:val="007D25F6"/>
    <w:rsid w:val="007D2698"/>
    <w:rsid w:val="007D29FE"/>
    <w:rsid w:val="007D2B13"/>
    <w:rsid w:val="007D2B4E"/>
    <w:rsid w:val="007D2F17"/>
    <w:rsid w:val="007D3436"/>
    <w:rsid w:val="007D35F2"/>
    <w:rsid w:val="007D37D2"/>
    <w:rsid w:val="007D3B7F"/>
    <w:rsid w:val="007D3DCA"/>
    <w:rsid w:val="007D3F05"/>
    <w:rsid w:val="007D4258"/>
    <w:rsid w:val="007D43DE"/>
    <w:rsid w:val="007D451F"/>
    <w:rsid w:val="007D475B"/>
    <w:rsid w:val="007D4B77"/>
    <w:rsid w:val="007D4C68"/>
    <w:rsid w:val="007D4E3B"/>
    <w:rsid w:val="007D561B"/>
    <w:rsid w:val="007D57F2"/>
    <w:rsid w:val="007D596B"/>
    <w:rsid w:val="007D5AD4"/>
    <w:rsid w:val="007D5C05"/>
    <w:rsid w:val="007D5D39"/>
    <w:rsid w:val="007D5E1F"/>
    <w:rsid w:val="007D5E3B"/>
    <w:rsid w:val="007D615F"/>
    <w:rsid w:val="007D68DD"/>
    <w:rsid w:val="007D6E92"/>
    <w:rsid w:val="007D703C"/>
    <w:rsid w:val="007D7064"/>
    <w:rsid w:val="007D7094"/>
    <w:rsid w:val="007D74D8"/>
    <w:rsid w:val="007D7685"/>
    <w:rsid w:val="007D7867"/>
    <w:rsid w:val="007D7891"/>
    <w:rsid w:val="007D789D"/>
    <w:rsid w:val="007D7910"/>
    <w:rsid w:val="007D7958"/>
    <w:rsid w:val="007D7D3B"/>
    <w:rsid w:val="007D7F32"/>
    <w:rsid w:val="007E0160"/>
    <w:rsid w:val="007E0378"/>
    <w:rsid w:val="007E0784"/>
    <w:rsid w:val="007E07E4"/>
    <w:rsid w:val="007E09E0"/>
    <w:rsid w:val="007E0CBF"/>
    <w:rsid w:val="007E0FF8"/>
    <w:rsid w:val="007E105E"/>
    <w:rsid w:val="007E13D5"/>
    <w:rsid w:val="007E14B3"/>
    <w:rsid w:val="007E15F0"/>
    <w:rsid w:val="007E1E02"/>
    <w:rsid w:val="007E1F63"/>
    <w:rsid w:val="007E211A"/>
    <w:rsid w:val="007E21C2"/>
    <w:rsid w:val="007E2274"/>
    <w:rsid w:val="007E22FB"/>
    <w:rsid w:val="007E23BB"/>
    <w:rsid w:val="007E279E"/>
    <w:rsid w:val="007E2844"/>
    <w:rsid w:val="007E2C78"/>
    <w:rsid w:val="007E3262"/>
    <w:rsid w:val="007E3285"/>
    <w:rsid w:val="007E3C70"/>
    <w:rsid w:val="007E3DF8"/>
    <w:rsid w:val="007E3E08"/>
    <w:rsid w:val="007E3E6C"/>
    <w:rsid w:val="007E4015"/>
    <w:rsid w:val="007E40CC"/>
    <w:rsid w:val="007E428C"/>
    <w:rsid w:val="007E4383"/>
    <w:rsid w:val="007E45FE"/>
    <w:rsid w:val="007E481E"/>
    <w:rsid w:val="007E4905"/>
    <w:rsid w:val="007E4D2B"/>
    <w:rsid w:val="007E4D58"/>
    <w:rsid w:val="007E4D95"/>
    <w:rsid w:val="007E4F6D"/>
    <w:rsid w:val="007E52B6"/>
    <w:rsid w:val="007E55B4"/>
    <w:rsid w:val="007E55D7"/>
    <w:rsid w:val="007E5618"/>
    <w:rsid w:val="007E5670"/>
    <w:rsid w:val="007E57B6"/>
    <w:rsid w:val="007E57FA"/>
    <w:rsid w:val="007E5881"/>
    <w:rsid w:val="007E5AD1"/>
    <w:rsid w:val="007E5FB3"/>
    <w:rsid w:val="007E6049"/>
    <w:rsid w:val="007E62A3"/>
    <w:rsid w:val="007E6684"/>
    <w:rsid w:val="007E67B1"/>
    <w:rsid w:val="007E6838"/>
    <w:rsid w:val="007E6994"/>
    <w:rsid w:val="007E6DEC"/>
    <w:rsid w:val="007E71B2"/>
    <w:rsid w:val="007E755A"/>
    <w:rsid w:val="007E7623"/>
    <w:rsid w:val="007E7662"/>
    <w:rsid w:val="007E7885"/>
    <w:rsid w:val="007E7AD3"/>
    <w:rsid w:val="007E7ADF"/>
    <w:rsid w:val="007E7BBE"/>
    <w:rsid w:val="007E7C11"/>
    <w:rsid w:val="007E7C4C"/>
    <w:rsid w:val="007E7DBF"/>
    <w:rsid w:val="007E7EB0"/>
    <w:rsid w:val="007F014C"/>
    <w:rsid w:val="007F01BB"/>
    <w:rsid w:val="007F02CD"/>
    <w:rsid w:val="007F0312"/>
    <w:rsid w:val="007F04E4"/>
    <w:rsid w:val="007F080B"/>
    <w:rsid w:val="007F081A"/>
    <w:rsid w:val="007F0B15"/>
    <w:rsid w:val="007F0CBA"/>
    <w:rsid w:val="007F1104"/>
    <w:rsid w:val="007F1243"/>
    <w:rsid w:val="007F12B3"/>
    <w:rsid w:val="007F1610"/>
    <w:rsid w:val="007F173E"/>
    <w:rsid w:val="007F17E6"/>
    <w:rsid w:val="007F18D7"/>
    <w:rsid w:val="007F1A97"/>
    <w:rsid w:val="007F1AEC"/>
    <w:rsid w:val="007F2092"/>
    <w:rsid w:val="007F2479"/>
    <w:rsid w:val="007F2AC3"/>
    <w:rsid w:val="007F2C25"/>
    <w:rsid w:val="007F2E07"/>
    <w:rsid w:val="007F329F"/>
    <w:rsid w:val="007F3667"/>
    <w:rsid w:val="007F3AE8"/>
    <w:rsid w:val="007F3D83"/>
    <w:rsid w:val="007F3E19"/>
    <w:rsid w:val="007F3F2F"/>
    <w:rsid w:val="007F4113"/>
    <w:rsid w:val="007F45FC"/>
    <w:rsid w:val="007F4601"/>
    <w:rsid w:val="007F4851"/>
    <w:rsid w:val="007F48BC"/>
    <w:rsid w:val="007F4A82"/>
    <w:rsid w:val="007F4AEB"/>
    <w:rsid w:val="007F4B31"/>
    <w:rsid w:val="007F4E96"/>
    <w:rsid w:val="007F521C"/>
    <w:rsid w:val="007F59B0"/>
    <w:rsid w:val="007F5C5F"/>
    <w:rsid w:val="007F5CD1"/>
    <w:rsid w:val="007F61E7"/>
    <w:rsid w:val="007F6315"/>
    <w:rsid w:val="007F63B4"/>
    <w:rsid w:val="007F65EE"/>
    <w:rsid w:val="007F65F7"/>
    <w:rsid w:val="007F67B0"/>
    <w:rsid w:val="007F6855"/>
    <w:rsid w:val="007F6B3B"/>
    <w:rsid w:val="007F6C19"/>
    <w:rsid w:val="007F6C69"/>
    <w:rsid w:val="007F6DE7"/>
    <w:rsid w:val="007F6EB2"/>
    <w:rsid w:val="007F6F3B"/>
    <w:rsid w:val="007F72AC"/>
    <w:rsid w:val="007F7375"/>
    <w:rsid w:val="007F744E"/>
    <w:rsid w:val="007F752F"/>
    <w:rsid w:val="007F7699"/>
    <w:rsid w:val="007F77A5"/>
    <w:rsid w:val="007F78AF"/>
    <w:rsid w:val="007F7BC0"/>
    <w:rsid w:val="0080008A"/>
    <w:rsid w:val="008004C9"/>
    <w:rsid w:val="00800812"/>
    <w:rsid w:val="00800CB2"/>
    <w:rsid w:val="00800EE4"/>
    <w:rsid w:val="0080136F"/>
    <w:rsid w:val="0080138B"/>
    <w:rsid w:val="0080147E"/>
    <w:rsid w:val="00801481"/>
    <w:rsid w:val="0080160E"/>
    <w:rsid w:val="00801C37"/>
    <w:rsid w:val="008021BA"/>
    <w:rsid w:val="008026DD"/>
    <w:rsid w:val="0080290A"/>
    <w:rsid w:val="00802969"/>
    <w:rsid w:val="008034B2"/>
    <w:rsid w:val="00803547"/>
    <w:rsid w:val="008036FA"/>
    <w:rsid w:val="00803AA4"/>
    <w:rsid w:val="00803C66"/>
    <w:rsid w:val="00803C92"/>
    <w:rsid w:val="00803CFD"/>
    <w:rsid w:val="00803D19"/>
    <w:rsid w:val="0080404A"/>
    <w:rsid w:val="008040A8"/>
    <w:rsid w:val="00804257"/>
    <w:rsid w:val="008042AC"/>
    <w:rsid w:val="0080467F"/>
    <w:rsid w:val="0080479B"/>
    <w:rsid w:val="008049E6"/>
    <w:rsid w:val="00804B84"/>
    <w:rsid w:val="00804D75"/>
    <w:rsid w:val="00804DD1"/>
    <w:rsid w:val="0080503B"/>
    <w:rsid w:val="00805194"/>
    <w:rsid w:val="0080529D"/>
    <w:rsid w:val="0080547D"/>
    <w:rsid w:val="00805501"/>
    <w:rsid w:val="008057D7"/>
    <w:rsid w:val="0080592F"/>
    <w:rsid w:val="00805BF2"/>
    <w:rsid w:val="00805CFC"/>
    <w:rsid w:val="00805DEF"/>
    <w:rsid w:val="008063DF"/>
    <w:rsid w:val="00806451"/>
    <w:rsid w:val="00806494"/>
    <w:rsid w:val="008065E8"/>
    <w:rsid w:val="0080676B"/>
    <w:rsid w:val="008067CD"/>
    <w:rsid w:val="00806913"/>
    <w:rsid w:val="00806950"/>
    <w:rsid w:val="00806993"/>
    <w:rsid w:val="00806C58"/>
    <w:rsid w:val="00806F22"/>
    <w:rsid w:val="00806F44"/>
    <w:rsid w:val="00807101"/>
    <w:rsid w:val="008071FC"/>
    <w:rsid w:val="008076D8"/>
    <w:rsid w:val="00807784"/>
    <w:rsid w:val="00807946"/>
    <w:rsid w:val="0080799E"/>
    <w:rsid w:val="00807A28"/>
    <w:rsid w:val="00807AE6"/>
    <w:rsid w:val="00807D34"/>
    <w:rsid w:val="00807E5A"/>
    <w:rsid w:val="0081007F"/>
    <w:rsid w:val="00810260"/>
    <w:rsid w:val="00810347"/>
    <w:rsid w:val="0081037E"/>
    <w:rsid w:val="00810506"/>
    <w:rsid w:val="00810962"/>
    <w:rsid w:val="00810A11"/>
    <w:rsid w:val="00810D3E"/>
    <w:rsid w:val="00810D53"/>
    <w:rsid w:val="00810DEA"/>
    <w:rsid w:val="00810FB7"/>
    <w:rsid w:val="0081105F"/>
    <w:rsid w:val="008112D3"/>
    <w:rsid w:val="0081131A"/>
    <w:rsid w:val="0081135F"/>
    <w:rsid w:val="008113D6"/>
    <w:rsid w:val="008116C1"/>
    <w:rsid w:val="0081182A"/>
    <w:rsid w:val="00811AD2"/>
    <w:rsid w:val="00811C72"/>
    <w:rsid w:val="00811F52"/>
    <w:rsid w:val="00811F88"/>
    <w:rsid w:val="008120FA"/>
    <w:rsid w:val="0081218E"/>
    <w:rsid w:val="008122AE"/>
    <w:rsid w:val="008122EF"/>
    <w:rsid w:val="008124E8"/>
    <w:rsid w:val="00812649"/>
    <w:rsid w:val="008128DE"/>
    <w:rsid w:val="00812BDE"/>
    <w:rsid w:val="00812BDF"/>
    <w:rsid w:val="00812D8C"/>
    <w:rsid w:val="0081338B"/>
    <w:rsid w:val="0081348A"/>
    <w:rsid w:val="008135F9"/>
    <w:rsid w:val="008136C2"/>
    <w:rsid w:val="008136ED"/>
    <w:rsid w:val="00813FFD"/>
    <w:rsid w:val="00814028"/>
    <w:rsid w:val="0081412F"/>
    <w:rsid w:val="00814138"/>
    <w:rsid w:val="0081414E"/>
    <w:rsid w:val="00814207"/>
    <w:rsid w:val="0081428A"/>
    <w:rsid w:val="0081442F"/>
    <w:rsid w:val="008144B0"/>
    <w:rsid w:val="00814542"/>
    <w:rsid w:val="008145F9"/>
    <w:rsid w:val="0081473F"/>
    <w:rsid w:val="008147A1"/>
    <w:rsid w:val="008148C7"/>
    <w:rsid w:val="008149C0"/>
    <w:rsid w:val="00814B2D"/>
    <w:rsid w:val="00814B3F"/>
    <w:rsid w:val="00814C87"/>
    <w:rsid w:val="00814FE2"/>
    <w:rsid w:val="00815176"/>
    <w:rsid w:val="008151EC"/>
    <w:rsid w:val="00815348"/>
    <w:rsid w:val="00815366"/>
    <w:rsid w:val="00815621"/>
    <w:rsid w:val="0081572C"/>
    <w:rsid w:val="00815849"/>
    <w:rsid w:val="008158F7"/>
    <w:rsid w:val="00815993"/>
    <w:rsid w:val="00815DF0"/>
    <w:rsid w:val="00816057"/>
    <w:rsid w:val="00816178"/>
    <w:rsid w:val="00816293"/>
    <w:rsid w:val="00816895"/>
    <w:rsid w:val="008168BE"/>
    <w:rsid w:val="0081697C"/>
    <w:rsid w:val="00816A38"/>
    <w:rsid w:val="00816AED"/>
    <w:rsid w:val="00816BC1"/>
    <w:rsid w:val="00816C7D"/>
    <w:rsid w:val="00816E78"/>
    <w:rsid w:val="00816F02"/>
    <w:rsid w:val="00816FFB"/>
    <w:rsid w:val="0081707F"/>
    <w:rsid w:val="008170B4"/>
    <w:rsid w:val="00817106"/>
    <w:rsid w:val="008171A4"/>
    <w:rsid w:val="008173B6"/>
    <w:rsid w:val="008173FD"/>
    <w:rsid w:val="008178E5"/>
    <w:rsid w:val="00817BC9"/>
    <w:rsid w:val="00817C38"/>
    <w:rsid w:val="00820103"/>
    <w:rsid w:val="0082026A"/>
    <w:rsid w:val="008202B7"/>
    <w:rsid w:val="00820413"/>
    <w:rsid w:val="00820570"/>
    <w:rsid w:val="008208D5"/>
    <w:rsid w:val="00820E28"/>
    <w:rsid w:val="00820ED0"/>
    <w:rsid w:val="008217C7"/>
    <w:rsid w:val="00821A10"/>
    <w:rsid w:val="00821BDE"/>
    <w:rsid w:val="00821BF4"/>
    <w:rsid w:val="00821E03"/>
    <w:rsid w:val="00821F33"/>
    <w:rsid w:val="00821F4D"/>
    <w:rsid w:val="00821F86"/>
    <w:rsid w:val="00821FA1"/>
    <w:rsid w:val="00822196"/>
    <w:rsid w:val="0082219B"/>
    <w:rsid w:val="0082239F"/>
    <w:rsid w:val="008224B0"/>
    <w:rsid w:val="00822572"/>
    <w:rsid w:val="00822621"/>
    <w:rsid w:val="008228EA"/>
    <w:rsid w:val="00822A28"/>
    <w:rsid w:val="00822A55"/>
    <w:rsid w:val="00822DB7"/>
    <w:rsid w:val="00822EDE"/>
    <w:rsid w:val="008231D1"/>
    <w:rsid w:val="008232FD"/>
    <w:rsid w:val="0082337C"/>
    <w:rsid w:val="00823519"/>
    <w:rsid w:val="00823B77"/>
    <w:rsid w:val="00823D64"/>
    <w:rsid w:val="00824084"/>
    <w:rsid w:val="00824153"/>
    <w:rsid w:val="00824277"/>
    <w:rsid w:val="008243E0"/>
    <w:rsid w:val="008244BB"/>
    <w:rsid w:val="008247E5"/>
    <w:rsid w:val="00824A83"/>
    <w:rsid w:val="00824BC9"/>
    <w:rsid w:val="00825050"/>
    <w:rsid w:val="0082506C"/>
    <w:rsid w:val="00825159"/>
    <w:rsid w:val="00825581"/>
    <w:rsid w:val="0082589D"/>
    <w:rsid w:val="00825AE0"/>
    <w:rsid w:val="00825DA6"/>
    <w:rsid w:val="0082611D"/>
    <w:rsid w:val="008262A0"/>
    <w:rsid w:val="00826368"/>
    <w:rsid w:val="00826494"/>
    <w:rsid w:val="0082697C"/>
    <w:rsid w:val="00826AAF"/>
    <w:rsid w:val="00826B56"/>
    <w:rsid w:val="00826B78"/>
    <w:rsid w:val="00826BBE"/>
    <w:rsid w:val="00826BF2"/>
    <w:rsid w:val="00826C51"/>
    <w:rsid w:val="00826E6F"/>
    <w:rsid w:val="00826EEC"/>
    <w:rsid w:val="00827224"/>
    <w:rsid w:val="0082722E"/>
    <w:rsid w:val="00827461"/>
    <w:rsid w:val="0082759A"/>
    <w:rsid w:val="008276CB"/>
    <w:rsid w:val="0082775D"/>
    <w:rsid w:val="0082780C"/>
    <w:rsid w:val="00827B83"/>
    <w:rsid w:val="00827EB2"/>
    <w:rsid w:val="0083004F"/>
    <w:rsid w:val="008309B6"/>
    <w:rsid w:val="00830B5E"/>
    <w:rsid w:val="0083100B"/>
    <w:rsid w:val="008310F0"/>
    <w:rsid w:val="0083113D"/>
    <w:rsid w:val="0083121A"/>
    <w:rsid w:val="008312DF"/>
    <w:rsid w:val="008314CF"/>
    <w:rsid w:val="00831A6B"/>
    <w:rsid w:val="00831CF4"/>
    <w:rsid w:val="008320B9"/>
    <w:rsid w:val="008321A5"/>
    <w:rsid w:val="0083257E"/>
    <w:rsid w:val="008325DA"/>
    <w:rsid w:val="0083298A"/>
    <w:rsid w:val="00832ACD"/>
    <w:rsid w:val="00832C09"/>
    <w:rsid w:val="00832C78"/>
    <w:rsid w:val="00832C93"/>
    <w:rsid w:val="00832CC9"/>
    <w:rsid w:val="00832DD6"/>
    <w:rsid w:val="00832F93"/>
    <w:rsid w:val="00832FA2"/>
    <w:rsid w:val="00833113"/>
    <w:rsid w:val="0083313A"/>
    <w:rsid w:val="00833631"/>
    <w:rsid w:val="00833820"/>
    <w:rsid w:val="00833BB1"/>
    <w:rsid w:val="00833F8A"/>
    <w:rsid w:val="008342B4"/>
    <w:rsid w:val="008344AC"/>
    <w:rsid w:val="0083489E"/>
    <w:rsid w:val="00834C5A"/>
    <w:rsid w:val="00834C99"/>
    <w:rsid w:val="00835579"/>
    <w:rsid w:val="00835604"/>
    <w:rsid w:val="0083576D"/>
    <w:rsid w:val="00835860"/>
    <w:rsid w:val="00835C9F"/>
    <w:rsid w:val="00835CD9"/>
    <w:rsid w:val="00835D6E"/>
    <w:rsid w:val="00835D74"/>
    <w:rsid w:val="00835EC7"/>
    <w:rsid w:val="00835F1B"/>
    <w:rsid w:val="00836000"/>
    <w:rsid w:val="0083608F"/>
    <w:rsid w:val="00836277"/>
    <w:rsid w:val="008363AC"/>
    <w:rsid w:val="008368BE"/>
    <w:rsid w:val="00837050"/>
    <w:rsid w:val="008370A0"/>
    <w:rsid w:val="00837113"/>
    <w:rsid w:val="00837364"/>
    <w:rsid w:val="008373C1"/>
    <w:rsid w:val="008373CE"/>
    <w:rsid w:val="0083744E"/>
    <w:rsid w:val="00837798"/>
    <w:rsid w:val="008378D5"/>
    <w:rsid w:val="00837C3C"/>
    <w:rsid w:val="00837D2D"/>
    <w:rsid w:val="00837DDE"/>
    <w:rsid w:val="00840147"/>
    <w:rsid w:val="00840157"/>
    <w:rsid w:val="00840380"/>
    <w:rsid w:val="0084065C"/>
    <w:rsid w:val="00840799"/>
    <w:rsid w:val="00840851"/>
    <w:rsid w:val="008409E0"/>
    <w:rsid w:val="00840C0B"/>
    <w:rsid w:val="00840EF3"/>
    <w:rsid w:val="0084113E"/>
    <w:rsid w:val="008413AD"/>
    <w:rsid w:val="0084145C"/>
    <w:rsid w:val="00841482"/>
    <w:rsid w:val="008417C0"/>
    <w:rsid w:val="008419A8"/>
    <w:rsid w:val="00841A2F"/>
    <w:rsid w:val="00841D3E"/>
    <w:rsid w:val="00841DEB"/>
    <w:rsid w:val="008420CF"/>
    <w:rsid w:val="008421BF"/>
    <w:rsid w:val="00842551"/>
    <w:rsid w:val="008427AE"/>
    <w:rsid w:val="00842B1E"/>
    <w:rsid w:val="00842DBA"/>
    <w:rsid w:val="00842FF1"/>
    <w:rsid w:val="008430C9"/>
    <w:rsid w:val="008432AE"/>
    <w:rsid w:val="00843592"/>
    <w:rsid w:val="008435B9"/>
    <w:rsid w:val="0084363D"/>
    <w:rsid w:val="00843821"/>
    <w:rsid w:val="008439AB"/>
    <w:rsid w:val="00843BC3"/>
    <w:rsid w:val="00843D38"/>
    <w:rsid w:val="00843D39"/>
    <w:rsid w:val="00843DDE"/>
    <w:rsid w:val="008440EE"/>
    <w:rsid w:val="00844183"/>
    <w:rsid w:val="008441AA"/>
    <w:rsid w:val="0084422B"/>
    <w:rsid w:val="00844439"/>
    <w:rsid w:val="008446AD"/>
    <w:rsid w:val="00844BFA"/>
    <w:rsid w:val="00844FDD"/>
    <w:rsid w:val="008450F2"/>
    <w:rsid w:val="00845292"/>
    <w:rsid w:val="0084537D"/>
    <w:rsid w:val="00845488"/>
    <w:rsid w:val="00845835"/>
    <w:rsid w:val="008458C6"/>
    <w:rsid w:val="00845AC4"/>
    <w:rsid w:val="00845B09"/>
    <w:rsid w:val="00845B8F"/>
    <w:rsid w:val="00845BCA"/>
    <w:rsid w:val="00845DEA"/>
    <w:rsid w:val="00845DFC"/>
    <w:rsid w:val="0084600B"/>
    <w:rsid w:val="00846441"/>
    <w:rsid w:val="008464E5"/>
    <w:rsid w:val="00846923"/>
    <w:rsid w:val="00846929"/>
    <w:rsid w:val="00846C50"/>
    <w:rsid w:val="00846CB7"/>
    <w:rsid w:val="00846D8C"/>
    <w:rsid w:val="008470A6"/>
    <w:rsid w:val="0084720E"/>
    <w:rsid w:val="00847610"/>
    <w:rsid w:val="00847854"/>
    <w:rsid w:val="00847B21"/>
    <w:rsid w:val="00847C8C"/>
    <w:rsid w:val="00847CD4"/>
    <w:rsid w:val="00847D03"/>
    <w:rsid w:val="00847DD2"/>
    <w:rsid w:val="00847E19"/>
    <w:rsid w:val="00847EAB"/>
    <w:rsid w:val="00847EB0"/>
    <w:rsid w:val="00847ECF"/>
    <w:rsid w:val="008500C3"/>
    <w:rsid w:val="0085020B"/>
    <w:rsid w:val="008502EB"/>
    <w:rsid w:val="0085048E"/>
    <w:rsid w:val="008504FF"/>
    <w:rsid w:val="00850579"/>
    <w:rsid w:val="00850853"/>
    <w:rsid w:val="00850CB6"/>
    <w:rsid w:val="00850FB4"/>
    <w:rsid w:val="00851043"/>
    <w:rsid w:val="00851106"/>
    <w:rsid w:val="00851304"/>
    <w:rsid w:val="0085148C"/>
    <w:rsid w:val="008517C2"/>
    <w:rsid w:val="00851830"/>
    <w:rsid w:val="00851867"/>
    <w:rsid w:val="00851A7D"/>
    <w:rsid w:val="00851C54"/>
    <w:rsid w:val="00851D59"/>
    <w:rsid w:val="00851E57"/>
    <w:rsid w:val="00851F00"/>
    <w:rsid w:val="00852105"/>
    <w:rsid w:val="008521C8"/>
    <w:rsid w:val="008528EA"/>
    <w:rsid w:val="00852D3F"/>
    <w:rsid w:val="00853518"/>
    <w:rsid w:val="008535D7"/>
    <w:rsid w:val="0085377F"/>
    <w:rsid w:val="00853B8F"/>
    <w:rsid w:val="00853BF3"/>
    <w:rsid w:val="00853D03"/>
    <w:rsid w:val="00853E11"/>
    <w:rsid w:val="00853EE3"/>
    <w:rsid w:val="00853EF4"/>
    <w:rsid w:val="00853F3E"/>
    <w:rsid w:val="00853FAF"/>
    <w:rsid w:val="008543DF"/>
    <w:rsid w:val="008547D9"/>
    <w:rsid w:val="00854A2A"/>
    <w:rsid w:val="00854AF1"/>
    <w:rsid w:val="00854BDF"/>
    <w:rsid w:val="00854D6A"/>
    <w:rsid w:val="00854DD3"/>
    <w:rsid w:val="00854EDA"/>
    <w:rsid w:val="00854F24"/>
    <w:rsid w:val="00854F48"/>
    <w:rsid w:val="008552A4"/>
    <w:rsid w:val="008553C3"/>
    <w:rsid w:val="008554A2"/>
    <w:rsid w:val="00855706"/>
    <w:rsid w:val="00855803"/>
    <w:rsid w:val="00855A67"/>
    <w:rsid w:val="00855AE4"/>
    <w:rsid w:val="00855AF9"/>
    <w:rsid w:val="00855C4E"/>
    <w:rsid w:val="00855DDD"/>
    <w:rsid w:val="00855F32"/>
    <w:rsid w:val="00856072"/>
    <w:rsid w:val="008560CA"/>
    <w:rsid w:val="00856147"/>
    <w:rsid w:val="00856229"/>
    <w:rsid w:val="00856287"/>
    <w:rsid w:val="008566AE"/>
    <w:rsid w:val="008567DC"/>
    <w:rsid w:val="00856899"/>
    <w:rsid w:val="00856BC6"/>
    <w:rsid w:val="00856BC7"/>
    <w:rsid w:val="00856E07"/>
    <w:rsid w:val="00856E08"/>
    <w:rsid w:val="00856E77"/>
    <w:rsid w:val="008571B9"/>
    <w:rsid w:val="00857381"/>
    <w:rsid w:val="0085744A"/>
    <w:rsid w:val="008574B6"/>
    <w:rsid w:val="00857554"/>
    <w:rsid w:val="008578CA"/>
    <w:rsid w:val="00857AAF"/>
    <w:rsid w:val="00857CD5"/>
    <w:rsid w:val="0086007F"/>
    <w:rsid w:val="008603D1"/>
    <w:rsid w:val="008604B4"/>
    <w:rsid w:val="00860D1C"/>
    <w:rsid w:val="00860D6F"/>
    <w:rsid w:val="00860E86"/>
    <w:rsid w:val="00860F59"/>
    <w:rsid w:val="00861034"/>
    <w:rsid w:val="008617AD"/>
    <w:rsid w:val="00862208"/>
    <w:rsid w:val="0086225C"/>
    <w:rsid w:val="008622CF"/>
    <w:rsid w:val="008626C1"/>
    <w:rsid w:val="008629C8"/>
    <w:rsid w:val="00862D01"/>
    <w:rsid w:val="00862E99"/>
    <w:rsid w:val="00862FF0"/>
    <w:rsid w:val="00863632"/>
    <w:rsid w:val="008637B4"/>
    <w:rsid w:val="00863866"/>
    <w:rsid w:val="008638CC"/>
    <w:rsid w:val="00863A87"/>
    <w:rsid w:val="00863B17"/>
    <w:rsid w:val="00863CB0"/>
    <w:rsid w:val="00863E77"/>
    <w:rsid w:val="00864023"/>
    <w:rsid w:val="008640FC"/>
    <w:rsid w:val="008642CD"/>
    <w:rsid w:val="0086434E"/>
    <w:rsid w:val="00864677"/>
    <w:rsid w:val="00864688"/>
    <w:rsid w:val="0086476F"/>
    <w:rsid w:val="00864B29"/>
    <w:rsid w:val="00864BD8"/>
    <w:rsid w:val="008650D6"/>
    <w:rsid w:val="008652F2"/>
    <w:rsid w:val="008653AD"/>
    <w:rsid w:val="0086569F"/>
    <w:rsid w:val="00865B3E"/>
    <w:rsid w:val="00865F6C"/>
    <w:rsid w:val="00866121"/>
    <w:rsid w:val="00866753"/>
    <w:rsid w:val="0086675A"/>
    <w:rsid w:val="00866AFE"/>
    <w:rsid w:val="00866C6B"/>
    <w:rsid w:val="00867063"/>
    <w:rsid w:val="008672C6"/>
    <w:rsid w:val="0086732A"/>
    <w:rsid w:val="0086772C"/>
    <w:rsid w:val="008679AA"/>
    <w:rsid w:val="00867B7B"/>
    <w:rsid w:val="00867F85"/>
    <w:rsid w:val="008702F5"/>
    <w:rsid w:val="008705C8"/>
    <w:rsid w:val="008707EF"/>
    <w:rsid w:val="00870838"/>
    <w:rsid w:val="00871078"/>
    <w:rsid w:val="0087109F"/>
    <w:rsid w:val="00871656"/>
    <w:rsid w:val="00871A66"/>
    <w:rsid w:val="00871DBB"/>
    <w:rsid w:val="00871E74"/>
    <w:rsid w:val="0087207F"/>
    <w:rsid w:val="00872513"/>
    <w:rsid w:val="00872679"/>
    <w:rsid w:val="008727DB"/>
    <w:rsid w:val="0087286E"/>
    <w:rsid w:val="00872942"/>
    <w:rsid w:val="00872A80"/>
    <w:rsid w:val="00872AF3"/>
    <w:rsid w:val="00872CC4"/>
    <w:rsid w:val="00872ECA"/>
    <w:rsid w:val="00872F57"/>
    <w:rsid w:val="00873387"/>
    <w:rsid w:val="008733EF"/>
    <w:rsid w:val="008734C3"/>
    <w:rsid w:val="008734CE"/>
    <w:rsid w:val="00873549"/>
    <w:rsid w:val="00873560"/>
    <w:rsid w:val="00873637"/>
    <w:rsid w:val="0087369D"/>
    <w:rsid w:val="0087370A"/>
    <w:rsid w:val="0087382E"/>
    <w:rsid w:val="00873958"/>
    <w:rsid w:val="008739C8"/>
    <w:rsid w:val="00873AB6"/>
    <w:rsid w:val="00873D9A"/>
    <w:rsid w:val="00873FC0"/>
    <w:rsid w:val="00874055"/>
    <w:rsid w:val="00874229"/>
    <w:rsid w:val="008742B6"/>
    <w:rsid w:val="00874368"/>
    <w:rsid w:val="00874434"/>
    <w:rsid w:val="0087459D"/>
    <w:rsid w:val="008745E5"/>
    <w:rsid w:val="00874774"/>
    <w:rsid w:val="008747F1"/>
    <w:rsid w:val="008748D7"/>
    <w:rsid w:val="008748F4"/>
    <w:rsid w:val="00874975"/>
    <w:rsid w:val="00874C3C"/>
    <w:rsid w:val="00874C7A"/>
    <w:rsid w:val="00874DA9"/>
    <w:rsid w:val="00874DC9"/>
    <w:rsid w:val="00874F64"/>
    <w:rsid w:val="00875262"/>
    <w:rsid w:val="0087531E"/>
    <w:rsid w:val="008754BB"/>
    <w:rsid w:val="0087575B"/>
    <w:rsid w:val="008757AC"/>
    <w:rsid w:val="00875901"/>
    <w:rsid w:val="008759CF"/>
    <w:rsid w:val="00875DDB"/>
    <w:rsid w:val="00876118"/>
    <w:rsid w:val="00876270"/>
    <w:rsid w:val="00876471"/>
    <w:rsid w:val="008766B1"/>
    <w:rsid w:val="008767D0"/>
    <w:rsid w:val="00876907"/>
    <w:rsid w:val="00876943"/>
    <w:rsid w:val="00876B1C"/>
    <w:rsid w:val="00876BCA"/>
    <w:rsid w:val="00876C82"/>
    <w:rsid w:val="0087709E"/>
    <w:rsid w:val="0087710D"/>
    <w:rsid w:val="00877129"/>
    <w:rsid w:val="0087730F"/>
    <w:rsid w:val="00877517"/>
    <w:rsid w:val="00877AF3"/>
    <w:rsid w:val="00877CC0"/>
    <w:rsid w:val="00877D37"/>
    <w:rsid w:val="008800B9"/>
    <w:rsid w:val="00880121"/>
    <w:rsid w:val="00880231"/>
    <w:rsid w:val="0088076C"/>
    <w:rsid w:val="00880BAE"/>
    <w:rsid w:val="00880C52"/>
    <w:rsid w:val="0088110D"/>
    <w:rsid w:val="00881241"/>
    <w:rsid w:val="00881399"/>
    <w:rsid w:val="0088151D"/>
    <w:rsid w:val="0088157A"/>
    <w:rsid w:val="00881A00"/>
    <w:rsid w:val="00881A06"/>
    <w:rsid w:val="00881AD4"/>
    <w:rsid w:val="00881AD9"/>
    <w:rsid w:val="00881D6C"/>
    <w:rsid w:val="00881EB7"/>
    <w:rsid w:val="00881F66"/>
    <w:rsid w:val="00881FD4"/>
    <w:rsid w:val="0088209E"/>
    <w:rsid w:val="008820D0"/>
    <w:rsid w:val="008821BA"/>
    <w:rsid w:val="00882282"/>
    <w:rsid w:val="00882752"/>
    <w:rsid w:val="00882875"/>
    <w:rsid w:val="00882A44"/>
    <w:rsid w:val="00882C2F"/>
    <w:rsid w:val="00882C60"/>
    <w:rsid w:val="00882E15"/>
    <w:rsid w:val="00882E40"/>
    <w:rsid w:val="00882EF5"/>
    <w:rsid w:val="00883097"/>
    <w:rsid w:val="0088314A"/>
    <w:rsid w:val="008831B3"/>
    <w:rsid w:val="008833AB"/>
    <w:rsid w:val="00883685"/>
    <w:rsid w:val="00883926"/>
    <w:rsid w:val="00883998"/>
    <w:rsid w:val="00883CE6"/>
    <w:rsid w:val="00883D59"/>
    <w:rsid w:val="00883E20"/>
    <w:rsid w:val="00883FD1"/>
    <w:rsid w:val="00884131"/>
    <w:rsid w:val="008841B5"/>
    <w:rsid w:val="008842FC"/>
    <w:rsid w:val="00884699"/>
    <w:rsid w:val="00884779"/>
    <w:rsid w:val="008848DD"/>
    <w:rsid w:val="008849C3"/>
    <w:rsid w:val="00884B4A"/>
    <w:rsid w:val="00884C1A"/>
    <w:rsid w:val="00884C3A"/>
    <w:rsid w:val="00884D5F"/>
    <w:rsid w:val="00884EA6"/>
    <w:rsid w:val="00884F42"/>
    <w:rsid w:val="00885147"/>
    <w:rsid w:val="00885293"/>
    <w:rsid w:val="0088544E"/>
    <w:rsid w:val="00885805"/>
    <w:rsid w:val="00885883"/>
    <w:rsid w:val="00885A80"/>
    <w:rsid w:val="00885C54"/>
    <w:rsid w:val="00885D8E"/>
    <w:rsid w:val="00885F76"/>
    <w:rsid w:val="00885F84"/>
    <w:rsid w:val="008860E8"/>
    <w:rsid w:val="0088620E"/>
    <w:rsid w:val="00886274"/>
    <w:rsid w:val="00886366"/>
    <w:rsid w:val="008863F1"/>
    <w:rsid w:val="0088654F"/>
    <w:rsid w:val="0088657A"/>
    <w:rsid w:val="0088689C"/>
    <w:rsid w:val="00886AF8"/>
    <w:rsid w:val="00886B95"/>
    <w:rsid w:val="00886E81"/>
    <w:rsid w:val="00886F4D"/>
    <w:rsid w:val="00886F55"/>
    <w:rsid w:val="0088736B"/>
    <w:rsid w:val="00887384"/>
    <w:rsid w:val="0088739B"/>
    <w:rsid w:val="0088746D"/>
    <w:rsid w:val="00887506"/>
    <w:rsid w:val="0088770C"/>
    <w:rsid w:val="00887767"/>
    <w:rsid w:val="008877BD"/>
    <w:rsid w:val="00887B08"/>
    <w:rsid w:val="00887FD7"/>
    <w:rsid w:val="008902EB"/>
    <w:rsid w:val="00890336"/>
    <w:rsid w:val="00890619"/>
    <w:rsid w:val="00890C18"/>
    <w:rsid w:val="00890C8A"/>
    <w:rsid w:val="00890D83"/>
    <w:rsid w:val="00890F5D"/>
    <w:rsid w:val="00891010"/>
    <w:rsid w:val="008917C7"/>
    <w:rsid w:val="00891960"/>
    <w:rsid w:val="0089196E"/>
    <w:rsid w:val="00891997"/>
    <w:rsid w:val="00891C32"/>
    <w:rsid w:val="00891E98"/>
    <w:rsid w:val="00891EA2"/>
    <w:rsid w:val="00891F4D"/>
    <w:rsid w:val="00892110"/>
    <w:rsid w:val="00892394"/>
    <w:rsid w:val="008923CF"/>
    <w:rsid w:val="00892458"/>
    <w:rsid w:val="0089283F"/>
    <w:rsid w:val="00892911"/>
    <w:rsid w:val="00892C7A"/>
    <w:rsid w:val="00892E20"/>
    <w:rsid w:val="008936B4"/>
    <w:rsid w:val="008936D6"/>
    <w:rsid w:val="008937F2"/>
    <w:rsid w:val="00893809"/>
    <w:rsid w:val="00893A37"/>
    <w:rsid w:val="00893BD9"/>
    <w:rsid w:val="00893D4F"/>
    <w:rsid w:val="00893F6B"/>
    <w:rsid w:val="0089415E"/>
    <w:rsid w:val="00894469"/>
    <w:rsid w:val="008945A2"/>
    <w:rsid w:val="008948AC"/>
    <w:rsid w:val="00894D21"/>
    <w:rsid w:val="00894DEE"/>
    <w:rsid w:val="00894F8E"/>
    <w:rsid w:val="00894FE7"/>
    <w:rsid w:val="008956D8"/>
    <w:rsid w:val="008959C4"/>
    <w:rsid w:val="00895BEF"/>
    <w:rsid w:val="00896214"/>
    <w:rsid w:val="00896396"/>
    <w:rsid w:val="0089650A"/>
    <w:rsid w:val="00896659"/>
    <w:rsid w:val="0089668F"/>
    <w:rsid w:val="008966C4"/>
    <w:rsid w:val="00896773"/>
    <w:rsid w:val="0089678E"/>
    <w:rsid w:val="008967FC"/>
    <w:rsid w:val="00896A1A"/>
    <w:rsid w:val="00896A80"/>
    <w:rsid w:val="00896B27"/>
    <w:rsid w:val="00896C5B"/>
    <w:rsid w:val="00896D34"/>
    <w:rsid w:val="00896DB5"/>
    <w:rsid w:val="00896F50"/>
    <w:rsid w:val="00896FE7"/>
    <w:rsid w:val="00897065"/>
    <w:rsid w:val="00897198"/>
    <w:rsid w:val="00897264"/>
    <w:rsid w:val="00897329"/>
    <w:rsid w:val="00897596"/>
    <w:rsid w:val="00897719"/>
    <w:rsid w:val="0089779E"/>
    <w:rsid w:val="00897990"/>
    <w:rsid w:val="00897E98"/>
    <w:rsid w:val="00897EF1"/>
    <w:rsid w:val="008A0111"/>
    <w:rsid w:val="008A03AB"/>
    <w:rsid w:val="008A045C"/>
    <w:rsid w:val="008A0616"/>
    <w:rsid w:val="008A076C"/>
    <w:rsid w:val="008A0968"/>
    <w:rsid w:val="008A0AF9"/>
    <w:rsid w:val="008A0F68"/>
    <w:rsid w:val="008A1032"/>
    <w:rsid w:val="008A1187"/>
    <w:rsid w:val="008A17E2"/>
    <w:rsid w:val="008A18E9"/>
    <w:rsid w:val="008A1994"/>
    <w:rsid w:val="008A1AB3"/>
    <w:rsid w:val="008A1E83"/>
    <w:rsid w:val="008A230B"/>
    <w:rsid w:val="008A23B6"/>
    <w:rsid w:val="008A2684"/>
    <w:rsid w:val="008A27FF"/>
    <w:rsid w:val="008A2883"/>
    <w:rsid w:val="008A28A6"/>
    <w:rsid w:val="008A2EF7"/>
    <w:rsid w:val="008A3A20"/>
    <w:rsid w:val="008A3C0F"/>
    <w:rsid w:val="008A3C65"/>
    <w:rsid w:val="008A3DFD"/>
    <w:rsid w:val="008A3EC0"/>
    <w:rsid w:val="008A46BD"/>
    <w:rsid w:val="008A4737"/>
    <w:rsid w:val="008A47B0"/>
    <w:rsid w:val="008A498A"/>
    <w:rsid w:val="008A4A33"/>
    <w:rsid w:val="008A4A53"/>
    <w:rsid w:val="008A4E30"/>
    <w:rsid w:val="008A52A4"/>
    <w:rsid w:val="008A540A"/>
    <w:rsid w:val="008A545A"/>
    <w:rsid w:val="008A5607"/>
    <w:rsid w:val="008A5769"/>
    <w:rsid w:val="008A5903"/>
    <w:rsid w:val="008A59CC"/>
    <w:rsid w:val="008A5A90"/>
    <w:rsid w:val="008A5ADC"/>
    <w:rsid w:val="008A5C5B"/>
    <w:rsid w:val="008A5CC9"/>
    <w:rsid w:val="008A5E6B"/>
    <w:rsid w:val="008A5ED4"/>
    <w:rsid w:val="008A6076"/>
    <w:rsid w:val="008A62B4"/>
    <w:rsid w:val="008A63EE"/>
    <w:rsid w:val="008A64E0"/>
    <w:rsid w:val="008A6578"/>
    <w:rsid w:val="008A662E"/>
    <w:rsid w:val="008A6F1A"/>
    <w:rsid w:val="008A722C"/>
    <w:rsid w:val="008A725F"/>
    <w:rsid w:val="008A72B8"/>
    <w:rsid w:val="008A7315"/>
    <w:rsid w:val="008A7381"/>
    <w:rsid w:val="008A7780"/>
    <w:rsid w:val="008A7903"/>
    <w:rsid w:val="008A7981"/>
    <w:rsid w:val="008A7AB2"/>
    <w:rsid w:val="008A7B48"/>
    <w:rsid w:val="008A7F83"/>
    <w:rsid w:val="008A7FD4"/>
    <w:rsid w:val="008B0142"/>
    <w:rsid w:val="008B04D8"/>
    <w:rsid w:val="008B0676"/>
    <w:rsid w:val="008B06A1"/>
    <w:rsid w:val="008B08FA"/>
    <w:rsid w:val="008B098B"/>
    <w:rsid w:val="008B0F65"/>
    <w:rsid w:val="008B0F6E"/>
    <w:rsid w:val="008B0FC0"/>
    <w:rsid w:val="008B103E"/>
    <w:rsid w:val="008B10AD"/>
    <w:rsid w:val="008B1234"/>
    <w:rsid w:val="008B1297"/>
    <w:rsid w:val="008B1560"/>
    <w:rsid w:val="008B1866"/>
    <w:rsid w:val="008B193B"/>
    <w:rsid w:val="008B1A25"/>
    <w:rsid w:val="008B1A7E"/>
    <w:rsid w:val="008B1C3A"/>
    <w:rsid w:val="008B1DBC"/>
    <w:rsid w:val="008B1FAA"/>
    <w:rsid w:val="008B1FF8"/>
    <w:rsid w:val="008B20D5"/>
    <w:rsid w:val="008B22CC"/>
    <w:rsid w:val="008B2399"/>
    <w:rsid w:val="008B23E9"/>
    <w:rsid w:val="008B2409"/>
    <w:rsid w:val="008B24C5"/>
    <w:rsid w:val="008B2974"/>
    <w:rsid w:val="008B2E13"/>
    <w:rsid w:val="008B2FFC"/>
    <w:rsid w:val="008B338B"/>
    <w:rsid w:val="008B341B"/>
    <w:rsid w:val="008B3590"/>
    <w:rsid w:val="008B36C5"/>
    <w:rsid w:val="008B372D"/>
    <w:rsid w:val="008B39E3"/>
    <w:rsid w:val="008B3C68"/>
    <w:rsid w:val="008B3E4A"/>
    <w:rsid w:val="008B3EB2"/>
    <w:rsid w:val="008B4236"/>
    <w:rsid w:val="008B4395"/>
    <w:rsid w:val="008B4434"/>
    <w:rsid w:val="008B478F"/>
    <w:rsid w:val="008B48E0"/>
    <w:rsid w:val="008B497C"/>
    <w:rsid w:val="008B4AB0"/>
    <w:rsid w:val="008B4AC4"/>
    <w:rsid w:val="008B53ED"/>
    <w:rsid w:val="008B5542"/>
    <w:rsid w:val="008B57D3"/>
    <w:rsid w:val="008B5A33"/>
    <w:rsid w:val="008B5AEB"/>
    <w:rsid w:val="008B5CCA"/>
    <w:rsid w:val="008B64FD"/>
    <w:rsid w:val="008B6691"/>
    <w:rsid w:val="008B66DA"/>
    <w:rsid w:val="008B66E1"/>
    <w:rsid w:val="008B67CE"/>
    <w:rsid w:val="008B6889"/>
    <w:rsid w:val="008B6B89"/>
    <w:rsid w:val="008B6D05"/>
    <w:rsid w:val="008B7180"/>
    <w:rsid w:val="008B7235"/>
    <w:rsid w:val="008B735E"/>
    <w:rsid w:val="008B77AD"/>
    <w:rsid w:val="008B7801"/>
    <w:rsid w:val="008B7EEE"/>
    <w:rsid w:val="008B7FBC"/>
    <w:rsid w:val="008C0039"/>
    <w:rsid w:val="008C04A2"/>
    <w:rsid w:val="008C050F"/>
    <w:rsid w:val="008C055F"/>
    <w:rsid w:val="008C0618"/>
    <w:rsid w:val="008C073E"/>
    <w:rsid w:val="008C08C1"/>
    <w:rsid w:val="008C0AB4"/>
    <w:rsid w:val="008C0B64"/>
    <w:rsid w:val="008C16E3"/>
    <w:rsid w:val="008C179E"/>
    <w:rsid w:val="008C192B"/>
    <w:rsid w:val="008C19AC"/>
    <w:rsid w:val="008C19C0"/>
    <w:rsid w:val="008C1B8C"/>
    <w:rsid w:val="008C1FC6"/>
    <w:rsid w:val="008C204E"/>
    <w:rsid w:val="008C23A8"/>
    <w:rsid w:val="008C245A"/>
    <w:rsid w:val="008C24DD"/>
    <w:rsid w:val="008C2761"/>
    <w:rsid w:val="008C277F"/>
    <w:rsid w:val="008C2842"/>
    <w:rsid w:val="008C2895"/>
    <w:rsid w:val="008C2951"/>
    <w:rsid w:val="008C2B5F"/>
    <w:rsid w:val="008C2E43"/>
    <w:rsid w:val="008C2EA5"/>
    <w:rsid w:val="008C3128"/>
    <w:rsid w:val="008C3307"/>
    <w:rsid w:val="008C3318"/>
    <w:rsid w:val="008C3355"/>
    <w:rsid w:val="008C3527"/>
    <w:rsid w:val="008C3576"/>
    <w:rsid w:val="008C3725"/>
    <w:rsid w:val="008C37C6"/>
    <w:rsid w:val="008C3977"/>
    <w:rsid w:val="008C3A9C"/>
    <w:rsid w:val="008C3CF7"/>
    <w:rsid w:val="008C3E7C"/>
    <w:rsid w:val="008C4172"/>
    <w:rsid w:val="008C41C6"/>
    <w:rsid w:val="008C434C"/>
    <w:rsid w:val="008C43DC"/>
    <w:rsid w:val="008C44BF"/>
    <w:rsid w:val="008C4603"/>
    <w:rsid w:val="008C49DF"/>
    <w:rsid w:val="008C4B4A"/>
    <w:rsid w:val="008C4BE6"/>
    <w:rsid w:val="008C4DB9"/>
    <w:rsid w:val="008C50AB"/>
    <w:rsid w:val="008C50B5"/>
    <w:rsid w:val="008C5125"/>
    <w:rsid w:val="008C52A9"/>
    <w:rsid w:val="008C5363"/>
    <w:rsid w:val="008C556B"/>
    <w:rsid w:val="008C55DF"/>
    <w:rsid w:val="008C56D2"/>
    <w:rsid w:val="008C5A21"/>
    <w:rsid w:val="008C5B8D"/>
    <w:rsid w:val="008C5D52"/>
    <w:rsid w:val="008C619F"/>
    <w:rsid w:val="008C61E4"/>
    <w:rsid w:val="008C6390"/>
    <w:rsid w:val="008C66B8"/>
    <w:rsid w:val="008C6AA3"/>
    <w:rsid w:val="008C6AE7"/>
    <w:rsid w:val="008C6CE7"/>
    <w:rsid w:val="008C6D5E"/>
    <w:rsid w:val="008C6DE4"/>
    <w:rsid w:val="008C6EE1"/>
    <w:rsid w:val="008C738E"/>
    <w:rsid w:val="008C73B5"/>
    <w:rsid w:val="008C7676"/>
    <w:rsid w:val="008C773B"/>
    <w:rsid w:val="008C776A"/>
    <w:rsid w:val="008C77B3"/>
    <w:rsid w:val="008C7929"/>
    <w:rsid w:val="008C79AB"/>
    <w:rsid w:val="008C7AC5"/>
    <w:rsid w:val="008C7AE5"/>
    <w:rsid w:val="008C7FA0"/>
    <w:rsid w:val="008D0432"/>
    <w:rsid w:val="008D0444"/>
    <w:rsid w:val="008D0520"/>
    <w:rsid w:val="008D0662"/>
    <w:rsid w:val="008D08B5"/>
    <w:rsid w:val="008D08BB"/>
    <w:rsid w:val="008D0918"/>
    <w:rsid w:val="008D0B5B"/>
    <w:rsid w:val="008D0F81"/>
    <w:rsid w:val="008D1005"/>
    <w:rsid w:val="008D1713"/>
    <w:rsid w:val="008D1781"/>
    <w:rsid w:val="008D1BDB"/>
    <w:rsid w:val="008D1C61"/>
    <w:rsid w:val="008D1E15"/>
    <w:rsid w:val="008D1E3C"/>
    <w:rsid w:val="008D22FD"/>
    <w:rsid w:val="008D23CA"/>
    <w:rsid w:val="008D2487"/>
    <w:rsid w:val="008D27A3"/>
    <w:rsid w:val="008D27D3"/>
    <w:rsid w:val="008D2825"/>
    <w:rsid w:val="008D2912"/>
    <w:rsid w:val="008D2A7E"/>
    <w:rsid w:val="008D2CD3"/>
    <w:rsid w:val="008D2CE6"/>
    <w:rsid w:val="008D2E91"/>
    <w:rsid w:val="008D33EB"/>
    <w:rsid w:val="008D3423"/>
    <w:rsid w:val="008D3517"/>
    <w:rsid w:val="008D3673"/>
    <w:rsid w:val="008D3818"/>
    <w:rsid w:val="008D384F"/>
    <w:rsid w:val="008D3ACE"/>
    <w:rsid w:val="008D3E09"/>
    <w:rsid w:val="008D4064"/>
    <w:rsid w:val="008D4225"/>
    <w:rsid w:val="008D4303"/>
    <w:rsid w:val="008D44B7"/>
    <w:rsid w:val="008D477E"/>
    <w:rsid w:val="008D48B6"/>
    <w:rsid w:val="008D4942"/>
    <w:rsid w:val="008D4BB9"/>
    <w:rsid w:val="008D4CBB"/>
    <w:rsid w:val="008D4EE3"/>
    <w:rsid w:val="008D5042"/>
    <w:rsid w:val="008D5089"/>
    <w:rsid w:val="008D5119"/>
    <w:rsid w:val="008D547A"/>
    <w:rsid w:val="008D55EE"/>
    <w:rsid w:val="008D55F3"/>
    <w:rsid w:val="008D5877"/>
    <w:rsid w:val="008D5AF8"/>
    <w:rsid w:val="008D5BC2"/>
    <w:rsid w:val="008D5D28"/>
    <w:rsid w:val="008D625E"/>
    <w:rsid w:val="008D6514"/>
    <w:rsid w:val="008D65E8"/>
    <w:rsid w:val="008D66EF"/>
    <w:rsid w:val="008D68A5"/>
    <w:rsid w:val="008D6954"/>
    <w:rsid w:val="008D69EC"/>
    <w:rsid w:val="008D6A96"/>
    <w:rsid w:val="008D6BC7"/>
    <w:rsid w:val="008D6D6A"/>
    <w:rsid w:val="008D6E18"/>
    <w:rsid w:val="008D6FA1"/>
    <w:rsid w:val="008D6FC3"/>
    <w:rsid w:val="008D7399"/>
    <w:rsid w:val="008D76D0"/>
    <w:rsid w:val="008D76D4"/>
    <w:rsid w:val="008D7752"/>
    <w:rsid w:val="008D7799"/>
    <w:rsid w:val="008D7B23"/>
    <w:rsid w:val="008D7DFF"/>
    <w:rsid w:val="008D7FBE"/>
    <w:rsid w:val="008D7FE6"/>
    <w:rsid w:val="008E012B"/>
    <w:rsid w:val="008E0D5E"/>
    <w:rsid w:val="008E103B"/>
    <w:rsid w:val="008E1075"/>
    <w:rsid w:val="008E12EE"/>
    <w:rsid w:val="008E13BE"/>
    <w:rsid w:val="008E164A"/>
    <w:rsid w:val="008E18A3"/>
    <w:rsid w:val="008E1CC2"/>
    <w:rsid w:val="008E1E0A"/>
    <w:rsid w:val="008E20A6"/>
    <w:rsid w:val="008E2307"/>
    <w:rsid w:val="008E27CB"/>
    <w:rsid w:val="008E2A89"/>
    <w:rsid w:val="008E2B17"/>
    <w:rsid w:val="008E2C08"/>
    <w:rsid w:val="008E2EBF"/>
    <w:rsid w:val="008E304A"/>
    <w:rsid w:val="008E30F7"/>
    <w:rsid w:val="008E312B"/>
    <w:rsid w:val="008E3184"/>
    <w:rsid w:val="008E32D2"/>
    <w:rsid w:val="008E3393"/>
    <w:rsid w:val="008E341C"/>
    <w:rsid w:val="008E36E4"/>
    <w:rsid w:val="008E3CF3"/>
    <w:rsid w:val="008E3DF1"/>
    <w:rsid w:val="008E3EAD"/>
    <w:rsid w:val="008E417D"/>
    <w:rsid w:val="008E431E"/>
    <w:rsid w:val="008E464D"/>
    <w:rsid w:val="008E49D9"/>
    <w:rsid w:val="008E4A9C"/>
    <w:rsid w:val="008E4B6F"/>
    <w:rsid w:val="008E4C81"/>
    <w:rsid w:val="008E4E0B"/>
    <w:rsid w:val="008E4EC9"/>
    <w:rsid w:val="008E54ED"/>
    <w:rsid w:val="008E56D0"/>
    <w:rsid w:val="008E576D"/>
    <w:rsid w:val="008E5868"/>
    <w:rsid w:val="008E59A5"/>
    <w:rsid w:val="008E5A79"/>
    <w:rsid w:val="008E5C09"/>
    <w:rsid w:val="008E5C96"/>
    <w:rsid w:val="008E5E08"/>
    <w:rsid w:val="008E60C0"/>
    <w:rsid w:val="008E6295"/>
    <w:rsid w:val="008E63E6"/>
    <w:rsid w:val="008E670C"/>
    <w:rsid w:val="008E674F"/>
    <w:rsid w:val="008E695D"/>
    <w:rsid w:val="008E6BE5"/>
    <w:rsid w:val="008E6D1B"/>
    <w:rsid w:val="008E6E99"/>
    <w:rsid w:val="008E6EBF"/>
    <w:rsid w:val="008E6F51"/>
    <w:rsid w:val="008E75A4"/>
    <w:rsid w:val="008E75A5"/>
    <w:rsid w:val="008E76C2"/>
    <w:rsid w:val="008E79DA"/>
    <w:rsid w:val="008E7A59"/>
    <w:rsid w:val="008F0048"/>
    <w:rsid w:val="008F01B4"/>
    <w:rsid w:val="008F0353"/>
    <w:rsid w:val="008F040B"/>
    <w:rsid w:val="008F05A5"/>
    <w:rsid w:val="008F06A5"/>
    <w:rsid w:val="008F0782"/>
    <w:rsid w:val="008F08A6"/>
    <w:rsid w:val="008F0B64"/>
    <w:rsid w:val="008F0CAB"/>
    <w:rsid w:val="008F0D2B"/>
    <w:rsid w:val="008F0E4F"/>
    <w:rsid w:val="008F0EAB"/>
    <w:rsid w:val="008F1096"/>
    <w:rsid w:val="008F111E"/>
    <w:rsid w:val="008F1267"/>
    <w:rsid w:val="008F129C"/>
    <w:rsid w:val="008F1860"/>
    <w:rsid w:val="008F1ADF"/>
    <w:rsid w:val="008F1C66"/>
    <w:rsid w:val="008F2D38"/>
    <w:rsid w:val="008F2D93"/>
    <w:rsid w:val="008F2EC1"/>
    <w:rsid w:val="008F3220"/>
    <w:rsid w:val="008F32A8"/>
    <w:rsid w:val="008F34F1"/>
    <w:rsid w:val="008F3563"/>
    <w:rsid w:val="008F3581"/>
    <w:rsid w:val="008F36BD"/>
    <w:rsid w:val="008F36F0"/>
    <w:rsid w:val="008F3721"/>
    <w:rsid w:val="008F374B"/>
    <w:rsid w:val="008F3A86"/>
    <w:rsid w:val="008F3C00"/>
    <w:rsid w:val="008F3F1F"/>
    <w:rsid w:val="008F4086"/>
    <w:rsid w:val="008F430B"/>
    <w:rsid w:val="008F43A8"/>
    <w:rsid w:val="008F4454"/>
    <w:rsid w:val="008F4570"/>
    <w:rsid w:val="008F47BE"/>
    <w:rsid w:val="008F47D4"/>
    <w:rsid w:val="008F4BC1"/>
    <w:rsid w:val="008F504F"/>
    <w:rsid w:val="008F50B2"/>
    <w:rsid w:val="008F555C"/>
    <w:rsid w:val="008F5C15"/>
    <w:rsid w:val="008F5C2B"/>
    <w:rsid w:val="008F5E86"/>
    <w:rsid w:val="008F5FDC"/>
    <w:rsid w:val="008F6093"/>
    <w:rsid w:val="008F633D"/>
    <w:rsid w:val="008F6926"/>
    <w:rsid w:val="008F69D6"/>
    <w:rsid w:val="008F69E0"/>
    <w:rsid w:val="008F6B35"/>
    <w:rsid w:val="008F6F0D"/>
    <w:rsid w:val="008F70B6"/>
    <w:rsid w:val="008F7523"/>
    <w:rsid w:val="008F7C08"/>
    <w:rsid w:val="00900570"/>
    <w:rsid w:val="00900893"/>
    <w:rsid w:val="00900C2D"/>
    <w:rsid w:val="00900D3E"/>
    <w:rsid w:val="00900E6A"/>
    <w:rsid w:val="00900EDE"/>
    <w:rsid w:val="009011D6"/>
    <w:rsid w:val="00901607"/>
    <w:rsid w:val="0090190E"/>
    <w:rsid w:val="00901ECC"/>
    <w:rsid w:val="00901F0D"/>
    <w:rsid w:val="00902015"/>
    <w:rsid w:val="009020E7"/>
    <w:rsid w:val="0090210C"/>
    <w:rsid w:val="0090253D"/>
    <w:rsid w:val="00902596"/>
    <w:rsid w:val="009027B9"/>
    <w:rsid w:val="009027C8"/>
    <w:rsid w:val="00902992"/>
    <w:rsid w:val="009029D6"/>
    <w:rsid w:val="00902CD9"/>
    <w:rsid w:val="00902D66"/>
    <w:rsid w:val="009032FB"/>
    <w:rsid w:val="00903361"/>
    <w:rsid w:val="00903614"/>
    <w:rsid w:val="00903945"/>
    <w:rsid w:val="00903BB5"/>
    <w:rsid w:val="00903BDC"/>
    <w:rsid w:val="00903BF2"/>
    <w:rsid w:val="00903CFE"/>
    <w:rsid w:val="00903E29"/>
    <w:rsid w:val="009044A8"/>
    <w:rsid w:val="009048A2"/>
    <w:rsid w:val="009049BB"/>
    <w:rsid w:val="00904AB1"/>
    <w:rsid w:val="00904E66"/>
    <w:rsid w:val="00904FB8"/>
    <w:rsid w:val="00904FCF"/>
    <w:rsid w:val="00905321"/>
    <w:rsid w:val="00905410"/>
    <w:rsid w:val="009054A3"/>
    <w:rsid w:val="00905C33"/>
    <w:rsid w:val="00905D08"/>
    <w:rsid w:val="009065AF"/>
    <w:rsid w:val="00906925"/>
    <w:rsid w:val="0090696C"/>
    <w:rsid w:val="00906DDC"/>
    <w:rsid w:val="00906E4A"/>
    <w:rsid w:val="00906E92"/>
    <w:rsid w:val="00906F05"/>
    <w:rsid w:val="00906F84"/>
    <w:rsid w:val="00906FBD"/>
    <w:rsid w:val="00906FFA"/>
    <w:rsid w:val="009070BB"/>
    <w:rsid w:val="009070F6"/>
    <w:rsid w:val="00907108"/>
    <w:rsid w:val="0090716F"/>
    <w:rsid w:val="00907463"/>
    <w:rsid w:val="009075E4"/>
    <w:rsid w:val="009077FC"/>
    <w:rsid w:val="00907829"/>
    <w:rsid w:val="009078B1"/>
    <w:rsid w:val="00907F30"/>
    <w:rsid w:val="0091036D"/>
    <w:rsid w:val="009103FF"/>
    <w:rsid w:val="00910773"/>
    <w:rsid w:val="00910A18"/>
    <w:rsid w:val="00910C46"/>
    <w:rsid w:val="00910E40"/>
    <w:rsid w:val="009110CF"/>
    <w:rsid w:val="009112CD"/>
    <w:rsid w:val="0091139D"/>
    <w:rsid w:val="009119B7"/>
    <w:rsid w:val="00911B5D"/>
    <w:rsid w:val="00911FA7"/>
    <w:rsid w:val="009122B4"/>
    <w:rsid w:val="00912325"/>
    <w:rsid w:val="00912454"/>
    <w:rsid w:val="00912469"/>
    <w:rsid w:val="0091258F"/>
    <w:rsid w:val="009125AE"/>
    <w:rsid w:val="0091263D"/>
    <w:rsid w:val="00912A8F"/>
    <w:rsid w:val="00912B7A"/>
    <w:rsid w:val="0091319C"/>
    <w:rsid w:val="009131AB"/>
    <w:rsid w:val="0091320A"/>
    <w:rsid w:val="009132C4"/>
    <w:rsid w:val="00913757"/>
    <w:rsid w:val="0091396E"/>
    <w:rsid w:val="00913C31"/>
    <w:rsid w:val="00913C8F"/>
    <w:rsid w:val="00913C9D"/>
    <w:rsid w:val="00913EA6"/>
    <w:rsid w:val="00913EBD"/>
    <w:rsid w:val="009141B3"/>
    <w:rsid w:val="0091422A"/>
    <w:rsid w:val="009142A2"/>
    <w:rsid w:val="00914517"/>
    <w:rsid w:val="009146AE"/>
    <w:rsid w:val="009148F8"/>
    <w:rsid w:val="00914994"/>
    <w:rsid w:val="00914A86"/>
    <w:rsid w:val="00914CDC"/>
    <w:rsid w:val="00915736"/>
    <w:rsid w:val="00915C6B"/>
    <w:rsid w:val="00915D58"/>
    <w:rsid w:val="00915F6E"/>
    <w:rsid w:val="009160BB"/>
    <w:rsid w:val="00916253"/>
    <w:rsid w:val="009167A2"/>
    <w:rsid w:val="00916880"/>
    <w:rsid w:val="0091691D"/>
    <w:rsid w:val="00916989"/>
    <w:rsid w:val="0091698F"/>
    <w:rsid w:val="00916BEA"/>
    <w:rsid w:val="00916C36"/>
    <w:rsid w:val="00916C79"/>
    <w:rsid w:val="00916E70"/>
    <w:rsid w:val="0091708B"/>
    <w:rsid w:val="0091727E"/>
    <w:rsid w:val="009172E1"/>
    <w:rsid w:val="00917439"/>
    <w:rsid w:val="009174B9"/>
    <w:rsid w:val="0091760E"/>
    <w:rsid w:val="0091769D"/>
    <w:rsid w:val="00917791"/>
    <w:rsid w:val="009179D4"/>
    <w:rsid w:val="00917E74"/>
    <w:rsid w:val="00917FA8"/>
    <w:rsid w:val="00917FCD"/>
    <w:rsid w:val="00920020"/>
    <w:rsid w:val="00920259"/>
    <w:rsid w:val="009204E9"/>
    <w:rsid w:val="0092068D"/>
    <w:rsid w:val="0092098A"/>
    <w:rsid w:val="00920BB7"/>
    <w:rsid w:val="00920C3D"/>
    <w:rsid w:val="00920C47"/>
    <w:rsid w:val="00920F04"/>
    <w:rsid w:val="00920F4F"/>
    <w:rsid w:val="0092117A"/>
    <w:rsid w:val="00921378"/>
    <w:rsid w:val="009216D1"/>
    <w:rsid w:val="00921710"/>
    <w:rsid w:val="009218C9"/>
    <w:rsid w:val="00921919"/>
    <w:rsid w:val="00921D82"/>
    <w:rsid w:val="00921E37"/>
    <w:rsid w:val="00921E8C"/>
    <w:rsid w:val="00922441"/>
    <w:rsid w:val="009225FE"/>
    <w:rsid w:val="00922B36"/>
    <w:rsid w:val="00922C9B"/>
    <w:rsid w:val="00922E26"/>
    <w:rsid w:val="00922F01"/>
    <w:rsid w:val="00922F61"/>
    <w:rsid w:val="0092336D"/>
    <w:rsid w:val="00923651"/>
    <w:rsid w:val="009236D8"/>
    <w:rsid w:val="00923889"/>
    <w:rsid w:val="00923A02"/>
    <w:rsid w:val="00923B2A"/>
    <w:rsid w:val="00923C18"/>
    <w:rsid w:val="00923CC1"/>
    <w:rsid w:val="00923DEB"/>
    <w:rsid w:val="009244E8"/>
    <w:rsid w:val="0092455B"/>
    <w:rsid w:val="0092456F"/>
    <w:rsid w:val="009245EC"/>
    <w:rsid w:val="00924709"/>
    <w:rsid w:val="00924904"/>
    <w:rsid w:val="00924CE4"/>
    <w:rsid w:val="00924D74"/>
    <w:rsid w:val="00924D80"/>
    <w:rsid w:val="00925272"/>
    <w:rsid w:val="009255EF"/>
    <w:rsid w:val="00925639"/>
    <w:rsid w:val="009256BC"/>
    <w:rsid w:val="0092592D"/>
    <w:rsid w:val="00925962"/>
    <w:rsid w:val="00925C8C"/>
    <w:rsid w:val="0092658A"/>
    <w:rsid w:val="00926A65"/>
    <w:rsid w:val="00926ADA"/>
    <w:rsid w:val="00926E1E"/>
    <w:rsid w:val="00926E40"/>
    <w:rsid w:val="009270B1"/>
    <w:rsid w:val="009270CF"/>
    <w:rsid w:val="00927148"/>
    <w:rsid w:val="009272FB"/>
    <w:rsid w:val="00927363"/>
    <w:rsid w:val="00927366"/>
    <w:rsid w:val="00927741"/>
    <w:rsid w:val="00927A5C"/>
    <w:rsid w:val="00927A5D"/>
    <w:rsid w:val="00927B53"/>
    <w:rsid w:val="00927D44"/>
    <w:rsid w:val="009301C0"/>
    <w:rsid w:val="009302CB"/>
    <w:rsid w:val="009304B9"/>
    <w:rsid w:val="009304C9"/>
    <w:rsid w:val="00930517"/>
    <w:rsid w:val="00930647"/>
    <w:rsid w:val="00930708"/>
    <w:rsid w:val="00930897"/>
    <w:rsid w:val="00930D56"/>
    <w:rsid w:val="00930EFE"/>
    <w:rsid w:val="00930F26"/>
    <w:rsid w:val="00930F5A"/>
    <w:rsid w:val="00930FEA"/>
    <w:rsid w:val="00931095"/>
    <w:rsid w:val="00931220"/>
    <w:rsid w:val="0093123F"/>
    <w:rsid w:val="00931387"/>
    <w:rsid w:val="009314E3"/>
    <w:rsid w:val="00931522"/>
    <w:rsid w:val="009317BD"/>
    <w:rsid w:val="009319F9"/>
    <w:rsid w:val="00931D0D"/>
    <w:rsid w:val="0093220D"/>
    <w:rsid w:val="00932579"/>
    <w:rsid w:val="009326DD"/>
    <w:rsid w:val="009327B7"/>
    <w:rsid w:val="00932BBD"/>
    <w:rsid w:val="00932C1C"/>
    <w:rsid w:val="00932D23"/>
    <w:rsid w:val="00932E2E"/>
    <w:rsid w:val="00932F05"/>
    <w:rsid w:val="00932F92"/>
    <w:rsid w:val="00933100"/>
    <w:rsid w:val="00933262"/>
    <w:rsid w:val="009332AD"/>
    <w:rsid w:val="009332E0"/>
    <w:rsid w:val="00933410"/>
    <w:rsid w:val="00933525"/>
    <w:rsid w:val="009335BA"/>
    <w:rsid w:val="009336B1"/>
    <w:rsid w:val="00933A23"/>
    <w:rsid w:val="00933D04"/>
    <w:rsid w:val="00933D86"/>
    <w:rsid w:val="00933F11"/>
    <w:rsid w:val="00933F16"/>
    <w:rsid w:val="00933F94"/>
    <w:rsid w:val="009341E0"/>
    <w:rsid w:val="00934297"/>
    <w:rsid w:val="00934663"/>
    <w:rsid w:val="00934685"/>
    <w:rsid w:val="00934AAC"/>
    <w:rsid w:val="00934DBE"/>
    <w:rsid w:val="00934DC9"/>
    <w:rsid w:val="00935149"/>
    <w:rsid w:val="009352EA"/>
    <w:rsid w:val="0093541C"/>
    <w:rsid w:val="009354EC"/>
    <w:rsid w:val="00935B64"/>
    <w:rsid w:val="00935C68"/>
    <w:rsid w:val="00935D77"/>
    <w:rsid w:val="00936075"/>
    <w:rsid w:val="0093609B"/>
    <w:rsid w:val="009360CD"/>
    <w:rsid w:val="0093627B"/>
    <w:rsid w:val="00936369"/>
    <w:rsid w:val="0093659C"/>
    <w:rsid w:val="009369B4"/>
    <w:rsid w:val="00936FFF"/>
    <w:rsid w:val="00937090"/>
    <w:rsid w:val="009370C3"/>
    <w:rsid w:val="009370F7"/>
    <w:rsid w:val="009372FA"/>
    <w:rsid w:val="00937862"/>
    <w:rsid w:val="00937B9A"/>
    <w:rsid w:val="00937BCB"/>
    <w:rsid w:val="00937C87"/>
    <w:rsid w:val="00937E64"/>
    <w:rsid w:val="00937F35"/>
    <w:rsid w:val="00937F77"/>
    <w:rsid w:val="009401F1"/>
    <w:rsid w:val="009407CC"/>
    <w:rsid w:val="00940A62"/>
    <w:rsid w:val="00940C5E"/>
    <w:rsid w:val="00940D95"/>
    <w:rsid w:val="009412A4"/>
    <w:rsid w:val="00941A45"/>
    <w:rsid w:val="00941AE4"/>
    <w:rsid w:val="00942051"/>
    <w:rsid w:val="009420BD"/>
    <w:rsid w:val="0094242B"/>
    <w:rsid w:val="0094249C"/>
    <w:rsid w:val="009424FC"/>
    <w:rsid w:val="00942526"/>
    <w:rsid w:val="009429F9"/>
    <w:rsid w:val="00942BA8"/>
    <w:rsid w:val="00942D58"/>
    <w:rsid w:val="00942F51"/>
    <w:rsid w:val="00943135"/>
    <w:rsid w:val="0094316F"/>
    <w:rsid w:val="009435F0"/>
    <w:rsid w:val="0094367B"/>
    <w:rsid w:val="00943896"/>
    <w:rsid w:val="00943C5D"/>
    <w:rsid w:val="00943EF0"/>
    <w:rsid w:val="009443B3"/>
    <w:rsid w:val="00944495"/>
    <w:rsid w:val="009445C3"/>
    <w:rsid w:val="00944713"/>
    <w:rsid w:val="00944768"/>
    <w:rsid w:val="009449F2"/>
    <w:rsid w:val="00944A2A"/>
    <w:rsid w:val="00944B71"/>
    <w:rsid w:val="00944C92"/>
    <w:rsid w:val="00944C95"/>
    <w:rsid w:val="00944F07"/>
    <w:rsid w:val="0094568A"/>
    <w:rsid w:val="00945810"/>
    <w:rsid w:val="00945815"/>
    <w:rsid w:val="00945ADE"/>
    <w:rsid w:val="00945CF9"/>
    <w:rsid w:val="00945D2A"/>
    <w:rsid w:val="009462DE"/>
    <w:rsid w:val="009463B2"/>
    <w:rsid w:val="009464CB"/>
    <w:rsid w:val="0094659F"/>
    <w:rsid w:val="009465CD"/>
    <w:rsid w:val="00946B27"/>
    <w:rsid w:val="00946C12"/>
    <w:rsid w:val="00946C26"/>
    <w:rsid w:val="00946C81"/>
    <w:rsid w:val="00946CE2"/>
    <w:rsid w:val="00947142"/>
    <w:rsid w:val="00947297"/>
    <w:rsid w:val="0094747C"/>
    <w:rsid w:val="00947530"/>
    <w:rsid w:val="0094755F"/>
    <w:rsid w:val="00947C9B"/>
    <w:rsid w:val="00947F74"/>
    <w:rsid w:val="0095001B"/>
    <w:rsid w:val="0095040F"/>
    <w:rsid w:val="00950676"/>
    <w:rsid w:val="00950763"/>
    <w:rsid w:val="00950798"/>
    <w:rsid w:val="00950961"/>
    <w:rsid w:val="00950C36"/>
    <w:rsid w:val="00950C5F"/>
    <w:rsid w:val="00950CD0"/>
    <w:rsid w:val="0095102C"/>
    <w:rsid w:val="0095110A"/>
    <w:rsid w:val="00951261"/>
    <w:rsid w:val="00951429"/>
    <w:rsid w:val="0095185A"/>
    <w:rsid w:val="0095195F"/>
    <w:rsid w:val="00951CA7"/>
    <w:rsid w:val="00951EC0"/>
    <w:rsid w:val="009520BE"/>
    <w:rsid w:val="0095210E"/>
    <w:rsid w:val="00952324"/>
    <w:rsid w:val="009523C7"/>
    <w:rsid w:val="009523F2"/>
    <w:rsid w:val="00952408"/>
    <w:rsid w:val="0095243F"/>
    <w:rsid w:val="00952480"/>
    <w:rsid w:val="0095275A"/>
    <w:rsid w:val="00952974"/>
    <w:rsid w:val="00952AB5"/>
    <w:rsid w:val="00952B56"/>
    <w:rsid w:val="00952C3C"/>
    <w:rsid w:val="00952D60"/>
    <w:rsid w:val="00952DAF"/>
    <w:rsid w:val="00952ED5"/>
    <w:rsid w:val="00953244"/>
    <w:rsid w:val="0095359C"/>
    <w:rsid w:val="00953A33"/>
    <w:rsid w:val="00953A9A"/>
    <w:rsid w:val="00953B5D"/>
    <w:rsid w:val="00953CDA"/>
    <w:rsid w:val="00954093"/>
    <w:rsid w:val="009540C1"/>
    <w:rsid w:val="009540DA"/>
    <w:rsid w:val="00954674"/>
    <w:rsid w:val="00954942"/>
    <w:rsid w:val="009549D3"/>
    <w:rsid w:val="00954AD2"/>
    <w:rsid w:val="00954BB6"/>
    <w:rsid w:val="00954BC4"/>
    <w:rsid w:val="00954F23"/>
    <w:rsid w:val="00954FEB"/>
    <w:rsid w:val="009550C4"/>
    <w:rsid w:val="00955316"/>
    <w:rsid w:val="0095532D"/>
    <w:rsid w:val="00955339"/>
    <w:rsid w:val="00955346"/>
    <w:rsid w:val="00955360"/>
    <w:rsid w:val="009553FE"/>
    <w:rsid w:val="0095568E"/>
    <w:rsid w:val="009556E1"/>
    <w:rsid w:val="009559AD"/>
    <w:rsid w:val="00955BEB"/>
    <w:rsid w:val="00956402"/>
    <w:rsid w:val="0095670D"/>
    <w:rsid w:val="00956CEE"/>
    <w:rsid w:val="00956E38"/>
    <w:rsid w:val="00956E97"/>
    <w:rsid w:val="00957161"/>
    <w:rsid w:val="0095718F"/>
    <w:rsid w:val="0095723A"/>
    <w:rsid w:val="00957683"/>
    <w:rsid w:val="00957BDE"/>
    <w:rsid w:val="00957C21"/>
    <w:rsid w:val="00957D58"/>
    <w:rsid w:val="00957DF2"/>
    <w:rsid w:val="00957E3F"/>
    <w:rsid w:val="00957F44"/>
    <w:rsid w:val="009600C1"/>
    <w:rsid w:val="009600CD"/>
    <w:rsid w:val="00960144"/>
    <w:rsid w:val="0096020A"/>
    <w:rsid w:val="00960387"/>
    <w:rsid w:val="00960608"/>
    <w:rsid w:val="00960614"/>
    <w:rsid w:val="00960797"/>
    <w:rsid w:val="009608CE"/>
    <w:rsid w:val="00960944"/>
    <w:rsid w:val="00960AC6"/>
    <w:rsid w:val="00960C87"/>
    <w:rsid w:val="00960E57"/>
    <w:rsid w:val="00960F40"/>
    <w:rsid w:val="0096103E"/>
    <w:rsid w:val="009611D0"/>
    <w:rsid w:val="0096120E"/>
    <w:rsid w:val="009612AB"/>
    <w:rsid w:val="0096135E"/>
    <w:rsid w:val="009613CB"/>
    <w:rsid w:val="00961413"/>
    <w:rsid w:val="00961466"/>
    <w:rsid w:val="0096166A"/>
    <w:rsid w:val="00961983"/>
    <w:rsid w:val="009619FB"/>
    <w:rsid w:val="00961BDF"/>
    <w:rsid w:val="00961FA5"/>
    <w:rsid w:val="00962169"/>
    <w:rsid w:val="009622C6"/>
    <w:rsid w:val="00962325"/>
    <w:rsid w:val="009623F6"/>
    <w:rsid w:val="0096292A"/>
    <w:rsid w:val="00962974"/>
    <w:rsid w:val="00962EE5"/>
    <w:rsid w:val="00962FAD"/>
    <w:rsid w:val="009630B5"/>
    <w:rsid w:val="0096345C"/>
    <w:rsid w:val="0096365E"/>
    <w:rsid w:val="0096379A"/>
    <w:rsid w:val="009638CF"/>
    <w:rsid w:val="0096397F"/>
    <w:rsid w:val="00963A03"/>
    <w:rsid w:val="00963A22"/>
    <w:rsid w:val="00963BD7"/>
    <w:rsid w:val="00963D2C"/>
    <w:rsid w:val="00963E86"/>
    <w:rsid w:val="009645EA"/>
    <w:rsid w:val="00964742"/>
    <w:rsid w:val="00964A45"/>
    <w:rsid w:val="00964BB7"/>
    <w:rsid w:val="00964BC8"/>
    <w:rsid w:val="00964F6B"/>
    <w:rsid w:val="009653D7"/>
    <w:rsid w:val="0096546D"/>
    <w:rsid w:val="0096557B"/>
    <w:rsid w:val="00965637"/>
    <w:rsid w:val="00965AF8"/>
    <w:rsid w:val="00965C24"/>
    <w:rsid w:val="00965C6E"/>
    <w:rsid w:val="00966377"/>
    <w:rsid w:val="009663E7"/>
    <w:rsid w:val="009667AE"/>
    <w:rsid w:val="00966986"/>
    <w:rsid w:val="00966A87"/>
    <w:rsid w:val="00966BAC"/>
    <w:rsid w:val="00966C45"/>
    <w:rsid w:val="00966D79"/>
    <w:rsid w:val="00966F0D"/>
    <w:rsid w:val="00966F91"/>
    <w:rsid w:val="00967001"/>
    <w:rsid w:val="00967032"/>
    <w:rsid w:val="00967315"/>
    <w:rsid w:val="0096738B"/>
    <w:rsid w:val="0096743C"/>
    <w:rsid w:val="009674DB"/>
    <w:rsid w:val="00967612"/>
    <w:rsid w:val="009678B8"/>
    <w:rsid w:val="009679C0"/>
    <w:rsid w:val="00967B96"/>
    <w:rsid w:val="00967FBB"/>
    <w:rsid w:val="009708F7"/>
    <w:rsid w:val="00970A69"/>
    <w:rsid w:val="00970EB2"/>
    <w:rsid w:val="00970F84"/>
    <w:rsid w:val="00970FE6"/>
    <w:rsid w:val="00970FEF"/>
    <w:rsid w:val="00971201"/>
    <w:rsid w:val="00971291"/>
    <w:rsid w:val="00971574"/>
    <w:rsid w:val="009715BB"/>
    <w:rsid w:val="00971750"/>
    <w:rsid w:val="009720B5"/>
    <w:rsid w:val="0097226E"/>
    <w:rsid w:val="0097273F"/>
    <w:rsid w:val="00972AE0"/>
    <w:rsid w:val="00972BC2"/>
    <w:rsid w:val="00973058"/>
    <w:rsid w:val="009730F6"/>
    <w:rsid w:val="0097321D"/>
    <w:rsid w:val="00973685"/>
    <w:rsid w:val="009738E8"/>
    <w:rsid w:val="00973B3C"/>
    <w:rsid w:val="00973BEA"/>
    <w:rsid w:val="009743C4"/>
    <w:rsid w:val="00974450"/>
    <w:rsid w:val="009744C5"/>
    <w:rsid w:val="0097465F"/>
    <w:rsid w:val="00974B8C"/>
    <w:rsid w:val="00974DB2"/>
    <w:rsid w:val="00974E7A"/>
    <w:rsid w:val="00974F9C"/>
    <w:rsid w:val="009754CC"/>
    <w:rsid w:val="00975562"/>
    <w:rsid w:val="009755DE"/>
    <w:rsid w:val="009755E7"/>
    <w:rsid w:val="0097577B"/>
    <w:rsid w:val="0097585D"/>
    <w:rsid w:val="00975CF9"/>
    <w:rsid w:val="00975E27"/>
    <w:rsid w:val="00975E96"/>
    <w:rsid w:val="00975EC7"/>
    <w:rsid w:val="009762F4"/>
    <w:rsid w:val="009763C9"/>
    <w:rsid w:val="009764D9"/>
    <w:rsid w:val="00976697"/>
    <w:rsid w:val="00976760"/>
    <w:rsid w:val="00976C0F"/>
    <w:rsid w:val="00976DA0"/>
    <w:rsid w:val="00976E49"/>
    <w:rsid w:val="00976E86"/>
    <w:rsid w:val="00976F20"/>
    <w:rsid w:val="00976F4D"/>
    <w:rsid w:val="0097716A"/>
    <w:rsid w:val="00977296"/>
    <w:rsid w:val="00977367"/>
    <w:rsid w:val="009773C9"/>
    <w:rsid w:val="00977616"/>
    <w:rsid w:val="0097772B"/>
    <w:rsid w:val="00977799"/>
    <w:rsid w:val="0097783C"/>
    <w:rsid w:val="00977A23"/>
    <w:rsid w:val="00977BCD"/>
    <w:rsid w:val="00977BDB"/>
    <w:rsid w:val="00977CE0"/>
    <w:rsid w:val="00977ED5"/>
    <w:rsid w:val="00977EEE"/>
    <w:rsid w:val="00977F3F"/>
    <w:rsid w:val="00980130"/>
    <w:rsid w:val="0098025E"/>
    <w:rsid w:val="00980269"/>
    <w:rsid w:val="00980449"/>
    <w:rsid w:val="00980602"/>
    <w:rsid w:val="009806CA"/>
    <w:rsid w:val="0098075F"/>
    <w:rsid w:val="0098086A"/>
    <w:rsid w:val="00980892"/>
    <w:rsid w:val="00980936"/>
    <w:rsid w:val="00980A23"/>
    <w:rsid w:val="00980A4E"/>
    <w:rsid w:val="00980B95"/>
    <w:rsid w:val="0098144F"/>
    <w:rsid w:val="00981487"/>
    <w:rsid w:val="009814EA"/>
    <w:rsid w:val="0098191D"/>
    <w:rsid w:val="00981A23"/>
    <w:rsid w:val="00981AFD"/>
    <w:rsid w:val="00981B59"/>
    <w:rsid w:val="00981CF5"/>
    <w:rsid w:val="00982175"/>
    <w:rsid w:val="0098222A"/>
    <w:rsid w:val="00982359"/>
    <w:rsid w:val="00982448"/>
    <w:rsid w:val="00982586"/>
    <w:rsid w:val="009827C4"/>
    <w:rsid w:val="009827F1"/>
    <w:rsid w:val="00982931"/>
    <w:rsid w:val="00982A60"/>
    <w:rsid w:val="00983038"/>
    <w:rsid w:val="009831C2"/>
    <w:rsid w:val="00983666"/>
    <w:rsid w:val="00983739"/>
    <w:rsid w:val="009838D8"/>
    <w:rsid w:val="00983969"/>
    <w:rsid w:val="00983A94"/>
    <w:rsid w:val="00983B89"/>
    <w:rsid w:val="00984228"/>
    <w:rsid w:val="0098495B"/>
    <w:rsid w:val="00985092"/>
    <w:rsid w:val="00985205"/>
    <w:rsid w:val="009852AF"/>
    <w:rsid w:val="00985534"/>
    <w:rsid w:val="0098591C"/>
    <w:rsid w:val="009859A6"/>
    <w:rsid w:val="009859E8"/>
    <w:rsid w:val="00985D47"/>
    <w:rsid w:val="00985F5A"/>
    <w:rsid w:val="0098604E"/>
    <w:rsid w:val="0098614C"/>
    <w:rsid w:val="009861D1"/>
    <w:rsid w:val="009862AA"/>
    <w:rsid w:val="00986CCF"/>
    <w:rsid w:val="00986D31"/>
    <w:rsid w:val="00986D6F"/>
    <w:rsid w:val="00986D78"/>
    <w:rsid w:val="00986E7A"/>
    <w:rsid w:val="00986FB8"/>
    <w:rsid w:val="009871AB"/>
    <w:rsid w:val="009871D7"/>
    <w:rsid w:val="009873D1"/>
    <w:rsid w:val="00987689"/>
    <w:rsid w:val="00987976"/>
    <w:rsid w:val="009879E0"/>
    <w:rsid w:val="00987B00"/>
    <w:rsid w:val="00987C52"/>
    <w:rsid w:val="00987CA7"/>
    <w:rsid w:val="00987D88"/>
    <w:rsid w:val="00987DBA"/>
    <w:rsid w:val="009902CE"/>
    <w:rsid w:val="009903C3"/>
    <w:rsid w:val="009903CC"/>
    <w:rsid w:val="0099053F"/>
    <w:rsid w:val="009905DF"/>
    <w:rsid w:val="0099075D"/>
    <w:rsid w:val="00990880"/>
    <w:rsid w:val="00990949"/>
    <w:rsid w:val="009909F5"/>
    <w:rsid w:val="00990B1D"/>
    <w:rsid w:val="00990C94"/>
    <w:rsid w:val="00990DFE"/>
    <w:rsid w:val="00990E40"/>
    <w:rsid w:val="00990F0C"/>
    <w:rsid w:val="00991142"/>
    <w:rsid w:val="00991237"/>
    <w:rsid w:val="009913FD"/>
    <w:rsid w:val="0099173E"/>
    <w:rsid w:val="009917C2"/>
    <w:rsid w:val="00991919"/>
    <w:rsid w:val="00991A0B"/>
    <w:rsid w:val="00991A33"/>
    <w:rsid w:val="00991B57"/>
    <w:rsid w:val="00991DCD"/>
    <w:rsid w:val="00992115"/>
    <w:rsid w:val="0099227E"/>
    <w:rsid w:val="009925A5"/>
    <w:rsid w:val="0099283A"/>
    <w:rsid w:val="00992CDB"/>
    <w:rsid w:val="00992F9B"/>
    <w:rsid w:val="00992FD4"/>
    <w:rsid w:val="009930BE"/>
    <w:rsid w:val="00993299"/>
    <w:rsid w:val="0099329E"/>
    <w:rsid w:val="00993484"/>
    <w:rsid w:val="00993617"/>
    <w:rsid w:val="0099370E"/>
    <w:rsid w:val="00993993"/>
    <w:rsid w:val="00993A1E"/>
    <w:rsid w:val="00993B7E"/>
    <w:rsid w:val="00993D4B"/>
    <w:rsid w:val="00993DC5"/>
    <w:rsid w:val="00993E9F"/>
    <w:rsid w:val="0099429D"/>
    <w:rsid w:val="00994509"/>
    <w:rsid w:val="00994837"/>
    <w:rsid w:val="00994F37"/>
    <w:rsid w:val="00994F96"/>
    <w:rsid w:val="00994FEF"/>
    <w:rsid w:val="0099507D"/>
    <w:rsid w:val="00995135"/>
    <w:rsid w:val="00995177"/>
    <w:rsid w:val="00995235"/>
    <w:rsid w:val="00995798"/>
    <w:rsid w:val="0099581D"/>
    <w:rsid w:val="00995939"/>
    <w:rsid w:val="00995D53"/>
    <w:rsid w:val="0099634F"/>
    <w:rsid w:val="009963FA"/>
    <w:rsid w:val="00996650"/>
    <w:rsid w:val="009966CA"/>
    <w:rsid w:val="00996725"/>
    <w:rsid w:val="009967C9"/>
    <w:rsid w:val="009967E1"/>
    <w:rsid w:val="00996A88"/>
    <w:rsid w:val="00996F1F"/>
    <w:rsid w:val="009970A5"/>
    <w:rsid w:val="0099712F"/>
    <w:rsid w:val="0099727C"/>
    <w:rsid w:val="009973DC"/>
    <w:rsid w:val="0099761E"/>
    <w:rsid w:val="00997936"/>
    <w:rsid w:val="00997A46"/>
    <w:rsid w:val="00997C45"/>
    <w:rsid w:val="00997CF0"/>
    <w:rsid w:val="00997EE9"/>
    <w:rsid w:val="00997F43"/>
    <w:rsid w:val="00997FDE"/>
    <w:rsid w:val="009A00E9"/>
    <w:rsid w:val="009A0195"/>
    <w:rsid w:val="009A026C"/>
    <w:rsid w:val="009A02AA"/>
    <w:rsid w:val="009A03F1"/>
    <w:rsid w:val="009A064E"/>
    <w:rsid w:val="009A0777"/>
    <w:rsid w:val="009A0836"/>
    <w:rsid w:val="009A0848"/>
    <w:rsid w:val="009A09AE"/>
    <w:rsid w:val="009A09F0"/>
    <w:rsid w:val="009A0D64"/>
    <w:rsid w:val="009A138E"/>
    <w:rsid w:val="009A1500"/>
    <w:rsid w:val="009A1555"/>
    <w:rsid w:val="009A16DC"/>
    <w:rsid w:val="009A16FF"/>
    <w:rsid w:val="009A1B36"/>
    <w:rsid w:val="009A1C6E"/>
    <w:rsid w:val="009A1CF8"/>
    <w:rsid w:val="009A1D6D"/>
    <w:rsid w:val="009A2459"/>
    <w:rsid w:val="009A25ED"/>
    <w:rsid w:val="009A290E"/>
    <w:rsid w:val="009A2912"/>
    <w:rsid w:val="009A29F6"/>
    <w:rsid w:val="009A2C7E"/>
    <w:rsid w:val="009A2EDF"/>
    <w:rsid w:val="009A31F8"/>
    <w:rsid w:val="009A3988"/>
    <w:rsid w:val="009A3BAF"/>
    <w:rsid w:val="009A3BC6"/>
    <w:rsid w:val="009A3BDE"/>
    <w:rsid w:val="009A3FC4"/>
    <w:rsid w:val="009A423B"/>
    <w:rsid w:val="009A446C"/>
    <w:rsid w:val="009A46C8"/>
    <w:rsid w:val="009A49E4"/>
    <w:rsid w:val="009A4B86"/>
    <w:rsid w:val="009A4C4B"/>
    <w:rsid w:val="009A4D24"/>
    <w:rsid w:val="009A4D73"/>
    <w:rsid w:val="009A4FA2"/>
    <w:rsid w:val="009A5208"/>
    <w:rsid w:val="009A529A"/>
    <w:rsid w:val="009A52D6"/>
    <w:rsid w:val="009A54D2"/>
    <w:rsid w:val="009A57A9"/>
    <w:rsid w:val="009A58C1"/>
    <w:rsid w:val="009A5912"/>
    <w:rsid w:val="009A59C1"/>
    <w:rsid w:val="009A5A1E"/>
    <w:rsid w:val="009A5AA5"/>
    <w:rsid w:val="009A5AF8"/>
    <w:rsid w:val="009A5AFF"/>
    <w:rsid w:val="009A5C1A"/>
    <w:rsid w:val="009A5C5B"/>
    <w:rsid w:val="009A6316"/>
    <w:rsid w:val="009A63C8"/>
    <w:rsid w:val="009A65F9"/>
    <w:rsid w:val="009A6895"/>
    <w:rsid w:val="009A6A08"/>
    <w:rsid w:val="009A6AD1"/>
    <w:rsid w:val="009A6C38"/>
    <w:rsid w:val="009A6C72"/>
    <w:rsid w:val="009A6D80"/>
    <w:rsid w:val="009A6F4C"/>
    <w:rsid w:val="009A6F50"/>
    <w:rsid w:val="009A6FAE"/>
    <w:rsid w:val="009A7105"/>
    <w:rsid w:val="009A7350"/>
    <w:rsid w:val="009A73D3"/>
    <w:rsid w:val="009A73F0"/>
    <w:rsid w:val="009A73F2"/>
    <w:rsid w:val="009A747D"/>
    <w:rsid w:val="009A7613"/>
    <w:rsid w:val="009A7641"/>
    <w:rsid w:val="009A77F5"/>
    <w:rsid w:val="009A7957"/>
    <w:rsid w:val="009A796C"/>
    <w:rsid w:val="009A7D39"/>
    <w:rsid w:val="009A7E6D"/>
    <w:rsid w:val="009B02B7"/>
    <w:rsid w:val="009B038D"/>
    <w:rsid w:val="009B076A"/>
    <w:rsid w:val="009B086D"/>
    <w:rsid w:val="009B0B10"/>
    <w:rsid w:val="009B0B77"/>
    <w:rsid w:val="009B0DBB"/>
    <w:rsid w:val="009B0DC3"/>
    <w:rsid w:val="009B1119"/>
    <w:rsid w:val="009B1289"/>
    <w:rsid w:val="009B1339"/>
    <w:rsid w:val="009B1697"/>
    <w:rsid w:val="009B1737"/>
    <w:rsid w:val="009B17A8"/>
    <w:rsid w:val="009B1A04"/>
    <w:rsid w:val="009B1B59"/>
    <w:rsid w:val="009B1D58"/>
    <w:rsid w:val="009B2107"/>
    <w:rsid w:val="009B21D3"/>
    <w:rsid w:val="009B224C"/>
    <w:rsid w:val="009B2256"/>
    <w:rsid w:val="009B23FC"/>
    <w:rsid w:val="009B27B9"/>
    <w:rsid w:val="009B29B9"/>
    <w:rsid w:val="009B2B0D"/>
    <w:rsid w:val="009B2C6C"/>
    <w:rsid w:val="009B2DCE"/>
    <w:rsid w:val="009B2F07"/>
    <w:rsid w:val="009B2F23"/>
    <w:rsid w:val="009B2F4B"/>
    <w:rsid w:val="009B372D"/>
    <w:rsid w:val="009B3BB1"/>
    <w:rsid w:val="009B3C37"/>
    <w:rsid w:val="009B3C6A"/>
    <w:rsid w:val="009B3ED5"/>
    <w:rsid w:val="009B3F9A"/>
    <w:rsid w:val="009B3FFE"/>
    <w:rsid w:val="009B496D"/>
    <w:rsid w:val="009B4A11"/>
    <w:rsid w:val="009B4C0C"/>
    <w:rsid w:val="009B4C66"/>
    <w:rsid w:val="009B4EB4"/>
    <w:rsid w:val="009B4F26"/>
    <w:rsid w:val="009B4FD2"/>
    <w:rsid w:val="009B50E1"/>
    <w:rsid w:val="009B5119"/>
    <w:rsid w:val="009B55F1"/>
    <w:rsid w:val="009B57FB"/>
    <w:rsid w:val="009B594B"/>
    <w:rsid w:val="009B5968"/>
    <w:rsid w:val="009B59B1"/>
    <w:rsid w:val="009B5D0C"/>
    <w:rsid w:val="009B5E66"/>
    <w:rsid w:val="009B5EF6"/>
    <w:rsid w:val="009B6047"/>
    <w:rsid w:val="009B6C7B"/>
    <w:rsid w:val="009B6D33"/>
    <w:rsid w:val="009B6D35"/>
    <w:rsid w:val="009B6FEE"/>
    <w:rsid w:val="009B7038"/>
    <w:rsid w:val="009B7443"/>
    <w:rsid w:val="009B773E"/>
    <w:rsid w:val="009B7814"/>
    <w:rsid w:val="009B781B"/>
    <w:rsid w:val="009B78A9"/>
    <w:rsid w:val="009B7CE8"/>
    <w:rsid w:val="009B7D34"/>
    <w:rsid w:val="009C008D"/>
    <w:rsid w:val="009C02A9"/>
    <w:rsid w:val="009C045E"/>
    <w:rsid w:val="009C0AE6"/>
    <w:rsid w:val="009C0B1B"/>
    <w:rsid w:val="009C0DDF"/>
    <w:rsid w:val="009C0E96"/>
    <w:rsid w:val="009C0EC5"/>
    <w:rsid w:val="009C1255"/>
    <w:rsid w:val="009C1284"/>
    <w:rsid w:val="009C130E"/>
    <w:rsid w:val="009C1870"/>
    <w:rsid w:val="009C19A8"/>
    <w:rsid w:val="009C1B4E"/>
    <w:rsid w:val="009C1BEE"/>
    <w:rsid w:val="009C2077"/>
    <w:rsid w:val="009C208A"/>
    <w:rsid w:val="009C20F8"/>
    <w:rsid w:val="009C259A"/>
    <w:rsid w:val="009C25D2"/>
    <w:rsid w:val="009C27A3"/>
    <w:rsid w:val="009C29E0"/>
    <w:rsid w:val="009C2AAC"/>
    <w:rsid w:val="009C2BAB"/>
    <w:rsid w:val="009C2C24"/>
    <w:rsid w:val="009C2DE1"/>
    <w:rsid w:val="009C2ED5"/>
    <w:rsid w:val="009C2FE3"/>
    <w:rsid w:val="009C3497"/>
    <w:rsid w:val="009C3A49"/>
    <w:rsid w:val="009C3AD9"/>
    <w:rsid w:val="009C3C82"/>
    <w:rsid w:val="009C40FE"/>
    <w:rsid w:val="009C4188"/>
    <w:rsid w:val="009C46FF"/>
    <w:rsid w:val="009C49EB"/>
    <w:rsid w:val="009C4AB5"/>
    <w:rsid w:val="009C4C35"/>
    <w:rsid w:val="009C4D58"/>
    <w:rsid w:val="009C501F"/>
    <w:rsid w:val="009C509B"/>
    <w:rsid w:val="009C51A2"/>
    <w:rsid w:val="009C541F"/>
    <w:rsid w:val="009C54DC"/>
    <w:rsid w:val="009C5529"/>
    <w:rsid w:val="009C5677"/>
    <w:rsid w:val="009C5A98"/>
    <w:rsid w:val="009C5E6B"/>
    <w:rsid w:val="009C6405"/>
    <w:rsid w:val="009C644E"/>
    <w:rsid w:val="009C65A4"/>
    <w:rsid w:val="009C6932"/>
    <w:rsid w:val="009C6A36"/>
    <w:rsid w:val="009C6CA4"/>
    <w:rsid w:val="009C6FC6"/>
    <w:rsid w:val="009C7531"/>
    <w:rsid w:val="009C75C1"/>
    <w:rsid w:val="009C75C4"/>
    <w:rsid w:val="009C76AE"/>
    <w:rsid w:val="009C76BA"/>
    <w:rsid w:val="009C7B01"/>
    <w:rsid w:val="009C7C4A"/>
    <w:rsid w:val="009C7D74"/>
    <w:rsid w:val="009C7DC2"/>
    <w:rsid w:val="009C7E73"/>
    <w:rsid w:val="009D00DE"/>
    <w:rsid w:val="009D05C7"/>
    <w:rsid w:val="009D06E8"/>
    <w:rsid w:val="009D080E"/>
    <w:rsid w:val="009D0DDD"/>
    <w:rsid w:val="009D0E7E"/>
    <w:rsid w:val="009D1002"/>
    <w:rsid w:val="009D11E9"/>
    <w:rsid w:val="009D1257"/>
    <w:rsid w:val="009D1261"/>
    <w:rsid w:val="009D126F"/>
    <w:rsid w:val="009D1437"/>
    <w:rsid w:val="009D14A5"/>
    <w:rsid w:val="009D155B"/>
    <w:rsid w:val="009D2057"/>
    <w:rsid w:val="009D20B1"/>
    <w:rsid w:val="009D2389"/>
    <w:rsid w:val="009D2C54"/>
    <w:rsid w:val="009D2EF4"/>
    <w:rsid w:val="009D325F"/>
    <w:rsid w:val="009D3298"/>
    <w:rsid w:val="009D389D"/>
    <w:rsid w:val="009D3988"/>
    <w:rsid w:val="009D3EFA"/>
    <w:rsid w:val="009D3F29"/>
    <w:rsid w:val="009D3F94"/>
    <w:rsid w:val="009D4092"/>
    <w:rsid w:val="009D40F2"/>
    <w:rsid w:val="009D41D0"/>
    <w:rsid w:val="009D431D"/>
    <w:rsid w:val="009D43F2"/>
    <w:rsid w:val="009D4497"/>
    <w:rsid w:val="009D4527"/>
    <w:rsid w:val="009D452E"/>
    <w:rsid w:val="009D465A"/>
    <w:rsid w:val="009D4924"/>
    <w:rsid w:val="009D4B35"/>
    <w:rsid w:val="009D4B52"/>
    <w:rsid w:val="009D4D08"/>
    <w:rsid w:val="009D4FFE"/>
    <w:rsid w:val="009D5102"/>
    <w:rsid w:val="009D53A3"/>
    <w:rsid w:val="009D5A04"/>
    <w:rsid w:val="009D5B0A"/>
    <w:rsid w:val="009D5C57"/>
    <w:rsid w:val="009D5CE7"/>
    <w:rsid w:val="009D640A"/>
    <w:rsid w:val="009D6696"/>
    <w:rsid w:val="009D67FA"/>
    <w:rsid w:val="009D6A01"/>
    <w:rsid w:val="009D6A49"/>
    <w:rsid w:val="009D6AC2"/>
    <w:rsid w:val="009D6C6D"/>
    <w:rsid w:val="009D6C95"/>
    <w:rsid w:val="009D6DB1"/>
    <w:rsid w:val="009D6F0D"/>
    <w:rsid w:val="009D7018"/>
    <w:rsid w:val="009D70C7"/>
    <w:rsid w:val="009D7384"/>
    <w:rsid w:val="009D74B1"/>
    <w:rsid w:val="009D7A72"/>
    <w:rsid w:val="009D7CD9"/>
    <w:rsid w:val="009D7CF8"/>
    <w:rsid w:val="009E0180"/>
    <w:rsid w:val="009E039E"/>
    <w:rsid w:val="009E07A8"/>
    <w:rsid w:val="009E07D5"/>
    <w:rsid w:val="009E0CA4"/>
    <w:rsid w:val="009E0CE7"/>
    <w:rsid w:val="009E0D9A"/>
    <w:rsid w:val="009E0F6B"/>
    <w:rsid w:val="009E11A9"/>
    <w:rsid w:val="009E1362"/>
    <w:rsid w:val="009E1539"/>
    <w:rsid w:val="009E168D"/>
    <w:rsid w:val="009E1690"/>
    <w:rsid w:val="009E1708"/>
    <w:rsid w:val="009E1BC4"/>
    <w:rsid w:val="009E1C04"/>
    <w:rsid w:val="009E1D33"/>
    <w:rsid w:val="009E1E7F"/>
    <w:rsid w:val="009E1FEC"/>
    <w:rsid w:val="009E231F"/>
    <w:rsid w:val="009E24E3"/>
    <w:rsid w:val="009E2600"/>
    <w:rsid w:val="009E267F"/>
    <w:rsid w:val="009E269E"/>
    <w:rsid w:val="009E26A8"/>
    <w:rsid w:val="009E2785"/>
    <w:rsid w:val="009E27F0"/>
    <w:rsid w:val="009E2800"/>
    <w:rsid w:val="009E2853"/>
    <w:rsid w:val="009E2A3D"/>
    <w:rsid w:val="009E2B66"/>
    <w:rsid w:val="009E2DB6"/>
    <w:rsid w:val="009E2EB2"/>
    <w:rsid w:val="009E332F"/>
    <w:rsid w:val="009E33DB"/>
    <w:rsid w:val="009E346E"/>
    <w:rsid w:val="009E3819"/>
    <w:rsid w:val="009E42D0"/>
    <w:rsid w:val="009E4436"/>
    <w:rsid w:val="009E44BE"/>
    <w:rsid w:val="009E463C"/>
    <w:rsid w:val="009E4A4C"/>
    <w:rsid w:val="009E4A8C"/>
    <w:rsid w:val="009E4CA0"/>
    <w:rsid w:val="009E5358"/>
    <w:rsid w:val="009E5564"/>
    <w:rsid w:val="009E55C7"/>
    <w:rsid w:val="009E5732"/>
    <w:rsid w:val="009E5A45"/>
    <w:rsid w:val="009E5B6D"/>
    <w:rsid w:val="009E5DFA"/>
    <w:rsid w:val="009E5EDF"/>
    <w:rsid w:val="009E660B"/>
    <w:rsid w:val="009E6824"/>
    <w:rsid w:val="009E6908"/>
    <w:rsid w:val="009E6AD3"/>
    <w:rsid w:val="009E6B94"/>
    <w:rsid w:val="009E6C3D"/>
    <w:rsid w:val="009E6CAE"/>
    <w:rsid w:val="009E6D67"/>
    <w:rsid w:val="009E6DD6"/>
    <w:rsid w:val="009E6EB2"/>
    <w:rsid w:val="009E6FA8"/>
    <w:rsid w:val="009E703D"/>
    <w:rsid w:val="009E7335"/>
    <w:rsid w:val="009E7343"/>
    <w:rsid w:val="009E74C8"/>
    <w:rsid w:val="009E74D8"/>
    <w:rsid w:val="009E7597"/>
    <w:rsid w:val="009E75CF"/>
    <w:rsid w:val="009E75D6"/>
    <w:rsid w:val="009E79F6"/>
    <w:rsid w:val="009E7B40"/>
    <w:rsid w:val="009E7B91"/>
    <w:rsid w:val="009E7E0C"/>
    <w:rsid w:val="009F00EE"/>
    <w:rsid w:val="009F029F"/>
    <w:rsid w:val="009F02E4"/>
    <w:rsid w:val="009F0371"/>
    <w:rsid w:val="009F049C"/>
    <w:rsid w:val="009F0898"/>
    <w:rsid w:val="009F09B5"/>
    <w:rsid w:val="009F0B57"/>
    <w:rsid w:val="009F0CD6"/>
    <w:rsid w:val="009F0D20"/>
    <w:rsid w:val="009F0F41"/>
    <w:rsid w:val="009F1022"/>
    <w:rsid w:val="009F12B2"/>
    <w:rsid w:val="009F1350"/>
    <w:rsid w:val="009F1484"/>
    <w:rsid w:val="009F1686"/>
    <w:rsid w:val="009F186A"/>
    <w:rsid w:val="009F1871"/>
    <w:rsid w:val="009F1ACD"/>
    <w:rsid w:val="009F1B10"/>
    <w:rsid w:val="009F1B12"/>
    <w:rsid w:val="009F1EB9"/>
    <w:rsid w:val="009F1F15"/>
    <w:rsid w:val="009F1F71"/>
    <w:rsid w:val="009F2321"/>
    <w:rsid w:val="009F24B6"/>
    <w:rsid w:val="009F25B4"/>
    <w:rsid w:val="009F2F48"/>
    <w:rsid w:val="009F3307"/>
    <w:rsid w:val="009F34B6"/>
    <w:rsid w:val="009F3536"/>
    <w:rsid w:val="009F3544"/>
    <w:rsid w:val="009F369F"/>
    <w:rsid w:val="009F376A"/>
    <w:rsid w:val="009F37ED"/>
    <w:rsid w:val="009F384E"/>
    <w:rsid w:val="009F3E01"/>
    <w:rsid w:val="009F3EE3"/>
    <w:rsid w:val="009F3F52"/>
    <w:rsid w:val="009F3FA0"/>
    <w:rsid w:val="009F459B"/>
    <w:rsid w:val="009F4A24"/>
    <w:rsid w:val="009F4BAE"/>
    <w:rsid w:val="009F4E34"/>
    <w:rsid w:val="009F4EE6"/>
    <w:rsid w:val="009F5086"/>
    <w:rsid w:val="009F50B9"/>
    <w:rsid w:val="009F52E6"/>
    <w:rsid w:val="009F531C"/>
    <w:rsid w:val="009F5411"/>
    <w:rsid w:val="009F542E"/>
    <w:rsid w:val="009F570C"/>
    <w:rsid w:val="009F57B5"/>
    <w:rsid w:val="009F582C"/>
    <w:rsid w:val="009F5981"/>
    <w:rsid w:val="009F5A74"/>
    <w:rsid w:val="009F5B12"/>
    <w:rsid w:val="009F6070"/>
    <w:rsid w:val="009F6151"/>
    <w:rsid w:val="009F631D"/>
    <w:rsid w:val="009F6554"/>
    <w:rsid w:val="009F6605"/>
    <w:rsid w:val="009F6791"/>
    <w:rsid w:val="009F6A8B"/>
    <w:rsid w:val="009F6B64"/>
    <w:rsid w:val="009F6F66"/>
    <w:rsid w:val="009F6FF4"/>
    <w:rsid w:val="009F7012"/>
    <w:rsid w:val="009F72EB"/>
    <w:rsid w:val="009F7349"/>
    <w:rsid w:val="009F7434"/>
    <w:rsid w:val="009F777A"/>
    <w:rsid w:val="009F781B"/>
    <w:rsid w:val="009F7AE2"/>
    <w:rsid w:val="009F7DFB"/>
    <w:rsid w:val="00A00247"/>
    <w:rsid w:val="00A003E8"/>
    <w:rsid w:val="00A005C4"/>
    <w:rsid w:val="00A00680"/>
    <w:rsid w:val="00A008F8"/>
    <w:rsid w:val="00A00A04"/>
    <w:rsid w:val="00A00A16"/>
    <w:rsid w:val="00A00B5C"/>
    <w:rsid w:val="00A00D72"/>
    <w:rsid w:val="00A00EC8"/>
    <w:rsid w:val="00A00EDA"/>
    <w:rsid w:val="00A00F27"/>
    <w:rsid w:val="00A00FD0"/>
    <w:rsid w:val="00A011E9"/>
    <w:rsid w:val="00A01274"/>
    <w:rsid w:val="00A013A0"/>
    <w:rsid w:val="00A013BC"/>
    <w:rsid w:val="00A01589"/>
    <w:rsid w:val="00A0169E"/>
    <w:rsid w:val="00A016A2"/>
    <w:rsid w:val="00A01726"/>
    <w:rsid w:val="00A01826"/>
    <w:rsid w:val="00A019A9"/>
    <w:rsid w:val="00A01A60"/>
    <w:rsid w:val="00A01C40"/>
    <w:rsid w:val="00A01C7C"/>
    <w:rsid w:val="00A01D00"/>
    <w:rsid w:val="00A01D3B"/>
    <w:rsid w:val="00A01FA4"/>
    <w:rsid w:val="00A020D7"/>
    <w:rsid w:val="00A02262"/>
    <w:rsid w:val="00A0234D"/>
    <w:rsid w:val="00A025FE"/>
    <w:rsid w:val="00A027E9"/>
    <w:rsid w:val="00A02849"/>
    <w:rsid w:val="00A02D34"/>
    <w:rsid w:val="00A02DEE"/>
    <w:rsid w:val="00A02E90"/>
    <w:rsid w:val="00A02F03"/>
    <w:rsid w:val="00A030A2"/>
    <w:rsid w:val="00A032AA"/>
    <w:rsid w:val="00A0345A"/>
    <w:rsid w:val="00A039AC"/>
    <w:rsid w:val="00A03B22"/>
    <w:rsid w:val="00A03C46"/>
    <w:rsid w:val="00A03CF8"/>
    <w:rsid w:val="00A03F14"/>
    <w:rsid w:val="00A03F5A"/>
    <w:rsid w:val="00A04318"/>
    <w:rsid w:val="00A043C4"/>
    <w:rsid w:val="00A0449C"/>
    <w:rsid w:val="00A0458C"/>
    <w:rsid w:val="00A0486A"/>
    <w:rsid w:val="00A04A55"/>
    <w:rsid w:val="00A04AF1"/>
    <w:rsid w:val="00A04AF4"/>
    <w:rsid w:val="00A04C18"/>
    <w:rsid w:val="00A05178"/>
    <w:rsid w:val="00A051C1"/>
    <w:rsid w:val="00A0525A"/>
    <w:rsid w:val="00A05359"/>
    <w:rsid w:val="00A0554E"/>
    <w:rsid w:val="00A05667"/>
    <w:rsid w:val="00A05957"/>
    <w:rsid w:val="00A05C0B"/>
    <w:rsid w:val="00A05D20"/>
    <w:rsid w:val="00A05F75"/>
    <w:rsid w:val="00A060D4"/>
    <w:rsid w:val="00A06442"/>
    <w:rsid w:val="00A068D5"/>
    <w:rsid w:val="00A06CED"/>
    <w:rsid w:val="00A06DD4"/>
    <w:rsid w:val="00A06DE9"/>
    <w:rsid w:val="00A070E6"/>
    <w:rsid w:val="00A07258"/>
    <w:rsid w:val="00A075EA"/>
    <w:rsid w:val="00A07691"/>
    <w:rsid w:val="00A07794"/>
    <w:rsid w:val="00A07B1F"/>
    <w:rsid w:val="00A07B69"/>
    <w:rsid w:val="00A07C82"/>
    <w:rsid w:val="00A07E4F"/>
    <w:rsid w:val="00A07F01"/>
    <w:rsid w:val="00A07FF8"/>
    <w:rsid w:val="00A101B6"/>
    <w:rsid w:val="00A10653"/>
    <w:rsid w:val="00A10869"/>
    <w:rsid w:val="00A1094A"/>
    <w:rsid w:val="00A109FF"/>
    <w:rsid w:val="00A10A76"/>
    <w:rsid w:val="00A10BC5"/>
    <w:rsid w:val="00A10C56"/>
    <w:rsid w:val="00A11213"/>
    <w:rsid w:val="00A11409"/>
    <w:rsid w:val="00A11AD7"/>
    <w:rsid w:val="00A11E07"/>
    <w:rsid w:val="00A12484"/>
    <w:rsid w:val="00A128B4"/>
    <w:rsid w:val="00A12947"/>
    <w:rsid w:val="00A1299D"/>
    <w:rsid w:val="00A12B8E"/>
    <w:rsid w:val="00A12E54"/>
    <w:rsid w:val="00A12EAC"/>
    <w:rsid w:val="00A1329B"/>
    <w:rsid w:val="00A133A0"/>
    <w:rsid w:val="00A134D0"/>
    <w:rsid w:val="00A138AC"/>
    <w:rsid w:val="00A13927"/>
    <w:rsid w:val="00A139A1"/>
    <w:rsid w:val="00A139B1"/>
    <w:rsid w:val="00A139DF"/>
    <w:rsid w:val="00A13A1F"/>
    <w:rsid w:val="00A13B10"/>
    <w:rsid w:val="00A13C72"/>
    <w:rsid w:val="00A13C84"/>
    <w:rsid w:val="00A13E02"/>
    <w:rsid w:val="00A13E94"/>
    <w:rsid w:val="00A13EC6"/>
    <w:rsid w:val="00A1401E"/>
    <w:rsid w:val="00A14100"/>
    <w:rsid w:val="00A141B0"/>
    <w:rsid w:val="00A14326"/>
    <w:rsid w:val="00A14531"/>
    <w:rsid w:val="00A1453B"/>
    <w:rsid w:val="00A1465E"/>
    <w:rsid w:val="00A14780"/>
    <w:rsid w:val="00A1484F"/>
    <w:rsid w:val="00A149C8"/>
    <w:rsid w:val="00A14B11"/>
    <w:rsid w:val="00A14C01"/>
    <w:rsid w:val="00A14C6B"/>
    <w:rsid w:val="00A14EC4"/>
    <w:rsid w:val="00A15034"/>
    <w:rsid w:val="00A1506E"/>
    <w:rsid w:val="00A150FC"/>
    <w:rsid w:val="00A15206"/>
    <w:rsid w:val="00A15384"/>
    <w:rsid w:val="00A154F7"/>
    <w:rsid w:val="00A15616"/>
    <w:rsid w:val="00A1567E"/>
    <w:rsid w:val="00A15D1D"/>
    <w:rsid w:val="00A16389"/>
    <w:rsid w:val="00A163C0"/>
    <w:rsid w:val="00A163F9"/>
    <w:rsid w:val="00A163FD"/>
    <w:rsid w:val="00A16932"/>
    <w:rsid w:val="00A16BA9"/>
    <w:rsid w:val="00A16E6C"/>
    <w:rsid w:val="00A16EAF"/>
    <w:rsid w:val="00A16F84"/>
    <w:rsid w:val="00A17279"/>
    <w:rsid w:val="00A17436"/>
    <w:rsid w:val="00A1795A"/>
    <w:rsid w:val="00A17ADA"/>
    <w:rsid w:val="00A17D9C"/>
    <w:rsid w:val="00A2016B"/>
    <w:rsid w:val="00A20217"/>
    <w:rsid w:val="00A20368"/>
    <w:rsid w:val="00A203E5"/>
    <w:rsid w:val="00A20643"/>
    <w:rsid w:val="00A20837"/>
    <w:rsid w:val="00A20C38"/>
    <w:rsid w:val="00A20F42"/>
    <w:rsid w:val="00A2104A"/>
    <w:rsid w:val="00A211CE"/>
    <w:rsid w:val="00A211FB"/>
    <w:rsid w:val="00A21270"/>
    <w:rsid w:val="00A2130C"/>
    <w:rsid w:val="00A21359"/>
    <w:rsid w:val="00A213B6"/>
    <w:rsid w:val="00A21522"/>
    <w:rsid w:val="00A2164E"/>
    <w:rsid w:val="00A21B44"/>
    <w:rsid w:val="00A21B99"/>
    <w:rsid w:val="00A21D36"/>
    <w:rsid w:val="00A22034"/>
    <w:rsid w:val="00A22994"/>
    <w:rsid w:val="00A22A2C"/>
    <w:rsid w:val="00A232CC"/>
    <w:rsid w:val="00A232D5"/>
    <w:rsid w:val="00A2357F"/>
    <w:rsid w:val="00A236DC"/>
    <w:rsid w:val="00A23746"/>
    <w:rsid w:val="00A23C37"/>
    <w:rsid w:val="00A23CCA"/>
    <w:rsid w:val="00A23DAA"/>
    <w:rsid w:val="00A23DC4"/>
    <w:rsid w:val="00A23F5A"/>
    <w:rsid w:val="00A240F5"/>
    <w:rsid w:val="00A24105"/>
    <w:rsid w:val="00A241DF"/>
    <w:rsid w:val="00A2429E"/>
    <w:rsid w:val="00A2479A"/>
    <w:rsid w:val="00A25169"/>
    <w:rsid w:val="00A251DF"/>
    <w:rsid w:val="00A25217"/>
    <w:rsid w:val="00A2525E"/>
    <w:rsid w:val="00A25425"/>
    <w:rsid w:val="00A25476"/>
    <w:rsid w:val="00A255BF"/>
    <w:rsid w:val="00A2578E"/>
    <w:rsid w:val="00A257E7"/>
    <w:rsid w:val="00A25843"/>
    <w:rsid w:val="00A25C07"/>
    <w:rsid w:val="00A26179"/>
    <w:rsid w:val="00A263E4"/>
    <w:rsid w:val="00A26669"/>
    <w:rsid w:val="00A267DF"/>
    <w:rsid w:val="00A26875"/>
    <w:rsid w:val="00A26A2E"/>
    <w:rsid w:val="00A26A48"/>
    <w:rsid w:val="00A26B0B"/>
    <w:rsid w:val="00A26B1B"/>
    <w:rsid w:val="00A26BCF"/>
    <w:rsid w:val="00A27329"/>
    <w:rsid w:val="00A273A2"/>
    <w:rsid w:val="00A273A3"/>
    <w:rsid w:val="00A273A9"/>
    <w:rsid w:val="00A27464"/>
    <w:rsid w:val="00A27528"/>
    <w:rsid w:val="00A275C1"/>
    <w:rsid w:val="00A2786F"/>
    <w:rsid w:val="00A27B8F"/>
    <w:rsid w:val="00A27CEF"/>
    <w:rsid w:val="00A27D1C"/>
    <w:rsid w:val="00A30089"/>
    <w:rsid w:val="00A301D3"/>
    <w:rsid w:val="00A30383"/>
    <w:rsid w:val="00A30392"/>
    <w:rsid w:val="00A3041D"/>
    <w:rsid w:val="00A3046C"/>
    <w:rsid w:val="00A309A1"/>
    <w:rsid w:val="00A30BAD"/>
    <w:rsid w:val="00A30C9A"/>
    <w:rsid w:val="00A30E0E"/>
    <w:rsid w:val="00A3122B"/>
    <w:rsid w:val="00A31385"/>
    <w:rsid w:val="00A313E5"/>
    <w:rsid w:val="00A316D5"/>
    <w:rsid w:val="00A31A53"/>
    <w:rsid w:val="00A31BF8"/>
    <w:rsid w:val="00A31D37"/>
    <w:rsid w:val="00A31D8A"/>
    <w:rsid w:val="00A31DD9"/>
    <w:rsid w:val="00A31E4E"/>
    <w:rsid w:val="00A31EEA"/>
    <w:rsid w:val="00A320D2"/>
    <w:rsid w:val="00A320E5"/>
    <w:rsid w:val="00A32143"/>
    <w:rsid w:val="00A329E0"/>
    <w:rsid w:val="00A329F6"/>
    <w:rsid w:val="00A32AF0"/>
    <w:rsid w:val="00A32C3A"/>
    <w:rsid w:val="00A32E09"/>
    <w:rsid w:val="00A32FAF"/>
    <w:rsid w:val="00A3305E"/>
    <w:rsid w:val="00A33915"/>
    <w:rsid w:val="00A33AE5"/>
    <w:rsid w:val="00A33B32"/>
    <w:rsid w:val="00A33DE2"/>
    <w:rsid w:val="00A3417E"/>
    <w:rsid w:val="00A341B8"/>
    <w:rsid w:val="00A3447D"/>
    <w:rsid w:val="00A34517"/>
    <w:rsid w:val="00A34746"/>
    <w:rsid w:val="00A3479B"/>
    <w:rsid w:val="00A34D76"/>
    <w:rsid w:val="00A34FD5"/>
    <w:rsid w:val="00A35187"/>
    <w:rsid w:val="00A3524D"/>
    <w:rsid w:val="00A352B1"/>
    <w:rsid w:val="00A3532C"/>
    <w:rsid w:val="00A3533D"/>
    <w:rsid w:val="00A353E6"/>
    <w:rsid w:val="00A35429"/>
    <w:rsid w:val="00A35507"/>
    <w:rsid w:val="00A35542"/>
    <w:rsid w:val="00A35B1C"/>
    <w:rsid w:val="00A35BA4"/>
    <w:rsid w:val="00A35C54"/>
    <w:rsid w:val="00A35EA0"/>
    <w:rsid w:val="00A36013"/>
    <w:rsid w:val="00A36186"/>
    <w:rsid w:val="00A361C5"/>
    <w:rsid w:val="00A362B8"/>
    <w:rsid w:val="00A3632A"/>
    <w:rsid w:val="00A36A7D"/>
    <w:rsid w:val="00A36AA5"/>
    <w:rsid w:val="00A36CA9"/>
    <w:rsid w:val="00A36D62"/>
    <w:rsid w:val="00A36D69"/>
    <w:rsid w:val="00A36EE6"/>
    <w:rsid w:val="00A36F55"/>
    <w:rsid w:val="00A36F98"/>
    <w:rsid w:val="00A36FF6"/>
    <w:rsid w:val="00A372BB"/>
    <w:rsid w:val="00A37568"/>
    <w:rsid w:val="00A37731"/>
    <w:rsid w:val="00A37A6A"/>
    <w:rsid w:val="00A37B52"/>
    <w:rsid w:val="00A37F09"/>
    <w:rsid w:val="00A400E0"/>
    <w:rsid w:val="00A40404"/>
    <w:rsid w:val="00A404A1"/>
    <w:rsid w:val="00A40618"/>
    <w:rsid w:val="00A4080F"/>
    <w:rsid w:val="00A408C3"/>
    <w:rsid w:val="00A40A5B"/>
    <w:rsid w:val="00A41257"/>
    <w:rsid w:val="00A41358"/>
    <w:rsid w:val="00A414B8"/>
    <w:rsid w:val="00A417DE"/>
    <w:rsid w:val="00A418F6"/>
    <w:rsid w:val="00A41AF3"/>
    <w:rsid w:val="00A41E93"/>
    <w:rsid w:val="00A41E95"/>
    <w:rsid w:val="00A4209A"/>
    <w:rsid w:val="00A4211F"/>
    <w:rsid w:val="00A421E3"/>
    <w:rsid w:val="00A42562"/>
    <w:rsid w:val="00A426A3"/>
    <w:rsid w:val="00A426D6"/>
    <w:rsid w:val="00A428B2"/>
    <w:rsid w:val="00A42A81"/>
    <w:rsid w:val="00A42B6B"/>
    <w:rsid w:val="00A42C62"/>
    <w:rsid w:val="00A42C6C"/>
    <w:rsid w:val="00A42E3D"/>
    <w:rsid w:val="00A4317F"/>
    <w:rsid w:val="00A4319B"/>
    <w:rsid w:val="00A4322A"/>
    <w:rsid w:val="00A43313"/>
    <w:rsid w:val="00A43342"/>
    <w:rsid w:val="00A433A3"/>
    <w:rsid w:val="00A4369C"/>
    <w:rsid w:val="00A436C9"/>
    <w:rsid w:val="00A437E3"/>
    <w:rsid w:val="00A43920"/>
    <w:rsid w:val="00A43A94"/>
    <w:rsid w:val="00A43D27"/>
    <w:rsid w:val="00A43DAA"/>
    <w:rsid w:val="00A43E74"/>
    <w:rsid w:val="00A43ECA"/>
    <w:rsid w:val="00A44000"/>
    <w:rsid w:val="00A44159"/>
    <w:rsid w:val="00A44187"/>
    <w:rsid w:val="00A44277"/>
    <w:rsid w:val="00A443F7"/>
    <w:rsid w:val="00A445C7"/>
    <w:rsid w:val="00A44971"/>
    <w:rsid w:val="00A44B16"/>
    <w:rsid w:val="00A44CB3"/>
    <w:rsid w:val="00A44CC8"/>
    <w:rsid w:val="00A44DD6"/>
    <w:rsid w:val="00A44EF2"/>
    <w:rsid w:val="00A450DD"/>
    <w:rsid w:val="00A45166"/>
    <w:rsid w:val="00A45401"/>
    <w:rsid w:val="00A457F4"/>
    <w:rsid w:val="00A45825"/>
    <w:rsid w:val="00A45A87"/>
    <w:rsid w:val="00A45AFD"/>
    <w:rsid w:val="00A45C1D"/>
    <w:rsid w:val="00A45C21"/>
    <w:rsid w:val="00A45D9E"/>
    <w:rsid w:val="00A46035"/>
    <w:rsid w:val="00A4643F"/>
    <w:rsid w:val="00A46469"/>
    <w:rsid w:val="00A464BB"/>
    <w:rsid w:val="00A46567"/>
    <w:rsid w:val="00A466FA"/>
    <w:rsid w:val="00A46704"/>
    <w:rsid w:val="00A46851"/>
    <w:rsid w:val="00A46A6B"/>
    <w:rsid w:val="00A46B6C"/>
    <w:rsid w:val="00A46D30"/>
    <w:rsid w:val="00A46DB2"/>
    <w:rsid w:val="00A46E1A"/>
    <w:rsid w:val="00A46EE0"/>
    <w:rsid w:val="00A46F98"/>
    <w:rsid w:val="00A4725A"/>
    <w:rsid w:val="00A47389"/>
    <w:rsid w:val="00A47500"/>
    <w:rsid w:val="00A4795C"/>
    <w:rsid w:val="00A47969"/>
    <w:rsid w:val="00A47AAD"/>
    <w:rsid w:val="00A47ADD"/>
    <w:rsid w:val="00A47BEA"/>
    <w:rsid w:val="00A47E74"/>
    <w:rsid w:val="00A50448"/>
    <w:rsid w:val="00A509D0"/>
    <w:rsid w:val="00A50C92"/>
    <w:rsid w:val="00A50D02"/>
    <w:rsid w:val="00A50D86"/>
    <w:rsid w:val="00A50E72"/>
    <w:rsid w:val="00A50F3B"/>
    <w:rsid w:val="00A51105"/>
    <w:rsid w:val="00A51227"/>
    <w:rsid w:val="00A514DD"/>
    <w:rsid w:val="00A5190E"/>
    <w:rsid w:val="00A51A5A"/>
    <w:rsid w:val="00A51BAE"/>
    <w:rsid w:val="00A51FE4"/>
    <w:rsid w:val="00A524F2"/>
    <w:rsid w:val="00A52618"/>
    <w:rsid w:val="00A52652"/>
    <w:rsid w:val="00A52A1C"/>
    <w:rsid w:val="00A52ABD"/>
    <w:rsid w:val="00A52C8B"/>
    <w:rsid w:val="00A52CE1"/>
    <w:rsid w:val="00A52DDC"/>
    <w:rsid w:val="00A52F4A"/>
    <w:rsid w:val="00A5307D"/>
    <w:rsid w:val="00A530AE"/>
    <w:rsid w:val="00A534A7"/>
    <w:rsid w:val="00A534F3"/>
    <w:rsid w:val="00A53741"/>
    <w:rsid w:val="00A537A0"/>
    <w:rsid w:val="00A537AC"/>
    <w:rsid w:val="00A537E5"/>
    <w:rsid w:val="00A53944"/>
    <w:rsid w:val="00A53967"/>
    <w:rsid w:val="00A54084"/>
    <w:rsid w:val="00A544DA"/>
    <w:rsid w:val="00A54573"/>
    <w:rsid w:val="00A54641"/>
    <w:rsid w:val="00A5467C"/>
    <w:rsid w:val="00A547E5"/>
    <w:rsid w:val="00A5483D"/>
    <w:rsid w:val="00A54947"/>
    <w:rsid w:val="00A54AD1"/>
    <w:rsid w:val="00A54B00"/>
    <w:rsid w:val="00A550FB"/>
    <w:rsid w:val="00A55435"/>
    <w:rsid w:val="00A55439"/>
    <w:rsid w:val="00A5569A"/>
    <w:rsid w:val="00A55AD6"/>
    <w:rsid w:val="00A55B32"/>
    <w:rsid w:val="00A55E35"/>
    <w:rsid w:val="00A55EF9"/>
    <w:rsid w:val="00A562AE"/>
    <w:rsid w:val="00A56591"/>
    <w:rsid w:val="00A5662D"/>
    <w:rsid w:val="00A56A22"/>
    <w:rsid w:val="00A56B99"/>
    <w:rsid w:val="00A56D36"/>
    <w:rsid w:val="00A56D3F"/>
    <w:rsid w:val="00A56E5C"/>
    <w:rsid w:val="00A56F09"/>
    <w:rsid w:val="00A56FA1"/>
    <w:rsid w:val="00A573FE"/>
    <w:rsid w:val="00A57441"/>
    <w:rsid w:val="00A57497"/>
    <w:rsid w:val="00A5775B"/>
    <w:rsid w:val="00A5793F"/>
    <w:rsid w:val="00A579BE"/>
    <w:rsid w:val="00A57A68"/>
    <w:rsid w:val="00A57B40"/>
    <w:rsid w:val="00A57B67"/>
    <w:rsid w:val="00A57C64"/>
    <w:rsid w:val="00A60147"/>
    <w:rsid w:val="00A6046B"/>
    <w:rsid w:val="00A604F3"/>
    <w:rsid w:val="00A60727"/>
    <w:rsid w:val="00A60966"/>
    <w:rsid w:val="00A60B0D"/>
    <w:rsid w:val="00A60C66"/>
    <w:rsid w:val="00A60DBE"/>
    <w:rsid w:val="00A60E47"/>
    <w:rsid w:val="00A60FAC"/>
    <w:rsid w:val="00A611AC"/>
    <w:rsid w:val="00A611E7"/>
    <w:rsid w:val="00A61227"/>
    <w:rsid w:val="00A6136A"/>
    <w:rsid w:val="00A61429"/>
    <w:rsid w:val="00A6156D"/>
    <w:rsid w:val="00A61725"/>
    <w:rsid w:val="00A6180F"/>
    <w:rsid w:val="00A618FC"/>
    <w:rsid w:val="00A61935"/>
    <w:rsid w:val="00A61B38"/>
    <w:rsid w:val="00A61CC8"/>
    <w:rsid w:val="00A61CCD"/>
    <w:rsid w:val="00A61DF1"/>
    <w:rsid w:val="00A622A9"/>
    <w:rsid w:val="00A6249A"/>
    <w:rsid w:val="00A62641"/>
    <w:rsid w:val="00A62689"/>
    <w:rsid w:val="00A62953"/>
    <w:rsid w:val="00A62BDE"/>
    <w:rsid w:val="00A62CE7"/>
    <w:rsid w:val="00A6334E"/>
    <w:rsid w:val="00A63398"/>
    <w:rsid w:val="00A633E4"/>
    <w:rsid w:val="00A634D9"/>
    <w:rsid w:val="00A634E5"/>
    <w:rsid w:val="00A6357E"/>
    <w:rsid w:val="00A63791"/>
    <w:rsid w:val="00A63D5B"/>
    <w:rsid w:val="00A63E5D"/>
    <w:rsid w:val="00A642D1"/>
    <w:rsid w:val="00A642DA"/>
    <w:rsid w:val="00A6452D"/>
    <w:rsid w:val="00A64585"/>
    <w:rsid w:val="00A64705"/>
    <w:rsid w:val="00A64841"/>
    <w:rsid w:val="00A649B6"/>
    <w:rsid w:val="00A64A41"/>
    <w:rsid w:val="00A64BBC"/>
    <w:rsid w:val="00A64EA1"/>
    <w:rsid w:val="00A64F80"/>
    <w:rsid w:val="00A6518D"/>
    <w:rsid w:val="00A65A76"/>
    <w:rsid w:val="00A65AD9"/>
    <w:rsid w:val="00A664F3"/>
    <w:rsid w:val="00A66598"/>
    <w:rsid w:val="00A668AA"/>
    <w:rsid w:val="00A668F8"/>
    <w:rsid w:val="00A66A92"/>
    <w:rsid w:val="00A67011"/>
    <w:rsid w:val="00A67164"/>
    <w:rsid w:val="00A67187"/>
    <w:rsid w:val="00A6766D"/>
    <w:rsid w:val="00A67951"/>
    <w:rsid w:val="00A67BB0"/>
    <w:rsid w:val="00A67CF4"/>
    <w:rsid w:val="00A67ED7"/>
    <w:rsid w:val="00A702B9"/>
    <w:rsid w:val="00A70367"/>
    <w:rsid w:val="00A7046E"/>
    <w:rsid w:val="00A7055D"/>
    <w:rsid w:val="00A705AF"/>
    <w:rsid w:val="00A70929"/>
    <w:rsid w:val="00A70A39"/>
    <w:rsid w:val="00A70D89"/>
    <w:rsid w:val="00A70D9F"/>
    <w:rsid w:val="00A71226"/>
    <w:rsid w:val="00A71355"/>
    <w:rsid w:val="00A7139D"/>
    <w:rsid w:val="00A713BF"/>
    <w:rsid w:val="00A718A2"/>
    <w:rsid w:val="00A71BC7"/>
    <w:rsid w:val="00A71BFB"/>
    <w:rsid w:val="00A71FF5"/>
    <w:rsid w:val="00A7214E"/>
    <w:rsid w:val="00A721D8"/>
    <w:rsid w:val="00A72249"/>
    <w:rsid w:val="00A729E9"/>
    <w:rsid w:val="00A72C6A"/>
    <w:rsid w:val="00A72FF9"/>
    <w:rsid w:val="00A7309E"/>
    <w:rsid w:val="00A73162"/>
    <w:rsid w:val="00A73181"/>
    <w:rsid w:val="00A731DD"/>
    <w:rsid w:val="00A73313"/>
    <w:rsid w:val="00A733F8"/>
    <w:rsid w:val="00A73513"/>
    <w:rsid w:val="00A7363A"/>
    <w:rsid w:val="00A7383D"/>
    <w:rsid w:val="00A738B2"/>
    <w:rsid w:val="00A738F3"/>
    <w:rsid w:val="00A73973"/>
    <w:rsid w:val="00A73B45"/>
    <w:rsid w:val="00A73D19"/>
    <w:rsid w:val="00A73EF0"/>
    <w:rsid w:val="00A73EF4"/>
    <w:rsid w:val="00A740A6"/>
    <w:rsid w:val="00A741B1"/>
    <w:rsid w:val="00A74327"/>
    <w:rsid w:val="00A74454"/>
    <w:rsid w:val="00A744A3"/>
    <w:rsid w:val="00A74511"/>
    <w:rsid w:val="00A7466C"/>
    <w:rsid w:val="00A74B94"/>
    <w:rsid w:val="00A74F41"/>
    <w:rsid w:val="00A7506C"/>
    <w:rsid w:val="00A7523D"/>
    <w:rsid w:val="00A7529F"/>
    <w:rsid w:val="00A7543D"/>
    <w:rsid w:val="00A75588"/>
    <w:rsid w:val="00A756E5"/>
    <w:rsid w:val="00A75ADF"/>
    <w:rsid w:val="00A75B71"/>
    <w:rsid w:val="00A75BE9"/>
    <w:rsid w:val="00A75D0D"/>
    <w:rsid w:val="00A75E68"/>
    <w:rsid w:val="00A7613C"/>
    <w:rsid w:val="00A76409"/>
    <w:rsid w:val="00A767A7"/>
    <w:rsid w:val="00A769F0"/>
    <w:rsid w:val="00A76BC3"/>
    <w:rsid w:val="00A76CFF"/>
    <w:rsid w:val="00A76D81"/>
    <w:rsid w:val="00A76E06"/>
    <w:rsid w:val="00A77282"/>
    <w:rsid w:val="00A777D9"/>
    <w:rsid w:val="00A77B1B"/>
    <w:rsid w:val="00A77C91"/>
    <w:rsid w:val="00A77E2F"/>
    <w:rsid w:val="00A80119"/>
    <w:rsid w:val="00A802B5"/>
    <w:rsid w:val="00A80429"/>
    <w:rsid w:val="00A804A2"/>
    <w:rsid w:val="00A8074E"/>
    <w:rsid w:val="00A807FA"/>
    <w:rsid w:val="00A80816"/>
    <w:rsid w:val="00A8085F"/>
    <w:rsid w:val="00A80963"/>
    <w:rsid w:val="00A80A51"/>
    <w:rsid w:val="00A80BF0"/>
    <w:rsid w:val="00A80E4F"/>
    <w:rsid w:val="00A8125A"/>
    <w:rsid w:val="00A81273"/>
    <w:rsid w:val="00A815FD"/>
    <w:rsid w:val="00A817D3"/>
    <w:rsid w:val="00A81B4D"/>
    <w:rsid w:val="00A81B93"/>
    <w:rsid w:val="00A81D4F"/>
    <w:rsid w:val="00A81F10"/>
    <w:rsid w:val="00A81FD2"/>
    <w:rsid w:val="00A8223D"/>
    <w:rsid w:val="00A822E4"/>
    <w:rsid w:val="00A823CF"/>
    <w:rsid w:val="00A8252D"/>
    <w:rsid w:val="00A8278D"/>
    <w:rsid w:val="00A82815"/>
    <w:rsid w:val="00A8287B"/>
    <w:rsid w:val="00A82D46"/>
    <w:rsid w:val="00A83012"/>
    <w:rsid w:val="00A8309E"/>
    <w:rsid w:val="00A832F9"/>
    <w:rsid w:val="00A83505"/>
    <w:rsid w:val="00A835DB"/>
    <w:rsid w:val="00A838D9"/>
    <w:rsid w:val="00A8394E"/>
    <w:rsid w:val="00A83C92"/>
    <w:rsid w:val="00A83DBD"/>
    <w:rsid w:val="00A83E59"/>
    <w:rsid w:val="00A83F15"/>
    <w:rsid w:val="00A8431B"/>
    <w:rsid w:val="00A844D3"/>
    <w:rsid w:val="00A844E2"/>
    <w:rsid w:val="00A846D1"/>
    <w:rsid w:val="00A846F1"/>
    <w:rsid w:val="00A84BEF"/>
    <w:rsid w:val="00A84BF5"/>
    <w:rsid w:val="00A84DD6"/>
    <w:rsid w:val="00A8511E"/>
    <w:rsid w:val="00A85197"/>
    <w:rsid w:val="00A8524E"/>
    <w:rsid w:val="00A856A5"/>
    <w:rsid w:val="00A85A1D"/>
    <w:rsid w:val="00A85A9C"/>
    <w:rsid w:val="00A85B62"/>
    <w:rsid w:val="00A85CFE"/>
    <w:rsid w:val="00A85D00"/>
    <w:rsid w:val="00A85FC7"/>
    <w:rsid w:val="00A85FF7"/>
    <w:rsid w:val="00A861EC"/>
    <w:rsid w:val="00A862C5"/>
    <w:rsid w:val="00A86471"/>
    <w:rsid w:val="00A86589"/>
    <w:rsid w:val="00A86960"/>
    <w:rsid w:val="00A86D72"/>
    <w:rsid w:val="00A86D7B"/>
    <w:rsid w:val="00A86E41"/>
    <w:rsid w:val="00A87054"/>
    <w:rsid w:val="00A8705B"/>
    <w:rsid w:val="00A873A7"/>
    <w:rsid w:val="00A87446"/>
    <w:rsid w:val="00A875B3"/>
    <w:rsid w:val="00A876C5"/>
    <w:rsid w:val="00A87823"/>
    <w:rsid w:val="00A8789F"/>
    <w:rsid w:val="00A87934"/>
    <w:rsid w:val="00A87A59"/>
    <w:rsid w:val="00A900E2"/>
    <w:rsid w:val="00A9025B"/>
    <w:rsid w:val="00A904EE"/>
    <w:rsid w:val="00A905F7"/>
    <w:rsid w:val="00A90616"/>
    <w:rsid w:val="00A906F0"/>
    <w:rsid w:val="00A909CE"/>
    <w:rsid w:val="00A90AA5"/>
    <w:rsid w:val="00A9126E"/>
    <w:rsid w:val="00A913A0"/>
    <w:rsid w:val="00A91523"/>
    <w:rsid w:val="00A915DC"/>
    <w:rsid w:val="00A915E0"/>
    <w:rsid w:val="00A916A1"/>
    <w:rsid w:val="00A9177C"/>
    <w:rsid w:val="00A918B4"/>
    <w:rsid w:val="00A918DF"/>
    <w:rsid w:val="00A91CC4"/>
    <w:rsid w:val="00A91F3C"/>
    <w:rsid w:val="00A92341"/>
    <w:rsid w:val="00A92419"/>
    <w:rsid w:val="00A925DB"/>
    <w:rsid w:val="00A9291D"/>
    <w:rsid w:val="00A92A17"/>
    <w:rsid w:val="00A92AD3"/>
    <w:rsid w:val="00A93574"/>
    <w:rsid w:val="00A936F9"/>
    <w:rsid w:val="00A93726"/>
    <w:rsid w:val="00A937B1"/>
    <w:rsid w:val="00A9380F"/>
    <w:rsid w:val="00A93A22"/>
    <w:rsid w:val="00A93A44"/>
    <w:rsid w:val="00A93AC8"/>
    <w:rsid w:val="00A93ACF"/>
    <w:rsid w:val="00A93DFD"/>
    <w:rsid w:val="00A940F4"/>
    <w:rsid w:val="00A9415D"/>
    <w:rsid w:val="00A94261"/>
    <w:rsid w:val="00A942E0"/>
    <w:rsid w:val="00A943EE"/>
    <w:rsid w:val="00A943F1"/>
    <w:rsid w:val="00A94468"/>
    <w:rsid w:val="00A94618"/>
    <w:rsid w:val="00A946D0"/>
    <w:rsid w:val="00A94AC5"/>
    <w:rsid w:val="00A94B62"/>
    <w:rsid w:val="00A94B75"/>
    <w:rsid w:val="00A94C2C"/>
    <w:rsid w:val="00A94D9A"/>
    <w:rsid w:val="00A94DED"/>
    <w:rsid w:val="00A95191"/>
    <w:rsid w:val="00A9543E"/>
    <w:rsid w:val="00A95463"/>
    <w:rsid w:val="00A954B3"/>
    <w:rsid w:val="00A954EC"/>
    <w:rsid w:val="00A95639"/>
    <w:rsid w:val="00A957C1"/>
    <w:rsid w:val="00A957FC"/>
    <w:rsid w:val="00A95854"/>
    <w:rsid w:val="00A9592C"/>
    <w:rsid w:val="00A95993"/>
    <w:rsid w:val="00A95A6A"/>
    <w:rsid w:val="00A95B6A"/>
    <w:rsid w:val="00A95C8A"/>
    <w:rsid w:val="00A95FD6"/>
    <w:rsid w:val="00A9601C"/>
    <w:rsid w:val="00A96386"/>
    <w:rsid w:val="00A963BB"/>
    <w:rsid w:val="00A9644B"/>
    <w:rsid w:val="00A966A8"/>
    <w:rsid w:val="00A96781"/>
    <w:rsid w:val="00A96978"/>
    <w:rsid w:val="00A96A9A"/>
    <w:rsid w:val="00A96CDE"/>
    <w:rsid w:val="00A96F17"/>
    <w:rsid w:val="00A971D8"/>
    <w:rsid w:val="00A972E1"/>
    <w:rsid w:val="00A97376"/>
    <w:rsid w:val="00A97473"/>
    <w:rsid w:val="00A974A9"/>
    <w:rsid w:val="00A979D9"/>
    <w:rsid w:val="00A97A2D"/>
    <w:rsid w:val="00A97B54"/>
    <w:rsid w:val="00A97C01"/>
    <w:rsid w:val="00A97C09"/>
    <w:rsid w:val="00A97C6E"/>
    <w:rsid w:val="00AA029E"/>
    <w:rsid w:val="00AA04A2"/>
    <w:rsid w:val="00AA04F2"/>
    <w:rsid w:val="00AA051B"/>
    <w:rsid w:val="00AA05A7"/>
    <w:rsid w:val="00AA094A"/>
    <w:rsid w:val="00AA0995"/>
    <w:rsid w:val="00AA0C67"/>
    <w:rsid w:val="00AA0F52"/>
    <w:rsid w:val="00AA11C2"/>
    <w:rsid w:val="00AA11FA"/>
    <w:rsid w:val="00AA131A"/>
    <w:rsid w:val="00AA144B"/>
    <w:rsid w:val="00AA17B2"/>
    <w:rsid w:val="00AA1853"/>
    <w:rsid w:val="00AA18F4"/>
    <w:rsid w:val="00AA19BA"/>
    <w:rsid w:val="00AA1AB2"/>
    <w:rsid w:val="00AA1EA1"/>
    <w:rsid w:val="00AA1F61"/>
    <w:rsid w:val="00AA1FB4"/>
    <w:rsid w:val="00AA2137"/>
    <w:rsid w:val="00AA2151"/>
    <w:rsid w:val="00AA2245"/>
    <w:rsid w:val="00AA254B"/>
    <w:rsid w:val="00AA2553"/>
    <w:rsid w:val="00AA25AA"/>
    <w:rsid w:val="00AA264A"/>
    <w:rsid w:val="00AA2970"/>
    <w:rsid w:val="00AA29AE"/>
    <w:rsid w:val="00AA2A68"/>
    <w:rsid w:val="00AA2AFB"/>
    <w:rsid w:val="00AA2CB7"/>
    <w:rsid w:val="00AA2EA0"/>
    <w:rsid w:val="00AA2F16"/>
    <w:rsid w:val="00AA304B"/>
    <w:rsid w:val="00AA3183"/>
    <w:rsid w:val="00AA34D5"/>
    <w:rsid w:val="00AA358D"/>
    <w:rsid w:val="00AA35BC"/>
    <w:rsid w:val="00AA3730"/>
    <w:rsid w:val="00AA37C0"/>
    <w:rsid w:val="00AA3A8B"/>
    <w:rsid w:val="00AA3CED"/>
    <w:rsid w:val="00AA3F32"/>
    <w:rsid w:val="00AA4864"/>
    <w:rsid w:val="00AA4B0F"/>
    <w:rsid w:val="00AA4CDD"/>
    <w:rsid w:val="00AA4D06"/>
    <w:rsid w:val="00AA4F14"/>
    <w:rsid w:val="00AA4F9C"/>
    <w:rsid w:val="00AA51D4"/>
    <w:rsid w:val="00AA5328"/>
    <w:rsid w:val="00AA5614"/>
    <w:rsid w:val="00AA5A0D"/>
    <w:rsid w:val="00AA5A2B"/>
    <w:rsid w:val="00AA5C32"/>
    <w:rsid w:val="00AA62AC"/>
    <w:rsid w:val="00AA6441"/>
    <w:rsid w:val="00AA64F2"/>
    <w:rsid w:val="00AA65E0"/>
    <w:rsid w:val="00AA68F8"/>
    <w:rsid w:val="00AA6B04"/>
    <w:rsid w:val="00AA6BF6"/>
    <w:rsid w:val="00AA6C27"/>
    <w:rsid w:val="00AA6F63"/>
    <w:rsid w:val="00AA6F7E"/>
    <w:rsid w:val="00AA7163"/>
    <w:rsid w:val="00AA718D"/>
    <w:rsid w:val="00AA72FB"/>
    <w:rsid w:val="00AA74D7"/>
    <w:rsid w:val="00AA7909"/>
    <w:rsid w:val="00AA792A"/>
    <w:rsid w:val="00AA7935"/>
    <w:rsid w:val="00AA7AB8"/>
    <w:rsid w:val="00AA7AC2"/>
    <w:rsid w:val="00AA7CAB"/>
    <w:rsid w:val="00AA7E33"/>
    <w:rsid w:val="00AA7FA7"/>
    <w:rsid w:val="00AB04A2"/>
    <w:rsid w:val="00AB04B7"/>
    <w:rsid w:val="00AB06E3"/>
    <w:rsid w:val="00AB074E"/>
    <w:rsid w:val="00AB08C2"/>
    <w:rsid w:val="00AB132B"/>
    <w:rsid w:val="00AB13E9"/>
    <w:rsid w:val="00AB1712"/>
    <w:rsid w:val="00AB1B45"/>
    <w:rsid w:val="00AB1C2A"/>
    <w:rsid w:val="00AB2068"/>
    <w:rsid w:val="00AB2381"/>
    <w:rsid w:val="00AB24A0"/>
    <w:rsid w:val="00AB24AA"/>
    <w:rsid w:val="00AB26B0"/>
    <w:rsid w:val="00AB2741"/>
    <w:rsid w:val="00AB27E5"/>
    <w:rsid w:val="00AB299A"/>
    <w:rsid w:val="00AB2F33"/>
    <w:rsid w:val="00AB3097"/>
    <w:rsid w:val="00AB30D5"/>
    <w:rsid w:val="00AB314A"/>
    <w:rsid w:val="00AB3276"/>
    <w:rsid w:val="00AB33DA"/>
    <w:rsid w:val="00AB3799"/>
    <w:rsid w:val="00AB381C"/>
    <w:rsid w:val="00AB38C4"/>
    <w:rsid w:val="00AB39B6"/>
    <w:rsid w:val="00AB3FE8"/>
    <w:rsid w:val="00AB4067"/>
    <w:rsid w:val="00AB409F"/>
    <w:rsid w:val="00AB412C"/>
    <w:rsid w:val="00AB41D1"/>
    <w:rsid w:val="00AB41E2"/>
    <w:rsid w:val="00AB4329"/>
    <w:rsid w:val="00AB4362"/>
    <w:rsid w:val="00AB450D"/>
    <w:rsid w:val="00AB4575"/>
    <w:rsid w:val="00AB461B"/>
    <w:rsid w:val="00AB48D7"/>
    <w:rsid w:val="00AB4940"/>
    <w:rsid w:val="00AB49DC"/>
    <w:rsid w:val="00AB4D9B"/>
    <w:rsid w:val="00AB4DB2"/>
    <w:rsid w:val="00AB4DD1"/>
    <w:rsid w:val="00AB541A"/>
    <w:rsid w:val="00AB5E3B"/>
    <w:rsid w:val="00AB5E67"/>
    <w:rsid w:val="00AB5FA0"/>
    <w:rsid w:val="00AB6107"/>
    <w:rsid w:val="00AB619A"/>
    <w:rsid w:val="00AB63F3"/>
    <w:rsid w:val="00AB6496"/>
    <w:rsid w:val="00AB6A7B"/>
    <w:rsid w:val="00AB6CA7"/>
    <w:rsid w:val="00AB6D0D"/>
    <w:rsid w:val="00AB6E9A"/>
    <w:rsid w:val="00AB709B"/>
    <w:rsid w:val="00AB71AC"/>
    <w:rsid w:val="00AB71AD"/>
    <w:rsid w:val="00AB7224"/>
    <w:rsid w:val="00AB775C"/>
    <w:rsid w:val="00AB793D"/>
    <w:rsid w:val="00AB7993"/>
    <w:rsid w:val="00AB7AE5"/>
    <w:rsid w:val="00AB7E62"/>
    <w:rsid w:val="00AC01BD"/>
    <w:rsid w:val="00AC0298"/>
    <w:rsid w:val="00AC031E"/>
    <w:rsid w:val="00AC0451"/>
    <w:rsid w:val="00AC0C28"/>
    <w:rsid w:val="00AC0FAB"/>
    <w:rsid w:val="00AC13DD"/>
    <w:rsid w:val="00AC1828"/>
    <w:rsid w:val="00AC18AF"/>
    <w:rsid w:val="00AC19D9"/>
    <w:rsid w:val="00AC19E9"/>
    <w:rsid w:val="00AC1F3B"/>
    <w:rsid w:val="00AC1FD1"/>
    <w:rsid w:val="00AC2298"/>
    <w:rsid w:val="00AC23E0"/>
    <w:rsid w:val="00AC2618"/>
    <w:rsid w:val="00AC26C4"/>
    <w:rsid w:val="00AC286C"/>
    <w:rsid w:val="00AC2908"/>
    <w:rsid w:val="00AC2DBD"/>
    <w:rsid w:val="00AC39B9"/>
    <w:rsid w:val="00AC3C4F"/>
    <w:rsid w:val="00AC3E1A"/>
    <w:rsid w:val="00AC3F53"/>
    <w:rsid w:val="00AC4099"/>
    <w:rsid w:val="00AC40B0"/>
    <w:rsid w:val="00AC42E4"/>
    <w:rsid w:val="00AC43FF"/>
    <w:rsid w:val="00AC4471"/>
    <w:rsid w:val="00AC44ED"/>
    <w:rsid w:val="00AC4746"/>
    <w:rsid w:val="00AC47D0"/>
    <w:rsid w:val="00AC4935"/>
    <w:rsid w:val="00AC4A0E"/>
    <w:rsid w:val="00AC4D1D"/>
    <w:rsid w:val="00AC4DFD"/>
    <w:rsid w:val="00AC4E98"/>
    <w:rsid w:val="00AC5082"/>
    <w:rsid w:val="00AC5359"/>
    <w:rsid w:val="00AC55A5"/>
    <w:rsid w:val="00AC56E9"/>
    <w:rsid w:val="00AC5B3A"/>
    <w:rsid w:val="00AC5B71"/>
    <w:rsid w:val="00AC5C79"/>
    <w:rsid w:val="00AC5D26"/>
    <w:rsid w:val="00AC5F02"/>
    <w:rsid w:val="00AC5F2E"/>
    <w:rsid w:val="00AC60C0"/>
    <w:rsid w:val="00AC631E"/>
    <w:rsid w:val="00AC64C1"/>
    <w:rsid w:val="00AC66D9"/>
    <w:rsid w:val="00AC66FB"/>
    <w:rsid w:val="00AC6747"/>
    <w:rsid w:val="00AC67BC"/>
    <w:rsid w:val="00AC690C"/>
    <w:rsid w:val="00AC695C"/>
    <w:rsid w:val="00AC6A1F"/>
    <w:rsid w:val="00AC6C89"/>
    <w:rsid w:val="00AC6E6B"/>
    <w:rsid w:val="00AC70CF"/>
    <w:rsid w:val="00AC7244"/>
    <w:rsid w:val="00AC73A2"/>
    <w:rsid w:val="00AC7E8E"/>
    <w:rsid w:val="00AC7EF4"/>
    <w:rsid w:val="00AD0363"/>
    <w:rsid w:val="00AD0500"/>
    <w:rsid w:val="00AD09AC"/>
    <w:rsid w:val="00AD0A0D"/>
    <w:rsid w:val="00AD0A7E"/>
    <w:rsid w:val="00AD1078"/>
    <w:rsid w:val="00AD10E6"/>
    <w:rsid w:val="00AD12D8"/>
    <w:rsid w:val="00AD188E"/>
    <w:rsid w:val="00AD1A29"/>
    <w:rsid w:val="00AD1A7E"/>
    <w:rsid w:val="00AD1B0B"/>
    <w:rsid w:val="00AD1D91"/>
    <w:rsid w:val="00AD1DED"/>
    <w:rsid w:val="00AD20AB"/>
    <w:rsid w:val="00AD234C"/>
    <w:rsid w:val="00AD24E1"/>
    <w:rsid w:val="00AD2854"/>
    <w:rsid w:val="00AD2C6A"/>
    <w:rsid w:val="00AD2EF2"/>
    <w:rsid w:val="00AD2F57"/>
    <w:rsid w:val="00AD33B2"/>
    <w:rsid w:val="00AD368F"/>
    <w:rsid w:val="00AD3708"/>
    <w:rsid w:val="00AD38EE"/>
    <w:rsid w:val="00AD3AD1"/>
    <w:rsid w:val="00AD3BC8"/>
    <w:rsid w:val="00AD3EFD"/>
    <w:rsid w:val="00AD3F53"/>
    <w:rsid w:val="00AD3F6A"/>
    <w:rsid w:val="00AD403A"/>
    <w:rsid w:val="00AD42BB"/>
    <w:rsid w:val="00AD42F3"/>
    <w:rsid w:val="00AD446D"/>
    <w:rsid w:val="00AD456A"/>
    <w:rsid w:val="00AD46FC"/>
    <w:rsid w:val="00AD4916"/>
    <w:rsid w:val="00AD4B93"/>
    <w:rsid w:val="00AD4C4F"/>
    <w:rsid w:val="00AD4F30"/>
    <w:rsid w:val="00AD4FD4"/>
    <w:rsid w:val="00AD5145"/>
    <w:rsid w:val="00AD52D9"/>
    <w:rsid w:val="00AD54E5"/>
    <w:rsid w:val="00AD589F"/>
    <w:rsid w:val="00AD59C3"/>
    <w:rsid w:val="00AD5A44"/>
    <w:rsid w:val="00AD5AF4"/>
    <w:rsid w:val="00AD5D9E"/>
    <w:rsid w:val="00AD6085"/>
    <w:rsid w:val="00AD616E"/>
    <w:rsid w:val="00AD63D2"/>
    <w:rsid w:val="00AD6612"/>
    <w:rsid w:val="00AD6B14"/>
    <w:rsid w:val="00AD6BAA"/>
    <w:rsid w:val="00AD6BDF"/>
    <w:rsid w:val="00AD73F2"/>
    <w:rsid w:val="00AD744B"/>
    <w:rsid w:val="00AD7580"/>
    <w:rsid w:val="00AD79B0"/>
    <w:rsid w:val="00AD7B9E"/>
    <w:rsid w:val="00AD7C0B"/>
    <w:rsid w:val="00AD7DC0"/>
    <w:rsid w:val="00AE0047"/>
    <w:rsid w:val="00AE0446"/>
    <w:rsid w:val="00AE07C2"/>
    <w:rsid w:val="00AE08D4"/>
    <w:rsid w:val="00AE0C19"/>
    <w:rsid w:val="00AE0DC4"/>
    <w:rsid w:val="00AE0E51"/>
    <w:rsid w:val="00AE0FB5"/>
    <w:rsid w:val="00AE1118"/>
    <w:rsid w:val="00AE1293"/>
    <w:rsid w:val="00AE12FA"/>
    <w:rsid w:val="00AE147E"/>
    <w:rsid w:val="00AE16A2"/>
    <w:rsid w:val="00AE16CD"/>
    <w:rsid w:val="00AE175A"/>
    <w:rsid w:val="00AE1B35"/>
    <w:rsid w:val="00AE1C47"/>
    <w:rsid w:val="00AE1CE8"/>
    <w:rsid w:val="00AE1D53"/>
    <w:rsid w:val="00AE1DFD"/>
    <w:rsid w:val="00AE1ECC"/>
    <w:rsid w:val="00AE1EE9"/>
    <w:rsid w:val="00AE2142"/>
    <w:rsid w:val="00AE24DE"/>
    <w:rsid w:val="00AE267F"/>
    <w:rsid w:val="00AE2721"/>
    <w:rsid w:val="00AE2ABF"/>
    <w:rsid w:val="00AE2BB8"/>
    <w:rsid w:val="00AE2E31"/>
    <w:rsid w:val="00AE2EA2"/>
    <w:rsid w:val="00AE372C"/>
    <w:rsid w:val="00AE3B22"/>
    <w:rsid w:val="00AE3B6D"/>
    <w:rsid w:val="00AE3D3A"/>
    <w:rsid w:val="00AE3F0D"/>
    <w:rsid w:val="00AE4125"/>
    <w:rsid w:val="00AE4266"/>
    <w:rsid w:val="00AE4577"/>
    <w:rsid w:val="00AE46AB"/>
    <w:rsid w:val="00AE4787"/>
    <w:rsid w:val="00AE4A05"/>
    <w:rsid w:val="00AE4BB5"/>
    <w:rsid w:val="00AE4E1A"/>
    <w:rsid w:val="00AE4E42"/>
    <w:rsid w:val="00AE4E56"/>
    <w:rsid w:val="00AE4FB7"/>
    <w:rsid w:val="00AE52A5"/>
    <w:rsid w:val="00AE52C5"/>
    <w:rsid w:val="00AE53C2"/>
    <w:rsid w:val="00AE5904"/>
    <w:rsid w:val="00AE596A"/>
    <w:rsid w:val="00AE597F"/>
    <w:rsid w:val="00AE59EF"/>
    <w:rsid w:val="00AE5C71"/>
    <w:rsid w:val="00AE5E02"/>
    <w:rsid w:val="00AE5F94"/>
    <w:rsid w:val="00AE608A"/>
    <w:rsid w:val="00AE610D"/>
    <w:rsid w:val="00AE675A"/>
    <w:rsid w:val="00AE67BD"/>
    <w:rsid w:val="00AE68BF"/>
    <w:rsid w:val="00AE699F"/>
    <w:rsid w:val="00AE6C6C"/>
    <w:rsid w:val="00AE6F0B"/>
    <w:rsid w:val="00AE6F48"/>
    <w:rsid w:val="00AE729F"/>
    <w:rsid w:val="00AE7463"/>
    <w:rsid w:val="00AE74AC"/>
    <w:rsid w:val="00AE74C2"/>
    <w:rsid w:val="00AE7914"/>
    <w:rsid w:val="00AE7C33"/>
    <w:rsid w:val="00AE7F78"/>
    <w:rsid w:val="00AF038D"/>
    <w:rsid w:val="00AF03BC"/>
    <w:rsid w:val="00AF06CD"/>
    <w:rsid w:val="00AF06E7"/>
    <w:rsid w:val="00AF07C9"/>
    <w:rsid w:val="00AF0A47"/>
    <w:rsid w:val="00AF0A4B"/>
    <w:rsid w:val="00AF0BAE"/>
    <w:rsid w:val="00AF0CEF"/>
    <w:rsid w:val="00AF0EDE"/>
    <w:rsid w:val="00AF0FF0"/>
    <w:rsid w:val="00AF10E8"/>
    <w:rsid w:val="00AF164E"/>
    <w:rsid w:val="00AF1763"/>
    <w:rsid w:val="00AF1C08"/>
    <w:rsid w:val="00AF1D6F"/>
    <w:rsid w:val="00AF1F73"/>
    <w:rsid w:val="00AF214F"/>
    <w:rsid w:val="00AF225D"/>
    <w:rsid w:val="00AF25FC"/>
    <w:rsid w:val="00AF262F"/>
    <w:rsid w:val="00AF2781"/>
    <w:rsid w:val="00AF2888"/>
    <w:rsid w:val="00AF2911"/>
    <w:rsid w:val="00AF2DCA"/>
    <w:rsid w:val="00AF30B2"/>
    <w:rsid w:val="00AF3445"/>
    <w:rsid w:val="00AF3816"/>
    <w:rsid w:val="00AF381E"/>
    <w:rsid w:val="00AF3B2A"/>
    <w:rsid w:val="00AF3C2D"/>
    <w:rsid w:val="00AF3C56"/>
    <w:rsid w:val="00AF3D05"/>
    <w:rsid w:val="00AF3FCB"/>
    <w:rsid w:val="00AF41E0"/>
    <w:rsid w:val="00AF4205"/>
    <w:rsid w:val="00AF44E7"/>
    <w:rsid w:val="00AF4509"/>
    <w:rsid w:val="00AF45EF"/>
    <w:rsid w:val="00AF487D"/>
    <w:rsid w:val="00AF48B0"/>
    <w:rsid w:val="00AF48D3"/>
    <w:rsid w:val="00AF4B5A"/>
    <w:rsid w:val="00AF4C92"/>
    <w:rsid w:val="00AF4DFE"/>
    <w:rsid w:val="00AF518A"/>
    <w:rsid w:val="00AF52BC"/>
    <w:rsid w:val="00AF5367"/>
    <w:rsid w:val="00AF5377"/>
    <w:rsid w:val="00AF54CC"/>
    <w:rsid w:val="00AF54FE"/>
    <w:rsid w:val="00AF5731"/>
    <w:rsid w:val="00AF590B"/>
    <w:rsid w:val="00AF5AD3"/>
    <w:rsid w:val="00AF5D91"/>
    <w:rsid w:val="00AF5F72"/>
    <w:rsid w:val="00AF61D8"/>
    <w:rsid w:val="00AF62BE"/>
    <w:rsid w:val="00AF65CE"/>
    <w:rsid w:val="00AF6708"/>
    <w:rsid w:val="00AF6791"/>
    <w:rsid w:val="00AF67C0"/>
    <w:rsid w:val="00AF6821"/>
    <w:rsid w:val="00AF6824"/>
    <w:rsid w:val="00AF6972"/>
    <w:rsid w:val="00AF6CE5"/>
    <w:rsid w:val="00AF6D99"/>
    <w:rsid w:val="00AF715A"/>
    <w:rsid w:val="00AF71C2"/>
    <w:rsid w:val="00AF7232"/>
    <w:rsid w:val="00AF75D8"/>
    <w:rsid w:val="00AF7C52"/>
    <w:rsid w:val="00AF7D3C"/>
    <w:rsid w:val="00AF7DDF"/>
    <w:rsid w:val="00AF7F05"/>
    <w:rsid w:val="00B00001"/>
    <w:rsid w:val="00B00638"/>
    <w:rsid w:val="00B00865"/>
    <w:rsid w:val="00B00B8F"/>
    <w:rsid w:val="00B00C82"/>
    <w:rsid w:val="00B00E35"/>
    <w:rsid w:val="00B00F02"/>
    <w:rsid w:val="00B0101F"/>
    <w:rsid w:val="00B011AE"/>
    <w:rsid w:val="00B0132F"/>
    <w:rsid w:val="00B01376"/>
    <w:rsid w:val="00B01480"/>
    <w:rsid w:val="00B016AC"/>
    <w:rsid w:val="00B018C7"/>
    <w:rsid w:val="00B01A73"/>
    <w:rsid w:val="00B01AFB"/>
    <w:rsid w:val="00B01CDB"/>
    <w:rsid w:val="00B01D77"/>
    <w:rsid w:val="00B01DD6"/>
    <w:rsid w:val="00B01E1B"/>
    <w:rsid w:val="00B021B1"/>
    <w:rsid w:val="00B021CD"/>
    <w:rsid w:val="00B0231D"/>
    <w:rsid w:val="00B02397"/>
    <w:rsid w:val="00B0239F"/>
    <w:rsid w:val="00B024F6"/>
    <w:rsid w:val="00B02525"/>
    <w:rsid w:val="00B025FF"/>
    <w:rsid w:val="00B02A25"/>
    <w:rsid w:val="00B02D60"/>
    <w:rsid w:val="00B02DB1"/>
    <w:rsid w:val="00B0302C"/>
    <w:rsid w:val="00B0312E"/>
    <w:rsid w:val="00B03620"/>
    <w:rsid w:val="00B03661"/>
    <w:rsid w:val="00B036A5"/>
    <w:rsid w:val="00B037A7"/>
    <w:rsid w:val="00B0398D"/>
    <w:rsid w:val="00B03A3A"/>
    <w:rsid w:val="00B03E2C"/>
    <w:rsid w:val="00B03E69"/>
    <w:rsid w:val="00B03ED1"/>
    <w:rsid w:val="00B04516"/>
    <w:rsid w:val="00B049FA"/>
    <w:rsid w:val="00B04B8B"/>
    <w:rsid w:val="00B04F31"/>
    <w:rsid w:val="00B050B4"/>
    <w:rsid w:val="00B05A10"/>
    <w:rsid w:val="00B05CAE"/>
    <w:rsid w:val="00B05D19"/>
    <w:rsid w:val="00B05D20"/>
    <w:rsid w:val="00B05DAA"/>
    <w:rsid w:val="00B05ECF"/>
    <w:rsid w:val="00B05F1B"/>
    <w:rsid w:val="00B06082"/>
    <w:rsid w:val="00B060F5"/>
    <w:rsid w:val="00B0626E"/>
    <w:rsid w:val="00B06485"/>
    <w:rsid w:val="00B065FD"/>
    <w:rsid w:val="00B06625"/>
    <w:rsid w:val="00B06713"/>
    <w:rsid w:val="00B06746"/>
    <w:rsid w:val="00B0689B"/>
    <w:rsid w:val="00B068D4"/>
    <w:rsid w:val="00B06DC3"/>
    <w:rsid w:val="00B06F87"/>
    <w:rsid w:val="00B0701B"/>
    <w:rsid w:val="00B073D9"/>
    <w:rsid w:val="00B07409"/>
    <w:rsid w:val="00B076DF"/>
    <w:rsid w:val="00B077DA"/>
    <w:rsid w:val="00B0784C"/>
    <w:rsid w:val="00B0793C"/>
    <w:rsid w:val="00B07BBA"/>
    <w:rsid w:val="00B07CF5"/>
    <w:rsid w:val="00B07D62"/>
    <w:rsid w:val="00B07FC3"/>
    <w:rsid w:val="00B103D4"/>
    <w:rsid w:val="00B104FB"/>
    <w:rsid w:val="00B106EF"/>
    <w:rsid w:val="00B106F3"/>
    <w:rsid w:val="00B10AF8"/>
    <w:rsid w:val="00B10C46"/>
    <w:rsid w:val="00B10E9A"/>
    <w:rsid w:val="00B111B8"/>
    <w:rsid w:val="00B111E7"/>
    <w:rsid w:val="00B115BD"/>
    <w:rsid w:val="00B11725"/>
    <w:rsid w:val="00B11BBF"/>
    <w:rsid w:val="00B11C77"/>
    <w:rsid w:val="00B11D9E"/>
    <w:rsid w:val="00B11DE9"/>
    <w:rsid w:val="00B125E3"/>
    <w:rsid w:val="00B12727"/>
    <w:rsid w:val="00B1294F"/>
    <w:rsid w:val="00B1296F"/>
    <w:rsid w:val="00B12E9D"/>
    <w:rsid w:val="00B12F4B"/>
    <w:rsid w:val="00B1307F"/>
    <w:rsid w:val="00B13082"/>
    <w:rsid w:val="00B13108"/>
    <w:rsid w:val="00B13446"/>
    <w:rsid w:val="00B13683"/>
    <w:rsid w:val="00B13876"/>
    <w:rsid w:val="00B13A4B"/>
    <w:rsid w:val="00B13C40"/>
    <w:rsid w:val="00B13D67"/>
    <w:rsid w:val="00B13F61"/>
    <w:rsid w:val="00B14247"/>
    <w:rsid w:val="00B145ED"/>
    <w:rsid w:val="00B14699"/>
    <w:rsid w:val="00B14C6F"/>
    <w:rsid w:val="00B14CA3"/>
    <w:rsid w:val="00B14D9C"/>
    <w:rsid w:val="00B1501D"/>
    <w:rsid w:val="00B1561C"/>
    <w:rsid w:val="00B1576D"/>
    <w:rsid w:val="00B158B8"/>
    <w:rsid w:val="00B15CFE"/>
    <w:rsid w:val="00B15E12"/>
    <w:rsid w:val="00B15F6E"/>
    <w:rsid w:val="00B1641D"/>
    <w:rsid w:val="00B16472"/>
    <w:rsid w:val="00B164E2"/>
    <w:rsid w:val="00B16648"/>
    <w:rsid w:val="00B16771"/>
    <w:rsid w:val="00B16887"/>
    <w:rsid w:val="00B16A1A"/>
    <w:rsid w:val="00B16DCC"/>
    <w:rsid w:val="00B16EC4"/>
    <w:rsid w:val="00B16EF0"/>
    <w:rsid w:val="00B17181"/>
    <w:rsid w:val="00B171A5"/>
    <w:rsid w:val="00B17268"/>
    <w:rsid w:val="00B1735F"/>
    <w:rsid w:val="00B173A0"/>
    <w:rsid w:val="00B1795A"/>
    <w:rsid w:val="00B17CFF"/>
    <w:rsid w:val="00B17DF8"/>
    <w:rsid w:val="00B17FC4"/>
    <w:rsid w:val="00B200D9"/>
    <w:rsid w:val="00B207DB"/>
    <w:rsid w:val="00B20CB6"/>
    <w:rsid w:val="00B20F3C"/>
    <w:rsid w:val="00B20F62"/>
    <w:rsid w:val="00B21041"/>
    <w:rsid w:val="00B21350"/>
    <w:rsid w:val="00B215AC"/>
    <w:rsid w:val="00B2169F"/>
    <w:rsid w:val="00B21726"/>
    <w:rsid w:val="00B2181D"/>
    <w:rsid w:val="00B2181E"/>
    <w:rsid w:val="00B2197D"/>
    <w:rsid w:val="00B21AF8"/>
    <w:rsid w:val="00B21BF0"/>
    <w:rsid w:val="00B21CE9"/>
    <w:rsid w:val="00B21F99"/>
    <w:rsid w:val="00B22079"/>
    <w:rsid w:val="00B221C0"/>
    <w:rsid w:val="00B223D0"/>
    <w:rsid w:val="00B2241C"/>
    <w:rsid w:val="00B22622"/>
    <w:rsid w:val="00B22635"/>
    <w:rsid w:val="00B227C5"/>
    <w:rsid w:val="00B22AB1"/>
    <w:rsid w:val="00B22B95"/>
    <w:rsid w:val="00B22B9C"/>
    <w:rsid w:val="00B22C59"/>
    <w:rsid w:val="00B22D13"/>
    <w:rsid w:val="00B22D21"/>
    <w:rsid w:val="00B22D85"/>
    <w:rsid w:val="00B22FC4"/>
    <w:rsid w:val="00B2382B"/>
    <w:rsid w:val="00B23A45"/>
    <w:rsid w:val="00B23AD6"/>
    <w:rsid w:val="00B23C02"/>
    <w:rsid w:val="00B23C3E"/>
    <w:rsid w:val="00B23E1C"/>
    <w:rsid w:val="00B24150"/>
    <w:rsid w:val="00B245FA"/>
    <w:rsid w:val="00B24760"/>
    <w:rsid w:val="00B24DEE"/>
    <w:rsid w:val="00B24ECD"/>
    <w:rsid w:val="00B252C2"/>
    <w:rsid w:val="00B25304"/>
    <w:rsid w:val="00B25486"/>
    <w:rsid w:val="00B255CE"/>
    <w:rsid w:val="00B256BD"/>
    <w:rsid w:val="00B25870"/>
    <w:rsid w:val="00B258A8"/>
    <w:rsid w:val="00B258F9"/>
    <w:rsid w:val="00B25BD7"/>
    <w:rsid w:val="00B25CA2"/>
    <w:rsid w:val="00B25EB8"/>
    <w:rsid w:val="00B25F04"/>
    <w:rsid w:val="00B26946"/>
    <w:rsid w:val="00B26E42"/>
    <w:rsid w:val="00B26F8B"/>
    <w:rsid w:val="00B2700D"/>
    <w:rsid w:val="00B273B4"/>
    <w:rsid w:val="00B27556"/>
    <w:rsid w:val="00B27A9E"/>
    <w:rsid w:val="00B27C2E"/>
    <w:rsid w:val="00B27CBF"/>
    <w:rsid w:val="00B27CE2"/>
    <w:rsid w:val="00B27DAB"/>
    <w:rsid w:val="00B27E11"/>
    <w:rsid w:val="00B300E8"/>
    <w:rsid w:val="00B302DF"/>
    <w:rsid w:val="00B30400"/>
    <w:rsid w:val="00B305BD"/>
    <w:rsid w:val="00B307E9"/>
    <w:rsid w:val="00B30AB2"/>
    <w:rsid w:val="00B30C3F"/>
    <w:rsid w:val="00B30D0A"/>
    <w:rsid w:val="00B30DCF"/>
    <w:rsid w:val="00B310BE"/>
    <w:rsid w:val="00B311DB"/>
    <w:rsid w:val="00B312D1"/>
    <w:rsid w:val="00B3130C"/>
    <w:rsid w:val="00B31350"/>
    <w:rsid w:val="00B313DE"/>
    <w:rsid w:val="00B3169D"/>
    <w:rsid w:val="00B3181F"/>
    <w:rsid w:val="00B31954"/>
    <w:rsid w:val="00B319EE"/>
    <w:rsid w:val="00B31A75"/>
    <w:rsid w:val="00B31B34"/>
    <w:rsid w:val="00B31C31"/>
    <w:rsid w:val="00B31E3D"/>
    <w:rsid w:val="00B31F36"/>
    <w:rsid w:val="00B320E7"/>
    <w:rsid w:val="00B326D1"/>
    <w:rsid w:val="00B3283A"/>
    <w:rsid w:val="00B32842"/>
    <w:rsid w:val="00B32A91"/>
    <w:rsid w:val="00B32B62"/>
    <w:rsid w:val="00B32C72"/>
    <w:rsid w:val="00B32E43"/>
    <w:rsid w:val="00B33028"/>
    <w:rsid w:val="00B333D1"/>
    <w:rsid w:val="00B33445"/>
    <w:rsid w:val="00B33694"/>
    <w:rsid w:val="00B337D2"/>
    <w:rsid w:val="00B33C2B"/>
    <w:rsid w:val="00B33C64"/>
    <w:rsid w:val="00B33E40"/>
    <w:rsid w:val="00B33EBF"/>
    <w:rsid w:val="00B342FA"/>
    <w:rsid w:val="00B34332"/>
    <w:rsid w:val="00B34712"/>
    <w:rsid w:val="00B34AA4"/>
    <w:rsid w:val="00B34B17"/>
    <w:rsid w:val="00B34CB3"/>
    <w:rsid w:val="00B34D0E"/>
    <w:rsid w:val="00B34D80"/>
    <w:rsid w:val="00B34E0E"/>
    <w:rsid w:val="00B352DE"/>
    <w:rsid w:val="00B352EA"/>
    <w:rsid w:val="00B354F3"/>
    <w:rsid w:val="00B355C9"/>
    <w:rsid w:val="00B3575A"/>
    <w:rsid w:val="00B35AF3"/>
    <w:rsid w:val="00B35C17"/>
    <w:rsid w:val="00B35EC1"/>
    <w:rsid w:val="00B35F3D"/>
    <w:rsid w:val="00B36483"/>
    <w:rsid w:val="00B364A4"/>
    <w:rsid w:val="00B364F4"/>
    <w:rsid w:val="00B3656C"/>
    <w:rsid w:val="00B3659A"/>
    <w:rsid w:val="00B365C5"/>
    <w:rsid w:val="00B367B2"/>
    <w:rsid w:val="00B3680A"/>
    <w:rsid w:val="00B36984"/>
    <w:rsid w:val="00B36DB7"/>
    <w:rsid w:val="00B36FE4"/>
    <w:rsid w:val="00B370BC"/>
    <w:rsid w:val="00B372E8"/>
    <w:rsid w:val="00B3758C"/>
    <w:rsid w:val="00B376A3"/>
    <w:rsid w:val="00B376C6"/>
    <w:rsid w:val="00B3792C"/>
    <w:rsid w:val="00B4002D"/>
    <w:rsid w:val="00B40284"/>
    <w:rsid w:val="00B4045A"/>
    <w:rsid w:val="00B407BD"/>
    <w:rsid w:val="00B40870"/>
    <w:rsid w:val="00B40A13"/>
    <w:rsid w:val="00B40CF2"/>
    <w:rsid w:val="00B40F68"/>
    <w:rsid w:val="00B41023"/>
    <w:rsid w:val="00B4165C"/>
    <w:rsid w:val="00B41695"/>
    <w:rsid w:val="00B41826"/>
    <w:rsid w:val="00B41A53"/>
    <w:rsid w:val="00B41A5D"/>
    <w:rsid w:val="00B41E29"/>
    <w:rsid w:val="00B41E2A"/>
    <w:rsid w:val="00B41EAE"/>
    <w:rsid w:val="00B41F04"/>
    <w:rsid w:val="00B420F5"/>
    <w:rsid w:val="00B42170"/>
    <w:rsid w:val="00B4221E"/>
    <w:rsid w:val="00B42252"/>
    <w:rsid w:val="00B4241D"/>
    <w:rsid w:val="00B428CF"/>
    <w:rsid w:val="00B42BD2"/>
    <w:rsid w:val="00B42C02"/>
    <w:rsid w:val="00B42CDF"/>
    <w:rsid w:val="00B43109"/>
    <w:rsid w:val="00B437F5"/>
    <w:rsid w:val="00B43917"/>
    <w:rsid w:val="00B43A2E"/>
    <w:rsid w:val="00B43AA4"/>
    <w:rsid w:val="00B43CE5"/>
    <w:rsid w:val="00B43E86"/>
    <w:rsid w:val="00B43F06"/>
    <w:rsid w:val="00B442FF"/>
    <w:rsid w:val="00B44623"/>
    <w:rsid w:val="00B44741"/>
    <w:rsid w:val="00B4485C"/>
    <w:rsid w:val="00B448EF"/>
    <w:rsid w:val="00B44E00"/>
    <w:rsid w:val="00B451F7"/>
    <w:rsid w:val="00B456B2"/>
    <w:rsid w:val="00B4572B"/>
    <w:rsid w:val="00B45A73"/>
    <w:rsid w:val="00B45CE2"/>
    <w:rsid w:val="00B45DC0"/>
    <w:rsid w:val="00B462C1"/>
    <w:rsid w:val="00B4634B"/>
    <w:rsid w:val="00B46453"/>
    <w:rsid w:val="00B464A7"/>
    <w:rsid w:val="00B468FD"/>
    <w:rsid w:val="00B46A63"/>
    <w:rsid w:val="00B46C0E"/>
    <w:rsid w:val="00B46C8A"/>
    <w:rsid w:val="00B46CB3"/>
    <w:rsid w:val="00B46D66"/>
    <w:rsid w:val="00B46EDE"/>
    <w:rsid w:val="00B46F08"/>
    <w:rsid w:val="00B47169"/>
    <w:rsid w:val="00B472BA"/>
    <w:rsid w:val="00B472E4"/>
    <w:rsid w:val="00B474E1"/>
    <w:rsid w:val="00B478AE"/>
    <w:rsid w:val="00B47A1E"/>
    <w:rsid w:val="00B47A28"/>
    <w:rsid w:val="00B47A68"/>
    <w:rsid w:val="00B47ABE"/>
    <w:rsid w:val="00B47B0F"/>
    <w:rsid w:val="00B47D6C"/>
    <w:rsid w:val="00B47D8E"/>
    <w:rsid w:val="00B47F62"/>
    <w:rsid w:val="00B5018F"/>
    <w:rsid w:val="00B50502"/>
    <w:rsid w:val="00B505B0"/>
    <w:rsid w:val="00B50812"/>
    <w:rsid w:val="00B50C9D"/>
    <w:rsid w:val="00B50D36"/>
    <w:rsid w:val="00B510A3"/>
    <w:rsid w:val="00B51389"/>
    <w:rsid w:val="00B51545"/>
    <w:rsid w:val="00B5159A"/>
    <w:rsid w:val="00B516F9"/>
    <w:rsid w:val="00B5190D"/>
    <w:rsid w:val="00B51F03"/>
    <w:rsid w:val="00B51F47"/>
    <w:rsid w:val="00B52051"/>
    <w:rsid w:val="00B520CF"/>
    <w:rsid w:val="00B5212C"/>
    <w:rsid w:val="00B5217B"/>
    <w:rsid w:val="00B5218D"/>
    <w:rsid w:val="00B52412"/>
    <w:rsid w:val="00B5262D"/>
    <w:rsid w:val="00B52720"/>
    <w:rsid w:val="00B527D1"/>
    <w:rsid w:val="00B529AA"/>
    <w:rsid w:val="00B52A22"/>
    <w:rsid w:val="00B52AF9"/>
    <w:rsid w:val="00B52BC6"/>
    <w:rsid w:val="00B52BED"/>
    <w:rsid w:val="00B53347"/>
    <w:rsid w:val="00B535CE"/>
    <w:rsid w:val="00B53692"/>
    <w:rsid w:val="00B53891"/>
    <w:rsid w:val="00B538AE"/>
    <w:rsid w:val="00B53B76"/>
    <w:rsid w:val="00B53BEC"/>
    <w:rsid w:val="00B53F3B"/>
    <w:rsid w:val="00B5404E"/>
    <w:rsid w:val="00B54109"/>
    <w:rsid w:val="00B54206"/>
    <w:rsid w:val="00B54821"/>
    <w:rsid w:val="00B548CA"/>
    <w:rsid w:val="00B548FC"/>
    <w:rsid w:val="00B54A05"/>
    <w:rsid w:val="00B54BB3"/>
    <w:rsid w:val="00B54DB5"/>
    <w:rsid w:val="00B54DDC"/>
    <w:rsid w:val="00B54F7A"/>
    <w:rsid w:val="00B54F9C"/>
    <w:rsid w:val="00B554BF"/>
    <w:rsid w:val="00B558B1"/>
    <w:rsid w:val="00B558FC"/>
    <w:rsid w:val="00B55A41"/>
    <w:rsid w:val="00B55A9A"/>
    <w:rsid w:val="00B55F55"/>
    <w:rsid w:val="00B56008"/>
    <w:rsid w:val="00B561A7"/>
    <w:rsid w:val="00B565FB"/>
    <w:rsid w:val="00B5674B"/>
    <w:rsid w:val="00B56B0B"/>
    <w:rsid w:val="00B56C58"/>
    <w:rsid w:val="00B56C59"/>
    <w:rsid w:val="00B571C3"/>
    <w:rsid w:val="00B572BC"/>
    <w:rsid w:val="00B5747E"/>
    <w:rsid w:val="00B57865"/>
    <w:rsid w:val="00B579A7"/>
    <w:rsid w:val="00B57D0E"/>
    <w:rsid w:val="00B57FE9"/>
    <w:rsid w:val="00B6008D"/>
    <w:rsid w:val="00B600C6"/>
    <w:rsid w:val="00B60117"/>
    <w:rsid w:val="00B60405"/>
    <w:rsid w:val="00B6067F"/>
    <w:rsid w:val="00B6069B"/>
    <w:rsid w:val="00B60C06"/>
    <w:rsid w:val="00B60C8B"/>
    <w:rsid w:val="00B60E9C"/>
    <w:rsid w:val="00B60F30"/>
    <w:rsid w:val="00B610F4"/>
    <w:rsid w:val="00B61366"/>
    <w:rsid w:val="00B61D14"/>
    <w:rsid w:val="00B61D20"/>
    <w:rsid w:val="00B61D36"/>
    <w:rsid w:val="00B61DD8"/>
    <w:rsid w:val="00B620C6"/>
    <w:rsid w:val="00B6250D"/>
    <w:rsid w:val="00B62C2A"/>
    <w:rsid w:val="00B62D16"/>
    <w:rsid w:val="00B62DBD"/>
    <w:rsid w:val="00B62ED0"/>
    <w:rsid w:val="00B62ED5"/>
    <w:rsid w:val="00B62F92"/>
    <w:rsid w:val="00B62FB6"/>
    <w:rsid w:val="00B63581"/>
    <w:rsid w:val="00B63753"/>
    <w:rsid w:val="00B6394A"/>
    <w:rsid w:val="00B63CB9"/>
    <w:rsid w:val="00B64302"/>
    <w:rsid w:val="00B643DE"/>
    <w:rsid w:val="00B64483"/>
    <w:rsid w:val="00B64558"/>
    <w:rsid w:val="00B64808"/>
    <w:rsid w:val="00B64A1E"/>
    <w:rsid w:val="00B64B13"/>
    <w:rsid w:val="00B64F01"/>
    <w:rsid w:val="00B6521F"/>
    <w:rsid w:val="00B652B4"/>
    <w:rsid w:val="00B655CF"/>
    <w:rsid w:val="00B659AD"/>
    <w:rsid w:val="00B65B6C"/>
    <w:rsid w:val="00B65C2F"/>
    <w:rsid w:val="00B65D1D"/>
    <w:rsid w:val="00B66039"/>
    <w:rsid w:val="00B66452"/>
    <w:rsid w:val="00B665B3"/>
    <w:rsid w:val="00B6661E"/>
    <w:rsid w:val="00B6663B"/>
    <w:rsid w:val="00B668A2"/>
    <w:rsid w:val="00B668F3"/>
    <w:rsid w:val="00B66AC3"/>
    <w:rsid w:val="00B66B6C"/>
    <w:rsid w:val="00B66ECA"/>
    <w:rsid w:val="00B670F4"/>
    <w:rsid w:val="00B67440"/>
    <w:rsid w:val="00B67A1E"/>
    <w:rsid w:val="00B67BF3"/>
    <w:rsid w:val="00B67D8A"/>
    <w:rsid w:val="00B67E24"/>
    <w:rsid w:val="00B67F54"/>
    <w:rsid w:val="00B7009F"/>
    <w:rsid w:val="00B701CA"/>
    <w:rsid w:val="00B7024F"/>
    <w:rsid w:val="00B704C4"/>
    <w:rsid w:val="00B707E1"/>
    <w:rsid w:val="00B70987"/>
    <w:rsid w:val="00B70BFC"/>
    <w:rsid w:val="00B70E2F"/>
    <w:rsid w:val="00B71665"/>
    <w:rsid w:val="00B71717"/>
    <w:rsid w:val="00B7171E"/>
    <w:rsid w:val="00B71859"/>
    <w:rsid w:val="00B71A53"/>
    <w:rsid w:val="00B71BBE"/>
    <w:rsid w:val="00B71D0D"/>
    <w:rsid w:val="00B72811"/>
    <w:rsid w:val="00B729E8"/>
    <w:rsid w:val="00B72AE9"/>
    <w:rsid w:val="00B72C22"/>
    <w:rsid w:val="00B72D0D"/>
    <w:rsid w:val="00B72D75"/>
    <w:rsid w:val="00B72DCA"/>
    <w:rsid w:val="00B72F66"/>
    <w:rsid w:val="00B730AE"/>
    <w:rsid w:val="00B7327D"/>
    <w:rsid w:val="00B732B9"/>
    <w:rsid w:val="00B73639"/>
    <w:rsid w:val="00B73856"/>
    <w:rsid w:val="00B73EBF"/>
    <w:rsid w:val="00B73F95"/>
    <w:rsid w:val="00B74405"/>
    <w:rsid w:val="00B744F5"/>
    <w:rsid w:val="00B74715"/>
    <w:rsid w:val="00B74770"/>
    <w:rsid w:val="00B747BF"/>
    <w:rsid w:val="00B74A35"/>
    <w:rsid w:val="00B74A5C"/>
    <w:rsid w:val="00B74D4D"/>
    <w:rsid w:val="00B74EE3"/>
    <w:rsid w:val="00B7509C"/>
    <w:rsid w:val="00B75125"/>
    <w:rsid w:val="00B754E2"/>
    <w:rsid w:val="00B7554C"/>
    <w:rsid w:val="00B7564B"/>
    <w:rsid w:val="00B75835"/>
    <w:rsid w:val="00B75858"/>
    <w:rsid w:val="00B75B98"/>
    <w:rsid w:val="00B75BCB"/>
    <w:rsid w:val="00B75BE2"/>
    <w:rsid w:val="00B75CB6"/>
    <w:rsid w:val="00B75D6D"/>
    <w:rsid w:val="00B75E41"/>
    <w:rsid w:val="00B75E46"/>
    <w:rsid w:val="00B75E8C"/>
    <w:rsid w:val="00B760FE"/>
    <w:rsid w:val="00B761D5"/>
    <w:rsid w:val="00B76335"/>
    <w:rsid w:val="00B765C4"/>
    <w:rsid w:val="00B7673D"/>
    <w:rsid w:val="00B76811"/>
    <w:rsid w:val="00B769C8"/>
    <w:rsid w:val="00B76AD9"/>
    <w:rsid w:val="00B76C8D"/>
    <w:rsid w:val="00B76E47"/>
    <w:rsid w:val="00B77152"/>
    <w:rsid w:val="00B7730E"/>
    <w:rsid w:val="00B77534"/>
    <w:rsid w:val="00B775B3"/>
    <w:rsid w:val="00B77709"/>
    <w:rsid w:val="00B777C6"/>
    <w:rsid w:val="00B77973"/>
    <w:rsid w:val="00B779EB"/>
    <w:rsid w:val="00B77E25"/>
    <w:rsid w:val="00B77FC2"/>
    <w:rsid w:val="00B800AB"/>
    <w:rsid w:val="00B802B5"/>
    <w:rsid w:val="00B80487"/>
    <w:rsid w:val="00B805D9"/>
    <w:rsid w:val="00B809BC"/>
    <w:rsid w:val="00B809CD"/>
    <w:rsid w:val="00B80A10"/>
    <w:rsid w:val="00B80A7A"/>
    <w:rsid w:val="00B80C09"/>
    <w:rsid w:val="00B80C92"/>
    <w:rsid w:val="00B81360"/>
    <w:rsid w:val="00B8136F"/>
    <w:rsid w:val="00B815E3"/>
    <w:rsid w:val="00B81627"/>
    <w:rsid w:val="00B81903"/>
    <w:rsid w:val="00B81B34"/>
    <w:rsid w:val="00B822A9"/>
    <w:rsid w:val="00B8234D"/>
    <w:rsid w:val="00B8247F"/>
    <w:rsid w:val="00B827A9"/>
    <w:rsid w:val="00B827D2"/>
    <w:rsid w:val="00B82DFA"/>
    <w:rsid w:val="00B82FCC"/>
    <w:rsid w:val="00B83083"/>
    <w:rsid w:val="00B832B6"/>
    <w:rsid w:val="00B8375D"/>
    <w:rsid w:val="00B839F1"/>
    <w:rsid w:val="00B83AA3"/>
    <w:rsid w:val="00B83B8C"/>
    <w:rsid w:val="00B83BB5"/>
    <w:rsid w:val="00B83CED"/>
    <w:rsid w:val="00B83E85"/>
    <w:rsid w:val="00B842E6"/>
    <w:rsid w:val="00B849BC"/>
    <w:rsid w:val="00B84C42"/>
    <w:rsid w:val="00B84C52"/>
    <w:rsid w:val="00B84CAB"/>
    <w:rsid w:val="00B84F03"/>
    <w:rsid w:val="00B850F2"/>
    <w:rsid w:val="00B85354"/>
    <w:rsid w:val="00B85507"/>
    <w:rsid w:val="00B855B9"/>
    <w:rsid w:val="00B856D3"/>
    <w:rsid w:val="00B85839"/>
    <w:rsid w:val="00B861A3"/>
    <w:rsid w:val="00B86557"/>
    <w:rsid w:val="00B86673"/>
    <w:rsid w:val="00B867C8"/>
    <w:rsid w:val="00B86949"/>
    <w:rsid w:val="00B86B13"/>
    <w:rsid w:val="00B86D35"/>
    <w:rsid w:val="00B86D42"/>
    <w:rsid w:val="00B86ED7"/>
    <w:rsid w:val="00B87185"/>
    <w:rsid w:val="00B872BC"/>
    <w:rsid w:val="00B8744C"/>
    <w:rsid w:val="00B875BA"/>
    <w:rsid w:val="00B8769B"/>
    <w:rsid w:val="00B877BF"/>
    <w:rsid w:val="00B87A13"/>
    <w:rsid w:val="00B87AD6"/>
    <w:rsid w:val="00B87C2C"/>
    <w:rsid w:val="00B87CD8"/>
    <w:rsid w:val="00B87CEF"/>
    <w:rsid w:val="00B87D59"/>
    <w:rsid w:val="00B87E1F"/>
    <w:rsid w:val="00B87FC4"/>
    <w:rsid w:val="00B900BB"/>
    <w:rsid w:val="00B9034F"/>
    <w:rsid w:val="00B9075E"/>
    <w:rsid w:val="00B90ACE"/>
    <w:rsid w:val="00B90ADD"/>
    <w:rsid w:val="00B90B0F"/>
    <w:rsid w:val="00B91278"/>
    <w:rsid w:val="00B912ED"/>
    <w:rsid w:val="00B91435"/>
    <w:rsid w:val="00B916F9"/>
    <w:rsid w:val="00B9170D"/>
    <w:rsid w:val="00B91764"/>
    <w:rsid w:val="00B918FC"/>
    <w:rsid w:val="00B91AED"/>
    <w:rsid w:val="00B91B21"/>
    <w:rsid w:val="00B91DD6"/>
    <w:rsid w:val="00B91E3B"/>
    <w:rsid w:val="00B920FE"/>
    <w:rsid w:val="00B921E6"/>
    <w:rsid w:val="00B9225B"/>
    <w:rsid w:val="00B923BB"/>
    <w:rsid w:val="00B92686"/>
    <w:rsid w:val="00B928D6"/>
    <w:rsid w:val="00B92A2E"/>
    <w:rsid w:val="00B92C93"/>
    <w:rsid w:val="00B92E3F"/>
    <w:rsid w:val="00B9305B"/>
    <w:rsid w:val="00B9311B"/>
    <w:rsid w:val="00B9366E"/>
    <w:rsid w:val="00B938B9"/>
    <w:rsid w:val="00B93984"/>
    <w:rsid w:val="00B93A04"/>
    <w:rsid w:val="00B93A0F"/>
    <w:rsid w:val="00B93C7E"/>
    <w:rsid w:val="00B93CA4"/>
    <w:rsid w:val="00B93E34"/>
    <w:rsid w:val="00B93F84"/>
    <w:rsid w:val="00B93FB9"/>
    <w:rsid w:val="00B94442"/>
    <w:rsid w:val="00B944C8"/>
    <w:rsid w:val="00B945DA"/>
    <w:rsid w:val="00B945F7"/>
    <w:rsid w:val="00B94876"/>
    <w:rsid w:val="00B94AE8"/>
    <w:rsid w:val="00B94B98"/>
    <w:rsid w:val="00B94C45"/>
    <w:rsid w:val="00B95060"/>
    <w:rsid w:val="00B95122"/>
    <w:rsid w:val="00B951EE"/>
    <w:rsid w:val="00B9536B"/>
    <w:rsid w:val="00B953EB"/>
    <w:rsid w:val="00B95480"/>
    <w:rsid w:val="00B9585D"/>
    <w:rsid w:val="00B95C49"/>
    <w:rsid w:val="00B95DE6"/>
    <w:rsid w:val="00B95E42"/>
    <w:rsid w:val="00B95FC4"/>
    <w:rsid w:val="00B96035"/>
    <w:rsid w:val="00B960A3"/>
    <w:rsid w:val="00B9611F"/>
    <w:rsid w:val="00B96300"/>
    <w:rsid w:val="00B963F5"/>
    <w:rsid w:val="00B96566"/>
    <w:rsid w:val="00B968AB"/>
    <w:rsid w:val="00B968E7"/>
    <w:rsid w:val="00B96BB0"/>
    <w:rsid w:val="00B970A4"/>
    <w:rsid w:val="00B97171"/>
    <w:rsid w:val="00B972E2"/>
    <w:rsid w:val="00B97690"/>
    <w:rsid w:val="00B97AC8"/>
    <w:rsid w:val="00B97ACF"/>
    <w:rsid w:val="00BA030A"/>
    <w:rsid w:val="00BA0A14"/>
    <w:rsid w:val="00BA0F83"/>
    <w:rsid w:val="00BA11A2"/>
    <w:rsid w:val="00BA1278"/>
    <w:rsid w:val="00BA17B7"/>
    <w:rsid w:val="00BA1E56"/>
    <w:rsid w:val="00BA1E59"/>
    <w:rsid w:val="00BA1F3B"/>
    <w:rsid w:val="00BA1F61"/>
    <w:rsid w:val="00BA2433"/>
    <w:rsid w:val="00BA243F"/>
    <w:rsid w:val="00BA255E"/>
    <w:rsid w:val="00BA25D8"/>
    <w:rsid w:val="00BA2765"/>
    <w:rsid w:val="00BA2CF1"/>
    <w:rsid w:val="00BA2CF9"/>
    <w:rsid w:val="00BA2EAD"/>
    <w:rsid w:val="00BA30D9"/>
    <w:rsid w:val="00BA3119"/>
    <w:rsid w:val="00BA3737"/>
    <w:rsid w:val="00BA375C"/>
    <w:rsid w:val="00BA3B43"/>
    <w:rsid w:val="00BA3B83"/>
    <w:rsid w:val="00BA3D18"/>
    <w:rsid w:val="00BA3D7B"/>
    <w:rsid w:val="00BA3FAC"/>
    <w:rsid w:val="00BA4114"/>
    <w:rsid w:val="00BA4618"/>
    <w:rsid w:val="00BA4631"/>
    <w:rsid w:val="00BA479F"/>
    <w:rsid w:val="00BA5118"/>
    <w:rsid w:val="00BA5564"/>
    <w:rsid w:val="00BA597B"/>
    <w:rsid w:val="00BA5982"/>
    <w:rsid w:val="00BA5BA8"/>
    <w:rsid w:val="00BA5E1E"/>
    <w:rsid w:val="00BA60CE"/>
    <w:rsid w:val="00BA63DA"/>
    <w:rsid w:val="00BA6432"/>
    <w:rsid w:val="00BA65CD"/>
    <w:rsid w:val="00BA6970"/>
    <w:rsid w:val="00BA6ACA"/>
    <w:rsid w:val="00BA6B5B"/>
    <w:rsid w:val="00BA6BA0"/>
    <w:rsid w:val="00BA6C08"/>
    <w:rsid w:val="00BA7030"/>
    <w:rsid w:val="00BA741B"/>
    <w:rsid w:val="00BA748D"/>
    <w:rsid w:val="00BA75A6"/>
    <w:rsid w:val="00BA7730"/>
    <w:rsid w:val="00BA789E"/>
    <w:rsid w:val="00BA7A09"/>
    <w:rsid w:val="00BA7A4E"/>
    <w:rsid w:val="00BA7A62"/>
    <w:rsid w:val="00BA7C62"/>
    <w:rsid w:val="00BA7FA8"/>
    <w:rsid w:val="00BB0158"/>
    <w:rsid w:val="00BB0800"/>
    <w:rsid w:val="00BB0AB3"/>
    <w:rsid w:val="00BB0F7E"/>
    <w:rsid w:val="00BB11CB"/>
    <w:rsid w:val="00BB1228"/>
    <w:rsid w:val="00BB134F"/>
    <w:rsid w:val="00BB1464"/>
    <w:rsid w:val="00BB1465"/>
    <w:rsid w:val="00BB16EA"/>
    <w:rsid w:val="00BB1707"/>
    <w:rsid w:val="00BB1720"/>
    <w:rsid w:val="00BB1855"/>
    <w:rsid w:val="00BB194A"/>
    <w:rsid w:val="00BB1ACA"/>
    <w:rsid w:val="00BB1D1D"/>
    <w:rsid w:val="00BB1E44"/>
    <w:rsid w:val="00BB1EDD"/>
    <w:rsid w:val="00BB2134"/>
    <w:rsid w:val="00BB2288"/>
    <w:rsid w:val="00BB2389"/>
    <w:rsid w:val="00BB2410"/>
    <w:rsid w:val="00BB248C"/>
    <w:rsid w:val="00BB2953"/>
    <w:rsid w:val="00BB2A30"/>
    <w:rsid w:val="00BB2BD4"/>
    <w:rsid w:val="00BB2C2A"/>
    <w:rsid w:val="00BB2D57"/>
    <w:rsid w:val="00BB2EA3"/>
    <w:rsid w:val="00BB3039"/>
    <w:rsid w:val="00BB3075"/>
    <w:rsid w:val="00BB308C"/>
    <w:rsid w:val="00BB312D"/>
    <w:rsid w:val="00BB313C"/>
    <w:rsid w:val="00BB3193"/>
    <w:rsid w:val="00BB31A0"/>
    <w:rsid w:val="00BB31D6"/>
    <w:rsid w:val="00BB32D6"/>
    <w:rsid w:val="00BB34C5"/>
    <w:rsid w:val="00BB35DE"/>
    <w:rsid w:val="00BB36B5"/>
    <w:rsid w:val="00BB37EB"/>
    <w:rsid w:val="00BB3967"/>
    <w:rsid w:val="00BB3BFD"/>
    <w:rsid w:val="00BB4105"/>
    <w:rsid w:val="00BB43F4"/>
    <w:rsid w:val="00BB45C3"/>
    <w:rsid w:val="00BB4CF3"/>
    <w:rsid w:val="00BB4E2F"/>
    <w:rsid w:val="00BB4E3F"/>
    <w:rsid w:val="00BB4E6B"/>
    <w:rsid w:val="00BB5293"/>
    <w:rsid w:val="00BB5453"/>
    <w:rsid w:val="00BB5775"/>
    <w:rsid w:val="00BB581B"/>
    <w:rsid w:val="00BB5869"/>
    <w:rsid w:val="00BB5A1A"/>
    <w:rsid w:val="00BB5A5B"/>
    <w:rsid w:val="00BB5D22"/>
    <w:rsid w:val="00BB60C8"/>
    <w:rsid w:val="00BB61AC"/>
    <w:rsid w:val="00BB6240"/>
    <w:rsid w:val="00BB654F"/>
    <w:rsid w:val="00BB66C0"/>
    <w:rsid w:val="00BB679A"/>
    <w:rsid w:val="00BB6AB0"/>
    <w:rsid w:val="00BB6C57"/>
    <w:rsid w:val="00BB72E1"/>
    <w:rsid w:val="00BB7519"/>
    <w:rsid w:val="00BB75EF"/>
    <w:rsid w:val="00BB76CD"/>
    <w:rsid w:val="00BB786A"/>
    <w:rsid w:val="00BB78A5"/>
    <w:rsid w:val="00BC00FA"/>
    <w:rsid w:val="00BC0426"/>
    <w:rsid w:val="00BC0532"/>
    <w:rsid w:val="00BC0810"/>
    <w:rsid w:val="00BC0A8A"/>
    <w:rsid w:val="00BC0E49"/>
    <w:rsid w:val="00BC0F67"/>
    <w:rsid w:val="00BC0FBA"/>
    <w:rsid w:val="00BC10C7"/>
    <w:rsid w:val="00BC11A1"/>
    <w:rsid w:val="00BC1296"/>
    <w:rsid w:val="00BC14AC"/>
    <w:rsid w:val="00BC15BC"/>
    <w:rsid w:val="00BC170C"/>
    <w:rsid w:val="00BC1A3C"/>
    <w:rsid w:val="00BC1D56"/>
    <w:rsid w:val="00BC207F"/>
    <w:rsid w:val="00BC21C1"/>
    <w:rsid w:val="00BC2579"/>
    <w:rsid w:val="00BC25F0"/>
    <w:rsid w:val="00BC29B6"/>
    <w:rsid w:val="00BC2A3C"/>
    <w:rsid w:val="00BC2C8D"/>
    <w:rsid w:val="00BC2CC9"/>
    <w:rsid w:val="00BC2D7E"/>
    <w:rsid w:val="00BC30B7"/>
    <w:rsid w:val="00BC30BC"/>
    <w:rsid w:val="00BC338B"/>
    <w:rsid w:val="00BC3636"/>
    <w:rsid w:val="00BC36C8"/>
    <w:rsid w:val="00BC36DB"/>
    <w:rsid w:val="00BC375F"/>
    <w:rsid w:val="00BC391D"/>
    <w:rsid w:val="00BC3E77"/>
    <w:rsid w:val="00BC3F0B"/>
    <w:rsid w:val="00BC3F94"/>
    <w:rsid w:val="00BC40F5"/>
    <w:rsid w:val="00BC41E5"/>
    <w:rsid w:val="00BC444E"/>
    <w:rsid w:val="00BC458D"/>
    <w:rsid w:val="00BC465D"/>
    <w:rsid w:val="00BC469E"/>
    <w:rsid w:val="00BC4719"/>
    <w:rsid w:val="00BC48F0"/>
    <w:rsid w:val="00BC4A3D"/>
    <w:rsid w:val="00BC4B0D"/>
    <w:rsid w:val="00BC4B80"/>
    <w:rsid w:val="00BC4BCF"/>
    <w:rsid w:val="00BC4E33"/>
    <w:rsid w:val="00BC504F"/>
    <w:rsid w:val="00BC51FC"/>
    <w:rsid w:val="00BC5337"/>
    <w:rsid w:val="00BC53B5"/>
    <w:rsid w:val="00BC5606"/>
    <w:rsid w:val="00BC56E8"/>
    <w:rsid w:val="00BC576F"/>
    <w:rsid w:val="00BC58A2"/>
    <w:rsid w:val="00BC590C"/>
    <w:rsid w:val="00BC5E6D"/>
    <w:rsid w:val="00BC5E7F"/>
    <w:rsid w:val="00BC5F3F"/>
    <w:rsid w:val="00BC61D0"/>
    <w:rsid w:val="00BC6267"/>
    <w:rsid w:val="00BC63AA"/>
    <w:rsid w:val="00BC64D1"/>
    <w:rsid w:val="00BC65BB"/>
    <w:rsid w:val="00BC6647"/>
    <w:rsid w:val="00BC67A9"/>
    <w:rsid w:val="00BC69B9"/>
    <w:rsid w:val="00BC6A2F"/>
    <w:rsid w:val="00BC6B59"/>
    <w:rsid w:val="00BC6C24"/>
    <w:rsid w:val="00BC6E87"/>
    <w:rsid w:val="00BC701D"/>
    <w:rsid w:val="00BC703A"/>
    <w:rsid w:val="00BC71B7"/>
    <w:rsid w:val="00BC71C4"/>
    <w:rsid w:val="00BC7203"/>
    <w:rsid w:val="00BC722E"/>
    <w:rsid w:val="00BC727D"/>
    <w:rsid w:val="00BC7AC8"/>
    <w:rsid w:val="00BC7B8D"/>
    <w:rsid w:val="00BD038B"/>
    <w:rsid w:val="00BD071A"/>
    <w:rsid w:val="00BD090A"/>
    <w:rsid w:val="00BD09B0"/>
    <w:rsid w:val="00BD0ADE"/>
    <w:rsid w:val="00BD0F84"/>
    <w:rsid w:val="00BD1000"/>
    <w:rsid w:val="00BD1024"/>
    <w:rsid w:val="00BD1402"/>
    <w:rsid w:val="00BD1743"/>
    <w:rsid w:val="00BD1887"/>
    <w:rsid w:val="00BD1AE1"/>
    <w:rsid w:val="00BD1B86"/>
    <w:rsid w:val="00BD1CB1"/>
    <w:rsid w:val="00BD1D07"/>
    <w:rsid w:val="00BD1FDB"/>
    <w:rsid w:val="00BD2021"/>
    <w:rsid w:val="00BD2098"/>
    <w:rsid w:val="00BD223E"/>
    <w:rsid w:val="00BD2757"/>
    <w:rsid w:val="00BD304A"/>
    <w:rsid w:val="00BD3159"/>
    <w:rsid w:val="00BD3207"/>
    <w:rsid w:val="00BD3487"/>
    <w:rsid w:val="00BD34C5"/>
    <w:rsid w:val="00BD350F"/>
    <w:rsid w:val="00BD382F"/>
    <w:rsid w:val="00BD3902"/>
    <w:rsid w:val="00BD397C"/>
    <w:rsid w:val="00BD3A6F"/>
    <w:rsid w:val="00BD3A96"/>
    <w:rsid w:val="00BD3AA6"/>
    <w:rsid w:val="00BD3B4E"/>
    <w:rsid w:val="00BD407B"/>
    <w:rsid w:val="00BD412E"/>
    <w:rsid w:val="00BD4226"/>
    <w:rsid w:val="00BD43F5"/>
    <w:rsid w:val="00BD4715"/>
    <w:rsid w:val="00BD4766"/>
    <w:rsid w:val="00BD481F"/>
    <w:rsid w:val="00BD5141"/>
    <w:rsid w:val="00BD5176"/>
    <w:rsid w:val="00BD548C"/>
    <w:rsid w:val="00BD54DF"/>
    <w:rsid w:val="00BD58D7"/>
    <w:rsid w:val="00BD5C7F"/>
    <w:rsid w:val="00BD5E23"/>
    <w:rsid w:val="00BD5F89"/>
    <w:rsid w:val="00BD62D9"/>
    <w:rsid w:val="00BD63BA"/>
    <w:rsid w:val="00BD6536"/>
    <w:rsid w:val="00BD67A0"/>
    <w:rsid w:val="00BD6951"/>
    <w:rsid w:val="00BD6D53"/>
    <w:rsid w:val="00BD6D9C"/>
    <w:rsid w:val="00BD6E00"/>
    <w:rsid w:val="00BD6E4E"/>
    <w:rsid w:val="00BD7002"/>
    <w:rsid w:val="00BD70E6"/>
    <w:rsid w:val="00BD717D"/>
    <w:rsid w:val="00BD71FF"/>
    <w:rsid w:val="00BD7217"/>
    <w:rsid w:val="00BD73E1"/>
    <w:rsid w:val="00BD7411"/>
    <w:rsid w:val="00BD74BF"/>
    <w:rsid w:val="00BD7696"/>
    <w:rsid w:val="00BD769C"/>
    <w:rsid w:val="00BD7AF6"/>
    <w:rsid w:val="00BD7BA5"/>
    <w:rsid w:val="00BD7C46"/>
    <w:rsid w:val="00BD7F7C"/>
    <w:rsid w:val="00BE051A"/>
    <w:rsid w:val="00BE054D"/>
    <w:rsid w:val="00BE0642"/>
    <w:rsid w:val="00BE06C0"/>
    <w:rsid w:val="00BE082A"/>
    <w:rsid w:val="00BE09B1"/>
    <w:rsid w:val="00BE09EA"/>
    <w:rsid w:val="00BE0A20"/>
    <w:rsid w:val="00BE0A48"/>
    <w:rsid w:val="00BE0C08"/>
    <w:rsid w:val="00BE0CA8"/>
    <w:rsid w:val="00BE0E98"/>
    <w:rsid w:val="00BE0FC1"/>
    <w:rsid w:val="00BE10DA"/>
    <w:rsid w:val="00BE11D9"/>
    <w:rsid w:val="00BE1356"/>
    <w:rsid w:val="00BE135C"/>
    <w:rsid w:val="00BE1412"/>
    <w:rsid w:val="00BE1559"/>
    <w:rsid w:val="00BE15DB"/>
    <w:rsid w:val="00BE178B"/>
    <w:rsid w:val="00BE1999"/>
    <w:rsid w:val="00BE1B25"/>
    <w:rsid w:val="00BE1DF2"/>
    <w:rsid w:val="00BE20AE"/>
    <w:rsid w:val="00BE233F"/>
    <w:rsid w:val="00BE242C"/>
    <w:rsid w:val="00BE245D"/>
    <w:rsid w:val="00BE26A6"/>
    <w:rsid w:val="00BE28BE"/>
    <w:rsid w:val="00BE29C4"/>
    <w:rsid w:val="00BE2E18"/>
    <w:rsid w:val="00BE2E7E"/>
    <w:rsid w:val="00BE310E"/>
    <w:rsid w:val="00BE3358"/>
    <w:rsid w:val="00BE384B"/>
    <w:rsid w:val="00BE3893"/>
    <w:rsid w:val="00BE3A85"/>
    <w:rsid w:val="00BE3B5B"/>
    <w:rsid w:val="00BE3C75"/>
    <w:rsid w:val="00BE3CC5"/>
    <w:rsid w:val="00BE3CFB"/>
    <w:rsid w:val="00BE3D08"/>
    <w:rsid w:val="00BE3FDC"/>
    <w:rsid w:val="00BE40D1"/>
    <w:rsid w:val="00BE4173"/>
    <w:rsid w:val="00BE49BF"/>
    <w:rsid w:val="00BE502B"/>
    <w:rsid w:val="00BE506F"/>
    <w:rsid w:val="00BE51D8"/>
    <w:rsid w:val="00BE56D6"/>
    <w:rsid w:val="00BE5811"/>
    <w:rsid w:val="00BE58DF"/>
    <w:rsid w:val="00BE5940"/>
    <w:rsid w:val="00BE5A3B"/>
    <w:rsid w:val="00BE5B4D"/>
    <w:rsid w:val="00BE5B68"/>
    <w:rsid w:val="00BE5D7E"/>
    <w:rsid w:val="00BE60E4"/>
    <w:rsid w:val="00BE61E7"/>
    <w:rsid w:val="00BE62A3"/>
    <w:rsid w:val="00BE65DC"/>
    <w:rsid w:val="00BE67BC"/>
    <w:rsid w:val="00BE67CD"/>
    <w:rsid w:val="00BE67F5"/>
    <w:rsid w:val="00BE6815"/>
    <w:rsid w:val="00BE6897"/>
    <w:rsid w:val="00BE69D2"/>
    <w:rsid w:val="00BE6A5A"/>
    <w:rsid w:val="00BE6BDD"/>
    <w:rsid w:val="00BE71D9"/>
    <w:rsid w:val="00BE7390"/>
    <w:rsid w:val="00BE73C3"/>
    <w:rsid w:val="00BE7466"/>
    <w:rsid w:val="00BE774D"/>
    <w:rsid w:val="00BE7789"/>
    <w:rsid w:val="00BE7880"/>
    <w:rsid w:val="00BE7C84"/>
    <w:rsid w:val="00BE7D10"/>
    <w:rsid w:val="00BE7E77"/>
    <w:rsid w:val="00BE7EDE"/>
    <w:rsid w:val="00BE7F52"/>
    <w:rsid w:val="00BF033D"/>
    <w:rsid w:val="00BF0469"/>
    <w:rsid w:val="00BF07E9"/>
    <w:rsid w:val="00BF0F27"/>
    <w:rsid w:val="00BF1114"/>
    <w:rsid w:val="00BF14D3"/>
    <w:rsid w:val="00BF17C2"/>
    <w:rsid w:val="00BF1800"/>
    <w:rsid w:val="00BF1C8F"/>
    <w:rsid w:val="00BF1EB0"/>
    <w:rsid w:val="00BF1EB1"/>
    <w:rsid w:val="00BF1F7E"/>
    <w:rsid w:val="00BF20E1"/>
    <w:rsid w:val="00BF213E"/>
    <w:rsid w:val="00BF2433"/>
    <w:rsid w:val="00BF2437"/>
    <w:rsid w:val="00BF257B"/>
    <w:rsid w:val="00BF25A3"/>
    <w:rsid w:val="00BF25F7"/>
    <w:rsid w:val="00BF2A47"/>
    <w:rsid w:val="00BF2C72"/>
    <w:rsid w:val="00BF3097"/>
    <w:rsid w:val="00BF31D5"/>
    <w:rsid w:val="00BF37FB"/>
    <w:rsid w:val="00BF39FA"/>
    <w:rsid w:val="00BF3CC4"/>
    <w:rsid w:val="00BF3D34"/>
    <w:rsid w:val="00BF3DA6"/>
    <w:rsid w:val="00BF3F8D"/>
    <w:rsid w:val="00BF4383"/>
    <w:rsid w:val="00BF441D"/>
    <w:rsid w:val="00BF4663"/>
    <w:rsid w:val="00BF49BA"/>
    <w:rsid w:val="00BF49CD"/>
    <w:rsid w:val="00BF4A01"/>
    <w:rsid w:val="00BF4F2E"/>
    <w:rsid w:val="00BF5110"/>
    <w:rsid w:val="00BF541A"/>
    <w:rsid w:val="00BF5446"/>
    <w:rsid w:val="00BF578C"/>
    <w:rsid w:val="00BF5E7E"/>
    <w:rsid w:val="00BF6178"/>
    <w:rsid w:val="00BF62F9"/>
    <w:rsid w:val="00BF6750"/>
    <w:rsid w:val="00BF6A2E"/>
    <w:rsid w:val="00BF6A6F"/>
    <w:rsid w:val="00BF6A9E"/>
    <w:rsid w:val="00BF6B94"/>
    <w:rsid w:val="00BF6E07"/>
    <w:rsid w:val="00BF6F0A"/>
    <w:rsid w:val="00BF7037"/>
    <w:rsid w:val="00BF7043"/>
    <w:rsid w:val="00BF71B2"/>
    <w:rsid w:val="00BF7206"/>
    <w:rsid w:val="00BF78B0"/>
    <w:rsid w:val="00BF7B81"/>
    <w:rsid w:val="00BF7BE0"/>
    <w:rsid w:val="00BF7C30"/>
    <w:rsid w:val="00BF7E1C"/>
    <w:rsid w:val="00BF7F7D"/>
    <w:rsid w:val="00C00141"/>
    <w:rsid w:val="00C001D4"/>
    <w:rsid w:val="00C00617"/>
    <w:rsid w:val="00C006F7"/>
    <w:rsid w:val="00C007F5"/>
    <w:rsid w:val="00C0088D"/>
    <w:rsid w:val="00C00981"/>
    <w:rsid w:val="00C0099E"/>
    <w:rsid w:val="00C00BBD"/>
    <w:rsid w:val="00C00D16"/>
    <w:rsid w:val="00C00DA5"/>
    <w:rsid w:val="00C00E6F"/>
    <w:rsid w:val="00C01097"/>
    <w:rsid w:val="00C01268"/>
    <w:rsid w:val="00C01557"/>
    <w:rsid w:val="00C01C93"/>
    <w:rsid w:val="00C01F19"/>
    <w:rsid w:val="00C02063"/>
    <w:rsid w:val="00C0215F"/>
    <w:rsid w:val="00C0218F"/>
    <w:rsid w:val="00C0220D"/>
    <w:rsid w:val="00C02424"/>
    <w:rsid w:val="00C0255F"/>
    <w:rsid w:val="00C02709"/>
    <w:rsid w:val="00C0281C"/>
    <w:rsid w:val="00C028C3"/>
    <w:rsid w:val="00C028E9"/>
    <w:rsid w:val="00C02921"/>
    <w:rsid w:val="00C02AB9"/>
    <w:rsid w:val="00C02AF4"/>
    <w:rsid w:val="00C02C96"/>
    <w:rsid w:val="00C02D0E"/>
    <w:rsid w:val="00C02E89"/>
    <w:rsid w:val="00C02E8A"/>
    <w:rsid w:val="00C031E7"/>
    <w:rsid w:val="00C032B2"/>
    <w:rsid w:val="00C03714"/>
    <w:rsid w:val="00C03B5D"/>
    <w:rsid w:val="00C03BFF"/>
    <w:rsid w:val="00C03C42"/>
    <w:rsid w:val="00C03CB4"/>
    <w:rsid w:val="00C03D43"/>
    <w:rsid w:val="00C041D9"/>
    <w:rsid w:val="00C04329"/>
    <w:rsid w:val="00C0434C"/>
    <w:rsid w:val="00C0445C"/>
    <w:rsid w:val="00C044D6"/>
    <w:rsid w:val="00C04539"/>
    <w:rsid w:val="00C04551"/>
    <w:rsid w:val="00C04799"/>
    <w:rsid w:val="00C048D1"/>
    <w:rsid w:val="00C04B74"/>
    <w:rsid w:val="00C04EF1"/>
    <w:rsid w:val="00C055C9"/>
    <w:rsid w:val="00C057AC"/>
    <w:rsid w:val="00C057AF"/>
    <w:rsid w:val="00C05A4B"/>
    <w:rsid w:val="00C05AE1"/>
    <w:rsid w:val="00C05AFD"/>
    <w:rsid w:val="00C05DF0"/>
    <w:rsid w:val="00C05FC4"/>
    <w:rsid w:val="00C06000"/>
    <w:rsid w:val="00C06085"/>
    <w:rsid w:val="00C063F5"/>
    <w:rsid w:val="00C064D8"/>
    <w:rsid w:val="00C06511"/>
    <w:rsid w:val="00C06ABD"/>
    <w:rsid w:val="00C06AF0"/>
    <w:rsid w:val="00C06F37"/>
    <w:rsid w:val="00C06FBF"/>
    <w:rsid w:val="00C0703D"/>
    <w:rsid w:val="00C070D2"/>
    <w:rsid w:val="00C071B6"/>
    <w:rsid w:val="00C07241"/>
    <w:rsid w:val="00C07581"/>
    <w:rsid w:val="00C07926"/>
    <w:rsid w:val="00C0795C"/>
    <w:rsid w:val="00C07E3C"/>
    <w:rsid w:val="00C106E7"/>
    <w:rsid w:val="00C108BA"/>
    <w:rsid w:val="00C108FA"/>
    <w:rsid w:val="00C10B62"/>
    <w:rsid w:val="00C10B6E"/>
    <w:rsid w:val="00C10BE8"/>
    <w:rsid w:val="00C111DF"/>
    <w:rsid w:val="00C1124D"/>
    <w:rsid w:val="00C112F7"/>
    <w:rsid w:val="00C1151D"/>
    <w:rsid w:val="00C11785"/>
    <w:rsid w:val="00C11B0F"/>
    <w:rsid w:val="00C11DED"/>
    <w:rsid w:val="00C11F4F"/>
    <w:rsid w:val="00C12A4A"/>
    <w:rsid w:val="00C12A81"/>
    <w:rsid w:val="00C12B34"/>
    <w:rsid w:val="00C12BCC"/>
    <w:rsid w:val="00C12CAB"/>
    <w:rsid w:val="00C12E44"/>
    <w:rsid w:val="00C13336"/>
    <w:rsid w:val="00C133D4"/>
    <w:rsid w:val="00C134DE"/>
    <w:rsid w:val="00C134E9"/>
    <w:rsid w:val="00C13545"/>
    <w:rsid w:val="00C135FA"/>
    <w:rsid w:val="00C13943"/>
    <w:rsid w:val="00C13DBD"/>
    <w:rsid w:val="00C13F9D"/>
    <w:rsid w:val="00C14003"/>
    <w:rsid w:val="00C14035"/>
    <w:rsid w:val="00C14085"/>
    <w:rsid w:val="00C140E9"/>
    <w:rsid w:val="00C14239"/>
    <w:rsid w:val="00C143D6"/>
    <w:rsid w:val="00C14425"/>
    <w:rsid w:val="00C14519"/>
    <w:rsid w:val="00C14537"/>
    <w:rsid w:val="00C145ED"/>
    <w:rsid w:val="00C145F1"/>
    <w:rsid w:val="00C14996"/>
    <w:rsid w:val="00C14AA6"/>
    <w:rsid w:val="00C1500F"/>
    <w:rsid w:val="00C150D4"/>
    <w:rsid w:val="00C1521C"/>
    <w:rsid w:val="00C152BA"/>
    <w:rsid w:val="00C155CC"/>
    <w:rsid w:val="00C1595F"/>
    <w:rsid w:val="00C15F0C"/>
    <w:rsid w:val="00C15FB7"/>
    <w:rsid w:val="00C1635F"/>
    <w:rsid w:val="00C163AA"/>
    <w:rsid w:val="00C16833"/>
    <w:rsid w:val="00C1688A"/>
    <w:rsid w:val="00C168B6"/>
    <w:rsid w:val="00C16925"/>
    <w:rsid w:val="00C1694B"/>
    <w:rsid w:val="00C17371"/>
    <w:rsid w:val="00C17475"/>
    <w:rsid w:val="00C178DD"/>
    <w:rsid w:val="00C17913"/>
    <w:rsid w:val="00C17CA5"/>
    <w:rsid w:val="00C17DB9"/>
    <w:rsid w:val="00C17FF7"/>
    <w:rsid w:val="00C2003C"/>
    <w:rsid w:val="00C208BD"/>
    <w:rsid w:val="00C20B20"/>
    <w:rsid w:val="00C20B4E"/>
    <w:rsid w:val="00C2102B"/>
    <w:rsid w:val="00C2160F"/>
    <w:rsid w:val="00C21780"/>
    <w:rsid w:val="00C2185B"/>
    <w:rsid w:val="00C21969"/>
    <w:rsid w:val="00C21CE3"/>
    <w:rsid w:val="00C21FE3"/>
    <w:rsid w:val="00C221A1"/>
    <w:rsid w:val="00C2236B"/>
    <w:rsid w:val="00C22453"/>
    <w:rsid w:val="00C224DC"/>
    <w:rsid w:val="00C226A8"/>
    <w:rsid w:val="00C22765"/>
    <w:rsid w:val="00C227BE"/>
    <w:rsid w:val="00C2292A"/>
    <w:rsid w:val="00C22941"/>
    <w:rsid w:val="00C22ABC"/>
    <w:rsid w:val="00C22BE1"/>
    <w:rsid w:val="00C22C6C"/>
    <w:rsid w:val="00C22CF6"/>
    <w:rsid w:val="00C22D0B"/>
    <w:rsid w:val="00C22DB3"/>
    <w:rsid w:val="00C22E1F"/>
    <w:rsid w:val="00C22EC9"/>
    <w:rsid w:val="00C22F56"/>
    <w:rsid w:val="00C22FB9"/>
    <w:rsid w:val="00C23020"/>
    <w:rsid w:val="00C23181"/>
    <w:rsid w:val="00C2341C"/>
    <w:rsid w:val="00C234D4"/>
    <w:rsid w:val="00C2360E"/>
    <w:rsid w:val="00C23A31"/>
    <w:rsid w:val="00C23B59"/>
    <w:rsid w:val="00C23DA3"/>
    <w:rsid w:val="00C2404D"/>
    <w:rsid w:val="00C240DE"/>
    <w:rsid w:val="00C24146"/>
    <w:rsid w:val="00C24314"/>
    <w:rsid w:val="00C2434B"/>
    <w:rsid w:val="00C24423"/>
    <w:rsid w:val="00C24505"/>
    <w:rsid w:val="00C246A4"/>
    <w:rsid w:val="00C248E7"/>
    <w:rsid w:val="00C24E11"/>
    <w:rsid w:val="00C24FAD"/>
    <w:rsid w:val="00C253F3"/>
    <w:rsid w:val="00C25786"/>
    <w:rsid w:val="00C25CD0"/>
    <w:rsid w:val="00C25E50"/>
    <w:rsid w:val="00C264B8"/>
    <w:rsid w:val="00C2679D"/>
    <w:rsid w:val="00C26A8F"/>
    <w:rsid w:val="00C26B6C"/>
    <w:rsid w:val="00C26DCB"/>
    <w:rsid w:val="00C26DEA"/>
    <w:rsid w:val="00C26F0D"/>
    <w:rsid w:val="00C272D6"/>
    <w:rsid w:val="00C273EA"/>
    <w:rsid w:val="00C27471"/>
    <w:rsid w:val="00C279A3"/>
    <w:rsid w:val="00C279B8"/>
    <w:rsid w:val="00C27BDC"/>
    <w:rsid w:val="00C27DCC"/>
    <w:rsid w:val="00C27DFB"/>
    <w:rsid w:val="00C27E71"/>
    <w:rsid w:val="00C3022D"/>
    <w:rsid w:val="00C303EB"/>
    <w:rsid w:val="00C30443"/>
    <w:rsid w:val="00C3086D"/>
    <w:rsid w:val="00C30D9C"/>
    <w:rsid w:val="00C30EAD"/>
    <w:rsid w:val="00C30FF1"/>
    <w:rsid w:val="00C3114E"/>
    <w:rsid w:val="00C311D5"/>
    <w:rsid w:val="00C31237"/>
    <w:rsid w:val="00C3169E"/>
    <w:rsid w:val="00C31750"/>
    <w:rsid w:val="00C31993"/>
    <w:rsid w:val="00C31A11"/>
    <w:rsid w:val="00C31CAC"/>
    <w:rsid w:val="00C31D6E"/>
    <w:rsid w:val="00C31E46"/>
    <w:rsid w:val="00C31F09"/>
    <w:rsid w:val="00C321D2"/>
    <w:rsid w:val="00C324AB"/>
    <w:rsid w:val="00C32618"/>
    <w:rsid w:val="00C328CF"/>
    <w:rsid w:val="00C328E3"/>
    <w:rsid w:val="00C32C21"/>
    <w:rsid w:val="00C32C7D"/>
    <w:rsid w:val="00C33188"/>
    <w:rsid w:val="00C333F8"/>
    <w:rsid w:val="00C33554"/>
    <w:rsid w:val="00C33797"/>
    <w:rsid w:val="00C337DF"/>
    <w:rsid w:val="00C33A9F"/>
    <w:rsid w:val="00C33AE3"/>
    <w:rsid w:val="00C33B79"/>
    <w:rsid w:val="00C33FE3"/>
    <w:rsid w:val="00C340C3"/>
    <w:rsid w:val="00C34F9A"/>
    <w:rsid w:val="00C353F9"/>
    <w:rsid w:val="00C3576C"/>
    <w:rsid w:val="00C35B40"/>
    <w:rsid w:val="00C35B59"/>
    <w:rsid w:val="00C35BEF"/>
    <w:rsid w:val="00C36147"/>
    <w:rsid w:val="00C362F7"/>
    <w:rsid w:val="00C36345"/>
    <w:rsid w:val="00C36416"/>
    <w:rsid w:val="00C365CE"/>
    <w:rsid w:val="00C3662B"/>
    <w:rsid w:val="00C36860"/>
    <w:rsid w:val="00C36905"/>
    <w:rsid w:val="00C369F2"/>
    <w:rsid w:val="00C36E1A"/>
    <w:rsid w:val="00C36EBC"/>
    <w:rsid w:val="00C36F02"/>
    <w:rsid w:val="00C37656"/>
    <w:rsid w:val="00C3767A"/>
    <w:rsid w:val="00C379E0"/>
    <w:rsid w:val="00C37A0F"/>
    <w:rsid w:val="00C37A41"/>
    <w:rsid w:val="00C37DC3"/>
    <w:rsid w:val="00C37F04"/>
    <w:rsid w:val="00C400B7"/>
    <w:rsid w:val="00C4018A"/>
    <w:rsid w:val="00C403B8"/>
    <w:rsid w:val="00C40630"/>
    <w:rsid w:val="00C40745"/>
    <w:rsid w:val="00C40BC2"/>
    <w:rsid w:val="00C40DC1"/>
    <w:rsid w:val="00C40E2A"/>
    <w:rsid w:val="00C412CE"/>
    <w:rsid w:val="00C413C0"/>
    <w:rsid w:val="00C413FB"/>
    <w:rsid w:val="00C41560"/>
    <w:rsid w:val="00C41776"/>
    <w:rsid w:val="00C41810"/>
    <w:rsid w:val="00C41A17"/>
    <w:rsid w:val="00C41C45"/>
    <w:rsid w:val="00C41EDB"/>
    <w:rsid w:val="00C425F0"/>
    <w:rsid w:val="00C42824"/>
    <w:rsid w:val="00C42DDA"/>
    <w:rsid w:val="00C42DE9"/>
    <w:rsid w:val="00C42FE9"/>
    <w:rsid w:val="00C435B8"/>
    <w:rsid w:val="00C437C0"/>
    <w:rsid w:val="00C439DC"/>
    <w:rsid w:val="00C43BF7"/>
    <w:rsid w:val="00C43CA4"/>
    <w:rsid w:val="00C43CCD"/>
    <w:rsid w:val="00C43CD5"/>
    <w:rsid w:val="00C43D25"/>
    <w:rsid w:val="00C4417D"/>
    <w:rsid w:val="00C44CCF"/>
    <w:rsid w:val="00C44E4D"/>
    <w:rsid w:val="00C45AA5"/>
    <w:rsid w:val="00C45BC9"/>
    <w:rsid w:val="00C45BF5"/>
    <w:rsid w:val="00C45C53"/>
    <w:rsid w:val="00C45D53"/>
    <w:rsid w:val="00C45FC4"/>
    <w:rsid w:val="00C461C4"/>
    <w:rsid w:val="00C465D1"/>
    <w:rsid w:val="00C467D9"/>
    <w:rsid w:val="00C46801"/>
    <w:rsid w:val="00C46922"/>
    <w:rsid w:val="00C46989"/>
    <w:rsid w:val="00C46B89"/>
    <w:rsid w:val="00C46C56"/>
    <w:rsid w:val="00C46CB9"/>
    <w:rsid w:val="00C470A4"/>
    <w:rsid w:val="00C47225"/>
    <w:rsid w:val="00C4734E"/>
    <w:rsid w:val="00C47757"/>
    <w:rsid w:val="00C479E3"/>
    <w:rsid w:val="00C47A6A"/>
    <w:rsid w:val="00C47B05"/>
    <w:rsid w:val="00C47C37"/>
    <w:rsid w:val="00C47D15"/>
    <w:rsid w:val="00C5019A"/>
    <w:rsid w:val="00C501D7"/>
    <w:rsid w:val="00C502FB"/>
    <w:rsid w:val="00C50509"/>
    <w:rsid w:val="00C50535"/>
    <w:rsid w:val="00C505D8"/>
    <w:rsid w:val="00C5092D"/>
    <w:rsid w:val="00C50AA5"/>
    <w:rsid w:val="00C50B9E"/>
    <w:rsid w:val="00C51005"/>
    <w:rsid w:val="00C51085"/>
    <w:rsid w:val="00C512B0"/>
    <w:rsid w:val="00C51323"/>
    <w:rsid w:val="00C51BC7"/>
    <w:rsid w:val="00C51FCB"/>
    <w:rsid w:val="00C5211D"/>
    <w:rsid w:val="00C52160"/>
    <w:rsid w:val="00C523AE"/>
    <w:rsid w:val="00C523D9"/>
    <w:rsid w:val="00C52663"/>
    <w:rsid w:val="00C528C9"/>
    <w:rsid w:val="00C52E16"/>
    <w:rsid w:val="00C5320F"/>
    <w:rsid w:val="00C53282"/>
    <w:rsid w:val="00C53386"/>
    <w:rsid w:val="00C5338F"/>
    <w:rsid w:val="00C53847"/>
    <w:rsid w:val="00C53AAC"/>
    <w:rsid w:val="00C53FCF"/>
    <w:rsid w:val="00C54069"/>
    <w:rsid w:val="00C54083"/>
    <w:rsid w:val="00C5408A"/>
    <w:rsid w:val="00C54123"/>
    <w:rsid w:val="00C54173"/>
    <w:rsid w:val="00C541DA"/>
    <w:rsid w:val="00C5422E"/>
    <w:rsid w:val="00C54313"/>
    <w:rsid w:val="00C5488D"/>
    <w:rsid w:val="00C5489A"/>
    <w:rsid w:val="00C54D9E"/>
    <w:rsid w:val="00C54F26"/>
    <w:rsid w:val="00C54FC7"/>
    <w:rsid w:val="00C5523D"/>
    <w:rsid w:val="00C5550E"/>
    <w:rsid w:val="00C5563F"/>
    <w:rsid w:val="00C55A97"/>
    <w:rsid w:val="00C55C1A"/>
    <w:rsid w:val="00C55CDB"/>
    <w:rsid w:val="00C55DD1"/>
    <w:rsid w:val="00C55F9F"/>
    <w:rsid w:val="00C55FC7"/>
    <w:rsid w:val="00C56157"/>
    <w:rsid w:val="00C5616C"/>
    <w:rsid w:val="00C561A7"/>
    <w:rsid w:val="00C5624E"/>
    <w:rsid w:val="00C567D9"/>
    <w:rsid w:val="00C56869"/>
    <w:rsid w:val="00C5690C"/>
    <w:rsid w:val="00C56D11"/>
    <w:rsid w:val="00C56EC1"/>
    <w:rsid w:val="00C576A9"/>
    <w:rsid w:val="00C576E0"/>
    <w:rsid w:val="00C5778C"/>
    <w:rsid w:val="00C57824"/>
    <w:rsid w:val="00C57851"/>
    <w:rsid w:val="00C57B1D"/>
    <w:rsid w:val="00C57D20"/>
    <w:rsid w:val="00C57DB3"/>
    <w:rsid w:val="00C604E0"/>
    <w:rsid w:val="00C60541"/>
    <w:rsid w:val="00C6054E"/>
    <w:rsid w:val="00C60776"/>
    <w:rsid w:val="00C60B0A"/>
    <w:rsid w:val="00C60B55"/>
    <w:rsid w:val="00C60B89"/>
    <w:rsid w:val="00C60DBB"/>
    <w:rsid w:val="00C60EF0"/>
    <w:rsid w:val="00C60F88"/>
    <w:rsid w:val="00C60FDA"/>
    <w:rsid w:val="00C60FE8"/>
    <w:rsid w:val="00C61320"/>
    <w:rsid w:val="00C61531"/>
    <w:rsid w:val="00C61764"/>
    <w:rsid w:val="00C61767"/>
    <w:rsid w:val="00C619B8"/>
    <w:rsid w:val="00C61AE6"/>
    <w:rsid w:val="00C61B0A"/>
    <w:rsid w:val="00C61BC8"/>
    <w:rsid w:val="00C61C7F"/>
    <w:rsid w:val="00C61D07"/>
    <w:rsid w:val="00C61D87"/>
    <w:rsid w:val="00C61F04"/>
    <w:rsid w:val="00C61FC9"/>
    <w:rsid w:val="00C62052"/>
    <w:rsid w:val="00C62130"/>
    <w:rsid w:val="00C62211"/>
    <w:rsid w:val="00C6228A"/>
    <w:rsid w:val="00C62485"/>
    <w:rsid w:val="00C62654"/>
    <w:rsid w:val="00C627A9"/>
    <w:rsid w:val="00C6289E"/>
    <w:rsid w:val="00C632C9"/>
    <w:rsid w:val="00C632FB"/>
    <w:rsid w:val="00C6349F"/>
    <w:rsid w:val="00C634B9"/>
    <w:rsid w:val="00C634DE"/>
    <w:rsid w:val="00C63809"/>
    <w:rsid w:val="00C63A4A"/>
    <w:rsid w:val="00C63AD1"/>
    <w:rsid w:val="00C63BF9"/>
    <w:rsid w:val="00C63F05"/>
    <w:rsid w:val="00C641B2"/>
    <w:rsid w:val="00C64236"/>
    <w:rsid w:val="00C643FE"/>
    <w:rsid w:val="00C6454D"/>
    <w:rsid w:val="00C6458E"/>
    <w:rsid w:val="00C65208"/>
    <w:rsid w:val="00C6523B"/>
    <w:rsid w:val="00C65375"/>
    <w:rsid w:val="00C653C9"/>
    <w:rsid w:val="00C6579E"/>
    <w:rsid w:val="00C65CE4"/>
    <w:rsid w:val="00C65FE8"/>
    <w:rsid w:val="00C66314"/>
    <w:rsid w:val="00C664BD"/>
    <w:rsid w:val="00C66745"/>
    <w:rsid w:val="00C667F2"/>
    <w:rsid w:val="00C66C9E"/>
    <w:rsid w:val="00C66FF8"/>
    <w:rsid w:val="00C67193"/>
    <w:rsid w:val="00C673C3"/>
    <w:rsid w:val="00C674C1"/>
    <w:rsid w:val="00C67940"/>
    <w:rsid w:val="00C679CF"/>
    <w:rsid w:val="00C67BF6"/>
    <w:rsid w:val="00C67D28"/>
    <w:rsid w:val="00C67F04"/>
    <w:rsid w:val="00C7060F"/>
    <w:rsid w:val="00C707C9"/>
    <w:rsid w:val="00C70D19"/>
    <w:rsid w:val="00C70DAD"/>
    <w:rsid w:val="00C71052"/>
    <w:rsid w:val="00C71074"/>
    <w:rsid w:val="00C711B8"/>
    <w:rsid w:val="00C7147D"/>
    <w:rsid w:val="00C71607"/>
    <w:rsid w:val="00C7181D"/>
    <w:rsid w:val="00C71913"/>
    <w:rsid w:val="00C71943"/>
    <w:rsid w:val="00C71A11"/>
    <w:rsid w:val="00C71A2D"/>
    <w:rsid w:val="00C71C21"/>
    <w:rsid w:val="00C71EA5"/>
    <w:rsid w:val="00C71F08"/>
    <w:rsid w:val="00C7268D"/>
    <w:rsid w:val="00C72A5E"/>
    <w:rsid w:val="00C73246"/>
    <w:rsid w:val="00C73438"/>
    <w:rsid w:val="00C73502"/>
    <w:rsid w:val="00C73976"/>
    <w:rsid w:val="00C73C23"/>
    <w:rsid w:val="00C73E0A"/>
    <w:rsid w:val="00C74060"/>
    <w:rsid w:val="00C74260"/>
    <w:rsid w:val="00C744A0"/>
    <w:rsid w:val="00C744BF"/>
    <w:rsid w:val="00C748CF"/>
    <w:rsid w:val="00C74B47"/>
    <w:rsid w:val="00C74BEA"/>
    <w:rsid w:val="00C752FD"/>
    <w:rsid w:val="00C7554B"/>
    <w:rsid w:val="00C757F2"/>
    <w:rsid w:val="00C75909"/>
    <w:rsid w:val="00C75B2C"/>
    <w:rsid w:val="00C75BA0"/>
    <w:rsid w:val="00C75BDD"/>
    <w:rsid w:val="00C75E4A"/>
    <w:rsid w:val="00C75EE6"/>
    <w:rsid w:val="00C7631D"/>
    <w:rsid w:val="00C76360"/>
    <w:rsid w:val="00C76519"/>
    <w:rsid w:val="00C76A6D"/>
    <w:rsid w:val="00C76BE5"/>
    <w:rsid w:val="00C76EDC"/>
    <w:rsid w:val="00C77172"/>
    <w:rsid w:val="00C77335"/>
    <w:rsid w:val="00C777B7"/>
    <w:rsid w:val="00C77C05"/>
    <w:rsid w:val="00C77CAB"/>
    <w:rsid w:val="00C77CE4"/>
    <w:rsid w:val="00C800CE"/>
    <w:rsid w:val="00C803CF"/>
    <w:rsid w:val="00C805EA"/>
    <w:rsid w:val="00C806E9"/>
    <w:rsid w:val="00C8072D"/>
    <w:rsid w:val="00C80C88"/>
    <w:rsid w:val="00C81047"/>
    <w:rsid w:val="00C8106B"/>
    <w:rsid w:val="00C81191"/>
    <w:rsid w:val="00C8150F"/>
    <w:rsid w:val="00C81741"/>
    <w:rsid w:val="00C81766"/>
    <w:rsid w:val="00C8199B"/>
    <w:rsid w:val="00C819AA"/>
    <w:rsid w:val="00C81CF2"/>
    <w:rsid w:val="00C81E37"/>
    <w:rsid w:val="00C81EF1"/>
    <w:rsid w:val="00C81F00"/>
    <w:rsid w:val="00C82150"/>
    <w:rsid w:val="00C821F3"/>
    <w:rsid w:val="00C823B8"/>
    <w:rsid w:val="00C82433"/>
    <w:rsid w:val="00C82510"/>
    <w:rsid w:val="00C82591"/>
    <w:rsid w:val="00C825B4"/>
    <w:rsid w:val="00C825D4"/>
    <w:rsid w:val="00C82DF5"/>
    <w:rsid w:val="00C82E19"/>
    <w:rsid w:val="00C82F8F"/>
    <w:rsid w:val="00C831CA"/>
    <w:rsid w:val="00C83343"/>
    <w:rsid w:val="00C83505"/>
    <w:rsid w:val="00C835DA"/>
    <w:rsid w:val="00C83746"/>
    <w:rsid w:val="00C83772"/>
    <w:rsid w:val="00C83809"/>
    <w:rsid w:val="00C83A64"/>
    <w:rsid w:val="00C83F6B"/>
    <w:rsid w:val="00C8445A"/>
    <w:rsid w:val="00C845CF"/>
    <w:rsid w:val="00C84838"/>
    <w:rsid w:val="00C84A6F"/>
    <w:rsid w:val="00C84B91"/>
    <w:rsid w:val="00C84C30"/>
    <w:rsid w:val="00C84D9B"/>
    <w:rsid w:val="00C84DAD"/>
    <w:rsid w:val="00C84F6E"/>
    <w:rsid w:val="00C84FF8"/>
    <w:rsid w:val="00C85084"/>
    <w:rsid w:val="00C850CC"/>
    <w:rsid w:val="00C85202"/>
    <w:rsid w:val="00C852B7"/>
    <w:rsid w:val="00C857F8"/>
    <w:rsid w:val="00C8581E"/>
    <w:rsid w:val="00C858DF"/>
    <w:rsid w:val="00C85B97"/>
    <w:rsid w:val="00C85B9A"/>
    <w:rsid w:val="00C861CE"/>
    <w:rsid w:val="00C86264"/>
    <w:rsid w:val="00C8642D"/>
    <w:rsid w:val="00C867B5"/>
    <w:rsid w:val="00C8680C"/>
    <w:rsid w:val="00C86AE0"/>
    <w:rsid w:val="00C86B80"/>
    <w:rsid w:val="00C86E88"/>
    <w:rsid w:val="00C87203"/>
    <w:rsid w:val="00C87220"/>
    <w:rsid w:val="00C8731C"/>
    <w:rsid w:val="00C876A0"/>
    <w:rsid w:val="00C876B2"/>
    <w:rsid w:val="00C876E4"/>
    <w:rsid w:val="00C8773B"/>
    <w:rsid w:val="00C87782"/>
    <w:rsid w:val="00C8781F"/>
    <w:rsid w:val="00C9001A"/>
    <w:rsid w:val="00C905C1"/>
    <w:rsid w:val="00C90B22"/>
    <w:rsid w:val="00C91028"/>
    <w:rsid w:val="00C911D4"/>
    <w:rsid w:val="00C915BC"/>
    <w:rsid w:val="00C91A38"/>
    <w:rsid w:val="00C91A51"/>
    <w:rsid w:val="00C91AC2"/>
    <w:rsid w:val="00C91EB7"/>
    <w:rsid w:val="00C91FD6"/>
    <w:rsid w:val="00C922DE"/>
    <w:rsid w:val="00C9257E"/>
    <w:rsid w:val="00C925CE"/>
    <w:rsid w:val="00C92691"/>
    <w:rsid w:val="00C926C9"/>
    <w:rsid w:val="00C92920"/>
    <w:rsid w:val="00C929C9"/>
    <w:rsid w:val="00C92C1A"/>
    <w:rsid w:val="00C931F1"/>
    <w:rsid w:val="00C93234"/>
    <w:rsid w:val="00C932AA"/>
    <w:rsid w:val="00C93357"/>
    <w:rsid w:val="00C934A3"/>
    <w:rsid w:val="00C93564"/>
    <w:rsid w:val="00C93825"/>
    <w:rsid w:val="00C93F5D"/>
    <w:rsid w:val="00C93FD6"/>
    <w:rsid w:val="00C93FEA"/>
    <w:rsid w:val="00C94218"/>
    <w:rsid w:val="00C94381"/>
    <w:rsid w:val="00C943FA"/>
    <w:rsid w:val="00C94619"/>
    <w:rsid w:val="00C946C9"/>
    <w:rsid w:val="00C946E5"/>
    <w:rsid w:val="00C947E3"/>
    <w:rsid w:val="00C94ABC"/>
    <w:rsid w:val="00C94D66"/>
    <w:rsid w:val="00C94E58"/>
    <w:rsid w:val="00C94FAD"/>
    <w:rsid w:val="00C94FCC"/>
    <w:rsid w:val="00C955FC"/>
    <w:rsid w:val="00C95643"/>
    <w:rsid w:val="00C9569B"/>
    <w:rsid w:val="00C956A8"/>
    <w:rsid w:val="00C956B8"/>
    <w:rsid w:val="00C957B7"/>
    <w:rsid w:val="00C958E0"/>
    <w:rsid w:val="00C95C80"/>
    <w:rsid w:val="00C95CB9"/>
    <w:rsid w:val="00C95E95"/>
    <w:rsid w:val="00C95F7C"/>
    <w:rsid w:val="00C9601E"/>
    <w:rsid w:val="00C960B3"/>
    <w:rsid w:val="00C965C6"/>
    <w:rsid w:val="00C96A03"/>
    <w:rsid w:val="00C96B28"/>
    <w:rsid w:val="00C96D1B"/>
    <w:rsid w:val="00C96D1F"/>
    <w:rsid w:val="00C96D34"/>
    <w:rsid w:val="00C971F3"/>
    <w:rsid w:val="00C9721C"/>
    <w:rsid w:val="00C9745E"/>
    <w:rsid w:val="00C975AF"/>
    <w:rsid w:val="00C978A5"/>
    <w:rsid w:val="00C9793B"/>
    <w:rsid w:val="00C97A21"/>
    <w:rsid w:val="00C97B94"/>
    <w:rsid w:val="00C97B95"/>
    <w:rsid w:val="00C97BC3"/>
    <w:rsid w:val="00C97C92"/>
    <w:rsid w:val="00C97CFD"/>
    <w:rsid w:val="00C97DFC"/>
    <w:rsid w:val="00CA0123"/>
    <w:rsid w:val="00CA0125"/>
    <w:rsid w:val="00CA0295"/>
    <w:rsid w:val="00CA0650"/>
    <w:rsid w:val="00CA077F"/>
    <w:rsid w:val="00CA07DA"/>
    <w:rsid w:val="00CA0AC2"/>
    <w:rsid w:val="00CA0B3B"/>
    <w:rsid w:val="00CA1101"/>
    <w:rsid w:val="00CA1443"/>
    <w:rsid w:val="00CA1489"/>
    <w:rsid w:val="00CA1698"/>
    <w:rsid w:val="00CA1999"/>
    <w:rsid w:val="00CA1A44"/>
    <w:rsid w:val="00CA1AFC"/>
    <w:rsid w:val="00CA1B05"/>
    <w:rsid w:val="00CA1B62"/>
    <w:rsid w:val="00CA1DD6"/>
    <w:rsid w:val="00CA2184"/>
    <w:rsid w:val="00CA221E"/>
    <w:rsid w:val="00CA2451"/>
    <w:rsid w:val="00CA247F"/>
    <w:rsid w:val="00CA24B0"/>
    <w:rsid w:val="00CA26BE"/>
    <w:rsid w:val="00CA2905"/>
    <w:rsid w:val="00CA2BA9"/>
    <w:rsid w:val="00CA2D56"/>
    <w:rsid w:val="00CA2E96"/>
    <w:rsid w:val="00CA35B1"/>
    <w:rsid w:val="00CA3621"/>
    <w:rsid w:val="00CA38B6"/>
    <w:rsid w:val="00CA3A77"/>
    <w:rsid w:val="00CA40B7"/>
    <w:rsid w:val="00CA4203"/>
    <w:rsid w:val="00CA434A"/>
    <w:rsid w:val="00CA444F"/>
    <w:rsid w:val="00CA4723"/>
    <w:rsid w:val="00CA48EE"/>
    <w:rsid w:val="00CA495B"/>
    <w:rsid w:val="00CA4A16"/>
    <w:rsid w:val="00CA4AC5"/>
    <w:rsid w:val="00CA4B43"/>
    <w:rsid w:val="00CA4D06"/>
    <w:rsid w:val="00CA4D0A"/>
    <w:rsid w:val="00CA4FB1"/>
    <w:rsid w:val="00CA5007"/>
    <w:rsid w:val="00CA5338"/>
    <w:rsid w:val="00CA535E"/>
    <w:rsid w:val="00CA5571"/>
    <w:rsid w:val="00CA558A"/>
    <w:rsid w:val="00CA55E7"/>
    <w:rsid w:val="00CA592D"/>
    <w:rsid w:val="00CA59D5"/>
    <w:rsid w:val="00CA5E57"/>
    <w:rsid w:val="00CA62C9"/>
    <w:rsid w:val="00CA6497"/>
    <w:rsid w:val="00CA654C"/>
    <w:rsid w:val="00CA6556"/>
    <w:rsid w:val="00CA6684"/>
    <w:rsid w:val="00CA66A0"/>
    <w:rsid w:val="00CA66C4"/>
    <w:rsid w:val="00CA6A56"/>
    <w:rsid w:val="00CA6A8A"/>
    <w:rsid w:val="00CA6BEE"/>
    <w:rsid w:val="00CA6C11"/>
    <w:rsid w:val="00CA7151"/>
    <w:rsid w:val="00CA7280"/>
    <w:rsid w:val="00CA742F"/>
    <w:rsid w:val="00CA75E2"/>
    <w:rsid w:val="00CA78D1"/>
    <w:rsid w:val="00CA7AF4"/>
    <w:rsid w:val="00CA7B29"/>
    <w:rsid w:val="00CA7B74"/>
    <w:rsid w:val="00CA7EB2"/>
    <w:rsid w:val="00CB002A"/>
    <w:rsid w:val="00CB016C"/>
    <w:rsid w:val="00CB045C"/>
    <w:rsid w:val="00CB06B8"/>
    <w:rsid w:val="00CB06E6"/>
    <w:rsid w:val="00CB07C8"/>
    <w:rsid w:val="00CB0FB6"/>
    <w:rsid w:val="00CB12E4"/>
    <w:rsid w:val="00CB136C"/>
    <w:rsid w:val="00CB142B"/>
    <w:rsid w:val="00CB1A1C"/>
    <w:rsid w:val="00CB1B0D"/>
    <w:rsid w:val="00CB1B4D"/>
    <w:rsid w:val="00CB1CE9"/>
    <w:rsid w:val="00CB227B"/>
    <w:rsid w:val="00CB2420"/>
    <w:rsid w:val="00CB2476"/>
    <w:rsid w:val="00CB24AD"/>
    <w:rsid w:val="00CB2823"/>
    <w:rsid w:val="00CB28A9"/>
    <w:rsid w:val="00CB28B5"/>
    <w:rsid w:val="00CB294B"/>
    <w:rsid w:val="00CB2B4D"/>
    <w:rsid w:val="00CB2B89"/>
    <w:rsid w:val="00CB2C9C"/>
    <w:rsid w:val="00CB2D6A"/>
    <w:rsid w:val="00CB2DCF"/>
    <w:rsid w:val="00CB3036"/>
    <w:rsid w:val="00CB30C1"/>
    <w:rsid w:val="00CB324D"/>
    <w:rsid w:val="00CB3397"/>
    <w:rsid w:val="00CB3457"/>
    <w:rsid w:val="00CB354A"/>
    <w:rsid w:val="00CB371D"/>
    <w:rsid w:val="00CB3774"/>
    <w:rsid w:val="00CB37DD"/>
    <w:rsid w:val="00CB3931"/>
    <w:rsid w:val="00CB3AB7"/>
    <w:rsid w:val="00CB3B3E"/>
    <w:rsid w:val="00CB3CF7"/>
    <w:rsid w:val="00CB3DDE"/>
    <w:rsid w:val="00CB3F64"/>
    <w:rsid w:val="00CB3FC1"/>
    <w:rsid w:val="00CB3FC3"/>
    <w:rsid w:val="00CB41E1"/>
    <w:rsid w:val="00CB423E"/>
    <w:rsid w:val="00CB42B7"/>
    <w:rsid w:val="00CB43FD"/>
    <w:rsid w:val="00CB4410"/>
    <w:rsid w:val="00CB45DD"/>
    <w:rsid w:val="00CB470D"/>
    <w:rsid w:val="00CB4720"/>
    <w:rsid w:val="00CB4CB5"/>
    <w:rsid w:val="00CB4DCD"/>
    <w:rsid w:val="00CB526A"/>
    <w:rsid w:val="00CB5462"/>
    <w:rsid w:val="00CB54B5"/>
    <w:rsid w:val="00CB5595"/>
    <w:rsid w:val="00CB5EF7"/>
    <w:rsid w:val="00CB605D"/>
    <w:rsid w:val="00CB63DA"/>
    <w:rsid w:val="00CB65BF"/>
    <w:rsid w:val="00CB67CE"/>
    <w:rsid w:val="00CB6802"/>
    <w:rsid w:val="00CB6D3C"/>
    <w:rsid w:val="00CB6E62"/>
    <w:rsid w:val="00CB6EB7"/>
    <w:rsid w:val="00CB72B3"/>
    <w:rsid w:val="00CB72EE"/>
    <w:rsid w:val="00CB73CA"/>
    <w:rsid w:val="00CB75EA"/>
    <w:rsid w:val="00CB7EF7"/>
    <w:rsid w:val="00CC0184"/>
    <w:rsid w:val="00CC028B"/>
    <w:rsid w:val="00CC05D4"/>
    <w:rsid w:val="00CC0854"/>
    <w:rsid w:val="00CC0872"/>
    <w:rsid w:val="00CC08FB"/>
    <w:rsid w:val="00CC0A53"/>
    <w:rsid w:val="00CC0AF3"/>
    <w:rsid w:val="00CC0FDC"/>
    <w:rsid w:val="00CC122E"/>
    <w:rsid w:val="00CC14F1"/>
    <w:rsid w:val="00CC1523"/>
    <w:rsid w:val="00CC177F"/>
    <w:rsid w:val="00CC18BD"/>
    <w:rsid w:val="00CC1BB9"/>
    <w:rsid w:val="00CC1D5A"/>
    <w:rsid w:val="00CC1D69"/>
    <w:rsid w:val="00CC209D"/>
    <w:rsid w:val="00CC2348"/>
    <w:rsid w:val="00CC2361"/>
    <w:rsid w:val="00CC247E"/>
    <w:rsid w:val="00CC24E8"/>
    <w:rsid w:val="00CC2651"/>
    <w:rsid w:val="00CC2811"/>
    <w:rsid w:val="00CC28A3"/>
    <w:rsid w:val="00CC2C7F"/>
    <w:rsid w:val="00CC2FE4"/>
    <w:rsid w:val="00CC31E9"/>
    <w:rsid w:val="00CC3456"/>
    <w:rsid w:val="00CC35A9"/>
    <w:rsid w:val="00CC36EE"/>
    <w:rsid w:val="00CC3BBE"/>
    <w:rsid w:val="00CC3EE1"/>
    <w:rsid w:val="00CC42A5"/>
    <w:rsid w:val="00CC458E"/>
    <w:rsid w:val="00CC463F"/>
    <w:rsid w:val="00CC48BD"/>
    <w:rsid w:val="00CC4BCA"/>
    <w:rsid w:val="00CC4BD5"/>
    <w:rsid w:val="00CC4C6A"/>
    <w:rsid w:val="00CC4CAF"/>
    <w:rsid w:val="00CC4E43"/>
    <w:rsid w:val="00CC50BE"/>
    <w:rsid w:val="00CC5210"/>
    <w:rsid w:val="00CC52B8"/>
    <w:rsid w:val="00CC552E"/>
    <w:rsid w:val="00CC569C"/>
    <w:rsid w:val="00CC587E"/>
    <w:rsid w:val="00CC58B0"/>
    <w:rsid w:val="00CC58D8"/>
    <w:rsid w:val="00CC5C6F"/>
    <w:rsid w:val="00CC5CF0"/>
    <w:rsid w:val="00CC5F0C"/>
    <w:rsid w:val="00CC6125"/>
    <w:rsid w:val="00CC617A"/>
    <w:rsid w:val="00CC6185"/>
    <w:rsid w:val="00CC61F5"/>
    <w:rsid w:val="00CC63E1"/>
    <w:rsid w:val="00CC6739"/>
    <w:rsid w:val="00CC67A4"/>
    <w:rsid w:val="00CC68BC"/>
    <w:rsid w:val="00CC6DE8"/>
    <w:rsid w:val="00CC6F5F"/>
    <w:rsid w:val="00CC7A41"/>
    <w:rsid w:val="00CC7C57"/>
    <w:rsid w:val="00CC7C77"/>
    <w:rsid w:val="00CC7D10"/>
    <w:rsid w:val="00CD0319"/>
    <w:rsid w:val="00CD0370"/>
    <w:rsid w:val="00CD0587"/>
    <w:rsid w:val="00CD05F7"/>
    <w:rsid w:val="00CD08E7"/>
    <w:rsid w:val="00CD09D5"/>
    <w:rsid w:val="00CD0BBB"/>
    <w:rsid w:val="00CD0CBC"/>
    <w:rsid w:val="00CD0D73"/>
    <w:rsid w:val="00CD0DC8"/>
    <w:rsid w:val="00CD16C9"/>
    <w:rsid w:val="00CD16DF"/>
    <w:rsid w:val="00CD17AB"/>
    <w:rsid w:val="00CD18D7"/>
    <w:rsid w:val="00CD1AA3"/>
    <w:rsid w:val="00CD1B55"/>
    <w:rsid w:val="00CD1F49"/>
    <w:rsid w:val="00CD2007"/>
    <w:rsid w:val="00CD215B"/>
    <w:rsid w:val="00CD2267"/>
    <w:rsid w:val="00CD2983"/>
    <w:rsid w:val="00CD2C4D"/>
    <w:rsid w:val="00CD2F53"/>
    <w:rsid w:val="00CD30F0"/>
    <w:rsid w:val="00CD310F"/>
    <w:rsid w:val="00CD3121"/>
    <w:rsid w:val="00CD33D9"/>
    <w:rsid w:val="00CD379D"/>
    <w:rsid w:val="00CD3A0F"/>
    <w:rsid w:val="00CD3B3B"/>
    <w:rsid w:val="00CD3BD1"/>
    <w:rsid w:val="00CD3E32"/>
    <w:rsid w:val="00CD41E4"/>
    <w:rsid w:val="00CD42FC"/>
    <w:rsid w:val="00CD431A"/>
    <w:rsid w:val="00CD4355"/>
    <w:rsid w:val="00CD43AC"/>
    <w:rsid w:val="00CD4ABE"/>
    <w:rsid w:val="00CD4B87"/>
    <w:rsid w:val="00CD4D49"/>
    <w:rsid w:val="00CD4E47"/>
    <w:rsid w:val="00CD4ECA"/>
    <w:rsid w:val="00CD5069"/>
    <w:rsid w:val="00CD51ED"/>
    <w:rsid w:val="00CD54D9"/>
    <w:rsid w:val="00CD5710"/>
    <w:rsid w:val="00CD59D6"/>
    <w:rsid w:val="00CD5A54"/>
    <w:rsid w:val="00CD5B81"/>
    <w:rsid w:val="00CD5BA6"/>
    <w:rsid w:val="00CD5D54"/>
    <w:rsid w:val="00CD5D9E"/>
    <w:rsid w:val="00CD5E6E"/>
    <w:rsid w:val="00CD62E6"/>
    <w:rsid w:val="00CD6687"/>
    <w:rsid w:val="00CD695D"/>
    <w:rsid w:val="00CD6A15"/>
    <w:rsid w:val="00CD6A8A"/>
    <w:rsid w:val="00CD6C21"/>
    <w:rsid w:val="00CD6D4D"/>
    <w:rsid w:val="00CD71BC"/>
    <w:rsid w:val="00CD73A8"/>
    <w:rsid w:val="00CD744C"/>
    <w:rsid w:val="00CD749E"/>
    <w:rsid w:val="00CD776E"/>
    <w:rsid w:val="00CD79BA"/>
    <w:rsid w:val="00CD79D3"/>
    <w:rsid w:val="00CD7C11"/>
    <w:rsid w:val="00CD7CD5"/>
    <w:rsid w:val="00CD7D2F"/>
    <w:rsid w:val="00CD7E31"/>
    <w:rsid w:val="00CE01C5"/>
    <w:rsid w:val="00CE0415"/>
    <w:rsid w:val="00CE06E3"/>
    <w:rsid w:val="00CE09FE"/>
    <w:rsid w:val="00CE0A98"/>
    <w:rsid w:val="00CE0C49"/>
    <w:rsid w:val="00CE0FE9"/>
    <w:rsid w:val="00CE11BB"/>
    <w:rsid w:val="00CE127F"/>
    <w:rsid w:val="00CE12DF"/>
    <w:rsid w:val="00CE1469"/>
    <w:rsid w:val="00CE14F7"/>
    <w:rsid w:val="00CE196A"/>
    <w:rsid w:val="00CE1B5B"/>
    <w:rsid w:val="00CE1BF9"/>
    <w:rsid w:val="00CE1E76"/>
    <w:rsid w:val="00CE1EE0"/>
    <w:rsid w:val="00CE1FE3"/>
    <w:rsid w:val="00CE202A"/>
    <w:rsid w:val="00CE2102"/>
    <w:rsid w:val="00CE22F3"/>
    <w:rsid w:val="00CE250F"/>
    <w:rsid w:val="00CE26A7"/>
    <w:rsid w:val="00CE26BE"/>
    <w:rsid w:val="00CE2A09"/>
    <w:rsid w:val="00CE2B7B"/>
    <w:rsid w:val="00CE2E1D"/>
    <w:rsid w:val="00CE2ECE"/>
    <w:rsid w:val="00CE3079"/>
    <w:rsid w:val="00CE3100"/>
    <w:rsid w:val="00CE3112"/>
    <w:rsid w:val="00CE31D1"/>
    <w:rsid w:val="00CE35EB"/>
    <w:rsid w:val="00CE3BDA"/>
    <w:rsid w:val="00CE405C"/>
    <w:rsid w:val="00CE40AC"/>
    <w:rsid w:val="00CE40C5"/>
    <w:rsid w:val="00CE425B"/>
    <w:rsid w:val="00CE4408"/>
    <w:rsid w:val="00CE475A"/>
    <w:rsid w:val="00CE4EE7"/>
    <w:rsid w:val="00CE5041"/>
    <w:rsid w:val="00CE5306"/>
    <w:rsid w:val="00CE5390"/>
    <w:rsid w:val="00CE5564"/>
    <w:rsid w:val="00CE578E"/>
    <w:rsid w:val="00CE5875"/>
    <w:rsid w:val="00CE58AF"/>
    <w:rsid w:val="00CE5AA2"/>
    <w:rsid w:val="00CE5B56"/>
    <w:rsid w:val="00CE5E99"/>
    <w:rsid w:val="00CE6126"/>
    <w:rsid w:val="00CE626C"/>
    <w:rsid w:val="00CE6316"/>
    <w:rsid w:val="00CE65F5"/>
    <w:rsid w:val="00CE6705"/>
    <w:rsid w:val="00CE67A0"/>
    <w:rsid w:val="00CE6C09"/>
    <w:rsid w:val="00CE6CBD"/>
    <w:rsid w:val="00CE715F"/>
    <w:rsid w:val="00CE759B"/>
    <w:rsid w:val="00CE7704"/>
    <w:rsid w:val="00CE7822"/>
    <w:rsid w:val="00CE7A2F"/>
    <w:rsid w:val="00CE7D3B"/>
    <w:rsid w:val="00CE7D4E"/>
    <w:rsid w:val="00CE7DF3"/>
    <w:rsid w:val="00CE7EF6"/>
    <w:rsid w:val="00CE7F95"/>
    <w:rsid w:val="00CF0157"/>
    <w:rsid w:val="00CF0703"/>
    <w:rsid w:val="00CF0B4D"/>
    <w:rsid w:val="00CF0BBB"/>
    <w:rsid w:val="00CF0F88"/>
    <w:rsid w:val="00CF12CE"/>
    <w:rsid w:val="00CF12EF"/>
    <w:rsid w:val="00CF155C"/>
    <w:rsid w:val="00CF1682"/>
    <w:rsid w:val="00CF18D3"/>
    <w:rsid w:val="00CF19BB"/>
    <w:rsid w:val="00CF1A5C"/>
    <w:rsid w:val="00CF1A6A"/>
    <w:rsid w:val="00CF1C09"/>
    <w:rsid w:val="00CF1C1A"/>
    <w:rsid w:val="00CF1D05"/>
    <w:rsid w:val="00CF1F8E"/>
    <w:rsid w:val="00CF2014"/>
    <w:rsid w:val="00CF23CF"/>
    <w:rsid w:val="00CF276D"/>
    <w:rsid w:val="00CF28F4"/>
    <w:rsid w:val="00CF2919"/>
    <w:rsid w:val="00CF2A2D"/>
    <w:rsid w:val="00CF2EEA"/>
    <w:rsid w:val="00CF357B"/>
    <w:rsid w:val="00CF35A5"/>
    <w:rsid w:val="00CF35CA"/>
    <w:rsid w:val="00CF3895"/>
    <w:rsid w:val="00CF38AD"/>
    <w:rsid w:val="00CF3B01"/>
    <w:rsid w:val="00CF3C16"/>
    <w:rsid w:val="00CF3F79"/>
    <w:rsid w:val="00CF3FA9"/>
    <w:rsid w:val="00CF4169"/>
    <w:rsid w:val="00CF41E3"/>
    <w:rsid w:val="00CF45A0"/>
    <w:rsid w:val="00CF4787"/>
    <w:rsid w:val="00CF4966"/>
    <w:rsid w:val="00CF4AAA"/>
    <w:rsid w:val="00CF4B5B"/>
    <w:rsid w:val="00CF4D2F"/>
    <w:rsid w:val="00CF4D96"/>
    <w:rsid w:val="00CF4DB8"/>
    <w:rsid w:val="00CF4ECB"/>
    <w:rsid w:val="00CF56EA"/>
    <w:rsid w:val="00CF57F5"/>
    <w:rsid w:val="00CF5913"/>
    <w:rsid w:val="00CF59C6"/>
    <w:rsid w:val="00CF5E65"/>
    <w:rsid w:val="00CF646C"/>
    <w:rsid w:val="00CF662A"/>
    <w:rsid w:val="00CF6674"/>
    <w:rsid w:val="00CF6866"/>
    <w:rsid w:val="00CF68AB"/>
    <w:rsid w:val="00CF6A36"/>
    <w:rsid w:val="00CF6A63"/>
    <w:rsid w:val="00CF6CE8"/>
    <w:rsid w:val="00CF6D13"/>
    <w:rsid w:val="00CF6F17"/>
    <w:rsid w:val="00CF714F"/>
    <w:rsid w:val="00CF74D5"/>
    <w:rsid w:val="00CF74D9"/>
    <w:rsid w:val="00CF79AA"/>
    <w:rsid w:val="00CF79B9"/>
    <w:rsid w:val="00CF7D2E"/>
    <w:rsid w:val="00CF7D95"/>
    <w:rsid w:val="00CF7F0A"/>
    <w:rsid w:val="00D00104"/>
    <w:rsid w:val="00D00351"/>
    <w:rsid w:val="00D00354"/>
    <w:rsid w:val="00D003F8"/>
    <w:rsid w:val="00D00496"/>
    <w:rsid w:val="00D004C9"/>
    <w:rsid w:val="00D004E8"/>
    <w:rsid w:val="00D0064B"/>
    <w:rsid w:val="00D006EF"/>
    <w:rsid w:val="00D00829"/>
    <w:rsid w:val="00D008A9"/>
    <w:rsid w:val="00D00BE4"/>
    <w:rsid w:val="00D00CB0"/>
    <w:rsid w:val="00D00E4C"/>
    <w:rsid w:val="00D00F4C"/>
    <w:rsid w:val="00D011BA"/>
    <w:rsid w:val="00D01218"/>
    <w:rsid w:val="00D012CE"/>
    <w:rsid w:val="00D0135F"/>
    <w:rsid w:val="00D015E9"/>
    <w:rsid w:val="00D017FC"/>
    <w:rsid w:val="00D01918"/>
    <w:rsid w:val="00D01B0F"/>
    <w:rsid w:val="00D01C59"/>
    <w:rsid w:val="00D01D27"/>
    <w:rsid w:val="00D01DE2"/>
    <w:rsid w:val="00D023B1"/>
    <w:rsid w:val="00D02411"/>
    <w:rsid w:val="00D0250D"/>
    <w:rsid w:val="00D0269C"/>
    <w:rsid w:val="00D02AA4"/>
    <w:rsid w:val="00D02C0A"/>
    <w:rsid w:val="00D03112"/>
    <w:rsid w:val="00D03382"/>
    <w:rsid w:val="00D0343E"/>
    <w:rsid w:val="00D034F8"/>
    <w:rsid w:val="00D03896"/>
    <w:rsid w:val="00D039A8"/>
    <w:rsid w:val="00D03A7D"/>
    <w:rsid w:val="00D03D71"/>
    <w:rsid w:val="00D03E7B"/>
    <w:rsid w:val="00D042F9"/>
    <w:rsid w:val="00D0441B"/>
    <w:rsid w:val="00D04485"/>
    <w:rsid w:val="00D045BA"/>
    <w:rsid w:val="00D04B0A"/>
    <w:rsid w:val="00D04B6E"/>
    <w:rsid w:val="00D04BCC"/>
    <w:rsid w:val="00D04DC7"/>
    <w:rsid w:val="00D04ECD"/>
    <w:rsid w:val="00D04F7A"/>
    <w:rsid w:val="00D04F9E"/>
    <w:rsid w:val="00D04FF1"/>
    <w:rsid w:val="00D05093"/>
    <w:rsid w:val="00D052AB"/>
    <w:rsid w:val="00D05483"/>
    <w:rsid w:val="00D054B7"/>
    <w:rsid w:val="00D054E1"/>
    <w:rsid w:val="00D05547"/>
    <w:rsid w:val="00D0555F"/>
    <w:rsid w:val="00D058C9"/>
    <w:rsid w:val="00D0597F"/>
    <w:rsid w:val="00D059C8"/>
    <w:rsid w:val="00D059D7"/>
    <w:rsid w:val="00D05AE7"/>
    <w:rsid w:val="00D05C42"/>
    <w:rsid w:val="00D05CE3"/>
    <w:rsid w:val="00D05DD6"/>
    <w:rsid w:val="00D05F83"/>
    <w:rsid w:val="00D061D8"/>
    <w:rsid w:val="00D064CC"/>
    <w:rsid w:val="00D065CF"/>
    <w:rsid w:val="00D067A1"/>
    <w:rsid w:val="00D06B9F"/>
    <w:rsid w:val="00D06C3B"/>
    <w:rsid w:val="00D06D26"/>
    <w:rsid w:val="00D06D89"/>
    <w:rsid w:val="00D070EB"/>
    <w:rsid w:val="00D072CF"/>
    <w:rsid w:val="00D07A2A"/>
    <w:rsid w:val="00D07B1C"/>
    <w:rsid w:val="00D07B48"/>
    <w:rsid w:val="00D07BC2"/>
    <w:rsid w:val="00D07C71"/>
    <w:rsid w:val="00D100E9"/>
    <w:rsid w:val="00D10213"/>
    <w:rsid w:val="00D10354"/>
    <w:rsid w:val="00D10483"/>
    <w:rsid w:val="00D104D9"/>
    <w:rsid w:val="00D10621"/>
    <w:rsid w:val="00D10895"/>
    <w:rsid w:val="00D10AA6"/>
    <w:rsid w:val="00D10C8E"/>
    <w:rsid w:val="00D10CE8"/>
    <w:rsid w:val="00D10D6D"/>
    <w:rsid w:val="00D11038"/>
    <w:rsid w:val="00D115A6"/>
    <w:rsid w:val="00D11A30"/>
    <w:rsid w:val="00D11CC0"/>
    <w:rsid w:val="00D11CD5"/>
    <w:rsid w:val="00D11D28"/>
    <w:rsid w:val="00D11DF7"/>
    <w:rsid w:val="00D1289C"/>
    <w:rsid w:val="00D12DDE"/>
    <w:rsid w:val="00D13018"/>
    <w:rsid w:val="00D132ED"/>
    <w:rsid w:val="00D135D0"/>
    <w:rsid w:val="00D135DC"/>
    <w:rsid w:val="00D13616"/>
    <w:rsid w:val="00D1366B"/>
    <w:rsid w:val="00D13701"/>
    <w:rsid w:val="00D137B0"/>
    <w:rsid w:val="00D13A1C"/>
    <w:rsid w:val="00D13BF0"/>
    <w:rsid w:val="00D13C0D"/>
    <w:rsid w:val="00D13D7F"/>
    <w:rsid w:val="00D1409D"/>
    <w:rsid w:val="00D14243"/>
    <w:rsid w:val="00D14464"/>
    <w:rsid w:val="00D145BC"/>
    <w:rsid w:val="00D14884"/>
    <w:rsid w:val="00D14B56"/>
    <w:rsid w:val="00D150FB"/>
    <w:rsid w:val="00D1515E"/>
    <w:rsid w:val="00D151EE"/>
    <w:rsid w:val="00D155E0"/>
    <w:rsid w:val="00D15656"/>
    <w:rsid w:val="00D158DF"/>
    <w:rsid w:val="00D15924"/>
    <w:rsid w:val="00D15989"/>
    <w:rsid w:val="00D159DA"/>
    <w:rsid w:val="00D15A58"/>
    <w:rsid w:val="00D15F71"/>
    <w:rsid w:val="00D16042"/>
    <w:rsid w:val="00D16343"/>
    <w:rsid w:val="00D1643B"/>
    <w:rsid w:val="00D16445"/>
    <w:rsid w:val="00D16495"/>
    <w:rsid w:val="00D1658F"/>
    <w:rsid w:val="00D166A7"/>
    <w:rsid w:val="00D16AA2"/>
    <w:rsid w:val="00D16B70"/>
    <w:rsid w:val="00D16BAD"/>
    <w:rsid w:val="00D16C2B"/>
    <w:rsid w:val="00D16D80"/>
    <w:rsid w:val="00D1701D"/>
    <w:rsid w:val="00D17114"/>
    <w:rsid w:val="00D17228"/>
    <w:rsid w:val="00D172AE"/>
    <w:rsid w:val="00D17689"/>
    <w:rsid w:val="00D17771"/>
    <w:rsid w:val="00D1795B"/>
    <w:rsid w:val="00D179FB"/>
    <w:rsid w:val="00D17A50"/>
    <w:rsid w:val="00D17E90"/>
    <w:rsid w:val="00D20036"/>
    <w:rsid w:val="00D20308"/>
    <w:rsid w:val="00D2053C"/>
    <w:rsid w:val="00D2061C"/>
    <w:rsid w:val="00D20655"/>
    <w:rsid w:val="00D206A6"/>
    <w:rsid w:val="00D206EA"/>
    <w:rsid w:val="00D20C1C"/>
    <w:rsid w:val="00D20DEE"/>
    <w:rsid w:val="00D20E30"/>
    <w:rsid w:val="00D20F95"/>
    <w:rsid w:val="00D211C6"/>
    <w:rsid w:val="00D21663"/>
    <w:rsid w:val="00D21712"/>
    <w:rsid w:val="00D2193F"/>
    <w:rsid w:val="00D2198C"/>
    <w:rsid w:val="00D2199A"/>
    <w:rsid w:val="00D219E2"/>
    <w:rsid w:val="00D21A02"/>
    <w:rsid w:val="00D21C9B"/>
    <w:rsid w:val="00D21D92"/>
    <w:rsid w:val="00D220BA"/>
    <w:rsid w:val="00D22346"/>
    <w:rsid w:val="00D2236F"/>
    <w:rsid w:val="00D22565"/>
    <w:rsid w:val="00D226A9"/>
    <w:rsid w:val="00D2277D"/>
    <w:rsid w:val="00D22FD0"/>
    <w:rsid w:val="00D23232"/>
    <w:rsid w:val="00D237EF"/>
    <w:rsid w:val="00D23A42"/>
    <w:rsid w:val="00D23BA1"/>
    <w:rsid w:val="00D23D27"/>
    <w:rsid w:val="00D23DFB"/>
    <w:rsid w:val="00D23ECE"/>
    <w:rsid w:val="00D23F72"/>
    <w:rsid w:val="00D2461D"/>
    <w:rsid w:val="00D24A5E"/>
    <w:rsid w:val="00D24B9F"/>
    <w:rsid w:val="00D24D92"/>
    <w:rsid w:val="00D2502F"/>
    <w:rsid w:val="00D254DC"/>
    <w:rsid w:val="00D255E3"/>
    <w:rsid w:val="00D2567A"/>
    <w:rsid w:val="00D2577D"/>
    <w:rsid w:val="00D257A3"/>
    <w:rsid w:val="00D25847"/>
    <w:rsid w:val="00D25855"/>
    <w:rsid w:val="00D259F8"/>
    <w:rsid w:val="00D2603A"/>
    <w:rsid w:val="00D26227"/>
    <w:rsid w:val="00D2625D"/>
    <w:rsid w:val="00D2663B"/>
    <w:rsid w:val="00D266B4"/>
    <w:rsid w:val="00D26865"/>
    <w:rsid w:val="00D26C9A"/>
    <w:rsid w:val="00D26F5D"/>
    <w:rsid w:val="00D27286"/>
    <w:rsid w:val="00D27421"/>
    <w:rsid w:val="00D275D2"/>
    <w:rsid w:val="00D27774"/>
    <w:rsid w:val="00D27A4F"/>
    <w:rsid w:val="00D27A97"/>
    <w:rsid w:val="00D27AA2"/>
    <w:rsid w:val="00D27B4C"/>
    <w:rsid w:val="00D27B71"/>
    <w:rsid w:val="00D27C8D"/>
    <w:rsid w:val="00D3007E"/>
    <w:rsid w:val="00D302DF"/>
    <w:rsid w:val="00D303B8"/>
    <w:rsid w:val="00D3042D"/>
    <w:rsid w:val="00D3054A"/>
    <w:rsid w:val="00D3076E"/>
    <w:rsid w:val="00D307E8"/>
    <w:rsid w:val="00D30A11"/>
    <w:rsid w:val="00D30DA9"/>
    <w:rsid w:val="00D30EA7"/>
    <w:rsid w:val="00D3123D"/>
    <w:rsid w:val="00D316CC"/>
    <w:rsid w:val="00D31805"/>
    <w:rsid w:val="00D318D3"/>
    <w:rsid w:val="00D31AF4"/>
    <w:rsid w:val="00D31ED6"/>
    <w:rsid w:val="00D31F03"/>
    <w:rsid w:val="00D3280D"/>
    <w:rsid w:val="00D32814"/>
    <w:rsid w:val="00D32C76"/>
    <w:rsid w:val="00D32CB7"/>
    <w:rsid w:val="00D32F9B"/>
    <w:rsid w:val="00D32FEF"/>
    <w:rsid w:val="00D3305B"/>
    <w:rsid w:val="00D331AD"/>
    <w:rsid w:val="00D331F6"/>
    <w:rsid w:val="00D33380"/>
    <w:rsid w:val="00D3397D"/>
    <w:rsid w:val="00D33A39"/>
    <w:rsid w:val="00D33AB7"/>
    <w:rsid w:val="00D33C79"/>
    <w:rsid w:val="00D33CA4"/>
    <w:rsid w:val="00D34172"/>
    <w:rsid w:val="00D345F4"/>
    <w:rsid w:val="00D346B4"/>
    <w:rsid w:val="00D34775"/>
    <w:rsid w:val="00D3491B"/>
    <w:rsid w:val="00D34A32"/>
    <w:rsid w:val="00D34A5A"/>
    <w:rsid w:val="00D354E8"/>
    <w:rsid w:val="00D3558A"/>
    <w:rsid w:val="00D3588C"/>
    <w:rsid w:val="00D360BE"/>
    <w:rsid w:val="00D36296"/>
    <w:rsid w:val="00D36997"/>
    <w:rsid w:val="00D36B2C"/>
    <w:rsid w:val="00D36DFC"/>
    <w:rsid w:val="00D36EFE"/>
    <w:rsid w:val="00D36FAF"/>
    <w:rsid w:val="00D3714C"/>
    <w:rsid w:val="00D372CB"/>
    <w:rsid w:val="00D37D60"/>
    <w:rsid w:val="00D37F9E"/>
    <w:rsid w:val="00D404C9"/>
    <w:rsid w:val="00D405A7"/>
    <w:rsid w:val="00D40603"/>
    <w:rsid w:val="00D40613"/>
    <w:rsid w:val="00D407CB"/>
    <w:rsid w:val="00D40884"/>
    <w:rsid w:val="00D40A28"/>
    <w:rsid w:val="00D40B7D"/>
    <w:rsid w:val="00D40D91"/>
    <w:rsid w:val="00D40E9C"/>
    <w:rsid w:val="00D41361"/>
    <w:rsid w:val="00D4138D"/>
    <w:rsid w:val="00D41523"/>
    <w:rsid w:val="00D4169C"/>
    <w:rsid w:val="00D4185F"/>
    <w:rsid w:val="00D418E5"/>
    <w:rsid w:val="00D41968"/>
    <w:rsid w:val="00D419A3"/>
    <w:rsid w:val="00D41B1B"/>
    <w:rsid w:val="00D41C09"/>
    <w:rsid w:val="00D41FE0"/>
    <w:rsid w:val="00D4233C"/>
    <w:rsid w:val="00D4245B"/>
    <w:rsid w:val="00D42639"/>
    <w:rsid w:val="00D427E4"/>
    <w:rsid w:val="00D427EE"/>
    <w:rsid w:val="00D429EB"/>
    <w:rsid w:val="00D42A0C"/>
    <w:rsid w:val="00D42A0F"/>
    <w:rsid w:val="00D42B84"/>
    <w:rsid w:val="00D43050"/>
    <w:rsid w:val="00D43209"/>
    <w:rsid w:val="00D4333C"/>
    <w:rsid w:val="00D4336E"/>
    <w:rsid w:val="00D433C8"/>
    <w:rsid w:val="00D43477"/>
    <w:rsid w:val="00D434E9"/>
    <w:rsid w:val="00D434EA"/>
    <w:rsid w:val="00D436AD"/>
    <w:rsid w:val="00D436C4"/>
    <w:rsid w:val="00D43753"/>
    <w:rsid w:val="00D437F8"/>
    <w:rsid w:val="00D43CDC"/>
    <w:rsid w:val="00D4440E"/>
    <w:rsid w:val="00D44517"/>
    <w:rsid w:val="00D4481E"/>
    <w:rsid w:val="00D449BD"/>
    <w:rsid w:val="00D44B99"/>
    <w:rsid w:val="00D44C2E"/>
    <w:rsid w:val="00D44C59"/>
    <w:rsid w:val="00D44D1D"/>
    <w:rsid w:val="00D44D29"/>
    <w:rsid w:val="00D44DCB"/>
    <w:rsid w:val="00D4537A"/>
    <w:rsid w:val="00D45396"/>
    <w:rsid w:val="00D45718"/>
    <w:rsid w:val="00D45813"/>
    <w:rsid w:val="00D45A99"/>
    <w:rsid w:val="00D45AB3"/>
    <w:rsid w:val="00D45BB1"/>
    <w:rsid w:val="00D45BC0"/>
    <w:rsid w:val="00D45CAB"/>
    <w:rsid w:val="00D46198"/>
    <w:rsid w:val="00D46DE3"/>
    <w:rsid w:val="00D46FC0"/>
    <w:rsid w:val="00D4711A"/>
    <w:rsid w:val="00D47406"/>
    <w:rsid w:val="00D4743C"/>
    <w:rsid w:val="00D47805"/>
    <w:rsid w:val="00D4781E"/>
    <w:rsid w:val="00D478B2"/>
    <w:rsid w:val="00D47991"/>
    <w:rsid w:val="00D47BE8"/>
    <w:rsid w:val="00D47C4A"/>
    <w:rsid w:val="00D5004E"/>
    <w:rsid w:val="00D500D2"/>
    <w:rsid w:val="00D50175"/>
    <w:rsid w:val="00D5031A"/>
    <w:rsid w:val="00D50548"/>
    <w:rsid w:val="00D507FA"/>
    <w:rsid w:val="00D50A06"/>
    <w:rsid w:val="00D50C0F"/>
    <w:rsid w:val="00D50CB4"/>
    <w:rsid w:val="00D50F2E"/>
    <w:rsid w:val="00D51019"/>
    <w:rsid w:val="00D51082"/>
    <w:rsid w:val="00D51310"/>
    <w:rsid w:val="00D5131F"/>
    <w:rsid w:val="00D515D8"/>
    <w:rsid w:val="00D516E4"/>
    <w:rsid w:val="00D5181B"/>
    <w:rsid w:val="00D5186D"/>
    <w:rsid w:val="00D518E9"/>
    <w:rsid w:val="00D519D0"/>
    <w:rsid w:val="00D51A05"/>
    <w:rsid w:val="00D51B03"/>
    <w:rsid w:val="00D51D4A"/>
    <w:rsid w:val="00D51DB4"/>
    <w:rsid w:val="00D52152"/>
    <w:rsid w:val="00D5278F"/>
    <w:rsid w:val="00D52940"/>
    <w:rsid w:val="00D52993"/>
    <w:rsid w:val="00D529AF"/>
    <w:rsid w:val="00D52BAB"/>
    <w:rsid w:val="00D52C13"/>
    <w:rsid w:val="00D52C30"/>
    <w:rsid w:val="00D52C8D"/>
    <w:rsid w:val="00D531AC"/>
    <w:rsid w:val="00D5330F"/>
    <w:rsid w:val="00D5353F"/>
    <w:rsid w:val="00D53B76"/>
    <w:rsid w:val="00D53BCE"/>
    <w:rsid w:val="00D53C7C"/>
    <w:rsid w:val="00D53DDE"/>
    <w:rsid w:val="00D53F25"/>
    <w:rsid w:val="00D53FA4"/>
    <w:rsid w:val="00D541B4"/>
    <w:rsid w:val="00D541EB"/>
    <w:rsid w:val="00D543A8"/>
    <w:rsid w:val="00D5446C"/>
    <w:rsid w:val="00D54626"/>
    <w:rsid w:val="00D54BB5"/>
    <w:rsid w:val="00D54DEE"/>
    <w:rsid w:val="00D54FE7"/>
    <w:rsid w:val="00D55105"/>
    <w:rsid w:val="00D55388"/>
    <w:rsid w:val="00D55411"/>
    <w:rsid w:val="00D55535"/>
    <w:rsid w:val="00D55615"/>
    <w:rsid w:val="00D5565F"/>
    <w:rsid w:val="00D556B5"/>
    <w:rsid w:val="00D55741"/>
    <w:rsid w:val="00D557E1"/>
    <w:rsid w:val="00D5585E"/>
    <w:rsid w:val="00D55A76"/>
    <w:rsid w:val="00D55B95"/>
    <w:rsid w:val="00D55EF2"/>
    <w:rsid w:val="00D560AA"/>
    <w:rsid w:val="00D5612B"/>
    <w:rsid w:val="00D561F1"/>
    <w:rsid w:val="00D56515"/>
    <w:rsid w:val="00D566DB"/>
    <w:rsid w:val="00D56704"/>
    <w:rsid w:val="00D56738"/>
    <w:rsid w:val="00D567DE"/>
    <w:rsid w:val="00D56AD0"/>
    <w:rsid w:val="00D56CD8"/>
    <w:rsid w:val="00D56FE1"/>
    <w:rsid w:val="00D57056"/>
    <w:rsid w:val="00D575EF"/>
    <w:rsid w:val="00D5761B"/>
    <w:rsid w:val="00D57747"/>
    <w:rsid w:val="00D5787A"/>
    <w:rsid w:val="00D57CB7"/>
    <w:rsid w:val="00D57D3C"/>
    <w:rsid w:val="00D57E0D"/>
    <w:rsid w:val="00D6001B"/>
    <w:rsid w:val="00D604BD"/>
    <w:rsid w:val="00D6069D"/>
    <w:rsid w:val="00D606B8"/>
    <w:rsid w:val="00D608D1"/>
    <w:rsid w:val="00D60E7D"/>
    <w:rsid w:val="00D61085"/>
    <w:rsid w:val="00D61B5E"/>
    <w:rsid w:val="00D61B97"/>
    <w:rsid w:val="00D6232B"/>
    <w:rsid w:val="00D62519"/>
    <w:rsid w:val="00D6257F"/>
    <w:rsid w:val="00D62717"/>
    <w:rsid w:val="00D6287E"/>
    <w:rsid w:val="00D62A32"/>
    <w:rsid w:val="00D62AB0"/>
    <w:rsid w:val="00D62FA2"/>
    <w:rsid w:val="00D63187"/>
    <w:rsid w:val="00D6320F"/>
    <w:rsid w:val="00D6327C"/>
    <w:rsid w:val="00D63943"/>
    <w:rsid w:val="00D63A51"/>
    <w:rsid w:val="00D63EB9"/>
    <w:rsid w:val="00D64289"/>
    <w:rsid w:val="00D64364"/>
    <w:rsid w:val="00D64612"/>
    <w:rsid w:val="00D6479D"/>
    <w:rsid w:val="00D64939"/>
    <w:rsid w:val="00D64F18"/>
    <w:rsid w:val="00D64FC2"/>
    <w:rsid w:val="00D650FA"/>
    <w:rsid w:val="00D650FD"/>
    <w:rsid w:val="00D6537E"/>
    <w:rsid w:val="00D65615"/>
    <w:rsid w:val="00D65973"/>
    <w:rsid w:val="00D65BF4"/>
    <w:rsid w:val="00D65E18"/>
    <w:rsid w:val="00D65EFB"/>
    <w:rsid w:val="00D66217"/>
    <w:rsid w:val="00D662D2"/>
    <w:rsid w:val="00D66784"/>
    <w:rsid w:val="00D667B6"/>
    <w:rsid w:val="00D66C2B"/>
    <w:rsid w:val="00D66CF3"/>
    <w:rsid w:val="00D66DC7"/>
    <w:rsid w:val="00D66ECD"/>
    <w:rsid w:val="00D66F7B"/>
    <w:rsid w:val="00D671CB"/>
    <w:rsid w:val="00D67352"/>
    <w:rsid w:val="00D67C44"/>
    <w:rsid w:val="00D67E4D"/>
    <w:rsid w:val="00D67E5E"/>
    <w:rsid w:val="00D67F26"/>
    <w:rsid w:val="00D7017E"/>
    <w:rsid w:val="00D70355"/>
    <w:rsid w:val="00D703DB"/>
    <w:rsid w:val="00D703E4"/>
    <w:rsid w:val="00D70522"/>
    <w:rsid w:val="00D70708"/>
    <w:rsid w:val="00D7082E"/>
    <w:rsid w:val="00D70A33"/>
    <w:rsid w:val="00D70B46"/>
    <w:rsid w:val="00D70C33"/>
    <w:rsid w:val="00D70D41"/>
    <w:rsid w:val="00D70D4D"/>
    <w:rsid w:val="00D71299"/>
    <w:rsid w:val="00D712EA"/>
    <w:rsid w:val="00D71399"/>
    <w:rsid w:val="00D717E0"/>
    <w:rsid w:val="00D71DCA"/>
    <w:rsid w:val="00D71FF5"/>
    <w:rsid w:val="00D72009"/>
    <w:rsid w:val="00D72711"/>
    <w:rsid w:val="00D727C5"/>
    <w:rsid w:val="00D72826"/>
    <w:rsid w:val="00D72870"/>
    <w:rsid w:val="00D72A14"/>
    <w:rsid w:val="00D72A84"/>
    <w:rsid w:val="00D72BB6"/>
    <w:rsid w:val="00D72CF4"/>
    <w:rsid w:val="00D72CFF"/>
    <w:rsid w:val="00D72DA0"/>
    <w:rsid w:val="00D72E47"/>
    <w:rsid w:val="00D7302E"/>
    <w:rsid w:val="00D73070"/>
    <w:rsid w:val="00D7330C"/>
    <w:rsid w:val="00D733D7"/>
    <w:rsid w:val="00D739C3"/>
    <w:rsid w:val="00D73A50"/>
    <w:rsid w:val="00D73F69"/>
    <w:rsid w:val="00D73F79"/>
    <w:rsid w:val="00D74099"/>
    <w:rsid w:val="00D740DC"/>
    <w:rsid w:val="00D743D3"/>
    <w:rsid w:val="00D743DD"/>
    <w:rsid w:val="00D746B4"/>
    <w:rsid w:val="00D74AA4"/>
    <w:rsid w:val="00D74AAA"/>
    <w:rsid w:val="00D750A8"/>
    <w:rsid w:val="00D75357"/>
    <w:rsid w:val="00D753E9"/>
    <w:rsid w:val="00D75794"/>
    <w:rsid w:val="00D758A8"/>
    <w:rsid w:val="00D75997"/>
    <w:rsid w:val="00D75CC7"/>
    <w:rsid w:val="00D75F26"/>
    <w:rsid w:val="00D75FA0"/>
    <w:rsid w:val="00D7619C"/>
    <w:rsid w:val="00D76307"/>
    <w:rsid w:val="00D7648B"/>
    <w:rsid w:val="00D76812"/>
    <w:rsid w:val="00D76818"/>
    <w:rsid w:val="00D769C5"/>
    <w:rsid w:val="00D76A4B"/>
    <w:rsid w:val="00D76D15"/>
    <w:rsid w:val="00D76DDC"/>
    <w:rsid w:val="00D771F9"/>
    <w:rsid w:val="00D77261"/>
    <w:rsid w:val="00D7728F"/>
    <w:rsid w:val="00D7756F"/>
    <w:rsid w:val="00D77604"/>
    <w:rsid w:val="00D776AD"/>
    <w:rsid w:val="00D7777D"/>
    <w:rsid w:val="00D77783"/>
    <w:rsid w:val="00D77835"/>
    <w:rsid w:val="00D7783B"/>
    <w:rsid w:val="00D77C56"/>
    <w:rsid w:val="00D77CDC"/>
    <w:rsid w:val="00D80161"/>
    <w:rsid w:val="00D803B6"/>
    <w:rsid w:val="00D805F0"/>
    <w:rsid w:val="00D809FF"/>
    <w:rsid w:val="00D80CA3"/>
    <w:rsid w:val="00D80D7C"/>
    <w:rsid w:val="00D80E0D"/>
    <w:rsid w:val="00D80E29"/>
    <w:rsid w:val="00D80F93"/>
    <w:rsid w:val="00D80FC0"/>
    <w:rsid w:val="00D80FCC"/>
    <w:rsid w:val="00D813D2"/>
    <w:rsid w:val="00D8141F"/>
    <w:rsid w:val="00D81447"/>
    <w:rsid w:val="00D81549"/>
    <w:rsid w:val="00D81BAF"/>
    <w:rsid w:val="00D81BD3"/>
    <w:rsid w:val="00D81C33"/>
    <w:rsid w:val="00D81CBD"/>
    <w:rsid w:val="00D82108"/>
    <w:rsid w:val="00D82118"/>
    <w:rsid w:val="00D82175"/>
    <w:rsid w:val="00D8222B"/>
    <w:rsid w:val="00D8228C"/>
    <w:rsid w:val="00D822A5"/>
    <w:rsid w:val="00D822D9"/>
    <w:rsid w:val="00D82957"/>
    <w:rsid w:val="00D82AB7"/>
    <w:rsid w:val="00D82DC1"/>
    <w:rsid w:val="00D832C1"/>
    <w:rsid w:val="00D83306"/>
    <w:rsid w:val="00D83502"/>
    <w:rsid w:val="00D836BD"/>
    <w:rsid w:val="00D838C5"/>
    <w:rsid w:val="00D83D0B"/>
    <w:rsid w:val="00D83E47"/>
    <w:rsid w:val="00D83F16"/>
    <w:rsid w:val="00D84083"/>
    <w:rsid w:val="00D8427D"/>
    <w:rsid w:val="00D842E5"/>
    <w:rsid w:val="00D843B6"/>
    <w:rsid w:val="00D84C7D"/>
    <w:rsid w:val="00D84CB3"/>
    <w:rsid w:val="00D84EFC"/>
    <w:rsid w:val="00D84F7E"/>
    <w:rsid w:val="00D85134"/>
    <w:rsid w:val="00D852A8"/>
    <w:rsid w:val="00D853AE"/>
    <w:rsid w:val="00D85444"/>
    <w:rsid w:val="00D85585"/>
    <w:rsid w:val="00D85696"/>
    <w:rsid w:val="00D8591E"/>
    <w:rsid w:val="00D859BC"/>
    <w:rsid w:val="00D86023"/>
    <w:rsid w:val="00D86531"/>
    <w:rsid w:val="00D866A3"/>
    <w:rsid w:val="00D86A1B"/>
    <w:rsid w:val="00D86C7B"/>
    <w:rsid w:val="00D86CC3"/>
    <w:rsid w:val="00D87064"/>
    <w:rsid w:val="00D870AD"/>
    <w:rsid w:val="00D870FD"/>
    <w:rsid w:val="00D875BD"/>
    <w:rsid w:val="00D877CB"/>
    <w:rsid w:val="00D8789E"/>
    <w:rsid w:val="00D87B15"/>
    <w:rsid w:val="00D87C50"/>
    <w:rsid w:val="00D87CC4"/>
    <w:rsid w:val="00D90126"/>
    <w:rsid w:val="00D904B3"/>
    <w:rsid w:val="00D9053A"/>
    <w:rsid w:val="00D9059D"/>
    <w:rsid w:val="00D905E4"/>
    <w:rsid w:val="00D90694"/>
    <w:rsid w:val="00D907AF"/>
    <w:rsid w:val="00D907F6"/>
    <w:rsid w:val="00D90CC6"/>
    <w:rsid w:val="00D90DDE"/>
    <w:rsid w:val="00D91024"/>
    <w:rsid w:val="00D910B3"/>
    <w:rsid w:val="00D914CF"/>
    <w:rsid w:val="00D915F5"/>
    <w:rsid w:val="00D91754"/>
    <w:rsid w:val="00D91761"/>
    <w:rsid w:val="00D919C7"/>
    <w:rsid w:val="00D91BCC"/>
    <w:rsid w:val="00D91BD5"/>
    <w:rsid w:val="00D92218"/>
    <w:rsid w:val="00D9233E"/>
    <w:rsid w:val="00D924F5"/>
    <w:rsid w:val="00D92602"/>
    <w:rsid w:val="00D92C36"/>
    <w:rsid w:val="00D92D0C"/>
    <w:rsid w:val="00D92D41"/>
    <w:rsid w:val="00D92E55"/>
    <w:rsid w:val="00D92E6A"/>
    <w:rsid w:val="00D9301C"/>
    <w:rsid w:val="00D93334"/>
    <w:rsid w:val="00D9338A"/>
    <w:rsid w:val="00D93450"/>
    <w:rsid w:val="00D93598"/>
    <w:rsid w:val="00D9397D"/>
    <w:rsid w:val="00D939F7"/>
    <w:rsid w:val="00D93AEA"/>
    <w:rsid w:val="00D93EEF"/>
    <w:rsid w:val="00D93FB4"/>
    <w:rsid w:val="00D940D4"/>
    <w:rsid w:val="00D941D9"/>
    <w:rsid w:val="00D94695"/>
    <w:rsid w:val="00D94758"/>
    <w:rsid w:val="00D9480A"/>
    <w:rsid w:val="00D94828"/>
    <w:rsid w:val="00D94845"/>
    <w:rsid w:val="00D9495B"/>
    <w:rsid w:val="00D94B5D"/>
    <w:rsid w:val="00D94EA6"/>
    <w:rsid w:val="00D94F97"/>
    <w:rsid w:val="00D95333"/>
    <w:rsid w:val="00D95440"/>
    <w:rsid w:val="00D95719"/>
    <w:rsid w:val="00D95B66"/>
    <w:rsid w:val="00D96403"/>
    <w:rsid w:val="00D965EE"/>
    <w:rsid w:val="00D96608"/>
    <w:rsid w:val="00D966CC"/>
    <w:rsid w:val="00D96834"/>
    <w:rsid w:val="00D96D24"/>
    <w:rsid w:val="00D96EBA"/>
    <w:rsid w:val="00D97079"/>
    <w:rsid w:val="00D9727A"/>
    <w:rsid w:val="00D973EF"/>
    <w:rsid w:val="00D97437"/>
    <w:rsid w:val="00D97B17"/>
    <w:rsid w:val="00D97BA8"/>
    <w:rsid w:val="00D97C67"/>
    <w:rsid w:val="00D97DAA"/>
    <w:rsid w:val="00D97F8C"/>
    <w:rsid w:val="00DA0336"/>
    <w:rsid w:val="00DA0418"/>
    <w:rsid w:val="00DA07FD"/>
    <w:rsid w:val="00DA0CE3"/>
    <w:rsid w:val="00DA0DD0"/>
    <w:rsid w:val="00DA11DE"/>
    <w:rsid w:val="00DA13A7"/>
    <w:rsid w:val="00DA14C5"/>
    <w:rsid w:val="00DA1894"/>
    <w:rsid w:val="00DA1944"/>
    <w:rsid w:val="00DA1ACA"/>
    <w:rsid w:val="00DA1D41"/>
    <w:rsid w:val="00DA1D87"/>
    <w:rsid w:val="00DA1E17"/>
    <w:rsid w:val="00DA2533"/>
    <w:rsid w:val="00DA275B"/>
    <w:rsid w:val="00DA29D0"/>
    <w:rsid w:val="00DA2BE2"/>
    <w:rsid w:val="00DA2BFE"/>
    <w:rsid w:val="00DA2DC1"/>
    <w:rsid w:val="00DA2F71"/>
    <w:rsid w:val="00DA3026"/>
    <w:rsid w:val="00DA3057"/>
    <w:rsid w:val="00DA3188"/>
    <w:rsid w:val="00DA3275"/>
    <w:rsid w:val="00DA3322"/>
    <w:rsid w:val="00DA33BD"/>
    <w:rsid w:val="00DA3516"/>
    <w:rsid w:val="00DA3692"/>
    <w:rsid w:val="00DA36C5"/>
    <w:rsid w:val="00DA3725"/>
    <w:rsid w:val="00DA37EE"/>
    <w:rsid w:val="00DA381F"/>
    <w:rsid w:val="00DA3898"/>
    <w:rsid w:val="00DA38CE"/>
    <w:rsid w:val="00DA3992"/>
    <w:rsid w:val="00DA3B11"/>
    <w:rsid w:val="00DA3C8B"/>
    <w:rsid w:val="00DA3CC1"/>
    <w:rsid w:val="00DA3E7D"/>
    <w:rsid w:val="00DA3F76"/>
    <w:rsid w:val="00DA40D8"/>
    <w:rsid w:val="00DA41AD"/>
    <w:rsid w:val="00DA44AD"/>
    <w:rsid w:val="00DA4AB6"/>
    <w:rsid w:val="00DA4BA7"/>
    <w:rsid w:val="00DA4C80"/>
    <w:rsid w:val="00DA4CBC"/>
    <w:rsid w:val="00DA4CD3"/>
    <w:rsid w:val="00DA4E7C"/>
    <w:rsid w:val="00DA51CB"/>
    <w:rsid w:val="00DA530B"/>
    <w:rsid w:val="00DA5408"/>
    <w:rsid w:val="00DA54BA"/>
    <w:rsid w:val="00DA569E"/>
    <w:rsid w:val="00DA5AA3"/>
    <w:rsid w:val="00DA5AB6"/>
    <w:rsid w:val="00DA5E76"/>
    <w:rsid w:val="00DA5F34"/>
    <w:rsid w:val="00DA5F45"/>
    <w:rsid w:val="00DA622D"/>
    <w:rsid w:val="00DA6401"/>
    <w:rsid w:val="00DA651C"/>
    <w:rsid w:val="00DA66F8"/>
    <w:rsid w:val="00DA67CD"/>
    <w:rsid w:val="00DA6B65"/>
    <w:rsid w:val="00DA6BDC"/>
    <w:rsid w:val="00DA6BDF"/>
    <w:rsid w:val="00DA6DB5"/>
    <w:rsid w:val="00DA6E1F"/>
    <w:rsid w:val="00DA793E"/>
    <w:rsid w:val="00DA79E8"/>
    <w:rsid w:val="00DA7A19"/>
    <w:rsid w:val="00DA7C94"/>
    <w:rsid w:val="00DA7DD5"/>
    <w:rsid w:val="00DA7E90"/>
    <w:rsid w:val="00DB0238"/>
    <w:rsid w:val="00DB02FD"/>
    <w:rsid w:val="00DB03C2"/>
    <w:rsid w:val="00DB0452"/>
    <w:rsid w:val="00DB0890"/>
    <w:rsid w:val="00DB08A6"/>
    <w:rsid w:val="00DB08DE"/>
    <w:rsid w:val="00DB09CF"/>
    <w:rsid w:val="00DB0C9D"/>
    <w:rsid w:val="00DB0D1E"/>
    <w:rsid w:val="00DB1442"/>
    <w:rsid w:val="00DB1593"/>
    <w:rsid w:val="00DB1BBD"/>
    <w:rsid w:val="00DB1C00"/>
    <w:rsid w:val="00DB1C60"/>
    <w:rsid w:val="00DB1DBF"/>
    <w:rsid w:val="00DB20AF"/>
    <w:rsid w:val="00DB27B7"/>
    <w:rsid w:val="00DB29E3"/>
    <w:rsid w:val="00DB2A7C"/>
    <w:rsid w:val="00DB2E80"/>
    <w:rsid w:val="00DB2F65"/>
    <w:rsid w:val="00DB313A"/>
    <w:rsid w:val="00DB318C"/>
    <w:rsid w:val="00DB32D8"/>
    <w:rsid w:val="00DB358C"/>
    <w:rsid w:val="00DB38DC"/>
    <w:rsid w:val="00DB3ACF"/>
    <w:rsid w:val="00DB3E47"/>
    <w:rsid w:val="00DB3FDC"/>
    <w:rsid w:val="00DB423F"/>
    <w:rsid w:val="00DB431E"/>
    <w:rsid w:val="00DB44B6"/>
    <w:rsid w:val="00DB4598"/>
    <w:rsid w:val="00DB4736"/>
    <w:rsid w:val="00DB477E"/>
    <w:rsid w:val="00DB49E8"/>
    <w:rsid w:val="00DB4A25"/>
    <w:rsid w:val="00DB4AC4"/>
    <w:rsid w:val="00DB4BAA"/>
    <w:rsid w:val="00DB4BD2"/>
    <w:rsid w:val="00DB4BFA"/>
    <w:rsid w:val="00DB4DC2"/>
    <w:rsid w:val="00DB5122"/>
    <w:rsid w:val="00DB51CD"/>
    <w:rsid w:val="00DB53A6"/>
    <w:rsid w:val="00DB5C1A"/>
    <w:rsid w:val="00DB5F25"/>
    <w:rsid w:val="00DB61C7"/>
    <w:rsid w:val="00DB61E2"/>
    <w:rsid w:val="00DB6627"/>
    <w:rsid w:val="00DB68C2"/>
    <w:rsid w:val="00DB6CE7"/>
    <w:rsid w:val="00DB6DD8"/>
    <w:rsid w:val="00DB70E6"/>
    <w:rsid w:val="00DB71A1"/>
    <w:rsid w:val="00DB72BB"/>
    <w:rsid w:val="00DB73E7"/>
    <w:rsid w:val="00DB74A4"/>
    <w:rsid w:val="00DB769F"/>
    <w:rsid w:val="00DB79C3"/>
    <w:rsid w:val="00DB7A12"/>
    <w:rsid w:val="00DB7DFE"/>
    <w:rsid w:val="00DB7F22"/>
    <w:rsid w:val="00DB7F87"/>
    <w:rsid w:val="00DC0161"/>
    <w:rsid w:val="00DC0538"/>
    <w:rsid w:val="00DC0578"/>
    <w:rsid w:val="00DC058B"/>
    <w:rsid w:val="00DC068D"/>
    <w:rsid w:val="00DC070A"/>
    <w:rsid w:val="00DC0B1C"/>
    <w:rsid w:val="00DC1425"/>
    <w:rsid w:val="00DC1481"/>
    <w:rsid w:val="00DC16D2"/>
    <w:rsid w:val="00DC1776"/>
    <w:rsid w:val="00DC190D"/>
    <w:rsid w:val="00DC1D44"/>
    <w:rsid w:val="00DC2093"/>
    <w:rsid w:val="00DC231F"/>
    <w:rsid w:val="00DC232D"/>
    <w:rsid w:val="00DC2420"/>
    <w:rsid w:val="00DC25AB"/>
    <w:rsid w:val="00DC284B"/>
    <w:rsid w:val="00DC2B50"/>
    <w:rsid w:val="00DC2C2F"/>
    <w:rsid w:val="00DC2CBB"/>
    <w:rsid w:val="00DC2D19"/>
    <w:rsid w:val="00DC3253"/>
    <w:rsid w:val="00DC3318"/>
    <w:rsid w:val="00DC3548"/>
    <w:rsid w:val="00DC379E"/>
    <w:rsid w:val="00DC386D"/>
    <w:rsid w:val="00DC3BF0"/>
    <w:rsid w:val="00DC3EF1"/>
    <w:rsid w:val="00DC3F3A"/>
    <w:rsid w:val="00DC40C2"/>
    <w:rsid w:val="00DC4162"/>
    <w:rsid w:val="00DC4454"/>
    <w:rsid w:val="00DC4800"/>
    <w:rsid w:val="00DC48E6"/>
    <w:rsid w:val="00DC4B0C"/>
    <w:rsid w:val="00DC4BC8"/>
    <w:rsid w:val="00DC4CB6"/>
    <w:rsid w:val="00DC5468"/>
    <w:rsid w:val="00DC580F"/>
    <w:rsid w:val="00DC5B5E"/>
    <w:rsid w:val="00DC5C57"/>
    <w:rsid w:val="00DC5EB2"/>
    <w:rsid w:val="00DC6140"/>
    <w:rsid w:val="00DC621E"/>
    <w:rsid w:val="00DC63CE"/>
    <w:rsid w:val="00DC6717"/>
    <w:rsid w:val="00DC671D"/>
    <w:rsid w:val="00DC6CC3"/>
    <w:rsid w:val="00DC6CDF"/>
    <w:rsid w:val="00DC6F45"/>
    <w:rsid w:val="00DC716A"/>
    <w:rsid w:val="00DC71EC"/>
    <w:rsid w:val="00DC79E7"/>
    <w:rsid w:val="00DC7B58"/>
    <w:rsid w:val="00DC7BA7"/>
    <w:rsid w:val="00DC7FE6"/>
    <w:rsid w:val="00DD028A"/>
    <w:rsid w:val="00DD042A"/>
    <w:rsid w:val="00DD0535"/>
    <w:rsid w:val="00DD0565"/>
    <w:rsid w:val="00DD085E"/>
    <w:rsid w:val="00DD0896"/>
    <w:rsid w:val="00DD0A13"/>
    <w:rsid w:val="00DD0E79"/>
    <w:rsid w:val="00DD11F0"/>
    <w:rsid w:val="00DD1244"/>
    <w:rsid w:val="00DD1294"/>
    <w:rsid w:val="00DD149A"/>
    <w:rsid w:val="00DD17AB"/>
    <w:rsid w:val="00DD18DF"/>
    <w:rsid w:val="00DD1CDF"/>
    <w:rsid w:val="00DD1D2B"/>
    <w:rsid w:val="00DD1DDB"/>
    <w:rsid w:val="00DD1E33"/>
    <w:rsid w:val="00DD1F4A"/>
    <w:rsid w:val="00DD26FE"/>
    <w:rsid w:val="00DD289F"/>
    <w:rsid w:val="00DD28F1"/>
    <w:rsid w:val="00DD2A3E"/>
    <w:rsid w:val="00DD2BA4"/>
    <w:rsid w:val="00DD2BAF"/>
    <w:rsid w:val="00DD2DE6"/>
    <w:rsid w:val="00DD2FF2"/>
    <w:rsid w:val="00DD301C"/>
    <w:rsid w:val="00DD3066"/>
    <w:rsid w:val="00DD34A0"/>
    <w:rsid w:val="00DD3603"/>
    <w:rsid w:val="00DD360C"/>
    <w:rsid w:val="00DD3682"/>
    <w:rsid w:val="00DD368C"/>
    <w:rsid w:val="00DD36B6"/>
    <w:rsid w:val="00DD3898"/>
    <w:rsid w:val="00DD3921"/>
    <w:rsid w:val="00DD3DB1"/>
    <w:rsid w:val="00DD3EF2"/>
    <w:rsid w:val="00DD3F2A"/>
    <w:rsid w:val="00DD40D9"/>
    <w:rsid w:val="00DD4194"/>
    <w:rsid w:val="00DD4643"/>
    <w:rsid w:val="00DD47DA"/>
    <w:rsid w:val="00DD487E"/>
    <w:rsid w:val="00DD48B3"/>
    <w:rsid w:val="00DD4A09"/>
    <w:rsid w:val="00DD4A4A"/>
    <w:rsid w:val="00DD4D76"/>
    <w:rsid w:val="00DD4EF1"/>
    <w:rsid w:val="00DD50FE"/>
    <w:rsid w:val="00DD5148"/>
    <w:rsid w:val="00DD519C"/>
    <w:rsid w:val="00DD5425"/>
    <w:rsid w:val="00DD55BD"/>
    <w:rsid w:val="00DD565B"/>
    <w:rsid w:val="00DD567C"/>
    <w:rsid w:val="00DD56AF"/>
    <w:rsid w:val="00DD56D5"/>
    <w:rsid w:val="00DD5800"/>
    <w:rsid w:val="00DD5A61"/>
    <w:rsid w:val="00DD5A8D"/>
    <w:rsid w:val="00DD5C1E"/>
    <w:rsid w:val="00DD5FF0"/>
    <w:rsid w:val="00DD6058"/>
    <w:rsid w:val="00DD61DA"/>
    <w:rsid w:val="00DD6256"/>
    <w:rsid w:val="00DD645E"/>
    <w:rsid w:val="00DD65D0"/>
    <w:rsid w:val="00DD68A2"/>
    <w:rsid w:val="00DD6915"/>
    <w:rsid w:val="00DD694E"/>
    <w:rsid w:val="00DD6B1C"/>
    <w:rsid w:val="00DD6C5A"/>
    <w:rsid w:val="00DD6C63"/>
    <w:rsid w:val="00DD6E88"/>
    <w:rsid w:val="00DD6F32"/>
    <w:rsid w:val="00DD700B"/>
    <w:rsid w:val="00DD7116"/>
    <w:rsid w:val="00DD7250"/>
    <w:rsid w:val="00DD74A4"/>
    <w:rsid w:val="00DD74C3"/>
    <w:rsid w:val="00DD74FE"/>
    <w:rsid w:val="00DD78F8"/>
    <w:rsid w:val="00DD7911"/>
    <w:rsid w:val="00DD7AB8"/>
    <w:rsid w:val="00DD7B64"/>
    <w:rsid w:val="00DD7C49"/>
    <w:rsid w:val="00DD7D59"/>
    <w:rsid w:val="00DE0081"/>
    <w:rsid w:val="00DE0147"/>
    <w:rsid w:val="00DE0306"/>
    <w:rsid w:val="00DE0596"/>
    <w:rsid w:val="00DE0E3A"/>
    <w:rsid w:val="00DE0EBC"/>
    <w:rsid w:val="00DE0F76"/>
    <w:rsid w:val="00DE1135"/>
    <w:rsid w:val="00DE11C7"/>
    <w:rsid w:val="00DE133A"/>
    <w:rsid w:val="00DE1540"/>
    <w:rsid w:val="00DE17EC"/>
    <w:rsid w:val="00DE1B5E"/>
    <w:rsid w:val="00DE1C8A"/>
    <w:rsid w:val="00DE21E4"/>
    <w:rsid w:val="00DE253E"/>
    <w:rsid w:val="00DE260B"/>
    <w:rsid w:val="00DE26A6"/>
    <w:rsid w:val="00DE2775"/>
    <w:rsid w:val="00DE2A03"/>
    <w:rsid w:val="00DE2A2B"/>
    <w:rsid w:val="00DE3104"/>
    <w:rsid w:val="00DE3326"/>
    <w:rsid w:val="00DE350C"/>
    <w:rsid w:val="00DE353C"/>
    <w:rsid w:val="00DE3543"/>
    <w:rsid w:val="00DE392A"/>
    <w:rsid w:val="00DE3AFB"/>
    <w:rsid w:val="00DE3CF2"/>
    <w:rsid w:val="00DE3EE1"/>
    <w:rsid w:val="00DE4000"/>
    <w:rsid w:val="00DE401E"/>
    <w:rsid w:val="00DE4129"/>
    <w:rsid w:val="00DE41FE"/>
    <w:rsid w:val="00DE45ED"/>
    <w:rsid w:val="00DE4757"/>
    <w:rsid w:val="00DE47BB"/>
    <w:rsid w:val="00DE47D5"/>
    <w:rsid w:val="00DE4C9B"/>
    <w:rsid w:val="00DE4F29"/>
    <w:rsid w:val="00DE4F4D"/>
    <w:rsid w:val="00DE5046"/>
    <w:rsid w:val="00DE577D"/>
    <w:rsid w:val="00DE57AD"/>
    <w:rsid w:val="00DE58C6"/>
    <w:rsid w:val="00DE5AD8"/>
    <w:rsid w:val="00DE5B6C"/>
    <w:rsid w:val="00DE5C99"/>
    <w:rsid w:val="00DE5CC3"/>
    <w:rsid w:val="00DE5D14"/>
    <w:rsid w:val="00DE5F2C"/>
    <w:rsid w:val="00DE6190"/>
    <w:rsid w:val="00DE63F0"/>
    <w:rsid w:val="00DE65BA"/>
    <w:rsid w:val="00DE65D5"/>
    <w:rsid w:val="00DE66AD"/>
    <w:rsid w:val="00DE6B4D"/>
    <w:rsid w:val="00DE6F79"/>
    <w:rsid w:val="00DE71DF"/>
    <w:rsid w:val="00DE724E"/>
    <w:rsid w:val="00DE745B"/>
    <w:rsid w:val="00DE7658"/>
    <w:rsid w:val="00DE7787"/>
    <w:rsid w:val="00DE7B99"/>
    <w:rsid w:val="00DE7CEE"/>
    <w:rsid w:val="00DE7FD1"/>
    <w:rsid w:val="00DF0444"/>
    <w:rsid w:val="00DF0718"/>
    <w:rsid w:val="00DF0857"/>
    <w:rsid w:val="00DF0D5C"/>
    <w:rsid w:val="00DF117B"/>
    <w:rsid w:val="00DF16FB"/>
    <w:rsid w:val="00DF18FC"/>
    <w:rsid w:val="00DF1995"/>
    <w:rsid w:val="00DF1C3A"/>
    <w:rsid w:val="00DF1C6B"/>
    <w:rsid w:val="00DF1D9F"/>
    <w:rsid w:val="00DF1DF0"/>
    <w:rsid w:val="00DF2378"/>
    <w:rsid w:val="00DF23CC"/>
    <w:rsid w:val="00DF294A"/>
    <w:rsid w:val="00DF2E56"/>
    <w:rsid w:val="00DF30C7"/>
    <w:rsid w:val="00DF35E3"/>
    <w:rsid w:val="00DF3669"/>
    <w:rsid w:val="00DF368D"/>
    <w:rsid w:val="00DF3745"/>
    <w:rsid w:val="00DF37D5"/>
    <w:rsid w:val="00DF395C"/>
    <w:rsid w:val="00DF4096"/>
    <w:rsid w:val="00DF4114"/>
    <w:rsid w:val="00DF416C"/>
    <w:rsid w:val="00DF41DE"/>
    <w:rsid w:val="00DF4216"/>
    <w:rsid w:val="00DF42F5"/>
    <w:rsid w:val="00DF4396"/>
    <w:rsid w:val="00DF4453"/>
    <w:rsid w:val="00DF4482"/>
    <w:rsid w:val="00DF44BA"/>
    <w:rsid w:val="00DF457C"/>
    <w:rsid w:val="00DF492F"/>
    <w:rsid w:val="00DF4CE1"/>
    <w:rsid w:val="00DF53E4"/>
    <w:rsid w:val="00DF560F"/>
    <w:rsid w:val="00DF5869"/>
    <w:rsid w:val="00DF58DE"/>
    <w:rsid w:val="00DF5D4A"/>
    <w:rsid w:val="00DF5F80"/>
    <w:rsid w:val="00DF61A2"/>
    <w:rsid w:val="00DF632D"/>
    <w:rsid w:val="00DF6820"/>
    <w:rsid w:val="00DF698E"/>
    <w:rsid w:val="00DF6CAE"/>
    <w:rsid w:val="00DF6D6E"/>
    <w:rsid w:val="00DF6E41"/>
    <w:rsid w:val="00DF7161"/>
    <w:rsid w:val="00DF720E"/>
    <w:rsid w:val="00DF7441"/>
    <w:rsid w:val="00DF7661"/>
    <w:rsid w:val="00DF76D5"/>
    <w:rsid w:val="00DF79E4"/>
    <w:rsid w:val="00DF7A43"/>
    <w:rsid w:val="00DF7ACF"/>
    <w:rsid w:val="00DF7B4D"/>
    <w:rsid w:val="00DF7B98"/>
    <w:rsid w:val="00DF7FC5"/>
    <w:rsid w:val="00E001F9"/>
    <w:rsid w:val="00E005BF"/>
    <w:rsid w:val="00E005ED"/>
    <w:rsid w:val="00E00855"/>
    <w:rsid w:val="00E00D00"/>
    <w:rsid w:val="00E015E9"/>
    <w:rsid w:val="00E01827"/>
    <w:rsid w:val="00E01896"/>
    <w:rsid w:val="00E0199B"/>
    <w:rsid w:val="00E01AA4"/>
    <w:rsid w:val="00E01C71"/>
    <w:rsid w:val="00E01C83"/>
    <w:rsid w:val="00E01EA8"/>
    <w:rsid w:val="00E02099"/>
    <w:rsid w:val="00E020C2"/>
    <w:rsid w:val="00E02705"/>
    <w:rsid w:val="00E0285D"/>
    <w:rsid w:val="00E029A8"/>
    <w:rsid w:val="00E02A75"/>
    <w:rsid w:val="00E02D4D"/>
    <w:rsid w:val="00E03120"/>
    <w:rsid w:val="00E0318D"/>
    <w:rsid w:val="00E032CA"/>
    <w:rsid w:val="00E0344D"/>
    <w:rsid w:val="00E03501"/>
    <w:rsid w:val="00E036CA"/>
    <w:rsid w:val="00E036EB"/>
    <w:rsid w:val="00E03795"/>
    <w:rsid w:val="00E03865"/>
    <w:rsid w:val="00E03BC7"/>
    <w:rsid w:val="00E03C84"/>
    <w:rsid w:val="00E03E16"/>
    <w:rsid w:val="00E04076"/>
    <w:rsid w:val="00E0414D"/>
    <w:rsid w:val="00E0418A"/>
    <w:rsid w:val="00E044FD"/>
    <w:rsid w:val="00E045ED"/>
    <w:rsid w:val="00E0463C"/>
    <w:rsid w:val="00E04CE4"/>
    <w:rsid w:val="00E05015"/>
    <w:rsid w:val="00E052F2"/>
    <w:rsid w:val="00E055F1"/>
    <w:rsid w:val="00E0569F"/>
    <w:rsid w:val="00E05762"/>
    <w:rsid w:val="00E057BC"/>
    <w:rsid w:val="00E05E1A"/>
    <w:rsid w:val="00E05E42"/>
    <w:rsid w:val="00E05E78"/>
    <w:rsid w:val="00E05EC1"/>
    <w:rsid w:val="00E06482"/>
    <w:rsid w:val="00E067FA"/>
    <w:rsid w:val="00E068F0"/>
    <w:rsid w:val="00E06904"/>
    <w:rsid w:val="00E06A0F"/>
    <w:rsid w:val="00E06ADE"/>
    <w:rsid w:val="00E06B35"/>
    <w:rsid w:val="00E06C22"/>
    <w:rsid w:val="00E0708C"/>
    <w:rsid w:val="00E070F1"/>
    <w:rsid w:val="00E07506"/>
    <w:rsid w:val="00E07837"/>
    <w:rsid w:val="00E07C18"/>
    <w:rsid w:val="00E07D32"/>
    <w:rsid w:val="00E07DF7"/>
    <w:rsid w:val="00E07F2D"/>
    <w:rsid w:val="00E1020A"/>
    <w:rsid w:val="00E107E5"/>
    <w:rsid w:val="00E10EEC"/>
    <w:rsid w:val="00E10F91"/>
    <w:rsid w:val="00E114C2"/>
    <w:rsid w:val="00E115AE"/>
    <w:rsid w:val="00E11673"/>
    <w:rsid w:val="00E11744"/>
    <w:rsid w:val="00E11911"/>
    <w:rsid w:val="00E11A0D"/>
    <w:rsid w:val="00E11F03"/>
    <w:rsid w:val="00E121F2"/>
    <w:rsid w:val="00E125BC"/>
    <w:rsid w:val="00E125FE"/>
    <w:rsid w:val="00E12824"/>
    <w:rsid w:val="00E12835"/>
    <w:rsid w:val="00E1293C"/>
    <w:rsid w:val="00E129BC"/>
    <w:rsid w:val="00E12AB7"/>
    <w:rsid w:val="00E12D7B"/>
    <w:rsid w:val="00E12ED1"/>
    <w:rsid w:val="00E12F75"/>
    <w:rsid w:val="00E13180"/>
    <w:rsid w:val="00E132DD"/>
    <w:rsid w:val="00E13562"/>
    <w:rsid w:val="00E1364D"/>
    <w:rsid w:val="00E13993"/>
    <w:rsid w:val="00E13A0D"/>
    <w:rsid w:val="00E13B0B"/>
    <w:rsid w:val="00E13CCC"/>
    <w:rsid w:val="00E13E06"/>
    <w:rsid w:val="00E13F64"/>
    <w:rsid w:val="00E140CA"/>
    <w:rsid w:val="00E141DE"/>
    <w:rsid w:val="00E1447A"/>
    <w:rsid w:val="00E14645"/>
    <w:rsid w:val="00E1494F"/>
    <w:rsid w:val="00E14BE6"/>
    <w:rsid w:val="00E14EBC"/>
    <w:rsid w:val="00E15132"/>
    <w:rsid w:val="00E154B8"/>
    <w:rsid w:val="00E154B9"/>
    <w:rsid w:val="00E15608"/>
    <w:rsid w:val="00E15846"/>
    <w:rsid w:val="00E159B5"/>
    <w:rsid w:val="00E15A26"/>
    <w:rsid w:val="00E15AF4"/>
    <w:rsid w:val="00E15C09"/>
    <w:rsid w:val="00E15D58"/>
    <w:rsid w:val="00E15DB0"/>
    <w:rsid w:val="00E15DD5"/>
    <w:rsid w:val="00E15FB4"/>
    <w:rsid w:val="00E1629E"/>
    <w:rsid w:val="00E163FE"/>
    <w:rsid w:val="00E1640B"/>
    <w:rsid w:val="00E16ACF"/>
    <w:rsid w:val="00E16CCB"/>
    <w:rsid w:val="00E16E4E"/>
    <w:rsid w:val="00E1731F"/>
    <w:rsid w:val="00E1740F"/>
    <w:rsid w:val="00E17565"/>
    <w:rsid w:val="00E1758C"/>
    <w:rsid w:val="00E1777E"/>
    <w:rsid w:val="00E178EA"/>
    <w:rsid w:val="00E179CC"/>
    <w:rsid w:val="00E179D5"/>
    <w:rsid w:val="00E17A4C"/>
    <w:rsid w:val="00E17D20"/>
    <w:rsid w:val="00E17F0E"/>
    <w:rsid w:val="00E17FB2"/>
    <w:rsid w:val="00E200EB"/>
    <w:rsid w:val="00E20168"/>
    <w:rsid w:val="00E201A0"/>
    <w:rsid w:val="00E2028B"/>
    <w:rsid w:val="00E20496"/>
    <w:rsid w:val="00E205DA"/>
    <w:rsid w:val="00E2082C"/>
    <w:rsid w:val="00E2097D"/>
    <w:rsid w:val="00E20A9C"/>
    <w:rsid w:val="00E20B51"/>
    <w:rsid w:val="00E20CD0"/>
    <w:rsid w:val="00E20E81"/>
    <w:rsid w:val="00E20EB5"/>
    <w:rsid w:val="00E210C2"/>
    <w:rsid w:val="00E211A2"/>
    <w:rsid w:val="00E211D7"/>
    <w:rsid w:val="00E2129F"/>
    <w:rsid w:val="00E2138F"/>
    <w:rsid w:val="00E21654"/>
    <w:rsid w:val="00E21685"/>
    <w:rsid w:val="00E21783"/>
    <w:rsid w:val="00E218BC"/>
    <w:rsid w:val="00E21ABA"/>
    <w:rsid w:val="00E21ABF"/>
    <w:rsid w:val="00E21B76"/>
    <w:rsid w:val="00E21CCE"/>
    <w:rsid w:val="00E21CDB"/>
    <w:rsid w:val="00E21D6C"/>
    <w:rsid w:val="00E21E4F"/>
    <w:rsid w:val="00E220E5"/>
    <w:rsid w:val="00E22174"/>
    <w:rsid w:val="00E221DD"/>
    <w:rsid w:val="00E2233B"/>
    <w:rsid w:val="00E2234A"/>
    <w:rsid w:val="00E226CE"/>
    <w:rsid w:val="00E22752"/>
    <w:rsid w:val="00E22C19"/>
    <w:rsid w:val="00E22D8A"/>
    <w:rsid w:val="00E22E3A"/>
    <w:rsid w:val="00E22F30"/>
    <w:rsid w:val="00E2306D"/>
    <w:rsid w:val="00E232E3"/>
    <w:rsid w:val="00E233FF"/>
    <w:rsid w:val="00E23482"/>
    <w:rsid w:val="00E2348C"/>
    <w:rsid w:val="00E234E0"/>
    <w:rsid w:val="00E235CA"/>
    <w:rsid w:val="00E237B2"/>
    <w:rsid w:val="00E238F2"/>
    <w:rsid w:val="00E239F1"/>
    <w:rsid w:val="00E23AE0"/>
    <w:rsid w:val="00E23D9F"/>
    <w:rsid w:val="00E23DBA"/>
    <w:rsid w:val="00E23FE8"/>
    <w:rsid w:val="00E24183"/>
    <w:rsid w:val="00E24375"/>
    <w:rsid w:val="00E243A7"/>
    <w:rsid w:val="00E24BF7"/>
    <w:rsid w:val="00E24D13"/>
    <w:rsid w:val="00E24D61"/>
    <w:rsid w:val="00E25116"/>
    <w:rsid w:val="00E25155"/>
    <w:rsid w:val="00E253FC"/>
    <w:rsid w:val="00E255DA"/>
    <w:rsid w:val="00E2561A"/>
    <w:rsid w:val="00E2571A"/>
    <w:rsid w:val="00E257E3"/>
    <w:rsid w:val="00E25B74"/>
    <w:rsid w:val="00E25C5D"/>
    <w:rsid w:val="00E25E6D"/>
    <w:rsid w:val="00E25FB5"/>
    <w:rsid w:val="00E263FF"/>
    <w:rsid w:val="00E2643A"/>
    <w:rsid w:val="00E26486"/>
    <w:rsid w:val="00E26636"/>
    <w:rsid w:val="00E267BE"/>
    <w:rsid w:val="00E26847"/>
    <w:rsid w:val="00E2693A"/>
    <w:rsid w:val="00E269FE"/>
    <w:rsid w:val="00E26B03"/>
    <w:rsid w:val="00E26CD2"/>
    <w:rsid w:val="00E278A6"/>
    <w:rsid w:val="00E278E2"/>
    <w:rsid w:val="00E27B7B"/>
    <w:rsid w:val="00E27E48"/>
    <w:rsid w:val="00E30155"/>
    <w:rsid w:val="00E301F7"/>
    <w:rsid w:val="00E3021A"/>
    <w:rsid w:val="00E302E0"/>
    <w:rsid w:val="00E305A1"/>
    <w:rsid w:val="00E307E3"/>
    <w:rsid w:val="00E30A91"/>
    <w:rsid w:val="00E30CF9"/>
    <w:rsid w:val="00E30DED"/>
    <w:rsid w:val="00E3101A"/>
    <w:rsid w:val="00E310A1"/>
    <w:rsid w:val="00E31113"/>
    <w:rsid w:val="00E3124F"/>
    <w:rsid w:val="00E31334"/>
    <w:rsid w:val="00E314B6"/>
    <w:rsid w:val="00E31809"/>
    <w:rsid w:val="00E31A01"/>
    <w:rsid w:val="00E31A2D"/>
    <w:rsid w:val="00E31C75"/>
    <w:rsid w:val="00E31E84"/>
    <w:rsid w:val="00E31EEE"/>
    <w:rsid w:val="00E3230E"/>
    <w:rsid w:val="00E324A7"/>
    <w:rsid w:val="00E324E1"/>
    <w:rsid w:val="00E32645"/>
    <w:rsid w:val="00E327B4"/>
    <w:rsid w:val="00E328D7"/>
    <w:rsid w:val="00E32901"/>
    <w:rsid w:val="00E32AFD"/>
    <w:rsid w:val="00E32D3B"/>
    <w:rsid w:val="00E330CF"/>
    <w:rsid w:val="00E33163"/>
    <w:rsid w:val="00E33171"/>
    <w:rsid w:val="00E3352D"/>
    <w:rsid w:val="00E335A5"/>
    <w:rsid w:val="00E3365B"/>
    <w:rsid w:val="00E336B0"/>
    <w:rsid w:val="00E336BC"/>
    <w:rsid w:val="00E338F7"/>
    <w:rsid w:val="00E33A55"/>
    <w:rsid w:val="00E33F85"/>
    <w:rsid w:val="00E3400A"/>
    <w:rsid w:val="00E34416"/>
    <w:rsid w:val="00E3455C"/>
    <w:rsid w:val="00E34586"/>
    <w:rsid w:val="00E34642"/>
    <w:rsid w:val="00E3486B"/>
    <w:rsid w:val="00E34892"/>
    <w:rsid w:val="00E3492B"/>
    <w:rsid w:val="00E34A1E"/>
    <w:rsid w:val="00E34B46"/>
    <w:rsid w:val="00E34B81"/>
    <w:rsid w:val="00E34BC2"/>
    <w:rsid w:val="00E34BEE"/>
    <w:rsid w:val="00E34CB7"/>
    <w:rsid w:val="00E34D52"/>
    <w:rsid w:val="00E34F58"/>
    <w:rsid w:val="00E350CA"/>
    <w:rsid w:val="00E3548F"/>
    <w:rsid w:val="00E3555D"/>
    <w:rsid w:val="00E357CF"/>
    <w:rsid w:val="00E3584F"/>
    <w:rsid w:val="00E35D04"/>
    <w:rsid w:val="00E35D06"/>
    <w:rsid w:val="00E36092"/>
    <w:rsid w:val="00E360AB"/>
    <w:rsid w:val="00E362B9"/>
    <w:rsid w:val="00E362BF"/>
    <w:rsid w:val="00E363EF"/>
    <w:rsid w:val="00E36483"/>
    <w:rsid w:val="00E365DF"/>
    <w:rsid w:val="00E36613"/>
    <w:rsid w:val="00E3673B"/>
    <w:rsid w:val="00E367AC"/>
    <w:rsid w:val="00E367C5"/>
    <w:rsid w:val="00E36B7F"/>
    <w:rsid w:val="00E36DC9"/>
    <w:rsid w:val="00E36E1F"/>
    <w:rsid w:val="00E37174"/>
    <w:rsid w:val="00E371B9"/>
    <w:rsid w:val="00E373B7"/>
    <w:rsid w:val="00E37400"/>
    <w:rsid w:val="00E3749D"/>
    <w:rsid w:val="00E37981"/>
    <w:rsid w:val="00E37F5F"/>
    <w:rsid w:val="00E37FD2"/>
    <w:rsid w:val="00E40096"/>
    <w:rsid w:val="00E4010D"/>
    <w:rsid w:val="00E404C2"/>
    <w:rsid w:val="00E405A8"/>
    <w:rsid w:val="00E4060F"/>
    <w:rsid w:val="00E40641"/>
    <w:rsid w:val="00E406E7"/>
    <w:rsid w:val="00E407DD"/>
    <w:rsid w:val="00E40AE5"/>
    <w:rsid w:val="00E40B1B"/>
    <w:rsid w:val="00E41207"/>
    <w:rsid w:val="00E41415"/>
    <w:rsid w:val="00E41A60"/>
    <w:rsid w:val="00E41A6B"/>
    <w:rsid w:val="00E41BF6"/>
    <w:rsid w:val="00E41D47"/>
    <w:rsid w:val="00E41DD5"/>
    <w:rsid w:val="00E41DE0"/>
    <w:rsid w:val="00E41E83"/>
    <w:rsid w:val="00E42013"/>
    <w:rsid w:val="00E42655"/>
    <w:rsid w:val="00E42A49"/>
    <w:rsid w:val="00E42B32"/>
    <w:rsid w:val="00E42DA6"/>
    <w:rsid w:val="00E430B1"/>
    <w:rsid w:val="00E433A9"/>
    <w:rsid w:val="00E43524"/>
    <w:rsid w:val="00E438FA"/>
    <w:rsid w:val="00E43938"/>
    <w:rsid w:val="00E4416D"/>
    <w:rsid w:val="00E4439C"/>
    <w:rsid w:val="00E44472"/>
    <w:rsid w:val="00E44722"/>
    <w:rsid w:val="00E448E5"/>
    <w:rsid w:val="00E44B0F"/>
    <w:rsid w:val="00E44B8A"/>
    <w:rsid w:val="00E44DC8"/>
    <w:rsid w:val="00E44E15"/>
    <w:rsid w:val="00E44F81"/>
    <w:rsid w:val="00E452A7"/>
    <w:rsid w:val="00E45421"/>
    <w:rsid w:val="00E45544"/>
    <w:rsid w:val="00E458F3"/>
    <w:rsid w:val="00E459EF"/>
    <w:rsid w:val="00E45C44"/>
    <w:rsid w:val="00E45D9F"/>
    <w:rsid w:val="00E45FAA"/>
    <w:rsid w:val="00E4604B"/>
    <w:rsid w:val="00E460F6"/>
    <w:rsid w:val="00E46342"/>
    <w:rsid w:val="00E46460"/>
    <w:rsid w:val="00E46643"/>
    <w:rsid w:val="00E466B9"/>
    <w:rsid w:val="00E468DE"/>
    <w:rsid w:val="00E46B26"/>
    <w:rsid w:val="00E46D2C"/>
    <w:rsid w:val="00E47126"/>
    <w:rsid w:val="00E472B5"/>
    <w:rsid w:val="00E47486"/>
    <w:rsid w:val="00E476CE"/>
    <w:rsid w:val="00E477A9"/>
    <w:rsid w:val="00E477E2"/>
    <w:rsid w:val="00E47BC2"/>
    <w:rsid w:val="00E47C44"/>
    <w:rsid w:val="00E47DB4"/>
    <w:rsid w:val="00E47E32"/>
    <w:rsid w:val="00E47E8C"/>
    <w:rsid w:val="00E5005A"/>
    <w:rsid w:val="00E5039F"/>
    <w:rsid w:val="00E50851"/>
    <w:rsid w:val="00E5090E"/>
    <w:rsid w:val="00E5099C"/>
    <w:rsid w:val="00E50A20"/>
    <w:rsid w:val="00E50AFC"/>
    <w:rsid w:val="00E50C12"/>
    <w:rsid w:val="00E50C5E"/>
    <w:rsid w:val="00E5105C"/>
    <w:rsid w:val="00E5128F"/>
    <w:rsid w:val="00E513CF"/>
    <w:rsid w:val="00E5153C"/>
    <w:rsid w:val="00E516F1"/>
    <w:rsid w:val="00E516F6"/>
    <w:rsid w:val="00E5183D"/>
    <w:rsid w:val="00E5183E"/>
    <w:rsid w:val="00E51D6B"/>
    <w:rsid w:val="00E521FB"/>
    <w:rsid w:val="00E5269D"/>
    <w:rsid w:val="00E5288C"/>
    <w:rsid w:val="00E52897"/>
    <w:rsid w:val="00E52B14"/>
    <w:rsid w:val="00E52FE5"/>
    <w:rsid w:val="00E5316E"/>
    <w:rsid w:val="00E531C0"/>
    <w:rsid w:val="00E533F2"/>
    <w:rsid w:val="00E535DB"/>
    <w:rsid w:val="00E5361E"/>
    <w:rsid w:val="00E53710"/>
    <w:rsid w:val="00E53936"/>
    <w:rsid w:val="00E53B85"/>
    <w:rsid w:val="00E53BB9"/>
    <w:rsid w:val="00E53F42"/>
    <w:rsid w:val="00E540EB"/>
    <w:rsid w:val="00E541DF"/>
    <w:rsid w:val="00E5436B"/>
    <w:rsid w:val="00E543DB"/>
    <w:rsid w:val="00E54543"/>
    <w:rsid w:val="00E545BA"/>
    <w:rsid w:val="00E545CE"/>
    <w:rsid w:val="00E545DA"/>
    <w:rsid w:val="00E54746"/>
    <w:rsid w:val="00E54C1F"/>
    <w:rsid w:val="00E54D21"/>
    <w:rsid w:val="00E54DDE"/>
    <w:rsid w:val="00E54E58"/>
    <w:rsid w:val="00E54E70"/>
    <w:rsid w:val="00E55201"/>
    <w:rsid w:val="00E557C0"/>
    <w:rsid w:val="00E55833"/>
    <w:rsid w:val="00E55AD4"/>
    <w:rsid w:val="00E55AFC"/>
    <w:rsid w:val="00E55C89"/>
    <w:rsid w:val="00E55D15"/>
    <w:rsid w:val="00E55EBF"/>
    <w:rsid w:val="00E55EDF"/>
    <w:rsid w:val="00E55F88"/>
    <w:rsid w:val="00E562CA"/>
    <w:rsid w:val="00E56361"/>
    <w:rsid w:val="00E563B9"/>
    <w:rsid w:val="00E565B3"/>
    <w:rsid w:val="00E567BC"/>
    <w:rsid w:val="00E56B17"/>
    <w:rsid w:val="00E56C9E"/>
    <w:rsid w:val="00E56E54"/>
    <w:rsid w:val="00E56FFA"/>
    <w:rsid w:val="00E574BD"/>
    <w:rsid w:val="00E577AE"/>
    <w:rsid w:val="00E5782B"/>
    <w:rsid w:val="00E578E6"/>
    <w:rsid w:val="00E57C85"/>
    <w:rsid w:val="00E57DDF"/>
    <w:rsid w:val="00E57F20"/>
    <w:rsid w:val="00E60038"/>
    <w:rsid w:val="00E60545"/>
    <w:rsid w:val="00E60817"/>
    <w:rsid w:val="00E608D0"/>
    <w:rsid w:val="00E60DB8"/>
    <w:rsid w:val="00E60F16"/>
    <w:rsid w:val="00E60F57"/>
    <w:rsid w:val="00E610A2"/>
    <w:rsid w:val="00E61493"/>
    <w:rsid w:val="00E614E9"/>
    <w:rsid w:val="00E6152F"/>
    <w:rsid w:val="00E61556"/>
    <w:rsid w:val="00E616C2"/>
    <w:rsid w:val="00E616EC"/>
    <w:rsid w:val="00E61753"/>
    <w:rsid w:val="00E6179F"/>
    <w:rsid w:val="00E6181E"/>
    <w:rsid w:val="00E61944"/>
    <w:rsid w:val="00E61A30"/>
    <w:rsid w:val="00E61B97"/>
    <w:rsid w:val="00E61E57"/>
    <w:rsid w:val="00E61EC1"/>
    <w:rsid w:val="00E620DA"/>
    <w:rsid w:val="00E62272"/>
    <w:rsid w:val="00E622EE"/>
    <w:rsid w:val="00E623D9"/>
    <w:rsid w:val="00E625BC"/>
    <w:rsid w:val="00E627C7"/>
    <w:rsid w:val="00E62A96"/>
    <w:rsid w:val="00E62FF7"/>
    <w:rsid w:val="00E630F1"/>
    <w:rsid w:val="00E63481"/>
    <w:rsid w:val="00E63629"/>
    <w:rsid w:val="00E63654"/>
    <w:rsid w:val="00E63719"/>
    <w:rsid w:val="00E63918"/>
    <w:rsid w:val="00E63B10"/>
    <w:rsid w:val="00E63BF1"/>
    <w:rsid w:val="00E63C5D"/>
    <w:rsid w:val="00E63D0E"/>
    <w:rsid w:val="00E63E37"/>
    <w:rsid w:val="00E63FBE"/>
    <w:rsid w:val="00E63FC7"/>
    <w:rsid w:val="00E6447A"/>
    <w:rsid w:val="00E64616"/>
    <w:rsid w:val="00E6467D"/>
    <w:rsid w:val="00E64728"/>
    <w:rsid w:val="00E648CB"/>
    <w:rsid w:val="00E649CB"/>
    <w:rsid w:val="00E64BE2"/>
    <w:rsid w:val="00E64CA1"/>
    <w:rsid w:val="00E64F64"/>
    <w:rsid w:val="00E650C4"/>
    <w:rsid w:val="00E6514A"/>
    <w:rsid w:val="00E659F9"/>
    <w:rsid w:val="00E65C0B"/>
    <w:rsid w:val="00E663AE"/>
    <w:rsid w:val="00E66529"/>
    <w:rsid w:val="00E666AA"/>
    <w:rsid w:val="00E6684C"/>
    <w:rsid w:val="00E66C89"/>
    <w:rsid w:val="00E66F3C"/>
    <w:rsid w:val="00E66FEB"/>
    <w:rsid w:val="00E6718C"/>
    <w:rsid w:val="00E67213"/>
    <w:rsid w:val="00E67252"/>
    <w:rsid w:val="00E67431"/>
    <w:rsid w:val="00E67677"/>
    <w:rsid w:val="00E67A3C"/>
    <w:rsid w:val="00E67D22"/>
    <w:rsid w:val="00E67F71"/>
    <w:rsid w:val="00E701FF"/>
    <w:rsid w:val="00E704E2"/>
    <w:rsid w:val="00E70BFB"/>
    <w:rsid w:val="00E70C9A"/>
    <w:rsid w:val="00E711F3"/>
    <w:rsid w:val="00E713D4"/>
    <w:rsid w:val="00E71442"/>
    <w:rsid w:val="00E71A95"/>
    <w:rsid w:val="00E71B38"/>
    <w:rsid w:val="00E71F95"/>
    <w:rsid w:val="00E72083"/>
    <w:rsid w:val="00E720E0"/>
    <w:rsid w:val="00E7223C"/>
    <w:rsid w:val="00E72489"/>
    <w:rsid w:val="00E72BCF"/>
    <w:rsid w:val="00E72DA0"/>
    <w:rsid w:val="00E73631"/>
    <w:rsid w:val="00E737C7"/>
    <w:rsid w:val="00E73820"/>
    <w:rsid w:val="00E738C7"/>
    <w:rsid w:val="00E73A5E"/>
    <w:rsid w:val="00E73C22"/>
    <w:rsid w:val="00E73CFD"/>
    <w:rsid w:val="00E73F72"/>
    <w:rsid w:val="00E74142"/>
    <w:rsid w:val="00E74536"/>
    <w:rsid w:val="00E7474A"/>
    <w:rsid w:val="00E74CD1"/>
    <w:rsid w:val="00E74D30"/>
    <w:rsid w:val="00E74D65"/>
    <w:rsid w:val="00E74E0B"/>
    <w:rsid w:val="00E74EF1"/>
    <w:rsid w:val="00E74F06"/>
    <w:rsid w:val="00E74F17"/>
    <w:rsid w:val="00E751D2"/>
    <w:rsid w:val="00E75206"/>
    <w:rsid w:val="00E75278"/>
    <w:rsid w:val="00E7532A"/>
    <w:rsid w:val="00E7555B"/>
    <w:rsid w:val="00E7557E"/>
    <w:rsid w:val="00E7572A"/>
    <w:rsid w:val="00E757A8"/>
    <w:rsid w:val="00E75A5F"/>
    <w:rsid w:val="00E76272"/>
    <w:rsid w:val="00E7635F"/>
    <w:rsid w:val="00E7645A"/>
    <w:rsid w:val="00E76850"/>
    <w:rsid w:val="00E76BD3"/>
    <w:rsid w:val="00E7703E"/>
    <w:rsid w:val="00E770C6"/>
    <w:rsid w:val="00E7759B"/>
    <w:rsid w:val="00E77879"/>
    <w:rsid w:val="00E77884"/>
    <w:rsid w:val="00E77915"/>
    <w:rsid w:val="00E77B50"/>
    <w:rsid w:val="00E77B6B"/>
    <w:rsid w:val="00E77CFF"/>
    <w:rsid w:val="00E77E36"/>
    <w:rsid w:val="00E802FC"/>
    <w:rsid w:val="00E803CC"/>
    <w:rsid w:val="00E80502"/>
    <w:rsid w:val="00E80517"/>
    <w:rsid w:val="00E80583"/>
    <w:rsid w:val="00E8079E"/>
    <w:rsid w:val="00E8081B"/>
    <w:rsid w:val="00E808B8"/>
    <w:rsid w:val="00E80A9F"/>
    <w:rsid w:val="00E80B8E"/>
    <w:rsid w:val="00E80D47"/>
    <w:rsid w:val="00E80D75"/>
    <w:rsid w:val="00E8167F"/>
    <w:rsid w:val="00E819C7"/>
    <w:rsid w:val="00E819CE"/>
    <w:rsid w:val="00E81A75"/>
    <w:rsid w:val="00E81E1A"/>
    <w:rsid w:val="00E822A7"/>
    <w:rsid w:val="00E82302"/>
    <w:rsid w:val="00E825C8"/>
    <w:rsid w:val="00E826AA"/>
    <w:rsid w:val="00E82C8A"/>
    <w:rsid w:val="00E82CC1"/>
    <w:rsid w:val="00E82D6F"/>
    <w:rsid w:val="00E82F5B"/>
    <w:rsid w:val="00E8344B"/>
    <w:rsid w:val="00E83702"/>
    <w:rsid w:val="00E8376E"/>
    <w:rsid w:val="00E837E1"/>
    <w:rsid w:val="00E83902"/>
    <w:rsid w:val="00E839B4"/>
    <w:rsid w:val="00E83B85"/>
    <w:rsid w:val="00E83BA8"/>
    <w:rsid w:val="00E83F1C"/>
    <w:rsid w:val="00E83F7E"/>
    <w:rsid w:val="00E840A0"/>
    <w:rsid w:val="00E843B6"/>
    <w:rsid w:val="00E84588"/>
    <w:rsid w:val="00E84941"/>
    <w:rsid w:val="00E84988"/>
    <w:rsid w:val="00E84ACD"/>
    <w:rsid w:val="00E84AEE"/>
    <w:rsid w:val="00E84B2A"/>
    <w:rsid w:val="00E84B35"/>
    <w:rsid w:val="00E84C68"/>
    <w:rsid w:val="00E84CFD"/>
    <w:rsid w:val="00E84D6A"/>
    <w:rsid w:val="00E84FFB"/>
    <w:rsid w:val="00E8517B"/>
    <w:rsid w:val="00E852AF"/>
    <w:rsid w:val="00E855B0"/>
    <w:rsid w:val="00E8589B"/>
    <w:rsid w:val="00E85949"/>
    <w:rsid w:val="00E85A4B"/>
    <w:rsid w:val="00E85B46"/>
    <w:rsid w:val="00E85CDE"/>
    <w:rsid w:val="00E860A5"/>
    <w:rsid w:val="00E862FA"/>
    <w:rsid w:val="00E863CD"/>
    <w:rsid w:val="00E86481"/>
    <w:rsid w:val="00E8660B"/>
    <w:rsid w:val="00E8699A"/>
    <w:rsid w:val="00E86B2A"/>
    <w:rsid w:val="00E86C31"/>
    <w:rsid w:val="00E86E8F"/>
    <w:rsid w:val="00E87304"/>
    <w:rsid w:val="00E8740D"/>
    <w:rsid w:val="00E8745C"/>
    <w:rsid w:val="00E878F9"/>
    <w:rsid w:val="00E87980"/>
    <w:rsid w:val="00E87A91"/>
    <w:rsid w:val="00E87B83"/>
    <w:rsid w:val="00E87F62"/>
    <w:rsid w:val="00E900DD"/>
    <w:rsid w:val="00E903B3"/>
    <w:rsid w:val="00E9096E"/>
    <w:rsid w:val="00E90B70"/>
    <w:rsid w:val="00E90C79"/>
    <w:rsid w:val="00E90F6D"/>
    <w:rsid w:val="00E914BB"/>
    <w:rsid w:val="00E91628"/>
    <w:rsid w:val="00E91B03"/>
    <w:rsid w:val="00E91F60"/>
    <w:rsid w:val="00E91F65"/>
    <w:rsid w:val="00E9203D"/>
    <w:rsid w:val="00E922DE"/>
    <w:rsid w:val="00E92417"/>
    <w:rsid w:val="00E92598"/>
    <w:rsid w:val="00E927E4"/>
    <w:rsid w:val="00E92A5F"/>
    <w:rsid w:val="00E93082"/>
    <w:rsid w:val="00E93233"/>
    <w:rsid w:val="00E93250"/>
    <w:rsid w:val="00E9358D"/>
    <w:rsid w:val="00E935F0"/>
    <w:rsid w:val="00E937DE"/>
    <w:rsid w:val="00E93940"/>
    <w:rsid w:val="00E9397E"/>
    <w:rsid w:val="00E93A49"/>
    <w:rsid w:val="00E93AA6"/>
    <w:rsid w:val="00E93BB2"/>
    <w:rsid w:val="00E93D01"/>
    <w:rsid w:val="00E93D35"/>
    <w:rsid w:val="00E93DBA"/>
    <w:rsid w:val="00E94353"/>
    <w:rsid w:val="00E946FE"/>
    <w:rsid w:val="00E94FE4"/>
    <w:rsid w:val="00E95061"/>
    <w:rsid w:val="00E95171"/>
    <w:rsid w:val="00E957FC"/>
    <w:rsid w:val="00E95957"/>
    <w:rsid w:val="00E95BD1"/>
    <w:rsid w:val="00E95E31"/>
    <w:rsid w:val="00E95F1F"/>
    <w:rsid w:val="00E95F4C"/>
    <w:rsid w:val="00E960D2"/>
    <w:rsid w:val="00E96126"/>
    <w:rsid w:val="00E9671E"/>
    <w:rsid w:val="00E96CF8"/>
    <w:rsid w:val="00E96E1D"/>
    <w:rsid w:val="00E96F2A"/>
    <w:rsid w:val="00E96FD1"/>
    <w:rsid w:val="00E97200"/>
    <w:rsid w:val="00E9733E"/>
    <w:rsid w:val="00E975A5"/>
    <w:rsid w:val="00E975F1"/>
    <w:rsid w:val="00E97606"/>
    <w:rsid w:val="00E9760C"/>
    <w:rsid w:val="00E9783F"/>
    <w:rsid w:val="00E97CDE"/>
    <w:rsid w:val="00E97CEF"/>
    <w:rsid w:val="00E97D06"/>
    <w:rsid w:val="00E97F57"/>
    <w:rsid w:val="00EA00BE"/>
    <w:rsid w:val="00EA0401"/>
    <w:rsid w:val="00EA05A6"/>
    <w:rsid w:val="00EA0710"/>
    <w:rsid w:val="00EA0928"/>
    <w:rsid w:val="00EA0955"/>
    <w:rsid w:val="00EA0979"/>
    <w:rsid w:val="00EA0D8C"/>
    <w:rsid w:val="00EA0D9E"/>
    <w:rsid w:val="00EA0F19"/>
    <w:rsid w:val="00EA0FF0"/>
    <w:rsid w:val="00EA1009"/>
    <w:rsid w:val="00EA12B0"/>
    <w:rsid w:val="00EA12F5"/>
    <w:rsid w:val="00EA1352"/>
    <w:rsid w:val="00EA192C"/>
    <w:rsid w:val="00EA1D50"/>
    <w:rsid w:val="00EA1F71"/>
    <w:rsid w:val="00EA200C"/>
    <w:rsid w:val="00EA25B6"/>
    <w:rsid w:val="00EA2641"/>
    <w:rsid w:val="00EA2718"/>
    <w:rsid w:val="00EA2759"/>
    <w:rsid w:val="00EA285A"/>
    <w:rsid w:val="00EA2936"/>
    <w:rsid w:val="00EA2A73"/>
    <w:rsid w:val="00EA2A80"/>
    <w:rsid w:val="00EA2AE7"/>
    <w:rsid w:val="00EA2B72"/>
    <w:rsid w:val="00EA2C3C"/>
    <w:rsid w:val="00EA2CCA"/>
    <w:rsid w:val="00EA2F4F"/>
    <w:rsid w:val="00EA2FFB"/>
    <w:rsid w:val="00EA3062"/>
    <w:rsid w:val="00EA30B7"/>
    <w:rsid w:val="00EA33EE"/>
    <w:rsid w:val="00EA3424"/>
    <w:rsid w:val="00EA3468"/>
    <w:rsid w:val="00EA34F3"/>
    <w:rsid w:val="00EA36CF"/>
    <w:rsid w:val="00EA374A"/>
    <w:rsid w:val="00EA380E"/>
    <w:rsid w:val="00EA3DBF"/>
    <w:rsid w:val="00EA3EBD"/>
    <w:rsid w:val="00EA3F99"/>
    <w:rsid w:val="00EA421B"/>
    <w:rsid w:val="00EA4470"/>
    <w:rsid w:val="00EA457C"/>
    <w:rsid w:val="00EA45FE"/>
    <w:rsid w:val="00EA46CB"/>
    <w:rsid w:val="00EA4BBE"/>
    <w:rsid w:val="00EA4DC1"/>
    <w:rsid w:val="00EA4E5B"/>
    <w:rsid w:val="00EA4FB6"/>
    <w:rsid w:val="00EA50EF"/>
    <w:rsid w:val="00EA54A7"/>
    <w:rsid w:val="00EA5571"/>
    <w:rsid w:val="00EA55F6"/>
    <w:rsid w:val="00EA5C84"/>
    <w:rsid w:val="00EA5DB6"/>
    <w:rsid w:val="00EA6074"/>
    <w:rsid w:val="00EA642D"/>
    <w:rsid w:val="00EA66BB"/>
    <w:rsid w:val="00EA66DF"/>
    <w:rsid w:val="00EA69A9"/>
    <w:rsid w:val="00EA69BD"/>
    <w:rsid w:val="00EA6B9B"/>
    <w:rsid w:val="00EA71B4"/>
    <w:rsid w:val="00EA7610"/>
    <w:rsid w:val="00EA76B5"/>
    <w:rsid w:val="00EA7AB8"/>
    <w:rsid w:val="00EA7AF7"/>
    <w:rsid w:val="00EA7BD2"/>
    <w:rsid w:val="00EA7D2B"/>
    <w:rsid w:val="00EA7D8F"/>
    <w:rsid w:val="00EA7E56"/>
    <w:rsid w:val="00EA7E60"/>
    <w:rsid w:val="00EB0230"/>
    <w:rsid w:val="00EB03FE"/>
    <w:rsid w:val="00EB059D"/>
    <w:rsid w:val="00EB05BD"/>
    <w:rsid w:val="00EB0817"/>
    <w:rsid w:val="00EB08D9"/>
    <w:rsid w:val="00EB08F2"/>
    <w:rsid w:val="00EB0974"/>
    <w:rsid w:val="00EB0BAC"/>
    <w:rsid w:val="00EB0C4C"/>
    <w:rsid w:val="00EB0CF5"/>
    <w:rsid w:val="00EB0E05"/>
    <w:rsid w:val="00EB0F16"/>
    <w:rsid w:val="00EB0F55"/>
    <w:rsid w:val="00EB18FC"/>
    <w:rsid w:val="00EB195C"/>
    <w:rsid w:val="00EB1992"/>
    <w:rsid w:val="00EB19CB"/>
    <w:rsid w:val="00EB1A55"/>
    <w:rsid w:val="00EB1D8F"/>
    <w:rsid w:val="00EB1DC8"/>
    <w:rsid w:val="00EB2287"/>
    <w:rsid w:val="00EB24A4"/>
    <w:rsid w:val="00EB24FB"/>
    <w:rsid w:val="00EB2825"/>
    <w:rsid w:val="00EB29BD"/>
    <w:rsid w:val="00EB2C7A"/>
    <w:rsid w:val="00EB2E03"/>
    <w:rsid w:val="00EB2F6C"/>
    <w:rsid w:val="00EB300E"/>
    <w:rsid w:val="00EB318E"/>
    <w:rsid w:val="00EB3577"/>
    <w:rsid w:val="00EB36D2"/>
    <w:rsid w:val="00EB377E"/>
    <w:rsid w:val="00EB39A9"/>
    <w:rsid w:val="00EB3A7A"/>
    <w:rsid w:val="00EB3EB7"/>
    <w:rsid w:val="00EB41E6"/>
    <w:rsid w:val="00EB458B"/>
    <w:rsid w:val="00EB462A"/>
    <w:rsid w:val="00EB48E2"/>
    <w:rsid w:val="00EB4EAA"/>
    <w:rsid w:val="00EB4EF9"/>
    <w:rsid w:val="00EB519E"/>
    <w:rsid w:val="00EB5265"/>
    <w:rsid w:val="00EB52C5"/>
    <w:rsid w:val="00EB53F0"/>
    <w:rsid w:val="00EB58F9"/>
    <w:rsid w:val="00EB59B7"/>
    <w:rsid w:val="00EB5B76"/>
    <w:rsid w:val="00EB5BA9"/>
    <w:rsid w:val="00EB5C9E"/>
    <w:rsid w:val="00EB5ED1"/>
    <w:rsid w:val="00EB65F7"/>
    <w:rsid w:val="00EB686F"/>
    <w:rsid w:val="00EB69C9"/>
    <w:rsid w:val="00EB69DA"/>
    <w:rsid w:val="00EB6A98"/>
    <w:rsid w:val="00EB6B41"/>
    <w:rsid w:val="00EB6C7F"/>
    <w:rsid w:val="00EB6E76"/>
    <w:rsid w:val="00EB6E9D"/>
    <w:rsid w:val="00EB6F5F"/>
    <w:rsid w:val="00EB70D5"/>
    <w:rsid w:val="00EB7259"/>
    <w:rsid w:val="00EB74A6"/>
    <w:rsid w:val="00EB760C"/>
    <w:rsid w:val="00EB7805"/>
    <w:rsid w:val="00EB7A88"/>
    <w:rsid w:val="00EB7C87"/>
    <w:rsid w:val="00EB7D05"/>
    <w:rsid w:val="00EB7DBD"/>
    <w:rsid w:val="00EB7F17"/>
    <w:rsid w:val="00EC02CC"/>
    <w:rsid w:val="00EC0353"/>
    <w:rsid w:val="00EC03B0"/>
    <w:rsid w:val="00EC0405"/>
    <w:rsid w:val="00EC0584"/>
    <w:rsid w:val="00EC0A52"/>
    <w:rsid w:val="00EC0AAB"/>
    <w:rsid w:val="00EC0CF3"/>
    <w:rsid w:val="00EC0DA9"/>
    <w:rsid w:val="00EC0E5A"/>
    <w:rsid w:val="00EC0EC4"/>
    <w:rsid w:val="00EC1342"/>
    <w:rsid w:val="00EC1511"/>
    <w:rsid w:val="00EC15C8"/>
    <w:rsid w:val="00EC192F"/>
    <w:rsid w:val="00EC1946"/>
    <w:rsid w:val="00EC1A50"/>
    <w:rsid w:val="00EC1B45"/>
    <w:rsid w:val="00EC1D44"/>
    <w:rsid w:val="00EC1D97"/>
    <w:rsid w:val="00EC1FC0"/>
    <w:rsid w:val="00EC2016"/>
    <w:rsid w:val="00EC2327"/>
    <w:rsid w:val="00EC2578"/>
    <w:rsid w:val="00EC2758"/>
    <w:rsid w:val="00EC2910"/>
    <w:rsid w:val="00EC2A7D"/>
    <w:rsid w:val="00EC2B1D"/>
    <w:rsid w:val="00EC2B59"/>
    <w:rsid w:val="00EC2C08"/>
    <w:rsid w:val="00EC2EB2"/>
    <w:rsid w:val="00EC3043"/>
    <w:rsid w:val="00EC304A"/>
    <w:rsid w:val="00EC30AD"/>
    <w:rsid w:val="00EC31A8"/>
    <w:rsid w:val="00EC31FA"/>
    <w:rsid w:val="00EC3354"/>
    <w:rsid w:val="00EC3506"/>
    <w:rsid w:val="00EC3798"/>
    <w:rsid w:val="00EC3BD9"/>
    <w:rsid w:val="00EC3CFF"/>
    <w:rsid w:val="00EC437E"/>
    <w:rsid w:val="00EC4482"/>
    <w:rsid w:val="00EC4511"/>
    <w:rsid w:val="00EC45E4"/>
    <w:rsid w:val="00EC460D"/>
    <w:rsid w:val="00EC4665"/>
    <w:rsid w:val="00EC46AA"/>
    <w:rsid w:val="00EC4781"/>
    <w:rsid w:val="00EC482D"/>
    <w:rsid w:val="00EC48EF"/>
    <w:rsid w:val="00EC4DE7"/>
    <w:rsid w:val="00EC4FBE"/>
    <w:rsid w:val="00EC50C4"/>
    <w:rsid w:val="00EC54A8"/>
    <w:rsid w:val="00EC562D"/>
    <w:rsid w:val="00EC56F0"/>
    <w:rsid w:val="00EC5848"/>
    <w:rsid w:val="00EC5916"/>
    <w:rsid w:val="00EC5963"/>
    <w:rsid w:val="00EC5A2D"/>
    <w:rsid w:val="00EC5AFB"/>
    <w:rsid w:val="00EC5CB0"/>
    <w:rsid w:val="00EC605A"/>
    <w:rsid w:val="00EC63E5"/>
    <w:rsid w:val="00EC66DB"/>
    <w:rsid w:val="00EC6790"/>
    <w:rsid w:val="00EC68F0"/>
    <w:rsid w:val="00EC6A50"/>
    <w:rsid w:val="00EC6A6A"/>
    <w:rsid w:val="00EC6BBA"/>
    <w:rsid w:val="00EC6BDD"/>
    <w:rsid w:val="00EC6BF5"/>
    <w:rsid w:val="00EC6D4F"/>
    <w:rsid w:val="00EC72D3"/>
    <w:rsid w:val="00EC7741"/>
    <w:rsid w:val="00EC7978"/>
    <w:rsid w:val="00EC7B49"/>
    <w:rsid w:val="00EC7CFA"/>
    <w:rsid w:val="00EC7D6E"/>
    <w:rsid w:val="00ED0086"/>
    <w:rsid w:val="00ED00AB"/>
    <w:rsid w:val="00ED018D"/>
    <w:rsid w:val="00ED06A1"/>
    <w:rsid w:val="00ED06AC"/>
    <w:rsid w:val="00ED08C5"/>
    <w:rsid w:val="00ED0B20"/>
    <w:rsid w:val="00ED0C79"/>
    <w:rsid w:val="00ED0C8C"/>
    <w:rsid w:val="00ED138D"/>
    <w:rsid w:val="00ED1393"/>
    <w:rsid w:val="00ED14FC"/>
    <w:rsid w:val="00ED1547"/>
    <w:rsid w:val="00ED17A2"/>
    <w:rsid w:val="00ED1BB5"/>
    <w:rsid w:val="00ED1C43"/>
    <w:rsid w:val="00ED1E0C"/>
    <w:rsid w:val="00ED1E80"/>
    <w:rsid w:val="00ED1ECB"/>
    <w:rsid w:val="00ED1FCB"/>
    <w:rsid w:val="00ED2254"/>
    <w:rsid w:val="00ED2322"/>
    <w:rsid w:val="00ED2347"/>
    <w:rsid w:val="00ED23C1"/>
    <w:rsid w:val="00ED2556"/>
    <w:rsid w:val="00ED26DC"/>
    <w:rsid w:val="00ED2B2D"/>
    <w:rsid w:val="00ED30F9"/>
    <w:rsid w:val="00ED3468"/>
    <w:rsid w:val="00ED3819"/>
    <w:rsid w:val="00ED390E"/>
    <w:rsid w:val="00ED3AF0"/>
    <w:rsid w:val="00ED3F5A"/>
    <w:rsid w:val="00ED4361"/>
    <w:rsid w:val="00ED443D"/>
    <w:rsid w:val="00ED4558"/>
    <w:rsid w:val="00ED45C9"/>
    <w:rsid w:val="00ED46FC"/>
    <w:rsid w:val="00ED4945"/>
    <w:rsid w:val="00ED4F92"/>
    <w:rsid w:val="00ED520A"/>
    <w:rsid w:val="00ED52BB"/>
    <w:rsid w:val="00ED5598"/>
    <w:rsid w:val="00ED5CE1"/>
    <w:rsid w:val="00ED61E8"/>
    <w:rsid w:val="00ED68AC"/>
    <w:rsid w:val="00ED69F1"/>
    <w:rsid w:val="00ED6C59"/>
    <w:rsid w:val="00ED6D13"/>
    <w:rsid w:val="00ED70DC"/>
    <w:rsid w:val="00ED7249"/>
    <w:rsid w:val="00ED7491"/>
    <w:rsid w:val="00ED75B7"/>
    <w:rsid w:val="00ED7AC1"/>
    <w:rsid w:val="00ED7B14"/>
    <w:rsid w:val="00ED7C60"/>
    <w:rsid w:val="00ED7CB8"/>
    <w:rsid w:val="00ED7CFF"/>
    <w:rsid w:val="00ED7D4F"/>
    <w:rsid w:val="00ED7F36"/>
    <w:rsid w:val="00EE0119"/>
    <w:rsid w:val="00EE0372"/>
    <w:rsid w:val="00EE0393"/>
    <w:rsid w:val="00EE0545"/>
    <w:rsid w:val="00EE0557"/>
    <w:rsid w:val="00EE0612"/>
    <w:rsid w:val="00EE0D82"/>
    <w:rsid w:val="00EE0EFD"/>
    <w:rsid w:val="00EE0F15"/>
    <w:rsid w:val="00EE12DC"/>
    <w:rsid w:val="00EE1BB8"/>
    <w:rsid w:val="00EE1DE2"/>
    <w:rsid w:val="00EE1E1D"/>
    <w:rsid w:val="00EE1FEE"/>
    <w:rsid w:val="00EE2184"/>
    <w:rsid w:val="00EE25A8"/>
    <w:rsid w:val="00EE26CD"/>
    <w:rsid w:val="00EE2B46"/>
    <w:rsid w:val="00EE2C19"/>
    <w:rsid w:val="00EE2D66"/>
    <w:rsid w:val="00EE2DAC"/>
    <w:rsid w:val="00EE2DD0"/>
    <w:rsid w:val="00EE2DDE"/>
    <w:rsid w:val="00EE3128"/>
    <w:rsid w:val="00EE31EA"/>
    <w:rsid w:val="00EE360A"/>
    <w:rsid w:val="00EE370C"/>
    <w:rsid w:val="00EE37C1"/>
    <w:rsid w:val="00EE3B8B"/>
    <w:rsid w:val="00EE3C8F"/>
    <w:rsid w:val="00EE3CFC"/>
    <w:rsid w:val="00EE3E8F"/>
    <w:rsid w:val="00EE3F3E"/>
    <w:rsid w:val="00EE3F93"/>
    <w:rsid w:val="00EE404A"/>
    <w:rsid w:val="00EE4093"/>
    <w:rsid w:val="00EE4108"/>
    <w:rsid w:val="00EE4198"/>
    <w:rsid w:val="00EE4433"/>
    <w:rsid w:val="00EE4561"/>
    <w:rsid w:val="00EE462F"/>
    <w:rsid w:val="00EE466F"/>
    <w:rsid w:val="00EE47CE"/>
    <w:rsid w:val="00EE4928"/>
    <w:rsid w:val="00EE4D64"/>
    <w:rsid w:val="00EE54AB"/>
    <w:rsid w:val="00EE566A"/>
    <w:rsid w:val="00EE577F"/>
    <w:rsid w:val="00EE58A3"/>
    <w:rsid w:val="00EE58AE"/>
    <w:rsid w:val="00EE5A13"/>
    <w:rsid w:val="00EE5A7E"/>
    <w:rsid w:val="00EE5DB3"/>
    <w:rsid w:val="00EE62F5"/>
    <w:rsid w:val="00EE657A"/>
    <w:rsid w:val="00EE66DF"/>
    <w:rsid w:val="00EE68E5"/>
    <w:rsid w:val="00EE6A6B"/>
    <w:rsid w:val="00EE6BD2"/>
    <w:rsid w:val="00EE6C4F"/>
    <w:rsid w:val="00EE72B2"/>
    <w:rsid w:val="00EE741F"/>
    <w:rsid w:val="00EE747E"/>
    <w:rsid w:val="00EE76CC"/>
    <w:rsid w:val="00EE7D76"/>
    <w:rsid w:val="00EE7D80"/>
    <w:rsid w:val="00EE7E68"/>
    <w:rsid w:val="00EE7FD7"/>
    <w:rsid w:val="00EF009F"/>
    <w:rsid w:val="00EF021F"/>
    <w:rsid w:val="00EF02B0"/>
    <w:rsid w:val="00EF0434"/>
    <w:rsid w:val="00EF0689"/>
    <w:rsid w:val="00EF07AE"/>
    <w:rsid w:val="00EF07ED"/>
    <w:rsid w:val="00EF098A"/>
    <w:rsid w:val="00EF0B4A"/>
    <w:rsid w:val="00EF0D25"/>
    <w:rsid w:val="00EF100D"/>
    <w:rsid w:val="00EF109D"/>
    <w:rsid w:val="00EF112E"/>
    <w:rsid w:val="00EF128E"/>
    <w:rsid w:val="00EF131B"/>
    <w:rsid w:val="00EF145E"/>
    <w:rsid w:val="00EF162A"/>
    <w:rsid w:val="00EF1641"/>
    <w:rsid w:val="00EF228E"/>
    <w:rsid w:val="00EF2490"/>
    <w:rsid w:val="00EF2600"/>
    <w:rsid w:val="00EF2764"/>
    <w:rsid w:val="00EF27D4"/>
    <w:rsid w:val="00EF2BE4"/>
    <w:rsid w:val="00EF2C04"/>
    <w:rsid w:val="00EF2DB5"/>
    <w:rsid w:val="00EF3258"/>
    <w:rsid w:val="00EF329B"/>
    <w:rsid w:val="00EF32A4"/>
    <w:rsid w:val="00EF32C3"/>
    <w:rsid w:val="00EF365F"/>
    <w:rsid w:val="00EF3746"/>
    <w:rsid w:val="00EF3BE5"/>
    <w:rsid w:val="00EF3E1C"/>
    <w:rsid w:val="00EF3E33"/>
    <w:rsid w:val="00EF4035"/>
    <w:rsid w:val="00EF4531"/>
    <w:rsid w:val="00EF4AF9"/>
    <w:rsid w:val="00EF4B79"/>
    <w:rsid w:val="00EF4C7B"/>
    <w:rsid w:val="00EF4EB3"/>
    <w:rsid w:val="00EF521F"/>
    <w:rsid w:val="00EF5490"/>
    <w:rsid w:val="00EF5582"/>
    <w:rsid w:val="00EF58C7"/>
    <w:rsid w:val="00EF5A27"/>
    <w:rsid w:val="00EF5B9A"/>
    <w:rsid w:val="00EF607C"/>
    <w:rsid w:val="00EF613D"/>
    <w:rsid w:val="00EF637E"/>
    <w:rsid w:val="00EF6454"/>
    <w:rsid w:val="00EF65D2"/>
    <w:rsid w:val="00EF6600"/>
    <w:rsid w:val="00EF6709"/>
    <w:rsid w:val="00EF6998"/>
    <w:rsid w:val="00EF6E35"/>
    <w:rsid w:val="00EF6EA8"/>
    <w:rsid w:val="00EF6ED9"/>
    <w:rsid w:val="00EF70AE"/>
    <w:rsid w:val="00EF739E"/>
    <w:rsid w:val="00EF74F2"/>
    <w:rsid w:val="00EF75C6"/>
    <w:rsid w:val="00EF760A"/>
    <w:rsid w:val="00EF76C0"/>
    <w:rsid w:val="00EF76D0"/>
    <w:rsid w:val="00EF77DE"/>
    <w:rsid w:val="00EF78F2"/>
    <w:rsid w:val="00EF7B01"/>
    <w:rsid w:val="00EF7BF2"/>
    <w:rsid w:val="00EF7E74"/>
    <w:rsid w:val="00F0005D"/>
    <w:rsid w:val="00F0034E"/>
    <w:rsid w:val="00F0038C"/>
    <w:rsid w:val="00F0076B"/>
    <w:rsid w:val="00F00A6E"/>
    <w:rsid w:val="00F00DEE"/>
    <w:rsid w:val="00F00F64"/>
    <w:rsid w:val="00F0152A"/>
    <w:rsid w:val="00F01A31"/>
    <w:rsid w:val="00F01BB0"/>
    <w:rsid w:val="00F01F93"/>
    <w:rsid w:val="00F01FC6"/>
    <w:rsid w:val="00F0248C"/>
    <w:rsid w:val="00F02622"/>
    <w:rsid w:val="00F02632"/>
    <w:rsid w:val="00F026CB"/>
    <w:rsid w:val="00F02796"/>
    <w:rsid w:val="00F02C06"/>
    <w:rsid w:val="00F02CEF"/>
    <w:rsid w:val="00F02D19"/>
    <w:rsid w:val="00F02E80"/>
    <w:rsid w:val="00F03030"/>
    <w:rsid w:val="00F0303B"/>
    <w:rsid w:val="00F030BA"/>
    <w:rsid w:val="00F0314F"/>
    <w:rsid w:val="00F03396"/>
    <w:rsid w:val="00F0372C"/>
    <w:rsid w:val="00F03A11"/>
    <w:rsid w:val="00F03B41"/>
    <w:rsid w:val="00F0415D"/>
    <w:rsid w:val="00F04402"/>
    <w:rsid w:val="00F0447A"/>
    <w:rsid w:val="00F04628"/>
    <w:rsid w:val="00F048AE"/>
    <w:rsid w:val="00F049AB"/>
    <w:rsid w:val="00F04A56"/>
    <w:rsid w:val="00F04E81"/>
    <w:rsid w:val="00F04F3D"/>
    <w:rsid w:val="00F050D8"/>
    <w:rsid w:val="00F050DA"/>
    <w:rsid w:val="00F05344"/>
    <w:rsid w:val="00F05660"/>
    <w:rsid w:val="00F05A2F"/>
    <w:rsid w:val="00F05C9B"/>
    <w:rsid w:val="00F05CB7"/>
    <w:rsid w:val="00F05FE2"/>
    <w:rsid w:val="00F0605B"/>
    <w:rsid w:val="00F060C2"/>
    <w:rsid w:val="00F063B4"/>
    <w:rsid w:val="00F06A22"/>
    <w:rsid w:val="00F06AC6"/>
    <w:rsid w:val="00F06C6A"/>
    <w:rsid w:val="00F06CB0"/>
    <w:rsid w:val="00F06CC9"/>
    <w:rsid w:val="00F06D52"/>
    <w:rsid w:val="00F06EE5"/>
    <w:rsid w:val="00F070ED"/>
    <w:rsid w:val="00F076BF"/>
    <w:rsid w:val="00F0774E"/>
    <w:rsid w:val="00F0790E"/>
    <w:rsid w:val="00F07996"/>
    <w:rsid w:val="00F07B93"/>
    <w:rsid w:val="00F07D57"/>
    <w:rsid w:val="00F10107"/>
    <w:rsid w:val="00F10136"/>
    <w:rsid w:val="00F10618"/>
    <w:rsid w:val="00F10995"/>
    <w:rsid w:val="00F10B7A"/>
    <w:rsid w:val="00F10D51"/>
    <w:rsid w:val="00F10D98"/>
    <w:rsid w:val="00F10DDB"/>
    <w:rsid w:val="00F10E6A"/>
    <w:rsid w:val="00F113B5"/>
    <w:rsid w:val="00F114B5"/>
    <w:rsid w:val="00F1198C"/>
    <w:rsid w:val="00F11B65"/>
    <w:rsid w:val="00F12185"/>
    <w:rsid w:val="00F1251E"/>
    <w:rsid w:val="00F126F8"/>
    <w:rsid w:val="00F12A5A"/>
    <w:rsid w:val="00F12B17"/>
    <w:rsid w:val="00F12CCE"/>
    <w:rsid w:val="00F12CD1"/>
    <w:rsid w:val="00F12DD5"/>
    <w:rsid w:val="00F12F68"/>
    <w:rsid w:val="00F12FB3"/>
    <w:rsid w:val="00F1322E"/>
    <w:rsid w:val="00F13486"/>
    <w:rsid w:val="00F13DE4"/>
    <w:rsid w:val="00F14059"/>
    <w:rsid w:val="00F145A4"/>
    <w:rsid w:val="00F145F1"/>
    <w:rsid w:val="00F146C5"/>
    <w:rsid w:val="00F14764"/>
    <w:rsid w:val="00F14C33"/>
    <w:rsid w:val="00F15008"/>
    <w:rsid w:val="00F151CE"/>
    <w:rsid w:val="00F152BC"/>
    <w:rsid w:val="00F152D9"/>
    <w:rsid w:val="00F15419"/>
    <w:rsid w:val="00F156EE"/>
    <w:rsid w:val="00F1592C"/>
    <w:rsid w:val="00F15938"/>
    <w:rsid w:val="00F15D69"/>
    <w:rsid w:val="00F15F5F"/>
    <w:rsid w:val="00F16076"/>
    <w:rsid w:val="00F162B3"/>
    <w:rsid w:val="00F162D0"/>
    <w:rsid w:val="00F164F6"/>
    <w:rsid w:val="00F1664A"/>
    <w:rsid w:val="00F1676E"/>
    <w:rsid w:val="00F1697D"/>
    <w:rsid w:val="00F169BE"/>
    <w:rsid w:val="00F16B3B"/>
    <w:rsid w:val="00F16D28"/>
    <w:rsid w:val="00F16DBE"/>
    <w:rsid w:val="00F16E7E"/>
    <w:rsid w:val="00F17080"/>
    <w:rsid w:val="00F173BF"/>
    <w:rsid w:val="00F1742E"/>
    <w:rsid w:val="00F17546"/>
    <w:rsid w:val="00F17559"/>
    <w:rsid w:val="00F176A3"/>
    <w:rsid w:val="00F17764"/>
    <w:rsid w:val="00F177FA"/>
    <w:rsid w:val="00F178E4"/>
    <w:rsid w:val="00F17A4D"/>
    <w:rsid w:val="00F20112"/>
    <w:rsid w:val="00F2012B"/>
    <w:rsid w:val="00F203A3"/>
    <w:rsid w:val="00F20453"/>
    <w:rsid w:val="00F20830"/>
    <w:rsid w:val="00F20CFB"/>
    <w:rsid w:val="00F20D9B"/>
    <w:rsid w:val="00F20FBF"/>
    <w:rsid w:val="00F21375"/>
    <w:rsid w:val="00F214CC"/>
    <w:rsid w:val="00F214D5"/>
    <w:rsid w:val="00F21562"/>
    <w:rsid w:val="00F2174F"/>
    <w:rsid w:val="00F21907"/>
    <w:rsid w:val="00F21C55"/>
    <w:rsid w:val="00F21F89"/>
    <w:rsid w:val="00F2210F"/>
    <w:rsid w:val="00F2218B"/>
    <w:rsid w:val="00F22196"/>
    <w:rsid w:val="00F223FB"/>
    <w:rsid w:val="00F22593"/>
    <w:rsid w:val="00F225D9"/>
    <w:rsid w:val="00F22BB6"/>
    <w:rsid w:val="00F22DEB"/>
    <w:rsid w:val="00F22FAE"/>
    <w:rsid w:val="00F2307E"/>
    <w:rsid w:val="00F23304"/>
    <w:rsid w:val="00F23493"/>
    <w:rsid w:val="00F2362A"/>
    <w:rsid w:val="00F23700"/>
    <w:rsid w:val="00F238A4"/>
    <w:rsid w:val="00F239F5"/>
    <w:rsid w:val="00F23CB8"/>
    <w:rsid w:val="00F24042"/>
    <w:rsid w:val="00F24105"/>
    <w:rsid w:val="00F241D7"/>
    <w:rsid w:val="00F24330"/>
    <w:rsid w:val="00F2463E"/>
    <w:rsid w:val="00F24765"/>
    <w:rsid w:val="00F24854"/>
    <w:rsid w:val="00F24B1E"/>
    <w:rsid w:val="00F24CDF"/>
    <w:rsid w:val="00F24DB8"/>
    <w:rsid w:val="00F24F6F"/>
    <w:rsid w:val="00F2500A"/>
    <w:rsid w:val="00F2515D"/>
    <w:rsid w:val="00F2524C"/>
    <w:rsid w:val="00F256B3"/>
    <w:rsid w:val="00F25805"/>
    <w:rsid w:val="00F25A17"/>
    <w:rsid w:val="00F25AE6"/>
    <w:rsid w:val="00F25E28"/>
    <w:rsid w:val="00F2613C"/>
    <w:rsid w:val="00F26182"/>
    <w:rsid w:val="00F26302"/>
    <w:rsid w:val="00F265B9"/>
    <w:rsid w:val="00F26DC7"/>
    <w:rsid w:val="00F26E51"/>
    <w:rsid w:val="00F26FD4"/>
    <w:rsid w:val="00F27069"/>
    <w:rsid w:val="00F2726B"/>
    <w:rsid w:val="00F273CD"/>
    <w:rsid w:val="00F2746A"/>
    <w:rsid w:val="00F277F6"/>
    <w:rsid w:val="00F27895"/>
    <w:rsid w:val="00F2793D"/>
    <w:rsid w:val="00F27C6B"/>
    <w:rsid w:val="00F27CAA"/>
    <w:rsid w:val="00F27FC4"/>
    <w:rsid w:val="00F30290"/>
    <w:rsid w:val="00F30337"/>
    <w:rsid w:val="00F30383"/>
    <w:rsid w:val="00F30522"/>
    <w:rsid w:val="00F305F5"/>
    <w:rsid w:val="00F305F8"/>
    <w:rsid w:val="00F30C4C"/>
    <w:rsid w:val="00F30CAB"/>
    <w:rsid w:val="00F30EB6"/>
    <w:rsid w:val="00F30EE3"/>
    <w:rsid w:val="00F310AB"/>
    <w:rsid w:val="00F312A7"/>
    <w:rsid w:val="00F313DE"/>
    <w:rsid w:val="00F3154F"/>
    <w:rsid w:val="00F31BB9"/>
    <w:rsid w:val="00F31DBC"/>
    <w:rsid w:val="00F3290D"/>
    <w:rsid w:val="00F32922"/>
    <w:rsid w:val="00F32972"/>
    <w:rsid w:val="00F329BD"/>
    <w:rsid w:val="00F329C3"/>
    <w:rsid w:val="00F33125"/>
    <w:rsid w:val="00F332E8"/>
    <w:rsid w:val="00F337D0"/>
    <w:rsid w:val="00F33A4B"/>
    <w:rsid w:val="00F33D3A"/>
    <w:rsid w:val="00F33DEA"/>
    <w:rsid w:val="00F33DEC"/>
    <w:rsid w:val="00F33EB1"/>
    <w:rsid w:val="00F33F8F"/>
    <w:rsid w:val="00F3418C"/>
    <w:rsid w:val="00F34320"/>
    <w:rsid w:val="00F34407"/>
    <w:rsid w:val="00F3478B"/>
    <w:rsid w:val="00F347E2"/>
    <w:rsid w:val="00F34A9D"/>
    <w:rsid w:val="00F34B7B"/>
    <w:rsid w:val="00F34C88"/>
    <w:rsid w:val="00F34D58"/>
    <w:rsid w:val="00F34DE3"/>
    <w:rsid w:val="00F34E4D"/>
    <w:rsid w:val="00F34F5F"/>
    <w:rsid w:val="00F34F7A"/>
    <w:rsid w:val="00F3517E"/>
    <w:rsid w:val="00F353BF"/>
    <w:rsid w:val="00F35712"/>
    <w:rsid w:val="00F35772"/>
    <w:rsid w:val="00F35901"/>
    <w:rsid w:val="00F35AFF"/>
    <w:rsid w:val="00F35BE3"/>
    <w:rsid w:val="00F35C53"/>
    <w:rsid w:val="00F35DF6"/>
    <w:rsid w:val="00F35F4A"/>
    <w:rsid w:val="00F36002"/>
    <w:rsid w:val="00F3613F"/>
    <w:rsid w:val="00F36172"/>
    <w:rsid w:val="00F36269"/>
    <w:rsid w:val="00F36333"/>
    <w:rsid w:val="00F363E1"/>
    <w:rsid w:val="00F3640D"/>
    <w:rsid w:val="00F3663C"/>
    <w:rsid w:val="00F366BE"/>
    <w:rsid w:val="00F366CA"/>
    <w:rsid w:val="00F3673F"/>
    <w:rsid w:val="00F36922"/>
    <w:rsid w:val="00F36C00"/>
    <w:rsid w:val="00F36F49"/>
    <w:rsid w:val="00F3731F"/>
    <w:rsid w:val="00F37873"/>
    <w:rsid w:val="00F37A14"/>
    <w:rsid w:val="00F37A1C"/>
    <w:rsid w:val="00F37BB0"/>
    <w:rsid w:val="00F37D4D"/>
    <w:rsid w:val="00F37EBA"/>
    <w:rsid w:val="00F400A8"/>
    <w:rsid w:val="00F4075C"/>
    <w:rsid w:val="00F4082F"/>
    <w:rsid w:val="00F40973"/>
    <w:rsid w:val="00F409F1"/>
    <w:rsid w:val="00F40B3F"/>
    <w:rsid w:val="00F40C71"/>
    <w:rsid w:val="00F40E5B"/>
    <w:rsid w:val="00F40EFB"/>
    <w:rsid w:val="00F41235"/>
    <w:rsid w:val="00F4145A"/>
    <w:rsid w:val="00F418C5"/>
    <w:rsid w:val="00F41B20"/>
    <w:rsid w:val="00F41BDC"/>
    <w:rsid w:val="00F41C71"/>
    <w:rsid w:val="00F41C7E"/>
    <w:rsid w:val="00F41F89"/>
    <w:rsid w:val="00F423A2"/>
    <w:rsid w:val="00F424F3"/>
    <w:rsid w:val="00F425F0"/>
    <w:rsid w:val="00F42639"/>
    <w:rsid w:val="00F427FD"/>
    <w:rsid w:val="00F42A54"/>
    <w:rsid w:val="00F42F91"/>
    <w:rsid w:val="00F43148"/>
    <w:rsid w:val="00F431B6"/>
    <w:rsid w:val="00F43378"/>
    <w:rsid w:val="00F4381A"/>
    <w:rsid w:val="00F43BD5"/>
    <w:rsid w:val="00F43C60"/>
    <w:rsid w:val="00F43C66"/>
    <w:rsid w:val="00F43CCC"/>
    <w:rsid w:val="00F43E79"/>
    <w:rsid w:val="00F4492F"/>
    <w:rsid w:val="00F44970"/>
    <w:rsid w:val="00F44C37"/>
    <w:rsid w:val="00F44DEB"/>
    <w:rsid w:val="00F44F71"/>
    <w:rsid w:val="00F44FC2"/>
    <w:rsid w:val="00F450E3"/>
    <w:rsid w:val="00F450E9"/>
    <w:rsid w:val="00F452ED"/>
    <w:rsid w:val="00F4530A"/>
    <w:rsid w:val="00F4535A"/>
    <w:rsid w:val="00F45540"/>
    <w:rsid w:val="00F45606"/>
    <w:rsid w:val="00F4567C"/>
    <w:rsid w:val="00F4590C"/>
    <w:rsid w:val="00F45B16"/>
    <w:rsid w:val="00F460D2"/>
    <w:rsid w:val="00F4621B"/>
    <w:rsid w:val="00F46244"/>
    <w:rsid w:val="00F4650D"/>
    <w:rsid w:val="00F46612"/>
    <w:rsid w:val="00F467AB"/>
    <w:rsid w:val="00F46CE8"/>
    <w:rsid w:val="00F46FA4"/>
    <w:rsid w:val="00F47085"/>
    <w:rsid w:val="00F470F5"/>
    <w:rsid w:val="00F47333"/>
    <w:rsid w:val="00F47379"/>
    <w:rsid w:val="00F4792B"/>
    <w:rsid w:val="00F479B1"/>
    <w:rsid w:val="00F479D2"/>
    <w:rsid w:val="00F47B7B"/>
    <w:rsid w:val="00F501FF"/>
    <w:rsid w:val="00F50203"/>
    <w:rsid w:val="00F503FA"/>
    <w:rsid w:val="00F506C2"/>
    <w:rsid w:val="00F50782"/>
    <w:rsid w:val="00F50CB0"/>
    <w:rsid w:val="00F50DA0"/>
    <w:rsid w:val="00F50EFC"/>
    <w:rsid w:val="00F51596"/>
    <w:rsid w:val="00F51A6C"/>
    <w:rsid w:val="00F51B96"/>
    <w:rsid w:val="00F51C2F"/>
    <w:rsid w:val="00F51CE6"/>
    <w:rsid w:val="00F51F07"/>
    <w:rsid w:val="00F52059"/>
    <w:rsid w:val="00F520EC"/>
    <w:rsid w:val="00F52254"/>
    <w:rsid w:val="00F52AE0"/>
    <w:rsid w:val="00F52D7B"/>
    <w:rsid w:val="00F52DD9"/>
    <w:rsid w:val="00F52EB5"/>
    <w:rsid w:val="00F5320F"/>
    <w:rsid w:val="00F53324"/>
    <w:rsid w:val="00F53356"/>
    <w:rsid w:val="00F53A3F"/>
    <w:rsid w:val="00F53AC5"/>
    <w:rsid w:val="00F53BFB"/>
    <w:rsid w:val="00F53C3C"/>
    <w:rsid w:val="00F53F87"/>
    <w:rsid w:val="00F53FA6"/>
    <w:rsid w:val="00F54045"/>
    <w:rsid w:val="00F5404E"/>
    <w:rsid w:val="00F5406E"/>
    <w:rsid w:val="00F54354"/>
    <w:rsid w:val="00F54823"/>
    <w:rsid w:val="00F54891"/>
    <w:rsid w:val="00F548C4"/>
    <w:rsid w:val="00F548DB"/>
    <w:rsid w:val="00F54A78"/>
    <w:rsid w:val="00F54FEB"/>
    <w:rsid w:val="00F551E1"/>
    <w:rsid w:val="00F55340"/>
    <w:rsid w:val="00F55479"/>
    <w:rsid w:val="00F557BF"/>
    <w:rsid w:val="00F5582C"/>
    <w:rsid w:val="00F55980"/>
    <w:rsid w:val="00F559DE"/>
    <w:rsid w:val="00F559F2"/>
    <w:rsid w:val="00F55AB8"/>
    <w:rsid w:val="00F55B66"/>
    <w:rsid w:val="00F55E30"/>
    <w:rsid w:val="00F5602E"/>
    <w:rsid w:val="00F56147"/>
    <w:rsid w:val="00F561CC"/>
    <w:rsid w:val="00F561F1"/>
    <w:rsid w:val="00F56223"/>
    <w:rsid w:val="00F5658F"/>
    <w:rsid w:val="00F56591"/>
    <w:rsid w:val="00F568FC"/>
    <w:rsid w:val="00F56A1F"/>
    <w:rsid w:val="00F56DF4"/>
    <w:rsid w:val="00F56E98"/>
    <w:rsid w:val="00F56F0E"/>
    <w:rsid w:val="00F56F81"/>
    <w:rsid w:val="00F56FA2"/>
    <w:rsid w:val="00F57376"/>
    <w:rsid w:val="00F573F1"/>
    <w:rsid w:val="00F57B13"/>
    <w:rsid w:val="00F57CCF"/>
    <w:rsid w:val="00F57CFC"/>
    <w:rsid w:val="00F57FE0"/>
    <w:rsid w:val="00F6015A"/>
    <w:rsid w:val="00F605A4"/>
    <w:rsid w:val="00F6074C"/>
    <w:rsid w:val="00F609E6"/>
    <w:rsid w:val="00F60C13"/>
    <w:rsid w:val="00F60C78"/>
    <w:rsid w:val="00F61029"/>
    <w:rsid w:val="00F611D6"/>
    <w:rsid w:val="00F61461"/>
    <w:rsid w:val="00F6150B"/>
    <w:rsid w:val="00F61626"/>
    <w:rsid w:val="00F6188C"/>
    <w:rsid w:val="00F6221D"/>
    <w:rsid w:val="00F62244"/>
    <w:rsid w:val="00F62277"/>
    <w:rsid w:val="00F624BA"/>
    <w:rsid w:val="00F624C3"/>
    <w:rsid w:val="00F62661"/>
    <w:rsid w:val="00F6296B"/>
    <w:rsid w:val="00F6297B"/>
    <w:rsid w:val="00F62BAB"/>
    <w:rsid w:val="00F62CC3"/>
    <w:rsid w:val="00F630DF"/>
    <w:rsid w:val="00F6367A"/>
    <w:rsid w:val="00F640CC"/>
    <w:rsid w:val="00F64158"/>
    <w:rsid w:val="00F641C6"/>
    <w:rsid w:val="00F641E0"/>
    <w:rsid w:val="00F6442E"/>
    <w:rsid w:val="00F644FB"/>
    <w:rsid w:val="00F64504"/>
    <w:rsid w:val="00F6453C"/>
    <w:rsid w:val="00F645D0"/>
    <w:rsid w:val="00F646CD"/>
    <w:rsid w:val="00F64CF2"/>
    <w:rsid w:val="00F64D0A"/>
    <w:rsid w:val="00F64E31"/>
    <w:rsid w:val="00F64F63"/>
    <w:rsid w:val="00F64FD2"/>
    <w:rsid w:val="00F65296"/>
    <w:rsid w:val="00F65361"/>
    <w:rsid w:val="00F65365"/>
    <w:rsid w:val="00F65658"/>
    <w:rsid w:val="00F657B6"/>
    <w:rsid w:val="00F65A5D"/>
    <w:rsid w:val="00F65B41"/>
    <w:rsid w:val="00F65BB4"/>
    <w:rsid w:val="00F65DFF"/>
    <w:rsid w:val="00F66063"/>
    <w:rsid w:val="00F665AE"/>
    <w:rsid w:val="00F66659"/>
    <w:rsid w:val="00F66AB6"/>
    <w:rsid w:val="00F66B1B"/>
    <w:rsid w:val="00F670EA"/>
    <w:rsid w:val="00F67415"/>
    <w:rsid w:val="00F67D64"/>
    <w:rsid w:val="00F7004E"/>
    <w:rsid w:val="00F70165"/>
    <w:rsid w:val="00F703BB"/>
    <w:rsid w:val="00F70844"/>
    <w:rsid w:val="00F70891"/>
    <w:rsid w:val="00F70EF1"/>
    <w:rsid w:val="00F71029"/>
    <w:rsid w:val="00F71160"/>
    <w:rsid w:val="00F711B7"/>
    <w:rsid w:val="00F712AB"/>
    <w:rsid w:val="00F7147E"/>
    <w:rsid w:val="00F71641"/>
    <w:rsid w:val="00F71938"/>
    <w:rsid w:val="00F7199A"/>
    <w:rsid w:val="00F71A95"/>
    <w:rsid w:val="00F71D1A"/>
    <w:rsid w:val="00F71FD6"/>
    <w:rsid w:val="00F722F6"/>
    <w:rsid w:val="00F724A5"/>
    <w:rsid w:val="00F72521"/>
    <w:rsid w:val="00F7258F"/>
    <w:rsid w:val="00F725E6"/>
    <w:rsid w:val="00F727FE"/>
    <w:rsid w:val="00F72DDA"/>
    <w:rsid w:val="00F72EAB"/>
    <w:rsid w:val="00F72F67"/>
    <w:rsid w:val="00F7322E"/>
    <w:rsid w:val="00F73422"/>
    <w:rsid w:val="00F735A1"/>
    <w:rsid w:val="00F73600"/>
    <w:rsid w:val="00F7363B"/>
    <w:rsid w:val="00F736B1"/>
    <w:rsid w:val="00F7385F"/>
    <w:rsid w:val="00F73865"/>
    <w:rsid w:val="00F7389F"/>
    <w:rsid w:val="00F739E7"/>
    <w:rsid w:val="00F73B3C"/>
    <w:rsid w:val="00F73D03"/>
    <w:rsid w:val="00F73D07"/>
    <w:rsid w:val="00F73E8A"/>
    <w:rsid w:val="00F74093"/>
    <w:rsid w:val="00F74134"/>
    <w:rsid w:val="00F74253"/>
    <w:rsid w:val="00F74404"/>
    <w:rsid w:val="00F74424"/>
    <w:rsid w:val="00F7447C"/>
    <w:rsid w:val="00F744CF"/>
    <w:rsid w:val="00F745EA"/>
    <w:rsid w:val="00F749F3"/>
    <w:rsid w:val="00F74A54"/>
    <w:rsid w:val="00F74AEA"/>
    <w:rsid w:val="00F74B27"/>
    <w:rsid w:val="00F74C87"/>
    <w:rsid w:val="00F74E26"/>
    <w:rsid w:val="00F74FFA"/>
    <w:rsid w:val="00F7500F"/>
    <w:rsid w:val="00F753E1"/>
    <w:rsid w:val="00F75601"/>
    <w:rsid w:val="00F7570E"/>
    <w:rsid w:val="00F75B03"/>
    <w:rsid w:val="00F75D87"/>
    <w:rsid w:val="00F75FEE"/>
    <w:rsid w:val="00F768AA"/>
    <w:rsid w:val="00F769F3"/>
    <w:rsid w:val="00F76A54"/>
    <w:rsid w:val="00F76A8D"/>
    <w:rsid w:val="00F76B30"/>
    <w:rsid w:val="00F770E0"/>
    <w:rsid w:val="00F77117"/>
    <w:rsid w:val="00F771CF"/>
    <w:rsid w:val="00F7721A"/>
    <w:rsid w:val="00F774D6"/>
    <w:rsid w:val="00F77512"/>
    <w:rsid w:val="00F775E4"/>
    <w:rsid w:val="00F777FD"/>
    <w:rsid w:val="00F77933"/>
    <w:rsid w:val="00F77B48"/>
    <w:rsid w:val="00F77B89"/>
    <w:rsid w:val="00F77BAF"/>
    <w:rsid w:val="00F77C50"/>
    <w:rsid w:val="00F8028C"/>
    <w:rsid w:val="00F805FF"/>
    <w:rsid w:val="00F8085A"/>
    <w:rsid w:val="00F80A2C"/>
    <w:rsid w:val="00F80AFC"/>
    <w:rsid w:val="00F80CDF"/>
    <w:rsid w:val="00F80EC5"/>
    <w:rsid w:val="00F81315"/>
    <w:rsid w:val="00F81589"/>
    <w:rsid w:val="00F81787"/>
    <w:rsid w:val="00F817D7"/>
    <w:rsid w:val="00F819D9"/>
    <w:rsid w:val="00F81D70"/>
    <w:rsid w:val="00F81FBB"/>
    <w:rsid w:val="00F828DD"/>
    <w:rsid w:val="00F82BB2"/>
    <w:rsid w:val="00F82CBE"/>
    <w:rsid w:val="00F82D87"/>
    <w:rsid w:val="00F82D9B"/>
    <w:rsid w:val="00F82E19"/>
    <w:rsid w:val="00F830C0"/>
    <w:rsid w:val="00F830C4"/>
    <w:rsid w:val="00F830EA"/>
    <w:rsid w:val="00F83471"/>
    <w:rsid w:val="00F83592"/>
    <w:rsid w:val="00F8375B"/>
    <w:rsid w:val="00F83861"/>
    <w:rsid w:val="00F838C7"/>
    <w:rsid w:val="00F83901"/>
    <w:rsid w:val="00F8390C"/>
    <w:rsid w:val="00F839BE"/>
    <w:rsid w:val="00F839D6"/>
    <w:rsid w:val="00F83A87"/>
    <w:rsid w:val="00F83F8B"/>
    <w:rsid w:val="00F84095"/>
    <w:rsid w:val="00F841DE"/>
    <w:rsid w:val="00F84203"/>
    <w:rsid w:val="00F84278"/>
    <w:rsid w:val="00F843EA"/>
    <w:rsid w:val="00F843F9"/>
    <w:rsid w:val="00F8456D"/>
    <w:rsid w:val="00F845BD"/>
    <w:rsid w:val="00F846D6"/>
    <w:rsid w:val="00F84970"/>
    <w:rsid w:val="00F84A32"/>
    <w:rsid w:val="00F84A76"/>
    <w:rsid w:val="00F84FA7"/>
    <w:rsid w:val="00F85279"/>
    <w:rsid w:val="00F85626"/>
    <w:rsid w:val="00F85732"/>
    <w:rsid w:val="00F85849"/>
    <w:rsid w:val="00F85A0E"/>
    <w:rsid w:val="00F85C54"/>
    <w:rsid w:val="00F85D78"/>
    <w:rsid w:val="00F85E72"/>
    <w:rsid w:val="00F86008"/>
    <w:rsid w:val="00F860E4"/>
    <w:rsid w:val="00F8639A"/>
    <w:rsid w:val="00F863A4"/>
    <w:rsid w:val="00F863E5"/>
    <w:rsid w:val="00F8667F"/>
    <w:rsid w:val="00F86915"/>
    <w:rsid w:val="00F86B2F"/>
    <w:rsid w:val="00F86C9C"/>
    <w:rsid w:val="00F86F38"/>
    <w:rsid w:val="00F86F43"/>
    <w:rsid w:val="00F86FDF"/>
    <w:rsid w:val="00F870FB"/>
    <w:rsid w:val="00F871B8"/>
    <w:rsid w:val="00F87267"/>
    <w:rsid w:val="00F87529"/>
    <w:rsid w:val="00F875D7"/>
    <w:rsid w:val="00F87767"/>
    <w:rsid w:val="00F87CB3"/>
    <w:rsid w:val="00F87E4C"/>
    <w:rsid w:val="00F90199"/>
    <w:rsid w:val="00F9034A"/>
    <w:rsid w:val="00F903A4"/>
    <w:rsid w:val="00F90493"/>
    <w:rsid w:val="00F9053A"/>
    <w:rsid w:val="00F9063A"/>
    <w:rsid w:val="00F911E5"/>
    <w:rsid w:val="00F91358"/>
    <w:rsid w:val="00F91382"/>
    <w:rsid w:val="00F91579"/>
    <w:rsid w:val="00F9195E"/>
    <w:rsid w:val="00F91A49"/>
    <w:rsid w:val="00F91C4D"/>
    <w:rsid w:val="00F91CCA"/>
    <w:rsid w:val="00F91DF0"/>
    <w:rsid w:val="00F91E1D"/>
    <w:rsid w:val="00F9233F"/>
    <w:rsid w:val="00F92360"/>
    <w:rsid w:val="00F925B5"/>
    <w:rsid w:val="00F92682"/>
    <w:rsid w:val="00F9278D"/>
    <w:rsid w:val="00F92AA2"/>
    <w:rsid w:val="00F92BDA"/>
    <w:rsid w:val="00F92CEC"/>
    <w:rsid w:val="00F92D92"/>
    <w:rsid w:val="00F9318A"/>
    <w:rsid w:val="00F93388"/>
    <w:rsid w:val="00F93732"/>
    <w:rsid w:val="00F93AE1"/>
    <w:rsid w:val="00F93D16"/>
    <w:rsid w:val="00F93D1B"/>
    <w:rsid w:val="00F93FD8"/>
    <w:rsid w:val="00F940AF"/>
    <w:rsid w:val="00F9419F"/>
    <w:rsid w:val="00F943AC"/>
    <w:rsid w:val="00F946EB"/>
    <w:rsid w:val="00F9471D"/>
    <w:rsid w:val="00F94899"/>
    <w:rsid w:val="00F94B0D"/>
    <w:rsid w:val="00F94BD7"/>
    <w:rsid w:val="00F94C5D"/>
    <w:rsid w:val="00F95063"/>
    <w:rsid w:val="00F950AE"/>
    <w:rsid w:val="00F95360"/>
    <w:rsid w:val="00F9571D"/>
    <w:rsid w:val="00F958AF"/>
    <w:rsid w:val="00F95924"/>
    <w:rsid w:val="00F959A5"/>
    <w:rsid w:val="00F95A32"/>
    <w:rsid w:val="00F95C11"/>
    <w:rsid w:val="00F95EC7"/>
    <w:rsid w:val="00F95F19"/>
    <w:rsid w:val="00F96098"/>
    <w:rsid w:val="00F964C1"/>
    <w:rsid w:val="00F965B8"/>
    <w:rsid w:val="00F967C2"/>
    <w:rsid w:val="00F9691D"/>
    <w:rsid w:val="00F96993"/>
    <w:rsid w:val="00F969AC"/>
    <w:rsid w:val="00F96D5E"/>
    <w:rsid w:val="00F96D77"/>
    <w:rsid w:val="00F96D96"/>
    <w:rsid w:val="00F96F10"/>
    <w:rsid w:val="00F96FAF"/>
    <w:rsid w:val="00F971E2"/>
    <w:rsid w:val="00F97272"/>
    <w:rsid w:val="00F9731F"/>
    <w:rsid w:val="00F9742B"/>
    <w:rsid w:val="00F97621"/>
    <w:rsid w:val="00F9785D"/>
    <w:rsid w:val="00F97A4B"/>
    <w:rsid w:val="00F97A71"/>
    <w:rsid w:val="00F97AFB"/>
    <w:rsid w:val="00F97D2B"/>
    <w:rsid w:val="00F97FC7"/>
    <w:rsid w:val="00FA0054"/>
    <w:rsid w:val="00FA06A3"/>
    <w:rsid w:val="00FA0C70"/>
    <w:rsid w:val="00FA1264"/>
    <w:rsid w:val="00FA13E9"/>
    <w:rsid w:val="00FA13EA"/>
    <w:rsid w:val="00FA14BE"/>
    <w:rsid w:val="00FA1712"/>
    <w:rsid w:val="00FA17C9"/>
    <w:rsid w:val="00FA1C85"/>
    <w:rsid w:val="00FA21C3"/>
    <w:rsid w:val="00FA2242"/>
    <w:rsid w:val="00FA288B"/>
    <w:rsid w:val="00FA29CC"/>
    <w:rsid w:val="00FA2B91"/>
    <w:rsid w:val="00FA2BDF"/>
    <w:rsid w:val="00FA2C34"/>
    <w:rsid w:val="00FA2EE6"/>
    <w:rsid w:val="00FA2F2C"/>
    <w:rsid w:val="00FA2FE5"/>
    <w:rsid w:val="00FA3108"/>
    <w:rsid w:val="00FA3298"/>
    <w:rsid w:val="00FA36A9"/>
    <w:rsid w:val="00FA3836"/>
    <w:rsid w:val="00FA3990"/>
    <w:rsid w:val="00FA39D6"/>
    <w:rsid w:val="00FA3A51"/>
    <w:rsid w:val="00FA3A58"/>
    <w:rsid w:val="00FA3C40"/>
    <w:rsid w:val="00FA3DED"/>
    <w:rsid w:val="00FA3E30"/>
    <w:rsid w:val="00FA42AE"/>
    <w:rsid w:val="00FA46AD"/>
    <w:rsid w:val="00FA4780"/>
    <w:rsid w:val="00FA47FC"/>
    <w:rsid w:val="00FA4896"/>
    <w:rsid w:val="00FA4C40"/>
    <w:rsid w:val="00FA4DF9"/>
    <w:rsid w:val="00FA4F21"/>
    <w:rsid w:val="00FA5689"/>
    <w:rsid w:val="00FA57EE"/>
    <w:rsid w:val="00FA5926"/>
    <w:rsid w:val="00FA5A9C"/>
    <w:rsid w:val="00FA5B65"/>
    <w:rsid w:val="00FA5CE7"/>
    <w:rsid w:val="00FA5D0F"/>
    <w:rsid w:val="00FA5D94"/>
    <w:rsid w:val="00FA5DB0"/>
    <w:rsid w:val="00FA5F72"/>
    <w:rsid w:val="00FA5F90"/>
    <w:rsid w:val="00FA6207"/>
    <w:rsid w:val="00FA624E"/>
    <w:rsid w:val="00FA62D2"/>
    <w:rsid w:val="00FA6337"/>
    <w:rsid w:val="00FA6663"/>
    <w:rsid w:val="00FA67DB"/>
    <w:rsid w:val="00FA6907"/>
    <w:rsid w:val="00FA70C1"/>
    <w:rsid w:val="00FA718A"/>
    <w:rsid w:val="00FA71F6"/>
    <w:rsid w:val="00FA74D8"/>
    <w:rsid w:val="00FA751C"/>
    <w:rsid w:val="00FA765A"/>
    <w:rsid w:val="00FA7671"/>
    <w:rsid w:val="00FA76AD"/>
    <w:rsid w:val="00FA7C18"/>
    <w:rsid w:val="00FA7D1D"/>
    <w:rsid w:val="00FA7DA1"/>
    <w:rsid w:val="00FB00BB"/>
    <w:rsid w:val="00FB01FE"/>
    <w:rsid w:val="00FB0380"/>
    <w:rsid w:val="00FB0734"/>
    <w:rsid w:val="00FB0979"/>
    <w:rsid w:val="00FB09DC"/>
    <w:rsid w:val="00FB0A78"/>
    <w:rsid w:val="00FB0B8E"/>
    <w:rsid w:val="00FB0D7E"/>
    <w:rsid w:val="00FB0DFC"/>
    <w:rsid w:val="00FB0E41"/>
    <w:rsid w:val="00FB0E6B"/>
    <w:rsid w:val="00FB0E97"/>
    <w:rsid w:val="00FB15B7"/>
    <w:rsid w:val="00FB183C"/>
    <w:rsid w:val="00FB18D7"/>
    <w:rsid w:val="00FB19A4"/>
    <w:rsid w:val="00FB1A91"/>
    <w:rsid w:val="00FB1ECE"/>
    <w:rsid w:val="00FB1F2A"/>
    <w:rsid w:val="00FB2462"/>
    <w:rsid w:val="00FB25BC"/>
    <w:rsid w:val="00FB25C3"/>
    <w:rsid w:val="00FB2A2C"/>
    <w:rsid w:val="00FB2C09"/>
    <w:rsid w:val="00FB2E08"/>
    <w:rsid w:val="00FB2EEA"/>
    <w:rsid w:val="00FB2EEF"/>
    <w:rsid w:val="00FB30DD"/>
    <w:rsid w:val="00FB3185"/>
    <w:rsid w:val="00FB31C6"/>
    <w:rsid w:val="00FB328A"/>
    <w:rsid w:val="00FB3388"/>
    <w:rsid w:val="00FB34FD"/>
    <w:rsid w:val="00FB3631"/>
    <w:rsid w:val="00FB363E"/>
    <w:rsid w:val="00FB368D"/>
    <w:rsid w:val="00FB3860"/>
    <w:rsid w:val="00FB39F3"/>
    <w:rsid w:val="00FB3A61"/>
    <w:rsid w:val="00FB3C6F"/>
    <w:rsid w:val="00FB3DC8"/>
    <w:rsid w:val="00FB3F54"/>
    <w:rsid w:val="00FB4055"/>
    <w:rsid w:val="00FB4167"/>
    <w:rsid w:val="00FB4261"/>
    <w:rsid w:val="00FB4409"/>
    <w:rsid w:val="00FB46C3"/>
    <w:rsid w:val="00FB48B2"/>
    <w:rsid w:val="00FB4DB3"/>
    <w:rsid w:val="00FB4E1D"/>
    <w:rsid w:val="00FB4F92"/>
    <w:rsid w:val="00FB50EE"/>
    <w:rsid w:val="00FB538D"/>
    <w:rsid w:val="00FB54D8"/>
    <w:rsid w:val="00FB5696"/>
    <w:rsid w:val="00FB56ED"/>
    <w:rsid w:val="00FB599C"/>
    <w:rsid w:val="00FB59DB"/>
    <w:rsid w:val="00FB5A78"/>
    <w:rsid w:val="00FB5B12"/>
    <w:rsid w:val="00FB5B5F"/>
    <w:rsid w:val="00FB5FA9"/>
    <w:rsid w:val="00FB6420"/>
    <w:rsid w:val="00FB64D6"/>
    <w:rsid w:val="00FB6808"/>
    <w:rsid w:val="00FB6ACA"/>
    <w:rsid w:val="00FB7048"/>
    <w:rsid w:val="00FB7064"/>
    <w:rsid w:val="00FB70C8"/>
    <w:rsid w:val="00FB7104"/>
    <w:rsid w:val="00FB71BC"/>
    <w:rsid w:val="00FB72D4"/>
    <w:rsid w:val="00FB74A2"/>
    <w:rsid w:val="00FB7697"/>
    <w:rsid w:val="00FB799F"/>
    <w:rsid w:val="00FB79E7"/>
    <w:rsid w:val="00FB7B6C"/>
    <w:rsid w:val="00FB7BB9"/>
    <w:rsid w:val="00FB7BE5"/>
    <w:rsid w:val="00FB7C71"/>
    <w:rsid w:val="00FB7D70"/>
    <w:rsid w:val="00FC028E"/>
    <w:rsid w:val="00FC039A"/>
    <w:rsid w:val="00FC0484"/>
    <w:rsid w:val="00FC05CB"/>
    <w:rsid w:val="00FC0600"/>
    <w:rsid w:val="00FC073D"/>
    <w:rsid w:val="00FC09C2"/>
    <w:rsid w:val="00FC09EE"/>
    <w:rsid w:val="00FC0A1B"/>
    <w:rsid w:val="00FC0D2D"/>
    <w:rsid w:val="00FC0D64"/>
    <w:rsid w:val="00FC0FAC"/>
    <w:rsid w:val="00FC11F5"/>
    <w:rsid w:val="00FC1776"/>
    <w:rsid w:val="00FC1EEA"/>
    <w:rsid w:val="00FC1F39"/>
    <w:rsid w:val="00FC205C"/>
    <w:rsid w:val="00FC22D4"/>
    <w:rsid w:val="00FC241C"/>
    <w:rsid w:val="00FC2449"/>
    <w:rsid w:val="00FC247F"/>
    <w:rsid w:val="00FC2505"/>
    <w:rsid w:val="00FC256E"/>
    <w:rsid w:val="00FC265C"/>
    <w:rsid w:val="00FC2884"/>
    <w:rsid w:val="00FC29C5"/>
    <w:rsid w:val="00FC2DA8"/>
    <w:rsid w:val="00FC2E3B"/>
    <w:rsid w:val="00FC3616"/>
    <w:rsid w:val="00FC3B86"/>
    <w:rsid w:val="00FC3BD4"/>
    <w:rsid w:val="00FC3C85"/>
    <w:rsid w:val="00FC3DD9"/>
    <w:rsid w:val="00FC3F73"/>
    <w:rsid w:val="00FC4682"/>
    <w:rsid w:val="00FC4903"/>
    <w:rsid w:val="00FC4991"/>
    <w:rsid w:val="00FC4A05"/>
    <w:rsid w:val="00FC4A70"/>
    <w:rsid w:val="00FC4AEA"/>
    <w:rsid w:val="00FC4B6E"/>
    <w:rsid w:val="00FC4FEE"/>
    <w:rsid w:val="00FC50B9"/>
    <w:rsid w:val="00FC52EC"/>
    <w:rsid w:val="00FC5344"/>
    <w:rsid w:val="00FC5360"/>
    <w:rsid w:val="00FC5A70"/>
    <w:rsid w:val="00FC5AA4"/>
    <w:rsid w:val="00FC5BF6"/>
    <w:rsid w:val="00FC5CF7"/>
    <w:rsid w:val="00FC5D78"/>
    <w:rsid w:val="00FC5DD1"/>
    <w:rsid w:val="00FC5E74"/>
    <w:rsid w:val="00FC60D6"/>
    <w:rsid w:val="00FC62CB"/>
    <w:rsid w:val="00FC6322"/>
    <w:rsid w:val="00FC6368"/>
    <w:rsid w:val="00FC63F1"/>
    <w:rsid w:val="00FC64D5"/>
    <w:rsid w:val="00FC67C8"/>
    <w:rsid w:val="00FC67F3"/>
    <w:rsid w:val="00FC69F7"/>
    <w:rsid w:val="00FC6C04"/>
    <w:rsid w:val="00FC6C7E"/>
    <w:rsid w:val="00FC6D47"/>
    <w:rsid w:val="00FC6EF2"/>
    <w:rsid w:val="00FC71F7"/>
    <w:rsid w:val="00FC73E3"/>
    <w:rsid w:val="00FC7637"/>
    <w:rsid w:val="00FC7B30"/>
    <w:rsid w:val="00FC7D0E"/>
    <w:rsid w:val="00FD0543"/>
    <w:rsid w:val="00FD096B"/>
    <w:rsid w:val="00FD0B45"/>
    <w:rsid w:val="00FD0F30"/>
    <w:rsid w:val="00FD13CB"/>
    <w:rsid w:val="00FD140B"/>
    <w:rsid w:val="00FD1466"/>
    <w:rsid w:val="00FD1618"/>
    <w:rsid w:val="00FD172E"/>
    <w:rsid w:val="00FD1734"/>
    <w:rsid w:val="00FD17F7"/>
    <w:rsid w:val="00FD193F"/>
    <w:rsid w:val="00FD1B5F"/>
    <w:rsid w:val="00FD1C5A"/>
    <w:rsid w:val="00FD1CB4"/>
    <w:rsid w:val="00FD1EC0"/>
    <w:rsid w:val="00FD20E8"/>
    <w:rsid w:val="00FD229E"/>
    <w:rsid w:val="00FD236A"/>
    <w:rsid w:val="00FD23BF"/>
    <w:rsid w:val="00FD24A8"/>
    <w:rsid w:val="00FD24E8"/>
    <w:rsid w:val="00FD318D"/>
    <w:rsid w:val="00FD3295"/>
    <w:rsid w:val="00FD3349"/>
    <w:rsid w:val="00FD33B0"/>
    <w:rsid w:val="00FD361F"/>
    <w:rsid w:val="00FD380E"/>
    <w:rsid w:val="00FD3882"/>
    <w:rsid w:val="00FD391D"/>
    <w:rsid w:val="00FD397F"/>
    <w:rsid w:val="00FD3D13"/>
    <w:rsid w:val="00FD3E4C"/>
    <w:rsid w:val="00FD3F8E"/>
    <w:rsid w:val="00FD4106"/>
    <w:rsid w:val="00FD4136"/>
    <w:rsid w:val="00FD45A7"/>
    <w:rsid w:val="00FD45DE"/>
    <w:rsid w:val="00FD47F8"/>
    <w:rsid w:val="00FD4E0C"/>
    <w:rsid w:val="00FD51FE"/>
    <w:rsid w:val="00FD530A"/>
    <w:rsid w:val="00FD5739"/>
    <w:rsid w:val="00FD585D"/>
    <w:rsid w:val="00FD58A3"/>
    <w:rsid w:val="00FD5A02"/>
    <w:rsid w:val="00FD5E64"/>
    <w:rsid w:val="00FD5F45"/>
    <w:rsid w:val="00FD6261"/>
    <w:rsid w:val="00FD66B2"/>
    <w:rsid w:val="00FD6744"/>
    <w:rsid w:val="00FD6761"/>
    <w:rsid w:val="00FD6833"/>
    <w:rsid w:val="00FD6A2C"/>
    <w:rsid w:val="00FD6ADF"/>
    <w:rsid w:val="00FD6CC6"/>
    <w:rsid w:val="00FD6E55"/>
    <w:rsid w:val="00FD7053"/>
    <w:rsid w:val="00FD750B"/>
    <w:rsid w:val="00FD7841"/>
    <w:rsid w:val="00FD7874"/>
    <w:rsid w:val="00FD7A6E"/>
    <w:rsid w:val="00FD7BD6"/>
    <w:rsid w:val="00FD7C64"/>
    <w:rsid w:val="00FD7C90"/>
    <w:rsid w:val="00FD7EA3"/>
    <w:rsid w:val="00FE00B4"/>
    <w:rsid w:val="00FE021C"/>
    <w:rsid w:val="00FE0292"/>
    <w:rsid w:val="00FE04E7"/>
    <w:rsid w:val="00FE0748"/>
    <w:rsid w:val="00FE0858"/>
    <w:rsid w:val="00FE08C6"/>
    <w:rsid w:val="00FE0A1D"/>
    <w:rsid w:val="00FE0A71"/>
    <w:rsid w:val="00FE0CF6"/>
    <w:rsid w:val="00FE0FC4"/>
    <w:rsid w:val="00FE11E9"/>
    <w:rsid w:val="00FE12B9"/>
    <w:rsid w:val="00FE1407"/>
    <w:rsid w:val="00FE14CB"/>
    <w:rsid w:val="00FE1575"/>
    <w:rsid w:val="00FE157C"/>
    <w:rsid w:val="00FE16D4"/>
    <w:rsid w:val="00FE17F6"/>
    <w:rsid w:val="00FE1AA2"/>
    <w:rsid w:val="00FE1ADE"/>
    <w:rsid w:val="00FE21CC"/>
    <w:rsid w:val="00FE26FB"/>
    <w:rsid w:val="00FE2715"/>
    <w:rsid w:val="00FE2A81"/>
    <w:rsid w:val="00FE2B24"/>
    <w:rsid w:val="00FE2CCD"/>
    <w:rsid w:val="00FE2DEA"/>
    <w:rsid w:val="00FE2F60"/>
    <w:rsid w:val="00FE308F"/>
    <w:rsid w:val="00FE32D5"/>
    <w:rsid w:val="00FE334A"/>
    <w:rsid w:val="00FE34E1"/>
    <w:rsid w:val="00FE3648"/>
    <w:rsid w:val="00FE36FF"/>
    <w:rsid w:val="00FE37AC"/>
    <w:rsid w:val="00FE399D"/>
    <w:rsid w:val="00FE3B89"/>
    <w:rsid w:val="00FE3D83"/>
    <w:rsid w:val="00FE3DA4"/>
    <w:rsid w:val="00FE3E6E"/>
    <w:rsid w:val="00FE3EB9"/>
    <w:rsid w:val="00FE4210"/>
    <w:rsid w:val="00FE429F"/>
    <w:rsid w:val="00FE4455"/>
    <w:rsid w:val="00FE4597"/>
    <w:rsid w:val="00FE4675"/>
    <w:rsid w:val="00FE4910"/>
    <w:rsid w:val="00FE507D"/>
    <w:rsid w:val="00FE5487"/>
    <w:rsid w:val="00FE55F6"/>
    <w:rsid w:val="00FE5857"/>
    <w:rsid w:val="00FE58ED"/>
    <w:rsid w:val="00FE5900"/>
    <w:rsid w:val="00FE59B4"/>
    <w:rsid w:val="00FE5E65"/>
    <w:rsid w:val="00FE5E72"/>
    <w:rsid w:val="00FE5EC6"/>
    <w:rsid w:val="00FE5F32"/>
    <w:rsid w:val="00FE60E4"/>
    <w:rsid w:val="00FE6AA0"/>
    <w:rsid w:val="00FE6AA6"/>
    <w:rsid w:val="00FE73EF"/>
    <w:rsid w:val="00FE7512"/>
    <w:rsid w:val="00FE779E"/>
    <w:rsid w:val="00FE79EF"/>
    <w:rsid w:val="00FE7C09"/>
    <w:rsid w:val="00FE7D31"/>
    <w:rsid w:val="00FE7DFF"/>
    <w:rsid w:val="00FE7E79"/>
    <w:rsid w:val="00FF0042"/>
    <w:rsid w:val="00FF04F0"/>
    <w:rsid w:val="00FF0721"/>
    <w:rsid w:val="00FF0B2B"/>
    <w:rsid w:val="00FF0F11"/>
    <w:rsid w:val="00FF0FB1"/>
    <w:rsid w:val="00FF103F"/>
    <w:rsid w:val="00FF13B5"/>
    <w:rsid w:val="00FF14AA"/>
    <w:rsid w:val="00FF15B2"/>
    <w:rsid w:val="00FF19D0"/>
    <w:rsid w:val="00FF1A1E"/>
    <w:rsid w:val="00FF1E8E"/>
    <w:rsid w:val="00FF22FE"/>
    <w:rsid w:val="00FF25B5"/>
    <w:rsid w:val="00FF2798"/>
    <w:rsid w:val="00FF287A"/>
    <w:rsid w:val="00FF28D4"/>
    <w:rsid w:val="00FF2986"/>
    <w:rsid w:val="00FF2B49"/>
    <w:rsid w:val="00FF2E18"/>
    <w:rsid w:val="00FF2E3E"/>
    <w:rsid w:val="00FF2FF4"/>
    <w:rsid w:val="00FF305B"/>
    <w:rsid w:val="00FF32B4"/>
    <w:rsid w:val="00FF33C8"/>
    <w:rsid w:val="00FF33DF"/>
    <w:rsid w:val="00FF3565"/>
    <w:rsid w:val="00FF3F1E"/>
    <w:rsid w:val="00FF4045"/>
    <w:rsid w:val="00FF413F"/>
    <w:rsid w:val="00FF42EA"/>
    <w:rsid w:val="00FF4322"/>
    <w:rsid w:val="00FF4FF8"/>
    <w:rsid w:val="00FF50AD"/>
    <w:rsid w:val="00FF5131"/>
    <w:rsid w:val="00FF538E"/>
    <w:rsid w:val="00FF54C3"/>
    <w:rsid w:val="00FF5581"/>
    <w:rsid w:val="00FF564E"/>
    <w:rsid w:val="00FF5692"/>
    <w:rsid w:val="00FF584D"/>
    <w:rsid w:val="00FF5CB9"/>
    <w:rsid w:val="00FF5CFB"/>
    <w:rsid w:val="00FF5D36"/>
    <w:rsid w:val="00FF5DCA"/>
    <w:rsid w:val="00FF5F5A"/>
    <w:rsid w:val="00FF6040"/>
    <w:rsid w:val="00FF605E"/>
    <w:rsid w:val="00FF60B6"/>
    <w:rsid w:val="00FF66C0"/>
    <w:rsid w:val="00FF6BA2"/>
    <w:rsid w:val="00FF6C30"/>
    <w:rsid w:val="00FF6E08"/>
    <w:rsid w:val="00FF6EFB"/>
    <w:rsid w:val="00FF6F64"/>
    <w:rsid w:val="00FF73EC"/>
    <w:rsid w:val="00FF77A9"/>
    <w:rsid w:val="00FF792B"/>
    <w:rsid w:val="00FF7CA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6AA4C9"/>
  <w15:docId w15:val="{6F0436BE-4CF6-4EA8-9A06-0C079990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04C5"/>
    <w:pPr>
      <w:spacing w:after="200"/>
      <w:jc w:val="both"/>
    </w:pPr>
    <w:rPr>
      <w:rFonts w:ascii="Tahoma" w:hAnsi="Tahoma"/>
      <w:szCs w:val="24"/>
    </w:rPr>
  </w:style>
  <w:style w:type="paragraph" w:styleId="Nadpis1">
    <w:name w:val="heading 1"/>
    <w:basedOn w:val="Normln"/>
    <w:next w:val="Normln"/>
    <w:link w:val="Nadpis1Char"/>
    <w:uiPriority w:val="9"/>
    <w:qFormat/>
    <w:rsid w:val="003E25B7"/>
    <w:pPr>
      <w:keepNext/>
      <w:tabs>
        <w:tab w:val="num" w:pos="624"/>
      </w:tabs>
      <w:ind w:left="624" w:hanging="624"/>
      <w:outlineLvl w:val="0"/>
    </w:pPr>
    <w:rPr>
      <w:b/>
      <w:bCs/>
      <w:sz w:val="32"/>
    </w:rPr>
  </w:style>
  <w:style w:type="paragraph" w:styleId="Nadpis2">
    <w:name w:val="heading 2"/>
    <w:basedOn w:val="Normln"/>
    <w:next w:val="Normln"/>
    <w:link w:val="Nadpis2Char"/>
    <w:uiPriority w:val="9"/>
    <w:qFormat/>
    <w:rsid w:val="00094480"/>
    <w:pPr>
      <w:keepNext/>
      <w:tabs>
        <w:tab w:val="num" w:pos="624"/>
      </w:tabs>
      <w:spacing w:before="360" w:after="240"/>
      <w:ind w:left="624" w:hanging="624"/>
      <w:outlineLvl w:val="1"/>
    </w:pPr>
    <w:rPr>
      <w:b/>
      <w:sz w:val="28"/>
      <w:u w:val="single"/>
    </w:rPr>
  </w:style>
  <w:style w:type="paragraph" w:styleId="Nadpis3">
    <w:name w:val="heading 3"/>
    <w:basedOn w:val="Normln"/>
    <w:next w:val="Normln"/>
    <w:link w:val="Nadpis3Char"/>
    <w:uiPriority w:val="9"/>
    <w:qFormat/>
    <w:rsid w:val="001459D6"/>
    <w:pPr>
      <w:keepNext/>
      <w:tabs>
        <w:tab w:val="num" w:pos="720"/>
      </w:tabs>
      <w:spacing w:before="400"/>
      <w:outlineLvl w:val="2"/>
    </w:pPr>
    <w:rPr>
      <w:b/>
      <w:sz w:val="22"/>
    </w:rPr>
  </w:style>
  <w:style w:type="paragraph" w:styleId="Nadpis4">
    <w:name w:val="heading 4"/>
    <w:basedOn w:val="Normln"/>
    <w:next w:val="Normln"/>
    <w:link w:val="Nadpis4Char"/>
    <w:uiPriority w:val="9"/>
    <w:qFormat/>
    <w:rsid w:val="00D034F8"/>
    <w:pPr>
      <w:keepNext/>
      <w:numPr>
        <w:numId w:val="1"/>
      </w:numPr>
      <w:tabs>
        <w:tab w:val="clear" w:pos="1080"/>
        <w:tab w:val="num" w:pos="720"/>
      </w:tabs>
      <w:ind w:hanging="1080"/>
      <w:outlineLvl w:val="3"/>
    </w:pPr>
    <w:rPr>
      <w:b/>
      <w:bCs/>
      <w:sz w:val="28"/>
    </w:rPr>
  </w:style>
  <w:style w:type="paragraph" w:styleId="Nadpis5">
    <w:name w:val="heading 5"/>
    <w:basedOn w:val="Normln"/>
    <w:next w:val="Normln"/>
    <w:link w:val="Nadpis5Char"/>
    <w:uiPriority w:val="9"/>
    <w:qFormat/>
    <w:rsid w:val="001459D6"/>
    <w:pPr>
      <w:keepNext/>
      <w:tabs>
        <w:tab w:val="num" w:pos="720"/>
      </w:tabs>
      <w:outlineLvl w:val="4"/>
    </w:pPr>
    <w:rPr>
      <w:i/>
      <w:u w:val="single"/>
    </w:rPr>
  </w:style>
  <w:style w:type="paragraph" w:styleId="Nadpis6">
    <w:name w:val="heading 6"/>
    <w:basedOn w:val="Normln"/>
    <w:next w:val="Normln"/>
    <w:link w:val="Nadpis6Char"/>
    <w:uiPriority w:val="9"/>
    <w:qFormat/>
    <w:rsid w:val="00D034F8"/>
    <w:pPr>
      <w:keepNext/>
      <w:outlineLvl w:val="5"/>
    </w:pPr>
    <w:rPr>
      <w:b/>
      <w:bCs/>
      <w:sz w:val="28"/>
    </w:rPr>
  </w:style>
  <w:style w:type="paragraph" w:styleId="Nadpis7">
    <w:name w:val="heading 7"/>
    <w:basedOn w:val="Normln"/>
    <w:next w:val="Normln"/>
    <w:link w:val="Nadpis7Char"/>
    <w:uiPriority w:val="9"/>
    <w:qFormat/>
    <w:rsid w:val="00D034F8"/>
    <w:pPr>
      <w:keepNext/>
      <w:jc w:val="center"/>
      <w:outlineLvl w:val="6"/>
    </w:pPr>
    <w:rPr>
      <w:sz w:val="28"/>
    </w:rPr>
  </w:style>
  <w:style w:type="paragraph" w:styleId="Nadpis8">
    <w:name w:val="heading 8"/>
    <w:basedOn w:val="Normln"/>
    <w:next w:val="Normln"/>
    <w:link w:val="Nadpis8Char"/>
    <w:uiPriority w:val="9"/>
    <w:qFormat/>
    <w:rsid w:val="00D034F8"/>
    <w:pPr>
      <w:keepNext/>
      <w:tabs>
        <w:tab w:val="num" w:pos="0"/>
      </w:tabs>
      <w:outlineLvl w:val="7"/>
    </w:pPr>
    <w:rPr>
      <w:sz w:val="28"/>
    </w:rPr>
  </w:style>
  <w:style w:type="paragraph" w:styleId="Nadpis9">
    <w:name w:val="heading 9"/>
    <w:basedOn w:val="Normln"/>
    <w:next w:val="Normln"/>
    <w:link w:val="Nadpis9Char"/>
    <w:uiPriority w:val="9"/>
    <w:qFormat/>
    <w:rsid w:val="00D034F8"/>
    <w:pPr>
      <w:keepNext/>
      <w:jc w:val="cente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3E25B7"/>
    <w:rPr>
      <w:rFonts w:ascii="Tahoma" w:hAnsi="Tahoma"/>
      <w:b/>
      <w:bCs/>
      <w:sz w:val="32"/>
      <w:szCs w:val="24"/>
    </w:rPr>
  </w:style>
  <w:style w:type="character" w:customStyle="1" w:styleId="Nadpis2Char">
    <w:name w:val="Nadpis 2 Char"/>
    <w:link w:val="Nadpis2"/>
    <w:uiPriority w:val="9"/>
    <w:rsid w:val="00094480"/>
    <w:rPr>
      <w:rFonts w:ascii="Tahoma" w:hAnsi="Tahoma"/>
      <w:b/>
      <w:sz w:val="28"/>
      <w:szCs w:val="24"/>
      <w:u w:val="single"/>
    </w:rPr>
  </w:style>
  <w:style w:type="character" w:customStyle="1" w:styleId="Nadpis3Char">
    <w:name w:val="Nadpis 3 Char"/>
    <w:link w:val="Nadpis3"/>
    <w:uiPriority w:val="9"/>
    <w:rsid w:val="001459D6"/>
    <w:rPr>
      <w:rFonts w:ascii="Tahoma" w:hAnsi="Tahoma"/>
      <w:b/>
      <w:sz w:val="22"/>
      <w:szCs w:val="24"/>
    </w:rPr>
  </w:style>
  <w:style w:type="character" w:customStyle="1" w:styleId="Nadpis4Char">
    <w:name w:val="Nadpis 4 Char"/>
    <w:link w:val="Nadpis4"/>
    <w:uiPriority w:val="9"/>
    <w:rsid w:val="00E96998"/>
    <w:rPr>
      <w:rFonts w:ascii="Tahoma" w:hAnsi="Tahoma"/>
      <w:b/>
      <w:bCs/>
      <w:sz w:val="28"/>
      <w:szCs w:val="24"/>
    </w:rPr>
  </w:style>
  <w:style w:type="character" w:customStyle="1" w:styleId="Nadpis5Char">
    <w:name w:val="Nadpis 5 Char"/>
    <w:link w:val="Nadpis5"/>
    <w:uiPriority w:val="9"/>
    <w:rsid w:val="001459D6"/>
    <w:rPr>
      <w:rFonts w:ascii="Tahoma" w:hAnsi="Tahoma"/>
      <w:i/>
      <w:szCs w:val="24"/>
      <w:u w:val="single"/>
    </w:rPr>
  </w:style>
  <w:style w:type="character" w:customStyle="1" w:styleId="Nadpis6Char">
    <w:name w:val="Nadpis 6 Char"/>
    <w:link w:val="Nadpis6"/>
    <w:uiPriority w:val="9"/>
    <w:semiHidden/>
    <w:rsid w:val="00E96998"/>
    <w:rPr>
      <w:rFonts w:ascii="Calibri" w:eastAsia="Times New Roman" w:hAnsi="Calibri" w:cs="Times New Roman"/>
      <w:b/>
      <w:bCs/>
      <w:sz w:val="22"/>
      <w:szCs w:val="22"/>
    </w:rPr>
  </w:style>
  <w:style w:type="character" w:customStyle="1" w:styleId="Nadpis7Char">
    <w:name w:val="Nadpis 7 Char"/>
    <w:link w:val="Nadpis7"/>
    <w:uiPriority w:val="9"/>
    <w:semiHidden/>
    <w:rsid w:val="00E96998"/>
    <w:rPr>
      <w:rFonts w:ascii="Calibri" w:eastAsia="Times New Roman" w:hAnsi="Calibri" w:cs="Times New Roman"/>
      <w:sz w:val="24"/>
      <w:szCs w:val="24"/>
    </w:rPr>
  </w:style>
  <w:style w:type="character" w:customStyle="1" w:styleId="Nadpis8Char">
    <w:name w:val="Nadpis 8 Char"/>
    <w:link w:val="Nadpis8"/>
    <w:uiPriority w:val="9"/>
    <w:semiHidden/>
    <w:rsid w:val="00E96998"/>
    <w:rPr>
      <w:rFonts w:ascii="Calibri" w:eastAsia="Times New Roman" w:hAnsi="Calibri" w:cs="Times New Roman"/>
      <w:i/>
      <w:iCs/>
      <w:sz w:val="24"/>
      <w:szCs w:val="24"/>
    </w:rPr>
  </w:style>
  <w:style w:type="character" w:customStyle="1" w:styleId="Nadpis9Char">
    <w:name w:val="Nadpis 9 Char"/>
    <w:link w:val="Nadpis9"/>
    <w:uiPriority w:val="9"/>
    <w:semiHidden/>
    <w:rsid w:val="00E96998"/>
    <w:rPr>
      <w:rFonts w:ascii="Cambria" w:eastAsia="Times New Roman" w:hAnsi="Cambria" w:cs="Times New Roman"/>
      <w:sz w:val="22"/>
      <w:szCs w:val="22"/>
    </w:rPr>
  </w:style>
  <w:style w:type="paragraph" w:styleId="Zkladntext">
    <w:name w:val="Body Text"/>
    <w:aliases w:val="Char,subtitle2,Základní tZákladní text,Mgr. Rudolf Krejčík,Mgr. Rudolf Krejeík,Standard paragraph, Char,Body Text"/>
    <w:basedOn w:val="Normln"/>
    <w:link w:val="ZkladntextChar"/>
    <w:rsid w:val="00044D18"/>
    <w:pPr>
      <w:tabs>
        <w:tab w:val="num" w:pos="720"/>
      </w:tabs>
      <w:spacing w:before="120"/>
    </w:pPr>
    <w:rPr>
      <w:sz w:val="28"/>
    </w:rPr>
  </w:style>
  <w:style w:type="character" w:customStyle="1" w:styleId="BodyTextChar">
    <w:name w:val="Body Text Char"/>
    <w:aliases w:val="Char Char,subtitle2 Char,Základní tZákladní text Char,Mgr. Rudolf Krejčík Char,Mgr. Rudolf Krejeík Char,Standard paragraph Char"/>
    <w:uiPriority w:val="99"/>
    <w:semiHidden/>
    <w:rsid w:val="00E96998"/>
    <w:rPr>
      <w:sz w:val="24"/>
      <w:szCs w:val="24"/>
    </w:rPr>
  </w:style>
  <w:style w:type="paragraph" w:styleId="Zkladntext2">
    <w:name w:val="Body Text 2"/>
    <w:basedOn w:val="Normln"/>
    <w:link w:val="Zkladntext2Char"/>
    <w:uiPriority w:val="99"/>
    <w:rsid w:val="00D034F8"/>
    <w:rPr>
      <w:sz w:val="28"/>
    </w:rPr>
  </w:style>
  <w:style w:type="character" w:customStyle="1" w:styleId="Zkladntext2Char">
    <w:name w:val="Základní text 2 Char"/>
    <w:link w:val="Zkladntext2"/>
    <w:uiPriority w:val="99"/>
    <w:semiHidden/>
    <w:rsid w:val="00E96998"/>
    <w:rPr>
      <w:sz w:val="24"/>
      <w:szCs w:val="24"/>
    </w:rPr>
  </w:style>
  <w:style w:type="paragraph" w:styleId="Zkladntextodsazen2">
    <w:name w:val="Body Text Indent 2"/>
    <w:basedOn w:val="Normln"/>
    <w:link w:val="Zkladntextodsazen2Char"/>
    <w:uiPriority w:val="99"/>
    <w:rsid w:val="00D034F8"/>
    <w:pPr>
      <w:ind w:left="360"/>
    </w:pPr>
    <w:rPr>
      <w:sz w:val="28"/>
    </w:rPr>
  </w:style>
  <w:style w:type="character" w:customStyle="1" w:styleId="Zkladntextodsazen2Char">
    <w:name w:val="Základní text odsazený 2 Char"/>
    <w:link w:val="Zkladntextodsazen2"/>
    <w:uiPriority w:val="99"/>
    <w:semiHidden/>
    <w:rsid w:val="00E96998"/>
    <w:rPr>
      <w:sz w:val="24"/>
      <w:szCs w:val="24"/>
    </w:rPr>
  </w:style>
  <w:style w:type="paragraph" w:styleId="Zkladntext3">
    <w:name w:val="Body Text 3"/>
    <w:basedOn w:val="Normln"/>
    <w:link w:val="Zkladntext3Char"/>
    <w:rsid w:val="00D034F8"/>
    <w:rPr>
      <w:color w:val="FF0000"/>
      <w:sz w:val="28"/>
    </w:rPr>
  </w:style>
  <w:style w:type="character" w:customStyle="1" w:styleId="Zkladntext3Char">
    <w:name w:val="Základní text 3 Char"/>
    <w:link w:val="Zkladntext3"/>
    <w:rsid w:val="00E96998"/>
    <w:rPr>
      <w:sz w:val="16"/>
      <w:szCs w:val="16"/>
    </w:rPr>
  </w:style>
  <w:style w:type="paragraph" w:styleId="Podnadpis">
    <w:name w:val="Subtitle"/>
    <w:basedOn w:val="Normln"/>
    <w:link w:val="PodnadpisChar"/>
    <w:uiPriority w:val="11"/>
    <w:qFormat/>
    <w:rsid w:val="00D034F8"/>
    <w:rPr>
      <w:b/>
      <w:bCs/>
    </w:rPr>
  </w:style>
  <w:style w:type="character" w:customStyle="1" w:styleId="PodnadpisChar">
    <w:name w:val="Podnadpis Char"/>
    <w:link w:val="Podnadpis"/>
    <w:uiPriority w:val="11"/>
    <w:rsid w:val="00E96998"/>
    <w:rPr>
      <w:rFonts w:ascii="Cambria" w:eastAsia="Times New Roman" w:hAnsi="Cambria" w:cs="Times New Roman"/>
      <w:sz w:val="24"/>
      <w:szCs w:val="24"/>
    </w:rPr>
  </w:style>
  <w:style w:type="paragraph" w:styleId="Zpat">
    <w:name w:val="footer"/>
    <w:basedOn w:val="Normln"/>
    <w:link w:val="ZpatChar"/>
    <w:uiPriority w:val="99"/>
    <w:rsid w:val="00D034F8"/>
    <w:pPr>
      <w:tabs>
        <w:tab w:val="center" w:pos="4536"/>
        <w:tab w:val="right" w:pos="9072"/>
      </w:tabs>
    </w:pPr>
  </w:style>
  <w:style w:type="character" w:customStyle="1" w:styleId="ZpatChar">
    <w:name w:val="Zápatí Char"/>
    <w:link w:val="Zpat"/>
    <w:uiPriority w:val="99"/>
    <w:rsid w:val="00E96998"/>
    <w:rPr>
      <w:sz w:val="24"/>
      <w:szCs w:val="24"/>
    </w:rPr>
  </w:style>
  <w:style w:type="character" w:styleId="slostrnky">
    <w:name w:val="page number"/>
    <w:uiPriority w:val="99"/>
    <w:rsid w:val="00D034F8"/>
    <w:rPr>
      <w:rFonts w:cs="Times New Roman"/>
    </w:rPr>
  </w:style>
  <w:style w:type="paragraph" w:styleId="Zhlav">
    <w:name w:val="header"/>
    <w:basedOn w:val="Normln"/>
    <w:link w:val="ZhlavChar"/>
    <w:uiPriority w:val="99"/>
    <w:rsid w:val="00D034F8"/>
    <w:pPr>
      <w:tabs>
        <w:tab w:val="center" w:pos="4536"/>
        <w:tab w:val="right" w:pos="9072"/>
      </w:tabs>
    </w:pPr>
  </w:style>
  <w:style w:type="character" w:customStyle="1" w:styleId="ZhlavChar">
    <w:name w:val="Záhlaví Char"/>
    <w:link w:val="Zhlav"/>
    <w:uiPriority w:val="99"/>
    <w:semiHidden/>
    <w:rsid w:val="00E96998"/>
    <w:rPr>
      <w:sz w:val="24"/>
      <w:szCs w:val="24"/>
    </w:rPr>
  </w:style>
  <w:style w:type="paragraph" w:styleId="Zkladntextodsazen">
    <w:name w:val="Body Text Indent"/>
    <w:basedOn w:val="Normln"/>
    <w:link w:val="ZkladntextodsazenChar"/>
    <w:uiPriority w:val="99"/>
    <w:rsid w:val="00D034F8"/>
    <w:pPr>
      <w:ind w:firstLine="540"/>
    </w:pPr>
    <w:rPr>
      <w:sz w:val="28"/>
    </w:rPr>
  </w:style>
  <w:style w:type="character" w:customStyle="1" w:styleId="ZkladntextodsazenChar">
    <w:name w:val="Základní text odsazený Char"/>
    <w:link w:val="Zkladntextodsazen"/>
    <w:uiPriority w:val="99"/>
    <w:semiHidden/>
    <w:rsid w:val="00E96998"/>
    <w:rPr>
      <w:sz w:val="24"/>
      <w:szCs w:val="24"/>
    </w:rPr>
  </w:style>
  <w:style w:type="paragraph" w:styleId="Zkladntextodsazen3">
    <w:name w:val="Body Text Indent 3"/>
    <w:basedOn w:val="Normln"/>
    <w:link w:val="Zkladntextodsazen3Char"/>
    <w:uiPriority w:val="99"/>
    <w:rsid w:val="00D034F8"/>
    <w:pPr>
      <w:tabs>
        <w:tab w:val="num" w:pos="0"/>
      </w:tabs>
      <w:ind w:right="-110" w:firstLine="540"/>
    </w:pPr>
    <w:rPr>
      <w:sz w:val="28"/>
    </w:rPr>
  </w:style>
  <w:style w:type="character" w:customStyle="1" w:styleId="Zkladntextodsazen3Char">
    <w:name w:val="Základní text odsazený 3 Char"/>
    <w:link w:val="Zkladntextodsazen3"/>
    <w:uiPriority w:val="99"/>
    <w:semiHidden/>
    <w:rsid w:val="00E96998"/>
    <w:rPr>
      <w:sz w:val="16"/>
      <w:szCs w:val="16"/>
    </w:rPr>
  </w:style>
  <w:style w:type="paragraph" w:styleId="Textbubliny">
    <w:name w:val="Balloon Text"/>
    <w:basedOn w:val="Normln"/>
    <w:link w:val="TextbublinyChar"/>
    <w:uiPriority w:val="99"/>
    <w:semiHidden/>
    <w:rsid w:val="00480DB2"/>
    <w:rPr>
      <w:rFonts w:cs="Tahoma"/>
      <w:sz w:val="16"/>
      <w:szCs w:val="16"/>
    </w:rPr>
  </w:style>
  <w:style w:type="character" w:customStyle="1" w:styleId="TextbublinyChar">
    <w:name w:val="Text bubliny Char"/>
    <w:link w:val="Textbubliny"/>
    <w:uiPriority w:val="99"/>
    <w:semiHidden/>
    <w:rsid w:val="00E96998"/>
    <w:rPr>
      <w:sz w:val="0"/>
      <w:szCs w:val="0"/>
    </w:rPr>
  </w:style>
  <w:style w:type="character" w:customStyle="1" w:styleId="ZkladntextChar">
    <w:name w:val="Základní text Char"/>
    <w:aliases w:val="Char Char1,subtitle2 Char1,Základní tZákladní text Char1,Mgr. Rudolf Krejčík Char1,Mgr. Rudolf Krejeík Char1,Standard paragraph Char1, Char Char,Body Text Char1"/>
    <w:link w:val="Zkladntext"/>
    <w:locked/>
    <w:rsid w:val="002C1B5A"/>
    <w:rPr>
      <w:sz w:val="24"/>
      <w:lang w:val="cs-CZ" w:eastAsia="cs-CZ"/>
    </w:rPr>
  </w:style>
  <w:style w:type="character" w:styleId="Odkaznakoment">
    <w:name w:val="annotation reference"/>
    <w:uiPriority w:val="99"/>
    <w:semiHidden/>
    <w:rsid w:val="006570AA"/>
    <w:rPr>
      <w:sz w:val="16"/>
    </w:rPr>
  </w:style>
  <w:style w:type="paragraph" w:styleId="Textkomente">
    <w:name w:val="annotation text"/>
    <w:basedOn w:val="Normln"/>
    <w:link w:val="TextkomenteChar"/>
    <w:uiPriority w:val="99"/>
    <w:semiHidden/>
    <w:rsid w:val="006570AA"/>
    <w:rPr>
      <w:szCs w:val="20"/>
    </w:rPr>
  </w:style>
  <w:style w:type="character" w:customStyle="1" w:styleId="TextkomenteChar">
    <w:name w:val="Text komentáře Char"/>
    <w:basedOn w:val="Standardnpsmoodstavce"/>
    <w:link w:val="Textkomente"/>
    <w:uiPriority w:val="99"/>
    <w:semiHidden/>
    <w:rsid w:val="00E96998"/>
  </w:style>
  <w:style w:type="paragraph" w:styleId="Pedmtkomente">
    <w:name w:val="annotation subject"/>
    <w:basedOn w:val="Textkomente"/>
    <w:next w:val="Textkomente"/>
    <w:link w:val="PedmtkomenteChar"/>
    <w:uiPriority w:val="99"/>
    <w:semiHidden/>
    <w:rsid w:val="006570AA"/>
    <w:rPr>
      <w:b/>
      <w:bCs/>
    </w:rPr>
  </w:style>
  <w:style w:type="character" w:customStyle="1" w:styleId="PedmtkomenteChar">
    <w:name w:val="Předmět komentáře Char"/>
    <w:link w:val="Pedmtkomente"/>
    <w:uiPriority w:val="99"/>
    <w:semiHidden/>
    <w:rsid w:val="00E96998"/>
    <w:rPr>
      <w:b/>
      <w:bCs/>
    </w:rPr>
  </w:style>
  <w:style w:type="character" w:styleId="Hypertextovodkaz">
    <w:name w:val="Hyperlink"/>
    <w:uiPriority w:val="99"/>
    <w:rsid w:val="00253C04"/>
    <w:rPr>
      <w:color w:val="0000FF"/>
      <w:u w:val="single"/>
    </w:rPr>
  </w:style>
  <w:style w:type="character" w:customStyle="1" w:styleId="CharChar3">
    <w:name w:val="Char Char3"/>
    <w:rsid w:val="00B535CE"/>
    <w:rPr>
      <w:sz w:val="24"/>
      <w:lang w:val="cs-CZ" w:eastAsia="cs-CZ"/>
    </w:rPr>
  </w:style>
  <w:style w:type="character" w:styleId="Sledovanodkaz">
    <w:name w:val="FollowedHyperlink"/>
    <w:uiPriority w:val="99"/>
    <w:rsid w:val="0010171E"/>
    <w:rPr>
      <w:color w:val="800080"/>
      <w:u w:val="single"/>
    </w:rPr>
  </w:style>
  <w:style w:type="paragraph" w:customStyle="1" w:styleId="KUMS-adresa">
    <w:name w:val="KUMS-adresa"/>
    <w:basedOn w:val="Normln"/>
    <w:rsid w:val="00264ACB"/>
    <w:pPr>
      <w:spacing w:line="280" w:lineRule="exact"/>
    </w:pPr>
    <w:rPr>
      <w:rFonts w:cs="Tahoma"/>
      <w:noProof/>
      <w:szCs w:val="20"/>
    </w:rPr>
  </w:style>
  <w:style w:type="paragraph" w:styleId="Seznamsodrkami">
    <w:name w:val="List Bullet"/>
    <w:basedOn w:val="Normln"/>
    <w:autoRedefine/>
    <w:uiPriority w:val="99"/>
    <w:rsid w:val="006B3498"/>
    <w:pPr>
      <w:numPr>
        <w:numId w:val="2"/>
      </w:numPr>
    </w:pPr>
  </w:style>
  <w:style w:type="paragraph" w:styleId="Seznamsodrkami2">
    <w:name w:val="List Bullet 2"/>
    <w:basedOn w:val="Normln"/>
    <w:autoRedefine/>
    <w:uiPriority w:val="99"/>
    <w:rsid w:val="006B3498"/>
    <w:pPr>
      <w:numPr>
        <w:numId w:val="3"/>
      </w:numPr>
    </w:pPr>
  </w:style>
  <w:style w:type="paragraph" w:customStyle="1" w:styleId="xl33">
    <w:name w:val="xl33"/>
    <w:basedOn w:val="Normln"/>
    <w:rsid w:val="008842FC"/>
    <w:pPr>
      <w:spacing w:before="100" w:beforeAutospacing="1" w:after="100" w:afterAutospacing="1"/>
      <w:textAlignment w:val="top"/>
    </w:pPr>
    <w:rPr>
      <w:b/>
      <w:bCs/>
      <w:sz w:val="28"/>
      <w:szCs w:val="28"/>
    </w:rPr>
  </w:style>
  <w:style w:type="paragraph" w:styleId="FormtovanvHTML">
    <w:name w:val="HTML Preformatted"/>
    <w:basedOn w:val="Normln"/>
    <w:link w:val="FormtovanvHTMLChar"/>
    <w:uiPriority w:val="99"/>
    <w:rsid w:val="00F40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FormtovanvHTMLChar">
    <w:name w:val="Formátovaný v HTML Char"/>
    <w:link w:val="FormtovanvHTML"/>
    <w:uiPriority w:val="99"/>
    <w:locked/>
    <w:rsid w:val="00364838"/>
    <w:rPr>
      <w:rFonts w:ascii="Courier New" w:hAnsi="Courier New"/>
    </w:rPr>
  </w:style>
  <w:style w:type="table" w:styleId="Mkatabulky">
    <w:name w:val="Table Grid"/>
    <w:basedOn w:val="Normlntabulka"/>
    <w:uiPriority w:val="39"/>
    <w:rsid w:val="008F5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jtext">
    <w:name w:val="Můj text"/>
    <w:basedOn w:val="Normln"/>
    <w:link w:val="MjtextChar"/>
    <w:rsid w:val="006D679A"/>
    <w:pPr>
      <w:spacing w:before="120" w:after="240"/>
    </w:pPr>
    <w:rPr>
      <w:rFonts w:cs="Tahoma"/>
    </w:rPr>
  </w:style>
  <w:style w:type="character" w:customStyle="1" w:styleId="MjtextChar">
    <w:name w:val="Můj text Char"/>
    <w:link w:val="Mjtext"/>
    <w:locked/>
    <w:rsid w:val="006D679A"/>
    <w:rPr>
      <w:rFonts w:ascii="Tahoma" w:hAnsi="Tahoma"/>
      <w:sz w:val="24"/>
      <w:lang w:val="cs-CZ" w:eastAsia="cs-CZ"/>
    </w:rPr>
  </w:style>
  <w:style w:type="paragraph" w:customStyle="1" w:styleId="Styltab">
    <w:name w:val="Styl tab."/>
    <w:basedOn w:val="Normln"/>
    <w:next w:val="Normln"/>
    <w:link w:val="StyltabChar"/>
    <w:autoRedefine/>
    <w:qFormat/>
    <w:rsid w:val="001318E4"/>
    <w:pPr>
      <w:keepNext/>
      <w:numPr>
        <w:numId w:val="7"/>
      </w:numPr>
      <w:tabs>
        <w:tab w:val="right" w:pos="9072"/>
      </w:tabs>
      <w:spacing w:before="200" w:after="0"/>
      <w:ind w:left="0" w:firstLine="0"/>
      <w:jc w:val="left"/>
      <w:outlineLvl w:val="1"/>
    </w:pPr>
    <w:rPr>
      <w:rFonts w:cs="Tahoma"/>
      <w:bCs/>
      <w:szCs w:val="20"/>
    </w:rPr>
  </w:style>
  <w:style w:type="paragraph" w:customStyle="1" w:styleId="CharChar2">
    <w:name w:val="Char Char2"/>
    <w:basedOn w:val="Normln"/>
    <w:rsid w:val="00D33380"/>
    <w:pPr>
      <w:spacing w:after="160" w:line="240" w:lineRule="exact"/>
    </w:pPr>
    <w:rPr>
      <w:rFonts w:ascii="Times New Roman Bold" w:hAnsi="Times New Roman Bold"/>
      <w:sz w:val="22"/>
      <w:szCs w:val="26"/>
      <w:lang w:val="sk-SK" w:eastAsia="en-US"/>
    </w:rPr>
  </w:style>
  <w:style w:type="paragraph" w:customStyle="1" w:styleId="Char4CharCharCharCharCharCharCharCharChar">
    <w:name w:val="Char4 Char Char Char Char Char Char Char Char Char"/>
    <w:basedOn w:val="Normln"/>
    <w:rsid w:val="00E33163"/>
    <w:pPr>
      <w:spacing w:after="160" w:line="240" w:lineRule="exact"/>
    </w:pPr>
    <w:rPr>
      <w:rFonts w:ascii="Times New Roman Bold" w:hAnsi="Times New Roman Bold"/>
      <w:sz w:val="22"/>
      <w:szCs w:val="26"/>
      <w:lang w:val="sk-SK" w:eastAsia="en-US"/>
    </w:rPr>
  </w:style>
  <w:style w:type="character" w:styleId="Siln">
    <w:name w:val="Strong"/>
    <w:uiPriority w:val="22"/>
    <w:qFormat/>
    <w:rsid w:val="00816A38"/>
    <w:rPr>
      <w:b/>
    </w:rPr>
  </w:style>
  <w:style w:type="paragraph" w:customStyle="1" w:styleId="CharChar8CharCharCharCharCharCharCharCharCharCharCharCharCharCharCharCharCharCharCharCharCharCharCharCharCharCharCharCharCharCharCharCharCharCharCharCharChar">
    <w:name w:val="Char Char8 Char Char Char Char Char Char Char Char Char Char Char Char Char Char Char Char Char Char Char Char Char Char Char Char Char Char Char Char Char Char Char Char Char Char Char Char Char"/>
    <w:basedOn w:val="Normln"/>
    <w:rsid w:val="005A3F16"/>
    <w:pPr>
      <w:spacing w:after="160" w:line="240" w:lineRule="exact"/>
    </w:pPr>
    <w:rPr>
      <w:rFonts w:ascii="Verdana" w:hAnsi="Verdana"/>
      <w:szCs w:val="20"/>
      <w:lang w:val="en-US" w:eastAsia="en-US"/>
    </w:rPr>
  </w:style>
  <w:style w:type="paragraph" w:customStyle="1" w:styleId="CharChar20">
    <w:name w:val="Char Char2"/>
    <w:basedOn w:val="Normln"/>
    <w:rsid w:val="004C1A5B"/>
    <w:pPr>
      <w:spacing w:after="160" w:line="240" w:lineRule="exact"/>
    </w:pPr>
    <w:rPr>
      <w:rFonts w:ascii="Times New Roman Bold" w:hAnsi="Times New Roman Bold"/>
      <w:sz w:val="22"/>
      <w:szCs w:val="26"/>
      <w:lang w:val="sk-SK" w:eastAsia="en-US"/>
    </w:rPr>
  </w:style>
  <w:style w:type="paragraph" w:customStyle="1" w:styleId="CharChar21">
    <w:name w:val="Char Char2"/>
    <w:basedOn w:val="Normln"/>
    <w:rsid w:val="0081338B"/>
    <w:pPr>
      <w:spacing w:after="160" w:line="240" w:lineRule="exact"/>
    </w:pPr>
    <w:rPr>
      <w:rFonts w:ascii="Times New Roman Bold" w:hAnsi="Times New Roman Bold"/>
      <w:sz w:val="22"/>
      <w:szCs w:val="26"/>
      <w:lang w:val="sk-SK" w:eastAsia="en-US"/>
    </w:rPr>
  </w:style>
  <w:style w:type="paragraph" w:customStyle="1" w:styleId="CharChar22">
    <w:name w:val="Char Char2"/>
    <w:basedOn w:val="Normln"/>
    <w:rsid w:val="003B080A"/>
    <w:pPr>
      <w:spacing w:after="160" w:line="240" w:lineRule="exact"/>
    </w:pPr>
    <w:rPr>
      <w:rFonts w:ascii="Times New Roman Bold" w:hAnsi="Times New Roman Bold"/>
      <w:sz w:val="22"/>
      <w:szCs w:val="26"/>
      <w:lang w:val="sk-SK" w:eastAsia="en-US"/>
    </w:rPr>
  </w:style>
  <w:style w:type="paragraph" w:customStyle="1" w:styleId="CharChar23">
    <w:name w:val="Char Char2"/>
    <w:basedOn w:val="Normln"/>
    <w:rsid w:val="00CA7EB2"/>
    <w:pPr>
      <w:spacing w:after="160" w:line="240" w:lineRule="exact"/>
    </w:pPr>
    <w:rPr>
      <w:rFonts w:ascii="Times New Roman Bold" w:hAnsi="Times New Roman Bold"/>
      <w:sz w:val="22"/>
      <w:szCs w:val="26"/>
      <w:lang w:val="sk-SK" w:eastAsia="en-US"/>
    </w:rPr>
  </w:style>
  <w:style w:type="paragraph" w:customStyle="1" w:styleId="CharChar24">
    <w:name w:val="Char Char2"/>
    <w:basedOn w:val="Normln"/>
    <w:rsid w:val="00D76307"/>
    <w:pPr>
      <w:spacing w:after="160" w:line="240" w:lineRule="exact"/>
    </w:pPr>
    <w:rPr>
      <w:rFonts w:ascii="Times New Roman Bold" w:hAnsi="Times New Roman Bold"/>
      <w:sz w:val="22"/>
      <w:szCs w:val="26"/>
      <w:lang w:val="sk-SK" w:eastAsia="en-US"/>
    </w:rPr>
  </w:style>
  <w:style w:type="paragraph" w:customStyle="1" w:styleId="CharChar25">
    <w:name w:val="Char Char2"/>
    <w:basedOn w:val="Normln"/>
    <w:rsid w:val="00D9338A"/>
    <w:pPr>
      <w:spacing w:after="160" w:line="240" w:lineRule="exact"/>
    </w:pPr>
    <w:rPr>
      <w:rFonts w:ascii="Times New Roman Bold" w:hAnsi="Times New Roman Bold"/>
      <w:sz w:val="22"/>
      <w:szCs w:val="26"/>
      <w:lang w:val="sk-SK" w:eastAsia="en-US"/>
    </w:rPr>
  </w:style>
  <w:style w:type="character" w:customStyle="1" w:styleId="StyltabChar">
    <w:name w:val="Styl tab. Char"/>
    <w:link w:val="Styltab"/>
    <w:rsid w:val="001318E4"/>
    <w:rPr>
      <w:rFonts w:ascii="Tahoma" w:hAnsi="Tahoma" w:cs="Tahoma"/>
      <w:bCs/>
    </w:rPr>
  </w:style>
  <w:style w:type="paragraph" w:customStyle="1" w:styleId="CharChar26">
    <w:name w:val="Char Char2"/>
    <w:basedOn w:val="Normln"/>
    <w:rsid w:val="00961FA5"/>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34"/>
    <w:qFormat/>
    <w:rsid w:val="009D5102"/>
    <w:pPr>
      <w:ind w:left="720"/>
      <w:contextualSpacing/>
    </w:pPr>
  </w:style>
  <w:style w:type="paragraph" w:customStyle="1" w:styleId="KUMS-text">
    <w:name w:val="KUMS-text"/>
    <w:basedOn w:val="Normln"/>
    <w:rsid w:val="009049BB"/>
    <w:pPr>
      <w:spacing w:after="280" w:line="280" w:lineRule="exact"/>
    </w:pPr>
    <w:rPr>
      <w:rFonts w:eastAsia="Calibri" w:cs="Tahoma"/>
      <w:szCs w:val="20"/>
    </w:rPr>
  </w:style>
  <w:style w:type="paragraph" w:customStyle="1" w:styleId="MSKNormal">
    <w:name w:val="MSK_Normal"/>
    <w:basedOn w:val="Normln"/>
    <w:link w:val="MSKNormalChar"/>
    <w:qFormat/>
    <w:rsid w:val="007871B8"/>
    <w:rPr>
      <w:rFonts w:eastAsia="Calibri"/>
    </w:rPr>
  </w:style>
  <w:style w:type="character" w:styleId="Zdraznnjemn">
    <w:name w:val="Subtle Emphasis"/>
    <w:aliases w:val="Graf"/>
    <w:basedOn w:val="StyltabChar"/>
    <w:uiPriority w:val="19"/>
    <w:qFormat/>
    <w:rsid w:val="001F04C5"/>
    <w:rPr>
      <w:rFonts w:ascii="Tahoma" w:hAnsi="Tahoma" w:cs="Tahoma"/>
      <w:bCs/>
      <w:i w:val="0"/>
      <w:iCs/>
      <w:color w:val="404040" w:themeColor="text1" w:themeTint="BF"/>
      <w:sz w:val="20"/>
    </w:rPr>
  </w:style>
  <w:style w:type="paragraph" w:styleId="Normlnweb">
    <w:name w:val="Normal (Web)"/>
    <w:basedOn w:val="Normln"/>
    <w:uiPriority w:val="99"/>
    <w:unhideWhenUsed/>
    <w:rsid w:val="003A0D2C"/>
    <w:pPr>
      <w:spacing w:after="150"/>
      <w:jc w:val="left"/>
      <w:textAlignment w:val="top"/>
    </w:pPr>
    <w:rPr>
      <w:rFonts w:ascii="Times New Roman" w:hAnsi="Times New Roman"/>
      <w:sz w:val="24"/>
    </w:rPr>
  </w:style>
  <w:style w:type="paragraph" w:customStyle="1" w:styleId="MSKNavrhusneseniZacatek">
    <w:name w:val="MSK_Navrh usneseni_Zacatek"/>
    <w:basedOn w:val="MSKNormal"/>
    <w:next w:val="MSKNormal"/>
    <w:qFormat/>
    <w:rsid w:val="009D40F2"/>
    <w:pPr>
      <w:numPr>
        <w:numId w:val="6"/>
      </w:numPr>
      <w:spacing w:after="0"/>
    </w:pPr>
    <w:rPr>
      <w:sz w:val="24"/>
    </w:rPr>
  </w:style>
  <w:style w:type="paragraph" w:customStyle="1" w:styleId="MSKDoplnek">
    <w:name w:val="MSK_Doplnek"/>
    <w:basedOn w:val="MSKNormal"/>
    <w:next w:val="MSKNormal"/>
    <w:qFormat/>
    <w:rsid w:val="009D40F2"/>
    <w:pPr>
      <w:numPr>
        <w:ilvl w:val="1"/>
        <w:numId w:val="6"/>
      </w:numPr>
      <w:spacing w:after="0"/>
    </w:pPr>
    <w:rPr>
      <w:sz w:val="24"/>
    </w:rPr>
  </w:style>
  <w:style w:type="character" w:customStyle="1" w:styleId="MSKNormalChar">
    <w:name w:val="MSK_Normal Char"/>
    <w:basedOn w:val="Standardnpsmoodstavce"/>
    <w:link w:val="MSKNormal"/>
    <w:rsid w:val="009D40F2"/>
    <w:rPr>
      <w:rFonts w:ascii="Tahoma" w:eastAsia="Calibri" w:hAnsi="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8646">
      <w:bodyDiv w:val="1"/>
      <w:marLeft w:val="0"/>
      <w:marRight w:val="0"/>
      <w:marTop w:val="0"/>
      <w:marBottom w:val="0"/>
      <w:divBdr>
        <w:top w:val="none" w:sz="0" w:space="0" w:color="auto"/>
        <w:left w:val="none" w:sz="0" w:space="0" w:color="auto"/>
        <w:bottom w:val="none" w:sz="0" w:space="0" w:color="auto"/>
        <w:right w:val="none" w:sz="0" w:space="0" w:color="auto"/>
      </w:divBdr>
    </w:div>
    <w:div w:id="20405218">
      <w:bodyDiv w:val="1"/>
      <w:marLeft w:val="0"/>
      <w:marRight w:val="0"/>
      <w:marTop w:val="0"/>
      <w:marBottom w:val="0"/>
      <w:divBdr>
        <w:top w:val="none" w:sz="0" w:space="0" w:color="auto"/>
        <w:left w:val="none" w:sz="0" w:space="0" w:color="auto"/>
        <w:bottom w:val="none" w:sz="0" w:space="0" w:color="auto"/>
        <w:right w:val="none" w:sz="0" w:space="0" w:color="auto"/>
      </w:divBdr>
    </w:div>
    <w:div w:id="29647689">
      <w:bodyDiv w:val="1"/>
      <w:marLeft w:val="0"/>
      <w:marRight w:val="0"/>
      <w:marTop w:val="0"/>
      <w:marBottom w:val="0"/>
      <w:divBdr>
        <w:top w:val="none" w:sz="0" w:space="0" w:color="auto"/>
        <w:left w:val="none" w:sz="0" w:space="0" w:color="auto"/>
        <w:bottom w:val="none" w:sz="0" w:space="0" w:color="auto"/>
        <w:right w:val="none" w:sz="0" w:space="0" w:color="auto"/>
      </w:divBdr>
      <w:divsChild>
        <w:div w:id="1034772507">
          <w:marLeft w:val="0"/>
          <w:marRight w:val="0"/>
          <w:marTop w:val="0"/>
          <w:marBottom w:val="0"/>
          <w:divBdr>
            <w:top w:val="none" w:sz="0" w:space="0" w:color="auto"/>
            <w:left w:val="none" w:sz="0" w:space="0" w:color="auto"/>
            <w:bottom w:val="none" w:sz="0" w:space="0" w:color="auto"/>
            <w:right w:val="none" w:sz="0" w:space="0" w:color="auto"/>
          </w:divBdr>
          <w:divsChild>
            <w:div w:id="1144002920">
              <w:marLeft w:val="0"/>
              <w:marRight w:val="0"/>
              <w:marTop w:val="0"/>
              <w:marBottom w:val="0"/>
              <w:divBdr>
                <w:top w:val="none" w:sz="0" w:space="0" w:color="auto"/>
                <w:left w:val="none" w:sz="0" w:space="0" w:color="auto"/>
                <w:bottom w:val="none" w:sz="0" w:space="0" w:color="auto"/>
                <w:right w:val="none" w:sz="0" w:space="0" w:color="auto"/>
              </w:divBdr>
              <w:divsChild>
                <w:div w:id="1747847327">
                  <w:marLeft w:val="0"/>
                  <w:marRight w:val="0"/>
                  <w:marTop w:val="0"/>
                  <w:marBottom w:val="0"/>
                  <w:divBdr>
                    <w:top w:val="none" w:sz="0" w:space="0" w:color="auto"/>
                    <w:left w:val="none" w:sz="0" w:space="0" w:color="auto"/>
                    <w:bottom w:val="none" w:sz="0" w:space="0" w:color="auto"/>
                    <w:right w:val="none" w:sz="0" w:space="0" w:color="auto"/>
                  </w:divBdr>
                  <w:divsChild>
                    <w:div w:id="653142809">
                      <w:marLeft w:val="0"/>
                      <w:marRight w:val="0"/>
                      <w:marTop w:val="0"/>
                      <w:marBottom w:val="0"/>
                      <w:divBdr>
                        <w:top w:val="none" w:sz="0" w:space="0" w:color="auto"/>
                        <w:left w:val="none" w:sz="0" w:space="0" w:color="auto"/>
                        <w:bottom w:val="none" w:sz="0" w:space="0" w:color="auto"/>
                        <w:right w:val="none" w:sz="0" w:space="0" w:color="auto"/>
                      </w:divBdr>
                      <w:divsChild>
                        <w:div w:id="1639724851">
                          <w:marLeft w:val="0"/>
                          <w:marRight w:val="0"/>
                          <w:marTop w:val="0"/>
                          <w:marBottom w:val="0"/>
                          <w:divBdr>
                            <w:top w:val="none" w:sz="0" w:space="0" w:color="auto"/>
                            <w:left w:val="none" w:sz="0" w:space="0" w:color="auto"/>
                            <w:bottom w:val="none" w:sz="0" w:space="0" w:color="auto"/>
                            <w:right w:val="none" w:sz="0" w:space="0" w:color="auto"/>
                          </w:divBdr>
                          <w:divsChild>
                            <w:div w:id="78435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30507">
      <w:bodyDiv w:val="1"/>
      <w:marLeft w:val="0"/>
      <w:marRight w:val="0"/>
      <w:marTop w:val="0"/>
      <w:marBottom w:val="0"/>
      <w:divBdr>
        <w:top w:val="none" w:sz="0" w:space="0" w:color="auto"/>
        <w:left w:val="none" w:sz="0" w:space="0" w:color="auto"/>
        <w:bottom w:val="none" w:sz="0" w:space="0" w:color="auto"/>
        <w:right w:val="none" w:sz="0" w:space="0" w:color="auto"/>
      </w:divBdr>
    </w:div>
    <w:div w:id="43452334">
      <w:bodyDiv w:val="1"/>
      <w:marLeft w:val="0"/>
      <w:marRight w:val="0"/>
      <w:marTop w:val="0"/>
      <w:marBottom w:val="0"/>
      <w:divBdr>
        <w:top w:val="none" w:sz="0" w:space="0" w:color="auto"/>
        <w:left w:val="none" w:sz="0" w:space="0" w:color="auto"/>
        <w:bottom w:val="none" w:sz="0" w:space="0" w:color="auto"/>
        <w:right w:val="none" w:sz="0" w:space="0" w:color="auto"/>
      </w:divBdr>
    </w:div>
    <w:div w:id="60639902">
      <w:bodyDiv w:val="1"/>
      <w:marLeft w:val="0"/>
      <w:marRight w:val="0"/>
      <w:marTop w:val="0"/>
      <w:marBottom w:val="0"/>
      <w:divBdr>
        <w:top w:val="none" w:sz="0" w:space="0" w:color="auto"/>
        <w:left w:val="none" w:sz="0" w:space="0" w:color="auto"/>
        <w:bottom w:val="none" w:sz="0" w:space="0" w:color="auto"/>
        <w:right w:val="none" w:sz="0" w:space="0" w:color="auto"/>
      </w:divBdr>
    </w:div>
    <w:div w:id="64649102">
      <w:bodyDiv w:val="1"/>
      <w:marLeft w:val="0"/>
      <w:marRight w:val="0"/>
      <w:marTop w:val="0"/>
      <w:marBottom w:val="0"/>
      <w:divBdr>
        <w:top w:val="none" w:sz="0" w:space="0" w:color="auto"/>
        <w:left w:val="none" w:sz="0" w:space="0" w:color="auto"/>
        <w:bottom w:val="none" w:sz="0" w:space="0" w:color="auto"/>
        <w:right w:val="none" w:sz="0" w:space="0" w:color="auto"/>
      </w:divBdr>
    </w:div>
    <w:div w:id="68964656">
      <w:bodyDiv w:val="1"/>
      <w:marLeft w:val="0"/>
      <w:marRight w:val="0"/>
      <w:marTop w:val="0"/>
      <w:marBottom w:val="0"/>
      <w:divBdr>
        <w:top w:val="none" w:sz="0" w:space="0" w:color="auto"/>
        <w:left w:val="none" w:sz="0" w:space="0" w:color="auto"/>
        <w:bottom w:val="none" w:sz="0" w:space="0" w:color="auto"/>
        <w:right w:val="none" w:sz="0" w:space="0" w:color="auto"/>
      </w:divBdr>
    </w:div>
    <w:div w:id="90050942">
      <w:bodyDiv w:val="1"/>
      <w:marLeft w:val="0"/>
      <w:marRight w:val="0"/>
      <w:marTop w:val="0"/>
      <w:marBottom w:val="0"/>
      <w:divBdr>
        <w:top w:val="none" w:sz="0" w:space="0" w:color="auto"/>
        <w:left w:val="none" w:sz="0" w:space="0" w:color="auto"/>
        <w:bottom w:val="none" w:sz="0" w:space="0" w:color="auto"/>
        <w:right w:val="none" w:sz="0" w:space="0" w:color="auto"/>
      </w:divBdr>
      <w:divsChild>
        <w:div w:id="2014068303">
          <w:marLeft w:val="0"/>
          <w:marRight w:val="0"/>
          <w:marTop w:val="0"/>
          <w:marBottom w:val="0"/>
          <w:divBdr>
            <w:top w:val="none" w:sz="0" w:space="0" w:color="auto"/>
            <w:left w:val="none" w:sz="0" w:space="0" w:color="auto"/>
            <w:bottom w:val="none" w:sz="0" w:space="0" w:color="auto"/>
            <w:right w:val="none" w:sz="0" w:space="0" w:color="auto"/>
          </w:divBdr>
          <w:divsChild>
            <w:div w:id="99086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4186">
      <w:bodyDiv w:val="1"/>
      <w:marLeft w:val="0"/>
      <w:marRight w:val="0"/>
      <w:marTop w:val="0"/>
      <w:marBottom w:val="0"/>
      <w:divBdr>
        <w:top w:val="none" w:sz="0" w:space="0" w:color="auto"/>
        <w:left w:val="none" w:sz="0" w:space="0" w:color="auto"/>
        <w:bottom w:val="none" w:sz="0" w:space="0" w:color="auto"/>
        <w:right w:val="none" w:sz="0" w:space="0" w:color="auto"/>
      </w:divBdr>
    </w:div>
    <w:div w:id="92819864">
      <w:bodyDiv w:val="1"/>
      <w:marLeft w:val="0"/>
      <w:marRight w:val="0"/>
      <w:marTop w:val="0"/>
      <w:marBottom w:val="0"/>
      <w:divBdr>
        <w:top w:val="none" w:sz="0" w:space="0" w:color="auto"/>
        <w:left w:val="none" w:sz="0" w:space="0" w:color="auto"/>
        <w:bottom w:val="none" w:sz="0" w:space="0" w:color="auto"/>
        <w:right w:val="none" w:sz="0" w:space="0" w:color="auto"/>
      </w:divBdr>
    </w:div>
    <w:div w:id="92938102">
      <w:bodyDiv w:val="1"/>
      <w:marLeft w:val="0"/>
      <w:marRight w:val="0"/>
      <w:marTop w:val="0"/>
      <w:marBottom w:val="0"/>
      <w:divBdr>
        <w:top w:val="none" w:sz="0" w:space="0" w:color="auto"/>
        <w:left w:val="none" w:sz="0" w:space="0" w:color="auto"/>
        <w:bottom w:val="none" w:sz="0" w:space="0" w:color="auto"/>
        <w:right w:val="none" w:sz="0" w:space="0" w:color="auto"/>
      </w:divBdr>
    </w:div>
    <w:div w:id="93521828">
      <w:bodyDiv w:val="1"/>
      <w:marLeft w:val="0"/>
      <w:marRight w:val="0"/>
      <w:marTop w:val="0"/>
      <w:marBottom w:val="0"/>
      <w:divBdr>
        <w:top w:val="none" w:sz="0" w:space="0" w:color="auto"/>
        <w:left w:val="none" w:sz="0" w:space="0" w:color="auto"/>
        <w:bottom w:val="none" w:sz="0" w:space="0" w:color="auto"/>
        <w:right w:val="none" w:sz="0" w:space="0" w:color="auto"/>
      </w:divBdr>
    </w:div>
    <w:div w:id="100034848">
      <w:bodyDiv w:val="1"/>
      <w:marLeft w:val="0"/>
      <w:marRight w:val="0"/>
      <w:marTop w:val="0"/>
      <w:marBottom w:val="0"/>
      <w:divBdr>
        <w:top w:val="none" w:sz="0" w:space="0" w:color="auto"/>
        <w:left w:val="none" w:sz="0" w:space="0" w:color="auto"/>
        <w:bottom w:val="none" w:sz="0" w:space="0" w:color="auto"/>
        <w:right w:val="none" w:sz="0" w:space="0" w:color="auto"/>
      </w:divBdr>
    </w:div>
    <w:div w:id="106393372">
      <w:bodyDiv w:val="1"/>
      <w:marLeft w:val="0"/>
      <w:marRight w:val="0"/>
      <w:marTop w:val="0"/>
      <w:marBottom w:val="0"/>
      <w:divBdr>
        <w:top w:val="none" w:sz="0" w:space="0" w:color="auto"/>
        <w:left w:val="none" w:sz="0" w:space="0" w:color="auto"/>
        <w:bottom w:val="none" w:sz="0" w:space="0" w:color="auto"/>
        <w:right w:val="none" w:sz="0" w:space="0" w:color="auto"/>
      </w:divBdr>
    </w:div>
    <w:div w:id="113254214">
      <w:bodyDiv w:val="1"/>
      <w:marLeft w:val="0"/>
      <w:marRight w:val="0"/>
      <w:marTop w:val="0"/>
      <w:marBottom w:val="0"/>
      <w:divBdr>
        <w:top w:val="none" w:sz="0" w:space="0" w:color="auto"/>
        <w:left w:val="none" w:sz="0" w:space="0" w:color="auto"/>
        <w:bottom w:val="none" w:sz="0" w:space="0" w:color="auto"/>
        <w:right w:val="none" w:sz="0" w:space="0" w:color="auto"/>
      </w:divBdr>
    </w:div>
    <w:div w:id="121269451">
      <w:bodyDiv w:val="1"/>
      <w:marLeft w:val="0"/>
      <w:marRight w:val="0"/>
      <w:marTop w:val="0"/>
      <w:marBottom w:val="0"/>
      <w:divBdr>
        <w:top w:val="none" w:sz="0" w:space="0" w:color="auto"/>
        <w:left w:val="none" w:sz="0" w:space="0" w:color="auto"/>
        <w:bottom w:val="none" w:sz="0" w:space="0" w:color="auto"/>
        <w:right w:val="none" w:sz="0" w:space="0" w:color="auto"/>
      </w:divBdr>
    </w:div>
    <w:div w:id="122427539">
      <w:bodyDiv w:val="1"/>
      <w:marLeft w:val="0"/>
      <w:marRight w:val="0"/>
      <w:marTop w:val="0"/>
      <w:marBottom w:val="0"/>
      <w:divBdr>
        <w:top w:val="none" w:sz="0" w:space="0" w:color="auto"/>
        <w:left w:val="none" w:sz="0" w:space="0" w:color="auto"/>
        <w:bottom w:val="none" w:sz="0" w:space="0" w:color="auto"/>
        <w:right w:val="none" w:sz="0" w:space="0" w:color="auto"/>
      </w:divBdr>
      <w:divsChild>
        <w:div w:id="1951693099">
          <w:marLeft w:val="0"/>
          <w:marRight w:val="0"/>
          <w:marTop w:val="0"/>
          <w:marBottom w:val="0"/>
          <w:divBdr>
            <w:top w:val="none" w:sz="0" w:space="0" w:color="auto"/>
            <w:left w:val="none" w:sz="0" w:space="0" w:color="auto"/>
            <w:bottom w:val="none" w:sz="0" w:space="0" w:color="auto"/>
            <w:right w:val="none" w:sz="0" w:space="0" w:color="auto"/>
          </w:divBdr>
          <w:divsChild>
            <w:div w:id="269243598">
              <w:marLeft w:val="0"/>
              <w:marRight w:val="0"/>
              <w:marTop w:val="0"/>
              <w:marBottom w:val="0"/>
              <w:divBdr>
                <w:top w:val="none" w:sz="0" w:space="0" w:color="auto"/>
                <w:left w:val="none" w:sz="0" w:space="0" w:color="auto"/>
                <w:bottom w:val="none" w:sz="0" w:space="0" w:color="auto"/>
                <w:right w:val="none" w:sz="0" w:space="0" w:color="auto"/>
              </w:divBdr>
              <w:divsChild>
                <w:div w:id="1711539404">
                  <w:marLeft w:val="0"/>
                  <w:marRight w:val="0"/>
                  <w:marTop w:val="0"/>
                  <w:marBottom w:val="0"/>
                  <w:divBdr>
                    <w:top w:val="none" w:sz="0" w:space="0" w:color="auto"/>
                    <w:left w:val="none" w:sz="0" w:space="0" w:color="auto"/>
                    <w:bottom w:val="none" w:sz="0" w:space="0" w:color="auto"/>
                    <w:right w:val="none" w:sz="0" w:space="0" w:color="auto"/>
                  </w:divBdr>
                  <w:divsChild>
                    <w:div w:id="1605460584">
                      <w:marLeft w:val="0"/>
                      <w:marRight w:val="0"/>
                      <w:marTop w:val="0"/>
                      <w:marBottom w:val="0"/>
                      <w:divBdr>
                        <w:top w:val="none" w:sz="0" w:space="0" w:color="auto"/>
                        <w:left w:val="none" w:sz="0" w:space="0" w:color="auto"/>
                        <w:bottom w:val="none" w:sz="0" w:space="0" w:color="auto"/>
                        <w:right w:val="none" w:sz="0" w:space="0" w:color="auto"/>
                      </w:divBdr>
                      <w:divsChild>
                        <w:div w:id="1211385096">
                          <w:marLeft w:val="0"/>
                          <w:marRight w:val="0"/>
                          <w:marTop w:val="0"/>
                          <w:marBottom w:val="0"/>
                          <w:divBdr>
                            <w:top w:val="none" w:sz="0" w:space="0" w:color="auto"/>
                            <w:left w:val="none" w:sz="0" w:space="0" w:color="auto"/>
                            <w:bottom w:val="none" w:sz="0" w:space="0" w:color="auto"/>
                            <w:right w:val="none" w:sz="0" w:space="0" w:color="auto"/>
                          </w:divBdr>
                          <w:divsChild>
                            <w:div w:id="73906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84655">
      <w:bodyDiv w:val="1"/>
      <w:marLeft w:val="0"/>
      <w:marRight w:val="0"/>
      <w:marTop w:val="0"/>
      <w:marBottom w:val="0"/>
      <w:divBdr>
        <w:top w:val="none" w:sz="0" w:space="0" w:color="auto"/>
        <w:left w:val="none" w:sz="0" w:space="0" w:color="auto"/>
        <w:bottom w:val="none" w:sz="0" w:space="0" w:color="auto"/>
        <w:right w:val="none" w:sz="0" w:space="0" w:color="auto"/>
      </w:divBdr>
    </w:div>
    <w:div w:id="124545664">
      <w:bodyDiv w:val="1"/>
      <w:marLeft w:val="0"/>
      <w:marRight w:val="0"/>
      <w:marTop w:val="0"/>
      <w:marBottom w:val="0"/>
      <w:divBdr>
        <w:top w:val="none" w:sz="0" w:space="0" w:color="auto"/>
        <w:left w:val="none" w:sz="0" w:space="0" w:color="auto"/>
        <w:bottom w:val="none" w:sz="0" w:space="0" w:color="auto"/>
        <w:right w:val="none" w:sz="0" w:space="0" w:color="auto"/>
      </w:divBdr>
      <w:divsChild>
        <w:div w:id="676612592">
          <w:marLeft w:val="0"/>
          <w:marRight w:val="0"/>
          <w:marTop w:val="0"/>
          <w:marBottom w:val="0"/>
          <w:divBdr>
            <w:top w:val="none" w:sz="0" w:space="0" w:color="auto"/>
            <w:left w:val="none" w:sz="0" w:space="0" w:color="auto"/>
            <w:bottom w:val="none" w:sz="0" w:space="0" w:color="auto"/>
            <w:right w:val="none" w:sz="0" w:space="0" w:color="auto"/>
          </w:divBdr>
          <w:divsChild>
            <w:div w:id="1813717275">
              <w:marLeft w:val="0"/>
              <w:marRight w:val="0"/>
              <w:marTop w:val="0"/>
              <w:marBottom w:val="0"/>
              <w:divBdr>
                <w:top w:val="none" w:sz="0" w:space="0" w:color="auto"/>
                <w:left w:val="none" w:sz="0" w:space="0" w:color="auto"/>
                <w:bottom w:val="none" w:sz="0" w:space="0" w:color="auto"/>
                <w:right w:val="none" w:sz="0" w:space="0" w:color="auto"/>
              </w:divBdr>
              <w:divsChild>
                <w:div w:id="1790470848">
                  <w:marLeft w:val="0"/>
                  <w:marRight w:val="0"/>
                  <w:marTop w:val="0"/>
                  <w:marBottom w:val="0"/>
                  <w:divBdr>
                    <w:top w:val="none" w:sz="0" w:space="0" w:color="auto"/>
                    <w:left w:val="none" w:sz="0" w:space="0" w:color="auto"/>
                    <w:bottom w:val="none" w:sz="0" w:space="0" w:color="auto"/>
                    <w:right w:val="none" w:sz="0" w:space="0" w:color="auto"/>
                  </w:divBdr>
                  <w:divsChild>
                    <w:div w:id="875195906">
                      <w:marLeft w:val="0"/>
                      <w:marRight w:val="0"/>
                      <w:marTop w:val="0"/>
                      <w:marBottom w:val="0"/>
                      <w:divBdr>
                        <w:top w:val="none" w:sz="0" w:space="0" w:color="auto"/>
                        <w:left w:val="none" w:sz="0" w:space="0" w:color="auto"/>
                        <w:bottom w:val="none" w:sz="0" w:space="0" w:color="auto"/>
                        <w:right w:val="none" w:sz="0" w:space="0" w:color="auto"/>
                      </w:divBdr>
                      <w:divsChild>
                        <w:div w:id="162740272">
                          <w:marLeft w:val="0"/>
                          <w:marRight w:val="0"/>
                          <w:marTop w:val="0"/>
                          <w:marBottom w:val="0"/>
                          <w:divBdr>
                            <w:top w:val="none" w:sz="0" w:space="0" w:color="auto"/>
                            <w:left w:val="none" w:sz="0" w:space="0" w:color="auto"/>
                            <w:bottom w:val="none" w:sz="0" w:space="0" w:color="auto"/>
                            <w:right w:val="none" w:sz="0" w:space="0" w:color="auto"/>
                          </w:divBdr>
                          <w:divsChild>
                            <w:div w:id="202316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56093">
      <w:bodyDiv w:val="1"/>
      <w:marLeft w:val="0"/>
      <w:marRight w:val="0"/>
      <w:marTop w:val="0"/>
      <w:marBottom w:val="0"/>
      <w:divBdr>
        <w:top w:val="none" w:sz="0" w:space="0" w:color="auto"/>
        <w:left w:val="none" w:sz="0" w:space="0" w:color="auto"/>
        <w:bottom w:val="none" w:sz="0" w:space="0" w:color="auto"/>
        <w:right w:val="none" w:sz="0" w:space="0" w:color="auto"/>
      </w:divBdr>
    </w:div>
    <w:div w:id="145365669">
      <w:bodyDiv w:val="1"/>
      <w:marLeft w:val="0"/>
      <w:marRight w:val="0"/>
      <w:marTop w:val="0"/>
      <w:marBottom w:val="0"/>
      <w:divBdr>
        <w:top w:val="none" w:sz="0" w:space="0" w:color="auto"/>
        <w:left w:val="none" w:sz="0" w:space="0" w:color="auto"/>
        <w:bottom w:val="none" w:sz="0" w:space="0" w:color="auto"/>
        <w:right w:val="none" w:sz="0" w:space="0" w:color="auto"/>
      </w:divBdr>
    </w:div>
    <w:div w:id="146868482">
      <w:bodyDiv w:val="1"/>
      <w:marLeft w:val="0"/>
      <w:marRight w:val="0"/>
      <w:marTop w:val="0"/>
      <w:marBottom w:val="0"/>
      <w:divBdr>
        <w:top w:val="none" w:sz="0" w:space="0" w:color="auto"/>
        <w:left w:val="none" w:sz="0" w:space="0" w:color="auto"/>
        <w:bottom w:val="none" w:sz="0" w:space="0" w:color="auto"/>
        <w:right w:val="none" w:sz="0" w:space="0" w:color="auto"/>
      </w:divBdr>
    </w:div>
    <w:div w:id="150414450">
      <w:bodyDiv w:val="1"/>
      <w:marLeft w:val="0"/>
      <w:marRight w:val="0"/>
      <w:marTop w:val="0"/>
      <w:marBottom w:val="0"/>
      <w:divBdr>
        <w:top w:val="none" w:sz="0" w:space="0" w:color="auto"/>
        <w:left w:val="none" w:sz="0" w:space="0" w:color="auto"/>
        <w:bottom w:val="none" w:sz="0" w:space="0" w:color="auto"/>
        <w:right w:val="none" w:sz="0" w:space="0" w:color="auto"/>
      </w:divBdr>
      <w:divsChild>
        <w:div w:id="1032456009">
          <w:marLeft w:val="0"/>
          <w:marRight w:val="0"/>
          <w:marTop w:val="0"/>
          <w:marBottom w:val="0"/>
          <w:divBdr>
            <w:top w:val="none" w:sz="0" w:space="0" w:color="auto"/>
            <w:left w:val="none" w:sz="0" w:space="0" w:color="auto"/>
            <w:bottom w:val="none" w:sz="0" w:space="0" w:color="auto"/>
            <w:right w:val="none" w:sz="0" w:space="0" w:color="auto"/>
          </w:divBdr>
          <w:divsChild>
            <w:div w:id="2083404275">
              <w:marLeft w:val="0"/>
              <w:marRight w:val="0"/>
              <w:marTop w:val="0"/>
              <w:marBottom w:val="0"/>
              <w:divBdr>
                <w:top w:val="none" w:sz="0" w:space="0" w:color="auto"/>
                <w:left w:val="none" w:sz="0" w:space="0" w:color="auto"/>
                <w:bottom w:val="none" w:sz="0" w:space="0" w:color="auto"/>
                <w:right w:val="none" w:sz="0" w:space="0" w:color="auto"/>
              </w:divBdr>
              <w:divsChild>
                <w:div w:id="1890221054">
                  <w:marLeft w:val="0"/>
                  <w:marRight w:val="0"/>
                  <w:marTop w:val="0"/>
                  <w:marBottom w:val="0"/>
                  <w:divBdr>
                    <w:top w:val="none" w:sz="0" w:space="0" w:color="auto"/>
                    <w:left w:val="none" w:sz="0" w:space="0" w:color="auto"/>
                    <w:bottom w:val="none" w:sz="0" w:space="0" w:color="auto"/>
                    <w:right w:val="none" w:sz="0" w:space="0" w:color="auto"/>
                  </w:divBdr>
                  <w:divsChild>
                    <w:div w:id="1707637581">
                      <w:marLeft w:val="0"/>
                      <w:marRight w:val="0"/>
                      <w:marTop w:val="0"/>
                      <w:marBottom w:val="0"/>
                      <w:divBdr>
                        <w:top w:val="none" w:sz="0" w:space="0" w:color="auto"/>
                        <w:left w:val="none" w:sz="0" w:space="0" w:color="auto"/>
                        <w:bottom w:val="none" w:sz="0" w:space="0" w:color="auto"/>
                        <w:right w:val="none" w:sz="0" w:space="0" w:color="auto"/>
                      </w:divBdr>
                      <w:divsChild>
                        <w:div w:id="1415973574">
                          <w:marLeft w:val="0"/>
                          <w:marRight w:val="0"/>
                          <w:marTop w:val="0"/>
                          <w:marBottom w:val="0"/>
                          <w:divBdr>
                            <w:top w:val="none" w:sz="0" w:space="0" w:color="auto"/>
                            <w:left w:val="none" w:sz="0" w:space="0" w:color="auto"/>
                            <w:bottom w:val="none" w:sz="0" w:space="0" w:color="auto"/>
                            <w:right w:val="none" w:sz="0" w:space="0" w:color="auto"/>
                          </w:divBdr>
                          <w:divsChild>
                            <w:div w:id="20698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88745">
      <w:bodyDiv w:val="1"/>
      <w:marLeft w:val="0"/>
      <w:marRight w:val="0"/>
      <w:marTop w:val="0"/>
      <w:marBottom w:val="0"/>
      <w:divBdr>
        <w:top w:val="none" w:sz="0" w:space="0" w:color="auto"/>
        <w:left w:val="none" w:sz="0" w:space="0" w:color="auto"/>
        <w:bottom w:val="none" w:sz="0" w:space="0" w:color="auto"/>
        <w:right w:val="none" w:sz="0" w:space="0" w:color="auto"/>
      </w:divBdr>
    </w:div>
    <w:div w:id="176387801">
      <w:bodyDiv w:val="1"/>
      <w:marLeft w:val="0"/>
      <w:marRight w:val="0"/>
      <w:marTop w:val="0"/>
      <w:marBottom w:val="0"/>
      <w:divBdr>
        <w:top w:val="none" w:sz="0" w:space="0" w:color="auto"/>
        <w:left w:val="none" w:sz="0" w:space="0" w:color="auto"/>
        <w:bottom w:val="none" w:sz="0" w:space="0" w:color="auto"/>
        <w:right w:val="none" w:sz="0" w:space="0" w:color="auto"/>
      </w:divBdr>
    </w:div>
    <w:div w:id="193232463">
      <w:bodyDiv w:val="1"/>
      <w:marLeft w:val="0"/>
      <w:marRight w:val="0"/>
      <w:marTop w:val="0"/>
      <w:marBottom w:val="0"/>
      <w:divBdr>
        <w:top w:val="none" w:sz="0" w:space="0" w:color="auto"/>
        <w:left w:val="none" w:sz="0" w:space="0" w:color="auto"/>
        <w:bottom w:val="none" w:sz="0" w:space="0" w:color="auto"/>
        <w:right w:val="none" w:sz="0" w:space="0" w:color="auto"/>
      </w:divBdr>
    </w:div>
    <w:div w:id="194582985">
      <w:bodyDiv w:val="1"/>
      <w:marLeft w:val="0"/>
      <w:marRight w:val="0"/>
      <w:marTop w:val="0"/>
      <w:marBottom w:val="0"/>
      <w:divBdr>
        <w:top w:val="none" w:sz="0" w:space="0" w:color="auto"/>
        <w:left w:val="none" w:sz="0" w:space="0" w:color="auto"/>
        <w:bottom w:val="none" w:sz="0" w:space="0" w:color="auto"/>
        <w:right w:val="none" w:sz="0" w:space="0" w:color="auto"/>
      </w:divBdr>
    </w:div>
    <w:div w:id="214392252">
      <w:bodyDiv w:val="1"/>
      <w:marLeft w:val="0"/>
      <w:marRight w:val="0"/>
      <w:marTop w:val="0"/>
      <w:marBottom w:val="0"/>
      <w:divBdr>
        <w:top w:val="none" w:sz="0" w:space="0" w:color="auto"/>
        <w:left w:val="none" w:sz="0" w:space="0" w:color="auto"/>
        <w:bottom w:val="none" w:sz="0" w:space="0" w:color="auto"/>
        <w:right w:val="none" w:sz="0" w:space="0" w:color="auto"/>
      </w:divBdr>
    </w:div>
    <w:div w:id="220408116">
      <w:bodyDiv w:val="1"/>
      <w:marLeft w:val="0"/>
      <w:marRight w:val="0"/>
      <w:marTop w:val="0"/>
      <w:marBottom w:val="0"/>
      <w:divBdr>
        <w:top w:val="none" w:sz="0" w:space="0" w:color="auto"/>
        <w:left w:val="none" w:sz="0" w:space="0" w:color="auto"/>
        <w:bottom w:val="none" w:sz="0" w:space="0" w:color="auto"/>
        <w:right w:val="none" w:sz="0" w:space="0" w:color="auto"/>
      </w:divBdr>
      <w:divsChild>
        <w:div w:id="475998748">
          <w:marLeft w:val="0"/>
          <w:marRight w:val="0"/>
          <w:marTop w:val="0"/>
          <w:marBottom w:val="0"/>
          <w:divBdr>
            <w:top w:val="none" w:sz="0" w:space="0" w:color="auto"/>
            <w:left w:val="none" w:sz="0" w:space="0" w:color="auto"/>
            <w:bottom w:val="none" w:sz="0" w:space="0" w:color="auto"/>
            <w:right w:val="none" w:sz="0" w:space="0" w:color="auto"/>
          </w:divBdr>
          <w:divsChild>
            <w:div w:id="1736010683">
              <w:marLeft w:val="0"/>
              <w:marRight w:val="0"/>
              <w:marTop w:val="0"/>
              <w:marBottom w:val="0"/>
              <w:divBdr>
                <w:top w:val="none" w:sz="0" w:space="0" w:color="auto"/>
                <w:left w:val="none" w:sz="0" w:space="0" w:color="auto"/>
                <w:bottom w:val="none" w:sz="0" w:space="0" w:color="auto"/>
                <w:right w:val="none" w:sz="0" w:space="0" w:color="auto"/>
              </w:divBdr>
              <w:divsChild>
                <w:div w:id="493954297">
                  <w:marLeft w:val="0"/>
                  <w:marRight w:val="0"/>
                  <w:marTop w:val="0"/>
                  <w:marBottom w:val="0"/>
                  <w:divBdr>
                    <w:top w:val="none" w:sz="0" w:space="0" w:color="auto"/>
                    <w:left w:val="none" w:sz="0" w:space="0" w:color="auto"/>
                    <w:bottom w:val="none" w:sz="0" w:space="0" w:color="auto"/>
                    <w:right w:val="none" w:sz="0" w:space="0" w:color="auto"/>
                  </w:divBdr>
                  <w:divsChild>
                    <w:div w:id="110782519">
                      <w:marLeft w:val="0"/>
                      <w:marRight w:val="0"/>
                      <w:marTop w:val="0"/>
                      <w:marBottom w:val="0"/>
                      <w:divBdr>
                        <w:top w:val="none" w:sz="0" w:space="0" w:color="auto"/>
                        <w:left w:val="none" w:sz="0" w:space="0" w:color="auto"/>
                        <w:bottom w:val="none" w:sz="0" w:space="0" w:color="auto"/>
                        <w:right w:val="none" w:sz="0" w:space="0" w:color="auto"/>
                      </w:divBdr>
                      <w:divsChild>
                        <w:div w:id="1273517706">
                          <w:marLeft w:val="0"/>
                          <w:marRight w:val="0"/>
                          <w:marTop w:val="0"/>
                          <w:marBottom w:val="0"/>
                          <w:divBdr>
                            <w:top w:val="none" w:sz="0" w:space="0" w:color="auto"/>
                            <w:left w:val="none" w:sz="0" w:space="0" w:color="auto"/>
                            <w:bottom w:val="none" w:sz="0" w:space="0" w:color="auto"/>
                            <w:right w:val="none" w:sz="0" w:space="0" w:color="auto"/>
                          </w:divBdr>
                          <w:divsChild>
                            <w:div w:id="35076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338626">
      <w:bodyDiv w:val="1"/>
      <w:marLeft w:val="0"/>
      <w:marRight w:val="0"/>
      <w:marTop w:val="0"/>
      <w:marBottom w:val="0"/>
      <w:divBdr>
        <w:top w:val="none" w:sz="0" w:space="0" w:color="auto"/>
        <w:left w:val="none" w:sz="0" w:space="0" w:color="auto"/>
        <w:bottom w:val="none" w:sz="0" w:space="0" w:color="auto"/>
        <w:right w:val="none" w:sz="0" w:space="0" w:color="auto"/>
      </w:divBdr>
    </w:div>
    <w:div w:id="228661404">
      <w:bodyDiv w:val="1"/>
      <w:marLeft w:val="0"/>
      <w:marRight w:val="0"/>
      <w:marTop w:val="0"/>
      <w:marBottom w:val="0"/>
      <w:divBdr>
        <w:top w:val="none" w:sz="0" w:space="0" w:color="auto"/>
        <w:left w:val="none" w:sz="0" w:space="0" w:color="auto"/>
        <w:bottom w:val="none" w:sz="0" w:space="0" w:color="auto"/>
        <w:right w:val="none" w:sz="0" w:space="0" w:color="auto"/>
      </w:divBdr>
      <w:divsChild>
        <w:div w:id="1514492627">
          <w:marLeft w:val="0"/>
          <w:marRight w:val="0"/>
          <w:marTop w:val="0"/>
          <w:marBottom w:val="0"/>
          <w:divBdr>
            <w:top w:val="none" w:sz="0" w:space="0" w:color="auto"/>
            <w:left w:val="none" w:sz="0" w:space="0" w:color="auto"/>
            <w:bottom w:val="none" w:sz="0" w:space="0" w:color="auto"/>
            <w:right w:val="none" w:sz="0" w:space="0" w:color="auto"/>
          </w:divBdr>
          <w:divsChild>
            <w:div w:id="1043557843">
              <w:marLeft w:val="0"/>
              <w:marRight w:val="0"/>
              <w:marTop w:val="0"/>
              <w:marBottom w:val="0"/>
              <w:divBdr>
                <w:top w:val="none" w:sz="0" w:space="0" w:color="auto"/>
                <w:left w:val="none" w:sz="0" w:space="0" w:color="auto"/>
                <w:bottom w:val="none" w:sz="0" w:space="0" w:color="auto"/>
                <w:right w:val="none" w:sz="0" w:space="0" w:color="auto"/>
              </w:divBdr>
              <w:divsChild>
                <w:div w:id="548690682">
                  <w:marLeft w:val="0"/>
                  <w:marRight w:val="0"/>
                  <w:marTop w:val="0"/>
                  <w:marBottom w:val="0"/>
                  <w:divBdr>
                    <w:top w:val="none" w:sz="0" w:space="0" w:color="auto"/>
                    <w:left w:val="none" w:sz="0" w:space="0" w:color="auto"/>
                    <w:bottom w:val="none" w:sz="0" w:space="0" w:color="auto"/>
                    <w:right w:val="none" w:sz="0" w:space="0" w:color="auto"/>
                  </w:divBdr>
                  <w:divsChild>
                    <w:div w:id="1771778953">
                      <w:marLeft w:val="0"/>
                      <w:marRight w:val="0"/>
                      <w:marTop w:val="0"/>
                      <w:marBottom w:val="0"/>
                      <w:divBdr>
                        <w:top w:val="none" w:sz="0" w:space="0" w:color="auto"/>
                        <w:left w:val="none" w:sz="0" w:space="0" w:color="auto"/>
                        <w:bottom w:val="none" w:sz="0" w:space="0" w:color="auto"/>
                        <w:right w:val="none" w:sz="0" w:space="0" w:color="auto"/>
                      </w:divBdr>
                      <w:divsChild>
                        <w:div w:id="1363944670">
                          <w:marLeft w:val="0"/>
                          <w:marRight w:val="0"/>
                          <w:marTop w:val="0"/>
                          <w:marBottom w:val="0"/>
                          <w:divBdr>
                            <w:top w:val="none" w:sz="0" w:space="0" w:color="auto"/>
                            <w:left w:val="none" w:sz="0" w:space="0" w:color="auto"/>
                            <w:bottom w:val="none" w:sz="0" w:space="0" w:color="auto"/>
                            <w:right w:val="none" w:sz="0" w:space="0" w:color="auto"/>
                          </w:divBdr>
                          <w:divsChild>
                            <w:div w:id="18283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090729">
      <w:bodyDiv w:val="1"/>
      <w:marLeft w:val="0"/>
      <w:marRight w:val="0"/>
      <w:marTop w:val="0"/>
      <w:marBottom w:val="0"/>
      <w:divBdr>
        <w:top w:val="none" w:sz="0" w:space="0" w:color="auto"/>
        <w:left w:val="none" w:sz="0" w:space="0" w:color="auto"/>
        <w:bottom w:val="none" w:sz="0" w:space="0" w:color="auto"/>
        <w:right w:val="none" w:sz="0" w:space="0" w:color="auto"/>
      </w:divBdr>
    </w:div>
    <w:div w:id="236981297">
      <w:bodyDiv w:val="1"/>
      <w:marLeft w:val="0"/>
      <w:marRight w:val="0"/>
      <w:marTop w:val="0"/>
      <w:marBottom w:val="0"/>
      <w:divBdr>
        <w:top w:val="none" w:sz="0" w:space="0" w:color="auto"/>
        <w:left w:val="none" w:sz="0" w:space="0" w:color="auto"/>
        <w:bottom w:val="none" w:sz="0" w:space="0" w:color="auto"/>
        <w:right w:val="none" w:sz="0" w:space="0" w:color="auto"/>
      </w:divBdr>
    </w:div>
    <w:div w:id="238368764">
      <w:bodyDiv w:val="1"/>
      <w:marLeft w:val="0"/>
      <w:marRight w:val="0"/>
      <w:marTop w:val="0"/>
      <w:marBottom w:val="0"/>
      <w:divBdr>
        <w:top w:val="none" w:sz="0" w:space="0" w:color="auto"/>
        <w:left w:val="none" w:sz="0" w:space="0" w:color="auto"/>
        <w:bottom w:val="none" w:sz="0" w:space="0" w:color="auto"/>
        <w:right w:val="none" w:sz="0" w:space="0" w:color="auto"/>
      </w:divBdr>
    </w:div>
    <w:div w:id="242766323">
      <w:bodyDiv w:val="1"/>
      <w:marLeft w:val="0"/>
      <w:marRight w:val="0"/>
      <w:marTop w:val="0"/>
      <w:marBottom w:val="0"/>
      <w:divBdr>
        <w:top w:val="none" w:sz="0" w:space="0" w:color="auto"/>
        <w:left w:val="none" w:sz="0" w:space="0" w:color="auto"/>
        <w:bottom w:val="none" w:sz="0" w:space="0" w:color="auto"/>
        <w:right w:val="none" w:sz="0" w:space="0" w:color="auto"/>
      </w:divBdr>
    </w:div>
    <w:div w:id="242956142">
      <w:bodyDiv w:val="1"/>
      <w:marLeft w:val="0"/>
      <w:marRight w:val="0"/>
      <w:marTop w:val="0"/>
      <w:marBottom w:val="0"/>
      <w:divBdr>
        <w:top w:val="none" w:sz="0" w:space="0" w:color="auto"/>
        <w:left w:val="none" w:sz="0" w:space="0" w:color="auto"/>
        <w:bottom w:val="none" w:sz="0" w:space="0" w:color="auto"/>
        <w:right w:val="none" w:sz="0" w:space="0" w:color="auto"/>
      </w:divBdr>
    </w:div>
    <w:div w:id="266885200">
      <w:bodyDiv w:val="1"/>
      <w:marLeft w:val="0"/>
      <w:marRight w:val="0"/>
      <w:marTop w:val="0"/>
      <w:marBottom w:val="0"/>
      <w:divBdr>
        <w:top w:val="none" w:sz="0" w:space="0" w:color="auto"/>
        <w:left w:val="none" w:sz="0" w:space="0" w:color="auto"/>
        <w:bottom w:val="none" w:sz="0" w:space="0" w:color="auto"/>
        <w:right w:val="none" w:sz="0" w:space="0" w:color="auto"/>
      </w:divBdr>
    </w:div>
    <w:div w:id="276957424">
      <w:bodyDiv w:val="1"/>
      <w:marLeft w:val="0"/>
      <w:marRight w:val="0"/>
      <w:marTop w:val="0"/>
      <w:marBottom w:val="0"/>
      <w:divBdr>
        <w:top w:val="none" w:sz="0" w:space="0" w:color="auto"/>
        <w:left w:val="none" w:sz="0" w:space="0" w:color="auto"/>
        <w:bottom w:val="none" w:sz="0" w:space="0" w:color="auto"/>
        <w:right w:val="none" w:sz="0" w:space="0" w:color="auto"/>
      </w:divBdr>
      <w:divsChild>
        <w:div w:id="1372732594">
          <w:marLeft w:val="0"/>
          <w:marRight w:val="0"/>
          <w:marTop w:val="0"/>
          <w:marBottom w:val="0"/>
          <w:divBdr>
            <w:top w:val="none" w:sz="0" w:space="0" w:color="auto"/>
            <w:left w:val="none" w:sz="0" w:space="0" w:color="auto"/>
            <w:bottom w:val="none" w:sz="0" w:space="0" w:color="auto"/>
            <w:right w:val="none" w:sz="0" w:space="0" w:color="auto"/>
          </w:divBdr>
          <w:divsChild>
            <w:div w:id="1669676202">
              <w:marLeft w:val="0"/>
              <w:marRight w:val="0"/>
              <w:marTop w:val="0"/>
              <w:marBottom w:val="0"/>
              <w:divBdr>
                <w:top w:val="none" w:sz="0" w:space="0" w:color="auto"/>
                <w:left w:val="none" w:sz="0" w:space="0" w:color="auto"/>
                <w:bottom w:val="none" w:sz="0" w:space="0" w:color="auto"/>
                <w:right w:val="none" w:sz="0" w:space="0" w:color="auto"/>
              </w:divBdr>
              <w:divsChild>
                <w:div w:id="1262254768">
                  <w:marLeft w:val="0"/>
                  <w:marRight w:val="0"/>
                  <w:marTop w:val="0"/>
                  <w:marBottom w:val="0"/>
                  <w:divBdr>
                    <w:top w:val="none" w:sz="0" w:space="0" w:color="auto"/>
                    <w:left w:val="none" w:sz="0" w:space="0" w:color="auto"/>
                    <w:bottom w:val="none" w:sz="0" w:space="0" w:color="auto"/>
                    <w:right w:val="none" w:sz="0" w:space="0" w:color="auto"/>
                  </w:divBdr>
                  <w:divsChild>
                    <w:div w:id="954871610">
                      <w:marLeft w:val="0"/>
                      <w:marRight w:val="0"/>
                      <w:marTop w:val="0"/>
                      <w:marBottom w:val="0"/>
                      <w:divBdr>
                        <w:top w:val="none" w:sz="0" w:space="0" w:color="auto"/>
                        <w:left w:val="none" w:sz="0" w:space="0" w:color="auto"/>
                        <w:bottom w:val="none" w:sz="0" w:space="0" w:color="auto"/>
                        <w:right w:val="none" w:sz="0" w:space="0" w:color="auto"/>
                      </w:divBdr>
                      <w:divsChild>
                        <w:div w:id="2023897070">
                          <w:marLeft w:val="0"/>
                          <w:marRight w:val="0"/>
                          <w:marTop w:val="0"/>
                          <w:marBottom w:val="0"/>
                          <w:divBdr>
                            <w:top w:val="none" w:sz="0" w:space="0" w:color="auto"/>
                            <w:left w:val="none" w:sz="0" w:space="0" w:color="auto"/>
                            <w:bottom w:val="none" w:sz="0" w:space="0" w:color="auto"/>
                            <w:right w:val="none" w:sz="0" w:space="0" w:color="auto"/>
                          </w:divBdr>
                          <w:divsChild>
                            <w:div w:id="62050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654401">
      <w:bodyDiv w:val="1"/>
      <w:marLeft w:val="0"/>
      <w:marRight w:val="0"/>
      <w:marTop w:val="0"/>
      <w:marBottom w:val="0"/>
      <w:divBdr>
        <w:top w:val="none" w:sz="0" w:space="0" w:color="auto"/>
        <w:left w:val="none" w:sz="0" w:space="0" w:color="auto"/>
        <w:bottom w:val="none" w:sz="0" w:space="0" w:color="auto"/>
        <w:right w:val="none" w:sz="0" w:space="0" w:color="auto"/>
      </w:divBdr>
    </w:div>
    <w:div w:id="303319207">
      <w:bodyDiv w:val="1"/>
      <w:marLeft w:val="0"/>
      <w:marRight w:val="0"/>
      <w:marTop w:val="0"/>
      <w:marBottom w:val="0"/>
      <w:divBdr>
        <w:top w:val="none" w:sz="0" w:space="0" w:color="auto"/>
        <w:left w:val="none" w:sz="0" w:space="0" w:color="auto"/>
        <w:bottom w:val="none" w:sz="0" w:space="0" w:color="auto"/>
        <w:right w:val="none" w:sz="0" w:space="0" w:color="auto"/>
      </w:divBdr>
    </w:div>
    <w:div w:id="320501637">
      <w:bodyDiv w:val="1"/>
      <w:marLeft w:val="0"/>
      <w:marRight w:val="0"/>
      <w:marTop w:val="0"/>
      <w:marBottom w:val="0"/>
      <w:divBdr>
        <w:top w:val="none" w:sz="0" w:space="0" w:color="auto"/>
        <w:left w:val="none" w:sz="0" w:space="0" w:color="auto"/>
        <w:bottom w:val="none" w:sz="0" w:space="0" w:color="auto"/>
        <w:right w:val="none" w:sz="0" w:space="0" w:color="auto"/>
      </w:divBdr>
    </w:div>
    <w:div w:id="325279858">
      <w:bodyDiv w:val="1"/>
      <w:marLeft w:val="0"/>
      <w:marRight w:val="0"/>
      <w:marTop w:val="0"/>
      <w:marBottom w:val="0"/>
      <w:divBdr>
        <w:top w:val="none" w:sz="0" w:space="0" w:color="auto"/>
        <w:left w:val="none" w:sz="0" w:space="0" w:color="auto"/>
        <w:bottom w:val="none" w:sz="0" w:space="0" w:color="auto"/>
        <w:right w:val="none" w:sz="0" w:space="0" w:color="auto"/>
      </w:divBdr>
    </w:div>
    <w:div w:id="337923732">
      <w:bodyDiv w:val="1"/>
      <w:marLeft w:val="0"/>
      <w:marRight w:val="0"/>
      <w:marTop w:val="0"/>
      <w:marBottom w:val="0"/>
      <w:divBdr>
        <w:top w:val="none" w:sz="0" w:space="0" w:color="auto"/>
        <w:left w:val="none" w:sz="0" w:space="0" w:color="auto"/>
        <w:bottom w:val="none" w:sz="0" w:space="0" w:color="auto"/>
        <w:right w:val="none" w:sz="0" w:space="0" w:color="auto"/>
      </w:divBdr>
    </w:div>
    <w:div w:id="360325318">
      <w:bodyDiv w:val="1"/>
      <w:marLeft w:val="0"/>
      <w:marRight w:val="0"/>
      <w:marTop w:val="0"/>
      <w:marBottom w:val="0"/>
      <w:divBdr>
        <w:top w:val="none" w:sz="0" w:space="0" w:color="auto"/>
        <w:left w:val="none" w:sz="0" w:space="0" w:color="auto"/>
        <w:bottom w:val="none" w:sz="0" w:space="0" w:color="auto"/>
        <w:right w:val="none" w:sz="0" w:space="0" w:color="auto"/>
      </w:divBdr>
    </w:div>
    <w:div w:id="361784426">
      <w:bodyDiv w:val="1"/>
      <w:marLeft w:val="0"/>
      <w:marRight w:val="0"/>
      <w:marTop w:val="0"/>
      <w:marBottom w:val="0"/>
      <w:divBdr>
        <w:top w:val="none" w:sz="0" w:space="0" w:color="auto"/>
        <w:left w:val="none" w:sz="0" w:space="0" w:color="auto"/>
        <w:bottom w:val="none" w:sz="0" w:space="0" w:color="auto"/>
        <w:right w:val="none" w:sz="0" w:space="0" w:color="auto"/>
      </w:divBdr>
    </w:div>
    <w:div w:id="369721145">
      <w:bodyDiv w:val="1"/>
      <w:marLeft w:val="0"/>
      <w:marRight w:val="0"/>
      <w:marTop w:val="0"/>
      <w:marBottom w:val="0"/>
      <w:divBdr>
        <w:top w:val="none" w:sz="0" w:space="0" w:color="auto"/>
        <w:left w:val="none" w:sz="0" w:space="0" w:color="auto"/>
        <w:bottom w:val="none" w:sz="0" w:space="0" w:color="auto"/>
        <w:right w:val="none" w:sz="0" w:space="0" w:color="auto"/>
      </w:divBdr>
    </w:div>
    <w:div w:id="372461872">
      <w:bodyDiv w:val="1"/>
      <w:marLeft w:val="0"/>
      <w:marRight w:val="0"/>
      <w:marTop w:val="0"/>
      <w:marBottom w:val="0"/>
      <w:divBdr>
        <w:top w:val="none" w:sz="0" w:space="0" w:color="auto"/>
        <w:left w:val="none" w:sz="0" w:space="0" w:color="auto"/>
        <w:bottom w:val="none" w:sz="0" w:space="0" w:color="auto"/>
        <w:right w:val="none" w:sz="0" w:space="0" w:color="auto"/>
      </w:divBdr>
    </w:div>
    <w:div w:id="380398051">
      <w:bodyDiv w:val="1"/>
      <w:marLeft w:val="0"/>
      <w:marRight w:val="0"/>
      <w:marTop w:val="0"/>
      <w:marBottom w:val="0"/>
      <w:divBdr>
        <w:top w:val="none" w:sz="0" w:space="0" w:color="auto"/>
        <w:left w:val="none" w:sz="0" w:space="0" w:color="auto"/>
        <w:bottom w:val="none" w:sz="0" w:space="0" w:color="auto"/>
        <w:right w:val="none" w:sz="0" w:space="0" w:color="auto"/>
      </w:divBdr>
    </w:div>
    <w:div w:id="396705601">
      <w:bodyDiv w:val="1"/>
      <w:marLeft w:val="0"/>
      <w:marRight w:val="0"/>
      <w:marTop w:val="0"/>
      <w:marBottom w:val="0"/>
      <w:divBdr>
        <w:top w:val="none" w:sz="0" w:space="0" w:color="auto"/>
        <w:left w:val="none" w:sz="0" w:space="0" w:color="auto"/>
        <w:bottom w:val="none" w:sz="0" w:space="0" w:color="auto"/>
        <w:right w:val="none" w:sz="0" w:space="0" w:color="auto"/>
      </w:divBdr>
    </w:div>
    <w:div w:id="414207952">
      <w:bodyDiv w:val="1"/>
      <w:marLeft w:val="0"/>
      <w:marRight w:val="0"/>
      <w:marTop w:val="0"/>
      <w:marBottom w:val="0"/>
      <w:divBdr>
        <w:top w:val="none" w:sz="0" w:space="0" w:color="auto"/>
        <w:left w:val="none" w:sz="0" w:space="0" w:color="auto"/>
        <w:bottom w:val="none" w:sz="0" w:space="0" w:color="auto"/>
        <w:right w:val="none" w:sz="0" w:space="0" w:color="auto"/>
      </w:divBdr>
    </w:div>
    <w:div w:id="420758672">
      <w:bodyDiv w:val="1"/>
      <w:marLeft w:val="0"/>
      <w:marRight w:val="0"/>
      <w:marTop w:val="0"/>
      <w:marBottom w:val="0"/>
      <w:divBdr>
        <w:top w:val="none" w:sz="0" w:space="0" w:color="auto"/>
        <w:left w:val="none" w:sz="0" w:space="0" w:color="auto"/>
        <w:bottom w:val="none" w:sz="0" w:space="0" w:color="auto"/>
        <w:right w:val="none" w:sz="0" w:space="0" w:color="auto"/>
      </w:divBdr>
      <w:divsChild>
        <w:div w:id="1092624283">
          <w:marLeft w:val="0"/>
          <w:marRight w:val="0"/>
          <w:marTop w:val="0"/>
          <w:marBottom w:val="0"/>
          <w:divBdr>
            <w:top w:val="none" w:sz="0" w:space="0" w:color="auto"/>
            <w:left w:val="none" w:sz="0" w:space="0" w:color="auto"/>
            <w:bottom w:val="none" w:sz="0" w:space="0" w:color="auto"/>
            <w:right w:val="none" w:sz="0" w:space="0" w:color="auto"/>
          </w:divBdr>
          <w:divsChild>
            <w:div w:id="486408811">
              <w:marLeft w:val="0"/>
              <w:marRight w:val="0"/>
              <w:marTop w:val="0"/>
              <w:marBottom w:val="0"/>
              <w:divBdr>
                <w:top w:val="none" w:sz="0" w:space="0" w:color="auto"/>
                <w:left w:val="none" w:sz="0" w:space="0" w:color="auto"/>
                <w:bottom w:val="none" w:sz="0" w:space="0" w:color="auto"/>
                <w:right w:val="none" w:sz="0" w:space="0" w:color="auto"/>
              </w:divBdr>
              <w:divsChild>
                <w:div w:id="1909222305">
                  <w:marLeft w:val="0"/>
                  <w:marRight w:val="0"/>
                  <w:marTop w:val="0"/>
                  <w:marBottom w:val="0"/>
                  <w:divBdr>
                    <w:top w:val="none" w:sz="0" w:space="0" w:color="auto"/>
                    <w:left w:val="none" w:sz="0" w:space="0" w:color="auto"/>
                    <w:bottom w:val="none" w:sz="0" w:space="0" w:color="auto"/>
                    <w:right w:val="none" w:sz="0" w:space="0" w:color="auto"/>
                  </w:divBdr>
                  <w:divsChild>
                    <w:div w:id="1642149835">
                      <w:marLeft w:val="0"/>
                      <w:marRight w:val="0"/>
                      <w:marTop w:val="0"/>
                      <w:marBottom w:val="0"/>
                      <w:divBdr>
                        <w:top w:val="none" w:sz="0" w:space="0" w:color="auto"/>
                        <w:left w:val="none" w:sz="0" w:space="0" w:color="auto"/>
                        <w:bottom w:val="none" w:sz="0" w:space="0" w:color="auto"/>
                        <w:right w:val="none" w:sz="0" w:space="0" w:color="auto"/>
                      </w:divBdr>
                      <w:divsChild>
                        <w:div w:id="775247390">
                          <w:marLeft w:val="0"/>
                          <w:marRight w:val="0"/>
                          <w:marTop w:val="0"/>
                          <w:marBottom w:val="0"/>
                          <w:divBdr>
                            <w:top w:val="none" w:sz="0" w:space="0" w:color="auto"/>
                            <w:left w:val="none" w:sz="0" w:space="0" w:color="auto"/>
                            <w:bottom w:val="none" w:sz="0" w:space="0" w:color="auto"/>
                            <w:right w:val="none" w:sz="0" w:space="0" w:color="auto"/>
                          </w:divBdr>
                          <w:divsChild>
                            <w:div w:id="189026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954125">
      <w:bodyDiv w:val="1"/>
      <w:marLeft w:val="0"/>
      <w:marRight w:val="0"/>
      <w:marTop w:val="0"/>
      <w:marBottom w:val="0"/>
      <w:divBdr>
        <w:top w:val="none" w:sz="0" w:space="0" w:color="auto"/>
        <w:left w:val="none" w:sz="0" w:space="0" w:color="auto"/>
        <w:bottom w:val="none" w:sz="0" w:space="0" w:color="auto"/>
        <w:right w:val="none" w:sz="0" w:space="0" w:color="auto"/>
      </w:divBdr>
    </w:div>
    <w:div w:id="430708307">
      <w:bodyDiv w:val="1"/>
      <w:marLeft w:val="0"/>
      <w:marRight w:val="0"/>
      <w:marTop w:val="0"/>
      <w:marBottom w:val="0"/>
      <w:divBdr>
        <w:top w:val="none" w:sz="0" w:space="0" w:color="auto"/>
        <w:left w:val="none" w:sz="0" w:space="0" w:color="auto"/>
        <w:bottom w:val="none" w:sz="0" w:space="0" w:color="auto"/>
        <w:right w:val="none" w:sz="0" w:space="0" w:color="auto"/>
      </w:divBdr>
    </w:div>
    <w:div w:id="445349035">
      <w:bodyDiv w:val="1"/>
      <w:marLeft w:val="0"/>
      <w:marRight w:val="0"/>
      <w:marTop w:val="0"/>
      <w:marBottom w:val="0"/>
      <w:divBdr>
        <w:top w:val="none" w:sz="0" w:space="0" w:color="auto"/>
        <w:left w:val="none" w:sz="0" w:space="0" w:color="auto"/>
        <w:bottom w:val="none" w:sz="0" w:space="0" w:color="auto"/>
        <w:right w:val="none" w:sz="0" w:space="0" w:color="auto"/>
      </w:divBdr>
    </w:div>
    <w:div w:id="458189383">
      <w:bodyDiv w:val="1"/>
      <w:marLeft w:val="0"/>
      <w:marRight w:val="0"/>
      <w:marTop w:val="0"/>
      <w:marBottom w:val="0"/>
      <w:divBdr>
        <w:top w:val="none" w:sz="0" w:space="0" w:color="auto"/>
        <w:left w:val="none" w:sz="0" w:space="0" w:color="auto"/>
        <w:bottom w:val="none" w:sz="0" w:space="0" w:color="auto"/>
        <w:right w:val="none" w:sz="0" w:space="0" w:color="auto"/>
      </w:divBdr>
    </w:div>
    <w:div w:id="465705217">
      <w:bodyDiv w:val="1"/>
      <w:marLeft w:val="0"/>
      <w:marRight w:val="0"/>
      <w:marTop w:val="0"/>
      <w:marBottom w:val="0"/>
      <w:divBdr>
        <w:top w:val="none" w:sz="0" w:space="0" w:color="auto"/>
        <w:left w:val="none" w:sz="0" w:space="0" w:color="auto"/>
        <w:bottom w:val="none" w:sz="0" w:space="0" w:color="auto"/>
        <w:right w:val="none" w:sz="0" w:space="0" w:color="auto"/>
      </w:divBdr>
      <w:divsChild>
        <w:div w:id="1534919007">
          <w:marLeft w:val="0"/>
          <w:marRight w:val="0"/>
          <w:marTop w:val="0"/>
          <w:marBottom w:val="0"/>
          <w:divBdr>
            <w:top w:val="none" w:sz="0" w:space="0" w:color="auto"/>
            <w:left w:val="none" w:sz="0" w:space="0" w:color="auto"/>
            <w:bottom w:val="none" w:sz="0" w:space="0" w:color="auto"/>
            <w:right w:val="none" w:sz="0" w:space="0" w:color="auto"/>
          </w:divBdr>
          <w:divsChild>
            <w:div w:id="1205292870">
              <w:marLeft w:val="0"/>
              <w:marRight w:val="0"/>
              <w:marTop w:val="0"/>
              <w:marBottom w:val="0"/>
              <w:divBdr>
                <w:top w:val="none" w:sz="0" w:space="0" w:color="auto"/>
                <w:left w:val="none" w:sz="0" w:space="0" w:color="auto"/>
                <w:bottom w:val="none" w:sz="0" w:space="0" w:color="auto"/>
                <w:right w:val="none" w:sz="0" w:space="0" w:color="auto"/>
              </w:divBdr>
              <w:divsChild>
                <w:div w:id="84303493">
                  <w:marLeft w:val="0"/>
                  <w:marRight w:val="0"/>
                  <w:marTop w:val="0"/>
                  <w:marBottom w:val="0"/>
                  <w:divBdr>
                    <w:top w:val="none" w:sz="0" w:space="0" w:color="auto"/>
                    <w:left w:val="none" w:sz="0" w:space="0" w:color="auto"/>
                    <w:bottom w:val="none" w:sz="0" w:space="0" w:color="auto"/>
                    <w:right w:val="none" w:sz="0" w:space="0" w:color="auto"/>
                  </w:divBdr>
                  <w:divsChild>
                    <w:div w:id="936905996">
                      <w:marLeft w:val="0"/>
                      <w:marRight w:val="0"/>
                      <w:marTop w:val="0"/>
                      <w:marBottom w:val="0"/>
                      <w:divBdr>
                        <w:top w:val="none" w:sz="0" w:space="0" w:color="auto"/>
                        <w:left w:val="none" w:sz="0" w:space="0" w:color="auto"/>
                        <w:bottom w:val="none" w:sz="0" w:space="0" w:color="auto"/>
                        <w:right w:val="none" w:sz="0" w:space="0" w:color="auto"/>
                      </w:divBdr>
                      <w:divsChild>
                        <w:div w:id="547453365">
                          <w:marLeft w:val="0"/>
                          <w:marRight w:val="0"/>
                          <w:marTop w:val="0"/>
                          <w:marBottom w:val="0"/>
                          <w:divBdr>
                            <w:top w:val="none" w:sz="0" w:space="0" w:color="auto"/>
                            <w:left w:val="none" w:sz="0" w:space="0" w:color="auto"/>
                            <w:bottom w:val="none" w:sz="0" w:space="0" w:color="auto"/>
                            <w:right w:val="none" w:sz="0" w:space="0" w:color="auto"/>
                          </w:divBdr>
                          <w:divsChild>
                            <w:div w:id="6752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5148689">
      <w:bodyDiv w:val="1"/>
      <w:marLeft w:val="0"/>
      <w:marRight w:val="0"/>
      <w:marTop w:val="0"/>
      <w:marBottom w:val="0"/>
      <w:divBdr>
        <w:top w:val="none" w:sz="0" w:space="0" w:color="auto"/>
        <w:left w:val="none" w:sz="0" w:space="0" w:color="auto"/>
        <w:bottom w:val="none" w:sz="0" w:space="0" w:color="auto"/>
        <w:right w:val="none" w:sz="0" w:space="0" w:color="auto"/>
      </w:divBdr>
    </w:div>
    <w:div w:id="491146231">
      <w:bodyDiv w:val="1"/>
      <w:marLeft w:val="0"/>
      <w:marRight w:val="0"/>
      <w:marTop w:val="0"/>
      <w:marBottom w:val="0"/>
      <w:divBdr>
        <w:top w:val="none" w:sz="0" w:space="0" w:color="auto"/>
        <w:left w:val="none" w:sz="0" w:space="0" w:color="auto"/>
        <w:bottom w:val="none" w:sz="0" w:space="0" w:color="auto"/>
        <w:right w:val="none" w:sz="0" w:space="0" w:color="auto"/>
      </w:divBdr>
    </w:div>
    <w:div w:id="497888833">
      <w:bodyDiv w:val="1"/>
      <w:marLeft w:val="0"/>
      <w:marRight w:val="0"/>
      <w:marTop w:val="0"/>
      <w:marBottom w:val="0"/>
      <w:divBdr>
        <w:top w:val="none" w:sz="0" w:space="0" w:color="auto"/>
        <w:left w:val="none" w:sz="0" w:space="0" w:color="auto"/>
        <w:bottom w:val="none" w:sz="0" w:space="0" w:color="auto"/>
        <w:right w:val="none" w:sz="0" w:space="0" w:color="auto"/>
      </w:divBdr>
    </w:div>
    <w:div w:id="509686921">
      <w:bodyDiv w:val="1"/>
      <w:marLeft w:val="0"/>
      <w:marRight w:val="0"/>
      <w:marTop w:val="0"/>
      <w:marBottom w:val="0"/>
      <w:divBdr>
        <w:top w:val="none" w:sz="0" w:space="0" w:color="auto"/>
        <w:left w:val="none" w:sz="0" w:space="0" w:color="auto"/>
        <w:bottom w:val="none" w:sz="0" w:space="0" w:color="auto"/>
        <w:right w:val="none" w:sz="0" w:space="0" w:color="auto"/>
      </w:divBdr>
    </w:div>
    <w:div w:id="512184960">
      <w:bodyDiv w:val="1"/>
      <w:marLeft w:val="0"/>
      <w:marRight w:val="0"/>
      <w:marTop w:val="0"/>
      <w:marBottom w:val="0"/>
      <w:divBdr>
        <w:top w:val="none" w:sz="0" w:space="0" w:color="auto"/>
        <w:left w:val="none" w:sz="0" w:space="0" w:color="auto"/>
        <w:bottom w:val="none" w:sz="0" w:space="0" w:color="auto"/>
        <w:right w:val="none" w:sz="0" w:space="0" w:color="auto"/>
      </w:divBdr>
      <w:divsChild>
        <w:div w:id="1368876897">
          <w:marLeft w:val="0"/>
          <w:marRight w:val="0"/>
          <w:marTop w:val="0"/>
          <w:marBottom w:val="0"/>
          <w:divBdr>
            <w:top w:val="none" w:sz="0" w:space="0" w:color="auto"/>
            <w:left w:val="none" w:sz="0" w:space="0" w:color="auto"/>
            <w:bottom w:val="none" w:sz="0" w:space="0" w:color="auto"/>
            <w:right w:val="none" w:sz="0" w:space="0" w:color="auto"/>
          </w:divBdr>
          <w:divsChild>
            <w:div w:id="731083973">
              <w:marLeft w:val="0"/>
              <w:marRight w:val="0"/>
              <w:marTop w:val="0"/>
              <w:marBottom w:val="0"/>
              <w:divBdr>
                <w:top w:val="none" w:sz="0" w:space="0" w:color="auto"/>
                <w:left w:val="none" w:sz="0" w:space="0" w:color="auto"/>
                <w:bottom w:val="none" w:sz="0" w:space="0" w:color="auto"/>
                <w:right w:val="none" w:sz="0" w:space="0" w:color="auto"/>
              </w:divBdr>
              <w:divsChild>
                <w:div w:id="658266306">
                  <w:marLeft w:val="0"/>
                  <w:marRight w:val="0"/>
                  <w:marTop w:val="0"/>
                  <w:marBottom w:val="0"/>
                  <w:divBdr>
                    <w:top w:val="none" w:sz="0" w:space="0" w:color="auto"/>
                    <w:left w:val="none" w:sz="0" w:space="0" w:color="auto"/>
                    <w:bottom w:val="none" w:sz="0" w:space="0" w:color="auto"/>
                    <w:right w:val="none" w:sz="0" w:space="0" w:color="auto"/>
                  </w:divBdr>
                  <w:divsChild>
                    <w:div w:id="501631309">
                      <w:marLeft w:val="0"/>
                      <w:marRight w:val="0"/>
                      <w:marTop w:val="0"/>
                      <w:marBottom w:val="0"/>
                      <w:divBdr>
                        <w:top w:val="none" w:sz="0" w:space="0" w:color="auto"/>
                        <w:left w:val="none" w:sz="0" w:space="0" w:color="auto"/>
                        <w:bottom w:val="none" w:sz="0" w:space="0" w:color="auto"/>
                        <w:right w:val="none" w:sz="0" w:space="0" w:color="auto"/>
                      </w:divBdr>
                      <w:divsChild>
                        <w:div w:id="865364730">
                          <w:marLeft w:val="0"/>
                          <w:marRight w:val="0"/>
                          <w:marTop w:val="0"/>
                          <w:marBottom w:val="0"/>
                          <w:divBdr>
                            <w:top w:val="none" w:sz="0" w:space="0" w:color="auto"/>
                            <w:left w:val="none" w:sz="0" w:space="0" w:color="auto"/>
                            <w:bottom w:val="none" w:sz="0" w:space="0" w:color="auto"/>
                            <w:right w:val="none" w:sz="0" w:space="0" w:color="auto"/>
                          </w:divBdr>
                          <w:divsChild>
                            <w:div w:id="165360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8859767">
      <w:bodyDiv w:val="1"/>
      <w:marLeft w:val="0"/>
      <w:marRight w:val="0"/>
      <w:marTop w:val="0"/>
      <w:marBottom w:val="0"/>
      <w:divBdr>
        <w:top w:val="none" w:sz="0" w:space="0" w:color="auto"/>
        <w:left w:val="none" w:sz="0" w:space="0" w:color="auto"/>
        <w:bottom w:val="none" w:sz="0" w:space="0" w:color="auto"/>
        <w:right w:val="none" w:sz="0" w:space="0" w:color="auto"/>
      </w:divBdr>
    </w:div>
    <w:div w:id="523399675">
      <w:bodyDiv w:val="1"/>
      <w:marLeft w:val="0"/>
      <w:marRight w:val="0"/>
      <w:marTop w:val="0"/>
      <w:marBottom w:val="0"/>
      <w:divBdr>
        <w:top w:val="none" w:sz="0" w:space="0" w:color="auto"/>
        <w:left w:val="none" w:sz="0" w:space="0" w:color="auto"/>
        <w:bottom w:val="none" w:sz="0" w:space="0" w:color="auto"/>
        <w:right w:val="none" w:sz="0" w:space="0" w:color="auto"/>
      </w:divBdr>
    </w:div>
    <w:div w:id="525680505">
      <w:bodyDiv w:val="1"/>
      <w:marLeft w:val="0"/>
      <w:marRight w:val="0"/>
      <w:marTop w:val="0"/>
      <w:marBottom w:val="0"/>
      <w:divBdr>
        <w:top w:val="none" w:sz="0" w:space="0" w:color="auto"/>
        <w:left w:val="none" w:sz="0" w:space="0" w:color="auto"/>
        <w:bottom w:val="none" w:sz="0" w:space="0" w:color="auto"/>
        <w:right w:val="none" w:sz="0" w:space="0" w:color="auto"/>
      </w:divBdr>
    </w:div>
    <w:div w:id="530413431">
      <w:bodyDiv w:val="1"/>
      <w:marLeft w:val="0"/>
      <w:marRight w:val="0"/>
      <w:marTop w:val="0"/>
      <w:marBottom w:val="0"/>
      <w:divBdr>
        <w:top w:val="none" w:sz="0" w:space="0" w:color="auto"/>
        <w:left w:val="none" w:sz="0" w:space="0" w:color="auto"/>
        <w:bottom w:val="none" w:sz="0" w:space="0" w:color="auto"/>
        <w:right w:val="none" w:sz="0" w:space="0" w:color="auto"/>
      </w:divBdr>
    </w:div>
    <w:div w:id="538130385">
      <w:bodyDiv w:val="1"/>
      <w:marLeft w:val="0"/>
      <w:marRight w:val="0"/>
      <w:marTop w:val="0"/>
      <w:marBottom w:val="0"/>
      <w:divBdr>
        <w:top w:val="none" w:sz="0" w:space="0" w:color="auto"/>
        <w:left w:val="none" w:sz="0" w:space="0" w:color="auto"/>
        <w:bottom w:val="none" w:sz="0" w:space="0" w:color="auto"/>
        <w:right w:val="none" w:sz="0" w:space="0" w:color="auto"/>
      </w:divBdr>
    </w:div>
    <w:div w:id="539055516">
      <w:bodyDiv w:val="1"/>
      <w:marLeft w:val="0"/>
      <w:marRight w:val="0"/>
      <w:marTop w:val="0"/>
      <w:marBottom w:val="0"/>
      <w:divBdr>
        <w:top w:val="none" w:sz="0" w:space="0" w:color="auto"/>
        <w:left w:val="none" w:sz="0" w:space="0" w:color="auto"/>
        <w:bottom w:val="none" w:sz="0" w:space="0" w:color="auto"/>
        <w:right w:val="none" w:sz="0" w:space="0" w:color="auto"/>
      </w:divBdr>
    </w:div>
    <w:div w:id="541092708">
      <w:bodyDiv w:val="1"/>
      <w:marLeft w:val="0"/>
      <w:marRight w:val="0"/>
      <w:marTop w:val="0"/>
      <w:marBottom w:val="0"/>
      <w:divBdr>
        <w:top w:val="none" w:sz="0" w:space="0" w:color="auto"/>
        <w:left w:val="none" w:sz="0" w:space="0" w:color="auto"/>
        <w:bottom w:val="none" w:sz="0" w:space="0" w:color="auto"/>
        <w:right w:val="none" w:sz="0" w:space="0" w:color="auto"/>
      </w:divBdr>
    </w:div>
    <w:div w:id="542787720">
      <w:bodyDiv w:val="1"/>
      <w:marLeft w:val="0"/>
      <w:marRight w:val="0"/>
      <w:marTop w:val="0"/>
      <w:marBottom w:val="0"/>
      <w:divBdr>
        <w:top w:val="none" w:sz="0" w:space="0" w:color="auto"/>
        <w:left w:val="none" w:sz="0" w:space="0" w:color="auto"/>
        <w:bottom w:val="none" w:sz="0" w:space="0" w:color="auto"/>
        <w:right w:val="none" w:sz="0" w:space="0" w:color="auto"/>
      </w:divBdr>
    </w:div>
    <w:div w:id="552691094">
      <w:bodyDiv w:val="1"/>
      <w:marLeft w:val="0"/>
      <w:marRight w:val="0"/>
      <w:marTop w:val="0"/>
      <w:marBottom w:val="0"/>
      <w:divBdr>
        <w:top w:val="none" w:sz="0" w:space="0" w:color="auto"/>
        <w:left w:val="none" w:sz="0" w:space="0" w:color="auto"/>
        <w:bottom w:val="none" w:sz="0" w:space="0" w:color="auto"/>
        <w:right w:val="none" w:sz="0" w:space="0" w:color="auto"/>
      </w:divBdr>
    </w:div>
    <w:div w:id="560336841">
      <w:bodyDiv w:val="1"/>
      <w:marLeft w:val="0"/>
      <w:marRight w:val="0"/>
      <w:marTop w:val="0"/>
      <w:marBottom w:val="0"/>
      <w:divBdr>
        <w:top w:val="none" w:sz="0" w:space="0" w:color="auto"/>
        <w:left w:val="none" w:sz="0" w:space="0" w:color="auto"/>
        <w:bottom w:val="none" w:sz="0" w:space="0" w:color="auto"/>
        <w:right w:val="none" w:sz="0" w:space="0" w:color="auto"/>
      </w:divBdr>
    </w:div>
    <w:div w:id="567149239">
      <w:bodyDiv w:val="1"/>
      <w:marLeft w:val="0"/>
      <w:marRight w:val="0"/>
      <w:marTop w:val="0"/>
      <w:marBottom w:val="0"/>
      <w:divBdr>
        <w:top w:val="none" w:sz="0" w:space="0" w:color="auto"/>
        <w:left w:val="none" w:sz="0" w:space="0" w:color="auto"/>
        <w:bottom w:val="none" w:sz="0" w:space="0" w:color="auto"/>
        <w:right w:val="none" w:sz="0" w:space="0" w:color="auto"/>
      </w:divBdr>
      <w:divsChild>
        <w:div w:id="151525048">
          <w:marLeft w:val="0"/>
          <w:marRight w:val="0"/>
          <w:marTop w:val="0"/>
          <w:marBottom w:val="0"/>
          <w:divBdr>
            <w:top w:val="none" w:sz="0" w:space="0" w:color="auto"/>
            <w:left w:val="none" w:sz="0" w:space="0" w:color="auto"/>
            <w:bottom w:val="none" w:sz="0" w:space="0" w:color="auto"/>
            <w:right w:val="none" w:sz="0" w:space="0" w:color="auto"/>
          </w:divBdr>
          <w:divsChild>
            <w:div w:id="1313680948">
              <w:marLeft w:val="0"/>
              <w:marRight w:val="0"/>
              <w:marTop w:val="0"/>
              <w:marBottom w:val="0"/>
              <w:divBdr>
                <w:top w:val="none" w:sz="0" w:space="0" w:color="auto"/>
                <w:left w:val="none" w:sz="0" w:space="0" w:color="auto"/>
                <w:bottom w:val="none" w:sz="0" w:space="0" w:color="auto"/>
                <w:right w:val="none" w:sz="0" w:space="0" w:color="auto"/>
              </w:divBdr>
              <w:divsChild>
                <w:div w:id="2000424759">
                  <w:marLeft w:val="0"/>
                  <w:marRight w:val="0"/>
                  <w:marTop w:val="0"/>
                  <w:marBottom w:val="0"/>
                  <w:divBdr>
                    <w:top w:val="none" w:sz="0" w:space="0" w:color="auto"/>
                    <w:left w:val="none" w:sz="0" w:space="0" w:color="auto"/>
                    <w:bottom w:val="none" w:sz="0" w:space="0" w:color="auto"/>
                    <w:right w:val="none" w:sz="0" w:space="0" w:color="auto"/>
                  </w:divBdr>
                  <w:divsChild>
                    <w:div w:id="920532008">
                      <w:marLeft w:val="0"/>
                      <w:marRight w:val="0"/>
                      <w:marTop w:val="0"/>
                      <w:marBottom w:val="0"/>
                      <w:divBdr>
                        <w:top w:val="none" w:sz="0" w:space="0" w:color="auto"/>
                        <w:left w:val="none" w:sz="0" w:space="0" w:color="auto"/>
                        <w:bottom w:val="none" w:sz="0" w:space="0" w:color="auto"/>
                        <w:right w:val="none" w:sz="0" w:space="0" w:color="auto"/>
                      </w:divBdr>
                      <w:divsChild>
                        <w:div w:id="901259791">
                          <w:marLeft w:val="0"/>
                          <w:marRight w:val="0"/>
                          <w:marTop w:val="0"/>
                          <w:marBottom w:val="0"/>
                          <w:divBdr>
                            <w:top w:val="none" w:sz="0" w:space="0" w:color="auto"/>
                            <w:left w:val="none" w:sz="0" w:space="0" w:color="auto"/>
                            <w:bottom w:val="none" w:sz="0" w:space="0" w:color="auto"/>
                            <w:right w:val="none" w:sz="0" w:space="0" w:color="auto"/>
                          </w:divBdr>
                          <w:divsChild>
                            <w:div w:id="206270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606667">
      <w:bodyDiv w:val="1"/>
      <w:marLeft w:val="0"/>
      <w:marRight w:val="0"/>
      <w:marTop w:val="0"/>
      <w:marBottom w:val="0"/>
      <w:divBdr>
        <w:top w:val="none" w:sz="0" w:space="0" w:color="auto"/>
        <w:left w:val="none" w:sz="0" w:space="0" w:color="auto"/>
        <w:bottom w:val="none" w:sz="0" w:space="0" w:color="auto"/>
        <w:right w:val="none" w:sz="0" w:space="0" w:color="auto"/>
      </w:divBdr>
      <w:divsChild>
        <w:div w:id="1840000711">
          <w:marLeft w:val="0"/>
          <w:marRight w:val="0"/>
          <w:marTop w:val="0"/>
          <w:marBottom w:val="0"/>
          <w:divBdr>
            <w:top w:val="none" w:sz="0" w:space="0" w:color="auto"/>
            <w:left w:val="none" w:sz="0" w:space="0" w:color="auto"/>
            <w:bottom w:val="none" w:sz="0" w:space="0" w:color="auto"/>
            <w:right w:val="none" w:sz="0" w:space="0" w:color="auto"/>
          </w:divBdr>
          <w:divsChild>
            <w:div w:id="898589162">
              <w:marLeft w:val="0"/>
              <w:marRight w:val="0"/>
              <w:marTop w:val="0"/>
              <w:marBottom w:val="0"/>
              <w:divBdr>
                <w:top w:val="none" w:sz="0" w:space="0" w:color="auto"/>
                <w:left w:val="none" w:sz="0" w:space="0" w:color="auto"/>
                <w:bottom w:val="none" w:sz="0" w:space="0" w:color="auto"/>
                <w:right w:val="none" w:sz="0" w:space="0" w:color="auto"/>
              </w:divBdr>
              <w:divsChild>
                <w:div w:id="797600934">
                  <w:marLeft w:val="0"/>
                  <w:marRight w:val="0"/>
                  <w:marTop w:val="0"/>
                  <w:marBottom w:val="0"/>
                  <w:divBdr>
                    <w:top w:val="none" w:sz="0" w:space="0" w:color="auto"/>
                    <w:left w:val="none" w:sz="0" w:space="0" w:color="auto"/>
                    <w:bottom w:val="none" w:sz="0" w:space="0" w:color="auto"/>
                    <w:right w:val="none" w:sz="0" w:space="0" w:color="auto"/>
                  </w:divBdr>
                  <w:divsChild>
                    <w:div w:id="480926044">
                      <w:marLeft w:val="0"/>
                      <w:marRight w:val="0"/>
                      <w:marTop w:val="0"/>
                      <w:marBottom w:val="0"/>
                      <w:divBdr>
                        <w:top w:val="none" w:sz="0" w:space="0" w:color="auto"/>
                        <w:left w:val="none" w:sz="0" w:space="0" w:color="auto"/>
                        <w:bottom w:val="none" w:sz="0" w:space="0" w:color="auto"/>
                        <w:right w:val="none" w:sz="0" w:space="0" w:color="auto"/>
                      </w:divBdr>
                      <w:divsChild>
                        <w:div w:id="1473014959">
                          <w:marLeft w:val="0"/>
                          <w:marRight w:val="0"/>
                          <w:marTop w:val="0"/>
                          <w:marBottom w:val="0"/>
                          <w:divBdr>
                            <w:top w:val="none" w:sz="0" w:space="0" w:color="auto"/>
                            <w:left w:val="none" w:sz="0" w:space="0" w:color="auto"/>
                            <w:bottom w:val="none" w:sz="0" w:space="0" w:color="auto"/>
                            <w:right w:val="none" w:sz="0" w:space="0" w:color="auto"/>
                          </w:divBdr>
                          <w:divsChild>
                            <w:div w:id="108333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656325">
      <w:bodyDiv w:val="1"/>
      <w:marLeft w:val="0"/>
      <w:marRight w:val="0"/>
      <w:marTop w:val="0"/>
      <w:marBottom w:val="0"/>
      <w:divBdr>
        <w:top w:val="none" w:sz="0" w:space="0" w:color="auto"/>
        <w:left w:val="none" w:sz="0" w:space="0" w:color="auto"/>
        <w:bottom w:val="none" w:sz="0" w:space="0" w:color="auto"/>
        <w:right w:val="none" w:sz="0" w:space="0" w:color="auto"/>
      </w:divBdr>
    </w:div>
    <w:div w:id="592008563">
      <w:bodyDiv w:val="1"/>
      <w:marLeft w:val="0"/>
      <w:marRight w:val="0"/>
      <w:marTop w:val="0"/>
      <w:marBottom w:val="0"/>
      <w:divBdr>
        <w:top w:val="none" w:sz="0" w:space="0" w:color="auto"/>
        <w:left w:val="none" w:sz="0" w:space="0" w:color="auto"/>
        <w:bottom w:val="none" w:sz="0" w:space="0" w:color="auto"/>
        <w:right w:val="none" w:sz="0" w:space="0" w:color="auto"/>
      </w:divBdr>
    </w:div>
    <w:div w:id="596255407">
      <w:bodyDiv w:val="1"/>
      <w:marLeft w:val="0"/>
      <w:marRight w:val="0"/>
      <w:marTop w:val="0"/>
      <w:marBottom w:val="0"/>
      <w:divBdr>
        <w:top w:val="none" w:sz="0" w:space="0" w:color="auto"/>
        <w:left w:val="none" w:sz="0" w:space="0" w:color="auto"/>
        <w:bottom w:val="none" w:sz="0" w:space="0" w:color="auto"/>
        <w:right w:val="none" w:sz="0" w:space="0" w:color="auto"/>
      </w:divBdr>
    </w:div>
    <w:div w:id="607200250">
      <w:bodyDiv w:val="1"/>
      <w:marLeft w:val="0"/>
      <w:marRight w:val="0"/>
      <w:marTop w:val="0"/>
      <w:marBottom w:val="0"/>
      <w:divBdr>
        <w:top w:val="none" w:sz="0" w:space="0" w:color="auto"/>
        <w:left w:val="none" w:sz="0" w:space="0" w:color="auto"/>
        <w:bottom w:val="none" w:sz="0" w:space="0" w:color="auto"/>
        <w:right w:val="none" w:sz="0" w:space="0" w:color="auto"/>
      </w:divBdr>
    </w:div>
    <w:div w:id="618493093">
      <w:bodyDiv w:val="1"/>
      <w:marLeft w:val="0"/>
      <w:marRight w:val="0"/>
      <w:marTop w:val="0"/>
      <w:marBottom w:val="0"/>
      <w:divBdr>
        <w:top w:val="none" w:sz="0" w:space="0" w:color="auto"/>
        <w:left w:val="none" w:sz="0" w:space="0" w:color="auto"/>
        <w:bottom w:val="none" w:sz="0" w:space="0" w:color="auto"/>
        <w:right w:val="none" w:sz="0" w:space="0" w:color="auto"/>
      </w:divBdr>
    </w:div>
    <w:div w:id="632174971">
      <w:bodyDiv w:val="1"/>
      <w:marLeft w:val="0"/>
      <w:marRight w:val="0"/>
      <w:marTop w:val="0"/>
      <w:marBottom w:val="0"/>
      <w:divBdr>
        <w:top w:val="none" w:sz="0" w:space="0" w:color="auto"/>
        <w:left w:val="none" w:sz="0" w:space="0" w:color="auto"/>
        <w:bottom w:val="none" w:sz="0" w:space="0" w:color="auto"/>
        <w:right w:val="none" w:sz="0" w:space="0" w:color="auto"/>
      </w:divBdr>
    </w:div>
    <w:div w:id="632977235">
      <w:bodyDiv w:val="1"/>
      <w:marLeft w:val="0"/>
      <w:marRight w:val="0"/>
      <w:marTop w:val="0"/>
      <w:marBottom w:val="0"/>
      <w:divBdr>
        <w:top w:val="none" w:sz="0" w:space="0" w:color="auto"/>
        <w:left w:val="none" w:sz="0" w:space="0" w:color="auto"/>
        <w:bottom w:val="none" w:sz="0" w:space="0" w:color="auto"/>
        <w:right w:val="none" w:sz="0" w:space="0" w:color="auto"/>
      </w:divBdr>
    </w:div>
    <w:div w:id="669137404">
      <w:bodyDiv w:val="1"/>
      <w:marLeft w:val="0"/>
      <w:marRight w:val="0"/>
      <w:marTop w:val="0"/>
      <w:marBottom w:val="0"/>
      <w:divBdr>
        <w:top w:val="none" w:sz="0" w:space="0" w:color="auto"/>
        <w:left w:val="none" w:sz="0" w:space="0" w:color="auto"/>
        <w:bottom w:val="none" w:sz="0" w:space="0" w:color="auto"/>
        <w:right w:val="none" w:sz="0" w:space="0" w:color="auto"/>
      </w:divBdr>
    </w:div>
    <w:div w:id="674768068">
      <w:bodyDiv w:val="1"/>
      <w:marLeft w:val="0"/>
      <w:marRight w:val="0"/>
      <w:marTop w:val="0"/>
      <w:marBottom w:val="0"/>
      <w:divBdr>
        <w:top w:val="none" w:sz="0" w:space="0" w:color="auto"/>
        <w:left w:val="none" w:sz="0" w:space="0" w:color="auto"/>
        <w:bottom w:val="none" w:sz="0" w:space="0" w:color="auto"/>
        <w:right w:val="none" w:sz="0" w:space="0" w:color="auto"/>
      </w:divBdr>
    </w:div>
    <w:div w:id="679696357">
      <w:marLeft w:val="0"/>
      <w:marRight w:val="0"/>
      <w:marTop w:val="0"/>
      <w:marBottom w:val="0"/>
      <w:divBdr>
        <w:top w:val="none" w:sz="0" w:space="0" w:color="auto"/>
        <w:left w:val="none" w:sz="0" w:space="0" w:color="auto"/>
        <w:bottom w:val="none" w:sz="0" w:space="0" w:color="auto"/>
        <w:right w:val="none" w:sz="0" w:space="0" w:color="auto"/>
      </w:divBdr>
    </w:div>
    <w:div w:id="679696359">
      <w:marLeft w:val="0"/>
      <w:marRight w:val="0"/>
      <w:marTop w:val="0"/>
      <w:marBottom w:val="0"/>
      <w:divBdr>
        <w:top w:val="none" w:sz="0" w:space="0" w:color="auto"/>
        <w:left w:val="none" w:sz="0" w:space="0" w:color="auto"/>
        <w:bottom w:val="none" w:sz="0" w:space="0" w:color="auto"/>
        <w:right w:val="none" w:sz="0" w:space="0" w:color="auto"/>
      </w:divBdr>
    </w:div>
    <w:div w:id="679696360">
      <w:marLeft w:val="0"/>
      <w:marRight w:val="0"/>
      <w:marTop w:val="0"/>
      <w:marBottom w:val="0"/>
      <w:divBdr>
        <w:top w:val="none" w:sz="0" w:space="0" w:color="auto"/>
        <w:left w:val="none" w:sz="0" w:space="0" w:color="auto"/>
        <w:bottom w:val="none" w:sz="0" w:space="0" w:color="auto"/>
        <w:right w:val="none" w:sz="0" w:space="0" w:color="auto"/>
      </w:divBdr>
      <w:divsChild>
        <w:div w:id="679696749">
          <w:marLeft w:val="0"/>
          <w:marRight w:val="0"/>
          <w:marTop w:val="0"/>
          <w:marBottom w:val="0"/>
          <w:divBdr>
            <w:top w:val="none" w:sz="0" w:space="0" w:color="auto"/>
            <w:left w:val="none" w:sz="0" w:space="0" w:color="auto"/>
            <w:bottom w:val="none" w:sz="0" w:space="0" w:color="auto"/>
            <w:right w:val="none" w:sz="0" w:space="0" w:color="auto"/>
          </w:divBdr>
        </w:div>
      </w:divsChild>
    </w:div>
    <w:div w:id="679696361">
      <w:marLeft w:val="0"/>
      <w:marRight w:val="0"/>
      <w:marTop w:val="0"/>
      <w:marBottom w:val="0"/>
      <w:divBdr>
        <w:top w:val="none" w:sz="0" w:space="0" w:color="auto"/>
        <w:left w:val="none" w:sz="0" w:space="0" w:color="auto"/>
        <w:bottom w:val="none" w:sz="0" w:space="0" w:color="auto"/>
        <w:right w:val="none" w:sz="0" w:space="0" w:color="auto"/>
      </w:divBdr>
    </w:div>
    <w:div w:id="679696362">
      <w:marLeft w:val="0"/>
      <w:marRight w:val="0"/>
      <w:marTop w:val="0"/>
      <w:marBottom w:val="0"/>
      <w:divBdr>
        <w:top w:val="none" w:sz="0" w:space="0" w:color="auto"/>
        <w:left w:val="none" w:sz="0" w:space="0" w:color="auto"/>
        <w:bottom w:val="none" w:sz="0" w:space="0" w:color="auto"/>
        <w:right w:val="none" w:sz="0" w:space="0" w:color="auto"/>
      </w:divBdr>
      <w:divsChild>
        <w:div w:id="679696506">
          <w:marLeft w:val="0"/>
          <w:marRight w:val="0"/>
          <w:marTop w:val="0"/>
          <w:marBottom w:val="0"/>
          <w:divBdr>
            <w:top w:val="none" w:sz="0" w:space="0" w:color="auto"/>
            <w:left w:val="none" w:sz="0" w:space="0" w:color="auto"/>
            <w:bottom w:val="none" w:sz="0" w:space="0" w:color="auto"/>
            <w:right w:val="none" w:sz="0" w:space="0" w:color="auto"/>
          </w:divBdr>
        </w:div>
      </w:divsChild>
    </w:div>
    <w:div w:id="679696364">
      <w:marLeft w:val="0"/>
      <w:marRight w:val="0"/>
      <w:marTop w:val="0"/>
      <w:marBottom w:val="0"/>
      <w:divBdr>
        <w:top w:val="none" w:sz="0" w:space="0" w:color="auto"/>
        <w:left w:val="none" w:sz="0" w:space="0" w:color="auto"/>
        <w:bottom w:val="none" w:sz="0" w:space="0" w:color="auto"/>
        <w:right w:val="none" w:sz="0" w:space="0" w:color="auto"/>
      </w:divBdr>
    </w:div>
    <w:div w:id="679696366">
      <w:marLeft w:val="0"/>
      <w:marRight w:val="0"/>
      <w:marTop w:val="0"/>
      <w:marBottom w:val="0"/>
      <w:divBdr>
        <w:top w:val="none" w:sz="0" w:space="0" w:color="auto"/>
        <w:left w:val="none" w:sz="0" w:space="0" w:color="auto"/>
        <w:bottom w:val="none" w:sz="0" w:space="0" w:color="auto"/>
        <w:right w:val="none" w:sz="0" w:space="0" w:color="auto"/>
      </w:divBdr>
    </w:div>
    <w:div w:id="679696368">
      <w:marLeft w:val="0"/>
      <w:marRight w:val="0"/>
      <w:marTop w:val="0"/>
      <w:marBottom w:val="0"/>
      <w:divBdr>
        <w:top w:val="none" w:sz="0" w:space="0" w:color="auto"/>
        <w:left w:val="none" w:sz="0" w:space="0" w:color="auto"/>
        <w:bottom w:val="none" w:sz="0" w:space="0" w:color="auto"/>
        <w:right w:val="none" w:sz="0" w:space="0" w:color="auto"/>
      </w:divBdr>
    </w:div>
    <w:div w:id="679696369">
      <w:marLeft w:val="0"/>
      <w:marRight w:val="0"/>
      <w:marTop w:val="0"/>
      <w:marBottom w:val="0"/>
      <w:divBdr>
        <w:top w:val="none" w:sz="0" w:space="0" w:color="auto"/>
        <w:left w:val="none" w:sz="0" w:space="0" w:color="auto"/>
        <w:bottom w:val="none" w:sz="0" w:space="0" w:color="auto"/>
        <w:right w:val="none" w:sz="0" w:space="0" w:color="auto"/>
      </w:divBdr>
    </w:div>
    <w:div w:id="679696371">
      <w:marLeft w:val="0"/>
      <w:marRight w:val="0"/>
      <w:marTop w:val="0"/>
      <w:marBottom w:val="0"/>
      <w:divBdr>
        <w:top w:val="none" w:sz="0" w:space="0" w:color="auto"/>
        <w:left w:val="none" w:sz="0" w:space="0" w:color="auto"/>
        <w:bottom w:val="none" w:sz="0" w:space="0" w:color="auto"/>
        <w:right w:val="none" w:sz="0" w:space="0" w:color="auto"/>
      </w:divBdr>
    </w:div>
    <w:div w:id="679696373">
      <w:marLeft w:val="0"/>
      <w:marRight w:val="0"/>
      <w:marTop w:val="0"/>
      <w:marBottom w:val="0"/>
      <w:divBdr>
        <w:top w:val="none" w:sz="0" w:space="0" w:color="auto"/>
        <w:left w:val="none" w:sz="0" w:space="0" w:color="auto"/>
        <w:bottom w:val="none" w:sz="0" w:space="0" w:color="auto"/>
        <w:right w:val="none" w:sz="0" w:space="0" w:color="auto"/>
      </w:divBdr>
    </w:div>
    <w:div w:id="679696374">
      <w:marLeft w:val="0"/>
      <w:marRight w:val="0"/>
      <w:marTop w:val="0"/>
      <w:marBottom w:val="0"/>
      <w:divBdr>
        <w:top w:val="none" w:sz="0" w:space="0" w:color="auto"/>
        <w:left w:val="none" w:sz="0" w:space="0" w:color="auto"/>
        <w:bottom w:val="none" w:sz="0" w:space="0" w:color="auto"/>
        <w:right w:val="none" w:sz="0" w:space="0" w:color="auto"/>
      </w:divBdr>
    </w:div>
    <w:div w:id="679696376">
      <w:marLeft w:val="0"/>
      <w:marRight w:val="0"/>
      <w:marTop w:val="0"/>
      <w:marBottom w:val="0"/>
      <w:divBdr>
        <w:top w:val="none" w:sz="0" w:space="0" w:color="auto"/>
        <w:left w:val="none" w:sz="0" w:space="0" w:color="auto"/>
        <w:bottom w:val="none" w:sz="0" w:space="0" w:color="auto"/>
        <w:right w:val="none" w:sz="0" w:space="0" w:color="auto"/>
      </w:divBdr>
    </w:div>
    <w:div w:id="679696377">
      <w:marLeft w:val="0"/>
      <w:marRight w:val="0"/>
      <w:marTop w:val="0"/>
      <w:marBottom w:val="0"/>
      <w:divBdr>
        <w:top w:val="none" w:sz="0" w:space="0" w:color="auto"/>
        <w:left w:val="none" w:sz="0" w:space="0" w:color="auto"/>
        <w:bottom w:val="none" w:sz="0" w:space="0" w:color="auto"/>
        <w:right w:val="none" w:sz="0" w:space="0" w:color="auto"/>
      </w:divBdr>
    </w:div>
    <w:div w:id="679696378">
      <w:marLeft w:val="0"/>
      <w:marRight w:val="0"/>
      <w:marTop w:val="0"/>
      <w:marBottom w:val="0"/>
      <w:divBdr>
        <w:top w:val="none" w:sz="0" w:space="0" w:color="auto"/>
        <w:left w:val="none" w:sz="0" w:space="0" w:color="auto"/>
        <w:bottom w:val="none" w:sz="0" w:space="0" w:color="auto"/>
        <w:right w:val="none" w:sz="0" w:space="0" w:color="auto"/>
      </w:divBdr>
    </w:div>
    <w:div w:id="679696379">
      <w:marLeft w:val="0"/>
      <w:marRight w:val="0"/>
      <w:marTop w:val="0"/>
      <w:marBottom w:val="0"/>
      <w:divBdr>
        <w:top w:val="none" w:sz="0" w:space="0" w:color="auto"/>
        <w:left w:val="none" w:sz="0" w:space="0" w:color="auto"/>
        <w:bottom w:val="none" w:sz="0" w:space="0" w:color="auto"/>
        <w:right w:val="none" w:sz="0" w:space="0" w:color="auto"/>
      </w:divBdr>
    </w:div>
    <w:div w:id="679696380">
      <w:marLeft w:val="0"/>
      <w:marRight w:val="0"/>
      <w:marTop w:val="0"/>
      <w:marBottom w:val="0"/>
      <w:divBdr>
        <w:top w:val="none" w:sz="0" w:space="0" w:color="auto"/>
        <w:left w:val="none" w:sz="0" w:space="0" w:color="auto"/>
        <w:bottom w:val="none" w:sz="0" w:space="0" w:color="auto"/>
        <w:right w:val="none" w:sz="0" w:space="0" w:color="auto"/>
      </w:divBdr>
    </w:div>
    <w:div w:id="679696381">
      <w:marLeft w:val="0"/>
      <w:marRight w:val="0"/>
      <w:marTop w:val="0"/>
      <w:marBottom w:val="0"/>
      <w:divBdr>
        <w:top w:val="none" w:sz="0" w:space="0" w:color="auto"/>
        <w:left w:val="none" w:sz="0" w:space="0" w:color="auto"/>
        <w:bottom w:val="none" w:sz="0" w:space="0" w:color="auto"/>
        <w:right w:val="none" w:sz="0" w:space="0" w:color="auto"/>
      </w:divBdr>
    </w:div>
    <w:div w:id="679696384">
      <w:marLeft w:val="0"/>
      <w:marRight w:val="0"/>
      <w:marTop w:val="0"/>
      <w:marBottom w:val="0"/>
      <w:divBdr>
        <w:top w:val="none" w:sz="0" w:space="0" w:color="auto"/>
        <w:left w:val="none" w:sz="0" w:space="0" w:color="auto"/>
        <w:bottom w:val="none" w:sz="0" w:space="0" w:color="auto"/>
        <w:right w:val="none" w:sz="0" w:space="0" w:color="auto"/>
      </w:divBdr>
    </w:div>
    <w:div w:id="679696385">
      <w:marLeft w:val="0"/>
      <w:marRight w:val="0"/>
      <w:marTop w:val="0"/>
      <w:marBottom w:val="0"/>
      <w:divBdr>
        <w:top w:val="none" w:sz="0" w:space="0" w:color="auto"/>
        <w:left w:val="none" w:sz="0" w:space="0" w:color="auto"/>
        <w:bottom w:val="none" w:sz="0" w:space="0" w:color="auto"/>
        <w:right w:val="none" w:sz="0" w:space="0" w:color="auto"/>
      </w:divBdr>
    </w:div>
    <w:div w:id="679696387">
      <w:marLeft w:val="0"/>
      <w:marRight w:val="0"/>
      <w:marTop w:val="0"/>
      <w:marBottom w:val="0"/>
      <w:divBdr>
        <w:top w:val="none" w:sz="0" w:space="0" w:color="auto"/>
        <w:left w:val="none" w:sz="0" w:space="0" w:color="auto"/>
        <w:bottom w:val="none" w:sz="0" w:space="0" w:color="auto"/>
        <w:right w:val="none" w:sz="0" w:space="0" w:color="auto"/>
      </w:divBdr>
    </w:div>
    <w:div w:id="679696388">
      <w:marLeft w:val="0"/>
      <w:marRight w:val="0"/>
      <w:marTop w:val="0"/>
      <w:marBottom w:val="0"/>
      <w:divBdr>
        <w:top w:val="none" w:sz="0" w:space="0" w:color="auto"/>
        <w:left w:val="none" w:sz="0" w:space="0" w:color="auto"/>
        <w:bottom w:val="none" w:sz="0" w:space="0" w:color="auto"/>
        <w:right w:val="none" w:sz="0" w:space="0" w:color="auto"/>
      </w:divBdr>
    </w:div>
    <w:div w:id="679696391">
      <w:marLeft w:val="0"/>
      <w:marRight w:val="0"/>
      <w:marTop w:val="0"/>
      <w:marBottom w:val="0"/>
      <w:divBdr>
        <w:top w:val="none" w:sz="0" w:space="0" w:color="auto"/>
        <w:left w:val="none" w:sz="0" w:space="0" w:color="auto"/>
        <w:bottom w:val="none" w:sz="0" w:space="0" w:color="auto"/>
        <w:right w:val="none" w:sz="0" w:space="0" w:color="auto"/>
      </w:divBdr>
      <w:divsChild>
        <w:div w:id="679696490">
          <w:marLeft w:val="0"/>
          <w:marRight w:val="0"/>
          <w:marTop w:val="0"/>
          <w:marBottom w:val="0"/>
          <w:divBdr>
            <w:top w:val="none" w:sz="0" w:space="0" w:color="auto"/>
            <w:left w:val="none" w:sz="0" w:space="0" w:color="auto"/>
            <w:bottom w:val="none" w:sz="0" w:space="0" w:color="auto"/>
            <w:right w:val="none" w:sz="0" w:space="0" w:color="auto"/>
          </w:divBdr>
        </w:div>
      </w:divsChild>
    </w:div>
    <w:div w:id="679696392">
      <w:marLeft w:val="0"/>
      <w:marRight w:val="0"/>
      <w:marTop w:val="0"/>
      <w:marBottom w:val="0"/>
      <w:divBdr>
        <w:top w:val="none" w:sz="0" w:space="0" w:color="auto"/>
        <w:left w:val="none" w:sz="0" w:space="0" w:color="auto"/>
        <w:bottom w:val="none" w:sz="0" w:space="0" w:color="auto"/>
        <w:right w:val="none" w:sz="0" w:space="0" w:color="auto"/>
      </w:divBdr>
      <w:divsChild>
        <w:div w:id="679696471">
          <w:marLeft w:val="0"/>
          <w:marRight w:val="0"/>
          <w:marTop w:val="0"/>
          <w:marBottom w:val="0"/>
          <w:divBdr>
            <w:top w:val="none" w:sz="0" w:space="0" w:color="auto"/>
            <w:left w:val="none" w:sz="0" w:space="0" w:color="auto"/>
            <w:bottom w:val="none" w:sz="0" w:space="0" w:color="auto"/>
            <w:right w:val="none" w:sz="0" w:space="0" w:color="auto"/>
          </w:divBdr>
          <w:divsChild>
            <w:div w:id="679696590">
              <w:marLeft w:val="0"/>
              <w:marRight w:val="0"/>
              <w:marTop w:val="0"/>
              <w:marBottom w:val="0"/>
              <w:divBdr>
                <w:top w:val="none" w:sz="0" w:space="0" w:color="auto"/>
                <w:left w:val="none" w:sz="0" w:space="0" w:color="auto"/>
                <w:bottom w:val="none" w:sz="0" w:space="0" w:color="auto"/>
                <w:right w:val="none" w:sz="0" w:space="0" w:color="auto"/>
              </w:divBdr>
              <w:divsChild>
                <w:div w:id="679696441">
                  <w:marLeft w:val="0"/>
                  <w:marRight w:val="0"/>
                  <w:marTop w:val="0"/>
                  <w:marBottom w:val="0"/>
                  <w:divBdr>
                    <w:top w:val="none" w:sz="0" w:space="0" w:color="auto"/>
                    <w:left w:val="none" w:sz="0" w:space="0" w:color="auto"/>
                    <w:bottom w:val="none" w:sz="0" w:space="0" w:color="auto"/>
                    <w:right w:val="none" w:sz="0" w:space="0" w:color="auto"/>
                  </w:divBdr>
                  <w:divsChild>
                    <w:div w:id="679696614">
                      <w:marLeft w:val="0"/>
                      <w:marRight w:val="0"/>
                      <w:marTop w:val="0"/>
                      <w:marBottom w:val="0"/>
                      <w:divBdr>
                        <w:top w:val="none" w:sz="0" w:space="0" w:color="auto"/>
                        <w:left w:val="none" w:sz="0" w:space="0" w:color="auto"/>
                        <w:bottom w:val="none" w:sz="0" w:space="0" w:color="auto"/>
                        <w:right w:val="none" w:sz="0" w:space="0" w:color="auto"/>
                      </w:divBdr>
                      <w:divsChild>
                        <w:div w:id="6796966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4">
      <w:marLeft w:val="0"/>
      <w:marRight w:val="0"/>
      <w:marTop w:val="0"/>
      <w:marBottom w:val="0"/>
      <w:divBdr>
        <w:top w:val="none" w:sz="0" w:space="0" w:color="auto"/>
        <w:left w:val="none" w:sz="0" w:space="0" w:color="auto"/>
        <w:bottom w:val="none" w:sz="0" w:space="0" w:color="auto"/>
        <w:right w:val="none" w:sz="0" w:space="0" w:color="auto"/>
      </w:divBdr>
      <w:divsChild>
        <w:div w:id="679696654">
          <w:marLeft w:val="0"/>
          <w:marRight w:val="0"/>
          <w:marTop w:val="0"/>
          <w:marBottom w:val="0"/>
          <w:divBdr>
            <w:top w:val="none" w:sz="0" w:space="0" w:color="auto"/>
            <w:left w:val="none" w:sz="0" w:space="0" w:color="auto"/>
            <w:bottom w:val="none" w:sz="0" w:space="0" w:color="auto"/>
            <w:right w:val="none" w:sz="0" w:space="0" w:color="auto"/>
          </w:divBdr>
          <w:divsChild>
            <w:div w:id="679696573">
              <w:marLeft w:val="0"/>
              <w:marRight w:val="0"/>
              <w:marTop w:val="0"/>
              <w:marBottom w:val="0"/>
              <w:divBdr>
                <w:top w:val="none" w:sz="0" w:space="0" w:color="auto"/>
                <w:left w:val="none" w:sz="0" w:space="0" w:color="auto"/>
                <w:bottom w:val="none" w:sz="0" w:space="0" w:color="auto"/>
                <w:right w:val="none" w:sz="0" w:space="0" w:color="auto"/>
              </w:divBdr>
              <w:divsChild>
                <w:div w:id="679696477">
                  <w:marLeft w:val="0"/>
                  <w:marRight w:val="0"/>
                  <w:marTop w:val="0"/>
                  <w:marBottom w:val="0"/>
                  <w:divBdr>
                    <w:top w:val="none" w:sz="0" w:space="0" w:color="auto"/>
                    <w:left w:val="none" w:sz="0" w:space="0" w:color="auto"/>
                    <w:bottom w:val="none" w:sz="0" w:space="0" w:color="auto"/>
                    <w:right w:val="none" w:sz="0" w:space="0" w:color="auto"/>
                  </w:divBdr>
                  <w:divsChild>
                    <w:div w:id="679696404">
                      <w:marLeft w:val="0"/>
                      <w:marRight w:val="0"/>
                      <w:marTop w:val="0"/>
                      <w:marBottom w:val="0"/>
                      <w:divBdr>
                        <w:top w:val="none" w:sz="0" w:space="0" w:color="auto"/>
                        <w:left w:val="none" w:sz="0" w:space="0" w:color="auto"/>
                        <w:bottom w:val="none" w:sz="0" w:space="0" w:color="auto"/>
                        <w:right w:val="none" w:sz="0" w:space="0" w:color="auto"/>
                      </w:divBdr>
                      <w:divsChild>
                        <w:div w:id="67969636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5">
      <w:marLeft w:val="0"/>
      <w:marRight w:val="0"/>
      <w:marTop w:val="0"/>
      <w:marBottom w:val="0"/>
      <w:divBdr>
        <w:top w:val="none" w:sz="0" w:space="0" w:color="auto"/>
        <w:left w:val="none" w:sz="0" w:space="0" w:color="auto"/>
        <w:bottom w:val="none" w:sz="0" w:space="0" w:color="auto"/>
        <w:right w:val="none" w:sz="0" w:space="0" w:color="auto"/>
      </w:divBdr>
    </w:div>
    <w:div w:id="679696397">
      <w:marLeft w:val="0"/>
      <w:marRight w:val="0"/>
      <w:marTop w:val="0"/>
      <w:marBottom w:val="0"/>
      <w:divBdr>
        <w:top w:val="none" w:sz="0" w:space="0" w:color="auto"/>
        <w:left w:val="none" w:sz="0" w:space="0" w:color="auto"/>
        <w:bottom w:val="none" w:sz="0" w:space="0" w:color="auto"/>
        <w:right w:val="none" w:sz="0" w:space="0" w:color="auto"/>
      </w:divBdr>
    </w:div>
    <w:div w:id="679696398">
      <w:marLeft w:val="0"/>
      <w:marRight w:val="0"/>
      <w:marTop w:val="0"/>
      <w:marBottom w:val="0"/>
      <w:divBdr>
        <w:top w:val="none" w:sz="0" w:space="0" w:color="auto"/>
        <w:left w:val="none" w:sz="0" w:space="0" w:color="auto"/>
        <w:bottom w:val="none" w:sz="0" w:space="0" w:color="auto"/>
        <w:right w:val="none" w:sz="0" w:space="0" w:color="auto"/>
      </w:divBdr>
    </w:div>
    <w:div w:id="679696399">
      <w:marLeft w:val="0"/>
      <w:marRight w:val="0"/>
      <w:marTop w:val="0"/>
      <w:marBottom w:val="0"/>
      <w:divBdr>
        <w:top w:val="none" w:sz="0" w:space="0" w:color="auto"/>
        <w:left w:val="none" w:sz="0" w:space="0" w:color="auto"/>
        <w:bottom w:val="none" w:sz="0" w:space="0" w:color="auto"/>
        <w:right w:val="none" w:sz="0" w:space="0" w:color="auto"/>
      </w:divBdr>
      <w:divsChild>
        <w:div w:id="679696449">
          <w:marLeft w:val="0"/>
          <w:marRight w:val="0"/>
          <w:marTop w:val="0"/>
          <w:marBottom w:val="0"/>
          <w:divBdr>
            <w:top w:val="none" w:sz="0" w:space="0" w:color="auto"/>
            <w:left w:val="none" w:sz="0" w:space="0" w:color="auto"/>
            <w:bottom w:val="none" w:sz="0" w:space="0" w:color="auto"/>
            <w:right w:val="none" w:sz="0" w:space="0" w:color="auto"/>
          </w:divBdr>
        </w:div>
        <w:div w:id="679696723">
          <w:marLeft w:val="0"/>
          <w:marRight w:val="0"/>
          <w:marTop w:val="0"/>
          <w:marBottom w:val="0"/>
          <w:divBdr>
            <w:top w:val="none" w:sz="0" w:space="0" w:color="auto"/>
            <w:left w:val="none" w:sz="0" w:space="0" w:color="auto"/>
            <w:bottom w:val="none" w:sz="0" w:space="0" w:color="auto"/>
            <w:right w:val="none" w:sz="0" w:space="0" w:color="auto"/>
          </w:divBdr>
        </w:div>
      </w:divsChild>
    </w:div>
    <w:div w:id="679696400">
      <w:marLeft w:val="0"/>
      <w:marRight w:val="0"/>
      <w:marTop w:val="0"/>
      <w:marBottom w:val="0"/>
      <w:divBdr>
        <w:top w:val="none" w:sz="0" w:space="0" w:color="auto"/>
        <w:left w:val="none" w:sz="0" w:space="0" w:color="auto"/>
        <w:bottom w:val="none" w:sz="0" w:space="0" w:color="auto"/>
        <w:right w:val="none" w:sz="0" w:space="0" w:color="auto"/>
      </w:divBdr>
    </w:div>
    <w:div w:id="679696401">
      <w:marLeft w:val="0"/>
      <w:marRight w:val="0"/>
      <w:marTop w:val="0"/>
      <w:marBottom w:val="0"/>
      <w:divBdr>
        <w:top w:val="none" w:sz="0" w:space="0" w:color="auto"/>
        <w:left w:val="none" w:sz="0" w:space="0" w:color="auto"/>
        <w:bottom w:val="none" w:sz="0" w:space="0" w:color="auto"/>
        <w:right w:val="none" w:sz="0" w:space="0" w:color="auto"/>
      </w:divBdr>
    </w:div>
    <w:div w:id="679696402">
      <w:marLeft w:val="0"/>
      <w:marRight w:val="0"/>
      <w:marTop w:val="0"/>
      <w:marBottom w:val="0"/>
      <w:divBdr>
        <w:top w:val="none" w:sz="0" w:space="0" w:color="auto"/>
        <w:left w:val="none" w:sz="0" w:space="0" w:color="auto"/>
        <w:bottom w:val="none" w:sz="0" w:space="0" w:color="auto"/>
        <w:right w:val="none" w:sz="0" w:space="0" w:color="auto"/>
      </w:divBdr>
    </w:div>
    <w:div w:id="679696405">
      <w:marLeft w:val="0"/>
      <w:marRight w:val="0"/>
      <w:marTop w:val="0"/>
      <w:marBottom w:val="0"/>
      <w:divBdr>
        <w:top w:val="none" w:sz="0" w:space="0" w:color="auto"/>
        <w:left w:val="none" w:sz="0" w:space="0" w:color="auto"/>
        <w:bottom w:val="none" w:sz="0" w:space="0" w:color="auto"/>
        <w:right w:val="none" w:sz="0" w:space="0" w:color="auto"/>
      </w:divBdr>
    </w:div>
    <w:div w:id="679696407">
      <w:marLeft w:val="0"/>
      <w:marRight w:val="0"/>
      <w:marTop w:val="0"/>
      <w:marBottom w:val="0"/>
      <w:divBdr>
        <w:top w:val="none" w:sz="0" w:space="0" w:color="auto"/>
        <w:left w:val="none" w:sz="0" w:space="0" w:color="auto"/>
        <w:bottom w:val="none" w:sz="0" w:space="0" w:color="auto"/>
        <w:right w:val="none" w:sz="0" w:space="0" w:color="auto"/>
      </w:divBdr>
    </w:div>
    <w:div w:id="679696408">
      <w:marLeft w:val="0"/>
      <w:marRight w:val="0"/>
      <w:marTop w:val="0"/>
      <w:marBottom w:val="0"/>
      <w:divBdr>
        <w:top w:val="none" w:sz="0" w:space="0" w:color="auto"/>
        <w:left w:val="none" w:sz="0" w:space="0" w:color="auto"/>
        <w:bottom w:val="none" w:sz="0" w:space="0" w:color="auto"/>
        <w:right w:val="none" w:sz="0" w:space="0" w:color="auto"/>
      </w:divBdr>
    </w:div>
    <w:div w:id="679696409">
      <w:marLeft w:val="0"/>
      <w:marRight w:val="0"/>
      <w:marTop w:val="0"/>
      <w:marBottom w:val="0"/>
      <w:divBdr>
        <w:top w:val="none" w:sz="0" w:space="0" w:color="auto"/>
        <w:left w:val="none" w:sz="0" w:space="0" w:color="auto"/>
        <w:bottom w:val="none" w:sz="0" w:space="0" w:color="auto"/>
        <w:right w:val="none" w:sz="0" w:space="0" w:color="auto"/>
      </w:divBdr>
    </w:div>
    <w:div w:id="679696410">
      <w:marLeft w:val="0"/>
      <w:marRight w:val="0"/>
      <w:marTop w:val="0"/>
      <w:marBottom w:val="0"/>
      <w:divBdr>
        <w:top w:val="none" w:sz="0" w:space="0" w:color="auto"/>
        <w:left w:val="none" w:sz="0" w:space="0" w:color="auto"/>
        <w:bottom w:val="none" w:sz="0" w:space="0" w:color="auto"/>
        <w:right w:val="none" w:sz="0" w:space="0" w:color="auto"/>
      </w:divBdr>
    </w:div>
    <w:div w:id="679696411">
      <w:marLeft w:val="0"/>
      <w:marRight w:val="0"/>
      <w:marTop w:val="0"/>
      <w:marBottom w:val="0"/>
      <w:divBdr>
        <w:top w:val="none" w:sz="0" w:space="0" w:color="auto"/>
        <w:left w:val="none" w:sz="0" w:space="0" w:color="auto"/>
        <w:bottom w:val="none" w:sz="0" w:space="0" w:color="auto"/>
        <w:right w:val="none" w:sz="0" w:space="0" w:color="auto"/>
      </w:divBdr>
    </w:div>
    <w:div w:id="679696412">
      <w:marLeft w:val="0"/>
      <w:marRight w:val="0"/>
      <w:marTop w:val="0"/>
      <w:marBottom w:val="0"/>
      <w:divBdr>
        <w:top w:val="none" w:sz="0" w:space="0" w:color="auto"/>
        <w:left w:val="none" w:sz="0" w:space="0" w:color="auto"/>
        <w:bottom w:val="none" w:sz="0" w:space="0" w:color="auto"/>
        <w:right w:val="none" w:sz="0" w:space="0" w:color="auto"/>
      </w:divBdr>
    </w:div>
    <w:div w:id="679696413">
      <w:marLeft w:val="0"/>
      <w:marRight w:val="0"/>
      <w:marTop w:val="0"/>
      <w:marBottom w:val="0"/>
      <w:divBdr>
        <w:top w:val="none" w:sz="0" w:space="0" w:color="auto"/>
        <w:left w:val="none" w:sz="0" w:space="0" w:color="auto"/>
        <w:bottom w:val="none" w:sz="0" w:space="0" w:color="auto"/>
        <w:right w:val="none" w:sz="0" w:space="0" w:color="auto"/>
      </w:divBdr>
    </w:div>
    <w:div w:id="679696416">
      <w:marLeft w:val="0"/>
      <w:marRight w:val="0"/>
      <w:marTop w:val="0"/>
      <w:marBottom w:val="0"/>
      <w:divBdr>
        <w:top w:val="none" w:sz="0" w:space="0" w:color="auto"/>
        <w:left w:val="none" w:sz="0" w:space="0" w:color="auto"/>
        <w:bottom w:val="none" w:sz="0" w:space="0" w:color="auto"/>
        <w:right w:val="none" w:sz="0" w:space="0" w:color="auto"/>
      </w:divBdr>
    </w:div>
    <w:div w:id="679696417">
      <w:marLeft w:val="0"/>
      <w:marRight w:val="0"/>
      <w:marTop w:val="0"/>
      <w:marBottom w:val="0"/>
      <w:divBdr>
        <w:top w:val="none" w:sz="0" w:space="0" w:color="auto"/>
        <w:left w:val="none" w:sz="0" w:space="0" w:color="auto"/>
        <w:bottom w:val="none" w:sz="0" w:space="0" w:color="auto"/>
        <w:right w:val="none" w:sz="0" w:space="0" w:color="auto"/>
      </w:divBdr>
      <w:divsChild>
        <w:div w:id="679696386">
          <w:marLeft w:val="0"/>
          <w:marRight w:val="0"/>
          <w:marTop w:val="0"/>
          <w:marBottom w:val="0"/>
          <w:divBdr>
            <w:top w:val="none" w:sz="0" w:space="0" w:color="auto"/>
            <w:left w:val="none" w:sz="0" w:space="0" w:color="auto"/>
            <w:bottom w:val="none" w:sz="0" w:space="0" w:color="auto"/>
            <w:right w:val="none" w:sz="0" w:space="0" w:color="auto"/>
          </w:divBdr>
          <w:divsChild>
            <w:div w:id="679696480">
              <w:marLeft w:val="0"/>
              <w:marRight w:val="0"/>
              <w:marTop w:val="0"/>
              <w:marBottom w:val="0"/>
              <w:divBdr>
                <w:top w:val="none" w:sz="0" w:space="0" w:color="auto"/>
                <w:left w:val="none" w:sz="0" w:space="0" w:color="auto"/>
                <w:bottom w:val="none" w:sz="0" w:space="0" w:color="auto"/>
                <w:right w:val="none" w:sz="0" w:space="0" w:color="auto"/>
              </w:divBdr>
              <w:divsChild>
                <w:div w:id="679696649">
                  <w:marLeft w:val="0"/>
                  <w:marRight w:val="0"/>
                  <w:marTop w:val="0"/>
                  <w:marBottom w:val="0"/>
                  <w:divBdr>
                    <w:top w:val="none" w:sz="0" w:space="0" w:color="auto"/>
                    <w:left w:val="none" w:sz="0" w:space="0" w:color="auto"/>
                    <w:bottom w:val="none" w:sz="0" w:space="0" w:color="auto"/>
                    <w:right w:val="none" w:sz="0" w:space="0" w:color="auto"/>
                  </w:divBdr>
                  <w:divsChild>
                    <w:div w:id="679696670">
                      <w:marLeft w:val="0"/>
                      <w:marRight w:val="0"/>
                      <w:marTop w:val="0"/>
                      <w:marBottom w:val="0"/>
                      <w:divBdr>
                        <w:top w:val="none" w:sz="0" w:space="0" w:color="auto"/>
                        <w:left w:val="none" w:sz="0" w:space="0" w:color="auto"/>
                        <w:bottom w:val="none" w:sz="0" w:space="0" w:color="auto"/>
                        <w:right w:val="none" w:sz="0" w:space="0" w:color="auto"/>
                      </w:divBdr>
                      <w:divsChild>
                        <w:div w:id="6796965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18">
      <w:marLeft w:val="0"/>
      <w:marRight w:val="0"/>
      <w:marTop w:val="0"/>
      <w:marBottom w:val="0"/>
      <w:divBdr>
        <w:top w:val="none" w:sz="0" w:space="0" w:color="auto"/>
        <w:left w:val="none" w:sz="0" w:space="0" w:color="auto"/>
        <w:bottom w:val="none" w:sz="0" w:space="0" w:color="auto"/>
        <w:right w:val="none" w:sz="0" w:space="0" w:color="auto"/>
      </w:divBdr>
    </w:div>
    <w:div w:id="679696421">
      <w:marLeft w:val="0"/>
      <w:marRight w:val="0"/>
      <w:marTop w:val="0"/>
      <w:marBottom w:val="0"/>
      <w:divBdr>
        <w:top w:val="none" w:sz="0" w:space="0" w:color="auto"/>
        <w:left w:val="none" w:sz="0" w:space="0" w:color="auto"/>
        <w:bottom w:val="none" w:sz="0" w:space="0" w:color="auto"/>
        <w:right w:val="none" w:sz="0" w:space="0" w:color="auto"/>
      </w:divBdr>
      <w:divsChild>
        <w:div w:id="679696714">
          <w:marLeft w:val="0"/>
          <w:marRight w:val="0"/>
          <w:marTop w:val="0"/>
          <w:marBottom w:val="0"/>
          <w:divBdr>
            <w:top w:val="none" w:sz="0" w:space="0" w:color="auto"/>
            <w:left w:val="none" w:sz="0" w:space="0" w:color="auto"/>
            <w:bottom w:val="none" w:sz="0" w:space="0" w:color="auto"/>
            <w:right w:val="none" w:sz="0" w:space="0" w:color="auto"/>
          </w:divBdr>
        </w:div>
      </w:divsChild>
    </w:div>
    <w:div w:id="679696423">
      <w:marLeft w:val="0"/>
      <w:marRight w:val="0"/>
      <w:marTop w:val="0"/>
      <w:marBottom w:val="0"/>
      <w:divBdr>
        <w:top w:val="none" w:sz="0" w:space="0" w:color="auto"/>
        <w:left w:val="none" w:sz="0" w:space="0" w:color="auto"/>
        <w:bottom w:val="none" w:sz="0" w:space="0" w:color="auto"/>
        <w:right w:val="none" w:sz="0" w:space="0" w:color="auto"/>
      </w:divBdr>
    </w:div>
    <w:div w:id="679696425">
      <w:marLeft w:val="0"/>
      <w:marRight w:val="0"/>
      <w:marTop w:val="0"/>
      <w:marBottom w:val="0"/>
      <w:divBdr>
        <w:top w:val="none" w:sz="0" w:space="0" w:color="auto"/>
        <w:left w:val="none" w:sz="0" w:space="0" w:color="auto"/>
        <w:bottom w:val="none" w:sz="0" w:space="0" w:color="auto"/>
        <w:right w:val="none" w:sz="0" w:space="0" w:color="auto"/>
      </w:divBdr>
    </w:div>
    <w:div w:id="679696427">
      <w:marLeft w:val="0"/>
      <w:marRight w:val="0"/>
      <w:marTop w:val="0"/>
      <w:marBottom w:val="0"/>
      <w:divBdr>
        <w:top w:val="none" w:sz="0" w:space="0" w:color="auto"/>
        <w:left w:val="none" w:sz="0" w:space="0" w:color="auto"/>
        <w:bottom w:val="none" w:sz="0" w:space="0" w:color="auto"/>
        <w:right w:val="none" w:sz="0" w:space="0" w:color="auto"/>
      </w:divBdr>
    </w:div>
    <w:div w:id="679696428">
      <w:marLeft w:val="0"/>
      <w:marRight w:val="0"/>
      <w:marTop w:val="0"/>
      <w:marBottom w:val="0"/>
      <w:divBdr>
        <w:top w:val="none" w:sz="0" w:space="0" w:color="auto"/>
        <w:left w:val="none" w:sz="0" w:space="0" w:color="auto"/>
        <w:bottom w:val="none" w:sz="0" w:space="0" w:color="auto"/>
        <w:right w:val="none" w:sz="0" w:space="0" w:color="auto"/>
      </w:divBdr>
      <w:divsChild>
        <w:div w:id="679696389">
          <w:marLeft w:val="0"/>
          <w:marRight w:val="0"/>
          <w:marTop w:val="0"/>
          <w:marBottom w:val="0"/>
          <w:divBdr>
            <w:top w:val="none" w:sz="0" w:space="0" w:color="auto"/>
            <w:left w:val="none" w:sz="0" w:space="0" w:color="auto"/>
            <w:bottom w:val="none" w:sz="0" w:space="0" w:color="auto"/>
            <w:right w:val="none" w:sz="0" w:space="0" w:color="auto"/>
          </w:divBdr>
        </w:div>
      </w:divsChild>
    </w:div>
    <w:div w:id="679696429">
      <w:marLeft w:val="0"/>
      <w:marRight w:val="0"/>
      <w:marTop w:val="0"/>
      <w:marBottom w:val="0"/>
      <w:divBdr>
        <w:top w:val="none" w:sz="0" w:space="0" w:color="auto"/>
        <w:left w:val="none" w:sz="0" w:space="0" w:color="auto"/>
        <w:bottom w:val="none" w:sz="0" w:space="0" w:color="auto"/>
        <w:right w:val="none" w:sz="0" w:space="0" w:color="auto"/>
      </w:divBdr>
    </w:div>
    <w:div w:id="679696430">
      <w:marLeft w:val="0"/>
      <w:marRight w:val="0"/>
      <w:marTop w:val="0"/>
      <w:marBottom w:val="0"/>
      <w:divBdr>
        <w:top w:val="none" w:sz="0" w:space="0" w:color="auto"/>
        <w:left w:val="none" w:sz="0" w:space="0" w:color="auto"/>
        <w:bottom w:val="none" w:sz="0" w:space="0" w:color="auto"/>
        <w:right w:val="none" w:sz="0" w:space="0" w:color="auto"/>
      </w:divBdr>
    </w:div>
    <w:div w:id="679696431">
      <w:marLeft w:val="0"/>
      <w:marRight w:val="0"/>
      <w:marTop w:val="0"/>
      <w:marBottom w:val="0"/>
      <w:divBdr>
        <w:top w:val="none" w:sz="0" w:space="0" w:color="auto"/>
        <w:left w:val="none" w:sz="0" w:space="0" w:color="auto"/>
        <w:bottom w:val="none" w:sz="0" w:space="0" w:color="auto"/>
        <w:right w:val="none" w:sz="0" w:space="0" w:color="auto"/>
      </w:divBdr>
      <w:divsChild>
        <w:div w:id="679696597">
          <w:marLeft w:val="0"/>
          <w:marRight w:val="0"/>
          <w:marTop w:val="0"/>
          <w:marBottom w:val="0"/>
          <w:divBdr>
            <w:top w:val="none" w:sz="0" w:space="0" w:color="auto"/>
            <w:left w:val="none" w:sz="0" w:space="0" w:color="auto"/>
            <w:bottom w:val="none" w:sz="0" w:space="0" w:color="auto"/>
            <w:right w:val="none" w:sz="0" w:space="0" w:color="auto"/>
          </w:divBdr>
          <w:divsChild>
            <w:div w:id="679696744">
              <w:marLeft w:val="0"/>
              <w:marRight w:val="0"/>
              <w:marTop w:val="0"/>
              <w:marBottom w:val="0"/>
              <w:divBdr>
                <w:top w:val="none" w:sz="0" w:space="0" w:color="auto"/>
                <w:left w:val="none" w:sz="0" w:space="0" w:color="auto"/>
                <w:bottom w:val="none" w:sz="0" w:space="0" w:color="auto"/>
                <w:right w:val="none" w:sz="0" w:space="0" w:color="auto"/>
              </w:divBdr>
              <w:divsChild>
                <w:div w:id="679696415">
                  <w:marLeft w:val="0"/>
                  <w:marRight w:val="0"/>
                  <w:marTop w:val="0"/>
                  <w:marBottom w:val="0"/>
                  <w:divBdr>
                    <w:top w:val="none" w:sz="0" w:space="0" w:color="auto"/>
                    <w:left w:val="none" w:sz="0" w:space="0" w:color="auto"/>
                    <w:bottom w:val="none" w:sz="0" w:space="0" w:color="auto"/>
                    <w:right w:val="none" w:sz="0" w:space="0" w:color="auto"/>
                  </w:divBdr>
                  <w:divsChild>
                    <w:div w:id="679696665">
                      <w:marLeft w:val="0"/>
                      <w:marRight w:val="0"/>
                      <w:marTop w:val="0"/>
                      <w:marBottom w:val="0"/>
                      <w:divBdr>
                        <w:top w:val="none" w:sz="0" w:space="0" w:color="auto"/>
                        <w:left w:val="none" w:sz="0" w:space="0" w:color="auto"/>
                        <w:bottom w:val="none" w:sz="0" w:space="0" w:color="auto"/>
                        <w:right w:val="none" w:sz="0" w:space="0" w:color="auto"/>
                      </w:divBdr>
                      <w:divsChild>
                        <w:div w:id="6796966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2">
      <w:marLeft w:val="0"/>
      <w:marRight w:val="0"/>
      <w:marTop w:val="0"/>
      <w:marBottom w:val="0"/>
      <w:divBdr>
        <w:top w:val="none" w:sz="0" w:space="0" w:color="auto"/>
        <w:left w:val="none" w:sz="0" w:space="0" w:color="auto"/>
        <w:bottom w:val="none" w:sz="0" w:space="0" w:color="auto"/>
        <w:right w:val="none" w:sz="0" w:space="0" w:color="auto"/>
      </w:divBdr>
    </w:div>
    <w:div w:id="679696433">
      <w:marLeft w:val="0"/>
      <w:marRight w:val="0"/>
      <w:marTop w:val="0"/>
      <w:marBottom w:val="0"/>
      <w:divBdr>
        <w:top w:val="none" w:sz="0" w:space="0" w:color="auto"/>
        <w:left w:val="none" w:sz="0" w:space="0" w:color="auto"/>
        <w:bottom w:val="none" w:sz="0" w:space="0" w:color="auto"/>
        <w:right w:val="none" w:sz="0" w:space="0" w:color="auto"/>
      </w:divBdr>
      <w:divsChild>
        <w:div w:id="679696672">
          <w:marLeft w:val="0"/>
          <w:marRight w:val="0"/>
          <w:marTop w:val="0"/>
          <w:marBottom w:val="0"/>
          <w:divBdr>
            <w:top w:val="none" w:sz="0" w:space="0" w:color="auto"/>
            <w:left w:val="none" w:sz="0" w:space="0" w:color="auto"/>
            <w:bottom w:val="none" w:sz="0" w:space="0" w:color="auto"/>
            <w:right w:val="none" w:sz="0" w:space="0" w:color="auto"/>
          </w:divBdr>
          <w:divsChild>
            <w:div w:id="679696585">
              <w:marLeft w:val="0"/>
              <w:marRight w:val="0"/>
              <w:marTop w:val="0"/>
              <w:marBottom w:val="0"/>
              <w:divBdr>
                <w:top w:val="none" w:sz="0" w:space="0" w:color="auto"/>
                <w:left w:val="none" w:sz="0" w:space="0" w:color="auto"/>
                <w:bottom w:val="none" w:sz="0" w:space="0" w:color="auto"/>
                <w:right w:val="none" w:sz="0" w:space="0" w:color="auto"/>
              </w:divBdr>
              <w:divsChild>
                <w:div w:id="679696624">
                  <w:marLeft w:val="0"/>
                  <w:marRight w:val="0"/>
                  <w:marTop w:val="0"/>
                  <w:marBottom w:val="0"/>
                  <w:divBdr>
                    <w:top w:val="none" w:sz="0" w:space="0" w:color="auto"/>
                    <w:left w:val="none" w:sz="0" w:space="0" w:color="auto"/>
                    <w:bottom w:val="none" w:sz="0" w:space="0" w:color="auto"/>
                    <w:right w:val="none" w:sz="0" w:space="0" w:color="auto"/>
                  </w:divBdr>
                  <w:divsChild>
                    <w:div w:id="679696552">
                      <w:marLeft w:val="0"/>
                      <w:marRight w:val="0"/>
                      <w:marTop w:val="0"/>
                      <w:marBottom w:val="0"/>
                      <w:divBdr>
                        <w:top w:val="none" w:sz="0" w:space="0" w:color="auto"/>
                        <w:left w:val="none" w:sz="0" w:space="0" w:color="auto"/>
                        <w:bottom w:val="none" w:sz="0" w:space="0" w:color="auto"/>
                        <w:right w:val="none" w:sz="0" w:space="0" w:color="auto"/>
                      </w:divBdr>
                      <w:divsChild>
                        <w:div w:id="6796964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4">
      <w:marLeft w:val="0"/>
      <w:marRight w:val="0"/>
      <w:marTop w:val="0"/>
      <w:marBottom w:val="0"/>
      <w:divBdr>
        <w:top w:val="none" w:sz="0" w:space="0" w:color="auto"/>
        <w:left w:val="none" w:sz="0" w:space="0" w:color="auto"/>
        <w:bottom w:val="none" w:sz="0" w:space="0" w:color="auto"/>
        <w:right w:val="none" w:sz="0" w:space="0" w:color="auto"/>
      </w:divBdr>
    </w:div>
    <w:div w:id="679696435">
      <w:marLeft w:val="0"/>
      <w:marRight w:val="0"/>
      <w:marTop w:val="0"/>
      <w:marBottom w:val="0"/>
      <w:divBdr>
        <w:top w:val="none" w:sz="0" w:space="0" w:color="auto"/>
        <w:left w:val="none" w:sz="0" w:space="0" w:color="auto"/>
        <w:bottom w:val="none" w:sz="0" w:space="0" w:color="auto"/>
        <w:right w:val="none" w:sz="0" w:space="0" w:color="auto"/>
      </w:divBdr>
    </w:div>
    <w:div w:id="679696436">
      <w:marLeft w:val="0"/>
      <w:marRight w:val="0"/>
      <w:marTop w:val="0"/>
      <w:marBottom w:val="0"/>
      <w:divBdr>
        <w:top w:val="none" w:sz="0" w:space="0" w:color="auto"/>
        <w:left w:val="none" w:sz="0" w:space="0" w:color="auto"/>
        <w:bottom w:val="none" w:sz="0" w:space="0" w:color="auto"/>
        <w:right w:val="none" w:sz="0" w:space="0" w:color="auto"/>
      </w:divBdr>
    </w:div>
    <w:div w:id="679696437">
      <w:marLeft w:val="0"/>
      <w:marRight w:val="0"/>
      <w:marTop w:val="0"/>
      <w:marBottom w:val="0"/>
      <w:divBdr>
        <w:top w:val="none" w:sz="0" w:space="0" w:color="auto"/>
        <w:left w:val="none" w:sz="0" w:space="0" w:color="auto"/>
        <w:bottom w:val="none" w:sz="0" w:space="0" w:color="auto"/>
        <w:right w:val="none" w:sz="0" w:space="0" w:color="auto"/>
      </w:divBdr>
    </w:div>
    <w:div w:id="679696438">
      <w:marLeft w:val="0"/>
      <w:marRight w:val="0"/>
      <w:marTop w:val="0"/>
      <w:marBottom w:val="0"/>
      <w:divBdr>
        <w:top w:val="none" w:sz="0" w:space="0" w:color="auto"/>
        <w:left w:val="none" w:sz="0" w:space="0" w:color="auto"/>
        <w:bottom w:val="none" w:sz="0" w:space="0" w:color="auto"/>
        <w:right w:val="none" w:sz="0" w:space="0" w:color="auto"/>
      </w:divBdr>
    </w:div>
    <w:div w:id="679696439">
      <w:marLeft w:val="0"/>
      <w:marRight w:val="0"/>
      <w:marTop w:val="0"/>
      <w:marBottom w:val="0"/>
      <w:divBdr>
        <w:top w:val="none" w:sz="0" w:space="0" w:color="auto"/>
        <w:left w:val="none" w:sz="0" w:space="0" w:color="auto"/>
        <w:bottom w:val="none" w:sz="0" w:space="0" w:color="auto"/>
        <w:right w:val="none" w:sz="0" w:space="0" w:color="auto"/>
      </w:divBdr>
    </w:div>
    <w:div w:id="679696440">
      <w:marLeft w:val="0"/>
      <w:marRight w:val="0"/>
      <w:marTop w:val="0"/>
      <w:marBottom w:val="0"/>
      <w:divBdr>
        <w:top w:val="none" w:sz="0" w:space="0" w:color="auto"/>
        <w:left w:val="none" w:sz="0" w:space="0" w:color="auto"/>
        <w:bottom w:val="none" w:sz="0" w:space="0" w:color="auto"/>
        <w:right w:val="none" w:sz="0" w:space="0" w:color="auto"/>
      </w:divBdr>
    </w:div>
    <w:div w:id="679696442">
      <w:marLeft w:val="0"/>
      <w:marRight w:val="0"/>
      <w:marTop w:val="0"/>
      <w:marBottom w:val="0"/>
      <w:divBdr>
        <w:top w:val="none" w:sz="0" w:space="0" w:color="auto"/>
        <w:left w:val="none" w:sz="0" w:space="0" w:color="auto"/>
        <w:bottom w:val="none" w:sz="0" w:space="0" w:color="auto"/>
        <w:right w:val="none" w:sz="0" w:space="0" w:color="auto"/>
      </w:divBdr>
    </w:div>
    <w:div w:id="679696443">
      <w:marLeft w:val="0"/>
      <w:marRight w:val="0"/>
      <w:marTop w:val="0"/>
      <w:marBottom w:val="0"/>
      <w:divBdr>
        <w:top w:val="none" w:sz="0" w:space="0" w:color="auto"/>
        <w:left w:val="none" w:sz="0" w:space="0" w:color="auto"/>
        <w:bottom w:val="none" w:sz="0" w:space="0" w:color="auto"/>
        <w:right w:val="none" w:sz="0" w:space="0" w:color="auto"/>
      </w:divBdr>
      <w:divsChild>
        <w:div w:id="679696457">
          <w:marLeft w:val="0"/>
          <w:marRight w:val="0"/>
          <w:marTop w:val="0"/>
          <w:marBottom w:val="0"/>
          <w:divBdr>
            <w:top w:val="none" w:sz="0" w:space="0" w:color="auto"/>
            <w:left w:val="none" w:sz="0" w:space="0" w:color="auto"/>
            <w:bottom w:val="none" w:sz="0" w:space="0" w:color="auto"/>
            <w:right w:val="none" w:sz="0" w:space="0" w:color="auto"/>
          </w:divBdr>
        </w:div>
        <w:div w:id="679696704">
          <w:marLeft w:val="0"/>
          <w:marRight w:val="0"/>
          <w:marTop w:val="0"/>
          <w:marBottom w:val="0"/>
          <w:divBdr>
            <w:top w:val="none" w:sz="0" w:space="0" w:color="auto"/>
            <w:left w:val="none" w:sz="0" w:space="0" w:color="auto"/>
            <w:bottom w:val="none" w:sz="0" w:space="0" w:color="auto"/>
            <w:right w:val="none" w:sz="0" w:space="0" w:color="auto"/>
          </w:divBdr>
        </w:div>
        <w:div w:id="679696706">
          <w:marLeft w:val="0"/>
          <w:marRight w:val="0"/>
          <w:marTop w:val="0"/>
          <w:marBottom w:val="0"/>
          <w:divBdr>
            <w:top w:val="none" w:sz="0" w:space="0" w:color="auto"/>
            <w:left w:val="none" w:sz="0" w:space="0" w:color="auto"/>
            <w:bottom w:val="none" w:sz="0" w:space="0" w:color="auto"/>
            <w:right w:val="none" w:sz="0" w:space="0" w:color="auto"/>
          </w:divBdr>
        </w:div>
      </w:divsChild>
    </w:div>
    <w:div w:id="679696444">
      <w:marLeft w:val="0"/>
      <w:marRight w:val="0"/>
      <w:marTop w:val="0"/>
      <w:marBottom w:val="0"/>
      <w:divBdr>
        <w:top w:val="none" w:sz="0" w:space="0" w:color="auto"/>
        <w:left w:val="none" w:sz="0" w:space="0" w:color="auto"/>
        <w:bottom w:val="none" w:sz="0" w:space="0" w:color="auto"/>
        <w:right w:val="none" w:sz="0" w:space="0" w:color="auto"/>
      </w:divBdr>
    </w:div>
    <w:div w:id="679696445">
      <w:marLeft w:val="0"/>
      <w:marRight w:val="0"/>
      <w:marTop w:val="0"/>
      <w:marBottom w:val="0"/>
      <w:divBdr>
        <w:top w:val="none" w:sz="0" w:space="0" w:color="auto"/>
        <w:left w:val="none" w:sz="0" w:space="0" w:color="auto"/>
        <w:bottom w:val="none" w:sz="0" w:space="0" w:color="auto"/>
        <w:right w:val="none" w:sz="0" w:space="0" w:color="auto"/>
      </w:divBdr>
    </w:div>
    <w:div w:id="679696446">
      <w:marLeft w:val="0"/>
      <w:marRight w:val="0"/>
      <w:marTop w:val="0"/>
      <w:marBottom w:val="0"/>
      <w:divBdr>
        <w:top w:val="none" w:sz="0" w:space="0" w:color="auto"/>
        <w:left w:val="none" w:sz="0" w:space="0" w:color="auto"/>
        <w:bottom w:val="none" w:sz="0" w:space="0" w:color="auto"/>
        <w:right w:val="none" w:sz="0" w:space="0" w:color="auto"/>
      </w:divBdr>
    </w:div>
    <w:div w:id="679696448">
      <w:marLeft w:val="0"/>
      <w:marRight w:val="0"/>
      <w:marTop w:val="0"/>
      <w:marBottom w:val="0"/>
      <w:divBdr>
        <w:top w:val="none" w:sz="0" w:space="0" w:color="auto"/>
        <w:left w:val="none" w:sz="0" w:space="0" w:color="auto"/>
        <w:bottom w:val="none" w:sz="0" w:space="0" w:color="auto"/>
        <w:right w:val="none" w:sz="0" w:space="0" w:color="auto"/>
      </w:divBdr>
    </w:div>
    <w:div w:id="679696451">
      <w:marLeft w:val="0"/>
      <w:marRight w:val="0"/>
      <w:marTop w:val="0"/>
      <w:marBottom w:val="0"/>
      <w:divBdr>
        <w:top w:val="none" w:sz="0" w:space="0" w:color="auto"/>
        <w:left w:val="none" w:sz="0" w:space="0" w:color="auto"/>
        <w:bottom w:val="none" w:sz="0" w:space="0" w:color="auto"/>
        <w:right w:val="none" w:sz="0" w:space="0" w:color="auto"/>
      </w:divBdr>
    </w:div>
    <w:div w:id="679696452">
      <w:marLeft w:val="0"/>
      <w:marRight w:val="0"/>
      <w:marTop w:val="0"/>
      <w:marBottom w:val="0"/>
      <w:divBdr>
        <w:top w:val="none" w:sz="0" w:space="0" w:color="auto"/>
        <w:left w:val="none" w:sz="0" w:space="0" w:color="auto"/>
        <w:bottom w:val="none" w:sz="0" w:space="0" w:color="auto"/>
        <w:right w:val="none" w:sz="0" w:space="0" w:color="auto"/>
      </w:divBdr>
    </w:div>
    <w:div w:id="679696453">
      <w:marLeft w:val="0"/>
      <w:marRight w:val="0"/>
      <w:marTop w:val="0"/>
      <w:marBottom w:val="0"/>
      <w:divBdr>
        <w:top w:val="none" w:sz="0" w:space="0" w:color="auto"/>
        <w:left w:val="none" w:sz="0" w:space="0" w:color="auto"/>
        <w:bottom w:val="none" w:sz="0" w:space="0" w:color="auto"/>
        <w:right w:val="none" w:sz="0" w:space="0" w:color="auto"/>
      </w:divBdr>
      <w:divsChild>
        <w:div w:id="679696426">
          <w:marLeft w:val="0"/>
          <w:marRight w:val="0"/>
          <w:marTop w:val="0"/>
          <w:marBottom w:val="0"/>
          <w:divBdr>
            <w:top w:val="none" w:sz="0" w:space="0" w:color="auto"/>
            <w:left w:val="none" w:sz="0" w:space="0" w:color="auto"/>
            <w:bottom w:val="none" w:sz="0" w:space="0" w:color="auto"/>
            <w:right w:val="none" w:sz="0" w:space="0" w:color="auto"/>
          </w:divBdr>
          <w:divsChild>
            <w:div w:id="679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454">
      <w:marLeft w:val="0"/>
      <w:marRight w:val="0"/>
      <w:marTop w:val="0"/>
      <w:marBottom w:val="0"/>
      <w:divBdr>
        <w:top w:val="none" w:sz="0" w:space="0" w:color="auto"/>
        <w:left w:val="none" w:sz="0" w:space="0" w:color="auto"/>
        <w:bottom w:val="none" w:sz="0" w:space="0" w:color="auto"/>
        <w:right w:val="none" w:sz="0" w:space="0" w:color="auto"/>
      </w:divBdr>
    </w:div>
    <w:div w:id="679696455">
      <w:marLeft w:val="0"/>
      <w:marRight w:val="0"/>
      <w:marTop w:val="0"/>
      <w:marBottom w:val="0"/>
      <w:divBdr>
        <w:top w:val="none" w:sz="0" w:space="0" w:color="auto"/>
        <w:left w:val="none" w:sz="0" w:space="0" w:color="auto"/>
        <w:bottom w:val="none" w:sz="0" w:space="0" w:color="auto"/>
        <w:right w:val="none" w:sz="0" w:space="0" w:color="auto"/>
      </w:divBdr>
    </w:div>
    <w:div w:id="679696456">
      <w:marLeft w:val="0"/>
      <w:marRight w:val="0"/>
      <w:marTop w:val="0"/>
      <w:marBottom w:val="0"/>
      <w:divBdr>
        <w:top w:val="none" w:sz="0" w:space="0" w:color="auto"/>
        <w:left w:val="none" w:sz="0" w:space="0" w:color="auto"/>
        <w:bottom w:val="none" w:sz="0" w:space="0" w:color="auto"/>
        <w:right w:val="none" w:sz="0" w:space="0" w:color="auto"/>
      </w:divBdr>
    </w:div>
    <w:div w:id="679696458">
      <w:marLeft w:val="0"/>
      <w:marRight w:val="0"/>
      <w:marTop w:val="0"/>
      <w:marBottom w:val="0"/>
      <w:divBdr>
        <w:top w:val="none" w:sz="0" w:space="0" w:color="auto"/>
        <w:left w:val="none" w:sz="0" w:space="0" w:color="auto"/>
        <w:bottom w:val="none" w:sz="0" w:space="0" w:color="auto"/>
        <w:right w:val="none" w:sz="0" w:space="0" w:color="auto"/>
      </w:divBdr>
    </w:div>
    <w:div w:id="679696459">
      <w:marLeft w:val="0"/>
      <w:marRight w:val="0"/>
      <w:marTop w:val="0"/>
      <w:marBottom w:val="0"/>
      <w:divBdr>
        <w:top w:val="none" w:sz="0" w:space="0" w:color="auto"/>
        <w:left w:val="none" w:sz="0" w:space="0" w:color="auto"/>
        <w:bottom w:val="none" w:sz="0" w:space="0" w:color="auto"/>
        <w:right w:val="none" w:sz="0" w:space="0" w:color="auto"/>
      </w:divBdr>
    </w:div>
    <w:div w:id="679696460">
      <w:marLeft w:val="0"/>
      <w:marRight w:val="0"/>
      <w:marTop w:val="0"/>
      <w:marBottom w:val="0"/>
      <w:divBdr>
        <w:top w:val="none" w:sz="0" w:space="0" w:color="auto"/>
        <w:left w:val="none" w:sz="0" w:space="0" w:color="auto"/>
        <w:bottom w:val="none" w:sz="0" w:space="0" w:color="auto"/>
        <w:right w:val="none" w:sz="0" w:space="0" w:color="auto"/>
      </w:divBdr>
    </w:div>
    <w:div w:id="679696461">
      <w:marLeft w:val="0"/>
      <w:marRight w:val="0"/>
      <w:marTop w:val="0"/>
      <w:marBottom w:val="0"/>
      <w:divBdr>
        <w:top w:val="none" w:sz="0" w:space="0" w:color="auto"/>
        <w:left w:val="none" w:sz="0" w:space="0" w:color="auto"/>
        <w:bottom w:val="none" w:sz="0" w:space="0" w:color="auto"/>
        <w:right w:val="none" w:sz="0" w:space="0" w:color="auto"/>
      </w:divBdr>
    </w:div>
    <w:div w:id="679696462">
      <w:marLeft w:val="0"/>
      <w:marRight w:val="0"/>
      <w:marTop w:val="0"/>
      <w:marBottom w:val="0"/>
      <w:divBdr>
        <w:top w:val="none" w:sz="0" w:space="0" w:color="auto"/>
        <w:left w:val="none" w:sz="0" w:space="0" w:color="auto"/>
        <w:bottom w:val="none" w:sz="0" w:space="0" w:color="auto"/>
        <w:right w:val="none" w:sz="0" w:space="0" w:color="auto"/>
      </w:divBdr>
      <w:divsChild>
        <w:div w:id="679696363">
          <w:marLeft w:val="0"/>
          <w:marRight w:val="0"/>
          <w:marTop w:val="0"/>
          <w:marBottom w:val="0"/>
          <w:divBdr>
            <w:top w:val="none" w:sz="0" w:space="0" w:color="auto"/>
            <w:left w:val="none" w:sz="0" w:space="0" w:color="auto"/>
            <w:bottom w:val="none" w:sz="0" w:space="0" w:color="auto"/>
            <w:right w:val="none" w:sz="0" w:space="0" w:color="auto"/>
          </w:divBdr>
        </w:div>
      </w:divsChild>
    </w:div>
    <w:div w:id="679696463">
      <w:marLeft w:val="0"/>
      <w:marRight w:val="0"/>
      <w:marTop w:val="0"/>
      <w:marBottom w:val="0"/>
      <w:divBdr>
        <w:top w:val="none" w:sz="0" w:space="0" w:color="auto"/>
        <w:left w:val="none" w:sz="0" w:space="0" w:color="auto"/>
        <w:bottom w:val="none" w:sz="0" w:space="0" w:color="auto"/>
        <w:right w:val="none" w:sz="0" w:space="0" w:color="auto"/>
      </w:divBdr>
    </w:div>
    <w:div w:id="679696464">
      <w:marLeft w:val="0"/>
      <w:marRight w:val="0"/>
      <w:marTop w:val="0"/>
      <w:marBottom w:val="0"/>
      <w:divBdr>
        <w:top w:val="none" w:sz="0" w:space="0" w:color="auto"/>
        <w:left w:val="none" w:sz="0" w:space="0" w:color="auto"/>
        <w:bottom w:val="none" w:sz="0" w:space="0" w:color="auto"/>
        <w:right w:val="none" w:sz="0" w:space="0" w:color="auto"/>
      </w:divBdr>
    </w:div>
    <w:div w:id="679696465">
      <w:marLeft w:val="0"/>
      <w:marRight w:val="0"/>
      <w:marTop w:val="0"/>
      <w:marBottom w:val="0"/>
      <w:divBdr>
        <w:top w:val="none" w:sz="0" w:space="0" w:color="auto"/>
        <w:left w:val="none" w:sz="0" w:space="0" w:color="auto"/>
        <w:bottom w:val="none" w:sz="0" w:space="0" w:color="auto"/>
        <w:right w:val="none" w:sz="0" w:space="0" w:color="auto"/>
      </w:divBdr>
    </w:div>
    <w:div w:id="679696466">
      <w:marLeft w:val="0"/>
      <w:marRight w:val="0"/>
      <w:marTop w:val="0"/>
      <w:marBottom w:val="0"/>
      <w:divBdr>
        <w:top w:val="none" w:sz="0" w:space="0" w:color="auto"/>
        <w:left w:val="none" w:sz="0" w:space="0" w:color="auto"/>
        <w:bottom w:val="none" w:sz="0" w:space="0" w:color="auto"/>
        <w:right w:val="none" w:sz="0" w:space="0" w:color="auto"/>
      </w:divBdr>
    </w:div>
    <w:div w:id="679696467">
      <w:marLeft w:val="0"/>
      <w:marRight w:val="0"/>
      <w:marTop w:val="0"/>
      <w:marBottom w:val="0"/>
      <w:divBdr>
        <w:top w:val="none" w:sz="0" w:space="0" w:color="auto"/>
        <w:left w:val="none" w:sz="0" w:space="0" w:color="auto"/>
        <w:bottom w:val="none" w:sz="0" w:space="0" w:color="auto"/>
        <w:right w:val="none" w:sz="0" w:space="0" w:color="auto"/>
      </w:divBdr>
      <w:divsChild>
        <w:div w:id="679696383">
          <w:marLeft w:val="0"/>
          <w:marRight w:val="0"/>
          <w:marTop w:val="0"/>
          <w:marBottom w:val="0"/>
          <w:divBdr>
            <w:top w:val="none" w:sz="0" w:space="0" w:color="auto"/>
            <w:left w:val="none" w:sz="0" w:space="0" w:color="auto"/>
            <w:bottom w:val="none" w:sz="0" w:space="0" w:color="auto"/>
            <w:right w:val="none" w:sz="0" w:space="0" w:color="auto"/>
          </w:divBdr>
          <w:divsChild>
            <w:div w:id="679696637">
              <w:marLeft w:val="0"/>
              <w:marRight w:val="0"/>
              <w:marTop w:val="0"/>
              <w:marBottom w:val="0"/>
              <w:divBdr>
                <w:top w:val="none" w:sz="0" w:space="0" w:color="auto"/>
                <w:left w:val="none" w:sz="0" w:space="0" w:color="auto"/>
                <w:bottom w:val="none" w:sz="0" w:space="0" w:color="auto"/>
                <w:right w:val="none" w:sz="0" w:space="0" w:color="auto"/>
              </w:divBdr>
              <w:divsChild>
                <w:div w:id="679696519">
                  <w:marLeft w:val="0"/>
                  <w:marRight w:val="0"/>
                  <w:marTop w:val="0"/>
                  <w:marBottom w:val="0"/>
                  <w:divBdr>
                    <w:top w:val="none" w:sz="0" w:space="0" w:color="auto"/>
                    <w:left w:val="none" w:sz="0" w:space="0" w:color="auto"/>
                    <w:bottom w:val="none" w:sz="0" w:space="0" w:color="auto"/>
                    <w:right w:val="none" w:sz="0" w:space="0" w:color="auto"/>
                  </w:divBdr>
                  <w:divsChild>
                    <w:div w:id="679696420">
                      <w:marLeft w:val="0"/>
                      <w:marRight w:val="0"/>
                      <w:marTop w:val="0"/>
                      <w:marBottom w:val="0"/>
                      <w:divBdr>
                        <w:top w:val="none" w:sz="0" w:space="0" w:color="auto"/>
                        <w:left w:val="none" w:sz="0" w:space="0" w:color="auto"/>
                        <w:bottom w:val="none" w:sz="0" w:space="0" w:color="auto"/>
                        <w:right w:val="none" w:sz="0" w:space="0" w:color="auto"/>
                      </w:divBdr>
                      <w:divsChild>
                        <w:div w:id="6796966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0">
      <w:marLeft w:val="0"/>
      <w:marRight w:val="0"/>
      <w:marTop w:val="0"/>
      <w:marBottom w:val="0"/>
      <w:divBdr>
        <w:top w:val="none" w:sz="0" w:space="0" w:color="auto"/>
        <w:left w:val="none" w:sz="0" w:space="0" w:color="auto"/>
        <w:bottom w:val="none" w:sz="0" w:space="0" w:color="auto"/>
        <w:right w:val="none" w:sz="0" w:space="0" w:color="auto"/>
      </w:divBdr>
      <w:divsChild>
        <w:div w:id="679696540">
          <w:marLeft w:val="0"/>
          <w:marRight w:val="0"/>
          <w:marTop w:val="0"/>
          <w:marBottom w:val="0"/>
          <w:divBdr>
            <w:top w:val="none" w:sz="0" w:space="0" w:color="auto"/>
            <w:left w:val="none" w:sz="0" w:space="0" w:color="auto"/>
            <w:bottom w:val="none" w:sz="0" w:space="0" w:color="auto"/>
            <w:right w:val="none" w:sz="0" w:space="0" w:color="auto"/>
          </w:divBdr>
          <w:divsChild>
            <w:div w:id="679696541">
              <w:marLeft w:val="0"/>
              <w:marRight w:val="0"/>
              <w:marTop w:val="0"/>
              <w:marBottom w:val="0"/>
              <w:divBdr>
                <w:top w:val="none" w:sz="0" w:space="0" w:color="auto"/>
                <w:left w:val="none" w:sz="0" w:space="0" w:color="auto"/>
                <w:bottom w:val="none" w:sz="0" w:space="0" w:color="auto"/>
                <w:right w:val="none" w:sz="0" w:space="0" w:color="auto"/>
              </w:divBdr>
              <w:divsChild>
                <w:div w:id="679696731">
                  <w:marLeft w:val="0"/>
                  <w:marRight w:val="0"/>
                  <w:marTop w:val="0"/>
                  <w:marBottom w:val="0"/>
                  <w:divBdr>
                    <w:top w:val="none" w:sz="0" w:space="0" w:color="auto"/>
                    <w:left w:val="none" w:sz="0" w:space="0" w:color="auto"/>
                    <w:bottom w:val="none" w:sz="0" w:space="0" w:color="auto"/>
                    <w:right w:val="none" w:sz="0" w:space="0" w:color="auto"/>
                  </w:divBdr>
                  <w:divsChild>
                    <w:div w:id="679696580">
                      <w:marLeft w:val="0"/>
                      <w:marRight w:val="0"/>
                      <w:marTop w:val="0"/>
                      <w:marBottom w:val="0"/>
                      <w:divBdr>
                        <w:top w:val="none" w:sz="0" w:space="0" w:color="auto"/>
                        <w:left w:val="none" w:sz="0" w:space="0" w:color="auto"/>
                        <w:bottom w:val="none" w:sz="0" w:space="0" w:color="auto"/>
                        <w:right w:val="none" w:sz="0" w:space="0" w:color="auto"/>
                      </w:divBdr>
                      <w:divsChild>
                        <w:div w:id="6796966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2">
      <w:marLeft w:val="0"/>
      <w:marRight w:val="0"/>
      <w:marTop w:val="0"/>
      <w:marBottom w:val="0"/>
      <w:divBdr>
        <w:top w:val="none" w:sz="0" w:space="0" w:color="auto"/>
        <w:left w:val="none" w:sz="0" w:space="0" w:color="auto"/>
        <w:bottom w:val="none" w:sz="0" w:space="0" w:color="auto"/>
        <w:right w:val="none" w:sz="0" w:space="0" w:color="auto"/>
      </w:divBdr>
    </w:div>
    <w:div w:id="679696473">
      <w:marLeft w:val="0"/>
      <w:marRight w:val="0"/>
      <w:marTop w:val="0"/>
      <w:marBottom w:val="0"/>
      <w:divBdr>
        <w:top w:val="none" w:sz="0" w:space="0" w:color="auto"/>
        <w:left w:val="none" w:sz="0" w:space="0" w:color="auto"/>
        <w:bottom w:val="none" w:sz="0" w:space="0" w:color="auto"/>
        <w:right w:val="none" w:sz="0" w:space="0" w:color="auto"/>
      </w:divBdr>
    </w:div>
    <w:div w:id="679696474">
      <w:marLeft w:val="0"/>
      <w:marRight w:val="0"/>
      <w:marTop w:val="0"/>
      <w:marBottom w:val="0"/>
      <w:divBdr>
        <w:top w:val="none" w:sz="0" w:space="0" w:color="auto"/>
        <w:left w:val="none" w:sz="0" w:space="0" w:color="auto"/>
        <w:bottom w:val="none" w:sz="0" w:space="0" w:color="auto"/>
        <w:right w:val="none" w:sz="0" w:space="0" w:color="auto"/>
      </w:divBdr>
    </w:div>
    <w:div w:id="679696476">
      <w:marLeft w:val="0"/>
      <w:marRight w:val="0"/>
      <w:marTop w:val="0"/>
      <w:marBottom w:val="0"/>
      <w:divBdr>
        <w:top w:val="none" w:sz="0" w:space="0" w:color="auto"/>
        <w:left w:val="none" w:sz="0" w:space="0" w:color="auto"/>
        <w:bottom w:val="none" w:sz="0" w:space="0" w:color="auto"/>
        <w:right w:val="none" w:sz="0" w:space="0" w:color="auto"/>
      </w:divBdr>
    </w:div>
    <w:div w:id="679696478">
      <w:marLeft w:val="0"/>
      <w:marRight w:val="0"/>
      <w:marTop w:val="0"/>
      <w:marBottom w:val="0"/>
      <w:divBdr>
        <w:top w:val="none" w:sz="0" w:space="0" w:color="auto"/>
        <w:left w:val="none" w:sz="0" w:space="0" w:color="auto"/>
        <w:bottom w:val="none" w:sz="0" w:space="0" w:color="auto"/>
        <w:right w:val="none" w:sz="0" w:space="0" w:color="auto"/>
      </w:divBdr>
    </w:div>
    <w:div w:id="679696479">
      <w:marLeft w:val="0"/>
      <w:marRight w:val="0"/>
      <w:marTop w:val="0"/>
      <w:marBottom w:val="0"/>
      <w:divBdr>
        <w:top w:val="none" w:sz="0" w:space="0" w:color="auto"/>
        <w:left w:val="none" w:sz="0" w:space="0" w:color="auto"/>
        <w:bottom w:val="none" w:sz="0" w:space="0" w:color="auto"/>
        <w:right w:val="none" w:sz="0" w:space="0" w:color="auto"/>
      </w:divBdr>
    </w:div>
    <w:div w:id="679696482">
      <w:marLeft w:val="0"/>
      <w:marRight w:val="0"/>
      <w:marTop w:val="0"/>
      <w:marBottom w:val="0"/>
      <w:divBdr>
        <w:top w:val="none" w:sz="0" w:space="0" w:color="auto"/>
        <w:left w:val="none" w:sz="0" w:space="0" w:color="auto"/>
        <w:bottom w:val="none" w:sz="0" w:space="0" w:color="auto"/>
        <w:right w:val="none" w:sz="0" w:space="0" w:color="auto"/>
      </w:divBdr>
    </w:div>
    <w:div w:id="679696483">
      <w:marLeft w:val="0"/>
      <w:marRight w:val="0"/>
      <w:marTop w:val="0"/>
      <w:marBottom w:val="0"/>
      <w:divBdr>
        <w:top w:val="none" w:sz="0" w:space="0" w:color="auto"/>
        <w:left w:val="none" w:sz="0" w:space="0" w:color="auto"/>
        <w:bottom w:val="none" w:sz="0" w:space="0" w:color="auto"/>
        <w:right w:val="none" w:sz="0" w:space="0" w:color="auto"/>
      </w:divBdr>
    </w:div>
    <w:div w:id="679696484">
      <w:marLeft w:val="0"/>
      <w:marRight w:val="0"/>
      <w:marTop w:val="0"/>
      <w:marBottom w:val="0"/>
      <w:divBdr>
        <w:top w:val="none" w:sz="0" w:space="0" w:color="auto"/>
        <w:left w:val="none" w:sz="0" w:space="0" w:color="auto"/>
        <w:bottom w:val="none" w:sz="0" w:space="0" w:color="auto"/>
        <w:right w:val="none" w:sz="0" w:space="0" w:color="auto"/>
      </w:divBdr>
    </w:div>
    <w:div w:id="679696485">
      <w:marLeft w:val="0"/>
      <w:marRight w:val="0"/>
      <w:marTop w:val="0"/>
      <w:marBottom w:val="0"/>
      <w:divBdr>
        <w:top w:val="none" w:sz="0" w:space="0" w:color="auto"/>
        <w:left w:val="none" w:sz="0" w:space="0" w:color="auto"/>
        <w:bottom w:val="none" w:sz="0" w:space="0" w:color="auto"/>
        <w:right w:val="none" w:sz="0" w:space="0" w:color="auto"/>
      </w:divBdr>
    </w:div>
    <w:div w:id="679696486">
      <w:marLeft w:val="0"/>
      <w:marRight w:val="0"/>
      <w:marTop w:val="0"/>
      <w:marBottom w:val="0"/>
      <w:divBdr>
        <w:top w:val="none" w:sz="0" w:space="0" w:color="auto"/>
        <w:left w:val="none" w:sz="0" w:space="0" w:color="auto"/>
        <w:bottom w:val="none" w:sz="0" w:space="0" w:color="auto"/>
        <w:right w:val="none" w:sz="0" w:space="0" w:color="auto"/>
      </w:divBdr>
    </w:div>
    <w:div w:id="679696487">
      <w:marLeft w:val="0"/>
      <w:marRight w:val="0"/>
      <w:marTop w:val="0"/>
      <w:marBottom w:val="0"/>
      <w:divBdr>
        <w:top w:val="none" w:sz="0" w:space="0" w:color="auto"/>
        <w:left w:val="none" w:sz="0" w:space="0" w:color="auto"/>
        <w:bottom w:val="none" w:sz="0" w:space="0" w:color="auto"/>
        <w:right w:val="none" w:sz="0" w:space="0" w:color="auto"/>
      </w:divBdr>
      <w:divsChild>
        <w:div w:id="679696475">
          <w:marLeft w:val="0"/>
          <w:marRight w:val="0"/>
          <w:marTop w:val="0"/>
          <w:marBottom w:val="0"/>
          <w:divBdr>
            <w:top w:val="none" w:sz="0" w:space="0" w:color="auto"/>
            <w:left w:val="none" w:sz="0" w:space="0" w:color="auto"/>
            <w:bottom w:val="none" w:sz="0" w:space="0" w:color="auto"/>
            <w:right w:val="none" w:sz="0" w:space="0" w:color="auto"/>
          </w:divBdr>
          <w:divsChild>
            <w:div w:id="679696503">
              <w:marLeft w:val="0"/>
              <w:marRight w:val="0"/>
              <w:marTop w:val="0"/>
              <w:marBottom w:val="0"/>
              <w:divBdr>
                <w:top w:val="none" w:sz="0" w:space="0" w:color="auto"/>
                <w:left w:val="none" w:sz="0" w:space="0" w:color="auto"/>
                <w:bottom w:val="none" w:sz="0" w:space="0" w:color="auto"/>
                <w:right w:val="none" w:sz="0" w:space="0" w:color="auto"/>
              </w:divBdr>
              <w:divsChild>
                <w:div w:id="679696615">
                  <w:marLeft w:val="0"/>
                  <w:marRight w:val="0"/>
                  <w:marTop w:val="0"/>
                  <w:marBottom w:val="0"/>
                  <w:divBdr>
                    <w:top w:val="none" w:sz="0" w:space="0" w:color="auto"/>
                    <w:left w:val="none" w:sz="0" w:space="0" w:color="auto"/>
                    <w:bottom w:val="none" w:sz="0" w:space="0" w:color="auto"/>
                    <w:right w:val="none" w:sz="0" w:space="0" w:color="auto"/>
                  </w:divBdr>
                  <w:divsChild>
                    <w:div w:id="679696450">
                      <w:marLeft w:val="0"/>
                      <w:marRight w:val="0"/>
                      <w:marTop w:val="0"/>
                      <w:marBottom w:val="0"/>
                      <w:divBdr>
                        <w:top w:val="none" w:sz="0" w:space="0" w:color="auto"/>
                        <w:left w:val="none" w:sz="0" w:space="0" w:color="auto"/>
                        <w:bottom w:val="none" w:sz="0" w:space="0" w:color="auto"/>
                        <w:right w:val="none" w:sz="0" w:space="0" w:color="auto"/>
                      </w:divBdr>
                      <w:divsChild>
                        <w:div w:id="6796967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8">
      <w:marLeft w:val="0"/>
      <w:marRight w:val="0"/>
      <w:marTop w:val="0"/>
      <w:marBottom w:val="0"/>
      <w:divBdr>
        <w:top w:val="none" w:sz="0" w:space="0" w:color="auto"/>
        <w:left w:val="none" w:sz="0" w:space="0" w:color="auto"/>
        <w:bottom w:val="none" w:sz="0" w:space="0" w:color="auto"/>
        <w:right w:val="none" w:sz="0" w:space="0" w:color="auto"/>
      </w:divBdr>
      <w:divsChild>
        <w:div w:id="679696537">
          <w:marLeft w:val="0"/>
          <w:marRight w:val="0"/>
          <w:marTop w:val="0"/>
          <w:marBottom w:val="0"/>
          <w:divBdr>
            <w:top w:val="none" w:sz="0" w:space="0" w:color="auto"/>
            <w:left w:val="none" w:sz="0" w:space="0" w:color="auto"/>
            <w:bottom w:val="none" w:sz="0" w:space="0" w:color="auto"/>
            <w:right w:val="none" w:sz="0" w:space="0" w:color="auto"/>
          </w:divBdr>
          <w:divsChild>
            <w:div w:id="679696502">
              <w:marLeft w:val="0"/>
              <w:marRight w:val="0"/>
              <w:marTop w:val="0"/>
              <w:marBottom w:val="0"/>
              <w:divBdr>
                <w:top w:val="none" w:sz="0" w:space="0" w:color="auto"/>
                <w:left w:val="none" w:sz="0" w:space="0" w:color="auto"/>
                <w:bottom w:val="none" w:sz="0" w:space="0" w:color="auto"/>
                <w:right w:val="none" w:sz="0" w:space="0" w:color="auto"/>
              </w:divBdr>
              <w:divsChild>
                <w:div w:id="679696664">
                  <w:marLeft w:val="0"/>
                  <w:marRight w:val="0"/>
                  <w:marTop w:val="0"/>
                  <w:marBottom w:val="0"/>
                  <w:divBdr>
                    <w:top w:val="none" w:sz="0" w:space="0" w:color="auto"/>
                    <w:left w:val="none" w:sz="0" w:space="0" w:color="auto"/>
                    <w:bottom w:val="none" w:sz="0" w:space="0" w:color="auto"/>
                    <w:right w:val="none" w:sz="0" w:space="0" w:color="auto"/>
                  </w:divBdr>
                  <w:divsChild>
                    <w:div w:id="679696634">
                      <w:marLeft w:val="0"/>
                      <w:marRight w:val="0"/>
                      <w:marTop w:val="0"/>
                      <w:marBottom w:val="0"/>
                      <w:divBdr>
                        <w:top w:val="none" w:sz="0" w:space="0" w:color="auto"/>
                        <w:left w:val="none" w:sz="0" w:space="0" w:color="auto"/>
                        <w:bottom w:val="none" w:sz="0" w:space="0" w:color="auto"/>
                        <w:right w:val="none" w:sz="0" w:space="0" w:color="auto"/>
                      </w:divBdr>
                      <w:divsChild>
                        <w:div w:id="6796964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9">
      <w:marLeft w:val="0"/>
      <w:marRight w:val="0"/>
      <w:marTop w:val="0"/>
      <w:marBottom w:val="0"/>
      <w:divBdr>
        <w:top w:val="none" w:sz="0" w:space="0" w:color="auto"/>
        <w:left w:val="none" w:sz="0" w:space="0" w:color="auto"/>
        <w:bottom w:val="none" w:sz="0" w:space="0" w:color="auto"/>
        <w:right w:val="none" w:sz="0" w:space="0" w:color="auto"/>
      </w:divBdr>
    </w:div>
    <w:div w:id="679696491">
      <w:marLeft w:val="0"/>
      <w:marRight w:val="0"/>
      <w:marTop w:val="0"/>
      <w:marBottom w:val="0"/>
      <w:divBdr>
        <w:top w:val="none" w:sz="0" w:space="0" w:color="auto"/>
        <w:left w:val="none" w:sz="0" w:space="0" w:color="auto"/>
        <w:bottom w:val="none" w:sz="0" w:space="0" w:color="auto"/>
        <w:right w:val="none" w:sz="0" w:space="0" w:color="auto"/>
      </w:divBdr>
      <w:divsChild>
        <w:div w:id="679696735">
          <w:marLeft w:val="0"/>
          <w:marRight w:val="0"/>
          <w:marTop w:val="0"/>
          <w:marBottom w:val="0"/>
          <w:divBdr>
            <w:top w:val="none" w:sz="0" w:space="0" w:color="auto"/>
            <w:left w:val="none" w:sz="0" w:space="0" w:color="auto"/>
            <w:bottom w:val="none" w:sz="0" w:space="0" w:color="auto"/>
            <w:right w:val="none" w:sz="0" w:space="0" w:color="auto"/>
          </w:divBdr>
        </w:div>
      </w:divsChild>
    </w:div>
    <w:div w:id="679696492">
      <w:marLeft w:val="0"/>
      <w:marRight w:val="0"/>
      <w:marTop w:val="0"/>
      <w:marBottom w:val="0"/>
      <w:divBdr>
        <w:top w:val="none" w:sz="0" w:space="0" w:color="auto"/>
        <w:left w:val="none" w:sz="0" w:space="0" w:color="auto"/>
        <w:bottom w:val="none" w:sz="0" w:space="0" w:color="auto"/>
        <w:right w:val="none" w:sz="0" w:space="0" w:color="auto"/>
      </w:divBdr>
    </w:div>
    <w:div w:id="679696493">
      <w:marLeft w:val="0"/>
      <w:marRight w:val="0"/>
      <w:marTop w:val="0"/>
      <w:marBottom w:val="0"/>
      <w:divBdr>
        <w:top w:val="none" w:sz="0" w:space="0" w:color="auto"/>
        <w:left w:val="none" w:sz="0" w:space="0" w:color="auto"/>
        <w:bottom w:val="none" w:sz="0" w:space="0" w:color="auto"/>
        <w:right w:val="none" w:sz="0" w:space="0" w:color="auto"/>
      </w:divBdr>
    </w:div>
    <w:div w:id="679696494">
      <w:marLeft w:val="0"/>
      <w:marRight w:val="0"/>
      <w:marTop w:val="0"/>
      <w:marBottom w:val="0"/>
      <w:divBdr>
        <w:top w:val="none" w:sz="0" w:space="0" w:color="auto"/>
        <w:left w:val="none" w:sz="0" w:space="0" w:color="auto"/>
        <w:bottom w:val="none" w:sz="0" w:space="0" w:color="auto"/>
        <w:right w:val="none" w:sz="0" w:space="0" w:color="auto"/>
      </w:divBdr>
    </w:div>
    <w:div w:id="679696495">
      <w:marLeft w:val="0"/>
      <w:marRight w:val="0"/>
      <w:marTop w:val="0"/>
      <w:marBottom w:val="0"/>
      <w:divBdr>
        <w:top w:val="none" w:sz="0" w:space="0" w:color="auto"/>
        <w:left w:val="none" w:sz="0" w:space="0" w:color="auto"/>
        <w:bottom w:val="none" w:sz="0" w:space="0" w:color="auto"/>
        <w:right w:val="none" w:sz="0" w:space="0" w:color="auto"/>
      </w:divBdr>
    </w:div>
    <w:div w:id="679696496">
      <w:marLeft w:val="0"/>
      <w:marRight w:val="0"/>
      <w:marTop w:val="0"/>
      <w:marBottom w:val="0"/>
      <w:divBdr>
        <w:top w:val="none" w:sz="0" w:space="0" w:color="auto"/>
        <w:left w:val="none" w:sz="0" w:space="0" w:color="auto"/>
        <w:bottom w:val="none" w:sz="0" w:space="0" w:color="auto"/>
        <w:right w:val="none" w:sz="0" w:space="0" w:color="auto"/>
      </w:divBdr>
    </w:div>
    <w:div w:id="679696497">
      <w:marLeft w:val="0"/>
      <w:marRight w:val="0"/>
      <w:marTop w:val="0"/>
      <w:marBottom w:val="0"/>
      <w:divBdr>
        <w:top w:val="none" w:sz="0" w:space="0" w:color="auto"/>
        <w:left w:val="none" w:sz="0" w:space="0" w:color="auto"/>
        <w:bottom w:val="none" w:sz="0" w:space="0" w:color="auto"/>
        <w:right w:val="none" w:sz="0" w:space="0" w:color="auto"/>
      </w:divBdr>
    </w:div>
    <w:div w:id="679696498">
      <w:marLeft w:val="0"/>
      <w:marRight w:val="0"/>
      <w:marTop w:val="0"/>
      <w:marBottom w:val="0"/>
      <w:divBdr>
        <w:top w:val="none" w:sz="0" w:space="0" w:color="auto"/>
        <w:left w:val="none" w:sz="0" w:space="0" w:color="auto"/>
        <w:bottom w:val="none" w:sz="0" w:space="0" w:color="auto"/>
        <w:right w:val="none" w:sz="0" w:space="0" w:color="auto"/>
      </w:divBdr>
    </w:div>
    <w:div w:id="679696499">
      <w:marLeft w:val="0"/>
      <w:marRight w:val="0"/>
      <w:marTop w:val="0"/>
      <w:marBottom w:val="0"/>
      <w:divBdr>
        <w:top w:val="none" w:sz="0" w:space="0" w:color="auto"/>
        <w:left w:val="none" w:sz="0" w:space="0" w:color="auto"/>
        <w:bottom w:val="none" w:sz="0" w:space="0" w:color="auto"/>
        <w:right w:val="none" w:sz="0" w:space="0" w:color="auto"/>
      </w:divBdr>
    </w:div>
    <w:div w:id="679696501">
      <w:marLeft w:val="0"/>
      <w:marRight w:val="0"/>
      <w:marTop w:val="0"/>
      <w:marBottom w:val="0"/>
      <w:divBdr>
        <w:top w:val="none" w:sz="0" w:space="0" w:color="auto"/>
        <w:left w:val="none" w:sz="0" w:space="0" w:color="auto"/>
        <w:bottom w:val="none" w:sz="0" w:space="0" w:color="auto"/>
        <w:right w:val="none" w:sz="0" w:space="0" w:color="auto"/>
      </w:divBdr>
    </w:div>
    <w:div w:id="679696504">
      <w:marLeft w:val="0"/>
      <w:marRight w:val="0"/>
      <w:marTop w:val="0"/>
      <w:marBottom w:val="0"/>
      <w:divBdr>
        <w:top w:val="none" w:sz="0" w:space="0" w:color="auto"/>
        <w:left w:val="none" w:sz="0" w:space="0" w:color="auto"/>
        <w:bottom w:val="none" w:sz="0" w:space="0" w:color="auto"/>
        <w:right w:val="none" w:sz="0" w:space="0" w:color="auto"/>
      </w:divBdr>
    </w:div>
    <w:div w:id="679696505">
      <w:marLeft w:val="0"/>
      <w:marRight w:val="0"/>
      <w:marTop w:val="0"/>
      <w:marBottom w:val="0"/>
      <w:divBdr>
        <w:top w:val="none" w:sz="0" w:space="0" w:color="auto"/>
        <w:left w:val="none" w:sz="0" w:space="0" w:color="auto"/>
        <w:bottom w:val="none" w:sz="0" w:space="0" w:color="auto"/>
        <w:right w:val="none" w:sz="0" w:space="0" w:color="auto"/>
      </w:divBdr>
    </w:div>
    <w:div w:id="679696507">
      <w:marLeft w:val="0"/>
      <w:marRight w:val="0"/>
      <w:marTop w:val="0"/>
      <w:marBottom w:val="0"/>
      <w:divBdr>
        <w:top w:val="none" w:sz="0" w:space="0" w:color="auto"/>
        <w:left w:val="none" w:sz="0" w:space="0" w:color="auto"/>
        <w:bottom w:val="none" w:sz="0" w:space="0" w:color="auto"/>
        <w:right w:val="none" w:sz="0" w:space="0" w:color="auto"/>
      </w:divBdr>
    </w:div>
    <w:div w:id="679696508">
      <w:marLeft w:val="0"/>
      <w:marRight w:val="0"/>
      <w:marTop w:val="0"/>
      <w:marBottom w:val="0"/>
      <w:divBdr>
        <w:top w:val="none" w:sz="0" w:space="0" w:color="auto"/>
        <w:left w:val="none" w:sz="0" w:space="0" w:color="auto"/>
        <w:bottom w:val="none" w:sz="0" w:space="0" w:color="auto"/>
        <w:right w:val="none" w:sz="0" w:space="0" w:color="auto"/>
      </w:divBdr>
    </w:div>
    <w:div w:id="679696509">
      <w:marLeft w:val="0"/>
      <w:marRight w:val="0"/>
      <w:marTop w:val="0"/>
      <w:marBottom w:val="0"/>
      <w:divBdr>
        <w:top w:val="none" w:sz="0" w:space="0" w:color="auto"/>
        <w:left w:val="none" w:sz="0" w:space="0" w:color="auto"/>
        <w:bottom w:val="none" w:sz="0" w:space="0" w:color="auto"/>
        <w:right w:val="none" w:sz="0" w:space="0" w:color="auto"/>
      </w:divBdr>
      <w:divsChild>
        <w:div w:id="679696522">
          <w:marLeft w:val="0"/>
          <w:marRight w:val="0"/>
          <w:marTop w:val="0"/>
          <w:marBottom w:val="0"/>
          <w:divBdr>
            <w:top w:val="none" w:sz="0" w:space="0" w:color="auto"/>
            <w:left w:val="none" w:sz="0" w:space="0" w:color="auto"/>
            <w:bottom w:val="none" w:sz="0" w:space="0" w:color="auto"/>
            <w:right w:val="none" w:sz="0" w:space="0" w:color="auto"/>
          </w:divBdr>
        </w:div>
      </w:divsChild>
    </w:div>
    <w:div w:id="679696510">
      <w:marLeft w:val="0"/>
      <w:marRight w:val="0"/>
      <w:marTop w:val="0"/>
      <w:marBottom w:val="0"/>
      <w:divBdr>
        <w:top w:val="none" w:sz="0" w:space="0" w:color="auto"/>
        <w:left w:val="none" w:sz="0" w:space="0" w:color="auto"/>
        <w:bottom w:val="none" w:sz="0" w:space="0" w:color="auto"/>
        <w:right w:val="none" w:sz="0" w:space="0" w:color="auto"/>
      </w:divBdr>
      <w:divsChild>
        <w:div w:id="679696764">
          <w:marLeft w:val="0"/>
          <w:marRight w:val="0"/>
          <w:marTop w:val="0"/>
          <w:marBottom w:val="0"/>
          <w:divBdr>
            <w:top w:val="none" w:sz="0" w:space="0" w:color="auto"/>
            <w:left w:val="none" w:sz="0" w:space="0" w:color="auto"/>
            <w:bottom w:val="none" w:sz="0" w:space="0" w:color="auto"/>
            <w:right w:val="none" w:sz="0" w:space="0" w:color="auto"/>
          </w:divBdr>
          <w:divsChild>
            <w:div w:id="679696422">
              <w:marLeft w:val="0"/>
              <w:marRight w:val="0"/>
              <w:marTop w:val="0"/>
              <w:marBottom w:val="0"/>
              <w:divBdr>
                <w:top w:val="none" w:sz="0" w:space="0" w:color="auto"/>
                <w:left w:val="none" w:sz="0" w:space="0" w:color="auto"/>
                <w:bottom w:val="none" w:sz="0" w:space="0" w:color="auto"/>
                <w:right w:val="none" w:sz="0" w:space="0" w:color="auto"/>
              </w:divBdr>
              <w:divsChild>
                <w:div w:id="679696468">
                  <w:marLeft w:val="0"/>
                  <w:marRight w:val="0"/>
                  <w:marTop w:val="0"/>
                  <w:marBottom w:val="0"/>
                  <w:divBdr>
                    <w:top w:val="none" w:sz="0" w:space="0" w:color="auto"/>
                    <w:left w:val="none" w:sz="0" w:space="0" w:color="auto"/>
                    <w:bottom w:val="none" w:sz="0" w:space="0" w:color="auto"/>
                    <w:right w:val="none" w:sz="0" w:space="0" w:color="auto"/>
                  </w:divBdr>
                  <w:divsChild>
                    <w:div w:id="679696396">
                      <w:marLeft w:val="0"/>
                      <w:marRight w:val="0"/>
                      <w:marTop w:val="0"/>
                      <w:marBottom w:val="0"/>
                      <w:divBdr>
                        <w:top w:val="none" w:sz="0" w:space="0" w:color="auto"/>
                        <w:left w:val="none" w:sz="0" w:space="0" w:color="auto"/>
                        <w:bottom w:val="none" w:sz="0" w:space="0" w:color="auto"/>
                        <w:right w:val="none" w:sz="0" w:space="0" w:color="auto"/>
                      </w:divBdr>
                      <w:divsChild>
                        <w:div w:id="6796965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11">
      <w:marLeft w:val="0"/>
      <w:marRight w:val="0"/>
      <w:marTop w:val="0"/>
      <w:marBottom w:val="0"/>
      <w:divBdr>
        <w:top w:val="none" w:sz="0" w:space="0" w:color="auto"/>
        <w:left w:val="none" w:sz="0" w:space="0" w:color="auto"/>
        <w:bottom w:val="none" w:sz="0" w:space="0" w:color="auto"/>
        <w:right w:val="none" w:sz="0" w:space="0" w:color="auto"/>
      </w:divBdr>
    </w:div>
    <w:div w:id="679696512">
      <w:marLeft w:val="0"/>
      <w:marRight w:val="0"/>
      <w:marTop w:val="0"/>
      <w:marBottom w:val="0"/>
      <w:divBdr>
        <w:top w:val="none" w:sz="0" w:space="0" w:color="auto"/>
        <w:left w:val="none" w:sz="0" w:space="0" w:color="auto"/>
        <w:bottom w:val="none" w:sz="0" w:space="0" w:color="auto"/>
        <w:right w:val="none" w:sz="0" w:space="0" w:color="auto"/>
      </w:divBdr>
    </w:div>
    <w:div w:id="679696513">
      <w:marLeft w:val="0"/>
      <w:marRight w:val="0"/>
      <w:marTop w:val="0"/>
      <w:marBottom w:val="0"/>
      <w:divBdr>
        <w:top w:val="none" w:sz="0" w:space="0" w:color="auto"/>
        <w:left w:val="none" w:sz="0" w:space="0" w:color="auto"/>
        <w:bottom w:val="none" w:sz="0" w:space="0" w:color="auto"/>
        <w:right w:val="none" w:sz="0" w:space="0" w:color="auto"/>
      </w:divBdr>
    </w:div>
    <w:div w:id="679696514">
      <w:marLeft w:val="0"/>
      <w:marRight w:val="0"/>
      <w:marTop w:val="0"/>
      <w:marBottom w:val="0"/>
      <w:divBdr>
        <w:top w:val="none" w:sz="0" w:space="0" w:color="auto"/>
        <w:left w:val="none" w:sz="0" w:space="0" w:color="auto"/>
        <w:bottom w:val="none" w:sz="0" w:space="0" w:color="auto"/>
        <w:right w:val="none" w:sz="0" w:space="0" w:color="auto"/>
      </w:divBdr>
    </w:div>
    <w:div w:id="679696515">
      <w:marLeft w:val="0"/>
      <w:marRight w:val="0"/>
      <w:marTop w:val="0"/>
      <w:marBottom w:val="0"/>
      <w:divBdr>
        <w:top w:val="none" w:sz="0" w:space="0" w:color="auto"/>
        <w:left w:val="none" w:sz="0" w:space="0" w:color="auto"/>
        <w:bottom w:val="none" w:sz="0" w:space="0" w:color="auto"/>
        <w:right w:val="none" w:sz="0" w:space="0" w:color="auto"/>
      </w:divBdr>
    </w:div>
    <w:div w:id="679696517">
      <w:marLeft w:val="0"/>
      <w:marRight w:val="0"/>
      <w:marTop w:val="0"/>
      <w:marBottom w:val="0"/>
      <w:divBdr>
        <w:top w:val="none" w:sz="0" w:space="0" w:color="auto"/>
        <w:left w:val="none" w:sz="0" w:space="0" w:color="auto"/>
        <w:bottom w:val="none" w:sz="0" w:space="0" w:color="auto"/>
        <w:right w:val="none" w:sz="0" w:space="0" w:color="auto"/>
      </w:divBdr>
    </w:div>
    <w:div w:id="679696520">
      <w:marLeft w:val="0"/>
      <w:marRight w:val="0"/>
      <w:marTop w:val="0"/>
      <w:marBottom w:val="0"/>
      <w:divBdr>
        <w:top w:val="none" w:sz="0" w:space="0" w:color="auto"/>
        <w:left w:val="none" w:sz="0" w:space="0" w:color="auto"/>
        <w:bottom w:val="none" w:sz="0" w:space="0" w:color="auto"/>
        <w:right w:val="none" w:sz="0" w:space="0" w:color="auto"/>
      </w:divBdr>
    </w:div>
    <w:div w:id="679696521">
      <w:marLeft w:val="0"/>
      <w:marRight w:val="0"/>
      <w:marTop w:val="0"/>
      <w:marBottom w:val="0"/>
      <w:divBdr>
        <w:top w:val="none" w:sz="0" w:space="0" w:color="auto"/>
        <w:left w:val="none" w:sz="0" w:space="0" w:color="auto"/>
        <w:bottom w:val="none" w:sz="0" w:space="0" w:color="auto"/>
        <w:right w:val="none" w:sz="0" w:space="0" w:color="auto"/>
      </w:divBdr>
    </w:div>
    <w:div w:id="679696523">
      <w:marLeft w:val="0"/>
      <w:marRight w:val="0"/>
      <w:marTop w:val="0"/>
      <w:marBottom w:val="0"/>
      <w:divBdr>
        <w:top w:val="none" w:sz="0" w:space="0" w:color="auto"/>
        <w:left w:val="none" w:sz="0" w:space="0" w:color="auto"/>
        <w:bottom w:val="none" w:sz="0" w:space="0" w:color="auto"/>
        <w:right w:val="none" w:sz="0" w:space="0" w:color="auto"/>
      </w:divBdr>
      <w:divsChild>
        <w:div w:id="679696500">
          <w:marLeft w:val="0"/>
          <w:marRight w:val="0"/>
          <w:marTop w:val="0"/>
          <w:marBottom w:val="0"/>
          <w:divBdr>
            <w:top w:val="none" w:sz="0" w:space="0" w:color="auto"/>
            <w:left w:val="none" w:sz="0" w:space="0" w:color="auto"/>
            <w:bottom w:val="none" w:sz="0" w:space="0" w:color="auto"/>
            <w:right w:val="none" w:sz="0" w:space="0" w:color="auto"/>
          </w:divBdr>
        </w:div>
      </w:divsChild>
    </w:div>
    <w:div w:id="679696524">
      <w:marLeft w:val="0"/>
      <w:marRight w:val="0"/>
      <w:marTop w:val="0"/>
      <w:marBottom w:val="0"/>
      <w:divBdr>
        <w:top w:val="none" w:sz="0" w:space="0" w:color="auto"/>
        <w:left w:val="none" w:sz="0" w:space="0" w:color="auto"/>
        <w:bottom w:val="none" w:sz="0" w:space="0" w:color="auto"/>
        <w:right w:val="none" w:sz="0" w:space="0" w:color="auto"/>
      </w:divBdr>
    </w:div>
    <w:div w:id="679696525">
      <w:marLeft w:val="0"/>
      <w:marRight w:val="0"/>
      <w:marTop w:val="0"/>
      <w:marBottom w:val="0"/>
      <w:divBdr>
        <w:top w:val="none" w:sz="0" w:space="0" w:color="auto"/>
        <w:left w:val="none" w:sz="0" w:space="0" w:color="auto"/>
        <w:bottom w:val="none" w:sz="0" w:space="0" w:color="auto"/>
        <w:right w:val="none" w:sz="0" w:space="0" w:color="auto"/>
      </w:divBdr>
    </w:div>
    <w:div w:id="679696526">
      <w:marLeft w:val="0"/>
      <w:marRight w:val="0"/>
      <w:marTop w:val="0"/>
      <w:marBottom w:val="0"/>
      <w:divBdr>
        <w:top w:val="none" w:sz="0" w:space="0" w:color="auto"/>
        <w:left w:val="none" w:sz="0" w:space="0" w:color="auto"/>
        <w:bottom w:val="none" w:sz="0" w:space="0" w:color="auto"/>
        <w:right w:val="none" w:sz="0" w:space="0" w:color="auto"/>
      </w:divBdr>
      <w:divsChild>
        <w:div w:id="679696724">
          <w:marLeft w:val="0"/>
          <w:marRight w:val="0"/>
          <w:marTop w:val="0"/>
          <w:marBottom w:val="0"/>
          <w:divBdr>
            <w:top w:val="none" w:sz="0" w:space="0" w:color="auto"/>
            <w:left w:val="none" w:sz="0" w:space="0" w:color="auto"/>
            <w:bottom w:val="none" w:sz="0" w:space="0" w:color="auto"/>
            <w:right w:val="none" w:sz="0" w:space="0" w:color="auto"/>
          </w:divBdr>
          <w:divsChild>
            <w:div w:id="679696739">
              <w:marLeft w:val="0"/>
              <w:marRight w:val="0"/>
              <w:marTop w:val="0"/>
              <w:marBottom w:val="0"/>
              <w:divBdr>
                <w:top w:val="none" w:sz="0" w:space="0" w:color="auto"/>
                <w:left w:val="none" w:sz="0" w:space="0" w:color="auto"/>
                <w:bottom w:val="none" w:sz="0" w:space="0" w:color="auto"/>
                <w:right w:val="none" w:sz="0" w:space="0" w:color="auto"/>
              </w:divBdr>
              <w:divsChild>
                <w:div w:id="679696516">
                  <w:marLeft w:val="0"/>
                  <w:marRight w:val="0"/>
                  <w:marTop w:val="0"/>
                  <w:marBottom w:val="0"/>
                  <w:divBdr>
                    <w:top w:val="none" w:sz="0" w:space="0" w:color="auto"/>
                    <w:left w:val="none" w:sz="0" w:space="0" w:color="auto"/>
                    <w:bottom w:val="none" w:sz="0" w:space="0" w:color="auto"/>
                    <w:right w:val="none" w:sz="0" w:space="0" w:color="auto"/>
                  </w:divBdr>
                  <w:divsChild>
                    <w:div w:id="679696671">
                      <w:marLeft w:val="0"/>
                      <w:marRight w:val="0"/>
                      <w:marTop w:val="0"/>
                      <w:marBottom w:val="0"/>
                      <w:divBdr>
                        <w:top w:val="none" w:sz="0" w:space="0" w:color="auto"/>
                        <w:left w:val="none" w:sz="0" w:space="0" w:color="auto"/>
                        <w:bottom w:val="none" w:sz="0" w:space="0" w:color="auto"/>
                        <w:right w:val="none" w:sz="0" w:space="0" w:color="auto"/>
                      </w:divBdr>
                      <w:divsChild>
                        <w:div w:id="67969637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27">
      <w:marLeft w:val="0"/>
      <w:marRight w:val="0"/>
      <w:marTop w:val="0"/>
      <w:marBottom w:val="0"/>
      <w:divBdr>
        <w:top w:val="none" w:sz="0" w:space="0" w:color="auto"/>
        <w:left w:val="none" w:sz="0" w:space="0" w:color="auto"/>
        <w:bottom w:val="none" w:sz="0" w:space="0" w:color="auto"/>
        <w:right w:val="none" w:sz="0" w:space="0" w:color="auto"/>
      </w:divBdr>
    </w:div>
    <w:div w:id="679696528">
      <w:marLeft w:val="0"/>
      <w:marRight w:val="0"/>
      <w:marTop w:val="0"/>
      <w:marBottom w:val="0"/>
      <w:divBdr>
        <w:top w:val="none" w:sz="0" w:space="0" w:color="auto"/>
        <w:left w:val="none" w:sz="0" w:space="0" w:color="auto"/>
        <w:bottom w:val="none" w:sz="0" w:space="0" w:color="auto"/>
        <w:right w:val="none" w:sz="0" w:space="0" w:color="auto"/>
      </w:divBdr>
      <w:divsChild>
        <w:div w:id="679696370">
          <w:marLeft w:val="0"/>
          <w:marRight w:val="0"/>
          <w:marTop w:val="0"/>
          <w:marBottom w:val="0"/>
          <w:divBdr>
            <w:top w:val="none" w:sz="0" w:space="0" w:color="auto"/>
            <w:left w:val="none" w:sz="0" w:space="0" w:color="auto"/>
            <w:bottom w:val="none" w:sz="0" w:space="0" w:color="auto"/>
            <w:right w:val="none" w:sz="0" w:space="0" w:color="auto"/>
          </w:divBdr>
        </w:div>
      </w:divsChild>
    </w:div>
    <w:div w:id="679696529">
      <w:marLeft w:val="0"/>
      <w:marRight w:val="0"/>
      <w:marTop w:val="0"/>
      <w:marBottom w:val="0"/>
      <w:divBdr>
        <w:top w:val="none" w:sz="0" w:space="0" w:color="auto"/>
        <w:left w:val="none" w:sz="0" w:space="0" w:color="auto"/>
        <w:bottom w:val="none" w:sz="0" w:space="0" w:color="auto"/>
        <w:right w:val="none" w:sz="0" w:space="0" w:color="auto"/>
      </w:divBdr>
    </w:div>
    <w:div w:id="679696530">
      <w:marLeft w:val="0"/>
      <w:marRight w:val="0"/>
      <w:marTop w:val="0"/>
      <w:marBottom w:val="0"/>
      <w:divBdr>
        <w:top w:val="none" w:sz="0" w:space="0" w:color="auto"/>
        <w:left w:val="none" w:sz="0" w:space="0" w:color="auto"/>
        <w:bottom w:val="none" w:sz="0" w:space="0" w:color="auto"/>
        <w:right w:val="none" w:sz="0" w:space="0" w:color="auto"/>
      </w:divBdr>
    </w:div>
    <w:div w:id="679696531">
      <w:marLeft w:val="0"/>
      <w:marRight w:val="0"/>
      <w:marTop w:val="0"/>
      <w:marBottom w:val="0"/>
      <w:divBdr>
        <w:top w:val="none" w:sz="0" w:space="0" w:color="auto"/>
        <w:left w:val="none" w:sz="0" w:space="0" w:color="auto"/>
        <w:bottom w:val="none" w:sz="0" w:space="0" w:color="auto"/>
        <w:right w:val="none" w:sz="0" w:space="0" w:color="auto"/>
      </w:divBdr>
    </w:div>
    <w:div w:id="679696532">
      <w:marLeft w:val="0"/>
      <w:marRight w:val="0"/>
      <w:marTop w:val="0"/>
      <w:marBottom w:val="0"/>
      <w:divBdr>
        <w:top w:val="none" w:sz="0" w:space="0" w:color="auto"/>
        <w:left w:val="none" w:sz="0" w:space="0" w:color="auto"/>
        <w:bottom w:val="none" w:sz="0" w:space="0" w:color="auto"/>
        <w:right w:val="none" w:sz="0" w:space="0" w:color="auto"/>
      </w:divBdr>
    </w:div>
    <w:div w:id="679696533">
      <w:marLeft w:val="0"/>
      <w:marRight w:val="0"/>
      <w:marTop w:val="0"/>
      <w:marBottom w:val="0"/>
      <w:divBdr>
        <w:top w:val="none" w:sz="0" w:space="0" w:color="auto"/>
        <w:left w:val="none" w:sz="0" w:space="0" w:color="auto"/>
        <w:bottom w:val="none" w:sz="0" w:space="0" w:color="auto"/>
        <w:right w:val="none" w:sz="0" w:space="0" w:color="auto"/>
      </w:divBdr>
    </w:div>
    <w:div w:id="679696534">
      <w:marLeft w:val="0"/>
      <w:marRight w:val="0"/>
      <w:marTop w:val="0"/>
      <w:marBottom w:val="0"/>
      <w:divBdr>
        <w:top w:val="none" w:sz="0" w:space="0" w:color="auto"/>
        <w:left w:val="none" w:sz="0" w:space="0" w:color="auto"/>
        <w:bottom w:val="none" w:sz="0" w:space="0" w:color="auto"/>
        <w:right w:val="none" w:sz="0" w:space="0" w:color="auto"/>
      </w:divBdr>
    </w:div>
    <w:div w:id="679696535">
      <w:marLeft w:val="0"/>
      <w:marRight w:val="0"/>
      <w:marTop w:val="0"/>
      <w:marBottom w:val="0"/>
      <w:divBdr>
        <w:top w:val="none" w:sz="0" w:space="0" w:color="auto"/>
        <w:left w:val="none" w:sz="0" w:space="0" w:color="auto"/>
        <w:bottom w:val="none" w:sz="0" w:space="0" w:color="auto"/>
        <w:right w:val="none" w:sz="0" w:space="0" w:color="auto"/>
      </w:divBdr>
    </w:div>
    <w:div w:id="679696538">
      <w:marLeft w:val="0"/>
      <w:marRight w:val="0"/>
      <w:marTop w:val="0"/>
      <w:marBottom w:val="0"/>
      <w:divBdr>
        <w:top w:val="none" w:sz="0" w:space="0" w:color="auto"/>
        <w:left w:val="none" w:sz="0" w:space="0" w:color="auto"/>
        <w:bottom w:val="none" w:sz="0" w:space="0" w:color="auto"/>
        <w:right w:val="none" w:sz="0" w:space="0" w:color="auto"/>
      </w:divBdr>
    </w:div>
    <w:div w:id="679696539">
      <w:marLeft w:val="0"/>
      <w:marRight w:val="0"/>
      <w:marTop w:val="0"/>
      <w:marBottom w:val="0"/>
      <w:divBdr>
        <w:top w:val="none" w:sz="0" w:space="0" w:color="auto"/>
        <w:left w:val="none" w:sz="0" w:space="0" w:color="auto"/>
        <w:bottom w:val="none" w:sz="0" w:space="0" w:color="auto"/>
        <w:right w:val="none" w:sz="0" w:space="0" w:color="auto"/>
      </w:divBdr>
    </w:div>
    <w:div w:id="679696542">
      <w:marLeft w:val="0"/>
      <w:marRight w:val="0"/>
      <w:marTop w:val="0"/>
      <w:marBottom w:val="0"/>
      <w:divBdr>
        <w:top w:val="none" w:sz="0" w:space="0" w:color="auto"/>
        <w:left w:val="none" w:sz="0" w:space="0" w:color="auto"/>
        <w:bottom w:val="none" w:sz="0" w:space="0" w:color="auto"/>
        <w:right w:val="none" w:sz="0" w:space="0" w:color="auto"/>
      </w:divBdr>
    </w:div>
    <w:div w:id="679696544">
      <w:marLeft w:val="0"/>
      <w:marRight w:val="0"/>
      <w:marTop w:val="0"/>
      <w:marBottom w:val="0"/>
      <w:divBdr>
        <w:top w:val="none" w:sz="0" w:space="0" w:color="auto"/>
        <w:left w:val="none" w:sz="0" w:space="0" w:color="auto"/>
        <w:bottom w:val="none" w:sz="0" w:space="0" w:color="auto"/>
        <w:right w:val="none" w:sz="0" w:space="0" w:color="auto"/>
      </w:divBdr>
    </w:div>
    <w:div w:id="679696545">
      <w:marLeft w:val="0"/>
      <w:marRight w:val="0"/>
      <w:marTop w:val="0"/>
      <w:marBottom w:val="0"/>
      <w:divBdr>
        <w:top w:val="none" w:sz="0" w:space="0" w:color="auto"/>
        <w:left w:val="none" w:sz="0" w:space="0" w:color="auto"/>
        <w:bottom w:val="none" w:sz="0" w:space="0" w:color="auto"/>
        <w:right w:val="none" w:sz="0" w:space="0" w:color="auto"/>
      </w:divBdr>
    </w:div>
    <w:div w:id="679696546">
      <w:marLeft w:val="0"/>
      <w:marRight w:val="0"/>
      <w:marTop w:val="0"/>
      <w:marBottom w:val="0"/>
      <w:divBdr>
        <w:top w:val="none" w:sz="0" w:space="0" w:color="auto"/>
        <w:left w:val="none" w:sz="0" w:space="0" w:color="auto"/>
        <w:bottom w:val="none" w:sz="0" w:space="0" w:color="auto"/>
        <w:right w:val="none" w:sz="0" w:space="0" w:color="auto"/>
      </w:divBdr>
    </w:div>
    <w:div w:id="679696548">
      <w:marLeft w:val="0"/>
      <w:marRight w:val="0"/>
      <w:marTop w:val="0"/>
      <w:marBottom w:val="0"/>
      <w:divBdr>
        <w:top w:val="none" w:sz="0" w:space="0" w:color="auto"/>
        <w:left w:val="none" w:sz="0" w:space="0" w:color="auto"/>
        <w:bottom w:val="none" w:sz="0" w:space="0" w:color="auto"/>
        <w:right w:val="none" w:sz="0" w:space="0" w:color="auto"/>
      </w:divBdr>
    </w:div>
    <w:div w:id="679696549">
      <w:marLeft w:val="0"/>
      <w:marRight w:val="0"/>
      <w:marTop w:val="0"/>
      <w:marBottom w:val="0"/>
      <w:divBdr>
        <w:top w:val="none" w:sz="0" w:space="0" w:color="auto"/>
        <w:left w:val="none" w:sz="0" w:space="0" w:color="auto"/>
        <w:bottom w:val="none" w:sz="0" w:space="0" w:color="auto"/>
        <w:right w:val="none" w:sz="0" w:space="0" w:color="auto"/>
      </w:divBdr>
    </w:div>
    <w:div w:id="679696551">
      <w:marLeft w:val="0"/>
      <w:marRight w:val="0"/>
      <w:marTop w:val="0"/>
      <w:marBottom w:val="0"/>
      <w:divBdr>
        <w:top w:val="none" w:sz="0" w:space="0" w:color="auto"/>
        <w:left w:val="none" w:sz="0" w:space="0" w:color="auto"/>
        <w:bottom w:val="none" w:sz="0" w:space="0" w:color="auto"/>
        <w:right w:val="none" w:sz="0" w:space="0" w:color="auto"/>
      </w:divBdr>
    </w:div>
    <w:div w:id="679696553">
      <w:marLeft w:val="0"/>
      <w:marRight w:val="0"/>
      <w:marTop w:val="0"/>
      <w:marBottom w:val="0"/>
      <w:divBdr>
        <w:top w:val="none" w:sz="0" w:space="0" w:color="auto"/>
        <w:left w:val="none" w:sz="0" w:space="0" w:color="auto"/>
        <w:bottom w:val="none" w:sz="0" w:space="0" w:color="auto"/>
        <w:right w:val="none" w:sz="0" w:space="0" w:color="auto"/>
      </w:divBdr>
    </w:div>
    <w:div w:id="679696554">
      <w:marLeft w:val="0"/>
      <w:marRight w:val="0"/>
      <w:marTop w:val="0"/>
      <w:marBottom w:val="0"/>
      <w:divBdr>
        <w:top w:val="none" w:sz="0" w:space="0" w:color="auto"/>
        <w:left w:val="none" w:sz="0" w:space="0" w:color="auto"/>
        <w:bottom w:val="none" w:sz="0" w:space="0" w:color="auto"/>
        <w:right w:val="none" w:sz="0" w:space="0" w:color="auto"/>
      </w:divBdr>
      <w:divsChild>
        <w:div w:id="679696561">
          <w:marLeft w:val="0"/>
          <w:marRight w:val="0"/>
          <w:marTop w:val="0"/>
          <w:marBottom w:val="0"/>
          <w:divBdr>
            <w:top w:val="none" w:sz="0" w:space="0" w:color="auto"/>
            <w:left w:val="none" w:sz="0" w:space="0" w:color="auto"/>
            <w:bottom w:val="none" w:sz="0" w:space="0" w:color="auto"/>
            <w:right w:val="none" w:sz="0" w:space="0" w:color="auto"/>
          </w:divBdr>
          <w:divsChild>
            <w:div w:id="679696618">
              <w:marLeft w:val="0"/>
              <w:marRight w:val="0"/>
              <w:marTop w:val="0"/>
              <w:marBottom w:val="0"/>
              <w:divBdr>
                <w:top w:val="none" w:sz="0" w:space="0" w:color="auto"/>
                <w:left w:val="none" w:sz="0" w:space="0" w:color="auto"/>
                <w:bottom w:val="none" w:sz="0" w:space="0" w:color="auto"/>
                <w:right w:val="none" w:sz="0" w:space="0" w:color="auto"/>
              </w:divBdr>
              <w:divsChild>
                <w:div w:id="679696617">
                  <w:marLeft w:val="0"/>
                  <w:marRight w:val="0"/>
                  <w:marTop w:val="0"/>
                  <w:marBottom w:val="0"/>
                  <w:divBdr>
                    <w:top w:val="none" w:sz="0" w:space="0" w:color="auto"/>
                    <w:left w:val="none" w:sz="0" w:space="0" w:color="auto"/>
                    <w:bottom w:val="none" w:sz="0" w:space="0" w:color="auto"/>
                    <w:right w:val="none" w:sz="0" w:space="0" w:color="auto"/>
                  </w:divBdr>
                  <w:divsChild>
                    <w:div w:id="679696584">
                      <w:marLeft w:val="0"/>
                      <w:marRight w:val="0"/>
                      <w:marTop w:val="0"/>
                      <w:marBottom w:val="0"/>
                      <w:divBdr>
                        <w:top w:val="none" w:sz="0" w:space="0" w:color="auto"/>
                        <w:left w:val="none" w:sz="0" w:space="0" w:color="auto"/>
                        <w:bottom w:val="none" w:sz="0" w:space="0" w:color="auto"/>
                        <w:right w:val="none" w:sz="0" w:space="0" w:color="auto"/>
                      </w:divBdr>
                      <w:divsChild>
                        <w:div w:id="67969639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55">
      <w:marLeft w:val="0"/>
      <w:marRight w:val="0"/>
      <w:marTop w:val="0"/>
      <w:marBottom w:val="0"/>
      <w:divBdr>
        <w:top w:val="none" w:sz="0" w:space="0" w:color="auto"/>
        <w:left w:val="none" w:sz="0" w:space="0" w:color="auto"/>
        <w:bottom w:val="none" w:sz="0" w:space="0" w:color="auto"/>
        <w:right w:val="none" w:sz="0" w:space="0" w:color="auto"/>
      </w:divBdr>
    </w:div>
    <w:div w:id="679696556">
      <w:marLeft w:val="0"/>
      <w:marRight w:val="0"/>
      <w:marTop w:val="0"/>
      <w:marBottom w:val="0"/>
      <w:divBdr>
        <w:top w:val="none" w:sz="0" w:space="0" w:color="auto"/>
        <w:left w:val="none" w:sz="0" w:space="0" w:color="auto"/>
        <w:bottom w:val="none" w:sz="0" w:space="0" w:color="auto"/>
        <w:right w:val="none" w:sz="0" w:space="0" w:color="auto"/>
      </w:divBdr>
    </w:div>
    <w:div w:id="679696557">
      <w:marLeft w:val="0"/>
      <w:marRight w:val="0"/>
      <w:marTop w:val="0"/>
      <w:marBottom w:val="0"/>
      <w:divBdr>
        <w:top w:val="none" w:sz="0" w:space="0" w:color="auto"/>
        <w:left w:val="none" w:sz="0" w:space="0" w:color="auto"/>
        <w:bottom w:val="none" w:sz="0" w:space="0" w:color="auto"/>
        <w:right w:val="none" w:sz="0" w:space="0" w:color="auto"/>
      </w:divBdr>
    </w:div>
    <w:div w:id="679696558">
      <w:marLeft w:val="0"/>
      <w:marRight w:val="0"/>
      <w:marTop w:val="0"/>
      <w:marBottom w:val="0"/>
      <w:divBdr>
        <w:top w:val="none" w:sz="0" w:space="0" w:color="auto"/>
        <w:left w:val="none" w:sz="0" w:space="0" w:color="auto"/>
        <w:bottom w:val="none" w:sz="0" w:space="0" w:color="auto"/>
        <w:right w:val="none" w:sz="0" w:space="0" w:color="auto"/>
      </w:divBdr>
      <w:divsChild>
        <w:div w:id="679696752">
          <w:marLeft w:val="0"/>
          <w:marRight w:val="0"/>
          <w:marTop w:val="0"/>
          <w:marBottom w:val="0"/>
          <w:divBdr>
            <w:top w:val="none" w:sz="0" w:space="0" w:color="auto"/>
            <w:left w:val="none" w:sz="0" w:space="0" w:color="auto"/>
            <w:bottom w:val="none" w:sz="0" w:space="0" w:color="auto"/>
            <w:right w:val="none" w:sz="0" w:space="0" w:color="auto"/>
          </w:divBdr>
          <w:divsChild>
            <w:div w:id="67969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560">
      <w:marLeft w:val="0"/>
      <w:marRight w:val="0"/>
      <w:marTop w:val="0"/>
      <w:marBottom w:val="0"/>
      <w:divBdr>
        <w:top w:val="none" w:sz="0" w:space="0" w:color="auto"/>
        <w:left w:val="none" w:sz="0" w:space="0" w:color="auto"/>
        <w:bottom w:val="none" w:sz="0" w:space="0" w:color="auto"/>
        <w:right w:val="none" w:sz="0" w:space="0" w:color="auto"/>
      </w:divBdr>
    </w:div>
    <w:div w:id="679696562">
      <w:marLeft w:val="0"/>
      <w:marRight w:val="0"/>
      <w:marTop w:val="0"/>
      <w:marBottom w:val="0"/>
      <w:divBdr>
        <w:top w:val="none" w:sz="0" w:space="0" w:color="auto"/>
        <w:left w:val="none" w:sz="0" w:space="0" w:color="auto"/>
        <w:bottom w:val="none" w:sz="0" w:space="0" w:color="auto"/>
        <w:right w:val="none" w:sz="0" w:space="0" w:color="auto"/>
      </w:divBdr>
    </w:div>
    <w:div w:id="679696563">
      <w:marLeft w:val="0"/>
      <w:marRight w:val="0"/>
      <w:marTop w:val="0"/>
      <w:marBottom w:val="0"/>
      <w:divBdr>
        <w:top w:val="none" w:sz="0" w:space="0" w:color="auto"/>
        <w:left w:val="none" w:sz="0" w:space="0" w:color="auto"/>
        <w:bottom w:val="none" w:sz="0" w:space="0" w:color="auto"/>
        <w:right w:val="none" w:sz="0" w:space="0" w:color="auto"/>
      </w:divBdr>
    </w:div>
    <w:div w:id="679696564">
      <w:marLeft w:val="0"/>
      <w:marRight w:val="0"/>
      <w:marTop w:val="0"/>
      <w:marBottom w:val="0"/>
      <w:divBdr>
        <w:top w:val="none" w:sz="0" w:space="0" w:color="auto"/>
        <w:left w:val="none" w:sz="0" w:space="0" w:color="auto"/>
        <w:bottom w:val="none" w:sz="0" w:space="0" w:color="auto"/>
        <w:right w:val="none" w:sz="0" w:space="0" w:color="auto"/>
      </w:divBdr>
    </w:div>
    <w:div w:id="679696565">
      <w:marLeft w:val="0"/>
      <w:marRight w:val="0"/>
      <w:marTop w:val="0"/>
      <w:marBottom w:val="0"/>
      <w:divBdr>
        <w:top w:val="none" w:sz="0" w:space="0" w:color="auto"/>
        <w:left w:val="none" w:sz="0" w:space="0" w:color="auto"/>
        <w:bottom w:val="none" w:sz="0" w:space="0" w:color="auto"/>
        <w:right w:val="none" w:sz="0" w:space="0" w:color="auto"/>
      </w:divBdr>
    </w:div>
    <w:div w:id="679696566">
      <w:marLeft w:val="0"/>
      <w:marRight w:val="0"/>
      <w:marTop w:val="0"/>
      <w:marBottom w:val="0"/>
      <w:divBdr>
        <w:top w:val="none" w:sz="0" w:space="0" w:color="auto"/>
        <w:left w:val="none" w:sz="0" w:space="0" w:color="auto"/>
        <w:bottom w:val="none" w:sz="0" w:space="0" w:color="auto"/>
        <w:right w:val="none" w:sz="0" w:space="0" w:color="auto"/>
      </w:divBdr>
    </w:div>
    <w:div w:id="679696567">
      <w:marLeft w:val="0"/>
      <w:marRight w:val="0"/>
      <w:marTop w:val="0"/>
      <w:marBottom w:val="0"/>
      <w:divBdr>
        <w:top w:val="none" w:sz="0" w:space="0" w:color="auto"/>
        <w:left w:val="none" w:sz="0" w:space="0" w:color="auto"/>
        <w:bottom w:val="none" w:sz="0" w:space="0" w:color="auto"/>
        <w:right w:val="none" w:sz="0" w:space="0" w:color="auto"/>
      </w:divBdr>
    </w:div>
    <w:div w:id="679696568">
      <w:marLeft w:val="0"/>
      <w:marRight w:val="0"/>
      <w:marTop w:val="0"/>
      <w:marBottom w:val="0"/>
      <w:divBdr>
        <w:top w:val="none" w:sz="0" w:space="0" w:color="auto"/>
        <w:left w:val="none" w:sz="0" w:space="0" w:color="auto"/>
        <w:bottom w:val="none" w:sz="0" w:space="0" w:color="auto"/>
        <w:right w:val="none" w:sz="0" w:space="0" w:color="auto"/>
      </w:divBdr>
    </w:div>
    <w:div w:id="679696569">
      <w:marLeft w:val="0"/>
      <w:marRight w:val="0"/>
      <w:marTop w:val="0"/>
      <w:marBottom w:val="0"/>
      <w:divBdr>
        <w:top w:val="none" w:sz="0" w:space="0" w:color="auto"/>
        <w:left w:val="none" w:sz="0" w:space="0" w:color="auto"/>
        <w:bottom w:val="none" w:sz="0" w:space="0" w:color="auto"/>
        <w:right w:val="none" w:sz="0" w:space="0" w:color="auto"/>
      </w:divBdr>
    </w:div>
    <w:div w:id="679696570">
      <w:marLeft w:val="0"/>
      <w:marRight w:val="0"/>
      <w:marTop w:val="0"/>
      <w:marBottom w:val="0"/>
      <w:divBdr>
        <w:top w:val="none" w:sz="0" w:space="0" w:color="auto"/>
        <w:left w:val="none" w:sz="0" w:space="0" w:color="auto"/>
        <w:bottom w:val="none" w:sz="0" w:space="0" w:color="auto"/>
        <w:right w:val="none" w:sz="0" w:space="0" w:color="auto"/>
      </w:divBdr>
    </w:div>
    <w:div w:id="679696571">
      <w:marLeft w:val="0"/>
      <w:marRight w:val="0"/>
      <w:marTop w:val="0"/>
      <w:marBottom w:val="0"/>
      <w:divBdr>
        <w:top w:val="none" w:sz="0" w:space="0" w:color="auto"/>
        <w:left w:val="none" w:sz="0" w:space="0" w:color="auto"/>
        <w:bottom w:val="none" w:sz="0" w:space="0" w:color="auto"/>
        <w:right w:val="none" w:sz="0" w:space="0" w:color="auto"/>
      </w:divBdr>
    </w:div>
    <w:div w:id="679696575">
      <w:marLeft w:val="0"/>
      <w:marRight w:val="0"/>
      <w:marTop w:val="0"/>
      <w:marBottom w:val="0"/>
      <w:divBdr>
        <w:top w:val="none" w:sz="0" w:space="0" w:color="auto"/>
        <w:left w:val="none" w:sz="0" w:space="0" w:color="auto"/>
        <w:bottom w:val="none" w:sz="0" w:space="0" w:color="auto"/>
        <w:right w:val="none" w:sz="0" w:space="0" w:color="auto"/>
      </w:divBdr>
    </w:div>
    <w:div w:id="679696576">
      <w:marLeft w:val="0"/>
      <w:marRight w:val="0"/>
      <w:marTop w:val="0"/>
      <w:marBottom w:val="0"/>
      <w:divBdr>
        <w:top w:val="none" w:sz="0" w:space="0" w:color="auto"/>
        <w:left w:val="none" w:sz="0" w:space="0" w:color="auto"/>
        <w:bottom w:val="none" w:sz="0" w:space="0" w:color="auto"/>
        <w:right w:val="none" w:sz="0" w:space="0" w:color="auto"/>
      </w:divBdr>
    </w:div>
    <w:div w:id="679696577">
      <w:marLeft w:val="0"/>
      <w:marRight w:val="0"/>
      <w:marTop w:val="0"/>
      <w:marBottom w:val="0"/>
      <w:divBdr>
        <w:top w:val="none" w:sz="0" w:space="0" w:color="auto"/>
        <w:left w:val="none" w:sz="0" w:space="0" w:color="auto"/>
        <w:bottom w:val="none" w:sz="0" w:space="0" w:color="auto"/>
        <w:right w:val="none" w:sz="0" w:space="0" w:color="auto"/>
      </w:divBdr>
    </w:div>
    <w:div w:id="679696578">
      <w:marLeft w:val="0"/>
      <w:marRight w:val="0"/>
      <w:marTop w:val="0"/>
      <w:marBottom w:val="0"/>
      <w:divBdr>
        <w:top w:val="none" w:sz="0" w:space="0" w:color="auto"/>
        <w:left w:val="none" w:sz="0" w:space="0" w:color="auto"/>
        <w:bottom w:val="none" w:sz="0" w:space="0" w:color="auto"/>
        <w:right w:val="none" w:sz="0" w:space="0" w:color="auto"/>
      </w:divBdr>
      <w:divsChild>
        <w:div w:id="679696627">
          <w:marLeft w:val="0"/>
          <w:marRight w:val="0"/>
          <w:marTop w:val="0"/>
          <w:marBottom w:val="0"/>
          <w:divBdr>
            <w:top w:val="none" w:sz="0" w:space="0" w:color="auto"/>
            <w:left w:val="none" w:sz="0" w:space="0" w:color="auto"/>
            <w:bottom w:val="none" w:sz="0" w:space="0" w:color="auto"/>
            <w:right w:val="none" w:sz="0" w:space="0" w:color="auto"/>
          </w:divBdr>
        </w:div>
      </w:divsChild>
    </w:div>
    <w:div w:id="679696582">
      <w:marLeft w:val="0"/>
      <w:marRight w:val="0"/>
      <w:marTop w:val="0"/>
      <w:marBottom w:val="0"/>
      <w:divBdr>
        <w:top w:val="none" w:sz="0" w:space="0" w:color="auto"/>
        <w:left w:val="none" w:sz="0" w:space="0" w:color="auto"/>
        <w:bottom w:val="none" w:sz="0" w:space="0" w:color="auto"/>
        <w:right w:val="none" w:sz="0" w:space="0" w:color="auto"/>
      </w:divBdr>
    </w:div>
    <w:div w:id="679696583">
      <w:marLeft w:val="0"/>
      <w:marRight w:val="0"/>
      <w:marTop w:val="0"/>
      <w:marBottom w:val="0"/>
      <w:divBdr>
        <w:top w:val="none" w:sz="0" w:space="0" w:color="auto"/>
        <w:left w:val="none" w:sz="0" w:space="0" w:color="auto"/>
        <w:bottom w:val="none" w:sz="0" w:space="0" w:color="auto"/>
        <w:right w:val="none" w:sz="0" w:space="0" w:color="auto"/>
      </w:divBdr>
    </w:div>
    <w:div w:id="679696587">
      <w:marLeft w:val="0"/>
      <w:marRight w:val="0"/>
      <w:marTop w:val="0"/>
      <w:marBottom w:val="0"/>
      <w:divBdr>
        <w:top w:val="none" w:sz="0" w:space="0" w:color="auto"/>
        <w:left w:val="none" w:sz="0" w:space="0" w:color="auto"/>
        <w:bottom w:val="none" w:sz="0" w:space="0" w:color="auto"/>
        <w:right w:val="none" w:sz="0" w:space="0" w:color="auto"/>
      </w:divBdr>
    </w:div>
    <w:div w:id="679696588">
      <w:marLeft w:val="0"/>
      <w:marRight w:val="0"/>
      <w:marTop w:val="0"/>
      <w:marBottom w:val="0"/>
      <w:divBdr>
        <w:top w:val="none" w:sz="0" w:space="0" w:color="auto"/>
        <w:left w:val="none" w:sz="0" w:space="0" w:color="auto"/>
        <w:bottom w:val="none" w:sz="0" w:space="0" w:color="auto"/>
        <w:right w:val="none" w:sz="0" w:space="0" w:color="auto"/>
      </w:divBdr>
    </w:div>
    <w:div w:id="679696589">
      <w:marLeft w:val="0"/>
      <w:marRight w:val="0"/>
      <w:marTop w:val="0"/>
      <w:marBottom w:val="0"/>
      <w:divBdr>
        <w:top w:val="none" w:sz="0" w:space="0" w:color="auto"/>
        <w:left w:val="none" w:sz="0" w:space="0" w:color="auto"/>
        <w:bottom w:val="none" w:sz="0" w:space="0" w:color="auto"/>
        <w:right w:val="none" w:sz="0" w:space="0" w:color="auto"/>
      </w:divBdr>
    </w:div>
    <w:div w:id="679696592">
      <w:marLeft w:val="0"/>
      <w:marRight w:val="0"/>
      <w:marTop w:val="0"/>
      <w:marBottom w:val="0"/>
      <w:divBdr>
        <w:top w:val="none" w:sz="0" w:space="0" w:color="auto"/>
        <w:left w:val="none" w:sz="0" w:space="0" w:color="auto"/>
        <w:bottom w:val="none" w:sz="0" w:space="0" w:color="auto"/>
        <w:right w:val="none" w:sz="0" w:space="0" w:color="auto"/>
      </w:divBdr>
    </w:div>
    <w:div w:id="679696593">
      <w:marLeft w:val="0"/>
      <w:marRight w:val="0"/>
      <w:marTop w:val="0"/>
      <w:marBottom w:val="0"/>
      <w:divBdr>
        <w:top w:val="none" w:sz="0" w:space="0" w:color="auto"/>
        <w:left w:val="none" w:sz="0" w:space="0" w:color="auto"/>
        <w:bottom w:val="none" w:sz="0" w:space="0" w:color="auto"/>
        <w:right w:val="none" w:sz="0" w:space="0" w:color="auto"/>
      </w:divBdr>
    </w:div>
    <w:div w:id="679696595">
      <w:marLeft w:val="0"/>
      <w:marRight w:val="0"/>
      <w:marTop w:val="0"/>
      <w:marBottom w:val="0"/>
      <w:divBdr>
        <w:top w:val="none" w:sz="0" w:space="0" w:color="auto"/>
        <w:left w:val="none" w:sz="0" w:space="0" w:color="auto"/>
        <w:bottom w:val="none" w:sz="0" w:space="0" w:color="auto"/>
        <w:right w:val="none" w:sz="0" w:space="0" w:color="auto"/>
      </w:divBdr>
    </w:div>
    <w:div w:id="679696596">
      <w:marLeft w:val="0"/>
      <w:marRight w:val="0"/>
      <w:marTop w:val="0"/>
      <w:marBottom w:val="0"/>
      <w:divBdr>
        <w:top w:val="none" w:sz="0" w:space="0" w:color="auto"/>
        <w:left w:val="none" w:sz="0" w:space="0" w:color="auto"/>
        <w:bottom w:val="none" w:sz="0" w:space="0" w:color="auto"/>
        <w:right w:val="none" w:sz="0" w:space="0" w:color="auto"/>
      </w:divBdr>
    </w:div>
    <w:div w:id="679696598">
      <w:marLeft w:val="0"/>
      <w:marRight w:val="0"/>
      <w:marTop w:val="0"/>
      <w:marBottom w:val="0"/>
      <w:divBdr>
        <w:top w:val="none" w:sz="0" w:space="0" w:color="auto"/>
        <w:left w:val="none" w:sz="0" w:space="0" w:color="auto"/>
        <w:bottom w:val="none" w:sz="0" w:space="0" w:color="auto"/>
        <w:right w:val="none" w:sz="0" w:space="0" w:color="auto"/>
      </w:divBdr>
    </w:div>
    <w:div w:id="679696599">
      <w:marLeft w:val="0"/>
      <w:marRight w:val="0"/>
      <w:marTop w:val="0"/>
      <w:marBottom w:val="0"/>
      <w:divBdr>
        <w:top w:val="none" w:sz="0" w:space="0" w:color="auto"/>
        <w:left w:val="none" w:sz="0" w:space="0" w:color="auto"/>
        <w:bottom w:val="none" w:sz="0" w:space="0" w:color="auto"/>
        <w:right w:val="none" w:sz="0" w:space="0" w:color="auto"/>
      </w:divBdr>
    </w:div>
    <w:div w:id="679696600">
      <w:marLeft w:val="0"/>
      <w:marRight w:val="0"/>
      <w:marTop w:val="0"/>
      <w:marBottom w:val="0"/>
      <w:divBdr>
        <w:top w:val="none" w:sz="0" w:space="0" w:color="auto"/>
        <w:left w:val="none" w:sz="0" w:space="0" w:color="auto"/>
        <w:bottom w:val="none" w:sz="0" w:space="0" w:color="auto"/>
        <w:right w:val="none" w:sz="0" w:space="0" w:color="auto"/>
      </w:divBdr>
    </w:div>
    <w:div w:id="679696601">
      <w:marLeft w:val="0"/>
      <w:marRight w:val="0"/>
      <w:marTop w:val="0"/>
      <w:marBottom w:val="0"/>
      <w:divBdr>
        <w:top w:val="none" w:sz="0" w:space="0" w:color="auto"/>
        <w:left w:val="none" w:sz="0" w:space="0" w:color="auto"/>
        <w:bottom w:val="none" w:sz="0" w:space="0" w:color="auto"/>
        <w:right w:val="none" w:sz="0" w:space="0" w:color="auto"/>
      </w:divBdr>
    </w:div>
    <w:div w:id="679696603">
      <w:marLeft w:val="0"/>
      <w:marRight w:val="0"/>
      <w:marTop w:val="0"/>
      <w:marBottom w:val="0"/>
      <w:divBdr>
        <w:top w:val="none" w:sz="0" w:space="0" w:color="auto"/>
        <w:left w:val="none" w:sz="0" w:space="0" w:color="auto"/>
        <w:bottom w:val="none" w:sz="0" w:space="0" w:color="auto"/>
        <w:right w:val="none" w:sz="0" w:space="0" w:color="auto"/>
      </w:divBdr>
    </w:div>
    <w:div w:id="679696604">
      <w:marLeft w:val="0"/>
      <w:marRight w:val="0"/>
      <w:marTop w:val="0"/>
      <w:marBottom w:val="0"/>
      <w:divBdr>
        <w:top w:val="none" w:sz="0" w:space="0" w:color="auto"/>
        <w:left w:val="none" w:sz="0" w:space="0" w:color="auto"/>
        <w:bottom w:val="none" w:sz="0" w:space="0" w:color="auto"/>
        <w:right w:val="none" w:sz="0" w:space="0" w:color="auto"/>
      </w:divBdr>
    </w:div>
    <w:div w:id="679696605">
      <w:marLeft w:val="0"/>
      <w:marRight w:val="0"/>
      <w:marTop w:val="0"/>
      <w:marBottom w:val="0"/>
      <w:divBdr>
        <w:top w:val="none" w:sz="0" w:space="0" w:color="auto"/>
        <w:left w:val="none" w:sz="0" w:space="0" w:color="auto"/>
        <w:bottom w:val="none" w:sz="0" w:space="0" w:color="auto"/>
        <w:right w:val="none" w:sz="0" w:space="0" w:color="auto"/>
      </w:divBdr>
    </w:div>
    <w:div w:id="679696606">
      <w:marLeft w:val="0"/>
      <w:marRight w:val="0"/>
      <w:marTop w:val="0"/>
      <w:marBottom w:val="0"/>
      <w:divBdr>
        <w:top w:val="none" w:sz="0" w:space="0" w:color="auto"/>
        <w:left w:val="none" w:sz="0" w:space="0" w:color="auto"/>
        <w:bottom w:val="none" w:sz="0" w:space="0" w:color="auto"/>
        <w:right w:val="none" w:sz="0" w:space="0" w:color="auto"/>
      </w:divBdr>
    </w:div>
    <w:div w:id="679696609">
      <w:marLeft w:val="0"/>
      <w:marRight w:val="0"/>
      <w:marTop w:val="0"/>
      <w:marBottom w:val="0"/>
      <w:divBdr>
        <w:top w:val="none" w:sz="0" w:space="0" w:color="auto"/>
        <w:left w:val="none" w:sz="0" w:space="0" w:color="auto"/>
        <w:bottom w:val="none" w:sz="0" w:space="0" w:color="auto"/>
        <w:right w:val="none" w:sz="0" w:space="0" w:color="auto"/>
      </w:divBdr>
    </w:div>
    <w:div w:id="679696610">
      <w:marLeft w:val="0"/>
      <w:marRight w:val="0"/>
      <w:marTop w:val="0"/>
      <w:marBottom w:val="0"/>
      <w:divBdr>
        <w:top w:val="none" w:sz="0" w:space="0" w:color="auto"/>
        <w:left w:val="none" w:sz="0" w:space="0" w:color="auto"/>
        <w:bottom w:val="none" w:sz="0" w:space="0" w:color="auto"/>
        <w:right w:val="none" w:sz="0" w:space="0" w:color="auto"/>
      </w:divBdr>
    </w:div>
    <w:div w:id="679696611">
      <w:marLeft w:val="0"/>
      <w:marRight w:val="0"/>
      <w:marTop w:val="0"/>
      <w:marBottom w:val="0"/>
      <w:divBdr>
        <w:top w:val="none" w:sz="0" w:space="0" w:color="auto"/>
        <w:left w:val="none" w:sz="0" w:space="0" w:color="auto"/>
        <w:bottom w:val="none" w:sz="0" w:space="0" w:color="auto"/>
        <w:right w:val="none" w:sz="0" w:space="0" w:color="auto"/>
      </w:divBdr>
    </w:div>
    <w:div w:id="679696612">
      <w:marLeft w:val="0"/>
      <w:marRight w:val="0"/>
      <w:marTop w:val="0"/>
      <w:marBottom w:val="0"/>
      <w:divBdr>
        <w:top w:val="none" w:sz="0" w:space="0" w:color="auto"/>
        <w:left w:val="none" w:sz="0" w:space="0" w:color="auto"/>
        <w:bottom w:val="none" w:sz="0" w:space="0" w:color="auto"/>
        <w:right w:val="none" w:sz="0" w:space="0" w:color="auto"/>
      </w:divBdr>
    </w:div>
    <w:div w:id="679696613">
      <w:marLeft w:val="0"/>
      <w:marRight w:val="0"/>
      <w:marTop w:val="0"/>
      <w:marBottom w:val="0"/>
      <w:divBdr>
        <w:top w:val="none" w:sz="0" w:space="0" w:color="auto"/>
        <w:left w:val="none" w:sz="0" w:space="0" w:color="auto"/>
        <w:bottom w:val="none" w:sz="0" w:space="0" w:color="auto"/>
        <w:right w:val="none" w:sz="0" w:space="0" w:color="auto"/>
      </w:divBdr>
    </w:div>
    <w:div w:id="679696616">
      <w:marLeft w:val="0"/>
      <w:marRight w:val="0"/>
      <w:marTop w:val="0"/>
      <w:marBottom w:val="0"/>
      <w:divBdr>
        <w:top w:val="none" w:sz="0" w:space="0" w:color="auto"/>
        <w:left w:val="none" w:sz="0" w:space="0" w:color="auto"/>
        <w:bottom w:val="none" w:sz="0" w:space="0" w:color="auto"/>
        <w:right w:val="none" w:sz="0" w:space="0" w:color="auto"/>
      </w:divBdr>
    </w:div>
    <w:div w:id="679696619">
      <w:marLeft w:val="0"/>
      <w:marRight w:val="0"/>
      <w:marTop w:val="0"/>
      <w:marBottom w:val="0"/>
      <w:divBdr>
        <w:top w:val="none" w:sz="0" w:space="0" w:color="auto"/>
        <w:left w:val="none" w:sz="0" w:space="0" w:color="auto"/>
        <w:bottom w:val="none" w:sz="0" w:space="0" w:color="auto"/>
        <w:right w:val="none" w:sz="0" w:space="0" w:color="auto"/>
      </w:divBdr>
    </w:div>
    <w:div w:id="679696620">
      <w:marLeft w:val="0"/>
      <w:marRight w:val="0"/>
      <w:marTop w:val="0"/>
      <w:marBottom w:val="0"/>
      <w:divBdr>
        <w:top w:val="none" w:sz="0" w:space="0" w:color="auto"/>
        <w:left w:val="none" w:sz="0" w:space="0" w:color="auto"/>
        <w:bottom w:val="none" w:sz="0" w:space="0" w:color="auto"/>
        <w:right w:val="none" w:sz="0" w:space="0" w:color="auto"/>
      </w:divBdr>
    </w:div>
    <w:div w:id="679696621">
      <w:marLeft w:val="0"/>
      <w:marRight w:val="0"/>
      <w:marTop w:val="0"/>
      <w:marBottom w:val="0"/>
      <w:divBdr>
        <w:top w:val="none" w:sz="0" w:space="0" w:color="auto"/>
        <w:left w:val="none" w:sz="0" w:space="0" w:color="auto"/>
        <w:bottom w:val="none" w:sz="0" w:space="0" w:color="auto"/>
        <w:right w:val="none" w:sz="0" w:space="0" w:color="auto"/>
      </w:divBdr>
    </w:div>
    <w:div w:id="679696622">
      <w:marLeft w:val="0"/>
      <w:marRight w:val="0"/>
      <w:marTop w:val="0"/>
      <w:marBottom w:val="0"/>
      <w:divBdr>
        <w:top w:val="none" w:sz="0" w:space="0" w:color="auto"/>
        <w:left w:val="none" w:sz="0" w:space="0" w:color="auto"/>
        <w:bottom w:val="none" w:sz="0" w:space="0" w:color="auto"/>
        <w:right w:val="none" w:sz="0" w:space="0" w:color="auto"/>
      </w:divBdr>
    </w:div>
    <w:div w:id="679696623">
      <w:marLeft w:val="0"/>
      <w:marRight w:val="0"/>
      <w:marTop w:val="0"/>
      <w:marBottom w:val="0"/>
      <w:divBdr>
        <w:top w:val="none" w:sz="0" w:space="0" w:color="auto"/>
        <w:left w:val="none" w:sz="0" w:space="0" w:color="auto"/>
        <w:bottom w:val="none" w:sz="0" w:space="0" w:color="auto"/>
        <w:right w:val="none" w:sz="0" w:space="0" w:color="auto"/>
      </w:divBdr>
    </w:div>
    <w:div w:id="679696625">
      <w:marLeft w:val="0"/>
      <w:marRight w:val="0"/>
      <w:marTop w:val="0"/>
      <w:marBottom w:val="0"/>
      <w:divBdr>
        <w:top w:val="none" w:sz="0" w:space="0" w:color="auto"/>
        <w:left w:val="none" w:sz="0" w:space="0" w:color="auto"/>
        <w:bottom w:val="none" w:sz="0" w:space="0" w:color="auto"/>
        <w:right w:val="none" w:sz="0" w:space="0" w:color="auto"/>
      </w:divBdr>
    </w:div>
    <w:div w:id="679696626">
      <w:marLeft w:val="0"/>
      <w:marRight w:val="0"/>
      <w:marTop w:val="0"/>
      <w:marBottom w:val="0"/>
      <w:divBdr>
        <w:top w:val="none" w:sz="0" w:space="0" w:color="auto"/>
        <w:left w:val="none" w:sz="0" w:space="0" w:color="auto"/>
        <w:bottom w:val="none" w:sz="0" w:space="0" w:color="auto"/>
        <w:right w:val="none" w:sz="0" w:space="0" w:color="auto"/>
      </w:divBdr>
    </w:div>
    <w:div w:id="679696628">
      <w:marLeft w:val="0"/>
      <w:marRight w:val="0"/>
      <w:marTop w:val="0"/>
      <w:marBottom w:val="0"/>
      <w:divBdr>
        <w:top w:val="none" w:sz="0" w:space="0" w:color="auto"/>
        <w:left w:val="none" w:sz="0" w:space="0" w:color="auto"/>
        <w:bottom w:val="none" w:sz="0" w:space="0" w:color="auto"/>
        <w:right w:val="none" w:sz="0" w:space="0" w:color="auto"/>
      </w:divBdr>
      <w:divsChild>
        <w:div w:id="679696390">
          <w:marLeft w:val="0"/>
          <w:marRight w:val="0"/>
          <w:marTop w:val="0"/>
          <w:marBottom w:val="0"/>
          <w:divBdr>
            <w:top w:val="none" w:sz="0" w:space="0" w:color="auto"/>
            <w:left w:val="none" w:sz="0" w:space="0" w:color="auto"/>
            <w:bottom w:val="none" w:sz="0" w:space="0" w:color="auto"/>
            <w:right w:val="none" w:sz="0" w:space="0" w:color="auto"/>
          </w:divBdr>
          <w:divsChild>
            <w:div w:id="679696365">
              <w:marLeft w:val="0"/>
              <w:marRight w:val="0"/>
              <w:marTop w:val="0"/>
              <w:marBottom w:val="0"/>
              <w:divBdr>
                <w:top w:val="none" w:sz="0" w:space="0" w:color="auto"/>
                <w:left w:val="none" w:sz="0" w:space="0" w:color="auto"/>
                <w:bottom w:val="none" w:sz="0" w:space="0" w:color="auto"/>
                <w:right w:val="none" w:sz="0" w:space="0" w:color="auto"/>
              </w:divBdr>
              <w:divsChild>
                <w:div w:id="679696755">
                  <w:marLeft w:val="0"/>
                  <w:marRight w:val="0"/>
                  <w:marTop w:val="0"/>
                  <w:marBottom w:val="0"/>
                  <w:divBdr>
                    <w:top w:val="none" w:sz="0" w:space="0" w:color="auto"/>
                    <w:left w:val="none" w:sz="0" w:space="0" w:color="auto"/>
                    <w:bottom w:val="none" w:sz="0" w:space="0" w:color="auto"/>
                    <w:right w:val="none" w:sz="0" w:space="0" w:color="auto"/>
                  </w:divBdr>
                  <w:divsChild>
                    <w:div w:id="6796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696630">
      <w:marLeft w:val="0"/>
      <w:marRight w:val="0"/>
      <w:marTop w:val="0"/>
      <w:marBottom w:val="0"/>
      <w:divBdr>
        <w:top w:val="none" w:sz="0" w:space="0" w:color="auto"/>
        <w:left w:val="none" w:sz="0" w:space="0" w:color="auto"/>
        <w:bottom w:val="none" w:sz="0" w:space="0" w:color="auto"/>
        <w:right w:val="none" w:sz="0" w:space="0" w:color="auto"/>
      </w:divBdr>
    </w:div>
    <w:div w:id="679696631">
      <w:marLeft w:val="0"/>
      <w:marRight w:val="0"/>
      <w:marTop w:val="0"/>
      <w:marBottom w:val="0"/>
      <w:divBdr>
        <w:top w:val="none" w:sz="0" w:space="0" w:color="auto"/>
        <w:left w:val="none" w:sz="0" w:space="0" w:color="auto"/>
        <w:bottom w:val="none" w:sz="0" w:space="0" w:color="auto"/>
        <w:right w:val="none" w:sz="0" w:space="0" w:color="auto"/>
      </w:divBdr>
    </w:div>
    <w:div w:id="679696632">
      <w:marLeft w:val="0"/>
      <w:marRight w:val="0"/>
      <w:marTop w:val="0"/>
      <w:marBottom w:val="0"/>
      <w:divBdr>
        <w:top w:val="none" w:sz="0" w:space="0" w:color="auto"/>
        <w:left w:val="none" w:sz="0" w:space="0" w:color="auto"/>
        <w:bottom w:val="none" w:sz="0" w:space="0" w:color="auto"/>
        <w:right w:val="none" w:sz="0" w:space="0" w:color="auto"/>
      </w:divBdr>
      <w:divsChild>
        <w:div w:id="679696406">
          <w:marLeft w:val="0"/>
          <w:marRight w:val="0"/>
          <w:marTop w:val="0"/>
          <w:marBottom w:val="0"/>
          <w:divBdr>
            <w:top w:val="none" w:sz="0" w:space="0" w:color="auto"/>
            <w:left w:val="none" w:sz="0" w:space="0" w:color="auto"/>
            <w:bottom w:val="none" w:sz="0" w:space="0" w:color="auto"/>
            <w:right w:val="none" w:sz="0" w:space="0" w:color="auto"/>
          </w:divBdr>
        </w:div>
      </w:divsChild>
    </w:div>
    <w:div w:id="679696633">
      <w:marLeft w:val="0"/>
      <w:marRight w:val="0"/>
      <w:marTop w:val="0"/>
      <w:marBottom w:val="0"/>
      <w:divBdr>
        <w:top w:val="none" w:sz="0" w:space="0" w:color="auto"/>
        <w:left w:val="none" w:sz="0" w:space="0" w:color="auto"/>
        <w:bottom w:val="none" w:sz="0" w:space="0" w:color="auto"/>
        <w:right w:val="none" w:sz="0" w:space="0" w:color="auto"/>
      </w:divBdr>
    </w:div>
    <w:div w:id="679696635">
      <w:marLeft w:val="0"/>
      <w:marRight w:val="0"/>
      <w:marTop w:val="0"/>
      <w:marBottom w:val="0"/>
      <w:divBdr>
        <w:top w:val="none" w:sz="0" w:space="0" w:color="auto"/>
        <w:left w:val="none" w:sz="0" w:space="0" w:color="auto"/>
        <w:bottom w:val="none" w:sz="0" w:space="0" w:color="auto"/>
        <w:right w:val="none" w:sz="0" w:space="0" w:color="auto"/>
      </w:divBdr>
    </w:div>
    <w:div w:id="679696638">
      <w:marLeft w:val="0"/>
      <w:marRight w:val="0"/>
      <w:marTop w:val="0"/>
      <w:marBottom w:val="0"/>
      <w:divBdr>
        <w:top w:val="none" w:sz="0" w:space="0" w:color="auto"/>
        <w:left w:val="none" w:sz="0" w:space="0" w:color="auto"/>
        <w:bottom w:val="none" w:sz="0" w:space="0" w:color="auto"/>
        <w:right w:val="none" w:sz="0" w:space="0" w:color="auto"/>
      </w:divBdr>
    </w:div>
    <w:div w:id="679696639">
      <w:marLeft w:val="0"/>
      <w:marRight w:val="0"/>
      <w:marTop w:val="0"/>
      <w:marBottom w:val="0"/>
      <w:divBdr>
        <w:top w:val="none" w:sz="0" w:space="0" w:color="auto"/>
        <w:left w:val="none" w:sz="0" w:space="0" w:color="auto"/>
        <w:bottom w:val="none" w:sz="0" w:space="0" w:color="auto"/>
        <w:right w:val="none" w:sz="0" w:space="0" w:color="auto"/>
      </w:divBdr>
    </w:div>
    <w:div w:id="679696640">
      <w:marLeft w:val="0"/>
      <w:marRight w:val="0"/>
      <w:marTop w:val="0"/>
      <w:marBottom w:val="0"/>
      <w:divBdr>
        <w:top w:val="none" w:sz="0" w:space="0" w:color="auto"/>
        <w:left w:val="none" w:sz="0" w:space="0" w:color="auto"/>
        <w:bottom w:val="none" w:sz="0" w:space="0" w:color="auto"/>
        <w:right w:val="none" w:sz="0" w:space="0" w:color="auto"/>
      </w:divBdr>
    </w:div>
    <w:div w:id="679696641">
      <w:marLeft w:val="0"/>
      <w:marRight w:val="0"/>
      <w:marTop w:val="0"/>
      <w:marBottom w:val="0"/>
      <w:divBdr>
        <w:top w:val="none" w:sz="0" w:space="0" w:color="auto"/>
        <w:left w:val="none" w:sz="0" w:space="0" w:color="auto"/>
        <w:bottom w:val="none" w:sz="0" w:space="0" w:color="auto"/>
        <w:right w:val="none" w:sz="0" w:space="0" w:color="auto"/>
      </w:divBdr>
    </w:div>
    <w:div w:id="679696642">
      <w:marLeft w:val="0"/>
      <w:marRight w:val="0"/>
      <w:marTop w:val="0"/>
      <w:marBottom w:val="0"/>
      <w:divBdr>
        <w:top w:val="none" w:sz="0" w:space="0" w:color="auto"/>
        <w:left w:val="none" w:sz="0" w:space="0" w:color="auto"/>
        <w:bottom w:val="none" w:sz="0" w:space="0" w:color="auto"/>
        <w:right w:val="none" w:sz="0" w:space="0" w:color="auto"/>
      </w:divBdr>
    </w:div>
    <w:div w:id="679696643">
      <w:marLeft w:val="0"/>
      <w:marRight w:val="0"/>
      <w:marTop w:val="0"/>
      <w:marBottom w:val="0"/>
      <w:divBdr>
        <w:top w:val="none" w:sz="0" w:space="0" w:color="auto"/>
        <w:left w:val="none" w:sz="0" w:space="0" w:color="auto"/>
        <w:bottom w:val="none" w:sz="0" w:space="0" w:color="auto"/>
        <w:right w:val="none" w:sz="0" w:space="0" w:color="auto"/>
      </w:divBdr>
    </w:div>
    <w:div w:id="679696644">
      <w:marLeft w:val="0"/>
      <w:marRight w:val="0"/>
      <w:marTop w:val="0"/>
      <w:marBottom w:val="0"/>
      <w:divBdr>
        <w:top w:val="none" w:sz="0" w:space="0" w:color="auto"/>
        <w:left w:val="none" w:sz="0" w:space="0" w:color="auto"/>
        <w:bottom w:val="none" w:sz="0" w:space="0" w:color="auto"/>
        <w:right w:val="none" w:sz="0" w:space="0" w:color="auto"/>
      </w:divBdr>
    </w:div>
    <w:div w:id="679696645">
      <w:marLeft w:val="0"/>
      <w:marRight w:val="0"/>
      <w:marTop w:val="0"/>
      <w:marBottom w:val="0"/>
      <w:divBdr>
        <w:top w:val="none" w:sz="0" w:space="0" w:color="auto"/>
        <w:left w:val="none" w:sz="0" w:space="0" w:color="auto"/>
        <w:bottom w:val="none" w:sz="0" w:space="0" w:color="auto"/>
        <w:right w:val="none" w:sz="0" w:space="0" w:color="auto"/>
      </w:divBdr>
    </w:div>
    <w:div w:id="679696646">
      <w:marLeft w:val="0"/>
      <w:marRight w:val="0"/>
      <w:marTop w:val="0"/>
      <w:marBottom w:val="0"/>
      <w:divBdr>
        <w:top w:val="none" w:sz="0" w:space="0" w:color="auto"/>
        <w:left w:val="none" w:sz="0" w:space="0" w:color="auto"/>
        <w:bottom w:val="none" w:sz="0" w:space="0" w:color="auto"/>
        <w:right w:val="none" w:sz="0" w:space="0" w:color="auto"/>
      </w:divBdr>
    </w:div>
    <w:div w:id="679696647">
      <w:marLeft w:val="0"/>
      <w:marRight w:val="0"/>
      <w:marTop w:val="0"/>
      <w:marBottom w:val="0"/>
      <w:divBdr>
        <w:top w:val="none" w:sz="0" w:space="0" w:color="auto"/>
        <w:left w:val="none" w:sz="0" w:space="0" w:color="auto"/>
        <w:bottom w:val="none" w:sz="0" w:space="0" w:color="auto"/>
        <w:right w:val="none" w:sz="0" w:space="0" w:color="auto"/>
      </w:divBdr>
    </w:div>
    <w:div w:id="679696648">
      <w:marLeft w:val="0"/>
      <w:marRight w:val="0"/>
      <w:marTop w:val="0"/>
      <w:marBottom w:val="0"/>
      <w:divBdr>
        <w:top w:val="none" w:sz="0" w:space="0" w:color="auto"/>
        <w:left w:val="none" w:sz="0" w:space="0" w:color="auto"/>
        <w:bottom w:val="none" w:sz="0" w:space="0" w:color="auto"/>
        <w:right w:val="none" w:sz="0" w:space="0" w:color="auto"/>
      </w:divBdr>
      <w:divsChild>
        <w:div w:id="679696574">
          <w:marLeft w:val="0"/>
          <w:marRight w:val="0"/>
          <w:marTop w:val="0"/>
          <w:marBottom w:val="0"/>
          <w:divBdr>
            <w:top w:val="none" w:sz="0" w:space="0" w:color="auto"/>
            <w:left w:val="none" w:sz="0" w:space="0" w:color="auto"/>
            <w:bottom w:val="none" w:sz="0" w:space="0" w:color="auto"/>
            <w:right w:val="none" w:sz="0" w:space="0" w:color="auto"/>
          </w:divBdr>
          <w:divsChild>
            <w:div w:id="679696586">
              <w:marLeft w:val="0"/>
              <w:marRight w:val="0"/>
              <w:marTop w:val="0"/>
              <w:marBottom w:val="0"/>
              <w:divBdr>
                <w:top w:val="none" w:sz="0" w:space="0" w:color="auto"/>
                <w:left w:val="none" w:sz="0" w:space="0" w:color="auto"/>
                <w:bottom w:val="none" w:sz="0" w:space="0" w:color="auto"/>
                <w:right w:val="none" w:sz="0" w:space="0" w:color="auto"/>
              </w:divBdr>
              <w:divsChild>
                <w:div w:id="679696682">
                  <w:marLeft w:val="0"/>
                  <w:marRight w:val="0"/>
                  <w:marTop w:val="0"/>
                  <w:marBottom w:val="0"/>
                  <w:divBdr>
                    <w:top w:val="none" w:sz="0" w:space="0" w:color="auto"/>
                    <w:left w:val="none" w:sz="0" w:space="0" w:color="auto"/>
                    <w:bottom w:val="none" w:sz="0" w:space="0" w:color="auto"/>
                    <w:right w:val="none" w:sz="0" w:space="0" w:color="auto"/>
                  </w:divBdr>
                  <w:divsChild>
                    <w:div w:id="679696753">
                      <w:marLeft w:val="0"/>
                      <w:marRight w:val="0"/>
                      <w:marTop w:val="0"/>
                      <w:marBottom w:val="0"/>
                      <w:divBdr>
                        <w:top w:val="none" w:sz="0" w:space="0" w:color="auto"/>
                        <w:left w:val="none" w:sz="0" w:space="0" w:color="auto"/>
                        <w:bottom w:val="none" w:sz="0" w:space="0" w:color="auto"/>
                        <w:right w:val="none" w:sz="0" w:space="0" w:color="auto"/>
                      </w:divBdr>
                      <w:divsChild>
                        <w:div w:id="67969653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52">
      <w:marLeft w:val="0"/>
      <w:marRight w:val="0"/>
      <w:marTop w:val="0"/>
      <w:marBottom w:val="0"/>
      <w:divBdr>
        <w:top w:val="none" w:sz="0" w:space="0" w:color="auto"/>
        <w:left w:val="none" w:sz="0" w:space="0" w:color="auto"/>
        <w:bottom w:val="none" w:sz="0" w:space="0" w:color="auto"/>
        <w:right w:val="none" w:sz="0" w:space="0" w:color="auto"/>
      </w:divBdr>
    </w:div>
    <w:div w:id="679696653">
      <w:marLeft w:val="0"/>
      <w:marRight w:val="0"/>
      <w:marTop w:val="0"/>
      <w:marBottom w:val="0"/>
      <w:divBdr>
        <w:top w:val="none" w:sz="0" w:space="0" w:color="auto"/>
        <w:left w:val="none" w:sz="0" w:space="0" w:color="auto"/>
        <w:bottom w:val="none" w:sz="0" w:space="0" w:color="auto"/>
        <w:right w:val="none" w:sz="0" w:space="0" w:color="auto"/>
      </w:divBdr>
    </w:div>
    <w:div w:id="679696655">
      <w:marLeft w:val="0"/>
      <w:marRight w:val="0"/>
      <w:marTop w:val="0"/>
      <w:marBottom w:val="0"/>
      <w:divBdr>
        <w:top w:val="none" w:sz="0" w:space="0" w:color="auto"/>
        <w:left w:val="none" w:sz="0" w:space="0" w:color="auto"/>
        <w:bottom w:val="none" w:sz="0" w:space="0" w:color="auto"/>
        <w:right w:val="none" w:sz="0" w:space="0" w:color="auto"/>
      </w:divBdr>
    </w:div>
    <w:div w:id="679696656">
      <w:marLeft w:val="0"/>
      <w:marRight w:val="0"/>
      <w:marTop w:val="0"/>
      <w:marBottom w:val="0"/>
      <w:divBdr>
        <w:top w:val="none" w:sz="0" w:space="0" w:color="auto"/>
        <w:left w:val="none" w:sz="0" w:space="0" w:color="auto"/>
        <w:bottom w:val="none" w:sz="0" w:space="0" w:color="auto"/>
        <w:right w:val="none" w:sz="0" w:space="0" w:color="auto"/>
      </w:divBdr>
    </w:div>
    <w:div w:id="679696657">
      <w:marLeft w:val="0"/>
      <w:marRight w:val="0"/>
      <w:marTop w:val="0"/>
      <w:marBottom w:val="0"/>
      <w:divBdr>
        <w:top w:val="none" w:sz="0" w:space="0" w:color="auto"/>
        <w:left w:val="none" w:sz="0" w:space="0" w:color="auto"/>
        <w:bottom w:val="none" w:sz="0" w:space="0" w:color="auto"/>
        <w:right w:val="none" w:sz="0" w:space="0" w:color="auto"/>
      </w:divBdr>
      <w:divsChild>
        <w:div w:id="679696372">
          <w:marLeft w:val="0"/>
          <w:marRight w:val="0"/>
          <w:marTop w:val="0"/>
          <w:marBottom w:val="0"/>
          <w:divBdr>
            <w:top w:val="none" w:sz="0" w:space="0" w:color="auto"/>
            <w:left w:val="none" w:sz="0" w:space="0" w:color="auto"/>
            <w:bottom w:val="none" w:sz="0" w:space="0" w:color="auto"/>
            <w:right w:val="none" w:sz="0" w:space="0" w:color="auto"/>
          </w:divBdr>
          <w:divsChild>
            <w:div w:id="679696543">
              <w:marLeft w:val="0"/>
              <w:marRight w:val="0"/>
              <w:marTop w:val="0"/>
              <w:marBottom w:val="0"/>
              <w:divBdr>
                <w:top w:val="none" w:sz="0" w:space="0" w:color="auto"/>
                <w:left w:val="none" w:sz="0" w:space="0" w:color="auto"/>
                <w:bottom w:val="none" w:sz="0" w:space="0" w:color="auto"/>
                <w:right w:val="none" w:sz="0" w:space="0" w:color="auto"/>
              </w:divBdr>
              <w:divsChild>
                <w:div w:id="679696607">
                  <w:marLeft w:val="0"/>
                  <w:marRight w:val="0"/>
                  <w:marTop w:val="0"/>
                  <w:marBottom w:val="0"/>
                  <w:divBdr>
                    <w:top w:val="none" w:sz="0" w:space="0" w:color="auto"/>
                    <w:left w:val="none" w:sz="0" w:space="0" w:color="auto"/>
                    <w:bottom w:val="none" w:sz="0" w:space="0" w:color="auto"/>
                    <w:right w:val="none" w:sz="0" w:space="0" w:color="auto"/>
                  </w:divBdr>
                  <w:divsChild>
                    <w:div w:id="679696719">
                      <w:marLeft w:val="0"/>
                      <w:marRight w:val="0"/>
                      <w:marTop w:val="0"/>
                      <w:marBottom w:val="0"/>
                      <w:divBdr>
                        <w:top w:val="none" w:sz="0" w:space="0" w:color="auto"/>
                        <w:left w:val="none" w:sz="0" w:space="0" w:color="auto"/>
                        <w:bottom w:val="none" w:sz="0" w:space="0" w:color="auto"/>
                        <w:right w:val="none" w:sz="0" w:space="0" w:color="auto"/>
                      </w:divBdr>
                      <w:divsChild>
                        <w:div w:id="6796965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60">
      <w:marLeft w:val="0"/>
      <w:marRight w:val="0"/>
      <w:marTop w:val="0"/>
      <w:marBottom w:val="0"/>
      <w:divBdr>
        <w:top w:val="none" w:sz="0" w:space="0" w:color="auto"/>
        <w:left w:val="none" w:sz="0" w:space="0" w:color="auto"/>
        <w:bottom w:val="none" w:sz="0" w:space="0" w:color="auto"/>
        <w:right w:val="none" w:sz="0" w:space="0" w:color="auto"/>
      </w:divBdr>
    </w:div>
    <w:div w:id="679696661">
      <w:marLeft w:val="0"/>
      <w:marRight w:val="0"/>
      <w:marTop w:val="0"/>
      <w:marBottom w:val="0"/>
      <w:divBdr>
        <w:top w:val="none" w:sz="0" w:space="0" w:color="auto"/>
        <w:left w:val="none" w:sz="0" w:space="0" w:color="auto"/>
        <w:bottom w:val="none" w:sz="0" w:space="0" w:color="auto"/>
        <w:right w:val="none" w:sz="0" w:space="0" w:color="auto"/>
      </w:divBdr>
    </w:div>
    <w:div w:id="679696662">
      <w:marLeft w:val="0"/>
      <w:marRight w:val="0"/>
      <w:marTop w:val="0"/>
      <w:marBottom w:val="0"/>
      <w:divBdr>
        <w:top w:val="none" w:sz="0" w:space="0" w:color="auto"/>
        <w:left w:val="none" w:sz="0" w:space="0" w:color="auto"/>
        <w:bottom w:val="none" w:sz="0" w:space="0" w:color="auto"/>
        <w:right w:val="none" w:sz="0" w:space="0" w:color="auto"/>
      </w:divBdr>
    </w:div>
    <w:div w:id="679696663">
      <w:marLeft w:val="0"/>
      <w:marRight w:val="0"/>
      <w:marTop w:val="0"/>
      <w:marBottom w:val="0"/>
      <w:divBdr>
        <w:top w:val="none" w:sz="0" w:space="0" w:color="auto"/>
        <w:left w:val="none" w:sz="0" w:space="0" w:color="auto"/>
        <w:bottom w:val="none" w:sz="0" w:space="0" w:color="auto"/>
        <w:right w:val="none" w:sz="0" w:space="0" w:color="auto"/>
      </w:divBdr>
    </w:div>
    <w:div w:id="679696666">
      <w:marLeft w:val="0"/>
      <w:marRight w:val="0"/>
      <w:marTop w:val="0"/>
      <w:marBottom w:val="0"/>
      <w:divBdr>
        <w:top w:val="none" w:sz="0" w:space="0" w:color="auto"/>
        <w:left w:val="none" w:sz="0" w:space="0" w:color="auto"/>
        <w:bottom w:val="none" w:sz="0" w:space="0" w:color="auto"/>
        <w:right w:val="none" w:sz="0" w:space="0" w:color="auto"/>
      </w:divBdr>
    </w:div>
    <w:div w:id="679696667">
      <w:marLeft w:val="0"/>
      <w:marRight w:val="0"/>
      <w:marTop w:val="0"/>
      <w:marBottom w:val="0"/>
      <w:divBdr>
        <w:top w:val="none" w:sz="0" w:space="0" w:color="auto"/>
        <w:left w:val="none" w:sz="0" w:space="0" w:color="auto"/>
        <w:bottom w:val="none" w:sz="0" w:space="0" w:color="auto"/>
        <w:right w:val="none" w:sz="0" w:space="0" w:color="auto"/>
      </w:divBdr>
      <w:divsChild>
        <w:div w:id="679696518">
          <w:marLeft w:val="0"/>
          <w:marRight w:val="0"/>
          <w:marTop w:val="0"/>
          <w:marBottom w:val="0"/>
          <w:divBdr>
            <w:top w:val="none" w:sz="0" w:space="0" w:color="auto"/>
            <w:left w:val="none" w:sz="0" w:space="0" w:color="auto"/>
            <w:bottom w:val="none" w:sz="0" w:space="0" w:color="auto"/>
            <w:right w:val="none" w:sz="0" w:space="0" w:color="auto"/>
          </w:divBdr>
        </w:div>
      </w:divsChild>
    </w:div>
    <w:div w:id="679696669">
      <w:marLeft w:val="0"/>
      <w:marRight w:val="0"/>
      <w:marTop w:val="0"/>
      <w:marBottom w:val="0"/>
      <w:divBdr>
        <w:top w:val="none" w:sz="0" w:space="0" w:color="auto"/>
        <w:left w:val="none" w:sz="0" w:space="0" w:color="auto"/>
        <w:bottom w:val="none" w:sz="0" w:space="0" w:color="auto"/>
        <w:right w:val="none" w:sz="0" w:space="0" w:color="auto"/>
      </w:divBdr>
    </w:div>
    <w:div w:id="679696673">
      <w:marLeft w:val="0"/>
      <w:marRight w:val="0"/>
      <w:marTop w:val="0"/>
      <w:marBottom w:val="0"/>
      <w:divBdr>
        <w:top w:val="none" w:sz="0" w:space="0" w:color="auto"/>
        <w:left w:val="none" w:sz="0" w:space="0" w:color="auto"/>
        <w:bottom w:val="none" w:sz="0" w:space="0" w:color="auto"/>
        <w:right w:val="none" w:sz="0" w:space="0" w:color="auto"/>
      </w:divBdr>
    </w:div>
    <w:div w:id="679696674">
      <w:marLeft w:val="0"/>
      <w:marRight w:val="0"/>
      <w:marTop w:val="0"/>
      <w:marBottom w:val="0"/>
      <w:divBdr>
        <w:top w:val="none" w:sz="0" w:space="0" w:color="auto"/>
        <w:left w:val="none" w:sz="0" w:space="0" w:color="auto"/>
        <w:bottom w:val="none" w:sz="0" w:space="0" w:color="auto"/>
        <w:right w:val="none" w:sz="0" w:space="0" w:color="auto"/>
      </w:divBdr>
    </w:div>
    <w:div w:id="679696675">
      <w:marLeft w:val="0"/>
      <w:marRight w:val="0"/>
      <w:marTop w:val="0"/>
      <w:marBottom w:val="0"/>
      <w:divBdr>
        <w:top w:val="none" w:sz="0" w:space="0" w:color="auto"/>
        <w:left w:val="none" w:sz="0" w:space="0" w:color="auto"/>
        <w:bottom w:val="none" w:sz="0" w:space="0" w:color="auto"/>
        <w:right w:val="none" w:sz="0" w:space="0" w:color="auto"/>
      </w:divBdr>
    </w:div>
    <w:div w:id="679696676">
      <w:marLeft w:val="0"/>
      <w:marRight w:val="0"/>
      <w:marTop w:val="0"/>
      <w:marBottom w:val="0"/>
      <w:divBdr>
        <w:top w:val="none" w:sz="0" w:space="0" w:color="auto"/>
        <w:left w:val="none" w:sz="0" w:space="0" w:color="auto"/>
        <w:bottom w:val="none" w:sz="0" w:space="0" w:color="auto"/>
        <w:right w:val="none" w:sz="0" w:space="0" w:color="auto"/>
      </w:divBdr>
    </w:div>
    <w:div w:id="679696677">
      <w:marLeft w:val="0"/>
      <w:marRight w:val="0"/>
      <w:marTop w:val="0"/>
      <w:marBottom w:val="0"/>
      <w:divBdr>
        <w:top w:val="none" w:sz="0" w:space="0" w:color="auto"/>
        <w:left w:val="none" w:sz="0" w:space="0" w:color="auto"/>
        <w:bottom w:val="none" w:sz="0" w:space="0" w:color="auto"/>
        <w:right w:val="none" w:sz="0" w:space="0" w:color="auto"/>
      </w:divBdr>
    </w:div>
    <w:div w:id="679696678">
      <w:marLeft w:val="0"/>
      <w:marRight w:val="0"/>
      <w:marTop w:val="0"/>
      <w:marBottom w:val="0"/>
      <w:divBdr>
        <w:top w:val="none" w:sz="0" w:space="0" w:color="auto"/>
        <w:left w:val="none" w:sz="0" w:space="0" w:color="auto"/>
        <w:bottom w:val="none" w:sz="0" w:space="0" w:color="auto"/>
        <w:right w:val="none" w:sz="0" w:space="0" w:color="auto"/>
      </w:divBdr>
    </w:div>
    <w:div w:id="679696679">
      <w:marLeft w:val="0"/>
      <w:marRight w:val="0"/>
      <w:marTop w:val="0"/>
      <w:marBottom w:val="0"/>
      <w:divBdr>
        <w:top w:val="none" w:sz="0" w:space="0" w:color="auto"/>
        <w:left w:val="none" w:sz="0" w:space="0" w:color="auto"/>
        <w:bottom w:val="none" w:sz="0" w:space="0" w:color="auto"/>
        <w:right w:val="none" w:sz="0" w:space="0" w:color="auto"/>
      </w:divBdr>
    </w:div>
    <w:div w:id="679696680">
      <w:marLeft w:val="0"/>
      <w:marRight w:val="0"/>
      <w:marTop w:val="0"/>
      <w:marBottom w:val="0"/>
      <w:divBdr>
        <w:top w:val="none" w:sz="0" w:space="0" w:color="auto"/>
        <w:left w:val="none" w:sz="0" w:space="0" w:color="auto"/>
        <w:bottom w:val="none" w:sz="0" w:space="0" w:color="auto"/>
        <w:right w:val="none" w:sz="0" w:space="0" w:color="auto"/>
      </w:divBdr>
    </w:div>
    <w:div w:id="679696681">
      <w:marLeft w:val="0"/>
      <w:marRight w:val="0"/>
      <w:marTop w:val="0"/>
      <w:marBottom w:val="0"/>
      <w:divBdr>
        <w:top w:val="none" w:sz="0" w:space="0" w:color="auto"/>
        <w:left w:val="none" w:sz="0" w:space="0" w:color="auto"/>
        <w:bottom w:val="none" w:sz="0" w:space="0" w:color="auto"/>
        <w:right w:val="none" w:sz="0" w:space="0" w:color="auto"/>
      </w:divBdr>
    </w:div>
    <w:div w:id="679696683">
      <w:marLeft w:val="0"/>
      <w:marRight w:val="0"/>
      <w:marTop w:val="0"/>
      <w:marBottom w:val="0"/>
      <w:divBdr>
        <w:top w:val="none" w:sz="0" w:space="0" w:color="auto"/>
        <w:left w:val="none" w:sz="0" w:space="0" w:color="auto"/>
        <w:bottom w:val="none" w:sz="0" w:space="0" w:color="auto"/>
        <w:right w:val="none" w:sz="0" w:space="0" w:color="auto"/>
      </w:divBdr>
    </w:div>
    <w:div w:id="679696684">
      <w:marLeft w:val="0"/>
      <w:marRight w:val="0"/>
      <w:marTop w:val="0"/>
      <w:marBottom w:val="0"/>
      <w:divBdr>
        <w:top w:val="none" w:sz="0" w:space="0" w:color="auto"/>
        <w:left w:val="none" w:sz="0" w:space="0" w:color="auto"/>
        <w:bottom w:val="none" w:sz="0" w:space="0" w:color="auto"/>
        <w:right w:val="none" w:sz="0" w:space="0" w:color="auto"/>
      </w:divBdr>
    </w:div>
    <w:div w:id="679696686">
      <w:marLeft w:val="0"/>
      <w:marRight w:val="0"/>
      <w:marTop w:val="0"/>
      <w:marBottom w:val="0"/>
      <w:divBdr>
        <w:top w:val="none" w:sz="0" w:space="0" w:color="auto"/>
        <w:left w:val="none" w:sz="0" w:space="0" w:color="auto"/>
        <w:bottom w:val="none" w:sz="0" w:space="0" w:color="auto"/>
        <w:right w:val="none" w:sz="0" w:space="0" w:color="auto"/>
      </w:divBdr>
    </w:div>
    <w:div w:id="679696687">
      <w:marLeft w:val="0"/>
      <w:marRight w:val="0"/>
      <w:marTop w:val="0"/>
      <w:marBottom w:val="0"/>
      <w:divBdr>
        <w:top w:val="none" w:sz="0" w:space="0" w:color="auto"/>
        <w:left w:val="none" w:sz="0" w:space="0" w:color="auto"/>
        <w:bottom w:val="none" w:sz="0" w:space="0" w:color="auto"/>
        <w:right w:val="none" w:sz="0" w:space="0" w:color="auto"/>
      </w:divBdr>
    </w:div>
    <w:div w:id="679696688">
      <w:marLeft w:val="0"/>
      <w:marRight w:val="0"/>
      <w:marTop w:val="0"/>
      <w:marBottom w:val="0"/>
      <w:divBdr>
        <w:top w:val="none" w:sz="0" w:space="0" w:color="auto"/>
        <w:left w:val="none" w:sz="0" w:space="0" w:color="auto"/>
        <w:bottom w:val="none" w:sz="0" w:space="0" w:color="auto"/>
        <w:right w:val="none" w:sz="0" w:space="0" w:color="auto"/>
      </w:divBdr>
    </w:div>
    <w:div w:id="679696689">
      <w:marLeft w:val="0"/>
      <w:marRight w:val="0"/>
      <w:marTop w:val="0"/>
      <w:marBottom w:val="0"/>
      <w:divBdr>
        <w:top w:val="none" w:sz="0" w:space="0" w:color="auto"/>
        <w:left w:val="none" w:sz="0" w:space="0" w:color="auto"/>
        <w:bottom w:val="none" w:sz="0" w:space="0" w:color="auto"/>
        <w:right w:val="none" w:sz="0" w:space="0" w:color="auto"/>
      </w:divBdr>
    </w:div>
    <w:div w:id="679696690">
      <w:marLeft w:val="0"/>
      <w:marRight w:val="0"/>
      <w:marTop w:val="0"/>
      <w:marBottom w:val="0"/>
      <w:divBdr>
        <w:top w:val="none" w:sz="0" w:space="0" w:color="auto"/>
        <w:left w:val="none" w:sz="0" w:space="0" w:color="auto"/>
        <w:bottom w:val="none" w:sz="0" w:space="0" w:color="auto"/>
        <w:right w:val="none" w:sz="0" w:space="0" w:color="auto"/>
      </w:divBdr>
    </w:div>
    <w:div w:id="679696691">
      <w:marLeft w:val="0"/>
      <w:marRight w:val="0"/>
      <w:marTop w:val="0"/>
      <w:marBottom w:val="0"/>
      <w:divBdr>
        <w:top w:val="none" w:sz="0" w:space="0" w:color="auto"/>
        <w:left w:val="none" w:sz="0" w:space="0" w:color="auto"/>
        <w:bottom w:val="none" w:sz="0" w:space="0" w:color="auto"/>
        <w:right w:val="none" w:sz="0" w:space="0" w:color="auto"/>
      </w:divBdr>
    </w:div>
    <w:div w:id="679696693">
      <w:marLeft w:val="0"/>
      <w:marRight w:val="0"/>
      <w:marTop w:val="0"/>
      <w:marBottom w:val="0"/>
      <w:divBdr>
        <w:top w:val="none" w:sz="0" w:space="0" w:color="auto"/>
        <w:left w:val="none" w:sz="0" w:space="0" w:color="auto"/>
        <w:bottom w:val="none" w:sz="0" w:space="0" w:color="auto"/>
        <w:right w:val="none" w:sz="0" w:space="0" w:color="auto"/>
      </w:divBdr>
      <w:divsChild>
        <w:div w:id="679696747">
          <w:marLeft w:val="0"/>
          <w:marRight w:val="0"/>
          <w:marTop w:val="0"/>
          <w:marBottom w:val="0"/>
          <w:divBdr>
            <w:top w:val="none" w:sz="0" w:space="0" w:color="auto"/>
            <w:left w:val="none" w:sz="0" w:space="0" w:color="auto"/>
            <w:bottom w:val="none" w:sz="0" w:space="0" w:color="auto"/>
            <w:right w:val="none" w:sz="0" w:space="0" w:color="auto"/>
          </w:divBdr>
          <w:divsChild>
            <w:div w:id="679696636">
              <w:marLeft w:val="0"/>
              <w:marRight w:val="0"/>
              <w:marTop w:val="0"/>
              <w:marBottom w:val="0"/>
              <w:divBdr>
                <w:top w:val="none" w:sz="0" w:space="0" w:color="auto"/>
                <w:left w:val="none" w:sz="0" w:space="0" w:color="auto"/>
                <w:bottom w:val="none" w:sz="0" w:space="0" w:color="auto"/>
                <w:right w:val="none" w:sz="0" w:space="0" w:color="auto"/>
              </w:divBdr>
              <w:divsChild>
                <w:div w:id="679696608">
                  <w:marLeft w:val="0"/>
                  <w:marRight w:val="0"/>
                  <w:marTop w:val="0"/>
                  <w:marBottom w:val="0"/>
                  <w:divBdr>
                    <w:top w:val="none" w:sz="0" w:space="0" w:color="auto"/>
                    <w:left w:val="none" w:sz="0" w:space="0" w:color="auto"/>
                    <w:bottom w:val="none" w:sz="0" w:space="0" w:color="auto"/>
                    <w:right w:val="none" w:sz="0" w:space="0" w:color="auto"/>
                  </w:divBdr>
                  <w:divsChild>
                    <w:div w:id="679696559">
                      <w:marLeft w:val="0"/>
                      <w:marRight w:val="0"/>
                      <w:marTop w:val="0"/>
                      <w:marBottom w:val="0"/>
                      <w:divBdr>
                        <w:top w:val="none" w:sz="0" w:space="0" w:color="auto"/>
                        <w:left w:val="none" w:sz="0" w:space="0" w:color="auto"/>
                        <w:bottom w:val="none" w:sz="0" w:space="0" w:color="auto"/>
                        <w:right w:val="none" w:sz="0" w:space="0" w:color="auto"/>
                      </w:divBdr>
                      <w:divsChild>
                        <w:div w:id="6796965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94">
      <w:marLeft w:val="0"/>
      <w:marRight w:val="0"/>
      <w:marTop w:val="0"/>
      <w:marBottom w:val="0"/>
      <w:divBdr>
        <w:top w:val="none" w:sz="0" w:space="0" w:color="auto"/>
        <w:left w:val="none" w:sz="0" w:space="0" w:color="auto"/>
        <w:bottom w:val="none" w:sz="0" w:space="0" w:color="auto"/>
        <w:right w:val="none" w:sz="0" w:space="0" w:color="auto"/>
      </w:divBdr>
    </w:div>
    <w:div w:id="679696695">
      <w:marLeft w:val="0"/>
      <w:marRight w:val="0"/>
      <w:marTop w:val="0"/>
      <w:marBottom w:val="0"/>
      <w:divBdr>
        <w:top w:val="none" w:sz="0" w:space="0" w:color="auto"/>
        <w:left w:val="none" w:sz="0" w:space="0" w:color="auto"/>
        <w:bottom w:val="none" w:sz="0" w:space="0" w:color="auto"/>
        <w:right w:val="none" w:sz="0" w:space="0" w:color="auto"/>
      </w:divBdr>
    </w:div>
    <w:div w:id="679696697">
      <w:marLeft w:val="0"/>
      <w:marRight w:val="0"/>
      <w:marTop w:val="0"/>
      <w:marBottom w:val="0"/>
      <w:divBdr>
        <w:top w:val="none" w:sz="0" w:space="0" w:color="auto"/>
        <w:left w:val="none" w:sz="0" w:space="0" w:color="auto"/>
        <w:bottom w:val="none" w:sz="0" w:space="0" w:color="auto"/>
        <w:right w:val="none" w:sz="0" w:space="0" w:color="auto"/>
      </w:divBdr>
    </w:div>
    <w:div w:id="679696698">
      <w:marLeft w:val="0"/>
      <w:marRight w:val="0"/>
      <w:marTop w:val="0"/>
      <w:marBottom w:val="0"/>
      <w:divBdr>
        <w:top w:val="none" w:sz="0" w:space="0" w:color="auto"/>
        <w:left w:val="none" w:sz="0" w:space="0" w:color="auto"/>
        <w:bottom w:val="none" w:sz="0" w:space="0" w:color="auto"/>
        <w:right w:val="none" w:sz="0" w:space="0" w:color="auto"/>
      </w:divBdr>
    </w:div>
    <w:div w:id="679696699">
      <w:marLeft w:val="0"/>
      <w:marRight w:val="0"/>
      <w:marTop w:val="0"/>
      <w:marBottom w:val="0"/>
      <w:divBdr>
        <w:top w:val="none" w:sz="0" w:space="0" w:color="auto"/>
        <w:left w:val="none" w:sz="0" w:space="0" w:color="auto"/>
        <w:bottom w:val="none" w:sz="0" w:space="0" w:color="auto"/>
        <w:right w:val="none" w:sz="0" w:space="0" w:color="auto"/>
      </w:divBdr>
    </w:div>
    <w:div w:id="679696700">
      <w:marLeft w:val="0"/>
      <w:marRight w:val="0"/>
      <w:marTop w:val="0"/>
      <w:marBottom w:val="0"/>
      <w:divBdr>
        <w:top w:val="none" w:sz="0" w:space="0" w:color="auto"/>
        <w:left w:val="none" w:sz="0" w:space="0" w:color="auto"/>
        <w:bottom w:val="none" w:sz="0" w:space="0" w:color="auto"/>
        <w:right w:val="none" w:sz="0" w:space="0" w:color="auto"/>
      </w:divBdr>
      <w:divsChild>
        <w:div w:id="679696710">
          <w:marLeft w:val="0"/>
          <w:marRight w:val="0"/>
          <w:marTop w:val="0"/>
          <w:marBottom w:val="0"/>
          <w:divBdr>
            <w:top w:val="none" w:sz="0" w:space="0" w:color="auto"/>
            <w:left w:val="none" w:sz="0" w:space="0" w:color="auto"/>
            <w:bottom w:val="none" w:sz="0" w:space="0" w:color="auto"/>
            <w:right w:val="none" w:sz="0" w:space="0" w:color="auto"/>
          </w:divBdr>
          <w:divsChild>
            <w:div w:id="679696717">
              <w:marLeft w:val="0"/>
              <w:marRight w:val="0"/>
              <w:marTop w:val="0"/>
              <w:marBottom w:val="0"/>
              <w:divBdr>
                <w:top w:val="none" w:sz="0" w:space="0" w:color="auto"/>
                <w:left w:val="none" w:sz="0" w:space="0" w:color="auto"/>
                <w:bottom w:val="none" w:sz="0" w:space="0" w:color="auto"/>
                <w:right w:val="none" w:sz="0" w:space="0" w:color="auto"/>
              </w:divBdr>
              <w:divsChild>
                <w:div w:id="679696629">
                  <w:marLeft w:val="0"/>
                  <w:marRight w:val="0"/>
                  <w:marTop w:val="0"/>
                  <w:marBottom w:val="0"/>
                  <w:divBdr>
                    <w:top w:val="none" w:sz="0" w:space="0" w:color="auto"/>
                    <w:left w:val="none" w:sz="0" w:space="0" w:color="auto"/>
                    <w:bottom w:val="none" w:sz="0" w:space="0" w:color="auto"/>
                    <w:right w:val="none" w:sz="0" w:space="0" w:color="auto"/>
                  </w:divBdr>
                  <w:divsChild>
                    <w:div w:id="679696751">
                      <w:marLeft w:val="0"/>
                      <w:marRight w:val="0"/>
                      <w:marTop w:val="0"/>
                      <w:marBottom w:val="0"/>
                      <w:divBdr>
                        <w:top w:val="none" w:sz="0" w:space="0" w:color="auto"/>
                        <w:left w:val="none" w:sz="0" w:space="0" w:color="auto"/>
                        <w:bottom w:val="none" w:sz="0" w:space="0" w:color="auto"/>
                        <w:right w:val="none" w:sz="0" w:space="0" w:color="auto"/>
                      </w:divBdr>
                      <w:divsChild>
                        <w:div w:id="6796966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01">
      <w:marLeft w:val="0"/>
      <w:marRight w:val="0"/>
      <w:marTop w:val="0"/>
      <w:marBottom w:val="0"/>
      <w:divBdr>
        <w:top w:val="none" w:sz="0" w:space="0" w:color="auto"/>
        <w:left w:val="none" w:sz="0" w:space="0" w:color="auto"/>
        <w:bottom w:val="none" w:sz="0" w:space="0" w:color="auto"/>
        <w:right w:val="none" w:sz="0" w:space="0" w:color="auto"/>
      </w:divBdr>
    </w:div>
    <w:div w:id="679696702">
      <w:marLeft w:val="0"/>
      <w:marRight w:val="0"/>
      <w:marTop w:val="0"/>
      <w:marBottom w:val="0"/>
      <w:divBdr>
        <w:top w:val="none" w:sz="0" w:space="0" w:color="auto"/>
        <w:left w:val="none" w:sz="0" w:space="0" w:color="auto"/>
        <w:bottom w:val="none" w:sz="0" w:space="0" w:color="auto"/>
        <w:right w:val="none" w:sz="0" w:space="0" w:color="auto"/>
      </w:divBdr>
    </w:div>
    <w:div w:id="679696703">
      <w:marLeft w:val="0"/>
      <w:marRight w:val="0"/>
      <w:marTop w:val="0"/>
      <w:marBottom w:val="0"/>
      <w:divBdr>
        <w:top w:val="none" w:sz="0" w:space="0" w:color="auto"/>
        <w:left w:val="none" w:sz="0" w:space="0" w:color="auto"/>
        <w:bottom w:val="none" w:sz="0" w:space="0" w:color="auto"/>
        <w:right w:val="none" w:sz="0" w:space="0" w:color="auto"/>
      </w:divBdr>
    </w:div>
    <w:div w:id="679696707">
      <w:marLeft w:val="0"/>
      <w:marRight w:val="0"/>
      <w:marTop w:val="0"/>
      <w:marBottom w:val="0"/>
      <w:divBdr>
        <w:top w:val="none" w:sz="0" w:space="0" w:color="auto"/>
        <w:left w:val="none" w:sz="0" w:space="0" w:color="auto"/>
        <w:bottom w:val="none" w:sz="0" w:space="0" w:color="auto"/>
        <w:right w:val="none" w:sz="0" w:space="0" w:color="auto"/>
      </w:divBdr>
    </w:div>
    <w:div w:id="679696708">
      <w:marLeft w:val="0"/>
      <w:marRight w:val="0"/>
      <w:marTop w:val="0"/>
      <w:marBottom w:val="0"/>
      <w:divBdr>
        <w:top w:val="none" w:sz="0" w:space="0" w:color="auto"/>
        <w:left w:val="none" w:sz="0" w:space="0" w:color="auto"/>
        <w:bottom w:val="none" w:sz="0" w:space="0" w:color="auto"/>
        <w:right w:val="none" w:sz="0" w:space="0" w:color="auto"/>
      </w:divBdr>
    </w:div>
    <w:div w:id="679696709">
      <w:marLeft w:val="0"/>
      <w:marRight w:val="0"/>
      <w:marTop w:val="0"/>
      <w:marBottom w:val="0"/>
      <w:divBdr>
        <w:top w:val="none" w:sz="0" w:space="0" w:color="auto"/>
        <w:left w:val="none" w:sz="0" w:space="0" w:color="auto"/>
        <w:bottom w:val="none" w:sz="0" w:space="0" w:color="auto"/>
        <w:right w:val="none" w:sz="0" w:space="0" w:color="auto"/>
      </w:divBdr>
    </w:div>
    <w:div w:id="679696711">
      <w:marLeft w:val="0"/>
      <w:marRight w:val="0"/>
      <w:marTop w:val="0"/>
      <w:marBottom w:val="0"/>
      <w:divBdr>
        <w:top w:val="none" w:sz="0" w:space="0" w:color="auto"/>
        <w:left w:val="none" w:sz="0" w:space="0" w:color="auto"/>
        <w:bottom w:val="none" w:sz="0" w:space="0" w:color="auto"/>
        <w:right w:val="none" w:sz="0" w:space="0" w:color="auto"/>
      </w:divBdr>
    </w:div>
    <w:div w:id="679696712">
      <w:marLeft w:val="0"/>
      <w:marRight w:val="0"/>
      <w:marTop w:val="0"/>
      <w:marBottom w:val="0"/>
      <w:divBdr>
        <w:top w:val="none" w:sz="0" w:space="0" w:color="auto"/>
        <w:left w:val="none" w:sz="0" w:space="0" w:color="auto"/>
        <w:bottom w:val="none" w:sz="0" w:space="0" w:color="auto"/>
        <w:right w:val="none" w:sz="0" w:space="0" w:color="auto"/>
      </w:divBdr>
    </w:div>
    <w:div w:id="679696713">
      <w:marLeft w:val="0"/>
      <w:marRight w:val="0"/>
      <w:marTop w:val="0"/>
      <w:marBottom w:val="0"/>
      <w:divBdr>
        <w:top w:val="none" w:sz="0" w:space="0" w:color="auto"/>
        <w:left w:val="none" w:sz="0" w:space="0" w:color="auto"/>
        <w:bottom w:val="none" w:sz="0" w:space="0" w:color="auto"/>
        <w:right w:val="none" w:sz="0" w:space="0" w:color="auto"/>
      </w:divBdr>
    </w:div>
    <w:div w:id="679696715">
      <w:marLeft w:val="0"/>
      <w:marRight w:val="0"/>
      <w:marTop w:val="0"/>
      <w:marBottom w:val="0"/>
      <w:divBdr>
        <w:top w:val="none" w:sz="0" w:space="0" w:color="auto"/>
        <w:left w:val="none" w:sz="0" w:space="0" w:color="auto"/>
        <w:bottom w:val="none" w:sz="0" w:space="0" w:color="auto"/>
        <w:right w:val="none" w:sz="0" w:space="0" w:color="auto"/>
      </w:divBdr>
    </w:div>
    <w:div w:id="679696716">
      <w:marLeft w:val="0"/>
      <w:marRight w:val="0"/>
      <w:marTop w:val="0"/>
      <w:marBottom w:val="0"/>
      <w:divBdr>
        <w:top w:val="none" w:sz="0" w:space="0" w:color="auto"/>
        <w:left w:val="none" w:sz="0" w:space="0" w:color="auto"/>
        <w:bottom w:val="none" w:sz="0" w:space="0" w:color="auto"/>
        <w:right w:val="none" w:sz="0" w:space="0" w:color="auto"/>
      </w:divBdr>
    </w:div>
    <w:div w:id="679696720">
      <w:marLeft w:val="0"/>
      <w:marRight w:val="0"/>
      <w:marTop w:val="0"/>
      <w:marBottom w:val="0"/>
      <w:divBdr>
        <w:top w:val="none" w:sz="0" w:space="0" w:color="auto"/>
        <w:left w:val="none" w:sz="0" w:space="0" w:color="auto"/>
        <w:bottom w:val="none" w:sz="0" w:space="0" w:color="auto"/>
        <w:right w:val="none" w:sz="0" w:space="0" w:color="auto"/>
      </w:divBdr>
    </w:div>
    <w:div w:id="679696721">
      <w:marLeft w:val="0"/>
      <w:marRight w:val="0"/>
      <w:marTop w:val="0"/>
      <w:marBottom w:val="0"/>
      <w:divBdr>
        <w:top w:val="none" w:sz="0" w:space="0" w:color="auto"/>
        <w:left w:val="none" w:sz="0" w:space="0" w:color="auto"/>
        <w:bottom w:val="none" w:sz="0" w:space="0" w:color="auto"/>
        <w:right w:val="none" w:sz="0" w:space="0" w:color="auto"/>
      </w:divBdr>
    </w:div>
    <w:div w:id="679696722">
      <w:marLeft w:val="0"/>
      <w:marRight w:val="0"/>
      <w:marTop w:val="0"/>
      <w:marBottom w:val="0"/>
      <w:divBdr>
        <w:top w:val="none" w:sz="0" w:space="0" w:color="auto"/>
        <w:left w:val="none" w:sz="0" w:space="0" w:color="auto"/>
        <w:bottom w:val="none" w:sz="0" w:space="0" w:color="auto"/>
        <w:right w:val="none" w:sz="0" w:space="0" w:color="auto"/>
      </w:divBdr>
    </w:div>
    <w:div w:id="679696725">
      <w:marLeft w:val="0"/>
      <w:marRight w:val="0"/>
      <w:marTop w:val="0"/>
      <w:marBottom w:val="0"/>
      <w:divBdr>
        <w:top w:val="none" w:sz="0" w:space="0" w:color="auto"/>
        <w:left w:val="none" w:sz="0" w:space="0" w:color="auto"/>
        <w:bottom w:val="none" w:sz="0" w:space="0" w:color="auto"/>
        <w:right w:val="none" w:sz="0" w:space="0" w:color="auto"/>
      </w:divBdr>
    </w:div>
    <w:div w:id="679696726">
      <w:marLeft w:val="0"/>
      <w:marRight w:val="0"/>
      <w:marTop w:val="0"/>
      <w:marBottom w:val="0"/>
      <w:divBdr>
        <w:top w:val="none" w:sz="0" w:space="0" w:color="auto"/>
        <w:left w:val="none" w:sz="0" w:space="0" w:color="auto"/>
        <w:bottom w:val="none" w:sz="0" w:space="0" w:color="auto"/>
        <w:right w:val="none" w:sz="0" w:space="0" w:color="auto"/>
      </w:divBdr>
    </w:div>
    <w:div w:id="679696727">
      <w:marLeft w:val="0"/>
      <w:marRight w:val="0"/>
      <w:marTop w:val="0"/>
      <w:marBottom w:val="0"/>
      <w:divBdr>
        <w:top w:val="none" w:sz="0" w:space="0" w:color="auto"/>
        <w:left w:val="none" w:sz="0" w:space="0" w:color="auto"/>
        <w:bottom w:val="none" w:sz="0" w:space="0" w:color="auto"/>
        <w:right w:val="none" w:sz="0" w:space="0" w:color="auto"/>
      </w:divBdr>
      <w:divsChild>
        <w:div w:id="679696767">
          <w:marLeft w:val="0"/>
          <w:marRight w:val="0"/>
          <w:marTop w:val="0"/>
          <w:marBottom w:val="0"/>
          <w:divBdr>
            <w:top w:val="none" w:sz="0" w:space="0" w:color="auto"/>
            <w:left w:val="none" w:sz="0" w:space="0" w:color="auto"/>
            <w:bottom w:val="none" w:sz="0" w:space="0" w:color="auto"/>
            <w:right w:val="none" w:sz="0" w:space="0" w:color="auto"/>
          </w:divBdr>
        </w:div>
      </w:divsChild>
    </w:div>
    <w:div w:id="679696728">
      <w:marLeft w:val="0"/>
      <w:marRight w:val="0"/>
      <w:marTop w:val="0"/>
      <w:marBottom w:val="0"/>
      <w:divBdr>
        <w:top w:val="none" w:sz="0" w:space="0" w:color="auto"/>
        <w:left w:val="none" w:sz="0" w:space="0" w:color="auto"/>
        <w:bottom w:val="none" w:sz="0" w:space="0" w:color="auto"/>
        <w:right w:val="none" w:sz="0" w:space="0" w:color="auto"/>
      </w:divBdr>
    </w:div>
    <w:div w:id="679696729">
      <w:marLeft w:val="0"/>
      <w:marRight w:val="0"/>
      <w:marTop w:val="0"/>
      <w:marBottom w:val="0"/>
      <w:divBdr>
        <w:top w:val="none" w:sz="0" w:space="0" w:color="auto"/>
        <w:left w:val="none" w:sz="0" w:space="0" w:color="auto"/>
        <w:bottom w:val="none" w:sz="0" w:space="0" w:color="auto"/>
        <w:right w:val="none" w:sz="0" w:space="0" w:color="auto"/>
      </w:divBdr>
      <w:divsChild>
        <w:div w:id="679696745">
          <w:marLeft w:val="0"/>
          <w:marRight w:val="0"/>
          <w:marTop w:val="0"/>
          <w:marBottom w:val="0"/>
          <w:divBdr>
            <w:top w:val="none" w:sz="0" w:space="0" w:color="auto"/>
            <w:left w:val="none" w:sz="0" w:space="0" w:color="auto"/>
            <w:bottom w:val="none" w:sz="0" w:space="0" w:color="auto"/>
            <w:right w:val="none" w:sz="0" w:space="0" w:color="auto"/>
          </w:divBdr>
          <w:divsChild>
            <w:div w:id="679696685">
              <w:marLeft w:val="0"/>
              <w:marRight w:val="0"/>
              <w:marTop w:val="0"/>
              <w:marBottom w:val="0"/>
              <w:divBdr>
                <w:top w:val="none" w:sz="0" w:space="0" w:color="auto"/>
                <w:left w:val="none" w:sz="0" w:space="0" w:color="auto"/>
                <w:bottom w:val="none" w:sz="0" w:space="0" w:color="auto"/>
                <w:right w:val="none" w:sz="0" w:space="0" w:color="auto"/>
              </w:divBdr>
              <w:divsChild>
                <w:div w:id="679696737">
                  <w:marLeft w:val="0"/>
                  <w:marRight w:val="0"/>
                  <w:marTop w:val="0"/>
                  <w:marBottom w:val="0"/>
                  <w:divBdr>
                    <w:top w:val="none" w:sz="0" w:space="0" w:color="auto"/>
                    <w:left w:val="none" w:sz="0" w:space="0" w:color="auto"/>
                    <w:bottom w:val="none" w:sz="0" w:space="0" w:color="auto"/>
                    <w:right w:val="none" w:sz="0" w:space="0" w:color="auto"/>
                  </w:divBdr>
                  <w:divsChild>
                    <w:div w:id="679696572">
                      <w:marLeft w:val="0"/>
                      <w:marRight w:val="0"/>
                      <w:marTop w:val="0"/>
                      <w:marBottom w:val="0"/>
                      <w:divBdr>
                        <w:top w:val="none" w:sz="0" w:space="0" w:color="auto"/>
                        <w:left w:val="none" w:sz="0" w:space="0" w:color="auto"/>
                        <w:bottom w:val="none" w:sz="0" w:space="0" w:color="auto"/>
                        <w:right w:val="none" w:sz="0" w:space="0" w:color="auto"/>
                      </w:divBdr>
                      <w:divsChild>
                        <w:div w:id="6796964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32">
      <w:marLeft w:val="0"/>
      <w:marRight w:val="0"/>
      <w:marTop w:val="0"/>
      <w:marBottom w:val="0"/>
      <w:divBdr>
        <w:top w:val="none" w:sz="0" w:space="0" w:color="auto"/>
        <w:left w:val="none" w:sz="0" w:space="0" w:color="auto"/>
        <w:bottom w:val="none" w:sz="0" w:space="0" w:color="auto"/>
        <w:right w:val="none" w:sz="0" w:space="0" w:color="auto"/>
      </w:divBdr>
    </w:div>
    <w:div w:id="679696733">
      <w:marLeft w:val="0"/>
      <w:marRight w:val="0"/>
      <w:marTop w:val="0"/>
      <w:marBottom w:val="0"/>
      <w:divBdr>
        <w:top w:val="none" w:sz="0" w:space="0" w:color="auto"/>
        <w:left w:val="none" w:sz="0" w:space="0" w:color="auto"/>
        <w:bottom w:val="none" w:sz="0" w:space="0" w:color="auto"/>
        <w:right w:val="none" w:sz="0" w:space="0" w:color="auto"/>
      </w:divBdr>
    </w:div>
    <w:div w:id="679696734">
      <w:marLeft w:val="0"/>
      <w:marRight w:val="0"/>
      <w:marTop w:val="0"/>
      <w:marBottom w:val="0"/>
      <w:divBdr>
        <w:top w:val="none" w:sz="0" w:space="0" w:color="auto"/>
        <w:left w:val="none" w:sz="0" w:space="0" w:color="auto"/>
        <w:bottom w:val="none" w:sz="0" w:space="0" w:color="auto"/>
        <w:right w:val="none" w:sz="0" w:space="0" w:color="auto"/>
      </w:divBdr>
      <w:divsChild>
        <w:div w:id="679696469">
          <w:marLeft w:val="0"/>
          <w:marRight w:val="0"/>
          <w:marTop w:val="0"/>
          <w:marBottom w:val="0"/>
          <w:divBdr>
            <w:top w:val="none" w:sz="0" w:space="0" w:color="auto"/>
            <w:left w:val="none" w:sz="0" w:space="0" w:color="auto"/>
            <w:bottom w:val="none" w:sz="0" w:space="0" w:color="auto"/>
            <w:right w:val="none" w:sz="0" w:space="0" w:color="auto"/>
          </w:divBdr>
        </w:div>
      </w:divsChild>
    </w:div>
    <w:div w:id="679696736">
      <w:marLeft w:val="0"/>
      <w:marRight w:val="0"/>
      <w:marTop w:val="0"/>
      <w:marBottom w:val="0"/>
      <w:divBdr>
        <w:top w:val="none" w:sz="0" w:space="0" w:color="auto"/>
        <w:left w:val="none" w:sz="0" w:space="0" w:color="auto"/>
        <w:bottom w:val="none" w:sz="0" w:space="0" w:color="auto"/>
        <w:right w:val="none" w:sz="0" w:space="0" w:color="auto"/>
      </w:divBdr>
    </w:div>
    <w:div w:id="679696738">
      <w:marLeft w:val="0"/>
      <w:marRight w:val="0"/>
      <w:marTop w:val="0"/>
      <w:marBottom w:val="0"/>
      <w:divBdr>
        <w:top w:val="none" w:sz="0" w:space="0" w:color="auto"/>
        <w:left w:val="none" w:sz="0" w:space="0" w:color="auto"/>
        <w:bottom w:val="none" w:sz="0" w:space="0" w:color="auto"/>
        <w:right w:val="none" w:sz="0" w:space="0" w:color="auto"/>
      </w:divBdr>
      <w:divsChild>
        <w:div w:id="679696358">
          <w:marLeft w:val="0"/>
          <w:marRight w:val="0"/>
          <w:marTop w:val="0"/>
          <w:marBottom w:val="0"/>
          <w:divBdr>
            <w:top w:val="none" w:sz="0" w:space="0" w:color="auto"/>
            <w:left w:val="none" w:sz="0" w:space="0" w:color="auto"/>
            <w:bottom w:val="none" w:sz="0" w:space="0" w:color="auto"/>
            <w:right w:val="none" w:sz="0" w:space="0" w:color="auto"/>
          </w:divBdr>
          <w:divsChild>
            <w:div w:id="679696581">
              <w:marLeft w:val="0"/>
              <w:marRight w:val="0"/>
              <w:marTop w:val="0"/>
              <w:marBottom w:val="0"/>
              <w:divBdr>
                <w:top w:val="none" w:sz="0" w:space="0" w:color="auto"/>
                <w:left w:val="none" w:sz="0" w:space="0" w:color="auto"/>
                <w:bottom w:val="none" w:sz="0" w:space="0" w:color="auto"/>
                <w:right w:val="none" w:sz="0" w:space="0" w:color="auto"/>
              </w:divBdr>
              <w:divsChild>
                <w:div w:id="679696382">
                  <w:marLeft w:val="0"/>
                  <w:marRight w:val="0"/>
                  <w:marTop w:val="0"/>
                  <w:marBottom w:val="0"/>
                  <w:divBdr>
                    <w:top w:val="none" w:sz="0" w:space="0" w:color="auto"/>
                    <w:left w:val="none" w:sz="0" w:space="0" w:color="auto"/>
                    <w:bottom w:val="none" w:sz="0" w:space="0" w:color="auto"/>
                    <w:right w:val="none" w:sz="0" w:space="0" w:color="auto"/>
                  </w:divBdr>
                  <w:divsChild>
                    <w:div w:id="679696696">
                      <w:marLeft w:val="0"/>
                      <w:marRight w:val="0"/>
                      <w:marTop w:val="0"/>
                      <w:marBottom w:val="0"/>
                      <w:divBdr>
                        <w:top w:val="none" w:sz="0" w:space="0" w:color="auto"/>
                        <w:left w:val="none" w:sz="0" w:space="0" w:color="auto"/>
                        <w:bottom w:val="none" w:sz="0" w:space="0" w:color="auto"/>
                        <w:right w:val="none" w:sz="0" w:space="0" w:color="auto"/>
                      </w:divBdr>
                      <w:divsChild>
                        <w:div w:id="6796966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40">
      <w:marLeft w:val="0"/>
      <w:marRight w:val="0"/>
      <w:marTop w:val="0"/>
      <w:marBottom w:val="0"/>
      <w:divBdr>
        <w:top w:val="none" w:sz="0" w:space="0" w:color="auto"/>
        <w:left w:val="none" w:sz="0" w:space="0" w:color="auto"/>
        <w:bottom w:val="none" w:sz="0" w:space="0" w:color="auto"/>
        <w:right w:val="none" w:sz="0" w:space="0" w:color="auto"/>
      </w:divBdr>
    </w:div>
    <w:div w:id="679696741">
      <w:marLeft w:val="0"/>
      <w:marRight w:val="0"/>
      <w:marTop w:val="0"/>
      <w:marBottom w:val="0"/>
      <w:divBdr>
        <w:top w:val="none" w:sz="0" w:space="0" w:color="auto"/>
        <w:left w:val="none" w:sz="0" w:space="0" w:color="auto"/>
        <w:bottom w:val="none" w:sz="0" w:space="0" w:color="auto"/>
        <w:right w:val="none" w:sz="0" w:space="0" w:color="auto"/>
      </w:divBdr>
    </w:div>
    <w:div w:id="679696742">
      <w:marLeft w:val="0"/>
      <w:marRight w:val="0"/>
      <w:marTop w:val="0"/>
      <w:marBottom w:val="0"/>
      <w:divBdr>
        <w:top w:val="none" w:sz="0" w:space="0" w:color="auto"/>
        <w:left w:val="none" w:sz="0" w:space="0" w:color="auto"/>
        <w:bottom w:val="none" w:sz="0" w:space="0" w:color="auto"/>
        <w:right w:val="none" w:sz="0" w:space="0" w:color="auto"/>
      </w:divBdr>
    </w:div>
    <w:div w:id="679696743">
      <w:marLeft w:val="0"/>
      <w:marRight w:val="0"/>
      <w:marTop w:val="0"/>
      <w:marBottom w:val="0"/>
      <w:divBdr>
        <w:top w:val="none" w:sz="0" w:space="0" w:color="auto"/>
        <w:left w:val="none" w:sz="0" w:space="0" w:color="auto"/>
        <w:bottom w:val="none" w:sz="0" w:space="0" w:color="auto"/>
        <w:right w:val="none" w:sz="0" w:space="0" w:color="auto"/>
      </w:divBdr>
    </w:div>
    <w:div w:id="679696746">
      <w:marLeft w:val="0"/>
      <w:marRight w:val="0"/>
      <w:marTop w:val="0"/>
      <w:marBottom w:val="0"/>
      <w:divBdr>
        <w:top w:val="none" w:sz="0" w:space="0" w:color="auto"/>
        <w:left w:val="none" w:sz="0" w:space="0" w:color="auto"/>
        <w:bottom w:val="none" w:sz="0" w:space="0" w:color="auto"/>
        <w:right w:val="none" w:sz="0" w:space="0" w:color="auto"/>
      </w:divBdr>
    </w:div>
    <w:div w:id="679696748">
      <w:marLeft w:val="0"/>
      <w:marRight w:val="0"/>
      <w:marTop w:val="0"/>
      <w:marBottom w:val="0"/>
      <w:divBdr>
        <w:top w:val="none" w:sz="0" w:space="0" w:color="auto"/>
        <w:left w:val="none" w:sz="0" w:space="0" w:color="auto"/>
        <w:bottom w:val="none" w:sz="0" w:space="0" w:color="auto"/>
        <w:right w:val="none" w:sz="0" w:space="0" w:color="auto"/>
      </w:divBdr>
    </w:div>
    <w:div w:id="679696750">
      <w:marLeft w:val="0"/>
      <w:marRight w:val="0"/>
      <w:marTop w:val="0"/>
      <w:marBottom w:val="0"/>
      <w:divBdr>
        <w:top w:val="none" w:sz="0" w:space="0" w:color="auto"/>
        <w:left w:val="none" w:sz="0" w:space="0" w:color="auto"/>
        <w:bottom w:val="none" w:sz="0" w:space="0" w:color="auto"/>
        <w:right w:val="none" w:sz="0" w:space="0" w:color="auto"/>
      </w:divBdr>
    </w:div>
    <w:div w:id="679696754">
      <w:marLeft w:val="0"/>
      <w:marRight w:val="0"/>
      <w:marTop w:val="0"/>
      <w:marBottom w:val="0"/>
      <w:divBdr>
        <w:top w:val="none" w:sz="0" w:space="0" w:color="auto"/>
        <w:left w:val="none" w:sz="0" w:space="0" w:color="auto"/>
        <w:bottom w:val="none" w:sz="0" w:space="0" w:color="auto"/>
        <w:right w:val="none" w:sz="0" w:space="0" w:color="auto"/>
      </w:divBdr>
    </w:div>
    <w:div w:id="679696756">
      <w:marLeft w:val="0"/>
      <w:marRight w:val="0"/>
      <w:marTop w:val="0"/>
      <w:marBottom w:val="0"/>
      <w:divBdr>
        <w:top w:val="none" w:sz="0" w:space="0" w:color="auto"/>
        <w:left w:val="none" w:sz="0" w:space="0" w:color="auto"/>
        <w:bottom w:val="none" w:sz="0" w:space="0" w:color="auto"/>
        <w:right w:val="none" w:sz="0" w:space="0" w:color="auto"/>
      </w:divBdr>
      <w:divsChild>
        <w:div w:id="679696419">
          <w:marLeft w:val="0"/>
          <w:marRight w:val="0"/>
          <w:marTop w:val="0"/>
          <w:marBottom w:val="0"/>
          <w:divBdr>
            <w:top w:val="none" w:sz="0" w:space="0" w:color="auto"/>
            <w:left w:val="none" w:sz="0" w:space="0" w:color="auto"/>
            <w:bottom w:val="none" w:sz="0" w:space="0" w:color="auto"/>
            <w:right w:val="none" w:sz="0" w:space="0" w:color="auto"/>
          </w:divBdr>
          <w:divsChild>
            <w:div w:id="679696705">
              <w:marLeft w:val="0"/>
              <w:marRight w:val="0"/>
              <w:marTop w:val="0"/>
              <w:marBottom w:val="0"/>
              <w:divBdr>
                <w:top w:val="none" w:sz="0" w:space="0" w:color="auto"/>
                <w:left w:val="none" w:sz="0" w:space="0" w:color="auto"/>
                <w:bottom w:val="none" w:sz="0" w:space="0" w:color="auto"/>
                <w:right w:val="none" w:sz="0" w:space="0" w:color="auto"/>
              </w:divBdr>
              <w:divsChild>
                <w:div w:id="679696718">
                  <w:marLeft w:val="0"/>
                  <w:marRight w:val="0"/>
                  <w:marTop w:val="0"/>
                  <w:marBottom w:val="0"/>
                  <w:divBdr>
                    <w:top w:val="none" w:sz="0" w:space="0" w:color="auto"/>
                    <w:left w:val="none" w:sz="0" w:space="0" w:color="auto"/>
                    <w:bottom w:val="none" w:sz="0" w:space="0" w:color="auto"/>
                    <w:right w:val="none" w:sz="0" w:space="0" w:color="auto"/>
                  </w:divBdr>
                  <w:divsChild>
                    <w:div w:id="679696547">
                      <w:marLeft w:val="0"/>
                      <w:marRight w:val="0"/>
                      <w:marTop w:val="0"/>
                      <w:marBottom w:val="0"/>
                      <w:divBdr>
                        <w:top w:val="none" w:sz="0" w:space="0" w:color="auto"/>
                        <w:left w:val="none" w:sz="0" w:space="0" w:color="auto"/>
                        <w:bottom w:val="none" w:sz="0" w:space="0" w:color="auto"/>
                        <w:right w:val="none" w:sz="0" w:space="0" w:color="auto"/>
                      </w:divBdr>
                      <w:divsChild>
                        <w:div w:id="6796964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57">
      <w:marLeft w:val="0"/>
      <w:marRight w:val="0"/>
      <w:marTop w:val="0"/>
      <w:marBottom w:val="0"/>
      <w:divBdr>
        <w:top w:val="none" w:sz="0" w:space="0" w:color="auto"/>
        <w:left w:val="none" w:sz="0" w:space="0" w:color="auto"/>
        <w:bottom w:val="none" w:sz="0" w:space="0" w:color="auto"/>
        <w:right w:val="none" w:sz="0" w:space="0" w:color="auto"/>
      </w:divBdr>
    </w:div>
    <w:div w:id="679696758">
      <w:marLeft w:val="0"/>
      <w:marRight w:val="0"/>
      <w:marTop w:val="0"/>
      <w:marBottom w:val="0"/>
      <w:divBdr>
        <w:top w:val="none" w:sz="0" w:space="0" w:color="auto"/>
        <w:left w:val="none" w:sz="0" w:space="0" w:color="auto"/>
        <w:bottom w:val="none" w:sz="0" w:space="0" w:color="auto"/>
        <w:right w:val="none" w:sz="0" w:space="0" w:color="auto"/>
      </w:divBdr>
    </w:div>
    <w:div w:id="679696759">
      <w:marLeft w:val="0"/>
      <w:marRight w:val="0"/>
      <w:marTop w:val="0"/>
      <w:marBottom w:val="0"/>
      <w:divBdr>
        <w:top w:val="none" w:sz="0" w:space="0" w:color="auto"/>
        <w:left w:val="none" w:sz="0" w:space="0" w:color="auto"/>
        <w:bottom w:val="none" w:sz="0" w:space="0" w:color="auto"/>
        <w:right w:val="none" w:sz="0" w:space="0" w:color="auto"/>
      </w:divBdr>
    </w:div>
    <w:div w:id="679696760">
      <w:marLeft w:val="0"/>
      <w:marRight w:val="0"/>
      <w:marTop w:val="0"/>
      <w:marBottom w:val="0"/>
      <w:divBdr>
        <w:top w:val="none" w:sz="0" w:space="0" w:color="auto"/>
        <w:left w:val="none" w:sz="0" w:space="0" w:color="auto"/>
        <w:bottom w:val="none" w:sz="0" w:space="0" w:color="auto"/>
        <w:right w:val="none" w:sz="0" w:space="0" w:color="auto"/>
      </w:divBdr>
    </w:div>
    <w:div w:id="679696761">
      <w:marLeft w:val="0"/>
      <w:marRight w:val="0"/>
      <w:marTop w:val="0"/>
      <w:marBottom w:val="0"/>
      <w:divBdr>
        <w:top w:val="none" w:sz="0" w:space="0" w:color="auto"/>
        <w:left w:val="none" w:sz="0" w:space="0" w:color="auto"/>
        <w:bottom w:val="none" w:sz="0" w:space="0" w:color="auto"/>
        <w:right w:val="none" w:sz="0" w:space="0" w:color="auto"/>
      </w:divBdr>
    </w:div>
    <w:div w:id="679696762">
      <w:marLeft w:val="0"/>
      <w:marRight w:val="0"/>
      <w:marTop w:val="0"/>
      <w:marBottom w:val="0"/>
      <w:divBdr>
        <w:top w:val="none" w:sz="0" w:space="0" w:color="auto"/>
        <w:left w:val="none" w:sz="0" w:space="0" w:color="auto"/>
        <w:bottom w:val="none" w:sz="0" w:space="0" w:color="auto"/>
        <w:right w:val="none" w:sz="0" w:space="0" w:color="auto"/>
      </w:divBdr>
    </w:div>
    <w:div w:id="679696763">
      <w:marLeft w:val="0"/>
      <w:marRight w:val="0"/>
      <w:marTop w:val="0"/>
      <w:marBottom w:val="0"/>
      <w:divBdr>
        <w:top w:val="none" w:sz="0" w:space="0" w:color="auto"/>
        <w:left w:val="none" w:sz="0" w:space="0" w:color="auto"/>
        <w:bottom w:val="none" w:sz="0" w:space="0" w:color="auto"/>
        <w:right w:val="none" w:sz="0" w:space="0" w:color="auto"/>
      </w:divBdr>
    </w:div>
    <w:div w:id="679696765">
      <w:marLeft w:val="0"/>
      <w:marRight w:val="0"/>
      <w:marTop w:val="0"/>
      <w:marBottom w:val="0"/>
      <w:divBdr>
        <w:top w:val="none" w:sz="0" w:space="0" w:color="auto"/>
        <w:left w:val="none" w:sz="0" w:space="0" w:color="auto"/>
        <w:bottom w:val="none" w:sz="0" w:space="0" w:color="auto"/>
        <w:right w:val="none" w:sz="0" w:space="0" w:color="auto"/>
      </w:divBdr>
    </w:div>
    <w:div w:id="679696766">
      <w:marLeft w:val="0"/>
      <w:marRight w:val="0"/>
      <w:marTop w:val="0"/>
      <w:marBottom w:val="0"/>
      <w:divBdr>
        <w:top w:val="none" w:sz="0" w:space="0" w:color="auto"/>
        <w:left w:val="none" w:sz="0" w:space="0" w:color="auto"/>
        <w:bottom w:val="none" w:sz="0" w:space="0" w:color="auto"/>
        <w:right w:val="none" w:sz="0" w:space="0" w:color="auto"/>
      </w:divBdr>
    </w:div>
    <w:div w:id="679696769">
      <w:marLeft w:val="0"/>
      <w:marRight w:val="0"/>
      <w:marTop w:val="0"/>
      <w:marBottom w:val="0"/>
      <w:divBdr>
        <w:top w:val="none" w:sz="0" w:space="0" w:color="auto"/>
        <w:left w:val="none" w:sz="0" w:space="0" w:color="auto"/>
        <w:bottom w:val="none" w:sz="0" w:space="0" w:color="auto"/>
        <w:right w:val="none" w:sz="0" w:space="0" w:color="auto"/>
      </w:divBdr>
    </w:div>
    <w:div w:id="683937760">
      <w:bodyDiv w:val="1"/>
      <w:marLeft w:val="0"/>
      <w:marRight w:val="0"/>
      <w:marTop w:val="0"/>
      <w:marBottom w:val="0"/>
      <w:divBdr>
        <w:top w:val="none" w:sz="0" w:space="0" w:color="auto"/>
        <w:left w:val="none" w:sz="0" w:space="0" w:color="auto"/>
        <w:bottom w:val="none" w:sz="0" w:space="0" w:color="auto"/>
        <w:right w:val="none" w:sz="0" w:space="0" w:color="auto"/>
      </w:divBdr>
    </w:div>
    <w:div w:id="701251925">
      <w:bodyDiv w:val="1"/>
      <w:marLeft w:val="0"/>
      <w:marRight w:val="0"/>
      <w:marTop w:val="0"/>
      <w:marBottom w:val="0"/>
      <w:divBdr>
        <w:top w:val="none" w:sz="0" w:space="0" w:color="auto"/>
        <w:left w:val="none" w:sz="0" w:space="0" w:color="auto"/>
        <w:bottom w:val="none" w:sz="0" w:space="0" w:color="auto"/>
        <w:right w:val="none" w:sz="0" w:space="0" w:color="auto"/>
      </w:divBdr>
    </w:div>
    <w:div w:id="716589307">
      <w:bodyDiv w:val="1"/>
      <w:marLeft w:val="0"/>
      <w:marRight w:val="0"/>
      <w:marTop w:val="0"/>
      <w:marBottom w:val="0"/>
      <w:divBdr>
        <w:top w:val="none" w:sz="0" w:space="0" w:color="auto"/>
        <w:left w:val="none" w:sz="0" w:space="0" w:color="auto"/>
        <w:bottom w:val="none" w:sz="0" w:space="0" w:color="auto"/>
        <w:right w:val="none" w:sz="0" w:space="0" w:color="auto"/>
      </w:divBdr>
    </w:div>
    <w:div w:id="723331576">
      <w:bodyDiv w:val="1"/>
      <w:marLeft w:val="0"/>
      <w:marRight w:val="0"/>
      <w:marTop w:val="0"/>
      <w:marBottom w:val="0"/>
      <w:divBdr>
        <w:top w:val="none" w:sz="0" w:space="0" w:color="auto"/>
        <w:left w:val="none" w:sz="0" w:space="0" w:color="auto"/>
        <w:bottom w:val="none" w:sz="0" w:space="0" w:color="auto"/>
        <w:right w:val="none" w:sz="0" w:space="0" w:color="auto"/>
      </w:divBdr>
      <w:divsChild>
        <w:div w:id="1355381296">
          <w:marLeft w:val="0"/>
          <w:marRight w:val="0"/>
          <w:marTop w:val="0"/>
          <w:marBottom w:val="0"/>
          <w:divBdr>
            <w:top w:val="none" w:sz="0" w:space="0" w:color="auto"/>
            <w:left w:val="none" w:sz="0" w:space="0" w:color="auto"/>
            <w:bottom w:val="none" w:sz="0" w:space="0" w:color="auto"/>
            <w:right w:val="none" w:sz="0" w:space="0" w:color="auto"/>
          </w:divBdr>
          <w:divsChild>
            <w:div w:id="383070624">
              <w:marLeft w:val="0"/>
              <w:marRight w:val="0"/>
              <w:marTop w:val="0"/>
              <w:marBottom w:val="0"/>
              <w:divBdr>
                <w:top w:val="none" w:sz="0" w:space="0" w:color="auto"/>
                <w:left w:val="none" w:sz="0" w:space="0" w:color="auto"/>
                <w:bottom w:val="none" w:sz="0" w:space="0" w:color="auto"/>
                <w:right w:val="none" w:sz="0" w:space="0" w:color="auto"/>
              </w:divBdr>
              <w:divsChild>
                <w:div w:id="1705059788">
                  <w:marLeft w:val="0"/>
                  <w:marRight w:val="0"/>
                  <w:marTop w:val="0"/>
                  <w:marBottom w:val="0"/>
                  <w:divBdr>
                    <w:top w:val="none" w:sz="0" w:space="0" w:color="auto"/>
                    <w:left w:val="none" w:sz="0" w:space="0" w:color="auto"/>
                    <w:bottom w:val="none" w:sz="0" w:space="0" w:color="auto"/>
                    <w:right w:val="none" w:sz="0" w:space="0" w:color="auto"/>
                  </w:divBdr>
                  <w:divsChild>
                    <w:div w:id="1816868220">
                      <w:marLeft w:val="0"/>
                      <w:marRight w:val="0"/>
                      <w:marTop w:val="0"/>
                      <w:marBottom w:val="0"/>
                      <w:divBdr>
                        <w:top w:val="none" w:sz="0" w:space="0" w:color="auto"/>
                        <w:left w:val="none" w:sz="0" w:space="0" w:color="auto"/>
                        <w:bottom w:val="none" w:sz="0" w:space="0" w:color="auto"/>
                        <w:right w:val="none" w:sz="0" w:space="0" w:color="auto"/>
                      </w:divBdr>
                      <w:divsChild>
                        <w:div w:id="1165558020">
                          <w:marLeft w:val="0"/>
                          <w:marRight w:val="0"/>
                          <w:marTop w:val="0"/>
                          <w:marBottom w:val="0"/>
                          <w:divBdr>
                            <w:top w:val="none" w:sz="0" w:space="0" w:color="auto"/>
                            <w:left w:val="none" w:sz="0" w:space="0" w:color="auto"/>
                            <w:bottom w:val="none" w:sz="0" w:space="0" w:color="auto"/>
                            <w:right w:val="none" w:sz="0" w:space="0" w:color="auto"/>
                          </w:divBdr>
                          <w:divsChild>
                            <w:div w:id="17515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387323">
      <w:bodyDiv w:val="1"/>
      <w:marLeft w:val="0"/>
      <w:marRight w:val="0"/>
      <w:marTop w:val="0"/>
      <w:marBottom w:val="0"/>
      <w:divBdr>
        <w:top w:val="none" w:sz="0" w:space="0" w:color="auto"/>
        <w:left w:val="none" w:sz="0" w:space="0" w:color="auto"/>
        <w:bottom w:val="none" w:sz="0" w:space="0" w:color="auto"/>
        <w:right w:val="none" w:sz="0" w:space="0" w:color="auto"/>
      </w:divBdr>
      <w:divsChild>
        <w:div w:id="1694652650">
          <w:marLeft w:val="0"/>
          <w:marRight w:val="0"/>
          <w:marTop w:val="0"/>
          <w:marBottom w:val="0"/>
          <w:divBdr>
            <w:top w:val="none" w:sz="0" w:space="0" w:color="auto"/>
            <w:left w:val="none" w:sz="0" w:space="0" w:color="auto"/>
            <w:bottom w:val="none" w:sz="0" w:space="0" w:color="auto"/>
            <w:right w:val="none" w:sz="0" w:space="0" w:color="auto"/>
          </w:divBdr>
          <w:divsChild>
            <w:div w:id="1036350581">
              <w:marLeft w:val="0"/>
              <w:marRight w:val="0"/>
              <w:marTop w:val="0"/>
              <w:marBottom w:val="0"/>
              <w:divBdr>
                <w:top w:val="none" w:sz="0" w:space="0" w:color="auto"/>
                <w:left w:val="none" w:sz="0" w:space="0" w:color="auto"/>
                <w:bottom w:val="none" w:sz="0" w:space="0" w:color="auto"/>
                <w:right w:val="none" w:sz="0" w:space="0" w:color="auto"/>
              </w:divBdr>
              <w:divsChild>
                <w:div w:id="53816865">
                  <w:marLeft w:val="0"/>
                  <w:marRight w:val="0"/>
                  <w:marTop w:val="0"/>
                  <w:marBottom w:val="0"/>
                  <w:divBdr>
                    <w:top w:val="none" w:sz="0" w:space="0" w:color="auto"/>
                    <w:left w:val="none" w:sz="0" w:space="0" w:color="auto"/>
                    <w:bottom w:val="none" w:sz="0" w:space="0" w:color="auto"/>
                    <w:right w:val="none" w:sz="0" w:space="0" w:color="auto"/>
                  </w:divBdr>
                  <w:divsChild>
                    <w:div w:id="983505051">
                      <w:marLeft w:val="0"/>
                      <w:marRight w:val="0"/>
                      <w:marTop w:val="0"/>
                      <w:marBottom w:val="0"/>
                      <w:divBdr>
                        <w:top w:val="none" w:sz="0" w:space="0" w:color="auto"/>
                        <w:left w:val="none" w:sz="0" w:space="0" w:color="auto"/>
                        <w:bottom w:val="none" w:sz="0" w:space="0" w:color="auto"/>
                        <w:right w:val="none" w:sz="0" w:space="0" w:color="auto"/>
                      </w:divBdr>
                      <w:divsChild>
                        <w:div w:id="1368482180">
                          <w:marLeft w:val="0"/>
                          <w:marRight w:val="0"/>
                          <w:marTop w:val="0"/>
                          <w:marBottom w:val="0"/>
                          <w:divBdr>
                            <w:top w:val="none" w:sz="0" w:space="0" w:color="auto"/>
                            <w:left w:val="none" w:sz="0" w:space="0" w:color="auto"/>
                            <w:bottom w:val="none" w:sz="0" w:space="0" w:color="auto"/>
                            <w:right w:val="none" w:sz="0" w:space="0" w:color="auto"/>
                          </w:divBdr>
                          <w:divsChild>
                            <w:div w:id="31176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472721">
      <w:bodyDiv w:val="1"/>
      <w:marLeft w:val="0"/>
      <w:marRight w:val="0"/>
      <w:marTop w:val="0"/>
      <w:marBottom w:val="0"/>
      <w:divBdr>
        <w:top w:val="none" w:sz="0" w:space="0" w:color="auto"/>
        <w:left w:val="none" w:sz="0" w:space="0" w:color="auto"/>
        <w:bottom w:val="none" w:sz="0" w:space="0" w:color="auto"/>
        <w:right w:val="none" w:sz="0" w:space="0" w:color="auto"/>
      </w:divBdr>
      <w:divsChild>
        <w:div w:id="729380253">
          <w:marLeft w:val="0"/>
          <w:marRight w:val="0"/>
          <w:marTop w:val="0"/>
          <w:marBottom w:val="0"/>
          <w:divBdr>
            <w:top w:val="none" w:sz="0" w:space="0" w:color="auto"/>
            <w:left w:val="none" w:sz="0" w:space="0" w:color="auto"/>
            <w:bottom w:val="none" w:sz="0" w:space="0" w:color="auto"/>
            <w:right w:val="none" w:sz="0" w:space="0" w:color="auto"/>
          </w:divBdr>
          <w:divsChild>
            <w:div w:id="1720086350">
              <w:marLeft w:val="0"/>
              <w:marRight w:val="0"/>
              <w:marTop w:val="0"/>
              <w:marBottom w:val="0"/>
              <w:divBdr>
                <w:top w:val="none" w:sz="0" w:space="0" w:color="auto"/>
                <w:left w:val="none" w:sz="0" w:space="0" w:color="auto"/>
                <w:bottom w:val="none" w:sz="0" w:space="0" w:color="auto"/>
                <w:right w:val="none" w:sz="0" w:space="0" w:color="auto"/>
              </w:divBdr>
              <w:divsChild>
                <w:div w:id="523642158">
                  <w:marLeft w:val="0"/>
                  <w:marRight w:val="0"/>
                  <w:marTop w:val="0"/>
                  <w:marBottom w:val="0"/>
                  <w:divBdr>
                    <w:top w:val="none" w:sz="0" w:space="0" w:color="auto"/>
                    <w:left w:val="none" w:sz="0" w:space="0" w:color="auto"/>
                    <w:bottom w:val="none" w:sz="0" w:space="0" w:color="auto"/>
                    <w:right w:val="none" w:sz="0" w:space="0" w:color="auto"/>
                  </w:divBdr>
                  <w:divsChild>
                    <w:div w:id="283734201">
                      <w:marLeft w:val="0"/>
                      <w:marRight w:val="0"/>
                      <w:marTop w:val="0"/>
                      <w:marBottom w:val="0"/>
                      <w:divBdr>
                        <w:top w:val="none" w:sz="0" w:space="0" w:color="auto"/>
                        <w:left w:val="none" w:sz="0" w:space="0" w:color="auto"/>
                        <w:bottom w:val="none" w:sz="0" w:space="0" w:color="auto"/>
                        <w:right w:val="none" w:sz="0" w:space="0" w:color="auto"/>
                      </w:divBdr>
                      <w:divsChild>
                        <w:div w:id="406656315">
                          <w:marLeft w:val="0"/>
                          <w:marRight w:val="0"/>
                          <w:marTop w:val="0"/>
                          <w:marBottom w:val="0"/>
                          <w:divBdr>
                            <w:top w:val="none" w:sz="0" w:space="0" w:color="auto"/>
                            <w:left w:val="none" w:sz="0" w:space="0" w:color="auto"/>
                            <w:bottom w:val="none" w:sz="0" w:space="0" w:color="auto"/>
                            <w:right w:val="none" w:sz="0" w:space="0" w:color="auto"/>
                          </w:divBdr>
                          <w:divsChild>
                            <w:div w:id="4221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052216">
      <w:bodyDiv w:val="1"/>
      <w:marLeft w:val="0"/>
      <w:marRight w:val="0"/>
      <w:marTop w:val="0"/>
      <w:marBottom w:val="0"/>
      <w:divBdr>
        <w:top w:val="none" w:sz="0" w:space="0" w:color="auto"/>
        <w:left w:val="none" w:sz="0" w:space="0" w:color="auto"/>
        <w:bottom w:val="none" w:sz="0" w:space="0" w:color="auto"/>
        <w:right w:val="none" w:sz="0" w:space="0" w:color="auto"/>
      </w:divBdr>
    </w:div>
    <w:div w:id="770665893">
      <w:bodyDiv w:val="1"/>
      <w:marLeft w:val="0"/>
      <w:marRight w:val="0"/>
      <w:marTop w:val="0"/>
      <w:marBottom w:val="0"/>
      <w:divBdr>
        <w:top w:val="none" w:sz="0" w:space="0" w:color="auto"/>
        <w:left w:val="none" w:sz="0" w:space="0" w:color="auto"/>
        <w:bottom w:val="none" w:sz="0" w:space="0" w:color="auto"/>
        <w:right w:val="none" w:sz="0" w:space="0" w:color="auto"/>
      </w:divBdr>
    </w:div>
    <w:div w:id="774442493">
      <w:bodyDiv w:val="1"/>
      <w:marLeft w:val="0"/>
      <w:marRight w:val="0"/>
      <w:marTop w:val="0"/>
      <w:marBottom w:val="0"/>
      <w:divBdr>
        <w:top w:val="none" w:sz="0" w:space="0" w:color="auto"/>
        <w:left w:val="none" w:sz="0" w:space="0" w:color="auto"/>
        <w:bottom w:val="none" w:sz="0" w:space="0" w:color="auto"/>
        <w:right w:val="none" w:sz="0" w:space="0" w:color="auto"/>
      </w:divBdr>
    </w:div>
    <w:div w:id="778641517">
      <w:bodyDiv w:val="1"/>
      <w:marLeft w:val="0"/>
      <w:marRight w:val="0"/>
      <w:marTop w:val="0"/>
      <w:marBottom w:val="0"/>
      <w:divBdr>
        <w:top w:val="none" w:sz="0" w:space="0" w:color="auto"/>
        <w:left w:val="none" w:sz="0" w:space="0" w:color="auto"/>
        <w:bottom w:val="none" w:sz="0" w:space="0" w:color="auto"/>
        <w:right w:val="none" w:sz="0" w:space="0" w:color="auto"/>
      </w:divBdr>
    </w:div>
    <w:div w:id="783579543">
      <w:bodyDiv w:val="1"/>
      <w:marLeft w:val="0"/>
      <w:marRight w:val="0"/>
      <w:marTop w:val="0"/>
      <w:marBottom w:val="0"/>
      <w:divBdr>
        <w:top w:val="none" w:sz="0" w:space="0" w:color="auto"/>
        <w:left w:val="none" w:sz="0" w:space="0" w:color="auto"/>
        <w:bottom w:val="none" w:sz="0" w:space="0" w:color="auto"/>
        <w:right w:val="none" w:sz="0" w:space="0" w:color="auto"/>
      </w:divBdr>
    </w:div>
    <w:div w:id="786118618">
      <w:bodyDiv w:val="1"/>
      <w:marLeft w:val="0"/>
      <w:marRight w:val="0"/>
      <w:marTop w:val="0"/>
      <w:marBottom w:val="0"/>
      <w:divBdr>
        <w:top w:val="none" w:sz="0" w:space="0" w:color="auto"/>
        <w:left w:val="none" w:sz="0" w:space="0" w:color="auto"/>
        <w:bottom w:val="none" w:sz="0" w:space="0" w:color="auto"/>
        <w:right w:val="none" w:sz="0" w:space="0" w:color="auto"/>
      </w:divBdr>
    </w:div>
    <w:div w:id="789710765">
      <w:bodyDiv w:val="1"/>
      <w:marLeft w:val="0"/>
      <w:marRight w:val="0"/>
      <w:marTop w:val="0"/>
      <w:marBottom w:val="0"/>
      <w:divBdr>
        <w:top w:val="none" w:sz="0" w:space="0" w:color="auto"/>
        <w:left w:val="none" w:sz="0" w:space="0" w:color="auto"/>
        <w:bottom w:val="none" w:sz="0" w:space="0" w:color="auto"/>
        <w:right w:val="none" w:sz="0" w:space="0" w:color="auto"/>
      </w:divBdr>
    </w:div>
    <w:div w:id="796683024">
      <w:bodyDiv w:val="1"/>
      <w:marLeft w:val="0"/>
      <w:marRight w:val="0"/>
      <w:marTop w:val="0"/>
      <w:marBottom w:val="0"/>
      <w:divBdr>
        <w:top w:val="none" w:sz="0" w:space="0" w:color="auto"/>
        <w:left w:val="none" w:sz="0" w:space="0" w:color="auto"/>
        <w:bottom w:val="none" w:sz="0" w:space="0" w:color="auto"/>
        <w:right w:val="none" w:sz="0" w:space="0" w:color="auto"/>
      </w:divBdr>
    </w:div>
    <w:div w:id="807698379">
      <w:bodyDiv w:val="1"/>
      <w:marLeft w:val="0"/>
      <w:marRight w:val="0"/>
      <w:marTop w:val="0"/>
      <w:marBottom w:val="0"/>
      <w:divBdr>
        <w:top w:val="none" w:sz="0" w:space="0" w:color="auto"/>
        <w:left w:val="none" w:sz="0" w:space="0" w:color="auto"/>
        <w:bottom w:val="none" w:sz="0" w:space="0" w:color="auto"/>
        <w:right w:val="none" w:sz="0" w:space="0" w:color="auto"/>
      </w:divBdr>
      <w:divsChild>
        <w:div w:id="805512309">
          <w:marLeft w:val="0"/>
          <w:marRight w:val="0"/>
          <w:marTop w:val="0"/>
          <w:marBottom w:val="0"/>
          <w:divBdr>
            <w:top w:val="none" w:sz="0" w:space="0" w:color="auto"/>
            <w:left w:val="none" w:sz="0" w:space="0" w:color="auto"/>
            <w:bottom w:val="none" w:sz="0" w:space="0" w:color="auto"/>
            <w:right w:val="none" w:sz="0" w:space="0" w:color="auto"/>
          </w:divBdr>
          <w:divsChild>
            <w:div w:id="1572235943">
              <w:marLeft w:val="0"/>
              <w:marRight w:val="0"/>
              <w:marTop w:val="0"/>
              <w:marBottom w:val="0"/>
              <w:divBdr>
                <w:top w:val="none" w:sz="0" w:space="0" w:color="auto"/>
                <w:left w:val="none" w:sz="0" w:space="0" w:color="auto"/>
                <w:bottom w:val="none" w:sz="0" w:space="0" w:color="auto"/>
                <w:right w:val="none" w:sz="0" w:space="0" w:color="auto"/>
              </w:divBdr>
              <w:divsChild>
                <w:div w:id="2137915735">
                  <w:marLeft w:val="0"/>
                  <w:marRight w:val="0"/>
                  <w:marTop w:val="0"/>
                  <w:marBottom w:val="0"/>
                  <w:divBdr>
                    <w:top w:val="none" w:sz="0" w:space="0" w:color="auto"/>
                    <w:left w:val="none" w:sz="0" w:space="0" w:color="auto"/>
                    <w:bottom w:val="none" w:sz="0" w:space="0" w:color="auto"/>
                    <w:right w:val="none" w:sz="0" w:space="0" w:color="auto"/>
                  </w:divBdr>
                  <w:divsChild>
                    <w:div w:id="225535377">
                      <w:marLeft w:val="0"/>
                      <w:marRight w:val="0"/>
                      <w:marTop w:val="0"/>
                      <w:marBottom w:val="0"/>
                      <w:divBdr>
                        <w:top w:val="none" w:sz="0" w:space="0" w:color="auto"/>
                        <w:left w:val="none" w:sz="0" w:space="0" w:color="auto"/>
                        <w:bottom w:val="none" w:sz="0" w:space="0" w:color="auto"/>
                        <w:right w:val="none" w:sz="0" w:space="0" w:color="auto"/>
                      </w:divBdr>
                      <w:divsChild>
                        <w:div w:id="699474867">
                          <w:marLeft w:val="0"/>
                          <w:marRight w:val="0"/>
                          <w:marTop w:val="0"/>
                          <w:marBottom w:val="0"/>
                          <w:divBdr>
                            <w:top w:val="none" w:sz="0" w:space="0" w:color="auto"/>
                            <w:left w:val="none" w:sz="0" w:space="0" w:color="auto"/>
                            <w:bottom w:val="none" w:sz="0" w:space="0" w:color="auto"/>
                            <w:right w:val="none" w:sz="0" w:space="0" w:color="auto"/>
                          </w:divBdr>
                          <w:divsChild>
                            <w:div w:id="96928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023418">
      <w:bodyDiv w:val="1"/>
      <w:marLeft w:val="0"/>
      <w:marRight w:val="0"/>
      <w:marTop w:val="0"/>
      <w:marBottom w:val="0"/>
      <w:divBdr>
        <w:top w:val="none" w:sz="0" w:space="0" w:color="auto"/>
        <w:left w:val="none" w:sz="0" w:space="0" w:color="auto"/>
        <w:bottom w:val="none" w:sz="0" w:space="0" w:color="auto"/>
        <w:right w:val="none" w:sz="0" w:space="0" w:color="auto"/>
      </w:divBdr>
    </w:div>
    <w:div w:id="816386173">
      <w:bodyDiv w:val="1"/>
      <w:marLeft w:val="0"/>
      <w:marRight w:val="0"/>
      <w:marTop w:val="0"/>
      <w:marBottom w:val="0"/>
      <w:divBdr>
        <w:top w:val="none" w:sz="0" w:space="0" w:color="auto"/>
        <w:left w:val="none" w:sz="0" w:space="0" w:color="auto"/>
        <w:bottom w:val="none" w:sz="0" w:space="0" w:color="auto"/>
        <w:right w:val="none" w:sz="0" w:space="0" w:color="auto"/>
      </w:divBdr>
    </w:div>
    <w:div w:id="821042717">
      <w:bodyDiv w:val="1"/>
      <w:marLeft w:val="0"/>
      <w:marRight w:val="0"/>
      <w:marTop w:val="0"/>
      <w:marBottom w:val="0"/>
      <w:divBdr>
        <w:top w:val="none" w:sz="0" w:space="0" w:color="auto"/>
        <w:left w:val="none" w:sz="0" w:space="0" w:color="auto"/>
        <w:bottom w:val="none" w:sz="0" w:space="0" w:color="auto"/>
        <w:right w:val="none" w:sz="0" w:space="0" w:color="auto"/>
      </w:divBdr>
    </w:div>
    <w:div w:id="839930609">
      <w:bodyDiv w:val="1"/>
      <w:marLeft w:val="0"/>
      <w:marRight w:val="0"/>
      <w:marTop w:val="0"/>
      <w:marBottom w:val="0"/>
      <w:divBdr>
        <w:top w:val="none" w:sz="0" w:space="0" w:color="auto"/>
        <w:left w:val="none" w:sz="0" w:space="0" w:color="auto"/>
        <w:bottom w:val="none" w:sz="0" w:space="0" w:color="auto"/>
        <w:right w:val="none" w:sz="0" w:space="0" w:color="auto"/>
      </w:divBdr>
    </w:div>
    <w:div w:id="845436628">
      <w:bodyDiv w:val="1"/>
      <w:marLeft w:val="0"/>
      <w:marRight w:val="0"/>
      <w:marTop w:val="0"/>
      <w:marBottom w:val="0"/>
      <w:divBdr>
        <w:top w:val="none" w:sz="0" w:space="0" w:color="auto"/>
        <w:left w:val="none" w:sz="0" w:space="0" w:color="auto"/>
        <w:bottom w:val="none" w:sz="0" w:space="0" w:color="auto"/>
        <w:right w:val="none" w:sz="0" w:space="0" w:color="auto"/>
      </w:divBdr>
      <w:divsChild>
        <w:div w:id="669990430">
          <w:marLeft w:val="0"/>
          <w:marRight w:val="0"/>
          <w:marTop w:val="0"/>
          <w:marBottom w:val="0"/>
          <w:divBdr>
            <w:top w:val="none" w:sz="0" w:space="0" w:color="auto"/>
            <w:left w:val="none" w:sz="0" w:space="0" w:color="auto"/>
            <w:bottom w:val="none" w:sz="0" w:space="0" w:color="auto"/>
            <w:right w:val="none" w:sz="0" w:space="0" w:color="auto"/>
          </w:divBdr>
          <w:divsChild>
            <w:div w:id="2078820518">
              <w:marLeft w:val="0"/>
              <w:marRight w:val="0"/>
              <w:marTop w:val="0"/>
              <w:marBottom w:val="0"/>
              <w:divBdr>
                <w:top w:val="none" w:sz="0" w:space="0" w:color="auto"/>
                <w:left w:val="none" w:sz="0" w:space="0" w:color="auto"/>
                <w:bottom w:val="none" w:sz="0" w:space="0" w:color="auto"/>
                <w:right w:val="none" w:sz="0" w:space="0" w:color="auto"/>
              </w:divBdr>
              <w:divsChild>
                <w:div w:id="1603957558">
                  <w:marLeft w:val="0"/>
                  <w:marRight w:val="0"/>
                  <w:marTop w:val="0"/>
                  <w:marBottom w:val="0"/>
                  <w:divBdr>
                    <w:top w:val="none" w:sz="0" w:space="0" w:color="auto"/>
                    <w:left w:val="none" w:sz="0" w:space="0" w:color="auto"/>
                    <w:bottom w:val="none" w:sz="0" w:space="0" w:color="auto"/>
                    <w:right w:val="none" w:sz="0" w:space="0" w:color="auto"/>
                  </w:divBdr>
                  <w:divsChild>
                    <w:div w:id="754284515">
                      <w:marLeft w:val="0"/>
                      <w:marRight w:val="0"/>
                      <w:marTop w:val="0"/>
                      <w:marBottom w:val="0"/>
                      <w:divBdr>
                        <w:top w:val="none" w:sz="0" w:space="0" w:color="auto"/>
                        <w:left w:val="none" w:sz="0" w:space="0" w:color="auto"/>
                        <w:bottom w:val="none" w:sz="0" w:space="0" w:color="auto"/>
                        <w:right w:val="none" w:sz="0" w:space="0" w:color="auto"/>
                      </w:divBdr>
                      <w:divsChild>
                        <w:div w:id="384530909">
                          <w:marLeft w:val="0"/>
                          <w:marRight w:val="0"/>
                          <w:marTop w:val="0"/>
                          <w:marBottom w:val="0"/>
                          <w:divBdr>
                            <w:top w:val="none" w:sz="0" w:space="0" w:color="auto"/>
                            <w:left w:val="none" w:sz="0" w:space="0" w:color="auto"/>
                            <w:bottom w:val="none" w:sz="0" w:space="0" w:color="auto"/>
                            <w:right w:val="none" w:sz="0" w:space="0" w:color="auto"/>
                          </w:divBdr>
                          <w:divsChild>
                            <w:div w:id="62353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230745">
      <w:bodyDiv w:val="1"/>
      <w:marLeft w:val="0"/>
      <w:marRight w:val="0"/>
      <w:marTop w:val="0"/>
      <w:marBottom w:val="0"/>
      <w:divBdr>
        <w:top w:val="none" w:sz="0" w:space="0" w:color="auto"/>
        <w:left w:val="none" w:sz="0" w:space="0" w:color="auto"/>
        <w:bottom w:val="none" w:sz="0" w:space="0" w:color="auto"/>
        <w:right w:val="none" w:sz="0" w:space="0" w:color="auto"/>
      </w:divBdr>
    </w:div>
    <w:div w:id="854802791">
      <w:bodyDiv w:val="1"/>
      <w:marLeft w:val="0"/>
      <w:marRight w:val="0"/>
      <w:marTop w:val="0"/>
      <w:marBottom w:val="0"/>
      <w:divBdr>
        <w:top w:val="none" w:sz="0" w:space="0" w:color="auto"/>
        <w:left w:val="none" w:sz="0" w:space="0" w:color="auto"/>
        <w:bottom w:val="none" w:sz="0" w:space="0" w:color="auto"/>
        <w:right w:val="none" w:sz="0" w:space="0" w:color="auto"/>
      </w:divBdr>
      <w:divsChild>
        <w:div w:id="173761394">
          <w:marLeft w:val="0"/>
          <w:marRight w:val="0"/>
          <w:marTop w:val="0"/>
          <w:marBottom w:val="0"/>
          <w:divBdr>
            <w:top w:val="none" w:sz="0" w:space="0" w:color="auto"/>
            <w:left w:val="none" w:sz="0" w:space="0" w:color="auto"/>
            <w:bottom w:val="none" w:sz="0" w:space="0" w:color="auto"/>
            <w:right w:val="none" w:sz="0" w:space="0" w:color="auto"/>
          </w:divBdr>
          <w:divsChild>
            <w:div w:id="1747605407">
              <w:marLeft w:val="0"/>
              <w:marRight w:val="0"/>
              <w:marTop w:val="0"/>
              <w:marBottom w:val="0"/>
              <w:divBdr>
                <w:top w:val="none" w:sz="0" w:space="0" w:color="auto"/>
                <w:left w:val="none" w:sz="0" w:space="0" w:color="auto"/>
                <w:bottom w:val="none" w:sz="0" w:space="0" w:color="auto"/>
                <w:right w:val="none" w:sz="0" w:space="0" w:color="auto"/>
              </w:divBdr>
              <w:divsChild>
                <w:div w:id="89006775">
                  <w:marLeft w:val="0"/>
                  <w:marRight w:val="0"/>
                  <w:marTop w:val="0"/>
                  <w:marBottom w:val="0"/>
                  <w:divBdr>
                    <w:top w:val="none" w:sz="0" w:space="0" w:color="auto"/>
                    <w:left w:val="none" w:sz="0" w:space="0" w:color="auto"/>
                    <w:bottom w:val="none" w:sz="0" w:space="0" w:color="auto"/>
                    <w:right w:val="none" w:sz="0" w:space="0" w:color="auto"/>
                  </w:divBdr>
                  <w:divsChild>
                    <w:div w:id="167716693">
                      <w:marLeft w:val="0"/>
                      <w:marRight w:val="0"/>
                      <w:marTop w:val="0"/>
                      <w:marBottom w:val="0"/>
                      <w:divBdr>
                        <w:top w:val="none" w:sz="0" w:space="0" w:color="auto"/>
                        <w:left w:val="none" w:sz="0" w:space="0" w:color="auto"/>
                        <w:bottom w:val="none" w:sz="0" w:space="0" w:color="auto"/>
                        <w:right w:val="none" w:sz="0" w:space="0" w:color="auto"/>
                      </w:divBdr>
                      <w:divsChild>
                        <w:div w:id="1874803379">
                          <w:marLeft w:val="0"/>
                          <w:marRight w:val="0"/>
                          <w:marTop w:val="0"/>
                          <w:marBottom w:val="0"/>
                          <w:divBdr>
                            <w:top w:val="none" w:sz="0" w:space="0" w:color="auto"/>
                            <w:left w:val="none" w:sz="0" w:space="0" w:color="auto"/>
                            <w:bottom w:val="none" w:sz="0" w:space="0" w:color="auto"/>
                            <w:right w:val="none" w:sz="0" w:space="0" w:color="auto"/>
                          </w:divBdr>
                          <w:divsChild>
                            <w:div w:id="108641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969691">
      <w:bodyDiv w:val="1"/>
      <w:marLeft w:val="0"/>
      <w:marRight w:val="0"/>
      <w:marTop w:val="0"/>
      <w:marBottom w:val="0"/>
      <w:divBdr>
        <w:top w:val="none" w:sz="0" w:space="0" w:color="auto"/>
        <w:left w:val="none" w:sz="0" w:space="0" w:color="auto"/>
        <w:bottom w:val="none" w:sz="0" w:space="0" w:color="auto"/>
        <w:right w:val="none" w:sz="0" w:space="0" w:color="auto"/>
      </w:divBdr>
    </w:div>
    <w:div w:id="861287980">
      <w:bodyDiv w:val="1"/>
      <w:marLeft w:val="0"/>
      <w:marRight w:val="0"/>
      <w:marTop w:val="0"/>
      <w:marBottom w:val="0"/>
      <w:divBdr>
        <w:top w:val="none" w:sz="0" w:space="0" w:color="auto"/>
        <w:left w:val="none" w:sz="0" w:space="0" w:color="auto"/>
        <w:bottom w:val="none" w:sz="0" w:space="0" w:color="auto"/>
        <w:right w:val="none" w:sz="0" w:space="0" w:color="auto"/>
      </w:divBdr>
      <w:divsChild>
        <w:div w:id="975840120">
          <w:marLeft w:val="0"/>
          <w:marRight w:val="0"/>
          <w:marTop w:val="0"/>
          <w:marBottom w:val="0"/>
          <w:divBdr>
            <w:top w:val="none" w:sz="0" w:space="0" w:color="auto"/>
            <w:left w:val="none" w:sz="0" w:space="0" w:color="auto"/>
            <w:bottom w:val="none" w:sz="0" w:space="0" w:color="auto"/>
            <w:right w:val="none" w:sz="0" w:space="0" w:color="auto"/>
          </w:divBdr>
          <w:divsChild>
            <w:div w:id="996804096">
              <w:marLeft w:val="0"/>
              <w:marRight w:val="0"/>
              <w:marTop w:val="0"/>
              <w:marBottom w:val="0"/>
              <w:divBdr>
                <w:top w:val="none" w:sz="0" w:space="0" w:color="auto"/>
                <w:left w:val="none" w:sz="0" w:space="0" w:color="auto"/>
                <w:bottom w:val="none" w:sz="0" w:space="0" w:color="auto"/>
                <w:right w:val="none" w:sz="0" w:space="0" w:color="auto"/>
              </w:divBdr>
              <w:divsChild>
                <w:div w:id="520359038">
                  <w:marLeft w:val="0"/>
                  <w:marRight w:val="0"/>
                  <w:marTop w:val="0"/>
                  <w:marBottom w:val="0"/>
                  <w:divBdr>
                    <w:top w:val="none" w:sz="0" w:space="0" w:color="auto"/>
                    <w:left w:val="none" w:sz="0" w:space="0" w:color="auto"/>
                    <w:bottom w:val="none" w:sz="0" w:space="0" w:color="auto"/>
                    <w:right w:val="none" w:sz="0" w:space="0" w:color="auto"/>
                  </w:divBdr>
                  <w:divsChild>
                    <w:div w:id="740248405">
                      <w:marLeft w:val="0"/>
                      <w:marRight w:val="0"/>
                      <w:marTop w:val="0"/>
                      <w:marBottom w:val="0"/>
                      <w:divBdr>
                        <w:top w:val="none" w:sz="0" w:space="0" w:color="auto"/>
                        <w:left w:val="none" w:sz="0" w:space="0" w:color="auto"/>
                        <w:bottom w:val="none" w:sz="0" w:space="0" w:color="auto"/>
                        <w:right w:val="none" w:sz="0" w:space="0" w:color="auto"/>
                      </w:divBdr>
                      <w:divsChild>
                        <w:div w:id="355542900">
                          <w:marLeft w:val="0"/>
                          <w:marRight w:val="0"/>
                          <w:marTop w:val="0"/>
                          <w:marBottom w:val="0"/>
                          <w:divBdr>
                            <w:top w:val="none" w:sz="0" w:space="0" w:color="auto"/>
                            <w:left w:val="none" w:sz="0" w:space="0" w:color="auto"/>
                            <w:bottom w:val="none" w:sz="0" w:space="0" w:color="auto"/>
                            <w:right w:val="none" w:sz="0" w:space="0" w:color="auto"/>
                          </w:divBdr>
                          <w:divsChild>
                            <w:div w:id="86278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285680">
      <w:bodyDiv w:val="1"/>
      <w:marLeft w:val="0"/>
      <w:marRight w:val="0"/>
      <w:marTop w:val="0"/>
      <w:marBottom w:val="0"/>
      <w:divBdr>
        <w:top w:val="none" w:sz="0" w:space="0" w:color="auto"/>
        <w:left w:val="none" w:sz="0" w:space="0" w:color="auto"/>
        <w:bottom w:val="none" w:sz="0" w:space="0" w:color="auto"/>
        <w:right w:val="none" w:sz="0" w:space="0" w:color="auto"/>
      </w:divBdr>
    </w:div>
    <w:div w:id="871771476">
      <w:bodyDiv w:val="1"/>
      <w:marLeft w:val="0"/>
      <w:marRight w:val="0"/>
      <w:marTop w:val="0"/>
      <w:marBottom w:val="0"/>
      <w:divBdr>
        <w:top w:val="none" w:sz="0" w:space="0" w:color="auto"/>
        <w:left w:val="none" w:sz="0" w:space="0" w:color="auto"/>
        <w:bottom w:val="none" w:sz="0" w:space="0" w:color="auto"/>
        <w:right w:val="none" w:sz="0" w:space="0" w:color="auto"/>
      </w:divBdr>
    </w:div>
    <w:div w:id="877860693">
      <w:bodyDiv w:val="1"/>
      <w:marLeft w:val="0"/>
      <w:marRight w:val="0"/>
      <w:marTop w:val="0"/>
      <w:marBottom w:val="0"/>
      <w:divBdr>
        <w:top w:val="none" w:sz="0" w:space="0" w:color="auto"/>
        <w:left w:val="none" w:sz="0" w:space="0" w:color="auto"/>
        <w:bottom w:val="none" w:sz="0" w:space="0" w:color="auto"/>
        <w:right w:val="none" w:sz="0" w:space="0" w:color="auto"/>
      </w:divBdr>
    </w:div>
    <w:div w:id="882863852">
      <w:bodyDiv w:val="1"/>
      <w:marLeft w:val="0"/>
      <w:marRight w:val="0"/>
      <w:marTop w:val="0"/>
      <w:marBottom w:val="0"/>
      <w:divBdr>
        <w:top w:val="none" w:sz="0" w:space="0" w:color="auto"/>
        <w:left w:val="none" w:sz="0" w:space="0" w:color="auto"/>
        <w:bottom w:val="none" w:sz="0" w:space="0" w:color="auto"/>
        <w:right w:val="none" w:sz="0" w:space="0" w:color="auto"/>
      </w:divBdr>
    </w:div>
    <w:div w:id="887183545">
      <w:bodyDiv w:val="1"/>
      <w:marLeft w:val="0"/>
      <w:marRight w:val="0"/>
      <w:marTop w:val="0"/>
      <w:marBottom w:val="0"/>
      <w:divBdr>
        <w:top w:val="none" w:sz="0" w:space="0" w:color="auto"/>
        <w:left w:val="none" w:sz="0" w:space="0" w:color="auto"/>
        <w:bottom w:val="none" w:sz="0" w:space="0" w:color="auto"/>
        <w:right w:val="none" w:sz="0" w:space="0" w:color="auto"/>
      </w:divBdr>
    </w:div>
    <w:div w:id="892666707">
      <w:bodyDiv w:val="1"/>
      <w:marLeft w:val="0"/>
      <w:marRight w:val="0"/>
      <w:marTop w:val="0"/>
      <w:marBottom w:val="0"/>
      <w:divBdr>
        <w:top w:val="none" w:sz="0" w:space="0" w:color="auto"/>
        <w:left w:val="none" w:sz="0" w:space="0" w:color="auto"/>
        <w:bottom w:val="none" w:sz="0" w:space="0" w:color="auto"/>
        <w:right w:val="none" w:sz="0" w:space="0" w:color="auto"/>
      </w:divBdr>
      <w:divsChild>
        <w:div w:id="1641350159">
          <w:marLeft w:val="0"/>
          <w:marRight w:val="0"/>
          <w:marTop w:val="0"/>
          <w:marBottom w:val="0"/>
          <w:divBdr>
            <w:top w:val="none" w:sz="0" w:space="0" w:color="auto"/>
            <w:left w:val="none" w:sz="0" w:space="0" w:color="auto"/>
            <w:bottom w:val="none" w:sz="0" w:space="0" w:color="auto"/>
            <w:right w:val="none" w:sz="0" w:space="0" w:color="auto"/>
          </w:divBdr>
          <w:divsChild>
            <w:div w:id="1180698981">
              <w:marLeft w:val="0"/>
              <w:marRight w:val="0"/>
              <w:marTop w:val="0"/>
              <w:marBottom w:val="0"/>
              <w:divBdr>
                <w:top w:val="none" w:sz="0" w:space="0" w:color="auto"/>
                <w:left w:val="none" w:sz="0" w:space="0" w:color="auto"/>
                <w:bottom w:val="none" w:sz="0" w:space="0" w:color="auto"/>
                <w:right w:val="none" w:sz="0" w:space="0" w:color="auto"/>
              </w:divBdr>
              <w:divsChild>
                <w:div w:id="1054045851">
                  <w:marLeft w:val="0"/>
                  <w:marRight w:val="0"/>
                  <w:marTop w:val="0"/>
                  <w:marBottom w:val="0"/>
                  <w:divBdr>
                    <w:top w:val="none" w:sz="0" w:space="0" w:color="auto"/>
                    <w:left w:val="none" w:sz="0" w:space="0" w:color="auto"/>
                    <w:bottom w:val="none" w:sz="0" w:space="0" w:color="auto"/>
                    <w:right w:val="none" w:sz="0" w:space="0" w:color="auto"/>
                  </w:divBdr>
                  <w:divsChild>
                    <w:div w:id="1886137118">
                      <w:marLeft w:val="0"/>
                      <w:marRight w:val="0"/>
                      <w:marTop w:val="0"/>
                      <w:marBottom w:val="0"/>
                      <w:divBdr>
                        <w:top w:val="none" w:sz="0" w:space="0" w:color="auto"/>
                        <w:left w:val="none" w:sz="0" w:space="0" w:color="auto"/>
                        <w:bottom w:val="none" w:sz="0" w:space="0" w:color="auto"/>
                        <w:right w:val="none" w:sz="0" w:space="0" w:color="auto"/>
                      </w:divBdr>
                      <w:divsChild>
                        <w:div w:id="1644430983">
                          <w:marLeft w:val="0"/>
                          <w:marRight w:val="0"/>
                          <w:marTop w:val="0"/>
                          <w:marBottom w:val="0"/>
                          <w:divBdr>
                            <w:top w:val="none" w:sz="0" w:space="0" w:color="auto"/>
                            <w:left w:val="none" w:sz="0" w:space="0" w:color="auto"/>
                            <w:bottom w:val="none" w:sz="0" w:space="0" w:color="auto"/>
                            <w:right w:val="none" w:sz="0" w:space="0" w:color="auto"/>
                          </w:divBdr>
                          <w:divsChild>
                            <w:div w:id="35458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009989">
      <w:bodyDiv w:val="1"/>
      <w:marLeft w:val="0"/>
      <w:marRight w:val="0"/>
      <w:marTop w:val="0"/>
      <w:marBottom w:val="0"/>
      <w:divBdr>
        <w:top w:val="none" w:sz="0" w:space="0" w:color="auto"/>
        <w:left w:val="none" w:sz="0" w:space="0" w:color="auto"/>
        <w:bottom w:val="none" w:sz="0" w:space="0" w:color="auto"/>
        <w:right w:val="none" w:sz="0" w:space="0" w:color="auto"/>
      </w:divBdr>
    </w:div>
    <w:div w:id="920484778">
      <w:bodyDiv w:val="1"/>
      <w:marLeft w:val="0"/>
      <w:marRight w:val="0"/>
      <w:marTop w:val="0"/>
      <w:marBottom w:val="0"/>
      <w:divBdr>
        <w:top w:val="none" w:sz="0" w:space="0" w:color="auto"/>
        <w:left w:val="none" w:sz="0" w:space="0" w:color="auto"/>
        <w:bottom w:val="none" w:sz="0" w:space="0" w:color="auto"/>
        <w:right w:val="none" w:sz="0" w:space="0" w:color="auto"/>
      </w:divBdr>
      <w:divsChild>
        <w:div w:id="1809594350">
          <w:marLeft w:val="0"/>
          <w:marRight w:val="0"/>
          <w:marTop w:val="0"/>
          <w:marBottom w:val="0"/>
          <w:divBdr>
            <w:top w:val="none" w:sz="0" w:space="0" w:color="auto"/>
            <w:left w:val="none" w:sz="0" w:space="0" w:color="auto"/>
            <w:bottom w:val="none" w:sz="0" w:space="0" w:color="auto"/>
            <w:right w:val="none" w:sz="0" w:space="0" w:color="auto"/>
          </w:divBdr>
          <w:divsChild>
            <w:div w:id="470485262">
              <w:marLeft w:val="0"/>
              <w:marRight w:val="0"/>
              <w:marTop w:val="0"/>
              <w:marBottom w:val="0"/>
              <w:divBdr>
                <w:top w:val="none" w:sz="0" w:space="0" w:color="auto"/>
                <w:left w:val="none" w:sz="0" w:space="0" w:color="auto"/>
                <w:bottom w:val="none" w:sz="0" w:space="0" w:color="auto"/>
                <w:right w:val="none" w:sz="0" w:space="0" w:color="auto"/>
              </w:divBdr>
              <w:divsChild>
                <w:div w:id="1099134685">
                  <w:marLeft w:val="0"/>
                  <w:marRight w:val="0"/>
                  <w:marTop w:val="0"/>
                  <w:marBottom w:val="0"/>
                  <w:divBdr>
                    <w:top w:val="none" w:sz="0" w:space="0" w:color="auto"/>
                    <w:left w:val="none" w:sz="0" w:space="0" w:color="auto"/>
                    <w:bottom w:val="none" w:sz="0" w:space="0" w:color="auto"/>
                    <w:right w:val="none" w:sz="0" w:space="0" w:color="auto"/>
                  </w:divBdr>
                  <w:divsChild>
                    <w:div w:id="758605259">
                      <w:marLeft w:val="0"/>
                      <w:marRight w:val="0"/>
                      <w:marTop w:val="0"/>
                      <w:marBottom w:val="0"/>
                      <w:divBdr>
                        <w:top w:val="none" w:sz="0" w:space="0" w:color="auto"/>
                        <w:left w:val="none" w:sz="0" w:space="0" w:color="auto"/>
                        <w:bottom w:val="none" w:sz="0" w:space="0" w:color="auto"/>
                        <w:right w:val="none" w:sz="0" w:space="0" w:color="auto"/>
                      </w:divBdr>
                      <w:divsChild>
                        <w:div w:id="93407408">
                          <w:marLeft w:val="0"/>
                          <w:marRight w:val="0"/>
                          <w:marTop w:val="0"/>
                          <w:marBottom w:val="0"/>
                          <w:divBdr>
                            <w:top w:val="none" w:sz="0" w:space="0" w:color="auto"/>
                            <w:left w:val="none" w:sz="0" w:space="0" w:color="auto"/>
                            <w:bottom w:val="none" w:sz="0" w:space="0" w:color="auto"/>
                            <w:right w:val="none" w:sz="0" w:space="0" w:color="auto"/>
                          </w:divBdr>
                          <w:divsChild>
                            <w:div w:id="35739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318190">
      <w:bodyDiv w:val="1"/>
      <w:marLeft w:val="0"/>
      <w:marRight w:val="0"/>
      <w:marTop w:val="0"/>
      <w:marBottom w:val="0"/>
      <w:divBdr>
        <w:top w:val="none" w:sz="0" w:space="0" w:color="auto"/>
        <w:left w:val="none" w:sz="0" w:space="0" w:color="auto"/>
        <w:bottom w:val="none" w:sz="0" w:space="0" w:color="auto"/>
        <w:right w:val="none" w:sz="0" w:space="0" w:color="auto"/>
      </w:divBdr>
    </w:div>
    <w:div w:id="933516091">
      <w:bodyDiv w:val="1"/>
      <w:marLeft w:val="0"/>
      <w:marRight w:val="0"/>
      <w:marTop w:val="0"/>
      <w:marBottom w:val="0"/>
      <w:divBdr>
        <w:top w:val="none" w:sz="0" w:space="0" w:color="auto"/>
        <w:left w:val="none" w:sz="0" w:space="0" w:color="auto"/>
        <w:bottom w:val="none" w:sz="0" w:space="0" w:color="auto"/>
        <w:right w:val="none" w:sz="0" w:space="0" w:color="auto"/>
      </w:divBdr>
    </w:div>
    <w:div w:id="940911548">
      <w:bodyDiv w:val="1"/>
      <w:marLeft w:val="0"/>
      <w:marRight w:val="0"/>
      <w:marTop w:val="0"/>
      <w:marBottom w:val="0"/>
      <w:divBdr>
        <w:top w:val="none" w:sz="0" w:space="0" w:color="auto"/>
        <w:left w:val="none" w:sz="0" w:space="0" w:color="auto"/>
        <w:bottom w:val="none" w:sz="0" w:space="0" w:color="auto"/>
        <w:right w:val="none" w:sz="0" w:space="0" w:color="auto"/>
      </w:divBdr>
    </w:div>
    <w:div w:id="950697594">
      <w:bodyDiv w:val="1"/>
      <w:marLeft w:val="0"/>
      <w:marRight w:val="0"/>
      <w:marTop w:val="0"/>
      <w:marBottom w:val="0"/>
      <w:divBdr>
        <w:top w:val="none" w:sz="0" w:space="0" w:color="auto"/>
        <w:left w:val="none" w:sz="0" w:space="0" w:color="auto"/>
        <w:bottom w:val="none" w:sz="0" w:space="0" w:color="auto"/>
        <w:right w:val="none" w:sz="0" w:space="0" w:color="auto"/>
      </w:divBdr>
    </w:div>
    <w:div w:id="952710690">
      <w:bodyDiv w:val="1"/>
      <w:marLeft w:val="0"/>
      <w:marRight w:val="0"/>
      <w:marTop w:val="0"/>
      <w:marBottom w:val="0"/>
      <w:divBdr>
        <w:top w:val="none" w:sz="0" w:space="0" w:color="auto"/>
        <w:left w:val="none" w:sz="0" w:space="0" w:color="auto"/>
        <w:bottom w:val="none" w:sz="0" w:space="0" w:color="auto"/>
        <w:right w:val="none" w:sz="0" w:space="0" w:color="auto"/>
      </w:divBdr>
    </w:div>
    <w:div w:id="956372403">
      <w:bodyDiv w:val="1"/>
      <w:marLeft w:val="0"/>
      <w:marRight w:val="0"/>
      <w:marTop w:val="0"/>
      <w:marBottom w:val="0"/>
      <w:divBdr>
        <w:top w:val="none" w:sz="0" w:space="0" w:color="auto"/>
        <w:left w:val="none" w:sz="0" w:space="0" w:color="auto"/>
        <w:bottom w:val="none" w:sz="0" w:space="0" w:color="auto"/>
        <w:right w:val="none" w:sz="0" w:space="0" w:color="auto"/>
      </w:divBdr>
      <w:divsChild>
        <w:div w:id="2044474179">
          <w:marLeft w:val="0"/>
          <w:marRight w:val="0"/>
          <w:marTop w:val="0"/>
          <w:marBottom w:val="0"/>
          <w:divBdr>
            <w:top w:val="none" w:sz="0" w:space="0" w:color="auto"/>
            <w:left w:val="none" w:sz="0" w:space="0" w:color="auto"/>
            <w:bottom w:val="none" w:sz="0" w:space="0" w:color="auto"/>
            <w:right w:val="none" w:sz="0" w:space="0" w:color="auto"/>
          </w:divBdr>
          <w:divsChild>
            <w:div w:id="126363390">
              <w:marLeft w:val="0"/>
              <w:marRight w:val="0"/>
              <w:marTop w:val="0"/>
              <w:marBottom w:val="0"/>
              <w:divBdr>
                <w:top w:val="none" w:sz="0" w:space="0" w:color="auto"/>
                <w:left w:val="none" w:sz="0" w:space="0" w:color="auto"/>
                <w:bottom w:val="none" w:sz="0" w:space="0" w:color="auto"/>
                <w:right w:val="none" w:sz="0" w:space="0" w:color="auto"/>
              </w:divBdr>
              <w:divsChild>
                <w:div w:id="1258371340">
                  <w:marLeft w:val="0"/>
                  <w:marRight w:val="0"/>
                  <w:marTop w:val="0"/>
                  <w:marBottom w:val="0"/>
                  <w:divBdr>
                    <w:top w:val="none" w:sz="0" w:space="0" w:color="auto"/>
                    <w:left w:val="none" w:sz="0" w:space="0" w:color="auto"/>
                    <w:bottom w:val="none" w:sz="0" w:space="0" w:color="auto"/>
                    <w:right w:val="none" w:sz="0" w:space="0" w:color="auto"/>
                  </w:divBdr>
                  <w:divsChild>
                    <w:div w:id="443307913">
                      <w:marLeft w:val="0"/>
                      <w:marRight w:val="0"/>
                      <w:marTop w:val="0"/>
                      <w:marBottom w:val="0"/>
                      <w:divBdr>
                        <w:top w:val="none" w:sz="0" w:space="0" w:color="auto"/>
                        <w:left w:val="none" w:sz="0" w:space="0" w:color="auto"/>
                        <w:bottom w:val="none" w:sz="0" w:space="0" w:color="auto"/>
                        <w:right w:val="none" w:sz="0" w:space="0" w:color="auto"/>
                      </w:divBdr>
                      <w:divsChild>
                        <w:div w:id="1387294588">
                          <w:marLeft w:val="0"/>
                          <w:marRight w:val="0"/>
                          <w:marTop w:val="0"/>
                          <w:marBottom w:val="0"/>
                          <w:divBdr>
                            <w:top w:val="none" w:sz="0" w:space="0" w:color="auto"/>
                            <w:left w:val="none" w:sz="0" w:space="0" w:color="auto"/>
                            <w:bottom w:val="none" w:sz="0" w:space="0" w:color="auto"/>
                            <w:right w:val="none" w:sz="0" w:space="0" w:color="auto"/>
                          </w:divBdr>
                          <w:divsChild>
                            <w:div w:id="35411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18344">
      <w:bodyDiv w:val="1"/>
      <w:marLeft w:val="0"/>
      <w:marRight w:val="0"/>
      <w:marTop w:val="0"/>
      <w:marBottom w:val="0"/>
      <w:divBdr>
        <w:top w:val="none" w:sz="0" w:space="0" w:color="auto"/>
        <w:left w:val="none" w:sz="0" w:space="0" w:color="auto"/>
        <w:bottom w:val="none" w:sz="0" w:space="0" w:color="auto"/>
        <w:right w:val="none" w:sz="0" w:space="0" w:color="auto"/>
      </w:divBdr>
      <w:divsChild>
        <w:div w:id="453134990">
          <w:marLeft w:val="0"/>
          <w:marRight w:val="0"/>
          <w:marTop w:val="0"/>
          <w:marBottom w:val="0"/>
          <w:divBdr>
            <w:top w:val="none" w:sz="0" w:space="0" w:color="auto"/>
            <w:left w:val="none" w:sz="0" w:space="0" w:color="auto"/>
            <w:bottom w:val="none" w:sz="0" w:space="0" w:color="auto"/>
            <w:right w:val="none" w:sz="0" w:space="0" w:color="auto"/>
          </w:divBdr>
          <w:divsChild>
            <w:div w:id="945116987">
              <w:marLeft w:val="0"/>
              <w:marRight w:val="0"/>
              <w:marTop w:val="0"/>
              <w:marBottom w:val="0"/>
              <w:divBdr>
                <w:top w:val="none" w:sz="0" w:space="0" w:color="auto"/>
                <w:left w:val="none" w:sz="0" w:space="0" w:color="auto"/>
                <w:bottom w:val="none" w:sz="0" w:space="0" w:color="auto"/>
                <w:right w:val="none" w:sz="0" w:space="0" w:color="auto"/>
              </w:divBdr>
              <w:divsChild>
                <w:div w:id="512187843">
                  <w:marLeft w:val="0"/>
                  <w:marRight w:val="0"/>
                  <w:marTop w:val="0"/>
                  <w:marBottom w:val="0"/>
                  <w:divBdr>
                    <w:top w:val="none" w:sz="0" w:space="0" w:color="auto"/>
                    <w:left w:val="none" w:sz="0" w:space="0" w:color="auto"/>
                    <w:bottom w:val="none" w:sz="0" w:space="0" w:color="auto"/>
                    <w:right w:val="none" w:sz="0" w:space="0" w:color="auto"/>
                  </w:divBdr>
                  <w:divsChild>
                    <w:div w:id="1293251616">
                      <w:marLeft w:val="0"/>
                      <w:marRight w:val="0"/>
                      <w:marTop w:val="0"/>
                      <w:marBottom w:val="0"/>
                      <w:divBdr>
                        <w:top w:val="none" w:sz="0" w:space="0" w:color="auto"/>
                        <w:left w:val="none" w:sz="0" w:space="0" w:color="auto"/>
                        <w:bottom w:val="none" w:sz="0" w:space="0" w:color="auto"/>
                        <w:right w:val="none" w:sz="0" w:space="0" w:color="auto"/>
                      </w:divBdr>
                      <w:divsChild>
                        <w:div w:id="1621720375">
                          <w:marLeft w:val="0"/>
                          <w:marRight w:val="0"/>
                          <w:marTop w:val="0"/>
                          <w:marBottom w:val="0"/>
                          <w:divBdr>
                            <w:top w:val="none" w:sz="0" w:space="0" w:color="auto"/>
                            <w:left w:val="none" w:sz="0" w:space="0" w:color="auto"/>
                            <w:bottom w:val="none" w:sz="0" w:space="0" w:color="auto"/>
                            <w:right w:val="none" w:sz="0" w:space="0" w:color="auto"/>
                          </w:divBdr>
                          <w:divsChild>
                            <w:div w:id="2199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511438">
      <w:bodyDiv w:val="1"/>
      <w:marLeft w:val="0"/>
      <w:marRight w:val="0"/>
      <w:marTop w:val="0"/>
      <w:marBottom w:val="0"/>
      <w:divBdr>
        <w:top w:val="none" w:sz="0" w:space="0" w:color="auto"/>
        <w:left w:val="none" w:sz="0" w:space="0" w:color="auto"/>
        <w:bottom w:val="none" w:sz="0" w:space="0" w:color="auto"/>
        <w:right w:val="none" w:sz="0" w:space="0" w:color="auto"/>
      </w:divBdr>
    </w:div>
    <w:div w:id="974679069">
      <w:bodyDiv w:val="1"/>
      <w:marLeft w:val="0"/>
      <w:marRight w:val="0"/>
      <w:marTop w:val="0"/>
      <w:marBottom w:val="0"/>
      <w:divBdr>
        <w:top w:val="none" w:sz="0" w:space="0" w:color="auto"/>
        <w:left w:val="none" w:sz="0" w:space="0" w:color="auto"/>
        <w:bottom w:val="none" w:sz="0" w:space="0" w:color="auto"/>
        <w:right w:val="none" w:sz="0" w:space="0" w:color="auto"/>
      </w:divBdr>
    </w:div>
    <w:div w:id="978346225">
      <w:bodyDiv w:val="1"/>
      <w:marLeft w:val="0"/>
      <w:marRight w:val="0"/>
      <w:marTop w:val="0"/>
      <w:marBottom w:val="0"/>
      <w:divBdr>
        <w:top w:val="none" w:sz="0" w:space="0" w:color="auto"/>
        <w:left w:val="none" w:sz="0" w:space="0" w:color="auto"/>
        <w:bottom w:val="none" w:sz="0" w:space="0" w:color="auto"/>
        <w:right w:val="none" w:sz="0" w:space="0" w:color="auto"/>
      </w:divBdr>
    </w:div>
    <w:div w:id="1002008047">
      <w:bodyDiv w:val="1"/>
      <w:marLeft w:val="0"/>
      <w:marRight w:val="0"/>
      <w:marTop w:val="0"/>
      <w:marBottom w:val="0"/>
      <w:divBdr>
        <w:top w:val="none" w:sz="0" w:space="0" w:color="auto"/>
        <w:left w:val="none" w:sz="0" w:space="0" w:color="auto"/>
        <w:bottom w:val="none" w:sz="0" w:space="0" w:color="auto"/>
        <w:right w:val="none" w:sz="0" w:space="0" w:color="auto"/>
      </w:divBdr>
    </w:div>
    <w:div w:id="1015570622">
      <w:bodyDiv w:val="1"/>
      <w:marLeft w:val="0"/>
      <w:marRight w:val="0"/>
      <w:marTop w:val="0"/>
      <w:marBottom w:val="0"/>
      <w:divBdr>
        <w:top w:val="none" w:sz="0" w:space="0" w:color="auto"/>
        <w:left w:val="none" w:sz="0" w:space="0" w:color="auto"/>
        <w:bottom w:val="none" w:sz="0" w:space="0" w:color="auto"/>
        <w:right w:val="none" w:sz="0" w:space="0" w:color="auto"/>
      </w:divBdr>
    </w:div>
    <w:div w:id="1019967502">
      <w:bodyDiv w:val="1"/>
      <w:marLeft w:val="0"/>
      <w:marRight w:val="0"/>
      <w:marTop w:val="0"/>
      <w:marBottom w:val="0"/>
      <w:divBdr>
        <w:top w:val="none" w:sz="0" w:space="0" w:color="auto"/>
        <w:left w:val="none" w:sz="0" w:space="0" w:color="auto"/>
        <w:bottom w:val="none" w:sz="0" w:space="0" w:color="auto"/>
        <w:right w:val="none" w:sz="0" w:space="0" w:color="auto"/>
      </w:divBdr>
    </w:div>
    <w:div w:id="1025058970">
      <w:bodyDiv w:val="1"/>
      <w:marLeft w:val="0"/>
      <w:marRight w:val="0"/>
      <w:marTop w:val="0"/>
      <w:marBottom w:val="0"/>
      <w:divBdr>
        <w:top w:val="none" w:sz="0" w:space="0" w:color="auto"/>
        <w:left w:val="none" w:sz="0" w:space="0" w:color="auto"/>
        <w:bottom w:val="none" w:sz="0" w:space="0" w:color="auto"/>
        <w:right w:val="none" w:sz="0" w:space="0" w:color="auto"/>
      </w:divBdr>
    </w:div>
    <w:div w:id="1059018805">
      <w:bodyDiv w:val="1"/>
      <w:marLeft w:val="0"/>
      <w:marRight w:val="0"/>
      <w:marTop w:val="0"/>
      <w:marBottom w:val="0"/>
      <w:divBdr>
        <w:top w:val="none" w:sz="0" w:space="0" w:color="auto"/>
        <w:left w:val="none" w:sz="0" w:space="0" w:color="auto"/>
        <w:bottom w:val="none" w:sz="0" w:space="0" w:color="auto"/>
        <w:right w:val="none" w:sz="0" w:space="0" w:color="auto"/>
      </w:divBdr>
    </w:div>
    <w:div w:id="1060518271">
      <w:bodyDiv w:val="1"/>
      <w:marLeft w:val="0"/>
      <w:marRight w:val="0"/>
      <w:marTop w:val="0"/>
      <w:marBottom w:val="0"/>
      <w:divBdr>
        <w:top w:val="none" w:sz="0" w:space="0" w:color="auto"/>
        <w:left w:val="none" w:sz="0" w:space="0" w:color="auto"/>
        <w:bottom w:val="none" w:sz="0" w:space="0" w:color="auto"/>
        <w:right w:val="none" w:sz="0" w:space="0" w:color="auto"/>
      </w:divBdr>
      <w:divsChild>
        <w:div w:id="2097362502">
          <w:marLeft w:val="0"/>
          <w:marRight w:val="0"/>
          <w:marTop w:val="0"/>
          <w:marBottom w:val="0"/>
          <w:divBdr>
            <w:top w:val="none" w:sz="0" w:space="0" w:color="auto"/>
            <w:left w:val="none" w:sz="0" w:space="0" w:color="auto"/>
            <w:bottom w:val="none" w:sz="0" w:space="0" w:color="auto"/>
            <w:right w:val="none" w:sz="0" w:space="0" w:color="auto"/>
          </w:divBdr>
          <w:divsChild>
            <w:div w:id="76248883">
              <w:marLeft w:val="0"/>
              <w:marRight w:val="0"/>
              <w:marTop w:val="0"/>
              <w:marBottom w:val="0"/>
              <w:divBdr>
                <w:top w:val="none" w:sz="0" w:space="0" w:color="auto"/>
                <w:left w:val="none" w:sz="0" w:space="0" w:color="auto"/>
                <w:bottom w:val="none" w:sz="0" w:space="0" w:color="auto"/>
                <w:right w:val="none" w:sz="0" w:space="0" w:color="auto"/>
              </w:divBdr>
              <w:divsChild>
                <w:div w:id="1987316617">
                  <w:marLeft w:val="0"/>
                  <w:marRight w:val="0"/>
                  <w:marTop w:val="0"/>
                  <w:marBottom w:val="0"/>
                  <w:divBdr>
                    <w:top w:val="none" w:sz="0" w:space="0" w:color="auto"/>
                    <w:left w:val="none" w:sz="0" w:space="0" w:color="auto"/>
                    <w:bottom w:val="none" w:sz="0" w:space="0" w:color="auto"/>
                    <w:right w:val="none" w:sz="0" w:space="0" w:color="auto"/>
                  </w:divBdr>
                  <w:divsChild>
                    <w:div w:id="1249192042">
                      <w:marLeft w:val="0"/>
                      <w:marRight w:val="0"/>
                      <w:marTop w:val="0"/>
                      <w:marBottom w:val="0"/>
                      <w:divBdr>
                        <w:top w:val="none" w:sz="0" w:space="0" w:color="auto"/>
                        <w:left w:val="none" w:sz="0" w:space="0" w:color="auto"/>
                        <w:bottom w:val="none" w:sz="0" w:space="0" w:color="auto"/>
                        <w:right w:val="none" w:sz="0" w:space="0" w:color="auto"/>
                      </w:divBdr>
                      <w:divsChild>
                        <w:div w:id="934754396">
                          <w:marLeft w:val="0"/>
                          <w:marRight w:val="0"/>
                          <w:marTop w:val="0"/>
                          <w:marBottom w:val="0"/>
                          <w:divBdr>
                            <w:top w:val="none" w:sz="0" w:space="0" w:color="auto"/>
                            <w:left w:val="none" w:sz="0" w:space="0" w:color="auto"/>
                            <w:bottom w:val="none" w:sz="0" w:space="0" w:color="auto"/>
                            <w:right w:val="none" w:sz="0" w:space="0" w:color="auto"/>
                          </w:divBdr>
                          <w:divsChild>
                            <w:div w:id="380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601827">
      <w:bodyDiv w:val="1"/>
      <w:marLeft w:val="0"/>
      <w:marRight w:val="0"/>
      <w:marTop w:val="0"/>
      <w:marBottom w:val="0"/>
      <w:divBdr>
        <w:top w:val="none" w:sz="0" w:space="0" w:color="auto"/>
        <w:left w:val="none" w:sz="0" w:space="0" w:color="auto"/>
        <w:bottom w:val="none" w:sz="0" w:space="0" w:color="auto"/>
        <w:right w:val="none" w:sz="0" w:space="0" w:color="auto"/>
      </w:divBdr>
    </w:div>
    <w:div w:id="1078136373">
      <w:bodyDiv w:val="1"/>
      <w:marLeft w:val="0"/>
      <w:marRight w:val="0"/>
      <w:marTop w:val="0"/>
      <w:marBottom w:val="0"/>
      <w:divBdr>
        <w:top w:val="none" w:sz="0" w:space="0" w:color="auto"/>
        <w:left w:val="none" w:sz="0" w:space="0" w:color="auto"/>
        <w:bottom w:val="none" w:sz="0" w:space="0" w:color="auto"/>
        <w:right w:val="none" w:sz="0" w:space="0" w:color="auto"/>
      </w:divBdr>
    </w:div>
    <w:div w:id="1087532999">
      <w:bodyDiv w:val="1"/>
      <w:marLeft w:val="0"/>
      <w:marRight w:val="0"/>
      <w:marTop w:val="0"/>
      <w:marBottom w:val="0"/>
      <w:divBdr>
        <w:top w:val="none" w:sz="0" w:space="0" w:color="auto"/>
        <w:left w:val="none" w:sz="0" w:space="0" w:color="auto"/>
        <w:bottom w:val="none" w:sz="0" w:space="0" w:color="auto"/>
        <w:right w:val="none" w:sz="0" w:space="0" w:color="auto"/>
      </w:divBdr>
    </w:div>
    <w:div w:id="1113792379">
      <w:bodyDiv w:val="1"/>
      <w:marLeft w:val="0"/>
      <w:marRight w:val="0"/>
      <w:marTop w:val="0"/>
      <w:marBottom w:val="0"/>
      <w:divBdr>
        <w:top w:val="none" w:sz="0" w:space="0" w:color="auto"/>
        <w:left w:val="none" w:sz="0" w:space="0" w:color="auto"/>
        <w:bottom w:val="none" w:sz="0" w:space="0" w:color="auto"/>
        <w:right w:val="none" w:sz="0" w:space="0" w:color="auto"/>
      </w:divBdr>
      <w:divsChild>
        <w:div w:id="2053460516">
          <w:marLeft w:val="0"/>
          <w:marRight w:val="0"/>
          <w:marTop w:val="0"/>
          <w:marBottom w:val="0"/>
          <w:divBdr>
            <w:top w:val="none" w:sz="0" w:space="0" w:color="auto"/>
            <w:left w:val="none" w:sz="0" w:space="0" w:color="auto"/>
            <w:bottom w:val="none" w:sz="0" w:space="0" w:color="auto"/>
            <w:right w:val="none" w:sz="0" w:space="0" w:color="auto"/>
          </w:divBdr>
          <w:divsChild>
            <w:div w:id="1533567813">
              <w:marLeft w:val="0"/>
              <w:marRight w:val="0"/>
              <w:marTop w:val="0"/>
              <w:marBottom w:val="0"/>
              <w:divBdr>
                <w:top w:val="none" w:sz="0" w:space="0" w:color="auto"/>
                <w:left w:val="none" w:sz="0" w:space="0" w:color="auto"/>
                <w:bottom w:val="none" w:sz="0" w:space="0" w:color="auto"/>
                <w:right w:val="none" w:sz="0" w:space="0" w:color="auto"/>
              </w:divBdr>
              <w:divsChild>
                <w:div w:id="1231962756">
                  <w:marLeft w:val="0"/>
                  <w:marRight w:val="0"/>
                  <w:marTop w:val="0"/>
                  <w:marBottom w:val="0"/>
                  <w:divBdr>
                    <w:top w:val="none" w:sz="0" w:space="0" w:color="auto"/>
                    <w:left w:val="none" w:sz="0" w:space="0" w:color="auto"/>
                    <w:bottom w:val="none" w:sz="0" w:space="0" w:color="auto"/>
                    <w:right w:val="none" w:sz="0" w:space="0" w:color="auto"/>
                  </w:divBdr>
                  <w:divsChild>
                    <w:div w:id="964701946">
                      <w:marLeft w:val="0"/>
                      <w:marRight w:val="0"/>
                      <w:marTop w:val="0"/>
                      <w:marBottom w:val="0"/>
                      <w:divBdr>
                        <w:top w:val="none" w:sz="0" w:space="0" w:color="auto"/>
                        <w:left w:val="none" w:sz="0" w:space="0" w:color="auto"/>
                        <w:bottom w:val="none" w:sz="0" w:space="0" w:color="auto"/>
                        <w:right w:val="none" w:sz="0" w:space="0" w:color="auto"/>
                      </w:divBdr>
                      <w:divsChild>
                        <w:div w:id="2036349083">
                          <w:marLeft w:val="0"/>
                          <w:marRight w:val="0"/>
                          <w:marTop w:val="0"/>
                          <w:marBottom w:val="0"/>
                          <w:divBdr>
                            <w:top w:val="none" w:sz="0" w:space="0" w:color="auto"/>
                            <w:left w:val="none" w:sz="0" w:space="0" w:color="auto"/>
                            <w:bottom w:val="none" w:sz="0" w:space="0" w:color="auto"/>
                            <w:right w:val="none" w:sz="0" w:space="0" w:color="auto"/>
                          </w:divBdr>
                          <w:divsChild>
                            <w:div w:id="142240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565662">
      <w:bodyDiv w:val="1"/>
      <w:marLeft w:val="0"/>
      <w:marRight w:val="0"/>
      <w:marTop w:val="0"/>
      <w:marBottom w:val="0"/>
      <w:divBdr>
        <w:top w:val="none" w:sz="0" w:space="0" w:color="auto"/>
        <w:left w:val="none" w:sz="0" w:space="0" w:color="auto"/>
        <w:bottom w:val="none" w:sz="0" w:space="0" w:color="auto"/>
        <w:right w:val="none" w:sz="0" w:space="0" w:color="auto"/>
      </w:divBdr>
    </w:div>
    <w:div w:id="1128353286">
      <w:bodyDiv w:val="1"/>
      <w:marLeft w:val="0"/>
      <w:marRight w:val="0"/>
      <w:marTop w:val="0"/>
      <w:marBottom w:val="0"/>
      <w:divBdr>
        <w:top w:val="none" w:sz="0" w:space="0" w:color="auto"/>
        <w:left w:val="none" w:sz="0" w:space="0" w:color="auto"/>
        <w:bottom w:val="none" w:sz="0" w:space="0" w:color="auto"/>
        <w:right w:val="none" w:sz="0" w:space="0" w:color="auto"/>
      </w:divBdr>
      <w:divsChild>
        <w:div w:id="1476293422">
          <w:marLeft w:val="0"/>
          <w:marRight w:val="0"/>
          <w:marTop w:val="0"/>
          <w:marBottom w:val="0"/>
          <w:divBdr>
            <w:top w:val="none" w:sz="0" w:space="0" w:color="auto"/>
            <w:left w:val="none" w:sz="0" w:space="0" w:color="auto"/>
            <w:bottom w:val="none" w:sz="0" w:space="0" w:color="auto"/>
            <w:right w:val="none" w:sz="0" w:space="0" w:color="auto"/>
          </w:divBdr>
          <w:divsChild>
            <w:div w:id="1947082566">
              <w:marLeft w:val="0"/>
              <w:marRight w:val="0"/>
              <w:marTop w:val="0"/>
              <w:marBottom w:val="0"/>
              <w:divBdr>
                <w:top w:val="none" w:sz="0" w:space="0" w:color="auto"/>
                <w:left w:val="none" w:sz="0" w:space="0" w:color="auto"/>
                <w:bottom w:val="none" w:sz="0" w:space="0" w:color="auto"/>
                <w:right w:val="none" w:sz="0" w:space="0" w:color="auto"/>
              </w:divBdr>
              <w:divsChild>
                <w:div w:id="969897845">
                  <w:marLeft w:val="0"/>
                  <w:marRight w:val="0"/>
                  <w:marTop w:val="0"/>
                  <w:marBottom w:val="0"/>
                  <w:divBdr>
                    <w:top w:val="none" w:sz="0" w:space="0" w:color="auto"/>
                    <w:left w:val="none" w:sz="0" w:space="0" w:color="auto"/>
                    <w:bottom w:val="none" w:sz="0" w:space="0" w:color="auto"/>
                    <w:right w:val="none" w:sz="0" w:space="0" w:color="auto"/>
                  </w:divBdr>
                  <w:divsChild>
                    <w:div w:id="1565604683">
                      <w:marLeft w:val="0"/>
                      <w:marRight w:val="0"/>
                      <w:marTop w:val="0"/>
                      <w:marBottom w:val="0"/>
                      <w:divBdr>
                        <w:top w:val="none" w:sz="0" w:space="0" w:color="auto"/>
                        <w:left w:val="none" w:sz="0" w:space="0" w:color="auto"/>
                        <w:bottom w:val="none" w:sz="0" w:space="0" w:color="auto"/>
                        <w:right w:val="none" w:sz="0" w:space="0" w:color="auto"/>
                      </w:divBdr>
                      <w:divsChild>
                        <w:div w:id="919829598">
                          <w:marLeft w:val="0"/>
                          <w:marRight w:val="0"/>
                          <w:marTop w:val="0"/>
                          <w:marBottom w:val="0"/>
                          <w:divBdr>
                            <w:top w:val="none" w:sz="0" w:space="0" w:color="auto"/>
                            <w:left w:val="none" w:sz="0" w:space="0" w:color="auto"/>
                            <w:bottom w:val="none" w:sz="0" w:space="0" w:color="auto"/>
                            <w:right w:val="none" w:sz="0" w:space="0" w:color="auto"/>
                          </w:divBdr>
                          <w:divsChild>
                            <w:div w:id="15656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963324">
      <w:bodyDiv w:val="1"/>
      <w:marLeft w:val="0"/>
      <w:marRight w:val="0"/>
      <w:marTop w:val="0"/>
      <w:marBottom w:val="0"/>
      <w:divBdr>
        <w:top w:val="none" w:sz="0" w:space="0" w:color="auto"/>
        <w:left w:val="none" w:sz="0" w:space="0" w:color="auto"/>
        <w:bottom w:val="none" w:sz="0" w:space="0" w:color="auto"/>
        <w:right w:val="none" w:sz="0" w:space="0" w:color="auto"/>
      </w:divBdr>
    </w:div>
    <w:div w:id="1155758628">
      <w:bodyDiv w:val="1"/>
      <w:marLeft w:val="0"/>
      <w:marRight w:val="0"/>
      <w:marTop w:val="0"/>
      <w:marBottom w:val="0"/>
      <w:divBdr>
        <w:top w:val="none" w:sz="0" w:space="0" w:color="auto"/>
        <w:left w:val="none" w:sz="0" w:space="0" w:color="auto"/>
        <w:bottom w:val="none" w:sz="0" w:space="0" w:color="auto"/>
        <w:right w:val="none" w:sz="0" w:space="0" w:color="auto"/>
      </w:divBdr>
    </w:div>
    <w:div w:id="1162968949">
      <w:bodyDiv w:val="1"/>
      <w:marLeft w:val="0"/>
      <w:marRight w:val="0"/>
      <w:marTop w:val="0"/>
      <w:marBottom w:val="0"/>
      <w:divBdr>
        <w:top w:val="none" w:sz="0" w:space="0" w:color="auto"/>
        <w:left w:val="none" w:sz="0" w:space="0" w:color="auto"/>
        <w:bottom w:val="none" w:sz="0" w:space="0" w:color="auto"/>
        <w:right w:val="none" w:sz="0" w:space="0" w:color="auto"/>
      </w:divBdr>
    </w:div>
    <w:div w:id="1209221553">
      <w:bodyDiv w:val="1"/>
      <w:marLeft w:val="0"/>
      <w:marRight w:val="0"/>
      <w:marTop w:val="0"/>
      <w:marBottom w:val="0"/>
      <w:divBdr>
        <w:top w:val="none" w:sz="0" w:space="0" w:color="auto"/>
        <w:left w:val="none" w:sz="0" w:space="0" w:color="auto"/>
        <w:bottom w:val="none" w:sz="0" w:space="0" w:color="auto"/>
        <w:right w:val="none" w:sz="0" w:space="0" w:color="auto"/>
      </w:divBdr>
    </w:div>
    <w:div w:id="1215502854">
      <w:bodyDiv w:val="1"/>
      <w:marLeft w:val="0"/>
      <w:marRight w:val="0"/>
      <w:marTop w:val="0"/>
      <w:marBottom w:val="0"/>
      <w:divBdr>
        <w:top w:val="none" w:sz="0" w:space="0" w:color="auto"/>
        <w:left w:val="none" w:sz="0" w:space="0" w:color="auto"/>
        <w:bottom w:val="none" w:sz="0" w:space="0" w:color="auto"/>
        <w:right w:val="none" w:sz="0" w:space="0" w:color="auto"/>
      </w:divBdr>
    </w:div>
    <w:div w:id="1217886759">
      <w:bodyDiv w:val="1"/>
      <w:marLeft w:val="0"/>
      <w:marRight w:val="0"/>
      <w:marTop w:val="0"/>
      <w:marBottom w:val="0"/>
      <w:divBdr>
        <w:top w:val="none" w:sz="0" w:space="0" w:color="auto"/>
        <w:left w:val="none" w:sz="0" w:space="0" w:color="auto"/>
        <w:bottom w:val="none" w:sz="0" w:space="0" w:color="auto"/>
        <w:right w:val="none" w:sz="0" w:space="0" w:color="auto"/>
      </w:divBdr>
    </w:div>
    <w:div w:id="1233810787">
      <w:bodyDiv w:val="1"/>
      <w:marLeft w:val="0"/>
      <w:marRight w:val="0"/>
      <w:marTop w:val="0"/>
      <w:marBottom w:val="0"/>
      <w:divBdr>
        <w:top w:val="none" w:sz="0" w:space="0" w:color="auto"/>
        <w:left w:val="none" w:sz="0" w:space="0" w:color="auto"/>
        <w:bottom w:val="none" w:sz="0" w:space="0" w:color="auto"/>
        <w:right w:val="none" w:sz="0" w:space="0" w:color="auto"/>
      </w:divBdr>
    </w:div>
    <w:div w:id="1243837896">
      <w:bodyDiv w:val="1"/>
      <w:marLeft w:val="0"/>
      <w:marRight w:val="0"/>
      <w:marTop w:val="0"/>
      <w:marBottom w:val="0"/>
      <w:divBdr>
        <w:top w:val="none" w:sz="0" w:space="0" w:color="auto"/>
        <w:left w:val="none" w:sz="0" w:space="0" w:color="auto"/>
        <w:bottom w:val="none" w:sz="0" w:space="0" w:color="auto"/>
        <w:right w:val="none" w:sz="0" w:space="0" w:color="auto"/>
      </w:divBdr>
    </w:div>
    <w:div w:id="1258978589">
      <w:bodyDiv w:val="1"/>
      <w:marLeft w:val="0"/>
      <w:marRight w:val="0"/>
      <w:marTop w:val="0"/>
      <w:marBottom w:val="0"/>
      <w:divBdr>
        <w:top w:val="none" w:sz="0" w:space="0" w:color="auto"/>
        <w:left w:val="none" w:sz="0" w:space="0" w:color="auto"/>
        <w:bottom w:val="none" w:sz="0" w:space="0" w:color="auto"/>
        <w:right w:val="none" w:sz="0" w:space="0" w:color="auto"/>
      </w:divBdr>
    </w:div>
    <w:div w:id="1269772095">
      <w:bodyDiv w:val="1"/>
      <w:marLeft w:val="0"/>
      <w:marRight w:val="0"/>
      <w:marTop w:val="0"/>
      <w:marBottom w:val="0"/>
      <w:divBdr>
        <w:top w:val="none" w:sz="0" w:space="0" w:color="auto"/>
        <w:left w:val="none" w:sz="0" w:space="0" w:color="auto"/>
        <w:bottom w:val="none" w:sz="0" w:space="0" w:color="auto"/>
        <w:right w:val="none" w:sz="0" w:space="0" w:color="auto"/>
      </w:divBdr>
    </w:div>
    <w:div w:id="1273511805">
      <w:bodyDiv w:val="1"/>
      <w:marLeft w:val="0"/>
      <w:marRight w:val="0"/>
      <w:marTop w:val="0"/>
      <w:marBottom w:val="0"/>
      <w:divBdr>
        <w:top w:val="none" w:sz="0" w:space="0" w:color="auto"/>
        <w:left w:val="none" w:sz="0" w:space="0" w:color="auto"/>
        <w:bottom w:val="none" w:sz="0" w:space="0" w:color="auto"/>
        <w:right w:val="none" w:sz="0" w:space="0" w:color="auto"/>
      </w:divBdr>
    </w:div>
    <w:div w:id="1282225295">
      <w:bodyDiv w:val="1"/>
      <w:marLeft w:val="0"/>
      <w:marRight w:val="0"/>
      <w:marTop w:val="0"/>
      <w:marBottom w:val="0"/>
      <w:divBdr>
        <w:top w:val="none" w:sz="0" w:space="0" w:color="auto"/>
        <w:left w:val="none" w:sz="0" w:space="0" w:color="auto"/>
        <w:bottom w:val="none" w:sz="0" w:space="0" w:color="auto"/>
        <w:right w:val="none" w:sz="0" w:space="0" w:color="auto"/>
      </w:divBdr>
    </w:div>
    <w:div w:id="1285767903">
      <w:bodyDiv w:val="1"/>
      <w:marLeft w:val="0"/>
      <w:marRight w:val="0"/>
      <w:marTop w:val="0"/>
      <w:marBottom w:val="0"/>
      <w:divBdr>
        <w:top w:val="none" w:sz="0" w:space="0" w:color="auto"/>
        <w:left w:val="none" w:sz="0" w:space="0" w:color="auto"/>
        <w:bottom w:val="none" w:sz="0" w:space="0" w:color="auto"/>
        <w:right w:val="none" w:sz="0" w:space="0" w:color="auto"/>
      </w:divBdr>
    </w:div>
    <w:div w:id="1287420936">
      <w:bodyDiv w:val="1"/>
      <w:marLeft w:val="0"/>
      <w:marRight w:val="0"/>
      <w:marTop w:val="0"/>
      <w:marBottom w:val="0"/>
      <w:divBdr>
        <w:top w:val="none" w:sz="0" w:space="0" w:color="auto"/>
        <w:left w:val="none" w:sz="0" w:space="0" w:color="auto"/>
        <w:bottom w:val="none" w:sz="0" w:space="0" w:color="auto"/>
        <w:right w:val="none" w:sz="0" w:space="0" w:color="auto"/>
      </w:divBdr>
    </w:div>
    <w:div w:id="1289121993">
      <w:bodyDiv w:val="1"/>
      <w:marLeft w:val="0"/>
      <w:marRight w:val="0"/>
      <w:marTop w:val="0"/>
      <w:marBottom w:val="0"/>
      <w:divBdr>
        <w:top w:val="none" w:sz="0" w:space="0" w:color="auto"/>
        <w:left w:val="none" w:sz="0" w:space="0" w:color="auto"/>
        <w:bottom w:val="none" w:sz="0" w:space="0" w:color="auto"/>
        <w:right w:val="none" w:sz="0" w:space="0" w:color="auto"/>
      </w:divBdr>
    </w:div>
    <w:div w:id="1293707803">
      <w:bodyDiv w:val="1"/>
      <w:marLeft w:val="0"/>
      <w:marRight w:val="0"/>
      <w:marTop w:val="0"/>
      <w:marBottom w:val="0"/>
      <w:divBdr>
        <w:top w:val="none" w:sz="0" w:space="0" w:color="auto"/>
        <w:left w:val="none" w:sz="0" w:space="0" w:color="auto"/>
        <w:bottom w:val="none" w:sz="0" w:space="0" w:color="auto"/>
        <w:right w:val="none" w:sz="0" w:space="0" w:color="auto"/>
      </w:divBdr>
      <w:divsChild>
        <w:div w:id="1516186199">
          <w:marLeft w:val="0"/>
          <w:marRight w:val="0"/>
          <w:marTop w:val="0"/>
          <w:marBottom w:val="0"/>
          <w:divBdr>
            <w:top w:val="none" w:sz="0" w:space="0" w:color="auto"/>
            <w:left w:val="none" w:sz="0" w:space="0" w:color="auto"/>
            <w:bottom w:val="none" w:sz="0" w:space="0" w:color="auto"/>
            <w:right w:val="none" w:sz="0" w:space="0" w:color="auto"/>
          </w:divBdr>
          <w:divsChild>
            <w:div w:id="70919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39139">
      <w:bodyDiv w:val="1"/>
      <w:marLeft w:val="0"/>
      <w:marRight w:val="0"/>
      <w:marTop w:val="0"/>
      <w:marBottom w:val="0"/>
      <w:divBdr>
        <w:top w:val="none" w:sz="0" w:space="0" w:color="auto"/>
        <w:left w:val="none" w:sz="0" w:space="0" w:color="auto"/>
        <w:bottom w:val="none" w:sz="0" w:space="0" w:color="auto"/>
        <w:right w:val="none" w:sz="0" w:space="0" w:color="auto"/>
      </w:divBdr>
    </w:div>
    <w:div w:id="1312566157">
      <w:bodyDiv w:val="1"/>
      <w:marLeft w:val="0"/>
      <w:marRight w:val="0"/>
      <w:marTop w:val="0"/>
      <w:marBottom w:val="0"/>
      <w:divBdr>
        <w:top w:val="none" w:sz="0" w:space="0" w:color="auto"/>
        <w:left w:val="none" w:sz="0" w:space="0" w:color="auto"/>
        <w:bottom w:val="none" w:sz="0" w:space="0" w:color="auto"/>
        <w:right w:val="none" w:sz="0" w:space="0" w:color="auto"/>
      </w:divBdr>
      <w:divsChild>
        <w:div w:id="336277256">
          <w:marLeft w:val="0"/>
          <w:marRight w:val="0"/>
          <w:marTop w:val="0"/>
          <w:marBottom w:val="0"/>
          <w:divBdr>
            <w:top w:val="none" w:sz="0" w:space="0" w:color="auto"/>
            <w:left w:val="none" w:sz="0" w:space="0" w:color="auto"/>
            <w:bottom w:val="none" w:sz="0" w:space="0" w:color="auto"/>
            <w:right w:val="none" w:sz="0" w:space="0" w:color="auto"/>
          </w:divBdr>
          <w:divsChild>
            <w:div w:id="2118014495">
              <w:marLeft w:val="0"/>
              <w:marRight w:val="0"/>
              <w:marTop w:val="0"/>
              <w:marBottom w:val="0"/>
              <w:divBdr>
                <w:top w:val="none" w:sz="0" w:space="0" w:color="auto"/>
                <w:left w:val="none" w:sz="0" w:space="0" w:color="auto"/>
                <w:bottom w:val="none" w:sz="0" w:space="0" w:color="auto"/>
                <w:right w:val="none" w:sz="0" w:space="0" w:color="auto"/>
              </w:divBdr>
              <w:divsChild>
                <w:div w:id="73401658">
                  <w:marLeft w:val="0"/>
                  <w:marRight w:val="0"/>
                  <w:marTop w:val="0"/>
                  <w:marBottom w:val="0"/>
                  <w:divBdr>
                    <w:top w:val="none" w:sz="0" w:space="0" w:color="auto"/>
                    <w:left w:val="none" w:sz="0" w:space="0" w:color="auto"/>
                    <w:bottom w:val="none" w:sz="0" w:space="0" w:color="auto"/>
                    <w:right w:val="none" w:sz="0" w:space="0" w:color="auto"/>
                  </w:divBdr>
                  <w:divsChild>
                    <w:div w:id="235945151">
                      <w:marLeft w:val="0"/>
                      <w:marRight w:val="0"/>
                      <w:marTop w:val="0"/>
                      <w:marBottom w:val="0"/>
                      <w:divBdr>
                        <w:top w:val="none" w:sz="0" w:space="0" w:color="auto"/>
                        <w:left w:val="none" w:sz="0" w:space="0" w:color="auto"/>
                        <w:bottom w:val="none" w:sz="0" w:space="0" w:color="auto"/>
                        <w:right w:val="none" w:sz="0" w:space="0" w:color="auto"/>
                      </w:divBdr>
                      <w:divsChild>
                        <w:div w:id="611210720">
                          <w:marLeft w:val="0"/>
                          <w:marRight w:val="0"/>
                          <w:marTop w:val="0"/>
                          <w:marBottom w:val="0"/>
                          <w:divBdr>
                            <w:top w:val="none" w:sz="0" w:space="0" w:color="auto"/>
                            <w:left w:val="none" w:sz="0" w:space="0" w:color="auto"/>
                            <w:bottom w:val="none" w:sz="0" w:space="0" w:color="auto"/>
                            <w:right w:val="none" w:sz="0" w:space="0" w:color="auto"/>
                          </w:divBdr>
                          <w:divsChild>
                            <w:div w:id="17126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165643">
      <w:bodyDiv w:val="1"/>
      <w:marLeft w:val="0"/>
      <w:marRight w:val="0"/>
      <w:marTop w:val="0"/>
      <w:marBottom w:val="0"/>
      <w:divBdr>
        <w:top w:val="none" w:sz="0" w:space="0" w:color="auto"/>
        <w:left w:val="none" w:sz="0" w:space="0" w:color="auto"/>
        <w:bottom w:val="none" w:sz="0" w:space="0" w:color="auto"/>
        <w:right w:val="none" w:sz="0" w:space="0" w:color="auto"/>
      </w:divBdr>
    </w:div>
    <w:div w:id="1330253637">
      <w:bodyDiv w:val="1"/>
      <w:marLeft w:val="0"/>
      <w:marRight w:val="0"/>
      <w:marTop w:val="0"/>
      <w:marBottom w:val="0"/>
      <w:divBdr>
        <w:top w:val="none" w:sz="0" w:space="0" w:color="auto"/>
        <w:left w:val="none" w:sz="0" w:space="0" w:color="auto"/>
        <w:bottom w:val="none" w:sz="0" w:space="0" w:color="auto"/>
        <w:right w:val="none" w:sz="0" w:space="0" w:color="auto"/>
      </w:divBdr>
    </w:div>
    <w:div w:id="1330325131">
      <w:bodyDiv w:val="1"/>
      <w:marLeft w:val="0"/>
      <w:marRight w:val="0"/>
      <w:marTop w:val="0"/>
      <w:marBottom w:val="0"/>
      <w:divBdr>
        <w:top w:val="none" w:sz="0" w:space="0" w:color="auto"/>
        <w:left w:val="none" w:sz="0" w:space="0" w:color="auto"/>
        <w:bottom w:val="none" w:sz="0" w:space="0" w:color="auto"/>
        <w:right w:val="none" w:sz="0" w:space="0" w:color="auto"/>
      </w:divBdr>
    </w:div>
    <w:div w:id="1368407608">
      <w:bodyDiv w:val="1"/>
      <w:marLeft w:val="0"/>
      <w:marRight w:val="0"/>
      <w:marTop w:val="0"/>
      <w:marBottom w:val="0"/>
      <w:divBdr>
        <w:top w:val="none" w:sz="0" w:space="0" w:color="auto"/>
        <w:left w:val="none" w:sz="0" w:space="0" w:color="auto"/>
        <w:bottom w:val="none" w:sz="0" w:space="0" w:color="auto"/>
        <w:right w:val="none" w:sz="0" w:space="0" w:color="auto"/>
      </w:divBdr>
      <w:divsChild>
        <w:div w:id="921138857">
          <w:marLeft w:val="0"/>
          <w:marRight w:val="0"/>
          <w:marTop w:val="0"/>
          <w:marBottom w:val="0"/>
          <w:divBdr>
            <w:top w:val="none" w:sz="0" w:space="0" w:color="auto"/>
            <w:left w:val="none" w:sz="0" w:space="0" w:color="auto"/>
            <w:bottom w:val="none" w:sz="0" w:space="0" w:color="auto"/>
            <w:right w:val="none" w:sz="0" w:space="0" w:color="auto"/>
          </w:divBdr>
          <w:divsChild>
            <w:div w:id="1656059817">
              <w:marLeft w:val="0"/>
              <w:marRight w:val="0"/>
              <w:marTop w:val="0"/>
              <w:marBottom w:val="0"/>
              <w:divBdr>
                <w:top w:val="none" w:sz="0" w:space="0" w:color="auto"/>
                <w:left w:val="none" w:sz="0" w:space="0" w:color="auto"/>
                <w:bottom w:val="none" w:sz="0" w:space="0" w:color="auto"/>
                <w:right w:val="none" w:sz="0" w:space="0" w:color="auto"/>
              </w:divBdr>
              <w:divsChild>
                <w:div w:id="1430930326">
                  <w:marLeft w:val="0"/>
                  <w:marRight w:val="0"/>
                  <w:marTop w:val="0"/>
                  <w:marBottom w:val="0"/>
                  <w:divBdr>
                    <w:top w:val="none" w:sz="0" w:space="0" w:color="auto"/>
                    <w:left w:val="none" w:sz="0" w:space="0" w:color="auto"/>
                    <w:bottom w:val="none" w:sz="0" w:space="0" w:color="auto"/>
                    <w:right w:val="none" w:sz="0" w:space="0" w:color="auto"/>
                  </w:divBdr>
                  <w:divsChild>
                    <w:div w:id="1849438771">
                      <w:marLeft w:val="0"/>
                      <w:marRight w:val="0"/>
                      <w:marTop w:val="0"/>
                      <w:marBottom w:val="0"/>
                      <w:divBdr>
                        <w:top w:val="none" w:sz="0" w:space="0" w:color="auto"/>
                        <w:left w:val="none" w:sz="0" w:space="0" w:color="auto"/>
                        <w:bottom w:val="none" w:sz="0" w:space="0" w:color="auto"/>
                        <w:right w:val="none" w:sz="0" w:space="0" w:color="auto"/>
                      </w:divBdr>
                      <w:divsChild>
                        <w:div w:id="1545174164">
                          <w:marLeft w:val="0"/>
                          <w:marRight w:val="0"/>
                          <w:marTop w:val="0"/>
                          <w:marBottom w:val="0"/>
                          <w:divBdr>
                            <w:top w:val="none" w:sz="0" w:space="0" w:color="auto"/>
                            <w:left w:val="none" w:sz="0" w:space="0" w:color="auto"/>
                            <w:bottom w:val="none" w:sz="0" w:space="0" w:color="auto"/>
                            <w:right w:val="none" w:sz="0" w:space="0" w:color="auto"/>
                          </w:divBdr>
                          <w:divsChild>
                            <w:div w:id="8850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625396">
      <w:bodyDiv w:val="1"/>
      <w:marLeft w:val="0"/>
      <w:marRight w:val="0"/>
      <w:marTop w:val="0"/>
      <w:marBottom w:val="0"/>
      <w:divBdr>
        <w:top w:val="none" w:sz="0" w:space="0" w:color="auto"/>
        <w:left w:val="none" w:sz="0" w:space="0" w:color="auto"/>
        <w:bottom w:val="none" w:sz="0" w:space="0" w:color="auto"/>
        <w:right w:val="none" w:sz="0" w:space="0" w:color="auto"/>
      </w:divBdr>
      <w:divsChild>
        <w:div w:id="1085372543">
          <w:marLeft w:val="0"/>
          <w:marRight w:val="0"/>
          <w:marTop w:val="0"/>
          <w:marBottom w:val="0"/>
          <w:divBdr>
            <w:top w:val="none" w:sz="0" w:space="0" w:color="auto"/>
            <w:left w:val="none" w:sz="0" w:space="0" w:color="auto"/>
            <w:bottom w:val="none" w:sz="0" w:space="0" w:color="auto"/>
            <w:right w:val="none" w:sz="0" w:space="0" w:color="auto"/>
          </w:divBdr>
          <w:divsChild>
            <w:div w:id="1891308430">
              <w:marLeft w:val="0"/>
              <w:marRight w:val="0"/>
              <w:marTop w:val="0"/>
              <w:marBottom w:val="0"/>
              <w:divBdr>
                <w:top w:val="none" w:sz="0" w:space="0" w:color="auto"/>
                <w:left w:val="none" w:sz="0" w:space="0" w:color="auto"/>
                <w:bottom w:val="none" w:sz="0" w:space="0" w:color="auto"/>
                <w:right w:val="none" w:sz="0" w:space="0" w:color="auto"/>
              </w:divBdr>
              <w:divsChild>
                <w:div w:id="744378880">
                  <w:marLeft w:val="0"/>
                  <w:marRight w:val="0"/>
                  <w:marTop w:val="0"/>
                  <w:marBottom w:val="0"/>
                  <w:divBdr>
                    <w:top w:val="none" w:sz="0" w:space="0" w:color="auto"/>
                    <w:left w:val="none" w:sz="0" w:space="0" w:color="auto"/>
                    <w:bottom w:val="none" w:sz="0" w:space="0" w:color="auto"/>
                    <w:right w:val="none" w:sz="0" w:space="0" w:color="auto"/>
                  </w:divBdr>
                  <w:divsChild>
                    <w:div w:id="177817653">
                      <w:marLeft w:val="0"/>
                      <w:marRight w:val="0"/>
                      <w:marTop w:val="0"/>
                      <w:marBottom w:val="0"/>
                      <w:divBdr>
                        <w:top w:val="none" w:sz="0" w:space="0" w:color="auto"/>
                        <w:left w:val="none" w:sz="0" w:space="0" w:color="auto"/>
                        <w:bottom w:val="none" w:sz="0" w:space="0" w:color="auto"/>
                        <w:right w:val="none" w:sz="0" w:space="0" w:color="auto"/>
                      </w:divBdr>
                      <w:divsChild>
                        <w:div w:id="1680615147">
                          <w:marLeft w:val="0"/>
                          <w:marRight w:val="0"/>
                          <w:marTop w:val="0"/>
                          <w:marBottom w:val="0"/>
                          <w:divBdr>
                            <w:top w:val="none" w:sz="0" w:space="0" w:color="auto"/>
                            <w:left w:val="none" w:sz="0" w:space="0" w:color="auto"/>
                            <w:bottom w:val="none" w:sz="0" w:space="0" w:color="auto"/>
                            <w:right w:val="none" w:sz="0" w:space="0" w:color="auto"/>
                          </w:divBdr>
                          <w:divsChild>
                            <w:div w:id="206952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819922">
      <w:bodyDiv w:val="1"/>
      <w:marLeft w:val="0"/>
      <w:marRight w:val="0"/>
      <w:marTop w:val="0"/>
      <w:marBottom w:val="0"/>
      <w:divBdr>
        <w:top w:val="none" w:sz="0" w:space="0" w:color="auto"/>
        <w:left w:val="none" w:sz="0" w:space="0" w:color="auto"/>
        <w:bottom w:val="none" w:sz="0" w:space="0" w:color="auto"/>
        <w:right w:val="none" w:sz="0" w:space="0" w:color="auto"/>
      </w:divBdr>
    </w:div>
    <w:div w:id="1387947101">
      <w:bodyDiv w:val="1"/>
      <w:marLeft w:val="0"/>
      <w:marRight w:val="0"/>
      <w:marTop w:val="0"/>
      <w:marBottom w:val="0"/>
      <w:divBdr>
        <w:top w:val="none" w:sz="0" w:space="0" w:color="auto"/>
        <w:left w:val="none" w:sz="0" w:space="0" w:color="auto"/>
        <w:bottom w:val="none" w:sz="0" w:space="0" w:color="auto"/>
        <w:right w:val="none" w:sz="0" w:space="0" w:color="auto"/>
      </w:divBdr>
    </w:div>
    <w:div w:id="1387952818">
      <w:bodyDiv w:val="1"/>
      <w:marLeft w:val="0"/>
      <w:marRight w:val="0"/>
      <w:marTop w:val="0"/>
      <w:marBottom w:val="0"/>
      <w:divBdr>
        <w:top w:val="none" w:sz="0" w:space="0" w:color="auto"/>
        <w:left w:val="none" w:sz="0" w:space="0" w:color="auto"/>
        <w:bottom w:val="none" w:sz="0" w:space="0" w:color="auto"/>
        <w:right w:val="none" w:sz="0" w:space="0" w:color="auto"/>
      </w:divBdr>
    </w:div>
    <w:div w:id="1403869738">
      <w:bodyDiv w:val="1"/>
      <w:marLeft w:val="0"/>
      <w:marRight w:val="0"/>
      <w:marTop w:val="0"/>
      <w:marBottom w:val="0"/>
      <w:divBdr>
        <w:top w:val="none" w:sz="0" w:space="0" w:color="auto"/>
        <w:left w:val="none" w:sz="0" w:space="0" w:color="auto"/>
        <w:bottom w:val="none" w:sz="0" w:space="0" w:color="auto"/>
        <w:right w:val="none" w:sz="0" w:space="0" w:color="auto"/>
      </w:divBdr>
      <w:divsChild>
        <w:div w:id="141772460">
          <w:marLeft w:val="0"/>
          <w:marRight w:val="0"/>
          <w:marTop w:val="0"/>
          <w:marBottom w:val="0"/>
          <w:divBdr>
            <w:top w:val="none" w:sz="0" w:space="0" w:color="auto"/>
            <w:left w:val="none" w:sz="0" w:space="0" w:color="auto"/>
            <w:bottom w:val="none" w:sz="0" w:space="0" w:color="auto"/>
            <w:right w:val="none" w:sz="0" w:space="0" w:color="auto"/>
          </w:divBdr>
          <w:divsChild>
            <w:div w:id="19847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16726">
      <w:bodyDiv w:val="1"/>
      <w:marLeft w:val="0"/>
      <w:marRight w:val="0"/>
      <w:marTop w:val="0"/>
      <w:marBottom w:val="0"/>
      <w:divBdr>
        <w:top w:val="none" w:sz="0" w:space="0" w:color="auto"/>
        <w:left w:val="none" w:sz="0" w:space="0" w:color="auto"/>
        <w:bottom w:val="none" w:sz="0" w:space="0" w:color="auto"/>
        <w:right w:val="none" w:sz="0" w:space="0" w:color="auto"/>
      </w:divBdr>
    </w:div>
    <w:div w:id="1469057774">
      <w:bodyDiv w:val="1"/>
      <w:marLeft w:val="0"/>
      <w:marRight w:val="0"/>
      <w:marTop w:val="0"/>
      <w:marBottom w:val="0"/>
      <w:divBdr>
        <w:top w:val="none" w:sz="0" w:space="0" w:color="auto"/>
        <w:left w:val="none" w:sz="0" w:space="0" w:color="auto"/>
        <w:bottom w:val="none" w:sz="0" w:space="0" w:color="auto"/>
        <w:right w:val="none" w:sz="0" w:space="0" w:color="auto"/>
      </w:divBdr>
    </w:div>
    <w:div w:id="1503353744">
      <w:bodyDiv w:val="1"/>
      <w:marLeft w:val="0"/>
      <w:marRight w:val="0"/>
      <w:marTop w:val="0"/>
      <w:marBottom w:val="0"/>
      <w:divBdr>
        <w:top w:val="none" w:sz="0" w:space="0" w:color="auto"/>
        <w:left w:val="none" w:sz="0" w:space="0" w:color="auto"/>
        <w:bottom w:val="none" w:sz="0" w:space="0" w:color="auto"/>
        <w:right w:val="none" w:sz="0" w:space="0" w:color="auto"/>
      </w:divBdr>
    </w:div>
    <w:div w:id="1542327107">
      <w:bodyDiv w:val="1"/>
      <w:marLeft w:val="0"/>
      <w:marRight w:val="0"/>
      <w:marTop w:val="0"/>
      <w:marBottom w:val="0"/>
      <w:divBdr>
        <w:top w:val="none" w:sz="0" w:space="0" w:color="auto"/>
        <w:left w:val="none" w:sz="0" w:space="0" w:color="auto"/>
        <w:bottom w:val="none" w:sz="0" w:space="0" w:color="auto"/>
        <w:right w:val="none" w:sz="0" w:space="0" w:color="auto"/>
      </w:divBdr>
    </w:div>
    <w:div w:id="1545563354">
      <w:bodyDiv w:val="1"/>
      <w:marLeft w:val="0"/>
      <w:marRight w:val="0"/>
      <w:marTop w:val="0"/>
      <w:marBottom w:val="0"/>
      <w:divBdr>
        <w:top w:val="none" w:sz="0" w:space="0" w:color="auto"/>
        <w:left w:val="none" w:sz="0" w:space="0" w:color="auto"/>
        <w:bottom w:val="none" w:sz="0" w:space="0" w:color="auto"/>
        <w:right w:val="none" w:sz="0" w:space="0" w:color="auto"/>
      </w:divBdr>
    </w:div>
    <w:div w:id="1548682100">
      <w:bodyDiv w:val="1"/>
      <w:marLeft w:val="0"/>
      <w:marRight w:val="0"/>
      <w:marTop w:val="0"/>
      <w:marBottom w:val="0"/>
      <w:divBdr>
        <w:top w:val="none" w:sz="0" w:space="0" w:color="auto"/>
        <w:left w:val="none" w:sz="0" w:space="0" w:color="auto"/>
        <w:bottom w:val="none" w:sz="0" w:space="0" w:color="auto"/>
        <w:right w:val="none" w:sz="0" w:space="0" w:color="auto"/>
      </w:divBdr>
    </w:div>
    <w:div w:id="1564441375">
      <w:bodyDiv w:val="1"/>
      <w:marLeft w:val="0"/>
      <w:marRight w:val="0"/>
      <w:marTop w:val="0"/>
      <w:marBottom w:val="0"/>
      <w:divBdr>
        <w:top w:val="none" w:sz="0" w:space="0" w:color="auto"/>
        <w:left w:val="none" w:sz="0" w:space="0" w:color="auto"/>
        <w:bottom w:val="none" w:sz="0" w:space="0" w:color="auto"/>
        <w:right w:val="none" w:sz="0" w:space="0" w:color="auto"/>
      </w:divBdr>
    </w:div>
    <w:div w:id="1567259002">
      <w:bodyDiv w:val="1"/>
      <w:marLeft w:val="0"/>
      <w:marRight w:val="0"/>
      <w:marTop w:val="0"/>
      <w:marBottom w:val="0"/>
      <w:divBdr>
        <w:top w:val="none" w:sz="0" w:space="0" w:color="auto"/>
        <w:left w:val="none" w:sz="0" w:space="0" w:color="auto"/>
        <w:bottom w:val="none" w:sz="0" w:space="0" w:color="auto"/>
        <w:right w:val="none" w:sz="0" w:space="0" w:color="auto"/>
      </w:divBdr>
    </w:div>
    <w:div w:id="1569264542">
      <w:bodyDiv w:val="1"/>
      <w:marLeft w:val="0"/>
      <w:marRight w:val="0"/>
      <w:marTop w:val="0"/>
      <w:marBottom w:val="0"/>
      <w:divBdr>
        <w:top w:val="none" w:sz="0" w:space="0" w:color="auto"/>
        <w:left w:val="none" w:sz="0" w:space="0" w:color="auto"/>
        <w:bottom w:val="none" w:sz="0" w:space="0" w:color="auto"/>
        <w:right w:val="none" w:sz="0" w:space="0" w:color="auto"/>
      </w:divBdr>
    </w:div>
    <w:div w:id="1572616539">
      <w:bodyDiv w:val="1"/>
      <w:marLeft w:val="0"/>
      <w:marRight w:val="0"/>
      <w:marTop w:val="0"/>
      <w:marBottom w:val="0"/>
      <w:divBdr>
        <w:top w:val="none" w:sz="0" w:space="0" w:color="auto"/>
        <w:left w:val="none" w:sz="0" w:space="0" w:color="auto"/>
        <w:bottom w:val="none" w:sz="0" w:space="0" w:color="auto"/>
        <w:right w:val="none" w:sz="0" w:space="0" w:color="auto"/>
      </w:divBdr>
    </w:div>
    <w:div w:id="1576476813">
      <w:bodyDiv w:val="1"/>
      <w:marLeft w:val="0"/>
      <w:marRight w:val="0"/>
      <w:marTop w:val="0"/>
      <w:marBottom w:val="0"/>
      <w:divBdr>
        <w:top w:val="none" w:sz="0" w:space="0" w:color="auto"/>
        <w:left w:val="none" w:sz="0" w:space="0" w:color="auto"/>
        <w:bottom w:val="none" w:sz="0" w:space="0" w:color="auto"/>
        <w:right w:val="none" w:sz="0" w:space="0" w:color="auto"/>
      </w:divBdr>
    </w:div>
    <w:div w:id="1587567643">
      <w:bodyDiv w:val="1"/>
      <w:marLeft w:val="0"/>
      <w:marRight w:val="0"/>
      <w:marTop w:val="0"/>
      <w:marBottom w:val="0"/>
      <w:divBdr>
        <w:top w:val="none" w:sz="0" w:space="0" w:color="auto"/>
        <w:left w:val="none" w:sz="0" w:space="0" w:color="auto"/>
        <w:bottom w:val="none" w:sz="0" w:space="0" w:color="auto"/>
        <w:right w:val="none" w:sz="0" w:space="0" w:color="auto"/>
      </w:divBdr>
    </w:div>
    <w:div w:id="1587960038">
      <w:bodyDiv w:val="1"/>
      <w:marLeft w:val="0"/>
      <w:marRight w:val="0"/>
      <w:marTop w:val="0"/>
      <w:marBottom w:val="0"/>
      <w:divBdr>
        <w:top w:val="none" w:sz="0" w:space="0" w:color="auto"/>
        <w:left w:val="none" w:sz="0" w:space="0" w:color="auto"/>
        <w:bottom w:val="none" w:sz="0" w:space="0" w:color="auto"/>
        <w:right w:val="none" w:sz="0" w:space="0" w:color="auto"/>
      </w:divBdr>
    </w:div>
    <w:div w:id="1594240901">
      <w:bodyDiv w:val="1"/>
      <w:marLeft w:val="0"/>
      <w:marRight w:val="0"/>
      <w:marTop w:val="0"/>
      <w:marBottom w:val="0"/>
      <w:divBdr>
        <w:top w:val="none" w:sz="0" w:space="0" w:color="auto"/>
        <w:left w:val="none" w:sz="0" w:space="0" w:color="auto"/>
        <w:bottom w:val="none" w:sz="0" w:space="0" w:color="auto"/>
        <w:right w:val="none" w:sz="0" w:space="0" w:color="auto"/>
      </w:divBdr>
    </w:div>
    <w:div w:id="1603142493">
      <w:bodyDiv w:val="1"/>
      <w:marLeft w:val="0"/>
      <w:marRight w:val="0"/>
      <w:marTop w:val="0"/>
      <w:marBottom w:val="0"/>
      <w:divBdr>
        <w:top w:val="none" w:sz="0" w:space="0" w:color="auto"/>
        <w:left w:val="none" w:sz="0" w:space="0" w:color="auto"/>
        <w:bottom w:val="none" w:sz="0" w:space="0" w:color="auto"/>
        <w:right w:val="none" w:sz="0" w:space="0" w:color="auto"/>
      </w:divBdr>
    </w:div>
    <w:div w:id="1640770130">
      <w:bodyDiv w:val="1"/>
      <w:marLeft w:val="0"/>
      <w:marRight w:val="0"/>
      <w:marTop w:val="0"/>
      <w:marBottom w:val="0"/>
      <w:divBdr>
        <w:top w:val="none" w:sz="0" w:space="0" w:color="auto"/>
        <w:left w:val="none" w:sz="0" w:space="0" w:color="auto"/>
        <w:bottom w:val="none" w:sz="0" w:space="0" w:color="auto"/>
        <w:right w:val="none" w:sz="0" w:space="0" w:color="auto"/>
      </w:divBdr>
      <w:divsChild>
        <w:div w:id="1277365969">
          <w:marLeft w:val="0"/>
          <w:marRight w:val="0"/>
          <w:marTop w:val="0"/>
          <w:marBottom w:val="0"/>
          <w:divBdr>
            <w:top w:val="none" w:sz="0" w:space="0" w:color="auto"/>
            <w:left w:val="none" w:sz="0" w:space="0" w:color="auto"/>
            <w:bottom w:val="none" w:sz="0" w:space="0" w:color="auto"/>
            <w:right w:val="none" w:sz="0" w:space="0" w:color="auto"/>
          </w:divBdr>
          <w:divsChild>
            <w:div w:id="1093207452">
              <w:marLeft w:val="0"/>
              <w:marRight w:val="0"/>
              <w:marTop w:val="0"/>
              <w:marBottom w:val="0"/>
              <w:divBdr>
                <w:top w:val="none" w:sz="0" w:space="0" w:color="auto"/>
                <w:left w:val="none" w:sz="0" w:space="0" w:color="auto"/>
                <w:bottom w:val="none" w:sz="0" w:space="0" w:color="auto"/>
                <w:right w:val="none" w:sz="0" w:space="0" w:color="auto"/>
              </w:divBdr>
              <w:divsChild>
                <w:div w:id="953901755">
                  <w:marLeft w:val="0"/>
                  <w:marRight w:val="0"/>
                  <w:marTop w:val="0"/>
                  <w:marBottom w:val="0"/>
                  <w:divBdr>
                    <w:top w:val="none" w:sz="0" w:space="0" w:color="auto"/>
                    <w:left w:val="none" w:sz="0" w:space="0" w:color="auto"/>
                    <w:bottom w:val="none" w:sz="0" w:space="0" w:color="auto"/>
                    <w:right w:val="none" w:sz="0" w:space="0" w:color="auto"/>
                  </w:divBdr>
                  <w:divsChild>
                    <w:div w:id="1401292822">
                      <w:marLeft w:val="0"/>
                      <w:marRight w:val="0"/>
                      <w:marTop w:val="0"/>
                      <w:marBottom w:val="0"/>
                      <w:divBdr>
                        <w:top w:val="none" w:sz="0" w:space="0" w:color="auto"/>
                        <w:left w:val="none" w:sz="0" w:space="0" w:color="auto"/>
                        <w:bottom w:val="none" w:sz="0" w:space="0" w:color="auto"/>
                        <w:right w:val="none" w:sz="0" w:space="0" w:color="auto"/>
                      </w:divBdr>
                      <w:divsChild>
                        <w:div w:id="1873882237">
                          <w:marLeft w:val="0"/>
                          <w:marRight w:val="0"/>
                          <w:marTop w:val="0"/>
                          <w:marBottom w:val="0"/>
                          <w:divBdr>
                            <w:top w:val="none" w:sz="0" w:space="0" w:color="auto"/>
                            <w:left w:val="none" w:sz="0" w:space="0" w:color="auto"/>
                            <w:bottom w:val="none" w:sz="0" w:space="0" w:color="auto"/>
                            <w:right w:val="none" w:sz="0" w:space="0" w:color="auto"/>
                          </w:divBdr>
                          <w:divsChild>
                            <w:div w:id="6665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187667">
      <w:bodyDiv w:val="1"/>
      <w:marLeft w:val="0"/>
      <w:marRight w:val="0"/>
      <w:marTop w:val="0"/>
      <w:marBottom w:val="0"/>
      <w:divBdr>
        <w:top w:val="none" w:sz="0" w:space="0" w:color="auto"/>
        <w:left w:val="none" w:sz="0" w:space="0" w:color="auto"/>
        <w:bottom w:val="none" w:sz="0" w:space="0" w:color="auto"/>
        <w:right w:val="none" w:sz="0" w:space="0" w:color="auto"/>
      </w:divBdr>
    </w:div>
    <w:div w:id="1669599133">
      <w:bodyDiv w:val="1"/>
      <w:marLeft w:val="0"/>
      <w:marRight w:val="0"/>
      <w:marTop w:val="0"/>
      <w:marBottom w:val="0"/>
      <w:divBdr>
        <w:top w:val="none" w:sz="0" w:space="0" w:color="auto"/>
        <w:left w:val="none" w:sz="0" w:space="0" w:color="auto"/>
        <w:bottom w:val="none" w:sz="0" w:space="0" w:color="auto"/>
        <w:right w:val="none" w:sz="0" w:space="0" w:color="auto"/>
      </w:divBdr>
      <w:divsChild>
        <w:div w:id="1830947997">
          <w:marLeft w:val="0"/>
          <w:marRight w:val="0"/>
          <w:marTop w:val="0"/>
          <w:marBottom w:val="0"/>
          <w:divBdr>
            <w:top w:val="none" w:sz="0" w:space="0" w:color="auto"/>
            <w:left w:val="none" w:sz="0" w:space="0" w:color="auto"/>
            <w:bottom w:val="none" w:sz="0" w:space="0" w:color="auto"/>
            <w:right w:val="none" w:sz="0" w:space="0" w:color="auto"/>
          </w:divBdr>
          <w:divsChild>
            <w:div w:id="282687993">
              <w:marLeft w:val="0"/>
              <w:marRight w:val="0"/>
              <w:marTop w:val="0"/>
              <w:marBottom w:val="0"/>
              <w:divBdr>
                <w:top w:val="none" w:sz="0" w:space="0" w:color="auto"/>
                <w:left w:val="none" w:sz="0" w:space="0" w:color="auto"/>
                <w:bottom w:val="none" w:sz="0" w:space="0" w:color="auto"/>
                <w:right w:val="none" w:sz="0" w:space="0" w:color="auto"/>
              </w:divBdr>
              <w:divsChild>
                <w:div w:id="1760905622">
                  <w:marLeft w:val="0"/>
                  <w:marRight w:val="0"/>
                  <w:marTop w:val="0"/>
                  <w:marBottom w:val="0"/>
                  <w:divBdr>
                    <w:top w:val="none" w:sz="0" w:space="0" w:color="auto"/>
                    <w:left w:val="none" w:sz="0" w:space="0" w:color="auto"/>
                    <w:bottom w:val="none" w:sz="0" w:space="0" w:color="auto"/>
                    <w:right w:val="none" w:sz="0" w:space="0" w:color="auto"/>
                  </w:divBdr>
                  <w:divsChild>
                    <w:div w:id="2021541238">
                      <w:marLeft w:val="0"/>
                      <w:marRight w:val="0"/>
                      <w:marTop w:val="0"/>
                      <w:marBottom w:val="0"/>
                      <w:divBdr>
                        <w:top w:val="none" w:sz="0" w:space="0" w:color="auto"/>
                        <w:left w:val="none" w:sz="0" w:space="0" w:color="auto"/>
                        <w:bottom w:val="none" w:sz="0" w:space="0" w:color="auto"/>
                        <w:right w:val="none" w:sz="0" w:space="0" w:color="auto"/>
                      </w:divBdr>
                      <w:divsChild>
                        <w:div w:id="1996564566">
                          <w:marLeft w:val="0"/>
                          <w:marRight w:val="0"/>
                          <w:marTop w:val="0"/>
                          <w:marBottom w:val="0"/>
                          <w:divBdr>
                            <w:top w:val="none" w:sz="0" w:space="0" w:color="auto"/>
                            <w:left w:val="none" w:sz="0" w:space="0" w:color="auto"/>
                            <w:bottom w:val="none" w:sz="0" w:space="0" w:color="auto"/>
                            <w:right w:val="none" w:sz="0" w:space="0" w:color="auto"/>
                          </w:divBdr>
                          <w:divsChild>
                            <w:div w:id="3805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06404">
      <w:bodyDiv w:val="1"/>
      <w:marLeft w:val="0"/>
      <w:marRight w:val="0"/>
      <w:marTop w:val="0"/>
      <w:marBottom w:val="0"/>
      <w:divBdr>
        <w:top w:val="none" w:sz="0" w:space="0" w:color="auto"/>
        <w:left w:val="none" w:sz="0" w:space="0" w:color="auto"/>
        <w:bottom w:val="none" w:sz="0" w:space="0" w:color="auto"/>
        <w:right w:val="none" w:sz="0" w:space="0" w:color="auto"/>
      </w:divBdr>
    </w:div>
    <w:div w:id="1697776964">
      <w:bodyDiv w:val="1"/>
      <w:marLeft w:val="0"/>
      <w:marRight w:val="0"/>
      <w:marTop w:val="0"/>
      <w:marBottom w:val="0"/>
      <w:divBdr>
        <w:top w:val="none" w:sz="0" w:space="0" w:color="auto"/>
        <w:left w:val="none" w:sz="0" w:space="0" w:color="auto"/>
        <w:bottom w:val="none" w:sz="0" w:space="0" w:color="auto"/>
        <w:right w:val="none" w:sz="0" w:space="0" w:color="auto"/>
      </w:divBdr>
    </w:div>
    <w:div w:id="1701473334">
      <w:bodyDiv w:val="1"/>
      <w:marLeft w:val="0"/>
      <w:marRight w:val="0"/>
      <w:marTop w:val="0"/>
      <w:marBottom w:val="0"/>
      <w:divBdr>
        <w:top w:val="none" w:sz="0" w:space="0" w:color="auto"/>
        <w:left w:val="none" w:sz="0" w:space="0" w:color="auto"/>
        <w:bottom w:val="none" w:sz="0" w:space="0" w:color="auto"/>
        <w:right w:val="none" w:sz="0" w:space="0" w:color="auto"/>
      </w:divBdr>
    </w:div>
    <w:div w:id="1768965945">
      <w:bodyDiv w:val="1"/>
      <w:marLeft w:val="0"/>
      <w:marRight w:val="0"/>
      <w:marTop w:val="0"/>
      <w:marBottom w:val="0"/>
      <w:divBdr>
        <w:top w:val="none" w:sz="0" w:space="0" w:color="auto"/>
        <w:left w:val="none" w:sz="0" w:space="0" w:color="auto"/>
        <w:bottom w:val="none" w:sz="0" w:space="0" w:color="auto"/>
        <w:right w:val="none" w:sz="0" w:space="0" w:color="auto"/>
      </w:divBdr>
    </w:div>
    <w:div w:id="1801417841">
      <w:bodyDiv w:val="1"/>
      <w:marLeft w:val="0"/>
      <w:marRight w:val="0"/>
      <w:marTop w:val="0"/>
      <w:marBottom w:val="0"/>
      <w:divBdr>
        <w:top w:val="none" w:sz="0" w:space="0" w:color="auto"/>
        <w:left w:val="none" w:sz="0" w:space="0" w:color="auto"/>
        <w:bottom w:val="none" w:sz="0" w:space="0" w:color="auto"/>
        <w:right w:val="none" w:sz="0" w:space="0" w:color="auto"/>
      </w:divBdr>
    </w:div>
    <w:div w:id="1816486346">
      <w:bodyDiv w:val="1"/>
      <w:marLeft w:val="0"/>
      <w:marRight w:val="0"/>
      <w:marTop w:val="0"/>
      <w:marBottom w:val="0"/>
      <w:divBdr>
        <w:top w:val="none" w:sz="0" w:space="0" w:color="auto"/>
        <w:left w:val="none" w:sz="0" w:space="0" w:color="auto"/>
        <w:bottom w:val="none" w:sz="0" w:space="0" w:color="auto"/>
        <w:right w:val="none" w:sz="0" w:space="0" w:color="auto"/>
      </w:divBdr>
    </w:div>
    <w:div w:id="1821338423">
      <w:bodyDiv w:val="1"/>
      <w:marLeft w:val="0"/>
      <w:marRight w:val="0"/>
      <w:marTop w:val="0"/>
      <w:marBottom w:val="0"/>
      <w:divBdr>
        <w:top w:val="none" w:sz="0" w:space="0" w:color="auto"/>
        <w:left w:val="none" w:sz="0" w:space="0" w:color="auto"/>
        <w:bottom w:val="none" w:sz="0" w:space="0" w:color="auto"/>
        <w:right w:val="none" w:sz="0" w:space="0" w:color="auto"/>
      </w:divBdr>
    </w:div>
    <w:div w:id="1824656992">
      <w:bodyDiv w:val="1"/>
      <w:marLeft w:val="0"/>
      <w:marRight w:val="0"/>
      <w:marTop w:val="0"/>
      <w:marBottom w:val="0"/>
      <w:divBdr>
        <w:top w:val="none" w:sz="0" w:space="0" w:color="auto"/>
        <w:left w:val="none" w:sz="0" w:space="0" w:color="auto"/>
        <w:bottom w:val="none" w:sz="0" w:space="0" w:color="auto"/>
        <w:right w:val="none" w:sz="0" w:space="0" w:color="auto"/>
      </w:divBdr>
    </w:div>
    <w:div w:id="1825007454">
      <w:bodyDiv w:val="1"/>
      <w:marLeft w:val="0"/>
      <w:marRight w:val="0"/>
      <w:marTop w:val="0"/>
      <w:marBottom w:val="0"/>
      <w:divBdr>
        <w:top w:val="none" w:sz="0" w:space="0" w:color="auto"/>
        <w:left w:val="none" w:sz="0" w:space="0" w:color="auto"/>
        <w:bottom w:val="none" w:sz="0" w:space="0" w:color="auto"/>
        <w:right w:val="none" w:sz="0" w:space="0" w:color="auto"/>
      </w:divBdr>
    </w:div>
    <w:div w:id="1830559828">
      <w:bodyDiv w:val="1"/>
      <w:marLeft w:val="0"/>
      <w:marRight w:val="0"/>
      <w:marTop w:val="0"/>
      <w:marBottom w:val="0"/>
      <w:divBdr>
        <w:top w:val="none" w:sz="0" w:space="0" w:color="auto"/>
        <w:left w:val="none" w:sz="0" w:space="0" w:color="auto"/>
        <w:bottom w:val="none" w:sz="0" w:space="0" w:color="auto"/>
        <w:right w:val="none" w:sz="0" w:space="0" w:color="auto"/>
      </w:divBdr>
      <w:divsChild>
        <w:div w:id="1001542871">
          <w:marLeft w:val="0"/>
          <w:marRight w:val="0"/>
          <w:marTop w:val="0"/>
          <w:marBottom w:val="0"/>
          <w:divBdr>
            <w:top w:val="none" w:sz="0" w:space="0" w:color="auto"/>
            <w:left w:val="none" w:sz="0" w:space="0" w:color="auto"/>
            <w:bottom w:val="none" w:sz="0" w:space="0" w:color="auto"/>
            <w:right w:val="none" w:sz="0" w:space="0" w:color="auto"/>
          </w:divBdr>
          <w:divsChild>
            <w:div w:id="49153933">
              <w:marLeft w:val="0"/>
              <w:marRight w:val="0"/>
              <w:marTop w:val="0"/>
              <w:marBottom w:val="0"/>
              <w:divBdr>
                <w:top w:val="none" w:sz="0" w:space="0" w:color="auto"/>
                <w:left w:val="none" w:sz="0" w:space="0" w:color="auto"/>
                <w:bottom w:val="none" w:sz="0" w:space="0" w:color="auto"/>
                <w:right w:val="none" w:sz="0" w:space="0" w:color="auto"/>
              </w:divBdr>
              <w:divsChild>
                <w:div w:id="1131482486">
                  <w:marLeft w:val="0"/>
                  <w:marRight w:val="0"/>
                  <w:marTop w:val="0"/>
                  <w:marBottom w:val="0"/>
                  <w:divBdr>
                    <w:top w:val="none" w:sz="0" w:space="0" w:color="auto"/>
                    <w:left w:val="none" w:sz="0" w:space="0" w:color="auto"/>
                    <w:bottom w:val="none" w:sz="0" w:space="0" w:color="auto"/>
                    <w:right w:val="none" w:sz="0" w:space="0" w:color="auto"/>
                  </w:divBdr>
                  <w:divsChild>
                    <w:div w:id="894774614">
                      <w:marLeft w:val="0"/>
                      <w:marRight w:val="0"/>
                      <w:marTop w:val="0"/>
                      <w:marBottom w:val="0"/>
                      <w:divBdr>
                        <w:top w:val="none" w:sz="0" w:space="0" w:color="auto"/>
                        <w:left w:val="none" w:sz="0" w:space="0" w:color="auto"/>
                        <w:bottom w:val="none" w:sz="0" w:space="0" w:color="auto"/>
                        <w:right w:val="none" w:sz="0" w:space="0" w:color="auto"/>
                      </w:divBdr>
                      <w:divsChild>
                        <w:div w:id="275405445">
                          <w:marLeft w:val="0"/>
                          <w:marRight w:val="0"/>
                          <w:marTop w:val="0"/>
                          <w:marBottom w:val="0"/>
                          <w:divBdr>
                            <w:top w:val="none" w:sz="0" w:space="0" w:color="auto"/>
                            <w:left w:val="none" w:sz="0" w:space="0" w:color="auto"/>
                            <w:bottom w:val="none" w:sz="0" w:space="0" w:color="auto"/>
                            <w:right w:val="none" w:sz="0" w:space="0" w:color="auto"/>
                          </w:divBdr>
                          <w:divsChild>
                            <w:div w:id="119472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215847">
      <w:bodyDiv w:val="1"/>
      <w:marLeft w:val="0"/>
      <w:marRight w:val="0"/>
      <w:marTop w:val="0"/>
      <w:marBottom w:val="0"/>
      <w:divBdr>
        <w:top w:val="none" w:sz="0" w:space="0" w:color="auto"/>
        <w:left w:val="none" w:sz="0" w:space="0" w:color="auto"/>
        <w:bottom w:val="none" w:sz="0" w:space="0" w:color="auto"/>
        <w:right w:val="none" w:sz="0" w:space="0" w:color="auto"/>
      </w:divBdr>
    </w:div>
    <w:div w:id="1845121593">
      <w:bodyDiv w:val="1"/>
      <w:marLeft w:val="0"/>
      <w:marRight w:val="0"/>
      <w:marTop w:val="0"/>
      <w:marBottom w:val="0"/>
      <w:divBdr>
        <w:top w:val="none" w:sz="0" w:space="0" w:color="auto"/>
        <w:left w:val="none" w:sz="0" w:space="0" w:color="auto"/>
        <w:bottom w:val="none" w:sz="0" w:space="0" w:color="auto"/>
        <w:right w:val="none" w:sz="0" w:space="0" w:color="auto"/>
      </w:divBdr>
    </w:div>
    <w:div w:id="1871601756">
      <w:bodyDiv w:val="1"/>
      <w:marLeft w:val="0"/>
      <w:marRight w:val="0"/>
      <w:marTop w:val="0"/>
      <w:marBottom w:val="0"/>
      <w:divBdr>
        <w:top w:val="none" w:sz="0" w:space="0" w:color="auto"/>
        <w:left w:val="none" w:sz="0" w:space="0" w:color="auto"/>
        <w:bottom w:val="none" w:sz="0" w:space="0" w:color="auto"/>
        <w:right w:val="none" w:sz="0" w:space="0" w:color="auto"/>
      </w:divBdr>
    </w:div>
    <w:div w:id="1882934346">
      <w:bodyDiv w:val="1"/>
      <w:marLeft w:val="0"/>
      <w:marRight w:val="0"/>
      <w:marTop w:val="0"/>
      <w:marBottom w:val="0"/>
      <w:divBdr>
        <w:top w:val="none" w:sz="0" w:space="0" w:color="auto"/>
        <w:left w:val="none" w:sz="0" w:space="0" w:color="auto"/>
        <w:bottom w:val="none" w:sz="0" w:space="0" w:color="auto"/>
        <w:right w:val="none" w:sz="0" w:space="0" w:color="auto"/>
      </w:divBdr>
    </w:div>
    <w:div w:id="1883051088">
      <w:bodyDiv w:val="1"/>
      <w:marLeft w:val="0"/>
      <w:marRight w:val="0"/>
      <w:marTop w:val="0"/>
      <w:marBottom w:val="0"/>
      <w:divBdr>
        <w:top w:val="none" w:sz="0" w:space="0" w:color="auto"/>
        <w:left w:val="none" w:sz="0" w:space="0" w:color="auto"/>
        <w:bottom w:val="none" w:sz="0" w:space="0" w:color="auto"/>
        <w:right w:val="none" w:sz="0" w:space="0" w:color="auto"/>
      </w:divBdr>
    </w:div>
    <w:div w:id="1896819648">
      <w:bodyDiv w:val="1"/>
      <w:marLeft w:val="0"/>
      <w:marRight w:val="0"/>
      <w:marTop w:val="0"/>
      <w:marBottom w:val="0"/>
      <w:divBdr>
        <w:top w:val="none" w:sz="0" w:space="0" w:color="auto"/>
        <w:left w:val="none" w:sz="0" w:space="0" w:color="auto"/>
        <w:bottom w:val="none" w:sz="0" w:space="0" w:color="auto"/>
        <w:right w:val="none" w:sz="0" w:space="0" w:color="auto"/>
      </w:divBdr>
    </w:div>
    <w:div w:id="1900364400">
      <w:bodyDiv w:val="1"/>
      <w:marLeft w:val="0"/>
      <w:marRight w:val="0"/>
      <w:marTop w:val="0"/>
      <w:marBottom w:val="0"/>
      <w:divBdr>
        <w:top w:val="none" w:sz="0" w:space="0" w:color="auto"/>
        <w:left w:val="none" w:sz="0" w:space="0" w:color="auto"/>
        <w:bottom w:val="none" w:sz="0" w:space="0" w:color="auto"/>
        <w:right w:val="none" w:sz="0" w:space="0" w:color="auto"/>
      </w:divBdr>
    </w:div>
    <w:div w:id="1999651043">
      <w:bodyDiv w:val="1"/>
      <w:marLeft w:val="0"/>
      <w:marRight w:val="0"/>
      <w:marTop w:val="0"/>
      <w:marBottom w:val="0"/>
      <w:divBdr>
        <w:top w:val="none" w:sz="0" w:space="0" w:color="auto"/>
        <w:left w:val="none" w:sz="0" w:space="0" w:color="auto"/>
        <w:bottom w:val="none" w:sz="0" w:space="0" w:color="auto"/>
        <w:right w:val="none" w:sz="0" w:space="0" w:color="auto"/>
      </w:divBdr>
    </w:div>
    <w:div w:id="2014256145">
      <w:bodyDiv w:val="1"/>
      <w:marLeft w:val="0"/>
      <w:marRight w:val="0"/>
      <w:marTop w:val="0"/>
      <w:marBottom w:val="0"/>
      <w:divBdr>
        <w:top w:val="none" w:sz="0" w:space="0" w:color="auto"/>
        <w:left w:val="none" w:sz="0" w:space="0" w:color="auto"/>
        <w:bottom w:val="none" w:sz="0" w:space="0" w:color="auto"/>
        <w:right w:val="none" w:sz="0" w:space="0" w:color="auto"/>
      </w:divBdr>
    </w:div>
    <w:div w:id="2014409014">
      <w:bodyDiv w:val="1"/>
      <w:marLeft w:val="0"/>
      <w:marRight w:val="0"/>
      <w:marTop w:val="0"/>
      <w:marBottom w:val="0"/>
      <w:divBdr>
        <w:top w:val="none" w:sz="0" w:space="0" w:color="auto"/>
        <w:left w:val="none" w:sz="0" w:space="0" w:color="auto"/>
        <w:bottom w:val="none" w:sz="0" w:space="0" w:color="auto"/>
        <w:right w:val="none" w:sz="0" w:space="0" w:color="auto"/>
      </w:divBdr>
    </w:div>
    <w:div w:id="2015108156">
      <w:bodyDiv w:val="1"/>
      <w:marLeft w:val="0"/>
      <w:marRight w:val="0"/>
      <w:marTop w:val="0"/>
      <w:marBottom w:val="0"/>
      <w:divBdr>
        <w:top w:val="none" w:sz="0" w:space="0" w:color="auto"/>
        <w:left w:val="none" w:sz="0" w:space="0" w:color="auto"/>
        <w:bottom w:val="none" w:sz="0" w:space="0" w:color="auto"/>
        <w:right w:val="none" w:sz="0" w:space="0" w:color="auto"/>
      </w:divBdr>
    </w:div>
    <w:div w:id="2046562053">
      <w:bodyDiv w:val="1"/>
      <w:marLeft w:val="0"/>
      <w:marRight w:val="0"/>
      <w:marTop w:val="0"/>
      <w:marBottom w:val="0"/>
      <w:divBdr>
        <w:top w:val="none" w:sz="0" w:space="0" w:color="auto"/>
        <w:left w:val="none" w:sz="0" w:space="0" w:color="auto"/>
        <w:bottom w:val="none" w:sz="0" w:space="0" w:color="auto"/>
        <w:right w:val="none" w:sz="0" w:space="0" w:color="auto"/>
      </w:divBdr>
    </w:div>
    <w:div w:id="2056156930">
      <w:bodyDiv w:val="1"/>
      <w:marLeft w:val="0"/>
      <w:marRight w:val="0"/>
      <w:marTop w:val="0"/>
      <w:marBottom w:val="0"/>
      <w:divBdr>
        <w:top w:val="none" w:sz="0" w:space="0" w:color="auto"/>
        <w:left w:val="none" w:sz="0" w:space="0" w:color="auto"/>
        <w:bottom w:val="none" w:sz="0" w:space="0" w:color="auto"/>
        <w:right w:val="none" w:sz="0" w:space="0" w:color="auto"/>
      </w:divBdr>
    </w:div>
    <w:div w:id="2068215035">
      <w:bodyDiv w:val="1"/>
      <w:marLeft w:val="0"/>
      <w:marRight w:val="0"/>
      <w:marTop w:val="0"/>
      <w:marBottom w:val="0"/>
      <w:divBdr>
        <w:top w:val="none" w:sz="0" w:space="0" w:color="auto"/>
        <w:left w:val="none" w:sz="0" w:space="0" w:color="auto"/>
        <w:bottom w:val="none" w:sz="0" w:space="0" w:color="auto"/>
        <w:right w:val="none" w:sz="0" w:space="0" w:color="auto"/>
      </w:divBdr>
    </w:div>
    <w:div w:id="2081973620">
      <w:bodyDiv w:val="1"/>
      <w:marLeft w:val="0"/>
      <w:marRight w:val="0"/>
      <w:marTop w:val="0"/>
      <w:marBottom w:val="0"/>
      <w:divBdr>
        <w:top w:val="none" w:sz="0" w:space="0" w:color="auto"/>
        <w:left w:val="none" w:sz="0" w:space="0" w:color="auto"/>
        <w:bottom w:val="none" w:sz="0" w:space="0" w:color="auto"/>
        <w:right w:val="none" w:sz="0" w:space="0" w:color="auto"/>
      </w:divBdr>
    </w:div>
    <w:div w:id="2085253800">
      <w:bodyDiv w:val="1"/>
      <w:marLeft w:val="0"/>
      <w:marRight w:val="0"/>
      <w:marTop w:val="0"/>
      <w:marBottom w:val="0"/>
      <w:divBdr>
        <w:top w:val="none" w:sz="0" w:space="0" w:color="auto"/>
        <w:left w:val="none" w:sz="0" w:space="0" w:color="auto"/>
        <w:bottom w:val="none" w:sz="0" w:space="0" w:color="auto"/>
        <w:right w:val="none" w:sz="0" w:space="0" w:color="auto"/>
      </w:divBdr>
    </w:div>
    <w:div w:id="2090035540">
      <w:bodyDiv w:val="1"/>
      <w:marLeft w:val="0"/>
      <w:marRight w:val="0"/>
      <w:marTop w:val="0"/>
      <w:marBottom w:val="0"/>
      <w:divBdr>
        <w:top w:val="none" w:sz="0" w:space="0" w:color="auto"/>
        <w:left w:val="none" w:sz="0" w:space="0" w:color="auto"/>
        <w:bottom w:val="none" w:sz="0" w:space="0" w:color="auto"/>
        <w:right w:val="none" w:sz="0" w:space="0" w:color="auto"/>
      </w:divBdr>
    </w:div>
    <w:div w:id="2100640242">
      <w:bodyDiv w:val="1"/>
      <w:marLeft w:val="0"/>
      <w:marRight w:val="0"/>
      <w:marTop w:val="0"/>
      <w:marBottom w:val="0"/>
      <w:divBdr>
        <w:top w:val="none" w:sz="0" w:space="0" w:color="auto"/>
        <w:left w:val="none" w:sz="0" w:space="0" w:color="auto"/>
        <w:bottom w:val="none" w:sz="0" w:space="0" w:color="auto"/>
        <w:right w:val="none" w:sz="0" w:space="0" w:color="auto"/>
      </w:divBdr>
    </w:div>
    <w:div w:id="2106221856">
      <w:bodyDiv w:val="1"/>
      <w:marLeft w:val="0"/>
      <w:marRight w:val="0"/>
      <w:marTop w:val="0"/>
      <w:marBottom w:val="0"/>
      <w:divBdr>
        <w:top w:val="none" w:sz="0" w:space="0" w:color="auto"/>
        <w:left w:val="none" w:sz="0" w:space="0" w:color="auto"/>
        <w:bottom w:val="none" w:sz="0" w:space="0" w:color="auto"/>
        <w:right w:val="none" w:sz="0" w:space="0" w:color="auto"/>
      </w:divBdr>
    </w:div>
    <w:div w:id="2110151653">
      <w:bodyDiv w:val="1"/>
      <w:marLeft w:val="0"/>
      <w:marRight w:val="0"/>
      <w:marTop w:val="0"/>
      <w:marBottom w:val="0"/>
      <w:divBdr>
        <w:top w:val="none" w:sz="0" w:space="0" w:color="auto"/>
        <w:left w:val="none" w:sz="0" w:space="0" w:color="auto"/>
        <w:bottom w:val="none" w:sz="0" w:space="0" w:color="auto"/>
        <w:right w:val="none" w:sz="0" w:space="0" w:color="auto"/>
      </w:divBdr>
    </w:div>
    <w:div w:id="2115396642">
      <w:bodyDiv w:val="1"/>
      <w:marLeft w:val="0"/>
      <w:marRight w:val="0"/>
      <w:marTop w:val="0"/>
      <w:marBottom w:val="0"/>
      <w:divBdr>
        <w:top w:val="none" w:sz="0" w:space="0" w:color="auto"/>
        <w:left w:val="none" w:sz="0" w:space="0" w:color="auto"/>
        <w:bottom w:val="none" w:sz="0" w:space="0" w:color="auto"/>
        <w:right w:val="none" w:sz="0" w:space="0" w:color="auto"/>
      </w:divBdr>
    </w:div>
    <w:div w:id="2116510328">
      <w:bodyDiv w:val="1"/>
      <w:marLeft w:val="0"/>
      <w:marRight w:val="0"/>
      <w:marTop w:val="0"/>
      <w:marBottom w:val="0"/>
      <w:divBdr>
        <w:top w:val="none" w:sz="0" w:space="0" w:color="auto"/>
        <w:left w:val="none" w:sz="0" w:space="0" w:color="auto"/>
        <w:bottom w:val="none" w:sz="0" w:space="0" w:color="auto"/>
        <w:right w:val="none" w:sz="0" w:space="0" w:color="auto"/>
      </w:divBdr>
    </w:div>
    <w:div w:id="212900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emf"/><Relationship Id="rId21" Type="http://schemas.openxmlformats.org/officeDocument/2006/relationships/image" Target="media/image7.emf"/><Relationship Id="rId42" Type="http://schemas.openxmlformats.org/officeDocument/2006/relationships/oleObject" Target="embeddings/Microsoft_Excel_97-2003_Worksheet13.xls"/><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oleObject" Target="embeddings/Microsoft_Excel_97-2003_Worksheet22.xls"/><Relationship Id="rId84" Type="http://schemas.openxmlformats.org/officeDocument/2006/relationships/oleObject" Target="embeddings/Microsoft_Excel_97-2003_Worksheet30.xls"/><Relationship Id="rId89" Type="http://schemas.openxmlformats.org/officeDocument/2006/relationships/image" Target="media/image41.emf"/><Relationship Id="rId112" Type="http://schemas.openxmlformats.org/officeDocument/2006/relationships/oleObject" Target="embeddings/Microsoft_Excel_97-2003_Worksheet44.xls"/><Relationship Id="rId16" Type="http://schemas.openxmlformats.org/officeDocument/2006/relationships/oleObject" Target="embeddings/Microsoft_Excel_97-2003_Worksheet3.xls"/><Relationship Id="rId107" Type="http://schemas.openxmlformats.org/officeDocument/2006/relationships/image" Target="media/image50.emf"/><Relationship Id="rId11" Type="http://schemas.openxmlformats.org/officeDocument/2006/relationships/oleObject" Target="embeddings/Microsoft_Excel_97-2003_Worksheet1.xls"/><Relationship Id="rId32" Type="http://schemas.openxmlformats.org/officeDocument/2006/relationships/oleObject" Target="embeddings/Microsoft_Excel_97-2003_Worksheet8.xls"/><Relationship Id="rId37" Type="http://schemas.openxmlformats.org/officeDocument/2006/relationships/image" Target="media/image15.emf"/><Relationship Id="rId53" Type="http://schemas.openxmlformats.org/officeDocument/2006/relationships/image" Target="media/image23.emf"/><Relationship Id="rId58" Type="http://schemas.openxmlformats.org/officeDocument/2006/relationships/package" Target="embeddings/Microsoft_Excel_Worksheet4.xlsx"/><Relationship Id="rId74" Type="http://schemas.openxmlformats.org/officeDocument/2006/relationships/oleObject" Target="embeddings/Microsoft_Excel_97-2003_Worksheet25.xls"/><Relationship Id="rId79" Type="http://schemas.openxmlformats.org/officeDocument/2006/relationships/image" Target="media/image36.emf"/><Relationship Id="rId102" Type="http://schemas.openxmlformats.org/officeDocument/2006/relationships/oleObject" Target="embeddings/Microsoft_Excel_97-2003_Worksheet39.xls"/><Relationship Id="rId123" Type="http://schemas.openxmlformats.org/officeDocument/2006/relationships/image" Target="media/image58.emf"/><Relationship Id="rId128" Type="http://schemas.openxmlformats.org/officeDocument/2006/relationships/oleObject" Target="embeddings/Microsoft_Excel_97-2003_Worksheet52.xls"/><Relationship Id="rId5" Type="http://schemas.openxmlformats.org/officeDocument/2006/relationships/webSettings" Target="webSettings.xml"/><Relationship Id="rId90" Type="http://schemas.openxmlformats.org/officeDocument/2006/relationships/oleObject" Target="embeddings/Microsoft_Excel_97-2003_Worksheet33.xls"/><Relationship Id="rId95" Type="http://schemas.openxmlformats.org/officeDocument/2006/relationships/image" Target="media/image44.emf"/><Relationship Id="rId22" Type="http://schemas.openxmlformats.org/officeDocument/2006/relationships/package" Target="embeddings/Microsoft_Excel_Worksheet1.xlsx"/><Relationship Id="rId27" Type="http://schemas.openxmlformats.org/officeDocument/2006/relationships/image" Target="media/image10.emf"/><Relationship Id="rId43" Type="http://schemas.openxmlformats.org/officeDocument/2006/relationships/image" Target="media/image18.emf"/><Relationship Id="rId48" Type="http://schemas.openxmlformats.org/officeDocument/2006/relationships/oleObject" Target="embeddings/Microsoft_Excel_97-2003_Worksheet16.xls"/><Relationship Id="rId64" Type="http://schemas.openxmlformats.org/officeDocument/2006/relationships/package" Target="embeddings/Microsoft_Excel_Worksheet7.xlsx"/><Relationship Id="rId69" Type="http://schemas.openxmlformats.org/officeDocument/2006/relationships/image" Target="media/image31.emf"/><Relationship Id="rId113" Type="http://schemas.openxmlformats.org/officeDocument/2006/relationships/image" Target="media/image53.emf"/><Relationship Id="rId118" Type="http://schemas.openxmlformats.org/officeDocument/2006/relationships/oleObject" Target="embeddings/Microsoft_Excel_97-2003_Worksheet47.xls"/><Relationship Id="rId80" Type="http://schemas.openxmlformats.org/officeDocument/2006/relationships/oleObject" Target="embeddings/Microsoft_Excel_97-2003_Worksheet28.xls"/><Relationship Id="rId85" Type="http://schemas.openxmlformats.org/officeDocument/2006/relationships/image" Target="media/image39.emf"/><Relationship Id="rId12" Type="http://schemas.openxmlformats.org/officeDocument/2006/relationships/image" Target="media/image3.emf"/><Relationship Id="rId17" Type="http://schemas.openxmlformats.org/officeDocument/2006/relationships/image" Target="media/image5.emf"/><Relationship Id="rId33" Type="http://schemas.openxmlformats.org/officeDocument/2006/relationships/image" Target="media/image13.emf"/><Relationship Id="rId38" Type="http://schemas.openxmlformats.org/officeDocument/2006/relationships/oleObject" Target="embeddings/Microsoft_Excel_97-2003_Worksheet11.xls"/><Relationship Id="rId59" Type="http://schemas.openxmlformats.org/officeDocument/2006/relationships/image" Target="media/image26.emf"/><Relationship Id="rId103" Type="http://schemas.openxmlformats.org/officeDocument/2006/relationships/image" Target="media/image48.emf"/><Relationship Id="rId108" Type="http://schemas.openxmlformats.org/officeDocument/2006/relationships/oleObject" Target="embeddings/Microsoft_Excel_97-2003_Worksheet42.xls"/><Relationship Id="rId124" Type="http://schemas.openxmlformats.org/officeDocument/2006/relationships/oleObject" Target="embeddings/Microsoft_Excel_97-2003_Worksheet50.xls"/><Relationship Id="rId129" Type="http://schemas.openxmlformats.org/officeDocument/2006/relationships/footer" Target="footer1.xml"/><Relationship Id="rId54" Type="http://schemas.openxmlformats.org/officeDocument/2006/relationships/oleObject" Target="embeddings/Microsoft_Excel_97-2003_Worksheet19.xls"/><Relationship Id="rId70" Type="http://schemas.openxmlformats.org/officeDocument/2006/relationships/oleObject" Target="embeddings/Microsoft_Excel_97-2003_Worksheet23.xls"/><Relationship Id="rId75" Type="http://schemas.openxmlformats.org/officeDocument/2006/relationships/image" Target="media/image34.emf"/><Relationship Id="rId91" Type="http://schemas.openxmlformats.org/officeDocument/2006/relationships/image" Target="media/image42.emf"/><Relationship Id="rId96" Type="http://schemas.openxmlformats.org/officeDocument/2006/relationships/oleObject" Target="embeddings/Microsoft_Excel_97-2003_Worksheet36.xls"/><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emf"/><Relationship Id="rId28" Type="http://schemas.openxmlformats.org/officeDocument/2006/relationships/oleObject" Target="embeddings/Microsoft_Excel_97-2003_Worksheet6.xls"/><Relationship Id="rId49" Type="http://schemas.openxmlformats.org/officeDocument/2006/relationships/image" Target="media/image21.emf"/><Relationship Id="rId114" Type="http://schemas.openxmlformats.org/officeDocument/2006/relationships/oleObject" Target="embeddings/Microsoft_Excel_97-2003_Worksheet45.xls"/><Relationship Id="rId119" Type="http://schemas.openxmlformats.org/officeDocument/2006/relationships/image" Target="media/image56.emf"/><Relationship Id="rId44" Type="http://schemas.openxmlformats.org/officeDocument/2006/relationships/oleObject" Target="embeddings/Microsoft_Excel_97-2003_Worksheet14.xls"/><Relationship Id="rId60" Type="http://schemas.openxmlformats.org/officeDocument/2006/relationships/package" Target="embeddings/Microsoft_Excel_Worksheet5.xlsx"/><Relationship Id="rId65" Type="http://schemas.openxmlformats.org/officeDocument/2006/relationships/image" Target="media/image29.emf"/><Relationship Id="rId81" Type="http://schemas.openxmlformats.org/officeDocument/2006/relationships/image" Target="media/image37.emf"/><Relationship Id="rId86" Type="http://schemas.openxmlformats.org/officeDocument/2006/relationships/oleObject" Target="embeddings/Microsoft_Excel_97-2003_Worksheet31.xls"/><Relationship Id="rId130" Type="http://schemas.openxmlformats.org/officeDocument/2006/relationships/fontTable" Target="fontTable.xml"/><Relationship Id="rId13" Type="http://schemas.openxmlformats.org/officeDocument/2006/relationships/oleObject" Target="embeddings/Microsoft_Excel_97-2003_Worksheet2.xls"/><Relationship Id="rId18" Type="http://schemas.openxmlformats.org/officeDocument/2006/relationships/oleObject" Target="embeddings/Microsoft_Excel_97-2003_Worksheet4.xls"/><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oleObject" Target="embeddings/Microsoft_Excel_97-2003_Worksheet9.xls"/><Relationship Id="rId50" Type="http://schemas.openxmlformats.org/officeDocument/2006/relationships/oleObject" Target="embeddings/Microsoft_Excel_97-2003_Worksheet17.xls"/><Relationship Id="rId55" Type="http://schemas.openxmlformats.org/officeDocument/2006/relationships/image" Target="media/image24.emf"/><Relationship Id="rId76" Type="http://schemas.openxmlformats.org/officeDocument/2006/relationships/oleObject" Target="embeddings/Microsoft_Excel_97-2003_Worksheet26.xls"/><Relationship Id="rId97" Type="http://schemas.openxmlformats.org/officeDocument/2006/relationships/image" Target="media/image45.emf"/><Relationship Id="rId104" Type="http://schemas.openxmlformats.org/officeDocument/2006/relationships/oleObject" Target="embeddings/Microsoft_Excel_97-2003_Worksheet40.xls"/><Relationship Id="rId120" Type="http://schemas.openxmlformats.org/officeDocument/2006/relationships/oleObject" Target="embeddings/Microsoft_Excel_97-2003_Worksheet48.xls"/><Relationship Id="rId125" Type="http://schemas.openxmlformats.org/officeDocument/2006/relationships/image" Target="media/image59.emf"/><Relationship Id="rId7" Type="http://schemas.openxmlformats.org/officeDocument/2006/relationships/endnotes" Target="endnotes.xml"/><Relationship Id="rId71" Type="http://schemas.openxmlformats.org/officeDocument/2006/relationships/image" Target="media/image32.emf"/><Relationship Id="rId92" Type="http://schemas.openxmlformats.org/officeDocument/2006/relationships/oleObject" Target="embeddings/Microsoft_Excel_97-2003_Worksheet34.xls"/><Relationship Id="rId2" Type="http://schemas.openxmlformats.org/officeDocument/2006/relationships/numbering" Target="numbering.xml"/><Relationship Id="rId29" Type="http://schemas.openxmlformats.org/officeDocument/2006/relationships/image" Target="media/image11.emf"/><Relationship Id="rId24" Type="http://schemas.openxmlformats.org/officeDocument/2006/relationships/package" Target="embeddings/Microsoft_Excel_Worksheet2.xlsx"/><Relationship Id="rId40" Type="http://schemas.openxmlformats.org/officeDocument/2006/relationships/oleObject" Target="embeddings/Microsoft_Excel_97-2003_Worksheet12.xls"/><Relationship Id="rId45" Type="http://schemas.openxmlformats.org/officeDocument/2006/relationships/image" Target="media/image19.emf"/><Relationship Id="rId66" Type="http://schemas.openxmlformats.org/officeDocument/2006/relationships/oleObject" Target="embeddings/Microsoft_Excel_97-2003_Worksheet21.xls"/><Relationship Id="rId87" Type="http://schemas.openxmlformats.org/officeDocument/2006/relationships/image" Target="media/image40.emf"/><Relationship Id="rId110" Type="http://schemas.openxmlformats.org/officeDocument/2006/relationships/oleObject" Target="embeddings/Microsoft_Excel_97-2003_Worksheet43.xls"/><Relationship Id="rId115" Type="http://schemas.openxmlformats.org/officeDocument/2006/relationships/image" Target="media/image54.emf"/><Relationship Id="rId131" Type="http://schemas.openxmlformats.org/officeDocument/2006/relationships/theme" Target="theme/theme1.xml"/><Relationship Id="rId61" Type="http://schemas.openxmlformats.org/officeDocument/2006/relationships/image" Target="media/image27.emf"/><Relationship Id="rId82" Type="http://schemas.openxmlformats.org/officeDocument/2006/relationships/oleObject" Target="embeddings/Microsoft_Excel_97-2003_Worksheet29.xls"/><Relationship Id="rId19" Type="http://schemas.openxmlformats.org/officeDocument/2006/relationships/image" Target="media/image6.emf"/><Relationship Id="rId14" Type="http://schemas.openxmlformats.org/officeDocument/2006/relationships/chart" Target="charts/chart1.xml"/><Relationship Id="rId30" Type="http://schemas.openxmlformats.org/officeDocument/2006/relationships/oleObject" Target="embeddings/Microsoft_Excel_97-2003_Worksheet7.xls"/><Relationship Id="rId35" Type="http://schemas.openxmlformats.org/officeDocument/2006/relationships/image" Target="media/image14.emf"/><Relationship Id="rId56" Type="http://schemas.openxmlformats.org/officeDocument/2006/relationships/oleObject" Target="embeddings/Microsoft_Excel_97-2003_Worksheet20.xls"/><Relationship Id="rId77" Type="http://schemas.openxmlformats.org/officeDocument/2006/relationships/image" Target="media/image35.emf"/><Relationship Id="rId100" Type="http://schemas.openxmlformats.org/officeDocument/2006/relationships/oleObject" Target="embeddings/Microsoft_Excel_97-2003_Worksheet38.xls"/><Relationship Id="rId105" Type="http://schemas.openxmlformats.org/officeDocument/2006/relationships/image" Target="media/image49.emf"/><Relationship Id="rId126" Type="http://schemas.openxmlformats.org/officeDocument/2006/relationships/oleObject" Target="embeddings/Microsoft_Excel_97-2003_Worksheet51.xls"/><Relationship Id="rId8" Type="http://schemas.openxmlformats.org/officeDocument/2006/relationships/image" Target="media/image1.emf"/><Relationship Id="rId51" Type="http://schemas.openxmlformats.org/officeDocument/2006/relationships/image" Target="media/image22.emf"/><Relationship Id="rId72" Type="http://schemas.openxmlformats.org/officeDocument/2006/relationships/oleObject" Target="embeddings/Microsoft_Excel_97-2003_Worksheet24.xls"/><Relationship Id="rId93" Type="http://schemas.openxmlformats.org/officeDocument/2006/relationships/image" Target="media/image43.emf"/><Relationship Id="rId98" Type="http://schemas.openxmlformats.org/officeDocument/2006/relationships/oleObject" Target="embeddings/Microsoft_Excel_97-2003_Worksheet37.xls"/><Relationship Id="rId121" Type="http://schemas.openxmlformats.org/officeDocument/2006/relationships/image" Target="media/image57.emf"/><Relationship Id="rId3" Type="http://schemas.openxmlformats.org/officeDocument/2006/relationships/styles" Target="styles.xml"/><Relationship Id="rId25" Type="http://schemas.openxmlformats.org/officeDocument/2006/relationships/image" Target="media/image9.emf"/><Relationship Id="rId46" Type="http://schemas.openxmlformats.org/officeDocument/2006/relationships/oleObject" Target="embeddings/Microsoft_Excel_97-2003_Worksheet15.xls"/><Relationship Id="rId67" Type="http://schemas.openxmlformats.org/officeDocument/2006/relationships/image" Target="media/image30.emf"/><Relationship Id="rId116" Type="http://schemas.openxmlformats.org/officeDocument/2006/relationships/oleObject" Target="embeddings/Microsoft_Excel_97-2003_Worksheet46.xls"/><Relationship Id="rId20" Type="http://schemas.openxmlformats.org/officeDocument/2006/relationships/oleObject" Target="embeddings/Microsoft_Excel_97-2003_Worksheet5.xls"/><Relationship Id="rId41" Type="http://schemas.openxmlformats.org/officeDocument/2006/relationships/image" Target="media/image17.emf"/><Relationship Id="rId62" Type="http://schemas.openxmlformats.org/officeDocument/2006/relationships/package" Target="embeddings/Microsoft_Excel_Worksheet6.xlsx"/><Relationship Id="rId83" Type="http://schemas.openxmlformats.org/officeDocument/2006/relationships/image" Target="media/image38.emf"/><Relationship Id="rId88" Type="http://schemas.openxmlformats.org/officeDocument/2006/relationships/oleObject" Target="embeddings/Microsoft_Excel_97-2003_Worksheet32.xls"/><Relationship Id="rId111" Type="http://schemas.openxmlformats.org/officeDocument/2006/relationships/image" Target="media/image52.emf"/><Relationship Id="rId15" Type="http://schemas.openxmlformats.org/officeDocument/2006/relationships/image" Target="media/image4.emf"/><Relationship Id="rId36" Type="http://schemas.openxmlformats.org/officeDocument/2006/relationships/oleObject" Target="embeddings/Microsoft_Excel_97-2003_Worksheet10.xls"/><Relationship Id="rId57" Type="http://schemas.openxmlformats.org/officeDocument/2006/relationships/image" Target="media/image25.emf"/><Relationship Id="rId106" Type="http://schemas.openxmlformats.org/officeDocument/2006/relationships/oleObject" Target="embeddings/Microsoft_Excel_97-2003_Worksheet41.xls"/><Relationship Id="rId127" Type="http://schemas.openxmlformats.org/officeDocument/2006/relationships/image" Target="media/image60.emf"/><Relationship Id="rId10" Type="http://schemas.openxmlformats.org/officeDocument/2006/relationships/image" Target="media/image2.emf"/><Relationship Id="rId31" Type="http://schemas.openxmlformats.org/officeDocument/2006/relationships/image" Target="media/image12.emf"/><Relationship Id="rId52" Type="http://schemas.openxmlformats.org/officeDocument/2006/relationships/oleObject" Target="embeddings/Microsoft_Excel_97-2003_Worksheet18.xls"/><Relationship Id="rId73" Type="http://schemas.openxmlformats.org/officeDocument/2006/relationships/image" Target="media/image33.emf"/><Relationship Id="rId78" Type="http://schemas.openxmlformats.org/officeDocument/2006/relationships/oleObject" Target="embeddings/Microsoft_Excel_97-2003_Worksheet27.xls"/><Relationship Id="rId94" Type="http://schemas.openxmlformats.org/officeDocument/2006/relationships/oleObject" Target="embeddings/Microsoft_Excel_97-2003_Worksheet35.xls"/><Relationship Id="rId99" Type="http://schemas.openxmlformats.org/officeDocument/2006/relationships/image" Target="media/image46.emf"/><Relationship Id="rId101" Type="http://schemas.openxmlformats.org/officeDocument/2006/relationships/image" Target="media/image47.emf"/><Relationship Id="rId122" Type="http://schemas.openxmlformats.org/officeDocument/2006/relationships/oleObject" Target="embeddings/Microsoft_Excel_97-2003_Worksheet49.xls"/><Relationship Id="rId4" Type="http://schemas.openxmlformats.org/officeDocument/2006/relationships/settings" Target="settings.xml"/><Relationship Id="rId9" Type="http://schemas.openxmlformats.org/officeDocument/2006/relationships/oleObject" Target="embeddings/Microsoft_Excel_97-2003_Worksheet.xls"/><Relationship Id="rId26" Type="http://schemas.openxmlformats.org/officeDocument/2006/relationships/package" Target="embeddings/Microsoft_Excel_Worksheet3.xlsx"/></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156337561748996"/>
          <c:y val="9.7223795466050533E-2"/>
          <c:w val="0.85731855973093185"/>
          <c:h val="0.80091066210225159"/>
        </c:manualLayout>
      </c:layout>
      <c:lineChart>
        <c:grouping val="standard"/>
        <c:varyColors val="0"/>
        <c:ser>
          <c:idx val="1"/>
          <c:order val="0"/>
          <c:tx>
            <c:strRef>
              <c:f>'Graf-data_2018'!$A$40</c:f>
              <c:strCache>
                <c:ptCount val="1"/>
                <c:pt idx="0">
                  <c:v>rok 2023</c:v>
                </c:pt>
              </c:strCache>
            </c:strRef>
          </c:tx>
          <c:spPr>
            <a:ln w="36000" cap="rnd" cmpd="sng" algn="ctr">
              <a:solidFill>
                <a:srgbClr val="70AD47">
                  <a:lumMod val="60000"/>
                  <a:lumOff val="40000"/>
                  <a:alpha val="91000"/>
                </a:srgbClr>
              </a:solidFill>
              <a:prstDash val="solid"/>
              <a:round/>
            </a:ln>
            <a:effectLst/>
          </c:spPr>
          <c:marker>
            <c:spPr>
              <a:solidFill>
                <a:srgbClr val="70AD47">
                  <a:lumMod val="60000"/>
                  <a:lumOff val="40000"/>
                </a:srgbClr>
              </a:solidFill>
              <a:ln w="12000" cap="flat" cmpd="sng" algn="ctr">
                <a:solidFill>
                  <a:srgbClr val="70AD47">
                    <a:lumMod val="60000"/>
                    <a:lumOff val="40000"/>
                    <a:alpha val="91000"/>
                  </a:srgbClr>
                </a:solidFill>
                <a:prstDash val="solid"/>
                <a:round/>
              </a:ln>
              <a:effectLst/>
            </c:spPr>
          </c:marker>
          <c:dPt>
            <c:idx val="1"/>
            <c:bubble3D val="0"/>
            <c:extLst>
              <c:ext xmlns:c16="http://schemas.microsoft.com/office/drawing/2014/chart" uri="{C3380CC4-5D6E-409C-BE32-E72D297353CC}">
                <c16:uniqueId val="{00000000-63AB-48CD-8D26-1E04DD8D7D50}"/>
              </c:ext>
            </c:extLst>
          </c:dPt>
          <c:dPt>
            <c:idx val="2"/>
            <c:bubble3D val="0"/>
            <c:extLst>
              <c:ext xmlns:c16="http://schemas.microsoft.com/office/drawing/2014/chart" uri="{C3380CC4-5D6E-409C-BE32-E72D297353CC}">
                <c16:uniqueId val="{00000001-63AB-48CD-8D26-1E04DD8D7D50}"/>
              </c:ext>
            </c:extLst>
          </c:dPt>
          <c:dPt>
            <c:idx val="3"/>
            <c:bubble3D val="0"/>
            <c:extLst>
              <c:ext xmlns:c16="http://schemas.microsoft.com/office/drawing/2014/chart" uri="{C3380CC4-5D6E-409C-BE32-E72D297353CC}">
                <c16:uniqueId val="{00000002-63AB-48CD-8D26-1E04DD8D7D50}"/>
              </c:ext>
            </c:extLst>
          </c:dPt>
          <c:val>
            <c:numRef>
              <c:f>'Graf-data_2018'!$B$40:$M$40</c:f>
              <c:numCache>
                <c:formatCode>#,##0</c:formatCode>
                <c:ptCount val="12"/>
                <c:pt idx="0">
                  <c:v>701567.89974000002</c:v>
                </c:pt>
                <c:pt idx="1">
                  <c:v>707821.38991000003</c:v>
                </c:pt>
                <c:pt idx="2">
                  <c:v>850789.38281999994</c:v>
                </c:pt>
                <c:pt idx="3">
                  <c:v>551587.02766000002</c:v>
                </c:pt>
                <c:pt idx="4">
                  <c:v>758201.60606000002</c:v>
                </c:pt>
                <c:pt idx="5">
                  <c:v>951319.18761999998</c:v>
                </c:pt>
                <c:pt idx="6">
                  <c:v>1555712.6554400001</c:v>
                </c:pt>
                <c:pt idx="7">
                  <c:v>717445.11666000006</c:v>
                </c:pt>
                <c:pt idx="8">
                  <c:v>931602.97716000001</c:v>
                </c:pt>
                <c:pt idx="9">
                  <c:v>710440.27028000006</c:v>
                </c:pt>
                <c:pt idx="10">
                  <c:v>813031.2745099999</c:v>
                </c:pt>
                <c:pt idx="11">
                  <c:v>1245231.4530799999</c:v>
                </c:pt>
              </c:numCache>
            </c:numRef>
          </c:val>
          <c:smooth val="0"/>
          <c:extLst>
            <c:ext xmlns:c16="http://schemas.microsoft.com/office/drawing/2014/chart" uri="{C3380CC4-5D6E-409C-BE32-E72D297353CC}">
              <c16:uniqueId val="{00000003-63AB-48CD-8D26-1E04DD8D7D50}"/>
            </c:ext>
          </c:extLst>
        </c:ser>
        <c:ser>
          <c:idx val="2"/>
          <c:order val="1"/>
          <c:tx>
            <c:strRef>
              <c:f>'Graf-data_2018'!$A$41</c:f>
              <c:strCache>
                <c:ptCount val="1"/>
                <c:pt idx="0">
                  <c:v>rok 2024</c:v>
                </c:pt>
              </c:strCache>
            </c:strRef>
          </c:tx>
          <c:spPr>
            <a:ln w="36000" cap="rnd" cmpd="sng" algn="ctr">
              <a:solidFill>
                <a:srgbClr val="FF0000"/>
              </a:solidFill>
              <a:prstDash val="solid"/>
              <a:round/>
            </a:ln>
            <a:effectLst/>
          </c:spPr>
          <c:marker>
            <c:symbol val="square"/>
            <c:size val="7"/>
            <c:spPr>
              <a:solidFill>
                <a:srgbClr val="FF0000"/>
              </a:solidFill>
              <a:ln w="12000" cap="flat" cmpd="sng" algn="ctr">
                <a:solidFill>
                  <a:srgbClr val="FF0000"/>
                </a:solidFill>
                <a:prstDash val="solid"/>
                <a:round/>
              </a:ln>
              <a:effectLst/>
            </c:spPr>
          </c:marker>
          <c:val>
            <c:numRef>
              <c:f>'Graf-data_2018'!$B$41:$M$41</c:f>
              <c:numCache>
                <c:formatCode>#,##0</c:formatCode>
                <c:ptCount val="12"/>
                <c:pt idx="0">
                  <c:v>718975.2665899999</c:v>
                </c:pt>
                <c:pt idx="1">
                  <c:v>757253.81047000003</c:v>
                </c:pt>
                <c:pt idx="2">
                  <c:v>991672.1105500001</c:v>
                </c:pt>
                <c:pt idx="3">
                  <c:v>583548.72100000002</c:v>
                </c:pt>
                <c:pt idx="4">
                  <c:v>739433.26019000006</c:v>
                </c:pt>
                <c:pt idx="5">
                  <c:v>1005977.9121999999</c:v>
                </c:pt>
                <c:pt idx="6">
                  <c:v>1343297.6139500001</c:v>
                </c:pt>
                <c:pt idx="7">
                  <c:v>727445.86485999986</c:v>
                </c:pt>
                <c:pt idx="8">
                  <c:v>859693.24217999994</c:v>
                </c:pt>
                <c:pt idx="9">
                  <c:v>874827.40341000003</c:v>
                </c:pt>
                <c:pt idx="10">
                  <c:v>815408</c:v>
                </c:pt>
                <c:pt idx="11">
                  <c:v>1280601</c:v>
                </c:pt>
              </c:numCache>
            </c:numRef>
          </c:val>
          <c:smooth val="0"/>
          <c:extLst>
            <c:ext xmlns:c16="http://schemas.microsoft.com/office/drawing/2014/chart" uri="{C3380CC4-5D6E-409C-BE32-E72D297353CC}">
              <c16:uniqueId val="{00000004-63AB-48CD-8D26-1E04DD8D7D50}"/>
            </c:ext>
          </c:extLst>
        </c:ser>
        <c:ser>
          <c:idx val="0"/>
          <c:order val="2"/>
          <c:tx>
            <c:strRef>
              <c:f>'Graf-data_2018'!$A$42</c:f>
              <c:strCache>
                <c:ptCount val="1"/>
                <c:pt idx="0">
                  <c:v>rok 2025</c:v>
                </c:pt>
              </c:strCache>
            </c:strRef>
          </c:tx>
          <c:spPr>
            <a:ln w="36000" cap="rnd" cmpd="sng" algn="ctr">
              <a:solidFill>
                <a:schemeClr val="accent1"/>
              </a:solidFill>
              <a:prstDash val="solid"/>
              <a:round/>
            </a:ln>
            <a:effectLst/>
          </c:spPr>
          <c:marker>
            <c:spPr>
              <a:solidFill>
                <a:schemeClr val="accent1"/>
              </a:solidFill>
              <a:ln w="12000" cap="flat" cmpd="sng" algn="ctr">
                <a:solidFill>
                  <a:schemeClr val="accent1"/>
                </a:solidFill>
                <a:prstDash val="solid"/>
                <a:round/>
              </a:ln>
              <a:effectLst/>
            </c:spPr>
          </c:marker>
          <c:dLbls>
            <c:dLbl>
              <c:idx val="0"/>
              <c:layout>
                <c:manualLayout>
                  <c:x val="-4.2526047203912398E-2"/>
                  <c:y val="8.53424365265628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3AB-48CD-8D26-1E04DD8D7D50}"/>
                </c:ext>
              </c:extLst>
            </c:dLbl>
            <c:dLbl>
              <c:idx val="1"/>
              <c:layout>
                <c:manualLayout>
                  <c:x val="-8.0799489687433557E-2"/>
                  <c:y val="-5.97397055685939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3AB-48CD-8D26-1E04DD8D7D50}"/>
                </c:ext>
              </c:extLst>
            </c:dLbl>
            <c:dLbl>
              <c:idx val="2"/>
              <c:layout>
                <c:manualLayout>
                  <c:x val="-5.7410163725281738E-2"/>
                  <c:y val="0.10241092383187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3AB-48CD-8D26-1E04DD8D7D50}"/>
                </c:ext>
              </c:extLst>
            </c:dLbl>
            <c:dLbl>
              <c:idx val="3"/>
              <c:layout>
                <c:manualLayout>
                  <c:x val="-3.6147140123325573E-2"/>
                  <c:y val="-5.97397055685939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3AB-48CD-8D26-1E04DD8D7D50}"/>
                </c:ext>
              </c:extLst>
            </c:dLbl>
            <c:dLbl>
              <c:idx val="4"/>
              <c:layout>
                <c:manualLayout>
                  <c:x val="0"/>
                  <c:y val="6.40068273949222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3AB-48CD-8D26-1E04DD8D7D5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'Graf-data_2018'!$B$42:$M$42</c:f>
              <c:numCache>
                <c:formatCode>#,##0</c:formatCode>
                <c:ptCount val="12"/>
                <c:pt idx="0">
                  <c:v>737689</c:v>
                </c:pt>
                <c:pt idx="1">
                  <c:v>777126</c:v>
                </c:pt>
                <c:pt idx="2">
                  <c:v>880835</c:v>
                </c:pt>
                <c:pt idx="3">
                  <c:v>747989</c:v>
                </c:pt>
                <c:pt idx="4">
                  <c:v>782596</c:v>
                </c:pt>
                <c:pt idx="5">
                  <c:v>984937.03993000009</c:v>
                </c:pt>
                <c:pt idx="6">
                  <c:v>1504343.6753</c:v>
                </c:pt>
              </c:numCache>
            </c:numRef>
          </c:val>
          <c:smooth val="0"/>
          <c:extLst>
            <c:ext xmlns:c16="http://schemas.microsoft.com/office/drawing/2014/chart" uri="{C3380CC4-5D6E-409C-BE32-E72D297353CC}">
              <c16:uniqueId val="{0000000A-63AB-48CD-8D26-1E04DD8D7D50}"/>
            </c:ext>
          </c:extLst>
        </c:ser>
        <c:dLbls>
          <c:showLegendKey val="0"/>
          <c:showVal val="0"/>
          <c:showCatName val="0"/>
          <c:showSerName val="0"/>
          <c:showPercent val="0"/>
          <c:showBubbleSize val="0"/>
        </c:dLbls>
        <c:marker val="1"/>
        <c:smooth val="0"/>
        <c:axId val="295051952"/>
        <c:axId val="295050776"/>
      </c:lineChart>
      <c:catAx>
        <c:axId val="295051952"/>
        <c:scaling>
          <c:orientation val="minMax"/>
        </c:scaling>
        <c:delete val="0"/>
        <c:axPos val="b"/>
        <c:numFmt formatCode="General"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295050776"/>
        <c:crosses val="autoZero"/>
        <c:auto val="1"/>
        <c:lblAlgn val="ctr"/>
        <c:lblOffset val="100"/>
        <c:noMultiLvlLbl val="0"/>
      </c:catAx>
      <c:valAx>
        <c:axId val="295050776"/>
        <c:scaling>
          <c:orientation val="minMax"/>
          <c:min val="200000"/>
        </c:scaling>
        <c:delete val="0"/>
        <c:axPos val="l"/>
        <c:majorGridlines>
          <c:spPr>
            <a:ln w="12000" cap="flat" cmpd="sng" algn="ctr">
              <a:solidFill>
                <a:schemeClr val="tx1">
                  <a:tint val="75000"/>
                </a:schemeClr>
              </a:solidFill>
              <a:prstDash val="solid"/>
              <a:round/>
            </a:ln>
            <a:effectLst/>
          </c:spPr>
        </c:majorGridlines>
        <c:numFmt formatCode="#,##0"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295051952"/>
        <c:crosses val="autoZero"/>
        <c:crossBetween val="between"/>
      </c:valAx>
      <c:spPr>
        <a:noFill/>
        <a:ln>
          <a:noFill/>
        </a:ln>
        <a:effectLst/>
      </c:spPr>
    </c:plotArea>
    <c:legend>
      <c:legendPos val="b"/>
      <c:layout>
        <c:manualLayout>
          <c:xMode val="edge"/>
          <c:yMode val="edge"/>
          <c:x val="0.1517425270631757"/>
          <c:y val="0.94697132227231118"/>
          <c:w val="0.40321222339233964"/>
          <c:h val="5.302856451669805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legend>
    <c:plotVisOnly val="1"/>
    <c:dispBlanksAs val="gap"/>
    <c:showDLblsOverMax val="0"/>
  </c:chart>
  <c:spPr>
    <a:solidFill>
      <a:schemeClr val="bg1"/>
    </a:solidFill>
    <a:ln w="12000" cap="flat" cmpd="sng" algn="ctr">
      <a:solidFill>
        <a:schemeClr val="tx1">
          <a:tint val="75000"/>
        </a:schemeClr>
      </a:solidFill>
      <a:prstDash val="solid"/>
      <a:round/>
    </a:ln>
    <a:effectLst/>
  </c:spPr>
  <c:txPr>
    <a:bodyPr/>
    <a:lstStyle/>
    <a:p>
      <a:pPr>
        <a:defRPr sz="800" baseline="0"/>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61B77-F0F3-4282-883E-72D6329AF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4015</TotalTime>
  <Pages>45</Pages>
  <Words>8928</Words>
  <Characters>52681</Characters>
  <Application>Microsoft Office Word</Application>
  <DocSecurity>0</DocSecurity>
  <Lines>439</Lines>
  <Paragraphs>122</Paragraphs>
  <ScaleCrop>false</ScaleCrop>
  <HeadingPairs>
    <vt:vector size="2" baseType="variant">
      <vt:variant>
        <vt:lpstr>Název</vt:lpstr>
      </vt:variant>
      <vt:variant>
        <vt:i4>1</vt:i4>
      </vt:variant>
    </vt:vector>
  </HeadingPairs>
  <TitlesOfParts>
    <vt:vector size="1" baseType="lpstr">
      <vt:lpstr>Plnění rozpočtu MSK</vt:lpstr>
    </vt:vector>
  </TitlesOfParts>
  <Company>Krajský úřad</Company>
  <LinksUpToDate>false</LinksUpToDate>
  <CharactersWithSpaces>61487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Plnění rozpočtu MSK</dc:title>
  <dc:subject/>
  <dc:creator>metelkova</dc:creator>
  <cp:keywords/>
  <cp:lastModifiedBy>Klučková Pavla</cp:lastModifiedBy>
  <cp:revision>507</cp:revision>
  <cp:lastPrinted>2018-11-14T11:56:00Z</cp:lastPrinted>
  <dcterms:created xsi:type="dcterms:W3CDTF">2024-08-11T03:52:00Z</dcterms:created>
  <dcterms:modified xsi:type="dcterms:W3CDTF">2025-08-20T11:09:00Z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ff9749-f68b-40ec-aa05-229831920469_Enabled">
    <vt:lpwstr>true</vt:lpwstr>
  </property>
  <property fmtid="{D5CDD505-2E9C-101B-9397-08002B2CF9AE}" pid="3" name="MSIP_Label_63ff9749-f68b-40ec-aa05-229831920469_SetDate">
    <vt:lpwstr>2022-04-28T06:22:17Z</vt:lpwstr>
  </property>
  <property fmtid="{D5CDD505-2E9C-101B-9397-08002B2CF9AE}" pid="4" name="MSIP_Label_63ff9749-f68b-40ec-aa05-229831920469_Method">
    <vt:lpwstr>Standard</vt:lpwstr>
  </property>
  <property fmtid="{D5CDD505-2E9C-101B-9397-08002B2CF9AE}" pid="5" name="MSIP_Label_63ff9749-f68b-40ec-aa05-229831920469_Name">
    <vt:lpwstr>Neveřejná informace</vt:lpwstr>
  </property>
  <property fmtid="{D5CDD505-2E9C-101B-9397-08002B2CF9AE}" pid="6" name="MSIP_Label_63ff9749-f68b-40ec-aa05-229831920469_SiteId">
    <vt:lpwstr>39f24d0b-aa30-4551-8e81-43c77cf1000e</vt:lpwstr>
  </property>
  <property fmtid="{D5CDD505-2E9C-101B-9397-08002B2CF9AE}" pid="7" name="MSIP_Label_63ff9749-f68b-40ec-aa05-229831920469_ActionId">
    <vt:lpwstr>b584e687-d0f6-4d61-a6b1-a583b22a5b83</vt:lpwstr>
  </property>
  <property fmtid="{D5CDD505-2E9C-101B-9397-08002B2CF9AE}" pid="8" name="MSIP_Label_63ff9749-f68b-40ec-aa05-229831920469_ContentBits">
    <vt:lpwstr>2</vt:lpwstr>
  </property>
  <property fmtid="{D5CDD505-2E9C-101B-9397-08002B2CF9AE}" pid="9" name="Podruhe">
    <vt:bool>false</vt:bool>
  </property>
</Properties>
</file>