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704" w:rsidRDefault="00E6070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</w:p>
    <w:p w:rsidR="001578A5" w:rsidRDefault="001578A5" w:rsidP="001578A5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sz w:val="24"/>
          <w:szCs w:val="24"/>
        </w:rPr>
      </w:pPr>
      <w:r w:rsidRPr="0023508A">
        <w:rPr>
          <w:rFonts w:ascii="Tahoma" w:hAnsi="Tahoma" w:cs="Tahoma"/>
          <w:sz w:val="24"/>
          <w:szCs w:val="24"/>
        </w:rPr>
        <w:t xml:space="preserve">ke Smlouvě o poskytnutí dotace z rozpočtu Moravskoslezského kraje evidenční číslo </w:t>
      </w:r>
      <w:r w:rsidRPr="001578A5">
        <w:rPr>
          <w:rFonts w:ascii="Tahoma" w:hAnsi="Tahoma" w:cs="Tahoma"/>
          <w:sz w:val="24"/>
          <w:szCs w:val="24"/>
        </w:rPr>
        <w:t xml:space="preserve">00324/2016/RRC </w:t>
      </w:r>
    </w:p>
    <w:p w:rsidR="001578A5" w:rsidRPr="0023508A" w:rsidRDefault="001578A5" w:rsidP="001578A5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 w:val="0"/>
          <w:sz w:val="20"/>
        </w:rPr>
      </w:pPr>
      <w:r w:rsidRPr="0023508A">
        <w:rPr>
          <w:rFonts w:ascii="Tahoma" w:hAnsi="Tahoma" w:cs="Tahoma"/>
          <w:b w:val="0"/>
          <w:sz w:val="20"/>
        </w:rPr>
        <w:t>(dále jen „dohoda“)</w:t>
      </w:r>
    </w:p>
    <w:p w:rsidR="001578A5" w:rsidRPr="0023508A" w:rsidRDefault="001578A5" w:rsidP="0023508A"/>
    <w:p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Pr="00834AB5">
          <w:rPr>
            <w:rFonts w:ascii="Tahoma" w:hAnsi="Tahoma" w:cs="Tahoma"/>
            <w:b w:val="0"/>
            <w:bCs/>
            <w:sz w:val="20"/>
          </w:rPr>
          <w:t>28. října 11</w:t>
        </w:r>
      </w:smartTag>
      <w:r w:rsidRPr="00834AB5">
        <w:rPr>
          <w:rFonts w:ascii="Tahoma" w:hAnsi="Tahoma" w:cs="Tahoma"/>
          <w:b w:val="0"/>
          <w:bCs/>
          <w:sz w:val="20"/>
        </w:rPr>
        <w:t>7, 702 18 Ostrava</w:t>
      </w:r>
    </w:p>
    <w:p w:rsidR="003E39D0" w:rsidRPr="00834AB5" w:rsidRDefault="000C6CA8" w:rsidP="003905FF">
      <w:pPr>
        <w:tabs>
          <w:tab w:val="left" w:pos="2552"/>
        </w:tabs>
        <w:spacing w:before="120" w:after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a.s., </w:t>
      </w:r>
    </w:p>
    <w:p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:rsidR="00E60704" w:rsidRPr="004362E0" w:rsidRDefault="00D76EA6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caps w:val="0"/>
          <w:sz w:val="20"/>
          <w:szCs w:val="20"/>
          <w:lang w:val="cs-CZ"/>
        </w:rPr>
      </w:pPr>
      <w:r>
        <w:rPr>
          <w:rFonts w:ascii="Tahoma" w:hAnsi="Tahoma" w:cs="Tahoma"/>
          <w:caps w:val="0"/>
          <w:sz w:val="20"/>
          <w:szCs w:val="20"/>
          <w:lang w:val="cs-CZ"/>
        </w:rPr>
        <w:t>ING corporation, spol. s r.o.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D76EA6">
        <w:rPr>
          <w:rFonts w:ascii="Tahoma" w:hAnsi="Tahoma" w:cs="Tahoma"/>
          <w:b w:val="0"/>
          <w:bCs/>
          <w:sz w:val="20"/>
        </w:rPr>
        <w:t>Mánesova 1259, Frýdlant, 739 11 Frýdlant nad Ostravicí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D76EA6">
        <w:rPr>
          <w:rFonts w:ascii="Tahoma" w:hAnsi="Tahoma" w:cs="Tahoma"/>
          <w:b w:val="0"/>
          <w:bCs/>
          <w:sz w:val="20"/>
        </w:rPr>
        <w:t>Ing. Jiřím Rosickým, CSc., jednatelem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D76EA6">
        <w:rPr>
          <w:rFonts w:ascii="Tahoma" w:hAnsi="Tahoma" w:cs="Tahoma"/>
          <w:b w:val="0"/>
          <w:bCs/>
          <w:sz w:val="20"/>
        </w:rPr>
        <w:t>14613794</w:t>
      </w:r>
    </w:p>
    <w:p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D76EA6">
        <w:rPr>
          <w:rFonts w:ascii="Tahoma" w:hAnsi="Tahoma" w:cs="Tahoma"/>
          <w:b w:val="0"/>
          <w:bCs/>
          <w:sz w:val="20"/>
        </w:rPr>
        <w:t>CZ14613794</w:t>
      </w:r>
    </w:p>
    <w:p w:rsidR="005C7764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D76EA6">
        <w:rPr>
          <w:rFonts w:ascii="Tahoma" w:hAnsi="Tahoma" w:cs="Tahoma"/>
          <w:b w:val="0"/>
          <w:bCs/>
          <w:sz w:val="20"/>
        </w:rPr>
        <w:t>Československá obchodní banka, a.s.</w:t>
      </w:r>
    </w:p>
    <w:p w:rsidR="0023508A" w:rsidRDefault="00810F88" w:rsidP="0023508A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číslo účtu:</w:t>
      </w:r>
      <w:r>
        <w:rPr>
          <w:rFonts w:ascii="Tahoma" w:hAnsi="Tahoma" w:cs="Tahoma"/>
          <w:b w:val="0"/>
          <w:bCs/>
          <w:sz w:val="20"/>
        </w:rPr>
        <w:tab/>
      </w:r>
      <w:r w:rsidR="00D76EA6">
        <w:rPr>
          <w:rFonts w:ascii="Tahoma" w:hAnsi="Tahoma" w:cs="Tahoma"/>
          <w:b w:val="0"/>
          <w:bCs/>
          <w:sz w:val="20"/>
        </w:rPr>
        <w:t>9994603/0300</w:t>
      </w:r>
    </w:p>
    <w:p w:rsidR="001578A5" w:rsidRDefault="001578A5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Zapsána v obchodním rejstříku vedeném Krajským soudem v Ostravě, oddíl C, vložka 648</w:t>
      </w:r>
    </w:p>
    <w:p w:rsidR="00F87582" w:rsidRPr="00834AB5" w:rsidRDefault="00F87582" w:rsidP="00A04E3B">
      <w:pPr>
        <w:tabs>
          <w:tab w:val="left" w:pos="2552"/>
        </w:tabs>
        <w:rPr>
          <w:rFonts w:ascii="Tahoma" w:hAnsi="Tahoma" w:cs="Tahoma"/>
          <w:b w:val="0"/>
          <w:bCs/>
          <w:sz w:val="20"/>
        </w:rPr>
      </w:pPr>
    </w:p>
    <w:p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:rsidR="008E5237" w:rsidRPr="00834AB5" w:rsidRDefault="008E5237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</w:t>
      </w:r>
      <w:r w:rsidR="00501690" w:rsidRPr="00834AB5">
        <w:rPr>
          <w:rFonts w:ascii="Tahoma" w:hAnsi="Tahoma" w:cs="Tahoma"/>
          <w:sz w:val="20"/>
        </w:rPr>
        <w:t>I</w:t>
      </w:r>
      <w:r w:rsidRPr="00834AB5">
        <w:rPr>
          <w:rFonts w:ascii="Tahoma" w:hAnsi="Tahoma" w:cs="Tahoma"/>
          <w:sz w:val="20"/>
        </w:rPr>
        <w:t>.</w:t>
      </w:r>
    </w:p>
    <w:p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:rsidR="00FC3BC1" w:rsidRPr="00834AB5" w:rsidRDefault="00FC3BC1" w:rsidP="006811CE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Smluvní strany uzavřely </w:t>
      </w:r>
      <w:r w:rsidR="001578A5">
        <w:rPr>
          <w:rFonts w:ascii="Tahoma" w:hAnsi="Tahoma" w:cs="Tahoma"/>
          <w:b w:val="0"/>
          <w:bCs/>
          <w:iCs/>
          <w:sz w:val="20"/>
        </w:rPr>
        <w:t xml:space="preserve">23. 2. 2016 </w:t>
      </w:r>
      <w:r w:rsidRPr="00834AB5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evidenční číslo </w:t>
      </w:r>
      <w:r w:rsidR="00D76EA6">
        <w:rPr>
          <w:rFonts w:ascii="Tahoma" w:hAnsi="Tahoma" w:cs="Tahoma"/>
          <w:b w:val="0"/>
          <w:bCs/>
          <w:iCs/>
          <w:sz w:val="20"/>
        </w:rPr>
        <w:t>00324/2016/RRC</w:t>
      </w:r>
      <w:r w:rsidR="00F87582">
        <w:rPr>
          <w:rFonts w:ascii="Tahoma" w:hAnsi="Tahoma" w:cs="Tahoma"/>
          <w:b w:val="0"/>
          <w:bCs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iCs/>
          <w:sz w:val="20"/>
        </w:rPr>
        <w:t>(dále jen „smlouva“)</w:t>
      </w:r>
      <w:r w:rsidR="00D76EA6">
        <w:rPr>
          <w:rFonts w:ascii="Tahoma" w:hAnsi="Tahoma" w:cs="Tahoma"/>
          <w:b w:val="0"/>
          <w:bCs/>
          <w:i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 </w:t>
      </w:r>
    </w:p>
    <w:p w:rsidR="00722CAE" w:rsidRPr="00B86B4E" w:rsidRDefault="008E5237" w:rsidP="005016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Účelem smlouvy je spolufina</w:t>
      </w:r>
      <w:r w:rsidR="005366A4">
        <w:rPr>
          <w:rFonts w:ascii="Tahoma" w:hAnsi="Tahoma" w:cs="Tahoma"/>
          <w:b w:val="0"/>
          <w:bCs/>
          <w:iCs/>
          <w:sz w:val="20"/>
        </w:rPr>
        <w:t xml:space="preserve">ncování uznatelných nákladů, </w:t>
      </w:r>
      <w:r w:rsidR="00810F88">
        <w:rPr>
          <w:rFonts w:ascii="Tahoma" w:hAnsi="Tahoma" w:cs="Tahoma"/>
          <w:b w:val="0"/>
          <w:bCs/>
          <w:iCs/>
          <w:sz w:val="20"/>
        </w:rPr>
        <w:t xml:space="preserve">které 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prokazatelně souvisejí </w:t>
      </w:r>
      <w:r w:rsidR="005366A4">
        <w:rPr>
          <w:rFonts w:ascii="Tahoma" w:hAnsi="Tahoma" w:cs="Tahoma"/>
          <w:b w:val="0"/>
          <w:bCs/>
          <w:iCs/>
          <w:sz w:val="20"/>
        </w:rPr>
        <w:t xml:space="preserve">s </w:t>
      </w:r>
      <w:r w:rsidRPr="00834AB5">
        <w:rPr>
          <w:rFonts w:ascii="Tahoma" w:hAnsi="Tahoma" w:cs="Tahoma"/>
          <w:b w:val="0"/>
          <w:bCs/>
          <w:iCs/>
          <w:sz w:val="20"/>
        </w:rPr>
        <w:t>realizací projektu s názvem „</w:t>
      </w:r>
      <w:r w:rsidR="00D76EA6">
        <w:rPr>
          <w:rFonts w:ascii="Tahoma" w:hAnsi="Tahoma" w:cs="Tahoma"/>
          <w:b w:val="0"/>
          <w:bCs/>
          <w:iCs/>
          <w:sz w:val="20"/>
        </w:rPr>
        <w:t>Zařízení pro zjištění doby používání ortotické pomůcky a její vnitřní teploty</w:t>
      </w:r>
      <w:r w:rsidRPr="00834AB5">
        <w:rPr>
          <w:rFonts w:ascii="Tahoma" w:hAnsi="Tahoma" w:cs="Tahoma"/>
          <w:b w:val="0"/>
          <w:iCs/>
          <w:sz w:val="20"/>
        </w:rPr>
        <w:t>“ (dále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jen</w:t>
      </w:r>
      <w:r w:rsidRPr="00834AB5">
        <w:rPr>
          <w:rFonts w:ascii="Tahoma" w:hAnsi="Tahoma" w:cs="Tahoma"/>
          <w:iCs/>
          <w:sz w:val="20"/>
        </w:rPr>
        <w:t xml:space="preserve"> </w:t>
      </w:r>
      <w:r w:rsidR="00924EBD" w:rsidRPr="00834AB5">
        <w:rPr>
          <w:rFonts w:ascii="Tahoma" w:hAnsi="Tahoma" w:cs="Tahoma"/>
          <w:b w:val="0"/>
          <w:iCs/>
          <w:sz w:val="20"/>
        </w:rPr>
        <w:t>„</w:t>
      </w:r>
      <w:r w:rsidRPr="00834AB5">
        <w:rPr>
          <w:rFonts w:ascii="Tahoma" w:hAnsi="Tahoma" w:cs="Tahoma"/>
          <w:b w:val="0"/>
          <w:iCs/>
          <w:sz w:val="20"/>
        </w:rPr>
        <w:t>projekt</w:t>
      </w:r>
      <w:r w:rsidR="00924EBD" w:rsidRPr="00834AB5">
        <w:rPr>
          <w:rFonts w:ascii="Tahoma" w:hAnsi="Tahoma" w:cs="Tahoma"/>
          <w:b w:val="0"/>
          <w:iCs/>
          <w:sz w:val="20"/>
        </w:rPr>
        <w:t>“</w:t>
      </w:r>
      <w:r w:rsidRPr="00834AB5">
        <w:rPr>
          <w:rFonts w:ascii="Tahoma" w:hAnsi="Tahoma" w:cs="Tahoma"/>
          <w:b w:val="0"/>
          <w:iCs/>
          <w:sz w:val="20"/>
        </w:rPr>
        <w:t>)</w:t>
      </w:r>
      <w:r w:rsidR="00CB0DBE" w:rsidRPr="00834AB5">
        <w:rPr>
          <w:rFonts w:ascii="Tahoma" w:hAnsi="Tahoma" w:cs="Tahoma"/>
          <w:b w:val="0"/>
          <w:iCs/>
          <w:sz w:val="20"/>
        </w:rPr>
        <w:t>.</w:t>
      </w:r>
    </w:p>
    <w:p w:rsidR="00B81023" w:rsidRPr="00AE7ECC" w:rsidRDefault="00722CAE" w:rsidP="005016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B86B4E">
        <w:rPr>
          <w:rFonts w:ascii="Tahoma" w:hAnsi="Tahoma" w:cs="Tahoma"/>
          <w:b w:val="0"/>
          <w:iCs/>
          <w:sz w:val="20"/>
        </w:rPr>
        <w:t xml:space="preserve">Dne </w:t>
      </w:r>
      <w:r w:rsidR="00D76EA6">
        <w:rPr>
          <w:rFonts w:ascii="Tahoma" w:hAnsi="Tahoma" w:cs="Tahoma"/>
          <w:b w:val="0"/>
          <w:iCs/>
          <w:sz w:val="20"/>
        </w:rPr>
        <w:t>10</w:t>
      </w:r>
      <w:r w:rsidR="00F87582">
        <w:rPr>
          <w:rFonts w:ascii="Tahoma" w:hAnsi="Tahoma" w:cs="Tahoma"/>
          <w:b w:val="0"/>
          <w:iCs/>
          <w:sz w:val="20"/>
        </w:rPr>
        <w:t>. 1. 2017</w:t>
      </w:r>
      <w:r>
        <w:rPr>
          <w:rFonts w:ascii="Tahoma" w:hAnsi="Tahoma" w:cs="Tahoma"/>
          <w:b w:val="0"/>
          <w:iCs/>
          <w:sz w:val="20"/>
        </w:rPr>
        <w:t xml:space="preserve"> </w:t>
      </w:r>
      <w:r w:rsidR="00D469B8">
        <w:rPr>
          <w:rFonts w:ascii="Tahoma" w:hAnsi="Tahoma" w:cs="Tahoma"/>
          <w:b w:val="0"/>
          <w:iCs/>
          <w:sz w:val="20"/>
        </w:rPr>
        <w:t xml:space="preserve">byla poskytovateli doručena žádost </w:t>
      </w:r>
      <w:r>
        <w:rPr>
          <w:rFonts w:ascii="Tahoma" w:hAnsi="Tahoma" w:cs="Tahoma"/>
          <w:b w:val="0"/>
          <w:iCs/>
          <w:sz w:val="20"/>
        </w:rPr>
        <w:t xml:space="preserve">příjemce </w:t>
      </w:r>
      <w:r w:rsidR="005366A4">
        <w:rPr>
          <w:rFonts w:ascii="Tahoma" w:hAnsi="Tahoma" w:cs="Tahoma"/>
          <w:b w:val="0"/>
          <w:iCs/>
          <w:sz w:val="20"/>
        </w:rPr>
        <w:t xml:space="preserve">o zmírnění podmínek smlouvy </w:t>
      </w:r>
      <w:r w:rsidR="006F2AE7">
        <w:rPr>
          <w:rFonts w:ascii="Tahoma" w:hAnsi="Tahoma" w:cs="Tahoma"/>
          <w:b w:val="0"/>
          <w:iCs/>
          <w:sz w:val="20"/>
        </w:rPr>
        <w:t xml:space="preserve">z důvodu </w:t>
      </w:r>
      <w:r w:rsidR="00D76EA6">
        <w:rPr>
          <w:rFonts w:ascii="Tahoma" w:hAnsi="Tahoma" w:cs="Tahoma"/>
          <w:b w:val="0"/>
          <w:iCs/>
          <w:sz w:val="20"/>
        </w:rPr>
        <w:t>ukončení prací a předání dokumentace</w:t>
      </w:r>
      <w:r w:rsidR="00356DA0">
        <w:rPr>
          <w:rFonts w:ascii="Tahoma" w:hAnsi="Tahoma" w:cs="Tahoma"/>
          <w:b w:val="0"/>
          <w:iCs/>
          <w:sz w:val="20"/>
        </w:rPr>
        <w:t xml:space="preserve"> ke konci roku 2016, </w:t>
      </w:r>
      <w:r w:rsidR="00B57D42">
        <w:rPr>
          <w:rFonts w:ascii="Tahoma" w:hAnsi="Tahoma" w:cs="Tahoma"/>
          <w:b w:val="0"/>
          <w:iCs/>
          <w:sz w:val="20"/>
        </w:rPr>
        <w:t xml:space="preserve">na jejímž základě </w:t>
      </w:r>
      <w:r w:rsidR="00D76EA6">
        <w:rPr>
          <w:rFonts w:ascii="Tahoma" w:hAnsi="Tahoma" w:cs="Tahoma"/>
          <w:b w:val="0"/>
          <w:iCs/>
          <w:sz w:val="20"/>
        </w:rPr>
        <w:t>byla dodavatelem znalostí vystavena faktura až dne 30. 12. 2016</w:t>
      </w:r>
      <w:r w:rsidR="00A30709">
        <w:rPr>
          <w:rFonts w:ascii="Tahoma" w:hAnsi="Tahoma" w:cs="Tahoma"/>
          <w:b w:val="0"/>
          <w:iCs/>
          <w:sz w:val="20"/>
        </w:rPr>
        <w:t xml:space="preserve">. </w:t>
      </w:r>
      <w:r w:rsidR="00FD56DF">
        <w:rPr>
          <w:rFonts w:ascii="Tahoma" w:hAnsi="Tahoma" w:cs="Tahoma"/>
          <w:b w:val="0"/>
          <w:iCs/>
          <w:sz w:val="20"/>
        </w:rPr>
        <w:t>K</w:t>
      </w:r>
      <w:r w:rsidR="006F2AE7">
        <w:rPr>
          <w:rFonts w:ascii="Tahoma" w:hAnsi="Tahoma" w:cs="Tahoma"/>
          <w:b w:val="0"/>
          <w:iCs/>
          <w:sz w:val="20"/>
        </w:rPr>
        <w:t xml:space="preserve">vůli </w:t>
      </w:r>
      <w:r w:rsidR="00FD56DF">
        <w:rPr>
          <w:rFonts w:ascii="Tahoma" w:hAnsi="Tahoma" w:cs="Tahoma"/>
          <w:b w:val="0"/>
          <w:iCs/>
          <w:sz w:val="20"/>
        </w:rPr>
        <w:t>této s</w:t>
      </w:r>
      <w:r w:rsidR="00521ADD">
        <w:rPr>
          <w:rFonts w:ascii="Tahoma" w:hAnsi="Tahoma" w:cs="Tahoma"/>
          <w:b w:val="0"/>
          <w:iCs/>
          <w:sz w:val="20"/>
        </w:rPr>
        <w:t>kutečnosti</w:t>
      </w:r>
      <w:r w:rsidR="00FD56DF">
        <w:rPr>
          <w:rFonts w:ascii="Tahoma" w:hAnsi="Tahoma" w:cs="Tahoma"/>
          <w:b w:val="0"/>
          <w:iCs/>
          <w:sz w:val="20"/>
        </w:rPr>
        <w:t xml:space="preserve"> </w:t>
      </w:r>
      <w:r w:rsidR="006F2AE7">
        <w:rPr>
          <w:rFonts w:ascii="Tahoma" w:hAnsi="Tahoma" w:cs="Tahoma"/>
          <w:b w:val="0"/>
          <w:iCs/>
          <w:sz w:val="20"/>
        </w:rPr>
        <w:t>nebyl příjemce schopen spln</w:t>
      </w:r>
      <w:r w:rsidR="00521ADD">
        <w:rPr>
          <w:rFonts w:ascii="Tahoma" w:hAnsi="Tahoma" w:cs="Tahoma"/>
          <w:b w:val="0"/>
          <w:iCs/>
          <w:sz w:val="20"/>
        </w:rPr>
        <w:t>it</w:t>
      </w:r>
      <w:r w:rsidR="006F2AE7">
        <w:rPr>
          <w:rFonts w:ascii="Tahoma" w:hAnsi="Tahoma" w:cs="Tahoma"/>
          <w:b w:val="0"/>
          <w:iCs/>
          <w:sz w:val="20"/>
        </w:rPr>
        <w:t xml:space="preserve"> podmínky dle článku VI </w:t>
      </w:r>
      <w:r w:rsidR="00521ADD">
        <w:rPr>
          <w:rFonts w:ascii="Tahoma" w:hAnsi="Tahoma" w:cs="Tahoma"/>
          <w:b w:val="0"/>
          <w:iCs/>
          <w:sz w:val="20"/>
        </w:rPr>
        <w:t xml:space="preserve">odst. 1 písm. a) </w:t>
      </w:r>
      <w:r w:rsidR="006F2AE7" w:rsidRPr="00AE7ECC">
        <w:rPr>
          <w:rFonts w:ascii="Tahoma" w:hAnsi="Tahoma" w:cs="Tahoma"/>
          <w:b w:val="0"/>
          <w:iCs/>
          <w:sz w:val="20"/>
        </w:rPr>
        <w:t xml:space="preserve">smlouvy a faktura č. </w:t>
      </w:r>
      <w:r w:rsidR="00D76EA6">
        <w:rPr>
          <w:rFonts w:ascii="Tahoma" w:hAnsi="Tahoma" w:cs="Tahoma"/>
          <w:b w:val="0"/>
          <w:iCs/>
          <w:sz w:val="20"/>
        </w:rPr>
        <w:t>9339922934</w:t>
      </w:r>
      <w:r w:rsidR="00D76EA6" w:rsidRPr="00AE7ECC">
        <w:rPr>
          <w:rFonts w:ascii="Tahoma" w:hAnsi="Tahoma" w:cs="Tahoma"/>
          <w:b w:val="0"/>
          <w:iCs/>
          <w:sz w:val="20"/>
        </w:rPr>
        <w:t xml:space="preserve"> </w:t>
      </w:r>
      <w:r w:rsidR="006F2AE7" w:rsidRPr="00AE7ECC">
        <w:rPr>
          <w:rFonts w:ascii="Tahoma" w:hAnsi="Tahoma" w:cs="Tahoma"/>
          <w:b w:val="0"/>
          <w:iCs/>
          <w:sz w:val="20"/>
        </w:rPr>
        <w:t xml:space="preserve">ve výši </w:t>
      </w:r>
      <w:r w:rsidR="00D76EA6">
        <w:rPr>
          <w:rFonts w:ascii="Tahoma" w:hAnsi="Tahoma" w:cs="Tahoma"/>
          <w:b w:val="0"/>
          <w:iCs/>
          <w:sz w:val="20"/>
        </w:rPr>
        <w:t>518.606</w:t>
      </w:r>
      <w:r w:rsidR="006F2AE7" w:rsidRPr="00AE7ECC">
        <w:rPr>
          <w:rFonts w:ascii="Tahoma" w:hAnsi="Tahoma" w:cs="Tahoma"/>
          <w:b w:val="0"/>
          <w:iCs/>
          <w:sz w:val="20"/>
        </w:rPr>
        <w:t xml:space="preserve"> Kč vč. DPH byla </w:t>
      </w:r>
      <w:r w:rsidR="00C77467">
        <w:rPr>
          <w:rFonts w:ascii="Tahoma" w:hAnsi="Tahoma" w:cs="Tahoma"/>
          <w:b w:val="0"/>
          <w:iCs/>
          <w:sz w:val="20"/>
        </w:rPr>
        <w:t xml:space="preserve">příjemcem </w:t>
      </w:r>
      <w:r w:rsidR="006F2AE7" w:rsidRPr="00AE7ECC">
        <w:rPr>
          <w:rFonts w:ascii="Tahoma" w:hAnsi="Tahoma" w:cs="Tahoma"/>
          <w:b w:val="0"/>
          <w:iCs/>
          <w:sz w:val="20"/>
        </w:rPr>
        <w:t>hrazena po ukončení období realizace projektu.</w:t>
      </w:r>
    </w:p>
    <w:p w:rsidR="006F2AE7" w:rsidRPr="00834AB5" w:rsidRDefault="006F2AE7" w:rsidP="005016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b w:val="0"/>
          <w:iCs/>
          <w:sz w:val="20"/>
        </w:rPr>
        <w:t xml:space="preserve">Poskytovatel </w:t>
      </w:r>
      <w:r w:rsidR="00521ADD">
        <w:rPr>
          <w:rFonts w:ascii="Tahoma" w:hAnsi="Tahoma" w:cs="Tahoma"/>
          <w:b w:val="0"/>
          <w:iCs/>
          <w:sz w:val="20"/>
        </w:rPr>
        <w:t>prohlaš</w:t>
      </w:r>
      <w:r>
        <w:rPr>
          <w:rFonts w:ascii="Tahoma" w:hAnsi="Tahoma" w:cs="Tahoma"/>
          <w:b w:val="0"/>
          <w:iCs/>
          <w:sz w:val="20"/>
        </w:rPr>
        <w:t xml:space="preserve">uje, že navzdory </w:t>
      </w:r>
      <w:r w:rsidR="00521ADD">
        <w:rPr>
          <w:rFonts w:ascii="Tahoma" w:hAnsi="Tahoma" w:cs="Tahoma"/>
          <w:b w:val="0"/>
          <w:iCs/>
          <w:sz w:val="20"/>
        </w:rPr>
        <w:t>nesplnění dílčích podmínek smlouvy</w:t>
      </w:r>
      <w:r>
        <w:rPr>
          <w:rFonts w:ascii="Tahoma" w:hAnsi="Tahoma" w:cs="Tahoma"/>
          <w:b w:val="0"/>
          <w:iCs/>
          <w:sz w:val="20"/>
        </w:rPr>
        <w:t xml:space="preserve">, způsobené okolnostmi </w:t>
      </w:r>
      <w:r w:rsidR="00BE0225">
        <w:rPr>
          <w:rFonts w:ascii="Tahoma" w:hAnsi="Tahoma" w:cs="Tahoma"/>
          <w:b w:val="0"/>
          <w:iCs/>
          <w:sz w:val="20"/>
        </w:rPr>
        <w:t>uvede</w:t>
      </w:r>
      <w:r>
        <w:rPr>
          <w:rFonts w:ascii="Tahoma" w:hAnsi="Tahoma" w:cs="Tahoma"/>
          <w:b w:val="0"/>
          <w:iCs/>
          <w:sz w:val="20"/>
        </w:rPr>
        <w:t xml:space="preserve">nými v předchozím odstavci tohoto článku dohody, byl </w:t>
      </w:r>
      <w:r w:rsidR="00EF36B2">
        <w:rPr>
          <w:rFonts w:ascii="Tahoma" w:hAnsi="Tahoma" w:cs="Tahoma"/>
          <w:b w:val="0"/>
          <w:iCs/>
          <w:sz w:val="20"/>
        </w:rPr>
        <w:t xml:space="preserve">příjemcem </w:t>
      </w:r>
      <w:r>
        <w:rPr>
          <w:rFonts w:ascii="Tahoma" w:hAnsi="Tahoma" w:cs="Tahoma"/>
          <w:b w:val="0"/>
          <w:iCs/>
          <w:sz w:val="20"/>
        </w:rPr>
        <w:t>naplněn účel poskytnutí dotace dle schválené smlouvy.</w:t>
      </w:r>
    </w:p>
    <w:p w:rsidR="00BD5314" w:rsidRPr="00834AB5" w:rsidRDefault="008E5237" w:rsidP="0023508A">
      <w:pPr>
        <w:keepNext/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</w:t>
      </w:r>
      <w:r w:rsidR="00501690" w:rsidRPr="00834AB5">
        <w:rPr>
          <w:rFonts w:ascii="Tahoma" w:hAnsi="Tahoma" w:cs="Tahoma"/>
          <w:sz w:val="20"/>
        </w:rPr>
        <w:t>I</w:t>
      </w:r>
      <w:r w:rsidRPr="00834AB5">
        <w:rPr>
          <w:rFonts w:ascii="Tahoma" w:hAnsi="Tahoma" w:cs="Tahoma"/>
          <w:sz w:val="20"/>
        </w:rPr>
        <w:t>.</w:t>
      </w:r>
    </w:p>
    <w:p w:rsidR="006811CE" w:rsidRPr="00834AB5" w:rsidRDefault="006811CE" w:rsidP="0023508A">
      <w:pPr>
        <w:keepNext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:rsidR="000A3B22" w:rsidRPr="00834AB5" w:rsidRDefault="00DD1C53" w:rsidP="008E5F8F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</w:t>
      </w:r>
      <w:r w:rsidR="008E5F8F">
        <w:rPr>
          <w:rFonts w:ascii="Tahoma" w:hAnsi="Tahoma" w:cs="Tahoma"/>
          <w:b w:val="0"/>
          <w:bCs/>
          <w:iCs/>
          <w:color w:val="000000"/>
          <w:sz w:val="20"/>
        </w:rPr>
        <w:t xml:space="preserve"> výše uvedených důvodů se smluvní strany dohodly, že </w:t>
      </w:r>
      <w:r w:rsidR="00BA0102">
        <w:rPr>
          <w:rFonts w:ascii="Tahoma" w:hAnsi="Tahoma" w:cs="Tahoma"/>
          <w:b w:val="0"/>
          <w:bCs/>
          <w:iCs/>
          <w:color w:val="000000"/>
          <w:sz w:val="20"/>
        </w:rPr>
        <w:t>období</w:t>
      </w:r>
      <w:r w:rsidR="008E5F8F">
        <w:rPr>
          <w:rFonts w:ascii="Tahoma" w:hAnsi="Tahoma" w:cs="Tahoma"/>
          <w:b w:val="0"/>
          <w:bCs/>
          <w:iCs/>
          <w:color w:val="000000"/>
          <w:sz w:val="20"/>
        </w:rPr>
        <w:t>, kdy lze považ</w:t>
      </w:r>
      <w:r w:rsidR="00BA0102">
        <w:rPr>
          <w:rFonts w:ascii="Tahoma" w:hAnsi="Tahoma" w:cs="Tahoma"/>
          <w:b w:val="0"/>
          <w:bCs/>
          <w:iCs/>
          <w:color w:val="000000"/>
          <w:sz w:val="20"/>
        </w:rPr>
        <w:t xml:space="preserve">ovat náklad za uznatelný je od </w:t>
      </w:r>
      <w:r w:rsidR="00A04E3B">
        <w:rPr>
          <w:rFonts w:ascii="Tahoma" w:hAnsi="Tahoma" w:cs="Tahoma"/>
          <w:b w:val="0"/>
          <w:bCs/>
          <w:iCs/>
          <w:color w:val="000000"/>
          <w:sz w:val="20"/>
        </w:rPr>
        <w:t>1. 8. 2015</w:t>
      </w:r>
      <w:r w:rsidR="00BA0102">
        <w:rPr>
          <w:rFonts w:ascii="Tahoma" w:hAnsi="Tahoma" w:cs="Tahoma"/>
          <w:b w:val="0"/>
          <w:bCs/>
          <w:iCs/>
          <w:color w:val="000000"/>
          <w:sz w:val="20"/>
        </w:rPr>
        <w:t xml:space="preserve"> do </w:t>
      </w:r>
      <w:r w:rsidR="00A04E3B">
        <w:rPr>
          <w:rFonts w:ascii="Tahoma" w:hAnsi="Tahoma" w:cs="Tahoma"/>
          <w:b w:val="0"/>
          <w:bCs/>
          <w:iCs/>
          <w:color w:val="000000"/>
          <w:sz w:val="20"/>
        </w:rPr>
        <w:t>31. 1. 2017</w:t>
      </w:r>
      <w:r w:rsidR="00BA0102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:rsidR="002A0A4A" w:rsidRPr="00856D0A" w:rsidRDefault="007D045B" w:rsidP="00856D0A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lastRenderedPageBreak/>
        <w:t xml:space="preserve">Smluvní strany se </w:t>
      </w:r>
      <w:r w:rsidR="00055029">
        <w:rPr>
          <w:rFonts w:ascii="Tahoma" w:hAnsi="Tahoma" w:cs="Tahoma"/>
          <w:b w:val="0"/>
          <w:bCs/>
          <w:iCs/>
          <w:color w:val="000000"/>
          <w:sz w:val="20"/>
        </w:rPr>
        <w:t xml:space="preserve">dále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dohodly, že</w:t>
      </w:r>
      <w:r w:rsidR="00055029">
        <w:rPr>
          <w:rFonts w:ascii="Tahoma" w:hAnsi="Tahoma" w:cs="Tahoma"/>
          <w:b w:val="0"/>
          <w:bCs/>
          <w:iCs/>
          <w:color w:val="000000"/>
          <w:sz w:val="20"/>
        </w:rPr>
        <w:t xml:space="preserve"> druhá splátka dotace bude příjemci vyplacena do 60 dnů od</w:t>
      </w:r>
      <w:r w:rsidR="002A0A4A">
        <w:rPr>
          <w:rFonts w:ascii="Tahoma" w:hAnsi="Tahoma" w:cs="Tahoma"/>
          <w:b w:val="0"/>
          <w:bCs/>
          <w:iCs/>
          <w:color w:val="000000"/>
          <w:sz w:val="20"/>
        </w:rPr>
        <w:t xml:space="preserve"> nabytí účinnosti této dohody, podle příjemcem předloženého </w:t>
      </w:r>
      <w:r w:rsidR="002A0A4A" w:rsidRPr="00EB4302">
        <w:rPr>
          <w:rFonts w:ascii="Tahoma" w:hAnsi="Tahoma" w:cs="Tahoma"/>
          <w:b w:val="0"/>
          <w:bCs/>
          <w:iCs/>
          <w:color w:val="000000"/>
          <w:sz w:val="20"/>
        </w:rPr>
        <w:t>kompletního a bezchybného závěrečného vyúčtování projektu</w:t>
      </w:r>
      <w:r w:rsidR="002A0A4A">
        <w:rPr>
          <w:rFonts w:ascii="Tahoma" w:hAnsi="Tahoma" w:cs="Tahoma"/>
          <w:b w:val="0"/>
          <w:bCs/>
          <w:iCs/>
          <w:color w:val="000000"/>
          <w:sz w:val="20"/>
        </w:rPr>
        <w:t xml:space="preserve"> dle čl. V odst. 3 písm. </w:t>
      </w:r>
      <w:r w:rsidR="001578A5">
        <w:rPr>
          <w:rFonts w:ascii="Tahoma" w:hAnsi="Tahoma" w:cs="Tahoma"/>
          <w:b w:val="0"/>
          <w:bCs/>
          <w:iCs/>
          <w:color w:val="000000"/>
          <w:sz w:val="20"/>
        </w:rPr>
        <w:t>g</w:t>
      </w:r>
      <w:r w:rsidR="002A0A4A">
        <w:rPr>
          <w:rFonts w:ascii="Tahoma" w:hAnsi="Tahoma" w:cs="Tahoma"/>
          <w:b w:val="0"/>
          <w:bCs/>
          <w:iCs/>
          <w:color w:val="000000"/>
          <w:sz w:val="20"/>
        </w:rPr>
        <w:t>) smlouvy.</w:t>
      </w:r>
    </w:p>
    <w:p w:rsidR="00FC3BC1" w:rsidRPr="00834AB5" w:rsidRDefault="00FC3BC1" w:rsidP="00B86B4E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prohlašují, že tato dohoda o narovnání narovnává pouze vzájemné povinnosti a závazky vyplývající z</w:t>
      </w:r>
      <w:r w:rsidR="00E674AF"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="007E266B"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 w:rsidR="00E674AF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E674AF" w:rsidRPr="00E674AF">
        <w:rPr>
          <w:rFonts w:ascii="Tahoma" w:hAnsi="Tahoma" w:cs="Tahoma"/>
          <w:b w:val="0"/>
          <w:bCs/>
          <w:iCs/>
          <w:color w:val="000000"/>
          <w:sz w:val="20"/>
        </w:rPr>
        <w:t xml:space="preserve">čl. V odst. </w:t>
      </w:r>
      <w:r w:rsidR="00E674AF">
        <w:rPr>
          <w:rFonts w:ascii="Tahoma" w:hAnsi="Tahoma" w:cs="Tahoma"/>
          <w:b w:val="0"/>
          <w:bCs/>
          <w:iCs/>
          <w:color w:val="000000"/>
          <w:sz w:val="20"/>
        </w:rPr>
        <w:t>1</w:t>
      </w:r>
      <w:r w:rsidR="0083123F">
        <w:rPr>
          <w:rFonts w:ascii="Tahoma" w:hAnsi="Tahoma" w:cs="Tahoma"/>
          <w:b w:val="0"/>
          <w:bCs/>
          <w:iCs/>
          <w:color w:val="000000"/>
          <w:sz w:val="20"/>
        </w:rPr>
        <w:t xml:space="preserve"> a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čl</w:t>
      </w:r>
      <w:r w:rsidRPr="00E674AF">
        <w:rPr>
          <w:rFonts w:ascii="Tahoma" w:hAnsi="Tahoma" w:cs="Tahoma"/>
          <w:b w:val="0"/>
          <w:bCs/>
          <w:iCs/>
          <w:color w:val="000000"/>
          <w:sz w:val="20"/>
        </w:rPr>
        <w:t xml:space="preserve">. </w:t>
      </w:r>
      <w:r w:rsidR="001D65D9" w:rsidRPr="00E674AF">
        <w:rPr>
          <w:rFonts w:ascii="Tahoma" w:hAnsi="Tahoma" w:cs="Tahoma"/>
          <w:b w:val="0"/>
          <w:bCs/>
          <w:iCs/>
          <w:color w:val="000000"/>
          <w:sz w:val="20"/>
        </w:rPr>
        <w:t>V</w:t>
      </w:r>
      <w:r w:rsidR="008E5F8F">
        <w:rPr>
          <w:rFonts w:ascii="Tahoma" w:hAnsi="Tahoma" w:cs="Tahoma"/>
          <w:b w:val="0"/>
          <w:bCs/>
          <w:iCs/>
          <w:color w:val="000000"/>
          <w:sz w:val="20"/>
        </w:rPr>
        <w:t>I odst. 1 písm. a)</w:t>
      </w:r>
      <w:r w:rsidR="001578A5">
        <w:rPr>
          <w:rFonts w:ascii="Tahoma" w:hAnsi="Tahoma" w:cs="Tahoma"/>
          <w:b w:val="0"/>
          <w:bCs/>
          <w:iCs/>
          <w:color w:val="000000"/>
          <w:sz w:val="20"/>
        </w:rPr>
        <w:t xml:space="preserve"> smlouvy</w:t>
      </w:r>
      <w:r w:rsidR="008E5F8F">
        <w:rPr>
          <w:rFonts w:ascii="Tahoma" w:hAnsi="Tahoma" w:cs="Tahoma"/>
          <w:b w:val="0"/>
          <w:bCs/>
          <w:iCs/>
          <w:color w:val="000000"/>
          <w:sz w:val="20"/>
        </w:rPr>
        <w:t xml:space="preserve">.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Ostatní práva a závazky vyplývající ze smlouvy touto dohodou neupravená </w:t>
      </w:r>
      <w:r w:rsidR="008A3719"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:rsidR="00341E2B" w:rsidRPr="00834AB5" w:rsidRDefault="00E91752" w:rsidP="006811CE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</w:t>
      </w:r>
      <w:r w:rsidR="006811CE" w:rsidRPr="00834AB5">
        <w:rPr>
          <w:rFonts w:ascii="Tahoma" w:hAnsi="Tahoma" w:cs="Tahoma"/>
          <w:sz w:val="20"/>
        </w:rPr>
        <w:t>V</w:t>
      </w:r>
      <w:r w:rsidR="00341E2B" w:rsidRPr="00834AB5">
        <w:rPr>
          <w:rFonts w:ascii="Tahoma" w:hAnsi="Tahoma" w:cs="Tahoma"/>
          <w:sz w:val="20"/>
        </w:rPr>
        <w:t>.</w:t>
      </w:r>
    </w:p>
    <w:p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:rsidR="008E5237" w:rsidRPr="00834AB5" w:rsidRDefault="00826FEB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T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ato </w:t>
      </w:r>
      <w:r w:rsidR="008E5237" w:rsidRPr="00834AB5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 nabývá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 xml:space="preserve">platnosti a 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>účinnosti dnem, kdy vyjádření souhlasu s obsahem návrhu dohody dojde druhé smluvní straně.</w:t>
      </w:r>
    </w:p>
    <w:p w:rsidR="008E5237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:rsidR="008E5237" w:rsidRDefault="001578A5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Tato d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>ohoda je vyhotovena ve </w:t>
      </w:r>
      <w:r w:rsidR="00BA0102">
        <w:rPr>
          <w:rFonts w:ascii="Tahoma" w:hAnsi="Tahoma" w:cs="Tahoma"/>
          <w:b w:val="0"/>
          <w:bCs/>
          <w:iCs/>
          <w:sz w:val="20"/>
        </w:rPr>
        <w:t>třech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 stejnopisech s platností originálu, </w:t>
      </w:r>
      <w:r w:rsidR="008E5237" w:rsidRPr="00834AB5">
        <w:rPr>
          <w:rFonts w:ascii="Tahoma" w:hAnsi="Tahoma" w:cs="Tahoma"/>
          <w:b w:val="0"/>
          <w:bCs/>
          <w:iCs/>
          <w:color w:val="000000"/>
          <w:sz w:val="20"/>
        </w:rPr>
        <w:t>podepsaných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 oprávněnými zástupci smluvních stran, přičemž poskytovatel obdrží </w:t>
      </w:r>
      <w:r w:rsidR="00BA0102">
        <w:rPr>
          <w:rFonts w:ascii="Tahoma" w:hAnsi="Tahoma" w:cs="Tahoma"/>
          <w:b w:val="0"/>
          <w:bCs/>
          <w:iCs/>
          <w:sz w:val="20"/>
        </w:rPr>
        <w:t>dva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 a příjemce jedno vyhotovení.</w:t>
      </w:r>
    </w:p>
    <w:p w:rsidR="001578A5" w:rsidRPr="000564C2" w:rsidRDefault="000564C2" w:rsidP="000564C2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0564C2">
        <w:rPr>
          <w:rFonts w:ascii="Tahoma" w:hAnsi="Tahoma" w:cs="Tahoma"/>
          <w:b w:val="0"/>
          <w:bCs/>
          <w:iCs/>
          <w:sz w:val="20"/>
        </w:rPr>
        <w:t xml:space="preserve">Smluvní strany se dohodly, že pokud se na tuto dohodu </w:t>
      </w:r>
      <w:r w:rsidRPr="00C561A3">
        <w:rPr>
          <w:rFonts w:ascii="Tahoma" w:hAnsi="Tahoma" w:cs="Tahoma"/>
          <w:b w:val="0"/>
          <w:bCs/>
          <w:iCs/>
          <w:sz w:val="20"/>
        </w:rPr>
        <w:t>vztahuje povinnost uveřejnění v registru smluv ve smyslu zákona č. 340/2015 Sb., o zvláštních podmínkách účinnosti některých smluv, uveřejňování těchto smluv a o registru smluv (zákon o registru smluv), provede uveřejnění v souladu se zákonem poskytovatel.</w:t>
      </w:r>
      <w:r w:rsidRPr="000564C2">
        <w:rPr>
          <w:rFonts w:ascii="Tahoma" w:hAnsi="Tahoma" w:cs="Tahoma"/>
          <w:b w:val="0"/>
          <w:bCs/>
          <w:iCs/>
          <w:sz w:val="20"/>
        </w:rPr>
        <w:t xml:space="preserve"> </w:t>
      </w:r>
    </w:p>
    <w:p w:rsidR="006811CE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Doložka platnosti právního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jednání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dle § 23 zákona č. 129/2000 Sb., o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sz w:val="20"/>
        </w:rPr>
        <w:t>krajích (krajské zřízení)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:rsidR="008E5237" w:rsidRPr="00834AB5" w:rsidRDefault="008E5237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</w:t>
      </w:r>
      <w:r w:rsidR="006811CE" w:rsidRPr="00834AB5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o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narovnání rozhodl</w:t>
      </w:r>
      <w:r w:rsidR="00B463CD" w:rsidRPr="00834AB5">
        <w:rPr>
          <w:rFonts w:ascii="Tahoma" w:hAnsi="Tahoma" w:cs="Tahoma"/>
          <w:b w:val="0"/>
          <w:bCs/>
          <w:sz w:val="20"/>
        </w:rPr>
        <w:t>o</w:t>
      </w:r>
      <w:r w:rsidRPr="00834AB5">
        <w:rPr>
          <w:rFonts w:ascii="Tahoma" w:hAnsi="Tahoma" w:cs="Tahoma"/>
          <w:b w:val="0"/>
          <w:bCs/>
          <w:sz w:val="20"/>
        </w:rPr>
        <w:t xml:space="preserve"> </w:t>
      </w:r>
      <w:r w:rsidR="00B463CD" w:rsidRPr="00834AB5">
        <w:rPr>
          <w:rFonts w:ascii="Tahoma" w:hAnsi="Tahoma" w:cs="Tahoma"/>
          <w:b w:val="0"/>
          <w:bCs/>
          <w:sz w:val="20"/>
        </w:rPr>
        <w:t>zastupitelstvo</w:t>
      </w:r>
      <w:r w:rsidRPr="00834AB5">
        <w:rPr>
          <w:rFonts w:ascii="Tahoma" w:hAnsi="Tahoma" w:cs="Tahoma"/>
          <w:b w:val="0"/>
          <w:bCs/>
          <w:sz w:val="20"/>
        </w:rPr>
        <w:t xml:space="preserve"> kraje svým usnesením č.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………….. ze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dne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………………..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:rsidR="00834AB5" w:rsidRDefault="00834A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p w:rsidR="00834AB5" w:rsidRPr="00834AB5" w:rsidRDefault="00834A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117"/>
        <w:gridCol w:w="4392"/>
      </w:tblGrid>
      <w:tr w:rsidR="00834AB5" w:rsidRPr="00D50660" w:rsidTr="00136C98">
        <w:tc>
          <w:tcPr>
            <w:tcW w:w="4284" w:type="dxa"/>
            <w:shd w:val="clear" w:color="auto" w:fill="auto"/>
          </w:tcPr>
          <w:p w:rsidR="00834AB5" w:rsidRPr="00037AD1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V Ostravě dne ...........</w:t>
            </w:r>
          </w:p>
        </w:tc>
        <w:tc>
          <w:tcPr>
            <w:tcW w:w="4642" w:type="dxa"/>
            <w:shd w:val="clear" w:color="auto" w:fill="auto"/>
          </w:tcPr>
          <w:p w:rsidR="00834AB5" w:rsidRPr="00037AD1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V ....................... dne ...........</w:t>
            </w:r>
          </w:p>
        </w:tc>
      </w:tr>
      <w:tr w:rsidR="00834AB5" w:rsidRPr="00D50660" w:rsidTr="00136C98">
        <w:trPr>
          <w:trHeight w:val="1811"/>
        </w:trPr>
        <w:tc>
          <w:tcPr>
            <w:tcW w:w="4284" w:type="dxa"/>
            <w:shd w:val="clear" w:color="auto" w:fill="auto"/>
          </w:tcPr>
          <w:p w:rsidR="00834AB5" w:rsidRPr="00D50660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4642" w:type="dxa"/>
            <w:shd w:val="clear" w:color="auto" w:fill="auto"/>
          </w:tcPr>
          <w:p w:rsidR="00834AB5" w:rsidRPr="00D50660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sz w:val="20"/>
              </w:rPr>
            </w:pPr>
          </w:p>
        </w:tc>
      </w:tr>
      <w:tr w:rsidR="00834AB5" w:rsidRPr="00037AD1" w:rsidTr="00136C98">
        <w:trPr>
          <w:trHeight w:val="135"/>
        </w:trPr>
        <w:tc>
          <w:tcPr>
            <w:tcW w:w="4284" w:type="dxa"/>
            <w:shd w:val="clear" w:color="auto" w:fill="auto"/>
          </w:tcPr>
          <w:p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…………………………………………………………</w:t>
            </w:r>
          </w:p>
        </w:tc>
        <w:tc>
          <w:tcPr>
            <w:tcW w:w="4642" w:type="dxa"/>
            <w:shd w:val="clear" w:color="auto" w:fill="auto"/>
          </w:tcPr>
          <w:p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…………………………………………………………..</w:t>
            </w:r>
          </w:p>
        </w:tc>
      </w:tr>
      <w:tr w:rsidR="00834AB5" w:rsidRPr="00D50660" w:rsidTr="00136C98">
        <w:trPr>
          <w:trHeight w:val="135"/>
        </w:trPr>
        <w:tc>
          <w:tcPr>
            <w:tcW w:w="4284" w:type="dxa"/>
            <w:shd w:val="clear" w:color="auto" w:fill="auto"/>
          </w:tcPr>
          <w:p w:rsidR="00834AB5" w:rsidRPr="00037AD1" w:rsidRDefault="00C561A3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z</w:t>
            </w:r>
            <w:bookmarkStart w:id="0" w:name="_GoBack"/>
            <w:bookmarkEnd w:id="0"/>
            <w:r>
              <w:rPr>
                <w:rFonts w:ascii="Tahoma" w:hAnsi="Tahoma" w:cs="Tahoma"/>
                <w:b w:val="0"/>
                <w:sz w:val="20"/>
              </w:rPr>
              <w:t xml:space="preserve">a </w:t>
            </w:r>
            <w:r w:rsidR="00834AB5" w:rsidRPr="00037AD1">
              <w:rPr>
                <w:rFonts w:ascii="Tahoma" w:hAnsi="Tahoma" w:cs="Tahoma"/>
                <w:b w:val="0"/>
                <w:sz w:val="20"/>
              </w:rPr>
              <w:t>poskytovatele</w:t>
            </w:r>
          </w:p>
        </w:tc>
        <w:tc>
          <w:tcPr>
            <w:tcW w:w="4642" w:type="dxa"/>
            <w:shd w:val="clear" w:color="auto" w:fill="auto"/>
          </w:tcPr>
          <w:p w:rsidR="00834AB5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za příjemce</w:t>
            </w:r>
          </w:p>
          <w:p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</w:tbl>
    <w:p w:rsidR="005A7A74" w:rsidRPr="006811CE" w:rsidRDefault="005A7A74" w:rsidP="00834AB5">
      <w:pPr>
        <w:pStyle w:val="Zkladntext"/>
        <w:tabs>
          <w:tab w:val="left" w:pos="5529"/>
        </w:tabs>
        <w:spacing w:before="720" w:after="0"/>
        <w:rPr>
          <w:rFonts w:ascii="Tahoma" w:hAnsi="Tahoma" w:cs="Tahoma"/>
          <w:b w:val="0"/>
          <w:bCs/>
          <w:iCs/>
          <w:sz w:val="24"/>
        </w:rPr>
      </w:pPr>
    </w:p>
    <w:sectPr w:rsidR="005A7A74" w:rsidRPr="006811CE" w:rsidSect="00C609DD">
      <w:pgSz w:w="11906" w:h="16838"/>
      <w:pgMar w:top="1417" w:right="1417" w:bottom="1417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C03" w:rsidRDefault="007F6C03">
      <w:r>
        <w:separator/>
      </w:r>
    </w:p>
  </w:endnote>
  <w:endnote w:type="continuationSeparator" w:id="0">
    <w:p w:rsidR="007F6C03" w:rsidRDefault="007F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C03" w:rsidRDefault="007F6C03">
      <w:r>
        <w:separator/>
      </w:r>
    </w:p>
  </w:footnote>
  <w:footnote w:type="continuationSeparator" w:id="0">
    <w:p w:rsidR="007F6C03" w:rsidRDefault="007F6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18A8"/>
    <w:multiLevelType w:val="hybridMultilevel"/>
    <w:tmpl w:val="2FE0228A"/>
    <w:lvl w:ilvl="0" w:tplc="48A4324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24F5E04"/>
    <w:multiLevelType w:val="hybridMultilevel"/>
    <w:tmpl w:val="E8D85EB2"/>
    <w:lvl w:ilvl="0" w:tplc="3364E79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4"/>
  </w:num>
  <w:num w:numId="5">
    <w:abstractNumId w:val="13"/>
  </w:num>
  <w:num w:numId="6">
    <w:abstractNumId w:val="11"/>
  </w:num>
  <w:num w:numId="7">
    <w:abstractNumId w:val="7"/>
  </w:num>
  <w:num w:numId="8">
    <w:abstractNumId w:val="10"/>
  </w:num>
  <w:num w:numId="9">
    <w:abstractNumId w:val="5"/>
  </w:num>
  <w:num w:numId="10">
    <w:abstractNumId w:val="15"/>
  </w:num>
  <w:num w:numId="11">
    <w:abstractNumId w:val="3"/>
  </w:num>
  <w:num w:numId="12">
    <w:abstractNumId w:val="1"/>
  </w:num>
  <w:num w:numId="13">
    <w:abstractNumId w:val="6"/>
  </w:num>
  <w:num w:numId="14">
    <w:abstractNumId w:val="0"/>
  </w:num>
  <w:num w:numId="15">
    <w:abstractNumId w:val="2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04"/>
    <w:rsid w:val="00007BD8"/>
    <w:rsid w:val="00007D00"/>
    <w:rsid w:val="0001310E"/>
    <w:rsid w:val="000332E7"/>
    <w:rsid w:val="00041DF2"/>
    <w:rsid w:val="000429FD"/>
    <w:rsid w:val="00045872"/>
    <w:rsid w:val="0005228E"/>
    <w:rsid w:val="00055029"/>
    <w:rsid w:val="000564C2"/>
    <w:rsid w:val="0005736A"/>
    <w:rsid w:val="00067C4D"/>
    <w:rsid w:val="000907B2"/>
    <w:rsid w:val="0009123E"/>
    <w:rsid w:val="00093C22"/>
    <w:rsid w:val="000A3B22"/>
    <w:rsid w:val="000B52CE"/>
    <w:rsid w:val="000C05AF"/>
    <w:rsid w:val="000C6CA8"/>
    <w:rsid w:val="000E0822"/>
    <w:rsid w:val="000E6A97"/>
    <w:rsid w:val="000F4340"/>
    <w:rsid w:val="00107EF8"/>
    <w:rsid w:val="0011276C"/>
    <w:rsid w:val="00114C13"/>
    <w:rsid w:val="00115613"/>
    <w:rsid w:val="00125E46"/>
    <w:rsid w:val="00126FA2"/>
    <w:rsid w:val="00130C28"/>
    <w:rsid w:val="00136C98"/>
    <w:rsid w:val="00141595"/>
    <w:rsid w:val="00141D54"/>
    <w:rsid w:val="00144573"/>
    <w:rsid w:val="0014505A"/>
    <w:rsid w:val="001578A5"/>
    <w:rsid w:val="00181A52"/>
    <w:rsid w:val="00187AD3"/>
    <w:rsid w:val="001C4953"/>
    <w:rsid w:val="001D1C29"/>
    <w:rsid w:val="001D65D9"/>
    <w:rsid w:val="002175DD"/>
    <w:rsid w:val="00223F71"/>
    <w:rsid w:val="002327E8"/>
    <w:rsid w:val="0023508A"/>
    <w:rsid w:val="00264068"/>
    <w:rsid w:val="00274DCF"/>
    <w:rsid w:val="00292840"/>
    <w:rsid w:val="002A0A4A"/>
    <w:rsid w:val="002B2BF9"/>
    <w:rsid w:val="002C3CDA"/>
    <w:rsid w:val="002D1039"/>
    <w:rsid w:val="002E3AD4"/>
    <w:rsid w:val="00306F80"/>
    <w:rsid w:val="003110F4"/>
    <w:rsid w:val="00315D87"/>
    <w:rsid w:val="00333818"/>
    <w:rsid w:val="00341E2B"/>
    <w:rsid w:val="00356DA0"/>
    <w:rsid w:val="003741E3"/>
    <w:rsid w:val="00375714"/>
    <w:rsid w:val="0037647E"/>
    <w:rsid w:val="00380F20"/>
    <w:rsid w:val="003905FF"/>
    <w:rsid w:val="00390E23"/>
    <w:rsid w:val="003A20EE"/>
    <w:rsid w:val="003A48B4"/>
    <w:rsid w:val="003A7C26"/>
    <w:rsid w:val="003C1260"/>
    <w:rsid w:val="003C7E4D"/>
    <w:rsid w:val="003D1C82"/>
    <w:rsid w:val="003E39D0"/>
    <w:rsid w:val="003F3CC8"/>
    <w:rsid w:val="00401B23"/>
    <w:rsid w:val="00417F85"/>
    <w:rsid w:val="00431FC7"/>
    <w:rsid w:val="00433A23"/>
    <w:rsid w:val="004362E0"/>
    <w:rsid w:val="004452DE"/>
    <w:rsid w:val="00445D13"/>
    <w:rsid w:val="00460B8E"/>
    <w:rsid w:val="00472A14"/>
    <w:rsid w:val="004A012E"/>
    <w:rsid w:val="004B15F7"/>
    <w:rsid w:val="004D6924"/>
    <w:rsid w:val="004F32B4"/>
    <w:rsid w:val="004F4F45"/>
    <w:rsid w:val="00501690"/>
    <w:rsid w:val="00502361"/>
    <w:rsid w:val="00511BEA"/>
    <w:rsid w:val="00513C7D"/>
    <w:rsid w:val="00521ADD"/>
    <w:rsid w:val="005366A4"/>
    <w:rsid w:val="00543518"/>
    <w:rsid w:val="005464E5"/>
    <w:rsid w:val="00566FD8"/>
    <w:rsid w:val="00570591"/>
    <w:rsid w:val="00580A0B"/>
    <w:rsid w:val="005A7A74"/>
    <w:rsid w:val="005C7764"/>
    <w:rsid w:val="005E2F13"/>
    <w:rsid w:val="006038A8"/>
    <w:rsid w:val="00610B71"/>
    <w:rsid w:val="00634BC0"/>
    <w:rsid w:val="006569D9"/>
    <w:rsid w:val="00660FB0"/>
    <w:rsid w:val="00665BEB"/>
    <w:rsid w:val="00680D6C"/>
    <w:rsid w:val="006811CE"/>
    <w:rsid w:val="0068642F"/>
    <w:rsid w:val="006867E6"/>
    <w:rsid w:val="00692D47"/>
    <w:rsid w:val="00697EEB"/>
    <w:rsid w:val="006A56C6"/>
    <w:rsid w:val="006F2AE7"/>
    <w:rsid w:val="00707374"/>
    <w:rsid w:val="00713EA2"/>
    <w:rsid w:val="00722CAE"/>
    <w:rsid w:val="007269FD"/>
    <w:rsid w:val="00731ADC"/>
    <w:rsid w:val="00750AB1"/>
    <w:rsid w:val="00756419"/>
    <w:rsid w:val="00756A35"/>
    <w:rsid w:val="0076111A"/>
    <w:rsid w:val="0076454C"/>
    <w:rsid w:val="00765D42"/>
    <w:rsid w:val="00772711"/>
    <w:rsid w:val="00777532"/>
    <w:rsid w:val="00795AAF"/>
    <w:rsid w:val="007A23FC"/>
    <w:rsid w:val="007A26F4"/>
    <w:rsid w:val="007C2BB8"/>
    <w:rsid w:val="007D045B"/>
    <w:rsid w:val="007D31D9"/>
    <w:rsid w:val="007E266B"/>
    <w:rsid w:val="007E2FF6"/>
    <w:rsid w:val="007F1068"/>
    <w:rsid w:val="007F1ADF"/>
    <w:rsid w:val="007F6C03"/>
    <w:rsid w:val="007F7139"/>
    <w:rsid w:val="0080489C"/>
    <w:rsid w:val="00810F88"/>
    <w:rsid w:val="008146C7"/>
    <w:rsid w:val="00826FEB"/>
    <w:rsid w:val="0083123F"/>
    <w:rsid w:val="00834AB5"/>
    <w:rsid w:val="00843EBC"/>
    <w:rsid w:val="00843FE4"/>
    <w:rsid w:val="008510FE"/>
    <w:rsid w:val="008548BE"/>
    <w:rsid w:val="00856D0A"/>
    <w:rsid w:val="00870D07"/>
    <w:rsid w:val="00870D69"/>
    <w:rsid w:val="00871316"/>
    <w:rsid w:val="00875EE0"/>
    <w:rsid w:val="00876381"/>
    <w:rsid w:val="008A3719"/>
    <w:rsid w:val="008B1B5E"/>
    <w:rsid w:val="008C7647"/>
    <w:rsid w:val="008E5237"/>
    <w:rsid w:val="008E5F8F"/>
    <w:rsid w:val="008F16AB"/>
    <w:rsid w:val="009016AA"/>
    <w:rsid w:val="00912E86"/>
    <w:rsid w:val="00913237"/>
    <w:rsid w:val="009149E5"/>
    <w:rsid w:val="009212ED"/>
    <w:rsid w:val="00924EBD"/>
    <w:rsid w:val="009338B9"/>
    <w:rsid w:val="009478D6"/>
    <w:rsid w:val="00964968"/>
    <w:rsid w:val="009738E1"/>
    <w:rsid w:val="00975C01"/>
    <w:rsid w:val="00984454"/>
    <w:rsid w:val="00991BCE"/>
    <w:rsid w:val="009A7A8F"/>
    <w:rsid w:val="009B6DB3"/>
    <w:rsid w:val="009C5C81"/>
    <w:rsid w:val="009C7D71"/>
    <w:rsid w:val="00A04E3B"/>
    <w:rsid w:val="00A11BD4"/>
    <w:rsid w:val="00A30709"/>
    <w:rsid w:val="00A4352A"/>
    <w:rsid w:val="00A457F5"/>
    <w:rsid w:val="00A55F05"/>
    <w:rsid w:val="00A60E41"/>
    <w:rsid w:val="00A72773"/>
    <w:rsid w:val="00AA0037"/>
    <w:rsid w:val="00AB21A8"/>
    <w:rsid w:val="00AD0C93"/>
    <w:rsid w:val="00AE7ECC"/>
    <w:rsid w:val="00AF44C7"/>
    <w:rsid w:val="00B07B5E"/>
    <w:rsid w:val="00B10DC5"/>
    <w:rsid w:val="00B4182E"/>
    <w:rsid w:val="00B463CD"/>
    <w:rsid w:val="00B50C73"/>
    <w:rsid w:val="00B57D42"/>
    <w:rsid w:val="00B6227B"/>
    <w:rsid w:val="00B81023"/>
    <w:rsid w:val="00B85009"/>
    <w:rsid w:val="00B86B4E"/>
    <w:rsid w:val="00B91586"/>
    <w:rsid w:val="00BA0102"/>
    <w:rsid w:val="00BA5564"/>
    <w:rsid w:val="00BD5314"/>
    <w:rsid w:val="00BE0225"/>
    <w:rsid w:val="00BF467D"/>
    <w:rsid w:val="00C00331"/>
    <w:rsid w:val="00C23A08"/>
    <w:rsid w:val="00C43A93"/>
    <w:rsid w:val="00C50A2F"/>
    <w:rsid w:val="00C561A3"/>
    <w:rsid w:val="00C609DD"/>
    <w:rsid w:val="00C6427A"/>
    <w:rsid w:val="00C64451"/>
    <w:rsid w:val="00C77467"/>
    <w:rsid w:val="00C95CC9"/>
    <w:rsid w:val="00CA35D4"/>
    <w:rsid w:val="00CA7490"/>
    <w:rsid w:val="00CB0DBE"/>
    <w:rsid w:val="00CD202A"/>
    <w:rsid w:val="00CD3A06"/>
    <w:rsid w:val="00CF3037"/>
    <w:rsid w:val="00CF6EB6"/>
    <w:rsid w:val="00D01CAF"/>
    <w:rsid w:val="00D02E95"/>
    <w:rsid w:val="00D11C87"/>
    <w:rsid w:val="00D1557B"/>
    <w:rsid w:val="00D15748"/>
    <w:rsid w:val="00D2041C"/>
    <w:rsid w:val="00D23F5C"/>
    <w:rsid w:val="00D31657"/>
    <w:rsid w:val="00D32B08"/>
    <w:rsid w:val="00D469B8"/>
    <w:rsid w:val="00D500A5"/>
    <w:rsid w:val="00D76EA6"/>
    <w:rsid w:val="00D852FB"/>
    <w:rsid w:val="00DB50F7"/>
    <w:rsid w:val="00DB60B5"/>
    <w:rsid w:val="00DC4EDF"/>
    <w:rsid w:val="00DC534C"/>
    <w:rsid w:val="00DD04FB"/>
    <w:rsid w:val="00DD1C53"/>
    <w:rsid w:val="00DD557E"/>
    <w:rsid w:val="00DE436F"/>
    <w:rsid w:val="00E258DC"/>
    <w:rsid w:val="00E401FB"/>
    <w:rsid w:val="00E47C36"/>
    <w:rsid w:val="00E5436D"/>
    <w:rsid w:val="00E60704"/>
    <w:rsid w:val="00E674AF"/>
    <w:rsid w:val="00E91752"/>
    <w:rsid w:val="00EA21B1"/>
    <w:rsid w:val="00EB0BCC"/>
    <w:rsid w:val="00ED276B"/>
    <w:rsid w:val="00ED3891"/>
    <w:rsid w:val="00EF36B2"/>
    <w:rsid w:val="00F003B2"/>
    <w:rsid w:val="00F03280"/>
    <w:rsid w:val="00F06A3B"/>
    <w:rsid w:val="00F17299"/>
    <w:rsid w:val="00F26A3C"/>
    <w:rsid w:val="00F654EF"/>
    <w:rsid w:val="00F768EE"/>
    <w:rsid w:val="00F80AD1"/>
    <w:rsid w:val="00F8697D"/>
    <w:rsid w:val="00F87582"/>
    <w:rsid w:val="00F91A72"/>
    <w:rsid w:val="00FA6AFD"/>
    <w:rsid w:val="00FB5A01"/>
    <w:rsid w:val="00FC3BC1"/>
    <w:rsid w:val="00FC59C8"/>
    <w:rsid w:val="00FD56DF"/>
    <w:rsid w:val="00FD7E89"/>
    <w:rsid w:val="00FE0F60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BFA8D4-6562-4271-B3AD-2C4AE8E9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99694-6DE9-417A-B877-B73E5A71B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Škáva Adam</cp:lastModifiedBy>
  <cp:revision>2</cp:revision>
  <cp:lastPrinted>2013-04-10T07:50:00Z</cp:lastPrinted>
  <dcterms:created xsi:type="dcterms:W3CDTF">2017-02-21T07:41:00Z</dcterms:created>
  <dcterms:modified xsi:type="dcterms:W3CDTF">2017-02-21T07:41:00Z</dcterms:modified>
</cp:coreProperties>
</file>