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0B2C" w14:textId="77777777" w:rsidR="00310A28" w:rsidRPr="00CC3377" w:rsidRDefault="00310A28" w:rsidP="00F96199">
      <w:pPr>
        <w:spacing w:after="0" w:line="240" w:lineRule="auto"/>
        <w:ind w:left="7788"/>
        <w:jc w:val="right"/>
        <w:rPr>
          <w:rFonts w:ascii="Tahoma" w:eastAsia="Times New Roman" w:hAnsi="Tahoma" w:cs="Tahoma"/>
          <w:sz w:val="20"/>
          <w:szCs w:val="20"/>
          <w:bdr w:val="single" w:sz="6" w:space="4" w:color="000000" w:frame="1"/>
          <w:shd w:val="clear" w:color="auto" w:fill="FFFFFF"/>
          <w:lang w:eastAsia="cs-CZ"/>
        </w:rPr>
      </w:pPr>
      <w:r w:rsidRPr="00CC3377">
        <w:rPr>
          <w:rFonts w:ascii="Tahoma" w:eastAsia="Times New Roman" w:hAnsi="Tahoma" w:cs="Tahoma"/>
          <w:b/>
          <w:bCs/>
          <w:sz w:val="40"/>
          <w:szCs w:val="40"/>
          <w:bdr w:val="single" w:sz="6" w:space="4" w:color="000000" w:frame="1"/>
          <w:shd w:val="clear" w:color="auto" w:fill="FFFFFF"/>
          <w:lang w:eastAsia="cs-CZ"/>
        </w:rPr>
        <w:t>11</w:t>
      </w:r>
    </w:p>
    <w:p w14:paraId="49C28C8C" w14:textId="77777777" w:rsidR="00310A28" w:rsidRPr="00CC3377" w:rsidRDefault="00310A28" w:rsidP="00310A2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796B079" w14:textId="77777777" w:rsidR="00310A28" w:rsidRPr="00CC3377" w:rsidRDefault="00310A28" w:rsidP="00310A28">
      <w:pPr>
        <w:spacing w:after="0" w:line="240" w:lineRule="auto"/>
        <w:jc w:val="center"/>
        <w:rPr>
          <w:rFonts w:ascii="Tahoma" w:eastAsia="Times New Roman" w:hAnsi="Tahoma" w:cs="Tahoma"/>
          <w:caps/>
          <w:sz w:val="20"/>
          <w:szCs w:val="20"/>
          <w:lang w:eastAsia="cs-CZ"/>
        </w:rPr>
      </w:pPr>
      <w:r w:rsidRPr="00CC3377">
        <w:rPr>
          <w:rFonts w:ascii="Tahoma" w:eastAsia="Times New Roman" w:hAnsi="Tahoma" w:cs="Tahoma"/>
          <w:b/>
          <w:bCs/>
          <w:caps/>
          <w:sz w:val="36"/>
          <w:szCs w:val="36"/>
          <w:lang w:eastAsia="cs-CZ"/>
        </w:rPr>
        <w:t>Moravskoslezský kraj</w:t>
      </w:r>
    </w:p>
    <w:p w14:paraId="7AFCF515" w14:textId="77777777" w:rsidR="00310A28" w:rsidRPr="00CC3377" w:rsidRDefault="00310A28" w:rsidP="00310A28">
      <w:pPr>
        <w:spacing w:after="0" w:line="240" w:lineRule="auto"/>
        <w:jc w:val="center"/>
        <w:rPr>
          <w:rFonts w:ascii="Tahoma" w:eastAsia="Times New Roman" w:hAnsi="Tahoma" w:cs="Tahoma"/>
          <w:caps/>
          <w:sz w:val="20"/>
          <w:szCs w:val="20"/>
          <w:lang w:eastAsia="cs-CZ"/>
        </w:rPr>
      </w:pPr>
      <w:r w:rsidRPr="00CC3377">
        <w:rPr>
          <w:rFonts w:ascii="Tahoma" w:eastAsia="Times New Roman" w:hAnsi="Tahoma" w:cs="Tahoma"/>
          <w:b/>
          <w:bCs/>
          <w:caps/>
          <w:sz w:val="36"/>
          <w:szCs w:val="36"/>
          <w:lang w:eastAsia="cs-CZ"/>
        </w:rPr>
        <w:t>ZASTUPITELSTVO KRAJE</w:t>
      </w:r>
    </w:p>
    <w:p w14:paraId="2AF61127" w14:textId="77777777" w:rsidR="00310A28" w:rsidRPr="00CC3377" w:rsidRDefault="00310A28" w:rsidP="00CC3377">
      <w:pPr>
        <w:keepNext/>
        <w:spacing w:before="3720" w:after="0" w:line="240" w:lineRule="auto"/>
        <w:jc w:val="center"/>
        <w:rPr>
          <w:rFonts w:ascii="Tahoma" w:eastAsia="Times New Roman" w:hAnsi="Tahoma" w:cs="Tahoma"/>
          <w:caps/>
          <w:sz w:val="24"/>
          <w:szCs w:val="24"/>
          <w:lang w:eastAsia="cs-CZ"/>
        </w:rPr>
      </w:pPr>
      <w:r w:rsidRPr="00CC3377">
        <w:rPr>
          <w:rFonts w:ascii="Tahoma" w:eastAsia="Times New Roman" w:hAnsi="Tahoma" w:cs="Tahoma"/>
          <w:b/>
          <w:bCs/>
          <w:caps/>
          <w:sz w:val="40"/>
          <w:szCs w:val="40"/>
          <w:lang w:eastAsia="cs-CZ"/>
        </w:rPr>
        <w:t>zásady</w:t>
      </w:r>
    </w:p>
    <w:p w14:paraId="3CFCC0D0" w14:textId="77777777" w:rsidR="00310A28" w:rsidRPr="00CC3377" w:rsidRDefault="00310A28" w:rsidP="00310A28">
      <w:pPr>
        <w:spacing w:after="0" w:line="240" w:lineRule="auto"/>
        <w:jc w:val="center"/>
        <w:rPr>
          <w:rFonts w:ascii="Tahoma" w:eastAsia="Times New Roman" w:hAnsi="Tahoma" w:cs="Tahoma"/>
          <w:sz w:val="36"/>
          <w:szCs w:val="36"/>
          <w:lang w:eastAsia="cs-CZ"/>
        </w:rPr>
      </w:pPr>
      <w:r w:rsidRPr="00CC3377">
        <w:rPr>
          <w:rFonts w:ascii="Tahoma" w:eastAsia="Times New Roman" w:hAnsi="Tahoma" w:cs="Tahoma"/>
          <w:b/>
          <w:bCs/>
          <w:sz w:val="36"/>
          <w:szCs w:val="36"/>
          <w:lang w:eastAsia="cs-CZ"/>
        </w:rPr>
        <w:t>převodu a nabytí nemovitých věcí</w:t>
      </w:r>
    </w:p>
    <w:p w14:paraId="713C51EE" w14:textId="57C687B6" w:rsidR="008B5612" w:rsidRPr="00CC3377" w:rsidRDefault="008B5612" w:rsidP="00CC3377">
      <w:pPr>
        <w:spacing w:before="1200"/>
        <w:jc w:val="center"/>
        <w:rPr>
          <w:rFonts w:ascii="Tahoma" w:hAnsi="Tahoma" w:cs="Tahoma"/>
          <w:b/>
          <w:bCs/>
          <w:color w:val="000000" w:themeColor="text1"/>
          <w:sz w:val="28"/>
          <w:szCs w:val="23"/>
        </w:rPr>
      </w:pPr>
    </w:p>
    <w:p w14:paraId="669F0428" w14:textId="46743D13" w:rsidR="00D535B4" w:rsidRPr="00CC3377" w:rsidRDefault="00D535B4" w:rsidP="00CC3377">
      <w:pPr>
        <w:spacing w:before="3960" w:after="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CC3377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cs-CZ"/>
        </w:rPr>
        <w:t xml:space="preserve">Schváleno zastupitelstvem kraje usnesením </w:t>
      </w:r>
      <w:r w:rsidR="00090E5B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cs-CZ"/>
        </w:rPr>
        <w:t>č.</w:t>
      </w:r>
      <w:r w:rsidR="0001250C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cs-CZ"/>
        </w:rPr>
        <w:t xml:space="preserve"> </w:t>
      </w:r>
      <w:r w:rsidR="006A1752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cs-CZ"/>
        </w:rPr>
        <w:t xml:space="preserve">………… </w:t>
      </w:r>
      <w:r w:rsidR="00472363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cs-CZ"/>
        </w:rPr>
        <w:t xml:space="preserve">ze dne </w:t>
      </w:r>
      <w:r w:rsidR="006A1752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cs-CZ"/>
        </w:rPr>
        <w:t xml:space="preserve">15. 9. 2025 </w:t>
      </w:r>
      <w:r w:rsidR="00472363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cs-CZ"/>
        </w:rPr>
        <w:t xml:space="preserve">s účinností ode dne </w:t>
      </w:r>
      <w:r w:rsidR="00090E5B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cs-CZ"/>
        </w:rPr>
        <w:t>1. 10. 202</w:t>
      </w:r>
      <w:r w:rsidR="006A1752">
        <w:rPr>
          <w:rFonts w:ascii="Tahoma" w:eastAsia="Times New Roman" w:hAnsi="Tahoma" w:cs="Tahoma"/>
          <w:bCs/>
          <w:color w:val="000000" w:themeColor="text1"/>
          <w:sz w:val="28"/>
          <w:szCs w:val="28"/>
          <w:lang w:eastAsia="cs-CZ"/>
        </w:rPr>
        <w:t>5</w:t>
      </w:r>
    </w:p>
    <w:p w14:paraId="497B1E4E" w14:textId="6247B0C5" w:rsidR="008A2B95" w:rsidRPr="00CC3377" w:rsidRDefault="008A2B95" w:rsidP="00310A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3555D0A" w14:textId="60AE7CC5" w:rsidR="00CC3377" w:rsidRPr="00CC3377" w:rsidRDefault="00CC3377">
      <w:pPr>
        <w:rPr>
          <w:rFonts w:ascii="Tahoma" w:eastAsia="Times New Roman" w:hAnsi="Tahoma" w:cs="Tahoma"/>
          <w:sz w:val="24"/>
          <w:szCs w:val="24"/>
          <w:lang w:eastAsia="cs-CZ"/>
        </w:rPr>
      </w:pPr>
      <w:r w:rsidRPr="00CC3377">
        <w:rPr>
          <w:rFonts w:ascii="Tahoma" w:eastAsia="Times New Roman" w:hAnsi="Tahoma" w:cs="Tahoma"/>
          <w:sz w:val="24"/>
          <w:szCs w:val="24"/>
          <w:lang w:eastAsia="cs-CZ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id w:val="95688509"/>
        <w:docPartObj>
          <w:docPartGallery w:val="Table of Contents"/>
          <w:docPartUnique/>
        </w:docPartObj>
      </w:sdtPr>
      <w:sdtContent>
        <w:p w14:paraId="1C918179" w14:textId="1F246CA7" w:rsidR="00932C0C" w:rsidRPr="00EF10DD" w:rsidRDefault="00932C0C" w:rsidP="00932C0C">
          <w:pPr>
            <w:pStyle w:val="Nadpisobsahu"/>
            <w:jc w:val="left"/>
            <w:rPr>
              <w:b w:val="0"/>
              <w:sz w:val="22"/>
              <w:szCs w:val="24"/>
            </w:rPr>
          </w:pPr>
          <w:r w:rsidRPr="00EF10DD">
            <w:rPr>
              <w:b w:val="0"/>
              <w:sz w:val="22"/>
              <w:szCs w:val="24"/>
            </w:rPr>
            <w:t>Obsah</w:t>
          </w:r>
        </w:p>
        <w:p w14:paraId="536909C6" w14:textId="77777777" w:rsidR="00932C0C" w:rsidRPr="00EF10DD" w:rsidRDefault="00932C0C" w:rsidP="00932C0C">
          <w:pPr>
            <w:rPr>
              <w:lang w:eastAsia="cs-CZ"/>
            </w:rPr>
          </w:pPr>
        </w:p>
        <w:p w14:paraId="324C6E22" w14:textId="6C2F9D01" w:rsidR="00EF10DD" w:rsidRPr="00EF10DD" w:rsidRDefault="00932C0C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 w:rsidRPr="00EF10DD">
            <w:rPr>
              <w:b w:val="0"/>
              <w:caps w:val="0"/>
            </w:rPr>
            <w:fldChar w:fldCharType="begin"/>
          </w:r>
          <w:r w:rsidRPr="00EF10DD">
            <w:rPr>
              <w:b w:val="0"/>
              <w:caps w:val="0"/>
            </w:rPr>
            <w:instrText xml:space="preserve"> TOC \o "1-3" \h \z \u </w:instrText>
          </w:r>
          <w:r w:rsidRPr="00EF10DD">
            <w:rPr>
              <w:b w:val="0"/>
              <w:caps w:val="0"/>
            </w:rPr>
            <w:fldChar w:fldCharType="separate"/>
          </w:r>
          <w:hyperlink w:anchor="_Toc205893279" w:history="1">
            <w:r w:rsidR="00EF10DD" w:rsidRPr="00EF10DD">
              <w:rPr>
                <w:rStyle w:val="Hypertextovodkaz"/>
                <w:b w:val="0"/>
                <w:caps w:val="0"/>
                <w:noProof/>
              </w:rPr>
              <w:t>Čl.1</w:t>
            </w:r>
            <w:r w:rsidR="00EF10DD" w:rsidRPr="00EF10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10DD" w:rsidRPr="00EF10DD">
              <w:rPr>
                <w:rStyle w:val="Hypertextovodkaz"/>
                <w:b w:val="0"/>
                <w:caps w:val="0"/>
                <w:noProof/>
              </w:rPr>
              <w:t>Úvodní ustanovení</w:t>
            </w:r>
            <w:r w:rsidR="00EF10DD" w:rsidRPr="00EF10DD">
              <w:rPr>
                <w:b w:val="0"/>
                <w:caps w:val="0"/>
                <w:noProof/>
                <w:webHidden/>
              </w:rPr>
              <w:tab/>
            </w:r>
            <w:r w:rsidR="00EF10DD" w:rsidRPr="00EF10DD">
              <w:rPr>
                <w:b w:val="0"/>
                <w:caps w:val="0"/>
                <w:noProof/>
                <w:webHidden/>
              </w:rPr>
              <w:fldChar w:fldCharType="begin"/>
            </w:r>
            <w:r w:rsidR="00EF10DD" w:rsidRPr="00EF10DD">
              <w:rPr>
                <w:b w:val="0"/>
                <w:caps w:val="0"/>
                <w:noProof/>
                <w:webHidden/>
              </w:rPr>
              <w:instrText xml:space="preserve"> PAGEREF _Toc205893279 \h </w:instrText>
            </w:r>
            <w:r w:rsidR="00EF10DD" w:rsidRPr="00EF10DD">
              <w:rPr>
                <w:b w:val="0"/>
                <w:caps w:val="0"/>
                <w:noProof/>
                <w:webHidden/>
              </w:rPr>
            </w:r>
            <w:r w:rsidR="00EF10DD" w:rsidRPr="00EF10DD">
              <w:rPr>
                <w:b w:val="0"/>
                <w:caps w:val="0"/>
                <w:noProof/>
                <w:webHidden/>
              </w:rPr>
              <w:fldChar w:fldCharType="separate"/>
            </w:r>
            <w:r w:rsidR="00D874FE">
              <w:rPr>
                <w:b w:val="0"/>
                <w:caps w:val="0"/>
                <w:noProof/>
                <w:webHidden/>
              </w:rPr>
              <w:t>3</w:t>
            </w:r>
            <w:r w:rsidR="00EF10DD" w:rsidRPr="00EF10DD">
              <w:rPr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3929CC9E" w14:textId="742EE997" w:rsidR="00EF10DD" w:rsidRPr="00EF10DD" w:rsidRDefault="00EF10DD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893280" w:history="1">
            <w:r w:rsidRPr="00EF10DD">
              <w:rPr>
                <w:rStyle w:val="Hypertextovodkaz"/>
                <w:b w:val="0"/>
                <w:caps w:val="0"/>
                <w:noProof/>
              </w:rPr>
              <w:t>Čl.2</w:t>
            </w:r>
            <w:r w:rsidRPr="00EF10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10DD">
              <w:rPr>
                <w:rStyle w:val="Hypertextovodkaz"/>
                <w:b w:val="0"/>
                <w:caps w:val="0"/>
                <w:noProof/>
              </w:rPr>
              <w:t>Předmět a způsoby převodu a nabytí nemovitých věcí</w:t>
            </w:r>
            <w:r w:rsidRPr="00EF10DD">
              <w:rPr>
                <w:b w:val="0"/>
                <w:caps w:val="0"/>
                <w:noProof/>
                <w:webHidden/>
              </w:rPr>
              <w:tab/>
            </w:r>
            <w:r w:rsidRPr="00EF10DD">
              <w:rPr>
                <w:b w:val="0"/>
                <w:caps w:val="0"/>
                <w:noProof/>
                <w:webHidden/>
              </w:rPr>
              <w:fldChar w:fldCharType="begin"/>
            </w:r>
            <w:r w:rsidRPr="00EF10DD">
              <w:rPr>
                <w:b w:val="0"/>
                <w:caps w:val="0"/>
                <w:noProof/>
                <w:webHidden/>
              </w:rPr>
              <w:instrText xml:space="preserve"> PAGEREF _Toc205893280 \h </w:instrText>
            </w:r>
            <w:r w:rsidRPr="00EF10DD">
              <w:rPr>
                <w:b w:val="0"/>
                <w:caps w:val="0"/>
                <w:noProof/>
                <w:webHidden/>
              </w:rPr>
            </w:r>
            <w:r w:rsidRPr="00EF10DD">
              <w:rPr>
                <w:b w:val="0"/>
                <w:caps w:val="0"/>
                <w:noProof/>
                <w:webHidden/>
              </w:rPr>
              <w:fldChar w:fldCharType="separate"/>
            </w:r>
            <w:r w:rsidR="00D874FE">
              <w:rPr>
                <w:b w:val="0"/>
                <w:caps w:val="0"/>
                <w:noProof/>
                <w:webHidden/>
              </w:rPr>
              <w:t>3</w:t>
            </w:r>
            <w:r w:rsidRPr="00EF10DD">
              <w:rPr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139BA111" w14:textId="7244E4AE" w:rsidR="00EF10DD" w:rsidRPr="00EF10DD" w:rsidRDefault="00EF10DD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893281" w:history="1">
            <w:r w:rsidRPr="00EF10DD">
              <w:rPr>
                <w:rStyle w:val="Hypertextovodkaz"/>
                <w:b w:val="0"/>
                <w:caps w:val="0"/>
                <w:noProof/>
              </w:rPr>
              <w:t>Čl.3</w:t>
            </w:r>
            <w:r w:rsidRPr="00EF10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10DD">
              <w:rPr>
                <w:rStyle w:val="Hypertextovodkaz"/>
                <w:b w:val="0"/>
                <w:caps w:val="0"/>
                <w:noProof/>
              </w:rPr>
              <w:t>Příprava převodu a nabytí nemovitých věcí a nutné podklady</w:t>
            </w:r>
            <w:r w:rsidRPr="00EF10DD">
              <w:rPr>
                <w:b w:val="0"/>
                <w:caps w:val="0"/>
                <w:noProof/>
                <w:webHidden/>
              </w:rPr>
              <w:tab/>
            </w:r>
            <w:r w:rsidRPr="00EF10DD">
              <w:rPr>
                <w:b w:val="0"/>
                <w:caps w:val="0"/>
                <w:noProof/>
                <w:webHidden/>
              </w:rPr>
              <w:fldChar w:fldCharType="begin"/>
            </w:r>
            <w:r w:rsidRPr="00EF10DD">
              <w:rPr>
                <w:b w:val="0"/>
                <w:caps w:val="0"/>
                <w:noProof/>
                <w:webHidden/>
              </w:rPr>
              <w:instrText xml:space="preserve"> PAGEREF _Toc205893281 \h </w:instrText>
            </w:r>
            <w:r w:rsidRPr="00EF10DD">
              <w:rPr>
                <w:b w:val="0"/>
                <w:caps w:val="0"/>
                <w:noProof/>
                <w:webHidden/>
              </w:rPr>
            </w:r>
            <w:r w:rsidRPr="00EF10DD">
              <w:rPr>
                <w:b w:val="0"/>
                <w:caps w:val="0"/>
                <w:noProof/>
                <w:webHidden/>
              </w:rPr>
              <w:fldChar w:fldCharType="separate"/>
            </w:r>
            <w:r w:rsidR="00D874FE">
              <w:rPr>
                <w:b w:val="0"/>
                <w:caps w:val="0"/>
                <w:noProof/>
                <w:webHidden/>
              </w:rPr>
              <w:t>5</w:t>
            </w:r>
            <w:r w:rsidRPr="00EF10DD">
              <w:rPr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547ED095" w14:textId="7349D952" w:rsidR="00EF10DD" w:rsidRPr="00EF10DD" w:rsidRDefault="00EF10DD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893282" w:history="1">
            <w:r w:rsidRPr="00EF10DD">
              <w:rPr>
                <w:rStyle w:val="Hypertextovodkaz"/>
                <w:b w:val="0"/>
                <w:caps w:val="0"/>
                <w:noProof/>
              </w:rPr>
              <w:t>Čl.4</w:t>
            </w:r>
            <w:r w:rsidRPr="00EF10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10DD">
              <w:rPr>
                <w:rStyle w:val="Hypertextovodkaz"/>
                <w:b w:val="0"/>
                <w:caps w:val="0"/>
                <w:noProof/>
              </w:rPr>
              <w:t>Způsoby ocenění nemovitých věcí</w:t>
            </w:r>
            <w:r w:rsidRPr="00EF10DD">
              <w:rPr>
                <w:b w:val="0"/>
                <w:caps w:val="0"/>
                <w:noProof/>
                <w:webHidden/>
              </w:rPr>
              <w:tab/>
            </w:r>
            <w:r w:rsidRPr="00EF10DD">
              <w:rPr>
                <w:b w:val="0"/>
                <w:caps w:val="0"/>
                <w:noProof/>
                <w:webHidden/>
              </w:rPr>
              <w:fldChar w:fldCharType="begin"/>
            </w:r>
            <w:r w:rsidRPr="00EF10DD">
              <w:rPr>
                <w:b w:val="0"/>
                <w:caps w:val="0"/>
                <w:noProof/>
                <w:webHidden/>
              </w:rPr>
              <w:instrText xml:space="preserve"> PAGEREF _Toc205893282 \h </w:instrText>
            </w:r>
            <w:r w:rsidRPr="00EF10DD">
              <w:rPr>
                <w:b w:val="0"/>
                <w:caps w:val="0"/>
                <w:noProof/>
                <w:webHidden/>
              </w:rPr>
            </w:r>
            <w:r w:rsidRPr="00EF10DD">
              <w:rPr>
                <w:b w:val="0"/>
                <w:caps w:val="0"/>
                <w:noProof/>
                <w:webHidden/>
              </w:rPr>
              <w:fldChar w:fldCharType="separate"/>
            </w:r>
            <w:r w:rsidR="00D874FE">
              <w:rPr>
                <w:b w:val="0"/>
                <w:caps w:val="0"/>
                <w:noProof/>
                <w:webHidden/>
              </w:rPr>
              <w:t>5</w:t>
            </w:r>
            <w:r w:rsidRPr="00EF10DD">
              <w:rPr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2014C1F1" w14:textId="25156BD9" w:rsidR="00EF10DD" w:rsidRPr="00EF10DD" w:rsidRDefault="00EF10DD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893283" w:history="1">
            <w:r w:rsidRPr="00EF10DD">
              <w:rPr>
                <w:rStyle w:val="Hypertextovodkaz"/>
                <w:b w:val="0"/>
                <w:caps w:val="0"/>
                <w:noProof/>
              </w:rPr>
              <w:t>Čl.5</w:t>
            </w:r>
            <w:r w:rsidRPr="00EF10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10DD">
              <w:rPr>
                <w:rStyle w:val="Hypertextovodkaz"/>
                <w:b w:val="0"/>
                <w:caps w:val="0"/>
                <w:noProof/>
              </w:rPr>
              <w:t>Předkládání návrhů na převod nemovitých věcí orgánům kraje</w:t>
            </w:r>
            <w:r w:rsidRPr="00EF10DD">
              <w:rPr>
                <w:b w:val="0"/>
                <w:caps w:val="0"/>
                <w:noProof/>
                <w:webHidden/>
              </w:rPr>
              <w:tab/>
            </w:r>
            <w:r w:rsidRPr="00EF10DD">
              <w:rPr>
                <w:b w:val="0"/>
                <w:caps w:val="0"/>
                <w:noProof/>
                <w:webHidden/>
              </w:rPr>
              <w:fldChar w:fldCharType="begin"/>
            </w:r>
            <w:r w:rsidRPr="00EF10DD">
              <w:rPr>
                <w:b w:val="0"/>
                <w:caps w:val="0"/>
                <w:noProof/>
                <w:webHidden/>
              </w:rPr>
              <w:instrText xml:space="preserve"> PAGEREF _Toc205893283 \h </w:instrText>
            </w:r>
            <w:r w:rsidRPr="00EF10DD">
              <w:rPr>
                <w:b w:val="0"/>
                <w:caps w:val="0"/>
                <w:noProof/>
                <w:webHidden/>
              </w:rPr>
            </w:r>
            <w:r w:rsidRPr="00EF10DD">
              <w:rPr>
                <w:b w:val="0"/>
                <w:caps w:val="0"/>
                <w:noProof/>
                <w:webHidden/>
              </w:rPr>
              <w:fldChar w:fldCharType="separate"/>
            </w:r>
            <w:r w:rsidR="00D874FE">
              <w:rPr>
                <w:b w:val="0"/>
                <w:caps w:val="0"/>
                <w:noProof/>
                <w:webHidden/>
              </w:rPr>
              <w:t>6</w:t>
            </w:r>
            <w:r w:rsidRPr="00EF10DD">
              <w:rPr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5760FDE9" w14:textId="7657E454" w:rsidR="00EF10DD" w:rsidRPr="00EF10DD" w:rsidRDefault="00EF10DD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893284" w:history="1">
            <w:r w:rsidRPr="00EF10DD">
              <w:rPr>
                <w:rStyle w:val="Hypertextovodkaz"/>
                <w:b w:val="0"/>
                <w:caps w:val="0"/>
                <w:noProof/>
              </w:rPr>
              <w:t>Čl.6</w:t>
            </w:r>
            <w:r w:rsidRPr="00EF10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10DD">
              <w:rPr>
                <w:rStyle w:val="Hypertextovodkaz"/>
                <w:b w:val="0"/>
                <w:caps w:val="0"/>
                <w:noProof/>
              </w:rPr>
              <w:t>Prodej ve výběrovém řízení s otevřeným okruhem účastníků</w:t>
            </w:r>
            <w:r w:rsidRPr="00EF10DD">
              <w:rPr>
                <w:b w:val="0"/>
                <w:caps w:val="0"/>
                <w:noProof/>
                <w:webHidden/>
              </w:rPr>
              <w:tab/>
            </w:r>
            <w:r w:rsidRPr="00EF10DD">
              <w:rPr>
                <w:b w:val="0"/>
                <w:caps w:val="0"/>
                <w:noProof/>
                <w:webHidden/>
              </w:rPr>
              <w:fldChar w:fldCharType="begin"/>
            </w:r>
            <w:r w:rsidRPr="00EF10DD">
              <w:rPr>
                <w:b w:val="0"/>
                <w:caps w:val="0"/>
                <w:noProof/>
                <w:webHidden/>
              </w:rPr>
              <w:instrText xml:space="preserve"> PAGEREF _Toc205893284 \h </w:instrText>
            </w:r>
            <w:r w:rsidRPr="00EF10DD">
              <w:rPr>
                <w:b w:val="0"/>
                <w:caps w:val="0"/>
                <w:noProof/>
                <w:webHidden/>
              </w:rPr>
            </w:r>
            <w:r w:rsidRPr="00EF10DD">
              <w:rPr>
                <w:b w:val="0"/>
                <w:caps w:val="0"/>
                <w:noProof/>
                <w:webHidden/>
              </w:rPr>
              <w:fldChar w:fldCharType="separate"/>
            </w:r>
            <w:r w:rsidR="00D874FE">
              <w:rPr>
                <w:b w:val="0"/>
                <w:caps w:val="0"/>
                <w:noProof/>
                <w:webHidden/>
              </w:rPr>
              <w:t>7</w:t>
            </w:r>
            <w:r w:rsidRPr="00EF10DD">
              <w:rPr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3EF9B8CC" w14:textId="2B3E98E2" w:rsidR="00EF10DD" w:rsidRPr="00EF10DD" w:rsidRDefault="00EF10DD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893285" w:history="1">
            <w:r w:rsidRPr="00EF10DD">
              <w:rPr>
                <w:rStyle w:val="Hypertextovodkaz"/>
                <w:b w:val="0"/>
                <w:caps w:val="0"/>
                <w:noProof/>
              </w:rPr>
              <w:t>Čl.7</w:t>
            </w:r>
            <w:r w:rsidRPr="00EF10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10DD">
              <w:rPr>
                <w:rStyle w:val="Hypertextovodkaz"/>
                <w:b w:val="0"/>
                <w:caps w:val="0"/>
                <w:noProof/>
              </w:rPr>
              <w:t>Prodej ve výběrovém řízení s uzavřeným okruhem účastníků</w:t>
            </w:r>
            <w:r w:rsidRPr="00EF10DD">
              <w:rPr>
                <w:b w:val="0"/>
                <w:caps w:val="0"/>
                <w:noProof/>
                <w:webHidden/>
              </w:rPr>
              <w:tab/>
            </w:r>
            <w:r w:rsidRPr="00EF10DD">
              <w:rPr>
                <w:b w:val="0"/>
                <w:caps w:val="0"/>
                <w:noProof/>
                <w:webHidden/>
              </w:rPr>
              <w:fldChar w:fldCharType="begin"/>
            </w:r>
            <w:r w:rsidRPr="00EF10DD">
              <w:rPr>
                <w:b w:val="0"/>
                <w:caps w:val="0"/>
                <w:noProof/>
                <w:webHidden/>
              </w:rPr>
              <w:instrText xml:space="preserve"> PAGEREF _Toc205893285 \h </w:instrText>
            </w:r>
            <w:r w:rsidRPr="00EF10DD">
              <w:rPr>
                <w:b w:val="0"/>
                <w:caps w:val="0"/>
                <w:noProof/>
                <w:webHidden/>
              </w:rPr>
            </w:r>
            <w:r w:rsidRPr="00EF10DD">
              <w:rPr>
                <w:b w:val="0"/>
                <w:caps w:val="0"/>
                <w:noProof/>
                <w:webHidden/>
              </w:rPr>
              <w:fldChar w:fldCharType="separate"/>
            </w:r>
            <w:r w:rsidR="00D874FE">
              <w:rPr>
                <w:b w:val="0"/>
                <w:caps w:val="0"/>
                <w:noProof/>
                <w:webHidden/>
              </w:rPr>
              <w:t>8</w:t>
            </w:r>
            <w:r w:rsidRPr="00EF10DD">
              <w:rPr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0D334C32" w14:textId="7B71B093" w:rsidR="00EF10DD" w:rsidRPr="00EF10DD" w:rsidRDefault="00EF10DD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893286" w:history="1">
            <w:r w:rsidRPr="00EF10DD">
              <w:rPr>
                <w:rStyle w:val="Hypertextovodkaz"/>
                <w:b w:val="0"/>
                <w:caps w:val="0"/>
                <w:noProof/>
              </w:rPr>
              <w:t>Čl.8</w:t>
            </w:r>
            <w:r w:rsidRPr="00EF10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10DD">
              <w:rPr>
                <w:rStyle w:val="Hypertextovodkaz"/>
                <w:b w:val="0"/>
                <w:caps w:val="0"/>
                <w:noProof/>
              </w:rPr>
              <w:t>Veřejná dražba</w:t>
            </w:r>
            <w:r w:rsidRPr="00EF10DD">
              <w:rPr>
                <w:b w:val="0"/>
                <w:caps w:val="0"/>
                <w:noProof/>
                <w:webHidden/>
              </w:rPr>
              <w:tab/>
            </w:r>
            <w:r w:rsidRPr="00EF10DD">
              <w:rPr>
                <w:b w:val="0"/>
                <w:caps w:val="0"/>
                <w:noProof/>
                <w:webHidden/>
              </w:rPr>
              <w:fldChar w:fldCharType="begin"/>
            </w:r>
            <w:r w:rsidRPr="00EF10DD">
              <w:rPr>
                <w:b w:val="0"/>
                <w:caps w:val="0"/>
                <w:noProof/>
                <w:webHidden/>
              </w:rPr>
              <w:instrText xml:space="preserve"> PAGEREF _Toc205893286 \h </w:instrText>
            </w:r>
            <w:r w:rsidRPr="00EF10DD">
              <w:rPr>
                <w:b w:val="0"/>
                <w:caps w:val="0"/>
                <w:noProof/>
                <w:webHidden/>
              </w:rPr>
            </w:r>
            <w:r w:rsidRPr="00EF10DD">
              <w:rPr>
                <w:b w:val="0"/>
                <w:caps w:val="0"/>
                <w:noProof/>
                <w:webHidden/>
              </w:rPr>
              <w:fldChar w:fldCharType="separate"/>
            </w:r>
            <w:r w:rsidR="00D874FE">
              <w:rPr>
                <w:b w:val="0"/>
                <w:caps w:val="0"/>
                <w:noProof/>
                <w:webHidden/>
              </w:rPr>
              <w:t>10</w:t>
            </w:r>
            <w:r w:rsidRPr="00EF10DD">
              <w:rPr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03FEC4BA" w14:textId="54996CF3" w:rsidR="00EF10DD" w:rsidRPr="00EF10DD" w:rsidRDefault="00EF10DD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893287" w:history="1">
            <w:r w:rsidRPr="00EF10DD">
              <w:rPr>
                <w:rStyle w:val="Hypertextovodkaz"/>
                <w:b w:val="0"/>
                <w:caps w:val="0"/>
                <w:noProof/>
              </w:rPr>
              <w:t>Čl.9</w:t>
            </w:r>
            <w:r w:rsidRPr="00EF10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10DD">
              <w:rPr>
                <w:rStyle w:val="Hypertextovodkaz"/>
                <w:b w:val="0"/>
                <w:caps w:val="0"/>
                <w:noProof/>
              </w:rPr>
              <w:t>Zrušovací ustanovení</w:t>
            </w:r>
            <w:r w:rsidRPr="00EF10DD">
              <w:rPr>
                <w:b w:val="0"/>
                <w:caps w:val="0"/>
                <w:noProof/>
                <w:webHidden/>
              </w:rPr>
              <w:tab/>
            </w:r>
            <w:r w:rsidRPr="00EF10DD">
              <w:rPr>
                <w:b w:val="0"/>
                <w:caps w:val="0"/>
                <w:noProof/>
                <w:webHidden/>
              </w:rPr>
              <w:fldChar w:fldCharType="begin"/>
            </w:r>
            <w:r w:rsidRPr="00EF10DD">
              <w:rPr>
                <w:b w:val="0"/>
                <w:caps w:val="0"/>
                <w:noProof/>
                <w:webHidden/>
              </w:rPr>
              <w:instrText xml:space="preserve"> PAGEREF _Toc205893287 \h </w:instrText>
            </w:r>
            <w:r w:rsidRPr="00EF10DD">
              <w:rPr>
                <w:b w:val="0"/>
                <w:caps w:val="0"/>
                <w:noProof/>
                <w:webHidden/>
              </w:rPr>
            </w:r>
            <w:r w:rsidRPr="00EF10DD">
              <w:rPr>
                <w:b w:val="0"/>
                <w:caps w:val="0"/>
                <w:noProof/>
                <w:webHidden/>
              </w:rPr>
              <w:fldChar w:fldCharType="separate"/>
            </w:r>
            <w:r w:rsidR="00D874FE">
              <w:rPr>
                <w:b w:val="0"/>
                <w:caps w:val="0"/>
                <w:noProof/>
                <w:webHidden/>
              </w:rPr>
              <w:t>11</w:t>
            </w:r>
            <w:r w:rsidRPr="00EF10DD">
              <w:rPr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5FCDCDA3" w14:textId="1251E44A" w:rsidR="00EF10DD" w:rsidRPr="00EF10DD" w:rsidRDefault="00EF10DD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893288" w:history="1">
            <w:r w:rsidRPr="00EF10DD">
              <w:rPr>
                <w:rStyle w:val="Hypertextovodkaz"/>
                <w:b w:val="0"/>
                <w:caps w:val="0"/>
                <w:noProof/>
              </w:rPr>
              <w:t>Čl.10</w:t>
            </w:r>
            <w:r w:rsidRPr="00EF10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F10DD">
              <w:rPr>
                <w:rStyle w:val="Hypertextovodkaz"/>
                <w:b w:val="0"/>
                <w:caps w:val="0"/>
                <w:noProof/>
              </w:rPr>
              <w:t>Závěrečné ustanovení</w:t>
            </w:r>
            <w:r w:rsidRPr="00EF10DD">
              <w:rPr>
                <w:b w:val="0"/>
                <w:caps w:val="0"/>
                <w:noProof/>
                <w:webHidden/>
              </w:rPr>
              <w:tab/>
            </w:r>
            <w:r w:rsidRPr="00EF10DD">
              <w:rPr>
                <w:b w:val="0"/>
                <w:caps w:val="0"/>
                <w:noProof/>
                <w:webHidden/>
              </w:rPr>
              <w:fldChar w:fldCharType="begin"/>
            </w:r>
            <w:r w:rsidRPr="00EF10DD">
              <w:rPr>
                <w:b w:val="0"/>
                <w:caps w:val="0"/>
                <w:noProof/>
                <w:webHidden/>
              </w:rPr>
              <w:instrText xml:space="preserve"> PAGEREF _Toc205893288 \h </w:instrText>
            </w:r>
            <w:r w:rsidRPr="00EF10DD">
              <w:rPr>
                <w:b w:val="0"/>
                <w:caps w:val="0"/>
                <w:noProof/>
                <w:webHidden/>
              </w:rPr>
            </w:r>
            <w:r w:rsidRPr="00EF10DD">
              <w:rPr>
                <w:b w:val="0"/>
                <w:caps w:val="0"/>
                <w:noProof/>
                <w:webHidden/>
              </w:rPr>
              <w:fldChar w:fldCharType="separate"/>
            </w:r>
            <w:r w:rsidR="00D874FE">
              <w:rPr>
                <w:b w:val="0"/>
                <w:caps w:val="0"/>
                <w:noProof/>
                <w:webHidden/>
              </w:rPr>
              <w:t>11</w:t>
            </w:r>
            <w:r w:rsidRPr="00EF10DD">
              <w:rPr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1520BC1A" w14:textId="7556DDA6" w:rsidR="00932C0C" w:rsidRDefault="00932C0C">
          <w:r w:rsidRPr="00EF10DD">
            <w:rPr>
              <w:rFonts w:ascii="Tahoma" w:hAnsi="Tahoma"/>
              <w:bCs/>
            </w:rPr>
            <w:fldChar w:fldCharType="end"/>
          </w:r>
        </w:p>
      </w:sdtContent>
    </w:sdt>
    <w:p w14:paraId="48EEF709" w14:textId="77777777" w:rsidR="00AF51A2" w:rsidRPr="00CC3377" w:rsidRDefault="00AF51A2" w:rsidP="00AF51A2">
      <w:pPr>
        <w:rPr>
          <w:rFonts w:ascii="Tahoma" w:hAnsi="Tahoma" w:cs="Tahoma"/>
          <w:lang w:eastAsia="cs-CZ"/>
        </w:rPr>
      </w:pPr>
    </w:p>
    <w:p w14:paraId="048D5D54" w14:textId="77777777" w:rsidR="00310A28" w:rsidRPr="00CC3377" w:rsidRDefault="00310A28" w:rsidP="00310A28">
      <w:pPr>
        <w:spacing w:after="0" w:line="240" w:lineRule="auto"/>
        <w:jc w:val="both"/>
        <w:rPr>
          <w:rFonts w:ascii="Tahoma" w:eastAsia="Times New Roman" w:hAnsi="Tahoma" w:cs="Tahoma"/>
          <w:caps/>
          <w:lang w:eastAsia="cs-CZ"/>
        </w:rPr>
      </w:pPr>
    </w:p>
    <w:p w14:paraId="3E421F81" w14:textId="77777777" w:rsidR="00310A28" w:rsidRPr="00CC3377" w:rsidRDefault="00310A28" w:rsidP="00310A28">
      <w:pPr>
        <w:rPr>
          <w:rFonts w:ascii="Tahoma" w:eastAsia="Times New Roman" w:hAnsi="Tahoma" w:cs="Tahoma"/>
          <w:b/>
          <w:bCs/>
          <w:caps/>
          <w:sz w:val="24"/>
          <w:szCs w:val="24"/>
          <w:lang w:eastAsia="cs-CZ"/>
        </w:rPr>
      </w:pPr>
      <w:r w:rsidRPr="00CC3377">
        <w:rPr>
          <w:rFonts w:ascii="Tahoma" w:eastAsia="Times New Roman" w:hAnsi="Tahoma" w:cs="Tahoma"/>
          <w:b/>
          <w:bCs/>
          <w:caps/>
          <w:sz w:val="24"/>
          <w:szCs w:val="24"/>
          <w:lang w:eastAsia="cs-CZ"/>
        </w:rPr>
        <w:br w:type="page"/>
      </w:r>
    </w:p>
    <w:p w14:paraId="09BF765A" w14:textId="77777777" w:rsidR="00310A28" w:rsidRPr="00CC3377" w:rsidRDefault="00310A28" w:rsidP="00310A2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12C100C" w14:textId="77777777" w:rsidR="00310A28" w:rsidRPr="00CC3377" w:rsidRDefault="00310A28" w:rsidP="00310A28">
      <w:pPr>
        <w:keepNext/>
        <w:spacing w:after="0" w:line="240" w:lineRule="auto"/>
        <w:jc w:val="center"/>
        <w:rPr>
          <w:rFonts w:ascii="Tahoma" w:eastAsia="Times New Roman" w:hAnsi="Tahoma" w:cs="Tahoma"/>
          <w:caps/>
          <w:spacing w:val="60"/>
          <w:sz w:val="24"/>
          <w:szCs w:val="24"/>
          <w:lang w:eastAsia="cs-CZ"/>
        </w:rPr>
      </w:pPr>
      <w:r w:rsidRPr="00CC3377">
        <w:rPr>
          <w:rFonts w:ascii="Tahoma" w:eastAsia="Times New Roman" w:hAnsi="Tahoma" w:cs="Tahoma"/>
          <w:b/>
          <w:bCs/>
          <w:caps/>
          <w:spacing w:val="60"/>
          <w:sz w:val="32"/>
          <w:szCs w:val="32"/>
          <w:lang w:eastAsia="cs-CZ"/>
        </w:rPr>
        <w:t>zásady</w:t>
      </w:r>
    </w:p>
    <w:p w14:paraId="62705C6C" w14:textId="77777777" w:rsidR="00310A28" w:rsidRPr="004659C6" w:rsidRDefault="00310A28" w:rsidP="00310A28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cs-CZ"/>
        </w:rPr>
      </w:pPr>
      <w:r w:rsidRPr="004659C6">
        <w:rPr>
          <w:rFonts w:ascii="Tahoma" w:eastAsia="Times New Roman" w:hAnsi="Tahoma" w:cs="Tahoma"/>
          <w:b/>
          <w:sz w:val="28"/>
          <w:szCs w:val="28"/>
          <w:lang w:eastAsia="cs-CZ"/>
        </w:rPr>
        <w:t>převodu a nabytí nemovitých věcí</w:t>
      </w:r>
      <w:bookmarkStart w:id="0" w:name="__RefHeading___Toc284334523"/>
      <w:bookmarkStart w:id="1" w:name="_Toc434919920"/>
      <w:bookmarkEnd w:id="0"/>
      <w:bookmarkEnd w:id="1"/>
    </w:p>
    <w:p w14:paraId="27D3B788" w14:textId="689B6BD3" w:rsidR="00310A28" w:rsidRPr="00D02728" w:rsidRDefault="00D02728" w:rsidP="00D02728">
      <w:pPr>
        <w:pStyle w:val="Styl1"/>
        <w:spacing w:after="240"/>
        <w:ind w:left="0" w:firstLine="0"/>
        <w:rPr>
          <w:rFonts w:cs="Tahoma"/>
        </w:rPr>
      </w:pPr>
      <w:bookmarkStart w:id="2" w:name="_Toc434919921"/>
      <w:bookmarkStart w:id="3" w:name="_Toc126669129"/>
      <w:r>
        <w:rPr>
          <w:rFonts w:cs="Tahoma"/>
        </w:rPr>
        <w:br/>
      </w:r>
      <w:bookmarkStart w:id="4" w:name="_Toc205893279"/>
      <w:r w:rsidR="00310A28" w:rsidRPr="00D02728">
        <w:rPr>
          <w:rFonts w:cs="Tahoma"/>
        </w:rPr>
        <w:t>Úvodní ustanovení</w:t>
      </w:r>
      <w:bookmarkEnd w:id="2"/>
      <w:bookmarkEnd w:id="3"/>
      <w:bookmarkEnd w:id="4"/>
    </w:p>
    <w:tbl>
      <w:tblPr>
        <w:tblW w:w="907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"/>
        <w:gridCol w:w="8584"/>
      </w:tblGrid>
      <w:tr w:rsidR="008A2B95" w:rsidRPr="00CC3377" w14:paraId="5174DC7A" w14:textId="77777777" w:rsidTr="00D02728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1EC66" w14:textId="77777777" w:rsidR="00310A28" w:rsidRPr="00CC3377" w:rsidRDefault="00310A28" w:rsidP="007D7B3F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(1)</w:t>
            </w: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6EE68" w14:textId="77777777" w:rsidR="00310A28" w:rsidRPr="00CC3377" w:rsidRDefault="00310A28" w:rsidP="00D027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Zásady převodu a nabytí nemovitých věcí (dále jen „Zásady“) upravují postup při převodu tohoto majetku z vlastnictví kraje (dále jen „převod“), zejména způsoby převodu, formy prodeje, rozsah a přípravu podkladů, předkládání návrhů k projednání v orgánech kraje, způsoby výběru zájemce, způsoby ocenění, vlastní realizaci převodu, zvláštní postupy apod. Zásady upravují i problematiku nabytí nemovitých věcí do vlastnictví kraje (dále jen „nabytí“).</w:t>
            </w:r>
          </w:p>
        </w:tc>
      </w:tr>
      <w:tr w:rsidR="00D02728" w:rsidRPr="00CC3377" w14:paraId="2C7C9825" w14:textId="77777777" w:rsidTr="007D7B3F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A0A4" w14:textId="77777777" w:rsidR="00D02728" w:rsidRPr="00CC3377" w:rsidRDefault="00D02728" w:rsidP="007D7B3F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7837" w14:textId="77777777" w:rsidR="00D02728" w:rsidRPr="00CC3377" w:rsidRDefault="00D027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D02728" w:rsidRPr="00CC3377" w14:paraId="1EA5D268" w14:textId="77777777" w:rsidTr="007D7B3F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9558" w14:textId="7057EFAE" w:rsidR="00D02728" w:rsidRPr="00CC3377" w:rsidRDefault="00D02728" w:rsidP="007D7B3F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(2)</w:t>
            </w: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2E8F" w14:textId="46A49D59" w:rsidR="00D02728" w:rsidRPr="00CC3377" w:rsidRDefault="00D027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 souladu s § 36 písm. a) zákona č. 129/2000 Sb., o krajích (krajské zřízení), ve znění pozdějších předpisů</w:t>
            </w:r>
            <w:r w:rsidR="00EC53C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(dále jen „zákon o krajích“)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r w:rsidR="004659C6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rozhoduje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 nabytí a převodu hmotných nemovitých věcí, s výjimkou inženýrských sítí a pozemních komunikací, zastupitelstvo kraje. Převody a nabytí komplexně technicky zajišťuje, příp. koordinuje příslušný odbor krajského úřadu stanovený k těmto úkonům Organizačním řádem krajského úřadu (dále jen „příslušný odbor“). Rada kraje může určit, že příslušný odbor pro zajištění převodu i nabytí využije ve stanoveném rozsahu služeb dražebníka.</w:t>
            </w:r>
          </w:p>
        </w:tc>
      </w:tr>
      <w:tr w:rsidR="00D02728" w:rsidRPr="00CC3377" w14:paraId="7E7488D9" w14:textId="77777777" w:rsidTr="007D7B3F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6D26" w14:textId="77777777" w:rsidR="00D02728" w:rsidRPr="00CC3377" w:rsidRDefault="00D02728" w:rsidP="007D7B3F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31D5" w14:textId="77777777" w:rsidR="00D02728" w:rsidRPr="00CC3377" w:rsidRDefault="00D027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1F2E4C2C" w14:textId="32C3B32A" w:rsidR="00633EF9" w:rsidRDefault="00310A28" w:rsidP="00633EF9">
      <w:pPr>
        <w:pStyle w:val="Styl1"/>
        <w:spacing w:after="240"/>
        <w:ind w:left="0" w:firstLine="0"/>
        <w:rPr>
          <w:rFonts w:cs="Tahoma"/>
        </w:rPr>
      </w:pPr>
      <w:r w:rsidRPr="00CC3377">
        <w:rPr>
          <w:rFonts w:cs="Tahoma"/>
        </w:rPr>
        <w:br/>
      </w:r>
      <w:bookmarkStart w:id="5" w:name="_Toc434919922"/>
      <w:bookmarkStart w:id="6" w:name="_Toc126669130"/>
      <w:bookmarkStart w:id="7" w:name="_Toc205893280"/>
      <w:r w:rsidRPr="00CC3377">
        <w:rPr>
          <w:rFonts w:cs="Tahoma"/>
        </w:rPr>
        <w:t>Předmět a způsoby převodu a nabytí nemovitých věcí</w:t>
      </w:r>
      <w:bookmarkEnd w:id="5"/>
      <w:bookmarkEnd w:id="6"/>
      <w:bookmarkEnd w:id="7"/>
    </w:p>
    <w:tbl>
      <w:tblPr>
        <w:tblW w:w="907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"/>
        <w:gridCol w:w="363"/>
        <w:gridCol w:w="499"/>
        <w:gridCol w:w="7722"/>
      </w:tblGrid>
      <w:tr w:rsidR="00633EF9" w:rsidRPr="00CC3377" w14:paraId="44C3BAF3" w14:textId="77777777" w:rsidTr="00890166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E33C1" w14:textId="77777777" w:rsidR="00633EF9" w:rsidRPr="00950119" w:rsidRDefault="00633EF9" w:rsidP="00890166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(1)</w:t>
            </w: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CD922" w14:textId="77777777" w:rsidR="00633EF9" w:rsidRPr="00CC3377" w:rsidRDefault="00633EF9" w:rsidP="00633EF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Nemovitými věcmi se pro účely těchto Zásad rozumí:</w:t>
            </w:r>
          </w:p>
          <w:p w14:paraId="22A2D7C0" w14:textId="77777777" w:rsidR="00633EF9" w:rsidRPr="00CC3377" w:rsidRDefault="00633EF9" w:rsidP="00633EF9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</w:pP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pozemky,</w:t>
            </w:r>
          </w:p>
          <w:p w14:paraId="5C3BB7E4" w14:textId="77777777" w:rsidR="00633EF9" w:rsidRPr="00CC3377" w:rsidRDefault="00633EF9" w:rsidP="00633EF9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</w:pP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stavby spojené se zemí pevným základem, které jsou ve vlastnictví osoby odlišné od vlastníka pozemku, na kterém stojí,</w:t>
            </w:r>
          </w:p>
          <w:p w14:paraId="7A0A892E" w14:textId="77777777" w:rsidR="00633EF9" w:rsidRPr="00CC3377" w:rsidRDefault="00633EF9" w:rsidP="00633EF9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</w:pP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podzemní stavby se samostatným účelovým určením a věcná práva k těmto stavbám,</w:t>
            </w:r>
          </w:p>
          <w:p w14:paraId="013DA45F" w14:textId="78111478" w:rsidR="00633EF9" w:rsidRPr="00CC3377" w:rsidRDefault="00633EF9" w:rsidP="00633EF9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</w:pP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jednotk</w:t>
            </w:r>
            <w:r w:rsidR="001609A5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y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(byt</w:t>
            </w:r>
            <w:r w:rsidR="001609A5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y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jako prostorově oddělen</w:t>
            </w:r>
            <w:r w:rsidR="001609A5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é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část</w:t>
            </w:r>
            <w:r w:rsidR="001609A5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i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domu včetně podíl</w:t>
            </w:r>
            <w:r w:rsidR="00FE396D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ů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na společných částech nemovit</w:t>
            </w:r>
            <w:r w:rsidR="001609A5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ých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věc</w:t>
            </w:r>
            <w:r w:rsidR="001609A5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í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vzájemně spojen</w:t>
            </w:r>
            <w:r w:rsidR="001609A5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ých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a neodděliteln</w:t>
            </w:r>
            <w:r w:rsidR="001609A5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ých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, nebytov</w:t>
            </w:r>
            <w:r w:rsidR="002A144D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é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prostor</w:t>
            </w:r>
            <w:r w:rsidR="002A144D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y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a soubor</w:t>
            </w:r>
            <w:r w:rsidR="002A144D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>y</w:t>
            </w: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 bytů nebo nebytových prostorů),</w:t>
            </w:r>
          </w:p>
          <w:p w14:paraId="34D79153" w14:textId="77777777" w:rsidR="00633EF9" w:rsidRPr="00CC3377" w:rsidRDefault="00633EF9" w:rsidP="00633EF9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</w:pPr>
            <w:r w:rsidRPr="00CC3377"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  <w:t xml:space="preserve">práva, která za nemovité věci prohlásí zákon (právo stavby), </w:t>
            </w:r>
          </w:p>
          <w:p w14:paraId="6F344EE6" w14:textId="4CEEFB90" w:rsidR="00633EF9" w:rsidRPr="009200D4" w:rsidRDefault="00633EF9" w:rsidP="009200D4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ahoma"/>
                <w:bCs/>
                <w:sz w:val="20"/>
                <w:szCs w:val="20"/>
                <w:lang w:eastAsia="cs-CZ"/>
              </w:rPr>
            </w:pPr>
            <w:r w:rsidRPr="004659C6">
              <w:rPr>
                <w:rFonts w:eastAsia="Times New Roman" w:cs="Tahoma"/>
                <w:b w:val="0"/>
                <w:bCs/>
                <w:sz w:val="20"/>
                <w:szCs w:val="20"/>
                <w:lang w:eastAsia="cs-CZ"/>
              </w:rPr>
              <w:t>další věci, o kterých speciální právní předpis stanoví, že nejsou součástí pozemku a nelze je přenést z místa na místo bez porušení jejich podstaty.</w:t>
            </w:r>
          </w:p>
        </w:tc>
      </w:tr>
      <w:tr w:rsidR="00633EF9" w:rsidRPr="00CC3377" w14:paraId="19D32D7F" w14:textId="77777777" w:rsidTr="00890166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DD9C" w14:textId="77777777" w:rsidR="00633EF9" w:rsidRPr="00950119" w:rsidRDefault="00633EF9" w:rsidP="00890166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D81A4" w14:textId="77777777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33EF9" w:rsidRPr="00CC3377" w14:paraId="4A91596C" w14:textId="77777777" w:rsidTr="00890166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2E76" w14:textId="77777777" w:rsidR="00633EF9" w:rsidRPr="00950119" w:rsidRDefault="00633EF9" w:rsidP="00890166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(2)</w:t>
            </w: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5016" w14:textId="6397176C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Zpravidla se převádějí nemovité věci, které jsou pro kraj nepotřebné. Nepotřebnost znamená, že pro danou nemovitou věc není využití v rámci orgánů kraje nebo právnických osob zřízených nebo založených krajem dle zvláštních zákonů. Nemovité věci svěřené k hospodaření příspěvkovým organizacím jsou mezi nepotřebný majetek zařazeny na základě návrhu na zařazení nemovitých věcí do evidence nepotřebného majetku předloženého těmito příspěvkovými organizacemi, a to prostřednictvím informačního systému Portál majetku, který je součástí aplikace </w:t>
            </w:r>
            <w:proofErr w:type="spellStart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FaMa</w:t>
            </w:r>
            <w:proofErr w:type="spellEnd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+. Nemovité věci, které nejsou svěřené k hospodaření příspěvkovým organizacím, jsou mezi nepotřebný majetek zařazeny na základě analýzy provedené odborem investičním a majetkovým.</w:t>
            </w:r>
          </w:p>
        </w:tc>
      </w:tr>
      <w:tr w:rsidR="00633EF9" w:rsidRPr="00CC3377" w14:paraId="12C654DC" w14:textId="77777777" w:rsidTr="00890166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60C5" w14:textId="77777777" w:rsidR="00633EF9" w:rsidRPr="00950119" w:rsidRDefault="00633EF9" w:rsidP="00890166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4BEC" w14:textId="77777777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33EF9" w:rsidRPr="00CC3377" w14:paraId="01ACC445" w14:textId="77777777" w:rsidTr="00890166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A1CD" w14:textId="63EA321C" w:rsidR="00633EF9" w:rsidRPr="00950119" w:rsidRDefault="00633EF9" w:rsidP="00890166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(3)</w:t>
            </w: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FB4E" w14:textId="189490BC" w:rsidR="00633EF9" w:rsidRPr="00CC3377" w:rsidRDefault="00932C0C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</w:t>
            </w:r>
            <w:r w:rsidR="00633EF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působy převodu nemovitých věcí:</w:t>
            </w:r>
          </w:p>
        </w:tc>
      </w:tr>
      <w:tr w:rsidR="00633EF9" w:rsidRPr="00CC3377" w14:paraId="487C34D9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D4E9D" w14:textId="77777777" w:rsidR="00633EF9" w:rsidRPr="00950119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DA39E" w14:textId="77777777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AC248" w14:textId="77777777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dar (bezúplatný převod),</w:t>
            </w:r>
          </w:p>
        </w:tc>
      </w:tr>
      <w:tr w:rsidR="00633EF9" w:rsidRPr="00CC3377" w14:paraId="170F2C10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ED013" w14:textId="77777777" w:rsidR="00633EF9" w:rsidRPr="00950119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4C55" w14:textId="07C7EFCE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A3424" w14:textId="3A0CDD1A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prodej,</w:t>
            </w:r>
          </w:p>
        </w:tc>
      </w:tr>
      <w:tr w:rsidR="00633EF9" w:rsidRPr="00CC3377" w14:paraId="142A33DC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18F8" w14:textId="77777777" w:rsidR="00633EF9" w:rsidRPr="00950119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9F9D" w14:textId="548FBEA0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0262" w14:textId="7945A03B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směna,</w:t>
            </w:r>
          </w:p>
        </w:tc>
      </w:tr>
      <w:tr w:rsidR="00633EF9" w:rsidRPr="00CC3377" w14:paraId="0434F15C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23212" w14:textId="77777777" w:rsidR="00633EF9" w:rsidRPr="00950119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CE0F" w14:textId="385AE6AD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D01E" w14:textId="5C4319D7" w:rsidR="00633EF9" w:rsidRPr="00CC3377" w:rsidRDefault="00932C0C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nepeněžitý </w:t>
            </w:r>
            <w:r w:rsidR="00633EF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vklad společníka do společnosti za účelem nabytí nebo zvýšení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majetkové</w:t>
            </w:r>
            <w:r w:rsidR="00633EF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účasti v obchodní společnosti</w:t>
            </w:r>
          </w:p>
        </w:tc>
      </w:tr>
      <w:tr w:rsidR="00633EF9" w:rsidRPr="00CC3377" w14:paraId="06F839F0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BACB" w14:textId="77777777" w:rsidR="00633EF9" w:rsidRPr="00950119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FE91F" w14:textId="3CDE3089" w:rsidR="00633EF9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F08FA" w14:textId="0A94EA22" w:rsidR="00633EF9" w:rsidRPr="00CC3377" w:rsidRDefault="00633EF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vydání nemovitých věcí podle zvláštních zákonů a na základě rozhodnutí soudů a jiných státních orgánů.</w:t>
            </w:r>
          </w:p>
        </w:tc>
      </w:tr>
      <w:tr w:rsidR="00950119" w:rsidRPr="00950119" w14:paraId="2B9801C4" w14:textId="77777777" w:rsidTr="00BD6DA5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75" w14:textId="77777777" w:rsidR="00950119" w:rsidRPr="00950119" w:rsidRDefault="00950119" w:rsidP="00950119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EDFD" w14:textId="77777777" w:rsidR="00950119" w:rsidRPr="00CC3377" w:rsidRDefault="00950119" w:rsidP="00950119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950119" w:rsidRPr="00CC3377" w14:paraId="4AD6DC7C" w14:textId="77777777" w:rsidTr="00DD1D7D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F00C9" w14:textId="190C0605" w:rsidR="00950119" w:rsidRPr="00950119" w:rsidRDefault="0095011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(4)</w:t>
            </w: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06F9F" w14:textId="73EAC3CB" w:rsidR="00950119" w:rsidRPr="00CC3377" w:rsidRDefault="0095011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Darovat nemovitou věc lze zejména:</w:t>
            </w:r>
          </w:p>
        </w:tc>
      </w:tr>
      <w:tr w:rsidR="00950119" w:rsidRPr="00CC3377" w14:paraId="1273122B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6B11" w14:textId="77777777" w:rsidR="00950119" w:rsidRPr="00950119" w:rsidRDefault="0095011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51E0E" w14:textId="343B2E60" w:rsidR="00950119" w:rsidRDefault="0095011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ED660" w14:textId="2449FF1B" w:rsidR="00950119" w:rsidRPr="00CC3377" w:rsidRDefault="0095011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 vlastnictví obce, v jejímž katastrálním území se nemovité věci nacházejí a které obec může využít pro veřejně prospěšné účely, anebo je ze strany obce navrženo darovat kraji adekvátní nemovité věci potřebné pro činnost kraje,</w:t>
            </w:r>
          </w:p>
        </w:tc>
      </w:tr>
      <w:tr w:rsidR="00316B76" w:rsidRPr="00CC3377" w14:paraId="6AEBEA73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3EFA" w14:textId="77777777" w:rsidR="00316B76" w:rsidRPr="00950119" w:rsidRDefault="00316B76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EE09" w14:textId="508CFC13" w:rsidR="00316B76" w:rsidRDefault="00316B76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BAB7" w14:textId="0116735C" w:rsidR="00316B76" w:rsidRPr="00CC3377" w:rsidRDefault="00316B76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 vlastnictví České republiky, s právem hospodařit pro oprávněné organizační složky státu, státní organizace nebo Ředitelství silnic a dálnic s.</w:t>
            </w:r>
            <w:r w:rsidR="00057CB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p. v souladu s</w:t>
            </w:r>
            <w:r w:rsidR="00057CB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§</w:t>
            </w:r>
            <w:r w:rsidR="00057CB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18b zákona o krajích,</w:t>
            </w:r>
          </w:p>
        </w:tc>
      </w:tr>
      <w:tr w:rsidR="00950119" w:rsidRPr="00CC3377" w14:paraId="1268B7A4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A1C4" w14:textId="77777777" w:rsidR="00950119" w:rsidRPr="00950119" w:rsidRDefault="0095011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C1A7" w14:textId="1E186D8E" w:rsidR="00950119" w:rsidRDefault="00316B76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</w:t>
            </w:r>
            <w:r w:rsid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A21A0" w14:textId="360A1873" w:rsidR="00950119" w:rsidRPr="00CC3377" w:rsidRDefault="0095011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 vlastnictví právnické nebo fyzické osoby, která vykonává obecně prospěšnou činnost na</w:t>
            </w:r>
            <w:r w:rsidR="00057CB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území kraje, k níž může nemovité věci využít,</w:t>
            </w:r>
          </w:p>
        </w:tc>
      </w:tr>
      <w:tr w:rsidR="00950119" w:rsidRPr="00CC3377" w14:paraId="5D7A5321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2B21" w14:textId="77777777" w:rsidR="00950119" w:rsidRPr="00950119" w:rsidRDefault="0095011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5926" w14:textId="18B016BC" w:rsidR="00950119" w:rsidRDefault="00316B76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</w:t>
            </w:r>
            <w:r w:rsid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B735" w14:textId="43F52B09" w:rsidR="00950119" w:rsidRPr="00CC3377" w:rsidRDefault="00950119" w:rsidP="0089016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 vlastnictví jiné právnické nebo fyzické osoby pouze výjimečně, a to v odůvodněných případech.</w:t>
            </w:r>
          </w:p>
        </w:tc>
      </w:tr>
      <w:tr w:rsidR="00950119" w:rsidRPr="00950119" w14:paraId="64568E42" w14:textId="77777777" w:rsidTr="006A20A3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A3E1" w14:textId="77777777" w:rsidR="00950119" w:rsidRPr="00950119" w:rsidRDefault="00950119" w:rsidP="00950119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324D" w14:textId="77777777" w:rsidR="00950119" w:rsidRPr="00CC3377" w:rsidRDefault="00950119" w:rsidP="00950119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8A2B95" w:rsidRPr="00CC3377" w14:paraId="51704C43" w14:textId="77777777" w:rsidTr="00633EF9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5391E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(5)</w:t>
            </w: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D17A0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Prodej nemovitých věcí lze realizovat</w:t>
            </w:r>
            <w:r w:rsidR="005B034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zejména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</w:tr>
      <w:tr w:rsidR="008A2B95" w:rsidRPr="00CC3377" w14:paraId="68719908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A78FC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042CC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F717D" w14:textId="77777777" w:rsidR="00310A28" w:rsidRPr="00CC3377" w:rsidRDefault="00310A28" w:rsidP="005B034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přímým prodejem bez výběrového řízení (dále jen „přímý prodej“) - lze postupovat v případech, kdy je okruh zájemců o dané nemovité věci omezen charakterem, polohou, či způsobem využití nemovitých věcí</w:t>
            </w:r>
            <w:r w:rsidR="00AE536D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 </w:t>
            </w:r>
            <w:r w:rsidR="007D7B3F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to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zejména z těchto důvodů:</w:t>
            </w:r>
          </w:p>
        </w:tc>
      </w:tr>
      <w:tr w:rsidR="008A2B95" w:rsidRPr="00CC3377" w14:paraId="401404C3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8B2D4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1509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CDDE9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aa</w:t>
            </w:r>
            <w:proofErr w:type="spellEnd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A0A8F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zájemce je spoluvlastníkem prodávaných nemovitých věcí,</w:t>
            </w:r>
          </w:p>
        </w:tc>
      </w:tr>
      <w:tr w:rsidR="008A2B95" w:rsidRPr="00CC3377" w14:paraId="5095D368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78D7F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C271D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5658A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ab)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54F7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zájemce je vlastníkem stavby na prodávaném pozemku kraje,</w:t>
            </w:r>
          </w:p>
        </w:tc>
      </w:tr>
      <w:tr w:rsidR="008A2B95" w:rsidRPr="00CC3377" w14:paraId="2A4459CF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C1473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9472E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CB3E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ac</w:t>
            </w:r>
            <w:proofErr w:type="spellEnd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DCED4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zájemce je vlastníkem zastavěného pozemku pod prodávanou stavbou kraje,</w:t>
            </w:r>
          </w:p>
        </w:tc>
      </w:tr>
      <w:tr w:rsidR="00DE774F" w:rsidRPr="00CC3377" w14:paraId="34329E87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15EB" w14:textId="77777777" w:rsidR="00DE774F" w:rsidRPr="00950119" w:rsidRDefault="00DE774F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A94C" w14:textId="77777777" w:rsidR="00DE774F" w:rsidRPr="00CC3377" w:rsidRDefault="00DE774F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82AF" w14:textId="77777777" w:rsidR="00DE774F" w:rsidRPr="00CC3377" w:rsidRDefault="00DE774F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ad)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1E48" w14:textId="4148380D" w:rsidR="00DE774F" w:rsidRPr="00CC3377" w:rsidRDefault="00DE774F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zájemce je vlastníkem </w:t>
            </w:r>
            <w:r w:rsidR="008D31AD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sousední</w:t>
            </w:r>
            <w:r w:rsidR="00E1341F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ch nemovitých věcí</w:t>
            </w:r>
            <w:r w:rsidR="00795DE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 prodejem daných nemovitých věcí</w:t>
            </w:r>
            <w:r w:rsidR="001D3296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osobě rozdílné od zájemce</w:t>
            </w:r>
            <w:r w:rsidR="00795DE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by byl omezen v užívání těchto sousedních nemovitých věcí,</w:t>
            </w:r>
          </w:p>
        </w:tc>
      </w:tr>
      <w:tr w:rsidR="008A2B95" w:rsidRPr="00CC3377" w14:paraId="55429671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869E0" w14:textId="35F40043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27F22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3FD24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</w:t>
            </w:r>
            <w:r w:rsidR="00DE774F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</w:t>
            </w:r>
            <w:proofErr w:type="spellEnd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313FC" w14:textId="1EA5D112" w:rsidR="00DE774F" w:rsidRPr="00CC3377" w:rsidRDefault="00310A28" w:rsidP="004D3B1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zájemce je nájemcem prodávané</w:t>
            </w:r>
            <w:r w:rsidR="004D3B1C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nemovité věci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 vlastnictví kraje,</w:t>
            </w:r>
            <w:r w:rsidR="00795DE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 to po dobu delší než 1 rok,</w:t>
            </w:r>
          </w:p>
        </w:tc>
      </w:tr>
      <w:tr w:rsidR="008A2B95" w:rsidRPr="00CC3377" w14:paraId="484508E4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25C77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24541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7AA8D" w14:textId="77777777" w:rsidR="00310A28" w:rsidRPr="00CC3377" w:rsidRDefault="00DE774F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af</w:t>
            </w:r>
            <w:proofErr w:type="spellEnd"/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6B831" w14:textId="1E306F8C" w:rsidR="00310A28" w:rsidRPr="00CC3377" w:rsidRDefault="000A4AD7" w:rsidP="00F472B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zájemce je Česká republika, resp. oprávněná organizační složka státu nebo státní organizace dle § 18c zákona o krajích,</w:t>
            </w:r>
          </w:p>
        </w:tc>
      </w:tr>
      <w:tr w:rsidR="00133F49" w:rsidRPr="00CC3377" w14:paraId="55D3B4C4" w14:textId="19CEEC80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EB8C" w14:textId="3553A6CD" w:rsidR="00133F49" w:rsidRPr="00950119" w:rsidRDefault="00133F49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30FBC" w14:textId="6532CE54" w:rsidR="00133F49" w:rsidRPr="00CC3377" w:rsidRDefault="00133F49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F69C7" w14:textId="69224DC5" w:rsidR="00133F49" w:rsidRPr="00CC3377" w:rsidRDefault="00133F49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ag</w:t>
            </w:r>
            <w:proofErr w:type="spellEnd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BFE7" w14:textId="640E75ED" w:rsidR="00133F49" w:rsidRPr="00CC3377" w:rsidRDefault="00133F49" w:rsidP="0095582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zájemce</w:t>
            </w:r>
            <w:r w:rsidR="00955822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bude nemovité věci využívat ve veřejném zájmu, zejména pro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účely </w:t>
            </w:r>
            <w:r w:rsidR="00520265" w:rsidRPr="00CC3377">
              <w:rPr>
                <w:rFonts w:ascii="Tahoma" w:hAnsi="Tahoma" w:cs="Tahoma"/>
                <w:sz w:val="20"/>
                <w:szCs w:val="20"/>
              </w:rPr>
              <w:t>školství a </w:t>
            </w:r>
            <w:r w:rsidR="00955822" w:rsidRPr="00CC3377">
              <w:rPr>
                <w:rFonts w:ascii="Tahoma" w:hAnsi="Tahoma" w:cs="Tahoma"/>
                <w:sz w:val="20"/>
                <w:szCs w:val="20"/>
              </w:rPr>
              <w:t>sportu, kultury, zdravotnictví, sociálních služeb</w:t>
            </w:r>
            <w:r w:rsidR="002A1096" w:rsidRPr="00CC3377">
              <w:rPr>
                <w:rFonts w:ascii="Tahoma" w:hAnsi="Tahoma" w:cs="Tahoma"/>
                <w:sz w:val="20"/>
                <w:szCs w:val="20"/>
              </w:rPr>
              <w:t>,</w:t>
            </w:r>
            <w:r w:rsidR="00955822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2A1096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</w:t>
            </w:r>
            <w:r w:rsidR="00955822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nebo</w:t>
            </w:r>
            <w:r w:rsidR="002A1096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budou ne</w:t>
            </w:r>
            <w:r w:rsidR="008F703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</w:t>
            </w:r>
            <w:r w:rsidR="002A1096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ovité věci využity</w:t>
            </w:r>
            <w:r w:rsidR="008F703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2A1096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 vytvoření nových pracovních míst a</w:t>
            </w:r>
            <w:r w:rsidR="00955822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pro podporu </w:t>
            </w:r>
            <w:r w:rsidR="009D366C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zaměstnanosti v Moravskoslezském </w:t>
            </w:r>
            <w:r w:rsidR="00284FB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kraji</w:t>
            </w:r>
            <w:r w:rsidR="00C71F56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</w:p>
        </w:tc>
      </w:tr>
      <w:tr w:rsidR="008A2B95" w:rsidRPr="00CC3377" w14:paraId="38036D00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AB7B8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6D2A1" w14:textId="23F081E2" w:rsidR="00310A28" w:rsidRPr="00CC3377" w:rsidRDefault="000A4AD7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</w:t>
            </w:r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B3A96" w14:textId="43533FF3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výběrem nejvhodnějšího zájemce </w:t>
            </w:r>
            <w:r w:rsidR="003F44B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 výběrovém řízení</w:t>
            </w:r>
            <w:r w:rsidR="0053513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5942A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 otevřeným okruhem účastníků </w:t>
            </w:r>
            <w:r w:rsidR="003F44B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prostřednictvím elektronického aukčního systému, jehož správcem je Úřad pro zastupování </w:t>
            </w:r>
            <w:r w:rsidR="005942A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státu </w:t>
            </w:r>
            <w:r w:rsidR="003F44B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 věcech majetkových</w:t>
            </w:r>
            <w:r w:rsidR="00A7105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(dále jen „EAS ÚZSVM“)</w:t>
            </w:r>
            <w:r w:rsidR="005942A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r w:rsidR="00A7105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především </w:t>
            </w:r>
            <w:r w:rsidR="005942A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 případech, kdy je hlavním kritériem výběru zájemce </w:t>
            </w:r>
            <w:r w:rsidR="00A7105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dosažení maximální kupní ceny; </w:t>
            </w:r>
            <w:r w:rsidR="000A4AD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podrobnější popis je uveden v čl. 6 těchto Zásad,</w:t>
            </w:r>
          </w:p>
        </w:tc>
      </w:tr>
      <w:tr w:rsidR="000A4AD7" w:rsidRPr="00CC3377" w14:paraId="3A47BE88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8878" w14:textId="77777777" w:rsidR="000A4AD7" w:rsidRPr="00950119" w:rsidRDefault="000A4AD7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07A3" w14:textId="2E220DFC" w:rsidR="000A4AD7" w:rsidRDefault="000A4AD7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5B9D9" w14:textId="06B0CA65" w:rsidR="000A4AD7" w:rsidRPr="00CC3377" w:rsidRDefault="000A4AD7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výběrem nejvhodnějšího zájemce</w:t>
            </w:r>
            <w:r w:rsidR="00B5062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na základě předložených nabídek na realizaci investičního záměru</w:t>
            </w:r>
            <w:r w:rsidR="00A7105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ve výběrovém řízení s uzavřeným okruhem účastníků prostřednictvím elektronického aukčního systému</w:t>
            </w:r>
            <w:r w:rsidR="007E2BD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jehož správcem je</w:t>
            </w:r>
            <w:r w:rsidR="003C0FA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Moravskoslezský kraj</w:t>
            </w:r>
            <w:r w:rsidR="007E2BD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A7105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(dále jen „EAS MSK“)</w:t>
            </w:r>
            <w:r w:rsidR="00B5062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především v případech, kdy je hlavním kritériem výběru zájemce</w:t>
            </w:r>
            <w:r w:rsidR="00084A3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zejména</w:t>
            </w:r>
            <w:r w:rsidR="00B5062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přínos a kvalita záměru využití převáděných nemovitých věcí</w:t>
            </w:r>
            <w:r w:rsidR="00E223A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pro Moravskoslezský kraj a jeho ob</w:t>
            </w:r>
            <w:r w:rsidR="00084A3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čany</w:t>
            </w:r>
            <w:r w:rsidR="00B5062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; podrobnější popis je uveden v čl. 7 těchto Zásad,</w:t>
            </w:r>
          </w:p>
        </w:tc>
      </w:tr>
      <w:tr w:rsidR="008A2B95" w:rsidRPr="00CC3377" w14:paraId="7457ACAC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9710A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276E2" w14:textId="199BB169" w:rsidR="00310A28" w:rsidRPr="00BD61D9" w:rsidRDefault="00243F27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</w:t>
            </w:r>
            <w:r w:rsidR="00310A28" w:rsidRP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78576" w14:textId="6747EB50" w:rsidR="00310A28" w:rsidRPr="00BD61D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veřejnou dražbou dle zákona č. 2</w:t>
            </w:r>
            <w:r w:rsidR="00A94292" w:rsidRP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50</w:t>
            </w:r>
            <w:r w:rsidRP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/20</w:t>
            </w:r>
            <w:r w:rsidR="00A94292" w:rsidRP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</w:t>
            </w:r>
            <w:r w:rsidRP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Sb., o veřejných dražbách</w:t>
            </w:r>
            <w:r w:rsidR="00053B8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(dále jen „zákon o veřejných dražbách“)</w:t>
            </w:r>
            <w:r w:rsidR="005942A1" w:rsidRP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především v případech, kdy rada kraje s ohledem na povahu převáděných nemovitých věcí vyhodnotí tuto formu prodeje za nejvhodnější</w:t>
            </w:r>
            <w:r w:rsidR="00A71055" w:rsidRP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8A2B95" w:rsidRPr="00CC3377" w14:paraId="1E4584C7" w14:textId="77777777" w:rsidTr="00633EF9">
        <w:trPr>
          <w:gridAfter w:val="3"/>
          <w:wAfter w:w="8584" w:type="dxa"/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83426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8A2B95" w:rsidRPr="00CC3377" w14:paraId="0FD0AB15" w14:textId="77777777" w:rsidTr="00633EF9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37A24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(6)</w:t>
            </w: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1AB9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Směna nemovitých věcí se realizuje v odůvodněných případech, kdy kraj a zájemce vlastní nemovité věci, které lze vzájemně převést, a kdy směnou dojde k nabytí nemovitých věcí potřebných pro kraj a zároveň k převodu nemovitých věcí z vlastnictví kraje. Směna může být realizována s vyrovnáním nebo bez vyrovnání.</w:t>
            </w:r>
          </w:p>
        </w:tc>
      </w:tr>
      <w:tr w:rsidR="008A2B95" w:rsidRPr="00CC3377" w14:paraId="2031FB1F" w14:textId="77777777" w:rsidTr="00633EF9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FF555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39A44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</w:tr>
      <w:tr w:rsidR="008A2B95" w:rsidRPr="00CC3377" w14:paraId="705ACE76" w14:textId="77777777" w:rsidTr="00633EF9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B94A0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(7)</w:t>
            </w: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19916" w14:textId="259F9B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Vklad společníka do společnosti za účelem nabytí nebo zvýšení účasti v obchodní </w:t>
            </w:r>
            <w:r w:rsidR="00BD61D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společnosti – popis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převodu není předmětem těchto Zásad, postupuje se dle zákona č. 90/2012</w:t>
            </w:r>
            <w:r w:rsidR="001F309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Sb., o obchodních společnostech a družstvech (zákon o obchodních korporacích), ve znění pozdějších předpisů.</w:t>
            </w:r>
          </w:p>
        </w:tc>
      </w:tr>
      <w:tr w:rsidR="008A2B95" w:rsidRPr="00CC3377" w14:paraId="72FEBE69" w14:textId="77777777" w:rsidTr="00633EF9">
        <w:trPr>
          <w:gridAfter w:val="3"/>
          <w:wAfter w:w="8584" w:type="dxa"/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F6D3E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8A2B95" w:rsidRPr="00CC3377" w14:paraId="36EAF942" w14:textId="77777777" w:rsidTr="00633EF9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BA8A6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(8)</w:t>
            </w: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1AE5D" w14:textId="77777777" w:rsidR="00310A28" w:rsidRPr="00CC3377" w:rsidRDefault="00310A28" w:rsidP="000F3FC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Popis vydání nemovitých věcí podle zvláštních zákonů a na základě rozhodnutí soudů a jiných státních orgánů (např. restituce, historický majetek obcí)</w:t>
            </w:r>
            <w:r w:rsidR="002B3AD5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není předmětem těchto Zásad. Vzhledem k tomu, že se v těchto případech jedná většinou o přechod vlastnictví na základě jiných právních skutečností než právních </w:t>
            </w:r>
            <w:r w:rsidR="000F3F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jednání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zastupitelstvo kraje buď rozhodne o individuálním postupu, nebo je o přechodu informováno. </w:t>
            </w:r>
          </w:p>
        </w:tc>
      </w:tr>
      <w:tr w:rsidR="008F5FC5" w:rsidRPr="00CC3377" w14:paraId="23F9375B" w14:textId="77777777" w:rsidTr="00633EF9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0567" w14:textId="77777777" w:rsidR="008F5FC5" w:rsidRPr="00950119" w:rsidRDefault="008F5FC5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0BF3" w14:textId="77777777" w:rsidR="008F5FC5" w:rsidRPr="00CC3377" w:rsidRDefault="008F5FC5" w:rsidP="000F3FC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8A2B95" w:rsidRPr="00CC3377" w14:paraId="1D6FE516" w14:textId="77777777" w:rsidTr="00633EF9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2987E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(9)</w:t>
            </w: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0DDF6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Kraj nabývá do svého vlastnictví nemovité věci pro potřebu orgánů kraje a právnických osob zřízených nebo založených krajem. Při nabývání se kraj řídí </w:t>
            </w:r>
            <w:r w:rsidR="000F3F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zejména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výhodností nabytí.</w:t>
            </w:r>
          </w:p>
        </w:tc>
      </w:tr>
      <w:tr w:rsidR="008A2B95" w:rsidRPr="00CC3377" w14:paraId="63E51B11" w14:textId="77777777" w:rsidTr="00633EF9">
        <w:trPr>
          <w:gridAfter w:val="3"/>
          <w:wAfter w:w="8584" w:type="dxa"/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431BD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8A2B95" w:rsidRPr="00CC3377" w14:paraId="169E75F1" w14:textId="77777777" w:rsidTr="00633EF9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C3B3B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501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(10)</w:t>
            </w:r>
          </w:p>
        </w:tc>
        <w:tc>
          <w:tcPr>
            <w:tcW w:w="85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9416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Způsoby nabytí nemovitých věcí:</w:t>
            </w:r>
          </w:p>
        </w:tc>
      </w:tr>
      <w:tr w:rsidR="008A2B95" w:rsidRPr="00CC3377" w14:paraId="5025C275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F6582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6069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7AAF0" w14:textId="1ED08CF3" w:rsidR="00310A28" w:rsidRPr="00CC3377" w:rsidRDefault="00B7616E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dar (bezúplatný převod)</w:t>
            </w:r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</w:p>
        </w:tc>
      </w:tr>
      <w:tr w:rsidR="008A2B95" w:rsidRPr="00CC3377" w14:paraId="1D3DB0FE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1D35A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5FD2A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DE316" w14:textId="37EB1C79" w:rsidR="00310A28" w:rsidRPr="00CC3377" w:rsidRDefault="00B7616E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koupě</w:t>
            </w:r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</w:p>
        </w:tc>
      </w:tr>
      <w:tr w:rsidR="008A2B95" w:rsidRPr="00CC3377" w14:paraId="35ADD84E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BBD57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B8DDE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E60A0" w14:textId="6BD72718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směn</w:t>
            </w:r>
            <w:r w:rsidR="00D93AD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</w:p>
        </w:tc>
      </w:tr>
      <w:tr w:rsidR="008A2B95" w:rsidRPr="00CC3377" w14:paraId="0DA55648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FFDAD" w14:textId="77777777" w:rsidR="00310A28" w:rsidRPr="00950119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3D1C8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3B64C" w14:textId="549BC02B" w:rsidR="002B3AD5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nabytí nemovitých věcí podle zvláštních zákonů a na základě rozhodnutí soudů a jiných státních orgánů.</w:t>
            </w:r>
          </w:p>
        </w:tc>
      </w:tr>
      <w:tr w:rsidR="008F5FC5" w:rsidRPr="00CC3377" w14:paraId="479DE4D7" w14:textId="77777777" w:rsidTr="003F6C47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B8CD" w14:textId="77777777" w:rsidR="008F5FC5" w:rsidRPr="00950119" w:rsidRDefault="008F5FC5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62AC" w14:textId="77777777" w:rsidR="008F5FC5" w:rsidRPr="00CC3377" w:rsidRDefault="008F5FC5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1DEC" w14:textId="77777777" w:rsidR="008F5FC5" w:rsidRPr="00CC3377" w:rsidRDefault="008F5FC5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72A5301F" w14:textId="77777777" w:rsidR="00310A28" w:rsidRPr="00CC3377" w:rsidRDefault="00310A28" w:rsidP="00D02728">
      <w:pPr>
        <w:pStyle w:val="Styl1"/>
        <w:spacing w:after="240"/>
        <w:ind w:left="0" w:firstLine="0"/>
        <w:rPr>
          <w:rFonts w:cs="Tahoma"/>
        </w:rPr>
      </w:pPr>
      <w:bookmarkStart w:id="8" w:name="__RefHeading___Toc284334525"/>
      <w:bookmarkEnd w:id="8"/>
      <w:r w:rsidRPr="00CC3377">
        <w:rPr>
          <w:rFonts w:cs="Tahoma"/>
        </w:rPr>
        <w:br/>
      </w:r>
      <w:bookmarkStart w:id="9" w:name="_Toc126669131"/>
      <w:bookmarkStart w:id="10" w:name="_Toc205893281"/>
      <w:r w:rsidRPr="00CC3377">
        <w:rPr>
          <w:rFonts w:cs="Tahoma"/>
        </w:rPr>
        <w:t>Příprava převodu a nabytí nemovitých věcí a nutné podklady</w:t>
      </w:r>
      <w:bookmarkEnd w:id="9"/>
      <w:bookmarkEnd w:id="10"/>
    </w:p>
    <w:tbl>
      <w:tblPr>
        <w:tblW w:w="9079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"/>
        <w:gridCol w:w="279"/>
        <w:gridCol w:w="8297"/>
        <w:gridCol w:w="7"/>
      </w:tblGrid>
      <w:tr w:rsidR="008A2B95" w:rsidRPr="00CC3377" w14:paraId="1D69C997" w14:textId="77777777" w:rsidTr="00096288">
        <w:trPr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D9BE4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bookmarkStart w:id="11" w:name="__RefHeading___Toc284334526"/>
            <w:bookmarkEnd w:id="11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(1)</w:t>
            </w:r>
          </w:p>
        </w:tc>
        <w:tc>
          <w:tcPr>
            <w:tcW w:w="85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26F04" w14:textId="56E8BB6D" w:rsidR="00310A28" w:rsidRPr="00CC3377" w:rsidRDefault="00310A28" w:rsidP="00A032A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Příslušný odbor na základě vlastních zjištění, </w:t>
            </w:r>
            <w:r w:rsidR="00D93AD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písemného</w:t>
            </w:r>
            <w:r w:rsidR="00E0116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podnětu </w:t>
            </w:r>
            <w:r w:rsidR="00695F3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právnické osoby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zřízené </w:t>
            </w:r>
            <w:r w:rsidR="00695F3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nebo založené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krajem, podnětu orgánů kraje, </w:t>
            </w:r>
            <w:r w:rsidR="00D93AD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písemného podnětu odvětvového odboru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nebo </w:t>
            </w:r>
            <w:r w:rsidR="00956B5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písemné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žádosti o převod zahájí přípravu </w:t>
            </w:r>
            <w:r w:rsidR="0015702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převodu nebo nabytí nemovitých věcí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 zajistí shromáždění podkladů pro rozhodování orgánů kraje.</w:t>
            </w:r>
            <w:r w:rsidR="008D0EDA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B61D4B" w:rsidRPr="00CC337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Písemná forma je zachována i při </w:t>
            </w:r>
            <w:r w:rsidR="006F0FDE" w:rsidRPr="00CC337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sdělení</w:t>
            </w:r>
            <w:r w:rsidR="00B61D4B" w:rsidRPr="00CC337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učiněném elektronickými nebo jinými technickými prostředky (např. e</w:t>
            </w:r>
            <w:r w:rsidR="00ED6CC7" w:rsidRPr="00CC337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noBreakHyphen/>
            </w:r>
            <w:r w:rsidR="00B61D4B" w:rsidRPr="00CC337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mail, datová zpráva, </w:t>
            </w:r>
            <w:r w:rsidR="006F0FDE" w:rsidRPr="00CC337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interní sdělení, zápis z porady).</w:t>
            </w:r>
          </w:p>
        </w:tc>
      </w:tr>
      <w:tr w:rsidR="008A2B95" w:rsidRPr="00CC3377" w14:paraId="11177C11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77739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85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5CFF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</w:tr>
      <w:tr w:rsidR="008A2B95" w:rsidRPr="00CC3377" w14:paraId="717BB315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BB3F6" w14:textId="0F343452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D93AD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5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3A5C7" w14:textId="1D6BBC4F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Podklady pro rozhodování zastupitelstva kraje ve věci převodu a nabytí</w:t>
            </w:r>
            <w:r w:rsidR="00CF0101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jsou zpravidla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</w:tr>
      <w:tr w:rsidR="008A2B95" w:rsidRPr="00CC3377" w14:paraId="6C152E76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22D22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A389C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A888D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výpis z katastru nemovitostí,</w:t>
            </w:r>
          </w:p>
        </w:tc>
      </w:tr>
      <w:tr w:rsidR="008A2B95" w:rsidRPr="00CC3377" w14:paraId="624E700C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4494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BDC45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E14BE" w14:textId="783BD916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kopie katastrální mapy s vyznačením </w:t>
            </w:r>
            <w:r w:rsidR="001A6A8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dotčen</w:t>
            </w:r>
            <w:r w:rsidR="009200D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ých</w:t>
            </w:r>
            <w:r w:rsidR="001A6A8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nemovit</w:t>
            </w:r>
            <w:r w:rsidR="009200D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ých věcí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</w:p>
        </w:tc>
      </w:tr>
      <w:tr w:rsidR="008A2B95" w:rsidRPr="00CC3377" w14:paraId="19DF7ADB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D70F2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2E608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F8CF6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geometrický plán při nutnosti dělení parcel,</w:t>
            </w:r>
          </w:p>
        </w:tc>
      </w:tr>
      <w:tr w:rsidR="008A2B95" w:rsidRPr="00CC3377" w14:paraId="4304650B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8F3F5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3D406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9B1BD" w14:textId="60C7F51E" w:rsidR="00310A28" w:rsidRPr="00CC3377" w:rsidRDefault="00C96E46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</w:t>
            </w:r>
            <w:r w:rsidR="00F9023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důvodnění stanovení ceny nemovitých věcí</w:t>
            </w:r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</w:p>
        </w:tc>
      </w:tr>
      <w:tr w:rsidR="008A2B95" w:rsidRPr="00CC3377" w14:paraId="02585477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5387B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48639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E13BF" w14:textId="271CC7D0" w:rsidR="00310A28" w:rsidRPr="00CC3377" w:rsidRDefault="00C96E46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informace o </w:t>
            </w:r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stanovisk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</w:t>
            </w:r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příspěvkové organizace, která má </w:t>
            </w:r>
            <w:r w:rsidR="0015702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dané </w:t>
            </w:r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nemovité věci předány k hospodaření,</w:t>
            </w:r>
          </w:p>
        </w:tc>
      </w:tr>
      <w:tr w:rsidR="008A2B95" w:rsidRPr="00CC3377" w14:paraId="2040976B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D170D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9FB95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553E6" w14:textId="162A43D1" w:rsidR="00310A28" w:rsidRPr="00CC3377" w:rsidRDefault="00C96E46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informace o </w:t>
            </w:r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stanovisk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</w:t>
            </w:r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příslušného odvětvového odboru krajského úřadu,</w:t>
            </w:r>
          </w:p>
        </w:tc>
      </w:tr>
      <w:tr w:rsidR="008A2B95" w:rsidRPr="00CC3377" w14:paraId="57EFD71F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D96E5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2C3C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g)</w:t>
            </w: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D9B69" w14:textId="003FDBB3" w:rsidR="00310A28" w:rsidRPr="00CC3377" w:rsidRDefault="00C96E46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 případě prodeje </w:t>
            </w:r>
            <w:r w:rsidR="00AB7C9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 výběrov</w:t>
            </w:r>
            <w:r w:rsidR="00BB0A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ých</w:t>
            </w:r>
            <w:r w:rsidR="00AB7C9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řízení</w:t>
            </w:r>
            <w:r w:rsidR="00BB0A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ch</w:t>
            </w:r>
            <w:r w:rsidR="00AB7C9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prostřednictvím elektronick</w:t>
            </w:r>
            <w:r w:rsidR="00A7105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ých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auk</w:t>
            </w:r>
            <w:r w:rsidR="00A7105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čních systémů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shrnutí průběhu a výsledku </w:t>
            </w:r>
            <w:r w:rsidR="00CB1A8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těchto výběrových řízení</w:t>
            </w:r>
            <w:r w:rsidR="00310A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</w:p>
        </w:tc>
      </w:tr>
      <w:tr w:rsidR="00310A28" w:rsidRPr="00CC3377" w14:paraId="6394012B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CA125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EDCF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h)</w:t>
            </w: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F9F03" w14:textId="1338E2EC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 případě prodeje veřejnou dražbou podstatné náležitosti smlouvy o provedení dražby s draž</w:t>
            </w:r>
            <w:r w:rsidR="00A1175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ebníkem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8F5FC5" w:rsidRPr="00CC3377" w14:paraId="55CAFC76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B684" w14:textId="77777777" w:rsidR="008F5FC5" w:rsidRPr="00CC3377" w:rsidRDefault="008F5FC5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BA2D" w14:textId="77777777" w:rsidR="008F5FC5" w:rsidRPr="00CC3377" w:rsidRDefault="008F5FC5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0A1E" w14:textId="77777777" w:rsidR="008F5FC5" w:rsidRPr="00CC3377" w:rsidRDefault="008F5FC5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013A4849" w14:textId="77777777" w:rsidR="00310A28" w:rsidRPr="00CC3377" w:rsidRDefault="00310A28" w:rsidP="00D02728">
      <w:pPr>
        <w:pStyle w:val="Styl1"/>
        <w:spacing w:after="240"/>
        <w:ind w:left="0" w:firstLine="0"/>
        <w:rPr>
          <w:rFonts w:cs="Tahoma"/>
        </w:rPr>
      </w:pPr>
      <w:r w:rsidRPr="00CC3377">
        <w:rPr>
          <w:rFonts w:cs="Tahoma"/>
          <w:szCs w:val="24"/>
        </w:rPr>
        <w:br/>
      </w:r>
      <w:bookmarkStart w:id="12" w:name="_Toc126669132"/>
      <w:bookmarkStart w:id="13" w:name="_Toc205893282"/>
      <w:r w:rsidRPr="00CC3377">
        <w:rPr>
          <w:rFonts w:cs="Tahoma"/>
          <w:szCs w:val="24"/>
        </w:rPr>
        <w:t>Způsoby ocenění nemovitých věcí</w:t>
      </w:r>
      <w:bookmarkEnd w:id="12"/>
      <w:bookmarkEnd w:id="13"/>
    </w:p>
    <w:tbl>
      <w:tblPr>
        <w:tblW w:w="9079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"/>
        <w:gridCol w:w="355"/>
        <w:gridCol w:w="8221"/>
        <w:gridCol w:w="7"/>
      </w:tblGrid>
      <w:tr w:rsidR="008A2B95" w:rsidRPr="00CC3377" w14:paraId="6BA15435" w14:textId="77777777" w:rsidTr="00096288">
        <w:trPr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85650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bookmarkStart w:id="14" w:name="_Hlk130203839"/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(1)</w:t>
            </w:r>
          </w:p>
        </w:tc>
        <w:tc>
          <w:tcPr>
            <w:tcW w:w="85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40B46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Nemovité věci se pro potřeby převodu a nabytí ocení:</w:t>
            </w:r>
          </w:p>
        </w:tc>
      </w:tr>
      <w:tr w:rsidR="008A2B95" w:rsidRPr="00CC3377" w14:paraId="53F43548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85A42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B6A1F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3006E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 případě poskytnutí daru pořizovací cenou v účetní evidenci kraje nebo organizace kraje, která majetek vede v účetnictví,</w:t>
            </w:r>
          </w:p>
        </w:tc>
      </w:tr>
      <w:tr w:rsidR="008A2B95" w:rsidRPr="00CC3377" w14:paraId="7CDC012F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CE346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7CABF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9E4D2" w14:textId="784D1549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 případě prodeje nebo směny znaleckým posudkem</w:t>
            </w:r>
            <w:r w:rsidR="000E322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nebo odhadem</w:t>
            </w:r>
            <w:r w:rsidR="001915D7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ceny </w:t>
            </w:r>
            <w:r w:rsidR="001915D7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nemovit</w:t>
            </w:r>
            <w:r w:rsidR="009200D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é věci</w:t>
            </w:r>
            <w:r w:rsidR="00B8250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3A3A4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(dále </w:t>
            </w:r>
            <w:r w:rsidR="002E308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oba</w:t>
            </w:r>
            <w:r w:rsidR="00956B5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3A3A4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jen </w:t>
            </w:r>
            <w:r w:rsidR="002E308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jako </w:t>
            </w:r>
            <w:r w:rsidR="003A3A4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„odborný posudek“)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 stanovení ceny v místě a čase obvyklé dle platného předpisu pro oceňování majetku,</w:t>
            </w:r>
          </w:p>
        </w:tc>
      </w:tr>
      <w:bookmarkEnd w:id="14"/>
      <w:tr w:rsidR="008A2B95" w:rsidRPr="00CC3377" w14:paraId="3A8E5F9E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6716C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9EDC4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32E26" w14:textId="4E0EEDAB" w:rsidR="00310A28" w:rsidRPr="00CC3377" w:rsidRDefault="00310A28" w:rsidP="00D600F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 případě přijetí daru reprodukční pořizovací cenou, nebo hodnotou daru uvedenou ve smlouvě</w:t>
            </w:r>
            <w:r w:rsidR="00D600F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nebo pořizovací cenou v účetní evidenci dárce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; pokud ani jedna z uvedených možností ocenění není možná, pak </w:t>
            </w:r>
            <w:r w:rsidR="003A3A4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odborným posudkem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pro stanovení ceny v místě a čase obvyklé,</w:t>
            </w:r>
          </w:p>
        </w:tc>
      </w:tr>
      <w:tr w:rsidR="008A2B95" w:rsidRPr="00CC3377" w14:paraId="0551E403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6F4E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D5CB0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9BCEF" w14:textId="2DC089F8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 případě koupě pořizovací cenou, tou je zpravidla kupní cena a náklady související; kupní cena obvykle vychází z</w:t>
            </w:r>
            <w:r w:rsidR="003A3A4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odborného posudku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zpracovaného dle platného předpisu pro oceňování majetku.</w:t>
            </w:r>
          </w:p>
        </w:tc>
      </w:tr>
      <w:tr w:rsidR="008A2B95" w:rsidRPr="00CC3377" w14:paraId="1A4B9A9C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4E9A2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BB94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FDA6F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10A28" w:rsidRPr="00CC3377" w14:paraId="2188AD80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14AF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(2)</w:t>
            </w:r>
          </w:p>
        </w:tc>
        <w:tc>
          <w:tcPr>
            <w:tcW w:w="85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15863" w14:textId="310FEB25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 odůvodněných případech, kdy se jeví vyhotovení </w:t>
            </w:r>
            <w:r w:rsidR="003A3A4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odborného posudku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jako nehospodárné (zejména když cena za jeho vyhotovení pravděpodobně převýší cenu nemovité věci), může být ocenění </w:t>
            </w:r>
            <w:r w:rsidR="003A3A4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odborným posudkem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pro stanovení ceny v místě a čase obvyklé nahrazeno tzv. kvalifikovaným odhadem. Kvalifikovaný odhad učiní příslušný odbor zejména s ohledem na dostupné cenové mapy či porovnáním ceny v daném místě a čase obvyklé u podobných nemovitých věcí. </w:t>
            </w:r>
          </w:p>
        </w:tc>
      </w:tr>
      <w:tr w:rsidR="008F5FC5" w:rsidRPr="00CC3377" w14:paraId="38398E17" w14:textId="77777777" w:rsidTr="00096288">
        <w:trPr>
          <w:gridAfter w:val="1"/>
          <w:wAfter w:w="7" w:type="dxa"/>
          <w:trHeight w:val="180"/>
          <w:tblCellSpacing w:w="0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9797" w14:textId="77777777" w:rsidR="008F5FC5" w:rsidRPr="00CC3377" w:rsidRDefault="008F5FC5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6654" w14:textId="77777777" w:rsidR="008F5FC5" w:rsidRPr="00CC3377" w:rsidRDefault="008F5FC5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039CD34F" w14:textId="77777777" w:rsidR="00310A28" w:rsidRPr="00CC3377" w:rsidRDefault="00310A28" w:rsidP="00D02728">
      <w:pPr>
        <w:pStyle w:val="Styl1"/>
        <w:spacing w:after="240"/>
        <w:ind w:left="0" w:firstLine="0"/>
        <w:rPr>
          <w:rFonts w:cs="Tahoma"/>
        </w:rPr>
      </w:pPr>
      <w:bookmarkStart w:id="15" w:name="__RefHeading___Toc284334527"/>
      <w:bookmarkEnd w:id="15"/>
      <w:r w:rsidRPr="00CC3377">
        <w:rPr>
          <w:rFonts w:cs="Tahoma"/>
        </w:rPr>
        <w:lastRenderedPageBreak/>
        <w:br/>
      </w:r>
      <w:bookmarkStart w:id="16" w:name="_Toc126669133"/>
      <w:bookmarkStart w:id="17" w:name="_Toc205893283"/>
      <w:r w:rsidRPr="00CC3377">
        <w:rPr>
          <w:rFonts w:cs="Tahoma"/>
        </w:rPr>
        <w:t>Předkládání návrhů na převod nemovitých věcí orgánům kraje</w:t>
      </w:r>
      <w:bookmarkEnd w:id="16"/>
      <w:bookmarkEnd w:id="17"/>
    </w:p>
    <w:tbl>
      <w:tblPr>
        <w:tblW w:w="907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"/>
        <w:gridCol w:w="8"/>
        <w:gridCol w:w="266"/>
        <w:gridCol w:w="13"/>
        <w:gridCol w:w="8297"/>
      </w:tblGrid>
      <w:tr w:rsidR="008A2B95" w:rsidRPr="00CC3377" w14:paraId="5AB1D71A" w14:textId="77777777" w:rsidTr="00950119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91FEC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(1)</w:t>
            </w:r>
          </w:p>
        </w:tc>
        <w:tc>
          <w:tcPr>
            <w:tcW w:w="85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A739C" w14:textId="4FB547B9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Návrhy na rozhodnutí o záměru kraje prodat, směnit, nebo darovat nemovité věci předkládá příslušný odbor a příspěvkové organizace radě kraje.</w:t>
            </w:r>
          </w:p>
        </w:tc>
      </w:tr>
      <w:tr w:rsidR="00310A28" w:rsidRPr="00CC3377" w14:paraId="56C4559D" w14:textId="77777777" w:rsidTr="00950119">
        <w:trPr>
          <w:trHeight w:val="180"/>
          <w:tblCellSpacing w:w="0" w:type="dxa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5D975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</w:tr>
      <w:tr w:rsidR="008A2B95" w:rsidRPr="00CC3377" w14:paraId="38EA16D2" w14:textId="77777777" w:rsidTr="00950119">
        <w:trPr>
          <w:trHeight w:val="180"/>
          <w:tblCellSpacing w:w="0" w:type="dxa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9F4AA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(2)</w:t>
            </w:r>
          </w:p>
        </w:tc>
        <w:tc>
          <w:tcPr>
            <w:tcW w:w="85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C0C21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Rada kraje rozhoduje o:</w:t>
            </w:r>
          </w:p>
        </w:tc>
      </w:tr>
      <w:tr w:rsidR="008A2B95" w:rsidRPr="00CC3377" w14:paraId="31662617" w14:textId="77777777" w:rsidTr="00950119">
        <w:trPr>
          <w:trHeight w:val="180"/>
          <w:tblCellSpacing w:w="0" w:type="dxa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A3F0C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17125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E84B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záměru převodu, </w:t>
            </w:r>
          </w:p>
        </w:tc>
      </w:tr>
      <w:tr w:rsidR="00310A28" w:rsidRPr="00CC3377" w14:paraId="3BDDC404" w14:textId="77777777" w:rsidTr="00CD2158">
        <w:trPr>
          <w:trHeight w:val="273"/>
          <w:tblCellSpacing w:w="0" w:type="dxa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01061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132C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5D875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odmítnutí nabídky na nabytí; o této skutečnosti informuje zastupitelstvo kraje.</w:t>
            </w:r>
          </w:p>
        </w:tc>
      </w:tr>
      <w:tr w:rsidR="00950119" w:rsidRPr="00CC3377" w14:paraId="1C970ED3" w14:textId="77777777" w:rsidTr="00950119">
        <w:trPr>
          <w:trHeight w:val="180"/>
          <w:tblCellSpacing w:w="0" w:type="dxa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48B2F" w14:textId="77777777" w:rsidR="00950119" w:rsidRPr="00CC3377" w:rsidRDefault="00950119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  <w:bookmarkStart w:id="18" w:name="_Hlk205895101"/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6DF4" w14:textId="77777777" w:rsidR="00950119" w:rsidRPr="00CC3377" w:rsidRDefault="00950119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086E" w14:textId="77777777" w:rsidR="00950119" w:rsidRPr="00CC3377" w:rsidRDefault="00950119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bookmarkEnd w:id="18"/>
      <w:tr w:rsidR="008A2B95" w:rsidRPr="00CC3377" w14:paraId="43124495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8B08C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(3)</w:t>
            </w:r>
          </w:p>
        </w:tc>
        <w:tc>
          <w:tcPr>
            <w:tcW w:w="85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9E2E6" w14:textId="158B540B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Rada kraje určuje způsob převodu a formu převodu v případě prodeje. Rada kraje zároveň může i v průběhu převodu rozhodnout o změně způsobu převodu a formy převodu. V případě, že určeným způsobem bude prodej</w:t>
            </w:r>
            <w:r w:rsidR="00F97FA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ve výběrov</w:t>
            </w:r>
            <w:r w:rsidR="00BB0A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ých</w:t>
            </w:r>
            <w:r w:rsidR="00F97FA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řízení</w:t>
            </w:r>
            <w:r w:rsidR="00BB0A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ch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A7105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prostřednictvím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664793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</w:t>
            </w:r>
            <w:r w:rsidR="00A7105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ých</w:t>
            </w:r>
            <w:r w:rsidR="00664793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auk</w:t>
            </w:r>
            <w:r w:rsidR="00A7105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čních systémů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rada kraje stanov</w:t>
            </w:r>
            <w:r w:rsidR="00421FBD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í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podmínky prodeje a </w:t>
            </w:r>
            <w:r w:rsidR="00B8250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podmínky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CB1A8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výběrových řízení,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včetně minimální kupní ceny. Tato vychází z ocenění nemovitých věcí dle 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odborného posudku</w:t>
            </w:r>
            <w:r w:rsidR="00664793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 stanovení ceny v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místě a čase obvyklé.</w:t>
            </w:r>
          </w:p>
        </w:tc>
      </w:tr>
      <w:tr w:rsidR="008A2B95" w:rsidRPr="00CC3377" w14:paraId="0F752CD0" w14:textId="77777777" w:rsidTr="00307781">
        <w:trPr>
          <w:trHeight w:val="180"/>
          <w:tblCellSpacing w:w="0" w:type="dxa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DD65B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</w:tr>
      <w:tr w:rsidR="008A2B95" w:rsidRPr="00CC3377" w14:paraId="21022BF9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4F38B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(4)</w:t>
            </w:r>
          </w:p>
        </w:tc>
        <w:tc>
          <w:tcPr>
            <w:tcW w:w="85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FD603" w14:textId="074DB142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Záměr převodu se dle § 18 zákona o krajích  zveřejňuje na úřední desce krajského úřadu po dobu nejméně 30 dnů před rozhodnutím v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příslušném orgánu kraje a obsahuje:</w:t>
            </w:r>
          </w:p>
        </w:tc>
      </w:tr>
      <w:tr w:rsidR="008A2B95" w:rsidRPr="00CC3377" w14:paraId="753DBE78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DC519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F418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8BD1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navržený způsob převodu,</w:t>
            </w:r>
          </w:p>
        </w:tc>
      </w:tr>
      <w:tr w:rsidR="008A2B95" w:rsidRPr="00CC3377" w14:paraId="05FDE136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F10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ADDD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CA68" w14:textId="2F738101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označení nemovitých věcí v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rozsahu dle § 8 zákona č. 256/2013 Sb., o katastru nemovitostí (katastrální zákon), ve znění pozdějších předpisů,</w:t>
            </w:r>
          </w:p>
        </w:tc>
      </w:tr>
      <w:tr w:rsidR="008A2B95" w:rsidRPr="00CC3377" w14:paraId="75447733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5779B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A6ED9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B1FED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jméno a kontakt na zaměstnance zajišťujícího převod, který zájemcům poskytne potřebné informace, případně podklady,</w:t>
            </w:r>
          </w:p>
        </w:tc>
      </w:tr>
      <w:tr w:rsidR="008A2B95" w:rsidRPr="00CC3377" w14:paraId="126E1400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DD0E4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3B449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83F3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 případě potřeby kopii katastrální mapy,</w:t>
            </w:r>
          </w:p>
        </w:tc>
      </w:tr>
      <w:tr w:rsidR="008A2B95" w:rsidRPr="00CC3377" w14:paraId="15AF8E68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1F096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60E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CDFB8" w14:textId="60E24C4B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 případě prodeje budovy nebo ucelené části budov, uvedení klasifikační třídy ukazatele energetické náročnosti budovy dle § 7a odst. 2 písm. d) zákona č. 406/2000 Sb., o hospodaření energií, ve znění pozdějších předpisů, a dle přílohy č. 2 vyhlášky č. </w:t>
            </w:r>
            <w:r w:rsidR="00D96C1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264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/20</w:t>
            </w:r>
            <w:r w:rsidR="00D96C1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Sb., o energetické náročnosti budov, ve znění pozdějších předpisů.</w:t>
            </w:r>
          </w:p>
        </w:tc>
      </w:tr>
      <w:tr w:rsidR="008A2B95" w:rsidRPr="00CC3377" w14:paraId="3D60E752" w14:textId="77777777" w:rsidTr="00307781">
        <w:trPr>
          <w:trHeight w:val="180"/>
          <w:tblCellSpacing w:w="0" w:type="dxa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6E94D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</w:tr>
      <w:tr w:rsidR="008A2B95" w:rsidRPr="00CC3377" w14:paraId="1924DD07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6FF0B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(5)</w:t>
            </w:r>
          </w:p>
        </w:tc>
        <w:tc>
          <w:tcPr>
            <w:tcW w:w="85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3230F" w14:textId="4E899200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 případě prodeje </w:t>
            </w:r>
            <w:r w:rsidR="00BB0A0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ve výběrových řízeních </w:t>
            </w:r>
            <w:r w:rsidR="003219A5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prostřednictvím elektronick</w:t>
            </w:r>
            <w:r w:rsidR="00A1175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ých</w:t>
            </w:r>
            <w:r w:rsidR="003219A5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auk</w:t>
            </w:r>
            <w:r w:rsidR="00A1175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čních systémů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se obvykle zároveň se zveřejněním na úřední desce krajského úřadu zveřejňuje záměr prodeje na webových stránkách kraje, případně jiných internetových stránkách, nebo v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tisku. Při prodejích veřejnou dražbou zajišťuje další informovanost veřejnosti vybran</w:t>
            </w:r>
            <w:r w:rsidR="003219A5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ý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draž</w:t>
            </w:r>
            <w:r w:rsidR="00A1175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ebník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8A2B95" w:rsidRPr="00CC3377" w14:paraId="6C4A5F83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02292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85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B0A6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</w:tr>
      <w:tr w:rsidR="008A2B95" w:rsidRPr="00CC3377" w14:paraId="73E3F9AC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F25D6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(6)</w:t>
            </w:r>
          </w:p>
        </w:tc>
        <w:tc>
          <w:tcPr>
            <w:tcW w:w="85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B8FAF" w14:textId="7B2F7063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Rada kraje doporučuje zastupitelstvu kraje rozhodnout o převodu nemovitých věcí. V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důvodové zprávě návrhu je kromě náležitostí uvedených v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čl. 3 odst. </w:t>
            </w:r>
            <w:r w:rsidR="00D96C1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těchto Zásad uveden přehled kroků, které předcházely zpracování návrhu převodu – např. zda byl, či nebyl projeven zájem o nemovité věci v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rámci organizací kraje, rozhodnutí o záměru, zveřejnění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záměru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případný průběh </w:t>
            </w:r>
            <w:r w:rsidR="003219A5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 výsledek </w:t>
            </w:r>
            <w:r w:rsidR="003633A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výběrového řízení</w:t>
            </w:r>
            <w:r w:rsidR="00086E3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prostřednictvím elektronického au</w:t>
            </w:r>
            <w:r w:rsidR="00105D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kčního systému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zdůvodnění navržené kupní ceny odlišné od ceny obvyklé, odkazy na rozhodnutí orgánů kraje, která se převodem zabývala. </w:t>
            </w:r>
          </w:p>
        </w:tc>
      </w:tr>
      <w:tr w:rsidR="008A2B95" w:rsidRPr="00CC3377" w14:paraId="4CED86B0" w14:textId="77777777" w:rsidTr="00307781">
        <w:trPr>
          <w:trHeight w:val="180"/>
          <w:tblCellSpacing w:w="0" w:type="dxa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E382B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</w:tr>
      <w:tr w:rsidR="008A2B95" w:rsidRPr="00CC3377" w14:paraId="4E4F4F0B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4E93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(7)</w:t>
            </w:r>
          </w:p>
        </w:tc>
        <w:tc>
          <w:tcPr>
            <w:tcW w:w="858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32C8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 návrhu usnesení na rozhodnutí zastupitelstva kraje o převodu musí být specifikováno:</w:t>
            </w:r>
          </w:p>
        </w:tc>
      </w:tr>
      <w:tr w:rsidR="008A2B95" w:rsidRPr="00CC3377" w14:paraId="085C9D9E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82E5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6952D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5A376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navržený způsob převodu,</w:t>
            </w:r>
          </w:p>
        </w:tc>
      </w:tr>
      <w:tr w:rsidR="008A2B95" w:rsidRPr="00CC3377" w14:paraId="466FDBA6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76F44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47EBC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ED5E1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označení nemovitých věcí v rozsahu dle § 8 zákona č. 256/2013 Sb., o katastru nemovitostí (katastrální zákon), ve znění pozdějších předpisů,</w:t>
            </w:r>
          </w:p>
        </w:tc>
      </w:tr>
      <w:tr w:rsidR="008A2B95" w:rsidRPr="00CC3377" w14:paraId="3C91769D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A510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2B488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4BA72" w14:textId="3ADFF184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jméno, adresa 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 datum narození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vybraného zájemce o převod, v případě osob zapisovaných do obchodního, či jiných rejstříků identifikační číslo; netýká se prodejů nemovit</w:t>
            </w:r>
            <w:r w:rsidR="00D96C1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ých věcí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formou veřejné dražby,</w:t>
            </w:r>
          </w:p>
        </w:tc>
      </w:tr>
      <w:tr w:rsidR="008A2B95" w:rsidRPr="00CC3377" w14:paraId="5188855E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03EA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0496F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E0D13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 případě prodeje navržená kupní cena; netýká se prodejů nemovitých věcí formou veřejné dražby,</w:t>
            </w:r>
          </w:p>
        </w:tc>
      </w:tr>
      <w:tr w:rsidR="008A2B95" w:rsidRPr="00CC3377" w14:paraId="18F9BF4B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13D8A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2C187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7558D" w14:textId="77777777" w:rsidR="00310A28" w:rsidRPr="00CC3377" w:rsidRDefault="00310A28" w:rsidP="0009628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 prodeje veřejnou dražbou stanovení nejnižšího podání, případně skutečnost, zda je dražebník oprávněn snížit nejnižší podání a o jakou částku, </w:t>
            </w:r>
          </w:p>
        </w:tc>
      </w:tr>
      <w:tr w:rsidR="00310A28" w:rsidRPr="00CC3377" w14:paraId="24985A11" w14:textId="77777777" w:rsidTr="00307781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C5525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0"/>
                <w:lang w:eastAsia="cs-C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B4F6B" w14:textId="0B2EBE75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2BA0D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případné další specifické podmínky převodu.</w:t>
            </w:r>
          </w:p>
        </w:tc>
      </w:tr>
    </w:tbl>
    <w:p w14:paraId="14364A80" w14:textId="4A059289" w:rsidR="00310A28" w:rsidRPr="00CC3377" w:rsidRDefault="00310A28" w:rsidP="00950119">
      <w:pPr>
        <w:pStyle w:val="Styl1"/>
        <w:spacing w:after="240"/>
        <w:ind w:left="0" w:right="1" w:firstLine="0"/>
        <w:rPr>
          <w:rFonts w:cs="Tahoma"/>
        </w:rPr>
      </w:pPr>
      <w:bookmarkStart w:id="19" w:name="__RefHeading___Toc284334528"/>
      <w:bookmarkEnd w:id="19"/>
      <w:r w:rsidRPr="00CC3377">
        <w:rPr>
          <w:rFonts w:cs="Tahoma"/>
        </w:rPr>
        <w:lastRenderedPageBreak/>
        <w:br/>
      </w:r>
      <w:bookmarkStart w:id="20" w:name="_Toc126669134"/>
      <w:bookmarkStart w:id="21" w:name="_Toc205893284"/>
      <w:r w:rsidR="003219A5" w:rsidRPr="00CC3377">
        <w:rPr>
          <w:rFonts w:cs="Tahoma"/>
        </w:rPr>
        <w:t xml:space="preserve">Prodej </w:t>
      </w:r>
      <w:r w:rsidR="003F7CDF">
        <w:rPr>
          <w:rFonts w:cs="Tahoma"/>
        </w:rPr>
        <w:t xml:space="preserve">ve výběrovém </w:t>
      </w:r>
      <w:r w:rsidR="001E3BA6">
        <w:rPr>
          <w:rFonts w:cs="Tahoma"/>
        </w:rPr>
        <w:t xml:space="preserve">řízení </w:t>
      </w:r>
      <w:bookmarkEnd w:id="20"/>
      <w:r w:rsidR="0031573C">
        <w:rPr>
          <w:rFonts w:cs="Tahoma"/>
        </w:rPr>
        <w:t>s otevřeným okruhem účastníků</w:t>
      </w:r>
      <w:bookmarkEnd w:id="21"/>
    </w:p>
    <w:tbl>
      <w:tblPr>
        <w:tblW w:w="8931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8451"/>
      </w:tblGrid>
      <w:tr w:rsidR="000C4502" w:rsidRPr="00CC3377" w14:paraId="1466712D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28395" w14:textId="77777777" w:rsidR="000C4502" w:rsidRPr="00CC3377" w:rsidRDefault="000C4502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EE93C" w14:textId="6AD41BF7" w:rsidR="000C4502" w:rsidRPr="00CC3377" w:rsidRDefault="00F22295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Prodej ve </w:t>
            </w:r>
            <w:r w:rsidR="003F7CD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výběrovém řízení s otevřeným okruhem účastníků </w:t>
            </w:r>
            <w:r w:rsidR="008013F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(dále také „</w:t>
            </w:r>
            <w:r w:rsid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otevřená </w:t>
            </w:r>
            <w:r w:rsidR="008013F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elektronická aukce</w:t>
            </w:r>
            <w:r w:rsidR="00BD6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</w:t>
            </w:r>
            <w:r w:rsidR="008013F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) </w:t>
            </w:r>
            <w:r w:rsidR="000C4502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se realizuje </w:t>
            </w:r>
            <w:r w:rsidR="00A851B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 souladu § 27a odst. 2 a § 27b odst. 2 zákona č. 201/2002 Sb., o Úřadu pro zastupování státu ve věcech majetkových</w:t>
            </w:r>
            <w:r w:rsidR="004D06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ve znění pozdějších předpisů, </w:t>
            </w:r>
            <w:r w:rsidR="00A851B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0C4502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prostřednictvím </w:t>
            </w:r>
            <w:r w:rsidR="00922E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EAS ÚZSVM</w:t>
            </w:r>
            <w:r w:rsidR="00A851B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r w:rsidR="00A851B3" w:rsidRPr="00E2578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jehož správcem je </w:t>
            </w:r>
            <w:r w:rsidR="00A851B3" w:rsidRPr="00595DB8">
              <w:rPr>
                <w:rFonts w:ascii="Tahoma" w:hAnsi="Tahoma" w:cs="Tahoma"/>
                <w:sz w:val="20"/>
                <w:szCs w:val="20"/>
              </w:rPr>
              <w:t>Úřad pro zastupování státu ve věcech majetkových,</w:t>
            </w:r>
            <w:r w:rsidR="009200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851B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 základě smlouvy o podmínkách přístupu k elektronickému aukčnímu systému uzavřené mezi krajem a Českou republikou – Ú</w:t>
            </w:r>
            <w:r w:rsidR="0037426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řadem pro zastupování </w:t>
            </w:r>
            <w:r w:rsidR="0037426B" w:rsidRPr="00595DB8">
              <w:rPr>
                <w:rFonts w:ascii="Tahoma" w:hAnsi="Tahoma" w:cs="Tahoma"/>
                <w:sz w:val="20"/>
                <w:szCs w:val="20"/>
              </w:rPr>
              <w:t>státu ve věcech majetkových</w:t>
            </w:r>
            <w:r w:rsidR="004D06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A851B3" w:rsidRPr="00CC3377" w14:paraId="2EE5A6A9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50BB6" w14:textId="77777777" w:rsidR="00A851B3" w:rsidRPr="00CC3377" w:rsidRDefault="00A851B3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2399" w14:textId="77777777" w:rsidR="00A851B3" w:rsidRPr="00CC3377" w:rsidRDefault="00A851B3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A851B3" w:rsidRPr="00CC3377" w14:paraId="02EE11F6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5D6E" w14:textId="6F05802F" w:rsidR="00A851B3" w:rsidRPr="00CC3377" w:rsidRDefault="00A851B3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(2)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3056" w14:textId="23D0F07B" w:rsidR="00A851B3" w:rsidRPr="00CC3377" w:rsidRDefault="0037426B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Otevřená e</w:t>
            </w:r>
            <w:r w:rsidR="00A851B3" w:rsidRPr="00595DB8">
              <w:rPr>
                <w:rFonts w:ascii="Tahoma" w:hAnsi="Tahoma" w:cs="Tahoma"/>
                <w:sz w:val="20"/>
                <w:szCs w:val="20"/>
              </w:rPr>
              <w:t xml:space="preserve">lektronická aukce není zvláštním způsobem uzavření smlouvy ve smyslu § 1771 </w:t>
            </w:r>
            <w:r w:rsidR="00A851B3">
              <w:rPr>
                <w:rFonts w:ascii="Tahoma" w:hAnsi="Tahoma" w:cs="Tahoma"/>
                <w:sz w:val="20"/>
                <w:szCs w:val="20"/>
              </w:rPr>
              <w:t>zákona č. 89/2012 Sb., občanský zákoník</w:t>
            </w:r>
            <w:r w:rsidR="00A851B3" w:rsidRPr="00595DB8">
              <w:rPr>
                <w:rFonts w:ascii="Tahoma" w:hAnsi="Tahoma" w:cs="Tahoma"/>
                <w:sz w:val="20"/>
                <w:szCs w:val="20"/>
              </w:rPr>
              <w:t>,</w:t>
            </w:r>
            <w:r w:rsidR="00A851B3">
              <w:rPr>
                <w:rFonts w:ascii="Tahoma" w:hAnsi="Tahoma" w:cs="Tahoma"/>
                <w:sz w:val="20"/>
                <w:szCs w:val="20"/>
              </w:rPr>
              <w:t xml:space="preserve"> ve znění pozdějších předpisů,</w:t>
            </w:r>
            <w:r w:rsidR="00A851B3" w:rsidRPr="00595DB8">
              <w:rPr>
                <w:rFonts w:ascii="Tahoma" w:hAnsi="Tahoma" w:cs="Tahoma"/>
                <w:sz w:val="20"/>
                <w:szCs w:val="20"/>
              </w:rPr>
              <w:t xml:space="preserve"> ani veřejnou dražbou dle zákona o veřejných dražbách, ani (veřejnou) dražbou dle zvláštních právních předpisů.</w:t>
            </w:r>
            <w:r w:rsidR="00A851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Otevřená e</w:t>
            </w:r>
            <w:r w:rsidR="00A851B3" w:rsidRPr="00595DB8">
              <w:rPr>
                <w:rFonts w:ascii="Tahoma" w:hAnsi="Tahoma" w:cs="Tahoma"/>
                <w:sz w:val="20"/>
                <w:szCs w:val="20"/>
              </w:rPr>
              <w:t>lektronická aukce slouží pouze k transparentnímu zjištění zájemců o koupi, s důrazem na to, aby bylo dosaženo co nejvyšší úplaty</w:t>
            </w:r>
            <w:r w:rsidR="00A851B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C3377" w:rsidRPr="00CC3377" w14:paraId="57E3DAA0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63A5" w14:textId="77777777" w:rsidR="00CC3377" w:rsidRPr="00CC3377" w:rsidRDefault="00CC3377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06FF4" w14:textId="77777777" w:rsidR="00CC3377" w:rsidRPr="00CC3377" w:rsidRDefault="00CC3377" w:rsidP="00CC337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0C4502" w:rsidRPr="00CC3377" w14:paraId="579CC012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03F4" w14:textId="654BB4BD" w:rsidR="000C4502" w:rsidRPr="00CC3377" w:rsidRDefault="000C4502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4D06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7FE8" w14:textId="56D89C16" w:rsidR="000C4502" w:rsidRPr="00CC3377" w:rsidRDefault="00FB2090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Jednotlivé úkony </w:t>
            </w:r>
            <w:r w:rsidR="0037426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kraje </w:t>
            </w:r>
            <w:r w:rsidR="00A558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dle tohoto článku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vykonává příslušný odbor a orgány kraje v souladu s právními předpisy, </w:t>
            </w:r>
            <w:r w:rsidR="00A851B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platným Aukčním řádem</w:t>
            </w:r>
            <w:r w:rsidR="003157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(uveřejněným na webových stránkách</w:t>
            </w:r>
            <w:r w:rsidR="0037426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3157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www.nabidkamajetku.gov.cz)</w:t>
            </w:r>
            <w:r w:rsidR="00A851B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těmito Zásadami a Organizačním řádem krajského úřadu.</w:t>
            </w:r>
          </w:p>
        </w:tc>
      </w:tr>
      <w:tr w:rsidR="00CC3377" w:rsidRPr="00CC3377" w14:paraId="7B1E1905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8233" w14:textId="77777777" w:rsidR="00CC3377" w:rsidRPr="00CC3377" w:rsidRDefault="00CC3377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CED8" w14:textId="77777777" w:rsidR="00CC3377" w:rsidRPr="00CC3377" w:rsidRDefault="00CC3377" w:rsidP="00CC337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FB2090" w:rsidRPr="00CC3377" w14:paraId="0B7FC75D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93E7" w14:textId="7F9AED47" w:rsidR="00FB2090" w:rsidRPr="00CC3377" w:rsidRDefault="00FB2090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4D06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CF2EA" w14:textId="52882559" w:rsidR="00FB2090" w:rsidRPr="00CC3377" w:rsidRDefault="00FB2090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Administrátorem se pro účely těchto Zásad rozumí fyzická osoba na straně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kraje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zpravidla určený zaměstnanec příslušného odboru, který je pověřen technicky a komunikačně zajistit přípravu a realizaci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aukce.</w:t>
            </w:r>
          </w:p>
        </w:tc>
      </w:tr>
      <w:tr w:rsidR="00CC3377" w:rsidRPr="00CC3377" w14:paraId="4F71CF7C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5D1E" w14:textId="77777777" w:rsidR="00CC3377" w:rsidRPr="00CC3377" w:rsidRDefault="00CC3377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22C14" w14:textId="77777777" w:rsidR="00CC3377" w:rsidRPr="00CC3377" w:rsidRDefault="00CC3377" w:rsidP="00CC337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FB2090" w:rsidRPr="00CC3377" w14:paraId="2CA45A89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5F83D" w14:textId="200BC844" w:rsidR="00FB2090" w:rsidRPr="00CC3377" w:rsidRDefault="00FB2090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4D06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10FB5" w14:textId="0D5F6067" w:rsidR="00FB2090" w:rsidRPr="00CC3377" w:rsidRDefault="00FB2090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Účastníkem se pro účely těchto Zásad rozumí fyzická nebo právnická osoba, jež se účastní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aukce prostřednictvím </w:t>
            </w:r>
            <w:r w:rsidR="00D96C1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EAS</w:t>
            </w:r>
            <w:r w:rsidR="003157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ÚZSVM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ve kterém upravuje své aukční hodnoty dle parametrů stanovených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krajem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CC3377" w:rsidRPr="00CC3377" w14:paraId="37371C2D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D5F1" w14:textId="77777777" w:rsidR="00CC3377" w:rsidRPr="00CC3377" w:rsidRDefault="00CC3377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870AA" w14:textId="77777777" w:rsidR="00CC3377" w:rsidRPr="00CC3377" w:rsidRDefault="00CC3377" w:rsidP="00CC337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FB2090" w:rsidRPr="00CC3377" w14:paraId="3769DA37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DE65" w14:textId="686E7AE9" w:rsidR="00FB2090" w:rsidRPr="00CC3377" w:rsidRDefault="00FB2090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4D06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8862" w14:textId="7BD7853E" w:rsidR="00FB2090" w:rsidRPr="00CC3377" w:rsidRDefault="000B174C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 konkrétních podmínkách jednotlivých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otevřených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elektronických aukcí</w:t>
            </w:r>
            <w:r w:rsidR="00CD194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rozhoduje rada kraje vždy individuálně.</w:t>
            </w:r>
          </w:p>
        </w:tc>
      </w:tr>
      <w:tr w:rsidR="00CC3377" w:rsidRPr="00CC3377" w14:paraId="445042A4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826A" w14:textId="761EDE98" w:rsidR="00CC3377" w:rsidRPr="00CC3377" w:rsidRDefault="00CC3377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F84B" w14:textId="77777777" w:rsidR="00CC3377" w:rsidRPr="00CC3377" w:rsidRDefault="00CC3377" w:rsidP="00CC337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0B174C" w:rsidRPr="00CC3377" w14:paraId="54394A72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5187" w14:textId="086F65EE" w:rsidR="000B174C" w:rsidRPr="00CC3377" w:rsidRDefault="000B174C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4D06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A833C" w14:textId="10A6C7B0" w:rsidR="000B174C" w:rsidRPr="00CC3377" w:rsidRDefault="000B174C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Hlavním kritériem pro výběr nejlepší nabídky je výše nabízené kupní ceny. Minimální kupní cenu stanovuje rada kraje při rozhodování o záměru prodeje. Rada kraje může individuálně stanovit další podmínky pro výběr nejlepší nabídk</w:t>
            </w:r>
            <w:r w:rsidR="00284C50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</w:t>
            </w:r>
            <w:r w:rsidR="00CD194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4459A1" w:rsidRPr="00CC3377" w14:paraId="7CF832A9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0C0F" w14:textId="77777777" w:rsidR="004459A1" w:rsidRPr="00CC3377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828E" w14:textId="77777777" w:rsidR="004459A1" w:rsidRPr="00CC3377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459A1" w:rsidRPr="00CC3377" w14:paraId="16D6AD11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06F3" w14:textId="74C604FB" w:rsidR="004459A1" w:rsidRPr="00CC3377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(8)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6766" w14:textId="2D812656" w:rsidR="004459A1" w:rsidRPr="00CC3377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Administrátor zpracuje Aukční vyhlášku, ve které budou stanoveny podmínky provedení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aukce v souladu s Aukčním řádem, a která bude mj. obsahovat návrh kupní smlouvy.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Otevřená 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lektronická aukce je vyhlášena uveřejněním Aukční vyhlášky v</w:t>
            </w:r>
            <w:r w:rsidR="003157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EAS</w:t>
            </w:r>
            <w:r w:rsidR="003157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ÚZSVM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4459A1" w:rsidRPr="00CC3377" w14:paraId="74BDB690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3607" w14:textId="77777777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83A2" w14:textId="77777777" w:rsidR="004459A1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459A1" w:rsidRPr="00CC3377" w14:paraId="58B08257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1AF5" w14:textId="4F5B9489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(9)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CFBD" w14:textId="67CF1928" w:rsidR="004459A1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Vstupem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do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aukce účastník souhlasí s podmínkami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aukce a podmínkami prodeje obsaženými v návrhu kupní smlouvy, zavazuje se v případě vítězství v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 otevřené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aukci uzavřít kupní smlouvu a prohlašuje, že je schopen dodržet své povinnosti a závazky vyplývající z kupní smlouvy, zejména zaplatit řádně a včas kupní cenu za předmět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prodeje.</w:t>
            </w:r>
          </w:p>
        </w:tc>
      </w:tr>
      <w:tr w:rsidR="004459A1" w:rsidRPr="00CC3377" w14:paraId="6923A294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DDBE" w14:textId="77777777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AC58" w14:textId="77777777" w:rsidR="004459A1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459A1" w:rsidRPr="00CC3377" w14:paraId="05E6763E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1127" w14:textId="171FC70F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(10)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ADDA" w14:textId="6641C8BE" w:rsidR="004459A1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ukončení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aukce jsou nabídky účastníků sestupně seřazeny dle výše </w:t>
            </w:r>
            <w:r w:rsidR="00EC53C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jimi</w:t>
            </w:r>
            <w:r w:rsidR="00EC53C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nabízené kupní ceny a výsledek je předložen radě kraje, která následně může doporučit zastupitelstvu kraje rozhodnout o uzavření kupní smlouvy s vítězným účastníkem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4459A1" w:rsidRPr="00CC3377" w14:paraId="74C94C3F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AFF1" w14:textId="77777777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8C90" w14:textId="77777777" w:rsidR="004459A1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459A1" w:rsidRPr="00CC3377" w14:paraId="4293A184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1262" w14:textId="79AFF04B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(11)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1709" w14:textId="3B4A7DBD" w:rsidR="004459A1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Příslušný odbor elektronicky informuje všechny účastníky o výsledku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aukce. Vítěznému účastníkovi je zároveň zaslán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doplněný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návrh kupní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smlouvy.</w:t>
            </w:r>
          </w:p>
        </w:tc>
      </w:tr>
      <w:tr w:rsidR="004459A1" w:rsidRPr="00CC3377" w14:paraId="42022671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278A" w14:textId="77777777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CC8D9" w14:textId="77777777" w:rsidR="004459A1" w:rsidRPr="00CC3377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459A1" w:rsidRPr="00CC3377" w14:paraId="62267F14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1636" w14:textId="2E52BA2E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(12)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F79F" w14:textId="452DEFDB" w:rsidR="004459A1" w:rsidRPr="00CC3377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Vítězný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účastník doručí kupní smlouv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 úředně ověřeným podpisem </w:t>
            </w:r>
            <w:r w:rsidR="001609A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(nemá-li podpisový vzor </w:t>
            </w:r>
            <w:r w:rsidR="003157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uložen </w:t>
            </w:r>
            <w:r w:rsidR="001609A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 příslušném katastrálním úřadě) v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 příslušném počtu vyhotovení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kraji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do 30 dnů ode dne jeho doručení, pokud rada kraje nestanoví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jinak.</w:t>
            </w:r>
          </w:p>
        </w:tc>
      </w:tr>
      <w:tr w:rsidR="004459A1" w:rsidRPr="00CC3377" w14:paraId="7CA8552C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1418" w14:textId="77777777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83D5" w14:textId="77777777" w:rsidR="004459A1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459A1" w:rsidRPr="00CC3377" w14:paraId="7EC7674B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D28A" w14:textId="4AC5A219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(13)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6E90C" w14:textId="1CE816A8" w:rsidR="004459A1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 doručení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podepsané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kupní smlouvy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kraji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rozhodne zastupitelstvo kraje o uzavření kupní smlouvy s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kupujícím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4459A1" w:rsidRPr="00CC3377" w14:paraId="08983511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9C8CF" w14:textId="77777777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9DD1" w14:textId="77777777" w:rsidR="004459A1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459A1" w:rsidRPr="00CC3377" w14:paraId="6495DA8D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54A4" w14:textId="2D50732C" w:rsidR="004459A1" w:rsidRDefault="004459A1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(14)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E668" w14:textId="04BEFE2A" w:rsidR="004459A1" w:rsidRDefault="004459A1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Pokud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není dodržena lhůta stanovená v odst. </w:t>
            </w:r>
            <w:r w:rsidRPr="0042493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="004D064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tohoto článku, je nabídka vítězného účastníka vyřazena a na jeho místo nastupují další účastníci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aukce v sestupném pořadí dle výše </w:t>
            </w:r>
            <w:r w:rsidR="00EC53C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jimi</w:t>
            </w:r>
            <w:r w:rsidR="00EC53C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nabízené kupní ceny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CC3377" w:rsidRPr="00CC3377" w14:paraId="1FE9A4FF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6659" w14:textId="77777777" w:rsidR="00CC3377" w:rsidRPr="00CC3377" w:rsidRDefault="00CC3377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31D0" w14:textId="77777777" w:rsidR="00CC3377" w:rsidRPr="00CC3377" w:rsidRDefault="00CC3377" w:rsidP="00CC337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0B174C" w:rsidRPr="00CC3377" w14:paraId="7DD7AFAC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9E2C8" w14:textId="26104827" w:rsidR="000B174C" w:rsidRPr="00CC3377" w:rsidRDefault="000B174C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4459A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CC2A" w14:textId="051591AA" w:rsidR="000B174C" w:rsidRPr="00CC3377" w:rsidRDefault="000B174C" w:rsidP="0009628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 případě, že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otevřená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elektronická aukce proběhne neúspěšně, tj. nikdo se nepřihlásil, nebo nikdo z účastníků nesplnil požadované podmínky prodeje, rada kraje může:</w:t>
            </w:r>
          </w:p>
          <w:p w14:paraId="1104C275" w14:textId="082A3CD5" w:rsidR="000B174C" w:rsidRPr="00CC3377" w:rsidRDefault="000B174C" w:rsidP="00A34DA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snížit hranici</w:t>
            </w:r>
            <w:r w:rsidR="00BC6163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minimální kupní ceny pro opakované konání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 w:rsidR="00BC6163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aukce;</w:t>
            </w:r>
          </w:p>
          <w:p w14:paraId="5C6DDD82" w14:textId="66C76126" w:rsidR="00BC6163" w:rsidRPr="00CC3377" w:rsidRDefault="00BC6163" w:rsidP="00A34DA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zrušit záměr prodeje a rozhodnout o jiném záměru využití nebo o záměru jiného způsobu převodu nemovitých věcí</w:t>
            </w:r>
            <w:r w:rsidR="00382BC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CC3377" w:rsidRPr="00CC3377" w14:paraId="68DC209D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147B" w14:textId="5D55643D" w:rsidR="00CC3377" w:rsidRPr="00CC3377" w:rsidRDefault="00CC3377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7AFE" w14:textId="77777777" w:rsidR="00CC3377" w:rsidRPr="00CC3377" w:rsidRDefault="00CC3377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82BC8" w:rsidRPr="00CC3377" w14:paraId="3807000C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2C8E" w14:textId="1DA9E6AB" w:rsidR="00382BC8" w:rsidRPr="00CC3377" w:rsidRDefault="00382BC8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4459A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144A" w14:textId="690DF7AD" w:rsidR="00382BC8" w:rsidRPr="00CC3377" w:rsidRDefault="00284C50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 případě, že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otevřená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elektronická aukce proběhne neúspěšně, je při</w:t>
            </w:r>
            <w:r w:rsidR="00382BC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nezměněných podmín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kách</w:t>
            </w:r>
            <w:r w:rsidR="00382BC8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prodeje příslušný odbor oprávněn </w:t>
            </w:r>
            <w:r w:rsidR="001273CC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konání </w:t>
            </w:r>
            <w:r w:rsidR="000317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 w:rsidR="001273CC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aukce opakovat.</w:t>
            </w:r>
          </w:p>
        </w:tc>
      </w:tr>
      <w:tr w:rsidR="00CC3377" w:rsidRPr="00CC3377" w14:paraId="5638BE13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EEF2" w14:textId="77777777" w:rsidR="00CC3377" w:rsidRPr="00CC3377" w:rsidRDefault="00CC3377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57290" w14:textId="77777777" w:rsidR="00CC3377" w:rsidRPr="00CC3377" w:rsidRDefault="00CC3377" w:rsidP="00CC337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273CC" w:rsidRPr="00CC3377" w14:paraId="44B3AD3A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3A5A" w14:textId="6D9D3E18" w:rsidR="001273CC" w:rsidRPr="00CC3377" w:rsidRDefault="001273CC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4459A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3CA0" w14:textId="12164EE3" w:rsidR="001273CC" w:rsidRPr="00CC3377" w:rsidRDefault="001273CC" w:rsidP="0030778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Účastnící nemají nárok na náhradu náklad</w:t>
            </w:r>
            <w:r w:rsidR="005059CE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ů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spojených s účastí v</w:t>
            </w:r>
            <w:r w:rsidR="00D73A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 otevřené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aukci, uzavřením kupní smlouvy a s realizací převodu předmětu </w:t>
            </w:r>
            <w:r w:rsidR="00EE1307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prodeje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CC3377" w:rsidRPr="00CC3377" w14:paraId="07558174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0136" w14:textId="77777777" w:rsidR="00CC3377" w:rsidRPr="00CC3377" w:rsidRDefault="00CC3377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631E8" w14:textId="77777777" w:rsidR="00CC3377" w:rsidRPr="00CC3377" w:rsidRDefault="00CC3377" w:rsidP="00CC337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273CC" w:rsidRPr="00096288" w14:paraId="796C79DA" w14:textId="77777777" w:rsidTr="00BD61D9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0D39" w14:textId="20D0EDF7" w:rsidR="001273CC" w:rsidRPr="00CC3377" w:rsidRDefault="001273CC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</w:t>
            </w:r>
            <w:r w:rsidR="004459A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2D95" w14:textId="2DF036C6" w:rsidR="001273CC" w:rsidRPr="00CC3377" w:rsidRDefault="00D73AC8" w:rsidP="0009628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Kraj</w:t>
            </w:r>
            <w:r w:rsidR="001273CC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si vyhrazuje právo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otevřenou </w:t>
            </w:r>
            <w:r w:rsidR="001273CC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elektronickou aukci zrušit nebo nevybrat žádného vítězného účastník</w:t>
            </w:r>
            <w:r w:rsidR="00284C50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a.</w:t>
            </w:r>
            <w:r w:rsidR="002B683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 zrušení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otevřené </w:t>
            </w:r>
            <w:r w:rsidR="002B683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aukce rozhoduje rada kraje. O této skutečnosti informuje zastupitelstvo kraje.</w:t>
            </w:r>
          </w:p>
        </w:tc>
      </w:tr>
      <w:tr w:rsidR="0031573C" w:rsidRPr="00096288" w14:paraId="5022F665" w14:textId="77777777" w:rsidTr="00025490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48D1" w14:textId="77777777" w:rsidR="0031573C" w:rsidRPr="00CC3377" w:rsidRDefault="0031573C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4214" w14:textId="77777777" w:rsidR="0031573C" w:rsidRPr="00CC3377" w:rsidRDefault="0031573C" w:rsidP="0009628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1573C" w:rsidRPr="00096288" w14:paraId="56D81E01" w14:textId="77777777" w:rsidTr="00025490">
        <w:trPr>
          <w:trHeight w:val="180"/>
          <w:tblCellSpacing w:w="0" w:type="dxa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2C9CF" w14:textId="3AB3E618" w:rsidR="0031573C" w:rsidRPr="00CC3377" w:rsidRDefault="0031573C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(19)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D5BA" w14:textId="016E64C8" w:rsidR="0031573C" w:rsidRPr="00CC3377" w:rsidRDefault="0031573C" w:rsidP="0009628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Postup dle tohoto článku lze přiměřeně použít i při jiném nakládání s majetkem kraje (nájem, pacht, </w:t>
            </w:r>
            <w:r w:rsidR="00F738E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zřízení práva stavby apod.)</w:t>
            </w:r>
          </w:p>
        </w:tc>
      </w:tr>
      <w:tr w:rsidR="00382BC8" w:rsidRPr="00CC3377" w14:paraId="25D94CB7" w14:textId="51EFBFDF" w:rsidTr="00F738E6">
        <w:trPr>
          <w:trHeight w:val="180"/>
          <w:tblCellSpacing w:w="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27C7" w14:textId="0C5159D3" w:rsidR="00382BC8" w:rsidRPr="00CC3377" w:rsidRDefault="00382BC8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F7CE" w14:textId="16122A5C" w:rsidR="00382BC8" w:rsidRPr="00CC3377" w:rsidRDefault="00382BC8" w:rsidP="00EC5F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0B692F0E" w14:textId="19D7A639" w:rsidR="00686971" w:rsidRPr="00686971" w:rsidRDefault="00310A28" w:rsidP="00686971">
      <w:pPr>
        <w:pStyle w:val="Styl1"/>
        <w:spacing w:after="240"/>
        <w:ind w:left="0" w:firstLine="0"/>
        <w:rPr>
          <w:rFonts w:cs="Tahoma"/>
        </w:rPr>
      </w:pPr>
      <w:r w:rsidRPr="00CC3377">
        <w:rPr>
          <w:rFonts w:cs="Tahoma"/>
        </w:rPr>
        <w:br/>
      </w:r>
      <w:bookmarkStart w:id="22" w:name="_Toc126669135"/>
      <w:bookmarkStart w:id="23" w:name="_Toc204870066"/>
      <w:bookmarkStart w:id="24" w:name="_Toc205893285"/>
      <w:r w:rsidR="007F7C79">
        <w:rPr>
          <w:rFonts w:cs="Tahoma"/>
        </w:rPr>
        <w:t xml:space="preserve">Prodej ve výběrovém řízení </w:t>
      </w:r>
      <w:r w:rsidR="00683B7F">
        <w:rPr>
          <w:rFonts w:cs="Tahoma"/>
        </w:rPr>
        <w:t>s uzavřeným okruhem účastníků</w:t>
      </w:r>
      <w:bookmarkEnd w:id="22"/>
      <w:bookmarkEnd w:id="23"/>
      <w:bookmarkEnd w:id="24"/>
    </w:p>
    <w:tbl>
      <w:tblPr>
        <w:tblW w:w="8931" w:type="dxa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6"/>
        <w:gridCol w:w="8395"/>
      </w:tblGrid>
      <w:tr w:rsidR="00405D7B" w:rsidRPr="00CC3377" w14:paraId="1A373ABA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870AA" w14:textId="555F4634" w:rsidR="00405D7B" w:rsidRDefault="00405D7B" w:rsidP="006A1813">
            <w:pPr>
              <w:spacing w:after="0" w:line="240" w:lineRule="auto"/>
              <w:ind w:right="6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bookmarkStart w:id="25" w:name="__RefHeading___Toc284334530"/>
            <w:bookmarkStart w:id="26" w:name="__RefHeading___Toc284334531"/>
            <w:bookmarkEnd w:id="25"/>
            <w:bookmarkEnd w:id="26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EE77" w14:textId="7395FE43" w:rsidR="00787CD3" w:rsidRPr="00862C64" w:rsidRDefault="00405D7B" w:rsidP="006A181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Prodej ve výběrovém řízení s uzavřeným okruhem účastníků (dále také </w:t>
            </w:r>
            <w:r w:rsidRPr="00862C6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„</w:t>
            </w:r>
            <w:r w:rsidR="00862C6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uzavřená </w:t>
            </w:r>
            <w:r w:rsidRPr="00862C6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elektronická aukce</w:t>
            </w:r>
            <w:r w:rsidR="00862C64" w:rsidRPr="00862C6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</w:t>
            </w:r>
            <w:r w:rsidRPr="00862C6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 realizuje</w:t>
            </w:r>
            <w:r w:rsidR="00CD276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zejména v případě výběru nejvhodnějšího zájemce na základě předložených nabídek na realizaci investičního záměru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prostřednictvím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EAS </w:t>
            </w:r>
            <w:r w:rsidR="00787C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MSK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r w:rsidRPr="00E2578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jehož správcem je </w:t>
            </w:r>
            <w:r w:rsidR="001B6C66">
              <w:rPr>
                <w:rFonts w:ascii="Tahoma" w:hAnsi="Tahoma" w:cs="Tahoma"/>
                <w:sz w:val="20"/>
                <w:szCs w:val="20"/>
              </w:rPr>
              <w:t>Moravskoslezský kraj</w:t>
            </w:r>
            <w:r w:rsidR="005435A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405D7B" w:rsidRPr="00CC3377" w14:paraId="0D338F8E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4AFD6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7C69" w14:textId="77777777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0FE45F27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4CCB" w14:textId="3572CBDB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(2)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AD4D9" w14:textId="7FD08EAB" w:rsidR="006673C8" w:rsidRPr="00862C64" w:rsidRDefault="006A1813" w:rsidP="00A34DA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Uzavřená e</w:t>
            </w:r>
            <w:r w:rsidR="00405D7B" w:rsidRPr="00595DB8">
              <w:rPr>
                <w:rFonts w:ascii="Tahoma" w:hAnsi="Tahoma" w:cs="Tahoma"/>
                <w:sz w:val="20"/>
                <w:szCs w:val="20"/>
              </w:rPr>
              <w:t xml:space="preserve">lektronická aukce není zvláštním způsobem uzavření smlouvy ve smyslu § 1771 </w:t>
            </w:r>
            <w:r w:rsidR="00405D7B">
              <w:rPr>
                <w:rFonts w:ascii="Tahoma" w:hAnsi="Tahoma" w:cs="Tahoma"/>
                <w:sz w:val="20"/>
                <w:szCs w:val="20"/>
              </w:rPr>
              <w:t>zákona č. 89/2012 Sb., občanský zákoník</w:t>
            </w:r>
            <w:r w:rsidR="00405D7B" w:rsidRPr="00595DB8">
              <w:rPr>
                <w:rFonts w:ascii="Tahoma" w:hAnsi="Tahoma" w:cs="Tahoma"/>
                <w:sz w:val="20"/>
                <w:szCs w:val="20"/>
              </w:rPr>
              <w:t>,</w:t>
            </w:r>
            <w:r w:rsidR="00405D7B">
              <w:rPr>
                <w:rFonts w:ascii="Tahoma" w:hAnsi="Tahoma" w:cs="Tahoma"/>
                <w:sz w:val="20"/>
                <w:szCs w:val="20"/>
              </w:rPr>
              <w:t xml:space="preserve"> ve znění pozdějších předpisů,</w:t>
            </w:r>
            <w:r w:rsidR="00405D7B" w:rsidRPr="00595DB8">
              <w:rPr>
                <w:rFonts w:ascii="Tahoma" w:hAnsi="Tahoma" w:cs="Tahoma"/>
                <w:sz w:val="20"/>
                <w:szCs w:val="20"/>
              </w:rPr>
              <w:t xml:space="preserve"> ani veřejnou dražbou dle zákona o veřejných dražbách</w:t>
            </w:r>
            <w:r w:rsidR="009200D4">
              <w:rPr>
                <w:rFonts w:ascii="Tahoma" w:hAnsi="Tahoma" w:cs="Tahoma"/>
                <w:sz w:val="20"/>
                <w:szCs w:val="20"/>
              </w:rPr>
              <w:t>,</w:t>
            </w:r>
            <w:r w:rsidR="00405D7B" w:rsidRPr="00595DB8">
              <w:rPr>
                <w:rFonts w:ascii="Tahoma" w:hAnsi="Tahoma" w:cs="Tahoma"/>
                <w:sz w:val="20"/>
                <w:szCs w:val="20"/>
              </w:rPr>
              <w:t xml:space="preserve"> ani (veřejnou) dražbou dle zvláštních právních předpisů.</w:t>
            </w:r>
            <w:r w:rsidR="00405D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Uzavřená e</w:t>
            </w:r>
            <w:r w:rsidR="00405D7B" w:rsidRPr="00595DB8">
              <w:rPr>
                <w:rFonts w:ascii="Tahoma" w:hAnsi="Tahoma" w:cs="Tahoma"/>
                <w:sz w:val="20"/>
                <w:szCs w:val="20"/>
              </w:rPr>
              <w:t>lektronická aukce slouží pouze k transparentnímu zjištění zájemců o koupi, s důrazem na to, aby bylo dosaženo co nejvyšší úplaty</w:t>
            </w:r>
            <w:r w:rsidR="00405D7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34DA2" w:rsidRPr="00CC3377" w14:paraId="6674A1D8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C590" w14:textId="77777777" w:rsidR="00A34DA2" w:rsidRDefault="00A34DA2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0586" w14:textId="77777777" w:rsidR="00A34DA2" w:rsidRDefault="00A34DA2" w:rsidP="00A34DA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5D7B" w:rsidRPr="00CC3377" w14:paraId="23CF4581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372A" w14:textId="34048D9B" w:rsidR="00405D7B" w:rsidRPr="00CC3377" w:rsidRDefault="006673C8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(3)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D269D" w14:textId="60E3CB8D" w:rsidR="006673C8" w:rsidRPr="00CC3377" w:rsidRDefault="006673C8" w:rsidP="0053390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Jednotlivé úkony </w:t>
            </w:r>
            <w:r w:rsidR="00C22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kraje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dle tohoto článku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vykonává příslušný odbor a orgány kraje v souladu s právními předpisy,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těmito Zásadami a Organizačním řádem krajského úřadu</w:t>
            </w:r>
            <w:r w:rsidR="00C22A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A34DA2" w:rsidRPr="00CC3377" w14:paraId="0A4D845C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70C5" w14:textId="77777777" w:rsidR="00A34DA2" w:rsidRDefault="00A34DA2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8F721" w14:textId="77777777" w:rsidR="00A34DA2" w:rsidRPr="00CC3377" w:rsidRDefault="00A34DA2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9200D4" w:rsidRPr="00CC3377" w14:paraId="4CC228FA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D3C05" w14:textId="34ADA40B" w:rsidR="009200D4" w:rsidRDefault="009200D4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(4)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698D" w14:textId="67ED406D" w:rsidR="009200D4" w:rsidRPr="00CC3377" w:rsidRDefault="009200D4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 </w:t>
            </w: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záměru prodat nemovité věci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rozhoduje r</w:t>
            </w: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ada kraje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Zároveň se záměrem prodeje</w:t>
            </w: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bude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na úřední desce krajského úřadu</w:t>
            </w: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zveřejněna výzva k podání nabídek na realizaci investičního záměru na převáděných nemovitých věcech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405D7B" w:rsidRPr="00CC3377" w14:paraId="5BBA2824" w14:textId="77777777" w:rsidTr="009F4FA6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0334" w14:textId="77777777" w:rsidR="00405D7B" w:rsidRDefault="00405D7B" w:rsidP="009F4F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DFEC" w14:textId="77777777" w:rsidR="00405D7B" w:rsidRPr="008A0F5E" w:rsidRDefault="00405D7B" w:rsidP="009F4F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57C057DF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2A31" w14:textId="1D4D1DFA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670D" w14:textId="77777777" w:rsidR="00405D7B" w:rsidRDefault="00405D7B" w:rsidP="00272D2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 rámci výzvy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 podání nabídek na realizaci investičního záměru</w:t>
            </w: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budou stanoveny základní podmínky pro prodej nemovitých věcí, a to zejména:</w:t>
            </w:r>
          </w:p>
          <w:tbl>
            <w:tblPr>
              <w:tblW w:w="9072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8688"/>
            </w:tblGrid>
            <w:tr w:rsidR="00CD2158" w:rsidRPr="00CC3377" w14:paraId="69746B7F" w14:textId="77777777" w:rsidTr="00CD215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6FC244" w14:textId="77777777" w:rsidR="00CD2158" w:rsidRPr="00CC3377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CC337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a)</w:t>
                  </w:r>
                </w:p>
              </w:tc>
              <w:tc>
                <w:tcPr>
                  <w:tcW w:w="8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7C7A80" w14:textId="091CB7F9" w:rsidR="00CD2158" w:rsidRPr="00CC3377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422AC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obecné vymezení území a vymezení území z hlediska územního plánu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,</w:t>
                  </w:r>
                </w:p>
              </w:tc>
            </w:tr>
            <w:tr w:rsidR="00CD2158" w:rsidRPr="00CC3377" w14:paraId="165D872F" w14:textId="77777777" w:rsidTr="00CD215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F6ED7E" w14:textId="327BD34B" w:rsidR="00CD2158" w:rsidRPr="00CC3377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b)</w:t>
                  </w:r>
                </w:p>
              </w:tc>
              <w:tc>
                <w:tcPr>
                  <w:tcW w:w="8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01CE8B" w14:textId="5365C5BA" w:rsidR="00CD2158" w:rsidRPr="00422AC8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422AC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obecné informace k území (inženýrské sítě, terén, faktický stav, ocenění, apod.)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,</w:t>
                  </w:r>
                </w:p>
              </w:tc>
            </w:tr>
            <w:tr w:rsidR="00CD2158" w:rsidRPr="00CC3377" w14:paraId="5F21C234" w14:textId="77777777" w:rsidTr="00CD215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AE3A03" w14:textId="1AB6C65D" w:rsidR="00CD2158" w:rsidRPr="00CC3377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c)</w:t>
                  </w:r>
                </w:p>
              </w:tc>
              <w:tc>
                <w:tcPr>
                  <w:tcW w:w="8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44C59" w14:textId="73E66A5B" w:rsidR="00CD2158" w:rsidRPr="00422AC8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422AC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požadovaný záměr využití území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,</w:t>
                  </w:r>
                </w:p>
              </w:tc>
            </w:tr>
            <w:tr w:rsidR="00CD2158" w:rsidRPr="00CC3377" w14:paraId="29A9F4BA" w14:textId="77777777" w:rsidTr="00CD215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CD586B" w14:textId="66EFFD2B" w:rsidR="00CD2158" w:rsidRPr="00CC3377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d)</w:t>
                  </w:r>
                </w:p>
              </w:tc>
              <w:tc>
                <w:tcPr>
                  <w:tcW w:w="8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C5C1D5" w14:textId="775DC205" w:rsidR="00CD2158" w:rsidRPr="00422AC8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minimální kupní cena,</w:t>
                  </w:r>
                </w:p>
              </w:tc>
            </w:tr>
            <w:tr w:rsidR="00CD2158" w:rsidRPr="00CC3377" w14:paraId="0F89563F" w14:textId="77777777" w:rsidTr="00CD215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A0DF12" w14:textId="1367CE4C" w:rsidR="00CD2158" w:rsidRPr="00CC3377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e)</w:t>
                  </w:r>
                </w:p>
              </w:tc>
              <w:tc>
                <w:tcPr>
                  <w:tcW w:w="8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A9D17" w14:textId="24E15C04" w:rsidR="00CD2158" w:rsidRPr="00422AC8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kritéria pro výběr nejlepší nabídky,</w:t>
                  </w:r>
                </w:p>
              </w:tc>
            </w:tr>
            <w:tr w:rsidR="00CD2158" w:rsidRPr="00CC3377" w14:paraId="20536F33" w14:textId="77777777" w:rsidTr="00CD215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5327DC" w14:textId="1AC254C9" w:rsidR="00CD2158" w:rsidRPr="00CC3377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f)</w:t>
                  </w:r>
                </w:p>
              </w:tc>
              <w:tc>
                <w:tcPr>
                  <w:tcW w:w="8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2D138B" w14:textId="6F41A786" w:rsidR="00CD2158" w:rsidRPr="00422AC8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422AC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požadovan</w:t>
                  </w:r>
                  <w:r w:rsidR="00D874FE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á</w:t>
                  </w:r>
                  <w:r w:rsidRPr="00422AC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 xml:space="preserve"> form</w:t>
                  </w:r>
                  <w:r w:rsidR="00D874FE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a</w:t>
                  </w:r>
                  <w:r w:rsidRPr="00422AC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 xml:space="preserve"> zpracování nabídky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,</w:t>
                  </w:r>
                </w:p>
              </w:tc>
            </w:tr>
            <w:tr w:rsidR="00CD2158" w:rsidRPr="00CC3377" w14:paraId="6BC37815" w14:textId="77777777" w:rsidTr="00CD215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782BB9" w14:textId="7A8C2227" w:rsidR="00CD2158" w:rsidRPr="00CC3377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g)</w:t>
                  </w:r>
                </w:p>
              </w:tc>
              <w:tc>
                <w:tcPr>
                  <w:tcW w:w="8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3203AA" w14:textId="06F4C916" w:rsidR="00CD2158" w:rsidRPr="00422AC8" w:rsidRDefault="00CD2158" w:rsidP="00272D2F">
                  <w:pPr>
                    <w:spacing w:after="0" w:line="240" w:lineRule="auto"/>
                    <w:ind w:right="139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lhůta pro doručení nabídek.</w:t>
                  </w:r>
                </w:p>
              </w:tc>
            </w:tr>
          </w:tbl>
          <w:p w14:paraId="4EEF91FC" w14:textId="77777777" w:rsidR="00405D7B" w:rsidRPr="008A0F5E" w:rsidRDefault="00405D7B" w:rsidP="00272D2F">
            <w:pPr>
              <w:spacing w:after="0"/>
              <w:ind w:right="139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90A06" w:rsidRPr="00CC3377" w14:paraId="3460323B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C63B" w14:textId="77777777" w:rsidR="00690A06" w:rsidRDefault="00690A06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89F32" w14:textId="77777777" w:rsidR="00690A06" w:rsidRPr="008A0F5E" w:rsidRDefault="00690A06" w:rsidP="00272D2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7BA62F1A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A6741" w14:textId="5690C86E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01B4" w14:textId="6D51E5A0" w:rsidR="00405D7B" w:rsidRPr="008A0F5E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Zájemce předložením nabídky garantuje, že se se všemi ve výzvě uvedenými podklady a</w:t>
            </w:r>
            <w:r w:rsidR="00690A0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přílohami (případně další dokumentací, kterou si vyžádá, nebo bude veřejně přístupná) </w:t>
            </w: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seznámil a jím navrhovaný záměr využití území je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8A0F5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 intencích těchto podkladů a příloh, uvedených skutečností a souvisejících okolností) realizovatelný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405D7B" w:rsidRPr="00CC3377" w14:paraId="7991AE25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AEF12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436E" w14:textId="77777777" w:rsidR="00405D7B" w:rsidRPr="008A0F5E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433092D2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0C66" w14:textId="39D9C828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1791F" w14:textId="0148BFC6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Zájemce nemá nárok na náhradu nákladů vynaložených na zpracování nabídky.</w:t>
            </w:r>
          </w:p>
        </w:tc>
      </w:tr>
      <w:tr w:rsidR="00405D7B" w:rsidRPr="00CC3377" w14:paraId="16915FBA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64FD2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EC2D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167118AD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593B7" w14:textId="037C91BD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9858" w14:textId="37715CD5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2AC8">
              <w:rPr>
                <w:rFonts w:ascii="Tahoma" w:hAnsi="Tahoma" w:cs="Tahoma"/>
                <w:sz w:val="20"/>
                <w:szCs w:val="20"/>
              </w:rPr>
              <w:t>Kraj si vyhrazuje právo hodnotit každou nabídku komplexně ve všech souvislostech bez výhradní preference některého z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422AC8">
              <w:rPr>
                <w:rFonts w:ascii="Tahoma" w:hAnsi="Tahoma" w:cs="Tahoma"/>
                <w:sz w:val="20"/>
                <w:szCs w:val="20"/>
              </w:rPr>
              <w:t>kritérií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405D7B" w:rsidRPr="00CC3377" w14:paraId="06B608D4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5413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36AB" w14:textId="77777777" w:rsidR="00405D7B" w:rsidRPr="00422AC8" w:rsidRDefault="00405D7B" w:rsidP="00405D7B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5D7B" w:rsidRPr="00CC3377" w14:paraId="46DC66A6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687A" w14:textId="13D155B0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19A9" w14:textId="76FB3869" w:rsidR="00405D7B" w:rsidRPr="00422AC8" w:rsidRDefault="00405D7B" w:rsidP="00405D7B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Kraj si vyhrazuje právo záměr prodeje nemovitých věcí kdykoliv zrušit, se žádným ze zájemců po obdržení nabídek nejednat, případně </w:t>
            </w:r>
            <w:r w:rsidR="00690A0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smlouvu neuzavřít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405D7B" w:rsidRPr="00CC3377" w14:paraId="78CA3F71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69CE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CFCF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2BBCA4D5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A7BC" w14:textId="52390926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9A49" w14:textId="4E524F60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Nabídky splňující formální náležitosti a požadavky stanovené ve výzvě k podání nabídek budou předloženy k posouzení radě kraje, která je oprávněna následně:</w:t>
            </w:r>
          </w:p>
        </w:tc>
      </w:tr>
      <w:tr w:rsidR="00405D7B" w:rsidRPr="00CC3377" w14:paraId="39168B00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15A0B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839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8006"/>
            </w:tblGrid>
            <w:tr w:rsidR="00CD2158" w:rsidRPr="00CC3377" w14:paraId="59535DC6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6DCD75" w14:textId="77777777" w:rsidR="00CD2158" w:rsidRPr="00CC3377" w:rsidRDefault="00CD2158" w:rsidP="00CD215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CC337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a)</w:t>
                  </w:r>
                </w:p>
              </w:tc>
              <w:tc>
                <w:tcPr>
                  <w:tcW w:w="8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6FC132" w14:textId="24173C6C" w:rsidR="00CD2158" w:rsidRPr="00CC3377" w:rsidRDefault="00756D62" w:rsidP="00CD215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756D62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v případě, že vyhodnotí více nabídek jako vhodné, rozhodnout o uskutečnění uzavřené elektronické aukce za účelem výběru nejlepší nabídky (kritériem výběru bude výše kupní ceny),</w:t>
                  </w:r>
                </w:p>
              </w:tc>
            </w:tr>
            <w:tr w:rsidR="00CD2158" w:rsidRPr="00422AC8" w14:paraId="45A12DD6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416120" w14:textId="77777777" w:rsidR="00CD2158" w:rsidRPr="00CC3377" w:rsidRDefault="00CD2158" w:rsidP="00CD215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b)</w:t>
                  </w:r>
                </w:p>
              </w:tc>
              <w:tc>
                <w:tcPr>
                  <w:tcW w:w="8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37ED8D" w14:textId="1EB0097C" w:rsidR="00CD2158" w:rsidRPr="00422AC8" w:rsidRDefault="00756D62" w:rsidP="00CD215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756D62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 xml:space="preserve">v případě, že vyhodnotí pouze jednu nabídku jako vhodnou, doporučit zastupitelstvu kraje uzavření kupní smlouvy se zájemcem, jehož nabídka se z hlediska přínosu a kvality záměru využití nemovitých věcí jeví jako </w:t>
                  </w:r>
                  <w:r w:rsidR="0098134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 xml:space="preserve">jediná vhodná </w:t>
                  </w:r>
                  <w:r w:rsidRPr="00756D62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varianta.</w:t>
                  </w:r>
                </w:p>
              </w:tc>
            </w:tr>
          </w:tbl>
          <w:p w14:paraId="7FC80FE4" w14:textId="660F489E" w:rsidR="00405D7B" w:rsidRPr="00756D62" w:rsidRDefault="00405D7B" w:rsidP="00756D62">
            <w:pPr>
              <w:spacing w:after="0"/>
              <w:jc w:val="both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11BA6B13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886E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AFF0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29EA6233" w14:textId="445E1442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04939" w14:textId="3436D112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(1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5ED39" w14:textId="1BA37A3B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Administrátor vytvoří na příslušné internetové adrese elektronickou </w:t>
            </w:r>
            <w:r w:rsidR="006637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aukční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síň.</w:t>
            </w:r>
          </w:p>
        </w:tc>
      </w:tr>
      <w:tr w:rsidR="00405D7B" w:rsidRPr="00CC3377" w14:paraId="04F95FA9" w14:textId="6E44494F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D186" w14:textId="683BFD78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7F6F1" w14:textId="6077C819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3A9C28DD" w14:textId="1F3A81F8" w:rsidTr="00981347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A4E9" w14:textId="19233616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6526" w14:textId="59A61BAF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Administrátor uveřejní v EAS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MSK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všechny informace a dokumenty o </w:t>
            </w:r>
            <w:r w:rsidR="006637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uzavřené elektronické aukci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zejména návrh kupní smlouvy.</w:t>
            </w:r>
          </w:p>
        </w:tc>
      </w:tr>
      <w:tr w:rsidR="00405D7B" w:rsidRPr="00CC3377" w14:paraId="07ABD62E" w14:textId="7792ABEA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D572" w14:textId="2298C284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42FD" w14:textId="596AF700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5E9C5122" w14:textId="1FBCCB8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5650" w14:textId="52035C86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7E6C" w14:textId="1B9511E1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606D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Administrátor zpracuje výzvu k účasti v</w:t>
            </w:r>
            <w:r w:rsidR="003012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 uzavřené </w:t>
            </w:r>
            <w:r w:rsidRPr="002606D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3012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aukci</w:t>
            </w:r>
            <w:r w:rsidRPr="002606D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(dále jen „výzva“). Výzva musí obsahovat:</w:t>
            </w:r>
          </w:p>
          <w:tbl>
            <w:tblPr>
              <w:tblW w:w="8531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8147"/>
            </w:tblGrid>
            <w:tr w:rsidR="00AE1B48" w:rsidRPr="00CC3377" w14:paraId="661D3503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AB8EFD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CC337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a)</w:t>
                  </w:r>
                </w:p>
              </w:tc>
              <w:tc>
                <w:tcPr>
                  <w:tcW w:w="8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996750" w14:textId="15A8D91C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datum a čas zahájení a ukončení uzavřené elektronické aukce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,</w:t>
                  </w:r>
                </w:p>
              </w:tc>
            </w:tr>
            <w:tr w:rsidR="00AE1B48" w:rsidRPr="00422AC8" w14:paraId="1E5B1A3D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7A2D6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b)</w:t>
                  </w:r>
                </w:p>
              </w:tc>
              <w:tc>
                <w:tcPr>
                  <w:tcW w:w="8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7EB10D" w14:textId="53BAD569" w:rsidR="00AE1B48" w:rsidRPr="00422AC8" w:rsidRDefault="00AE1B48" w:rsidP="00AE1B48">
                  <w:pPr>
                    <w:spacing w:after="0" w:line="240" w:lineRule="auto"/>
                    <w:ind w:right="146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označení a popis předmětu prodeje, jeho součástí a příslušenství, práv a povinností s</w:t>
                  </w:r>
                  <w:r w:rsidR="0098134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 </w:t>
                  </w: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předmětem prodeje souvisejících,</w:t>
                  </w:r>
                </w:p>
              </w:tc>
            </w:tr>
            <w:tr w:rsidR="00AE1B48" w:rsidRPr="00422AC8" w14:paraId="094C0D3E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0A59D2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c)</w:t>
                  </w:r>
                </w:p>
              </w:tc>
              <w:tc>
                <w:tcPr>
                  <w:tcW w:w="8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24A7F4" w14:textId="6840A33A" w:rsidR="00AE1B48" w:rsidRPr="00422AC8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počet kol uzavřené elektronické aukce a délku jednotlivých kol,</w:t>
                  </w:r>
                </w:p>
              </w:tc>
            </w:tr>
            <w:tr w:rsidR="00AE1B48" w:rsidRPr="00422AC8" w14:paraId="030848B4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4AF95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d)</w:t>
                  </w:r>
                </w:p>
              </w:tc>
              <w:tc>
                <w:tcPr>
                  <w:tcW w:w="8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F0B979" w14:textId="32E9E9B6" w:rsidR="00AE1B48" w:rsidRPr="00422AC8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minimální kupní cenu,</w:t>
                  </w:r>
                </w:p>
              </w:tc>
            </w:tr>
            <w:tr w:rsidR="00AE1B48" w:rsidRPr="00422AC8" w14:paraId="2FB19759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D9CA86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e)</w:t>
                  </w:r>
                </w:p>
              </w:tc>
              <w:tc>
                <w:tcPr>
                  <w:tcW w:w="8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3B6C2C" w14:textId="059B0741" w:rsidR="00AE1B48" w:rsidRPr="00422AC8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minimální, případně též maximální krok zvýšení ceny,</w:t>
                  </w:r>
                </w:p>
              </w:tc>
            </w:tr>
            <w:tr w:rsidR="00AE1B48" w:rsidRPr="00422AC8" w14:paraId="5FED7BE4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07F01F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f)</w:t>
                  </w:r>
                </w:p>
              </w:tc>
              <w:tc>
                <w:tcPr>
                  <w:tcW w:w="8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3B759" w14:textId="3FD9B67A" w:rsidR="00AE1B48" w:rsidRPr="00422AC8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e-mailový a telefonní kontakt na administrátora,</w:t>
                  </w:r>
                </w:p>
              </w:tc>
            </w:tr>
            <w:tr w:rsidR="00AE1B48" w:rsidRPr="00422AC8" w14:paraId="67B64383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B6BA43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g)</w:t>
                  </w:r>
                </w:p>
              </w:tc>
              <w:tc>
                <w:tcPr>
                  <w:tcW w:w="8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146D69" w14:textId="344DD423" w:rsidR="00AE1B48" w:rsidRPr="00422AC8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návrh kupní smlouvy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</w:tbl>
          <w:p w14:paraId="6FA31653" w14:textId="6C35D5DD" w:rsidR="00405D7B" w:rsidRPr="002606DB" w:rsidRDefault="00405D7B" w:rsidP="00AE1B48">
            <w:pPr>
              <w:pStyle w:val="Odstavecseseznamem"/>
              <w:spacing w:after="0"/>
              <w:ind w:left="357"/>
              <w:jc w:val="both"/>
              <w:rPr>
                <w:rFonts w:eastAsia="Times New Roman" w:cs="Tahoma"/>
                <w:b w:val="0"/>
                <w:sz w:val="20"/>
                <w:szCs w:val="20"/>
                <w:lang w:eastAsia="cs-CZ"/>
              </w:rPr>
            </w:pPr>
          </w:p>
        </w:tc>
      </w:tr>
      <w:tr w:rsidR="00405D7B" w:rsidRPr="00CC3377" w14:paraId="34EB9B20" w14:textId="23BD0EFD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37E0" w14:textId="28D8CA85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7A38" w14:textId="1FDE06F1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4187E720" w14:textId="1974DD8F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9937" w14:textId="112C32B1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AC25" w14:textId="0C92E0B5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 účast v</w:t>
            </w:r>
            <w:r w:rsidR="008A36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 uzavřené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aukci je nutné, aby každý zájemce podal žádost o účast v</w:t>
            </w:r>
            <w:r w:rsidR="008A36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 uzavřené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aukci (dále jen „žádost</w:t>
            </w:r>
            <w:r w:rsidR="009F4F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).</w:t>
            </w:r>
          </w:p>
        </w:tc>
      </w:tr>
      <w:tr w:rsidR="00405D7B" w:rsidRPr="00CC3377" w14:paraId="0FF706C1" w14:textId="26CF42C4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E1071" w14:textId="336480D4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693C" w14:textId="31AF229A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3248C626" w14:textId="3D5FF92F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B0DC" w14:textId="4638A6D8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D518" w14:textId="2F49242D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 zaslání žádosti je zájemci o účast v</w:t>
            </w:r>
            <w:r w:rsidR="008A36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 uzavřené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aukci administrátorem zaslána výzva s pokyny pro přihlášení do elektronické aukční síně.</w:t>
            </w:r>
          </w:p>
        </w:tc>
      </w:tr>
      <w:tr w:rsidR="00405D7B" w:rsidRPr="00CC3377" w14:paraId="26195795" w14:textId="32ACDAC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04A4C" w14:textId="25E76155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F63E" w14:textId="388DCAE1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3D560848" w14:textId="52063F00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7065" w14:textId="69EF13E4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0C303" w14:textId="44188537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 účast v</w:t>
            </w:r>
            <w:r w:rsidR="008A36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 uzavřené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aukci je zájemce povinen vyplnit přihlášku; tím se stává účastníkem </w:t>
            </w:r>
            <w:r w:rsidR="008A36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uzavřené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</w:t>
            </w:r>
            <w:r w:rsidR="008A36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aukce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Po úspěšném odeslání přihlášky obdrží administrátor e-mail s potvrzením přijetí přihlášky.</w:t>
            </w:r>
          </w:p>
        </w:tc>
      </w:tr>
      <w:tr w:rsidR="00405D7B" w:rsidRPr="00CC3377" w14:paraId="55744E74" w14:textId="7B8B0365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45AB" w14:textId="54ABB57F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8C75" w14:textId="5A5EA273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6529F63C" w14:textId="3F624BE2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FC65" w14:textId="6358C88B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78CC" w14:textId="74E5E1EF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Vstupem do </w:t>
            </w:r>
            <w:r w:rsidR="008A363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aukce účastník souhlasí s podmínkami </w:t>
            </w:r>
            <w:r w:rsidR="00B33EC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aukce a podmínkami prodeje obsaženými v návrhu kupní smlouvy, zavazuje se v případě vítězství v</w:t>
            </w:r>
            <w:r w:rsidR="00B33EC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 uzavřené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aukci uzavřít kupní smlouvu a prohlašuje, že je schopen dodržet své povinnosti a závazky vyplývající z kupní smlouvy, zejména zaplatit řádně a včas kupní cenu za předmět prodeje.</w:t>
            </w:r>
          </w:p>
        </w:tc>
      </w:tr>
      <w:tr w:rsidR="00405D7B" w:rsidRPr="00CC3377" w14:paraId="68D0F595" w14:textId="1D218BA9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8D26" w14:textId="3905F272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EDD00" w14:textId="3432D4FC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46087FE3" w14:textId="29D6B43C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92BC" w14:textId="23195366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EB58" w14:textId="141498C6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Vstupní kolo slouží 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provedení registrace zájemce o účast v</w:t>
            </w:r>
            <w:r w:rsidR="00B33EC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 uzavřené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aukci a</w:t>
            </w:r>
            <w:r w:rsidR="009F4FA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následnému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zadání vstupních cenových nabídek.</w:t>
            </w:r>
          </w:p>
        </w:tc>
      </w:tr>
      <w:tr w:rsidR="00405D7B" w:rsidRPr="00CC3377" w14:paraId="4FFB3092" w14:textId="64D89A44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ED5E" w14:textId="2CCD290F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1401" w14:textId="55ACE4F6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0C784DF4" w14:textId="2B604944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71A5" w14:textId="2950A4E7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19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B144" w14:textId="43F4C83A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Kontrolní kolo slouží ke kontrole formální a věcné správnosti nabídek zapsaných účastníky. V tomto kole nemohou účastníci provádět žádné změny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cenových nabídek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 jsou jim zobrazeny pouze jejich vlastní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cenové nabídky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405D7B" w:rsidRPr="00CC3377" w14:paraId="336B6EFB" w14:textId="010C7620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9B0D" w14:textId="27E78F78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0C81" w14:textId="7977B94B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5977B623" w14:textId="1CE65375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8B2B7" w14:textId="630BC576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ACF3" w14:textId="683F6A0A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 aukčním kole:</w:t>
            </w:r>
          </w:p>
          <w:tbl>
            <w:tblPr>
              <w:tblW w:w="839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8006"/>
            </w:tblGrid>
            <w:tr w:rsidR="00AE1B48" w:rsidRPr="00CC3377" w14:paraId="2E872514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AC9D7F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CC337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a)</w:t>
                  </w:r>
                </w:p>
              </w:tc>
              <w:tc>
                <w:tcPr>
                  <w:tcW w:w="8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122C90A" w14:textId="74AE4588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administrátor umožní účastníkům vstup do elektronické aukční síně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,</w:t>
                  </w:r>
                </w:p>
              </w:tc>
            </w:tr>
            <w:tr w:rsidR="00AE1B48" w:rsidRPr="00422AC8" w14:paraId="2DBCDCCB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A63CB2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b)</w:t>
                  </w:r>
                </w:p>
              </w:tc>
              <w:tc>
                <w:tcPr>
                  <w:tcW w:w="8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34222" w14:textId="03E36C87" w:rsidR="00AE1B48" w:rsidRPr="00422AC8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administrátor dbá na řádný průběh uzavřené elektronické aukce,</w:t>
                  </w:r>
                </w:p>
              </w:tc>
            </w:tr>
            <w:tr w:rsidR="00AE1B48" w:rsidRPr="00422AC8" w14:paraId="6604BED9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6F300D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c)</w:t>
                  </w:r>
                </w:p>
              </w:tc>
              <w:tc>
                <w:tcPr>
                  <w:tcW w:w="8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932BD0" w14:textId="40E88CB2" w:rsidR="00AE1B48" w:rsidRPr="00422AC8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se účastníkům zobrazuje nejvyšší provedená cenová nabídka a jejich aktuální pořadí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,</w:t>
                  </w:r>
                </w:p>
              </w:tc>
            </w:tr>
            <w:tr w:rsidR="00AE1B48" w:rsidRPr="00422AC8" w14:paraId="55D48130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1A8770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d)</w:t>
                  </w:r>
                </w:p>
              </w:tc>
              <w:tc>
                <w:tcPr>
                  <w:tcW w:w="8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CAB027" w14:textId="0488F30C" w:rsidR="00AE1B48" w:rsidRPr="00422AC8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AE1B48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účastníci upravují své cenové nabídky v souladu s podmínkami uzavřené elektronické aukce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AE1B48" w:rsidRPr="00422AC8" w14:paraId="580E7050" w14:textId="77777777" w:rsidTr="00AE1B48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03FBBA" w14:textId="77777777" w:rsidR="00AE1B48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DCFE24" w14:textId="77777777" w:rsidR="00AE1B48" w:rsidRPr="00AE1B48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CCCD797" w14:textId="4ED1C05B" w:rsidR="00405D7B" w:rsidRPr="00CC3377" w:rsidRDefault="00405D7B" w:rsidP="00405D7B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06A224EA" w14:textId="791EA1F2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F2F19" w14:textId="6CD5096C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BD5E" w14:textId="0A4FAD1D" w:rsidR="00405D7B" w:rsidRPr="00CC3377" w:rsidRDefault="00B33EC3" w:rsidP="00405D7B">
            <w:pPr>
              <w:keepNext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Uzavřená e</w:t>
            </w:r>
            <w:r w:rsidR="00405D7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lektronická aukce může být ukončena:</w:t>
            </w:r>
          </w:p>
          <w:tbl>
            <w:tblPr>
              <w:tblW w:w="839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8006"/>
            </w:tblGrid>
            <w:tr w:rsidR="00AE1B48" w:rsidRPr="00CC3377" w14:paraId="345387A3" w14:textId="77777777" w:rsidTr="009F4FA6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4542E0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CC337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a)</w:t>
                  </w:r>
                </w:p>
              </w:tc>
              <w:tc>
                <w:tcPr>
                  <w:tcW w:w="8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23612B" w14:textId="6D9D05E3" w:rsidR="00AE1B48" w:rsidRPr="00CC3377" w:rsidRDefault="00272D2F" w:rsidP="009F4FA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272D2F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v předem stanovený čas; pokud některý z účastníků zadá novou cenovou nabídku v</w:t>
                  </w:r>
                  <w:r w:rsidR="009F4FA6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 </w:t>
                  </w:r>
                  <w:r w:rsidRPr="00272D2F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posledním předem stanoveném počtu minut před časem ukončení uzavřené elektronické aukce, čas uzavřené elektronické aukce se prodlužuje o předem stanovený počet minut od okamžiku učinění této změny cenové nabídky. Je-li v této lhůtě učiněna další změna cenové nabídky, posunuje se čas ukončení uzavřené elektronické aukce o předem stanovený počet minut od této změny cenové nabídky;</w:t>
                  </w:r>
                </w:p>
              </w:tc>
            </w:tr>
            <w:tr w:rsidR="00AE1B48" w:rsidRPr="00422AC8" w14:paraId="7B65A3AC" w14:textId="77777777" w:rsidTr="009F4FA6">
              <w:trPr>
                <w:trHeight w:val="180"/>
                <w:tblCellSpacing w:w="0" w:type="dxa"/>
              </w:trPr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8749F7" w14:textId="77777777" w:rsidR="00AE1B48" w:rsidRPr="00CC3377" w:rsidRDefault="00AE1B48" w:rsidP="00AE1B48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b)</w:t>
                  </w:r>
                </w:p>
              </w:tc>
              <w:tc>
                <w:tcPr>
                  <w:tcW w:w="80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2D42B9" w14:textId="60039BB8" w:rsidR="00AE1B48" w:rsidRPr="00422AC8" w:rsidRDefault="00272D2F" w:rsidP="00332034">
                  <w:pPr>
                    <w:spacing w:after="0" w:line="240" w:lineRule="auto"/>
                    <w:ind w:right="-1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272D2F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manuálně zásahem administrátora, a to z důvodu nálezu chyby v nastavení uzavřené elektronické aukce nebo objektivní nemožností pokračovat v uzavřené elektronické aukci; následkem je zneplatnění všech provedených nabídek všech účastníků.</w:t>
                  </w:r>
                </w:p>
              </w:tc>
            </w:tr>
          </w:tbl>
          <w:p w14:paraId="1A7E9EE3" w14:textId="3D194F33" w:rsidR="00405D7B" w:rsidRPr="00F74424" w:rsidRDefault="00405D7B" w:rsidP="00272D2F">
            <w:pPr>
              <w:pStyle w:val="Odstavecseseznamem"/>
              <w:spacing w:after="0"/>
              <w:ind w:left="357"/>
              <w:jc w:val="both"/>
              <w:rPr>
                <w:rFonts w:eastAsia="Times New Roman" w:cs="Tahoma"/>
                <w:bCs/>
                <w:sz w:val="20"/>
                <w:szCs w:val="20"/>
                <w:lang w:eastAsia="cs-CZ"/>
              </w:rPr>
            </w:pPr>
          </w:p>
        </w:tc>
      </w:tr>
      <w:tr w:rsidR="00405D7B" w:rsidRPr="00CC3377" w14:paraId="5546B91D" w14:textId="793EFE72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9A33" w14:textId="2737CB62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8234" w14:textId="22823BDB" w:rsidR="00405D7B" w:rsidRPr="00CC3377" w:rsidRDefault="00405D7B" w:rsidP="00405D7B">
            <w:pPr>
              <w:keepNext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501FC49B" w14:textId="2A376C6F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C3AE" w14:textId="16AEFBDB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CF83" w14:textId="3E73D35B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Veškeré operace provedené od okamžiku vytvoření elektronické aukční síně do ukončení </w:t>
            </w:r>
            <w:r w:rsidR="00B33EC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aukce jsou zaznamenávány. Po ukončení </w:t>
            </w:r>
            <w:r w:rsidR="00B33EC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aukce zajistí administrátor vytvoření protokolu o průběhu </w:t>
            </w:r>
            <w:r w:rsidR="00B33EC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aukce.</w:t>
            </w:r>
          </w:p>
        </w:tc>
      </w:tr>
      <w:tr w:rsidR="00405D7B" w:rsidRPr="00CC3377" w14:paraId="5BC1BBB3" w14:textId="7FD4805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56DD" w14:textId="2B47A762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10CF" w14:textId="76ED11E5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17C0558C" w14:textId="43E10E66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03FF" w14:textId="25B4D6BE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D1DE3" w14:textId="62689EE7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 ukončení </w:t>
            </w:r>
            <w:r w:rsidR="00B33EC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aukce jsou nabídky účastníků sestupně seřazeny dle výše </w:t>
            </w:r>
            <w:r w:rsidR="008345F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jimi</w:t>
            </w:r>
            <w:r w:rsidR="008345F7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nabízené kupní ceny a výsledek je předložen radě kraje, která následně může doporučit zastupitelstvu kraje rozhodnout o uzavření kupní smlouvy s vítězným účastníkem.</w:t>
            </w:r>
          </w:p>
        </w:tc>
      </w:tr>
      <w:tr w:rsidR="00405D7B" w:rsidRPr="00CC3377" w14:paraId="4799328B" w14:textId="02C25B14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67D2" w14:textId="2BF249C1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B06F" w14:textId="09043DC5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47F081DF" w14:textId="795BE536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CC72" w14:textId="06DA9573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1272" w14:textId="4487B065" w:rsidR="00405D7B" w:rsidRPr="00CC3377" w:rsidRDefault="00B33EC3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Kraj </w:t>
            </w:r>
            <w:r w:rsidR="00405D7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si vyhrazuje právo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uzavřenou elektronickou aukci </w:t>
            </w:r>
            <w:r w:rsidR="00405D7B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zrušit nebo nevybrat žádného vítězného účastníka.</w:t>
            </w:r>
            <w:r w:rsidR="00405D7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 zrušení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uzavřené elektronické aukce</w:t>
            </w:r>
            <w:r w:rsidR="00405D7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rozhoduje rada kraje. O této skutečnosti informuje zastupitelstvo kraje.</w:t>
            </w:r>
          </w:p>
        </w:tc>
      </w:tr>
      <w:tr w:rsidR="00405D7B" w:rsidRPr="00CC3377" w14:paraId="4C388994" w14:textId="5B47A07F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CB6C" w14:textId="55753B68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DFD3" w14:textId="0D74F780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621161FE" w14:textId="147F9E2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B388" w14:textId="273BEBFE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51AF" w14:textId="79A8BEE5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Příslušný odbor elektronicky informuje všechny účastníky o výsledku </w:t>
            </w:r>
            <w:r w:rsidR="00B33EC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elektronické aukce. Vítěznému účastníkovi je zároveň zaslán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doplněný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návrh kupní smlouvy.</w:t>
            </w:r>
          </w:p>
        </w:tc>
      </w:tr>
      <w:tr w:rsidR="00405D7B" w:rsidRPr="00CC3377" w14:paraId="714EEFC5" w14:textId="562D1F65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2279" w14:textId="7EE2F516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74F6E" w14:textId="63E152AA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57BE988E" w14:textId="2EBE081D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4D1C" w14:textId="0B99F5D6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6673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91606" w14:textId="5F3075ED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Vítězný účastník doručí kupní smlouv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 úředně ověřeným podpisem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(nemá-li podpisový vzor uložen na příslušném katastrálním úřadě)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 příslušném počtu vyhotovení </w:t>
            </w:r>
            <w:r w:rsidR="00B33EC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kraji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do 30 dnů ode dne jeho doručení, pokud rada kraje nestanoví jinak.</w:t>
            </w:r>
          </w:p>
        </w:tc>
      </w:tr>
      <w:tr w:rsidR="00405D7B" w:rsidRPr="00CC3377" w14:paraId="21DF6099" w14:textId="26E501BD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116ED" w14:textId="4B4A04CB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4455" w14:textId="71A6CBCA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190BC81A" w14:textId="445810F6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AA05F" w14:textId="607DD49B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38D3" w14:textId="420BBB14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 doručení podepsané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kupní smlouvy </w:t>
            </w:r>
            <w:r w:rsidR="00B33EC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kraji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rozhodne zastupitelstvo kraje o uzavření kupní smlouvy s kupujícím.</w:t>
            </w:r>
          </w:p>
        </w:tc>
      </w:tr>
      <w:tr w:rsidR="00405D7B" w:rsidRPr="00CC3377" w14:paraId="08D67746" w14:textId="14FEAC8F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6345" w14:textId="018F9380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0870" w14:textId="7C1A38B7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2F0B7DCB" w14:textId="1CD38DCF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A0B1" w14:textId="3D39EA56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08E9A" w14:textId="62A50159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Pokud není dodržena lhůta stanovená v odst. </w:t>
            </w:r>
            <w:r w:rsidR="00AF63B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Pr="0042493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tohoto článku, je nabídka vítězného účastníka vyřazena a na jeho místo nastupují další účastníci </w:t>
            </w:r>
            <w:r w:rsidR="00EF10D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uzavřené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elektronické aukce v sestupném pořadí dle výše </w:t>
            </w:r>
            <w:r w:rsidR="008345F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jimi</w:t>
            </w:r>
            <w:r w:rsidR="008345F7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nabízené kupní ceny.</w:t>
            </w:r>
          </w:p>
        </w:tc>
      </w:tr>
      <w:tr w:rsidR="00405D7B" w:rsidRPr="00CC3377" w14:paraId="471F1FE2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E841" w14:textId="77777777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6B51F" w14:textId="77777777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1B386653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B393" w14:textId="6468FBB7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(2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F98D" w14:textId="358C0D59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Účastnící nemají nárok na náhradu nákladů spojených s účastí v</w:t>
            </w:r>
            <w:r w:rsidR="00EF10D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uzavřené elektronické aukci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uzavřením kupní smlouvy a s realizací převodu předmětu prodeje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405D7B" w:rsidRPr="00CC3377" w14:paraId="3519E0C7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E85B" w14:textId="77777777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D562" w14:textId="77777777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05D7B" w:rsidRPr="00CC3377" w14:paraId="6998412F" w14:textId="77777777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AB4A" w14:textId="7F64F368" w:rsidR="00405D7B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</w:t>
            </w:r>
            <w:r w:rsidR="005E4A8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30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4FB43" w14:textId="3DCBF65D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Postup dle tohoto článku lze přiměřeně použít i při jiném nakládání s majetkem kraje (nájem, pacht, zřízení práva stavby apod.)</w:t>
            </w:r>
          </w:p>
        </w:tc>
      </w:tr>
      <w:tr w:rsidR="00405D7B" w:rsidRPr="008345F7" w14:paraId="3BD73DA7" w14:textId="461FE0ED" w:rsidTr="00272D2F">
        <w:trPr>
          <w:trHeight w:val="180"/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95EA" w14:textId="6E05D272" w:rsidR="00405D7B" w:rsidRPr="00CC3377" w:rsidRDefault="00405D7B" w:rsidP="008345F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D0721" w14:textId="70674DC8" w:rsidR="00405D7B" w:rsidRPr="00CC3377" w:rsidRDefault="00405D7B" w:rsidP="00405D7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78D79626" w14:textId="52848C32" w:rsidR="00310A28" w:rsidRPr="00CC3377" w:rsidRDefault="00310A28" w:rsidP="00D02728">
      <w:pPr>
        <w:pStyle w:val="Styl1"/>
        <w:spacing w:after="240"/>
        <w:ind w:left="0" w:firstLine="0"/>
        <w:rPr>
          <w:rFonts w:cs="Tahoma"/>
        </w:rPr>
      </w:pPr>
      <w:r w:rsidRPr="00CC3377">
        <w:rPr>
          <w:rFonts w:cs="Tahoma"/>
        </w:rPr>
        <w:br/>
      </w:r>
      <w:bookmarkStart w:id="27" w:name="_Toc126669137"/>
      <w:bookmarkStart w:id="28" w:name="_Toc205893286"/>
      <w:r w:rsidR="00574020">
        <w:rPr>
          <w:rFonts w:cs="Tahoma"/>
        </w:rPr>
        <w:t>V</w:t>
      </w:r>
      <w:r w:rsidRPr="00CC3377">
        <w:rPr>
          <w:rFonts w:cs="Tahoma"/>
        </w:rPr>
        <w:t>eřejná dražba</w:t>
      </w:r>
      <w:bookmarkEnd w:id="27"/>
      <w:bookmarkEnd w:id="28"/>
    </w:p>
    <w:tbl>
      <w:tblPr>
        <w:tblW w:w="907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"/>
        <w:gridCol w:w="8584"/>
      </w:tblGrid>
      <w:tr w:rsidR="008A2B95" w:rsidRPr="00CC3377" w14:paraId="7FB6A403" w14:textId="77777777" w:rsidTr="002606DB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86B2F" w14:textId="77777777" w:rsidR="00310A28" w:rsidRPr="00CC3377" w:rsidRDefault="00310A28" w:rsidP="007D7B3F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(1) 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4C498" w14:textId="7F35184B" w:rsidR="00310A28" w:rsidRPr="00CC3377" w:rsidRDefault="00310A28" w:rsidP="007D7B3F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Prodej veřejnou dražbou se řídí zákonem o veřejných dražbách. Realizuje se především v případech prodeje nemovitých věcí, u kterých se pro svou povahu, umístění a možné způsoby využití předpokládá větší počet zájemců. Rozhodujícím kritériem při tomto způsobu prodeje je dosažení maximální kupní ceny</w:t>
            </w:r>
            <w:r w:rsidR="007C1934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</w:tr>
      <w:tr w:rsidR="008A2B95" w:rsidRPr="00CC3377" w14:paraId="69D92F3F" w14:textId="77777777" w:rsidTr="002606DB">
        <w:trPr>
          <w:trHeight w:val="180"/>
          <w:tblCellSpacing w:w="0" w:type="dxa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F16C4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4"/>
                <w:lang w:eastAsia="cs-CZ"/>
              </w:rPr>
            </w:pPr>
          </w:p>
        </w:tc>
      </w:tr>
      <w:tr w:rsidR="008A2B95" w:rsidRPr="00CC3377" w14:paraId="257C51BB" w14:textId="77777777" w:rsidTr="002606DB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6801E" w14:textId="77777777" w:rsidR="00310A28" w:rsidRPr="00CC3377" w:rsidRDefault="00310A28" w:rsidP="007D7B3F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(2)</w:t>
            </w: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DDEE2" w14:textId="04992E9A" w:rsidR="00310A28" w:rsidRPr="00CC3377" w:rsidRDefault="00310A28" w:rsidP="007D7B3F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Způsob prodeje nemovitých věcí veřejnou dražbou navrhuje rada kraje zpravidla při rozhodování o záměru prodeje. Následně je obecný záměr prodeje zveřejněn na úřední desce krajského úřadu v souladu se zákonem o krajích. Po zveřejnění záměru na úřední desce krajského úřadu rada kraje doporučí zastupitelstvu kraje rozhodnout o prodeji nemovitých věcí formou veřejné dražby. Součástí usnesení zastupitelstva kraje je stanovení nejnižšího podání, případně, zda je dražebník oprávněn snížit nejnižší podání a o kolik. Nejnižší podání se odvozuje z ceny v místě a čase obvyklé stanovené </w:t>
            </w:r>
            <w:r w:rsidR="00F072E6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odborným </w:t>
            </w:r>
            <w:r w:rsidR="00055E00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posudkem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8A2B95" w:rsidRPr="00CC3377" w14:paraId="2ACECFEC" w14:textId="77777777" w:rsidTr="002606DB">
        <w:trPr>
          <w:trHeight w:val="180"/>
          <w:tblCellSpacing w:w="0" w:type="dxa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82D4E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4"/>
                <w:lang w:eastAsia="cs-CZ"/>
              </w:rPr>
            </w:pPr>
          </w:p>
        </w:tc>
      </w:tr>
      <w:tr w:rsidR="008A2B95" w:rsidRPr="00CC3377" w14:paraId="582D4F5E" w14:textId="77777777" w:rsidTr="002606DB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B4841" w14:textId="77777777" w:rsidR="00310A28" w:rsidRPr="00CC3377" w:rsidRDefault="00310A28" w:rsidP="007D7B3F">
            <w:pPr>
              <w:spacing w:after="0" w:line="240" w:lineRule="auto"/>
              <w:ind w:left="363" w:hanging="363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(3)</w:t>
            </w: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FD64E" w14:textId="051D8B0F" w:rsidR="00310A28" w:rsidRPr="00CC3377" w:rsidRDefault="00310A28" w:rsidP="007D7B3F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Jelikož </w:t>
            </w:r>
            <w:r w:rsidR="00EC53C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je </w:t>
            </w:r>
            <w:r w:rsidR="00920E6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 podmínek stanovených v zákoně o veřejných dražbách</w:t>
            </w:r>
            <w:r w:rsidR="00920E6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="005740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při veřejné dražbě smlouva uzavřena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již příklepem </w:t>
            </w:r>
            <w:r w:rsidR="00BA4FD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dražebníka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není při rozhodování zastupitelstva kraje o prodeji tohoto majetku uveden konkrétní kupující.</w:t>
            </w:r>
          </w:p>
        </w:tc>
      </w:tr>
      <w:tr w:rsidR="008A2B95" w:rsidRPr="00CC3377" w14:paraId="14A626B6" w14:textId="77777777" w:rsidTr="002606DB">
        <w:trPr>
          <w:trHeight w:val="180"/>
          <w:tblCellSpacing w:w="0" w:type="dxa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AAB9A" w14:textId="77777777" w:rsidR="00310A28" w:rsidRPr="00CC3377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4"/>
                <w:lang w:eastAsia="cs-CZ"/>
              </w:rPr>
            </w:pPr>
          </w:p>
        </w:tc>
      </w:tr>
      <w:tr w:rsidR="00310A28" w:rsidRPr="00CC3377" w14:paraId="6237E9AE" w14:textId="77777777" w:rsidTr="002606DB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7DFF2" w14:textId="77777777" w:rsidR="00310A28" w:rsidRPr="00CC3377" w:rsidRDefault="00310A28" w:rsidP="007D7B3F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(4)</w:t>
            </w: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719DD" w14:textId="77777777" w:rsidR="00310A28" w:rsidRPr="00CC3377" w:rsidRDefault="00310A28" w:rsidP="00564C19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Postup směřující k výběru dražebníka se řídí zákonem č. 13</w:t>
            </w:r>
            <w:r w:rsidR="00564C1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/20</w:t>
            </w:r>
            <w:r w:rsidR="00564C1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 Sb., o </w:t>
            </w:r>
            <w:r w:rsidR="00564C1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zadávání 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veřejných zakáz</w:t>
            </w:r>
            <w:r w:rsidR="00564C19"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ek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ve znění pozdějších předpisů.</w:t>
            </w:r>
          </w:p>
        </w:tc>
      </w:tr>
      <w:tr w:rsidR="008F5FC5" w:rsidRPr="00CC3377" w14:paraId="3C1B2821" w14:textId="77777777" w:rsidTr="002606DB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08404" w14:textId="77777777" w:rsidR="008F5FC5" w:rsidRPr="00CC3377" w:rsidRDefault="008F5FC5" w:rsidP="007D7B3F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8424" w14:textId="77777777" w:rsidR="008F5FC5" w:rsidRPr="00CC3377" w:rsidRDefault="008F5FC5" w:rsidP="00564C19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461C795C" w14:textId="77777777" w:rsidR="00574847" w:rsidRPr="00CC3377" w:rsidRDefault="00574847" w:rsidP="00D02728">
      <w:pPr>
        <w:pStyle w:val="Styl1"/>
        <w:spacing w:after="240"/>
        <w:ind w:left="0" w:firstLine="0"/>
        <w:rPr>
          <w:rFonts w:cs="Tahoma"/>
        </w:rPr>
      </w:pPr>
      <w:bookmarkStart w:id="29" w:name="__RefHeading___Toc284334532"/>
      <w:bookmarkStart w:id="30" w:name="__RefHeading___Toc284334533"/>
      <w:bookmarkStart w:id="31" w:name="__RefHeading___Toc284334534"/>
      <w:bookmarkStart w:id="32" w:name="__RefHeading___Toc284334535"/>
      <w:bookmarkEnd w:id="29"/>
      <w:bookmarkEnd w:id="30"/>
      <w:bookmarkEnd w:id="31"/>
      <w:bookmarkEnd w:id="32"/>
      <w:r w:rsidRPr="00CC3377">
        <w:rPr>
          <w:rFonts w:cs="Tahoma"/>
        </w:rPr>
        <w:br/>
      </w:r>
      <w:bookmarkStart w:id="33" w:name="_Toc126669140"/>
      <w:bookmarkStart w:id="34" w:name="_Toc205893287"/>
      <w:r w:rsidRPr="00CC3377">
        <w:rPr>
          <w:rFonts w:cs="Tahoma"/>
        </w:rPr>
        <w:t>Zrušovací ustanovení</w:t>
      </w:r>
      <w:bookmarkEnd w:id="33"/>
      <w:bookmarkEnd w:id="34"/>
    </w:p>
    <w:tbl>
      <w:tblPr>
        <w:tblW w:w="921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10"/>
      </w:tblGrid>
      <w:tr w:rsidR="00574847" w:rsidRPr="00CC3377" w14:paraId="38C50165" w14:textId="77777777" w:rsidTr="00574847">
        <w:trPr>
          <w:trHeight w:val="180"/>
          <w:tblCellSpacing w:w="0" w:type="dxa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4CA63" w14:textId="6423A7C3" w:rsidR="00574847" w:rsidRPr="00CC3377" w:rsidRDefault="00574847" w:rsidP="0057484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4"/>
                <w:lang w:eastAsia="cs-CZ"/>
              </w:rPr>
            </w:pPr>
            <w:r w:rsidRPr="004249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Těmito Zásadami se zrušují Zásady převodu a nabytí nemovitých věcí ze dne </w:t>
            </w:r>
            <w:r w:rsidR="00D77988" w:rsidRPr="004249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1. </w:t>
            </w:r>
            <w:r w:rsidR="00EE73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  <w:r w:rsidR="00D77988" w:rsidRPr="004249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 20</w:t>
            </w:r>
            <w:r w:rsidR="00EE736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  <w:r w:rsidR="00D77988" w:rsidRPr="004249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Pr="00CC337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5F2A078F" w14:textId="5495C156" w:rsidR="00310A28" w:rsidRPr="00CC3377" w:rsidRDefault="00310A28" w:rsidP="00D02728">
      <w:pPr>
        <w:pStyle w:val="Styl1"/>
        <w:spacing w:after="240"/>
        <w:ind w:left="0" w:firstLine="0"/>
        <w:rPr>
          <w:rFonts w:cs="Tahoma"/>
        </w:rPr>
      </w:pPr>
      <w:r w:rsidRPr="00CC3377">
        <w:rPr>
          <w:rFonts w:cs="Tahoma"/>
        </w:rPr>
        <w:br/>
      </w:r>
      <w:bookmarkStart w:id="35" w:name="_Toc434921662"/>
      <w:bookmarkStart w:id="36" w:name="_Toc126669141"/>
      <w:bookmarkStart w:id="37" w:name="_Toc205893288"/>
      <w:r w:rsidRPr="00CC3377">
        <w:rPr>
          <w:rFonts w:cs="Tahoma"/>
        </w:rPr>
        <w:t>Závěrečn</w:t>
      </w:r>
      <w:r w:rsidR="00A736D6" w:rsidRPr="00CC3377">
        <w:rPr>
          <w:rFonts w:cs="Tahoma"/>
        </w:rPr>
        <w:t>é</w:t>
      </w:r>
      <w:r w:rsidRPr="00CC3377">
        <w:rPr>
          <w:rFonts w:cs="Tahoma"/>
        </w:rPr>
        <w:t xml:space="preserve"> ustanovení</w:t>
      </w:r>
      <w:bookmarkEnd w:id="35"/>
      <w:bookmarkEnd w:id="36"/>
      <w:bookmarkEnd w:id="37"/>
    </w:p>
    <w:tbl>
      <w:tblPr>
        <w:tblW w:w="921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"/>
        <w:gridCol w:w="8722"/>
      </w:tblGrid>
      <w:tr w:rsidR="008A2B95" w:rsidRPr="00CC3377" w14:paraId="79F64FFC" w14:textId="77777777" w:rsidTr="007D7B3F">
        <w:trPr>
          <w:trHeight w:val="180"/>
          <w:tblCellSpacing w:w="0" w:type="dxa"/>
        </w:trPr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F3BD0" w14:textId="3FE1E61D" w:rsidR="00310A28" w:rsidRPr="00472363" w:rsidRDefault="00053246" w:rsidP="00FB07E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4"/>
                <w:lang w:eastAsia="cs-CZ"/>
              </w:rPr>
            </w:pPr>
            <w:r w:rsidRPr="004723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Tyto Zásady byly schváleny usnesením zastupitelstva kraje </w:t>
            </w:r>
            <w:r w:rsidR="004723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č. </w:t>
            </w:r>
            <w:r w:rsidR="00ED72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…………</w:t>
            </w:r>
            <w:r w:rsidR="006129F6" w:rsidRPr="004723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723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ze dne </w:t>
            </w:r>
            <w:r w:rsidR="00ED72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  <w:r w:rsidR="004723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0D07F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  <w:r w:rsidR="004723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 202</w:t>
            </w:r>
            <w:r w:rsidR="00ED72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  <w:r w:rsidR="004723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723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 nabývají účinnosti dnem</w:t>
            </w:r>
            <w:r w:rsidR="004723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90E5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1. 10. 202</w:t>
            </w:r>
            <w:r w:rsidR="00ED72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  <w:r w:rsidR="000125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8A2B95" w:rsidRPr="00CC3377" w14:paraId="44F2B724" w14:textId="77777777" w:rsidTr="007D7B3F">
        <w:trPr>
          <w:trHeight w:val="180"/>
          <w:tblCellSpacing w:w="0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763F0" w14:textId="77777777" w:rsidR="00310A28" w:rsidRPr="00472363" w:rsidRDefault="00310A28" w:rsidP="007D7B3F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1F5E3" w14:textId="77777777" w:rsidR="00310A28" w:rsidRPr="00424931" w:rsidRDefault="00310A28" w:rsidP="008A2B95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8A2B95" w:rsidRPr="00CC3377" w14:paraId="0526C1B9" w14:textId="77777777" w:rsidTr="007D7B3F">
        <w:trPr>
          <w:trHeight w:val="180"/>
          <w:tblCellSpacing w:w="0" w:type="dxa"/>
        </w:trPr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CA54" w14:textId="77777777" w:rsidR="00310A28" w:rsidRPr="00424931" w:rsidRDefault="00310A28" w:rsidP="007D7B3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24"/>
                <w:lang w:eastAsia="cs-CZ"/>
              </w:rPr>
            </w:pPr>
          </w:p>
        </w:tc>
      </w:tr>
      <w:tr w:rsidR="008A2B95" w:rsidRPr="00CC3377" w14:paraId="22721199" w14:textId="77777777" w:rsidTr="007D7B3F">
        <w:trPr>
          <w:trHeight w:val="180"/>
          <w:tblCellSpacing w:w="0" w:type="dxa"/>
        </w:trPr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29B71" w14:textId="77777777" w:rsidR="00310A28" w:rsidRPr="00CC3377" w:rsidRDefault="00310A28" w:rsidP="007D7B3F">
            <w:pPr>
              <w:spacing w:after="0" w:line="240" w:lineRule="auto"/>
              <w:jc w:val="both"/>
              <w:outlineLvl w:val="5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CC3377">
              <w:rPr>
                <w:rFonts w:ascii="Tahoma" w:eastAsia="Times New Roman" w:hAnsi="Tahoma" w:cs="Tahoma"/>
                <w:sz w:val="20"/>
                <w:szCs w:val="20"/>
                <w:u w:val="single"/>
                <w:lang w:eastAsia="cs-CZ"/>
              </w:rPr>
              <w:t>Zpracoval</w:t>
            </w:r>
            <w:r w:rsidRPr="00CC337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 odbor investiční a majetkový</w:t>
            </w:r>
          </w:p>
        </w:tc>
      </w:tr>
    </w:tbl>
    <w:p w14:paraId="0D19E25E" w14:textId="77777777" w:rsidR="00166C17" w:rsidRPr="00CC3377" w:rsidRDefault="00166C17" w:rsidP="008A2B95">
      <w:pPr>
        <w:spacing w:after="0" w:line="240" w:lineRule="auto"/>
        <w:rPr>
          <w:rFonts w:ascii="Tahoma" w:hAnsi="Tahoma" w:cs="Tahoma"/>
        </w:rPr>
      </w:pPr>
    </w:p>
    <w:sectPr w:rsidR="00166C17" w:rsidRPr="00CC3377" w:rsidSect="007D7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274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A357" w14:textId="77777777" w:rsidR="008C551D" w:rsidRDefault="008C551D">
      <w:pPr>
        <w:spacing w:after="0" w:line="240" w:lineRule="auto"/>
      </w:pPr>
      <w:r>
        <w:separator/>
      </w:r>
    </w:p>
  </w:endnote>
  <w:endnote w:type="continuationSeparator" w:id="0">
    <w:p w14:paraId="1627D358" w14:textId="77777777" w:rsidR="008C551D" w:rsidRDefault="008C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7254" w14:textId="77777777" w:rsidR="00D02728" w:rsidRDefault="00D027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D82D" w14:textId="0ECA86EE" w:rsidR="00574847" w:rsidRDefault="00D02728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A717DB" wp14:editId="0F45BE1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dd9445aba129a5e8304e471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98E0EE" w14:textId="0CF80958" w:rsidR="00D02728" w:rsidRPr="00D02728" w:rsidRDefault="00D02728" w:rsidP="00D0272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717DB" id="_x0000_t202" coordsize="21600,21600" o:spt="202" path="m,l,21600r21600,l21600,xe">
              <v:stroke joinstyle="miter"/>
              <v:path gradientshapeok="t" o:connecttype="rect"/>
            </v:shapetype>
            <v:shape id="MSIPCMdd9445aba129a5e8304e471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C98E0EE" w14:textId="0CF80958" w:rsidR="00D02728" w:rsidRPr="00D02728" w:rsidRDefault="00D02728" w:rsidP="00D0272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89276330"/>
        <w:docPartObj>
          <w:docPartGallery w:val="Page Numbers (Bottom of Page)"/>
          <w:docPartUnique/>
        </w:docPartObj>
      </w:sdtPr>
      <w:sdtContent>
        <w:r w:rsidR="00574847">
          <w:fldChar w:fldCharType="begin"/>
        </w:r>
        <w:r w:rsidR="00574847">
          <w:instrText>PAGE   \* MERGEFORMAT</w:instrText>
        </w:r>
        <w:r w:rsidR="00574847">
          <w:fldChar w:fldCharType="separate"/>
        </w:r>
        <w:r w:rsidR="00A736D6">
          <w:rPr>
            <w:noProof/>
          </w:rPr>
          <w:t>2</w:t>
        </w:r>
        <w:r w:rsidR="00574847">
          <w:fldChar w:fldCharType="end"/>
        </w:r>
      </w:sdtContent>
    </w:sdt>
  </w:p>
  <w:p w14:paraId="4BEFF42A" w14:textId="77777777" w:rsidR="00574847" w:rsidRDefault="00574847" w:rsidP="007D7B3F">
    <w:pPr>
      <w:pStyle w:val="Zpat"/>
      <w:ind w:lef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BE3B" w14:textId="006C09D1" w:rsidR="00D02728" w:rsidRDefault="00D027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54C0" w14:textId="77777777" w:rsidR="008C551D" w:rsidRDefault="008C551D">
      <w:pPr>
        <w:spacing w:after="0" w:line="240" w:lineRule="auto"/>
      </w:pPr>
      <w:r>
        <w:separator/>
      </w:r>
    </w:p>
  </w:footnote>
  <w:footnote w:type="continuationSeparator" w:id="0">
    <w:p w14:paraId="1488CC14" w14:textId="77777777" w:rsidR="008C551D" w:rsidRDefault="008C5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A7FD" w14:textId="77777777" w:rsidR="00D02728" w:rsidRDefault="00D027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8525" w14:textId="77777777" w:rsidR="00D02728" w:rsidRDefault="00D027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36C4" w14:textId="77777777" w:rsidR="00D02728" w:rsidRDefault="00D027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E46"/>
    <w:multiLevelType w:val="hybridMultilevel"/>
    <w:tmpl w:val="82404DC0"/>
    <w:lvl w:ilvl="0" w:tplc="DDC4672A">
      <w:start w:val="1"/>
      <w:numFmt w:val="decimal"/>
      <w:lvlText w:val="Čl.%1"/>
      <w:lvlJc w:val="left"/>
      <w:pPr>
        <w:ind w:left="720" w:hanging="360"/>
      </w:pPr>
      <w:rPr>
        <w:rFonts w:ascii="Tahoma" w:hAnsi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FE2"/>
    <w:multiLevelType w:val="hybridMultilevel"/>
    <w:tmpl w:val="0F467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473E"/>
    <w:multiLevelType w:val="hybridMultilevel"/>
    <w:tmpl w:val="8FCE75B0"/>
    <w:lvl w:ilvl="0" w:tplc="255A4B98">
      <w:start w:val="1"/>
      <w:numFmt w:val="decimal"/>
      <w:lvlText w:val="Čl.%1"/>
      <w:lvlJc w:val="left"/>
      <w:pPr>
        <w:ind w:left="720" w:hanging="360"/>
      </w:pPr>
      <w:rPr>
        <w:rFonts w:ascii="Tahoma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61FB"/>
    <w:multiLevelType w:val="hybridMultilevel"/>
    <w:tmpl w:val="2B0007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100A"/>
    <w:multiLevelType w:val="hybridMultilevel"/>
    <w:tmpl w:val="81E6E8E2"/>
    <w:lvl w:ilvl="0" w:tplc="FA2025EE">
      <w:start w:val="1"/>
      <w:numFmt w:val="bullet"/>
      <w:lvlText w:val="-"/>
      <w:lvlJc w:val="left"/>
      <w:pPr>
        <w:ind w:left="4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0E423630"/>
    <w:multiLevelType w:val="hybridMultilevel"/>
    <w:tmpl w:val="1BC47B06"/>
    <w:lvl w:ilvl="0" w:tplc="C04EFFBC">
      <w:start w:val="1"/>
      <w:numFmt w:val="decimal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B593C"/>
    <w:multiLevelType w:val="hybridMultilevel"/>
    <w:tmpl w:val="060EA2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9364A"/>
    <w:multiLevelType w:val="hybridMultilevel"/>
    <w:tmpl w:val="E3B2C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56EA"/>
    <w:multiLevelType w:val="hybridMultilevel"/>
    <w:tmpl w:val="67442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35016"/>
    <w:multiLevelType w:val="hybridMultilevel"/>
    <w:tmpl w:val="B2028B64"/>
    <w:lvl w:ilvl="0" w:tplc="FF8C4994">
      <w:start w:val="1"/>
      <w:numFmt w:val="decimal"/>
      <w:pStyle w:val="Styl1"/>
      <w:lvlText w:val="Čl.%1"/>
      <w:lvlJc w:val="left"/>
      <w:pPr>
        <w:ind w:left="720" w:hanging="360"/>
      </w:pPr>
      <w:rPr>
        <w:rFonts w:ascii="Tahoma" w:hAnsi="Tahoma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D2516"/>
    <w:multiLevelType w:val="hybridMultilevel"/>
    <w:tmpl w:val="7400B0EE"/>
    <w:lvl w:ilvl="0" w:tplc="DDC4672A">
      <w:start w:val="1"/>
      <w:numFmt w:val="decimal"/>
      <w:lvlText w:val="Čl.%1"/>
      <w:lvlJc w:val="left"/>
      <w:pPr>
        <w:ind w:left="720" w:hanging="360"/>
      </w:pPr>
      <w:rPr>
        <w:rFonts w:ascii="Tahoma" w:hAnsi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33E93"/>
    <w:multiLevelType w:val="hybridMultilevel"/>
    <w:tmpl w:val="378E9612"/>
    <w:lvl w:ilvl="0" w:tplc="255A4B98">
      <w:start w:val="1"/>
      <w:numFmt w:val="decimal"/>
      <w:lvlText w:val="Čl.%1"/>
      <w:lvlJc w:val="left"/>
      <w:pPr>
        <w:ind w:left="720" w:hanging="360"/>
      </w:pPr>
      <w:rPr>
        <w:rFonts w:ascii="Tahoma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C092F"/>
    <w:multiLevelType w:val="hybridMultilevel"/>
    <w:tmpl w:val="70A4C90E"/>
    <w:lvl w:ilvl="0" w:tplc="D9CC19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527A0"/>
    <w:multiLevelType w:val="hybridMultilevel"/>
    <w:tmpl w:val="A7E0E758"/>
    <w:lvl w:ilvl="0" w:tplc="C04EFFBC">
      <w:start w:val="1"/>
      <w:numFmt w:val="decimal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A470E"/>
    <w:multiLevelType w:val="hybridMultilevel"/>
    <w:tmpl w:val="F28EF6CC"/>
    <w:lvl w:ilvl="0" w:tplc="905EF7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378C9"/>
    <w:multiLevelType w:val="hybridMultilevel"/>
    <w:tmpl w:val="573AD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D46EE"/>
    <w:multiLevelType w:val="hybridMultilevel"/>
    <w:tmpl w:val="07A20BBA"/>
    <w:lvl w:ilvl="0" w:tplc="5510D3DE">
      <w:start w:val="1"/>
      <w:numFmt w:val="decimal"/>
      <w:lvlText w:val="Čl.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10F9B"/>
    <w:multiLevelType w:val="hybridMultilevel"/>
    <w:tmpl w:val="D3CA96E2"/>
    <w:lvl w:ilvl="0" w:tplc="C04EFFBC">
      <w:start w:val="1"/>
      <w:numFmt w:val="decimal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B41CB"/>
    <w:multiLevelType w:val="hybridMultilevel"/>
    <w:tmpl w:val="842E6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01A89"/>
    <w:multiLevelType w:val="hybridMultilevel"/>
    <w:tmpl w:val="7D209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45131"/>
    <w:multiLevelType w:val="hybridMultilevel"/>
    <w:tmpl w:val="62048710"/>
    <w:lvl w:ilvl="0" w:tplc="D8E674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95ACB"/>
    <w:multiLevelType w:val="hybridMultilevel"/>
    <w:tmpl w:val="AEE2BF32"/>
    <w:lvl w:ilvl="0" w:tplc="DDC4672A">
      <w:start w:val="1"/>
      <w:numFmt w:val="decimal"/>
      <w:lvlText w:val="Čl.%1"/>
      <w:lvlJc w:val="left"/>
      <w:pPr>
        <w:ind w:left="720" w:hanging="360"/>
      </w:pPr>
      <w:rPr>
        <w:rFonts w:ascii="Tahoma" w:hAnsi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5147D"/>
    <w:multiLevelType w:val="hybridMultilevel"/>
    <w:tmpl w:val="866450CE"/>
    <w:lvl w:ilvl="0" w:tplc="DDC4672A">
      <w:start w:val="1"/>
      <w:numFmt w:val="decimal"/>
      <w:lvlText w:val="Čl.%1"/>
      <w:lvlJc w:val="left"/>
      <w:pPr>
        <w:ind w:left="720" w:hanging="360"/>
      </w:pPr>
      <w:rPr>
        <w:rFonts w:ascii="Tahoma" w:hAnsi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75784"/>
    <w:multiLevelType w:val="hybridMultilevel"/>
    <w:tmpl w:val="41142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86655">
    <w:abstractNumId w:val="4"/>
  </w:num>
  <w:num w:numId="2" w16cid:durableId="721637554">
    <w:abstractNumId w:val="7"/>
  </w:num>
  <w:num w:numId="3" w16cid:durableId="949818375">
    <w:abstractNumId w:val="16"/>
  </w:num>
  <w:num w:numId="4" w16cid:durableId="502747674">
    <w:abstractNumId w:val="11"/>
  </w:num>
  <w:num w:numId="5" w16cid:durableId="275724095">
    <w:abstractNumId w:val="17"/>
  </w:num>
  <w:num w:numId="6" w16cid:durableId="253513866">
    <w:abstractNumId w:val="5"/>
  </w:num>
  <w:num w:numId="7" w16cid:durableId="967004746">
    <w:abstractNumId w:val="13"/>
  </w:num>
  <w:num w:numId="8" w16cid:durableId="1976324706">
    <w:abstractNumId w:val="2"/>
  </w:num>
  <w:num w:numId="9" w16cid:durableId="1206219556">
    <w:abstractNumId w:val="10"/>
  </w:num>
  <w:num w:numId="10" w16cid:durableId="60451932">
    <w:abstractNumId w:val="22"/>
  </w:num>
  <w:num w:numId="11" w16cid:durableId="1006908890">
    <w:abstractNumId w:val="0"/>
  </w:num>
  <w:num w:numId="12" w16cid:durableId="492767013">
    <w:abstractNumId w:val="9"/>
  </w:num>
  <w:num w:numId="13" w16cid:durableId="391736366">
    <w:abstractNumId w:val="21"/>
  </w:num>
  <w:num w:numId="14" w16cid:durableId="1199975087">
    <w:abstractNumId w:val="8"/>
  </w:num>
  <w:num w:numId="15" w16cid:durableId="1624800778">
    <w:abstractNumId w:val="3"/>
  </w:num>
  <w:num w:numId="16" w16cid:durableId="2046322160">
    <w:abstractNumId w:val="6"/>
  </w:num>
  <w:num w:numId="17" w16cid:durableId="188377243">
    <w:abstractNumId w:val="19"/>
  </w:num>
  <w:num w:numId="18" w16cid:durableId="104546921">
    <w:abstractNumId w:val="1"/>
  </w:num>
  <w:num w:numId="19" w16cid:durableId="1939560606">
    <w:abstractNumId w:val="20"/>
  </w:num>
  <w:num w:numId="20" w16cid:durableId="610629126">
    <w:abstractNumId w:val="9"/>
  </w:num>
  <w:num w:numId="21" w16cid:durableId="299576879">
    <w:abstractNumId w:val="9"/>
  </w:num>
  <w:num w:numId="22" w16cid:durableId="44723762">
    <w:abstractNumId w:val="9"/>
  </w:num>
  <w:num w:numId="23" w16cid:durableId="1232697367">
    <w:abstractNumId w:val="9"/>
  </w:num>
  <w:num w:numId="24" w16cid:durableId="1270972186">
    <w:abstractNumId w:val="9"/>
  </w:num>
  <w:num w:numId="25" w16cid:durableId="498931022">
    <w:abstractNumId w:val="9"/>
  </w:num>
  <w:num w:numId="26" w16cid:durableId="1345473451">
    <w:abstractNumId w:val="9"/>
  </w:num>
  <w:num w:numId="27" w16cid:durableId="1040738835">
    <w:abstractNumId w:val="9"/>
  </w:num>
  <w:num w:numId="28" w16cid:durableId="824007107">
    <w:abstractNumId w:val="9"/>
  </w:num>
  <w:num w:numId="29" w16cid:durableId="207765554">
    <w:abstractNumId w:val="9"/>
  </w:num>
  <w:num w:numId="30" w16cid:durableId="1411539729">
    <w:abstractNumId w:val="9"/>
  </w:num>
  <w:num w:numId="31" w16cid:durableId="678888572">
    <w:abstractNumId w:val="9"/>
  </w:num>
  <w:num w:numId="32" w16cid:durableId="1838495584">
    <w:abstractNumId w:val="9"/>
  </w:num>
  <w:num w:numId="33" w16cid:durableId="485316996">
    <w:abstractNumId w:val="23"/>
  </w:num>
  <w:num w:numId="34" w16cid:durableId="1109857633">
    <w:abstractNumId w:val="14"/>
  </w:num>
  <w:num w:numId="35" w16cid:durableId="1836652788">
    <w:abstractNumId w:val="12"/>
  </w:num>
  <w:num w:numId="36" w16cid:durableId="1143276902">
    <w:abstractNumId w:val="18"/>
  </w:num>
  <w:num w:numId="37" w16cid:durableId="317072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28"/>
    <w:rsid w:val="00003DE4"/>
    <w:rsid w:val="0001250C"/>
    <w:rsid w:val="00020D3F"/>
    <w:rsid w:val="00025490"/>
    <w:rsid w:val="000317A6"/>
    <w:rsid w:val="00053246"/>
    <w:rsid w:val="00053B86"/>
    <w:rsid w:val="00055E00"/>
    <w:rsid w:val="00057232"/>
    <w:rsid w:val="00057CB8"/>
    <w:rsid w:val="000677BD"/>
    <w:rsid w:val="000730E0"/>
    <w:rsid w:val="00081385"/>
    <w:rsid w:val="00084A31"/>
    <w:rsid w:val="00086E33"/>
    <w:rsid w:val="00090E5B"/>
    <w:rsid w:val="00096288"/>
    <w:rsid w:val="000A241B"/>
    <w:rsid w:val="000A4AD7"/>
    <w:rsid w:val="000A61A1"/>
    <w:rsid w:val="000A690F"/>
    <w:rsid w:val="000B174C"/>
    <w:rsid w:val="000C229E"/>
    <w:rsid w:val="000C4502"/>
    <w:rsid w:val="000D07F2"/>
    <w:rsid w:val="000E3228"/>
    <w:rsid w:val="000F11A3"/>
    <w:rsid w:val="000F3FCE"/>
    <w:rsid w:val="00105DEE"/>
    <w:rsid w:val="001273CC"/>
    <w:rsid w:val="001312C8"/>
    <w:rsid w:val="00133F49"/>
    <w:rsid w:val="001450DC"/>
    <w:rsid w:val="00145603"/>
    <w:rsid w:val="0015702E"/>
    <w:rsid w:val="001609A5"/>
    <w:rsid w:val="00166C17"/>
    <w:rsid w:val="00174EC7"/>
    <w:rsid w:val="001915D7"/>
    <w:rsid w:val="001A6A80"/>
    <w:rsid w:val="001B6C66"/>
    <w:rsid w:val="001C794B"/>
    <w:rsid w:val="001D3296"/>
    <w:rsid w:val="001E177A"/>
    <w:rsid w:val="001E3BA6"/>
    <w:rsid w:val="001F3090"/>
    <w:rsid w:val="001F5722"/>
    <w:rsid w:val="001F5833"/>
    <w:rsid w:val="001F7922"/>
    <w:rsid w:val="00207AB9"/>
    <w:rsid w:val="00212C76"/>
    <w:rsid w:val="00220156"/>
    <w:rsid w:val="00243F27"/>
    <w:rsid w:val="002576B2"/>
    <w:rsid w:val="002606DB"/>
    <w:rsid w:val="00263643"/>
    <w:rsid w:val="002644B1"/>
    <w:rsid w:val="00272D2F"/>
    <w:rsid w:val="00284C50"/>
    <w:rsid w:val="00284FB4"/>
    <w:rsid w:val="002A1096"/>
    <w:rsid w:val="002A144D"/>
    <w:rsid w:val="002B3AD5"/>
    <w:rsid w:val="002B6835"/>
    <w:rsid w:val="002C4A6A"/>
    <w:rsid w:val="002C7981"/>
    <w:rsid w:val="002D0C56"/>
    <w:rsid w:val="002E3084"/>
    <w:rsid w:val="002F2C0A"/>
    <w:rsid w:val="00301251"/>
    <w:rsid w:val="00307781"/>
    <w:rsid w:val="00310A28"/>
    <w:rsid w:val="003148D6"/>
    <w:rsid w:val="0031573C"/>
    <w:rsid w:val="00316B76"/>
    <w:rsid w:val="003219A5"/>
    <w:rsid w:val="00332034"/>
    <w:rsid w:val="00341261"/>
    <w:rsid w:val="00346B94"/>
    <w:rsid w:val="00361CEF"/>
    <w:rsid w:val="00362179"/>
    <w:rsid w:val="003633A0"/>
    <w:rsid w:val="0037426B"/>
    <w:rsid w:val="00377EF7"/>
    <w:rsid w:val="00382BC8"/>
    <w:rsid w:val="00385EFB"/>
    <w:rsid w:val="003A3A4E"/>
    <w:rsid w:val="003B4BF0"/>
    <w:rsid w:val="003C0FAA"/>
    <w:rsid w:val="003C4BBF"/>
    <w:rsid w:val="003D1CE6"/>
    <w:rsid w:val="003D3A16"/>
    <w:rsid w:val="003F2529"/>
    <w:rsid w:val="003F44BA"/>
    <w:rsid w:val="003F5C69"/>
    <w:rsid w:val="003F6C47"/>
    <w:rsid w:val="003F7CDF"/>
    <w:rsid w:val="00405D42"/>
    <w:rsid w:val="00405D7B"/>
    <w:rsid w:val="0042051F"/>
    <w:rsid w:val="00421FBD"/>
    <w:rsid w:val="00424931"/>
    <w:rsid w:val="00431D6E"/>
    <w:rsid w:val="00441BB3"/>
    <w:rsid w:val="004459A1"/>
    <w:rsid w:val="00457467"/>
    <w:rsid w:val="00464F70"/>
    <w:rsid w:val="004659C6"/>
    <w:rsid w:val="00465BE7"/>
    <w:rsid w:val="00472363"/>
    <w:rsid w:val="00472F63"/>
    <w:rsid w:val="0049174C"/>
    <w:rsid w:val="004A02E1"/>
    <w:rsid w:val="004A3767"/>
    <w:rsid w:val="004B5343"/>
    <w:rsid w:val="004C1770"/>
    <w:rsid w:val="004C2068"/>
    <w:rsid w:val="004D064C"/>
    <w:rsid w:val="004D3B1C"/>
    <w:rsid w:val="004E7D05"/>
    <w:rsid w:val="00500DD2"/>
    <w:rsid w:val="00501912"/>
    <w:rsid w:val="005039E6"/>
    <w:rsid w:val="00504F49"/>
    <w:rsid w:val="005059CE"/>
    <w:rsid w:val="005112FC"/>
    <w:rsid w:val="00520265"/>
    <w:rsid w:val="0053390D"/>
    <w:rsid w:val="00535130"/>
    <w:rsid w:val="005435AE"/>
    <w:rsid w:val="00560364"/>
    <w:rsid w:val="00564C19"/>
    <w:rsid w:val="00574020"/>
    <w:rsid w:val="00574847"/>
    <w:rsid w:val="00581F5C"/>
    <w:rsid w:val="005938B7"/>
    <w:rsid w:val="005942A1"/>
    <w:rsid w:val="005A498E"/>
    <w:rsid w:val="005A56D7"/>
    <w:rsid w:val="005B0349"/>
    <w:rsid w:val="005B0999"/>
    <w:rsid w:val="005B4E81"/>
    <w:rsid w:val="005D16F6"/>
    <w:rsid w:val="005D3A2B"/>
    <w:rsid w:val="005D6E42"/>
    <w:rsid w:val="005E4A82"/>
    <w:rsid w:val="005F7A3B"/>
    <w:rsid w:val="00600FE6"/>
    <w:rsid w:val="00603176"/>
    <w:rsid w:val="00611468"/>
    <w:rsid w:val="006129F6"/>
    <w:rsid w:val="00625537"/>
    <w:rsid w:val="00626CBF"/>
    <w:rsid w:val="00633EF9"/>
    <w:rsid w:val="006358B7"/>
    <w:rsid w:val="0064452B"/>
    <w:rsid w:val="00645FF4"/>
    <w:rsid w:val="0066376E"/>
    <w:rsid w:val="00664793"/>
    <w:rsid w:val="006673C8"/>
    <w:rsid w:val="00683B7F"/>
    <w:rsid w:val="00685C9D"/>
    <w:rsid w:val="00686971"/>
    <w:rsid w:val="00690A06"/>
    <w:rsid w:val="00695F3B"/>
    <w:rsid w:val="006A1752"/>
    <w:rsid w:val="006A1813"/>
    <w:rsid w:val="006E634A"/>
    <w:rsid w:val="006F009B"/>
    <w:rsid w:val="006F0FDE"/>
    <w:rsid w:val="00707873"/>
    <w:rsid w:val="007110C5"/>
    <w:rsid w:val="0072297E"/>
    <w:rsid w:val="00724056"/>
    <w:rsid w:val="00732211"/>
    <w:rsid w:val="007471F7"/>
    <w:rsid w:val="00751B3F"/>
    <w:rsid w:val="00756D62"/>
    <w:rsid w:val="00764247"/>
    <w:rsid w:val="00772591"/>
    <w:rsid w:val="00787CD3"/>
    <w:rsid w:val="00795DE9"/>
    <w:rsid w:val="007A380C"/>
    <w:rsid w:val="007A7EEE"/>
    <w:rsid w:val="007C1934"/>
    <w:rsid w:val="007D292A"/>
    <w:rsid w:val="007D7B38"/>
    <w:rsid w:val="007D7B3F"/>
    <w:rsid w:val="007E2BDC"/>
    <w:rsid w:val="007E2C55"/>
    <w:rsid w:val="007E7C29"/>
    <w:rsid w:val="007F0714"/>
    <w:rsid w:val="007F7C79"/>
    <w:rsid w:val="008013F4"/>
    <w:rsid w:val="008034F6"/>
    <w:rsid w:val="00806919"/>
    <w:rsid w:val="00813E0A"/>
    <w:rsid w:val="0081667A"/>
    <w:rsid w:val="008225F8"/>
    <w:rsid w:val="0082388C"/>
    <w:rsid w:val="008345F7"/>
    <w:rsid w:val="00840B94"/>
    <w:rsid w:val="008538BE"/>
    <w:rsid w:val="0086014E"/>
    <w:rsid w:val="0086179E"/>
    <w:rsid w:val="00862C64"/>
    <w:rsid w:val="008756F3"/>
    <w:rsid w:val="00890350"/>
    <w:rsid w:val="00890F88"/>
    <w:rsid w:val="008A2B95"/>
    <w:rsid w:val="008A363C"/>
    <w:rsid w:val="008A3DAE"/>
    <w:rsid w:val="008B0EF0"/>
    <w:rsid w:val="008B5612"/>
    <w:rsid w:val="008C551D"/>
    <w:rsid w:val="008D0EDA"/>
    <w:rsid w:val="008D31AD"/>
    <w:rsid w:val="008F3395"/>
    <w:rsid w:val="008F5FC5"/>
    <w:rsid w:val="008F703E"/>
    <w:rsid w:val="008F7B06"/>
    <w:rsid w:val="008F7D31"/>
    <w:rsid w:val="00904958"/>
    <w:rsid w:val="00916C7E"/>
    <w:rsid w:val="009200D4"/>
    <w:rsid w:val="00920E69"/>
    <w:rsid w:val="00922E58"/>
    <w:rsid w:val="00932C0C"/>
    <w:rsid w:val="00933E8A"/>
    <w:rsid w:val="0094119E"/>
    <w:rsid w:val="00950119"/>
    <w:rsid w:val="00955822"/>
    <w:rsid w:val="00956B59"/>
    <w:rsid w:val="00961E1F"/>
    <w:rsid w:val="009726CF"/>
    <w:rsid w:val="0098049B"/>
    <w:rsid w:val="00981347"/>
    <w:rsid w:val="00983F43"/>
    <w:rsid w:val="009863D1"/>
    <w:rsid w:val="009A5B27"/>
    <w:rsid w:val="009A74AC"/>
    <w:rsid w:val="009B11A2"/>
    <w:rsid w:val="009B3EC9"/>
    <w:rsid w:val="009B537C"/>
    <w:rsid w:val="009C1D38"/>
    <w:rsid w:val="009C4AD2"/>
    <w:rsid w:val="009C54BD"/>
    <w:rsid w:val="009C692F"/>
    <w:rsid w:val="009D366C"/>
    <w:rsid w:val="009F4FA6"/>
    <w:rsid w:val="00A00AFC"/>
    <w:rsid w:val="00A032A1"/>
    <w:rsid w:val="00A05409"/>
    <w:rsid w:val="00A11750"/>
    <w:rsid w:val="00A12848"/>
    <w:rsid w:val="00A16422"/>
    <w:rsid w:val="00A27611"/>
    <w:rsid w:val="00A30676"/>
    <w:rsid w:val="00A31404"/>
    <w:rsid w:val="00A325AF"/>
    <w:rsid w:val="00A34DA2"/>
    <w:rsid w:val="00A54350"/>
    <w:rsid w:val="00A55882"/>
    <w:rsid w:val="00A70352"/>
    <w:rsid w:val="00A71055"/>
    <w:rsid w:val="00A736D6"/>
    <w:rsid w:val="00A7779F"/>
    <w:rsid w:val="00A851B3"/>
    <w:rsid w:val="00A94292"/>
    <w:rsid w:val="00AB7C96"/>
    <w:rsid w:val="00AC56D3"/>
    <w:rsid w:val="00AC6578"/>
    <w:rsid w:val="00AC65EC"/>
    <w:rsid w:val="00AD7006"/>
    <w:rsid w:val="00AE1B48"/>
    <w:rsid w:val="00AE536D"/>
    <w:rsid w:val="00AF270F"/>
    <w:rsid w:val="00AF51A2"/>
    <w:rsid w:val="00AF6195"/>
    <w:rsid w:val="00AF63BA"/>
    <w:rsid w:val="00B119DF"/>
    <w:rsid w:val="00B15867"/>
    <w:rsid w:val="00B23A64"/>
    <w:rsid w:val="00B3082B"/>
    <w:rsid w:val="00B321AB"/>
    <w:rsid w:val="00B33B9B"/>
    <w:rsid w:val="00B33EC3"/>
    <w:rsid w:val="00B50626"/>
    <w:rsid w:val="00B54225"/>
    <w:rsid w:val="00B61D4B"/>
    <w:rsid w:val="00B63C81"/>
    <w:rsid w:val="00B67ADD"/>
    <w:rsid w:val="00B7616E"/>
    <w:rsid w:val="00B77D19"/>
    <w:rsid w:val="00B81190"/>
    <w:rsid w:val="00B82508"/>
    <w:rsid w:val="00B916A5"/>
    <w:rsid w:val="00B9177E"/>
    <w:rsid w:val="00B96F40"/>
    <w:rsid w:val="00BA4FD7"/>
    <w:rsid w:val="00BB0A04"/>
    <w:rsid w:val="00BB31F0"/>
    <w:rsid w:val="00BC50AE"/>
    <w:rsid w:val="00BC6163"/>
    <w:rsid w:val="00BD5CD6"/>
    <w:rsid w:val="00BD61D9"/>
    <w:rsid w:val="00BE2CD9"/>
    <w:rsid w:val="00BE6D11"/>
    <w:rsid w:val="00C02E8A"/>
    <w:rsid w:val="00C22AA6"/>
    <w:rsid w:val="00C2512D"/>
    <w:rsid w:val="00C26111"/>
    <w:rsid w:val="00C31C6F"/>
    <w:rsid w:val="00C402F3"/>
    <w:rsid w:val="00C432B6"/>
    <w:rsid w:val="00C62A44"/>
    <w:rsid w:val="00C630BA"/>
    <w:rsid w:val="00C71F56"/>
    <w:rsid w:val="00C81950"/>
    <w:rsid w:val="00C83FDA"/>
    <w:rsid w:val="00C95D43"/>
    <w:rsid w:val="00C96E46"/>
    <w:rsid w:val="00CB1A8D"/>
    <w:rsid w:val="00CB2F03"/>
    <w:rsid w:val="00CC1420"/>
    <w:rsid w:val="00CC3377"/>
    <w:rsid w:val="00CD194E"/>
    <w:rsid w:val="00CD2158"/>
    <w:rsid w:val="00CD2766"/>
    <w:rsid w:val="00CF0101"/>
    <w:rsid w:val="00D02728"/>
    <w:rsid w:val="00D46EE6"/>
    <w:rsid w:val="00D47E6B"/>
    <w:rsid w:val="00D51632"/>
    <w:rsid w:val="00D535B4"/>
    <w:rsid w:val="00D53BAD"/>
    <w:rsid w:val="00D600F9"/>
    <w:rsid w:val="00D6388E"/>
    <w:rsid w:val="00D67F1D"/>
    <w:rsid w:val="00D73AC8"/>
    <w:rsid w:val="00D77988"/>
    <w:rsid w:val="00D8020B"/>
    <w:rsid w:val="00D81AF4"/>
    <w:rsid w:val="00D831F8"/>
    <w:rsid w:val="00D869B1"/>
    <w:rsid w:val="00D86D6B"/>
    <w:rsid w:val="00D874FE"/>
    <w:rsid w:val="00D9354C"/>
    <w:rsid w:val="00D93ADB"/>
    <w:rsid w:val="00D96C14"/>
    <w:rsid w:val="00DB149C"/>
    <w:rsid w:val="00DB4931"/>
    <w:rsid w:val="00DC67E8"/>
    <w:rsid w:val="00DD1C05"/>
    <w:rsid w:val="00DD32D6"/>
    <w:rsid w:val="00DE0F9A"/>
    <w:rsid w:val="00DE774F"/>
    <w:rsid w:val="00DF6774"/>
    <w:rsid w:val="00E0116B"/>
    <w:rsid w:val="00E1341F"/>
    <w:rsid w:val="00E223A9"/>
    <w:rsid w:val="00E230A1"/>
    <w:rsid w:val="00E43F8E"/>
    <w:rsid w:val="00E45930"/>
    <w:rsid w:val="00E464AE"/>
    <w:rsid w:val="00E64EF5"/>
    <w:rsid w:val="00E67EEE"/>
    <w:rsid w:val="00E70429"/>
    <w:rsid w:val="00E70AE6"/>
    <w:rsid w:val="00E7338E"/>
    <w:rsid w:val="00EA0288"/>
    <w:rsid w:val="00EC2BD7"/>
    <w:rsid w:val="00EC53C4"/>
    <w:rsid w:val="00EC7DD2"/>
    <w:rsid w:val="00ED5262"/>
    <w:rsid w:val="00ED6CC7"/>
    <w:rsid w:val="00ED72C7"/>
    <w:rsid w:val="00EE1307"/>
    <w:rsid w:val="00EE3CA0"/>
    <w:rsid w:val="00EE736A"/>
    <w:rsid w:val="00EF10DD"/>
    <w:rsid w:val="00EF3DAF"/>
    <w:rsid w:val="00EF4B65"/>
    <w:rsid w:val="00F072E6"/>
    <w:rsid w:val="00F22295"/>
    <w:rsid w:val="00F25231"/>
    <w:rsid w:val="00F37526"/>
    <w:rsid w:val="00F472BF"/>
    <w:rsid w:val="00F738E6"/>
    <w:rsid w:val="00F74424"/>
    <w:rsid w:val="00F9023B"/>
    <w:rsid w:val="00F92EA6"/>
    <w:rsid w:val="00F96199"/>
    <w:rsid w:val="00F96CF0"/>
    <w:rsid w:val="00F97FA9"/>
    <w:rsid w:val="00FB07E2"/>
    <w:rsid w:val="00FB2090"/>
    <w:rsid w:val="00FD46C0"/>
    <w:rsid w:val="00FE396D"/>
    <w:rsid w:val="00FE609B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A31E2"/>
  <w15:docId w15:val="{D12FD7E5-7C17-4373-B763-B827ED69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B48"/>
  </w:style>
  <w:style w:type="paragraph" w:styleId="Nadpis1">
    <w:name w:val="heading 1"/>
    <w:basedOn w:val="Normln"/>
    <w:next w:val="Normln"/>
    <w:link w:val="Nadpis1Char"/>
    <w:uiPriority w:val="9"/>
    <w:qFormat/>
    <w:rsid w:val="00310A28"/>
    <w:pPr>
      <w:keepNext/>
      <w:keepLines/>
      <w:spacing w:before="360" w:after="0" w:line="240" w:lineRule="auto"/>
      <w:jc w:val="center"/>
      <w:outlineLvl w:val="0"/>
    </w:pPr>
    <w:rPr>
      <w:rFonts w:ascii="Tahoma" w:eastAsiaTheme="majorEastAsia" w:hAnsi="Tahoma" w:cstheme="majorBidi"/>
      <w:b/>
      <w:bCs/>
      <w:sz w:val="24"/>
      <w:szCs w:val="28"/>
    </w:rPr>
  </w:style>
  <w:style w:type="paragraph" w:styleId="Nadpis2">
    <w:name w:val="heading 2"/>
    <w:basedOn w:val="Normln"/>
    <w:link w:val="Nadpis2Char"/>
    <w:uiPriority w:val="9"/>
    <w:qFormat/>
    <w:rsid w:val="00310A28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A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link w:val="Nadpis6Char"/>
    <w:uiPriority w:val="9"/>
    <w:qFormat/>
    <w:rsid w:val="00310A28"/>
    <w:p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A28"/>
    <w:rPr>
      <w:rFonts w:ascii="Tahoma" w:eastAsiaTheme="majorEastAsia" w:hAnsi="Tahoma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10A28"/>
    <w:rPr>
      <w:rFonts w:ascii="Times New Roman" w:eastAsia="Times New Roman" w:hAnsi="Times New Roman" w:cs="Times New Roman"/>
      <w:b/>
      <w:bCs/>
      <w:color w:val="000000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A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310A28"/>
    <w:rPr>
      <w:rFonts w:ascii="Times New Roman" w:eastAsia="Times New Roman" w:hAnsi="Times New Roman" w:cs="Times New Roman"/>
      <w:b/>
      <w:bCs/>
      <w:color w:val="000000"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0A2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10A2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rsid w:val="00310A2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A2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10A28"/>
    <w:pPr>
      <w:spacing w:after="80" w:line="240" w:lineRule="auto"/>
      <w:ind w:left="720"/>
      <w:contextualSpacing/>
      <w:jc w:val="center"/>
    </w:pPr>
    <w:rPr>
      <w:rFonts w:ascii="Tahoma" w:hAnsi="Tahoma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10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0A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0A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0A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0A28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02728"/>
    <w:pPr>
      <w:tabs>
        <w:tab w:val="left" w:pos="660"/>
        <w:tab w:val="right" w:leader="dot" w:pos="9205"/>
      </w:tabs>
      <w:spacing w:after="0"/>
    </w:pPr>
    <w:rPr>
      <w:rFonts w:ascii="Tahoma" w:hAnsi="Tahoma" w:cs="Tahoma"/>
      <w:b/>
      <w:bCs/>
      <w:caps/>
      <w:lang w:eastAsia="cs-CZ"/>
    </w:rPr>
  </w:style>
  <w:style w:type="paragraph" w:styleId="Zhlav">
    <w:name w:val="header"/>
    <w:basedOn w:val="Normln"/>
    <w:link w:val="ZhlavChar"/>
    <w:unhideWhenUsed/>
    <w:rsid w:val="00310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10A28"/>
  </w:style>
  <w:style w:type="paragraph" w:styleId="Zpat">
    <w:name w:val="footer"/>
    <w:basedOn w:val="Normln"/>
    <w:link w:val="ZpatChar"/>
    <w:uiPriority w:val="99"/>
    <w:unhideWhenUsed/>
    <w:rsid w:val="00310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A28"/>
  </w:style>
  <w:style w:type="paragraph" w:styleId="Nadpisobsahu">
    <w:name w:val="TOC Heading"/>
    <w:basedOn w:val="Nadpis1"/>
    <w:next w:val="Normln"/>
    <w:uiPriority w:val="39"/>
    <w:unhideWhenUsed/>
    <w:qFormat/>
    <w:rsid w:val="00310A28"/>
    <w:pPr>
      <w:outlineLvl w:val="9"/>
    </w:pPr>
    <w:rPr>
      <w:lang w:eastAsia="cs-CZ"/>
    </w:rPr>
  </w:style>
  <w:style w:type="paragraph" w:customStyle="1" w:styleId="Styl1">
    <w:name w:val="Styl1"/>
    <w:basedOn w:val="Nadpis1"/>
    <w:link w:val="Styl1Char"/>
    <w:qFormat/>
    <w:rsid w:val="00310A28"/>
    <w:pPr>
      <w:numPr>
        <w:numId w:val="12"/>
      </w:numPr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310A28"/>
    <w:pPr>
      <w:spacing w:before="240" w:after="0"/>
    </w:pPr>
    <w:rPr>
      <w:b/>
      <w:bCs/>
      <w:sz w:val="20"/>
      <w:szCs w:val="20"/>
    </w:rPr>
  </w:style>
  <w:style w:type="character" w:customStyle="1" w:styleId="Styl1Char">
    <w:name w:val="Styl1 Char"/>
    <w:basedOn w:val="Nadpis1Char"/>
    <w:link w:val="Styl1"/>
    <w:rsid w:val="00310A28"/>
    <w:rPr>
      <w:rFonts w:ascii="Tahoma" w:eastAsia="Times New Roman" w:hAnsi="Tahoma" w:cstheme="majorBidi"/>
      <w:b/>
      <w:bCs/>
      <w:sz w:val="24"/>
      <w:szCs w:val="28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310A28"/>
    <w:pPr>
      <w:spacing w:after="0"/>
      <w:ind w:left="22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310A28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310A28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310A28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310A28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310A28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310A28"/>
    <w:pPr>
      <w:spacing w:after="0"/>
      <w:ind w:left="1540"/>
    </w:pPr>
    <w:rPr>
      <w:sz w:val="20"/>
      <w:szCs w:val="20"/>
    </w:rPr>
  </w:style>
  <w:style w:type="paragraph" w:styleId="Revize">
    <w:name w:val="Revision"/>
    <w:hidden/>
    <w:uiPriority w:val="99"/>
    <w:semiHidden/>
    <w:rsid w:val="004C206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22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d48dad249929754f455365c02337fe39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38ea5e4d83b17de2d789344e5d19682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717E-A9E3-433D-8404-7B053714F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AE6EF8-B920-4E7A-A631-8DE99344E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AF6E9-C3F2-4600-953B-88F83BF4C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61C449-4AB7-4AC9-82A9-58E1CDB2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4209</Words>
  <Characters>24839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Šímová Veronika</cp:lastModifiedBy>
  <cp:revision>3</cp:revision>
  <cp:lastPrinted>2025-08-12T12:22:00Z</cp:lastPrinted>
  <dcterms:created xsi:type="dcterms:W3CDTF">2025-08-14T07:35:00Z</dcterms:created>
  <dcterms:modified xsi:type="dcterms:W3CDTF">2025-08-14T08:54:00Z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2023-04-24T09:21:30Z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1aeb6f46-342f-47a3-8a52-1cf7c30ce169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