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F7F" w14:textId="07731CB1" w:rsidR="00AF4F75" w:rsidRPr="00C15154" w:rsidRDefault="001D2C26" w:rsidP="007B0FC8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Toc72503265"/>
      <w:bookmarkStart w:id="1" w:name="_Toc104273142"/>
      <w:bookmarkStart w:id="2" w:name="_Toc135039475"/>
      <w:r w:rsidRPr="00C15154">
        <w:rPr>
          <w:rFonts w:ascii="Tahoma" w:hAnsi="Tahoma" w:cs="Tahoma"/>
          <w:b/>
          <w:bCs/>
          <w:sz w:val="22"/>
          <w:szCs w:val="22"/>
        </w:rPr>
        <w:t xml:space="preserve">Stav a rozložení </w:t>
      </w:r>
      <w:r w:rsidR="00AF4F75" w:rsidRPr="00C15154">
        <w:rPr>
          <w:rFonts w:ascii="Tahoma" w:hAnsi="Tahoma" w:cs="Tahoma"/>
          <w:b/>
          <w:bCs/>
          <w:sz w:val="22"/>
          <w:szCs w:val="22"/>
        </w:rPr>
        <w:t>finančních prostředků na bankovních účtech kraje</w:t>
      </w:r>
      <w:bookmarkEnd w:id="0"/>
      <w:bookmarkEnd w:id="1"/>
      <w:r w:rsidR="00AF4F75" w:rsidRPr="00C15154">
        <w:rPr>
          <w:rFonts w:ascii="Tahoma" w:hAnsi="Tahoma" w:cs="Tahoma"/>
          <w:b/>
          <w:bCs/>
          <w:sz w:val="22"/>
          <w:szCs w:val="22"/>
        </w:rPr>
        <w:t xml:space="preserve"> a informace ke Sberbank CZ, a. s. v likvidaci</w:t>
      </w:r>
      <w:bookmarkEnd w:id="2"/>
    </w:p>
    <w:p w14:paraId="393487E2" w14:textId="77777777" w:rsidR="00FE4D61" w:rsidRPr="00C15154" w:rsidRDefault="00FE4D61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4ED6B0C9" w14:textId="469FAC7C" w:rsidR="00AF4F75" w:rsidRPr="00C1515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15154">
        <w:rPr>
          <w:rFonts w:ascii="Tahoma" w:hAnsi="Tahoma" w:cs="Tahoma"/>
          <w:sz w:val="20"/>
          <w:szCs w:val="20"/>
        </w:rPr>
        <w:t>K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 xml:space="preserve">datu </w:t>
      </w:r>
      <w:r w:rsidR="000533A8" w:rsidRPr="00C15154">
        <w:rPr>
          <w:rFonts w:ascii="Tahoma" w:hAnsi="Tahoma" w:cs="Tahoma"/>
          <w:sz w:val="20"/>
          <w:szCs w:val="20"/>
        </w:rPr>
        <w:t>3</w:t>
      </w:r>
      <w:r w:rsidR="008860A2" w:rsidRPr="00C15154">
        <w:rPr>
          <w:rFonts w:ascii="Tahoma" w:hAnsi="Tahoma" w:cs="Tahoma"/>
          <w:sz w:val="20"/>
          <w:szCs w:val="20"/>
        </w:rPr>
        <w:t>1</w:t>
      </w:r>
      <w:r w:rsidRPr="00C15154">
        <w:rPr>
          <w:rFonts w:ascii="Tahoma" w:hAnsi="Tahoma" w:cs="Tahoma"/>
          <w:sz w:val="20"/>
          <w:szCs w:val="20"/>
        </w:rPr>
        <w:t>.</w:t>
      </w:r>
      <w:r w:rsidR="009C799E">
        <w:rPr>
          <w:rFonts w:ascii="Tahoma" w:hAnsi="Tahoma" w:cs="Tahoma"/>
          <w:sz w:val="20"/>
          <w:szCs w:val="20"/>
        </w:rPr>
        <w:t>10</w:t>
      </w:r>
      <w:r w:rsidRPr="00C15154">
        <w:rPr>
          <w:rFonts w:ascii="Tahoma" w:hAnsi="Tahoma" w:cs="Tahoma"/>
          <w:sz w:val="20"/>
          <w:szCs w:val="20"/>
        </w:rPr>
        <w:t>.202</w:t>
      </w:r>
      <w:r w:rsidR="000533A8" w:rsidRPr="00C15154">
        <w:rPr>
          <w:rFonts w:ascii="Tahoma" w:hAnsi="Tahoma" w:cs="Tahoma"/>
          <w:sz w:val="20"/>
          <w:szCs w:val="20"/>
        </w:rPr>
        <w:t>5</w:t>
      </w:r>
      <w:r w:rsidRPr="00C15154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 w:rsidR="000533A8" w:rsidRPr="00C15154">
        <w:rPr>
          <w:rFonts w:ascii="Tahoma" w:hAnsi="Tahoma" w:cs="Tahoma"/>
          <w:sz w:val="20"/>
          <w:szCs w:val="20"/>
        </w:rPr>
        <w:t>10.</w:t>
      </w:r>
      <w:r w:rsidR="008B3C03">
        <w:rPr>
          <w:rFonts w:ascii="Tahoma" w:hAnsi="Tahoma" w:cs="Tahoma"/>
          <w:sz w:val="20"/>
          <w:szCs w:val="20"/>
        </w:rPr>
        <w:t>356,5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mil.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Kč. V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této hodnotě jsou započteny i prostředky v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pokladně kraje. Mezi tyto finanční prostředky nejsou zahrnuty depozitní účty (účty cizích prostředků) a účet pro přenesenou daňovou povinnost DPH.</w:t>
      </w:r>
    </w:p>
    <w:p w14:paraId="49AC41BB" w14:textId="76A8F12D" w:rsidR="00F07FB1" w:rsidRPr="00C1515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15154">
        <w:rPr>
          <w:rFonts w:ascii="Tahoma" w:hAnsi="Tahoma" w:cs="Tahoma"/>
          <w:sz w:val="20"/>
          <w:szCs w:val="20"/>
        </w:rPr>
        <w:t>Tyto prostředky byly uloženy u</w:t>
      </w:r>
      <w:r w:rsidR="00F07FB1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10 bank</w:t>
      </w:r>
      <w:r w:rsidR="00E21151" w:rsidRPr="00C15154">
        <w:rPr>
          <w:rFonts w:ascii="Tahoma" w:hAnsi="Tahoma" w:cs="Tahoma"/>
          <w:sz w:val="20"/>
          <w:szCs w:val="20"/>
        </w:rPr>
        <w:t xml:space="preserve">: </w:t>
      </w:r>
      <w:r w:rsidRPr="00C15154">
        <w:rPr>
          <w:rFonts w:ascii="Tahoma" w:hAnsi="Tahoma" w:cs="Tahoma"/>
          <w:sz w:val="20"/>
          <w:szCs w:val="20"/>
        </w:rPr>
        <w:t>Česká národní banka (ČNB); Česká spořitelna, a.</w:t>
      </w:r>
      <w:r w:rsidR="009C1929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(ČS); Československá obchodní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(ČSOB); J&amp;T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(JT); Komerční banka, a.</w:t>
      </w:r>
      <w:r w:rsidR="009C1929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(KB); MONETA Money Bank,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(MONETA); Oberbank AG pobočka Česká republika (OB); PPF Banka,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(PPF); Raiffeisenbank,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(RFB) a UniCredit Bank Czech Republic and Slovakia, a.</w:t>
      </w:r>
      <w:r w:rsidR="00F33465" w:rsidRPr="00C15154">
        <w:rPr>
          <w:rFonts w:ascii="Tahoma" w:hAnsi="Tahoma" w:cs="Tahoma"/>
          <w:sz w:val="20"/>
          <w:szCs w:val="20"/>
        </w:rPr>
        <w:t> </w:t>
      </w:r>
      <w:r w:rsidRPr="00C15154">
        <w:rPr>
          <w:rFonts w:ascii="Tahoma" w:hAnsi="Tahoma" w:cs="Tahoma"/>
          <w:sz w:val="20"/>
          <w:szCs w:val="20"/>
        </w:rPr>
        <w:t>s. (UCB).</w:t>
      </w:r>
    </w:p>
    <w:p w14:paraId="1D48EAF6" w14:textId="182B2161" w:rsidR="00AF4F75" w:rsidRPr="00146328" w:rsidRDefault="00AF4F75" w:rsidP="00AF4F75">
      <w:pPr>
        <w:spacing w:before="12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 w:rsidRPr="00146328"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  <w:br w:type="page"/>
      </w:r>
    </w:p>
    <w:p w14:paraId="7C41780E" w14:textId="77777777" w:rsidR="00FE4D61" w:rsidRPr="00A176A6" w:rsidRDefault="00FE4D61" w:rsidP="00BE0EB7">
      <w:pPr>
        <w:pStyle w:val="Styltab"/>
      </w:pPr>
      <w:r w:rsidRPr="00A176A6">
        <w:lastRenderedPageBreak/>
        <w:t>Rozložení finančních prostředků dle typu účtu</w:t>
      </w:r>
      <w:r w:rsidRPr="00A176A6">
        <w:tab/>
        <w:t>(v mil. Kč)</w:t>
      </w:r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403"/>
        <w:gridCol w:w="5627"/>
        <w:gridCol w:w="1344"/>
        <w:gridCol w:w="1344"/>
      </w:tblGrid>
      <w:tr w:rsidR="00146328" w:rsidRPr="00146328" w14:paraId="4AD386BD" w14:textId="77777777" w:rsidTr="00095E87">
        <w:trPr>
          <w:trHeight w:val="86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D2EC3" w14:textId="77777777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7B6D8" w14:textId="77777777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E6BAA" w14:textId="3A87D76F" w:rsidR="00AF4F75" w:rsidRPr="00EA3DAF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 31.</w:t>
            </w:r>
            <w:r w:rsidR="009C799E">
              <w:rPr>
                <w:rFonts w:ascii="Tahoma" w:hAnsi="Tahoma" w:cs="Tahoma"/>
                <w:b/>
                <w:sz w:val="17"/>
                <w:szCs w:val="17"/>
              </w:rPr>
              <w:t>10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1F070A" w:rsidRPr="00EA3DAF">
              <w:rPr>
                <w:rFonts w:ascii="Tahoma" w:hAnsi="Tahoma" w:cs="Tahoma"/>
                <w:b/>
                <w:sz w:val="17"/>
                <w:szCs w:val="17"/>
              </w:rPr>
              <w:t>5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52184" w14:textId="26ED5A30" w:rsidR="00AF4F75" w:rsidRPr="00EA3DAF" w:rsidRDefault="00AF4F75" w:rsidP="0022128B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EA3DAF">
              <w:rPr>
                <w:rFonts w:ascii="Tahoma" w:hAnsi="Tahoma" w:cs="Tahoma"/>
                <w:b/>
                <w:sz w:val="17"/>
                <w:szCs w:val="17"/>
              </w:rPr>
              <w:t>Orientační úročení k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 31.</w:t>
            </w:r>
            <w:r w:rsidR="009C799E">
              <w:rPr>
                <w:rFonts w:ascii="Tahoma" w:hAnsi="Tahoma" w:cs="Tahoma"/>
                <w:b/>
                <w:sz w:val="17"/>
                <w:szCs w:val="17"/>
              </w:rPr>
              <w:t>10</w:t>
            </w:r>
            <w:r w:rsidR="00EA3DAF" w:rsidRPr="00EA3DAF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1F070A" w:rsidRPr="00EA3DAF">
              <w:rPr>
                <w:rFonts w:ascii="Tahoma" w:hAnsi="Tahoma" w:cs="Tahoma"/>
                <w:b/>
                <w:sz w:val="17"/>
                <w:szCs w:val="17"/>
              </w:rPr>
              <w:t>5</w:t>
            </w:r>
            <w:r w:rsidRPr="00EA3DAF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146328" w:rsidRPr="00146328" w14:paraId="3CA605D8" w14:textId="77777777" w:rsidTr="00095E87">
        <w:trPr>
          <w:trHeight w:val="85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4ECEF" w14:textId="77777777" w:rsidR="00AF4F75" w:rsidRPr="00EA3DA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EA3DAF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27" w:type="dxa"/>
            <w:tcBorders>
              <w:top w:val="single" w:sz="12" w:space="0" w:color="auto"/>
            </w:tcBorders>
          </w:tcPr>
          <w:p w14:paraId="7C62525B" w14:textId="77777777" w:rsidR="00AF4F75" w:rsidRPr="00EA3DAF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A3DAF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cash-pooling), fond zajišťovací a fond pro financování strategických projektů Moravskoslezského kraje (nastaveno zvýhodněné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62FE5C7A" w14:textId="77D4894A" w:rsidR="00AF4F75" w:rsidRPr="00EA3DAF" w:rsidRDefault="000D666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4 042,4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E920E" w14:textId="6162CCDF" w:rsidR="00AF4F75" w:rsidRPr="00EA3DAF" w:rsidRDefault="00EA3DAF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2,82</w:t>
            </w:r>
            <w:r w:rsidR="00486036" w:rsidRPr="00EA3D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EA3DAF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EA3DA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C3830" w:rsidRPr="00EA3DAF">
              <w:rPr>
                <w:rFonts w:ascii="Tahoma" w:hAnsi="Tahoma" w:cs="Tahoma"/>
                <w:sz w:val="17"/>
                <w:szCs w:val="17"/>
              </w:rPr>
              <w:t>3,</w:t>
            </w:r>
            <w:r>
              <w:rPr>
                <w:rFonts w:ascii="Tahoma" w:hAnsi="Tahoma" w:cs="Tahoma"/>
                <w:sz w:val="17"/>
                <w:szCs w:val="17"/>
              </w:rPr>
              <w:t>00</w:t>
            </w:r>
          </w:p>
        </w:tc>
      </w:tr>
      <w:tr w:rsidR="00146328" w:rsidRPr="00146328" w14:paraId="26644248" w14:textId="77777777" w:rsidTr="00CF244A">
        <w:trPr>
          <w:trHeight w:val="103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83AF261" w14:textId="77777777" w:rsidR="00AF4F75" w:rsidRPr="004E2147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27" w:type="dxa"/>
            <w:vAlign w:val="center"/>
          </w:tcPr>
          <w:p w14:paraId="7CAC5296" w14:textId="6711CF51" w:rsidR="00AB3E50" w:rsidRPr="004E2147" w:rsidRDefault="00903BF6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 xml:space="preserve">00,0 mil. Kč na termínovaném vkladu u ČNB </w:t>
            </w:r>
            <w:r w:rsidR="0056230F" w:rsidRPr="004E2147">
              <w:rPr>
                <w:rFonts w:ascii="Tahoma" w:hAnsi="Tahoma" w:cs="Tahoma"/>
                <w:sz w:val="17"/>
                <w:szCs w:val="17"/>
              </w:rPr>
              <w:t>do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3713B">
              <w:rPr>
                <w:rFonts w:ascii="Tahoma" w:hAnsi="Tahoma" w:cs="Tahoma"/>
                <w:sz w:val="17"/>
                <w:szCs w:val="17"/>
              </w:rPr>
              <w:t>4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.1</w:t>
            </w:r>
            <w:r w:rsidR="00D3713B">
              <w:rPr>
                <w:rFonts w:ascii="Tahoma" w:hAnsi="Tahoma" w:cs="Tahoma"/>
                <w:sz w:val="17"/>
                <w:szCs w:val="17"/>
              </w:rPr>
              <w:t>1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.202</w:t>
            </w:r>
            <w:r w:rsidRPr="004E2147">
              <w:rPr>
                <w:rFonts w:ascii="Tahoma" w:hAnsi="Tahoma" w:cs="Tahoma"/>
                <w:sz w:val="17"/>
                <w:szCs w:val="17"/>
              </w:rPr>
              <w:t>5</w:t>
            </w:r>
            <w:r w:rsidR="00AB3E50" w:rsidRPr="004E2147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0B2F9C49" w14:textId="0AA8C1D7" w:rsidR="00C25FE3" w:rsidRPr="004E2147" w:rsidRDefault="001A64A5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C25FE3" w:rsidRPr="004E2147">
              <w:rPr>
                <w:rFonts w:ascii="Tahoma" w:hAnsi="Tahoma" w:cs="Tahoma"/>
                <w:sz w:val="17"/>
                <w:szCs w:val="17"/>
              </w:rPr>
              <w:t xml:space="preserve">00,0 mil. Kč na termínovaném vkladu u ČNB do </w:t>
            </w:r>
            <w:r>
              <w:rPr>
                <w:rFonts w:ascii="Tahoma" w:hAnsi="Tahoma" w:cs="Tahoma"/>
                <w:sz w:val="17"/>
                <w:szCs w:val="17"/>
              </w:rPr>
              <w:t>16.4.2026</w:t>
            </w:r>
            <w:r w:rsidR="00C25FE3" w:rsidRPr="004E2147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87154F3" w14:textId="27FA6EDE" w:rsidR="00366A87" w:rsidRPr="004E2147" w:rsidRDefault="008055BA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200,0 mil. Kč na vkladovém účtu u JT s 1denní výpovědí.</w:t>
            </w:r>
          </w:p>
        </w:tc>
        <w:tc>
          <w:tcPr>
            <w:tcW w:w="1344" w:type="dxa"/>
            <w:vAlign w:val="center"/>
          </w:tcPr>
          <w:p w14:paraId="4ED49C5C" w14:textId="2FA3C6A8" w:rsidR="00AF4F75" w:rsidRPr="004E2147" w:rsidRDefault="007177A6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  <w:r w:rsidR="001A64A5">
              <w:rPr>
                <w:rFonts w:ascii="Tahoma" w:hAnsi="Tahoma" w:cs="Tahoma"/>
                <w:sz w:val="17"/>
                <w:szCs w:val="17"/>
              </w:rPr>
              <w:t>00,0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D7F4419" w14:textId="2EE9AB7E" w:rsidR="00AF4F75" w:rsidRPr="004E2147" w:rsidRDefault="00F01F03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E2147">
              <w:rPr>
                <w:rFonts w:ascii="Tahoma" w:hAnsi="Tahoma" w:cs="Tahoma"/>
                <w:sz w:val="17"/>
                <w:szCs w:val="17"/>
              </w:rPr>
              <w:t>3</w:t>
            </w:r>
            <w:r w:rsidR="00AE20F1" w:rsidRPr="004E2147">
              <w:rPr>
                <w:rFonts w:ascii="Tahoma" w:hAnsi="Tahoma" w:cs="Tahoma"/>
                <w:sz w:val="17"/>
                <w:szCs w:val="17"/>
              </w:rPr>
              <w:t>,</w:t>
            </w:r>
            <w:r w:rsidR="00316454" w:rsidRPr="004E2147">
              <w:rPr>
                <w:rFonts w:ascii="Tahoma" w:hAnsi="Tahoma" w:cs="Tahoma"/>
                <w:sz w:val="17"/>
                <w:szCs w:val="17"/>
              </w:rPr>
              <w:t>2</w:t>
            </w:r>
            <w:r w:rsidR="001A64A5">
              <w:rPr>
                <w:rFonts w:ascii="Tahoma" w:hAnsi="Tahoma" w:cs="Tahoma"/>
                <w:sz w:val="17"/>
                <w:szCs w:val="17"/>
              </w:rPr>
              <w:t>0</w:t>
            </w:r>
            <w:r w:rsidR="00486036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E20F1" w:rsidRPr="004E2147">
              <w:rPr>
                <w:rFonts w:ascii="Tahoma" w:hAnsi="Tahoma" w:cs="Tahoma"/>
                <w:sz w:val="17"/>
                <w:szCs w:val="17"/>
              </w:rPr>
              <w:t>-</w:t>
            </w:r>
            <w:r w:rsidR="00486036" w:rsidRPr="004E214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8D709F" w:rsidRPr="004E2147">
              <w:rPr>
                <w:rFonts w:ascii="Tahoma" w:hAnsi="Tahoma" w:cs="Tahoma"/>
                <w:sz w:val="17"/>
                <w:szCs w:val="17"/>
              </w:rPr>
              <w:t>3</w:t>
            </w:r>
            <w:r w:rsidR="00FA4310" w:rsidRPr="004E2147">
              <w:rPr>
                <w:rFonts w:ascii="Tahoma" w:hAnsi="Tahoma" w:cs="Tahoma"/>
                <w:sz w:val="17"/>
                <w:szCs w:val="17"/>
              </w:rPr>
              <w:t>,</w:t>
            </w:r>
            <w:r w:rsidR="001A64A5">
              <w:rPr>
                <w:rFonts w:ascii="Tahoma" w:hAnsi="Tahoma" w:cs="Tahoma"/>
                <w:sz w:val="17"/>
                <w:szCs w:val="17"/>
              </w:rPr>
              <w:t>2</w:t>
            </w:r>
            <w:r w:rsidR="00ED53B2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</w:tr>
      <w:tr w:rsidR="00146328" w:rsidRPr="00146328" w14:paraId="4AF11076" w14:textId="77777777" w:rsidTr="008F05C6">
        <w:trPr>
          <w:trHeight w:val="983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F4F9DC5" w14:textId="77777777" w:rsidR="00AF4F75" w:rsidRPr="007E2E26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7E2E26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27" w:type="dxa"/>
          </w:tcPr>
          <w:p w14:paraId="5C6471B2" w14:textId="5C6353FE" w:rsidR="00AF4F75" w:rsidRPr="007E2E26" w:rsidRDefault="00A3724B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264,0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4FB56D77" w14:textId="23FBE5F9" w:rsidR="00163FCA" w:rsidRPr="007E2E26" w:rsidRDefault="00A3724B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164,9</w:t>
            </w:r>
            <w:r w:rsidR="000E737E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OB za zvýhodněným úročením,</w:t>
            </w:r>
          </w:p>
          <w:p w14:paraId="6E536623" w14:textId="32ACC243" w:rsidR="00AF4F75" w:rsidRPr="007E2E26" w:rsidRDefault="002317DD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</w:t>
            </w:r>
            <w:r w:rsidR="00A3724B">
              <w:rPr>
                <w:rFonts w:ascii="Tahoma" w:hAnsi="Tahoma" w:cs="Tahoma"/>
                <w:sz w:val="17"/>
                <w:szCs w:val="17"/>
              </w:rPr>
              <w:t>,6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ČS se zvýhodněným úročením,</w:t>
            </w:r>
          </w:p>
          <w:p w14:paraId="0AA9C8AB" w14:textId="2683718B" w:rsidR="008055BA" w:rsidRPr="007E2E26" w:rsidRDefault="002F449D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E2E26">
              <w:rPr>
                <w:rFonts w:ascii="Tahoma" w:hAnsi="Tahoma" w:cs="Tahoma"/>
                <w:sz w:val="17"/>
                <w:szCs w:val="17"/>
              </w:rPr>
              <w:t>3</w:t>
            </w:r>
            <w:r w:rsidR="008055BA" w:rsidRPr="007E2E26">
              <w:rPr>
                <w:rFonts w:ascii="Tahoma" w:hAnsi="Tahoma" w:cs="Tahoma"/>
                <w:sz w:val="17"/>
                <w:szCs w:val="17"/>
              </w:rPr>
              <w:t>00</w:t>
            </w:r>
            <w:r w:rsidR="00312E79" w:rsidRPr="007E2E26">
              <w:rPr>
                <w:rFonts w:ascii="Tahoma" w:hAnsi="Tahoma" w:cs="Tahoma"/>
                <w:sz w:val="17"/>
                <w:szCs w:val="17"/>
              </w:rPr>
              <w:t>,0</w:t>
            </w:r>
            <w:r w:rsidR="008055BA" w:rsidRPr="007E2E26">
              <w:rPr>
                <w:rFonts w:ascii="Tahoma" w:hAnsi="Tahoma" w:cs="Tahoma"/>
                <w:sz w:val="17"/>
                <w:szCs w:val="17"/>
              </w:rPr>
              <w:t xml:space="preserve"> mil. Kč na spořícím účtu u ČSOB se zvýhodněným úročením</w:t>
            </w:r>
          </w:p>
        </w:tc>
        <w:tc>
          <w:tcPr>
            <w:tcW w:w="1344" w:type="dxa"/>
            <w:vAlign w:val="center"/>
          </w:tcPr>
          <w:p w14:paraId="2E840590" w14:textId="2C8CF712" w:rsidR="00AF4F75" w:rsidRPr="007E2E26" w:rsidRDefault="002317DD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1 041,5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9D63D0E" w14:textId="3EED9551" w:rsidR="00AF4F75" w:rsidRPr="007E2E26" w:rsidRDefault="00FC140A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2,95</w:t>
            </w:r>
            <w:r w:rsidR="00486036" w:rsidRPr="007E2E2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7E2E26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7E2E2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B5A9E" w:rsidRPr="007E2E26">
              <w:rPr>
                <w:rFonts w:ascii="Tahoma" w:hAnsi="Tahoma" w:cs="Tahoma"/>
                <w:sz w:val="17"/>
                <w:szCs w:val="17"/>
              </w:rPr>
              <w:t>3,</w:t>
            </w: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487BCF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</w:tr>
      <w:tr w:rsidR="00146328" w:rsidRPr="00146328" w14:paraId="320CDEBB" w14:textId="77777777" w:rsidTr="009C10B2">
        <w:trPr>
          <w:trHeight w:val="140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D11588F" w14:textId="77777777" w:rsidR="00D24C46" w:rsidRPr="005B34CF" w:rsidRDefault="00D24C46" w:rsidP="00D24C4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>Virtuální účty (prostředky vyvedeny na technický účet banky)</w:t>
            </w:r>
          </w:p>
        </w:tc>
        <w:tc>
          <w:tcPr>
            <w:tcW w:w="5627" w:type="dxa"/>
          </w:tcPr>
          <w:p w14:paraId="148B6A44" w14:textId="0D5CF29A" w:rsidR="00D24C46" w:rsidRPr="005B34CF" w:rsidRDefault="00F502A3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>300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 xml:space="preserve">,0 mil. Kč u PPF do </w:t>
            </w:r>
            <w:r w:rsidR="008A2730">
              <w:rPr>
                <w:rFonts w:ascii="Tahoma" w:hAnsi="Tahoma" w:cs="Tahoma"/>
                <w:sz w:val="17"/>
                <w:szCs w:val="17"/>
              </w:rPr>
              <w:t>2</w:t>
            </w:r>
            <w:r w:rsidR="00744DBD">
              <w:rPr>
                <w:rFonts w:ascii="Tahoma" w:hAnsi="Tahoma" w:cs="Tahoma"/>
                <w:sz w:val="17"/>
                <w:szCs w:val="17"/>
              </w:rPr>
              <w:t>8</w:t>
            </w:r>
            <w:r w:rsidRPr="005B34CF">
              <w:rPr>
                <w:rFonts w:ascii="Tahoma" w:hAnsi="Tahoma" w:cs="Tahoma"/>
                <w:sz w:val="17"/>
                <w:szCs w:val="17"/>
              </w:rPr>
              <w:t>.</w:t>
            </w:r>
            <w:r w:rsidR="00744DBD">
              <w:rPr>
                <w:rFonts w:ascii="Tahoma" w:hAnsi="Tahoma" w:cs="Tahoma"/>
                <w:sz w:val="17"/>
                <w:szCs w:val="17"/>
              </w:rPr>
              <w:t>11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>.202</w:t>
            </w:r>
            <w:r w:rsidRPr="005B34CF">
              <w:rPr>
                <w:rFonts w:ascii="Tahoma" w:hAnsi="Tahoma" w:cs="Tahoma"/>
                <w:sz w:val="17"/>
                <w:szCs w:val="17"/>
              </w:rPr>
              <w:t>5</w:t>
            </w:r>
            <w:r w:rsidR="00D24C46" w:rsidRPr="005B34CF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7A65D466" w14:textId="7D80C507" w:rsidR="005F6EA6" w:rsidRPr="005B34CF" w:rsidRDefault="00685BBC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5F6EA6" w:rsidRPr="005B34CF">
              <w:rPr>
                <w:rFonts w:ascii="Tahoma" w:hAnsi="Tahoma" w:cs="Tahoma"/>
                <w:sz w:val="17"/>
                <w:szCs w:val="17"/>
              </w:rPr>
              <w:t xml:space="preserve">00,0 mil. Kč u KB do </w:t>
            </w:r>
            <w:r>
              <w:rPr>
                <w:rFonts w:ascii="Tahoma" w:hAnsi="Tahoma" w:cs="Tahoma"/>
                <w:sz w:val="17"/>
                <w:szCs w:val="17"/>
              </w:rPr>
              <w:t>10.11.</w:t>
            </w:r>
            <w:r w:rsidR="005F6EA6" w:rsidRPr="005B34CF">
              <w:rPr>
                <w:rFonts w:ascii="Tahoma" w:hAnsi="Tahoma" w:cs="Tahoma"/>
                <w:sz w:val="17"/>
                <w:szCs w:val="17"/>
              </w:rPr>
              <w:t>2025,</w:t>
            </w:r>
          </w:p>
          <w:p w14:paraId="60CEF2C6" w14:textId="3F6FA395" w:rsidR="001512F1" w:rsidRPr="005B34CF" w:rsidRDefault="0016701D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 xml:space="preserve">00,0 mil. Kč u ČS do </w:t>
            </w:r>
            <w:r w:rsidR="00744DBD">
              <w:rPr>
                <w:rFonts w:ascii="Tahoma" w:hAnsi="Tahoma" w:cs="Tahoma"/>
                <w:sz w:val="17"/>
                <w:szCs w:val="17"/>
              </w:rPr>
              <w:t>28.11.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>2025,</w:t>
            </w:r>
          </w:p>
          <w:p w14:paraId="0BB46E7D" w14:textId="119657CC" w:rsidR="001512F1" w:rsidRDefault="001512F1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B34CF">
              <w:rPr>
                <w:rFonts w:ascii="Tahoma" w:hAnsi="Tahoma" w:cs="Tahoma"/>
                <w:sz w:val="17"/>
                <w:szCs w:val="17"/>
              </w:rPr>
              <w:t xml:space="preserve">300,0 mil. Kč u RFB do </w:t>
            </w:r>
            <w:r w:rsidR="00C05F4D">
              <w:rPr>
                <w:rFonts w:ascii="Tahoma" w:hAnsi="Tahoma" w:cs="Tahoma"/>
                <w:sz w:val="17"/>
                <w:szCs w:val="17"/>
              </w:rPr>
              <w:t>1</w:t>
            </w:r>
            <w:r w:rsidR="00B95749">
              <w:rPr>
                <w:rFonts w:ascii="Tahoma" w:hAnsi="Tahoma" w:cs="Tahoma"/>
                <w:sz w:val="17"/>
                <w:szCs w:val="17"/>
              </w:rPr>
              <w:t>2.11.</w:t>
            </w:r>
            <w:r w:rsidRPr="005B34CF">
              <w:rPr>
                <w:rFonts w:ascii="Tahoma" w:hAnsi="Tahoma" w:cs="Tahoma"/>
                <w:sz w:val="17"/>
                <w:szCs w:val="17"/>
              </w:rPr>
              <w:t>2025,</w:t>
            </w:r>
          </w:p>
          <w:p w14:paraId="09685C48" w14:textId="6693B99F" w:rsidR="00260A6A" w:rsidRPr="005B34CF" w:rsidRDefault="00B95749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550</w:t>
            </w:r>
            <w:r w:rsidR="00260A6A" w:rsidRPr="005B34CF">
              <w:rPr>
                <w:rFonts w:ascii="Tahoma" w:hAnsi="Tahoma" w:cs="Tahoma"/>
                <w:sz w:val="17"/>
                <w:szCs w:val="17"/>
              </w:rPr>
              <w:t xml:space="preserve">,0 mil. Kč u ČSOB do </w:t>
            </w:r>
            <w:r w:rsidR="00685BBC">
              <w:rPr>
                <w:rFonts w:ascii="Tahoma" w:hAnsi="Tahoma" w:cs="Tahoma"/>
                <w:sz w:val="17"/>
                <w:szCs w:val="17"/>
              </w:rPr>
              <w:t>20.11.</w:t>
            </w:r>
            <w:r w:rsidR="00260A6A" w:rsidRPr="005B34CF">
              <w:rPr>
                <w:rFonts w:ascii="Tahoma" w:hAnsi="Tahoma" w:cs="Tahoma"/>
                <w:sz w:val="17"/>
                <w:szCs w:val="17"/>
              </w:rPr>
              <w:t>2025</w:t>
            </w:r>
          </w:p>
          <w:p w14:paraId="3D7F29AF" w14:textId="70415419" w:rsidR="00D24C46" w:rsidRPr="0070791F" w:rsidRDefault="006F7D2C" w:rsidP="0070791F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1,3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 xml:space="preserve"> mil</w:t>
            </w:r>
            <w:r>
              <w:rPr>
                <w:rFonts w:ascii="Tahoma" w:hAnsi="Tahoma" w:cs="Tahoma"/>
                <w:sz w:val="17"/>
                <w:szCs w:val="17"/>
              </w:rPr>
              <w:t>. EUR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 xml:space="preserve"> u </w:t>
            </w:r>
            <w:r>
              <w:rPr>
                <w:rFonts w:ascii="Tahoma" w:hAnsi="Tahoma" w:cs="Tahoma"/>
                <w:sz w:val="17"/>
                <w:szCs w:val="17"/>
              </w:rPr>
              <w:t>UCB</w:t>
            </w:r>
            <w:r w:rsidR="001512F1" w:rsidRPr="005B34CF">
              <w:rPr>
                <w:rFonts w:ascii="Tahoma" w:hAnsi="Tahoma" w:cs="Tahoma"/>
                <w:sz w:val="17"/>
                <w:szCs w:val="17"/>
              </w:rPr>
              <w:t xml:space="preserve"> do </w:t>
            </w:r>
            <w:r>
              <w:rPr>
                <w:rFonts w:ascii="Tahoma" w:hAnsi="Tahoma" w:cs="Tahoma"/>
                <w:sz w:val="17"/>
                <w:szCs w:val="17"/>
              </w:rPr>
              <w:t>10.11.2025</w:t>
            </w:r>
          </w:p>
        </w:tc>
        <w:tc>
          <w:tcPr>
            <w:tcW w:w="1344" w:type="dxa"/>
            <w:vAlign w:val="center"/>
          </w:tcPr>
          <w:p w14:paraId="526F0034" w14:textId="3908EEBA" w:rsidR="00D24C46" w:rsidRPr="005B34CF" w:rsidRDefault="00F1477E" w:rsidP="00D24C4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1 982,7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767BEBC" w14:textId="6B16042D" w:rsidR="00D24C46" w:rsidRPr="005B34CF" w:rsidRDefault="00CC0937" w:rsidP="00D24C4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1,67</w:t>
            </w:r>
            <w:r w:rsidR="002348B5" w:rsidRPr="005B34CF">
              <w:rPr>
                <w:rFonts w:ascii="Tahoma" w:hAnsi="Tahoma" w:cs="Tahoma"/>
                <w:sz w:val="17"/>
                <w:szCs w:val="17"/>
              </w:rPr>
              <w:t xml:space="preserve"> – </w:t>
            </w:r>
            <w:r w:rsidR="00395471" w:rsidRPr="005B34CF">
              <w:rPr>
                <w:rFonts w:ascii="Tahoma" w:hAnsi="Tahoma" w:cs="Tahoma"/>
                <w:sz w:val="17"/>
                <w:szCs w:val="17"/>
              </w:rPr>
              <w:t>3,</w:t>
            </w:r>
            <w:r w:rsidR="009C10B2">
              <w:rPr>
                <w:rFonts w:ascii="Tahoma" w:hAnsi="Tahoma" w:cs="Tahoma"/>
                <w:sz w:val="17"/>
                <w:szCs w:val="17"/>
              </w:rPr>
              <w:t>1</w:t>
            </w:r>
            <w:r w:rsidR="00395471" w:rsidRPr="005B34CF">
              <w:rPr>
                <w:rFonts w:ascii="Tahoma" w:hAnsi="Tahoma" w:cs="Tahoma"/>
                <w:sz w:val="17"/>
                <w:szCs w:val="17"/>
              </w:rPr>
              <w:t>0</w:t>
            </w:r>
            <w:r w:rsidR="002348B5" w:rsidRPr="005B34CF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146328" w:rsidRPr="00146328" w14:paraId="7FBE4247" w14:textId="77777777" w:rsidTr="00095E87">
        <w:trPr>
          <w:trHeight w:val="368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2C97AC2" w14:textId="77777777" w:rsidR="00AF4F75" w:rsidRPr="00A80D7A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Zhodnocovací cash-poolingové účty bez výpovědní lhůty</w:t>
            </w:r>
          </w:p>
        </w:tc>
        <w:tc>
          <w:tcPr>
            <w:tcW w:w="5627" w:type="dxa"/>
          </w:tcPr>
          <w:p w14:paraId="7677419C" w14:textId="40B3CB70" w:rsidR="00AF4F75" w:rsidRPr="00A80D7A" w:rsidRDefault="00AF4F75" w:rsidP="0022128B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0830CF" w:rsidRPr="00A80D7A">
              <w:rPr>
                <w:rFonts w:ascii="Tahoma" w:hAnsi="Tahoma" w:cs="Tahoma"/>
                <w:sz w:val="17"/>
                <w:szCs w:val="17"/>
              </w:rPr>
              <w:t> </w:t>
            </w:r>
            <w:r w:rsidRPr="00A80D7A">
              <w:rPr>
                <w:rFonts w:ascii="Tahoma" w:hAnsi="Tahoma" w:cs="Tahoma"/>
                <w:sz w:val="17"/>
                <w:szCs w:val="17"/>
              </w:rPr>
              <w:t>fiktivním cash-poolingu (FCP) a současně nejsou uvedeny v jiném typu účtu.</w:t>
            </w:r>
          </w:p>
          <w:p w14:paraId="581CF568" w14:textId="127013AF" w:rsidR="00AF4F75" w:rsidRPr="00A80D7A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355CA3">
              <w:rPr>
                <w:rFonts w:ascii="Tahoma" w:hAnsi="Tahoma" w:cs="Tahoma"/>
                <w:sz w:val="17"/>
                <w:szCs w:val="17"/>
              </w:rPr>
              <w:t>2.443,5</w:t>
            </w:r>
            <w:r w:rsidR="008F2AE1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8736E" w:rsidRPr="00A80D7A">
              <w:rPr>
                <w:rFonts w:ascii="Tahoma" w:hAnsi="Tahoma" w:cs="Tahoma"/>
                <w:sz w:val="17"/>
                <w:szCs w:val="17"/>
              </w:rPr>
              <w:t>mil. Kč</w:t>
            </w:r>
            <w:r w:rsidRPr="00A80D7A">
              <w:rPr>
                <w:rFonts w:ascii="Tahoma" w:hAnsi="Tahoma" w:cs="Tahoma"/>
                <w:sz w:val="17"/>
                <w:szCs w:val="17"/>
              </w:rPr>
              <w:t xml:space="preserve"> (KB + UCB + ČSOB). Rozdíl ve výši </w:t>
            </w:r>
            <w:r w:rsidR="00AF5761">
              <w:rPr>
                <w:rFonts w:ascii="Tahoma" w:hAnsi="Tahoma" w:cs="Tahoma"/>
                <w:sz w:val="17"/>
                <w:szCs w:val="17"/>
              </w:rPr>
              <w:t>1.359,1</w:t>
            </w:r>
            <w:r w:rsidR="00D96D7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A80D7A">
              <w:rPr>
                <w:rFonts w:ascii="Tahoma" w:hAnsi="Tahoma" w:cs="Tahoma"/>
                <w:sz w:val="17"/>
                <w:szCs w:val="17"/>
              </w:rPr>
              <w:t>mil. Kč (</w:t>
            </w:r>
            <w:r w:rsidR="0022269E">
              <w:rPr>
                <w:rFonts w:ascii="Tahoma" w:hAnsi="Tahoma" w:cs="Tahoma"/>
                <w:sz w:val="17"/>
                <w:szCs w:val="17"/>
              </w:rPr>
              <w:t xml:space="preserve">2.443,5 </w:t>
            </w:r>
            <w:r w:rsidRPr="00A80D7A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="0022269E">
              <w:rPr>
                <w:rFonts w:ascii="Tahoma" w:hAnsi="Tahoma" w:cs="Tahoma"/>
                <w:sz w:val="17"/>
                <w:szCs w:val="17"/>
              </w:rPr>
              <w:t>1.084,4</w:t>
            </w:r>
            <w:r w:rsidRPr="00A80D7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0830CF" w:rsidRPr="00A80D7A">
              <w:rPr>
                <w:rFonts w:ascii="Tahoma" w:hAnsi="Tahoma" w:cs="Tahoma"/>
                <w:sz w:val="17"/>
                <w:szCs w:val="17"/>
              </w:rPr>
              <w:t> </w:t>
            </w:r>
            <w:r w:rsidRPr="00A80D7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A80D7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69FF7ACF" w14:textId="6EB6E914" w:rsidR="00AF4F75" w:rsidRPr="00A80D7A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 xml:space="preserve">Tento systém umožňuje dosáhnout i na klasických běžných účtech vyššího úrokového zhodnocení bez jakéhokoli omezení. Do systému jsou dále napojeny i účty </w:t>
            </w:r>
            <w:r w:rsidR="00D17B7D">
              <w:rPr>
                <w:rFonts w:ascii="Tahoma" w:hAnsi="Tahoma" w:cs="Tahoma"/>
                <w:sz w:val="17"/>
                <w:szCs w:val="17"/>
              </w:rPr>
              <w:t>20</w:t>
            </w:r>
            <w:r w:rsidR="00943162">
              <w:rPr>
                <w:rFonts w:ascii="Tahoma" w:hAnsi="Tahoma" w:cs="Tahoma"/>
                <w:sz w:val="17"/>
                <w:szCs w:val="17"/>
              </w:rPr>
              <w:t>3</w:t>
            </w:r>
            <w:r w:rsidR="00317745" w:rsidRPr="00A80D7A">
              <w:rPr>
                <w:rFonts w:ascii="Tahoma" w:hAnsi="Tahoma" w:cs="Tahoma"/>
                <w:sz w:val="17"/>
                <w:szCs w:val="17"/>
              </w:rPr>
              <w:t xml:space="preserve"> PO (vč. Bílovecké nemocnice, a.s.</w:t>
            </w:r>
            <w:r w:rsidR="00D17B7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317745" w:rsidRPr="00A80D7A">
              <w:rPr>
                <w:rFonts w:ascii="Tahoma" w:hAnsi="Tahoma" w:cs="Tahoma"/>
                <w:sz w:val="17"/>
                <w:szCs w:val="17"/>
              </w:rPr>
              <w:t xml:space="preserve">a MSID, a.s.) s celkem </w:t>
            </w:r>
            <w:r w:rsidR="00943162">
              <w:rPr>
                <w:rFonts w:ascii="Tahoma" w:hAnsi="Tahoma" w:cs="Tahoma"/>
                <w:sz w:val="17"/>
                <w:szCs w:val="17"/>
              </w:rPr>
              <w:t>363</w:t>
            </w:r>
            <w:r w:rsidR="00D17B7D" w:rsidRPr="00D17B7D">
              <w:rPr>
                <w:rFonts w:ascii="Tahoma" w:hAnsi="Tahoma" w:cs="Tahoma"/>
                <w:sz w:val="17"/>
                <w:szCs w:val="17"/>
              </w:rPr>
              <w:t xml:space="preserve"> účty, které měly v tomto systému zapojeno </w:t>
            </w:r>
            <w:r w:rsidR="00D275A2">
              <w:rPr>
                <w:rFonts w:ascii="Tahoma" w:hAnsi="Tahoma" w:cs="Tahoma"/>
                <w:sz w:val="17"/>
                <w:szCs w:val="17"/>
              </w:rPr>
              <w:t>3.949,6</w:t>
            </w:r>
            <w:r w:rsidR="00D17B7D" w:rsidRPr="00D17B7D">
              <w:rPr>
                <w:rFonts w:ascii="Tahoma" w:hAnsi="Tahoma" w:cs="Tahoma"/>
                <w:sz w:val="17"/>
                <w:szCs w:val="17"/>
              </w:rPr>
              <w:t xml:space="preserve"> mil. Kč </w:t>
            </w:r>
            <w:r w:rsidR="00D275A2" w:rsidRPr="00D275A2">
              <w:rPr>
                <w:rFonts w:ascii="Tahoma" w:hAnsi="Tahoma" w:cs="Tahoma"/>
                <w:sz w:val="17"/>
                <w:szCs w:val="17"/>
              </w:rPr>
              <w:t>(v UCB, a.s.: 1.436,8mil. Kč,</w:t>
            </w:r>
            <w:r w:rsidR="00D275A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275A2" w:rsidRPr="00D275A2">
              <w:rPr>
                <w:rFonts w:ascii="Tahoma" w:hAnsi="Tahoma" w:cs="Tahoma"/>
                <w:sz w:val="17"/>
                <w:szCs w:val="17"/>
              </w:rPr>
              <w:t>v KB, a.s.: 2.136,1mil. Kč a v ČSOB: 376,7 mil. Kč)</w:t>
            </w:r>
          </w:p>
        </w:tc>
        <w:tc>
          <w:tcPr>
            <w:tcW w:w="1344" w:type="dxa"/>
            <w:vAlign w:val="center"/>
          </w:tcPr>
          <w:p w14:paraId="091743D9" w14:textId="560EC19C" w:rsidR="00AF4F75" w:rsidRPr="00A80D7A" w:rsidRDefault="00D708C1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>
              <w:rPr>
                <w:rFonts w:ascii="Tahoma" w:hAnsi="Tahoma" w:cs="Tahoma"/>
                <w:sz w:val="17"/>
                <w:szCs w:val="17"/>
              </w:rPr>
              <w:t>1 084,</w:t>
            </w:r>
            <w:r w:rsidR="00AF5761"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C929DD8" w14:textId="6D7DE6DB" w:rsidR="00AF4F75" w:rsidRPr="00A80D7A" w:rsidRDefault="00386C4E" w:rsidP="0022128B">
            <w:pPr>
              <w:jc w:val="center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A80D7A">
              <w:rPr>
                <w:rFonts w:ascii="Tahoma" w:hAnsi="Tahoma" w:cs="Tahoma"/>
                <w:sz w:val="17"/>
                <w:szCs w:val="17"/>
              </w:rPr>
              <w:t>2,</w:t>
            </w:r>
            <w:r w:rsidR="00BD34B6">
              <w:rPr>
                <w:rFonts w:ascii="Tahoma" w:hAnsi="Tahoma" w:cs="Tahoma"/>
                <w:sz w:val="17"/>
                <w:szCs w:val="17"/>
              </w:rPr>
              <w:t>6</w:t>
            </w:r>
            <w:r w:rsidR="00A80D7A">
              <w:rPr>
                <w:rFonts w:ascii="Tahoma" w:hAnsi="Tahoma" w:cs="Tahoma"/>
                <w:sz w:val="17"/>
                <w:szCs w:val="17"/>
              </w:rPr>
              <w:t>2</w:t>
            </w:r>
            <w:r w:rsidR="004F23A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A80D7A">
              <w:rPr>
                <w:rFonts w:ascii="Tahoma" w:hAnsi="Tahoma" w:cs="Tahoma"/>
                <w:sz w:val="17"/>
                <w:szCs w:val="17"/>
              </w:rPr>
              <w:t>–</w:t>
            </w:r>
            <w:r w:rsidR="004F23A8" w:rsidRPr="00A80D7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80D7A">
              <w:rPr>
                <w:rFonts w:ascii="Tahoma" w:hAnsi="Tahoma" w:cs="Tahoma"/>
                <w:sz w:val="17"/>
                <w:szCs w:val="17"/>
              </w:rPr>
              <w:t>2,95</w:t>
            </w:r>
          </w:p>
        </w:tc>
      </w:tr>
      <w:tr w:rsidR="002D50A7" w:rsidRPr="002D50A7" w14:paraId="7BA9E4DE" w14:textId="77777777" w:rsidTr="00095E87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101A3B1" w14:textId="77777777" w:rsidR="00AF4F75" w:rsidRPr="002D50A7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27" w:type="dxa"/>
            <w:vAlign w:val="center"/>
          </w:tcPr>
          <w:p w14:paraId="76F1878D" w14:textId="77777777" w:rsidR="00AF4F75" w:rsidRPr="002D50A7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2AEA2CA7" w14:textId="3B1F32B3" w:rsidR="00AF4F75" w:rsidRPr="002D50A7" w:rsidRDefault="002C55A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</w:t>
            </w:r>
            <w:r w:rsidR="00E56E7D">
              <w:rPr>
                <w:rFonts w:ascii="Tahoma" w:hAnsi="Tahoma" w:cs="Tahoma"/>
                <w:sz w:val="17"/>
                <w:szCs w:val="17"/>
              </w:rPr>
              <w:t>,</w:t>
            </w:r>
            <w:r w:rsidR="00C94085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74BFC307" w14:textId="77777777" w:rsidR="00AF4F75" w:rsidRPr="002D50A7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D50A7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9042C2" w:rsidRPr="009042C2" w14:paraId="3647BB1C" w14:textId="77777777" w:rsidTr="00095E87">
        <w:trPr>
          <w:trHeight w:val="68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FBE0645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27" w:type="dxa"/>
            <w:vAlign w:val="center"/>
          </w:tcPr>
          <w:p w14:paraId="78035503" w14:textId="77777777" w:rsidR="00AF4F75" w:rsidRPr="009042C2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32E14D06" w14:textId="5ACE30BB" w:rsidR="00AF4F75" w:rsidRPr="009042C2" w:rsidRDefault="00E56E7D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182,0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854BF9E" w14:textId="4E28DD26" w:rsidR="00AF4F75" w:rsidRPr="009042C2" w:rsidRDefault="002D50A7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9042C2" w:rsidRPr="009042C2" w14:paraId="3D283754" w14:textId="77777777" w:rsidTr="00095E87">
        <w:trPr>
          <w:trHeight w:val="41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E1E92D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27" w:type="dxa"/>
            <w:vAlign w:val="center"/>
          </w:tcPr>
          <w:p w14:paraId="0DBB528B" w14:textId="47D381B1" w:rsidR="00AF4F75" w:rsidRPr="009042C2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</w:tc>
        <w:tc>
          <w:tcPr>
            <w:tcW w:w="1344" w:type="dxa"/>
            <w:vAlign w:val="center"/>
          </w:tcPr>
          <w:p w14:paraId="665A6740" w14:textId="6DA86DA8" w:rsidR="00AF4F75" w:rsidRPr="009042C2" w:rsidRDefault="00E56E7D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521,7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537EA67" w14:textId="38AE62C3" w:rsidR="00AF4F75" w:rsidRPr="009042C2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0,00</w:t>
            </w:r>
            <w:r w:rsidR="00FA5A65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042C2">
              <w:rPr>
                <w:rFonts w:ascii="Tahoma" w:hAnsi="Tahoma" w:cs="Tahoma"/>
                <w:sz w:val="17"/>
                <w:szCs w:val="17"/>
              </w:rPr>
              <w:t>–</w:t>
            </w:r>
            <w:r w:rsidR="00FA5A65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9042C2" w:rsidRPr="009042C2" w14:paraId="418E53BC" w14:textId="77777777" w:rsidTr="00095E87">
        <w:trPr>
          <w:trHeight w:val="510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DF570C" w14:textId="77777777" w:rsidR="00AF4F75" w:rsidRPr="009042C2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751B56C6" w14:textId="08669E87" w:rsidR="00AF4F75" w:rsidRPr="009042C2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částka </w:t>
            </w:r>
            <w:r w:rsidR="001D54AA">
              <w:rPr>
                <w:rFonts w:ascii="Tahoma" w:hAnsi="Tahoma" w:cs="Tahoma"/>
                <w:sz w:val="17"/>
                <w:szCs w:val="17"/>
              </w:rPr>
              <w:t>106</w:t>
            </w:r>
            <w:r w:rsidR="002D0E34" w:rsidRPr="009042C2">
              <w:rPr>
                <w:rFonts w:ascii="Tahoma" w:hAnsi="Tahoma" w:cs="Tahoma"/>
                <w:sz w:val="17"/>
                <w:szCs w:val="17"/>
              </w:rPr>
              <w:t>,9</w:t>
            </w:r>
            <w:r w:rsidRPr="009042C2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4DCEDF4" w14:textId="15ED2B45" w:rsidR="00E41719" w:rsidRPr="009042C2" w:rsidRDefault="001D54AA" w:rsidP="00E41719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567,9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18595" w14:textId="4C0626C9" w:rsidR="00AF4F75" w:rsidRPr="009042C2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042C2">
              <w:rPr>
                <w:rFonts w:ascii="Tahoma" w:hAnsi="Tahoma" w:cs="Tahoma"/>
                <w:sz w:val="17"/>
                <w:szCs w:val="17"/>
              </w:rPr>
              <w:t>0,00</w:t>
            </w:r>
            <w:r w:rsidR="00095E87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042C2">
              <w:rPr>
                <w:rFonts w:ascii="Tahoma" w:hAnsi="Tahoma" w:cs="Tahoma"/>
                <w:sz w:val="17"/>
                <w:szCs w:val="17"/>
              </w:rPr>
              <w:t>–</w:t>
            </w:r>
            <w:r w:rsidR="00095E87" w:rsidRPr="009042C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9042C2">
              <w:rPr>
                <w:rFonts w:ascii="Tahoma" w:hAnsi="Tahoma" w:cs="Tahoma"/>
                <w:sz w:val="17"/>
                <w:szCs w:val="17"/>
              </w:rPr>
              <w:t>2,82</w:t>
            </w:r>
          </w:p>
        </w:tc>
      </w:tr>
      <w:tr w:rsidR="00666619" w:rsidRPr="00666619" w14:paraId="4998D395" w14:textId="77777777" w:rsidTr="00095E87">
        <w:trPr>
          <w:trHeight w:val="227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F2C64" w14:textId="77777777" w:rsidR="00AF4F75" w:rsidRPr="00666619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08C6AAAF" w14:textId="77777777" w:rsidR="00AF4F75" w:rsidRPr="00666619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 xml:space="preserve">Zde uvedený údaj přepočtený na Kč, účty vedeny v EUR.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88EB173" w14:textId="2B3D2412" w:rsidR="00AF4F75" w:rsidRPr="00666619" w:rsidRDefault="00477EEE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14,3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3A5342" w14:textId="539FE1C3" w:rsidR="00AF4F75" w:rsidRPr="00666619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0,00</w:t>
            </w:r>
            <w:r w:rsidR="006560C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66619">
              <w:rPr>
                <w:rFonts w:ascii="Tahoma" w:hAnsi="Tahoma" w:cs="Tahoma"/>
                <w:sz w:val="17"/>
                <w:szCs w:val="17"/>
              </w:rPr>
              <w:t>–</w:t>
            </w:r>
            <w:r w:rsidR="006560C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66619">
              <w:rPr>
                <w:rFonts w:ascii="Tahoma" w:hAnsi="Tahoma" w:cs="Tahoma"/>
                <w:sz w:val="17"/>
                <w:szCs w:val="17"/>
              </w:rPr>
              <w:t>0,05</w:t>
            </w:r>
          </w:p>
        </w:tc>
      </w:tr>
      <w:tr w:rsidR="00666619" w:rsidRPr="00666619" w14:paraId="531F2A03" w14:textId="77777777" w:rsidTr="00095E87">
        <w:trPr>
          <w:trHeight w:val="22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9D559" w14:textId="77777777" w:rsidR="00AF4F75" w:rsidRPr="00666619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7A5F1F" w14:textId="77777777" w:rsidR="00AF4F75" w:rsidRPr="00666619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9FED0C" w14:textId="2E8678C9" w:rsidR="00AF4F75" w:rsidRPr="00666619" w:rsidRDefault="00AF4F7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0,</w:t>
            </w:r>
            <w:r w:rsidR="00477EEE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B575" w14:textId="77777777" w:rsidR="00AF4F75" w:rsidRPr="00666619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66619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666619" w:rsidRPr="00666619" w14:paraId="150E63EE" w14:textId="77777777" w:rsidTr="00095E87">
        <w:trPr>
          <w:trHeight w:val="22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B8D21" w14:textId="77777777" w:rsidR="00AF4F75" w:rsidRPr="00666619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666619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2153E" w14:textId="77777777" w:rsidR="00AF4F75" w:rsidRPr="00666619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58E84" w14:textId="21CF98AC" w:rsidR="00AF4F75" w:rsidRPr="00666619" w:rsidRDefault="00AE63A1" w:rsidP="00D01969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10 356,5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93120" w14:textId="77777777" w:rsidR="00AF4F75" w:rsidRPr="00666619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6FD12A8E" w14:textId="77777777" w:rsidR="00703191" w:rsidRPr="00146328" w:rsidRDefault="00703191" w:rsidP="00FE4D61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161DAD7B" w14:textId="77777777" w:rsidR="00703191" w:rsidRPr="00146328" w:rsidRDefault="00703191" w:rsidP="00FE4D61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6F5ECA95" w14:textId="3AE1F73E" w:rsidR="00FE4D61" w:rsidRPr="00036FC1" w:rsidRDefault="00FE4D61" w:rsidP="00FE4D61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036FC1">
        <w:rPr>
          <w:rFonts w:ascii="Tahoma" w:hAnsi="Tahoma" w:cs="Tahoma"/>
          <w:sz w:val="20"/>
          <w:szCs w:val="20"/>
        </w:rPr>
        <w:lastRenderedPageBreak/>
        <w:t>Grafy: Rozložení finančních prostředků k</w:t>
      </w:r>
      <w:r w:rsidR="00036FC1" w:rsidRPr="00036FC1">
        <w:rPr>
          <w:rFonts w:ascii="Tahoma" w:hAnsi="Tahoma" w:cs="Tahoma"/>
          <w:sz w:val="20"/>
          <w:szCs w:val="20"/>
        </w:rPr>
        <w:t> 31.</w:t>
      </w:r>
      <w:r w:rsidR="009C799E">
        <w:rPr>
          <w:rFonts w:ascii="Tahoma" w:hAnsi="Tahoma" w:cs="Tahoma"/>
          <w:sz w:val="20"/>
          <w:szCs w:val="20"/>
        </w:rPr>
        <w:t>10</w:t>
      </w:r>
      <w:r w:rsidR="00036FC1" w:rsidRPr="00036FC1">
        <w:rPr>
          <w:rFonts w:ascii="Tahoma" w:hAnsi="Tahoma" w:cs="Tahoma"/>
          <w:sz w:val="20"/>
          <w:szCs w:val="20"/>
        </w:rPr>
        <w:t>.</w:t>
      </w:r>
      <w:r w:rsidRPr="00036FC1">
        <w:rPr>
          <w:rFonts w:ascii="Tahoma" w:hAnsi="Tahoma" w:cs="Tahoma"/>
          <w:sz w:val="20"/>
          <w:szCs w:val="20"/>
        </w:rPr>
        <w:t>202</w:t>
      </w:r>
      <w:r w:rsidR="00E65A4C" w:rsidRPr="00036FC1">
        <w:rPr>
          <w:rFonts w:ascii="Tahoma" w:hAnsi="Tahoma" w:cs="Tahoma"/>
          <w:sz w:val="20"/>
          <w:szCs w:val="20"/>
        </w:rPr>
        <w:t>5</w:t>
      </w:r>
      <w:r w:rsidRPr="00036FC1"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257F5D69" w14:textId="2E844DE0" w:rsidR="00FE4D61" w:rsidRPr="00146328" w:rsidRDefault="009A39C0" w:rsidP="00AF4F75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24AC572E" wp14:editId="11BA347C">
            <wp:extent cx="5760720" cy="3464560"/>
            <wp:effectExtent l="0" t="0" r="11430" b="2540"/>
            <wp:docPr id="63924345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5D49218-3B69-9AD2-99A2-029511A167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5F4922" w14:textId="62E37192" w:rsidR="00FE4D61" w:rsidRPr="00146328" w:rsidRDefault="008C2761" w:rsidP="00AF4F75">
      <w:pPr>
        <w:spacing w:before="24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4A88E759" wp14:editId="2DFF4C15">
            <wp:extent cx="5760720" cy="3412490"/>
            <wp:effectExtent l="0" t="0" r="11430" b="16510"/>
            <wp:docPr id="15581022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6CBD234-A9AD-7BF0-DC82-7255924940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799ADF" w14:textId="1E8C705D" w:rsidR="006F3EF5" w:rsidRPr="00B63A33" w:rsidRDefault="006F3EF5" w:rsidP="006F3EF5">
      <w:pPr>
        <w:pStyle w:val="Mjtext"/>
        <w:spacing w:before="240"/>
        <w:rPr>
          <w:bCs/>
          <w:iCs/>
        </w:rPr>
      </w:pPr>
      <w:r w:rsidRPr="00B63A33">
        <w:rPr>
          <w:bCs/>
          <w:iCs/>
        </w:rPr>
        <w:t>Z výše uvedeného grafu je patrno, že největší podíl úložek (9</w:t>
      </w:r>
      <w:r w:rsidR="00B63A33" w:rsidRPr="00B63A33">
        <w:rPr>
          <w:bCs/>
          <w:iCs/>
        </w:rPr>
        <w:t>6,</w:t>
      </w:r>
      <w:r w:rsidR="00810602">
        <w:rPr>
          <w:bCs/>
          <w:iCs/>
        </w:rPr>
        <w:t>5</w:t>
      </w:r>
      <w:r w:rsidRPr="00B63A33"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B52498" w:rsidRPr="00B63A33">
        <w:rPr>
          <w:bCs/>
          <w:iCs/>
        </w:rPr>
        <w:t>3</w:t>
      </w:r>
      <w:r w:rsidR="00B63A33" w:rsidRPr="00B63A33">
        <w:rPr>
          <w:bCs/>
          <w:iCs/>
        </w:rPr>
        <w:t>,</w:t>
      </w:r>
      <w:r w:rsidR="00810602">
        <w:rPr>
          <w:bCs/>
          <w:iCs/>
        </w:rPr>
        <w:t>5</w:t>
      </w:r>
      <w:r w:rsidRPr="00B63A33">
        <w:rPr>
          <w:bCs/>
          <w:iCs/>
        </w:rPr>
        <w:t xml:space="preserve"> %) je uložena u ostatních spolupracujících bankovních domů (konkrétně zejména u JT a OB. U Monety kraj nemá provedenou žádnou úložku).</w:t>
      </w:r>
    </w:p>
    <w:p w14:paraId="380336BE" w14:textId="77777777" w:rsidR="006F3EF5" w:rsidRPr="00146328" w:rsidRDefault="006F3EF5" w:rsidP="00AF4F75">
      <w:pPr>
        <w:pStyle w:val="Mjtext"/>
        <w:spacing w:before="360"/>
        <w:rPr>
          <w:b/>
          <w:iCs/>
          <w:color w:val="BFBFBF" w:themeColor="background1" w:themeShade="BF"/>
          <w:highlight w:val="yellow"/>
          <w:u w:val="single"/>
        </w:rPr>
      </w:pPr>
    </w:p>
    <w:p w14:paraId="12701F9E" w14:textId="77777777" w:rsidR="00240EB8" w:rsidRPr="00146328" w:rsidRDefault="00240EB8" w:rsidP="00AF4F75">
      <w:pPr>
        <w:pStyle w:val="Mjtext"/>
        <w:spacing w:before="360"/>
        <w:rPr>
          <w:b/>
          <w:iCs/>
          <w:color w:val="BFBFBF" w:themeColor="background1" w:themeShade="BF"/>
          <w:u w:val="single"/>
        </w:rPr>
      </w:pPr>
    </w:p>
    <w:p w14:paraId="6057A8F9" w14:textId="6D8495B5" w:rsidR="00AF4F75" w:rsidRPr="00D6106A" w:rsidRDefault="00AF4F75" w:rsidP="00AF4F75">
      <w:pPr>
        <w:pStyle w:val="Mjtext"/>
        <w:spacing w:before="360"/>
        <w:rPr>
          <w:b/>
          <w:iCs/>
          <w:u w:val="single"/>
        </w:rPr>
      </w:pPr>
      <w:r w:rsidRPr="00D6106A">
        <w:rPr>
          <w:b/>
          <w:iCs/>
          <w:u w:val="single"/>
        </w:rPr>
        <w:lastRenderedPageBreak/>
        <w:t>Informace k vývoji pohledávky kraje vůči Sberbank CZ, a.s. v likvidaci</w:t>
      </w:r>
    </w:p>
    <w:p w14:paraId="1DF87BFF" w14:textId="21893F48" w:rsidR="006C25BB" w:rsidRDefault="003970FD" w:rsidP="0085394D">
      <w:pPr>
        <w:jc w:val="both"/>
        <w:rPr>
          <w:rFonts w:ascii="Tahoma" w:hAnsi="Tahoma" w:cs="Tahoma"/>
          <w:sz w:val="20"/>
          <w:szCs w:val="20"/>
        </w:rPr>
      </w:pPr>
      <w:r w:rsidRPr="003970FD">
        <w:rPr>
          <w:rFonts w:ascii="Tahoma" w:hAnsi="Tahoma" w:cs="Tahoma"/>
          <w:sz w:val="20"/>
          <w:szCs w:val="20"/>
        </w:rPr>
        <w:t>Z celkové pohledávky kraje vůči Sberbank CZ, a.s. v likvidaci, ve výši 370,5 mil. Kč (z toho vložená jistina 350 mil. Kč, zbývající část tvoří dopočtené sankční úroky) kraj obdržel dne 26.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3970FD">
        <w:rPr>
          <w:rFonts w:ascii="Tahoma" w:hAnsi="Tahoma" w:cs="Tahoma"/>
          <w:sz w:val="20"/>
          <w:szCs w:val="20"/>
        </w:rPr>
        <w:t>3.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3970FD">
        <w:rPr>
          <w:rFonts w:ascii="Tahoma" w:hAnsi="Tahoma" w:cs="Tahoma"/>
          <w:sz w:val="20"/>
          <w:szCs w:val="20"/>
        </w:rPr>
        <w:t>2024 v rámci částečného rozvrhu 95 % této pohledávky ve výši 352,0 mil. Kč. Zbývající část 18,5 mil. Kč bude předmětem dalšího vypořádání ze strany insolvenční správkyně po rozprodeji zbývajícího majetku</w:t>
      </w:r>
    </w:p>
    <w:p w14:paraId="1D8B9E75" w14:textId="77777777" w:rsidR="00C34381" w:rsidRPr="00D6106A" w:rsidRDefault="00C34381" w:rsidP="0085394D">
      <w:pPr>
        <w:jc w:val="both"/>
        <w:rPr>
          <w:sz w:val="20"/>
          <w:szCs w:val="20"/>
          <w:highlight w:val="yellow"/>
        </w:rPr>
      </w:pPr>
    </w:p>
    <w:p w14:paraId="1FD933AB" w14:textId="7E1D731A" w:rsidR="00AF4F75" w:rsidRPr="00572FE5" w:rsidRDefault="008B2383" w:rsidP="00B5579B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B2383">
        <w:rPr>
          <w:rFonts w:ascii="Tahoma" w:hAnsi="Tahoma" w:cs="Tahoma"/>
          <w:sz w:val="20"/>
          <w:szCs w:val="20"/>
        </w:rPr>
        <w:t>Dle informací ze dne 4.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8B2383">
        <w:rPr>
          <w:rFonts w:ascii="Tahoma" w:hAnsi="Tahoma" w:cs="Tahoma"/>
          <w:sz w:val="20"/>
          <w:szCs w:val="20"/>
        </w:rPr>
        <w:t>4.</w:t>
      </w:r>
      <w:r w:rsidR="00E153CE">
        <w:rPr>
          <w:rFonts w:ascii="Tahoma" w:hAnsi="Tahoma" w:cs="Tahoma"/>
          <w:sz w:val="20"/>
          <w:szCs w:val="20"/>
        </w:rPr>
        <w:t xml:space="preserve"> </w:t>
      </w:r>
      <w:r w:rsidRPr="008B2383">
        <w:rPr>
          <w:rFonts w:ascii="Tahoma" w:hAnsi="Tahoma" w:cs="Tahoma"/>
          <w:sz w:val="20"/>
          <w:szCs w:val="20"/>
        </w:rPr>
        <w:t xml:space="preserve">2025 je novým vlastníkem Sberbank CZ, a. s. v likvidaci česká společnost Gomanold. Na fungování banky se tímto nic nemění, insolvenční správkyně JUDr. Jiřina Lužová i nadále řídí veškeré kroky směřující k vyplacení věřitelů Sberbank CZ a dokončení likvidace/konkursu banky. </w:t>
      </w:r>
      <w:r w:rsidRPr="00735F2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92499" w:rsidRPr="00A92499">
        <w:rPr>
          <w:rFonts w:ascii="Tahoma" w:hAnsi="Tahoma" w:cs="Tahoma"/>
          <w:b/>
          <w:bCs/>
          <w:sz w:val="20"/>
          <w:szCs w:val="20"/>
        </w:rPr>
        <w:t>Dne 9. 10. 2025 vydal insolvenční soud Usnesení o povolení částečného rozvrhu</w:t>
      </w:r>
      <w:r w:rsidR="00C46AC5">
        <w:rPr>
          <w:rFonts w:ascii="Tahoma" w:hAnsi="Tahoma" w:cs="Tahoma"/>
          <w:b/>
          <w:bCs/>
          <w:sz w:val="20"/>
          <w:szCs w:val="20"/>
        </w:rPr>
        <w:t>,</w:t>
      </w:r>
      <w:r w:rsidR="005801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5579B">
        <w:rPr>
          <w:rFonts w:ascii="Tahoma" w:hAnsi="Tahoma" w:cs="Tahoma"/>
          <w:b/>
          <w:bCs/>
          <w:sz w:val="20"/>
          <w:szCs w:val="20"/>
        </w:rPr>
        <w:t>na základě</w:t>
      </w:r>
      <w:r w:rsidR="00C46AC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5579B">
        <w:rPr>
          <w:rFonts w:ascii="Tahoma" w:hAnsi="Tahoma" w:cs="Tahoma"/>
          <w:b/>
          <w:bCs/>
          <w:sz w:val="20"/>
          <w:szCs w:val="20"/>
        </w:rPr>
        <w:t>kterého</w:t>
      </w:r>
      <w:r w:rsidRPr="00735F2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7049A">
        <w:rPr>
          <w:rFonts w:ascii="Tahoma" w:hAnsi="Tahoma" w:cs="Tahoma"/>
          <w:b/>
          <w:bCs/>
          <w:sz w:val="20"/>
          <w:szCs w:val="20"/>
        </w:rPr>
        <w:t>budou vyplaceny</w:t>
      </w:r>
      <w:r w:rsidRPr="00735F2A">
        <w:rPr>
          <w:rFonts w:ascii="Tahoma" w:hAnsi="Tahoma" w:cs="Tahoma"/>
          <w:b/>
          <w:bCs/>
          <w:sz w:val="20"/>
          <w:szCs w:val="20"/>
        </w:rPr>
        <w:t xml:space="preserve"> další 4 % z hodnoty pohledávek do</w:t>
      </w:r>
      <w:r w:rsidR="00735F2A">
        <w:rPr>
          <w:rFonts w:ascii="Tahoma" w:hAnsi="Tahoma" w:cs="Tahoma"/>
          <w:b/>
          <w:bCs/>
          <w:sz w:val="20"/>
          <w:szCs w:val="20"/>
        </w:rPr>
        <w:t> </w:t>
      </w:r>
      <w:r w:rsidRPr="00735F2A">
        <w:rPr>
          <w:rFonts w:ascii="Tahoma" w:hAnsi="Tahoma" w:cs="Tahoma"/>
          <w:b/>
          <w:bCs/>
          <w:sz w:val="20"/>
          <w:szCs w:val="20"/>
        </w:rPr>
        <w:t>konce roku 2025</w:t>
      </w:r>
      <w:r w:rsidR="00F5206B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A04CD6">
        <w:rPr>
          <w:rFonts w:ascii="Tahoma" w:hAnsi="Tahoma" w:cs="Tahoma"/>
          <w:b/>
          <w:bCs/>
          <w:sz w:val="20"/>
          <w:szCs w:val="20"/>
        </w:rPr>
        <w:t>MSK bude</w:t>
      </w:r>
      <w:r w:rsidR="00CB2FC5">
        <w:rPr>
          <w:rFonts w:ascii="Tahoma" w:hAnsi="Tahoma" w:cs="Tahoma"/>
          <w:b/>
          <w:bCs/>
          <w:sz w:val="20"/>
          <w:szCs w:val="20"/>
        </w:rPr>
        <w:t xml:space="preserve"> vyplaceno </w:t>
      </w:r>
      <w:r w:rsidR="00F5206B" w:rsidRPr="00F5206B">
        <w:rPr>
          <w:rFonts w:ascii="Tahoma" w:hAnsi="Tahoma" w:cs="Tahoma"/>
          <w:b/>
          <w:bCs/>
          <w:sz w:val="20"/>
          <w:szCs w:val="20"/>
        </w:rPr>
        <w:t>14</w:t>
      </w:r>
      <w:r w:rsidR="00EF2835">
        <w:rPr>
          <w:rFonts w:ascii="Tahoma" w:hAnsi="Tahoma" w:cs="Tahoma"/>
          <w:b/>
          <w:bCs/>
          <w:sz w:val="20"/>
          <w:szCs w:val="20"/>
        </w:rPr>
        <w:t>,</w:t>
      </w:r>
      <w:r w:rsidR="00F5206B" w:rsidRPr="00F5206B">
        <w:rPr>
          <w:rFonts w:ascii="Tahoma" w:hAnsi="Tahoma" w:cs="Tahoma"/>
          <w:b/>
          <w:bCs/>
          <w:sz w:val="20"/>
          <w:szCs w:val="20"/>
        </w:rPr>
        <w:t>8</w:t>
      </w:r>
      <w:r w:rsidR="00EF2835">
        <w:rPr>
          <w:rFonts w:ascii="Tahoma" w:hAnsi="Tahoma" w:cs="Tahoma"/>
          <w:b/>
          <w:bCs/>
          <w:sz w:val="20"/>
          <w:szCs w:val="20"/>
        </w:rPr>
        <w:t xml:space="preserve"> mil. </w:t>
      </w:r>
      <w:r w:rsidR="004C5100">
        <w:rPr>
          <w:rFonts w:ascii="Tahoma" w:hAnsi="Tahoma" w:cs="Tahoma"/>
          <w:b/>
          <w:bCs/>
          <w:sz w:val="20"/>
          <w:szCs w:val="20"/>
        </w:rPr>
        <w:t xml:space="preserve">Kč, </w:t>
      </w:r>
      <w:r w:rsidR="00CB2FC5">
        <w:rPr>
          <w:rFonts w:ascii="Tahoma" w:hAnsi="Tahoma" w:cs="Tahoma"/>
          <w:b/>
          <w:bCs/>
          <w:sz w:val="20"/>
          <w:szCs w:val="20"/>
        </w:rPr>
        <w:t>a z</w:t>
      </w:r>
      <w:r w:rsidR="00F5206B" w:rsidRPr="00F5206B">
        <w:rPr>
          <w:rFonts w:ascii="Tahoma" w:hAnsi="Tahoma" w:cs="Tahoma"/>
          <w:b/>
          <w:bCs/>
          <w:sz w:val="20"/>
          <w:szCs w:val="20"/>
        </w:rPr>
        <w:t>ůstává k</w:t>
      </w:r>
      <w:r w:rsidR="008B5FC6">
        <w:rPr>
          <w:rFonts w:ascii="Tahoma" w:hAnsi="Tahoma" w:cs="Tahoma"/>
          <w:b/>
          <w:bCs/>
          <w:sz w:val="20"/>
          <w:szCs w:val="20"/>
        </w:rPr>
        <w:t> </w:t>
      </w:r>
      <w:r w:rsidR="00F5206B" w:rsidRPr="00F5206B">
        <w:rPr>
          <w:rFonts w:ascii="Tahoma" w:hAnsi="Tahoma" w:cs="Tahoma"/>
          <w:b/>
          <w:bCs/>
          <w:sz w:val="20"/>
          <w:szCs w:val="20"/>
        </w:rPr>
        <w:t>výplatě</w:t>
      </w:r>
      <w:r w:rsidR="008B5FC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5206B" w:rsidRPr="00F5206B">
        <w:rPr>
          <w:rFonts w:ascii="Tahoma" w:hAnsi="Tahoma" w:cs="Tahoma"/>
          <w:b/>
          <w:bCs/>
          <w:sz w:val="20"/>
          <w:szCs w:val="20"/>
        </w:rPr>
        <w:t>3</w:t>
      </w:r>
      <w:r w:rsidR="00CB2FC5">
        <w:rPr>
          <w:rFonts w:ascii="Tahoma" w:hAnsi="Tahoma" w:cs="Tahoma"/>
          <w:b/>
          <w:bCs/>
          <w:sz w:val="20"/>
          <w:szCs w:val="20"/>
        </w:rPr>
        <w:t>,7 mil. Kč)</w:t>
      </w:r>
      <w:r w:rsidR="008B5FC6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735F2A">
        <w:rPr>
          <w:rFonts w:ascii="Tahoma" w:hAnsi="Tahoma" w:cs="Tahoma"/>
          <w:b/>
          <w:bCs/>
          <w:sz w:val="20"/>
          <w:szCs w:val="20"/>
        </w:rPr>
        <w:t>Výplata zbývajícího 1 % bude otázkou delšího času</w:t>
      </w:r>
      <w:r w:rsidR="00C73086" w:rsidRPr="00735F2A">
        <w:rPr>
          <w:rFonts w:ascii="Tahoma" w:hAnsi="Tahoma" w:cs="Tahoma"/>
          <w:b/>
          <w:bCs/>
          <w:sz w:val="20"/>
          <w:szCs w:val="20"/>
        </w:rPr>
        <w:t>.</w:t>
      </w:r>
    </w:p>
    <w:p w14:paraId="0799632C" w14:textId="77777777" w:rsidR="00C34381" w:rsidRDefault="00C34381" w:rsidP="00C34381">
      <w:pPr>
        <w:jc w:val="both"/>
        <w:rPr>
          <w:rFonts w:ascii="Tahoma" w:hAnsi="Tahoma" w:cs="Tahoma"/>
          <w:sz w:val="20"/>
          <w:szCs w:val="20"/>
        </w:rPr>
      </w:pPr>
    </w:p>
    <w:p w14:paraId="386CBBF9" w14:textId="18440923" w:rsidR="00C34381" w:rsidRPr="00D6106A" w:rsidRDefault="00C34381" w:rsidP="00C3438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D6106A">
        <w:rPr>
          <w:rFonts w:ascii="Tahoma" w:hAnsi="Tahoma" w:cs="Tahoma"/>
          <w:sz w:val="20"/>
          <w:szCs w:val="20"/>
        </w:rPr>
        <w:t>snesení</w:t>
      </w:r>
      <w:r>
        <w:rPr>
          <w:rFonts w:ascii="Tahoma" w:hAnsi="Tahoma" w:cs="Tahoma"/>
          <w:sz w:val="20"/>
          <w:szCs w:val="20"/>
        </w:rPr>
        <w:t>m</w:t>
      </w:r>
      <w:r w:rsidRPr="00D6106A">
        <w:rPr>
          <w:rFonts w:ascii="Tahoma" w:hAnsi="Tahoma" w:cs="Tahoma"/>
          <w:sz w:val="20"/>
          <w:szCs w:val="20"/>
        </w:rPr>
        <w:t xml:space="preserve"> rady kraje č. 2/28 ze dne 11.</w:t>
      </w:r>
      <w:r>
        <w:rPr>
          <w:rFonts w:ascii="Tahoma" w:hAnsi="Tahoma" w:cs="Tahoma"/>
          <w:sz w:val="20"/>
          <w:szCs w:val="20"/>
        </w:rPr>
        <w:t xml:space="preserve"> </w:t>
      </w:r>
      <w:r w:rsidRPr="00D6106A">
        <w:rPr>
          <w:rFonts w:ascii="Tahoma" w:hAnsi="Tahoma" w:cs="Tahoma"/>
          <w:sz w:val="20"/>
          <w:szCs w:val="20"/>
        </w:rPr>
        <w:t>11.</w:t>
      </w:r>
      <w:r>
        <w:rPr>
          <w:rFonts w:ascii="Tahoma" w:hAnsi="Tahoma" w:cs="Tahoma"/>
          <w:sz w:val="20"/>
          <w:szCs w:val="20"/>
        </w:rPr>
        <w:t xml:space="preserve"> </w:t>
      </w:r>
      <w:r w:rsidRPr="00D6106A">
        <w:rPr>
          <w:rFonts w:ascii="Tahoma" w:hAnsi="Tahoma" w:cs="Tahoma"/>
          <w:sz w:val="20"/>
          <w:szCs w:val="20"/>
        </w:rPr>
        <w:t xml:space="preserve">2024 </w:t>
      </w:r>
      <w:r>
        <w:rPr>
          <w:rFonts w:ascii="Tahoma" w:hAnsi="Tahoma" w:cs="Tahoma"/>
          <w:sz w:val="20"/>
          <w:szCs w:val="20"/>
        </w:rPr>
        <w:t>bylo</w:t>
      </w:r>
      <w:r w:rsidRPr="00D6106A">
        <w:rPr>
          <w:rFonts w:ascii="Tahoma" w:hAnsi="Tahoma" w:cs="Tahoma"/>
          <w:sz w:val="20"/>
          <w:szCs w:val="20"/>
        </w:rPr>
        <w:t> potvrzen</w:t>
      </w:r>
      <w:r>
        <w:rPr>
          <w:rFonts w:ascii="Tahoma" w:hAnsi="Tahoma" w:cs="Tahoma"/>
          <w:sz w:val="20"/>
          <w:szCs w:val="20"/>
        </w:rPr>
        <w:t>o</w:t>
      </w:r>
      <w:r w:rsidRPr="00D6106A">
        <w:rPr>
          <w:rFonts w:ascii="Tahoma" w:hAnsi="Tahoma" w:cs="Tahoma"/>
          <w:sz w:val="20"/>
          <w:szCs w:val="20"/>
        </w:rPr>
        <w:t xml:space="preserve"> stávající usnesení rady kraje č.</w:t>
      </w:r>
      <w:r w:rsidR="00544AE5">
        <w:rPr>
          <w:rFonts w:ascii="Tahoma" w:hAnsi="Tahoma" w:cs="Tahoma"/>
          <w:sz w:val="20"/>
          <w:szCs w:val="20"/>
        </w:rPr>
        <w:t> </w:t>
      </w:r>
      <w:r w:rsidRPr="00D6106A">
        <w:rPr>
          <w:rFonts w:ascii="Tahoma" w:hAnsi="Tahoma" w:cs="Tahoma"/>
          <w:sz w:val="20"/>
          <w:szCs w:val="20"/>
        </w:rPr>
        <w:t>94/6824 ze dne 8.</w:t>
      </w:r>
      <w:r>
        <w:rPr>
          <w:rFonts w:ascii="Tahoma" w:hAnsi="Tahoma" w:cs="Tahoma"/>
          <w:sz w:val="20"/>
          <w:szCs w:val="20"/>
        </w:rPr>
        <w:t xml:space="preserve"> 4</w:t>
      </w:r>
      <w:r w:rsidRPr="00D6106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D6106A">
        <w:rPr>
          <w:rFonts w:ascii="Tahoma" w:hAnsi="Tahoma" w:cs="Tahoma"/>
          <w:sz w:val="20"/>
          <w:szCs w:val="20"/>
        </w:rPr>
        <w:t>2024, na základě, kterého je možno u systémově významných bank (ČS, ČSOB, KB, RFB, UCB, PPF) provádět úložky s maximálně 12měsíční výpovědní lhůtou, u ostatních bank (JT, OB a MONETA) s maximálně 14denní výpovědní lhůtou. U ČNB je možnost zřizovat vklady bez omezení.</w:t>
      </w:r>
    </w:p>
    <w:p w14:paraId="4C7427A2" w14:textId="1E8D59CF" w:rsidR="004153D0" w:rsidRPr="00D6106A" w:rsidRDefault="00EB5F98" w:rsidP="004153D0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ED483A">
        <w:rPr>
          <w:rFonts w:ascii="Tahoma" w:hAnsi="Tahoma" w:cs="Tahoma"/>
          <w:sz w:val="20"/>
          <w:szCs w:val="20"/>
        </w:rPr>
        <w:t>Díky dennímu řízení cash</w:t>
      </w:r>
      <w:r w:rsidR="00535A0A" w:rsidRPr="00ED483A">
        <w:rPr>
          <w:rFonts w:ascii="Tahoma" w:hAnsi="Tahoma" w:cs="Tahoma"/>
          <w:sz w:val="20"/>
          <w:szCs w:val="20"/>
        </w:rPr>
        <w:t>-</w:t>
      </w:r>
      <w:r w:rsidRPr="00ED483A">
        <w:rPr>
          <w:rFonts w:ascii="Tahoma" w:hAnsi="Tahoma" w:cs="Tahoma"/>
          <w:sz w:val="20"/>
          <w:szCs w:val="20"/>
        </w:rPr>
        <w:t xml:space="preserve">flow se </w:t>
      </w:r>
      <w:r w:rsidR="00535A0A" w:rsidRPr="00ED483A">
        <w:rPr>
          <w:rFonts w:ascii="Tahoma" w:hAnsi="Tahoma" w:cs="Tahoma"/>
          <w:sz w:val="20"/>
          <w:szCs w:val="20"/>
        </w:rPr>
        <w:t xml:space="preserve">i </w:t>
      </w:r>
      <w:r w:rsidRPr="00ED483A">
        <w:rPr>
          <w:rFonts w:ascii="Tahoma" w:hAnsi="Tahoma" w:cs="Tahoma"/>
          <w:sz w:val="20"/>
          <w:szCs w:val="20"/>
        </w:rPr>
        <w:t xml:space="preserve">přes pokles úrokových sazeb daří </w:t>
      </w:r>
      <w:r w:rsidR="004153D0" w:rsidRPr="00ED483A">
        <w:rPr>
          <w:rFonts w:ascii="Tahoma" w:hAnsi="Tahoma" w:cs="Tahoma"/>
          <w:sz w:val="20"/>
          <w:szCs w:val="20"/>
        </w:rPr>
        <w:t xml:space="preserve">přeplňovat očekávaný příjem z úrokových výnosů. K datu </w:t>
      </w:r>
      <w:r w:rsidR="00B63A33" w:rsidRPr="00ED483A">
        <w:rPr>
          <w:rFonts w:ascii="Tahoma" w:hAnsi="Tahoma" w:cs="Tahoma"/>
          <w:sz w:val="20"/>
          <w:szCs w:val="20"/>
        </w:rPr>
        <w:t>31.</w:t>
      </w:r>
      <w:r w:rsidR="008F4222" w:rsidRPr="00ED483A">
        <w:rPr>
          <w:rFonts w:ascii="Tahoma" w:hAnsi="Tahoma" w:cs="Tahoma"/>
          <w:sz w:val="20"/>
          <w:szCs w:val="20"/>
        </w:rPr>
        <w:t xml:space="preserve"> </w:t>
      </w:r>
      <w:r w:rsidR="008B5FC6" w:rsidRPr="00ED483A">
        <w:rPr>
          <w:rFonts w:ascii="Tahoma" w:hAnsi="Tahoma" w:cs="Tahoma"/>
          <w:sz w:val="20"/>
          <w:szCs w:val="20"/>
        </w:rPr>
        <w:t>10</w:t>
      </w:r>
      <w:r w:rsidR="004153D0" w:rsidRPr="00ED483A">
        <w:rPr>
          <w:rFonts w:ascii="Tahoma" w:hAnsi="Tahoma" w:cs="Tahoma"/>
          <w:sz w:val="20"/>
          <w:szCs w:val="20"/>
        </w:rPr>
        <w:t>.</w:t>
      </w:r>
      <w:r w:rsidR="008F4222" w:rsidRPr="00ED483A">
        <w:rPr>
          <w:rFonts w:ascii="Tahoma" w:hAnsi="Tahoma" w:cs="Tahoma"/>
          <w:sz w:val="20"/>
          <w:szCs w:val="20"/>
        </w:rPr>
        <w:t xml:space="preserve"> </w:t>
      </w:r>
      <w:r w:rsidR="004153D0" w:rsidRPr="00ED483A">
        <w:rPr>
          <w:rFonts w:ascii="Tahoma" w:hAnsi="Tahoma" w:cs="Tahoma"/>
          <w:sz w:val="20"/>
          <w:szCs w:val="20"/>
        </w:rPr>
        <w:t>202</w:t>
      </w:r>
      <w:r w:rsidR="00D52200" w:rsidRPr="00ED483A">
        <w:rPr>
          <w:rFonts w:ascii="Tahoma" w:hAnsi="Tahoma" w:cs="Tahoma"/>
          <w:sz w:val="20"/>
          <w:szCs w:val="20"/>
        </w:rPr>
        <w:t>5</w:t>
      </w:r>
      <w:r w:rsidR="004153D0" w:rsidRPr="00ED483A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335FF7" w:rsidRPr="00ED483A">
        <w:rPr>
          <w:rFonts w:ascii="Tahoma" w:hAnsi="Tahoma" w:cs="Tahoma"/>
          <w:sz w:val="20"/>
          <w:szCs w:val="20"/>
        </w:rPr>
        <w:t>21</w:t>
      </w:r>
      <w:r w:rsidR="002B060D" w:rsidRPr="00ED483A">
        <w:rPr>
          <w:rFonts w:ascii="Tahoma" w:hAnsi="Tahoma" w:cs="Tahoma"/>
          <w:sz w:val="20"/>
          <w:szCs w:val="20"/>
        </w:rPr>
        <w:t>1</w:t>
      </w:r>
      <w:r w:rsidR="004153D0" w:rsidRPr="00ED483A">
        <w:rPr>
          <w:rFonts w:ascii="Tahoma" w:hAnsi="Tahoma" w:cs="Tahoma"/>
          <w:sz w:val="20"/>
          <w:szCs w:val="20"/>
        </w:rPr>
        <w:t xml:space="preserve"> mil. Kč (schválený rozpočet počítá s částkou </w:t>
      </w:r>
      <w:r w:rsidR="0077158F" w:rsidRPr="00ED483A">
        <w:rPr>
          <w:rFonts w:ascii="Tahoma" w:hAnsi="Tahoma" w:cs="Tahoma"/>
          <w:sz w:val="20"/>
          <w:szCs w:val="20"/>
        </w:rPr>
        <w:t>110</w:t>
      </w:r>
      <w:r w:rsidR="00ED483A" w:rsidRPr="00ED483A">
        <w:rPr>
          <w:rFonts w:ascii="Tahoma" w:hAnsi="Tahoma" w:cs="Tahoma"/>
          <w:sz w:val="20"/>
          <w:szCs w:val="20"/>
        </w:rPr>
        <w:t>,5</w:t>
      </w:r>
      <w:r w:rsidR="004153D0" w:rsidRPr="00ED483A">
        <w:rPr>
          <w:rFonts w:ascii="Tahoma" w:hAnsi="Tahoma" w:cs="Tahoma"/>
          <w:sz w:val="20"/>
          <w:szCs w:val="20"/>
        </w:rPr>
        <w:t> mil. Kč</w:t>
      </w:r>
      <w:r w:rsidR="00C92896" w:rsidRPr="00ED483A">
        <w:rPr>
          <w:rFonts w:ascii="Tahoma" w:hAnsi="Tahoma" w:cs="Tahoma"/>
          <w:sz w:val="20"/>
          <w:szCs w:val="20"/>
        </w:rPr>
        <w:t xml:space="preserve">). </w:t>
      </w:r>
      <w:r w:rsidR="004153D0" w:rsidRPr="00ED483A">
        <w:rPr>
          <w:rFonts w:ascii="Tahoma" w:hAnsi="Tahoma" w:cs="Tahoma"/>
          <w:sz w:val="20"/>
          <w:szCs w:val="20"/>
        </w:rPr>
        <w:t xml:space="preserve">Současně kraj ve sledovaném období inkasoval příjem ve výši </w:t>
      </w:r>
      <w:r w:rsidR="00ED483A" w:rsidRPr="00ED483A">
        <w:rPr>
          <w:rFonts w:ascii="Tahoma" w:hAnsi="Tahoma" w:cs="Tahoma"/>
          <w:sz w:val="20"/>
          <w:szCs w:val="20"/>
        </w:rPr>
        <w:t>37,5</w:t>
      </w:r>
      <w:r w:rsidR="004153D0" w:rsidRPr="00ED483A">
        <w:rPr>
          <w:rFonts w:ascii="Tahoma" w:hAnsi="Tahoma" w:cs="Tahoma"/>
          <w:sz w:val="20"/>
          <w:szCs w:val="20"/>
        </w:rPr>
        <w:t xml:space="preserve"> mil. Kč z vkladů u ČNB, který není veden jako klasický úrokový výnos, ale tzv. peněžní plnění nahrazující úrok.</w:t>
      </w:r>
    </w:p>
    <w:p w14:paraId="265AA2B8" w14:textId="77777777" w:rsidR="00FE4D61" w:rsidRPr="00146328" w:rsidRDefault="00FE4D61" w:rsidP="00AF4F75">
      <w:pPr>
        <w:spacing w:before="360" w:after="240"/>
        <w:jc w:val="both"/>
        <w:rPr>
          <w:rFonts w:ascii="Tahoma" w:hAnsi="Tahoma" w:cs="Tahoma"/>
          <w:color w:val="BFBFBF" w:themeColor="background1" w:themeShade="BF"/>
          <w:sz w:val="20"/>
          <w:szCs w:val="20"/>
          <w:highlight w:val="yellow"/>
        </w:rPr>
      </w:pPr>
    </w:p>
    <w:p w14:paraId="643D2E11" w14:textId="77777777" w:rsidR="00E24720" w:rsidRPr="00B63A33" w:rsidRDefault="00E24720" w:rsidP="00FE4D61">
      <w:pPr>
        <w:pStyle w:val="xl33"/>
        <w:tabs>
          <w:tab w:val="left" w:pos="2160"/>
        </w:tabs>
        <w:spacing w:before="400" w:beforeAutospacing="0" w:after="120" w:afterAutospacing="0"/>
        <w:jc w:val="left"/>
        <w:textAlignment w:val="auto"/>
        <w:rPr>
          <w:rFonts w:cs="Tahoma"/>
          <w:bCs w:val="0"/>
          <w:sz w:val="16"/>
          <w:szCs w:val="16"/>
          <w:u w:val="single"/>
        </w:rPr>
      </w:pPr>
      <w:r w:rsidRPr="00B63A33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A1D3040" w14:textId="6196B8CC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a.</w:t>
      </w:r>
      <w:r w:rsidR="009D70E5" w:rsidRPr="00B63A33">
        <w:rPr>
          <w:rFonts w:cs="Tahoma"/>
          <w:b w:val="0"/>
          <w:sz w:val="18"/>
          <w:szCs w:val="18"/>
        </w:rPr>
        <w:t> </w:t>
      </w:r>
      <w:r w:rsidRPr="00B63A33">
        <w:rPr>
          <w:rFonts w:cs="Tahoma"/>
          <w:b w:val="0"/>
          <w:sz w:val="18"/>
          <w:szCs w:val="18"/>
        </w:rPr>
        <w:t>s.</w:t>
      </w:r>
      <w:r w:rsidRPr="00B63A33">
        <w:rPr>
          <w:rFonts w:cs="Tahoma"/>
          <w:b w:val="0"/>
          <w:sz w:val="18"/>
          <w:szCs w:val="18"/>
        </w:rPr>
        <w:tab/>
        <w:t>akciová společnost</w:t>
      </w:r>
    </w:p>
    <w:p w14:paraId="6CD0B43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ČNB</w:t>
      </w:r>
      <w:r w:rsidRPr="00B63A33">
        <w:rPr>
          <w:rFonts w:cs="Tahoma"/>
          <w:b w:val="0"/>
          <w:sz w:val="18"/>
          <w:szCs w:val="18"/>
        </w:rPr>
        <w:tab/>
        <w:t>Česká národní banka</w:t>
      </w:r>
    </w:p>
    <w:p w14:paraId="1D9E2E7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ČS</w:t>
      </w:r>
      <w:r w:rsidRPr="00B63A33">
        <w:rPr>
          <w:rFonts w:cs="Tahoma"/>
          <w:b w:val="0"/>
          <w:sz w:val="18"/>
          <w:szCs w:val="18"/>
        </w:rPr>
        <w:tab/>
        <w:t>Česká spořitelna, a. s.</w:t>
      </w:r>
    </w:p>
    <w:p w14:paraId="586A7E80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ČSOB</w:t>
      </w:r>
      <w:r w:rsidRPr="00B63A33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0883CF77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DPH</w:t>
      </w:r>
      <w:r w:rsidRPr="00B63A33">
        <w:rPr>
          <w:rFonts w:cs="Tahoma"/>
          <w:b w:val="0"/>
          <w:sz w:val="18"/>
          <w:szCs w:val="18"/>
        </w:rPr>
        <w:tab/>
        <w:t>daň z přidané hodnoty</w:t>
      </w:r>
    </w:p>
    <w:p w14:paraId="43BACF5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EIB</w:t>
      </w:r>
      <w:r w:rsidRPr="00B63A33">
        <w:rPr>
          <w:rFonts w:cs="Tahoma"/>
          <w:b w:val="0"/>
          <w:sz w:val="18"/>
          <w:szCs w:val="18"/>
        </w:rPr>
        <w:tab/>
        <w:t>Evropská investiční banka</w:t>
      </w:r>
    </w:p>
    <w:p w14:paraId="70B0FE8A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EU</w:t>
      </w:r>
      <w:r w:rsidRPr="00B63A33">
        <w:rPr>
          <w:rFonts w:cs="Tahoma"/>
          <w:b w:val="0"/>
          <w:sz w:val="18"/>
          <w:szCs w:val="18"/>
        </w:rPr>
        <w:tab/>
        <w:t>Evropská unie</w:t>
      </w:r>
    </w:p>
    <w:p w14:paraId="5121EE57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ICT</w:t>
      </w:r>
      <w:r w:rsidRPr="00B63A33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1DC1635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JT</w:t>
      </w:r>
      <w:r w:rsidRPr="00B63A33">
        <w:rPr>
          <w:rFonts w:cs="Tahoma"/>
          <w:b w:val="0"/>
          <w:sz w:val="18"/>
          <w:szCs w:val="18"/>
        </w:rPr>
        <w:tab/>
        <w:t>J&amp;T Banka, a. s.</w:t>
      </w:r>
    </w:p>
    <w:p w14:paraId="1F0CAB0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KB</w:t>
      </w:r>
      <w:r w:rsidRPr="00B63A33">
        <w:rPr>
          <w:rFonts w:cs="Tahoma"/>
          <w:b w:val="0"/>
          <w:sz w:val="18"/>
          <w:szCs w:val="18"/>
        </w:rPr>
        <w:tab/>
        <w:t>Komerční banka, a. s.</w:t>
      </w:r>
    </w:p>
    <w:p w14:paraId="44098AF3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MONETA</w:t>
      </w:r>
      <w:r w:rsidRPr="00B63A33">
        <w:rPr>
          <w:rFonts w:cs="Tahoma"/>
          <w:b w:val="0"/>
          <w:sz w:val="18"/>
          <w:szCs w:val="18"/>
        </w:rPr>
        <w:tab/>
        <w:t>MONETA Money Bank, a. s.</w:t>
      </w:r>
    </w:p>
    <w:p w14:paraId="3D246598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MSK</w:t>
      </w:r>
      <w:r w:rsidRPr="00B63A33">
        <w:rPr>
          <w:rFonts w:cs="Tahoma"/>
          <w:b w:val="0"/>
          <w:sz w:val="18"/>
          <w:szCs w:val="18"/>
        </w:rPr>
        <w:tab/>
        <w:t>Moravskoslezský kraj</w:t>
      </w:r>
    </w:p>
    <w:p w14:paraId="385A3F7A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OB</w:t>
      </w:r>
      <w:r w:rsidRPr="00B63A33">
        <w:rPr>
          <w:rFonts w:cs="Tahoma"/>
          <w:b w:val="0"/>
          <w:sz w:val="18"/>
          <w:szCs w:val="18"/>
        </w:rPr>
        <w:tab/>
        <w:t>Oberbank AG pobočka Česká republika</w:t>
      </w:r>
    </w:p>
    <w:p w14:paraId="7941FB31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p. o.</w:t>
      </w:r>
      <w:r w:rsidRPr="00B63A33">
        <w:rPr>
          <w:rFonts w:cs="Tahoma"/>
          <w:b w:val="0"/>
          <w:sz w:val="18"/>
          <w:szCs w:val="18"/>
        </w:rPr>
        <w:tab/>
        <w:t>příspěvková organizace</w:t>
      </w:r>
    </w:p>
    <w:p w14:paraId="734E78C4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PPF</w:t>
      </w:r>
      <w:r w:rsidRPr="00B63A33">
        <w:rPr>
          <w:rFonts w:cs="Tahoma"/>
          <w:b w:val="0"/>
          <w:sz w:val="18"/>
          <w:szCs w:val="18"/>
        </w:rPr>
        <w:tab/>
        <w:t>PPF Banka, a. s.</w:t>
      </w:r>
    </w:p>
    <w:p w14:paraId="247BDBA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RFB</w:t>
      </w:r>
      <w:r w:rsidRPr="00B63A33">
        <w:rPr>
          <w:rFonts w:cs="Tahoma"/>
          <w:b w:val="0"/>
          <w:sz w:val="18"/>
          <w:szCs w:val="18"/>
        </w:rPr>
        <w:tab/>
        <w:t>Raiffeisenbank, a. s.</w:t>
      </w:r>
    </w:p>
    <w:p w14:paraId="3EA79261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RK</w:t>
      </w:r>
      <w:r w:rsidRPr="00B63A33">
        <w:rPr>
          <w:rFonts w:cs="Tahoma"/>
          <w:b w:val="0"/>
          <w:sz w:val="18"/>
          <w:szCs w:val="18"/>
        </w:rPr>
        <w:tab/>
        <w:t>rada kraje</w:t>
      </w:r>
    </w:p>
    <w:p w14:paraId="3DA769DB" w14:textId="632630E5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SB</w:t>
      </w:r>
      <w:r w:rsidRPr="00B63A33">
        <w:rPr>
          <w:rFonts w:cs="Tahoma"/>
          <w:b w:val="0"/>
          <w:sz w:val="18"/>
          <w:szCs w:val="18"/>
        </w:rPr>
        <w:tab/>
        <w:t>Sberbank CZ, a. s.</w:t>
      </w:r>
      <w:r w:rsidR="002D3F47" w:rsidRPr="00B63A33">
        <w:rPr>
          <w:rFonts w:cs="Tahoma"/>
          <w:b w:val="0"/>
          <w:sz w:val="18"/>
          <w:szCs w:val="18"/>
        </w:rPr>
        <w:t>, v likvidaci</w:t>
      </w:r>
    </w:p>
    <w:p w14:paraId="5A94CF7F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s. r. o.</w:t>
      </w:r>
      <w:r w:rsidRPr="00B63A33">
        <w:rPr>
          <w:rFonts w:cs="Tahoma"/>
          <w:b w:val="0"/>
          <w:sz w:val="18"/>
          <w:szCs w:val="18"/>
        </w:rPr>
        <w:tab/>
        <w:t>společnost s ručením omezeným</w:t>
      </w:r>
    </w:p>
    <w:p w14:paraId="19E92C48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UCB</w:t>
      </w:r>
      <w:r w:rsidRPr="00B63A33">
        <w:rPr>
          <w:rFonts w:cs="Tahoma"/>
          <w:b w:val="0"/>
          <w:sz w:val="18"/>
          <w:szCs w:val="18"/>
        </w:rPr>
        <w:tab/>
        <w:t>UniCredit Bank Czech Republic and Slovakia, a. s.</w:t>
      </w:r>
    </w:p>
    <w:p w14:paraId="21548446" w14:textId="77777777" w:rsidR="00E24720" w:rsidRPr="00B63A33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B63A33">
        <w:rPr>
          <w:rFonts w:cs="Tahoma"/>
          <w:b w:val="0"/>
          <w:sz w:val="18"/>
          <w:szCs w:val="18"/>
        </w:rPr>
        <w:t>ZK</w:t>
      </w:r>
      <w:r w:rsidRPr="00B63A33">
        <w:rPr>
          <w:rFonts w:cs="Tahoma"/>
          <w:b w:val="0"/>
          <w:sz w:val="18"/>
          <w:szCs w:val="18"/>
        </w:rPr>
        <w:tab/>
        <w:t>zastupitelstvo kraje</w:t>
      </w:r>
    </w:p>
    <w:p w14:paraId="42633B29" w14:textId="77777777" w:rsidR="00E24720" w:rsidRPr="00B63A33" w:rsidRDefault="00E24720" w:rsidP="00E24720">
      <w:pPr>
        <w:pStyle w:val="Mjtext"/>
        <w:spacing w:before="240"/>
        <w:rPr>
          <w:bCs/>
          <w:iCs/>
        </w:rPr>
      </w:pPr>
    </w:p>
    <w:sectPr w:rsidR="00E24720" w:rsidRPr="00B63A33" w:rsidSect="00A51BB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FBDE" w14:textId="77777777" w:rsidR="002D4F97" w:rsidRDefault="002D4F97" w:rsidP="00630977">
      <w:r>
        <w:separator/>
      </w:r>
    </w:p>
  </w:endnote>
  <w:endnote w:type="continuationSeparator" w:id="0">
    <w:p w14:paraId="09B749DA" w14:textId="77777777" w:rsidR="002D4F97" w:rsidRDefault="002D4F97" w:rsidP="006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D79B" w14:textId="578BFC63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E5103" wp14:editId="039CC4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634534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40001" w14:textId="0BE11962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E51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E40001" w14:textId="0BE11962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5C50" w14:textId="61CECDDC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BC6762" wp14:editId="65C8B1F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739288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B6DD" w14:textId="47032BDA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C676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BDBB6DD" w14:textId="47032BDA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F793" w14:textId="510ACB76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C61C8" wp14:editId="4D2281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3243580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C10B3" w14:textId="671970E0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61C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EFC10B3" w14:textId="671970E0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8C51" w14:textId="77777777" w:rsidR="002D4F97" w:rsidRDefault="002D4F97" w:rsidP="00630977">
      <w:r>
        <w:separator/>
      </w:r>
    </w:p>
  </w:footnote>
  <w:footnote w:type="continuationSeparator" w:id="0">
    <w:p w14:paraId="149D292B" w14:textId="77777777" w:rsidR="002D4F97" w:rsidRDefault="002D4F97" w:rsidP="0063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6F8" w14:textId="77777777" w:rsidR="00FE4D61" w:rsidRPr="00434448" w:rsidRDefault="00FE4D61" w:rsidP="00FE4D61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>Příloha č. 7</w:t>
    </w:r>
  </w:p>
  <w:p w14:paraId="4841EB56" w14:textId="77777777" w:rsidR="00FE4D61" w:rsidRDefault="00FE4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747"/>
    <w:multiLevelType w:val="hybridMultilevel"/>
    <w:tmpl w:val="C3261306"/>
    <w:lvl w:ilvl="0" w:tplc="87AAF2D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7CF786F"/>
    <w:multiLevelType w:val="multilevel"/>
    <w:tmpl w:val="D1A8C89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36EA64EE"/>
    <w:multiLevelType w:val="hybridMultilevel"/>
    <w:tmpl w:val="D23261AE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840"/>
    <w:multiLevelType w:val="hybridMultilevel"/>
    <w:tmpl w:val="1102F500"/>
    <w:lvl w:ilvl="0" w:tplc="0D64FB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2456"/>
    <w:multiLevelType w:val="hybridMultilevel"/>
    <w:tmpl w:val="C4406668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8" w15:restartNumberingAfterBreak="0">
    <w:nsid w:val="79C710D9"/>
    <w:multiLevelType w:val="multilevel"/>
    <w:tmpl w:val="36364466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sz w:val="27"/>
        <w:szCs w:val="27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2262602">
    <w:abstractNumId w:val="2"/>
  </w:num>
  <w:num w:numId="2" w16cid:durableId="1523744134">
    <w:abstractNumId w:val="8"/>
  </w:num>
  <w:num w:numId="3" w16cid:durableId="525680961">
    <w:abstractNumId w:val="6"/>
  </w:num>
  <w:num w:numId="4" w16cid:durableId="370543251">
    <w:abstractNumId w:val="4"/>
  </w:num>
  <w:num w:numId="5" w16cid:durableId="450831701">
    <w:abstractNumId w:val="1"/>
  </w:num>
  <w:num w:numId="6" w16cid:durableId="74712288">
    <w:abstractNumId w:val="0"/>
  </w:num>
  <w:num w:numId="7" w16cid:durableId="152987995">
    <w:abstractNumId w:val="5"/>
  </w:num>
  <w:num w:numId="8" w16cid:durableId="1002319573">
    <w:abstractNumId w:val="7"/>
  </w:num>
  <w:num w:numId="9" w16cid:durableId="113248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012B2"/>
    <w:rsid w:val="00010E49"/>
    <w:rsid w:val="000241A3"/>
    <w:rsid w:val="00025E36"/>
    <w:rsid w:val="000269D9"/>
    <w:rsid w:val="00034BCF"/>
    <w:rsid w:val="0003667C"/>
    <w:rsid w:val="00036FC1"/>
    <w:rsid w:val="00045325"/>
    <w:rsid w:val="000533A8"/>
    <w:rsid w:val="00054F87"/>
    <w:rsid w:val="00065C4E"/>
    <w:rsid w:val="00072483"/>
    <w:rsid w:val="00074504"/>
    <w:rsid w:val="00081D41"/>
    <w:rsid w:val="000828F9"/>
    <w:rsid w:val="000830CF"/>
    <w:rsid w:val="00083CBE"/>
    <w:rsid w:val="00095E87"/>
    <w:rsid w:val="000A35DD"/>
    <w:rsid w:val="000B7C33"/>
    <w:rsid w:val="000C0D71"/>
    <w:rsid w:val="000C0F0D"/>
    <w:rsid w:val="000C1F6B"/>
    <w:rsid w:val="000C30BB"/>
    <w:rsid w:val="000D1007"/>
    <w:rsid w:val="000D6665"/>
    <w:rsid w:val="000E737E"/>
    <w:rsid w:val="000E7C3C"/>
    <w:rsid w:val="000F34D7"/>
    <w:rsid w:val="000F470A"/>
    <w:rsid w:val="0010263E"/>
    <w:rsid w:val="00105475"/>
    <w:rsid w:val="001061C4"/>
    <w:rsid w:val="00106BDE"/>
    <w:rsid w:val="00107C5A"/>
    <w:rsid w:val="00110E71"/>
    <w:rsid w:val="001125C9"/>
    <w:rsid w:val="001238B9"/>
    <w:rsid w:val="001245F1"/>
    <w:rsid w:val="00134F62"/>
    <w:rsid w:val="00136926"/>
    <w:rsid w:val="00146328"/>
    <w:rsid w:val="001512F1"/>
    <w:rsid w:val="00151563"/>
    <w:rsid w:val="00163FCA"/>
    <w:rsid w:val="0016701D"/>
    <w:rsid w:val="001742B9"/>
    <w:rsid w:val="001756B1"/>
    <w:rsid w:val="00175CCE"/>
    <w:rsid w:val="00186F15"/>
    <w:rsid w:val="001870D6"/>
    <w:rsid w:val="001871FD"/>
    <w:rsid w:val="001939D5"/>
    <w:rsid w:val="001A64A5"/>
    <w:rsid w:val="001B2A4C"/>
    <w:rsid w:val="001B3D10"/>
    <w:rsid w:val="001B4AB8"/>
    <w:rsid w:val="001C1479"/>
    <w:rsid w:val="001C3830"/>
    <w:rsid w:val="001C66A2"/>
    <w:rsid w:val="001D0F1F"/>
    <w:rsid w:val="001D2C26"/>
    <w:rsid w:val="001D54AA"/>
    <w:rsid w:val="001E03D6"/>
    <w:rsid w:val="001F070A"/>
    <w:rsid w:val="00200265"/>
    <w:rsid w:val="002152F3"/>
    <w:rsid w:val="00216BD7"/>
    <w:rsid w:val="00222409"/>
    <w:rsid w:val="0022269E"/>
    <w:rsid w:val="00225682"/>
    <w:rsid w:val="002307DC"/>
    <w:rsid w:val="002317DD"/>
    <w:rsid w:val="002348B5"/>
    <w:rsid w:val="00240EB8"/>
    <w:rsid w:val="00242648"/>
    <w:rsid w:val="00242C6A"/>
    <w:rsid w:val="002474F0"/>
    <w:rsid w:val="0025196B"/>
    <w:rsid w:val="00260A6A"/>
    <w:rsid w:val="00264528"/>
    <w:rsid w:val="00285BE2"/>
    <w:rsid w:val="0028739B"/>
    <w:rsid w:val="0029232B"/>
    <w:rsid w:val="00295440"/>
    <w:rsid w:val="00296EDC"/>
    <w:rsid w:val="002A5294"/>
    <w:rsid w:val="002A7695"/>
    <w:rsid w:val="002B060D"/>
    <w:rsid w:val="002B2B1A"/>
    <w:rsid w:val="002C0210"/>
    <w:rsid w:val="002C55A5"/>
    <w:rsid w:val="002C6BBC"/>
    <w:rsid w:val="002D0E34"/>
    <w:rsid w:val="002D1B8C"/>
    <w:rsid w:val="002D3F47"/>
    <w:rsid w:val="002D4F97"/>
    <w:rsid w:val="002D50A7"/>
    <w:rsid w:val="002D7814"/>
    <w:rsid w:val="002F0C6B"/>
    <w:rsid w:val="002F449D"/>
    <w:rsid w:val="00312E79"/>
    <w:rsid w:val="003142FE"/>
    <w:rsid w:val="00314486"/>
    <w:rsid w:val="00316454"/>
    <w:rsid w:val="00317745"/>
    <w:rsid w:val="00335FF7"/>
    <w:rsid w:val="0035539B"/>
    <w:rsid w:val="00355CA3"/>
    <w:rsid w:val="003574D5"/>
    <w:rsid w:val="00365260"/>
    <w:rsid w:val="00366A87"/>
    <w:rsid w:val="00371AA1"/>
    <w:rsid w:val="00371E3E"/>
    <w:rsid w:val="00372C8F"/>
    <w:rsid w:val="003822E5"/>
    <w:rsid w:val="00386AD4"/>
    <w:rsid w:val="00386C4C"/>
    <w:rsid w:val="00386C4E"/>
    <w:rsid w:val="003913B6"/>
    <w:rsid w:val="00392C9E"/>
    <w:rsid w:val="00395471"/>
    <w:rsid w:val="003970FD"/>
    <w:rsid w:val="003A447D"/>
    <w:rsid w:val="003A7D22"/>
    <w:rsid w:val="003B79D3"/>
    <w:rsid w:val="003C2885"/>
    <w:rsid w:val="003C58E3"/>
    <w:rsid w:val="003E65D1"/>
    <w:rsid w:val="003F3A0D"/>
    <w:rsid w:val="003F3BEF"/>
    <w:rsid w:val="003F60A4"/>
    <w:rsid w:val="004153D0"/>
    <w:rsid w:val="00420F9F"/>
    <w:rsid w:val="00442784"/>
    <w:rsid w:val="00452013"/>
    <w:rsid w:val="004544AF"/>
    <w:rsid w:val="004549E1"/>
    <w:rsid w:val="00460694"/>
    <w:rsid w:val="004641AF"/>
    <w:rsid w:val="004702B2"/>
    <w:rsid w:val="00471BF7"/>
    <w:rsid w:val="00472690"/>
    <w:rsid w:val="00477EEE"/>
    <w:rsid w:val="004841B7"/>
    <w:rsid w:val="00486036"/>
    <w:rsid w:val="00487BCF"/>
    <w:rsid w:val="00492905"/>
    <w:rsid w:val="004A2315"/>
    <w:rsid w:val="004A7FA9"/>
    <w:rsid w:val="004B1555"/>
    <w:rsid w:val="004B355E"/>
    <w:rsid w:val="004B78EE"/>
    <w:rsid w:val="004C5100"/>
    <w:rsid w:val="004D2C64"/>
    <w:rsid w:val="004E0243"/>
    <w:rsid w:val="004E2147"/>
    <w:rsid w:val="004F23A8"/>
    <w:rsid w:val="005020F2"/>
    <w:rsid w:val="0051037D"/>
    <w:rsid w:val="00517002"/>
    <w:rsid w:val="005233E3"/>
    <w:rsid w:val="0053199E"/>
    <w:rsid w:val="00535A0A"/>
    <w:rsid w:val="00544AE5"/>
    <w:rsid w:val="0056230F"/>
    <w:rsid w:val="00571CD2"/>
    <w:rsid w:val="005722F6"/>
    <w:rsid w:val="00572FE5"/>
    <w:rsid w:val="00574290"/>
    <w:rsid w:val="00580132"/>
    <w:rsid w:val="00585E7C"/>
    <w:rsid w:val="005A4F64"/>
    <w:rsid w:val="005B19E9"/>
    <w:rsid w:val="005B34CF"/>
    <w:rsid w:val="005B4F94"/>
    <w:rsid w:val="005B5AA6"/>
    <w:rsid w:val="005C48C8"/>
    <w:rsid w:val="005D58E2"/>
    <w:rsid w:val="005F5229"/>
    <w:rsid w:val="005F6EA6"/>
    <w:rsid w:val="00606D88"/>
    <w:rsid w:val="006158BF"/>
    <w:rsid w:val="0062222F"/>
    <w:rsid w:val="006246D2"/>
    <w:rsid w:val="00630977"/>
    <w:rsid w:val="00632C11"/>
    <w:rsid w:val="006401EB"/>
    <w:rsid w:val="00647591"/>
    <w:rsid w:val="00651811"/>
    <w:rsid w:val="006560CA"/>
    <w:rsid w:val="006566F9"/>
    <w:rsid w:val="00663BB4"/>
    <w:rsid w:val="00666619"/>
    <w:rsid w:val="00674846"/>
    <w:rsid w:val="006756DC"/>
    <w:rsid w:val="00677E3D"/>
    <w:rsid w:val="00680B54"/>
    <w:rsid w:val="00685BBC"/>
    <w:rsid w:val="006A5C9F"/>
    <w:rsid w:val="006B1AAB"/>
    <w:rsid w:val="006B575A"/>
    <w:rsid w:val="006B7A0F"/>
    <w:rsid w:val="006C25BB"/>
    <w:rsid w:val="006D0134"/>
    <w:rsid w:val="006D4B4E"/>
    <w:rsid w:val="006F1E13"/>
    <w:rsid w:val="006F3EF5"/>
    <w:rsid w:val="006F40B0"/>
    <w:rsid w:val="006F7D2C"/>
    <w:rsid w:val="0070143F"/>
    <w:rsid w:val="007022B8"/>
    <w:rsid w:val="00703191"/>
    <w:rsid w:val="00704CE8"/>
    <w:rsid w:val="0070791F"/>
    <w:rsid w:val="00707CD4"/>
    <w:rsid w:val="007177A6"/>
    <w:rsid w:val="007311BC"/>
    <w:rsid w:val="00735F2A"/>
    <w:rsid w:val="00737454"/>
    <w:rsid w:val="007437C4"/>
    <w:rsid w:val="00744DBD"/>
    <w:rsid w:val="00751847"/>
    <w:rsid w:val="00752EE2"/>
    <w:rsid w:val="00770C53"/>
    <w:rsid w:val="0077158F"/>
    <w:rsid w:val="00773802"/>
    <w:rsid w:val="00774B20"/>
    <w:rsid w:val="007A1A1A"/>
    <w:rsid w:val="007A47FD"/>
    <w:rsid w:val="007B0FC8"/>
    <w:rsid w:val="007B2673"/>
    <w:rsid w:val="007C5D30"/>
    <w:rsid w:val="007D6E95"/>
    <w:rsid w:val="007D7885"/>
    <w:rsid w:val="007E2E26"/>
    <w:rsid w:val="007F368C"/>
    <w:rsid w:val="008051D0"/>
    <w:rsid w:val="008055BA"/>
    <w:rsid w:val="00810602"/>
    <w:rsid w:val="0081521A"/>
    <w:rsid w:val="008220AE"/>
    <w:rsid w:val="008228BF"/>
    <w:rsid w:val="00824A61"/>
    <w:rsid w:val="0082571A"/>
    <w:rsid w:val="00841B4F"/>
    <w:rsid w:val="0085394D"/>
    <w:rsid w:val="00853A30"/>
    <w:rsid w:val="00860A67"/>
    <w:rsid w:val="00862C40"/>
    <w:rsid w:val="00872EF7"/>
    <w:rsid w:val="008860A2"/>
    <w:rsid w:val="00896C18"/>
    <w:rsid w:val="008A2730"/>
    <w:rsid w:val="008A5661"/>
    <w:rsid w:val="008A7B24"/>
    <w:rsid w:val="008B2383"/>
    <w:rsid w:val="008B3C03"/>
    <w:rsid w:val="008B3EB8"/>
    <w:rsid w:val="008B5FC6"/>
    <w:rsid w:val="008C25CA"/>
    <w:rsid w:val="008C2761"/>
    <w:rsid w:val="008C3B7F"/>
    <w:rsid w:val="008D709F"/>
    <w:rsid w:val="008E4C52"/>
    <w:rsid w:val="008F05C6"/>
    <w:rsid w:val="008F0F03"/>
    <w:rsid w:val="008F2AE1"/>
    <w:rsid w:val="008F4222"/>
    <w:rsid w:val="00903BF6"/>
    <w:rsid w:val="009042C2"/>
    <w:rsid w:val="00910FBC"/>
    <w:rsid w:val="0091587A"/>
    <w:rsid w:val="0093303C"/>
    <w:rsid w:val="00935E43"/>
    <w:rsid w:val="00937823"/>
    <w:rsid w:val="00941605"/>
    <w:rsid w:val="00943162"/>
    <w:rsid w:val="00945E9A"/>
    <w:rsid w:val="009559A6"/>
    <w:rsid w:val="00961062"/>
    <w:rsid w:val="00973AF0"/>
    <w:rsid w:val="00980BE6"/>
    <w:rsid w:val="00986745"/>
    <w:rsid w:val="009927AE"/>
    <w:rsid w:val="009A39C0"/>
    <w:rsid w:val="009B1FBC"/>
    <w:rsid w:val="009C10B2"/>
    <w:rsid w:val="009C1929"/>
    <w:rsid w:val="009C6939"/>
    <w:rsid w:val="009C7012"/>
    <w:rsid w:val="009C799E"/>
    <w:rsid w:val="009D04A5"/>
    <w:rsid w:val="009D6028"/>
    <w:rsid w:val="009D70E5"/>
    <w:rsid w:val="009E0DBD"/>
    <w:rsid w:val="009E6DBF"/>
    <w:rsid w:val="00A04AF2"/>
    <w:rsid w:val="00A04CD6"/>
    <w:rsid w:val="00A176A6"/>
    <w:rsid w:val="00A21FB9"/>
    <w:rsid w:val="00A243FB"/>
    <w:rsid w:val="00A3724B"/>
    <w:rsid w:val="00A379B2"/>
    <w:rsid w:val="00A41558"/>
    <w:rsid w:val="00A514AE"/>
    <w:rsid w:val="00A51BB2"/>
    <w:rsid w:val="00A545FC"/>
    <w:rsid w:val="00A54DEC"/>
    <w:rsid w:val="00A57B8D"/>
    <w:rsid w:val="00A749F2"/>
    <w:rsid w:val="00A80D7A"/>
    <w:rsid w:val="00A853D8"/>
    <w:rsid w:val="00A92499"/>
    <w:rsid w:val="00A97C12"/>
    <w:rsid w:val="00AB1A6B"/>
    <w:rsid w:val="00AB3E50"/>
    <w:rsid w:val="00AB608F"/>
    <w:rsid w:val="00AB61E7"/>
    <w:rsid w:val="00AC7236"/>
    <w:rsid w:val="00AC7AFC"/>
    <w:rsid w:val="00AD7153"/>
    <w:rsid w:val="00AE10DF"/>
    <w:rsid w:val="00AE20F1"/>
    <w:rsid w:val="00AE6280"/>
    <w:rsid w:val="00AE63A1"/>
    <w:rsid w:val="00AF2F5A"/>
    <w:rsid w:val="00AF3B32"/>
    <w:rsid w:val="00AF4F75"/>
    <w:rsid w:val="00AF5761"/>
    <w:rsid w:val="00AF6552"/>
    <w:rsid w:val="00AF6A92"/>
    <w:rsid w:val="00B05AD5"/>
    <w:rsid w:val="00B26115"/>
    <w:rsid w:val="00B50700"/>
    <w:rsid w:val="00B52498"/>
    <w:rsid w:val="00B5579B"/>
    <w:rsid w:val="00B63A33"/>
    <w:rsid w:val="00B77E85"/>
    <w:rsid w:val="00B92A91"/>
    <w:rsid w:val="00B9408A"/>
    <w:rsid w:val="00B95749"/>
    <w:rsid w:val="00B95FDE"/>
    <w:rsid w:val="00BB3998"/>
    <w:rsid w:val="00BB4246"/>
    <w:rsid w:val="00BC26B0"/>
    <w:rsid w:val="00BD34B6"/>
    <w:rsid w:val="00BD6C52"/>
    <w:rsid w:val="00BE0EB7"/>
    <w:rsid w:val="00BE1306"/>
    <w:rsid w:val="00BE544F"/>
    <w:rsid w:val="00BE7B8A"/>
    <w:rsid w:val="00BF1E0A"/>
    <w:rsid w:val="00BF4D8E"/>
    <w:rsid w:val="00BF5006"/>
    <w:rsid w:val="00BF7CAC"/>
    <w:rsid w:val="00C00E3F"/>
    <w:rsid w:val="00C05F4D"/>
    <w:rsid w:val="00C1150C"/>
    <w:rsid w:val="00C13781"/>
    <w:rsid w:val="00C15154"/>
    <w:rsid w:val="00C25FE3"/>
    <w:rsid w:val="00C26416"/>
    <w:rsid w:val="00C32DB4"/>
    <w:rsid w:val="00C34381"/>
    <w:rsid w:val="00C358C6"/>
    <w:rsid w:val="00C3766C"/>
    <w:rsid w:val="00C46AC5"/>
    <w:rsid w:val="00C5068D"/>
    <w:rsid w:val="00C54D0F"/>
    <w:rsid w:val="00C57046"/>
    <w:rsid w:val="00C578C6"/>
    <w:rsid w:val="00C649C7"/>
    <w:rsid w:val="00C66FD9"/>
    <w:rsid w:val="00C7049A"/>
    <w:rsid w:val="00C73086"/>
    <w:rsid w:val="00C80AE9"/>
    <w:rsid w:val="00C85D46"/>
    <w:rsid w:val="00C92896"/>
    <w:rsid w:val="00C93E02"/>
    <w:rsid w:val="00C94085"/>
    <w:rsid w:val="00CA7ED7"/>
    <w:rsid w:val="00CB2FC5"/>
    <w:rsid w:val="00CB7B89"/>
    <w:rsid w:val="00CC0937"/>
    <w:rsid w:val="00CC2FC2"/>
    <w:rsid w:val="00CD3943"/>
    <w:rsid w:val="00CD7C1B"/>
    <w:rsid w:val="00CE0EDE"/>
    <w:rsid w:val="00CE2968"/>
    <w:rsid w:val="00CF244A"/>
    <w:rsid w:val="00CF60BF"/>
    <w:rsid w:val="00CF6198"/>
    <w:rsid w:val="00CF7248"/>
    <w:rsid w:val="00D01969"/>
    <w:rsid w:val="00D1537F"/>
    <w:rsid w:val="00D16515"/>
    <w:rsid w:val="00D17B7D"/>
    <w:rsid w:val="00D24C46"/>
    <w:rsid w:val="00D275A2"/>
    <w:rsid w:val="00D350B8"/>
    <w:rsid w:val="00D3713B"/>
    <w:rsid w:val="00D469BF"/>
    <w:rsid w:val="00D46D10"/>
    <w:rsid w:val="00D52200"/>
    <w:rsid w:val="00D53FE2"/>
    <w:rsid w:val="00D6106A"/>
    <w:rsid w:val="00D708C1"/>
    <w:rsid w:val="00D840D0"/>
    <w:rsid w:val="00D85648"/>
    <w:rsid w:val="00D96834"/>
    <w:rsid w:val="00D96D78"/>
    <w:rsid w:val="00DA1571"/>
    <w:rsid w:val="00DA5E27"/>
    <w:rsid w:val="00DB5329"/>
    <w:rsid w:val="00DB5A9E"/>
    <w:rsid w:val="00DC5A1B"/>
    <w:rsid w:val="00DD2ECC"/>
    <w:rsid w:val="00DF041E"/>
    <w:rsid w:val="00E001D7"/>
    <w:rsid w:val="00E109ED"/>
    <w:rsid w:val="00E12377"/>
    <w:rsid w:val="00E12F75"/>
    <w:rsid w:val="00E153CE"/>
    <w:rsid w:val="00E1636A"/>
    <w:rsid w:val="00E21151"/>
    <w:rsid w:val="00E24720"/>
    <w:rsid w:val="00E32605"/>
    <w:rsid w:val="00E41719"/>
    <w:rsid w:val="00E555B5"/>
    <w:rsid w:val="00E56E7D"/>
    <w:rsid w:val="00E63692"/>
    <w:rsid w:val="00E65A4C"/>
    <w:rsid w:val="00E8370C"/>
    <w:rsid w:val="00E867A7"/>
    <w:rsid w:val="00E93605"/>
    <w:rsid w:val="00E96FB5"/>
    <w:rsid w:val="00E974FD"/>
    <w:rsid w:val="00E97DEB"/>
    <w:rsid w:val="00EA3260"/>
    <w:rsid w:val="00EA3DAF"/>
    <w:rsid w:val="00EA4D26"/>
    <w:rsid w:val="00EA7D65"/>
    <w:rsid w:val="00EB00CC"/>
    <w:rsid w:val="00EB0EA5"/>
    <w:rsid w:val="00EB1EB4"/>
    <w:rsid w:val="00EB3046"/>
    <w:rsid w:val="00EB5F98"/>
    <w:rsid w:val="00EC06A8"/>
    <w:rsid w:val="00EC2B19"/>
    <w:rsid w:val="00ED483A"/>
    <w:rsid w:val="00ED53B2"/>
    <w:rsid w:val="00ED58D2"/>
    <w:rsid w:val="00EE1752"/>
    <w:rsid w:val="00EF1DDD"/>
    <w:rsid w:val="00EF2835"/>
    <w:rsid w:val="00EF751E"/>
    <w:rsid w:val="00F01F03"/>
    <w:rsid w:val="00F04F38"/>
    <w:rsid w:val="00F07FB1"/>
    <w:rsid w:val="00F14131"/>
    <w:rsid w:val="00F1477E"/>
    <w:rsid w:val="00F26DA8"/>
    <w:rsid w:val="00F31B5B"/>
    <w:rsid w:val="00F33465"/>
    <w:rsid w:val="00F502A3"/>
    <w:rsid w:val="00F5206B"/>
    <w:rsid w:val="00F564B6"/>
    <w:rsid w:val="00F5650C"/>
    <w:rsid w:val="00F63571"/>
    <w:rsid w:val="00F65896"/>
    <w:rsid w:val="00F724C5"/>
    <w:rsid w:val="00F82B34"/>
    <w:rsid w:val="00F8736E"/>
    <w:rsid w:val="00F9638F"/>
    <w:rsid w:val="00FA4310"/>
    <w:rsid w:val="00FA5A65"/>
    <w:rsid w:val="00FB4DF0"/>
    <w:rsid w:val="00FC140A"/>
    <w:rsid w:val="00FC34C7"/>
    <w:rsid w:val="00FC431E"/>
    <w:rsid w:val="00FE4D61"/>
    <w:rsid w:val="00FE5F3D"/>
    <w:rsid w:val="00FE7AD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4CB"/>
  <w15:chartTrackingRefBased/>
  <w15:docId w15:val="{2DCCF48E-85BD-4DE9-860B-F55B0B9C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F75"/>
    <w:pPr>
      <w:keepNext/>
      <w:numPr>
        <w:numId w:val="2"/>
      </w:numPr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AF4F75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85394D"/>
    <w:pPr>
      <w:numPr>
        <w:ilvl w:val="2"/>
        <w:numId w:val="2"/>
      </w:num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AF4F75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F4F75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F4F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F4F7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F4F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F4F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F75"/>
    <w:rPr>
      <w:rFonts w:ascii="Tahoma" w:eastAsia="Times New Roman" w:hAnsi="Tahoma" w:cs="Arial"/>
      <w:b/>
      <w:bCs/>
      <w:kern w:val="32"/>
      <w:sz w:val="27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F4F75"/>
    <w:rPr>
      <w:rFonts w:ascii="Tahoma" w:eastAsia="Times New Roman" w:hAnsi="Tahoma" w:cs="Tahoma"/>
      <w:b/>
      <w:bCs/>
      <w:i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5394D"/>
    <w:rPr>
      <w:rFonts w:ascii="Tahoma" w:eastAsia="Times New Roman" w:hAnsi="Tahoma" w:cs="Tahoma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F4F75"/>
    <w:rPr>
      <w:rFonts w:ascii="Times New Roman" w:eastAsia="Times New Roman" w:hAnsi="Times New Roman" w:cs="Times New Roman"/>
      <w:b/>
      <w:bCs/>
      <w:kern w:val="0"/>
      <w:sz w:val="24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F4F75"/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F4F75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AF4F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AF4F75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AF4F75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BE0EB7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b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BE0EB7"/>
    <w:rPr>
      <w:rFonts w:ascii="Tahoma" w:eastAsia="Times New Roman" w:hAnsi="Tahoma" w:cs="Tahoma"/>
      <w:b/>
      <w:kern w:val="0"/>
      <w:sz w:val="18"/>
      <w:szCs w:val="18"/>
      <w:lang w:eastAsia="cs-CZ"/>
      <w14:ligatures w14:val="none"/>
    </w:rPr>
  </w:style>
  <w:style w:type="paragraph" w:customStyle="1" w:styleId="Mjtext">
    <w:name w:val="Můj text"/>
    <w:basedOn w:val="Normln"/>
    <w:link w:val="MjtextChar"/>
    <w:rsid w:val="00AF4F75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F4F75"/>
    <w:rPr>
      <w:rFonts w:ascii="Tahoma" w:eastAsia="Times New Roman" w:hAnsi="Tahoma" w:cs="Tahoma"/>
      <w:kern w:val="0"/>
      <w:sz w:val="20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AF4F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30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9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722F6"/>
    <w:pPr>
      <w:ind w:left="720"/>
      <w:contextualSpacing/>
    </w:pPr>
  </w:style>
  <w:style w:type="paragraph" w:customStyle="1" w:styleId="xl33">
    <w:name w:val="xl33"/>
    <w:basedOn w:val="Normln"/>
    <w:rsid w:val="00E24720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paragraph" w:styleId="Revize">
    <w:name w:val="Revision"/>
    <w:hidden/>
    <w:uiPriority w:val="99"/>
    <w:semiHidden/>
    <w:rsid w:val="0010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E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D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5/10_2025/2025_10_31_Stavy%20&#250;&#269;t&#367;_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5/10_2025/2025_10_31_Stavy%20&#250;&#269;t&#367;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31.10.2025 dle typů účtů v %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16254842612758511"/>
          <c:y val="1.25786163522012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0C-4AB5-8CA5-7CAE51DE87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0C-4AB5-8CA5-7CAE51DE87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0C-4AB5-8CA5-7CAE51DE87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C0C-4AB5-8CA5-7CAE51DE87B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C0C-4AB5-8CA5-7CAE51DE87B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C0C-4AB5-8CA5-7CAE51DE87B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C0C-4AB5-8CA5-7CAE51DE87B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C0C-4AB5-8CA5-7CAE51DE87B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C0C-4AB5-8CA5-7CAE51DE87B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C0C-4AB5-8CA5-7CAE51DE87B7}"/>
              </c:ext>
            </c:extLst>
          </c:dPt>
          <c:dLbls>
            <c:dLbl>
              <c:idx val="0"/>
              <c:layout>
                <c:manualLayout>
                  <c:x val="2.9622165284894943E-2"/>
                  <c:y val="2.20186690373380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0C-4AB5-8CA5-7CAE51DE87B7}"/>
                </c:ext>
              </c:extLst>
            </c:dLbl>
            <c:dLbl>
              <c:idx val="1"/>
              <c:layout>
                <c:manualLayout>
                  <c:x val="6.0044451890322079E-2"/>
                  <c:y val="-3.58287525380083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0C-4AB5-8CA5-7CAE51DE87B7}"/>
                </c:ext>
              </c:extLst>
            </c:dLbl>
            <c:dLbl>
              <c:idx val="2"/>
              <c:layout>
                <c:manualLayout>
                  <c:x val="7.1868505798477381E-2"/>
                  <c:y val="2.94448571287078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0C-4AB5-8CA5-7CAE51DE87B7}"/>
                </c:ext>
              </c:extLst>
            </c:dLbl>
            <c:dLbl>
              <c:idx val="3"/>
              <c:layout>
                <c:manualLayout>
                  <c:x val="-3.0348057556635208E-2"/>
                  <c:y val="-2.4198979844500569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0C-4AB5-8CA5-7CAE51DE87B7}"/>
                </c:ext>
              </c:extLst>
            </c:dLbl>
            <c:dLbl>
              <c:idx val="4"/>
              <c:layout>
                <c:manualLayout>
                  <c:x val="-0.10226719532398876"/>
                  <c:y val="0.1067595206259594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0C-4AB5-8CA5-7CAE51DE87B7}"/>
                </c:ext>
              </c:extLst>
            </c:dLbl>
            <c:dLbl>
              <c:idx val="5"/>
              <c:layout>
                <c:manualLayout>
                  <c:x val="-4.6251410063103814E-2"/>
                  <c:y val="8.716510672015048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0C-4AB5-8CA5-7CAE51DE87B7}"/>
                </c:ext>
              </c:extLst>
            </c:dLbl>
            <c:dLbl>
              <c:idx val="6"/>
              <c:layout>
                <c:manualLayout>
                  <c:x val="-0.12348352289297171"/>
                  <c:y val="5.3793266677442109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0C-4AB5-8CA5-7CAE51DE87B7}"/>
                </c:ext>
              </c:extLst>
            </c:dLbl>
            <c:dLbl>
              <c:idx val="7"/>
              <c:layout>
                <c:manualLayout>
                  <c:x val="-0.10588138288269522"/>
                  <c:y val="-8.258768790264853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0C-4AB5-8CA5-7CAE51DE87B7}"/>
                </c:ext>
              </c:extLst>
            </c:dLbl>
            <c:dLbl>
              <c:idx val="8"/>
              <c:layout>
                <c:manualLayout>
                  <c:x val="-2.0031350247885722E-2"/>
                  <c:y val="-9.38234581014616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C0C-4AB5-8CA5-7CAE51DE87B7}"/>
                </c:ext>
              </c:extLst>
            </c:dLbl>
            <c:dLbl>
              <c:idx val="9"/>
              <c:layout>
                <c:manualLayout>
                  <c:x val="7.5613985751781021E-2"/>
                  <c:y val="-0.1214835361488904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C0C-4AB5-8CA5-7CAE51DE87B7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C0C-4AB5-8CA5-7CAE51DE87B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39.033993187887845</c:v>
                </c:pt>
                <c:pt idx="1">
                  <c:v>8.6904758934485997</c:v>
                </c:pt>
                <c:pt idx="2">
                  <c:v>10.056408508999821</c:v>
                </c:pt>
                <c:pt idx="3">
                  <c:v>19.145509464682469</c:v>
                </c:pt>
                <c:pt idx="4">
                  <c:v>10.470742557632146</c:v>
                </c:pt>
                <c:pt idx="5">
                  <c:v>0.18590498517514356</c:v>
                </c:pt>
                <c:pt idx="6">
                  <c:v>1.7574839534040243</c:v>
                </c:pt>
                <c:pt idx="7">
                  <c:v>5.0376962513917567</c:v>
                </c:pt>
                <c:pt idx="8">
                  <c:v>5.4840405144617641</c:v>
                </c:pt>
                <c:pt idx="9">
                  <c:v>0.13774468291642944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C0C-4AB5-8CA5-7CAE51DE8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31.10.2025 dle bankovních domů v %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(pozn.:SVI=systémově významná instituce dle ČNB) </a:t>
            </a:r>
          </a:p>
          <a:p>
            <a:pPr>
              <a:defRPr sz="900" b="1" i="0" u="none" strike="noStrike" baseline="0">
                <a:solidFill>
                  <a:srgbClr val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16121092502326098"/>
          <c:y val="2.395464895135223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2C-4F23-AC48-E42A9BFAB0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2C-4F23-AC48-E42A9BFAB0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2C-4F23-AC48-E42A9BFAB0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2C-4F23-AC48-E42A9BFAB0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F2C-4F23-AC48-E42A9BFAB0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F2C-4F23-AC48-E42A9BFAB0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F2C-4F23-AC48-E42A9BFAB0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F2C-4F23-AC48-E42A9BFAB07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F2C-4F23-AC48-E42A9BFAB07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F2C-4F23-AC48-E42A9BFAB07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F2C-4F23-AC48-E42A9BFAB076}"/>
              </c:ext>
            </c:extLst>
          </c:dPt>
          <c:dLbls>
            <c:dLbl>
              <c:idx val="0"/>
              <c:layout>
                <c:manualLayout>
                  <c:x val="-1.090431877833522E-3"/>
                  <c:y val="-4.757441291061641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2C-4F23-AC48-E42A9BFAB076}"/>
                </c:ext>
              </c:extLst>
            </c:dLbl>
            <c:dLbl>
              <c:idx val="1"/>
              <c:layout>
                <c:manualLayout>
                  <c:x val="6.0894476258649487E-2"/>
                  <c:y val="1.623394198027404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2C-4F23-AC48-E42A9BFAB076}"/>
                </c:ext>
              </c:extLst>
            </c:dLbl>
            <c:dLbl>
              <c:idx val="2"/>
              <c:layout>
                <c:manualLayout>
                  <c:x val="2.5595323311858709E-2"/>
                  <c:y val="0.10399088603133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2C-4F23-AC48-E42A9BFAB076}"/>
                </c:ext>
              </c:extLst>
            </c:dLbl>
            <c:dLbl>
              <c:idx val="3"/>
              <c:layout>
                <c:manualLayout>
                  <c:x val="-4.0599349797184478E-2"/>
                  <c:y val="5.426109506095916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2C-4F23-AC48-E42A9BFAB076}"/>
                </c:ext>
              </c:extLst>
            </c:dLbl>
            <c:dLbl>
              <c:idx val="4"/>
              <c:layout>
                <c:manualLayout>
                  <c:x val="-0.16821641612980195"/>
                  <c:y val="8.09383359454167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2C-4F23-AC48-E42A9BFAB076}"/>
                </c:ext>
              </c:extLst>
            </c:dLbl>
            <c:dLbl>
              <c:idx val="5"/>
              <c:layout>
                <c:manualLayout>
                  <c:x val="-0.13331059312030441"/>
                  <c:y val="6.02287479230708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F2C-4F23-AC48-E42A9BFAB076}"/>
                </c:ext>
              </c:extLst>
            </c:dLbl>
            <c:dLbl>
              <c:idx val="6"/>
              <c:layout>
                <c:manualLayout>
                  <c:x val="-0.18114141982252219"/>
                  <c:y val="-3.31426612239157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2C-4F23-AC48-E42A9BFAB076}"/>
                </c:ext>
              </c:extLst>
            </c:dLbl>
            <c:dLbl>
              <c:idx val="7"/>
              <c:layout>
                <c:manualLayout>
                  <c:x val="-0.16326049521587579"/>
                  <c:y val="-9.103850853775402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F2C-4F23-AC48-E42A9BFAB076}"/>
                </c:ext>
              </c:extLst>
            </c:dLbl>
            <c:dLbl>
              <c:idx val="8"/>
              <c:layout>
                <c:manualLayout>
                  <c:x val="-9.5499694482634109E-2"/>
                  <c:y val="-0.1444379324188495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F2C-4F23-AC48-E42A9BFAB076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F2C-4F23-AC48-E42A9BFAB076}"/>
                </c:ext>
              </c:extLst>
            </c:dLbl>
            <c:dLbl>
              <c:idx val="10"/>
              <c:layout>
                <c:manualLayout>
                  <c:x val="-6.3618468146023734E-4"/>
                  <c:y val="-8.751977945202893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F2C-4F23-AC48-E42A9BFAB07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 - SVI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8.0469842198509198</c:v>
                </c:pt>
                <c:pt idx="1">
                  <c:v>44.472071384535624</c:v>
                </c:pt>
                <c:pt idx="2">
                  <c:v>10.173864693101741</c:v>
                </c:pt>
                <c:pt idx="3">
                  <c:v>1.9312909379992729</c:v>
                </c:pt>
                <c:pt idx="4">
                  <c:v>3.6874853791814974</c:v>
                </c:pt>
                <c:pt idx="5">
                  <c:v>0</c:v>
                </c:pt>
                <c:pt idx="6">
                  <c:v>1.5925301830366088</c:v>
                </c:pt>
                <c:pt idx="7">
                  <c:v>5.9651474587100441</c:v>
                </c:pt>
                <c:pt idx="8">
                  <c:v>2.9002740594866854</c:v>
                </c:pt>
                <c:pt idx="10">
                  <c:v>21.230351684097606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F2C-4F23-AC48-E42A9BFA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Neděla Pavel</dc:creator>
  <cp:keywords/>
  <dc:description/>
  <cp:lastModifiedBy>Klučková Pavla</cp:lastModifiedBy>
  <cp:revision>132</cp:revision>
  <cp:lastPrinted>2024-08-09T10:54:00Z</cp:lastPrinted>
  <dcterms:created xsi:type="dcterms:W3CDTF">2025-05-19T12:04:00Z</dcterms:created>
  <dcterms:modified xsi:type="dcterms:W3CDTF">2025-11-18T15:44:00Z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6d38c060,7c5b1a81,429a0ff3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2024-03-20T10:17:51Z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3904869c-cdcc-4269-b0d0-7946dd2c8339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