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310D8" w14:textId="3162FB27" w:rsidR="000D7245" w:rsidRPr="000D7245" w:rsidRDefault="000D7245" w:rsidP="001B0EB7">
      <w:pPr>
        <w:pStyle w:val="Nadpis1"/>
        <w:jc w:val="center"/>
        <w:rPr>
          <w:rFonts w:cs="Open Sans"/>
          <w:color w:val="auto"/>
          <w:sz w:val="32"/>
          <w:szCs w:val="32"/>
        </w:rPr>
      </w:pPr>
      <w:r>
        <w:rPr>
          <w:rFonts w:cs="Open Sans"/>
          <w:sz w:val="36"/>
          <w:szCs w:val="36"/>
        </w:rPr>
        <w:tab/>
      </w:r>
      <w:r>
        <w:rPr>
          <w:rFonts w:cs="Open Sans"/>
          <w:sz w:val="36"/>
          <w:szCs w:val="36"/>
        </w:rPr>
        <w:tab/>
      </w:r>
      <w:r>
        <w:rPr>
          <w:rFonts w:cs="Open Sans"/>
          <w:sz w:val="36"/>
          <w:szCs w:val="36"/>
        </w:rPr>
        <w:tab/>
      </w:r>
      <w:r>
        <w:rPr>
          <w:rFonts w:cs="Open Sans"/>
          <w:sz w:val="36"/>
          <w:szCs w:val="36"/>
        </w:rPr>
        <w:tab/>
      </w:r>
      <w:r>
        <w:rPr>
          <w:rFonts w:cs="Open Sans"/>
          <w:sz w:val="36"/>
          <w:szCs w:val="36"/>
        </w:rPr>
        <w:tab/>
      </w:r>
      <w:r>
        <w:rPr>
          <w:rFonts w:cs="Open Sans"/>
          <w:sz w:val="36"/>
          <w:szCs w:val="36"/>
        </w:rPr>
        <w:tab/>
      </w:r>
      <w:r>
        <w:rPr>
          <w:rFonts w:cs="Open Sans"/>
          <w:sz w:val="36"/>
          <w:szCs w:val="36"/>
        </w:rPr>
        <w:tab/>
      </w:r>
      <w:r>
        <w:rPr>
          <w:rFonts w:cs="Open Sans"/>
          <w:sz w:val="36"/>
          <w:szCs w:val="36"/>
        </w:rPr>
        <w:tab/>
      </w:r>
      <w:r>
        <w:rPr>
          <w:rFonts w:cs="Open Sans"/>
          <w:sz w:val="36"/>
          <w:szCs w:val="36"/>
        </w:rPr>
        <w:tab/>
      </w:r>
      <w:r>
        <w:rPr>
          <w:rFonts w:cs="Open Sans"/>
          <w:sz w:val="36"/>
          <w:szCs w:val="36"/>
        </w:rPr>
        <w:tab/>
      </w:r>
      <w:r w:rsidRPr="000D7245">
        <w:rPr>
          <w:rFonts w:cs="Open Sans"/>
          <w:color w:val="auto"/>
          <w:sz w:val="32"/>
          <w:szCs w:val="32"/>
        </w:rPr>
        <w:t>Příloha č. 4</w:t>
      </w:r>
    </w:p>
    <w:p w14:paraId="65B98C6D" w14:textId="0D2D2863" w:rsidR="001B0EB7" w:rsidRPr="0052441D" w:rsidRDefault="001B0EB7" w:rsidP="001B0EB7">
      <w:pPr>
        <w:pStyle w:val="Nadpis1"/>
        <w:jc w:val="center"/>
        <w:rPr>
          <w:rFonts w:cs="Open Sans"/>
          <w:sz w:val="36"/>
          <w:szCs w:val="36"/>
        </w:rPr>
      </w:pPr>
      <w:r>
        <w:rPr>
          <w:rFonts w:cs="Open Sans"/>
          <w:sz w:val="36"/>
          <w:szCs w:val="36"/>
        </w:rPr>
        <w:t>Sml</w:t>
      </w:r>
      <w:r w:rsidRPr="0052441D">
        <w:rPr>
          <w:rFonts w:cs="Open Sans"/>
          <w:sz w:val="36"/>
          <w:szCs w:val="36"/>
        </w:rPr>
        <w:t>ouva o poskytnutí vyrovnávací platby za poskytování služeb v obecném hospodářském zájmu</w:t>
      </w:r>
    </w:p>
    <w:p w14:paraId="1A4D10E9" w14:textId="77777777" w:rsidR="001B0EB7" w:rsidRPr="00C931A5" w:rsidRDefault="001B0EB7" w:rsidP="001B0EB7">
      <w:pPr>
        <w:jc w:val="center"/>
        <w:rPr>
          <w:rFonts w:cs="Open Sans"/>
        </w:rPr>
      </w:pPr>
      <w:r w:rsidRPr="00C931A5">
        <w:rPr>
          <w:rFonts w:cs="Open Sans"/>
        </w:rPr>
        <w:t>kterou níže uvedeného dne, měsíce a roku spolu uzavřeli:</w:t>
      </w:r>
    </w:p>
    <w:p w14:paraId="198E6FEC" w14:textId="77777777" w:rsidR="001B0EB7" w:rsidRPr="00B74EB2" w:rsidRDefault="001B0EB7" w:rsidP="001B0EB7">
      <w:pPr>
        <w:spacing w:after="0"/>
        <w:jc w:val="both"/>
        <w:rPr>
          <w:rFonts w:cs="Open Sans"/>
          <w:szCs w:val="24"/>
        </w:rPr>
      </w:pPr>
      <w:r>
        <w:rPr>
          <w:rFonts w:cs="Open Sans"/>
          <w:b/>
          <w:bCs/>
          <w:szCs w:val="24"/>
        </w:rPr>
        <w:br/>
      </w:r>
    </w:p>
    <w:p w14:paraId="086869D5" w14:textId="60ABD102" w:rsidR="001B0EB7" w:rsidRPr="00B74EB2" w:rsidRDefault="009E29FD" w:rsidP="001B0EB7">
      <w:pPr>
        <w:spacing w:after="0"/>
        <w:jc w:val="both"/>
        <w:rPr>
          <w:rFonts w:cs="Open Sans"/>
          <w:b/>
          <w:szCs w:val="24"/>
        </w:rPr>
      </w:pPr>
      <w:r>
        <w:rPr>
          <w:rFonts w:cs="Open Sans"/>
          <w:b/>
          <w:szCs w:val="24"/>
        </w:rPr>
        <w:t>Moravskoslezský kraj</w:t>
      </w:r>
    </w:p>
    <w:p w14:paraId="2DE9EA72" w14:textId="58883D4C" w:rsidR="005D7B5A" w:rsidRPr="005D7B5A" w:rsidRDefault="005D7B5A" w:rsidP="00271583">
      <w:pPr>
        <w:spacing w:after="0"/>
        <w:rPr>
          <w:rFonts w:cs="Open Sans"/>
          <w:bCs/>
          <w:szCs w:val="24"/>
        </w:rPr>
      </w:pPr>
      <w:r w:rsidRPr="005D7B5A">
        <w:rPr>
          <w:rFonts w:cs="Open Sans"/>
          <w:bCs/>
          <w:szCs w:val="24"/>
        </w:rPr>
        <w:t>se sídlem:</w:t>
      </w:r>
      <w:r w:rsidR="001544F8">
        <w:rPr>
          <w:rFonts w:cs="Open Sans"/>
          <w:bCs/>
          <w:szCs w:val="24"/>
        </w:rPr>
        <w:t xml:space="preserve"> </w:t>
      </w:r>
      <w:r w:rsidRPr="005D7B5A">
        <w:rPr>
          <w:rFonts w:cs="Open Sans"/>
          <w:bCs/>
          <w:szCs w:val="24"/>
        </w:rPr>
        <w:t>28. října 2771/117, 702 00 Ostrava</w:t>
      </w:r>
      <w:r w:rsidRPr="005D7B5A">
        <w:rPr>
          <w:rFonts w:cs="Open Sans"/>
          <w:bCs/>
          <w:szCs w:val="24"/>
        </w:rPr>
        <w:tab/>
      </w:r>
    </w:p>
    <w:p w14:paraId="2EE09B3E" w14:textId="2EA34C72" w:rsidR="005D7B5A" w:rsidRPr="005D7B5A" w:rsidRDefault="005D7B5A" w:rsidP="005D7B5A">
      <w:pPr>
        <w:spacing w:after="0"/>
        <w:jc w:val="both"/>
        <w:rPr>
          <w:rFonts w:cs="Open Sans"/>
          <w:bCs/>
          <w:szCs w:val="24"/>
        </w:rPr>
      </w:pPr>
      <w:r w:rsidRPr="005D7B5A">
        <w:rPr>
          <w:rFonts w:cs="Open Sans"/>
          <w:bCs/>
          <w:szCs w:val="24"/>
        </w:rPr>
        <w:t>IČO</w:t>
      </w:r>
      <w:r w:rsidR="00041075">
        <w:rPr>
          <w:rFonts w:cs="Open Sans"/>
          <w:bCs/>
          <w:szCs w:val="24"/>
        </w:rPr>
        <w:t xml:space="preserve">: </w:t>
      </w:r>
      <w:r w:rsidRPr="005D7B5A">
        <w:rPr>
          <w:rFonts w:cs="Open Sans"/>
          <w:bCs/>
          <w:szCs w:val="24"/>
        </w:rPr>
        <w:t>70890692</w:t>
      </w:r>
    </w:p>
    <w:p w14:paraId="79B06439" w14:textId="0D69CB27" w:rsidR="005D7B5A" w:rsidRPr="005D7B5A" w:rsidRDefault="005D7B5A" w:rsidP="005D7B5A">
      <w:pPr>
        <w:spacing w:after="0"/>
        <w:jc w:val="both"/>
        <w:rPr>
          <w:rFonts w:cs="Open Sans"/>
          <w:bCs/>
          <w:szCs w:val="24"/>
        </w:rPr>
      </w:pPr>
      <w:r w:rsidRPr="005D7B5A">
        <w:rPr>
          <w:rFonts w:cs="Open Sans"/>
          <w:bCs/>
          <w:szCs w:val="24"/>
        </w:rPr>
        <w:t>DIČ:</w:t>
      </w:r>
      <w:r w:rsidR="00041075">
        <w:rPr>
          <w:rFonts w:cs="Open Sans"/>
          <w:bCs/>
          <w:szCs w:val="24"/>
        </w:rPr>
        <w:t xml:space="preserve"> </w:t>
      </w:r>
      <w:r w:rsidRPr="005D7B5A">
        <w:rPr>
          <w:rFonts w:cs="Open Sans"/>
          <w:bCs/>
          <w:szCs w:val="24"/>
        </w:rPr>
        <w:t xml:space="preserve">CZ70890692 </w:t>
      </w:r>
    </w:p>
    <w:p w14:paraId="7F01E294" w14:textId="277D4FC4" w:rsidR="005D7B5A" w:rsidRPr="005D7B5A" w:rsidRDefault="005D7B5A" w:rsidP="005D7B5A">
      <w:pPr>
        <w:spacing w:after="0"/>
        <w:jc w:val="both"/>
        <w:rPr>
          <w:rFonts w:cs="Open Sans"/>
          <w:bCs/>
          <w:szCs w:val="24"/>
        </w:rPr>
      </w:pPr>
      <w:r w:rsidRPr="005D7B5A">
        <w:rPr>
          <w:rFonts w:cs="Open Sans"/>
          <w:bCs/>
          <w:szCs w:val="24"/>
        </w:rPr>
        <w:t xml:space="preserve">bankovní spojení: Česká spořitelna, a.s., </w:t>
      </w:r>
    </w:p>
    <w:p w14:paraId="065E3BFC" w14:textId="12B2D2CD" w:rsidR="005D7B5A" w:rsidRPr="005D7B5A" w:rsidRDefault="005D7B5A" w:rsidP="005D7B5A">
      <w:pPr>
        <w:spacing w:after="0"/>
        <w:jc w:val="both"/>
        <w:rPr>
          <w:rFonts w:cs="Open Sans"/>
          <w:bCs/>
          <w:szCs w:val="24"/>
        </w:rPr>
      </w:pPr>
      <w:r w:rsidRPr="005D7B5A">
        <w:rPr>
          <w:rFonts w:cs="Open Sans"/>
          <w:bCs/>
          <w:szCs w:val="24"/>
        </w:rPr>
        <w:t>číslo účtu</w:t>
      </w:r>
      <w:r w:rsidR="00041075">
        <w:rPr>
          <w:rFonts w:cs="Open Sans"/>
          <w:bCs/>
          <w:szCs w:val="24"/>
        </w:rPr>
        <w:t xml:space="preserve">: </w:t>
      </w:r>
      <w:r w:rsidRPr="005D7B5A">
        <w:rPr>
          <w:rFonts w:cs="Open Sans"/>
          <w:bCs/>
          <w:szCs w:val="24"/>
        </w:rPr>
        <w:t>1650676349/0800</w:t>
      </w:r>
    </w:p>
    <w:p w14:paraId="17FCB800" w14:textId="5C207DC6" w:rsidR="00E10B4B" w:rsidRDefault="005D7B5A" w:rsidP="005D7B5A">
      <w:pPr>
        <w:spacing w:after="0"/>
        <w:jc w:val="both"/>
        <w:rPr>
          <w:rFonts w:cs="Open Sans"/>
          <w:bCs/>
          <w:szCs w:val="24"/>
        </w:rPr>
      </w:pPr>
      <w:r w:rsidRPr="005D7B5A">
        <w:rPr>
          <w:rFonts w:cs="Open Sans"/>
          <w:bCs/>
          <w:szCs w:val="24"/>
        </w:rPr>
        <w:t xml:space="preserve"> ID datové schránky: 8x6bxsd</w:t>
      </w:r>
    </w:p>
    <w:p w14:paraId="785BE4D2" w14:textId="2E78FAE3" w:rsidR="00A77F8F" w:rsidRPr="005D7B5A" w:rsidRDefault="00A77F8F" w:rsidP="00271583">
      <w:pPr>
        <w:spacing w:after="0" w:line="360" w:lineRule="auto"/>
        <w:jc w:val="both"/>
        <w:rPr>
          <w:rFonts w:cs="Open Sans"/>
          <w:bCs/>
          <w:szCs w:val="24"/>
        </w:rPr>
      </w:pPr>
      <w:r>
        <w:rPr>
          <w:rFonts w:cs="Open Sans"/>
          <w:bCs/>
          <w:szCs w:val="24"/>
        </w:rPr>
        <w:t xml:space="preserve">zastoupen: Ing. </w:t>
      </w:r>
      <w:r w:rsidR="00E46D5B">
        <w:rPr>
          <w:rFonts w:cs="Open Sans"/>
          <w:bCs/>
          <w:szCs w:val="24"/>
        </w:rPr>
        <w:t>Josefem Bělicou, Ph.D., MBA</w:t>
      </w:r>
    </w:p>
    <w:p w14:paraId="0004B913" w14:textId="7944004C" w:rsidR="001B0EB7" w:rsidRPr="00B74EB2" w:rsidRDefault="001B0EB7" w:rsidP="00271583">
      <w:pPr>
        <w:spacing w:after="120" w:line="360" w:lineRule="auto"/>
        <w:rPr>
          <w:rFonts w:cs="Open Sans"/>
          <w:bCs/>
          <w:szCs w:val="24"/>
        </w:rPr>
      </w:pPr>
      <w:r w:rsidRPr="00B74EB2">
        <w:rPr>
          <w:rFonts w:cs="Open Sans"/>
          <w:szCs w:val="24"/>
        </w:rPr>
        <w:t xml:space="preserve">(na straně druhé jako </w:t>
      </w:r>
      <w:r w:rsidRPr="00B74EB2">
        <w:rPr>
          <w:rFonts w:cs="Open Sans"/>
          <w:bCs/>
          <w:szCs w:val="24"/>
        </w:rPr>
        <w:t>„</w:t>
      </w:r>
      <w:r w:rsidR="00E1278B" w:rsidRPr="00E1278B">
        <w:rPr>
          <w:rFonts w:cs="Open Sans"/>
          <w:b/>
          <w:szCs w:val="24"/>
        </w:rPr>
        <w:t>MSK</w:t>
      </w:r>
      <w:r w:rsidRPr="00B74EB2">
        <w:rPr>
          <w:rFonts w:cs="Open Sans"/>
          <w:bCs/>
          <w:szCs w:val="24"/>
        </w:rPr>
        <w:t>“)</w:t>
      </w:r>
    </w:p>
    <w:p w14:paraId="503CAD4C" w14:textId="77777777" w:rsidR="001B0EB7" w:rsidRDefault="001B0EB7" w:rsidP="001B0EB7">
      <w:pPr>
        <w:jc w:val="both"/>
        <w:rPr>
          <w:rFonts w:cs="Open Sans"/>
          <w:szCs w:val="24"/>
        </w:rPr>
      </w:pPr>
      <w:r>
        <w:rPr>
          <w:rFonts w:cs="Open Sans"/>
          <w:szCs w:val="24"/>
        </w:rPr>
        <w:t>a</w:t>
      </w:r>
    </w:p>
    <w:p w14:paraId="42D11A92" w14:textId="77777777" w:rsidR="001B0EB7" w:rsidRPr="0052441D" w:rsidRDefault="001B0EB7" w:rsidP="001B0EB7">
      <w:pPr>
        <w:spacing w:after="0"/>
        <w:jc w:val="both"/>
        <w:rPr>
          <w:rFonts w:cs="Open Sans"/>
          <w:b/>
          <w:bCs/>
          <w:szCs w:val="24"/>
        </w:rPr>
      </w:pPr>
      <w:r w:rsidRPr="0052441D">
        <w:rPr>
          <w:rFonts w:cs="Open Sans"/>
          <w:b/>
          <w:bCs/>
          <w:szCs w:val="24"/>
        </w:rPr>
        <w:t xml:space="preserve">Moravskoslezské inovační centrum Ostrava, a.s., </w:t>
      </w:r>
    </w:p>
    <w:p w14:paraId="6AF53232" w14:textId="4B4CD4E4" w:rsidR="001B0EB7" w:rsidRPr="0052441D" w:rsidRDefault="001B0EB7" w:rsidP="001B0EB7">
      <w:pPr>
        <w:spacing w:after="0"/>
        <w:jc w:val="both"/>
        <w:rPr>
          <w:rFonts w:cs="Open Sans"/>
          <w:bCs/>
          <w:szCs w:val="24"/>
        </w:rPr>
      </w:pPr>
      <w:r w:rsidRPr="0052441D">
        <w:rPr>
          <w:rFonts w:cs="Open Sans"/>
          <w:bCs/>
          <w:szCs w:val="24"/>
        </w:rPr>
        <w:t>se sídlem Technologická 372/2, 708 00 Ostrava – Pustkovec</w:t>
      </w:r>
    </w:p>
    <w:p w14:paraId="5B939C3A" w14:textId="77777777" w:rsidR="001B0EB7" w:rsidRDefault="001B0EB7" w:rsidP="001B0EB7">
      <w:pPr>
        <w:spacing w:after="0"/>
        <w:jc w:val="both"/>
        <w:rPr>
          <w:rFonts w:cs="Open Sans"/>
          <w:bCs/>
          <w:szCs w:val="24"/>
        </w:rPr>
      </w:pPr>
      <w:r w:rsidRPr="0052441D">
        <w:rPr>
          <w:rFonts w:cs="Open Sans"/>
          <w:bCs/>
          <w:szCs w:val="24"/>
        </w:rPr>
        <w:t>IČO: 25379631</w:t>
      </w:r>
      <w:r>
        <w:rPr>
          <w:rFonts w:cs="Open Sans"/>
          <w:bCs/>
          <w:szCs w:val="24"/>
        </w:rPr>
        <w:t>,</w:t>
      </w:r>
    </w:p>
    <w:p w14:paraId="48DD44D9" w14:textId="2EA2E0F0" w:rsidR="001B0EB7" w:rsidRPr="00B74EB2" w:rsidRDefault="001B0EB7" w:rsidP="001B0EB7">
      <w:pPr>
        <w:spacing w:after="0"/>
        <w:rPr>
          <w:rFonts w:cs="Open Sans"/>
          <w:szCs w:val="24"/>
        </w:rPr>
      </w:pPr>
      <w:r>
        <w:rPr>
          <w:rFonts w:cs="Open Sans"/>
          <w:bCs/>
          <w:szCs w:val="24"/>
        </w:rPr>
        <w:t>DIČ: CZ</w:t>
      </w:r>
      <w:r w:rsidRPr="0052441D">
        <w:rPr>
          <w:rFonts w:cs="Open Sans"/>
          <w:bCs/>
          <w:szCs w:val="24"/>
        </w:rPr>
        <w:t>25379631</w:t>
      </w:r>
      <w:r w:rsidRPr="0052441D">
        <w:rPr>
          <w:rFonts w:cs="Open Sans"/>
          <w:szCs w:val="24"/>
        </w:rPr>
        <w:br/>
      </w:r>
      <w:r w:rsidRPr="00B74EB2">
        <w:rPr>
          <w:rFonts w:cs="Open Sans"/>
          <w:szCs w:val="24"/>
        </w:rPr>
        <w:t>společnost je zapsána v obchodním rejstříku vedeném Krajským soudem v Ostravě, oddíl B, vložka 1686,</w:t>
      </w:r>
    </w:p>
    <w:p w14:paraId="6BA70242" w14:textId="318D86DA" w:rsidR="001B0EB7" w:rsidRPr="00B74EB2" w:rsidRDefault="001B0EB7" w:rsidP="001B0EB7">
      <w:pPr>
        <w:spacing w:after="0"/>
        <w:jc w:val="both"/>
        <w:rPr>
          <w:rFonts w:cs="Open Sans"/>
          <w:szCs w:val="24"/>
        </w:rPr>
      </w:pPr>
      <w:r w:rsidRPr="00B74EB2">
        <w:rPr>
          <w:rFonts w:cs="Open Sans"/>
          <w:szCs w:val="24"/>
        </w:rPr>
        <w:t xml:space="preserve">bankovní spojení: </w:t>
      </w:r>
      <w:r>
        <w:rPr>
          <w:rFonts w:cs="Open Sans"/>
          <w:szCs w:val="24"/>
        </w:rPr>
        <w:t>Raiff</w:t>
      </w:r>
      <w:r w:rsidR="00ED191A">
        <w:rPr>
          <w:rFonts w:cs="Open Sans"/>
          <w:szCs w:val="24"/>
        </w:rPr>
        <w:t>e</w:t>
      </w:r>
      <w:r>
        <w:rPr>
          <w:rFonts w:cs="Open Sans"/>
          <w:szCs w:val="24"/>
        </w:rPr>
        <w:t>isenbank, a.s.</w:t>
      </w:r>
    </w:p>
    <w:p w14:paraId="28E29BF1" w14:textId="6F697195" w:rsidR="001B0EB7" w:rsidRPr="00B74EB2" w:rsidRDefault="001B0EB7" w:rsidP="001B0EB7">
      <w:pPr>
        <w:spacing w:after="0"/>
        <w:jc w:val="both"/>
        <w:rPr>
          <w:rFonts w:cs="Open Sans"/>
          <w:szCs w:val="24"/>
        </w:rPr>
      </w:pPr>
      <w:r w:rsidRPr="00B74EB2">
        <w:rPr>
          <w:rFonts w:cs="Open Sans"/>
          <w:szCs w:val="24"/>
        </w:rPr>
        <w:t xml:space="preserve">č. účtu: </w:t>
      </w:r>
      <w:r>
        <w:rPr>
          <w:rFonts w:cs="Open Sans"/>
          <w:szCs w:val="24"/>
        </w:rPr>
        <w:t>5268368052/5500</w:t>
      </w:r>
    </w:p>
    <w:p w14:paraId="20D4F308" w14:textId="346A89E3" w:rsidR="00271583" w:rsidRDefault="001B0EB7" w:rsidP="001B0EB7">
      <w:pPr>
        <w:jc w:val="both"/>
        <w:rPr>
          <w:rFonts w:cs="Open Sans"/>
          <w:szCs w:val="24"/>
        </w:rPr>
      </w:pPr>
      <w:r w:rsidRPr="00B74EB2">
        <w:rPr>
          <w:rFonts w:cs="Open Sans"/>
        </w:rPr>
        <w:t>zastoupen</w:t>
      </w:r>
      <w:r>
        <w:rPr>
          <w:rFonts w:cs="Open Sans"/>
        </w:rPr>
        <w:t>o</w:t>
      </w:r>
      <w:r w:rsidR="00393136">
        <w:rPr>
          <w:rFonts w:cs="Open Sans"/>
        </w:rPr>
        <w:t>:</w:t>
      </w:r>
      <w:r>
        <w:rPr>
          <w:rFonts w:cs="Open Sans"/>
        </w:rPr>
        <w:t xml:space="preserve"> Mgr. Adélou Hradilovou, předsedkyní představenstva</w:t>
      </w:r>
    </w:p>
    <w:p w14:paraId="2B30DE15" w14:textId="3D4B0C7D" w:rsidR="001B0EB7" w:rsidRDefault="001B0EB7" w:rsidP="001B0EB7">
      <w:pPr>
        <w:jc w:val="both"/>
        <w:rPr>
          <w:rFonts w:cs="Open Sans"/>
          <w:szCs w:val="24"/>
        </w:rPr>
      </w:pPr>
      <w:r w:rsidRPr="00B74EB2">
        <w:rPr>
          <w:rFonts w:cs="Open Sans"/>
          <w:szCs w:val="24"/>
        </w:rPr>
        <w:t>(na straně jedné jako „</w:t>
      </w:r>
      <w:r w:rsidRPr="00B74EB2">
        <w:rPr>
          <w:rFonts w:cs="Open Sans"/>
          <w:b/>
          <w:szCs w:val="24"/>
        </w:rPr>
        <w:t>MSIC</w:t>
      </w:r>
      <w:r w:rsidRPr="00B74EB2">
        <w:rPr>
          <w:rFonts w:cs="Open Sans"/>
          <w:szCs w:val="24"/>
        </w:rPr>
        <w:t>“)</w:t>
      </w:r>
    </w:p>
    <w:p w14:paraId="0CC48EC5" w14:textId="77777777" w:rsidR="001B0EB7" w:rsidRPr="00C931A5" w:rsidRDefault="001B0EB7" w:rsidP="001B0EB7">
      <w:pPr>
        <w:jc w:val="both"/>
        <w:rPr>
          <w:rFonts w:cs="Open Sans"/>
          <w:bCs/>
          <w:szCs w:val="24"/>
        </w:rPr>
      </w:pPr>
      <w:r w:rsidRPr="00B74EB2" w:rsidDel="0067790B">
        <w:rPr>
          <w:rFonts w:cs="Open Sans"/>
          <w:szCs w:val="24"/>
        </w:rPr>
        <w:t xml:space="preserve"> </w:t>
      </w:r>
      <w:r w:rsidRPr="00C931A5">
        <w:rPr>
          <w:rFonts w:cs="Open Sans"/>
          <w:bCs/>
          <w:szCs w:val="24"/>
        </w:rPr>
        <w:t>(dále též jako</w:t>
      </w:r>
      <w:r w:rsidRPr="00C931A5">
        <w:rPr>
          <w:rFonts w:cs="Open Sans"/>
          <w:b/>
          <w:bCs/>
          <w:szCs w:val="24"/>
        </w:rPr>
        <w:t xml:space="preserve"> „smluvní strany“</w:t>
      </w:r>
      <w:r w:rsidRPr="00C931A5">
        <w:rPr>
          <w:rFonts w:cs="Open Sans"/>
          <w:bCs/>
          <w:szCs w:val="24"/>
        </w:rPr>
        <w:t>)</w:t>
      </w:r>
    </w:p>
    <w:p w14:paraId="6BA5C573" w14:textId="77777777" w:rsidR="001B0EB7" w:rsidRPr="00352A06" w:rsidRDefault="001B0EB7" w:rsidP="001B0EB7"/>
    <w:p w14:paraId="5194BB39" w14:textId="77777777" w:rsidR="001B0EB7" w:rsidRPr="00352A06" w:rsidRDefault="001B0EB7" w:rsidP="001B0EB7">
      <w:pPr>
        <w:pStyle w:val="Nadpis2"/>
        <w:keepLines w:val="0"/>
        <w:numPr>
          <w:ilvl w:val="0"/>
          <w:numId w:val="17"/>
        </w:numPr>
        <w:spacing w:before="100" w:after="100" w:line="360" w:lineRule="exact"/>
        <w:jc w:val="center"/>
        <w:rPr>
          <w:rFonts w:cs="Open Sans"/>
        </w:rPr>
      </w:pPr>
      <w:r w:rsidRPr="00352A06">
        <w:rPr>
          <w:rFonts w:cs="Open Sans"/>
        </w:rPr>
        <w:t>Předmět smlouvy</w:t>
      </w:r>
    </w:p>
    <w:p w14:paraId="51DF49A8" w14:textId="2C022805" w:rsidR="001B0EB7" w:rsidRPr="0092060D" w:rsidRDefault="001B0EB7" w:rsidP="001B0EB7">
      <w:pPr>
        <w:pStyle w:val="Odstavecseseznamem"/>
        <w:numPr>
          <w:ilvl w:val="6"/>
          <w:numId w:val="17"/>
        </w:numPr>
        <w:suppressAutoHyphens/>
        <w:spacing w:before="120" w:after="120" w:line="280" w:lineRule="exact"/>
        <w:ind w:left="709" w:hanging="709"/>
        <w:contextualSpacing w:val="0"/>
        <w:jc w:val="both"/>
        <w:rPr>
          <w:rFonts w:cs="Open Sans"/>
        </w:rPr>
      </w:pPr>
      <w:r w:rsidRPr="0092060D">
        <w:rPr>
          <w:rFonts w:cs="Open Sans"/>
        </w:rPr>
        <w:t xml:space="preserve">Předmětem této smlouvy je vymezení služeb, které bude MSIC vykonávat z pověření </w:t>
      </w:r>
      <w:r>
        <w:rPr>
          <w:rFonts w:cs="Open Sans"/>
        </w:rPr>
        <w:t>M</w:t>
      </w:r>
      <w:r w:rsidR="0081500F">
        <w:rPr>
          <w:rFonts w:cs="Open Sans"/>
        </w:rPr>
        <w:t>SK</w:t>
      </w:r>
      <w:r>
        <w:rPr>
          <w:rFonts w:cs="Open Sans"/>
        </w:rPr>
        <w:t>,</w:t>
      </w:r>
      <w:r w:rsidRPr="0092060D">
        <w:rPr>
          <w:rFonts w:cs="Open Sans"/>
          <w:bCs/>
        </w:rPr>
        <w:t xml:space="preserve"> v režimu závazku veřejné služby, stanovení a poskytnutí vyrovnávací platby za výkon těchto služeb, jakožto i úprava otázek souvisejících. </w:t>
      </w:r>
    </w:p>
    <w:p w14:paraId="7E198499" w14:textId="77777777" w:rsidR="001B0EB7" w:rsidRPr="00C931A5" w:rsidRDefault="001B0EB7" w:rsidP="001B0EB7">
      <w:pPr>
        <w:pStyle w:val="Odstavecseseznamem"/>
        <w:ind w:left="0"/>
        <w:jc w:val="both"/>
        <w:rPr>
          <w:rFonts w:cs="Open Sans"/>
        </w:rPr>
      </w:pPr>
    </w:p>
    <w:p w14:paraId="3400E83B" w14:textId="77777777" w:rsidR="001B0EB7" w:rsidRPr="00C931A5" w:rsidRDefault="001B0EB7" w:rsidP="001B0EB7">
      <w:pPr>
        <w:pStyle w:val="Nadpis2"/>
        <w:keepLines w:val="0"/>
        <w:numPr>
          <w:ilvl w:val="0"/>
          <w:numId w:val="17"/>
        </w:numPr>
        <w:spacing w:before="100" w:after="100" w:line="360" w:lineRule="exact"/>
        <w:jc w:val="center"/>
        <w:rPr>
          <w:rFonts w:cs="Open Sans"/>
        </w:rPr>
      </w:pPr>
      <w:r>
        <w:rPr>
          <w:rFonts w:cs="Open Sans"/>
        </w:rPr>
        <w:t>Pověření</w:t>
      </w:r>
    </w:p>
    <w:p w14:paraId="21D9E2A5" w14:textId="12FB96D4" w:rsidR="001B0EB7" w:rsidRDefault="001B0EB7" w:rsidP="001B0EB7">
      <w:pPr>
        <w:pStyle w:val="Odstavecseseznamem"/>
        <w:numPr>
          <w:ilvl w:val="0"/>
          <w:numId w:val="29"/>
        </w:numPr>
        <w:suppressAutoHyphens/>
        <w:spacing w:before="120" w:after="120" w:line="280" w:lineRule="exact"/>
        <w:ind w:left="709" w:hanging="709"/>
        <w:contextualSpacing w:val="0"/>
        <w:jc w:val="both"/>
        <w:rPr>
          <w:rFonts w:cs="Open Sans"/>
        </w:rPr>
      </w:pPr>
      <w:r>
        <w:rPr>
          <w:rFonts w:cs="Open Sans"/>
        </w:rPr>
        <w:t>M</w:t>
      </w:r>
      <w:r w:rsidR="00C63DEE">
        <w:rPr>
          <w:rFonts w:cs="Open Sans"/>
        </w:rPr>
        <w:t>SK</w:t>
      </w:r>
      <w:r w:rsidRPr="006C2412">
        <w:rPr>
          <w:rFonts w:cs="Open Sans"/>
        </w:rPr>
        <w:t xml:space="preserve"> s cílem posílit hospodářský rozvoj a stabilitu</w:t>
      </w:r>
      <w:r w:rsidR="00AA3ABE">
        <w:rPr>
          <w:rFonts w:cs="Open Sans"/>
        </w:rPr>
        <w:t xml:space="preserve"> </w:t>
      </w:r>
      <w:r w:rsidR="002610A2">
        <w:rPr>
          <w:rFonts w:cs="Open Sans"/>
        </w:rPr>
        <w:t xml:space="preserve">regionu </w:t>
      </w:r>
      <w:r w:rsidRPr="006C2412">
        <w:rPr>
          <w:rFonts w:cs="Open Sans"/>
        </w:rPr>
        <w:t>pověřuj</w:t>
      </w:r>
      <w:r>
        <w:rPr>
          <w:rFonts w:cs="Open Sans"/>
        </w:rPr>
        <w:t>e</w:t>
      </w:r>
      <w:r w:rsidRPr="006C2412">
        <w:rPr>
          <w:rFonts w:cs="Open Sans"/>
        </w:rPr>
        <w:t xml:space="preserve"> MSIC výkonem služeb uvedených v</w:t>
      </w:r>
      <w:r>
        <w:rPr>
          <w:rFonts w:cs="Open Sans"/>
        </w:rPr>
        <w:t xml:space="preserve"> čl. IV.6 a v </w:t>
      </w:r>
      <w:r w:rsidRPr="006C2412">
        <w:rPr>
          <w:rFonts w:cs="Open Sans"/>
        </w:rPr>
        <w:t xml:space="preserve">Příloze č. </w:t>
      </w:r>
      <w:r>
        <w:rPr>
          <w:rFonts w:cs="Open Sans"/>
        </w:rPr>
        <w:t>I</w:t>
      </w:r>
      <w:r w:rsidRPr="006C2412">
        <w:rPr>
          <w:rFonts w:cs="Open Sans"/>
        </w:rPr>
        <w:t>.</w:t>
      </w:r>
      <w:r>
        <w:rPr>
          <w:rFonts w:cs="Open Sans"/>
        </w:rPr>
        <w:t xml:space="preserve"> této smlouvy.</w:t>
      </w:r>
      <w:r w:rsidRPr="006C2412">
        <w:rPr>
          <w:rFonts w:cs="Open Sans"/>
        </w:rPr>
        <w:t xml:space="preserve"> </w:t>
      </w:r>
      <w:r>
        <w:rPr>
          <w:rFonts w:cs="Open Sans"/>
        </w:rPr>
        <w:t>Tyto s</w:t>
      </w:r>
      <w:r w:rsidRPr="006C2412">
        <w:rPr>
          <w:rFonts w:cs="Open Sans"/>
        </w:rPr>
        <w:t>lužby budou vykonávány v režimu závazku veřejné služby.</w:t>
      </w:r>
      <w:r>
        <w:rPr>
          <w:rFonts w:cs="Open Sans"/>
        </w:rPr>
        <w:t xml:space="preserve"> </w:t>
      </w:r>
    </w:p>
    <w:p w14:paraId="3ED8AB29" w14:textId="77777777" w:rsidR="001B0EB7" w:rsidRPr="00231755" w:rsidRDefault="001B0EB7" w:rsidP="001B0EB7">
      <w:pPr>
        <w:pStyle w:val="Odstavecseseznamem"/>
        <w:numPr>
          <w:ilvl w:val="0"/>
          <w:numId w:val="29"/>
        </w:numPr>
        <w:suppressAutoHyphens/>
        <w:spacing w:before="120" w:after="120" w:line="280" w:lineRule="exact"/>
        <w:ind w:left="709" w:hanging="709"/>
        <w:contextualSpacing w:val="0"/>
        <w:jc w:val="both"/>
        <w:rPr>
          <w:rFonts w:cs="Open Sans"/>
        </w:rPr>
      </w:pPr>
      <w:r w:rsidRPr="00231755">
        <w:rPr>
          <w:rFonts w:cs="Open Sans"/>
        </w:rPr>
        <w:lastRenderedPageBreak/>
        <w:t>MSIC pověření přijímá a zavazuje se, že bude služby dle této smlouvy realizovat na svou vlastní odpovědnost, v maximální možné kvalitě a v souladu s právními předpisy a podmínkami této smlouvy.</w:t>
      </w:r>
    </w:p>
    <w:p w14:paraId="192B07DB" w14:textId="77777777" w:rsidR="001B0EB7" w:rsidRPr="00C931A5" w:rsidRDefault="001B0EB7" w:rsidP="001B0EB7">
      <w:pPr>
        <w:jc w:val="both"/>
        <w:rPr>
          <w:rFonts w:cs="Open Sans"/>
        </w:rPr>
      </w:pPr>
    </w:p>
    <w:p w14:paraId="22D92CBC" w14:textId="77777777" w:rsidR="001B0EB7" w:rsidRPr="00AB61EC" w:rsidRDefault="001B0EB7" w:rsidP="001B0EB7">
      <w:pPr>
        <w:pStyle w:val="Nadpis2"/>
        <w:keepLines w:val="0"/>
        <w:numPr>
          <w:ilvl w:val="0"/>
          <w:numId w:val="17"/>
        </w:numPr>
        <w:spacing w:before="100" w:after="100" w:line="360" w:lineRule="exact"/>
        <w:jc w:val="center"/>
        <w:rPr>
          <w:rFonts w:cs="Open Sans"/>
        </w:rPr>
      </w:pPr>
      <w:r>
        <w:rPr>
          <w:rFonts w:cs="Open Sans"/>
        </w:rPr>
        <w:t>Doba trvání, místo výkonu závazku</w:t>
      </w:r>
    </w:p>
    <w:p w14:paraId="0095E96A" w14:textId="6582399E" w:rsidR="001B0EB7" w:rsidRPr="00D85CD4" w:rsidRDefault="001B0EB7" w:rsidP="001B0EB7">
      <w:pPr>
        <w:pStyle w:val="Odstavecseseznamem"/>
        <w:numPr>
          <w:ilvl w:val="1"/>
          <w:numId w:val="17"/>
        </w:numPr>
        <w:suppressAutoHyphens/>
        <w:spacing w:before="120" w:after="120" w:line="280" w:lineRule="exact"/>
        <w:ind w:hanging="710"/>
        <w:contextualSpacing w:val="0"/>
        <w:jc w:val="both"/>
        <w:rPr>
          <w:rFonts w:cs="Open Sans"/>
        </w:rPr>
      </w:pPr>
      <w:r w:rsidRPr="00D85CD4">
        <w:rPr>
          <w:rFonts w:cs="Open Sans"/>
        </w:rPr>
        <w:t xml:space="preserve">Závazek veřejné služby bude vykonáván od </w:t>
      </w:r>
      <w:r w:rsidR="002B2B93" w:rsidRPr="002B2B93">
        <w:rPr>
          <w:rFonts w:cs="Open Sans"/>
          <w:b/>
          <w:bCs/>
        </w:rPr>
        <w:t xml:space="preserve">1. 1. 2026 </w:t>
      </w:r>
      <w:r w:rsidRPr="002B2B93">
        <w:rPr>
          <w:rFonts w:cs="Open Sans"/>
          <w:b/>
          <w:bCs/>
        </w:rPr>
        <w:t>do</w:t>
      </w:r>
      <w:r w:rsidRPr="00D85CD4">
        <w:rPr>
          <w:rFonts w:cs="Open Sans"/>
        </w:rPr>
        <w:t xml:space="preserve"> </w:t>
      </w:r>
      <w:r w:rsidRPr="001B0EB7">
        <w:rPr>
          <w:rFonts w:cs="Open Sans"/>
          <w:b/>
          <w:bCs/>
        </w:rPr>
        <w:t>31.12.2030</w:t>
      </w:r>
      <w:r w:rsidRPr="00D85CD4">
        <w:rPr>
          <w:rFonts w:cs="Open Sans"/>
        </w:rPr>
        <w:t>.</w:t>
      </w:r>
    </w:p>
    <w:p w14:paraId="12283511" w14:textId="2986DD9C" w:rsidR="001B0EB7" w:rsidRPr="00536D05" w:rsidRDefault="001B0EB7" w:rsidP="001B0EB7">
      <w:pPr>
        <w:pStyle w:val="Odstavecseseznamem"/>
        <w:numPr>
          <w:ilvl w:val="1"/>
          <w:numId w:val="17"/>
        </w:numPr>
        <w:suppressAutoHyphens/>
        <w:spacing w:before="120" w:after="120" w:line="280" w:lineRule="exact"/>
        <w:ind w:left="709" w:hanging="709"/>
        <w:contextualSpacing w:val="0"/>
        <w:jc w:val="both"/>
        <w:rPr>
          <w:rFonts w:cs="Open Sans"/>
        </w:rPr>
      </w:pPr>
      <w:r>
        <w:rPr>
          <w:rFonts w:cs="Open Sans"/>
        </w:rPr>
        <w:t>Závazek bude vykonáván s dopadem na území</w:t>
      </w:r>
      <w:r w:rsidR="0053087A">
        <w:rPr>
          <w:rFonts w:cs="Open Sans"/>
        </w:rPr>
        <w:t xml:space="preserve"> Moravskoslezského kraje</w:t>
      </w:r>
      <w:r>
        <w:rPr>
          <w:rFonts w:cs="Open Sans"/>
        </w:rPr>
        <w:t>.</w:t>
      </w:r>
    </w:p>
    <w:p w14:paraId="2B889170" w14:textId="77777777" w:rsidR="001B0EB7" w:rsidRPr="00C931A5" w:rsidRDefault="001B0EB7" w:rsidP="001B0EB7">
      <w:pPr>
        <w:jc w:val="both"/>
        <w:rPr>
          <w:rFonts w:cs="Open Sans"/>
        </w:rPr>
      </w:pPr>
    </w:p>
    <w:p w14:paraId="314046E0" w14:textId="77777777" w:rsidR="001B0EB7" w:rsidRDefault="001B0EB7" w:rsidP="001B0EB7">
      <w:pPr>
        <w:pStyle w:val="Nadpis2"/>
        <w:keepLines w:val="0"/>
        <w:numPr>
          <w:ilvl w:val="0"/>
          <w:numId w:val="17"/>
        </w:numPr>
        <w:spacing w:before="100" w:after="100" w:line="360" w:lineRule="exact"/>
        <w:jc w:val="center"/>
        <w:rPr>
          <w:rFonts w:cs="Open Sans"/>
        </w:rPr>
      </w:pPr>
      <w:r>
        <w:rPr>
          <w:rFonts w:cs="Open Sans"/>
        </w:rPr>
        <w:t>Vyrovnávací platba</w:t>
      </w:r>
    </w:p>
    <w:p w14:paraId="09EBBEA8" w14:textId="2A9A8750" w:rsidR="001B0EB7" w:rsidRDefault="001B0EB7" w:rsidP="001B0EB7">
      <w:pPr>
        <w:pStyle w:val="Odstavecseseznamem"/>
        <w:numPr>
          <w:ilvl w:val="0"/>
          <w:numId w:val="18"/>
        </w:numPr>
        <w:suppressAutoHyphens/>
        <w:spacing w:before="120" w:after="120" w:line="280" w:lineRule="exact"/>
        <w:ind w:hanging="720"/>
        <w:contextualSpacing w:val="0"/>
        <w:jc w:val="both"/>
      </w:pPr>
      <w:r>
        <w:t>MSIC byl pověřen M</w:t>
      </w:r>
      <w:r w:rsidR="0053087A">
        <w:t>SK</w:t>
      </w:r>
      <w:r>
        <w:t xml:space="preserve"> k výkonu veřejné služby v obecném hospodářském zájmu a vzal na sebe závazek poskytnout tuto službu na základě pověření specifikovaného v čl. II této smlouvy. Za výkon služeb v režimu závazku veřejné služby bude MSIC poskytována vyrovnávací platba </w:t>
      </w:r>
      <w:r w:rsidRPr="00962084">
        <w:t>formou</w:t>
      </w:r>
      <w:r>
        <w:t xml:space="preserve"> </w:t>
      </w:r>
      <w:r w:rsidRPr="00962084">
        <w:t>dotace</w:t>
      </w:r>
      <w:r>
        <w:t xml:space="preserve"> na žádost ve smyslu zákona č. 250/2000 Sb., o rozpočtových pravidlech územních rozpočtů, ve znění pozdějších předpisů (dále </w:t>
      </w:r>
      <w:r w:rsidRPr="003B5149">
        <w:t>jen „RPÚR“)</w:t>
      </w:r>
      <w:r>
        <w:t xml:space="preserve"> (dále jen „</w:t>
      </w:r>
      <w:r w:rsidRPr="00CA1413">
        <w:rPr>
          <w:b/>
          <w:bCs/>
        </w:rPr>
        <w:t>vyrovnávací platba</w:t>
      </w:r>
      <w:r>
        <w:t xml:space="preserve">“). </w:t>
      </w:r>
    </w:p>
    <w:p w14:paraId="33FDE280" w14:textId="77777777" w:rsidR="001B0EB7" w:rsidRDefault="001B0EB7" w:rsidP="001B0EB7">
      <w:pPr>
        <w:pStyle w:val="Odstavecseseznamem"/>
        <w:numPr>
          <w:ilvl w:val="0"/>
          <w:numId w:val="18"/>
        </w:numPr>
        <w:suppressAutoHyphens/>
        <w:spacing w:before="120" w:after="120" w:line="280" w:lineRule="exact"/>
        <w:ind w:left="709" w:hanging="709"/>
        <w:contextualSpacing w:val="0"/>
        <w:jc w:val="both"/>
      </w:pPr>
      <w:r>
        <w:t xml:space="preserve">Vyrovnávací platba je ve smyslu zákona č. 320/2001 Sb., o finanční kontrole ve veřejné správě, a o změně některých zákonů (zákon o finanční kontrole), ve znění pozdějších předpisů, veřejnou finanční podporou a vztahují se na ní všechna ustanovení tohoto zákona. </w:t>
      </w:r>
    </w:p>
    <w:p w14:paraId="2DE711D2" w14:textId="4B3C559D" w:rsidR="001B0EB7" w:rsidRPr="00E40E6D" w:rsidRDefault="001B0EB7" w:rsidP="001B0EB7">
      <w:pPr>
        <w:pStyle w:val="Odstavecseseznamem"/>
        <w:numPr>
          <w:ilvl w:val="0"/>
          <w:numId w:val="18"/>
        </w:numPr>
        <w:suppressAutoHyphens/>
        <w:spacing w:before="120" w:after="120" w:line="280" w:lineRule="exact"/>
        <w:ind w:left="709" w:hanging="709"/>
        <w:contextualSpacing w:val="0"/>
        <w:jc w:val="both"/>
      </w:pPr>
      <w:r>
        <w:t xml:space="preserve">Smluvní strany berou na vědomí, že vyrovnávací platba je poskytována v souladu s rozhodnutím Komise ze dne 20.12.2012, o použití čl. 106 odst. 2 Smlouvy o fungování Evropské unie na státní podpory ve formě vyrovnávací platby za závazek veřejné služby poskytované určitým podnikům pověřeným poskytováním služeb obecného hospodářského zájmu (č. 2012/21/EU) (dále jen </w:t>
      </w:r>
      <w:r w:rsidRPr="00CD38DD">
        <w:t>„Rozhodnutí Komise č. 2012/21/EU“),</w:t>
      </w:r>
      <w:r>
        <w:t xml:space="preserve"> a proto je vyňata z povinnosti ohlašování </w:t>
      </w:r>
      <w:r w:rsidRPr="00E40E6D">
        <w:t xml:space="preserve">(notifikace) veřejné podpory před jejím poskytnutím. </w:t>
      </w:r>
    </w:p>
    <w:p w14:paraId="14A361CC" w14:textId="2A205312" w:rsidR="001B0EB7" w:rsidRPr="00F975E9" w:rsidRDefault="001B0EB7" w:rsidP="001B0EB7">
      <w:pPr>
        <w:pStyle w:val="Odstavecseseznamem"/>
        <w:numPr>
          <w:ilvl w:val="0"/>
          <w:numId w:val="18"/>
        </w:numPr>
        <w:suppressAutoHyphens/>
        <w:spacing w:before="120" w:after="120" w:line="280" w:lineRule="exact"/>
        <w:ind w:left="709" w:hanging="709"/>
        <w:contextualSpacing w:val="0"/>
        <w:jc w:val="both"/>
      </w:pPr>
      <w:r w:rsidRPr="00E40E6D">
        <w:t xml:space="preserve">MSIC bere na vědomí, že </w:t>
      </w:r>
      <w:r>
        <w:t>M</w:t>
      </w:r>
      <w:r w:rsidR="006B362F">
        <w:t>SK</w:t>
      </w:r>
      <w:r>
        <w:t xml:space="preserve"> </w:t>
      </w:r>
      <w:r w:rsidRPr="00E40E6D">
        <w:t>j</w:t>
      </w:r>
      <w:r>
        <w:t>e</w:t>
      </w:r>
      <w:r w:rsidRPr="00E40E6D">
        <w:t xml:space="preserve"> povin</w:t>
      </w:r>
      <w:r w:rsidR="00466777">
        <w:t>en</w:t>
      </w:r>
      <w:r w:rsidRPr="00E40E6D">
        <w:t xml:space="preserve"> průběžně ověřovat naplnění podmínek Rozhodnutí Komise č. 2012/21/EU, a je srozuměn s tím, že v případě jejich nenaplnění bude </w:t>
      </w:r>
      <w:r>
        <w:t>M</w:t>
      </w:r>
      <w:r w:rsidR="00466777">
        <w:t>SK</w:t>
      </w:r>
      <w:r w:rsidRPr="00E40E6D">
        <w:t xml:space="preserve"> postupovat podle příslušných předpisů pro oblast veřejné podpory. V takovém případě MSIC poskytne </w:t>
      </w:r>
      <w:r>
        <w:t>M</w:t>
      </w:r>
      <w:r w:rsidR="00F93FC9">
        <w:t>SK</w:t>
      </w:r>
      <w:r w:rsidRPr="00E40E6D">
        <w:t xml:space="preserve"> potřebnou součinnost</w:t>
      </w:r>
      <w:r>
        <w:t xml:space="preserve">, zejména při úpravě rozsahu služeb vykonávaných </w:t>
      </w:r>
      <w:r w:rsidRPr="00F975E9">
        <w:rPr>
          <w:rFonts w:cs="Open Sans"/>
        </w:rPr>
        <w:t>v režimu závazku veřejné služby</w:t>
      </w:r>
      <w:r w:rsidRPr="00F975E9">
        <w:t xml:space="preserve"> dle této smlouvy. </w:t>
      </w:r>
    </w:p>
    <w:p w14:paraId="5AEB894A" w14:textId="2C68209A" w:rsidR="001B0EB7" w:rsidRPr="00F975E9" w:rsidRDefault="001B0EB7" w:rsidP="001B0EB7">
      <w:pPr>
        <w:pStyle w:val="Odstavecseseznamem"/>
        <w:numPr>
          <w:ilvl w:val="0"/>
          <w:numId w:val="18"/>
        </w:numPr>
        <w:suppressAutoHyphens/>
        <w:spacing w:before="120" w:after="120" w:line="280" w:lineRule="exact"/>
        <w:ind w:left="709" w:hanging="709"/>
        <w:contextualSpacing w:val="0"/>
        <w:jc w:val="both"/>
      </w:pPr>
      <w:r w:rsidRPr="00F975E9">
        <w:t>MSIC bere na vědomí, že pokud bude vedle M</w:t>
      </w:r>
      <w:r w:rsidR="00F93FC9">
        <w:t>SK</w:t>
      </w:r>
      <w:r w:rsidRPr="00F975E9">
        <w:t xml:space="preserve"> pověřen závazkem veřejné služby také jiným pověřovatelem, bude M</w:t>
      </w:r>
      <w:r w:rsidR="00B43731">
        <w:t>SK</w:t>
      </w:r>
      <w:r w:rsidRPr="00F975E9">
        <w:t xml:space="preserve"> s tímto pověřovatelem spolupracovat a poskytovat si vzájemnou součinnost, a to zejména při hodnocení existence nadměrné platby a při jiných úkonech mající vliv na výši vyrovnávací platby.</w:t>
      </w:r>
    </w:p>
    <w:p w14:paraId="18FECA98" w14:textId="5110B89B" w:rsidR="001B0EB7" w:rsidRPr="001B0EB7" w:rsidRDefault="001B0EB7" w:rsidP="001B0EB7">
      <w:pPr>
        <w:pStyle w:val="Odstavecseseznamem"/>
        <w:numPr>
          <w:ilvl w:val="0"/>
          <w:numId w:val="18"/>
        </w:numPr>
        <w:suppressAutoHyphens/>
        <w:spacing w:before="120" w:after="120" w:line="280" w:lineRule="exact"/>
        <w:ind w:left="709" w:hanging="709"/>
        <w:contextualSpacing w:val="0"/>
        <w:jc w:val="both"/>
        <w:rPr>
          <w:rFonts w:cstheme="minorHAnsi"/>
        </w:rPr>
      </w:pPr>
      <w:r>
        <w:t xml:space="preserve">Vyrovnávací platba bude po celou dobu trvání pověření dle této smlouvy použita na tyto </w:t>
      </w:r>
      <w:r w:rsidRPr="001B0EB7">
        <w:rPr>
          <w:rFonts w:cstheme="minorHAnsi"/>
        </w:rPr>
        <w:t>aktivity</w:t>
      </w:r>
      <w:r w:rsidR="00F975E9">
        <w:rPr>
          <w:rFonts w:cstheme="minorHAnsi"/>
        </w:rPr>
        <w:t>, které jsou blíže specifikovány v Příloze č. I této smlouvy</w:t>
      </w:r>
      <w:r w:rsidRPr="001B0EB7">
        <w:rPr>
          <w:rFonts w:cstheme="minorHAnsi"/>
        </w:rPr>
        <w:t>:</w:t>
      </w:r>
    </w:p>
    <w:p w14:paraId="01AED7D4" w14:textId="2580D30E" w:rsidR="001B0EB7" w:rsidRPr="001B0EB7" w:rsidRDefault="001B0EB7" w:rsidP="001B0EB7">
      <w:pPr>
        <w:pStyle w:val="Nadpis2"/>
        <w:rPr>
          <w:rFonts w:asciiTheme="minorHAnsi" w:hAnsiTheme="minorHAnsi" w:cstheme="minorHAnsi"/>
          <w:b/>
          <w:bCs/>
          <w:color w:val="auto"/>
          <w:sz w:val="22"/>
          <w:szCs w:val="22"/>
        </w:rPr>
      </w:pPr>
      <w:r w:rsidRPr="001B0EB7">
        <w:rPr>
          <w:rFonts w:asciiTheme="minorHAnsi" w:hAnsiTheme="minorHAnsi" w:cstheme="minorHAnsi"/>
          <w:color w:val="auto"/>
          <w:sz w:val="22"/>
          <w:szCs w:val="22"/>
        </w:rPr>
        <w:tab/>
      </w:r>
      <w:r w:rsidRPr="001B0EB7">
        <w:rPr>
          <w:rFonts w:asciiTheme="minorHAnsi" w:hAnsiTheme="minorHAnsi" w:cstheme="minorHAnsi"/>
          <w:b/>
          <w:bCs/>
          <w:color w:val="auto"/>
          <w:sz w:val="22"/>
          <w:szCs w:val="22"/>
        </w:rPr>
        <w:t xml:space="preserve">6.1 Řízení </w:t>
      </w:r>
      <w:r w:rsidR="00F975E9">
        <w:rPr>
          <w:rFonts w:asciiTheme="minorHAnsi" w:hAnsiTheme="minorHAnsi" w:cstheme="minorHAnsi"/>
          <w:b/>
          <w:bCs/>
          <w:color w:val="auto"/>
          <w:sz w:val="22"/>
          <w:szCs w:val="22"/>
        </w:rPr>
        <w:t>Regionální inovační strategie Moravskoslezského kraje (</w:t>
      </w:r>
      <w:r w:rsidRPr="001B0EB7">
        <w:rPr>
          <w:rFonts w:asciiTheme="minorHAnsi" w:hAnsiTheme="minorHAnsi" w:cstheme="minorHAnsi"/>
          <w:b/>
          <w:bCs/>
          <w:color w:val="auto"/>
          <w:sz w:val="22"/>
          <w:szCs w:val="22"/>
        </w:rPr>
        <w:t>RIS MSK</w:t>
      </w:r>
      <w:r w:rsidR="00F975E9">
        <w:rPr>
          <w:rFonts w:asciiTheme="minorHAnsi" w:hAnsiTheme="minorHAnsi" w:cstheme="minorHAnsi"/>
          <w:b/>
          <w:bCs/>
          <w:color w:val="auto"/>
          <w:sz w:val="22"/>
          <w:szCs w:val="22"/>
        </w:rPr>
        <w:t>)</w:t>
      </w:r>
    </w:p>
    <w:p w14:paraId="2B9A92BE" w14:textId="7121B666" w:rsidR="001B0EB7" w:rsidRPr="001B0EB7" w:rsidRDefault="001B0EB7" w:rsidP="001B0EB7">
      <w:pPr>
        <w:ind w:left="709"/>
        <w:jc w:val="both"/>
        <w:rPr>
          <w:rFonts w:cstheme="minorHAnsi"/>
        </w:rPr>
      </w:pPr>
      <w:r w:rsidRPr="001B0EB7">
        <w:rPr>
          <w:rFonts w:cstheme="minorHAnsi"/>
        </w:rPr>
        <w:t>Zajištění koordinace a implementace RIS MSK a tím zajištění rozvoje inovačního ekosystému včetně přípravy a pilotáže nových aktivit/služeb/program</w:t>
      </w:r>
      <w:r w:rsidR="00B8090D">
        <w:rPr>
          <w:rFonts w:cstheme="minorHAnsi"/>
        </w:rPr>
        <w:t>ů</w:t>
      </w:r>
      <w:r w:rsidRPr="001B0EB7">
        <w:rPr>
          <w:rFonts w:cstheme="minorHAnsi"/>
        </w:rPr>
        <w:t>, zapojení do relevantních mezinárodních sítí, zlepšení image MSK, zajištění potřebných analýz mapování a realizace dopadových studií realizovaných intervencí</w:t>
      </w:r>
      <w:r w:rsidR="00F975E9">
        <w:rPr>
          <w:rFonts w:cstheme="minorHAnsi"/>
        </w:rPr>
        <w:t>.</w:t>
      </w:r>
    </w:p>
    <w:p w14:paraId="63FC5BBD" w14:textId="77777777" w:rsidR="001B0EB7" w:rsidRPr="001B0EB7" w:rsidRDefault="001B0EB7" w:rsidP="001B0EB7">
      <w:pPr>
        <w:spacing w:line="278" w:lineRule="auto"/>
        <w:ind w:left="709"/>
        <w:jc w:val="both"/>
        <w:rPr>
          <w:rFonts w:cstheme="minorHAnsi"/>
        </w:rPr>
      </w:pPr>
      <w:r w:rsidRPr="001B0EB7">
        <w:rPr>
          <w:rFonts w:cstheme="minorHAnsi"/>
        </w:rPr>
        <w:t>Cílovou skupinou těchto činností jsou politici, akademický sektor, podnikatelský sektor, investoři a veřejnost.</w:t>
      </w:r>
    </w:p>
    <w:p w14:paraId="635854E6" w14:textId="77777777" w:rsidR="001B0EB7" w:rsidRPr="001B0EB7" w:rsidRDefault="001B0EB7" w:rsidP="001B0EB7">
      <w:pPr>
        <w:jc w:val="both"/>
        <w:rPr>
          <w:rFonts w:cstheme="minorHAnsi"/>
          <w:b/>
        </w:rPr>
      </w:pPr>
      <w:r>
        <w:rPr>
          <w:rFonts w:cs="Open Sans"/>
          <w:b/>
        </w:rPr>
        <w:lastRenderedPageBreak/>
        <w:tab/>
      </w:r>
      <w:r w:rsidRPr="001B0EB7">
        <w:rPr>
          <w:rFonts w:cstheme="minorHAnsi"/>
          <w:b/>
        </w:rPr>
        <w:t>Podskupiny činností</w:t>
      </w:r>
    </w:p>
    <w:p w14:paraId="4EBDE354" w14:textId="77777777" w:rsidR="001B0EB7" w:rsidRPr="001B0EB7" w:rsidRDefault="001B0EB7" w:rsidP="001B0EB7">
      <w:pPr>
        <w:pStyle w:val="Odstavecseseznamem"/>
        <w:numPr>
          <w:ilvl w:val="2"/>
          <w:numId w:val="18"/>
        </w:numPr>
        <w:spacing w:after="200"/>
        <w:ind w:left="1843" w:hanging="709"/>
        <w:jc w:val="both"/>
        <w:rPr>
          <w:rFonts w:cstheme="minorHAnsi"/>
          <w:bCs/>
        </w:rPr>
      </w:pPr>
      <w:r w:rsidRPr="001B0EB7">
        <w:rPr>
          <w:rFonts w:cstheme="minorHAnsi"/>
          <w:bCs/>
        </w:rPr>
        <w:t>Koordinace a implementace RIS MSK</w:t>
      </w:r>
    </w:p>
    <w:p w14:paraId="65C6FD4F" w14:textId="77777777" w:rsidR="001B0EB7" w:rsidRPr="001B0EB7" w:rsidRDefault="001B0EB7" w:rsidP="001B0EB7">
      <w:pPr>
        <w:pStyle w:val="Odstavecseseznamem"/>
        <w:numPr>
          <w:ilvl w:val="2"/>
          <w:numId w:val="18"/>
        </w:numPr>
        <w:spacing w:after="200"/>
        <w:ind w:left="1843" w:hanging="709"/>
        <w:jc w:val="both"/>
        <w:rPr>
          <w:rFonts w:cstheme="minorHAnsi"/>
          <w:bCs/>
        </w:rPr>
      </w:pPr>
      <w:r w:rsidRPr="001B0EB7">
        <w:rPr>
          <w:rFonts w:cstheme="minorHAnsi"/>
          <w:bCs/>
        </w:rPr>
        <w:t xml:space="preserve">Příprava a pilotáž nových aktivit Regionální inovační strategie Moravskoslezského   kraje (RIS MSK) </w:t>
      </w:r>
    </w:p>
    <w:p w14:paraId="1DF099D7" w14:textId="77777777" w:rsidR="001B0EB7" w:rsidRPr="001B0EB7" w:rsidRDefault="001B0EB7" w:rsidP="001B0EB7">
      <w:pPr>
        <w:pStyle w:val="Odstavecseseznamem"/>
        <w:numPr>
          <w:ilvl w:val="2"/>
          <w:numId w:val="18"/>
        </w:numPr>
        <w:spacing w:after="200"/>
        <w:ind w:left="1843" w:hanging="709"/>
        <w:jc w:val="both"/>
        <w:rPr>
          <w:rFonts w:cstheme="minorHAnsi"/>
          <w:bCs/>
        </w:rPr>
      </w:pPr>
      <w:r w:rsidRPr="001B0EB7">
        <w:rPr>
          <w:rFonts w:cstheme="minorHAnsi"/>
          <w:bCs/>
        </w:rPr>
        <w:t>Marketing inovačního ekosystému</w:t>
      </w:r>
    </w:p>
    <w:p w14:paraId="7227A3C9" w14:textId="3870C801" w:rsidR="001B0EB7" w:rsidRPr="00827D82" w:rsidRDefault="001B0EB7" w:rsidP="00852096">
      <w:pPr>
        <w:pStyle w:val="Odstavecseseznamem"/>
        <w:numPr>
          <w:ilvl w:val="2"/>
          <w:numId w:val="18"/>
        </w:numPr>
        <w:spacing w:after="200"/>
        <w:ind w:left="1843" w:hanging="709"/>
        <w:jc w:val="both"/>
        <w:rPr>
          <w:rFonts w:cstheme="minorHAnsi"/>
        </w:rPr>
      </w:pPr>
      <w:r w:rsidRPr="001B0EB7">
        <w:rPr>
          <w:rFonts w:cstheme="minorHAnsi"/>
        </w:rPr>
        <w:t>Spolupráce na regionální, národní a mezinárodní úrovni</w:t>
      </w:r>
      <w:r w:rsidR="00F975E9" w:rsidRPr="00827D82">
        <w:rPr>
          <w:rFonts w:cstheme="minorHAnsi"/>
        </w:rPr>
        <w:t>.</w:t>
      </w:r>
    </w:p>
    <w:p w14:paraId="75C34C1B" w14:textId="77777777" w:rsidR="001B0EB7" w:rsidRPr="001B0EB7" w:rsidRDefault="001B0EB7" w:rsidP="001B0EB7">
      <w:pPr>
        <w:pStyle w:val="Nadpis2"/>
        <w:tabs>
          <w:tab w:val="num" w:pos="1134"/>
        </w:tabs>
        <w:ind w:left="1134" w:hanging="425"/>
        <w:rPr>
          <w:rFonts w:asciiTheme="minorHAnsi" w:hAnsiTheme="minorHAnsi" w:cstheme="minorHAnsi"/>
          <w:b/>
          <w:bCs/>
          <w:color w:val="auto"/>
          <w:sz w:val="22"/>
          <w:szCs w:val="22"/>
        </w:rPr>
      </w:pPr>
      <w:r w:rsidRPr="001B0EB7">
        <w:rPr>
          <w:rFonts w:asciiTheme="minorHAnsi" w:hAnsiTheme="minorHAnsi" w:cstheme="minorHAnsi"/>
          <w:b/>
          <w:bCs/>
          <w:color w:val="auto"/>
          <w:sz w:val="22"/>
          <w:szCs w:val="22"/>
        </w:rPr>
        <w:t>6.2</w:t>
      </w:r>
      <w:r w:rsidRPr="001B0EB7">
        <w:rPr>
          <w:rFonts w:asciiTheme="minorHAnsi" w:hAnsiTheme="minorHAnsi" w:cstheme="minorHAnsi"/>
          <w:b/>
          <w:bCs/>
          <w:color w:val="auto"/>
          <w:sz w:val="22"/>
          <w:szCs w:val="22"/>
        </w:rPr>
        <w:tab/>
        <w:t xml:space="preserve">Inovační služby </w:t>
      </w:r>
    </w:p>
    <w:p w14:paraId="604B8BD6" w14:textId="32246206" w:rsidR="001B0EB7" w:rsidRPr="001B0EB7" w:rsidRDefault="001B0EB7" w:rsidP="001B0EB7">
      <w:pPr>
        <w:ind w:left="709"/>
        <w:jc w:val="both"/>
        <w:rPr>
          <w:rFonts w:cstheme="minorHAnsi"/>
        </w:rPr>
      </w:pPr>
      <w:r w:rsidRPr="001B0EB7">
        <w:rPr>
          <w:rFonts w:cstheme="minorHAnsi"/>
        </w:rPr>
        <w:t>V rámci této činnosti jde o přímou podporu student</w:t>
      </w:r>
      <w:r w:rsidR="00F975E9">
        <w:rPr>
          <w:rFonts w:cstheme="minorHAnsi"/>
        </w:rPr>
        <w:t>ů</w:t>
      </w:r>
      <w:r w:rsidRPr="001B0EB7">
        <w:rPr>
          <w:rFonts w:cstheme="minorHAnsi"/>
        </w:rPr>
        <w:t xml:space="preserve"> SŠ, VŠ, výzkumníků, kteří zvažují podnikání</w:t>
      </w:r>
      <w:r w:rsidR="00433A8D">
        <w:rPr>
          <w:rFonts w:cstheme="minorHAnsi"/>
        </w:rPr>
        <w:t>;</w:t>
      </w:r>
      <w:r w:rsidRPr="001B0EB7">
        <w:rPr>
          <w:rFonts w:cstheme="minorHAnsi"/>
        </w:rPr>
        <w:t xml:space="preserve"> start-upů, spin-offů, scale-upů</w:t>
      </w:r>
      <w:r w:rsidR="00F51A10">
        <w:rPr>
          <w:rFonts w:cstheme="minorHAnsi"/>
        </w:rPr>
        <w:t xml:space="preserve"> (dále v textu jen start-</w:t>
      </w:r>
      <w:r w:rsidR="00433A8D">
        <w:rPr>
          <w:rFonts w:cstheme="minorHAnsi"/>
        </w:rPr>
        <w:t>upů);</w:t>
      </w:r>
      <w:r w:rsidRPr="001B0EB7">
        <w:rPr>
          <w:rFonts w:cstheme="minorHAnsi"/>
        </w:rPr>
        <w:t xml:space="preserve"> a malých a středních firem s potenciálem, prostřednictvím předem definovaných služeb MSIC. </w:t>
      </w:r>
    </w:p>
    <w:p w14:paraId="4D407D76" w14:textId="3CF3F027" w:rsidR="001B0EB7" w:rsidRPr="001B0EB7" w:rsidRDefault="001B0EB7" w:rsidP="001B0EB7">
      <w:pPr>
        <w:ind w:left="709"/>
        <w:jc w:val="both"/>
        <w:rPr>
          <w:rFonts w:cstheme="minorHAnsi"/>
        </w:rPr>
      </w:pPr>
      <w:r w:rsidRPr="001B0EB7">
        <w:rPr>
          <w:rFonts w:cstheme="minorHAnsi"/>
        </w:rPr>
        <w:t>Poskytování služeb výše zmíněným cílovým skupinám prostřednictvím hodnocení technologie a ekonomické proveditelnosti podnikatelského záměru, podpory při založení společnosti, realizace ratingu klientů MSIC na základě hloubkové analýzy, marketingového a PR poradenství, průzkumu trhu, podpory při tvorbě podnikatelského plánu, poradenství při rozvoji firmy</w:t>
      </w:r>
      <w:r w:rsidR="007D1B89">
        <w:rPr>
          <w:rFonts w:cstheme="minorHAnsi"/>
        </w:rPr>
        <w:t>, ochraně</w:t>
      </w:r>
      <w:r w:rsidR="002849FA">
        <w:rPr>
          <w:rFonts w:cstheme="minorHAnsi"/>
        </w:rPr>
        <w:t xml:space="preserve"> duševního vlastnictví</w:t>
      </w:r>
      <w:r w:rsidRPr="001B0EB7">
        <w:rPr>
          <w:rFonts w:cstheme="minorHAnsi"/>
        </w:rPr>
        <w:t xml:space="preserve"> anebo zajištění finančních zdrojů pro rozvoj firem, pořádání networkingových akcí,  propagace podnikavosti, podpora technologického transferu a konzultační podpora</w:t>
      </w:r>
      <w:r w:rsidR="0092610C">
        <w:rPr>
          <w:rFonts w:cstheme="minorHAnsi"/>
        </w:rPr>
        <w:t xml:space="preserve"> malých a středních firem (</w:t>
      </w:r>
      <w:r w:rsidRPr="00D667CF">
        <w:rPr>
          <w:rFonts w:cstheme="minorHAnsi"/>
        </w:rPr>
        <w:t>MSP</w:t>
      </w:r>
      <w:r w:rsidR="0092610C">
        <w:rPr>
          <w:rFonts w:cstheme="minorHAnsi"/>
        </w:rPr>
        <w:t>)</w:t>
      </w:r>
      <w:r w:rsidRPr="001B0EB7">
        <w:rPr>
          <w:rFonts w:cstheme="minorHAnsi"/>
        </w:rPr>
        <w:t>.</w:t>
      </w:r>
    </w:p>
    <w:p w14:paraId="3E1A0736" w14:textId="77777777" w:rsidR="001B0EB7" w:rsidRPr="001B0EB7" w:rsidRDefault="001B0EB7" w:rsidP="001B0EB7">
      <w:pPr>
        <w:ind w:left="709"/>
        <w:jc w:val="both"/>
        <w:rPr>
          <w:rFonts w:cstheme="minorHAnsi"/>
        </w:rPr>
      </w:pPr>
      <w:r w:rsidRPr="001B0EB7">
        <w:rPr>
          <w:rFonts w:cstheme="minorHAnsi"/>
        </w:rPr>
        <w:t>Pro jejich realizaci je nezbytné průběžně posilovat interní know-how zaměstnanců MSIC a současně rozvíjet síť expertů schopných sdílet svou expertizu a kontakty a tím umožnit MSIC poskytovat unikátní služby s vysokou přidanou hodnotou pro firmy. Konkrétními službami poskytovanými v rámci této činnosti se rozumí zejména:</w:t>
      </w:r>
    </w:p>
    <w:p w14:paraId="07937950" w14:textId="61EFE8F2" w:rsidR="001B0EB7" w:rsidRPr="001B0EB7" w:rsidRDefault="001B0EB7" w:rsidP="001B0EB7">
      <w:pPr>
        <w:pStyle w:val="Odstavecseseznamem"/>
        <w:numPr>
          <w:ilvl w:val="2"/>
          <w:numId w:val="30"/>
        </w:numPr>
        <w:spacing w:after="200"/>
        <w:ind w:left="1843" w:hanging="709"/>
        <w:jc w:val="both"/>
        <w:rPr>
          <w:rFonts w:cstheme="minorHAnsi"/>
          <w:bCs/>
        </w:rPr>
      </w:pPr>
      <w:r w:rsidRPr="001B0EB7">
        <w:rPr>
          <w:rFonts w:cstheme="minorHAnsi"/>
          <w:bCs/>
        </w:rPr>
        <w:t>Rozvojové a podpůrné služby pro inovativní firmy</w:t>
      </w:r>
      <w:r w:rsidR="00433A8D">
        <w:rPr>
          <w:rFonts w:cstheme="minorHAnsi"/>
          <w:bCs/>
        </w:rPr>
        <w:t xml:space="preserve"> a start-upy</w:t>
      </w:r>
    </w:p>
    <w:p w14:paraId="3FA1AB9C" w14:textId="342955D6" w:rsidR="001B0EB7" w:rsidRPr="001B0EB7" w:rsidRDefault="001B0EB7" w:rsidP="001B0EB7">
      <w:pPr>
        <w:pStyle w:val="Odstavecseseznamem"/>
        <w:numPr>
          <w:ilvl w:val="2"/>
          <w:numId w:val="30"/>
        </w:numPr>
        <w:spacing w:after="200"/>
        <w:ind w:left="1843" w:hanging="709"/>
        <w:jc w:val="both"/>
        <w:rPr>
          <w:rFonts w:cstheme="minorHAnsi"/>
        </w:rPr>
      </w:pPr>
      <w:r w:rsidRPr="001B0EB7">
        <w:rPr>
          <w:rFonts w:cstheme="minorHAnsi"/>
        </w:rPr>
        <w:t>Rozvoj sítě expertů</w:t>
      </w:r>
      <w:r w:rsidR="00F975E9">
        <w:rPr>
          <w:rFonts w:cstheme="minorHAnsi"/>
        </w:rPr>
        <w:t>.</w:t>
      </w:r>
    </w:p>
    <w:p w14:paraId="38414654" w14:textId="77777777" w:rsidR="001B0EB7" w:rsidRPr="001B0EB7" w:rsidRDefault="001B0EB7" w:rsidP="001B0EB7">
      <w:pPr>
        <w:pStyle w:val="Nadpis2"/>
        <w:numPr>
          <w:ilvl w:val="1"/>
          <w:numId w:val="30"/>
        </w:numPr>
        <w:suppressAutoHyphens w:val="0"/>
        <w:spacing w:before="200" w:after="0" w:line="276" w:lineRule="auto"/>
        <w:ind w:left="1134" w:hanging="425"/>
        <w:rPr>
          <w:rFonts w:asciiTheme="minorHAnsi" w:hAnsiTheme="minorHAnsi" w:cstheme="minorHAnsi"/>
          <w:b/>
          <w:bCs/>
          <w:color w:val="auto"/>
          <w:sz w:val="22"/>
          <w:szCs w:val="22"/>
        </w:rPr>
      </w:pPr>
      <w:r w:rsidRPr="001B0EB7">
        <w:rPr>
          <w:rFonts w:asciiTheme="minorHAnsi" w:hAnsiTheme="minorHAnsi" w:cstheme="minorHAnsi"/>
          <w:b/>
          <w:bCs/>
          <w:color w:val="auto"/>
          <w:sz w:val="22"/>
          <w:szCs w:val="22"/>
        </w:rPr>
        <w:t>Ostrava Expat Centrum</w:t>
      </w:r>
    </w:p>
    <w:p w14:paraId="3B07BF10" w14:textId="123447C7" w:rsidR="00827D82" w:rsidRPr="00827D82" w:rsidRDefault="001B0EB7" w:rsidP="00F51927">
      <w:pPr>
        <w:ind w:left="709"/>
        <w:jc w:val="both"/>
      </w:pPr>
      <w:r w:rsidRPr="001B0EB7">
        <w:rPr>
          <w:rFonts w:cstheme="minorHAnsi"/>
        </w:rPr>
        <w:t xml:space="preserve">V rámci této činnosti budou </w:t>
      </w:r>
      <w:r w:rsidR="00F975E9" w:rsidRPr="001B0EB7">
        <w:rPr>
          <w:rFonts w:cstheme="minorHAnsi"/>
        </w:rPr>
        <w:t>dále</w:t>
      </w:r>
      <w:r w:rsidRPr="001B0EB7">
        <w:rPr>
          <w:rFonts w:cstheme="minorHAnsi"/>
        </w:rPr>
        <w:t xml:space="preserve"> rozvíjeny aktivity Ostrava Expat Centre (OEC). Cílem činnosti je podpora a rozvoj komunity Expatů v</w:t>
      </w:r>
      <w:r w:rsidR="003D585B">
        <w:rPr>
          <w:rFonts w:cstheme="minorHAnsi"/>
        </w:rPr>
        <w:t xml:space="preserve"> Ostravě a </w:t>
      </w:r>
      <w:r w:rsidRPr="001B0EB7">
        <w:rPr>
          <w:rFonts w:cstheme="minorHAnsi"/>
        </w:rPr>
        <w:t xml:space="preserve">MSK a zajištění podpůrných služeb, jak pro přicházející zahraniční pracovníky do start-upů, tak </w:t>
      </w:r>
      <w:r w:rsidR="00F975E9" w:rsidRPr="001B0EB7">
        <w:rPr>
          <w:rFonts w:cstheme="minorHAnsi"/>
        </w:rPr>
        <w:t>také</w:t>
      </w:r>
      <w:r w:rsidRPr="001B0EB7">
        <w:rPr>
          <w:rFonts w:cstheme="minorHAnsi"/>
        </w:rPr>
        <w:t xml:space="preserve"> zahraniční start-upy, které chtějí působit v MSK. V rámci OEC budou rozvíjeny především tyto služby – one-stop-shop minimálně v rozsahu 20</w:t>
      </w:r>
      <w:r w:rsidR="00F975E9">
        <w:rPr>
          <w:rFonts w:cstheme="minorHAnsi"/>
        </w:rPr>
        <w:t xml:space="preserve"> </w:t>
      </w:r>
      <w:r w:rsidRPr="001B0EB7">
        <w:rPr>
          <w:rFonts w:cstheme="minorHAnsi"/>
        </w:rPr>
        <w:t xml:space="preserve">h/týdně, relokační servis pro high-skilled workers ve start-upech, soft-landing pro zahraniční start-upy, rozvoj database Expat Friendly Services a realizace komunitních rozvojových akcí. </w:t>
      </w:r>
    </w:p>
    <w:p w14:paraId="7BF9CC99" w14:textId="21F10D50" w:rsidR="0035275F" w:rsidRDefault="0035275F" w:rsidP="0035275F">
      <w:pPr>
        <w:pStyle w:val="Nadpis2"/>
        <w:numPr>
          <w:ilvl w:val="1"/>
          <w:numId w:val="30"/>
        </w:numPr>
        <w:suppressAutoHyphens w:val="0"/>
        <w:spacing w:before="200" w:after="0" w:line="276" w:lineRule="auto"/>
        <w:ind w:left="1134" w:hanging="425"/>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Příprava a implementace projektu financovaného z Operačního programu Jan Amos Komenský </w:t>
      </w:r>
      <w:r w:rsidR="001F4C64">
        <w:rPr>
          <w:rFonts w:asciiTheme="minorHAnsi" w:hAnsiTheme="minorHAnsi" w:cstheme="minorHAnsi"/>
          <w:b/>
          <w:bCs/>
          <w:color w:val="auto"/>
          <w:sz w:val="22"/>
          <w:szCs w:val="22"/>
        </w:rPr>
        <w:t>–</w:t>
      </w:r>
      <w:r>
        <w:rPr>
          <w:rFonts w:asciiTheme="minorHAnsi" w:hAnsiTheme="minorHAnsi" w:cstheme="minorHAnsi"/>
          <w:b/>
          <w:bCs/>
          <w:color w:val="auto"/>
          <w:sz w:val="22"/>
          <w:szCs w:val="22"/>
        </w:rPr>
        <w:t xml:space="preserve"> </w:t>
      </w:r>
      <w:r w:rsidR="001F4C64">
        <w:rPr>
          <w:rFonts w:asciiTheme="minorHAnsi" w:hAnsiTheme="minorHAnsi" w:cstheme="minorHAnsi"/>
          <w:b/>
          <w:bCs/>
          <w:color w:val="auto"/>
          <w:sz w:val="22"/>
          <w:szCs w:val="22"/>
        </w:rPr>
        <w:t xml:space="preserve">výzvy </w:t>
      </w:r>
      <w:r w:rsidRPr="008B16B3">
        <w:rPr>
          <w:rFonts w:asciiTheme="minorHAnsi" w:hAnsiTheme="minorHAnsi" w:cstheme="minorHAnsi"/>
          <w:b/>
          <w:bCs/>
          <w:color w:val="auto"/>
          <w:sz w:val="22"/>
          <w:szCs w:val="22"/>
        </w:rPr>
        <w:t>Smart Akcelerátor+ I</w:t>
      </w:r>
      <w:r>
        <w:rPr>
          <w:rFonts w:asciiTheme="minorHAnsi" w:hAnsiTheme="minorHAnsi" w:cstheme="minorHAnsi"/>
          <w:b/>
          <w:bCs/>
          <w:color w:val="auto"/>
          <w:sz w:val="22"/>
          <w:szCs w:val="22"/>
        </w:rPr>
        <w:t xml:space="preserve"> a </w:t>
      </w:r>
      <w:r w:rsidR="001F4C64">
        <w:rPr>
          <w:rFonts w:asciiTheme="minorHAnsi" w:hAnsiTheme="minorHAnsi" w:cstheme="minorHAnsi"/>
          <w:b/>
          <w:bCs/>
          <w:color w:val="auto"/>
          <w:sz w:val="22"/>
          <w:szCs w:val="22"/>
        </w:rPr>
        <w:t xml:space="preserve">výzvy </w:t>
      </w:r>
      <w:r w:rsidRPr="008B16B3">
        <w:rPr>
          <w:rFonts w:asciiTheme="minorHAnsi" w:hAnsiTheme="minorHAnsi" w:cstheme="minorHAnsi"/>
          <w:b/>
          <w:bCs/>
          <w:color w:val="auto"/>
          <w:sz w:val="22"/>
          <w:szCs w:val="22"/>
        </w:rPr>
        <w:t>Smart Akcelerátor+ II</w:t>
      </w:r>
    </w:p>
    <w:p w14:paraId="6C3D094E" w14:textId="77777777" w:rsidR="00A018CF" w:rsidRPr="00F51927" w:rsidRDefault="00A018CF" w:rsidP="00F51927"/>
    <w:p w14:paraId="5C956FED" w14:textId="0F27B92F" w:rsidR="00C765C4" w:rsidRDefault="001F4C64" w:rsidP="00062BEE">
      <w:pPr>
        <w:ind w:left="708"/>
        <w:jc w:val="both"/>
        <w:rPr>
          <w:rFonts w:cstheme="minorHAnsi"/>
        </w:rPr>
      </w:pPr>
      <w:r>
        <w:rPr>
          <w:rFonts w:cstheme="minorHAnsi"/>
        </w:rPr>
        <w:t>Realizace aktivit projektu Smart Akcelerátor</w:t>
      </w:r>
      <w:r w:rsidR="006258A7">
        <w:rPr>
          <w:rFonts w:cstheme="minorHAnsi"/>
        </w:rPr>
        <w:t xml:space="preserve">+I </w:t>
      </w:r>
      <w:r>
        <w:rPr>
          <w:rFonts w:cstheme="minorHAnsi"/>
        </w:rPr>
        <w:t>do 31.12.2026</w:t>
      </w:r>
      <w:r w:rsidR="00062BEE">
        <w:rPr>
          <w:rFonts w:cstheme="minorHAnsi"/>
        </w:rPr>
        <w:t xml:space="preserve"> (</w:t>
      </w:r>
      <w:r w:rsidR="00062BEE" w:rsidRPr="00062BEE">
        <w:rPr>
          <w:rFonts w:cstheme="minorHAnsi"/>
        </w:rPr>
        <w:t>Výzva č. 02_22_009 Smart Akcelerátor+ I</w:t>
      </w:r>
      <w:r w:rsidR="00062BEE">
        <w:rPr>
          <w:rFonts w:cstheme="minorHAnsi"/>
        </w:rPr>
        <w:t>)</w:t>
      </w:r>
      <w:r>
        <w:rPr>
          <w:rFonts w:cstheme="minorHAnsi"/>
        </w:rPr>
        <w:t xml:space="preserve"> a příprava a implementace navazujícího projektu Smart Akcelerátor</w:t>
      </w:r>
      <w:r w:rsidR="006258A7">
        <w:rPr>
          <w:rFonts w:cstheme="minorHAnsi"/>
        </w:rPr>
        <w:t>+II</w:t>
      </w:r>
      <w:r>
        <w:rPr>
          <w:rFonts w:cstheme="minorHAnsi"/>
        </w:rPr>
        <w:t xml:space="preserve"> </w:t>
      </w:r>
      <w:r w:rsidR="00062BEE">
        <w:rPr>
          <w:rFonts w:cstheme="minorHAnsi"/>
        </w:rPr>
        <w:t>(</w:t>
      </w:r>
      <w:r w:rsidR="00C765C4" w:rsidRPr="00C765C4">
        <w:rPr>
          <w:rFonts w:cstheme="minorHAnsi"/>
        </w:rPr>
        <w:t>Výzva č. 02_25_042 Smart Akcelerátor+ II</w:t>
      </w:r>
      <w:r w:rsidR="00C765C4">
        <w:rPr>
          <w:rFonts w:cstheme="minorHAnsi"/>
        </w:rPr>
        <w:t>)</w:t>
      </w:r>
      <w:r w:rsidR="00062BEE">
        <w:rPr>
          <w:rFonts w:cstheme="minorHAnsi"/>
        </w:rPr>
        <w:t xml:space="preserve"> </w:t>
      </w:r>
      <w:r>
        <w:rPr>
          <w:rFonts w:cstheme="minorHAnsi"/>
        </w:rPr>
        <w:t>od</w:t>
      </w:r>
      <w:r w:rsidR="006258A7">
        <w:rPr>
          <w:rFonts w:cstheme="minorHAnsi"/>
        </w:rPr>
        <w:t xml:space="preserve"> </w:t>
      </w:r>
      <w:r>
        <w:rPr>
          <w:rFonts w:cstheme="minorHAnsi"/>
        </w:rPr>
        <w:t>01.01.2027 do 30.06.202</w:t>
      </w:r>
      <w:r w:rsidR="00C5596F">
        <w:rPr>
          <w:rFonts w:cstheme="minorHAnsi"/>
        </w:rPr>
        <w:t>9</w:t>
      </w:r>
      <w:r w:rsidR="00C765C4">
        <w:rPr>
          <w:rFonts w:cstheme="minorHAnsi"/>
        </w:rPr>
        <w:t>.</w:t>
      </w:r>
    </w:p>
    <w:p w14:paraId="5E3F85BD" w14:textId="2A39FDB8" w:rsidR="00827D82" w:rsidRPr="001B0EB7" w:rsidRDefault="0035275F" w:rsidP="007F04D0">
      <w:pPr>
        <w:ind w:left="708"/>
        <w:jc w:val="both"/>
        <w:rPr>
          <w:rFonts w:cstheme="minorHAnsi"/>
        </w:rPr>
      </w:pPr>
      <w:r w:rsidRPr="006501B6">
        <w:rPr>
          <w:lang w:eastAsia="ar-SA"/>
        </w:rPr>
        <w:t>Cílem</w:t>
      </w:r>
      <w:r>
        <w:rPr>
          <w:lang w:eastAsia="ar-SA"/>
        </w:rPr>
        <w:t xml:space="preserve"> projektu</w:t>
      </w:r>
      <w:r w:rsidRPr="006501B6">
        <w:rPr>
          <w:lang w:eastAsia="ar-SA"/>
        </w:rPr>
        <w:t xml:space="preserve"> je umožnit rozvoj kapacit a kompetencí přispívajících k vytváření podmínek pro posilování inteligentní specializace, rozvoje inovačních ekosystémů a rozvoje spolupráce mezi aktéry napříč sférami tzv. triple/quadruple helix (zejména výzkumných organizací, vzdělávacích institucí, firemní sféry a veřejného sektoru) v souladu s prioritami definovanými Národní výzkumnou a inovační strategií pro inteligentní specializaci České republiky 2021–2027 a její </w:t>
      </w:r>
      <w:r w:rsidRPr="006501B6">
        <w:rPr>
          <w:lang w:eastAsia="ar-SA"/>
        </w:rPr>
        <w:lastRenderedPageBreak/>
        <w:t xml:space="preserve">regionální dimenzí. </w:t>
      </w:r>
      <w:r>
        <w:rPr>
          <w:lang w:eastAsia="ar-SA"/>
        </w:rPr>
        <w:t xml:space="preserve">Cílem projektu je </w:t>
      </w:r>
      <w:r w:rsidRPr="006501B6">
        <w:rPr>
          <w:lang w:eastAsia="ar-SA"/>
        </w:rPr>
        <w:t>dále rozvinout spolupráci mezi institucemi odpovědnými za přípravu a realizaci nástrojů podpory výzkumu, vývoje a inovací na regionální úrovni a využít výstupů realizovaných intervencí a projektů k dalšímu rozvoji region</w:t>
      </w:r>
      <w:r>
        <w:rPr>
          <w:lang w:eastAsia="ar-SA"/>
        </w:rPr>
        <w:t>u</w:t>
      </w:r>
      <w:r w:rsidRPr="006501B6">
        <w:rPr>
          <w:lang w:eastAsia="ar-SA"/>
        </w:rPr>
        <w:t>.</w:t>
      </w:r>
    </w:p>
    <w:p w14:paraId="518CA7B8" w14:textId="07707D65" w:rsidR="001B0EB7" w:rsidRPr="001B0EB7" w:rsidRDefault="001B0EB7" w:rsidP="001B0EB7">
      <w:pPr>
        <w:pStyle w:val="Nadpis2"/>
        <w:numPr>
          <w:ilvl w:val="1"/>
          <w:numId w:val="30"/>
        </w:numPr>
        <w:suppressAutoHyphens w:val="0"/>
        <w:spacing w:before="200" w:after="0" w:line="276" w:lineRule="auto"/>
        <w:ind w:left="1134" w:hanging="425"/>
        <w:jc w:val="both"/>
        <w:rPr>
          <w:rFonts w:asciiTheme="minorHAnsi" w:hAnsiTheme="minorHAnsi" w:cstheme="minorHAnsi"/>
          <w:b/>
          <w:bCs/>
          <w:color w:val="auto"/>
          <w:sz w:val="22"/>
          <w:szCs w:val="22"/>
        </w:rPr>
      </w:pPr>
      <w:r w:rsidRPr="001B0EB7">
        <w:rPr>
          <w:rFonts w:asciiTheme="minorHAnsi" w:hAnsiTheme="minorHAnsi" w:cstheme="minorHAnsi"/>
          <w:b/>
          <w:bCs/>
          <w:color w:val="auto"/>
          <w:sz w:val="22"/>
          <w:szCs w:val="22"/>
        </w:rPr>
        <w:t>Příprava a implementace rozvojových projektů zaměřených na zlepšení podnikatelského prostředí, služeb a vzdělávání pro malé a střední podnikatele, firmy v MSIC a v region</w:t>
      </w:r>
      <w:r w:rsidR="00F975E9">
        <w:rPr>
          <w:rFonts w:asciiTheme="minorHAnsi" w:hAnsiTheme="minorHAnsi" w:cstheme="minorHAnsi"/>
          <w:b/>
          <w:bCs/>
          <w:color w:val="auto"/>
          <w:sz w:val="22"/>
          <w:szCs w:val="22"/>
        </w:rPr>
        <w:t>u</w:t>
      </w:r>
      <w:r w:rsidRPr="001B0EB7">
        <w:rPr>
          <w:rFonts w:asciiTheme="minorHAnsi" w:hAnsiTheme="minorHAnsi" w:cstheme="minorHAnsi"/>
          <w:b/>
          <w:bCs/>
          <w:color w:val="auto"/>
          <w:sz w:val="22"/>
          <w:szCs w:val="22"/>
        </w:rPr>
        <w:t xml:space="preserve"> Moravskoslezského kraje</w:t>
      </w:r>
    </w:p>
    <w:p w14:paraId="1C0B1F41" w14:textId="66B1E850" w:rsidR="001B0EB7" w:rsidRPr="001B0EB7" w:rsidRDefault="001B0EB7" w:rsidP="001B0EB7">
      <w:pPr>
        <w:ind w:left="708"/>
        <w:jc w:val="both"/>
        <w:rPr>
          <w:rFonts w:cstheme="minorHAnsi"/>
        </w:rPr>
      </w:pPr>
      <w:r w:rsidRPr="001B0EB7">
        <w:rPr>
          <w:rFonts w:cstheme="minorHAnsi"/>
        </w:rPr>
        <w:t xml:space="preserve">Vyhledávání, zpracování studií proveditelnosti a odborných posudků a stanovisek, realizace následujících projektů dotovaných ze </w:t>
      </w:r>
      <w:r w:rsidR="0092610C">
        <w:rPr>
          <w:rFonts w:cstheme="minorHAnsi"/>
        </w:rPr>
        <w:t>strukturá</w:t>
      </w:r>
      <w:r w:rsidR="000C6480">
        <w:rPr>
          <w:rFonts w:cstheme="minorHAnsi"/>
        </w:rPr>
        <w:t>lních fondů EU</w:t>
      </w:r>
      <w:r w:rsidR="00AB6C67">
        <w:rPr>
          <w:rFonts w:cstheme="minorHAnsi"/>
        </w:rPr>
        <w:t xml:space="preserve"> (SF</w:t>
      </w:r>
      <w:r w:rsidR="006553F9">
        <w:rPr>
          <w:rFonts w:cstheme="minorHAnsi"/>
        </w:rPr>
        <w:t xml:space="preserve"> EU</w:t>
      </w:r>
      <w:r w:rsidR="00AB6C67">
        <w:rPr>
          <w:rFonts w:cstheme="minorHAnsi"/>
        </w:rPr>
        <w:t>)</w:t>
      </w:r>
      <w:r w:rsidR="000C6480">
        <w:rPr>
          <w:rFonts w:cstheme="minorHAnsi"/>
        </w:rPr>
        <w:t xml:space="preserve"> a státního rozpočtu ČR</w:t>
      </w:r>
      <w:r w:rsidR="006553F9">
        <w:rPr>
          <w:rFonts w:cstheme="minorHAnsi"/>
        </w:rPr>
        <w:t xml:space="preserve"> (SR ČR)</w:t>
      </w:r>
      <w:r w:rsidRPr="001B0EB7">
        <w:rPr>
          <w:rFonts w:cstheme="minorHAnsi"/>
        </w:rPr>
        <w:t xml:space="preserve"> či jiných zdrojů nebo partnerství v následujících projektech např:</w:t>
      </w:r>
    </w:p>
    <w:p w14:paraId="71BAB92E" w14:textId="77777777" w:rsidR="001B0EB7" w:rsidRPr="001B0EB7" w:rsidRDefault="001B0EB7" w:rsidP="001B0EB7">
      <w:pPr>
        <w:pStyle w:val="Odstavecseseznamem"/>
        <w:spacing w:after="200" w:line="276" w:lineRule="auto"/>
        <w:ind w:left="1068"/>
        <w:rPr>
          <w:rFonts w:cstheme="minorHAnsi"/>
        </w:rPr>
      </w:pPr>
      <w:r w:rsidRPr="001B0EB7">
        <w:rPr>
          <w:rFonts w:cstheme="minorHAnsi"/>
        </w:rPr>
        <w:t xml:space="preserve">EEN CZECHIA </w:t>
      </w:r>
    </w:p>
    <w:p w14:paraId="235F1F3C" w14:textId="77777777" w:rsidR="001B0EB7" w:rsidRPr="001B0EB7" w:rsidRDefault="001B0EB7" w:rsidP="001B0EB7">
      <w:pPr>
        <w:pStyle w:val="Odstavecseseznamem"/>
        <w:spacing w:after="200" w:line="276" w:lineRule="auto"/>
        <w:ind w:left="1068"/>
        <w:rPr>
          <w:rFonts w:cstheme="minorHAnsi"/>
        </w:rPr>
      </w:pPr>
      <w:r w:rsidRPr="001B0EB7">
        <w:rPr>
          <w:rFonts w:cstheme="minorHAnsi"/>
        </w:rPr>
        <w:t xml:space="preserve">EDIH OSTRAVA 2.0. </w:t>
      </w:r>
    </w:p>
    <w:p w14:paraId="03CD09A4" w14:textId="3B68BEAA" w:rsidR="003D585B" w:rsidRDefault="001B0EB7" w:rsidP="004C0AD9">
      <w:pPr>
        <w:pStyle w:val="Odstavecseseznamem"/>
        <w:spacing w:after="200" w:line="276" w:lineRule="auto"/>
        <w:ind w:left="1068"/>
        <w:rPr>
          <w:rFonts w:eastAsiaTheme="majorEastAsia" w:cstheme="minorHAnsi"/>
          <w:b/>
          <w:bCs/>
          <w:lang w:eastAsia="ar-SA"/>
        </w:rPr>
      </w:pPr>
      <w:r w:rsidRPr="001B0EB7">
        <w:rPr>
          <w:rFonts w:cstheme="minorHAnsi"/>
        </w:rPr>
        <w:t>BRIDGE AND SHIFT</w:t>
      </w:r>
      <w:r w:rsidR="00F975E9">
        <w:rPr>
          <w:rFonts w:cstheme="minorHAnsi"/>
        </w:rPr>
        <w:t>.</w:t>
      </w:r>
    </w:p>
    <w:p w14:paraId="6C151C96" w14:textId="77777777" w:rsidR="005E6704" w:rsidRPr="003D585B" w:rsidRDefault="005E6704" w:rsidP="004C0AD9">
      <w:pPr>
        <w:pStyle w:val="Odstavecseseznamem"/>
        <w:spacing w:after="200" w:line="276" w:lineRule="auto"/>
        <w:ind w:left="1068"/>
        <w:rPr>
          <w:lang w:eastAsia="ar-SA"/>
        </w:rPr>
      </w:pPr>
    </w:p>
    <w:p w14:paraId="6DDC9F59" w14:textId="57503A65" w:rsidR="001B0EB7" w:rsidRPr="00A4714F" w:rsidRDefault="001B0EB7" w:rsidP="00641F42">
      <w:pPr>
        <w:pStyle w:val="Odstavecseseznamem"/>
        <w:numPr>
          <w:ilvl w:val="0"/>
          <w:numId w:val="18"/>
        </w:numPr>
        <w:suppressAutoHyphens/>
        <w:spacing w:before="120" w:after="120" w:line="280" w:lineRule="exact"/>
        <w:ind w:left="709" w:hanging="709"/>
        <w:contextualSpacing w:val="0"/>
        <w:jc w:val="both"/>
      </w:pPr>
      <w:r w:rsidRPr="00A4714F">
        <w:t>Aktivity uvedené v</w:t>
      </w:r>
      <w:r w:rsidR="00F975E9" w:rsidRPr="00A4714F">
        <w:t> čl. IV.</w:t>
      </w:r>
      <w:r w:rsidRPr="00A4714F">
        <w:t>6 tohoto článku jsou podrobně specifikovány v Příloze č. I této smlouvy a můžou být v průběhu trvání smlouvy M</w:t>
      </w:r>
      <w:r w:rsidR="00C8048C">
        <w:t xml:space="preserve">SK </w:t>
      </w:r>
      <w:r w:rsidRPr="00A4714F">
        <w:t>měněny dle aktuálních potřeb M</w:t>
      </w:r>
      <w:r w:rsidR="00C8048C">
        <w:t>SK</w:t>
      </w:r>
      <w:r w:rsidRPr="00A4714F">
        <w:t>.</w:t>
      </w:r>
    </w:p>
    <w:p w14:paraId="43D9F857" w14:textId="0C0FF438" w:rsidR="001B0EB7" w:rsidRDefault="001B0EB7" w:rsidP="00641F42">
      <w:pPr>
        <w:pStyle w:val="Odstavecseseznamem"/>
        <w:numPr>
          <w:ilvl w:val="0"/>
          <w:numId w:val="18"/>
        </w:numPr>
        <w:suppressAutoHyphens/>
        <w:spacing w:before="120" w:after="120" w:line="280" w:lineRule="exact"/>
        <w:ind w:left="709" w:hanging="709"/>
        <w:contextualSpacing w:val="0"/>
        <w:jc w:val="both"/>
      </w:pPr>
      <w:r>
        <w:t>Závazkem veřejné služby v rozsahu činností uvedených v</w:t>
      </w:r>
      <w:r w:rsidR="00F975E9">
        <w:t> čl. IV.6 této smlouvy</w:t>
      </w:r>
      <w:r>
        <w:t xml:space="preserve"> a zároveň v Příloze č. I této smlouvy byl MSIC pověřen rovněž ze strany </w:t>
      </w:r>
      <w:r w:rsidR="002C1991">
        <w:t>statutárního města Ostravy</w:t>
      </w:r>
      <w:r>
        <w:t xml:space="preserve">, přičemž mezi MSIC a </w:t>
      </w:r>
      <w:r w:rsidR="007C2C36">
        <w:t xml:space="preserve">statutárním městem Ostravou </w:t>
      </w:r>
      <w:r>
        <w:t xml:space="preserve">byla </w:t>
      </w:r>
      <w:r w:rsidR="007C2C36">
        <w:t>u</w:t>
      </w:r>
      <w:r>
        <w:t xml:space="preserve">zavřena příslušná Smlouva </w:t>
      </w:r>
      <w:bookmarkStart w:id="0" w:name="_Hlk92116161"/>
      <w:r>
        <w:t xml:space="preserve">o </w:t>
      </w:r>
      <w:r w:rsidRPr="00B961BE">
        <w:t>poskytnutí vyrovnávací platb</w:t>
      </w:r>
      <w:r w:rsidR="00707064">
        <w:t>y</w:t>
      </w:r>
      <w:r w:rsidRPr="00B961BE">
        <w:t xml:space="preserve"> za poskytnutí služeb v obecném hospodářském zájmu</w:t>
      </w:r>
      <w:bookmarkEnd w:id="0"/>
      <w:r w:rsidRPr="00B961BE">
        <w:t xml:space="preserve">. </w:t>
      </w:r>
      <w:r w:rsidR="0081709C">
        <w:t>Statutární město Ostrava</w:t>
      </w:r>
      <w:r w:rsidRPr="00B961BE">
        <w:t xml:space="preserve"> a M</w:t>
      </w:r>
      <w:r w:rsidR="0081709C">
        <w:t>SK</w:t>
      </w:r>
      <w:r w:rsidRPr="00B961BE">
        <w:t xml:space="preserve"> se na vyrovnávací platbě za výkon služeb uvedených v</w:t>
      </w:r>
      <w:r w:rsidR="00A4714F" w:rsidRPr="00B961BE">
        <w:t> čl. IV.</w:t>
      </w:r>
      <w:r w:rsidRPr="00B961BE">
        <w:t>6 a v Příloze č. I této smlouvy v obecném hospodářském zájmu budou podílet v poměru 50/50, a to tak, že pro účely finančního vyúčtování čerpání vyrovnávací platby bude poměr 50/50 zohledněn ve všech položkách na nákladové i výnosové stránce.</w:t>
      </w:r>
    </w:p>
    <w:p w14:paraId="1F3FBF0F" w14:textId="77777777" w:rsidR="004C0AD9" w:rsidRPr="00B961BE" w:rsidRDefault="004C0AD9" w:rsidP="004C0AD9">
      <w:pPr>
        <w:suppressAutoHyphens/>
        <w:spacing w:before="120" w:after="120" w:line="280" w:lineRule="exact"/>
        <w:jc w:val="both"/>
      </w:pPr>
    </w:p>
    <w:p w14:paraId="1C1907BC" w14:textId="77777777" w:rsidR="001B0EB7" w:rsidRDefault="001B0EB7" w:rsidP="001B0EB7">
      <w:pPr>
        <w:pStyle w:val="Nadpis2"/>
        <w:keepLines w:val="0"/>
        <w:numPr>
          <w:ilvl w:val="0"/>
          <w:numId w:val="17"/>
        </w:numPr>
        <w:spacing w:before="100" w:after="100" w:line="360" w:lineRule="exact"/>
        <w:jc w:val="center"/>
        <w:rPr>
          <w:rFonts w:cs="Open Sans"/>
        </w:rPr>
      </w:pPr>
      <w:r>
        <w:rPr>
          <w:rFonts w:cs="Open Sans"/>
        </w:rPr>
        <w:t>Výpočet vyrovnávací platby</w:t>
      </w:r>
    </w:p>
    <w:p w14:paraId="074A80E1" w14:textId="4D7E0D11" w:rsidR="001B0EB7" w:rsidRPr="003035C8" w:rsidRDefault="001B0EB7" w:rsidP="001B0EB7">
      <w:pPr>
        <w:pStyle w:val="Odstavecseseznamem"/>
        <w:numPr>
          <w:ilvl w:val="6"/>
          <w:numId w:val="17"/>
        </w:numPr>
        <w:suppressAutoHyphens/>
        <w:spacing w:before="120" w:after="120" w:line="280" w:lineRule="exact"/>
        <w:ind w:left="709" w:hanging="709"/>
        <w:contextualSpacing w:val="0"/>
        <w:jc w:val="both"/>
        <w:rPr>
          <w:rFonts w:cs="Open Sans"/>
        </w:rPr>
      </w:pPr>
      <w:r w:rsidRPr="00094515">
        <w:t xml:space="preserve">V případě, že MSIC obdrží ve výše uvedeném období </w:t>
      </w:r>
      <w:r w:rsidRPr="003035C8">
        <w:t xml:space="preserve">v souvislosti s výkonem služeb v režimu závazku veřejné služby vymezených v čl. IV.6 a v Příloze č. I této smlouvy jakékoli jiné prostředky, mimo prostředky z rozpočtu </w:t>
      </w:r>
      <w:r w:rsidR="00041851">
        <w:t>statutárního m</w:t>
      </w:r>
      <w:r>
        <w:t>ěsta</w:t>
      </w:r>
      <w:r w:rsidR="00041851">
        <w:t xml:space="preserve"> Ostravy</w:t>
      </w:r>
      <w:r>
        <w:t xml:space="preserve"> a M</w:t>
      </w:r>
      <w:r w:rsidR="002B5CA5">
        <w:t>SK</w:t>
      </w:r>
      <w:r w:rsidRPr="003035C8">
        <w:t xml:space="preserve">, </w:t>
      </w:r>
      <w:r>
        <w:t>bude o</w:t>
      </w:r>
      <w:r w:rsidRPr="003035C8">
        <w:t xml:space="preserve"> jejich výši vyrovnávací platba </w:t>
      </w:r>
      <w:r>
        <w:t>M</w:t>
      </w:r>
      <w:r w:rsidR="002B5CA5">
        <w:t>SK</w:t>
      </w:r>
      <w:r w:rsidRPr="003035C8">
        <w:t xml:space="preserve"> snížena.</w:t>
      </w:r>
      <w:r>
        <w:t xml:space="preserve"> O přijetí veřejných prostředků v intencích tohoto odstavce, jakož i o jejich poskytovateli a jejich finančnímu objemu je MSIC povinen bez zbytečného odkladu, nejpozději však do 15 dnů od jejich přijetí, informovat M</w:t>
      </w:r>
      <w:r w:rsidR="00283B44">
        <w:t>SK</w:t>
      </w:r>
      <w:r>
        <w:t>.</w:t>
      </w:r>
    </w:p>
    <w:p w14:paraId="503EF973" w14:textId="77777777" w:rsidR="001B0EB7" w:rsidRDefault="001B0EB7" w:rsidP="001B0EB7">
      <w:pPr>
        <w:pStyle w:val="Odstavecseseznamem"/>
        <w:numPr>
          <w:ilvl w:val="1"/>
          <w:numId w:val="17"/>
        </w:numPr>
        <w:suppressAutoHyphens/>
        <w:spacing w:before="120" w:after="120" w:line="280" w:lineRule="exact"/>
        <w:ind w:hanging="710"/>
        <w:contextualSpacing w:val="0"/>
        <w:jc w:val="both"/>
      </w:pPr>
      <w:r>
        <w:t xml:space="preserve">Příslušné náklady a výnosy musí být vyúčtovány a promítnuty v účetnictví MSIC, a to nejpozději do konce období, na které se vztahuje pověření dle článku III. této smlouvy. MSIC potvrzuje, že dle svých možností učiní veškerá opatření, aby vyrovnávací platba byla co nejnižší. </w:t>
      </w:r>
    </w:p>
    <w:p w14:paraId="1AF49615" w14:textId="2ADE8878" w:rsidR="001B0EB7" w:rsidRPr="00B961BE" w:rsidRDefault="001B0EB7" w:rsidP="001B0EB7">
      <w:pPr>
        <w:pStyle w:val="Odstavecseseznamem"/>
        <w:numPr>
          <w:ilvl w:val="1"/>
          <w:numId w:val="17"/>
        </w:numPr>
        <w:suppressAutoHyphens/>
        <w:spacing w:before="120" w:after="120" w:line="280" w:lineRule="exact"/>
        <w:ind w:left="709" w:hanging="709"/>
        <w:contextualSpacing w:val="0"/>
        <w:jc w:val="both"/>
      </w:pPr>
      <w:r>
        <w:t>M</w:t>
      </w:r>
      <w:r w:rsidR="00B50BFD">
        <w:t>SK</w:t>
      </w:r>
      <w:r>
        <w:t xml:space="preserve"> je oprávněn požadovat po MSIC zdůvodnění nákladů a výnosů vzniklých v souvislosti s výkonem služeb v režimu závazku veřejné služby. Výnosy vzniklé v souvislosti s výkonem služeb v režimu závazku veřejné služby nesmí být ze strany MSIC bezdůvodně snižovány. Do neuznatelných nákladů patří zejména peněžní a věcné dary ze strany MSIC, případně placené pokuty a penále v důsledku neplnění smluvních či daňových povinností MSIC, úhrada úvěrů a zápůjček, náhrada škod a manka, náklady (výdaje) na právní spory, plnění sociálního charakteru zaměstnancům</w:t>
      </w:r>
      <w:r w:rsidRPr="00B961BE">
        <w:t xml:space="preserve">, na které však neexistuje právní nárok (např. doplňkové penzijní připojištění apod.), daň silniční, daň z nemovitých věcí, daň z nabytí nemovitých věcí, úroky z prodlení a kurzové ztráty. </w:t>
      </w:r>
      <w:bookmarkStart w:id="1" w:name="_Hlk211956179"/>
      <w:r w:rsidRPr="00B961BE">
        <w:t xml:space="preserve">Uznatelnými </w:t>
      </w:r>
      <w:r w:rsidRPr="00B961BE">
        <w:rPr>
          <w:bCs/>
        </w:rPr>
        <w:t>náklady pro kalendářní rok jsou mzdové náklady</w:t>
      </w:r>
      <w:r w:rsidR="00B251B8" w:rsidRPr="00B961BE">
        <w:rPr>
          <w:bCs/>
        </w:rPr>
        <w:t xml:space="preserve"> (včetně nákladů na odměny členů představenstva společnosti</w:t>
      </w:r>
      <w:r w:rsidR="004B717B" w:rsidRPr="00B961BE">
        <w:rPr>
          <w:bCs/>
        </w:rPr>
        <w:t xml:space="preserve"> a dozorčí rady</w:t>
      </w:r>
      <w:r w:rsidR="00B251B8" w:rsidRPr="00B961BE">
        <w:rPr>
          <w:bCs/>
        </w:rPr>
        <w:t>)</w:t>
      </w:r>
      <w:r w:rsidRPr="00B961BE">
        <w:rPr>
          <w:bCs/>
        </w:rPr>
        <w:t xml:space="preserve"> vynaložené MSIC </w:t>
      </w:r>
      <w:r w:rsidRPr="00B961BE">
        <w:rPr>
          <w:bCs/>
        </w:rPr>
        <w:lastRenderedPageBreak/>
        <w:t xml:space="preserve">v jejich skutečné výši, maximálně však vždy ve výši stanovené násobkem </w:t>
      </w:r>
      <w:r w:rsidR="00827D82">
        <w:rPr>
          <w:bCs/>
        </w:rPr>
        <w:t>2</w:t>
      </w:r>
      <w:r w:rsidR="004C0AD9">
        <w:rPr>
          <w:bCs/>
        </w:rPr>
        <w:t>7</w:t>
      </w:r>
      <w:r w:rsidR="00827D82" w:rsidRPr="00B961BE">
        <w:rPr>
          <w:bCs/>
        </w:rPr>
        <w:t xml:space="preserve"> </w:t>
      </w:r>
      <w:r w:rsidRPr="00B961BE">
        <w:rPr>
          <w:bCs/>
        </w:rPr>
        <w:t>zaměstnanců v hlavním pracovním poměru (FTE) a 1,1násobkem průměrné hrubé měsíční nominální mzdy v České republice zveřejněné ČSÚ k poslednímu dni předcházejícího kalendářního roku, zvýšené o zákonné odvody zaměstnavatele; zbylé mzdové náklady jsou neuznatelnými náklady</w:t>
      </w:r>
      <w:bookmarkEnd w:id="1"/>
      <w:r w:rsidRPr="00B961BE">
        <w:t xml:space="preserve">. </w:t>
      </w:r>
    </w:p>
    <w:p w14:paraId="342E6D49" w14:textId="77777777" w:rsidR="001B0EB7" w:rsidRDefault="001B0EB7" w:rsidP="001B0EB7">
      <w:pPr>
        <w:pStyle w:val="Odstavecseseznamem"/>
        <w:numPr>
          <w:ilvl w:val="1"/>
          <w:numId w:val="17"/>
        </w:numPr>
        <w:suppressAutoHyphens/>
        <w:spacing w:before="120" w:after="120" w:line="280" w:lineRule="exact"/>
        <w:ind w:hanging="710"/>
        <w:contextualSpacing w:val="0"/>
        <w:jc w:val="both"/>
      </w:pPr>
      <w:r>
        <w:t xml:space="preserve">Všechny náklady musí být kalkulovány bez daně z přidané hodnoty (dále jen </w:t>
      </w:r>
      <w:r w:rsidRPr="005653D2">
        <w:t>„DPH“)</w:t>
      </w:r>
      <w:r>
        <w:t xml:space="preserve"> v případě, kdy MSIC má nárok na jejich odpočet. Výjimkou jsou pouze takové náklady, u nichž MSIC nemůže uplatnit odpočet DPH na vstupu podle zákona č. 235/2004 Sb., o dani z přidané hodnoty, ve znění pozdějších předpisů. V takovém případě může MSIC vyrovnávací platbu využít i na finanční krytí takové DPH, která je účtována jako náklad.</w:t>
      </w:r>
    </w:p>
    <w:p w14:paraId="74235232" w14:textId="46D1A808" w:rsidR="001B0EB7" w:rsidRPr="00B961BE" w:rsidRDefault="001B0EB7" w:rsidP="001B0EB7">
      <w:pPr>
        <w:pStyle w:val="Odstavecseseznamem"/>
        <w:numPr>
          <w:ilvl w:val="1"/>
          <w:numId w:val="17"/>
        </w:numPr>
        <w:suppressAutoHyphens/>
        <w:spacing w:before="120" w:after="120" w:line="280" w:lineRule="exact"/>
        <w:ind w:left="709" w:hanging="709"/>
        <w:contextualSpacing w:val="0"/>
        <w:jc w:val="both"/>
      </w:pPr>
      <w:r w:rsidRPr="00E93C66">
        <w:rPr>
          <w:b/>
          <w:bCs/>
        </w:rPr>
        <w:t>Vyrovnávací platba ze strany M</w:t>
      </w:r>
      <w:r w:rsidR="00F858F9" w:rsidRPr="00E93C66">
        <w:rPr>
          <w:b/>
          <w:bCs/>
        </w:rPr>
        <w:t>SK</w:t>
      </w:r>
      <w:r w:rsidRPr="00E93C66">
        <w:rPr>
          <w:b/>
          <w:bCs/>
        </w:rPr>
        <w:t xml:space="preserve"> ve výši </w:t>
      </w:r>
      <w:r w:rsidR="00B3154A" w:rsidRPr="00E93C66">
        <w:rPr>
          <w:b/>
          <w:bCs/>
        </w:rPr>
        <w:t>80</w:t>
      </w:r>
      <w:r w:rsidRPr="00E93C66">
        <w:rPr>
          <w:b/>
          <w:bCs/>
        </w:rPr>
        <w:t>.000.000 Kč</w:t>
      </w:r>
      <w:r w:rsidRPr="00B961BE">
        <w:t xml:space="preserve"> bude hrazena zálohově a poukázána bankovním převodem na účet MSIC uvedený v záhlaví této smlouvy v zálohových splátkách takto: </w:t>
      </w:r>
    </w:p>
    <w:p w14:paraId="0A154FB7" w14:textId="61A68A39" w:rsidR="001B0EB7" w:rsidRPr="00B961BE" w:rsidRDefault="001B0EB7" w:rsidP="001B0EB7">
      <w:pPr>
        <w:pStyle w:val="Odstavecseseznamem"/>
        <w:numPr>
          <w:ilvl w:val="0"/>
          <w:numId w:val="28"/>
        </w:numPr>
        <w:suppressAutoHyphens/>
        <w:spacing w:before="120" w:after="120" w:line="280" w:lineRule="exact"/>
        <w:contextualSpacing w:val="0"/>
        <w:jc w:val="both"/>
      </w:pPr>
      <w:r w:rsidRPr="00B961BE">
        <w:t xml:space="preserve">první záloha ve výši </w:t>
      </w:r>
      <w:proofErr w:type="gramStart"/>
      <w:r w:rsidRPr="00B961BE">
        <w:t>16.000.000,-</w:t>
      </w:r>
      <w:proofErr w:type="gramEnd"/>
      <w:r w:rsidRPr="00B961BE">
        <w:t xml:space="preserve"> Kč bude uhrazena do 28.</w:t>
      </w:r>
      <w:r w:rsidR="00852096">
        <w:t>0</w:t>
      </w:r>
      <w:r w:rsidRPr="00B961BE">
        <w:t>2.2026;</w:t>
      </w:r>
    </w:p>
    <w:p w14:paraId="6E9FC338" w14:textId="784B5463" w:rsidR="001B0EB7" w:rsidRPr="00B961BE" w:rsidRDefault="001B0EB7" w:rsidP="001B0EB7">
      <w:pPr>
        <w:pStyle w:val="Odstavecseseznamem"/>
        <w:numPr>
          <w:ilvl w:val="0"/>
          <w:numId w:val="28"/>
        </w:numPr>
        <w:suppressAutoHyphens/>
        <w:spacing w:before="120" w:after="120" w:line="280" w:lineRule="exact"/>
        <w:contextualSpacing w:val="0"/>
        <w:jc w:val="both"/>
      </w:pPr>
      <w:r w:rsidRPr="00B961BE">
        <w:t xml:space="preserve">druhá záloha ve výši </w:t>
      </w:r>
      <w:proofErr w:type="gramStart"/>
      <w:r w:rsidRPr="00B961BE">
        <w:t>16.000.000,-</w:t>
      </w:r>
      <w:proofErr w:type="gramEnd"/>
      <w:r w:rsidRPr="00B961BE">
        <w:t xml:space="preserve"> Kč bude uhrazena do 31</w:t>
      </w:r>
      <w:r w:rsidR="00852096" w:rsidRPr="00B961BE">
        <w:t>.</w:t>
      </w:r>
      <w:r w:rsidR="00852096">
        <w:t>0</w:t>
      </w:r>
      <w:r w:rsidRPr="00B961BE">
        <w:t>1.2027;</w:t>
      </w:r>
    </w:p>
    <w:p w14:paraId="02112DD7" w14:textId="4F5135A5" w:rsidR="001B0EB7" w:rsidRPr="00B961BE" w:rsidRDefault="001B0EB7" w:rsidP="001B0EB7">
      <w:pPr>
        <w:pStyle w:val="Odstavecseseznamem"/>
        <w:numPr>
          <w:ilvl w:val="0"/>
          <w:numId w:val="28"/>
        </w:numPr>
        <w:suppressAutoHyphens/>
        <w:spacing w:before="120" w:after="120" w:line="280" w:lineRule="exact"/>
        <w:contextualSpacing w:val="0"/>
        <w:jc w:val="both"/>
      </w:pPr>
      <w:r w:rsidRPr="00B961BE">
        <w:t xml:space="preserve">třetí záloha ve výši </w:t>
      </w:r>
      <w:proofErr w:type="gramStart"/>
      <w:r w:rsidRPr="00B961BE">
        <w:t>16.000.000,-</w:t>
      </w:r>
      <w:proofErr w:type="gramEnd"/>
      <w:r w:rsidRPr="00B961BE">
        <w:t xml:space="preserve"> Kč bude uhrazena do 31</w:t>
      </w:r>
      <w:r w:rsidR="00852096" w:rsidRPr="00B961BE">
        <w:t>.</w:t>
      </w:r>
      <w:r w:rsidR="00852096">
        <w:t>0</w:t>
      </w:r>
      <w:r w:rsidRPr="00B961BE">
        <w:t>1.2028;</w:t>
      </w:r>
    </w:p>
    <w:p w14:paraId="77F643A6" w14:textId="521C479A" w:rsidR="00B3154A" w:rsidRPr="00B961BE" w:rsidRDefault="001B0EB7" w:rsidP="001B0EB7">
      <w:pPr>
        <w:pStyle w:val="Odstavecseseznamem"/>
        <w:numPr>
          <w:ilvl w:val="0"/>
          <w:numId w:val="28"/>
        </w:numPr>
        <w:suppressAutoHyphens/>
        <w:spacing w:before="120" w:after="120" w:line="280" w:lineRule="exact"/>
        <w:contextualSpacing w:val="0"/>
        <w:jc w:val="both"/>
      </w:pPr>
      <w:r w:rsidRPr="00B961BE">
        <w:t xml:space="preserve">čtvrtá záloha ve výši </w:t>
      </w:r>
      <w:proofErr w:type="gramStart"/>
      <w:r w:rsidRPr="00B961BE">
        <w:t>16.000.000,-</w:t>
      </w:r>
      <w:proofErr w:type="gramEnd"/>
      <w:r w:rsidRPr="00B961BE">
        <w:t xml:space="preserve"> Kč bude uhrazena do 31</w:t>
      </w:r>
      <w:r w:rsidR="00852096" w:rsidRPr="00B961BE">
        <w:t>.</w:t>
      </w:r>
      <w:r w:rsidR="00852096">
        <w:t>0</w:t>
      </w:r>
      <w:r w:rsidRPr="00B961BE">
        <w:t>1.2029</w:t>
      </w:r>
      <w:r w:rsidR="004C0AD9">
        <w:t>;</w:t>
      </w:r>
    </w:p>
    <w:p w14:paraId="68183332" w14:textId="1FE56EED" w:rsidR="001B0EB7" w:rsidRPr="00B961BE" w:rsidRDefault="00B3154A" w:rsidP="001B0EB7">
      <w:pPr>
        <w:pStyle w:val="Odstavecseseznamem"/>
        <w:numPr>
          <w:ilvl w:val="0"/>
          <w:numId w:val="28"/>
        </w:numPr>
        <w:suppressAutoHyphens/>
        <w:spacing w:before="120" w:after="120" w:line="280" w:lineRule="exact"/>
        <w:contextualSpacing w:val="0"/>
        <w:jc w:val="both"/>
      </w:pPr>
      <w:r w:rsidRPr="00B961BE">
        <w:t xml:space="preserve">pátá záloha ve výši </w:t>
      </w:r>
      <w:proofErr w:type="gramStart"/>
      <w:r w:rsidRPr="00B961BE">
        <w:t>16.000.000</w:t>
      </w:r>
      <w:r w:rsidR="006761E5">
        <w:t>,</w:t>
      </w:r>
      <w:r w:rsidR="00DB5737">
        <w:t>-</w:t>
      </w:r>
      <w:proofErr w:type="gramEnd"/>
      <w:r w:rsidRPr="00B961BE">
        <w:t xml:space="preserve"> Kč bude uhrazena do 31.</w:t>
      </w:r>
      <w:r w:rsidR="00852096">
        <w:t>0</w:t>
      </w:r>
      <w:r w:rsidRPr="00B961BE">
        <w:t>1.2030</w:t>
      </w:r>
      <w:r w:rsidR="001B0EB7" w:rsidRPr="00B961BE">
        <w:t>.</w:t>
      </w:r>
    </w:p>
    <w:p w14:paraId="0370F7D0" w14:textId="77777777" w:rsidR="001B0EB7" w:rsidRPr="00B961BE" w:rsidRDefault="001B0EB7" w:rsidP="001B0EB7">
      <w:pPr>
        <w:pStyle w:val="Odstavecseseznamem"/>
        <w:numPr>
          <w:ilvl w:val="1"/>
          <w:numId w:val="17"/>
        </w:numPr>
        <w:suppressAutoHyphens/>
        <w:spacing w:before="120" w:after="120" w:line="280" w:lineRule="exact"/>
        <w:ind w:hanging="710"/>
        <w:contextualSpacing w:val="0"/>
        <w:jc w:val="both"/>
      </w:pPr>
      <w:r w:rsidRPr="00B961BE">
        <w:t>Smluvní strany se dohodly, že v případě nesplnění kteréhokoliv z klíčových indikátorů (KPI) specifikovaných v Příloze č. I této smlouvy v kalendářním roce bude mít vliv na výši poskytnuté zálohové splátky vyrovnávací platby v příslušném kalendářním roce, a to takto:</w:t>
      </w:r>
    </w:p>
    <w:p w14:paraId="35C51C33" w14:textId="5D81025F" w:rsidR="009D3B5E" w:rsidRPr="009D3B5E" w:rsidRDefault="001B0EB7" w:rsidP="009D3B5E">
      <w:pPr>
        <w:pStyle w:val="Odstavecseseznamem"/>
        <w:ind w:left="710"/>
        <w:jc w:val="both"/>
      </w:pPr>
      <w:r w:rsidRPr="00DB5737">
        <w:rPr>
          <w:b/>
          <w:bCs/>
        </w:rPr>
        <w:t>Zálohová vyrovnávací platba se za příslušný kalendářní rok sníží o částku odpovídající násobku objemu nesplněného KPI a 50 % hodnoty KPI stanovené pro případ jeho nesplnění (na jednici) v Příloze č. I této smlouvy, a to v případě nesplnění každého jednotlivého KPI.</w:t>
      </w:r>
      <w:r w:rsidRPr="00B961BE">
        <w:t xml:space="preserve"> Výše zálohové vyrovnávací platby ponížené dle předchozí věty je dále označována jako „</w:t>
      </w:r>
      <w:r w:rsidRPr="00B961BE">
        <w:rPr>
          <w:b/>
          <w:bCs/>
        </w:rPr>
        <w:t>ponížená výše zálohové vyrovnávací platby</w:t>
      </w:r>
      <w:r w:rsidRPr="00B961BE">
        <w:t>“. MSIC je povinen částku odpovídající rozdílu mezi vyplacenou zálohovou vyrovnávací platbou na daný kalendářní rok a částkou odpovídající ponížené výši zálohové vyrovnávací platby na daný kalendářní rok vrátit zpět M</w:t>
      </w:r>
      <w:r w:rsidR="000F2CC5">
        <w:t>SK</w:t>
      </w:r>
      <w:r w:rsidRPr="00B961BE">
        <w:t xml:space="preserve"> v termínu dle čl. V.7 této smlouvy společně s nevyčerpanou částí poskytnuté dotace v souladu s čl. V.7 této smlouvy. Pro odstranění výkladových nejasností ve stejném rozsahu dojde k ponížení maximální výše celkové vyrovnávací platby uvedené v čl. V.5 této smlouvy.</w:t>
      </w:r>
    </w:p>
    <w:p w14:paraId="5D53C3C4" w14:textId="36EA9855" w:rsidR="001B0EB7" w:rsidRDefault="001B0EB7" w:rsidP="001B0EB7">
      <w:pPr>
        <w:pStyle w:val="Odstavecseseznamem"/>
        <w:numPr>
          <w:ilvl w:val="1"/>
          <w:numId w:val="17"/>
        </w:numPr>
        <w:suppressAutoHyphens/>
        <w:spacing w:before="120" w:after="120" w:line="280" w:lineRule="exact"/>
        <w:ind w:hanging="710"/>
        <w:contextualSpacing w:val="0"/>
        <w:jc w:val="both"/>
      </w:pPr>
      <w:r w:rsidRPr="00B961BE">
        <w:t>MSIC je povinen předložit M</w:t>
      </w:r>
      <w:r w:rsidR="002E7E07">
        <w:t>SK</w:t>
      </w:r>
      <w:r w:rsidRPr="00B961BE">
        <w:t xml:space="preserve"> po skončení každého kalendářního roku trvání smlouvy</w:t>
      </w:r>
      <w:r w:rsidR="00852096">
        <w:t>,</w:t>
      </w:r>
      <w:r w:rsidRPr="00B961BE">
        <w:t xml:space="preserve"> a to nejpozději </w:t>
      </w:r>
      <w:r w:rsidRPr="00DA7D8A">
        <w:rPr>
          <w:b/>
          <w:bCs/>
        </w:rPr>
        <w:t>do 31</w:t>
      </w:r>
      <w:r w:rsidR="00852096" w:rsidRPr="00DA7D8A">
        <w:rPr>
          <w:b/>
          <w:bCs/>
        </w:rPr>
        <w:t>.</w:t>
      </w:r>
      <w:r w:rsidR="00873DC2" w:rsidRPr="00DA7D8A">
        <w:rPr>
          <w:b/>
          <w:bCs/>
        </w:rPr>
        <w:t xml:space="preserve"> </w:t>
      </w:r>
      <w:r w:rsidRPr="00DA7D8A">
        <w:rPr>
          <w:b/>
          <w:bCs/>
        </w:rPr>
        <w:t>3. následujícího kalendářního roku, průběžnou zprávu</w:t>
      </w:r>
      <w:r w:rsidRPr="00B961BE">
        <w:t xml:space="preserve"> včetně finančního vyúčtování čerpání vyrovnávací platby ve formě uvedené v Příloze č. II této smlouvy, prokazující její čerpání za dobu trvání daného kalendářního roku, jež je finančním vypořádáním ve smyslu § 10a písm. d) RPÚR. Ve stejné lhůtě je MSIC</w:t>
      </w:r>
      <w:r w:rsidRPr="00D81A49">
        <w:t xml:space="preserve"> povi</w:t>
      </w:r>
      <w:r>
        <w:t>nen</w:t>
      </w:r>
      <w:r w:rsidRPr="00D81A49">
        <w:t xml:space="preserve"> vrátit převodem na v záhlaví uvedený účet </w:t>
      </w:r>
      <w:r>
        <w:t>M</w:t>
      </w:r>
      <w:r w:rsidR="00873DC2">
        <w:t>SK</w:t>
      </w:r>
      <w:r>
        <w:t xml:space="preserve"> </w:t>
      </w:r>
      <w:r w:rsidRPr="00D81A49">
        <w:t>příslušnou nevyčerpanou část poskytnuté zálohové vyrovnávací platby za daný kalendářní rok. V</w:t>
      </w:r>
      <w:r w:rsidRPr="00A6015F">
        <w:t xml:space="preserve"> případě porušení povinnosti MSIC dle předcházející věty jsou takto nevrácené prostředky považovány za zadržené prostředky ve smyslu § 22 odst. 3 RPÚR. </w:t>
      </w:r>
    </w:p>
    <w:p w14:paraId="718A0E2B" w14:textId="617D6340" w:rsidR="001B0EB7" w:rsidRPr="001D2C64" w:rsidRDefault="001B0EB7" w:rsidP="001B0EB7">
      <w:pPr>
        <w:pStyle w:val="Odstavecseseznamem"/>
        <w:numPr>
          <w:ilvl w:val="1"/>
          <w:numId w:val="17"/>
        </w:numPr>
        <w:suppressAutoHyphens/>
        <w:spacing w:before="120" w:after="120" w:line="280" w:lineRule="exact"/>
        <w:ind w:hanging="710"/>
        <w:contextualSpacing w:val="0"/>
        <w:jc w:val="both"/>
      </w:pPr>
      <w:r w:rsidRPr="00A6015F">
        <w:t>Po ukončení smlouvy je MSIC povin</w:t>
      </w:r>
      <w:r>
        <w:t>en</w:t>
      </w:r>
      <w:r w:rsidRPr="00A6015F">
        <w:t xml:space="preserve"> předložit </w:t>
      </w:r>
      <w:r w:rsidRPr="00BB0D5C">
        <w:rPr>
          <w:b/>
          <w:bCs/>
        </w:rPr>
        <w:t>závěrečnou zprávu včetně finančního vyúčtování za poslední kalendářní rok trvání smlouvy, a to nejpozději do 31</w:t>
      </w:r>
      <w:r w:rsidR="00852096" w:rsidRPr="00BB0D5C">
        <w:rPr>
          <w:b/>
          <w:bCs/>
        </w:rPr>
        <w:t>.</w:t>
      </w:r>
      <w:r w:rsidR="00516BBB" w:rsidRPr="00BB0D5C">
        <w:rPr>
          <w:b/>
          <w:bCs/>
        </w:rPr>
        <w:t xml:space="preserve"> </w:t>
      </w:r>
      <w:r w:rsidRPr="00BB0D5C">
        <w:rPr>
          <w:b/>
          <w:bCs/>
        </w:rPr>
        <w:t>3.</w:t>
      </w:r>
      <w:r w:rsidR="00516BBB" w:rsidRPr="00BB0D5C">
        <w:rPr>
          <w:b/>
          <w:bCs/>
        </w:rPr>
        <w:t xml:space="preserve"> </w:t>
      </w:r>
      <w:r w:rsidRPr="00BB0D5C">
        <w:rPr>
          <w:b/>
          <w:bCs/>
        </w:rPr>
        <w:t>2031</w:t>
      </w:r>
      <w:r w:rsidRPr="00A6015F">
        <w:t>. Ve stejné lhůtě je MSIC povin</w:t>
      </w:r>
      <w:r>
        <w:t>no</w:t>
      </w:r>
      <w:r w:rsidRPr="00A6015F">
        <w:t xml:space="preserve"> vrátit převodem na v záhlaví uvedený účet </w:t>
      </w:r>
      <w:r>
        <w:t>M</w:t>
      </w:r>
      <w:r w:rsidR="005742A3">
        <w:t>SK</w:t>
      </w:r>
      <w:r w:rsidRPr="00A6015F">
        <w:t xml:space="preserve"> příslušn</w:t>
      </w:r>
      <w:r>
        <w:t>ou</w:t>
      </w:r>
      <w:r w:rsidRPr="00A6015F">
        <w:t xml:space="preserve"> nevyčerpan</w:t>
      </w:r>
      <w:r>
        <w:t>ou</w:t>
      </w:r>
      <w:r w:rsidRPr="00A6015F">
        <w:t xml:space="preserve"> část poskytnutých prostředků vyrovnávací platby za daný kalendářní rok, případně za předchozí roky trvání smlouvy.</w:t>
      </w:r>
    </w:p>
    <w:p w14:paraId="584E6AE6" w14:textId="258EE082" w:rsidR="001B0EB7" w:rsidRDefault="001B0EB7" w:rsidP="001B0EB7">
      <w:pPr>
        <w:pStyle w:val="Odstavecseseznamem"/>
        <w:numPr>
          <w:ilvl w:val="1"/>
          <w:numId w:val="17"/>
        </w:numPr>
        <w:suppressAutoHyphens/>
        <w:spacing w:before="120" w:after="120" w:line="280" w:lineRule="exact"/>
        <w:ind w:hanging="710"/>
        <w:contextualSpacing w:val="0"/>
        <w:jc w:val="both"/>
      </w:pPr>
      <w:r>
        <w:lastRenderedPageBreak/>
        <w:t xml:space="preserve">Výše záloh dle čl. V.5 písm. b. až </w:t>
      </w:r>
      <w:r w:rsidR="00B3154A">
        <w:t>e</w:t>
      </w:r>
      <w:r>
        <w:t>.  této smlouvy se může na základě dohody M</w:t>
      </w:r>
      <w:r w:rsidR="00217741">
        <w:t>SK</w:t>
      </w:r>
      <w:r>
        <w:t xml:space="preserve"> a MSIC měnit, avšak celková výše vyrovnávací platby nesmí být překročena. MSIC je oprávněn M</w:t>
      </w:r>
      <w:r w:rsidR="00217741">
        <w:t>SK</w:t>
      </w:r>
      <w:r>
        <w:t xml:space="preserve"> požádat o změnu zálohové platby prostřednictvím dodatku k této smlouvě mezi smluvními stranami, a to vždy nejméně 4 měsíce před koncem termínu úhrady takové zálohové platby. M</w:t>
      </w:r>
      <w:r w:rsidR="00CC7152">
        <w:t>SK</w:t>
      </w:r>
      <w:r>
        <w:t xml:space="preserve"> je povinno poskytnout MSIC při uzavírání dodatku součinnost, ledaže má důvodné obavy, že změna zálohových plateb nepovede k naplnění účelu této smlouvy a řádnému poskytování služeb, k jakým se MSIC zavázal v čl. IV.6, případně v Příloze č. I této smlouvy. </w:t>
      </w:r>
    </w:p>
    <w:p w14:paraId="5367ED51" w14:textId="594B0184" w:rsidR="001B0EB7" w:rsidRDefault="001B0EB7" w:rsidP="001B0EB7">
      <w:pPr>
        <w:pStyle w:val="Odstavecseseznamem"/>
        <w:numPr>
          <w:ilvl w:val="1"/>
          <w:numId w:val="17"/>
        </w:numPr>
        <w:suppressAutoHyphens/>
        <w:spacing w:before="120" w:after="120" w:line="280" w:lineRule="exact"/>
        <w:ind w:left="709" w:hanging="710"/>
        <w:contextualSpacing w:val="0"/>
        <w:jc w:val="both"/>
      </w:pPr>
      <w:r>
        <w:t>V případě, že se jedná o změnu zálohové platby dle čl. V.5 písm. b</w:t>
      </w:r>
      <w:r w:rsidR="00B3154A">
        <w:t xml:space="preserve">, </w:t>
      </w:r>
      <w:r>
        <w:t>c</w:t>
      </w:r>
      <w:r w:rsidR="00B3154A">
        <w:t xml:space="preserve"> nebo d</w:t>
      </w:r>
      <w:r>
        <w:t xml:space="preserve"> této smlouvy spočívající ve zvýšení či snížení zálohové platby o maximálně 10 % vůči původní výši zálohové platby, je MSIC oprávněn učinit jednostranné písemné prohlášení vůči M</w:t>
      </w:r>
      <w:r w:rsidR="00CA0402">
        <w:t>SK</w:t>
      </w:r>
      <w:r>
        <w:t>, kterým oznámí takovou změnu výše zálohové platby. Tato změna musí být M</w:t>
      </w:r>
      <w:r w:rsidR="00D72387">
        <w:t>SK</w:t>
      </w:r>
      <w:r>
        <w:t xml:space="preserve"> doručena nejméně 4 měsíce před koncem termínu úhrady takové zálohové platby a je účinná ode dne jejího doručení na adresu M</w:t>
      </w:r>
      <w:r w:rsidR="009751C4">
        <w:t>SK</w:t>
      </w:r>
      <w:r>
        <w:t xml:space="preserve"> uvedenou v záhlaví této smlouvy. Tato změna se nepovažuje za změnu smlouvy, ke které je nutné uzavírat dodatek mezi smluvními stranami. V případě, že provedenou změnou dojde ke zvýšení zálohové platby, bude o stejnou částku snížena následující zálohová platba dle čl. V.5 této smlouvy, pokud provedenou změnou však dojde ke snížení zálohové platby, bude o stejnou částku následující zálohová platba dle čl. V.5 této smlouvy navýšena. Celkový objem finančních prostředků dle čl. V.5 této smlouvy se nemění.</w:t>
      </w:r>
    </w:p>
    <w:p w14:paraId="55082E9E" w14:textId="3659CEB0" w:rsidR="001B0EB7" w:rsidRDefault="001B0EB7" w:rsidP="001B0EB7">
      <w:pPr>
        <w:pStyle w:val="Odstavecseseznamem"/>
        <w:numPr>
          <w:ilvl w:val="1"/>
          <w:numId w:val="17"/>
        </w:numPr>
        <w:suppressAutoHyphens/>
        <w:spacing w:before="120" w:after="120" w:line="280" w:lineRule="exact"/>
        <w:ind w:hanging="710"/>
        <w:contextualSpacing w:val="0"/>
        <w:jc w:val="both"/>
      </w:pPr>
      <w:r>
        <w:t>V případě, že nastane situace, kdy v rámci činnosti MSIC specifikované v čl. IV.6 a v Příloze č. I této smlouvy hrozí MSIC škoda, a k nápravě této situace a dalšímu výkonu činnosti nemá MSIC dostatek finančních prostředků, je M</w:t>
      </w:r>
      <w:r w:rsidR="00911FCE">
        <w:t>SK</w:t>
      </w:r>
      <w:r>
        <w:t xml:space="preserve"> oprávněno vyplatit MSIC mimořádnou zálohu ve výši, jaká je nutná pro další výkon činnosti MSIC (dále jen „</w:t>
      </w:r>
      <w:r w:rsidRPr="00B35FB0">
        <w:rPr>
          <w:b/>
          <w:bCs/>
        </w:rPr>
        <w:t>mimořádná splátka</w:t>
      </w:r>
      <w:r>
        <w:t>“). Mimořádná splátka se započítává do celkového objemu finančních prostředků</w:t>
      </w:r>
      <w:r w:rsidRPr="00B35FB0">
        <w:t xml:space="preserve"> </w:t>
      </w:r>
      <w:r>
        <w:t xml:space="preserve">dle čl. V.5 této smlouvy a jsou o ni rovnoměrně sníženy veškeré zálohy </w:t>
      </w:r>
      <w:bookmarkStart w:id="2" w:name="_Hlk92097535"/>
      <w:r>
        <w:t>dle čl. V.5 této smlouvy</w:t>
      </w:r>
      <w:bookmarkEnd w:id="2"/>
      <w:r>
        <w:t xml:space="preserve">, které nebyly ke dni úhrady mimořádné splátky uhrazeny.  </w:t>
      </w:r>
    </w:p>
    <w:p w14:paraId="35F13658" w14:textId="6CFC1DF6" w:rsidR="001B0EB7" w:rsidRDefault="001B0EB7" w:rsidP="001B0EB7">
      <w:pPr>
        <w:pStyle w:val="Odstavecseseznamem"/>
        <w:numPr>
          <w:ilvl w:val="1"/>
          <w:numId w:val="17"/>
        </w:numPr>
        <w:suppressAutoHyphens/>
        <w:spacing w:before="120" w:after="120" w:line="280" w:lineRule="exact"/>
        <w:ind w:hanging="710"/>
        <w:contextualSpacing w:val="0"/>
        <w:jc w:val="both"/>
      </w:pPr>
      <w:r>
        <w:t>Pokud budou prokazatelné a M</w:t>
      </w:r>
      <w:r w:rsidR="002667DD">
        <w:t>SK</w:t>
      </w:r>
      <w:r>
        <w:t xml:space="preserve"> uznané náklady MSIC vzniklé v souvislosti s výkonem služeb v režimu závazku veřejné služby po odečtení M</w:t>
      </w:r>
      <w:r w:rsidR="002667DD">
        <w:t>SK</w:t>
      </w:r>
      <w:r>
        <w:t xml:space="preserve"> uznaných výnosů z takových služeb nižší než poskytnutá výše vyrovnávací platby (dále jen „</w:t>
      </w:r>
      <w:r w:rsidRPr="00B35FB0">
        <w:rPr>
          <w:b/>
          <w:bCs/>
        </w:rPr>
        <w:t>nadměrná platba</w:t>
      </w:r>
      <w:r>
        <w:t xml:space="preserve">“), je MSIC povinen tuto nadměrnou platbu vrátit, a to způsobem a v termínu určeném </w:t>
      </w:r>
      <w:r w:rsidR="008D6E4A">
        <w:t>MSK</w:t>
      </w:r>
      <w:r>
        <w:t>.</w:t>
      </w:r>
    </w:p>
    <w:p w14:paraId="0C8EE808" w14:textId="357E4158" w:rsidR="00D667CF" w:rsidRDefault="001B0EB7" w:rsidP="001B0EB7">
      <w:pPr>
        <w:pStyle w:val="Odstavecseseznamem"/>
        <w:numPr>
          <w:ilvl w:val="1"/>
          <w:numId w:val="17"/>
        </w:numPr>
        <w:suppressAutoHyphens/>
        <w:spacing w:before="120" w:after="120" w:line="280" w:lineRule="exact"/>
        <w:ind w:hanging="710"/>
        <w:contextualSpacing w:val="0"/>
        <w:jc w:val="both"/>
      </w:pPr>
      <w:r>
        <w:t>Pokud budou prokazatelné a M</w:t>
      </w:r>
      <w:r w:rsidR="00395A17">
        <w:t>SK</w:t>
      </w:r>
      <w:r>
        <w:t xml:space="preserve"> uznané náklady MSIC vzniklé v souvislosti s výkonem služeb v režimu závazku veřejné služby po odečtení M</w:t>
      </w:r>
      <w:r w:rsidR="00395A17">
        <w:t>SK</w:t>
      </w:r>
      <w:r>
        <w:t xml:space="preserve"> uznaných výnosů z takových služeb vyšší než poskytnutá výše vyrovnávací platby, uhradí MSIC částku tohoto překročení z vlastních nebo jiných zdrojů.</w:t>
      </w:r>
    </w:p>
    <w:p w14:paraId="01BEAABC" w14:textId="110EE8B2" w:rsidR="001B0EB7" w:rsidRPr="00E40E6D" w:rsidRDefault="001B0EB7" w:rsidP="00D667CF">
      <w:pPr>
        <w:pStyle w:val="Odstavecseseznamem"/>
        <w:suppressAutoHyphens/>
        <w:spacing w:before="120" w:after="120" w:line="280" w:lineRule="exact"/>
        <w:ind w:left="710"/>
        <w:contextualSpacing w:val="0"/>
        <w:jc w:val="both"/>
      </w:pPr>
    </w:p>
    <w:p w14:paraId="0AA89CD5" w14:textId="77777777" w:rsidR="001B0EB7" w:rsidRPr="008E5B9A" w:rsidRDefault="001B0EB7" w:rsidP="001B0EB7">
      <w:pPr>
        <w:pStyle w:val="Nadpis2"/>
        <w:keepLines w:val="0"/>
        <w:numPr>
          <w:ilvl w:val="0"/>
          <w:numId w:val="17"/>
        </w:numPr>
        <w:spacing w:before="100" w:after="100" w:line="360" w:lineRule="exact"/>
        <w:jc w:val="center"/>
      </w:pPr>
      <w:r w:rsidRPr="008E5B9A">
        <w:t>Další podmínky, práva a povinnosti</w:t>
      </w:r>
    </w:p>
    <w:p w14:paraId="01954325" w14:textId="77777777" w:rsidR="001B0EB7" w:rsidRDefault="001B0EB7" w:rsidP="001B0EB7">
      <w:pPr>
        <w:pStyle w:val="Odstavecseseznamem"/>
        <w:numPr>
          <w:ilvl w:val="0"/>
          <w:numId w:val="21"/>
        </w:numPr>
        <w:suppressAutoHyphens/>
        <w:spacing w:before="120" w:after="120" w:line="280" w:lineRule="exact"/>
        <w:ind w:hanging="720"/>
        <w:contextualSpacing w:val="0"/>
        <w:jc w:val="both"/>
      </w:pPr>
      <w:r>
        <w:t>Pro výpočet výše vyrovnávací platby lze užít pouze náklady a výnosy vzniklé v průběhu období dle čl. III.1 této smlouvy.</w:t>
      </w:r>
      <w:r w:rsidRPr="00D2795C">
        <w:t xml:space="preserve"> </w:t>
      </w:r>
      <w:r>
        <w:t xml:space="preserve"> MSIC je povinen předkládat </w:t>
      </w:r>
      <w:r w:rsidRPr="00A6015F">
        <w:t xml:space="preserve">vyúčtování čerpání vyrovnávací platby </w:t>
      </w:r>
      <w:r>
        <w:t xml:space="preserve">průběžně </w:t>
      </w:r>
      <w:r w:rsidRPr="00A6015F">
        <w:t xml:space="preserve">za </w:t>
      </w:r>
      <w:r>
        <w:t>každý</w:t>
      </w:r>
      <w:r w:rsidRPr="00A6015F">
        <w:t xml:space="preserve"> kalendářní rok</w:t>
      </w:r>
      <w:r>
        <w:t xml:space="preserve"> trvání smlouvy.</w:t>
      </w:r>
    </w:p>
    <w:p w14:paraId="563D898B" w14:textId="77777777" w:rsidR="001B0EB7" w:rsidRDefault="001B0EB7" w:rsidP="001B0EB7">
      <w:pPr>
        <w:pStyle w:val="Odstavecseseznamem"/>
        <w:numPr>
          <w:ilvl w:val="0"/>
          <w:numId w:val="21"/>
        </w:numPr>
        <w:suppressAutoHyphens/>
        <w:spacing w:before="120" w:after="120" w:line="280" w:lineRule="exact"/>
        <w:ind w:left="709" w:hanging="709"/>
        <w:contextualSpacing w:val="0"/>
        <w:jc w:val="both"/>
      </w:pPr>
      <w:r>
        <w:t>Je-li MSIC veřejným zadavatelem nebo splní-li definici zadavatele podle platného a účinného zákona o zadávání veřejných zakázek, je povinno postupovat podle takového zákona.</w:t>
      </w:r>
    </w:p>
    <w:p w14:paraId="11D28367" w14:textId="7E31EA94" w:rsidR="001B0EB7" w:rsidRDefault="001B0EB7" w:rsidP="001B0EB7">
      <w:pPr>
        <w:pStyle w:val="Odstavecseseznamem"/>
        <w:numPr>
          <w:ilvl w:val="0"/>
          <w:numId w:val="21"/>
        </w:numPr>
        <w:suppressAutoHyphens/>
        <w:spacing w:before="120" w:after="120" w:line="280" w:lineRule="exact"/>
        <w:ind w:left="709" w:hanging="709"/>
        <w:contextualSpacing w:val="0"/>
        <w:jc w:val="both"/>
      </w:pPr>
      <w:r>
        <w:t>MSIC zajistí ve svém účetnictví nebo daňové evidenci, v souladu s obecně platnými předpisy, zejména zákonem č. 563/1991 Sb., o účetnictví, ve znění pozdějších předpisů, oddělené vykazování nákladů a výnosů vzniklých v souvislosti s výkonem služeb vymezených čl. IV.6 a v Příloze č. I této smlouvy a oddělené vykazování těchto nákladů a výnosů financovaných M</w:t>
      </w:r>
      <w:r w:rsidR="00231D99">
        <w:t>SK</w:t>
      </w:r>
      <w:r>
        <w:t xml:space="preserve">. </w:t>
      </w:r>
    </w:p>
    <w:p w14:paraId="5407BFAA" w14:textId="708756F6" w:rsidR="001B0EB7" w:rsidRPr="00F04115" w:rsidRDefault="001B0EB7" w:rsidP="001B0EB7">
      <w:pPr>
        <w:pStyle w:val="Odstavecseseznamem"/>
        <w:numPr>
          <w:ilvl w:val="0"/>
          <w:numId w:val="21"/>
        </w:numPr>
        <w:suppressAutoHyphens/>
        <w:spacing w:before="120" w:after="120" w:line="280" w:lineRule="exact"/>
        <w:ind w:left="709" w:hanging="709"/>
        <w:contextualSpacing w:val="0"/>
        <w:jc w:val="both"/>
      </w:pPr>
      <w:r>
        <w:lastRenderedPageBreak/>
        <w:t>MSIC je povinen předložit M</w:t>
      </w:r>
      <w:r w:rsidR="00231D99">
        <w:t>SK</w:t>
      </w:r>
      <w:r>
        <w:t xml:space="preserve"> </w:t>
      </w:r>
      <w:r w:rsidRPr="00D560F9">
        <w:rPr>
          <w:b/>
          <w:bCs/>
        </w:rPr>
        <w:t>do 31</w:t>
      </w:r>
      <w:r w:rsidR="00852096" w:rsidRPr="00D560F9">
        <w:rPr>
          <w:b/>
          <w:bCs/>
        </w:rPr>
        <w:t>.</w:t>
      </w:r>
      <w:r w:rsidR="00231D99" w:rsidRPr="00D560F9">
        <w:rPr>
          <w:b/>
          <w:bCs/>
        </w:rPr>
        <w:t xml:space="preserve"> </w:t>
      </w:r>
      <w:r w:rsidRPr="00D560F9">
        <w:rPr>
          <w:b/>
          <w:bCs/>
        </w:rPr>
        <w:t>3. každého kalendářního roku</w:t>
      </w:r>
      <w:r>
        <w:t xml:space="preserve"> průběžnou zprávu o plnění služeb vymezených v čl. IV.6 a v Příloze č. I (dále jen „</w:t>
      </w:r>
      <w:r w:rsidRPr="00F04115">
        <w:rPr>
          <w:b/>
          <w:bCs/>
        </w:rPr>
        <w:t>průběžná zpráva</w:t>
      </w:r>
      <w:r>
        <w:t xml:space="preserve">“), jejíž součástí bude finanční vyúčtování čerpání vyrovnávací platby za předcházející kalendářní rok. MSIC doloží vyúčtování </w:t>
      </w:r>
      <w:r w:rsidRPr="00F04115">
        <w:t xml:space="preserve">čerpání vyrovnávací platby za předcházející </w:t>
      </w:r>
      <w:r w:rsidRPr="00B961BE">
        <w:t xml:space="preserve">kalendářní rok ve formě uvedené v Příloze č. II této smlouvy </w:t>
      </w:r>
      <w:bookmarkStart w:id="3" w:name="_Hlk92203671"/>
      <w:r w:rsidRPr="00B961BE">
        <w:t>a dále doloží vyúčtování čerpání vyrovnávací platby za předcházející kalendářní rok soupisem všech prvotních účetních a dalších dokladů prokazujících</w:t>
      </w:r>
      <w:r w:rsidRPr="00691507">
        <w:t xml:space="preserve"> její čerpání</w:t>
      </w:r>
      <w:r>
        <w:t xml:space="preserve">, </w:t>
      </w:r>
      <w:r w:rsidRPr="00691507">
        <w:t>a to v členění dle popisu činností uvedeného v Příloze č. I</w:t>
      </w:r>
      <w:r>
        <w:t xml:space="preserve"> v nejvyšší míře detailu</w:t>
      </w:r>
      <w:bookmarkEnd w:id="3"/>
      <w:r w:rsidRPr="00F04115">
        <w:t xml:space="preserve">. </w:t>
      </w:r>
      <w:r>
        <w:t>M</w:t>
      </w:r>
      <w:r w:rsidR="0099746E">
        <w:t>SK</w:t>
      </w:r>
      <w:r>
        <w:t xml:space="preserve"> je povin</w:t>
      </w:r>
      <w:r w:rsidR="0099746E">
        <w:t>e</w:t>
      </w:r>
      <w:r>
        <w:t>n</w:t>
      </w:r>
      <w:r w:rsidRPr="00F04115">
        <w:t xml:space="preserve"> průběžnou zprávu zkontrolovat a zaslat MSIC vyjádření do 3 měsíců ode dne předložení průběžné zprávy, kterým </w:t>
      </w:r>
      <w:r>
        <w:t>M</w:t>
      </w:r>
      <w:r w:rsidR="0081368C">
        <w:t>SK</w:t>
      </w:r>
      <w:r w:rsidRPr="00F04115">
        <w:t xml:space="preserve"> uzná nebo neuzná prokazatelné náklady a výnosy služeb poskytovaných MSIC v režimu závazku veřejné služby za předcházející kalendářní rok.</w:t>
      </w:r>
    </w:p>
    <w:p w14:paraId="4850ADE8" w14:textId="77777777" w:rsidR="001B0EB7" w:rsidRDefault="001B0EB7" w:rsidP="001B0EB7">
      <w:pPr>
        <w:pStyle w:val="Odstavecseseznamem"/>
        <w:ind w:left="709"/>
        <w:jc w:val="both"/>
      </w:pPr>
      <w:r w:rsidRPr="00EC65F3">
        <w:t>Průběžná zpráva</w:t>
      </w:r>
      <w:r>
        <w:t xml:space="preserve"> bude obsahovat nejméně následující informace a údaje v příměrné míře podrobnosti:</w:t>
      </w:r>
    </w:p>
    <w:p w14:paraId="5A2C6C41" w14:textId="7AC38566" w:rsidR="001B0EB7" w:rsidRDefault="001B0EB7" w:rsidP="001B0EB7">
      <w:pPr>
        <w:pStyle w:val="Odstavecseseznamem"/>
        <w:numPr>
          <w:ilvl w:val="1"/>
          <w:numId w:val="24"/>
        </w:numPr>
        <w:suppressAutoHyphens/>
        <w:spacing w:after="0" w:line="280" w:lineRule="exact"/>
        <w:ind w:left="1701" w:hanging="708"/>
        <w:contextualSpacing w:val="0"/>
        <w:jc w:val="both"/>
      </w:pPr>
      <w:r>
        <w:t>stručný popis realizovaných služeb</w:t>
      </w:r>
      <w:bookmarkStart w:id="4" w:name="_Hlk213670368"/>
      <w:r w:rsidR="00B8090D">
        <w:t>, včetně vyhodnocení plnění ročních indikátorů (KPI), dle přílohy č. I této smlouvy,</w:t>
      </w:r>
      <w:bookmarkEnd w:id="4"/>
      <w:r>
        <w:t xml:space="preserve"> v režimu závazku veřejné služby dle této smlouvy za předcházející kalendářní rok,</w:t>
      </w:r>
    </w:p>
    <w:p w14:paraId="7541E4AF" w14:textId="77777777" w:rsidR="001B0EB7" w:rsidRDefault="001B0EB7" w:rsidP="001B0EB7">
      <w:pPr>
        <w:pStyle w:val="Odstavecseseznamem"/>
        <w:numPr>
          <w:ilvl w:val="1"/>
          <w:numId w:val="24"/>
        </w:numPr>
        <w:suppressAutoHyphens/>
        <w:spacing w:after="0" w:line="280" w:lineRule="exact"/>
        <w:ind w:left="1701" w:hanging="709"/>
        <w:contextualSpacing w:val="0"/>
        <w:jc w:val="both"/>
      </w:pPr>
      <w:r>
        <w:t>vyhodnocení průběžného plnění těchto služeb,</w:t>
      </w:r>
    </w:p>
    <w:p w14:paraId="7BEEFD10" w14:textId="77777777" w:rsidR="001B0EB7" w:rsidRPr="00EA4121" w:rsidRDefault="001B0EB7" w:rsidP="001B0EB7">
      <w:pPr>
        <w:pStyle w:val="Odstavecseseznamem"/>
        <w:numPr>
          <w:ilvl w:val="1"/>
          <w:numId w:val="24"/>
        </w:numPr>
        <w:suppressAutoHyphens/>
        <w:spacing w:after="0" w:line="280" w:lineRule="exact"/>
        <w:ind w:left="1701" w:hanging="709"/>
        <w:contextualSpacing w:val="0"/>
        <w:jc w:val="both"/>
      </w:pPr>
      <w:r>
        <w:t xml:space="preserve">průběžné vyúčtování dosavadního čerpání vyrovnávací platby za předcházející </w:t>
      </w:r>
      <w:r w:rsidRPr="003F62F3">
        <w:t xml:space="preserve">kalendářní </w:t>
      </w:r>
      <w:r>
        <w:t xml:space="preserve">rok </w:t>
      </w:r>
      <w:r w:rsidRPr="003F62F3">
        <w:t xml:space="preserve">s potvrzením pravdivosti a správnosti průběžného vyúčtování v </w:t>
      </w:r>
      <w:r w:rsidRPr="00EA4121">
        <w:t>souladu s Přílohou č. II této smlouvy.</w:t>
      </w:r>
    </w:p>
    <w:p w14:paraId="1A6F59CF" w14:textId="4F1408A2" w:rsidR="001B0EB7" w:rsidRPr="00B961BE" w:rsidRDefault="001B0EB7" w:rsidP="001B0EB7">
      <w:pPr>
        <w:pStyle w:val="Odstavecseseznamem"/>
        <w:numPr>
          <w:ilvl w:val="0"/>
          <w:numId w:val="21"/>
        </w:numPr>
        <w:suppressAutoHyphens/>
        <w:spacing w:before="120" w:after="120" w:line="280" w:lineRule="exact"/>
        <w:ind w:left="709" w:hanging="709"/>
        <w:contextualSpacing w:val="0"/>
        <w:jc w:val="both"/>
      </w:pPr>
      <w:r w:rsidRPr="00EA4121">
        <w:t>MSIC je povin</w:t>
      </w:r>
      <w:r>
        <w:t>en</w:t>
      </w:r>
      <w:r w:rsidRPr="00EA4121">
        <w:t xml:space="preserve"> předložit </w:t>
      </w:r>
      <w:r>
        <w:t>M</w:t>
      </w:r>
      <w:r w:rsidR="0081368C">
        <w:t>SK</w:t>
      </w:r>
      <w:r w:rsidRPr="00EA4121">
        <w:t xml:space="preserve"> nejpozději do </w:t>
      </w:r>
      <w:r>
        <w:t>3 měsíců</w:t>
      </w:r>
      <w:r w:rsidRPr="00EA4121">
        <w:t xml:space="preserve"> ode dne skončení pověření dle článku III.1 této smlouvy či ode dne </w:t>
      </w:r>
      <w:r w:rsidRPr="00B961BE">
        <w:t>skončení této smlouvy finanční vyúčtování čerpání vyrovnávací platby jako součást závěrečné zprávy. Ve stejné lhůtě je MSIC povinen vrátit převodem na účet M</w:t>
      </w:r>
      <w:r w:rsidR="004B7E9A">
        <w:t>SK</w:t>
      </w:r>
      <w:r w:rsidRPr="00B961BE">
        <w:t xml:space="preserve"> uvedený v záhlaví této smlouvy případnou nadměrnou platbu. MSIC doloží finanční vyúčtování čerpání vyrovnávací platby ve formě uvedené v Příloze č. II této smlouvy a dále doloží vyúčtování čerpání vyrovnávací platby za předcházející kalendářní rok soupisem všech prvotních účetních a dalších dokladů prokazujících její čerpání, a to v členění dle popisu činností uvedeného v Příloze č. I v nejvyšší míře detailu. </w:t>
      </w:r>
    </w:p>
    <w:p w14:paraId="3CD50B94" w14:textId="77777777" w:rsidR="001B0EB7" w:rsidRPr="00EA4121" w:rsidRDefault="001B0EB7" w:rsidP="001B0EB7">
      <w:pPr>
        <w:pStyle w:val="Odstavecseseznamem"/>
        <w:ind w:left="851"/>
        <w:jc w:val="both"/>
      </w:pPr>
      <w:r w:rsidRPr="00F846D9">
        <w:rPr>
          <w:b/>
          <w:bCs/>
        </w:rPr>
        <w:t>Závěrečná zpráva</w:t>
      </w:r>
      <w:r w:rsidRPr="00EA4121">
        <w:t xml:space="preserve"> bude obsahovat:</w:t>
      </w:r>
    </w:p>
    <w:p w14:paraId="5429FB24" w14:textId="62463973" w:rsidR="001B0EB7" w:rsidRPr="00EA4121" w:rsidRDefault="001B0EB7" w:rsidP="001B0EB7">
      <w:pPr>
        <w:pStyle w:val="Odstavecseseznamem"/>
        <w:numPr>
          <w:ilvl w:val="0"/>
          <w:numId w:val="25"/>
        </w:numPr>
        <w:tabs>
          <w:tab w:val="left" w:pos="1701"/>
        </w:tabs>
        <w:suppressAutoHyphens/>
        <w:spacing w:before="120" w:after="120" w:line="280" w:lineRule="exact"/>
        <w:ind w:left="1701" w:hanging="708"/>
        <w:jc w:val="both"/>
      </w:pPr>
      <w:r w:rsidRPr="00EA4121">
        <w:t xml:space="preserve">podrobný popis </w:t>
      </w:r>
      <w:r w:rsidR="00B8090D">
        <w:t xml:space="preserve">realizovaných </w:t>
      </w:r>
      <w:r w:rsidRPr="00EA4121">
        <w:t>činností</w:t>
      </w:r>
      <w:r w:rsidR="00B8090D">
        <w:t>, včetně vyhodnocení plnění ročních indikátorů (KPI), dle přílohy č. I této smlouvy,</w:t>
      </w:r>
      <w:r w:rsidRPr="00EA4121">
        <w:t xml:space="preserve"> v režimu závazku veřejné služby dle této smlouvy na dané období,</w:t>
      </w:r>
    </w:p>
    <w:p w14:paraId="69946DC4" w14:textId="77777777" w:rsidR="001B0EB7" w:rsidRPr="00EA4121" w:rsidRDefault="001B0EB7" w:rsidP="001B0EB7">
      <w:pPr>
        <w:pStyle w:val="Odstavecseseznamem"/>
        <w:numPr>
          <w:ilvl w:val="0"/>
          <w:numId w:val="25"/>
        </w:numPr>
        <w:suppressAutoHyphens/>
        <w:spacing w:before="120" w:after="120" w:line="280" w:lineRule="exact"/>
        <w:ind w:left="1701" w:hanging="709"/>
        <w:jc w:val="both"/>
      </w:pPr>
      <w:r w:rsidRPr="00EA4121">
        <w:t>celkové vyhodnocení splnění účelu,</w:t>
      </w:r>
    </w:p>
    <w:p w14:paraId="7E43E24C" w14:textId="77777777" w:rsidR="001B0EB7" w:rsidRPr="00EA4121" w:rsidRDefault="001B0EB7" w:rsidP="001B0EB7">
      <w:pPr>
        <w:pStyle w:val="Odstavecseseznamem"/>
        <w:numPr>
          <w:ilvl w:val="0"/>
          <w:numId w:val="25"/>
        </w:numPr>
        <w:suppressAutoHyphens/>
        <w:spacing w:before="120" w:after="120" w:line="280" w:lineRule="exact"/>
        <w:ind w:left="1701" w:hanging="709"/>
        <w:contextualSpacing w:val="0"/>
        <w:jc w:val="both"/>
      </w:pPr>
      <w:r w:rsidRPr="00EA4121">
        <w:t>finanční vyúčtování čerpání vyrovnávací platby podle této smlouvy s potvrzením pravdivosti a správnosti finančního vyúčtování v souladu s Přílohou č. II této smlouvy.</w:t>
      </w:r>
    </w:p>
    <w:p w14:paraId="0D4D859C" w14:textId="680E9EAA" w:rsidR="001B0EB7" w:rsidRDefault="001B0EB7" w:rsidP="001B0EB7">
      <w:pPr>
        <w:pStyle w:val="Odstavecseseznamem"/>
        <w:numPr>
          <w:ilvl w:val="0"/>
          <w:numId w:val="21"/>
        </w:numPr>
        <w:suppressAutoHyphens/>
        <w:spacing w:before="120" w:after="120" w:line="280" w:lineRule="exact"/>
        <w:ind w:left="709" w:hanging="709"/>
        <w:contextualSpacing w:val="0"/>
        <w:jc w:val="both"/>
      </w:pPr>
      <w:r>
        <w:t>MSIC je povinen průběžně informovat M</w:t>
      </w:r>
      <w:r w:rsidR="00531227">
        <w:t>SK</w:t>
      </w:r>
      <w:r>
        <w:t xml:space="preserve"> o všech změnách, které by mohly při vymáhání zadržených nebo neoprávněně použitých prostředků vyrovnávací platby zhoršit jeho pozici věřitele nebo dobytnost jeho pohledávky. Zejména je MSIC povinen oznámit M</w:t>
      </w:r>
      <w:r w:rsidR="00531227">
        <w:t>SK</w:t>
      </w:r>
      <w:r>
        <w:t xml:space="preserve"> do 15 dnů ode dne, kdy došlo k události, skutečnosti, které mají nebo mohou mít za následek zánik, transformaci, sloučení, změnu statutárního zástupce apod., či změnu vlastnického vztahu k majetku, na nějž se vyrovnávací platba poskytuje. MSIC je povinen předložit M</w:t>
      </w:r>
      <w:r w:rsidR="00F17D46">
        <w:t>SK</w:t>
      </w:r>
      <w:r>
        <w:t xml:space="preserve"> </w:t>
      </w:r>
      <w:r w:rsidRPr="00A16DC3">
        <w:t xml:space="preserve">před případnou přeměnou </w:t>
      </w:r>
      <w:r>
        <w:t>společnosti MSIC</w:t>
      </w:r>
      <w:r w:rsidRPr="00A16DC3">
        <w:t xml:space="preserve"> či před zrušením </w:t>
      </w:r>
      <w:r>
        <w:t>společnosti MSIC</w:t>
      </w:r>
      <w:r w:rsidRPr="00A16DC3">
        <w:t xml:space="preserve"> s likvidací závěrečné vyúčtování dotace a vrátit nevyčerpanou část dotace na účet </w:t>
      </w:r>
      <w:r>
        <w:t>M</w:t>
      </w:r>
      <w:r w:rsidR="00F17D46">
        <w:t>SK</w:t>
      </w:r>
      <w:r w:rsidRPr="00A16DC3">
        <w:t xml:space="preserve"> s písemným odůvodněním, a to v takovém časovém předstihu, aby nedošlo ke krácení práv poskytovatele</w:t>
      </w:r>
      <w:r>
        <w:t xml:space="preserve"> (v případě zrušení MSIC s likvidací </w:t>
      </w:r>
      <w:r w:rsidRPr="00EF1E34">
        <w:t>nejpozději do zahájení likvidace MSIC</w:t>
      </w:r>
      <w:r>
        <w:t>)</w:t>
      </w:r>
      <w:r w:rsidRPr="00EF1E34">
        <w:t xml:space="preserve">. V případě porušení povinnosti MSIC dle tohoto odstavce se taková nevrácená část nevyčerpané části vyrovnávací platby považuje za zadržené peněžní prostředky ve smyslu § 22 odst. 3 </w:t>
      </w:r>
      <w:r>
        <w:t>RPÚR</w:t>
      </w:r>
      <w:r w:rsidRPr="00EF1E34">
        <w:t>.</w:t>
      </w:r>
    </w:p>
    <w:p w14:paraId="720B58DB" w14:textId="77777777" w:rsidR="001B0EB7" w:rsidRDefault="001B0EB7" w:rsidP="001B0EB7">
      <w:pPr>
        <w:pStyle w:val="Odstavecseseznamem"/>
        <w:numPr>
          <w:ilvl w:val="0"/>
          <w:numId w:val="21"/>
        </w:numPr>
        <w:suppressAutoHyphens/>
        <w:spacing w:before="120" w:after="120" w:line="280" w:lineRule="exact"/>
        <w:ind w:left="709" w:hanging="709"/>
        <w:contextualSpacing w:val="0"/>
        <w:jc w:val="both"/>
      </w:pPr>
      <w:r>
        <w:lastRenderedPageBreak/>
        <w:t xml:space="preserve">MSIC je povinen po dobu deseti </w:t>
      </w:r>
      <w:r w:rsidRPr="00682465">
        <w:t>let od prvního dne následujícího kalendářního roku</w:t>
      </w:r>
      <w:r>
        <w:t xml:space="preserve"> po kalendářním roce, v němž uplynula doba pověření dle čl. III.1 této smlouvy, archivovat následující podkladové materiály:</w:t>
      </w:r>
    </w:p>
    <w:p w14:paraId="385CC9B0" w14:textId="77777777" w:rsidR="001B0EB7" w:rsidRDefault="001B0EB7" w:rsidP="001B0EB7">
      <w:pPr>
        <w:pStyle w:val="Odstavecseseznamem"/>
        <w:numPr>
          <w:ilvl w:val="0"/>
          <w:numId w:val="26"/>
        </w:numPr>
        <w:suppressAutoHyphens/>
        <w:spacing w:before="120" w:after="120" w:line="280" w:lineRule="exact"/>
        <w:ind w:left="1701" w:hanging="708"/>
        <w:jc w:val="both"/>
      </w:pPr>
      <w:r>
        <w:t>žádost o poskytnutí vyrovnávací platby včetně příloh,</w:t>
      </w:r>
    </w:p>
    <w:p w14:paraId="5AB22FCA" w14:textId="77777777" w:rsidR="001B0EB7" w:rsidRDefault="001B0EB7" w:rsidP="001B0EB7">
      <w:pPr>
        <w:pStyle w:val="Odstavecseseznamem"/>
        <w:numPr>
          <w:ilvl w:val="0"/>
          <w:numId w:val="26"/>
        </w:numPr>
        <w:suppressAutoHyphens/>
        <w:spacing w:before="120" w:after="120" w:line="280" w:lineRule="exact"/>
        <w:ind w:left="1701" w:hanging="709"/>
        <w:jc w:val="both"/>
      </w:pPr>
      <w:r>
        <w:t>tuto smlouvu,</w:t>
      </w:r>
    </w:p>
    <w:p w14:paraId="00E043D6" w14:textId="77777777" w:rsidR="001B0EB7" w:rsidRDefault="001B0EB7" w:rsidP="001B0EB7">
      <w:pPr>
        <w:pStyle w:val="Odstavecseseznamem"/>
        <w:numPr>
          <w:ilvl w:val="0"/>
          <w:numId w:val="26"/>
        </w:numPr>
        <w:suppressAutoHyphens/>
        <w:spacing w:before="120" w:after="120" w:line="280" w:lineRule="exact"/>
        <w:ind w:left="1701" w:hanging="709"/>
        <w:jc w:val="both"/>
      </w:pPr>
      <w:r>
        <w:t>originály dokladů, prokazujících čerpání vyrovnávací platby,</w:t>
      </w:r>
    </w:p>
    <w:p w14:paraId="369707FD" w14:textId="77777777" w:rsidR="001B0EB7" w:rsidRDefault="001B0EB7" w:rsidP="001B0EB7">
      <w:pPr>
        <w:pStyle w:val="Odstavecseseznamem"/>
        <w:numPr>
          <w:ilvl w:val="0"/>
          <w:numId w:val="26"/>
        </w:numPr>
        <w:suppressAutoHyphens/>
        <w:spacing w:before="120" w:after="120" w:line="280" w:lineRule="exact"/>
        <w:ind w:left="1701" w:hanging="709"/>
        <w:jc w:val="both"/>
      </w:pPr>
      <w:r>
        <w:t>dokumentaci o zadání veřejné zakázky, je-li zadávána,</w:t>
      </w:r>
    </w:p>
    <w:p w14:paraId="5B1A44EF" w14:textId="77777777" w:rsidR="001B0EB7" w:rsidRDefault="001B0EB7" w:rsidP="001B0EB7">
      <w:pPr>
        <w:pStyle w:val="Odstavecseseznamem"/>
        <w:numPr>
          <w:ilvl w:val="0"/>
          <w:numId w:val="26"/>
        </w:numPr>
        <w:suppressAutoHyphens/>
        <w:spacing w:after="120" w:line="280" w:lineRule="exact"/>
        <w:ind w:left="1701" w:hanging="709"/>
        <w:contextualSpacing w:val="0"/>
        <w:jc w:val="both"/>
      </w:pPr>
      <w:r>
        <w:t>předběžné a průběžné zprávy a závěrečnou zprávu včetně finančního vyúčtování čerpání vyrovnávací platby.</w:t>
      </w:r>
    </w:p>
    <w:p w14:paraId="19D369D5" w14:textId="645492A7" w:rsidR="001B0EB7" w:rsidRDefault="001B0EB7" w:rsidP="001B0EB7">
      <w:pPr>
        <w:pStyle w:val="Odstavecseseznamem"/>
        <w:numPr>
          <w:ilvl w:val="0"/>
          <w:numId w:val="21"/>
        </w:numPr>
        <w:suppressAutoHyphens/>
        <w:spacing w:before="120" w:after="120" w:line="280" w:lineRule="exact"/>
        <w:ind w:left="709" w:hanging="709"/>
        <w:contextualSpacing w:val="0"/>
        <w:jc w:val="both"/>
      </w:pPr>
      <w:r>
        <w:t>MSIC je povinen poskytnout M</w:t>
      </w:r>
      <w:r w:rsidR="0046068B">
        <w:t>SK</w:t>
      </w:r>
      <w:r>
        <w:t xml:space="preserve"> součinnost pro plnění všech povinností vyplývajících z pravidel pro veřejnou podporu vůči Úřadu pro ochranu hospodářské soutěže a Evropské komisi.</w:t>
      </w:r>
    </w:p>
    <w:p w14:paraId="5E8FBE29" w14:textId="7BAFA049" w:rsidR="001B0EB7" w:rsidRDefault="001B0EB7" w:rsidP="001B0EB7">
      <w:pPr>
        <w:pStyle w:val="Odstavecseseznamem"/>
        <w:numPr>
          <w:ilvl w:val="0"/>
          <w:numId w:val="21"/>
        </w:numPr>
        <w:suppressAutoHyphens/>
        <w:spacing w:before="120" w:after="120" w:line="280" w:lineRule="exact"/>
        <w:ind w:hanging="720"/>
        <w:contextualSpacing w:val="0"/>
        <w:jc w:val="both"/>
      </w:pPr>
      <w:r w:rsidRPr="005943DB">
        <w:t xml:space="preserve">MSIC se zavazuje, že při prezentaci své činnosti bude uvádět </w:t>
      </w:r>
      <w:r>
        <w:t>M</w:t>
      </w:r>
      <w:r w:rsidR="0046068B">
        <w:t>SK</w:t>
      </w:r>
      <w:r w:rsidRPr="005943DB">
        <w:t xml:space="preserve"> jako poskytovatele finančních prostředků. </w:t>
      </w:r>
    </w:p>
    <w:p w14:paraId="4B7F040F" w14:textId="4E4CF4D8" w:rsidR="001B0EB7" w:rsidRPr="005943DB" w:rsidRDefault="001B0EB7" w:rsidP="001B0EB7">
      <w:pPr>
        <w:pStyle w:val="Odstavecseseznamem"/>
        <w:numPr>
          <w:ilvl w:val="0"/>
          <w:numId w:val="21"/>
        </w:numPr>
        <w:suppressAutoHyphens/>
        <w:spacing w:before="120" w:after="120" w:line="280" w:lineRule="exact"/>
        <w:ind w:left="709" w:hanging="709"/>
        <w:contextualSpacing w:val="0"/>
        <w:jc w:val="both"/>
      </w:pPr>
      <w:r>
        <w:t>M</w:t>
      </w:r>
      <w:r w:rsidR="008C4FAB">
        <w:t>SK</w:t>
      </w:r>
      <w:r w:rsidRPr="008E5B9A">
        <w:t xml:space="preserve"> jako držitel výhradní licence k užití loga </w:t>
      </w:r>
      <w:r>
        <w:t>M</w:t>
      </w:r>
      <w:r w:rsidR="0046068B">
        <w:t>SK</w:t>
      </w:r>
      <w:r w:rsidRPr="008E5B9A">
        <w:t xml:space="preserve"> a výlučný vlastník práva užívat logo </w:t>
      </w:r>
      <w:r>
        <w:t>M</w:t>
      </w:r>
      <w:r w:rsidR="0046068B">
        <w:t>SK</w:t>
      </w:r>
      <w:r w:rsidRPr="008E5B9A">
        <w:t xml:space="preserve"> tímto poskytuje MSIC bezúplatně</w:t>
      </w:r>
      <w:r w:rsidRPr="0024619A">
        <w:t xml:space="preserve"> nevýhradní oprávnění logo </w:t>
      </w:r>
      <w:r>
        <w:t>M</w:t>
      </w:r>
      <w:r w:rsidR="0046068B">
        <w:t>SK</w:t>
      </w:r>
      <w:r w:rsidRPr="0024619A">
        <w:t xml:space="preserve"> užít pro účely dle obsahu této smlouvy, způsoby uvedenými v čl. V</w:t>
      </w:r>
      <w:r>
        <w:t>I</w:t>
      </w:r>
      <w:r w:rsidRPr="0024619A">
        <w:t>.</w:t>
      </w:r>
      <w:r>
        <w:t xml:space="preserve">9 </w:t>
      </w:r>
      <w:r w:rsidRPr="0024619A">
        <w:t xml:space="preserve">této smlouvy, v rozsahu územně neomezeném a v rozsahu množstevně a časově omezeném ve vztahu k rozsahu a charakteru užití dle této smlouvy. </w:t>
      </w:r>
      <w:r>
        <w:t>MSIC</w:t>
      </w:r>
      <w:r w:rsidRPr="0024619A">
        <w:t xml:space="preserve"> oprávnění užít logo </w:t>
      </w:r>
      <w:r>
        <w:t>M</w:t>
      </w:r>
      <w:r w:rsidR="00A612A8">
        <w:t>SK</w:t>
      </w:r>
      <w:r w:rsidRPr="0024619A">
        <w:t xml:space="preserve"> za uvedeným účelem, uvedeným způsobem a v rozsahu této smlouvy přijímá</w:t>
      </w:r>
      <w:r w:rsidRPr="00A763D1">
        <w:t>.</w:t>
      </w:r>
    </w:p>
    <w:p w14:paraId="62CB9321" w14:textId="11A4929D" w:rsidR="001B0EB7" w:rsidRDefault="001B0EB7" w:rsidP="001B0EB7">
      <w:pPr>
        <w:pStyle w:val="Odstavecseseznamem"/>
        <w:numPr>
          <w:ilvl w:val="0"/>
          <w:numId w:val="21"/>
        </w:numPr>
        <w:suppressAutoHyphens/>
        <w:spacing w:before="120" w:after="120" w:line="280" w:lineRule="exact"/>
        <w:ind w:hanging="720"/>
        <w:contextualSpacing w:val="0"/>
        <w:jc w:val="both"/>
      </w:pPr>
      <w:r w:rsidRPr="005943DB">
        <w:t xml:space="preserve">MSIC se zavazuje, že jak při realizaci služeb vymezených v </w:t>
      </w:r>
      <w:r>
        <w:t>čl. IV.6 a v </w:t>
      </w:r>
      <w:r w:rsidRPr="005943DB">
        <w:t xml:space="preserve">Příloze č. I této smlouvy, tak po jejich ukončení, bude dbát dobrého jména </w:t>
      </w:r>
      <w:r>
        <w:t>M</w:t>
      </w:r>
      <w:r w:rsidR="00A612A8">
        <w:t>SK</w:t>
      </w:r>
      <w:r w:rsidRPr="005943DB">
        <w:t xml:space="preserve"> a služby v režimu závazku veřejné služby bude realizovat v</w:t>
      </w:r>
      <w:r>
        <w:t> </w:t>
      </w:r>
      <w:r w:rsidRPr="005943DB">
        <w:t>souladu s právními předpisy.</w:t>
      </w:r>
    </w:p>
    <w:p w14:paraId="36D85778" w14:textId="11B1C21D" w:rsidR="001B0EB7" w:rsidRPr="00B961BE" w:rsidRDefault="001B0EB7" w:rsidP="001B0EB7">
      <w:pPr>
        <w:pStyle w:val="Odstavecseseznamem"/>
        <w:numPr>
          <w:ilvl w:val="0"/>
          <w:numId w:val="21"/>
        </w:numPr>
        <w:suppressAutoHyphens/>
        <w:spacing w:before="120" w:after="120" w:line="280" w:lineRule="exact"/>
        <w:ind w:hanging="720"/>
        <w:contextualSpacing w:val="0"/>
        <w:jc w:val="both"/>
      </w:pPr>
      <w:r w:rsidRPr="00635393">
        <w:t xml:space="preserve">V případech, kdy MSIC rozhoduje o poskytnutí podpory konečným příjemcům v rámci realizovaných služeb dle této </w:t>
      </w:r>
      <w:r w:rsidRPr="00AC4782">
        <w:t xml:space="preserve">smlouvy, umožní pověřenému zástupci </w:t>
      </w:r>
      <w:r>
        <w:t>M</w:t>
      </w:r>
      <w:r w:rsidR="00A612A8">
        <w:t>SK</w:t>
      </w:r>
      <w:r w:rsidRPr="00AC4782">
        <w:t xml:space="preserve"> účast v pozici pozorovatele v </w:t>
      </w:r>
      <w:r w:rsidRPr="00B961BE">
        <w:t>rámci procesu schvalování těchto podpor konečným příjemcům. Podmínkou účasti zástupce M</w:t>
      </w:r>
      <w:r w:rsidR="004B15C3">
        <w:t>SK</w:t>
      </w:r>
      <w:r w:rsidRPr="00B961BE">
        <w:t xml:space="preserve"> v pozici pozorovatele je písemný souhlas tohoto zástupce se smlouvou o mlčenlivosti.</w:t>
      </w:r>
    </w:p>
    <w:p w14:paraId="24A06173" w14:textId="62D7DD1D" w:rsidR="001B0EB7" w:rsidRDefault="001B0EB7" w:rsidP="001B0EB7">
      <w:pPr>
        <w:pStyle w:val="Odstavecseseznamem"/>
        <w:numPr>
          <w:ilvl w:val="0"/>
          <w:numId w:val="21"/>
        </w:numPr>
        <w:suppressAutoHyphens/>
        <w:spacing w:before="120" w:after="120" w:line="280" w:lineRule="exact"/>
        <w:ind w:left="709" w:hanging="709"/>
        <w:contextualSpacing w:val="0"/>
        <w:jc w:val="both"/>
      </w:pPr>
      <w:r w:rsidRPr="00B961BE">
        <w:t>MSIC je povinen předložit M</w:t>
      </w:r>
      <w:r w:rsidR="000E1BE2">
        <w:t>SK</w:t>
      </w:r>
      <w:r w:rsidRPr="00B961BE">
        <w:t xml:space="preserve"> </w:t>
      </w:r>
      <w:r w:rsidRPr="00AA4C9A">
        <w:rPr>
          <w:b/>
          <w:bCs/>
        </w:rPr>
        <w:t xml:space="preserve">do </w:t>
      </w:r>
      <w:r w:rsidR="00FE34F5" w:rsidRPr="00AA4C9A">
        <w:rPr>
          <w:b/>
          <w:bCs/>
        </w:rPr>
        <w:t>20</w:t>
      </w:r>
      <w:r w:rsidRPr="00AA4C9A">
        <w:rPr>
          <w:b/>
          <w:bCs/>
        </w:rPr>
        <w:t>. 1. každého kalendářního roku předběžné vyúčtování</w:t>
      </w:r>
      <w:r w:rsidRPr="00B961BE">
        <w:t xml:space="preserve"> ke dni 31. 12. předcházejícího kalendářního roku. Předběžné vyúčtování bude obsahovat průběžné vyúčtování dosavadního čerpání vyrovnávací</w:t>
      </w:r>
      <w:r w:rsidRPr="00F3393B">
        <w:t xml:space="preserve"> platby za předcházející kalendářní rok s potvrzením pravdivosti a správnosti tohoto průběžného vyúčtování. </w:t>
      </w:r>
    </w:p>
    <w:p w14:paraId="77A1877F" w14:textId="77777777" w:rsidR="00852096" w:rsidRPr="001D2C64" w:rsidRDefault="00852096" w:rsidP="00852096">
      <w:pPr>
        <w:suppressAutoHyphens/>
        <w:spacing w:before="120" w:after="120" w:line="280" w:lineRule="exact"/>
        <w:jc w:val="both"/>
      </w:pPr>
    </w:p>
    <w:p w14:paraId="37C73DDD" w14:textId="77777777" w:rsidR="001B0EB7" w:rsidRDefault="001B0EB7" w:rsidP="001B0EB7">
      <w:pPr>
        <w:pStyle w:val="Nadpis2"/>
        <w:keepLines w:val="0"/>
        <w:numPr>
          <w:ilvl w:val="0"/>
          <w:numId w:val="17"/>
        </w:numPr>
        <w:spacing w:before="100" w:after="100" w:line="360" w:lineRule="exact"/>
        <w:jc w:val="center"/>
        <w:rPr>
          <w:rFonts w:cs="Open Sans"/>
        </w:rPr>
      </w:pPr>
      <w:r>
        <w:rPr>
          <w:rFonts w:cs="Open Sans"/>
        </w:rPr>
        <w:t>Kontrola</w:t>
      </w:r>
    </w:p>
    <w:p w14:paraId="719D0CE4" w14:textId="1A4CA33A" w:rsidR="001B0EB7" w:rsidRDefault="001B0EB7" w:rsidP="001B0EB7">
      <w:pPr>
        <w:pStyle w:val="Odstavecseseznamem"/>
        <w:numPr>
          <w:ilvl w:val="0"/>
          <w:numId w:val="22"/>
        </w:numPr>
        <w:suppressAutoHyphens/>
        <w:spacing w:before="120" w:after="120" w:line="280" w:lineRule="exact"/>
        <w:ind w:hanging="720"/>
        <w:contextualSpacing w:val="0"/>
        <w:jc w:val="both"/>
      </w:pPr>
      <w:r>
        <w:t>Příslušné orgány M</w:t>
      </w:r>
      <w:r w:rsidR="000E1BE2">
        <w:t>SK</w:t>
      </w:r>
      <w:r>
        <w:t xml:space="preserve"> jsou oprávněny v souladu se zvláštním právním předpisem, zákonem č.</w:t>
      </w:r>
      <w:r w:rsidR="000A1ED4">
        <w:t> </w:t>
      </w:r>
      <w:r>
        <w:t>320/2001 Sb., o finanční kontrole ve veřejné správě a o změně některých zákonů (zákon o finanční kontrole), ve znění pozdějších předpisů, zákonem č. 12</w:t>
      </w:r>
      <w:r w:rsidR="00E320BE">
        <w:t>9</w:t>
      </w:r>
      <w:r>
        <w:t xml:space="preserve">/2000 Sb., o </w:t>
      </w:r>
      <w:r w:rsidR="00E320BE">
        <w:t>krajích</w:t>
      </w:r>
      <w:r>
        <w:t xml:space="preserve"> (</w:t>
      </w:r>
      <w:r w:rsidR="00E320BE">
        <w:t>k</w:t>
      </w:r>
      <w:r w:rsidR="004C42A2">
        <w:t>rajské</w:t>
      </w:r>
      <w:r>
        <w:t xml:space="preserve"> zřízení), ve znění pozdějších předpisů, RPÚR, kdykoli kontrolovat dodržení podmínek, za kterých byla vyrovnávací platba poskytnuta, zejména zda nedochází k nadměrné kompenzaci či zda je vyrovnávací platba užívána v souladu s účelem dotace. Příslušné orgány M</w:t>
      </w:r>
      <w:r w:rsidR="00BF3BEF">
        <w:t>SK</w:t>
      </w:r>
      <w:r>
        <w:t xml:space="preserve"> jsou oprávněny v souladu s právními předpisy kdykoli kontrolovat, zda je poskytování vyrovnávacího příspěvku činěno v souladu s </w:t>
      </w:r>
      <w:r w:rsidRPr="00BA2044">
        <w:t>Rozhodnutí Komise č. 2012/21/EU</w:t>
      </w:r>
      <w:r>
        <w:t>.</w:t>
      </w:r>
    </w:p>
    <w:p w14:paraId="31047D37" w14:textId="0802494F" w:rsidR="001B0EB7" w:rsidRPr="00635393" w:rsidRDefault="001B0EB7" w:rsidP="001B0EB7">
      <w:pPr>
        <w:pStyle w:val="Odstavecseseznamem"/>
        <w:numPr>
          <w:ilvl w:val="0"/>
          <w:numId w:val="22"/>
        </w:numPr>
        <w:suppressAutoHyphens/>
        <w:spacing w:before="120" w:after="120" w:line="280" w:lineRule="exact"/>
        <w:ind w:hanging="720"/>
        <w:contextualSpacing w:val="0"/>
        <w:jc w:val="both"/>
      </w:pPr>
      <w:r>
        <w:t xml:space="preserve">MSIC je povinen poskytnout součinnost při </w:t>
      </w:r>
      <w:r w:rsidRPr="00635393">
        <w:t>výkonu kontrolní činnosti dle čl. V</w:t>
      </w:r>
      <w:r>
        <w:t>II</w:t>
      </w:r>
      <w:r w:rsidRPr="00635393">
        <w:t>.1 této smlouvy, zejména předložit k</w:t>
      </w:r>
      <w:r w:rsidRPr="00DB146A">
        <w:t xml:space="preserve">ontrolnímu orgánu </w:t>
      </w:r>
      <w:r>
        <w:t>M</w:t>
      </w:r>
      <w:r w:rsidR="000A1ED4">
        <w:t>SK</w:t>
      </w:r>
      <w:r w:rsidRPr="00DB146A">
        <w:t xml:space="preserve"> kdykoliv k nahlédnutí originály všech účetních dokladů souvisejících s vyrovnávací platbou. </w:t>
      </w:r>
      <w:r w:rsidR="008539E2" w:rsidRPr="00635393">
        <w:t xml:space="preserve">Vzhledem ke zjednodušenému vykazování </w:t>
      </w:r>
      <w:r w:rsidR="008539E2" w:rsidRPr="00635393">
        <w:lastRenderedPageBreak/>
        <w:t>vyrovnávací platby proběhne kontrola na místě minimálně 1x v každém kalendářním roce trvání této smlouvy</w:t>
      </w:r>
      <w:r w:rsidR="008539E2">
        <w:t>.</w:t>
      </w:r>
    </w:p>
    <w:p w14:paraId="14448086" w14:textId="20B021A3" w:rsidR="001B0EB7" w:rsidRDefault="001B0EB7" w:rsidP="001B0EB7">
      <w:pPr>
        <w:pStyle w:val="Odstavecseseznamem"/>
        <w:numPr>
          <w:ilvl w:val="0"/>
          <w:numId w:val="22"/>
        </w:numPr>
        <w:suppressAutoHyphens/>
        <w:spacing w:before="120" w:after="120" w:line="280" w:lineRule="exact"/>
        <w:ind w:left="709" w:hanging="709"/>
        <w:contextualSpacing w:val="0"/>
        <w:jc w:val="both"/>
      </w:pPr>
      <w:r>
        <w:t>MSIC je povinen umožnit příslušným orgánům M</w:t>
      </w:r>
      <w:r w:rsidR="00F33E5D">
        <w:t>SK</w:t>
      </w:r>
      <w:r>
        <w:t xml:space="preserve"> provést kontrolu, jak v průběhu, tak i po ukončení výkonu služeb v režimu závazku veřejné služby dle této smlouvy, a to ještě po dobu deseti </w:t>
      </w:r>
      <w:r w:rsidRPr="00682465">
        <w:t>let od prvního dne následujícího kalendářního roku</w:t>
      </w:r>
      <w:r>
        <w:t xml:space="preserve"> po kalendářním roce, v němž uplynula doba pověření dle čl. III.1 této smlouvy</w:t>
      </w:r>
      <w:r w:rsidRPr="00682465">
        <w:t>.</w:t>
      </w:r>
    </w:p>
    <w:p w14:paraId="23034A7B" w14:textId="48146B85" w:rsidR="001B0EB7" w:rsidRDefault="001B0EB7" w:rsidP="001B0EB7">
      <w:pPr>
        <w:pStyle w:val="Odstavecseseznamem"/>
        <w:numPr>
          <w:ilvl w:val="0"/>
          <w:numId w:val="22"/>
        </w:numPr>
        <w:suppressAutoHyphens/>
        <w:spacing w:before="120" w:after="120" w:line="280" w:lineRule="exact"/>
        <w:ind w:left="709" w:hanging="709"/>
        <w:contextualSpacing w:val="0"/>
        <w:jc w:val="both"/>
      </w:pPr>
      <w:r>
        <w:t>Za dodržení účelu, na který byla vyrovnávací platba poskytnuta, a za pravdivost i správnost průběžných zpráv včetně průběžného vyúčtování vyrovnávací platby a závěrečné zprávy včetně finančního vyúčtování čerpání vyrovnávací platby odpovídá MSIC, osoba oprávněna za MSIC jednat písemně potvrdí pravdivost i správnost zpráv a vyúčtování.</w:t>
      </w:r>
    </w:p>
    <w:p w14:paraId="504D1431" w14:textId="77777777" w:rsidR="001B0EB7" w:rsidRDefault="001B0EB7" w:rsidP="001B0EB7">
      <w:pPr>
        <w:pStyle w:val="Odstavecseseznamem"/>
        <w:ind w:left="709"/>
        <w:jc w:val="both"/>
      </w:pPr>
    </w:p>
    <w:p w14:paraId="380C8EE4" w14:textId="77777777" w:rsidR="001B0EB7" w:rsidRDefault="001B0EB7" w:rsidP="001B0EB7">
      <w:pPr>
        <w:pStyle w:val="Nadpis2"/>
        <w:keepLines w:val="0"/>
        <w:numPr>
          <w:ilvl w:val="0"/>
          <w:numId w:val="17"/>
        </w:numPr>
        <w:spacing w:before="100" w:after="100" w:line="360" w:lineRule="exact"/>
        <w:jc w:val="center"/>
        <w:rPr>
          <w:rFonts w:cs="Open Sans"/>
        </w:rPr>
      </w:pPr>
      <w:r>
        <w:rPr>
          <w:rFonts w:cs="Open Sans"/>
        </w:rPr>
        <w:t>Důsledky porušení povinností MSIC</w:t>
      </w:r>
    </w:p>
    <w:p w14:paraId="54D29AAB" w14:textId="4E7C6309" w:rsidR="001B0EB7" w:rsidRDefault="001B0EB7" w:rsidP="001B0EB7">
      <w:pPr>
        <w:pStyle w:val="Odstavecseseznamem"/>
        <w:numPr>
          <w:ilvl w:val="0"/>
          <w:numId w:val="23"/>
        </w:numPr>
        <w:suppressAutoHyphens/>
        <w:spacing w:before="120" w:after="120" w:line="280" w:lineRule="exact"/>
        <w:ind w:hanging="720"/>
        <w:contextualSpacing w:val="0"/>
        <w:jc w:val="both"/>
      </w:pPr>
      <w:r>
        <w:t>Pokud se MSIC dopustí porušení rozpočtové kázně, je povinen provést odvod, který odpovídá částce neoprávněně použitých nebo zadržených prostředků M</w:t>
      </w:r>
      <w:r w:rsidR="00612733">
        <w:t>SK</w:t>
      </w:r>
      <w:r>
        <w:t>. Porušením rozpočtové kázně je každé neoprávněné použití nebo zadržení peněžních prostředků poskytnutých z rozpočtu M</w:t>
      </w:r>
      <w:r w:rsidR="00D90CB4">
        <w:t>SK</w:t>
      </w:r>
      <w:r>
        <w:t xml:space="preserve"> definované v § 22 RPÚR.</w:t>
      </w:r>
    </w:p>
    <w:p w14:paraId="2E8463CB" w14:textId="77777777" w:rsidR="001B0EB7" w:rsidRPr="00DB146A" w:rsidRDefault="001B0EB7" w:rsidP="001B0EB7">
      <w:pPr>
        <w:pStyle w:val="Odstavecseseznamem"/>
        <w:numPr>
          <w:ilvl w:val="0"/>
          <w:numId w:val="23"/>
        </w:numPr>
        <w:suppressAutoHyphens/>
        <w:spacing w:before="120" w:after="120" w:line="280" w:lineRule="exact"/>
        <w:ind w:left="709" w:hanging="709"/>
        <w:contextualSpacing w:val="0"/>
        <w:jc w:val="both"/>
      </w:pPr>
      <w:r>
        <w:t>Odlišně od čl. VIII.1 se ujednává v souladu s § 10a odst. 6 RPÚR</w:t>
      </w:r>
      <w:r w:rsidRPr="00635393">
        <w:t>, že v případě, že MSIC poruší některou z podmínek uvedených v čl. VI.4 až VI.</w:t>
      </w:r>
      <w:r>
        <w:t>6</w:t>
      </w:r>
      <w:r w:rsidRPr="00635393">
        <w:t xml:space="preserve"> a VI.</w:t>
      </w:r>
      <w:r>
        <w:t>9</w:t>
      </w:r>
      <w:r w:rsidRPr="00635393">
        <w:t xml:space="preserve"> a VI.1</w:t>
      </w:r>
      <w:r>
        <w:t>1</w:t>
      </w:r>
      <w:r w:rsidRPr="00635393">
        <w:t xml:space="preserve"> této smlouvy</w:t>
      </w:r>
      <w:r w:rsidRPr="00DB146A">
        <w:t xml:space="preserve">, bude takové porušení podmínky považováno za méně závažné porušení rozpočtové kázně. Odvod za tato porušení rozpočtové kázně se stanoví v následující výši: </w:t>
      </w:r>
    </w:p>
    <w:p w14:paraId="27F53C23" w14:textId="77777777" w:rsidR="001B0EB7" w:rsidRPr="00635393" w:rsidRDefault="001B0EB7" w:rsidP="001B0EB7">
      <w:pPr>
        <w:pStyle w:val="Odstavecseseznamem"/>
        <w:numPr>
          <w:ilvl w:val="0"/>
          <w:numId w:val="27"/>
        </w:numPr>
        <w:suppressAutoHyphens/>
        <w:spacing w:before="120" w:after="120" w:line="280" w:lineRule="exact"/>
        <w:ind w:left="1418"/>
        <w:contextualSpacing w:val="0"/>
        <w:jc w:val="both"/>
      </w:pPr>
      <w:r w:rsidRPr="00DB146A">
        <w:t xml:space="preserve">0 až 5 % z poskytnuté zálohy vyrovnávací platby na příslušný kalendářní rok, v souvislosti s jejímž použitím došlo k porušení rozpočtové kázně, v případě předložení řádné a úplné průběžné zprávy </w:t>
      </w:r>
      <w:r w:rsidRPr="00635393">
        <w:t>dle čl. VI.</w:t>
      </w:r>
      <w:r>
        <w:t>4</w:t>
      </w:r>
      <w:r w:rsidRPr="00635393">
        <w:t xml:space="preserve"> této smlouvy více než </w:t>
      </w:r>
      <w:r>
        <w:t>30 dnů</w:t>
      </w:r>
      <w:r w:rsidRPr="00635393">
        <w:t xml:space="preserve"> po stanovené lhůtě;</w:t>
      </w:r>
    </w:p>
    <w:p w14:paraId="0610D8F2" w14:textId="77777777" w:rsidR="001B0EB7" w:rsidRPr="00635393" w:rsidRDefault="001B0EB7" w:rsidP="001B0EB7">
      <w:pPr>
        <w:pStyle w:val="Odstavecseseznamem"/>
        <w:numPr>
          <w:ilvl w:val="0"/>
          <w:numId w:val="27"/>
        </w:numPr>
        <w:suppressAutoHyphens/>
        <w:spacing w:before="120" w:after="120" w:line="280" w:lineRule="exact"/>
        <w:ind w:left="1418"/>
        <w:contextualSpacing w:val="0"/>
        <w:jc w:val="both"/>
      </w:pPr>
      <w:r w:rsidRPr="00DB146A">
        <w:t xml:space="preserve">0 až 10 % z poskytnuté zálohy vyrovnávací platby na příslušný kalendářní rok, v souvislosti s jejímž použitím došlo k porušení rozpočtové kázně, v případě předložení řádné a úplné závěrečné zprávy </w:t>
      </w:r>
      <w:r w:rsidRPr="00635393">
        <w:t>dle čl. VI.</w:t>
      </w:r>
      <w:r>
        <w:t>5</w:t>
      </w:r>
      <w:r w:rsidRPr="00635393">
        <w:t xml:space="preserve"> této smlouvy více než 30 dnů po stanovené lhůtě;</w:t>
      </w:r>
    </w:p>
    <w:p w14:paraId="4F5F614D" w14:textId="77777777" w:rsidR="001B0EB7" w:rsidRPr="00635393" w:rsidRDefault="001B0EB7" w:rsidP="001B0EB7">
      <w:pPr>
        <w:pStyle w:val="Odstavecseseznamem"/>
        <w:numPr>
          <w:ilvl w:val="0"/>
          <w:numId w:val="27"/>
        </w:numPr>
        <w:suppressAutoHyphens/>
        <w:spacing w:before="120" w:after="120" w:line="280" w:lineRule="exact"/>
        <w:ind w:left="1418"/>
        <w:contextualSpacing w:val="0"/>
        <w:jc w:val="both"/>
      </w:pPr>
      <w:r w:rsidRPr="00DB146A">
        <w:t>0 až 5 % z poskytnuté zálohy vyrovnávací platby na příslušný kalendářní rok, v souvislosti s jejímž použitím došlo k porušení rozpočtové kázně, v případě prodlení při plnění povinnosti dle čl</w:t>
      </w:r>
      <w:r w:rsidRPr="00635393">
        <w:t>. VI.</w:t>
      </w:r>
      <w:r>
        <w:t>6</w:t>
      </w:r>
      <w:r w:rsidRPr="00635393">
        <w:t xml:space="preserve"> této smlouvy delšího 15 dnů;</w:t>
      </w:r>
    </w:p>
    <w:p w14:paraId="1924B951" w14:textId="77777777" w:rsidR="001B0EB7" w:rsidRPr="00635393" w:rsidRDefault="001B0EB7" w:rsidP="001B0EB7">
      <w:pPr>
        <w:pStyle w:val="Odstavecseseznamem"/>
        <w:numPr>
          <w:ilvl w:val="0"/>
          <w:numId w:val="27"/>
        </w:numPr>
        <w:suppressAutoHyphens/>
        <w:spacing w:before="120" w:after="120" w:line="280" w:lineRule="exact"/>
        <w:ind w:left="1418"/>
        <w:contextualSpacing w:val="0"/>
        <w:jc w:val="both"/>
      </w:pPr>
      <w:r w:rsidRPr="00DB146A">
        <w:t xml:space="preserve">0 až 5 % z poskytnuté zálohy vyrovnávací platby na příslušný kalendářní rok, v souvislosti s jejímž použitím došlo k porušení rozpočtové kázně, v případě porušení kterékoliv povinnosti stanovené v čl. </w:t>
      </w:r>
      <w:r w:rsidRPr="00635393">
        <w:t>VI.</w:t>
      </w:r>
      <w:r>
        <w:t>9</w:t>
      </w:r>
      <w:r w:rsidRPr="00635393">
        <w:t xml:space="preserve"> a</w:t>
      </w:r>
      <w:r>
        <w:t>nebo</w:t>
      </w:r>
      <w:r w:rsidRPr="00635393">
        <w:t xml:space="preserve"> VI.1</w:t>
      </w:r>
      <w:r>
        <w:t>1</w:t>
      </w:r>
      <w:r w:rsidRPr="00635393">
        <w:t xml:space="preserve"> této smlouvy.</w:t>
      </w:r>
    </w:p>
    <w:p w14:paraId="30E612F2" w14:textId="4CA067F3" w:rsidR="001B0EB7" w:rsidRDefault="001B0EB7" w:rsidP="001B0EB7">
      <w:pPr>
        <w:pStyle w:val="Odstavecseseznamem"/>
        <w:ind w:left="851"/>
        <w:jc w:val="both"/>
      </w:pPr>
      <w:r w:rsidRPr="008632A4">
        <w:t>Pokud povaha porušení podmínky představující méně závažné porušení rozpočtové kázně umožňuje nápravu v náhradní lhůtě, lze uložit odvod za toto méně závažné porušení rozpočtové kázně až po marném uplynutí dodatečné lhůty</w:t>
      </w:r>
      <w:r>
        <w:t xml:space="preserve"> stanovené M</w:t>
      </w:r>
      <w:r w:rsidR="00FF222A">
        <w:t>SK</w:t>
      </w:r>
      <w:r>
        <w:t xml:space="preserve"> ve výzvě k provedení konkrétního opatření k nápravě</w:t>
      </w:r>
      <w:r w:rsidRPr="008632A4">
        <w:t xml:space="preserve"> </w:t>
      </w:r>
      <w:r>
        <w:t>ve smyslu § 22 odst. 6 RPÚR</w:t>
      </w:r>
      <w:r w:rsidRPr="008632A4">
        <w:t>.</w:t>
      </w:r>
    </w:p>
    <w:p w14:paraId="0571A270" w14:textId="77777777" w:rsidR="001B0EB7" w:rsidRDefault="001B0EB7" w:rsidP="001B0EB7">
      <w:pPr>
        <w:pStyle w:val="Odstavecseseznamem"/>
        <w:ind w:left="851"/>
        <w:jc w:val="both"/>
      </w:pPr>
      <w:r>
        <w:t>Pokud MSIC nesplní kteroukoliv ze svých povinností uvedených v čl. VI.4 anebo VI.5 této Smlouvy</w:t>
      </w:r>
      <w:r w:rsidRPr="007346E3">
        <w:t xml:space="preserve"> ani do 60 dnů po </w:t>
      </w:r>
      <w:r>
        <w:t>lhůtě</w:t>
      </w:r>
      <w:r w:rsidRPr="007346E3">
        <w:t xml:space="preserve"> stanovené v čl. V</w:t>
      </w:r>
      <w:r>
        <w:t>I.4 anebo VI.5</w:t>
      </w:r>
      <w:r w:rsidRPr="007346E3">
        <w:t xml:space="preserve"> této </w:t>
      </w:r>
      <w:r>
        <w:t>S</w:t>
      </w:r>
      <w:r w:rsidRPr="007346E3">
        <w:t xml:space="preserve">mlouvy, je toto porušení povinnosti považováno za porušení rozpočtové kázně ve smyslu ustanovení § 22 </w:t>
      </w:r>
      <w:r>
        <w:t>RÚPR</w:t>
      </w:r>
      <w:r w:rsidRPr="007346E3">
        <w:t>, za které je stanoven odvod v plné výši.</w:t>
      </w:r>
    </w:p>
    <w:p w14:paraId="737151F7" w14:textId="6AC4F98C" w:rsidR="001B0EB7" w:rsidRDefault="001B0EB7" w:rsidP="001B0EB7">
      <w:pPr>
        <w:pStyle w:val="Odstavecseseznamem"/>
        <w:numPr>
          <w:ilvl w:val="0"/>
          <w:numId w:val="23"/>
        </w:numPr>
        <w:suppressAutoHyphens/>
        <w:spacing w:before="120" w:after="120" w:line="280" w:lineRule="exact"/>
        <w:ind w:left="851" w:hanging="851"/>
        <w:contextualSpacing w:val="0"/>
        <w:jc w:val="both"/>
      </w:pPr>
      <w:r>
        <w:t>M</w:t>
      </w:r>
      <w:r w:rsidR="00FF222A">
        <w:t>SK</w:t>
      </w:r>
      <w:r>
        <w:t xml:space="preserve"> je oprávněn v případě, že zjistí porušení podmínek této smlouvy ze strany MSIC či pojme podezření na porušení rozpočtové kázně ze strany MSIC, pozastavit na nezbytně nutnou dobu </w:t>
      </w:r>
      <w:r>
        <w:lastRenderedPageBreak/>
        <w:t>uvolňování finančních prostředků. O pozastavení uvolňování finančních prostředků je M</w:t>
      </w:r>
      <w:r w:rsidR="00CD2AF0">
        <w:t>SK</w:t>
      </w:r>
      <w:r>
        <w:t xml:space="preserve"> povin</w:t>
      </w:r>
      <w:r w:rsidR="00CD2AF0">
        <w:t>e</w:t>
      </w:r>
      <w:r>
        <w:t>n informovat bezodkladně písemně MSIC.</w:t>
      </w:r>
    </w:p>
    <w:p w14:paraId="5D62622C" w14:textId="24285F0C" w:rsidR="001B0EB7" w:rsidRPr="00A372D9" w:rsidRDefault="001B0EB7" w:rsidP="001B0EB7">
      <w:pPr>
        <w:pStyle w:val="Odstavecseseznamem"/>
        <w:numPr>
          <w:ilvl w:val="0"/>
          <w:numId w:val="23"/>
        </w:numPr>
        <w:spacing w:after="0" w:line="240" w:lineRule="auto"/>
        <w:ind w:left="851" w:hanging="851"/>
        <w:contextualSpacing w:val="0"/>
        <w:jc w:val="both"/>
        <w:rPr>
          <w:rFonts w:cs="Open Sans"/>
        </w:rPr>
      </w:pPr>
      <w:r>
        <w:t>Veškeré platby jako důsledky porušení závazků provede MSIC formou bezhotovostního převodu na účet M</w:t>
      </w:r>
      <w:r w:rsidR="004A4F20">
        <w:t>SK</w:t>
      </w:r>
      <w:r>
        <w:t>, v termínu a na číslo účtu, které M</w:t>
      </w:r>
      <w:r w:rsidR="004A4F20">
        <w:t>SK</w:t>
      </w:r>
      <w:r>
        <w:t xml:space="preserve"> písemně oznámí MSIC.</w:t>
      </w:r>
    </w:p>
    <w:p w14:paraId="6CFDB36C" w14:textId="77777777" w:rsidR="00A372D9" w:rsidRPr="00CE1397" w:rsidRDefault="00A372D9" w:rsidP="00A372D9">
      <w:pPr>
        <w:pStyle w:val="Odstavecseseznamem"/>
        <w:spacing w:after="0" w:line="240" w:lineRule="auto"/>
        <w:ind w:left="851"/>
        <w:contextualSpacing w:val="0"/>
        <w:jc w:val="both"/>
        <w:rPr>
          <w:rFonts w:cs="Open Sans"/>
        </w:rPr>
      </w:pPr>
    </w:p>
    <w:p w14:paraId="225D0C20" w14:textId="77777777" w:rsidR="001B0EB7" w:rsidRPr="00260511" w:rsidRDefault="001B0EB7" w:rsidP="001B0EB7">
      <w:pPr>
        <w:pStyle w:val="Nadpis2"/>
        <w:keepLines w:val="0"/>
        <w:numPr>
          <w:ilvl w:val="0"/>
          <w:numId w:val="17"/>
        </w:numPr>
        <w:spacing w:before="100" w:after="100" w:line="360" w:lineRule="exact"/>
        <w:ind w:left="709" w:firstLine="1908"/>
        <w:rPr>
          <w:rFonts w:cs="Open Sans"/>
        </w:rPr>
      </w:pPr>
      <w:r>
        <w:rPr>
          <w:rFonts w:cs="Open Sans"/>
        </w:rPr>
        <w:t>Doba trvání smlouvy a ukončení smlouvy</w:t>
      </w:r>
    </w:p>
    <w:p w14:paraId="66A6EECE" w14:textId="77777777" w:rsidR="001B0EB7" w:rsidRPr="00B961BE" w:rsidRDefault="001B0EB7" w:rsidP="001B0EB7">
      <w:pPr>
        <w:pStyle w:val="Odstavecseseznamem"/>
        <w:numPr>
          <w:ilvl w:val="1"/>
          <w:numId w:val="20"/>
        </w:numPr>
        <w:suppressAutoHyphens/>
        <w:spacing w:before="120" w:after="120" w:line="280" w:lineRule="exact"/>
        <w:ind w:hanging="710"/>
        <w:contextualSpacing w:val="0"/>
        <w:jc w:val="both"/>
      </w:pPr>
      <w:r>
        <w:t>Kterákoliv smluvní strana je oprávněna tuto smlouvu písemně vypovědět bez udání důvodu. Výpovědní lhůta činí 6 měsíců a počíná běžet prvním dnem následujícím po dni doručení výpovědi druhé smluvní straně</w:t>
      </w:r>
      <w:r w:rsidRPr="008E5B9A">
        <w:t xml:space="preserve">. V případě pochybností se má za to, že výpověď byla doručena </w:t>
      </w:r>
      <w:r w:rsidRPr="00B961BE">
        <w:t xml:space="preserve">třetí den od jejího odeslání. </w:t>
      </w:r>
    </w:p>
    <w:p w14:paraId="2D24441B" w14:textId="12A5AFF4" w:rsidR="001B0EB7" w:rsidRPr="00B961BE" w:rsidRDefault="001B0EB7" w:rsidP="001B0EB7">
      <w:pPr>
        <w:pStyle w:val="Odstavecseseznamem"/>
        <w:numPr>
          <w:ilvl w:val="1"/>
          <w:numId w:val="20"/>
        </w:numPr>
        <w:suppressAutoHyphens/>
        <w:spacing w:before="120" w:after="120" w:line="280" w:lineRule="exact"/>
        <w:ind w:left="709" w:hanging="709"/>
        <w:contextualSpacing w:val="0"/>
        <w:jc w:val="both"/>
      </w:pPr>
      <w:r w:rsidRPr="00B961BE">
        <w:t>MSIC je povinen předložit M</w:t>
      </w:r>
      <w:r w:rsidR="002E1873">
        <w:t>SK</w:t>
      </w:r>
      <w:r w:rsidRPr="00B961BE">
        <w:t xml:space="preserve"> po skončení smlouvy závěrečnou zprávu dle čl. VI.5 včetně finančního vyúčtování čerpání vyrovnávací platby za dobu posledního kalendářního roku trvání této smlouvy, jež je finančním vypořádáním ve smyslu § 10a odst. 1 písm. d) RPÚR. Ve stejné lhůtě je MSIC povinen vrátit převodem na v záhlaví uvedený účet M</w:t>
      </w:r>
      <w:r w:rsidR="00BF3BEF">
        <w:t>SK</w:t>
      </w:r>
      <w:r w:rsidRPr="00B961BE">
        <w:t xml:space="preserve"> nevyčerpanou část poskytnutých prostředků vyrovnávací platby. V případě porušení povinnosti MSIC dle předcházející věty jsou takto nevrácené prostředky považovány za zadržené prostředky ve smyslu § 22 odst. 3 RPÚR. </w:t>
      </w:r>
    </w:p>
    <w:p w14:paraId="63558F88" w14:textId="77777777" w:rsidR="001B0EB7" w:rsidRDefault="001B0EB7" w:rsidP="001B0EB7">
      <w:pPr>
        <w:pStyle w:val="Odstavecseseznamem"/>
        <w:ind w:left="710"/>
        <w:jc w:val="both"/>
      </w:pPr>
    </w:p>
    <w:p w14:paraId="6470386F" w14:textId="77777777" w:rsidR="001B0EB7" w:rsidRPr="00C931A5" w:rsidRDefault="001B0EB7" w:rsidP="001B0EB7">
      <w:pPr>
        <w:pStyle w:val="Nadpis2"/>
        <w:keepLines w:val="0"/>
        <w:numPr>
          <w:ilvl w:val="0"/>
          <w:numId w:val="17"/>
        </w:numPr>
        <w:spacing w:before="100" w:after="100" w:line="360" w:lineRule="exact"/>
        <w:jc w:val="center"/>
        <w:rPr>
          <w:rFonts w:cs="Open Sans"/>
        </w:rPr>
      </w:pPr>
      <w:r>
        <w:rPr>
          <w:rFonts w:cs="Open Sans"/>
        </w:rPr>
        <w:t>Závěrečná ust</w:t>
      </w:r>
      <w:r w:rsidRPr="00C931A5">
        <w:rPr>
          <w:rFonts w:cs="Open Sans"/>
        </w:rPr>
        <w:t>anovení</w:t>
      </w:r>
    </w:p>
    <w:p w14:paraId="4031E6F8" w14:textId="77777777" w:rsidR="001B0EB7" w:rsidRPr="00F8250B" w:rsidRDefault="001B0EB7" w:rsidP="001B0EB7">
      <w:pPr>
        <w:pStyle w:val="Odstavecseseznamem"/>
        <w:numPr>
          <w:ilvl w:val="1"/>
          <w:numId w:val="17"/>
        </w:numPr>
        <w:suppressAutoHyphens/>
        <w:spacing w:before="120" w:after="120" w:line="280" w:lineRule="exact"/>
        <w:ind w:left="709" w:hanging="709"/>
        <w:contextualSpacing w:val="0"/>
        <w:jc w:val="both"/>
        <w:rPr>
          <w:rFonts w:cs="Open Sans"/>
        </w:rPr>
      </w:pPr>
      <w:r w:rsidRPr="00F8250B">
        <w:rPr>
          <w:rFonts w:cs="Open Sans"/>
        </w:rPr>
        <w:t>Tuto smlouvu lze měnit</w:t>
      </w:r>
      <w:r>
        <w:rPr>
          <w:rFonts w:cs="Open Sans"/>
        </w:rPr>
        <w:t>, není-li ve smlouvě stanoveno jinak,</w:t>
      </w:r>
      <w:r w:rsidRPr="00F8250B">
        <w:rPr>
          <w:rFonts w:cs="Open Sans"/>
        </w:rPr>
        <w:t xml:space="preserve"> pouze na základě písemné dohody </w:t>
      </w:r>
      <w:r>
        <w:rPr>
          <w:rFonts w:cs="Open Sans"/>
        </w:rPr>
        <w:t>všech</w:t>
      </w:r>
      <w:r w:rsidRPr="00F8250B">
        <w:rPr>
          <w:rFonts w:cs="Open Sans"/>
        </w:rPr>
        <w:t xml:space="preserve"> smluvních stran, a to formou po sobě číslovaných dodatků. To se týká i změny tohoto ustanovení. Za písemnou </w:t>
      </w:r>
      <w:r w:rsidRPr="00AF30AB">
        <w:rPr>
          <w:rFonts w:cs="Open Sans"/>
        </w:rPr>
        <w:t>formu nebude pro</w:t>
      </w:r>
      <w:r w:rsidRPr="00F8250B">
        <w:rPr>
          <w:rFonts w:cs="Open Sans"/>
        </w:rPr>
        <w:t xml:space="preserve"> </w:t>
      </w:r>
      <w:r>
        <w:rPr>
          <w:rFonts w:cs="Open Sans"/>
        </w:rPr>
        <w:t>účely tohoto ustanovení</w:t>
      </w:r>
      <w:r w:rsidRPr="00F8250B">
        <w:rPr>
          <w:rFonts w:cs="Open Sans"/>
        </w:rPr>
        <w:t xml:space="preserve"> považována výměna e-mailových či jiných elektronických zpráv</w:t>
      </w:r>
      <w:r>
        <w:rPr>
          <w:rFonts w:cs="Open Sans"/>
        </w:rPr>
        <w:t xml:space="preserve">. </w:t>
      </w:r>
    </w:p>
    <w:p w14:paraId="5576A078" w14:textId="77777777" w:rsidR="001B0EB7" w:rsidRDefault="001B0EB7" w:rsidP="001B0EB7">
      <w:pPr>
        <w:pStyle w:val="Odstavecseseznamem"/>
        <w:numPr>
          <w:ilvl w:val="1"/>
          <w:numId w:val="17"/>
        </w:numPr>
        <w:suppressAutoHyphens/>
        <w:spacing w:before="120" w:after="120" w:line="280" w:lineRule="exact"/>
        <w:ind w:left="709" w:hanging="709"/>
        <w:contextualSpacing w:val="0"/>
        <w:jc w:val="both"/>
        <w:rPr>
          <w:rFonts w:cs="Open Sans"/>
        </w:rPr>
      </w:pPr>
      <w:r w:rsidRPr="002C5D12">
        <w:rPr>
          <w:rFonts w:cs="Open Sans"/>
        </w:rPr>
        <w:t>Tato smlouva, jakož i veškeré právní vztahy z ní vzniklé nebo s ní související, se řídí českým právem</w:t>
      </w:r>
      <w:r>
        <w:rPr>
          <w:rFonts w:cs="Open Sans"/>
        </w:rPr>
        <w:t>, zejména příslušnými ustanoveními RPÚR a zákona č. 89/2012 Sb., občanský zákoník, ve znění pozdějších předpisů. V případě vzniku sporů, budou tyto spory řešeny přednostně vzájemnou dohodou smluvních stran.</w:t>
      </w:r>
    </w:p>
    <w:p w14:paraId="42F6F668" w14:textId="77777777" w:rsidR="001B0EB7" w:rsidRDefault="001B0EB7" w:rsidP="001B0EB7">
      <w:pPr>
        <w:pStyle w:val="Odstavecseseznamem"/>
        <w:numPr>
          <w:ilvl w:val="1"/>
          <w:numId w:val="17"/>
        </w:numPr>
        <w:suppressAutoHyphens/>
        <w:spacing w:before="120" w:after="120" w:line="280" w:lineRule="exact"/>
        <w:ind w:left="709" w:hanging="709"/>
        <w:contextualSpacing w:val="0"/>
        <w:jc w:val="both"/>
        <w:rPr>
          <w:rFonts w:cs="Open Sans"/>
        </w:rPr>
      </w:pPr>
      <w:r w:rsidRPr="00C931A5">
        <w:rPr>
          <w:rFonts w:cs="Open Sans"/>
        </w:rPr>
        <w:t>Je-li nebo stane-li se některé ustanovení této smlouvy neplatné, neúčinné či nicotné, nedotýká se tato skutečnost ostatních ustanovení této smlouvy. Smluvní strany bez zby</w:t>
      </w:r>
      <w:r>
        <w:rPr>
          <w:rFonts w:cs="Open Sans"/>
        </w:rPr>
        <w:t>tečného odkladu dohodou nahradí</w:t>
      </w:r>
      <w:r w:rsidRPr="00C931A5">
        <w:rPr>
          <w:rFonts w:cs="Open Sans"/>
        </w:rPr>
        <w:t xml:space="preserve"> takové ustanovení smlouvy novým ustanovením platným a účinným, které bude nejlépe odpovídat původně zamýšlenému účelu.</w:t>
      </w:r>
    </w:p>
    <w:p w14:paraId="1757D351" w14:textId="1450AB70" w:rsidR="001B0EB7" w:rsidRPr="003058D2" w:rsidRDefault="001B0EB7" w:rsidP="001B0EB7">
      <w:pPr>
        <w:pStyle w:val="Odstavecseseznamem"/>
        <w:numPr>
          <w:ilvl w:val="1"/>
          <w:numId w:val="17"/>
        </w:numPr>
        <w:suppressAutoHyphens/>
        <w:spacing w:before="120" w:after="120" w:line="280" w:lineRule="exact"/>
        <w:ind w:left="709" w:hanging="709"/>
        <w:contextualSpacing w:val="0"/>
        <w:jc w:val="both"/>
        <w:rPr>
          <w:rFonts w:cs="Open Sans"/>
        </w:rPr>
      </w:pPr>
      <w:r w:rsidRPr="00C931A5">
        <w:rPr>
          <w:rFonts w:cs="Open Sans"/>
        </w:rPr>
        <w:t xml:space="preserve">Tato smlouva nabývá </w:t>
      </w:r>
      <w:r>
        <w:rPr>
          <w:rFonts w:cs="Open Sans"/>
        </w:rPr>
        <w:t xml:space="preserve">účinnosti </w:t>
      </w:r>
      <w:r w:rsidRPr="008F4F28">
        <w:rPr>
          <w:rFonts w:cs="Open Sans"/>
        </w:rPr>
        <w:t>dnem</w:t>
      </w:r>
      <w:r>
        <w:rPr>
          <w:rFonts w:cs="Open Sans"/>
        </w:rPr>
        <w:t xml:space="preserve"> </w:t>
      </w:r>
      <w:r w:rsidR="00852096">
        <w:rPr>
          <w:rFonts w:cs="Open Sans"/>
        </w:rPr>
        <w:t>0</w:t>
      </w:r>
      <w:r>
        <w:rPr>
          <w:rFonts w:cs="Open Sans"/>
        </w:rPr>
        <w:t>1.</w:t>
      </w:r>
      <w:r w:rsidR="00852096">
        <w:rPr>
          <w:rFonts w:cs="Open Sans"/>
        </w:rPr>
        <w:t>0</w:t>
      </w:r>
      <w:r>
        <w:rPr>
          <w:rFonts w:cs="Open Sans"/>
        </w:rPr>
        <w:t xml:space="preserve">1.2026. Předpokladem pro nabytí účinnosti této smlouvy je její </w:t>
      </w:r>
      <w:r w:rsidRPr="003058D2">
        <w:rPr>
          <w:rFonts w:cs="Open Sans"/>
        </w:rPr>
        <w:t xml:space="preserve">uveřejnění v registru smluv podle zákona </w:t>
      </w:r>
      <w:r>
        <w:rPr>
          <w:rFonts w:cs="Open Sans"/>
        </w:rPr>
        <w:t xml:space="preserve">č. 340/2015., Sb. o zvláštních podmínkách účinnosti některých smluv, uveřejňování těchto smluv a o registru smluv (zákon o registru smluv), ve znění pozdějších předpisů (dále </w:t>
      </w:r>
      <w:r w:rsidRPr="00ED1CEE">
        <w:rPr>
          <w:rFonts w:cs="Open Sans"/>
        </w:rPr>
        <w:t>jen „zákon o registru smluv“).</w:t>
      </w:r>
      <w:r>
        <w:rPr>
          <w:rFonts w:cs="Open Sans"/>
        </w:rPr>
        <w:t xml:space="preserve"> </w:t>
      </w:r>
      <w:r w:rsidRPr="008B7F49">
        <w:rPr>
          <w:rFonts w:cs="Open Sans"/>
        </w:rPr>
        <w:t xml:space="preserve">Smluvní strany se dohodly, že uveřejnění této smlouvy dle zákona o registru smluv zajistí </w:t>
      </w:r>
      <w:r>
        <w:rPr>
          <w:rFonts w:cs="Open Sans"/>
        </w:rPr>
        <w:t>M</w:t>
      </w:r>
      <w:r w:rsidR="00641C1E">
        <w:rPr>
          <w:rFonts w:cs="Open Sans"/>
        </w:rPr>
        <w:t>SK</w:t>
      </w:r>
      <w:r>
        <w:rPr>
          <w:rFonts w:cs="Open Sans"/>
        </w:rPr>
        <w:t xml:space="preserve"> bez zbytečného odkladu po jejím uzavření.</w:t>
      </w:r>
      <w:r w:rsidRPr="00DA21D3">
        <w:rPr>
          <w:rFonts w:cs="Open Sans"/>
        </w:rPr>
        <w:t xml:space="preserve"> </w:t>
      </w:r>
      <w:r>
        <w:rPr>
          <w:rFonts w:cs="Open Sans"/>
        </w:rPr>
        <w:t>M</w:t>
      </w:r>
      <w:r w:rsidR="00421376">
        <w:rPr>
          <w:rFonts w:cs="Open Sans"/>
        </w:rPr>
        <w:t>SK</w:t>
      </w:r>
      <w:r w:rsidRPr="00D95FA0">
        <w:rPr>
          <w:rFonts w:cs="Open Sans"/>
        </w:rPr>
        <w:t xml:space="preserve"> se</w:t>
      </w:r>
      <w:r w:rsidRPr="008F4F28">
        <w:rPr>
          <w:rFonts w:cs="Open Sans"/>
        </w:rPr>
        <w:t xml:space="preserve"> současně zavazuje informovat </w:t>
      </w:r>
      <w:r>
        <w:rPr>
          <w:rFonts w:cs="Open Sans"/>
        </w:rPr>
        <w:t>MSIC</w:t>
      </w:r>
      <w:r w:rsidRPr="008F4F28">
        <w:rPr>
          <w:rFonts w:cs="Open Sans"/>
        </w:rPr>
        <w:t xml:space="preserve"> o provedení registrace tak, že </w:t>
      </w:r>
      <w:r>
        <w:rPr>
          <w:rFonts w:cs="Open Sans"/>
        </w:rPr>
        <w:t xml:space="preserve">ji </w:t>
      </w:r>
      <w:r w:rsidRPr="008F4F28">
        <w:rPr>
          <w:rFonts w:cs="Open Sans"/>
        </w:rPr>
        <w:t xml:space="preserve">zašle </w:t>
      </w:r>
      <w:r>
        <w:rPr>
          <w:rFonts w:cs="Open Sans"/>
        </w:rPr>
        <w:t>k</w:t>
      </w:r>
      <w:r w:rsidRPr="008F4F28">
        <w:rPr>
          <w:rFonts w:cs="Open Sans"/>
        </w:rPr>
        <w:t>opii potvrzení správce registru smluv o uveřejnění smlouvy bez zbytečného odkladu poté, kdy sama potvrzení obdrží, popř. již v průvodním formuláři vyplní příslušnou kolonku s ID datové schránky smluvní</w:t>
      </w:r>
      <w:r>
        <w:rPr>
          <w:rFonts w:cs="Open Sans"/>
        </w:rPr>
        <w:t>ch stran</w:t>
      </w:r>
      <w:r w:rsidRPr="008F4F28">
        <w:rPr>
          <w:rFonts w:cs="Open Sans"/>
        </w:rPr>
        <w:t xml:space="preserve"> (v takovém případě potvrzení od správce registru smluv o provedení registrace smlouvy obdrží </w:t>
      </w:r>
      <w:r>
        <w:rPr>
          <w:rFonts w:cs="Open Sans"/>
        </w:rPr>
        <w:t xml:space="preserve">druhá </w:t>
      </w:r>
      <w:r w:rsidRPr="008F4F28">
        <w:rPr>
          <w:rFonts w:cs="Open Sans"/>
        </w:rPr>
        <w:t>smluvní stran</w:t>
      </w:r>
      <w:r>
        <w:rPr>
          <w:rFonts w:cs="Open Sans"/>
        </w:rPr>
        <w:t>a</w:t>
      </w:r>
      <w:r w:rsidRPr="008F4F28">
        <w:rPr>
          <w:rFonts w:cs="Open Sans"/>
        </w:rPr>
        <w:t xml:space="preserve"> zároveň).</w:t>
      </w:r>
    </w:p>
    <w:p w14:paraId="1F52949B" w14:textId="77777777" w:rsidR="001B0EB7" w:rsidRPr="00C931A5" w:rsidRDefault="001B0EB7" w:rsidP="001B0EB7">
      <w:pPr>
        <w:pStyle w:val="Odstavecseseznamem"/>
        <w:numPr>
          <w:ilvl w:val="1"/>
          <w:numId w:val="17"/>
        </w:numPr>
        <w:suppressAutoHyphens/>
        <w:spacing w:before="120" w:after="120" w:line="280" w:lineRule="exact"/>
        <w:ind w:left="709" w:hanging="709"/>
        <w:contextualSpacing w:val="0"/>
        <w:jc w:val="both"/>
        <w:rPr>
          <w:rFonts w:cs="Open Sans"/>
        </w:rPr>
      </w:pPr>
      <w:r w:rsidRPr="00C931A5">
        <w:rPr>
          <w:rFonts w:cs="Open Sans"/>
        </w:rPr>
        <w:t>Tato smlouva je sepsána v počtu vyhotovení, které odpovídá počtu osob, které jsou stranami této smlouvy, a každá z nich obdrží po jednom vyhotovení.</w:t>
      </w:r>
    </w:p>
    <w:p w14:paraId="3E1BD168" w14:textId="77777777" w:rsidR="001B0EB7" w:rsidRPr="00B961BE" w:rsidRDefault="001B0EB7" w:rsidP="001B0EB7">
      <w:pPr>
        <w:pStyle w:val="Odstavecseseznamem"/>
        <w:numPr>
          <w:ilvl w:val="1"/>
          <w:numId w:val="17"/>
        </w:numPr>
        <w:suppressAutoHyphens/>
        <w:spacing w:before="120" w:after="120" w:line="280" w:lineRule="exact"/>
        <w:ind w:left="709" w:hanging="709"/>
        <w:contextualSpacing w:val="0"/>
        <w:jc w:val="both"/>
        <w:rPr>
          <w:rFonts w:cs="Open Sans"/>
        </w:rPr>
      </w:pPr>
      <w:r>
        <w:rPr>
          <w:rFonts w:cs="Open Sans"/>
        </w:rPr>
        <w:t xml:space="preserve">Nedílnou součástí smlouvy </w:t>
      </w:r>
      <w:r w:rsidRPr="00B961BE">
        <w:rPr>
          <w:rFonts w:cs="Open Sans"/>
        </w:rPr>
        <w:t>jsou tyto přílohy:</w:t>
      </w:r>
    </w:p>
    <w:p w14:paraId="4C3D471E" w14:textId="77777777" w:rsidR="001B0EB7" w:rsidRPr="00B961BE" w:rsidRDefault="001B0EB7" w:rsidP="001B0EB7">
      <w:pPr>
        <w:pStyle w:val="Odstavecseseznamem"/>
        <w:numPr>
          <w:ilvl w:val="2"/>
          <w:numId w:val="19"/>
        </w:numPr>
        <w:suppressAutoHyphens/>
        <w:spacing w:before="120" w:after="120" w:line="280" w:lineRule="exact"/>
        <w:ind w:left="2268" w:hanging="1275"/>
        <w:contextualSpacing w:val="0"/>
        <w:jc w:val="both"/>
        <w:rPr>
          <w:rFonts w:cs="Open Sans"/>
        </w:rPr>
      </w:pPr>
      <w:r w:rsidRPr="00B961BE">
        <w:rPr>
          <w:rFonts w:cs="Open Sans"/>
        </w:rPr>
        <w:lastRenderedPageBreak/>
        <w:t>Podrobný popis činností/služeb příjemce v závazku veřejné služby pro aktuální kalendářní rok</w:t>
      </w:r>
    </w:p>
    <w:p w14:paraId="65DE168C" w14:textId="77777777" w:rsidR="001B0EB7" w:rsidRPr="00B961BE" w:rsidRDefault="001B0EB7" w:rsidP="001B0EB7">
      <w:pPr>
        <w:pStyle w:val="Odstavecseseznamem"/>
        <w:numPr>
          <w:ilvl w:val="2"/>
          <w:numId w:val="19"/>
        </w:numPr>
        <w:suppressAutoHyphens/>
        <w:spacing w:before="120" w:after="120" w:line="280" w:lineRule="exact"/>
        <w:ind w:left="2268" w:hanging="1275"/>
        <w:contextualSpacing w:val="0"/>
        <w:jc w:val="both"/>
        <w:rPr>
          <w:rFonts w:cs="Open Sans"/>
        </w:rPr>
      </w:pPr>
      <w:r w:rsidRPr="00B961BE">
        <w:rPr>
          <w:rFonts w:cs="Open Sans"/>
        </w:rPr>
        <w:t>Finanční vyúčtování čerpání vyrovnávací platby</w:t>
      </w:r>
    </w:p>
    <w:p w14:paraId="1413F219" w14:textId="77777777" w:rsidR="001B0EB7" w:rsidRDefault="001B0EB7" w:rsidP="001B0EB7">
      <w:pPr>
        <w:pStyle w:val="Odstavecseseznamem"/>
        <w:numPr>
          <w:ilvl w:val="1"/>
          <w:numId w:val="17"/>
        </w:numPr>
        <w:suppressAutoHyphens/>
        <w:spacing w:before="120" w:after="120" w:line="280" w:lineRule="exact"/>
        <w:ind w:left="851" w:hanging="851"/>
        <w:contextualSpacing w:val="0"/>
        <w:jc w:val="both"/>
        <w:rPr>
          <w:rFonts w:cs="Open Sans"/>
        </w:rPr>
      </w:pPr>
      <w:r w:rsidRPr="00B961BE">
        <w:rPr>
          <w:rFonts w:cs="Open Sans"/>
        </w:rPr>
        <w:t>Smluvní strany prohlašují, že si smlouvu vč. jejich Příloh č. I a II přečetly, seznámily se s ní, jejímu obsahu bezezbytku porozuměly a že její obsah vyjadřuje jejích skutečnou, vážnou a svobodnou vůli. To stvrzují níže svými</w:t>
      </w:r>
      <w:r>
        <w:rPr>
          <w:rFonts w:cs="Open Sans"/>
        </w:rPr>
        <w:t xml:space="preserve"> podpisy.</w:t>
      </w:r>
    </w:p>
    <w:p w14:paraId="5C3B5883" w14:textId="77777777" w:rsidR="001B0EB7" w:rsidRDefault="001B0EB7" w:rsidP="001B0EB7">
      <w:pPr>
        <w:pStyle w:val="Odstavecseseznamem"/>
        <w:numPr>
          <w:ilvl w:val="1"/>
          <w:numId w:val="17"/>
        </w:numPr>
        <w:suppressAutoHyphens/>
        <w:spacing w:before="120" w:after="120" w:line="280" w:lineRule="exact"/>
        <w:ind w:left="851" w:hanging="851"/>
        <w:contextualSpacing w:val="0"/>
        <w:jc w:val="both"/>
        <w:rPr>
          <w:rFonts w:cs="Open Sans"/>
        </w:rPr>
      </w:pPr>
      <w:r>
        <w:rPr>
          <w:rFonts w:cs="Open Sans"/>
        </w:rPr>
        <w:t>MSIC svým podpisem stvrzuje správnost údajů zapsaných v záhlaví této smlouvy, především pak název, sídlo, IČ, DIČ a číslo účtu.</w:t>
      </w:r>
    </w:p>
    <w:p w14:paraId="6BBF729A" w14:textId="32E54B03" w:rsidR="001B0EB7" w:rsidRPr="00B74EB2" w:rsidRDefault="001B0EB7" w:rsidP="001B0EB7">
      <w:pPr>
        <w:pStyle w:val="Odstavecseseznamem"/>
        <w:numPr>
          <w:ilvl w:val="1"/>
          <w:numId w:val="17"/>
        </w:numPr>
        <w:suppressAutoHyphens/>
        <w:spacing w:before="120" w:after="120" w:line="280" w:lineRule="exact"/>
        <w:ind w:left="851" w:hanging="851"/>
        <w:contextualSpacing w:val="0"/>
        <w:jc w:val="both"/>
        <w:rPr>
          <w:rFonts w:cs="Open Sans"/>
        </w:rPr>
      </w:pPr>
      <w:r>
        <w:rPr>
          <w:rFonts w:cs="Open Sans"/>
        </w:rPr>
        <w:t xml:space="preserve">O </w:t>
      </w:r>
      <w:r w:rsidRPr="00B74EB2">
        <w:rPr>
          <w:rFonts w:cs="Open Sans"/>
        </w:rPr>
        <w:t>uzavření této smlouvy</w:t>
      </w:r>
      <w:r>
        <w:rPr>
          <w:rFonts w:cs="Open Sans"/>
        </w:rPr>
        <w:t xml:space="preserve"> na straně M</w:t>
      </w:r>
      <w:r w:rsidR="00BF3BEF">
        <w:rPr>
          <w:rFonts w:cs="Open Sans"/>
        </w:rPr>
        <w:t>SK</w:t>
      </w:r>
      <w:r w:rsidRPr="00B74EB2">
        <w:rPr>
          <w:rFonts w:cs="Open Sans"/>
        </w:rPr>
        <w:t xml:space="preserve"> rozhodlo </w:t>
      </w:r>
      <w:r w:rsidR="00BF3BEF">
        <w:rPr>
          <w:rFonts w:cs="Open Sans"/>
        </w:rPr>
        <w:t>z</w:t>
      </w:r>
      <w:r w:rsidRPr="00B74EB2">
        <w:rPr>
          <w:rFonts w:cs="Open Sans"/>
        </w:rPr>
        <w:t xml:space="preserve">astupitelstvo </w:t>
      </w:r>
      <w:r w:rsidR="00BF3BEF">
        <w:rPr>
          <w:rFonts w:cs="Open Sans"/>
        </w:rPr>
        <w:t>kraje</w:t>
      </w:r>
      <w:r w:rsidRPr="00B74EB2">
        <w:rPr>
          <w:rFonts w:cs="Open Sans"/>
        </w:rPr>
        <w:t xml:space="preserve"> na jeho … zasedání konaném dne </w:t>
      </w:r>
      <w:r w:rsidR="006575CF">
        <w:rPr>
          <w:rFonts w:cs="Open Sans"/>
        </w:rPr>
        <w:t>15.12.2025</w:t>
      </w:r>
      <w:r w:rsidR="00605FAA">
        <w:rPr>
          <w:rFonts w:cs="Open Sans"/>
        </w:rPr>
        <w:t xml:space="preserve"> </w:t>
      </w:r>
      <w:r w:rsidRPr="00B74EB2">
        <w:rPr>
          <w:rFonts w:cs="Open Sans"/>
        </w:rPr>
        <w:t>usnesením č. ….</w:t>
      </w:r>
    </w:p>
    <w:p w14:paraId="2A9C760F" w14:textId="77777777" w:rsidR="001B0EB7" w:rsidRDefault="001B0EB7" w:rsidP="001B0EB7">
      <w:pPr>
        <w:jc w:val="both"/>
        <w:rPr>
          <w:rFonts w:cs="Open Sans"/>
        </w:rPr>
      </w:pPr>
    </w:p>
    <w:p w14:paraId="4F69D785" w14:textId="77777777" w:rsidR="001B0EB7" w:rsidRDefault="001B0EB7" w:rsidP="001B0EB7">
      <w:pPr>
        <w:jc w:val="both"/>
        <w:rPr>
          <w:rFonts w:cs="Open Sans"/>
        </w:rPr>
      </w:pPr>
    </w:p>
    <w:p w14:paraId="2A7DDA64" w14:textId="77777777" w:rsidR="001B0EB7" w:rsidRDefault="001B0EB7" w:rsidP="001B0EB7">
      <w:pPr>
        <w:jc w:val="both"/>
        <w:rPr>
          <w:rFonts w:cs="Open San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818"/>
      </w:tblGrid>
      <w:tr w:rsidR="001B0EB7" w:rsidRPr="008F4F28" w14:paraId="4B6F8092" w14:textId="77777777" w:rsidTr="00A84107">
        <w:tc>
          <w:tcPr>
            <w:tcW w:w="4498" w:type="dxa"/>
          </w:tcPr>
          <w:p w14:paraId="1F353C53" w14:textId="77777777" w:rsidR="004C0AD9" w:rsidRPr="008F4F28" w:rsidRDefault="004C0AD9" w:rsidP="004C0AD9">
            <w:pPr>
              <w:jc w:val="both"/>
              <w:rPr>
                <w:rFonts w:cs="Open Sans"/>
              </w:rPr>
            </w:pPr>
            <w:r w:rsidRPr="008F4F28">
              <w:rPr>
                <w:rFonts w:cs="Open Sans"/>
              </w:rPr>
              <w:t>V Ostravě dne _____</w:t>
            </w:r>
          </w:p>
          <w:p w14:paraId="585804FB" w14:textId="77777777" w:rsidR="004C0AD9" w:rsidRPr="008F4F28" w:rsidRDefault="004C0AD9" w:rsidP="004C0AD9">
            <w:pPr>
              <w:jc w:val="both"/>
              <w:rPr>
                <w:rFonts w:cs="Open Sans"/>
              </w:rPr>
            </w:pPr>
          </w:p>
          <w:p w14:paraId="43C4004D" w14:textId="77777777" w:rsidR="004C0AD9" w:rsidRPr="008F4F28" w:rsidRDefault="004C0AD9" w:rsidP="004C0AD9">
            <w:pPr>
              <w:jc w:val="both"/>
              <w:rPr>
                <w:rFonts w:cs="Open Sans"/>
              </w:rPr>
            </w:pPr>
          </w:p>
          <w:p w14:paraId="514C721F" w14:textId="77777777" w:rsidR="004C0AD9" w:rsidRPr="008F4F28" w:rsidRDefault="004C0AD9" w:rsidP="004C0AD9">
            <w:pPr>
              <w:rPr>
                <w:rFonts w:cs="Open Sans"/>
              </w:rPr>
            </w:pPr>
            <w:r>
              <w:rPr>
                <w:rFonts w:cs="Open Sans"/>
              </w:rPr>
              <w:t>____________________________________</w:t>
            </w:r>
          </w:p>
          <w:p w14:paraId="7CC2FB88" w14:textId="7DD33811" w:rsidR="004C0AD9" w:rsidRDefault="00CE2077" w:rsidP="004C0AD9">
            <w:pPr>
              <w:rPr>
                <w:rFonts w:cs="Open Sans"/>
                <w:b/>
                <w:bCs/>
                <w:szCs w:val="24"/>
              </w:rPr>
            </w:pPr>
            <w:r>
              <w:rPr>
                <w:rFonts w:cs="Open Sans"/>
                <w:b/>
              </w:rPr>
              <w:t xml:space="preserve">                </w:t>
            </w:r>
            <w:r w:rsidR="00C761C3">
              <w:rPr>
                <w:rFonts w:cs="Open Sans"/>
                <w:b/>
              </w:rPr>
              <w:t>Moravskoslezský kraj</w:t>
            </w:r>
          </w:p>
          <w:p w14:paraId="40060D8B" w14:textId="221DAB75" w:rsidR="001B0EB7" w:rsidRPr="008F4F28" w:rsidRDefault="00CE2077" w:rsidP="00A84107">
            <w:pPr>
              <w:tabs>
                <w:tab w:val="left" w:pos="2712"/>
              </w:tabs>
              <w:rPr>
                <w:rFonts w:cs="Open Sans"/>
              </w:rPr>
            </w:pPr>
            <w:r>
              <w:rPr>
                <w:rFonts w:cs="Open Sans"/>
              </w:rPr>
              <w:t xml:space="preserve">            </w:t>
            </w:r>
            <w:r w:rsidR="00C761C3">
              <w:rPr>
                <w:rFonts w:cs="Open Sans"/>
              </w:rPr>
              <w:t>Ing. Josef Bělica, Ph.D., MBA</w:t>
            </w:r>
          </w:p>
        </w:tc>
        <w:tc>
          <w:tcPr>
            <w:tcW w:w="4565" w:type="dxa"/>
          </w:tcPr>
          <w:p w14:paraId="434267C9" w14:textId="77777777" w:rsidR="001B0EB7" w:rsidRPr="008F4F28" w:rsidRDefault="001B0EB7" w:rsidP="00A84107">
            <w:pPr>
              <w:jc w:val="both"/>
              <w:rPr>
                <w:rFonts w:cs="Open Sans"/>
              </w:rPr>
            </w:pPr>
            <w:r w:rsidRPr="008F4F28">
              <w:rPr>
                <w:rFonts w:cs="Open Sans"/>
              </w:rPr>
              <w:t>V Ostravě dne _____</w:t>
            </w:r>
          </w:p>
          <w:p w14:paraId="65945F23" w14:textId="77777777" w:rsidR="001B0EB7" w:rsidRDefault="001B0EB7" w:rsidP="00A84107">
            <w:pPr>
              <w:jc w:val="both"/>
              <w:rPr>
                <w:rFonts w:cs="Open Sans"/>
              </w:rPr>
            </w:pPr>
          </w:p>
          <w:p w14:paraId="0812A8BF" w14:textId="77777777" w:rsidR="001B0EB7" w:rsidRPr="008F4F28" w:rsidRDefault="001B0EB7" w:rsidP="00A84107">
            <w:pPr>
              <w:jc w:val="both"/>
              <w:rPr>
                <w:rFonts w:cs="Open Sans"/>
              </w:rPr>
            </w:pPr>
          </w:p>
          <w:p w14:paraId="4EE0517F" w14:textId="77777777" w:rsidR="001B0EB7" w:rsidRDefault="001B0EB7" w:rsidP="00A84107">
            <w:pPr>
              <w:rPr>
                <w:rFonts w:cs="Open Sans"/>
              </w:rPr>
            </w:pPr>
            <w:r>
              <w:rPr>
                <w:rFonts w:cs="Open Sans"/>
              </w:rPr>
              <w:t>__________________________________________</w:t>
            </w:r>
          </w:p>
          <w:p w14:paraId="0EA35220" w14:textId="6EBC3E3D" w:rsidR="001B0EB7" w:rsidRDefault="004C0AD9" w:rsidP="00A84107">
            <w:pPr>
              <w:tabs>
                <w:tab w:val="left" w:pos="1410"/>
              </w:tabs>
              <w:rPr>
                <w:rFonts w:cs="Open Sans"/>
                <w:b/>
              </w:rPr>
            </w:pPr>
            <w:r w:rsidRPr="008F4F28">
              <w:rPr>
                <w:rFonts w:cs="Open Sans"/>
                <w:b/>
                <w:bCs/>
                <w:szCs w:val="24"/>
              </w:rPr>
              <w:t>Moravskoslezské inovační centrum Ostrava, a.s.</w:t>
            </w:r>
          </w:p>
          <w:p w14:paraId="59D89F36" w14:textId="77777777" w:rsidR="00983763" w:rsidRDefault="00983763" w:rsidP="00A84107">
            <w:pPr>
              <w:tabs>
                <w:tab w:val="left" w:pos="1410"/>
              </w:tabs>
              <w:rPr>
                <w:rFonts w:cs="Open Sans"/>
              </w:rPr>
            </w:pPr>
            <w:r>
              <w:rPr>
                <w:rFonts w:cs="Open Sans"/>
              </w:rPr>
              <w:t xml:space="preserve">                    </w:t>
            </w:r>
            <w:r w:rsidR="004C0AD9">
              <w:rPr>
                <w:rFonts w:cs="Open Sans"/>
              </w:rPr>
              <w:t xml:space="preserve">Mgr. Adéla Hradilová, </w:t>
            </w:r>
          </w:p>
          <w:p w14:paraId="2A925910" w14:textId="1E7E78F4" w:rsidR="001B0EB7" w:rsidRPr="007278C4" w:rsidRDefault="00983763" w:rsidP="00A84107">
            <w:pPr>
              <w:tabs>
                <w:tab w:val="left" w:pos="1410"/>
              </w:tabs>
              <w:rPr>
                <w:rFonts w:cs="Open Sans"/>
                <w:b/>
              </w:rPr>
            </w:pPr>
            <w:r>
              <w:rPr>
                <w:rFonts w:cs="Open Sans"/>
              </w:rPr>
              <w:t xml:space="preserve">               </w:t>
            </w:r>
            <w:r w:rsidR="004C0AD9">
              <w:rPr>
                <w:rFonts w:cs="Open Sans"/>
              </w:rPr>
              <w:t>předsedkyně</w:t>
            </w:r>
            <w:r w:rsidR="004C0AD9" w:rsidRPr="008F4F28">
              <w:rPr>
                <w:rFonts w:cs="Open Sans"/>
              </w:rPr>
              <w:t xml:space="preserve"> představenstva</w:t>
            </w:r>
          </w:p>
        </w:tc>
      </w:tr>
    </w:tbl>
    <w:p w14:paraId="7401B345" w14:textId="0F9B3645" w:rsidR="000D46C8" w:rsidRDefault="00CE2077" w:rsidP="00983763">
      <w:pPr>
        <w:spacing w:after="0"/>
        <w:rPr>
          <w:lang w:eastAsia="cs-CZ"/>
        </w:rPr>
      </w:pPr>
      <w:r>
        <w:t xml:space="preserve">                          hejtman kraje</w:t>
      </w:r>
    </w:p>
    <w:p w14:paraId="3A996A9F" w14:textId="77777777" w:rsidR="001B0EB7" w:rsidRDefault="001B0EB7" w:rsidP="000D46C8">
      <w:pPr>
        <w:rPr>
          <w:lang w:eastAsia="cs-CZ"/>
        </w:rPr>
      </w:pPr>
    </w:p>
    <w:p w14:paraId="00E4CBBC" w14:textId="77777777" w:rsidR="001B0EB7" w:rsidRDefault="001B0EB7" w:rsidP="000D46C8">
      <w:pPr>
        <w:rPr>
          <w:lang w:eastAsia="cs-CZ"/>
        </w:rPr>
      </w:pPr>
    </w:p>
    <w:p w14:paraId="1E1592CB" w14:textId="77777777" w:rsidR="001B0EB7" w:rsidRDefault="001B0EB7" w:rsidP="000D46C8">
      <w:pPr>
        <w:rPr>
          <w:lang w:eastAsia="cs-CZ"/>
        </w:rPr>
      </w:pPr>
    </w:p>
    <w:p w14:paraId="5BED8C0A" w14:textId="77777777" w:rsidR="001B0EB7" w:rsidRDefault="001B0EB7" w:rsidP="000D46C8">
      <w:pPr>
        <w:rPr>
          <w:lang w:eastAsia="cs-CZ"/>
        </w:rPr>
      </w:pPr>
    </w:p>
    <w:p w14:paraId="13EE432C" w14:textId="77777777" w:rsidR="001B0EB7" w:rsidRDefault="001B0EB7" w:rsidP="000D46C8">
      <w:pPr>
        <w:rPr>
          <w:lang w:eastAsia="cs-CZ"/>
        </w:rPr>
      </w:pPr>
    </w:p>
    <w:p w14:paraId="5B981A56" w14:textId="77777777" w:rsidR="001B0EB7" w:rsidRDefault="001B0EB7" w:rsidP="000D46C8">
      <w:pPr>
        <w:rPr>
          <w:lang w:eastAsia="cs-CZ"/>
        </w:rPr>
      </w:pPr>
    </w:p>
    <w:p w14:paraId="62779A64" w14:textId="77777777" w:rsidR="001B0EB7" w:rsidRDefault="001B0EB7" w:rsidP="000D46C8">
      <w:pPr>
        <w:rPr>
          <w:lang w:eastAsia="cs-CZ"/>
        </w:rPr>
      </w:pPr>
    </w:p>
    <w:p w14:paraId="1D05F7D3" w14:textId="77777777" w:rsidR="001B0EB7" w:rsidRDefault="001B0EB7" w:rsidP="000D46C8">
      <w:pPr>
        <w:rPr>
          <w:lang w:eastAsia="cs-CZ"/>
        </w:rPr>
      </w:pPr>
    </w:p>
    <w:p w14:paraId="09BA6D25" w14:textId="77777777" w:rsidR="001B0EB7" w:rsidRDefault="001B0EB7" w:rsidP="000D46C8">
      <w:pPr>
        <w:rPr>
          <w:lang w:eastAsia="cs-CZ"/>
        </w:rPr>
      </w:pPr>
    </w:p>
    <w:p w14:paraId="3F6CDD94" w14:textId="77777777" w:rsidR="001B0EB7" w:rsidRDefault="001B0EB7" w:rsidP="000D46C8">
      <w:pPr>
        <w:rPr>
          <w:lang w:eastAsia="cs-CZ"/>
        </w:rPr>
      </w:pPr>
    </w:p>
    <w:p w14:paraId="3656B554" w14:textId="77777777" w:rsidR="001B0EB7" w:rsidRDefault="001B0EB7" w:rsidP="000D46C8">
      <w:pPr>
        <w:rPr>
          <w:lang w:eastAsia="cs-CZ"/>
        </w:rPr>
      </w:pPr>
    </w:p>
    <w:p w14:paraId="72EC7EE2" w14:textId="77777777" w:rsidR="001B0EB7" w:rsidRDefault="001B0EB7" w:rsidP="000D46C8">
      <w:pPr>
        <w:rPr>
          <w:lang w:eastAsia="cs-CZ"/>
        </w:rPr>
      </w:pPr>
    </w:p>
    <w:p w14:paraId="44A02EEA" w14:textId="77777777" w:rsidR="001B0EB7" w:rsidRDefault="001B0EB7" w:rsidP="000D46C8">
      <w:pPr>
        <w:rPr>
          <w:lang w:eastAsia="cs-CZ"/>
        </w:rPr>
      </w:pPr>
    </w:p>
    <w:p w14:paraId="0CE083F5" w14:textId="77777777" w:rsidR="001B0EB7" w:rsidRDefault="001B0EB7" w:rsidP="000D46C8">
      <w:pPr>
        <w:rPr>
          <w:lang w:eastAsia="cs-CZ"/>
        </w:rPr>
      </w:pPr>
    </w:p>
    <w:p w14:paraId="6CB852C0" w14:textId="77777777" w:rsidR="001B0EB7" w:rsidRDefault="001B0EB7" w:rsidP="000D46C8">
      <w:pPr>
        <w:rPr>
          <w:lang w:eastAsia="cs-CZ"/>
        </w:rPr>
      </w:pPr>
    </w:p>
    <w:p w14:paraId="439192EA" w14:textId="77777777" w:rsidR="00852096" w:rsidRDefault="00852096" w:rsidP="000D46C8">
      <w:pPr>
        <w:rPr>
          <w:lang w:eastAsia="cs-CZ"/>
        </w:rPr>
        <w:sectPr w:rsidR="00852096" w:rsidSect="00D7059D">
          <w:footerReference w:type="even" r:id="rId11"/>
          <w:footerReference w:type="first" r:id="rId12"/>
          <w:pgSz w:w="11906" w:h="16838"/>
          <w:pgMar w:top="1418" w:right="1418" w:bottom="1418" w:left="1418" w:header="709" w:footer="709" w:gutter="0"/>
          <w:cols w:space="708"/>
          <w:docGrid w:linePitch="360"/>
        </w:sectPr>
      </w:pPr>
    </w:p>
    <w:p w14:paraId="6A04A877" w14:textId="77777777" w:rsidR="002F5872" w:rsidRDefault="002F5872" w:rsidP="001B0EB7">
      <w:pPr>
        <w:pStyle w:val="Nzev"/>
        <w:jc w:val="center"/>
        <w:rPr>
          <w:sz w:val="36"/>
          <w:szCs w:val="36"/>
          <w:lang w:val="cs-CZ"/>
        </w:rPr>
      </w:pPr>
      <w:bookmarkStart w:id="5" w:name="_Hlk211954719"/>
    </w:p>
    <w:p w14:paraId="1003911D" w14:textId="77777777" w:rsidR="007A5F17" w:rsidRPr="00E150D3" w:rsidRDefault="007A5F17" w:rsidP="007A5F17">
      <w:pPr>
        <w:pStyle w:val="Nzev"/>
        <w:jc w:val="center"/>
        <w:rPr>
          <w:sz w:val="36"/>
          <w:szCs w:val="36"/>
          <w:lang w:val="cs-CZ"/>
        </w:rPr>
      </w:pPr>
      <w:r w:rsidRPr="00E150D3">
        <w:rPr>
          <w:sz w:val="36"/>
          <w:szCs w:val="36"/>
          <w:lang w:val="cs-CZ"/>
        </w:rPr>
        <w:t>Příloha č. I ke smlouvě:</w:t>
      </w:r>
    </w:p>
    <w:p w14:paraId="73E2C525" w14:textId="77777777" w:rsidR="007A5F17" w:rsidRPr="00E150D3" w:rsidRDefault="007A5F17" w:rsidP="007A5F17">
      <w:pPr>
        <w:pStyle w:val="Nzev"/>
        <w:jc w:val="center"/>
        <w:rPr>
          <w:sz w:val="36"/>
          <w:szCs w:val="36"/>
          <w:lang w:val="cs-CZ"/>
        </w:rPr>
      </w:pPr>
      <w:r w:rsidRPr="00E150D3">
        <w:rPr>
          <w:sz w:val="36"/>
          <w:szCs w:val="36"/>
          <w:lang w:val="cs-CZ"/>
        </w:rPr>
        <w:t>Popis činností / služeb příjemce v závazku veřejné služby pro kalendářní rok na období 2026–2030</w:t>
      </w:r>
    </w:p>
    <w:p w14:paraId="5DB224CF" w14:textId="77777777" w:rsidR="007A5F17" w:rsidRPr="001D0251" w:rsidRDefault="007A5F17" w:rsidP="007A5F17">
      <w:pPr>
        <w:pStyle w:val="Nadpis1"/>
      </w:pPr>
      <w:r w:rsidRPr="001D0251">
        <w:t>I. Úvodní ustanovení</w:t>
      </w:r>
    </w:p>
    <w:p w14:paraId="163B0985" w14:textId="77777777" w:rsidR="007A5F17" w:rsidRPr="001D0251" w:rsidRDefault="007A5F17" w:rsidP="007A5F17">
      <w:pPr>
        <w:jc w:val="both"/>
      </w:pPr>
      <w:r w:rsidRPr="001D0251">
        <w:t>Tato příloha definuje činnosti, které bude Moravskoslezské inovační centrum Ostrava (MSIC) vykonávat v režimu služby obecného hospodářského zájmu (SGEI) v období 2026–2030. Cílem je podpora rozvoje inovačního ekosystému Ostravy a Moravskoslezského kraje, podnikavosti, start-upů, rychle rostoucích firem (scale-upů), technologických inovací, spolupráce mezi firmami a akademickou sférou, a v návaznosti na tyto oblasti zájmu také na zlepšení image regionu.</w:t>
      </w:r>
    </w:p>
    <w:p w14:paraId="71E8F181" w14:textId="77777777" w:rsidR="007A5F17" w:rsidRPr="001D0251" w:rsidRDefault="007A5F17" w:rsidP="007A5F17">
      <w:pPr>
        <w:pStyle w:val="Nadpis1"/>
      </w:pPr>
      <w:r w:rsidRPr="001D0251">
        <w:t>II. Oblasti činností</w:t>
      </w:r>
    </w:p>
    <w:p w14:paraId="1085D8ED" w14:textId="77777777" w:rsidR="007A5F17" w:rsidRPr="001D0251" w:rsidRDefault="007A5F17" w:rsidP="008F5140">
      <w:pPr>
        <w:pStyle w:val="Nadpis2"/>
        <w:jc w:val="both"/>
      </w:pPr>
      <w:r w:rsidRPr="001D0251">
        <w:t xml:space="preserve">1. Řízení </w:t>
      </w:r>
      <w:r>
        <w:t>Regionální inovační strategie Moravskoslezského kraje (</w:t>
      </w:r>
      <w:r w:rsidRPr="001D0251">
        <w:t>RIS MSK</w:t>
      </w:r>
      <w:r>
        <w:t>)</w:t>
      </w:r>
    </w:p>
    <w:p w14:paraId="79DFC7B2" w14:textId="77777777" w:rsidR="007A5F17" w:rsidRPr="001D0251" w:rsidRDefault="007A5F17" w:rsidP="007A5F17">
      <w:pPr>
        <w:jc w:val="both"/>
      </w:pPr>
      <w:r w:rsidRPr="001D0251">
        <w:t>Zajištění koordinace a implementace RIS MSK a tím zajištění rozvoje inovačního ekosystému včetně přípravy a pilotáže nových aktivit/služeb/program</w:t>
      </w:r>
      <w:r>
        <w:t>ů</w:t>
      </w:r>
      <w:r w:rsidRPr="001D0251">
        <w:t>, zapojení do relevantních mezinárodních sítí, zlepšení image MSK, zajištění potřebných analýz mapování a realizace dopadových studií realizovaných intervencí</w:t>
      </w:r>
    </w:p>
    <w:p w14:paraId="18FD026F" w14:textId="77777777" w:rsidR="007A5F17" w:rsidRPr="001D0251" w:rsidRDefault="007A5F17" w:rsidP="007A5F17">
      <w:pPr>
        <w:spacing w:line="278" w:lineRule="auto"/>
        <w:jc w:val="both"/>
      </w:pPr>
      <w:r w:rsidRPr="001D0251">
        <w:t>Cílovou skupinou těchto činností jsou politici, akademický sektor, podnikatelský sektor, investoři a veřejnost.</w:t>
      </w:r>
    </w:p>
    <w:p w14:paraId="3D531F16" w14:textId="77777777" w:rsidR="007A5F17" w:rsidRPr="001D0251" w:rsidRDefault="007A5F17" w:rsidP="007A5F17">
      <w:pPr>
        <w:pStyle w:val="Odstavecseseznamem"/>
        <w:numPr>
          <w:ilvl w:val="1"/>
          <w:numId w:val="36"/>
        </w:numPr>
        <w:spacing w:after="200"/>
        <w:jc w:val="both"/>
        <w:rPr>
          <w:rFonts w:cs="Open Sans"/>
          <w:b/>
        </w:rPr>
      </w:pPr>
      <w:r w:rsidRPr="001D0251">
        <w:rPr>
          <w:rFonts w:cs="Open Sans"/>
          <w:b/>
        </w:rPr>
        <w:t>Koordinace a implementace RIS MSK</w:t>
      </w:r>
    </w:p>
    <w:p w14:paraId="38DC62C3" w14:textId="77777777" w:rsidR="007A5F17" w:rsidRPr="001D0251" w:rsidRDefault="007A5F17" w:rsidP="007A5F17">
      <w:pPr>
        <w:spacing w:line="278" w:lineRule="auto"/>
        <w:jc w:val="both"/>
      </w:pPr>
      <w:r w:rsidRPr="001D0251">
        <w:t xml:space="preserve">MSIC v rámci MSK koordinuje RIS MSK a realizuje vybrané aktivity. MSIC je také v rámci této činnosti zodpovědný za plnění role sekretariátu Rady pro inovace (RpI), kdy zajišťuje přípravu setkání </w:t>
      </w:r>
      <w:proofErr w:type="gramStart"/>
      <w:r w:rsidRPr="001D0251">
        <w:t>RpI</w:t>
      </w:r>
      <w:proofErr w:type="gramEnd"/>
      <w:r w:rsidRPr="001D0251">
        <w:t xml:space="preserve"> a to minimálně </w:t>
      </w:r>
      <w:r>
        <w:t>1</w:t>
      </w:r>
      <w:r w:rsidRPr="001D0251">
        <w:t>x ročně. MSIC je zodpovědný za přípravu program, podkladů, pozvánky a dalších náležitostí, které jsou spojené s přípravou zasedání RpI. MSIC je také zodpovědný za koordinaci a facilitaci pracovních skupiny RIS MSK. V neposlední řadě MSIC koordinuje aktivity v oblasti podpory podnikavosti v rámci MSK a také Ostravy. V oblasti podpory podnikavosti MSIC také poskytuje odbornou, technickou a také mentoringovou podporu dalším aktérům z MSK, kteří chtějí ve svých komunitách pomáhat rozvíjet podnikavost. V neposlední řadě je MSIC zodpovědný za aktualizaci a vyhodnocování akčního plánu RIS MSK.</w:t>
      </w:r>
    </w:p>
    <w:p w14:paraId="79C5AF86" w14:textId="77777777" w:rsidR="007A5F17" w:rsidRPr="001D0251" w:rsidRDefault="007A5F17" w:rsidP="007A5F17">
      <w:pPr>
        <w:spacing w:line="278" w:lineRule="auto"/>
        <w:jc w:val="both"/>
      </w:pPr>
      <w:r w:rsidRPr="001D0251">
        <w:t xml:space="preserve">Klíčové pracovní skupiny zřízené v rámci RIS MSK jsou PODREG, TAM, DIGI, ENVI, MedTech, Mobilita, Marketing. Nově se plánuje vytvoření pracovní skupiny T-park, která bude sdružovat všechny partnery v území Technologického parku, kteří jsou buď vlastníky infrastruktury anebo investovali významné prostředky do laboratoří apod. Cílem této pracovní skupiny bude koordinace aktivit, příprava společných akcí pro klienty, další rozvoj areálu apod. </w:t>
      </w:r>
    </w:p>
    <w:p w14:paraId="2FEB9BF8" w14:textId="77777777" w:rsidR="007A5F17" w:rsidRDefault="007A5F17" w:rsidP="007A5F17">
      <w:pPr>
        <w:spacing w:line="278" w:lineRule="auto"/>
        <w:jc w:val="both"/>
      </w:pPr>
      <w:r w:rsidRPr="001D0251">
        <w:t>Dle aktuálního vývoje mohou být vytvořeny také další pracovní skupiny např. pro oblast Defense.</w:t>
      </w:r>
    </w:p>
    <w:p w14:paraId="4A8E33B6" w14:textId="77777777" w:rsidR="00AD68C7" w:rsidRDefault="00AD68C7" w:rsidP="007A5F17">
      <w:pPr>
        <w:spacing w:line="278" w:lineRule="auto"/>
        <w:jc w:val="both"/>
      </w:pPr>
    </w:p>
    <w:p w14:paraId="01440451" w14:textId="77777777" w:rsidR="00AD68C7" w:rsidRPr="001D0251" w:rsidRDefault="00AD68C7" w:rsidP="007A5F17">
      <w:pPr>
        <w:spacing w:line="278" w:lineRule="auto"/>
        <w:jc w:val="both"/>
      </w:pPr>
    </w:p>
    <w:p w14:paraId="7CCB4F55" w14:textId="77777777" w:rsidR="007A5F17" w:rsidRPr="001D0251" w:rsidRDefault="007A5F17" w:rsidP="007A5F17">
      <w:pPr>
        <w:pStyle w:val="Odstavecseseznamem"/>
        <w:numPr>
          <w:ilvl w:val="1"/>
          <w:numId w:val="36"/>
        </w:numPr>
        <w:spacing w:after="200"/>
        <w:jc w:val="both"/>
        <w:rPr>
          <w:rFonts w:ascii="Helvetica" w:hAnsi="Helvetica"/>
        </w:rPr>
      </w:pPr>
      <w:r w:rsidRPr="001D0251">
        <w:rPr>
          <w:rFonts w:cs="Open Sans"/>
          <w:b/>
        </w:rPr>
        <w:lastRenderedPageBreak/>
        <w:t>Příprava a pilotáž nových aktivit RIS MSK</w:t>
      </w:r>
    </w:p>
    <w:p w14:paraId="1EAF72B5" w14:textId="77777777" w:rsidR="007A5F17" w:rsidRPr="001D0251" w:rsidRDefault="007A5F17" w:rsidP="007A5F17">
      <w:pPr>
        <w:jc w:val="both"/>
        <w:rPr>
          <w:rFonts w:cs="Open Sans"/>
        </w:rPr>
      </w:pPr>
      <w:r w:rsidRPr="001D0251">
        <w:rPr>
          <w:rFonts w:cs="Open Sans"/>
        </w:rPr>
        <w:t xml:space="preserve">V rámci tohoto segmentu činností MSIC identifikuje potřeby zejména relevantních stakeholderů Moravskoslezského inovačního ekosystému a na jejich základě připravuje návrhy nových aktivit/služeb/programů včetně nastavení jejich podmínek na podporu podnikání, podnikavosti a inovací pro MSK a SMO, včetně návrhu dotačních programů. Součástí přípravy mohou být mikroekonomické analýzy, </w:t>
      </w:r>
      <w:r>
        <w:rPr>
          <w:rFonts w:cs="Open Sans"/>
        </w:rPr>
        <w:t>inspirace ze zahraničí</w:t>
      </w:r>
      <w:r w:rsidRPr="001D0251">
        <w:rPr>
          <w:rFonts w:cs="Open Sans"/>
        </w:rPr>
        <w:t>, práce s daty z placených databází, specializovaná setkání odborníků na daná témata, tvorba cílených databází firem a expertů, návrh programů a jejich pilotní ověření na vybraných firmách/dalších subjektech. Výstupem je zpravidla studie proveditelnosti, resp. manuál pro implementaci aktivity/služby/programu.</w:t>
      </w:r>
    </w:p>
    <w:p w14:paraId="4BD042EC" w14:textId="77777777" w:rsidR="007A5F17" w:rsidRPr="001D0251" w:rsidRDefault="007A5F17" w:rsidP="007A5F17">
      <w:pPr>
        <w:jc w:val="both"/>
        <w:rPr>
          <w:rFonts w:cs="Open Sans"/>
        </w:rPr>
      </w:pPr>
      <w:r w:rsidRPr="001D0251">
        <w:rPr>
          <w:rFonts w:cs="Open Sans"/>
        </w:rPr>
        <w:t>Nové aktivity/služby/program budou primárně rozvíjeny v následujících oblastech, které jsou definovány v RIS MSK, podpora podnikavosti a podnikání (PODREG), talent (attraction) management, digitalizace (včetně kybernetické bezpečnosti, AI atd.), udržitelnosti, mobility, zdravotnictví, obrany, gamingu a dalších</w:t>
      </w:r>
      <w:r>
        <w:rPr>
          <w:rFonts w:cs="Open Sans"/>
        </w:rPr>
        <w:t xml:space="preserve"> dle výstupů nové strategie rozvoje kraje včetně nové regionální inovační strategie a strategie Fajnova.</w:t>
      </w:r>
    </w:p>
    <w:p w14:paraId="0FA44848" w14:textId="77777777" w:rsidR="007A5F17" w:rsidRPr="001D0251" w:rsidRDefault="007A5F17" w:rsidP="007A5F17">
      <w:pPr>
        <w:pStyle w:val="Odstavecseseznamem"/>
        <w:numPr>
          <w:ilvl w:val="1"/>
          <w:numId w:val="36"/>
        </w:numPr>
        <w:spacing w:after="200"/>
        <w:jc w:val="both"/>
        <w:rPr>
          <w:rFonts w:ascii="Helvetica" w:hAnsi="Helvetica"/>
        </w:rPr>
      </w:pPr>
      <w:r w:rsidRPr="001D0251">
        <w:rPr>
          <w:rFonts w:cs="Open Sans"/>
          <w:b/>
        </w:rPr>
        <w:t>Marketing inovačního ekosystému</w:t>
      </w:r>
    </w:p>
    <w:p w14:paraId="2C759EE4" w14:textId="77777777" w:rsidR="007A5F17" w:rsidRPr="001D0251" w:rsidRDefault="007A5F17" w:rsidP="007A5F17">
      <w:pPr>
        <w:spacing w:line="278" w:lineRule="auto"/>
        <w:jc w:val="both"/>
        <w:rPr>
          <w:rFonts w:ascii="Helvetica" w:hAnsi="Helvetica"/>
        </w:rPr>
      </w:pPr>
      <w:r w:rsidRPr="001D0251">
        <w:t xml:space="preserve">MSIC se bude v rámci této činnosti podílet na zlepšování image </w:t>
      </w:r>
      <w:r w:rsidRPr="00B8090D">
        <w:t>MSK a SMO</w:t>
      </w:r>
      <w:r w:rsidRPr="001D0251">
        <w:t xml:space="preserve"> v oblasti inovací. MSIC bude zodpovědný za pravidelnou aktualizaci webové stránky o inovačním ekosystému MSK. Dále </w:t>
      </w:r>
      <w:r>
        <w:t>budou implementovány</w:t>
      </w:r>
      <w:r w:rsidRPr="001D0251">
        <w:t xml:space="preserve"> aktivity na zlepšení image region</w:t>
      </w:r>
      <w:r>
        <w:t>u</w:t>
      </w:r>
      <w:r w:rsidRPr="001D0251">
        <w:t xml:space="preserve"> v oblasti inovačního ekosystému jako např. kampaně zaměřené na návrat rodáků apod. Součástí budou také osvětové aktivity pro klíčové aktéry inovačního ekosystému (prezentace, </w:t>
      </w:r>
      <w:r>
        <w:t>informační, propagační, kulturně-vzdělávací, rozvojové a další</w:t>
      </w:r>
      <w:r w:rsidRPr="001D0251">
        <w:t xml:space="preserve"> aktivity apod.).</w:t>
      </w:r>
    </w:p>
    <w:p w14:paraId="375D552A" w14:textId="77777777" w:rsidR="007A5F17" w:rsidRPr="001D0251" w:rsidRDefault="007A5F17" w:rsidP="007A5F17">
      <w:pPr>
        <w:pStyle w:val="Odstavecseseznamem"/>
        <w:numPr>
          <w:ilvl w:val="1"/>
          <w:numId w:val="36"/>
        </w:numPr>
        <w:spacing w:after="200"/>
        <w:jc w:val="both"/>
        <w:rPr>
          <w:rFonts w:ascii="Helvetica" w:hAnsi="Helvetica"/>
        </w:rPr>
      </w:pPr>
      <w:r w:rsidRPr="001D0251">
        <w:rPr>
          <w:rFonts w:cs="Open Sans"/>
          <w:b/>
          <w:bCs/>
        </w:rPr>
        <w:t>Spolupráce na regionální, národní a mezinárodní úrovni</w:t>
      </w:r>
    </w:p>
    <w:p w14:paraId="1298F8EA" w14:textId="77777777" w:rsidR="007A5F17" w:rsidRPr="001D0251" w:rsidRDefault="007A5F17" w:rsidP="007A5F17">
      <w:pPr>
        <w:jc w:val="both"/>
      </w:pPr>
      <w:r w:rsidRPr="001D0251">
        <w:t>Zástupci MSIC vystupují také jako experti při jednáních v oblasti podpory inovací na regionální, národní i evropské úrovni. MSIC je v tuto chvíli zapojen zejména do platformy Ynovate, která sdružuje inovační centra z ČR a Slovenska, a která má za cíl koordinovat a zlepšovat služby pro firmy s potenciálem např. formou využívání sdílených expert</w:t>
      </w:r>
      <w:r>
        <w:t>ů</w:t>
      </w:r>
      <w:r w:rsidRPr="001D0251">
        <w:t>. MSIC je také součástí sítě CEE Startup Network (MSK, Žilinský kraj a Slezské vojvodství)</w:t>
      </w:r>
      <w:r>
        <w:t xml:space="preserve">, </w:t>
      </w:r>
      <w:r w:rsidRPr="001D0251">
        <w:t>EBN (European Business Network), jejichž cílem je podporovat a rozvíjet příležitosti pro start-upy a rychle rostoucí firmy (scale-upy). MSIC je</w:t>
      </w:r>
      <w:r>
        <w:t>/</w:t>
      </w:r>
      <w:r w:rsidRPr="001D0251">
        <w:t>může</w:t>
      </w:r>
      <w:r>
        <w:t xml:space="preserve"> </w:t>
      </w:r>
      <w:r w:rsidRPr="001D0251">
        <w:t>být dále zapojen do platforem MPO, MŽP, agentury CzechInvest, Technologické agentury ČR, Evropské komise, Svazu průmyslu a dalších. Zástupci MSIC se také pravidelně zapojují do aktivit spojených s přípravou a</w:t>
      </w:r>
      <w:r>
        <w:t xml:space="preserve"> </w:t>
      </w:r>
      <w:r w:rsidRPr="001D0251">
        <w:t xml:space="preserve">implementací </w:t>
      </w:r>
      <w:r>
        <w:t>operačních programů,</w:t>
      </w:r>
      <w:r w:rsidRPr="001D0251">
        <w:t xml:space="preserve"> ITI Ostrava</w:t>
      </w:r>
      <w:r>
        <w:t xml:space="preserve"> anebo nového programového období EU.</w:t>
      </w:r>
    </w:p>
    <w:p w14:paraId="1191D585" w14:textId="77777777" w:rsidR="007A5F17" w:rsidRPr="001D0251" w:rsidRDefault="007A5F17" w:rsidP="007A5F17">
      <w:r w:rsidRPr="001D0251">
        <w:rPr>
          <w:b/>
          <w:bCs/>
        </w:rPr>
        <w:t>Roční indikátory:</w:t>
      </w:r>
    </w:p>
    <w:p w14:paraId="22B8FEC0" w14:textId="77777777" w:rsidR="007A5F17" w:rsidRPr="001D0251" w:rsidRDefault="007A5F17" w:rsidP="007A5F17">
      <w:r w:rsidRPr="001D0251">
        <w:t>Minimálně 45 aktivních (zapojení do minimálně 2 aktivit RIS MSK) podporovatelů RIS MSK na regionální, národní a mezinárodní úrovni ročně</w:t>
      </w:r>
    </w:p>
    <w:p w14:paraId="2E11BE67" w14:textId="77777777" w:rsidR="007A5F17" w:rsidRPr="001D0251" w:rsidRDefault="007A5F17" w:rsidP="007A5F17">
      <w:r w:rsidRPr="001D0251">
        <w:t>Minimálně 1 pilotáž ročně</w:t>
      </w:r>
    </w:p>
    <w:p w14:paraId="79C24729" w14:textId="77777777" w:rsidR="007A5F17" w:rsidRPr="001D0251" w:rsidRDefault="007A5F17" w:rsidP="007A5F17">
      <w:r w:rsidRPr="001D0251">
        <w:t>Minimálně 3 setkání v rámci sítí/platforem</w:t>
      </w:r>
      <w:r>
        <w:t xml:space="preserve"> (např. Ynovate, EBN)</w:t>
      </w:r>
    </w:p>
    <w:p w14:paraId="2D30F69E" w14:textId="77777777" w:rsidR="007A5F17" w:rsidRPr="001D0251" w:rsidRDefault="007A5F17" w:rsidP="007A5F17">
      <w:r w:rsidRPr="001D0251">
        <w:t>Minimálně 1 setkání Rady pro inovaci</w:t>
      </w:r>
    </w:p>
    <w:p w14:paraId="4A71D5A7" w14:textId="77777777" w:rsidR="007A5F17" w:rsidRDefault="007A5F17" w:rsidP="007A5F17">
      <w:r>
        <w:t>M</w:t>
      </w:r>
      <w:r w:rsidRPr="001D0251">
        <w:t>inimálně 5 tematických pracovních skupin s minimálně 2 setkáními ročně</w:t>
      </w:r>
    </w:p>
    <w:p w14:paraId="7FCC8982" w14:textId="77777777" w:rsidR="007A5F17" w:rsidRPr="001D0251" w:rsidRDefault="007A5F17" w:rsidP="007A5F17"/>
    <w:p w14:paraId="64C4339D" w14:textId="77777777" w:rsidR="007A5F17" w:rsidRPr="001D0251" w:rsidRDefault="007A5F17" w:rsidP="007A5F17">
      <w:pPr>
        <w:pStyle w:val="Nadpis2"/>
      </w:pPr>
      <w:r w:rsidRPr="001D0251">
        <w:lastRenderedPageBreak/>
        <w:t xml:space="preserve">2. Inovační služby </w:t>
      </w:r>
    </w:p>
    <w:p w14:paraId="55FD03BF" w14:textId="0B4F049E" w:rsidR="007A5F17" w:rsidRPr="001D0251" w:rsidRDefault="007A5F17" w:rsidP="007A5F17">
      <w:pPr>
        <w:jc w:val="both"/>
        <w:rPr>
          <w:rFonts w:cs="Open Sans"/>
        </w:rPr>
      </w:pPr>
      <w:r w:rsidRPr="001D0251">
        <w:rPr>
          <w:b/>
          <w:bCs/>
        </w:rPr>
        <w:t xml:space="preserve">V rámci této činnosti </w:t>
      </w:r>
      <w:r w:rsidRPr="001D0251">
        <w:rPr>
          <w:rFonts w:cs="Open Sans"/>
        </w:rPr>
        <w:t>jde o přímou podporu student</w:t>
      </w:r>
      <w:r>
        <w:rPr>
          <w:rFonts w:cs="Open Sans"/>
        </w:rPr>
        <w:t>ů</w:t>
      </w:r>
      <w:r w:rsidRPr="001D0251">
        <w:rPr>
          <w:rFonts w:cs="Open Sans"/>
        </w:rPr>
        <w:t xml:space="preserve"> SŠ, VŠ, výzkumníků, kteří zvažují podnikání</w:t>
      </w:r>
      <w:r>
        <w:rPr>
          <w:rFonts w:cs="Open Sans"/>
        </w:rPr>
        <w:t>;</w:t>
      </w:r>
      <w:r w:rsidR="00F42B8B">
        <w:rPr>
          <w:rFonts w:cs="Open Sans"/>
        </w:rPr>
        <w:t xml:space="preserve"> </w:t>
      </w:r>
      <w:r w:rsidRPr="001D0251">
        <w:rPr>
          <w:rFonts w:cs="Open Sans"/>
        </w:rPr>
        <w:t xml:space="preserve">start-upů, spin-offů, scale-upů </w:t>
      </w:r>
      <w:r>
        <w:rPr>
          <w:rFonts w:cs="Open Sans"/>
        </w:rPr>
        <w:t xml:space="preserve">(dále jen start-upů); </w:t>
      </w:r>
      <w:r w:rsidRPr="001D0251">
        <w:rPr>
          <w:rFonts w:cs="Open Sans"/>
        </w:rPr>
        <w:t xml:space="preserve">a malých a středních firem s potenciálem, prostřednictvím předem definovaných služeb </w:t>
      </w:r>
      <w:proofErr w:type="gramStart"/>
      <w:r w:rsidRPr="001D0251">
        <w:rPr>
          <w:rFonts w:cs="Open Sans"/>
        </w:rPr>
        <w:t>MSIC</w:t>
      </w:r>
      <w:proofErr w:type="gramEnd"/>
      <w:r w:rsidRPr="001D0251">
        <w:rPr>
          <w:rFonts w:cs="Open Sans"/>
        </w:rPr>
        <w:t xml:space="preserve"> resp. program</w:t>
      </w:r>
      <w:r>
        <w:rPr>
          <w:rFonts w:cs="Open Sans"/>
        </w:rPr>
        <w:t>ů</w:t>
      </w:r>
      <w:r w:rsidRPr="001D0251">
        <w:rPr>
          <w:rFonts w:cs="Open Sans"/>
        </w:rPr>
        <w:t xml:space="preserve">. </w:t>
      </w:r>
    </w:p>
    <w:p w14:paraId="66859DF0" w14:textId="77777777" w:rsidR="007A5F17" w:rsidRPr="001D0251" w:rsidRDefault="007A5F17" w:rsidP="007A5F17">
      <w:pPr>
        <w:jc w:val="both"/>
      </w:pPr>
      <w:r w:rsidRPr="001D0251">
        <w:t>Poskytování služeb výše zmíněným cílovým skupinám</w:t>
      </w:r>
      <w:r>
        <w:t xml:space="preserve"> bude probíhat</w:t>
      </w:r>
      <w:r w:rsidRPr="001D0251">
        <w:t xml:space="preserve"> prostřednictvím hodnocení technologie a ekonomické proveditelnosti podnikatelského záměru, podpory při založení společnosti, realizace ratingu klientů MSIC na základě hloubkové analýzy, marketingového a PR poradenství, průzkumu trhu, podpory při tvorbě podnikatelského plánu, poradenství při rozvoji firmy a/nebo </w:t>
      </w:r>
      <w:r>
        <w:t>ochrana duševního vlastnictví</w:t>
      </w:r>
      <w:r w:rsidRPr="001D0251">
        <w:t xml:space="preserve"> a/nebo zajištění finančních zdrojů pro rozvoj firem, pořádání networkingových akcí,  propagace podnikavosti, podpora technologického transferu a konzultační podpora MSP.</w:t>
      </w:r>
    </w:p>
    <w:p w14:paraId="2F08DB14" w14:textId="77777777" w:rsidR="007A5F17" w:rsidRPr="001D0251" w:rsidRDefault="007A5F17" w:rsidP="007A5F17">
      <w:pPr>
        <w:jc w:val="both"/>
        <w:rPr>
          <w:rFonts w:cs="Open Sans"/>
        </w:rPr>
      </w:pPr>
      <w:r w:rsidRPr="001D0251">
        <w:rPr>
          <w:rFonts w:cs="Open Sans"/>
        </w:rPr>
        <w:t>Pro jejich realizaci je nezbytné průběžně posilovat interní know-how zaměstnanců MSIC a současně rozvíjet síť expertů schopných sdílet svou expertizu a kontakty a tím umožnit MSIC poskytovat unikátní služby s vysokou přidanou hodnotou pro firmy. Konkrétními službami poskytovanými v rámci této činnosti se rozumí zejména:</w:t>
      </w:r>
    </w:p>
    <w:p w14:paraId="01C94E69" w14:textId="77777777" w:rsidR="007A5F17" w:rsidRPr="001D0251" w:rsidRDefault="007A5F17" w:rsidP="007A5F17">
      <w:pPr>
        <w:pStyle w:val="Odstavecseseznamem"/>
        <w:numPr>
          <w:ilvl w:val="1"/>
          <w:numId w:val="37"/>
        </w:numPr>
        <w:spacing w:after="200"/>
        <w:jc w:val="both"/>
        <w:rPr>
          <w:rFonts w:ascii="Helvetica" w:hAnsi="Helvetica"/>
        </w:rPr>
      </w:pPr>
      <w:r w:rsidRPr="001D0251">
        <w:rPr>
          <w:rFonts w:cs="Open Sans"/>
          <w:b/>
        </w:rPr>
        <w:t>Rozvojové a podpůrné služby pro inovativní firmy</w:t>
      </w:r>
      <w:r>
        <w:rPr>
          <w:rFonts w:cs="Open Sans"/>
          <w:b/>
        </w:rPr>
        <w:t xml:space="preserve"> a start-upy</w:t>
      </w:r>
    </w:p>
    <w:p w14:paraId="22D1B1D7" w14:textId="77777777" w:rsidR="007A5F17" w:rsidRPr="001D0251" w:rsidRDefault="007A5F17" w:rsidP="007A5F17">
      <w:pPr>
        <w:pStyle w:val="Odstavecseseznamem"/>
        <w:numPr>
          <w:ilvl w:val="0"/>
          <w:numId w:val="34"/>
        </w:numPr>
        <w:spacing w:line="278" w:lineRule="auto"/>
      </w:pPr>
      <w:r w:rsidRPr="001D0251">
        <w:t>Hodnocení technologie a ekonomické proveditelnosti podnikatelského záměru</w:t>
      </w:r>
    </w:p>
    <w:p w14:paraId="61A05894" w14:textId="77777777" w:rsidR="007A5F17" w:rsidRPr="001D0251" w:rsidRDefault="007A5F17" w:rsidP="007A5F17">
      <w:pPr>
        <w:pStyle w:val="Odstavecseseznamem"/>
        <w:numPr>
          <w:ilvl w:val="1"/>
          <w:numId w:val="34"/>
        </w:numPr>
        <w:spacing w:line="278" w:lineRule="auto"/>
      </w:pPr>
      <w:r w:rsidRPr="001D0251">
        <w:t>Hodnocení kvality podnikatelského záměru, tržního potenciálu a kvality manažerského týmu firmy</w:t>
      </w:r>
    </w:p>
    <w:p w14:paraId="5F72FD94" w14:textId="77777777" w:rsidR="007A5F17" w:rsidRPr="001D0251" w:rsidRDefault="007A5F17" w:rsidP="007A5F17">
      <w:pPr>
        <w:pStyle w:val="Odstavecseseznamem"/>
        <w:numPr>
          <w:ilvl w:val="1"/>
          <w:numId w:val="34"/>
        </w:numPr>
        <w:spacing w:line="278" w:lineRule="auto"/>
      </w:pPr>
      <w:r w:rsidRPr="001D0251">
        <w:t>Zhodnocení technického provedení/proveditelnosti firmy</w:t>
      </w:r>
    </w:p>
    <w:p w14:paraId="59771279" w14:textId="77777777" w:rsidR="007A5F17" w:rsidRPr="001D0251" w:rsidRDefault="007A5F17" w:rsidP="007A5F17">
      <w:pPr>
        <w:pStyle w:val="Odstavecseseznamem"/>
        <w:numPr>
          <w:ilvl w:val="0"/>
          <w:numId w:val="34"/>
        </w:numPr>
        <w:spacing w:line="278" w:lineRule="auto"/>
      </w:pPr>
      <w:r w:rsidRPr="001D0251">
        <w:t>Založení společnosti</w:t>
      </w:r>
    </w:p>
    <w:p w14:paraId="480C8186" w14:textId="77777777" w:rsidR="007A5F17" w:rsidRPr="001D0251" w:rsidRDefault="007A5F17" w:rsidP="007A5F17">
      <w:pPr>
        <w:pStyle w:val="Odstavecseseznamem"/>
        <w:numPr>
          <w:ilvl w:val="1"/>
          <w:numId w:val="34"/>
        </w:numPr>
        <w:spacing w:line="278" w:lineRule="auto"/>
      </w:pPr>
      <w:r w:rsidRPr="001D0251">
        <w:t>Zprostředkování poradenství při založení společnosti na základě perspektivních projektů vhodných k inkubaci</w:t>
      </w:r>
    </w:p>
    <w:p w14:paraId="22D1DC28" w14:textId="77777777" w:rsidR="007A5F17" w:rsidRPr="001D0251" w:rsidRDefault="007A5F17" w:rsidP="007A5F17">
      <w:pPr>
        <w:pStyle w:val="Odstavecseseznamem"/>
        <w:numPr>
          <w:ilvl w:val="0"/>
          <w:numId w:val="34"/>
        </w:numPr>
        <w:spacing w:line="278" w:lineRule="auto"/>
      </w:pPr>
      <w:r w:rsidRPr="001D0251">
        <w:t>Inkubační program</w:t>
      </w:r>
    </w:p>
    <w:p w14:paraId="67F7A247" w14:textId="77777777" w:rsidR="007A5F17" w:rsidRPr="001D0251" w:rsidRDefault="007A5F17" w:rsidP="007A5F17">
      <w:pPr>
        <w:pStyle w:val="Odstavecseseznamem"/>
        <w:numPr>
          <w:ilvl w:val="1"/>
          <w:numId w:val="34"/>
        </w:numPr>
        <w:spacing w:line="278" w:lineRule="auto"/>
      </w:pPr>
      <w:r>
        <w:t>služby</w:t>
      </w:r>
      <w:r w:rsidRPr="001D0251">
        <w:t xml:space="preserve"> pro </w:t>
      </w:r>
      <w:r>
        <w:t xml:space="preserve">zasídlené </w:t>
      </w:r>
      <w:r w:rsidRPr="001D0251">
        <w:t>start-upy</w:t>
      </w:r>
    </w:p>
    <w:p w14:paraId="22195D07" w14:textId="77777777" w:rsidR="007A5F17" w:rsidRPr="001D0251" w:rsidRDefault="007A5F17" w:rsidP="007A5F17">
      <w:pPr>
        <w:pStyle w:val="Odstavecseseznamem"/>
        <w:numPr>
          <w:ilvl w:val="0"/>
          <w:numId w:val="34"/>
        </w:numPr>
        <w:spacing w:line="278" w:lineRule="auto"/>
      </w:pPr>
      <w:r w:rsidRPr="001D0251">
        <w:t>Rating klientů MSIC</w:t>
      </w:r>
    </w:p>
    <w:p w14:paraId="4212AA36" w14:textId="77777777" w:rsidR="007A5F17" w:rsidRPr="001D0251" w:rsidRDefault="007A5F17" w:rsidP="007A5F17">
      <w:pPr>
        <w:pStyle w:val="Odstavecseseznamem"/>
        <w:numPr>
          <w:ilvl w:val="1"/>
          <w:numId w:val="34"/>
        </w:numPr>
        <w:spacing w:line="278" w:lineRule="auto"/>
      </w:pPr>
      <w:r w:rsidRPr="001D0251">
        <w:t>Segmentace klientů MSIC dle kvality</w:t>
      </w:r>
    </w:p>
    <w:p w14:paraId="6118BD32" w14:textId="77777777" w:rsidR="007A5F17" w:rsidRPr="001D0251" w:rsidRDefault="007A5F17" w:rsidP="007A5F17">
      <w:pPr>
        <w:pStyle w:val="Odstavecseseznamem"/>
        <w:numPr>
          <w:ilvl w:val="1"/>
          <w:numId w:val="34"/>
        </w:numPr>
        <w:spacing w:line="278" w:lineRule="auto"/>
      </w:pPr>
      <w:r w:rsidRPr="001D0251">
        <w:t>Pravidelný sběr ekonomických výsledků firem/klientů</w:t>
      </w:r>
      <w:r>
        <w:t xml:space="preserve"> a jejich vyhodnocování</w:t>
      </w:r>
    </w:p>
    <w:p w14:paraId="0D1F105E" w14:textId="77777777" w:rsidR="007A5F17" w:rsidRPr="001D0251" w:rsidRDefault="007A5F17" w:rsidP="007A5F17">
      <w:pPr>
        <w:pStyle w:val="Odstavecseseznamem"/>
        <w:numPr>
          <w:ilvl w:val="0"/>
          <w:numId w:val="34"/>
        </w:numPr>
        <w:spacing w:line="278" w:lineRule="auto"/>
      </w:pPr>
      <w:r w:rsidRPr="001D0251">
        <w:t>Průzkum trhu</w:t>
      </w:r>
    </w:p>
    <w:p w14:paraId="7BC39A85" w14:textId="77777777" w:rsidR="007A5F17" w:rsidRPr="001D0251" w:rsidRDefault="007A5F17" w:rsidP="007A5F17">
      <w:pPr>
        <w:pStyle w:val="Odstavecseseznamem"/>
        <w:numPr>
          <w:ilvl w:val="1"/>
          <w:numId w:val="34"/>
        </w:numPr>
        <w:spacing w:line="278" w:lineRule="auto"/>
      </w:pPr>
      <w:r w:rsidRPr="001D0251">
        <w:t>V případě potřeby detailnějšího průzkumu trhu je firmě zprostředkováno zpracování tohoto průzkumu</w:t>
      </w:r>
    </w:p>
    <w:p w14:paraId="1A0BDF3F" w14:textId="77777777" w:rsidR="007A5F17" w:rsidRPr="001D0251" w:rsidRDefault="007A5F17" w:rsidP="007A5F17">
      <w:pPr>
        <w:pStyle w:val="Odstavecseseznamem"/>
        <w:numPr>
          <w:ilvl w:val="0"/>
          <w:numId w:val="34"/>
        </w:numPr>
        <w:spacing w:line="278" w:lineRule="auto"/>
      </w:pPr>
      <w:r w:rsidRPr="001D0251">
        <w:t>Podnikatelský plán</w:t>
      </w:r>
    </w:p>
    <w:p w14:paraId="54804256" w14:textId="77777777" w:rsidR="007A5F17" w:rsidRPr="001D0251" w:rsidRDefault="007A5F17" w:rsidP="007A5F17">
      <w:pPr>
        <w:pStyle w:val="Odstavecseseznamem"/>
        <w:numPr>
          <w:ilvl w:val="1"/>
          <w:numId w:val="34"/>
        </w:numPr>
        <w:spacing w:line="278" w:lineRule="auto"/>
      </w:pPr>
      <w:r w:rsidRPr="001D0251">
        <w:t>Podnikatelské plány budou připravovány nositeli projektů s pomocí interního i externího coachingu či mentoring či akceleračních programů</w:t>
      </w:r>
    </w:p>
    <w:p w14:paraId="577DBDE6" w14:textId="77777777" w:rsidR="007A5F17" w:rsidRPr="001D0251" w:rsidRDefault="007A5F17" w:rsidP="007A5F17">
      <w:pPr>
        <w:pStyle w:val="Odstavecseseznamem"/>
        <w:numPr>
          <w:ilvl w:val="0"/>
          <w:numId w:val="34"/>
        </w:numPr>
        <w:spacing w:line="278" w:lineRule="auto"/>
      </w:pPr>
      <w:r w:rsidRPr="001D0251">
        <w:t>Poradenství při rozvoji firmy (business development)</w:t>
      </w:r>
    </w:p>
    <w:p w14:paraId="0DEB0689" w14:textId="77777777" w:rsidR="007A5F17" w:rsidRPr="001D0251" w:rsidRDefault="007A5F17" w:rsidP="007A5F17">
      <w:pPr>
        <w:pStyle w:val="Odstavecseseznamem"/>
        <w:numPr>
          <w:ilvl w:val="1"/>
          <w:numId w:val="34"/>
        </w:numPr>
        <w:spacing w:line="278" w:lineRule="auto"/>
      </w:pPr>
      <w:r w:rsidRPr="001D0251">
        <w:t>Zhodnocení firemních procesů, kdy interní/externí konzultant hledá společně s firmou možnosti rozvoje firemních oblastí</w:t>
      </w:r>
    </w:p>
    <w:p w14:paraId="0C66716A" w14:textId="77777777" w:rsidR="007A5F17" w:rsidRPr="001D0251" w:rsidRDefault="007A5F17" w:rsidP="007A5F17">
      <w:pPr>
        <w:pStyle w:val="Odstavecseseznamem"/>
        <w:numPr>
          <w:ilvl w:val="1"/>
          <w:numId w:val="34"/>
        </w:numPr>
        <w:spacing w:line="278" w:lineRule="auto"/>
      </w:pPr>
      <w:r w:rsidRPr="001D0251">
        <w:t>Zprostředkování spolupráce s externími specialisty na rozvoj firem</w:t>
      </w:r>
    </w:p>
    <w:p w14:paraId="5119B976" w14:textId="77777777" w:rsidR="007A5F17" w:rsidRPr="001D0251" w:rsidRDefault="007A5F17" w:rsidP="007A5F17">
      <w:pPr>
        <w:pStyle w:val="Odstavecseseznamem"/>
        <w:numPr>
          <w:ilvl w:val="0"/>
          <w:numId w:val="34"/>
        </w:numPr>
        <w:spacing w:line="278" w:lineRule="auto"/>
      </w:pPr>
      <w:r w:rsidRPr="001D0251">
        <w:t>Ochrana duševního vlastnictví</w:t>
      </w:r>
      <w:r>
        <w:t xml:space="preserve"> (IPR)</w:t>
      </w:r>
    </w:p>
    <w:p w14:paraId="62ECC86B" w14:textId="77777777" w:rsidR="007A5F17" w:rsidRPr="001D0251" w:rsidRDefault="007A5F17" w:rsidP="007A5F17">
      <w:pPr>
        <w:pStyle w:val="Odstavecseseznamem"/>
        <w:numPr>
          <w:ilvl w:val="1"/>
          <w:numId w:val="34"/>
        </w:numPr>
        <w:spacing w:line="278" w:lineRule="auto"/>
      </w:pPr>
      <w:r w:rsidRPr="001D0251">
        <w:t>Zprostředkování poradenství při ochraně duševního vlastnictví. Poskytnutí informací o možnostech ochrany duševního vlastnictví atd.</w:t>
      </w:r>
    </w:p>
    <w:p w14:paraId="30D1A7EF" w14:textId="77777777" w:rsidR="007A5F17" w:rsidRPr="001D0251" w:rsidRDefault="007A5F17" w:rsidP="007A5F17">
      <w:pPr>
        <w:pStyle w:val="Odstavecseseznamem"/>
        <w:numPr>
          <w:ilvl w:val="0"/>
          <w:numId w:val="34"/>
        </w:numPr>
        <w:spacing w:line="278" w:lineRule="auto"/>
      </w:pPr>
      <w:r w:rsidRPr="001D0251">
        <w:t>Lidské zdroje</w:t>
      </w:r>
    </w:p>
    <w:p w14:paraId="76244759" w14:textId="77777777" w:rsidR="007A5F17" w:rsidRPr="001D0251" w:rsidRDefault="007A5F17" w:rsidP="007A5F17">
      <w:pPr>
        <w:pStyle w:val="Odstavecseseznamem"/>
        <w:numPr>
          <w:ilvl w:val="1"/>
          <w:numId w:val="34"/>
        </w:numPr>
        <w:spacing w:line="278" w:lineRule="auto"/>
      </w:pPr>
      <w:r w:rsidRPr="001D0251">
        <w:t>Zprostředkování poradenství při rozvoji firemního týmu a rozvoj kompetencí majitelů firem v řízení a vedení firmy</w:t>
      </w:r>
    </w:p>
    <w:p w14:paraId="68D22521" w14:textId="77777777" w:rsidR="007A5F17" w:rsidRPr="001D0251" w:rsidRDefault="007A5F17" w:rsidP="007A5F17">
      <w:pPr>
        <w:pStyle w:val="Odstavecseseznamem"/>
        <w:numPr>
          <w:ilvl w:val="0"/>
          <w:numId w:val="34"/>
        </w:numPr>
        <w:spacing w:line="278" w:lineRule="auto"/>
      </w:pPr>
      <w:r w:rsidRPr="001D0251">
        <w:lastRenderedPageBreak/>
        <w:t>Poradenství při zajišťování finančních zdrojů pro rozvoj firem včetně proof-of-concept</w:t>
      </w:r>
    </w:p>
    <w:p w14:paraId="60E7504F" w14:textId="77777777" w:rsidR="007A5F17" w:rsidRPr="001D0251" w:rsidRDefault="007A5F17" w:rsidP="007A5F17">
      <w:pPr>
        <w:pStyle w:val="Odstavecseseznamem"/>
        <w:numPr>
          <w:ilvl w:val="1"/>
          <w:numId w:val="33"/>
        </w:numPr>
        <w:spacing w:line="278" w:lineRule="auto"/>
      </w:pPr>
      <w:r w:rsidRPr="001D0251">
        <w:t xml:space="preserve">Základní poradenství poskytované interně/externě. </w:t>
      </w:r>
    </w:p>
    <w:p w14:paraId="2500C111" w14:textId="77777777" w:rsidR="007A5F17" w:rsidRPr="001D0251" w:rsidRDefault="007A5F17" w:rsidP="007A5F17">
      <w:pPr>
        <w:pStyle w:val="Odstavecseseznamem"/>
        <w:numPr>
          <w:ilvl w:val="1"/>
          <w:numId w:val="33"/>
        </w:numPr>
        <w:spacing w:line="278" w:lineRule="auto"/>
      </w:pPr>
      <w:r w:rsidRPr="001D0251">
        <w:t xml:space="preserve">Monitoring grantových příležitostí pro start-upy a inovativní MSP </w:t>
      </w:r>
    </w:p>
    <w:p w14:paraId="28FB5EE7" w14:textId="77777777" w:rsidR="007A5F17" w:rsidRPr="001D0251" w:rsidRDefault="007A5F17" w:rsidP="007A5F17">
      <w:pPr>
        <w:pStyle w:val="Odstavecseseznamem"/>
        <w:numPr>
          <w:ilvl w:val="0"/>
          <w:numId w:val="34"/>
        </w:numPr>
        <w:spacing w:line="278" w:lineRule="auto"/>
      </w:pPr>
      <w:r w:rsidRPr="001D0251">
        <w:t>Pořádní kooperačních burz</w:t>
      </w:r>
    </w:p>
    <w:p w14:paraId="4E748076" w14:textId="77777777" w:rsidR="007A5F17" w:rsidRPr="001D0251" w:rsidRDefault="007A5F17" w:rsidP="007A5F17">
      <w:pPr>
        <w:pStyle w:val="Odstavecseseznamem"/>
        <w:numPr>
          <w:ilvl w:val="1"/>
          <w:numId w:val="34"/>
        </w:numPr>
        <w:spacing w:line="278" w:lineRule="auto"/>
      </w:pPr>
      <w:r w:rsidRPr="001D0251">
        <w:t>Pořádání burz, kde dochází k propojení potřeb firem a výzkumných organizací/univerzit</w:t>
      </w:r>
    </w:p>
    <w:p w14:paraId="6670FFB6" w14:textId="77777777" w:rsidR="007A5F17" w:rsidRPr="001D0251" w:rsidRDefault="007A5F17" w:rsidP="007A5F17">
      <w:pPr>
        <w:pStyle w:val="Odstavecseseznamem"/>
        <w:numPr>
          <w:ilvl w:val="0"/>
          <w:numId w:val="34"/>
        </w:numPr>
        <w:spacing w:line="278" w:lineRule="auto"/>
      </w:pPr>
      <w:r w:rsidRPr="001D0251">
        <w:t>Konference, semináře, výstavy, workshopy, další akce</w:t>
      </w:r>
    </w:p>
    <w:p w14:paraId="180EE8F3" w14:textId="77777777" w:rsidR="007A5F17" w:rsidRPr="001D0251" w:rsidRDefault="007A5F17" w:rsidP="007A5F17">
      <w:pPr>
        <w:pStyle w:val="Odstavecseseznamem"/>
        <w:numPr>
          <w:ilvl w:val="1"/>
          <w:numId w:val="34"/>
        </w:numPr>
        <w:spacing w:line="278" w:lineRule="auto"/>
      </w:pPr>
      <w:r w:rsidRPr="001D0251">
        <w:t xml:space="preserve">Organizace účasti firem na odborných seminářích a konferencích a veletrzích relevantních pro obor jejich činnosti (např. tematicky zaměření </w:t>
      </w:r>
      <w:r>
        <w:t>meet-up/mash-up</w:t>
      </w:r>
      <w:r w:rsidRPr="001D0251">
        <w:t>), organizace odborných školení a seminářů s cílem zprostředkovat klientům MSIC nejnovější poznatky a trendy</w:t>
      </w:r>
    </w:p>
    <w:p w14:paraId="0F0B611C" w14:textId="77777777" w:rsidR="007A5F17" w:rsidRPr="001D0251" w:rsidRDefault="007A5F17" w:rsidP="007A5F17">
      <w:pPr>
        <w:pStyle w:val="Odstavecseseznamem"/>
        <w:numPr>
          <w:ilvl w:val="0"/>
          <w:numId w:val="34"/>
        </w:numPr>
        <w:spacing w:line="278" w:lineRule="auto"/>
      </w:pPr>
      <w:r w:rsidRPr="001D0251">
        <w:t>Podpora a propagace podnikavosti</w:t>
      </w:r>
    </w:p>
    <w:p w14:paraId="429936CE" w14:textId="77777777" w:rsidR="007A5F17" w:rsidRPr="001D0251" w:rsidRDefault="007A5F17" w:rsidP="007A5F17">
      <w:pPr>
        <w:pStyle w:val="Odstavecseseznamem"/>
        <w:numPr>
          <w:ilvl w:val="1"/>
          <w:numId w:val="34"/>
        </w:numPr>
        <w:spacing w:line="278" w:lineRule="auto"/>
      </w:pPr>
      <w:r w:rsidRPr="001D0251">
        <w:t>Organizace seminářů na podporu změny vnímání podnikání jak mezi veřejností, tak i studenty a akademickými pracovníky. Pro zájemce o podnikání budou poskytovány individuální konzultace anebo skupinové workshopy</w:t>
      </w:r>
    </w:p>
    <w:p w14:paraId="0AD84931" w14:textId="77777777" w:rsidR="007A5F17" w:rsidRPr="001D0251" w:rsidRDefault="007A5F17" w:rsidP="007A5F17">
      <w:pPr>
        <w:pStyle w:val="Odstavecseseznamem"/>
        <w:numPr>
          <w:ilvl w:val="0"/>
          <w:numId w:val="34"/>
        </w:numPr>
        <w:spacing w:line="278" w:lineRule="auto"/>
      </w:pPr>
      <w:r w:rsidRPr="001D0251">
        <w:t>Transfer technologií</w:t>
      </w:r>
    </w:p>
    <w:p w14:paraId="267C93CD" w14:textId="77777777" w:rsidR="007A5F17" w:rsidRPr="001D0251" w:rsidRDefault="007A5F17" w:rsidP="007A5F17">
      <w:pPr>
        <w:pStyle w:val="Odstavecseseznamem"/>
        <w:numPr>
          <w:ilvl w:val="1"/>
          <w:numId w:val="34"/>
        </w:numPr>
        <w:spacing w:line="278" w:lineRule="auto"/>
      </w:pPr>
      <w:r w:rsidRPr="001D0251">
        <w:t>Podpora přenosu výsledků výzkumu a vývoje do podnikatelské praxe formou založení společnosti, odprodeje licence nebo dalšími způsoby</w:t>
      </w:r>
    </w:p>
    <w:p w14:paraId="143EDF64" w14:textId="77777777" w:rsidR="007A5F17" w:rsidRPr="001D0251" w:rsidRDefault="007A5F17" w:rsidP="007A5F17">
      <w:pPr>
        <w:pStyle w:val="Odstavecseseznamem"/>
        <w:numPr>
          <w:ilvl w:val="0"/>
          <w:numId w:val="34"/>
        </w:numPr>
        <w:spacing w:line="278" w:lineRule="auto"/>
      </w:pPr>
      <w:r w:rsidRPr="001D0251">
        <w:t>Rozvoj kompetencí firem</w:t>
      </w:r>
    </w:p>
    <w:p w14:paraId="4B0CB07B" w14:textId="77777777" w:rsidR="007A5F17" w:rsidRPr="001D0251" w:rsidRDefault="007A5F17" w:rsidP="007A5F17">
      <w:pPr>
        <w:pStyle w:val="Odstavecseseznamem"/>
        <w:numPr>
          <w:ilvl w:val="0"/>
          <w:numId w:val="34"/>
        </w:numPr>
        <w:spacing w:line="278" w:lineRule="auto"/>
      </w:pPr>
      <w:r w:rsidRPr="001D0251">
        <w:t xml:space="preserve">Interim management pro start-upy/scale-up (např. Entrepreneur-In-Residence) </w:t>
      </w:r>
    </w:p>
    <w:p w14:paraId="40DB3E84" w14:textId="77777777" w:rsidR="007A5F17" w:rsidRPr="001D0251" w:rsidRDefault="007A5F17" w:rsidP="007A5F17">
      <w:pPr>
        <w:pStyle w:val="Odstavecseseznamem"/>
        <w:numPr>
          <w:ilvl w:val="0"/>
          <w:numId w:val="34"/>
        </w:numPr>
        <w:spacing w:line="278" w:lineRule="auto"/>
      </w:pPr>
      <w:r w:rsidRPr="001D0251">
        <w:t>Networking/matchmaking</w:t>
      </w:r>
    </w:p>
    <w:p w14:paraId="35FA3402" w14:textId="77777777" w:rsidR="007A5F17" w:rsidRPr="001D0251" w:rsidRDefault="007A5F17" w:rsidP="007A5F17">
      <w:pPr>
        <w:pStyle w:val="Odstavecseseznamem"/>
        <w:numPr>
          <w:ilvl w:val="0"/>
          <w:numId w:val="34"/>
        </w:numPr>
        <w:spacing w:line="278" w:lineRule="auto"/>
      </w:pPr>
      <w:r w:rsidRPr="001D0251">
        <w:t>Rozvoj sítě regionálních skautů/ambasadorů (např. Startovárna)</w:t>
      </w:r>
    </w:p>
    <w:p w14:paraId="5AA9F356" w14:textId="77777777" w:rsidR="007A5F17" w:rsidRPr="001D0251" w:rsidRDefault="007A5F17" w:rsidP="007A5F17">
      <w:pPr>
        <w:pStyle w:val="Odstavecseseznamem"/>
        <w:ind w:left="1068"/>
      </w:pPr>
    </w:p>
    <w:p w14:paraId="44E91670" w14:textId="77777777" w:rsidR="007A5F17" w:rsidRPr="001D0251" w:rsidRDefault="007A5F17" w:rsidP="007A5F17">
      <w:pPr>
        <w:pStyle w:val="Odstavecseseznamem"/>
        <w:numPr>
          <w:ilvl w:val="0"/>
          <w:numId w:val="34"/>
        </w:numPr>
        <w:spacing w:line="278" w:lineRule="auto"/>
      </w:pPr>
      <w:r w:rsidRPr="001D0251">
        <w:t>Konzultační podpora pro malé a střední firmy (např. program Expand)</w:t>
      </w:r>
    </w:p>
    <w:p w14:paraId="3D0EAB9E" w14:textId="77777777" w:rsidR="007A5F17" w:rsidRPr="001D0251" w:rsidRDefault="007A5F17" w:rsidP="007A5F17">
      <w:pPr>
        <w:pStyle w:val="Odstavecseseznamem"/>
        <w:numPr>
          <w:ilvl w:val="1"/>
          <w:numId w:val="34"/>
        </w:numPr>
        <w:spacing w:line="278" w:lineRule="auto"/>
      </w:pPr>
      <w:r w:rsidRPr="001D0251">
        <w:t>Organizace koučinkového programu pro technologické firmy z MSK</w:t>
      </w:r>
    </w:p>
    <w:p w14:paraId="76DA9992" w14:textId="77777777" w:rsidR="007A5F17" w:rsidRPr="001D0251" w:rsidRDefault="007A5F17" w:rsidP="007A5F17">
      <w:pPr>
        <w:pStyle w:val="Odstavecseseznamem"/>
        <w:numPr>
          <w:ilvl w:val="1"/>
          <w:numId w:val="34"/>
        </w:numPr>
        <w:spacing w:line="278" w:lineRule="auto"/>
      </w:pPr>
      <w:r w:rsidRPr="001D0251">
        <w:t>Provádění analýz inovační</w:t>
      </w:r>
      <w:r>
        <w:t>ch</w:t>
      </w:r>
      <w:r w:rsidRPr="001D0251">
        <w:t xml:space="preserve"> příležitostí ve firmách</w:t>
      </w:r>
    </w:p>
    <w:p w14:paraId="3B4279B0" w14:textId="77777777" w:rsidR="007A5F17" w:rsidRPr="001D0251" w:rsidRDefault="007A5F17" w:rsidP="007A5F17">
      <w:pPr>
        <w:pStyle w:val="Odstavecseseznamem"/>
        <w:numPr>
          <w:ilvl w:val="1"/>
          <w:numId w:val="34"/>
        </w:numPr>
        <w:spacing w:line="278" w:lineRule="auto"/>
      </w:pPr>
      <w:r w:rsidRPr="001D0251">
        <w:t>Poskytování kofinancování nákladů na externí experty poskytované firmám</w:t>
      </w:r>
    </w:p>
    <w:p w14:paraId="00433453" w14:textId="77777777" w:rsidR="007A5F17" w:rsidRPr="001D0251" w:rsidRDefault="007A5F17" w:rsidP="007A5F17">
      <w:pPr>
        <w:pStyle w:val="Odstavecseseznamem"/>
        <w:numPr>
          <w:ilvl w:val="1"/>
          <w:numId w:val="34"/>
        </w:numPr>
        <w:spacing w:line="278" w:lineRule="auto"/>
      </w:pPr>
      <w:r w:rsidRPr="001D0251">
        <w:t>Partnering – zprostředkování obchodních/technologických příležitostí/partnerů</w:t>
      </w:r>
    </w:p>
    <w:p w14:paraId="2D3B1065" w14:textId="77777777" w:rsidR="007A5F17" w:rsidRPr="001D0251" w:rsidRDefault="007A5F17" w:rsidP="007A5F17">
      <w:pPr>
        <w:pStyle w:val="Odstavecseseznamem"/>
        <w:numPr>
          <w:ilvl w:val="1"/>
          <w:numId w:val="34"/>
        </w:numPr>
        <w:spacing w:line="278" w:lineRule="auto"/>
      </w:pPr>
      <w:r w:rsidRPr="001D0251">
        <w:t>Rozvoj sítě expertů</w:t>
      </w:r>
    </w:p>
    <w:p w14:paraId="4DF0CE08" w14:textId="77777777" w:rsidR="007A5F17" w:rsidRPr="001D0251" w:rsidRDefault="007A5F17" w:rsidP="007A5F17">
      <w:pPr>
        <w:pStyle w:val="Odstavecseseznamem"/>
        <w:ind w:left="1068"/>
      </w:pPr>
    </w:p>
    <w:p w14:paraId="2A1CDAE1" w14:textId="77777777" w:rsidR="007A5F17" w:rsidRPr="001D0251" w:rsidRDefault="007A5F17" w:rsidP="007A5F17">
      <w:pPr>
        <w:pStyle w:val="Odstavecseseznamem"/>
        <w:numPr>
          <w:ilvl w:val="0"/>
          <w:numId w:val="34"/>
        </w:numPr>
        <w:spacing w:line="278" w:lineRule="auto"/>
      </w:pPr>
      <w:r w:rsidRPr="001D0251">
        <w:t>Konzultační podpora pro malé a střední firmy v oblasti digitalizace/kybernetické bezpečnosti/ENVI/AI/prototypů</w:t>
      </w:r>
      <w:r>
        <w:t xml:space="preserve"> a dalších</w:t>
      </w:r>
    </w:p>
    <w:p w14:paraId="3005B8A4" w14:textId="77777777" w:rsidR="007A5F17" w:rsidRPr="001D0251" w:rsidRDefault="007A5F17" w:rsidP="007A5F17">
      <w:pPr>
        <w:pStyle w:val="Odstavecseseznamem"/>
        <w:numPr>
          <w:ilvl w:val="1"/>
          <w:numId w:val="34"/>
        </w:numPr>
        <w:spacing w:line="278" w:lineRule="auto"/>
      </w:pPr>
      <w:r w:rsidRPr="001D0251">
        <w:t>Organizace mentoringového programu pro technologické firmy z MSK v oblasti digi/cyber/AI/ENVI/prototypů</w:t>
      </w:r>
      <w:r>
        <w:t xml:space="preserve"> a dalších</w:t>
      </w:r>
    </w:p>
    <w:p w14:paraId="66892951" w14:textId="77777777" w:rsidR="007A5F17" w:rsidRPr="001D0251" w:rsidRDefault="007A5F17" w:rsidP="007A5F17">
      <w:pPr>
        <w:pStyle w:val="Odstavecseseznamem"/>
        <w:numPr>
          <w:ilvl w:val="1"/>
          <w:numId w:val="34"/>
        </w:numPr>
        <w:spacing w:line="278" w:lineRule="auto"/>
      </w:pPr>
      <w:r w:rsidRPr="001D0251">
        <w:t>Příprava komplexní DIGI strategie</w:t>
      </w:r>
    </w:p>
    <w:p w14:paraId="3702FC0A" w14:textId="77777777" w:rsidR="007A5F17" w:rsidRPr="001D0251" w:rsidRDefault="007A5F17" w:rsidP="007A5F17">
      <w:pPr>
        <w:pStyle w:val="Odstavecseseznamem"/>
        <w:numPr>
          <w:ilvl w:val="1"/>
          <w:numId w:val="34"/>
        </w:numPr>
        <w:spacing w:line="278" w:lineRule="auto"/>
      </w:pPr>
      <w:r w:rsidRPr="001D0251">
        <w:t>Provádění skenů ve firmě</w:t>
      </w:r>
    </w:p>
    <w:p w14:paraId="088BEFE4" w14:textId="77777777" w:rsidR="007A5F17" w:rsidRPr="001D0251" w:rsidRDefault="007A5F17" w:rsidP="007A5F17">
      <w:pPr>
        <w:pStyle w:val="Odstavecseseznamem"/>
        <w:numPr>
          <w:ilvl w:val="1"/>
          <w:numId w:val="34"/>
        </w:numPr>
        <w:spacing w:line="278" w:lineRule="auto"/>
      </w:pPr>
      <w:r w:rsidRPr="001D0251">
        <w:t>Poskytování kofinancování nákladů na externí experty poskytované firmám</w:t>
      </w:r>
    </w:p>
    <w:p w14:paraId="7B7EB2A6" w14:textId="77777777" w:rsidR="007A5F17" w:rsidRPr="001D0251" w:rsidRDefault="007A5F17" w:rsidP="007A5F17">
      <w:pPr>
        <w:pStyle w:val="Odstavecseseznamem"/>
        <w:numPr>
          <w:ilvl w:val="1"/>
          <w:numId w:val="34"/>
        </w:numPr>
        <w:spacing w:line="278" w:lineRule="auto"/>
      </w:pPr>
      <w:r w:rsidRPr="001D0251">
        <w:t>Partnering – zprostředkování obchodních/technologických příležitostí/partnerů</w:t>
      </w:r>
    </w:p>
    <w:p w14:paraId="46988CAE" w14:textId="77777777" w:rsidR="007A5F17" w:rsidRDefault="007A5F17" w:rsidP="007A5F17">
      <w:pPr>
        <w:pStyle w:val="Odstavecseseznamem"/>
        <w:numPr>
          <w:ilvl w:val="1"/>
          <w:numId w:val="34"/>
        </w:numPr>
        <w:spacing w:line="278" w:lineRule="auto"/>
      </w:pPr>
      <w:r w:rsidRPr="001D0251">
        <w:t>Rozvoj sítě expertů</w:t>
      </w:r>
    </w:p>
    <w:p w14:paraId="6559CB25" w14:textId="77777777" w:rsidR="007A5F17" w:rsidRDefault="007A5F17" w:rsidP="007A5F17">
      <w:pPr>
        <w:pStyle w:val="Odstavecseseznamem"/>
        <w:spacing w:line="278" w:lineRule="auto"/>
        <w:ind w:left="1788"/>
      </w:pPr>
    </w:p>
    <w:p w14:paraId="40D345C6" w14:textId="77777777" w:rsidR="007A5F17" w:rsidRPr="001D0251" w:rsidRDefault="007A5F17" w:rsidP="007A5F17">
      <w:pPr>
        <w:pStyle w:val="Odstavecseseznamem"/>
        <w:numPr>
          <w:ilvl w:val="1"/>
          <w:numId w:val="37"/>
        </w:numPr>
        <w:spacing w:after="200" w:line="276" w:lineRule="auto"/>
        <w:rPr>
          <w:b/>
          <w:bCs/>
        </w:rPr>
      </w:pPr>
      <w:r w:rsidRPr="001D0251">
        <w:rPr>
          <w:b/>
          <w:bCs/>
        </w:rPr>
        <w:t>Rozvoj sítě expertů</w:t>
      </w:r>
    </w:p>
    <w:p w14:paraId="04289606" w14:textId="5FABE443" w:rsidR="007A5F17" w:rsidRPr="001D0251" w:rsidRDefault="007A5F17" w:rsidP="007A5F17">
      <w:pPr>
        <w:jc w:val="both"/>
      </w:pPr>
      <w:r w:rsidRPr="001D0251">
        <w:t xml:space="preserve">Pro co nejvyšší kvalitu svých služeb pro </w:t>
      </w:r>
      <w:r>
        <w:t>start-upy a</w:t>
      </w:r>
      <w:r w:rsidRPr="001D0251">
        <w:t xml:space="preserve"> malé a střední firmy s potenciálem buduje MSIC síť prověřených expert</w:t>
      </w:r>
      <w:r>
        <w:t>ů</w:t>
      </w:r>
      <w:r w:rsidRPr="001D0251">
        <w:t xml:space="preserve"> s prokazatelnou zkušeností při úspěšném řešení projektů, s nimiž se potýkají stávající klienti MSIC. V každém roce budou probíhat akreditační pohovory s experty, tak aby se síť </w:t>
      </w:r>
      <w:r w:rsidRPr="001D0251">
        <w:lastRenderedPageBreak/>
        <w:t>expert</w:t>
      </w:r>
      <w:r>
        <w:t>ů</w:t>
      </w:r>
      <w:r w:rsidRPr="001D0251">
        <w:t xml:space="preserve"> nadále rozšiřovala. Současně se bude rozvíjet funkční systém práce s experty např. formou úvodních workshopů, setkání expert</w:t>
      </w:r>
      <w:r>
        <w:t>ů</w:t>
      </w:r>
      <w:r w:rsidRPr="001D0251">
        <w:t xml:space="preserve"> apod. </w:t>
      </w:r>
    </w:p>
    <w:p w14:paraId="24101689" w14:textId="77777777" w:rsidR="007A5F17" w:rsidRPr="001D0251" w:rsidRDefault="007A5F17" w:rsidP="007A5F17">
      <w:pPr>
        <w:rPr>
          <w:b/>
          <w:bCs/>
        </w:rPr>
      </w:pPr>
      <w:r w:rsidRPr="001D0251">
        <w:rPr>
          <w:b/>
          <w:bCs/>
        </w:rPr>
        <w:t>Roční indikátory:</w:t>
      </w:r>
    </w:p>
    <w:p w14:paraId="183D3BA5" w14:textId="77777777" w:rsidR="007A5F17" w:rsidRPr="001D0251" w:rsidRDefault="007A5F17" w:rsidP="007A5F17">
      <w:r w:rsidRPr="001D0251">
        <w:t xml:space="preserve">Počet podpořených rozjezdů/start-upů a </w:t>
      </w:r>
      <w:r>
        <w:t>inovativních</w:t>
      </w:r>
      <w:r w:rsidRPr="001D0251">
        <w:t xml:space="preserve"> MSP (v</w:t>
      </w:r>
      <w:r>
        <w:t>í</w:t>
      </w:r>
      <w:r w:rsidRPr="001D0251">
        <w:t>ce jak 4 hodiny služeb) – minimálně 72</w:t>
      </w:r>
      <w:r>
        <w:t xml:space="preserve"> podpořených firem</w:t>
      </w:r>
    </w:p>
    <w:p w14:paraId="0025F36D" w14:textId="77777777" w:rsidR="007A5F17" w:rsidRPr="001D0251" w:rsidRDefault="007A5F17" w:rsidP="007A5F17">
      <w:r w:rsidRPr="001D0251">
        <w:t>Počet zapojených studentů/výzkumníků – minimálně 9</w:t>
      </w:r>
    </w:p>
    <w:p w14:paraId="4AF83ED7" w14:textId="77777777" w:rsidR="007A5F17" w:rsidRPr="001D0251" w:rsidRDefault="007A5F17" w:rsidP="007A5F17">
      <w:r w:rsidRPr="001D0251">
        <w:t>Počet propojení – minimálně 27</w:t>
      </w:r>
    </w:p>
    <w:p w14:paraId="308F9852" w14:textId="77777777" w:rsidR="007A5F17" w:rsidRPr="001D0251" w:rsidRDefault="007A5F17" w:rsidP="007A5F17">
      <w:r w:rsidRPr="001D0251">
        <w:t>Počet akcí pro experty – minimálně 1 akce s minimálně 60 účastníky</w:t>
      </w:r>
    </w:p>
    <w:p w14:paraId="0FD35E54" w14:textId="77777777" w:rsidR="007A5F17" w:rsidRPr="00E150D3" w:rsidRDefault="007A5F17" w:rsidP="007A5F17">
      <w:pPr>
        <w:rPr>
          <w:b/>
          <w:bCs/>
        </w:rPr>
      </w:pPr>
    </w:p>
    <w:p w14:paraId="3AD67C81" w14:textId="77777777" w:rsidR="007A5F17" w:rsidRPr="00FB34A9" w:rsidRDefault="007A5F17" w:rsidP="007A5F17">
      <w:pPr>
        <w:pStyle w:val="Nadpis2"/>
        <w:numPr>
          <w:ilvl w:val="0"/>
          <w:numId w:val="37"/>
        </w:numPr>
      </w:pPr>
      <w:r w:rsidRPr="00FB34A9">
        <w:t>Ostrava Expat Centrum</w:t>
      </w:r>
    </w:p>
    <w:p w14:paraId="51733F59" w14:textId="77777777" w:rsidR="007A5F17" w:rsidRPr="001D0251" w:rsidRDefault="007A5F17" w:rsidP="007A5F17">
      <w:pPr>
        <w:jc w:val="both"/>
      </w:pPr>
      <w:r w:rsidRPr="001D0251">
        <w:t>V rámci této činnosti budou dále rozvíjeny aktivity Ostrava Expat Centre (OEC). Cílem činnosti je podpora a rozvoj komunity Expatů v</w:t>
      </w:r>
      <w:r>
        <w:t> Ostravě a v MSK</w:t>
      </w:r>
      <w:r w:rsidRPr="001D0251">
        <w:t xml:space="preserve"> a zajištění podpůrných služeb, jak pro přicházející zahraniční pracovníky do start-upů, tak také zahraniční start-upy, které chtějí působit v MSK. V rámci OEC budou rozvíjeny především tyto služby – one-stop-shop minimálně v rozsahu 20</w:t>
      </w:r>
      <w:r>
        <w:t xml:space="preserve"> </w:t>
      </w:r>
      <w:r w:rsidRPr="001D0251">
        <w:t>h</w:t>
      </w:r>
      <w:r>
        <w:t xml:space="preserve">odin </w:t>
      </w:r>
      <w:r w:rsidRPr="001D0251">
        <w:t xml:space="preserve">týdně, relokační servis pro high-skilled workers ve start-upech, soft-landing pro zahraniční start-upy, rozvoj database Expat Friendly Services a realizace komunitních a rozvojových akcí. </w:t>
      </w:r>
    </w:p>
    <w:p w14:paraId="4D52150B" w14:textId="77777777" w:rsidR="007A5F17" w:rsidRPr="001D0251" w:rsidRDefault="007A5F17" w:rsidP="007A5F17">
      <w:pPr>
        <w:jc w:val="both"/>
        <w:rPr>
          <w:b/>
          <w:bCs/>
        </w:rPr>
      </w:pPr>
      <w:r w:rsidRPr="001D0251">
        <w:rPr>
          <w:b/>
          <w:bCs/>
        </w:rPr>
        <w:t>Roční indikátory:</w:t>
      </w:r>
    </w:p>
    <w:p w14:paraId="60FE2D6C" w14:textId="77777777" w:rsidR="007A5F17" w:rsidRPr="001D0251" w:rsidRDefault="007A5F17" w:rsidP="007A5F17">
      <w:r w:rsidRPr="001D0251">
        <w:t xml:space="preserve">min. 200 dotazů, </w:t>
      </w:r>
    </w:p>
    <w:p w14:paraId="12216DB1" w14:textId="77777777" w:rsidR="007A5F17" w:rsidRPr="001D0251" w:rsidRDefault="007A5F17" w:rsidP="007A5F17">
      <w:r w:rsidRPr="001D0251">
        <w:t xml:space="preserve">min. 4 relokace, </w:t>
      </w:r>
    </w:p>
    <w:p w14:paraId="2779D088" w14:textId="77777777" w:rsidR="007A5F17" w:rsidRPr="001D0251" w:rsidRDefault="007A5F17" w:rsidP="007A5F17">
      <w:r w:rsidRPr="001D0251">
        <w:t xml:space="preserve">min. 4 eventy, </w:t>
      </w:r>
    </w:p>
    <w:p w14:paraId="0741B1D9" w14:textId="77777777" w:rsidR="007A5F17" w:rsidRPr="001D0251" w:rsidRDefault="007A5F17" w:rsidP="007A5F17">
      <w:r w:rsidRPr="001D0251">
        <w:t xml:space="preserve">min. 6 umístěných cizinců, </w:t>
      </w:r>
    </w:p>
    <w:p w14:paraId="7E508D66" w14:textId="77777777" w:rsidR="007A5F17" w:rsidRDefault="007A5F17" w:rsidP="007A5F17">
      <w:r w:rsidRPr="001D0251">
        <w:t>min. 2 nově založené IČ cizinci.</w:t>
      </w:r>
    </w:p>
    <w:p w14:paraId="734D6B67" w14:textId="77777777" w:rsidR="007A5F17" w:rsidRPr="00E07230" w:rsidRDefault="007A5F17" w:rsidP="007A5F17">
      <w:pPr>
        <w:jc w:val="both"/>
      </w:pPr>
      <w:r w:rsidRPr="00E07230">
        <w:t xml:space="preserve"> </w:t>
      </w:r>
    </w:p>
    <w:p w14:paraId="7C1E373D" w14:textId="77777777" w:rsidR="007A5F17" w:rsidRDefault="007A5F17" w:rsidP="00F42B8B">
      <w:pPr>
        <w:pStyle w:val="Nadpis2"/>
        <w:numPr>
          <w:ilvl w:val="0"/>
          <w:numId w:val="37"/>
        </w:numPr>
        <w:tabs>
          <w:tab w:val="num" w:pos="360"/>
        </w:tabs>
        <w:ind w:left="0" w:firstLine="0"/>
        <w:jc w:val="both"/>
      </w:pPr>
      <w:r w:rsidRPr="00E07230">
        <w:t>Příprava a implementace projektu financovaného z Operačního programu Jan Amos Komenský – výzvy Smart Akcelerátor+ I a výzvy Smart Akcelerátor+ II</w:t>
      </w:r>
    </w:p>
    <w:p w14:paraId="2E3A23DC" w14:textId="77777777" w:rsidR="007A5F17" w:rsidRDefault="007A5F17" w:rsidP="007A5F17">
      <w:pPr>
        <w:jc w:val="both"/>
        <w:rPr>
          <w:rFonts w:cstheme="minorHAnsi"/>
        </w:rPr>
      </w:pPr>
      <w:r w:rsidRPr="00E07230">
        <w:rPr>
          <w:rFonts w:cstheme="minorHAnsi"/>
        </w:rPr>
        <w:t>Realizace aktivit projektu Smart Akcelerátor+I do 31.12.2026 (Výzva č. 02_22_009 Smart Akcelerátor+ I) a příprava a implementace navazujícího projektu Smart Akcelerátor+II (Výzva č. 02_25_042 Smart Akcelerátor+ II) od 01.01.2027 do 30.06.2029.</w:t>
      </w:r>
    </w:p>
    <w:p w14:paraId="077E7CC7" w14:textId="77777777" w:rsidR="007A5F17" w:rsidRDefault="007A5F17" w:rsidP="007A5F17">
      <w:pPr>
        <w:jc w:val="both"/>
        <w:rPr>
          <w:lang w:eastAsia="ar-SA"/>
        </w:rPr>
      </w:pPr>
      <w:r w:rsidRPr="006501B6">
        <w:rPr>
          <w:lang w:eastAsia="ar-SA"/>
        </w:rPr>
        <w:t>Cílem</w:t>
      </w:r>
      <w:r>
        <w:rPr>
          <w:lang w:eastAsia="ar-SA"/>
        </w:rPr>
        <w:t xml:space="preserve"> projektu</w:t>
      </w:r>
      <w:r w:rsidRPr="006501B6">
        <w:rPr>
          <w:lang w:eastAsia="ar-SA"/>
        </w:rPr>
        <w:t xml:space="preserve"> je umožnit rozvoj kapacit a kompetencí přispívajících k vytváření podmínek pro posilování inteligentní specializace, rozvoje inovačních ekosystémů a rozvoje spolupráce mezi aktéry napříč sférami tzv. triple/quadruple helix (zejména výzkumných organizací, vzdělávacích institucí, firemní sféry a veřejného sektoru) v souladu s prioritami definovanými Národní výzkumnou a inovační strategií pro inteligentní specializaci České republiky 2021–2027 a její regionální dimenzí. </w:t>
      </w:r>
      <w:r>
        <w:rPr>
          <w:lang w:eastAsia="ar-SA"/>
        </w:rPr>
        <w:t xml:space="preserve">Cílem projektu je </w:t>
      </w:r>
      <w:r w:rsidRPr="006501B6">
        <w:rPr>
          <w:lang w:eastAsia="ar-SA"/>
        </w:rPr>
        <w:t>dále rozvinout spolupráci mezi institucemi odpovědnými za přípravu a realizaci nástrojů podpory výzkumu, vývoje a inovací na regionální úrovni a využít výstupů realizovaných intervencí a projektů k dalšímu rozvoji region</w:t>
      </w:r>
      <w:r>
        <w:rPr>
          <w:lang w:eastAsia="ar-SA"/>
        </w:rPr>
        <w:t>u</w:t>
      </w:r>
      <w:r w:rsidRPr="006501B6">
        <w:rPr>
          <w:lang w:eastAsia="ar-SA"/>
        </w:rPr>
        <w:t>.</w:t>
      </w:r>
    </w:p>
    <w:p w14:paraId="1A858735" w14:textId="77777777" w:rsidR="007A5F17" w:rsidRPr="00062BEE" w:rsidRDefault="007A5F17" w:rsidP="007A5F17">
      <w:pPr>
        <w:jc w:val="both"/>
        <w:rPr>
          <w:rFonts w:cstheme="minorHAnsi"/>
        </w:rPr>
      </w:pPr>
    </w:p>
    <w:p w14:paraId="0FA0B67A" w14:textId="77777777" w:rsidR="007A5F17" w:rsidRPr="001D0251" w:rsidRDefault="007A5F17" w:rsidP="007A5F17">
      <w:pPr>
        <w:jc w:val="both"/>
        <w:rPr>
          <w:b/>
          <w:bCs/>
        </w:rPr>
      </w:pPr>
      <w:r>
        <w:rPr>
          <w:b/>
          <w:bCs/>
        </w:rPr>
        <w:lastRenderedPageBreak/>
        <w:t>Indikátory pro rok 2026</w:t>
      </w:r>
      <w:r w:rsidRPr="001D0251">
        <w:rPr>
          <w:b/>
          <w:bCs/>
        </w:rPr>
        <w:t>:</w:t>
      </w:r>
    </w:p>
    <w:p w14:paraId="23851EF8" w14:textId="77777777" w:rsidR="007A5F17" w:rsidRDefault="007A5F17" w:rsidP="007A5F17">
      <w:pPr>
        <w:pStyle w:val="Odstavecseseznamem"/>
        <w:ind w:left="0"/>
        <w:jc w:val="both"/>
      </w:pPr>
    </w:p>
    <w:tbl>
      <w:tblPr>
        <w:tblpPr w:leftFromText="141" w:rightFromText="141" w:vertAnchor="text"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6374"/>
        <w:gridCol w:w="1985"/>
      </w:tblGrid>
      <w:tr w:rsidR="007A5F17" w:rsidRPr="001A4AF5" w14:paraId="3AA3BA93" w14:textId="77777777" w:rsidTr="00486CA2">
        <w:trPr>
          <w:trHeight w:val="300"/>
        </w:trPr>
        <w:tc>
          <w:tcPr>
            <w:tcW w:w="6374" w:type="dxa"/>
            <w:vAlign w:val="bottom"/>
            <w:hideMark/>
          </w:tcPr>
          <w:p w14:paraId="4501CFDC" w14:textId="77777777" w:rsidR="007A5F17" w:rsidRPr="00770250" w:rsidRDefault="007A5F17" w:rsidP="00486CA2">
            <w:pPr>
              <w:spacing w:after="0" w:line="240" w:lineRule="auto"/>
              <w:rPr>
                <w:lang w:eastAsia="ar-SA"/>
              </w:rPr>
            </w:pPr>
            <w:r w:rsidRPr="00770250">
              <w:rPr>
                <w:lang w:eastAsia="ar-SA"/>
              </w:rPr>
              <w:t>Vyhodnocení Akčního plánu RIS3 strategie</w:t>
            </w:r>
          </w:p>
        </w:tc>
        <w:tc>
          <w:tcPr>
            <w:tcW w:w="1985" w:type="dxa"/>
            <w:noWrap/>
            <w:vAlign w:val="bottom"/>
            <w:hideMark/>
          </w:tcPr>
          <w:p w14:paraId="718FF480" w14:textId="77777777" w:rsidR="007A5F17" w:rsidRPr="00770250" w:rsidRDefault="007A5F17" w:rsidP="00486CA2">
            <w:pPr>
              <w:spacing w:after="0" w:line="240" w:lineRule="auto"/>
              <w:jc w:val="right"/>
              <w:rPr>
                <w:lang w:eastAsia="ar-SA"/>
              </w:rPr>
            </w:pPr>
            <w:r w:rsidRPr="00770250">
              <w:rPr>
                <w:lang w:eastAsia="ar-SA"/>
              </w:rPr>
              <w:t>2</w:t>
            </w:r>
          </w:p>
        </w:tc>
      </w:tr>
      <w:tr w:rsidR="007A5F17" w:rsidRPr="001A4AF5" w14:paraId="5AA281B7" w14:textId="77777777" w:rsidTr="00486CA2">
        <w:trPr>
          <w:trHeight w:val="570"/>
        </w:trPr>
        <w:tc>
          <w:tcPr>
            <w:tcW w:w="6374" w:type="dxa"/>
            <w:vAlign w:val="bottom"/>
            <w:hideMark/>
          </w:tcPr>
          <w:p w14:paraId="36397EC8" w14:textId="77777777" w:rsidR="007A5F17" w:rsidRPr="00770250" w:rsidRDefault="007A5F17" w:rsidP="00486CA2">
            <w:pPr>
              <w:spacing w:after="0" w:line="240" w:lineRule="auto"/>
              <w:rPr>
                <w:lang w:eastAsia="ar-SA"/>
              </w:rPr>
            </w:pPr>
            <w:r w:rsidRPr="00770250">
              <w:rPr>
                <w:lang w:eastAsia="ar-SA"/>
              </w:rPr>
              <w:t>Aktualizace Akčního plánu RIS3 strategie</w:t>
            </w:r>
          </w:p>
        </w:tc>
        <w:tc>
          <w:tcPr>
            <w:tcW w:w="1985" w:type="dxa"/>
            <w:noWrap/>
            <w:vAlign w:val="bottom"/>
            <w:hideMark/>
          </w:tcPr>
          <w:p w14:paraId="56C18F47" w14:textId="77777777" w:rsidR="007A5F17" w:rsidRPr="00770250" w:rsidRDefault="007A5F17" w:rsidP="00486CA2">
            <w:pPr>
              <w:spacing w:after="0" w:line="240" w:lineRule="auto"/>
              <w:jc w:val="right"/>
              <w:rPr>
                <w:lang w:eastAsia="ar-SA"/>
              </w:rPr>
            </w:pPr>
            <w:r w:rsidRPr="00770250">
              <w:rPr>
                <w:lang w:eastAsia="ar-SA"/>
              </w:rPr>
              <w:t>2</w:t>
            </w:r>
          </w:p>
        </w:tc>
      </w:tr>
      <w:tr w:rsidR="007A5F17" w:rsidRPr="001A4AF5" w14:paraId="60D56CFE" w14:textId="77777777" w:rsidTr="00486CA2">
        <w:trPr>
          <w:trHeight w:val="285"/>
        </w:trPr>
        <w:tc>
          <w:tcPr>
            <w:tcW w:w="6374" w:type="dxa"/>
            <w:vAlign w:val="bottom"/>
            <w:hideMark/>
          </w:tcPr>
          <w:p w14:paraId="27572B0A" w14:textId="77777777" w:rsidR="007A5F17" w:rsidRPr="00770250" w:rsidRDefault="007A5F17" w:rsidP="00486CA2">
            <w:pPr>
              <w:spacing w:after="0" w:line="240" w:lineRule="auto"/>
              <w:rPr>
                <w:lang w:eastAsia="ar-SA"/>
              </w:rPr>
            </w:pPr>
            <w:r w:rsidRPr="00770250">
              <w:rPr>
                <w:lang w:eastAsia="ar-SA"/>
              </w:rPr>
              <w:t>Jednání Rady pro inovace</w:t>
            </w:r>
          </w:p>
        </w:tc>
        <w:tc>
          <w:tcPr>
            <w:tcW w:w="1985" w:type="dxa"/>
            <w:noWrap/>
            <w:vAlign w:val="bottom"/>
            <w:hideMark/>
          </w:tcPr>
          <w:p w14:paraId="561AE524" w14:textId="77777777" w:rsidR="007A5F17" w:rsidRPr="00770250" w:rsidRDefault="007A5F17" w:rsidP="00486CA2">
            <w:pPr>
              <w:spacing w:after="0" w:line="240" w:lineRule="auto"/>
              <w:jc w:val="right"/>
              <w:rPr>
                <w:lang w:eastAsia="ar-SA"/>
              </w:rPr>
            </w:pPr>
            <w:r w:rsidRPr="00770250">
              <w:rPr>
                <w:lang w:eastAsia="ar-SA"/>
              </w:rPr>
              <w:t>2</w:t>
            </w:r>
          </w:p>
        </w:tc>
      </w:tr>
      <w:tr w:rsidR="007A5F17" w:rsidRPr="001A4AF5" w14:paraId="3BD8CB6F" w14:textId="77777777" w:rsidTr="00486CA2">
        <w:trPr>
          <w:trHeight w:val="570"/>
        </w:trPr>
        <w:tc>
          <w:tcPr>
            <w:tcW w:w="6374" w:type="dxa"/>
            <w:vAlign w:val="bottom"/>
            <w:hideMark/>
          </w:tcPr>
          <w:p w14:paraId="76C34115" w14:textId="77777777" w:rsidR="007A5F17" w:rsidRPr="00770250" w:rsidRDefault="007A5F17" w:rsidP="00486CA2">
            <w:pPr>
              <w:spacing w:after="0" w:line="240" w:lineRule="auto"/>
              <w:rPr>
                <w:lang w:eastAsia="ar-SA"/>
              </w:rPr>
            </w:pPr>
            <w:r w:rsidRPr="00770250">
              <w:rPr>
                <w:lang w:eastAsia="ar-SA"/>
              </w:rPr>
              <w:t>Alumni Business kemp</w:t>
            </w:r>
          </w:p>
        </w:tc>
        <w:tc>
          <w:tcPr>
            <w:tcW w:w="1985" w:type="dxa"/>
            <w:noWrap/>
            <w:vAlign w:val="bottom"/>
            <w:hideMark/>
          </w:tcPr>
          <w:p w14:paraId="3BA4C9A6" w14:textId="77777777" w:rsidR="007A5F17" w:rsidRPr="00770250" w:rsidRDefault="007A5F17" w:rsidP="00486CA2">
            <w:pPr>
              <w:spacing w:after="0" w:line="240" w:lineRule="auto"/>
              <w:jc w:val="right"/>
              <w:rPr>
                <w:lang w:eastAsia="ar-SA"/>
              </w:rPr>
            </w:pPr>
            <w:r w:rsidRPr="00770250">
              <w:rPr>
                <w:lang w:eastAsia="ar-SA"/>
              </w:rPr>
              <w:t>1</w:t>
            </w:r>
          </w:p>
        </w:tc>
      </w:tr>
      <w:tr w:rsidR="007A5F17" w:rsidRPr="001A4AF5" w14:paraId="3B204094" w14:textId="77777777" w:rsidTr="00486CA2">
        <w:trPr>
          <w:trHeight w:val="285"/>
        </w:trPr>
        <w:tc>
          <w:tcPr>
            <w:tcW w:w="6374" w:type="dxa"/>
            <w:vAlign w:val="bottom"/>
            <w:hideMark/>
          </w:tcPr>
          <w:p w14:paraId="07012AE8" w14:textId="77777777" w:rsidR="007A5F17" w:rsidRPr="00770250" w:rsidRDefault="007A5F17" w:rsidP="00486CA2">
            <w:pPr>
              <w:spacing w:after="0" w:line="240" w:lineRule="auto"/>
              <w:rPr>
                <w:lang w:eastAsia="ar-SA"/>
              </w:rPr>
            </w:pPr>
            <w:r w:rsidRPr="00770250">
              <w:rPr>
                <w:lang w:eastAsia="ar-SA"/>
              </w:rPr>
              <w:t>Inovační/Cirkulární safari</w:t>
            </w:r>
          </w:p>
        </w:tc>
        <w:tc>
          <w:tcPr>
            <w:tcW w:w="1985" w:type="dxa"/>
            <w:noWrap/>
            <w:vAlign w:val="bottom"/>
            <w:hideMark/>
          </w:tcPr>
          <w:p w14:paraId="52D7C7FE" w14:textId="77777777" w:rsidR="007A5F17" w:rsidRPr="00770250" w:rsidRDefault="007A5F17" w:rsidP="00486CA2">
            <w:pPr>
              <w:spacing w:after="0" w:line="240" w:lineRule="auto"/>
              <w:jc w:val="right"/>
              <w:rPr>
                <w:lang w:eastAsia="ar-SA"/>
              </w:rPr>
            </w:pPr>
            <w:r w:rsidRPr="00770250">
              <w:rPr>
                <w:lang w:eastAsia="ar-SA"/>
              </w:rPr>
              <w:t>5</w:t>
            </w:r>
          </w:p>
        </w:tc>
      </w:tr>
      <w:tr w:rsidR="007A5F17" w:rsidRPr="001A4AF5" w14:paraId="42CFDC31" w14:textId="77777777" w:rsidTr="00486CA2">
        <w:trPr>
          <w:trHeight w:val="300"/>
        </w:trPr>
        <w:tc>
          <w:tcPr>
            <w:tcW w:w="6374" w:type="dxa"/>
            <w:vAlign w:val="bottom"/>
            <w:hideMark/>
          </w:tcPr>
          <w:p w14:paraId="5F5A376B" w14:textId="77777777" w:rsidR="007A5F17" w:rsidRPr="00770250" w:rsidRDefault="007A5F17" w:rsidP="00486CA2">
            <w:pPr>
              <w:spacing w:after="0" w:line="240" w:lineRule="auto"/>
              <w:rPr>
                <w:lang w:eastAsia="ar-SA"/>
              </w:rPr>
            </w:pPr>
            <w:r w:rsidRPr="00770250">
              <w:rPr>
                <w:lang w:eastAsia="ar-SA"/>
              </w:rPr>
              <w:t>Počet organizací zapojených do Entrepreneurial Discovery Process (EDP)</w:t>
            </w:r>
          </w:p>
        </w:tc>
        <w:tc>
          <w:tcPr>
            <w:tcW w:w="1985" w:type="dxa"/>
            <w:noWrap/>
            <w:vAlign w:val="bottom"/>
            <w:hideMark/>
          </w:tcPr>
          <w:p w14:paraId="230CF2EB" w14:textId="77777777" w:rsidR="007A5F17" w:rsidRPr="00770250" w:rsidRDefault="007A5F17" w:rsidP="00486CA2">
            <w:pPr>
              <w:spacing w:after="0" w:line="240" w:lineRule="auto"/>
              <w:jc w:val="right"/>
              <w:rPr>
                <w:lang w:eastAsia="ar-SA"/>
              </w:rPr>
            </w:pPr>
            <w:r w:rsidRPr="00770250">
              <w:rPr>
                <w:lang w:eastAsia="ar-SA"/>
              </w:rPr>
              <w:t>4</w:t>
            </w:r>
          </w:p>
        </w:tc>
      </w:tr>
      <w:tr w:rsidR="007A5F17" w:rsidRPr="001A4AF5" w14:paraId="60979FB5" w14:textId="77777777" w:rsidTr="00486CA2">
        <w:trPr>
          <w:trHeight w:val="285"/>
        </w:trPr>
        <w:tc>
          <w:tcPr>
            <w:tcW w:w="6374" w:type="dxa"/>
            <w:vAlign w:val="bottom"/>
            <w:hideMark/>
          </w:tcPr>
          <w:p w14:paraId="3B3F0DD5" w14:textId="77777777" w:rsidR="007A5F17" w:rsidRPr="00770250" w:rsidRDefault="007A5F17" w:rsidP="00486CA2">
            <w:pPr>
              <w:spacing w:after="0" w:line="240" w:lineRule="auto"/>
              <w:rPr>
                <w:lang w:eastAsia="ar-SA"/>
              </w:rPr>
            </w:pPr>
            <w:r w:rsidRPr="00770250">
              <w:rPr>
                <w:lang w:eastAsia="ar-SA"/>
              </w:rPr>
              <w:t>Jednání inovačních platforem (pracovních skupiny)</w:t>
            </w:r>
          </w:p>
        </w:tc>
        <w:tc>
          <w:tcPr>
            <w:tcW w:w="1985" w:type="dxa"/>
            <w:noWrap/>
            <w:vAlign w:val="bottom"/>
            <w:hideMark/>
          </w:tcPr>
          <w:p w14:paraId="7D026989" w14:textId="77777777" w:rsidR="007A5F17" w:rsidRPr="00770250" w:rsidRDefault="007A5F17" w:rsidP="00486CA2">
            <w:pPr>
              <w:spacing w:after="0" w:line="240" w:lineRule="auto"/>
              <w:jc w:val="right"/>
              <w:rPr>
                <w:lang w:eastAsia="ar-SA"/>
              </w:rPr>
            </w:pPr>
            <w:r>
              <w:rPr>
                <w:lang w:eastAsia="ar-SA"/>
              </w:rPr>
              <w:t>15</w:t>
            </w:r>
          </w:p>
        </w:tc>
      </w:tr>
      <w:tr w:rsidR="007A5F17" w:rsidRPr="001A4AF5" w14:paraId="0A4A845C" w14:textId="77777777" w:rsidTr="00486CA2">
        <w:trPr>
          <w:trHeight w:val="285"/>
        </w:trPr>
        <w:tc>
          <w:tcPr>
            <w:tcW w:w="6374" w:type="dxa"/>
            <w:vAlign w:val="bottom"/>
            <w:hideMark/>
          </w:tcPr>
          <w:p w14:paraId="33D6D52C" w14:textId="77777777" w:rsidR="007A5F17" w:rsidRPr="00770250" w:rsidRDefault="007A5F17" w:rsidP="00486CA2">
            <w:pPr>
              <w:spacing w:after="0" w:line="240" w:lineRule="auto"/>
              <w:rPr>
                <w:lang w:eastAsia="ar-SA"/>
              </w:rPr>
            </w:pPr>
            <w:r w:rsidRPr="00770250">
              <w:rPr>
                <w:lang w:eastAsia="ar-SA"/>
              </w:rPr>
              <w:t>Zpráva o realizaci RIS3 strategie</w:t>
            </w:r>
          </w:p>
        </w:tc>
        <w:tc>
          <w:tcPr>
            <w:tcW w:w="1985" w:type="dxa"/>
            <w:noWrap/>
            <w:vAlign w:val="bottom"/>
            <w:hideMark/>
          </w:tcPr>
          <w:p w14:paraId="53BCBA79" w14:textId="77777777" w:rsidR="007A5F17" w:rsidRPr="00770250" w:rsidRDefault="007A5F17" w:rsidP="00486CA2">
            <w:pPr>
              <w:spacing w:after="0" w:line="240" w:lineRule="auto"/>
              <w:jc w:val="right"/>
              <w:rPr>
                <w:lang w:eastAsia="ar-SA"/>
              </w:rPr>
            </w:pPr>
            <w:r w:rsidRPr="00770250">
              <w:rPr>
                <w:lang w:eastAsia="ar-SA"/>
              </w:rPr>
              <w:t>3</w:t>
            </w:r>
          </w:p>
        </w:tc>
      </w:tr>
      <w:tr w:rsidR="007A5F17" w:rsidRPr="001A4AF5" w14:paraId="17FDE70A" w14:textId="77777777" w:rsidTr="00486CA2">
        <w:trPr>
          <w:trHeight w:val="300"/>
        </w:trPr>
        <w:tc>
          <w:tcPr>
            <w:tcW w:w="6374" w:type="dxa"/>
            <w:vAlign w:val="bottom"/>
            <w:hideMark/>
          </w:tcPr>
          <w:p w14:paraId="67C46D13" w14:textId="77777777" w:rsidR="007A5F17" w:rsidRPr="00770250" w:rsidRDefault="007A5F17" w:rsidP="00486CA2">
            <w:pPr>
              <w:spacing w:after="0" w:line="240" w:lineRule="auto"/>
              <w:rPr>
                <w:lang w:eastAsia="ar-SA"/>
              </w:rPr>
            </w:pPr>
            <w:r w:rsidRPr="00770250">
              <w:rPr>
                <w:lang w:eastAsia="ar-SA"/>
              </w:rPr>
              <w:t>Příprava nových intervencí/projektů</w:t>
            </w:r>
          </w:p>
        </w:tc>
        <w:tc>
          <w:tcPr>
            <w:tcW w:w="1985" w:type="dxa"/>
            <w:noWrap/>
            <w:vAlign w:val="bottom"/>
            <w:hideMark/>
          </w:tcPr>
          <w:p w14:paraId="75995FD2" w14:textId="77777777" w:rsidR="007A5F17" w:rsidRPr="00770250" w:rsidRDefault="007A5F17" w:rsidP="00486CA2">
            <w:pPr>
              <w:spacing w:after="0" w:line="240" w:lineRule="auto"/>
              <w:jc w:val="right"/>
              <w:rPr>
                <w:lang w:eastAsia="ar-SA"/>
              </w:rPr>
            </w:pPr>
            <w:r w:rsidRPr="00770250">
              <w:rPr>
                <w:lang w:eastAsia="ar-SA"/>
              </w:rPr>
              <w:t>2</w:t>
            </w:r>
          </w:p>
        </w:tc>
      </w:tr>
      <w:tr w:rsidR="007A5F17" w:rsidRPr="001A4AF5" w14:paraId="43A2E17D" w14:textId="77777777" w:rsidTr="00486CA2">
        <w:trPr>
          <w:trHeight w:val="285"/>
        </w:trPr>
        <w:tc>
          <w:tcPr>
            <w:tcW w:w="6374" w:type="dxa"/>
            <w:vAlign w:val="bottom"/>
            <w:hideMark/>
          </w:tcPr>
          <w:p w14:paraId="029525E8" w14:textId="77777777" w:rsidR="007A5F17" w:rsidRPr="00770250" w:rsidRDefault="007A5F17" w:rsidP="00486CA2">
            <w:pPr>
              <w:spacing w:after="0" w:line="240" w:lineRule="auto"/>
              <w:rPr>
                <w:lang w:eastAsia="ar-SA"/>
              </w:rPr>
            </w:pPr>
            <w:r w:rsidRPr="00770250">
              <w:rPr>
                <w:lang w:eastAsia="ar-SA"/>
              </w:rPr>
              <w:t>Aktualizace Marketingové a komu</w:t>
            </w:r>
            <w:r>
              <w:rPr>
                <w:lang w:eastAsia="ar-SA"/>
              </w:rPr>
              <w:t>nikační strategie inovačního ekosystému MSK (MarKom)</w:t>
            </w:r>
          </w:p>
        </w:tc>
        <w:tc>
          <w:tcPr>
            <w:tcW w:w="1985" w:type="dxa"/>
            <w:noWrap/>
            <w:vAlign w:val="bottom"/>
            <w:hideMark/>
          </w:tcPr>
          <w:p w14:paraId="2EDBDC65" w14:textId="77777777" w:rsidR="007A5F17" w:rsidRPr="00770250" w:rsidRDefault="007A5F17" w:rsidP="00486CA2">
            <w:pPr>
              <w:spacing w:after="0" w:line="240" w:lineRule="auto"/>
              <w:jc w:val="right"/>
              <w:rPr>
                <w:lang w:eastAsia="ar-SA"/>
              </w:rPr>
            </w:pPr>
            <w:r w:rsidRPr="00770250">
              <w:rPr>
                <w:lang w:eastAsia="ar-SA"/>
              </w:rPr>
              <w:t>1</w:t>
            </w:r>
          </w:p>
        </w:tc>
      </w:tr>
      <w:tr w:rsidR="007A5F17" w:rsidRPr="001A4AF5" w14:paraId="7E898FA0" w14:textId="77777777" w:rsidTr="00486CA2">
        <w:trPr>
          <w:trHeight w:val="285"/>
        </w:trPr>
        <w:tc>
          <w:tcPr>
            <w:tcW w:w="6374" w:type="dxa"/>
            <w:vAlign w:val="bottom"/>
            <w:hideMark/>
          </w:tcPr>
          <w:p w14:paraId="5AB15E3D" w14:textId="77777777" w:rsidR="007A5F17" w:rsidRPr="00770250" w:rsidRDefault="007A5F17" w:rsidP="00486CA2">
            <w:pPr>
              <w:spacing w:after="0" w:line="240" w:lineRule="auto"/>
              <w:rPr>
                <w:lang w:eastAsia="ar-SA"/>
              </w:rPr>
            </w:pPr>
            <w:r w:rsidRPr="00770250">
              <w:rPr>
                <w:lang w:eastAsia="ar-SA"/>
              </w:rPr>
              <w:t>Příprava akčního plánu MarKom</w:t>
            </w:r>
          </w:p>
        </w:tc>
        <w:tc>
          <w:tcPr>
            <w:tcW w:w="1985" w:type="dxa"/>
            <w:noWrap/>
            <w:vAlign w:val="bottom"/>
            <w:hideMark/>
          </w:tcPr>
          <w:p w14:paraId="61791E3A" w14:textId="77777777" w:rsidR="007A5F17" w:rsidRPr="00770250" w:rsidRDefault="007A5F17" w:rsidP="00486CA2">
            <w:pPr>
              <w:spacing w:after="0" w:line="240" w:lineRule="auto"/>
              <w:jc w:val="right"/>
              <w:rPr>
                <w:lang w:eastAsia="ar-SA"/>
              </w:rPr>
            </w:pPr>
            <w:r w:rsidRPr="00770250">
              <w:rPr>
                <w:lang w:eastAsia="ar-SA"/>
              </w:rPr>
              <w:t>1</w:t>
            </w:r>
          </w:p>
        </w:tc>
      </w:tr>
      <w:tr w:rsidR="007A5F17" w:rsidRPr="001A4AF5" w14:paraId="7355EB5B" w14:textId="77777777" w:rsidTr="00486CA2">
        <w:trPr>
          <w:trHeight w:val="300"/>
        </w:trPr>
        <w:tc>
          <w:tcPr>
            <w:tcW w:w="6374" w:type="dxa"/>
            <w:vAlign w:val="bottom"/>
            <w:hideMark/>
          </w:tcPr>
          <w:p w14:paraId="7E57F74A" w14:textId="77777777" w:rsidR="007A5F17" w:rsidRPr="00770250" w:rsidRDefault="007A5F17" w:rsidP="00486CA2">
            <w:pPr>
              <w:spacing w:after="0" w:line="240" w:lineRule="auto"/>
              <w:rPr>
                <w:lang w:eastAsia="ar-SA"/>
              </w:rPr>
            </w:pPr>
            <w:r w:rsidRPr="00770250">
              <w:rPr>
                <w:lang w:eastAsia="ar-SA"/>
              </w:rPr>
              <w:t xml:space="preserve">kampaň "návrat domů" </w:t>
            </w:r>
          </w:p>
        </w:tc>
        <w:tc>
          <w:tcPr>
            <w:tcW w:w="1985" w:type="dxa"/>
            <w:noWrap/>
            <w:vAlign w:val="bottom"/>
            <w:hideMark/>
          </w:tcPr>
          <w:p w14:paraId="0FB6CFFE" w14:textId="77777777" w:rsidR="007A5F17" w:rsidRPr="00770250" w:rsidRDefault="007A5F17" w:rsidP="00486CA2">
            <w:pPr>
              <w:spacing w:after="0" w:line="240" w:lineRule="auto"/>
              <w:jc w:val="right"/>
              <w:rPr>
                <w:lang w:eastAsia="ar-SA"/>
              </w:rPr>
            </w:pPr>
            <w:r w:rsidRPr="00770250">
              <w:rPr>
                <w:lang w:eastAsia="ar-SA"/>
              </w:rPr>
              <w:t>1</w:t>
            </w:r>
          </w:p>
        </w:tc>
      </w:tr>
      <w:tr w:rsidR="007A5F17" w:rsidRPr="001A4AF5" w14:paraId="2A972E46" w14:textId="77777777" w:rsidTr="00486CA2">
        <w:trPr>
          <w:trHeight w:val="285"/>
        </w:trPr>
        <w:tc>
          <w:tcPr>
            <w:tcW w:w="6374" w:type="dxa"/>
            <w:vAlign w:val="bottom"/>
            <w:hideMark/>
          </w:tcPr>
          <w:p w14:paraId="42330914" w14:textId="77777777" w:rsidR="007A5F17" w:rsidRPr="00770250" w:rsidRDefault="007A5F17" w:rsidP="00486CA2">
            <w:pPr>
              <w:spacing w:after="0" w:line="240" w:lineRule="auto"/>
              <w:rPr>
                <w:lang w:eastAsia="ar-SA"/>
              </w:rPr>
            </w:pPr>
            <w:r w:rsidRPr="00770250">
              <w:rPr>
                <w:lang w:eastAsia="ar-SA"/>
              </w:rPr>
              <w:t>Vzdělávání pro pracovní skupiny</w:t>
            </w:r>
          </w:p>
        </w:tc>
        <w:tc>
          <w:tcPr>
            <w:tcW w:w="1985" w:type="dxa"/>
            <w:noWrap/>
            <w:vAlign w:val="bottom"/>
            <w:hideMark/>
          </w:tcPr>
          <w:p w14:paraId="3AF02A65" w14:textId="77777777" w:rsidR="007A5F17" w:rsidRPr="00770250" w:rsidRDefault="007A5F17" w:rsidP="00486CA2">
            <w:pPr>
              <w:spacing w:after="0" w:line="240" w:lineRule="auto"/>
              <w:jc w:val="right"/>
              <w:rPr>
                <w:lang w:eastAsia="ar-SA"/>
              </w:rPr>
            </w:pPr>
            <w:r w:rsidRPr="00770250">
              <w:rPr>
                <w:lang w:eastAsia="ar-SA"/>
              </w:rPr>
              <w:t>3</w:t>
            </w:r>
          </w:p>
        </w:tc>
      </w:tr>
      <w:tr w:rsidR="007A5F17" w:rsidRPr="001A4AF5" w14:paraId="7263B841" w14:textId="77777777" w:rsidTr="00486CA2">
        <w:trPr>
          <w:trHeight w:val="285"/>
        </w:trPr>
        <w:tc>
          <w:tcPr>
            <w:tcW w:w="6374" w:type="dxa"/>
            <w:vAlign w:val="bottom"/>
            <w:hideMark/>
          </w:tcPr>
          <w:p w14:paraId="04D6F525" w14:textId="77777777" w:rsidR="007A5F17" w:rsidRPr="00770250" w:rsidRDefault="007A5F17" w:rsidP="00486CA2">
            <w:pPr>
              <w:spacing w:after="0" w:line="240" w:lineRule="auto"/>
              <w:rPr>
                <w:lang w:eastAsia="ar-SA"/>
              </w:rPr>
            </w:pPr>
            <w:r w:rsidRPr="00770250">
              <w:rPr>
                <w:lang w:eastAsia="ar-SA"/>
              </w:rPr>
              <w:t>Inspirační cesty</w:t>
            </w:r>
          </w:p>
        </w:tc>
        <w:tc>
          <w:tcPr>
            <w:tcW w:w="1985" w:type="dxa"/>
            <w:noWrap/>
            <w:vAlign w:val="bottom"/>
            <w:hideMark/>
          </w:tcPr>
          <w:p w14:paraId="45874B62" w14:textId="77777777" w:rsidR="007A5F17" w:rsidRPr="00770250" w:rsidRDefault="007A5F17" w:rsidP="00486CA2">
            <w:pPr>
              <w:spacing w:after="0" w:line="240" w:lineRule="auto"/>
              <w:jc w:val="right"/>
              <w:rPr>
                <w:lang w:eastAsia="ar-SA"/>
              </w:rPr>
            </w:pPr>
            <w:r w:rsidRPr="00770250">
              <w:rPr>
                <w:lang w:eastAsia="ar-SA"/>
              </w:rPr>
              <w:t>1</w:t>
            </w:r>
          </w:p>
        </w:tc>
      </w:tr>
      <w:tr w:rsidR="007A5F17" w:rsidRPr="001A4AF5" w14:paraId="3F7D81D4" w14:textId="77777777" w:rsidTr="00486CA2">
        <w:trPr>
          <w:trHeight w:val="285"/>
        </w:trPr>
        <w:tc>
          <w:tcPr>
            <w:tcW w:w="6374" w:type="dxa"/>
            <w:vMerge w:val="restart"/>
            <w:vAlign w:val="center"/>
            <w:hideMark/>
          </w:tcPr>
          <w:p w14:paraId="76A084A7" w14:textId="77777777" w:rsidR="007A5F17" w:rsidRPr="00770250" w:rsidRDefault="007A5F17" w:rsidP="00486CA2">
            <w:pPr>
              <w:spacing w:after="0" w:line="240" w:lineRule="auto"/>
              <w:rPr>
                <w:lang w:eastAsia="ar-SA"/>
              </w:rPr>
            </w:pPr>
            <w:r w:rsidRPr="00770250">
              <w:rPr>
                <w:lang w:eastAsia="ar-SA"/>
              </w:rPr>
              <w:t>Vzdělávání pracovníků MŠ, ZŠ, SŠ</w:t>
            </w:r>
          </w:p>
        </w:tc>
        <w:tc>
          <w:tcPr>
            <w:tcW w:w="1985" w:type="dxa"/>
            <w:noWrap/>
            <w:vAlign w:val="bottom"/>
            <w:hideMark/>
          </w:tcPr>
          <w:p w14:paraId="070E025E" w14:textId="77777777" w:rsidR="007A5F17" w:rsidRPr="00770250" w:rsidRDefault="007A5F17" w:rsidP="00486CA2">
            <w:pPr>
              <w:spacing w:after="0" w:line="240" w:lineRule="auto"/>
              <w:jc w:val="right"/>
              <w:rPr>
                <w:lang w:eastAsia="ar-SA"/>
              </w:rPr>
            </w:pPr>
            <w:r w:rsidRPr="00770250">
              <w:rPr>
                <w:lang w:eastAsia="ar-SA"/>
              </w:rPr>
              <w:t>3</w:t>
            </w:r>
          </w:p>
        </w:tc>
      </w:tr>
      <w:tr w:rsidR="007A5F17" w:rsidRPr="001A4AF5" w14:paraId="502E48DC" w14:textId="77777777" w:rsidTr="00486CA2">
        <w:trPr>
          <w:trHeight w:val="285"/>
        </w:trPr>
        <w:tc>
          <w:tcPr>
            <w:tcW w:w="6374" w:type="dxa"/>
            <w:vMerge/>
            <w:vAlign w:val="center"/>
            <w:hideMark/>
          </w:tcPr>
          <w:p w14:paraId="4CEA65E6" w14:textId="77777777" w:rsidR="007A5F17" w:rsidRPr="00770250" w:rsidRDefault="007A5F17" w:rsidP="00486CA2">
            <w:pPr>
              <w:spacing w:after="0" w:line="240" w:lineRule="auto"/>
              <w:rPr>
                <w:lang w:eastAsia="ar-SA"/>
              </w:rPr>
            </w:pPr>
          </w:p>
        </w:tc>
        <w:tc>
          <w:tcPr>
            <w:tcW w:w="1985" w:type="dxa"/>
            <w:noWrap/>
            <w:vAlign w:val="bottom"/>
            <w:hideMark/>
          </w:tcPr>
          <w:p w14:paraId="5754181F" w14:textId="77777777" w:rsidR="007A5F17" w:rsidRPr="00770250" w:rsidRDefault="007A5F17" w:rsidP="00486CA2">
            <w:pPr>
              <w:spacing w:after="0" w:line="240" w:lineRule="auto"/>
              <w:jc w:val="right"/>
              <w:rPr>
                <w:lang w:eastAsia="ar-SA"/>
              </w:rPr>
            </w:pPr>
            <w:r w:rsidRPr="00770250">
              <w:rPr>
                <w:lang w:eastAsia="ar-SA"/>
              </w:rPr>
              <w:t>7</w:t>
            </w:r>
          </w:p>
        </w:tc>
      </w:tr>
      <w:tr w:rsidR="007A5F17" w:rsidRPr="001A4AF5" w14:paraId="3234DF2A" w14:textId="77777777" w:rsidTr="00486CA2">
        <w:trPr>
          <w:trHeight w:val="300"/>
        </w:trPr>
        <w:tc>
          <w:tcPr>
            <w:tcW w:w="6374" w:type="dxa"/>
            <w:vAlign w:val="bottom"/>
            <w:hideMark/>
          </w:tcPr>
          <w:p w14:paraId="1AADF378" w14:textId="77777777" w:rsidR="007A5F17" w:rsidRPr="00770250" w:rsidRDefault="007A5F17" w:rsidP="00486CA2">
            <w:pPr>
              <w:spacing w:after="0" w:line="240" w:lineRule="auto"/>
              <w:rPr>
                <w:lang w:eastAsia="ar-SA"/>
              </w:rPr>
            </w:pPr>
            <w:r w:rsidRPr="00770250">
              <w:rPr>
                <w:lang w:eastAsia="ar-SA"/>
              </w:rPr>
              <w:t>Zřízení International Advisory Board</w:t>
            </w:r>
          </w:p>
        </w:tc>
        <w:tc>
          <w:tcPr>
            <w:tcW w:w="1985" w:type="dxa"/>
            <w:noWrap/>
            <w:vAlign w:val="bottom"/>
            <w:hideMark/>
          </w:tcPr>
          <w:p w14:paraId="1E620A61" w14:textId="77777777" w:rsidR="007A5F17" w:rsidRPr="00770250" w:rsidRDefault="007A5F17" w:rsidP="00486CA2">
            <w:pPr>
              <w:spacing w:after="0" w:line="240" w:lineRule="auto"/>
              <w:jc w:val="right"/>
              <w:rPr>
                <w:lang w:eastAsia="ar-SA"/>
              </w:rPr>
            </w:pPr>
            <w:r w:rsidRPr="00770250">
              <w:rPr>
                <w:lang w:eastAsia="ar-SA"/>
              </w:rPr>
              <w:t>6</w:t>
            </w:r>
          </w:p>
        </w:tc>
      </w:tr>
      <w:tr w:rsidR="007A5F17" w:rsidRPr="001A4AF5" w14:paraId="57D36E64" w14:textId="77777777" w:rsidTr="00486CA2">
        <w:trPr>
          <w:trHeight w:val="570"/>
        </w:trPr>
        <w:tc>
          <w:tcPr>
            <w:tcW w:w="6374" w:type="dxa"/>
            <w:vAlign w:val="bottom"/>
            <w:hideMark/>
          </w:tcPr>
          <w:p w14:paraId="31622361" w14:textId="77777777" w:rsidR="007A5F17" w:rsidRPr="00770250" w:rsidRDefault="007A5F17" w:rsidP="00486CA2">
            <w:pPr>
              <w:spacing w:after="0" w:line="240" w:lineRule="auto"/>
              <w:rPr>
                <w:lang w:eastAsia="ar-SA"/>
              </w:rPr>
            </w:pPr>
            <w:r w:rsidRPr="00770250">
              <w:rPr>
                <w:lang w:eastAsia="ar-SA"/>
              </w:rPr>
              <w:t>Mapování a analýza vývoje inovačního prostředí a fungování inovačního systému</w:t>
            </w:r>
          </w:p>
        </w:tc>
        <w:tc>
          <w:tcPr>
            <w:tcW w:w="1985" w:type="dxa"/>
            <w:noWrap/>
            <w:vAlign w:val="bottom"/>
            <w:hideMark/>
          </w:tcPr>
          <w:p w14:paraId="1CF400E7" w14:textId="77777777" w:rsidR="007A5F17" w:rsidRPr="00770250" w:rsidRDefault="007A5F17" w:rsidP="00486CA2">
            <w:pPr>
              <w:spacing w:after="0" w:line="240" w:lineRule="auto"/>
              <w:rPr>
                <w:lang w:eastAsia="ar-SA"/>
              </w:rPr>
            </w:pPr>
          </w:p>
        </w:tc>
      </w:tr>
      <w:tr w:rsidR="007A5F17" w:rsidRPr="001A4AF5" w14:paraId="7380F90A" w14:textId="77777777" w:rsidTr="00486CA2">
        <w:trPr>
          <w:trHeight w:val="285"/>
        </w:trPr>
        <w:tc>
          <w:tcPr>
            <w:tcW w:w="6374" w:type="dxa"/>
            <w:vAlign w:val="bottom"/>
            <w:hideMark/>
          </w:tcPr>
          <w:p w14:paraId="653ECF50" w14:textId="77777777" w:rsidR="007A5F17" w:rsidRPr="00770250" w:rsidRDefault="007A5F17" w:rsidP="00486CA2">
            <w:pPr>
              <w:spacing w:after="0" w:line="240" w:lineRule="auto"/>
              <w:rPr>
                <w:lang w:eastAsia="ar-SA"/>
              </w:rPr>
            </w:pPr>
            <w:r w:rsidRPr="00770250">
              <w:rPr>
                <w:lang w:eastAsia="ar-SA"/>
              </w:rPr>
              <w:t>mapování významných VaV kapacit v MSK</w:t>
            </w:r>
          </w:p>
        </w:tc>
        <w:tc>
          <w:tcPr>
            <w:tcW w:w="1985" w:type="dxa"/>
            <w:noWrap/>
            <w:vAlign w:val="bottom"/>
            <w:hideMark/>
          </w:tcPr>
          <w:p w14:paraId="35A419DD" w14:textId="77777777" w:rsidR="007A5F17" w:rsidRPr="00770250" w:rsidRDefault="007A5F17" w:rsidP="00486CA2">
            <w:pPr>
              <w:spacing w:after="0" w:line="240" w:lineRule="auto"/>
              <w:jc w:val="right"/>
              <w:rPr>
                <w:lang w:eastAsia="ar-SA"/>
              </w:rPr>
            </w:pPr>
            <w:r w:rsidRPr="00770250">
              <w:rPr>
                <w:lang w:eastAsia="ar-SA"/>
              </w:rPr>
              <w:t>1</w:t>
            </w:r>
          </w:p>
        </w:tc>
      </w:tr>
      <w:tr w:rsidR="007A5F17" w:rsidRPr="001A4AF5" w14:paraId="477546A0" w14:textId="77777777" w:rsidTr="00486CA2">
        <w:trPr>
          <w:trHeight w:val="285"/>
        </w:trPr>
        <w:tc>
          <w:tcPr>
            <w:tcW w:w="6374" w:type="dxa"/>
            <w:vAlign w:val="bottom"/>
            <w:hideMark/>
          </w:tcPr>
          <w:p w14:paraId="35DEF8F5" w14:textId="77777777" w:rsidR="007A5F17" w:rsidRPr="00770250" w:rsidRDefault="007A5F17" w:rsidP="00486CA2">
            <w:pPr>
              <w:spacing w:after="0" w:line="240" w:lineRule="auto"/>
              <w:rPr>
                <w:lang w:eastAsia="ar-SA"/>
              </w:rPr>
            </w:pPr>
            <w:r w:rsidRPr="00770250">
              <w:rPr>
                <w:lang w:eastAsia="ar-SA"/>
              </w:rPr>
              <w:t>mapování zájmu o kvantové počítání</w:t>
            </w:r>
          </w:p>
        </w:tc>
        <w:tc>
          <w:tcPr>
            <w:tcW w:w="1985" w:type="dxa"/>
            <w:noWrap/>
            <w:vAlign w:val="bottom"/>
            <w:hideMark/>
          </w:tcPr>
          <w:p w14:paraId="4601A073" w14:textId="77777777" w:rsidR="007A5F17" w:rsidRPr="00770250" w:rsidRDefault="007A5F17" w:rsidP="00486CA2">
            <w:pPr>
              <w:spacing w:after="0" w:line="240" w:lineRule="auto"/>
              <w:jc w:val="right"/>
              <w:rPr>
                <w:lang w:eastAsia="ar-SA"/>
              </w:rPr>
            </w:pPr>
            <w:r w:rsidRPr="00770250">
              <w:rPr>
                <w:lang w:eastAsia="ar-SA"/>
              </w:rPr>
              <w:t>1</w:t>
            </w:r>
          </w:p>
        </w:tc>
      </w:tr>
      <w:tr w:rsidR="007A5F17" w:rsidRPr="001A4AF5" w14:paraId="533FD5B7" w14:textId="77777777" w:rsidTr="00486CA2">
        <w:trPr>
          <w:trHeight w:val="570"/>
        </w:trPr>
        <w:tc>
          <w:tcPr>
            <w:tcW w:w="6374" w:type="dxa"/>
            <w:vAlign w:val="bottom"/>
            <w:hideMark/>
          </w:tcPr>
          <w:p w14:paraId="792342B6" w14:textId="77777777" w:rsidR="007A5F17" w:rsidRPr="00770250" w:rsidRDefault="007A5F17" w:rsidP="00486CA2">
            <w:pPr>
              <w:spacing w:after="0" w:line="240" w:lineRule="auto"/>
              <w:rPr>
                <w:lang w:eastAsia="ar-SA"/>
              </w:rPr>
            </w:pPr>
            <w:r w:rsidRPr="00770250">
              <w:rPr>
                <w:lang w:eastAsia="ar-SA"/>
              </w:rPr>
              <w:t>mapování sklonu mladých lidí v MSK k podnikání</w:t>
            </w:r>
          </w:p>
        </w:tc>
        <w:tc>
          <w:tcPr>
            <w:tcW w:w="1985" w:type="dxa"/>
            <w:noWrap/>
            <w:vAlign w:val="bottom"/>
            <w:hideMark/>
          </w:tcPr>
          <w:p w14:paraId="58C3311C" w14:textId="77777777" w:rsidR="007A5F17" w:rsidRPr="00770250" w:rsidRDefault="007A5F17" w:rsidP="00486CA2">
            <w:pPr>
              <w:spacing w:after="0" w:line="240" w:lineRule="auto"/>
              <w:jc w:val="right"/>
              <w:rPr>
                <w:lang w:eastAsia="ar-SA"/>
              </w:rPr>
            </w:pPr>
            <w:r w:rsidRPr="00770250">
              <w:rPr>
                <w:lang w:eastAsia="ar-SA"/>
              </w:rPr>
              <w:t>1</w:t>
            </w:r>
          </w:p>
        </w:tc>
      </w:tr>
      <w:tr w:rsidR="007A5F17" w:rsidRPr="001A4AF5" w14:paraId="485207BD" w14:textId="77777777" w:rsidTr="00486CA2">
        <w:trPr>
          <w:trHeight w:val="570"/>
        </w:trPr>
        <w:tc>
          <w:tcPr>
            <w:tcW w:w="6374" w:type="dxa"/>
            <w:vAlign w:val="bottom"/>
            <w:hideMark/>
          </w:tcPr>
          <w:p w14:paraId="52F69F74" w14:textId="77777777" w:rsidR="007A5F17" w:rsidRPr="00770250" w:rsidRDefault="007A5F17" w:rsidP="00486CA2">
            <w:pPr>
              <w:spacing w:after="0" w:line="240" w:lineRule="auto"/>
              <w:rPr>
                <w:lang w:eastAsia="ar-SA"/>
              </w:rPr>
            </w:pPr>
            <w:r w:rsidRPr="00770250">
              <w:rPr>
                <w:lang w:eastAsia="ar-SA"/>
              </w:rPr>
              <w:t>mapování inovačních kapacit koordinovaného ze strany TAČR</w:t>
            </w:r>
          </w:p>
        </w:tc>
        <w:tc>
          <w:tcPr>
            <w:tcW w:w="1985" w:type="dxa"/>
            <w:noWrap/>
            <w:vAlign w:val="bottom"/>
            <w:hideMark/>
          </w:tcPr>
          <w:p w14:paraId="5A4FF40A" w14:textId="77777777" w:rsidR="007A5F17" w:rsidRPr="00770250" w:rsidRDefault="007A5F17" w:rsidP="00486CA2">
            <w:pPr>
              <w:spacing w:after="0" w:line="240" w:lineRule="auto"/>
              <w:jc w:val="right"/>
              <w:rPr>
                <w:lang w:eastAsia="ar-SA"/>
              </w:rPr>
            </w:pPr>
            <w:r w:rsidRPr="00770250">
              <w:rPr>
                <w:lang w:eastAsia="ar-SA"/>
              </w:rPr>
              <w:t>1</w:t>
            </w:r>
          </w:p>
        </w:tc>
      </w:tr>
      <w:tr w:rsidR="007A5F17" w:rsidRPr="001A4AF5" w14:paraId="285FA2BF" w14:textId="77777777" w:rsidTr="00486CA2">
        <w:trPr>
          <w:trHeight w:val="285"/>
        </w:trPr>
        <w:tc>
          <w:tcPr>
            <w:tcW w:w="6374" w:type="dxa"/>
            <w:vAlign w:val="bottom"/>
            <w:hideMark/>
          </w:tcPr>
          <w:p w14:paraId="0DFFAAEA" w14:textId="77777777" w:rsidR="007A5F17" w:rsidRPr="00770250" w:rsidRDefault="007A5F17" w:rsidP="00486CA2">
            <w:pPr>
              <w:spacing w:after="0" w:line="240" w:lineRule="auto"/>
              <w:rPr>
                <w:lang w:eastAsia="ar-SA"/>
              </w:rPr>
            </w:pPr>
            <w:r w:rsidRPr="00770250">
              <w:rPr>
                <w:lang w:eastAsia="ar-SA"/>
              </w:rPr>
              <w:t>evaluace podnikatelských voucherů</w:t>
            </w:r>
          </w:p>
        </w:tc>
        <w:tc>
          <w:tcPr>
            <w:tcW w:w="1985" w:type="dxa"/>
            <w:noWrap/>
            <w:vAlign w:val="bottom"/>
            <w:hideMark/>
          </w:tcPr>
          <w:p w14:paraId="244C90E7" w14:textId="77777777" w:rsidR="007A5F17" w:rsidRPr="00770250" w:rsidRDefault="007A5F17" w:rsidP="00486CA2">
            <w:pPr>
              <w:spacing w:after="0" w:line="240" w:lineRule="auto"/>
              <w:jc w:val="right"/>
              <w:rPr>
                <w:lang w:eastAsia="ar-SA"/>
              </w:rPr>
            </w:pPr>
            <w:r w:rsidRPr="00770250">
              <w:rPr>
                <w:lang w:eastAsia="ar-SA"/>
              </w:rPr>
              <w:t>1</w:t>
            </w:r>
          </w:p>
        </w:tc>
      </w:tr>
      <w:tr w:rsidR="007A5F17" w:rsidRPr="001A4AF5" w14:paraId="53BEEE4C" w14:textId="77777777" w:rsidTr="00486CA2">
        <w:trPr>
          <w:trHeight w:val="570"/>
        </w:trPr>
        <w:tc>
          <w:tcPr>
            <w:tcW w:w="6374" w:type="dxa"/>
            <w:vAlign w:val="bottom"/>
            <w:hideMark/>
          </w:tcPr>
          <w:p w14:paraId="77F32F08" w14:textId="77777777" w:rsidR="007A5F17" w:rsidRPr="00770250" w:rsidRDefault="007A5F17" w:rsidP="00486CA2">
            <w:pPr>
              <w:spacing w:after="0" w:line="240" w:lineRule="auto"/>
              <w:rPr>
                <w:lang w:eastAsia="ar-SA"/>
              </w:rPr>
            </w:pPr>
            <w:r w:rsidRPr="00770250">
              <w:rPr>
                <w:lang w:eastAsia="ar-SA"/>
              </w:rPr>
              <w:t>mid-term evaluace Moravskoslezské podnikatelské vesnice (LabZero)</w:t>
            </w:r>
          </w:p>
        </w:tc>
        <w:tc>
          <w:tcPr>
            <w:tcW w:w="1985" w:type="dxa"/>
            <w:noWrap/>
            <w:vAlign w:val="bottom"/>
            <w:hideMark/>
          </w:tcPr>
          <w:p w14:paraId="47604835" w14:textId="77777777" w:rsidR="007A5F17" w:rsidRPr="00770250" w:rsidRDefault="007A5F17" w:rsidP="00486CA2">
            <w:pPr>
              <w:spacing w:after="0" w:line="240" w:lineRule="auto"/>
              <w:jc w:val="right"/>
              <w:rPr>
                <w:lang w:eastAsia="ar-SA"/>
              </w:rPr>
            </w:pPr>
            <w:r w:rsidRPr="00770250">
              <w:rPr>
                <w:lang w:eastAsia="ar-SA"/>
              </w:rPr>
              <w:t>1</w:t>
            </w:r>
          </w:p>
        </w:tc>
      </w:tr>
      <w:tr w:rsidR="007A5F17" w:rsidRPr="001A4AF5" w14:paraId="5086AE17" w14:textId="77777777" w:rsidTr="00486CA2">
        <w:trPr>
          <w:trHeight w:val="285"/>
        </w:trPr>
        <w:tc>
          <w:tcPr>
            <w:tcW w:w="6374" w:type="dxa"/>
            <w:vAlign w:val="bottom"/>
            <w:hideMark/>
          </w:tcPr>
          <w:p w14:paraId="5EC8B9AA" w14:textId="77777777" w:rsidR="007A5F17" w:rsidRPr="00770250" w:rsidRDefault="007A5F17" w:rsidP="00486CA2">
            <w:pPr>
              <w:spacing w:after="0" w:line="240" w:lineRule="auto"/>
              <w:rPr>
                <w:lang w:eastAsia="ar-SA"/>
              </w:rPr>
            </w:pPr>
            <w:r w:rsidRPr="00770250">
              <w:rPr>
                <w:lang w:eastAsia="ar-SA"/>
              </w:rPr>
              <w:t>základní evaluace krajské RIS3 strategie</w:t>
            </w:r>
          </w:p>
        </w:tc>
        <w:tc>
          <w:tcPr>
            <w:tcW w:w="1985" w:type="dxa"/>
            <w:noWrap/>
            <w:vAlign w:val="bottom"/>
            <w:hideMark/>
          </w:tcPr>
          <w:p w14:paraId="5587A9B7" w14:textId="77777777" w:rsidR="007A5F17" w:rsidRPr="00770250" w:rsidRDefault="007A5F17" w:rsidP="00486CA2">
            <w:pPr>
              <w:spacing w:after="0" w:line="240" w:lineRule="auto"/>
              <w:jc w:val="right"/>
              <w:rPr>
                <w:lang w:eastAsia="ar-SA"/>
              </w:rPr>
            </w:pPr>
            <w:r w:rsidRPr="00770250">
              <w:rPr>
                <w:lang w:eastAsia="ar-SA"/>
              </w:rPr>
              <w:t>1</w:t>
            </w:r>
          </w:p>
        </w:tc>
      </w:tr>
      <w:tr w:rsidR="007A5F17" w:rsidRPr="001A4AF5" w14:paraId="25443BB5" w14:textId="77777777" w:rsidTr="00486CA2">
        <w:trPr>
          <w:trHeight w:val="300"/>
        </w:trPr>
        <w:tc>
          <w:tcPr>
            <w:tcW w:w="6374" w:type="dxa"/>
            <w:vAlign w:val="bottom"/>
            <w:hideMark/>
          </w:tcPr>
          <w:p w14:paraId="59D195AD" w14:textId="77777777" w:rsidR="007A5F17" w:rsidRPr="00770250" w:rsidRDefault="007A5F17" w:rsidP="00486CA2">
            <w:pPr>
              <w:spacing w:after="0" w:line="240" w:lineRule="auto"/>
              <w:rPr>
                <w:lang w:eastAsia="ar-SA"/>
              </w:rPr>
            </w:pPr>
            <w:r w:rsidRPr="00770250">
              <w:rPr>
                <w:lang w:eastAsia="ar-SA"/>
              </w:rPr>
              <w:t>Design Option Papers z realizovaných twinningů</w:t>
            </w:r>
          </w:p>
        </w:tc>
        <w:tc>
          <w:tcPr>
            <w:tcW w:w="1985" w:type="dxa"/>
            <w:noWrap/>
            <w:vAlign w:val="bottom"/>
            <w:hideMark/>
          </w:tcPr>
          <w:p w14:paraId="5867E836" w14:textId="77777777" w:rsidR="007A5F17" w:rsidRPr="00770250" w:rsidRDefault="007A5F17" w:rsidP="00486CA2">
            <w:pPr>
              <w:spacing w:after="0" w:line="240" w:lineRule="auto"/>
              <w:jc w:val="right"/>
              <w:rPr>
                <w:lang w:eastAsia="ar-SA"/>
              </w:rPr>
            </w:pPr>
            <w:r w:rsidRPr="00770250">
              <w:rPr>
                <w:lang w:eastAsia="ar-SA"/>
              </w:rPr>
              <w:t>2</w:t>
            </w:r>
          </w:p>
        </w:tc>
      </w:tr>
      <w:tr w:rsidR="007A5F17" w:rsidRPr="00C218B6" w14:paraId="17C628F9" w14:textId="77777777" w:rsidTr="00486CA2">
        <w:trPr>
          <w:trHeight w:val="285"/>
        </w:trPr>
        <w:tc>
          <w:tcPr>
            <w:tcW w:w="6374" w:type="dxa"/>
            <w:vAlign w:val="bottom"/>
            <w:hideMark/>
          </w:tcPr>
          <w:p w14:paraId="45B34B4C" w14:textId="77777777" w:rsidR="007A5F17" w:rsidRPr="00770250" w:rsidRDefault="007A5F17" w:rsidP="00486CA2">
            <w:pPr>
              <w:spacing w:after="0" w:line="240" w:lineRule="auto"/>
              <w:rPr>
                <w:lang w:eastAsia="ar-SA"/>
              </w:rPr>
            </w:pPr>
            <w:r w:rsidRPr="00770250">
              <w:rPr>
                <w:lang w:eastAsia="ar-SA"/>
              </w:rPr>
              <w:t>Závěrečná zpráva hodnotící pilotní ověření</w:t>
            </w:r>
          </w:p>
        </w:tc>
        <w:tc>
          <w:tcPr>
            <w:tcW w:w="1985" w:type="dxa"/>
            <w:noWrap/>
            <w:vAlign w:val="bottom"/>
            <w:hideMark/>
          </w:tcPr>
          <w:p w14:paraId="0A5C7376" w14:textId="77777777" w:rsidR="007A5F17" w:rsidRPr="00770250" w:rsidRDefault="007A5F17" w:rsidP="00486CA2">
            <w:pPr>
              <w:spacing w:after="0" w:line="240" w:lineRule="auto"/>
              <w:jc w:val="right"/>
              <w:rPr>
                <w:lang w:eastAsia="ar-SA"/>
              </w:rPr>
            </w:pPr>
            <w:r w:rsidRPr="00770250">
              <w:rPr>
                <w:lang w:eastAsia="ar-SA"/>
              </w:rPr>
              <w:t>1</w:t>
            </w:r>
          </w:p>
        </w:tc>
      </w:tr>
    </w:tbl>
    <w:p w14:paraId="281E874A" w14:textId="77777777" w:rsidR="007A5F17" w:rsidRDefault="007A5F17" w:rsidP="007A5F17">
      <w:pPr>
        <w:pStyle w:val="Odstavecseseznamem"/>
        <w:ind w:left="0"/>
        <w:jc w:val="both"/>
      </w:pPr>
      <w:r>
        <w:br w:type="textWrapping" w:clear="all"/>
      </w:r>
    </w:p>
    <w:p w14:paraId="3638E984" w14:textId="77777777" w:rsidR="007A5F17" w:rsidRDefault="007A5F17" w:rsidP="007A5F17">
      <w:pPr>
        <w:pStyle w:val="Odstavecseseznamem"/>
        <w:ind w:left="0"/>
        <w:jc w:val="both"/>
      </w:pPr>
    </w:p>
    <w:p w14:paraId="4063394E" w14:textId="0E45A981" w:rsidR="007A5F17" w:rsidRDefault="007A5F17" w:rsidP="007A5F17">
      <w:pPr>
        <w:pStyle w:val="Odstavecseseznamem"/>
        <w:ind w:left="0"/>
        <w:jc w:val="both"/>
      </w:pPr>
      <w:r>
        <w:t>Pro období od 01.01.2027 oznámí MSIC roční indikátory M</w:t>
      </w:r>
      <w:r w:rsidR="00945A51">
        <w:t>SK</w:t>
      </w:r>
      <w:r>
        <w:t xml:space="preserve"> v návaznosti na příslušnou výzvu a program MŠMT (specifikace: </w:t>
      </w:r>
      <w:r w:rsidRPr="00C765C4">
        <w:rPr>
          <w:rFonts w:cstheme="minorHAnsi"/>
        </w:rPr>
        <w:t>Výzva č. 02_25_042 Smart Akcelerátor+ II</w:t>
      </w:r>
      <w:r>
        <w:t xml:space="preserve">), a to i opakovaně. </w:t>
      </w:r>
    </w:p>
    <w:p w14:paraId="5448D8DE" w14:textId="77777777" w:rsidR="00120515" w:rsidRDefault="00120515" w:rsidP="007A5F17">
      <w:pPr>
        <w:pStyle w:val="Odstavecseseznamem"/>
        <w:ind w:left="0"/>
        <w:jc w:val="both"/>
      </w:pPr>
    </w:p>
    <w:p w14:paraId="5956653B" w14:textId="09B48C4D" w:rsidR="00120515" w:rsidRDefault="00120515" w:rsidP="00120515">
      <w:pPr>
        <w:pStyle w:val="Odstavecseseznamem"/>
        <w:ind w:left="0"/>
        <w:jc w:val="both"/>
      </w:pPr>
      <w:r>
        <w:lastRenderedPageBreak/>
        <w:t xml:space="preserve">Smluvní strany konstatují, že pro realizaci aktivit </w:t>
      </w:r>
      <w:r>
        <w:rPr>
          <w:rFonts w:cstheme="minorHAnsi"/>
        </w:rPr>
        <w:t xml:space="preserve">projektu Smart Akcelerátor+ I jsou </w:t>
      </w:r>
      <w:r>
        <w:t xml:space="preserve">do 31. 12. 2026 nadále platná ustanovení Smlouvy o poskytnutí vyrovnávací platby za poskytování služeb obecného hospodářského zájmu ev. č. </w:t>
      </w:r>
      <w:r w:rsidRPr="000A5715">
        <w:t xml:space="preserve"> 05088/2021/RRC</w:t>
      </w:r>
      <w:r>
        <w:t xml:space="preserve">, ve znění pozdějších dodatků. </w:t>
      </w:r>
    </w:p>
    <w:p w14:paraId="62767C92" w14:textId="77777777" w:rsidR="00120515" w:rsidRDefault="00120515" w:rsidP="00120515">
      <w:pPr>
        <w:pStyle w:val="Odstavecseseznamem"/>
        <w:ind w:left="0"/>
        <w:jc w:val="both"/>
      </w:pPr>
    </w:p>
    <w:p w14:paraId="7695DBB5" w14:textId="77777777" w:rsidR="00120515" w:rsidRDefault="00120515" w:rsidP="00120515">
      <w:pPr>
        <w:pStyle w:val="Odstavecseseznamem"/>
        <w:ind w:left="0"/>
        <w:jc w:val="both"/>
      </w:pPr>
      <w:r w:rsidRPr="00D67FBE">
        <w:t>Smluvní strany dále konstatují, že za účelem</w:t>
      </w:r>
      <w:r w:rsidRPr="00D67FBE">
        <w:rPr>
          <w:rFonts w:cstheme="minorHAnsi"/>
        </w:rPr>
        <w:t xml:space="preserve"> zajištění spolufinancování navazujícího projektu Smart Akcelerátor+II (Výzva č. 02_25_042 Smart Akcelerátor+ II)</w:t>
      </w:r>
      <w:r>
        <w:rPr>
          <w:rFonts w:cstheme="minorHAnsi"/>
        </w:rPr>
        <w:t xml:space="preserve"> je nezbytné uzavřít dodatek této smlouvy nebo samostatnou smlouvu o poskytnutí dotace. </w:t>
      </w:r>
    </w:p>
    <w:p w14:paraId="399A42B3" w14:textId="77777777" w:rsidR="007A5F17" w:rsidRPr="001D0251" w:rsidRDefault="007A5F17" w:rsidP="00F42B8B">
      <w:pPr>
        <w:pStyle w:val="Odstavecseseznamem"/>
        <w:ind w:left="0"/>
        <w:jc w:val="both"/>
      </w:pPr>
    </w:p>
    <w:p w14:paraId="6DFD8CF0" w14:textId="77777777" w:rsidR="007A5F17" w:rsidRPr="008A2374" w:rsidRDefault="007A5F17" w:rsidP="00F42B8B">
      <w:pPr>
        <w:pStyle w:val="Nadpis2"/>
        <w:numPr>
          <w:ilvl w:val="0"/>
          <w:numId w:val="37"/>
        </w:numPr>
        <w:tabs>
          <w:tab w:val="num" w:pos="360"/>
        </w:tabs>
        <w:ind w:left="0" w:firstLine="0"/>
        <w:jc w:val="both"/>
      </w:pPr>
      <w:r w:rsidRPr="001D0251">
        <w:t>Příprava a implementace rozvojových projektů zaměřených na zlepšení podnikatelského prostředí, služeb a vzdělávání pro malé a střední podnikatele, firmy v MSIC a v region</w:t>
      </w:r>
      <w:r>
        <w:t>u</w:t>
      </w:r>
      <w:r w:rsidRPr="001D0251">
        <w:t xml:space="preserve"> Moravskoslezského kraje</w:t>
      </w:r>
    </w:p>
    <w:p w14:paraId="3314D111" w14:textId="77777777" w:rsidR="007A5F17" w:rsidRPr="001D0251" w:rsidRDefault="007A5F17" w:rsidP="007A5F17">
      <w:pPr>
        <w:jc w:val="both"/>
      </w:pPr>
      <w:r w:rsidRPr="001D0251">
        <w:t>Vyhledávání, zpracování studií proveditelnosti a odborných posudků a stanovisek, realizace následujících projektů dotovaných ze SF EU, SR ČR či jiných zdrojů nebo partnerství v následujících projektech např:</w:t>
      </w:r>
    </w:p>
    <w:p w14:paraId="40A55902" w14:textId="77777777" w:rsidR="007A5F17" w:rsidRPr="001D0251" w:rsidRDefault="007A5F17" w:rsidP="007A5F17">
      <w:pPr>
        <w:pStyle w:val="Odstavecseseznamem"/>
        <w:numPr>
          <w:ilvl w:val="0"/>
          <w:numId w:val="34"/>
        </w:numPr>
        <w:spacing w:after="200" w:line="276" w:lineRule="auto"/>
        <w:jc w:val="both"/>
      </w:pPr>
      <w:r w:rsidRPr="001D0251">
        <w:rPr>
          <w:b/>
          <w:bCs/>
        </w:rPr>
        <w:t xml:space="preserve">EEN CZECHIA – </w:t>
      </w:r>
      <w:r w:rsidRPr="001D0251">
        <w:t xml:space="preserve">projekt si klade za cíl poskytovat komplexní služby s vysokou přidanou hodnotou a mezinárodním přesahem, které rozšiřují a zlepšují inovační potenciál, růst a přístup malých a středních podniků na zahraniční trhy, jakož </w:t>
      </w:r>
      <w:r>
        <w:t xml:space="preserve">i </w:t>
      </w:r>
      <w:r w:rsidRPr="001D0251">
        <w:t xml:space="preserve">jejich přístup k financování. Projekt má také za cíl podpořit malé a střední podniky v digitalizaci, zvýšení odolnosti a udržitelnosti, internacionalizaci a účasti na jednotném trhu. </w:t>
      </w:r>
    </w:p>
    <w:p w14:paraId="225487C8" w14:textId="77777777" w:rsidR="007A5F17" w:rsidRPr="001D0251" w:rsidRDefault="007A5F17" w:rsidP="007A5F17">
      <w:pPr>
        <w:pStyle w:val="Odstavecseseznamem"/>
        <w:numPr>
          <w:ilvl w:val="0"/>
          <w:numId w:val="34"/>
        </w:numPr>
        <w:spacing w:after="200" w:line="276" w:lineRule="auto"/>
        <w:jc w:val="both"/>
      </w:pPr>
      <w:r w:rsidRPr="001D0251">
        <w:rPr>
          <w:b/>
          <w:bCs/>
        </w:rPr>
        <w:t xml:space="preserve">EDIH OSTRAVA 2.0. – </w:t>
      </w:r>
      <w:r w:rsidRPr="001D0251">
        <w:t>EDIH Ostrava je jedním z pěti českých center připívajících k rozvoji a transformaci malých a středních firem v rámci sítě Evropských center pro digitální inovace podpořených z program Digitální Evropa. Koordinátorem projektu je VŠB-TUO (IT4Innovations). Projekt nabízí služby především v Moravskoslezském kraje s přesahem do Zlínského kraje. Projekt se zaměřuje na zvýšení úrovně digitalizace malých a středních firem a také na využití superpočítače.</w:t>
      </w:r>
    </w:p>
    <w:p w14:paraId="1FE9C645" w14:textId="77777777" w:rsidR="007A5F17" w:rsidRPr="00E07230" w:rsidRDefault="007A5F17" w:rsidP="007A5F17">
      <w:pPr>
        <w:pStyle w:val="Odstavecseseznamem"/>
        <w:numPr>
          <w:ilvl w:val="0"/>
          <w:numId w:val="34"/>
        </w:numPr>
        <w:spacing w:after="200" w:line="276" w:lineRule="auto"/>
        <w:jc w:val="both"/>
      </w:pPr>
      <w:r w:rsidRPr="001D0251">
        <w:rPr>
          <w:b/>
          <w:bCs/>
        </w:rPr>
        <w:t xml:space="preserve">BRIDGE AND </w:t>
      </w:r>
      <w:proofErr w:type="gramStart"/>
      <w:r w:rsidRPr="001D0251">
        <w:rPr>
          <w:b/>
          <w:bCs/>
        </w:rPr>
        <w:t>SHIFT</w:t>
      </w:r>
      <w:r>
        <w:rPr>
          <w:b/>
          <w:bCs/>
        </w:rPr>
        <w:t xml:space="preserve"> - </w:t>
      </w:r>
      <w:r w:rsidRPr="00E07230">
        <w:t>Projekt</w:t>
      </w:r>
      <w:proofErr w:type="gramEnd"/>
      <w:r w:rsidRPr="00E07230">
        <w:t xml:space="preserve"> BRIDGE and SHIFT (B&amp;S) je zaměřen na podporu transformace regionů se silným zastoupením automobilového průmyslu a na posílení jejich odolnosti vůči probíhajícím změnám v tomto odvětví. V úvodní fázi projektu dojde ke sdílení zkušeností mezi rozvinutějšími regiony (Aragon, Heilbronn) a méně rozvinutými regiony (Ostrava, Nitra, Rzeszow), které bude založeno na cíleném sdílení znalostí, praktických zkušeností a školeních v oblasti řízení inovačních procesů. Na první fázi bude navazovat detailní analýza regionálních hodnotových řetězců, jejímž cílem bude porovnání současného stavu s ideálním scénářem, definovaným dle potřeb sektoru. Analýza zohlední klíčové transformační trendy jako elektrifikace, automatizace, konektivita, sdílená mobilita a zrychlování inovačních cyklů. Identifikovaná slabá místa a mezery v hodnotových řetězcích pak vytvoří základ pro návrh konkrétních opatření. Výsledky analýz se následně převedou do podkladů pro aktualizaci regionálních inovačních strategií s důrazem na praktické potřeby malých a středních podniků. Strategie budou vycházet z reálných dat a reflektovat specifické podmínky jednotlivých regionů.</w:t>
      </w:r>
    </w:p>
    <w:p w14:paraId="66680AE6" w14:textId="77777777" w:rsidR="007A5F17" w:rsidRPr="006C638D" w:rsidRDefault="007A5F17" w:rsidP="007A5F17">
      <w:pPr>
        <w:jc w:val="both"/>
        <w:rPr>
          <w:b/>
          <w:bCs/>
        </w:rPr>
      </w:pPr>
      <w:r w:rsidRPr="006C638D">
        <w:rPr>
          <w:b/>
          <w:bCs/>
        </w:rPr>
        <w:t>Roční indikátory:</w:t>
      </w:r>
    </w:p>
    <w:p w14:paraId="4076FE7C" w14:textId="77777777" w:rsidR="007A5F17" w:rsidRPr="001D0251" w:rsidRDefault="007A5F17" w:rsidP="007A5F17">
      <w:r w:rsidRPr="001D0251">
        <w:t xml:space="preserve">Minimálně </w:t>
      </w:r>
      <w:r>
        <w:t>4</w:t>
      </w:r>
      <w:r w:rsidRPr="001D0251">
        <w:t xml:space="preserve"> předložen</w:t>
      </w:r>
      <w:r>
        <w:t>é grantové žádosti</w:t>
      </w:r>
      <w:r w:rsidRPr="001D0251">
        <w:t xml:space="preserve"> na financování aktivit MSIC ročně</w:t>
      </w:r>
      <w:r>
        <w:t xml:space="preserve">. </w:t>
      </w:r>
      <w:r w:rsidRPr="00C010E6">
        <w:t>Pokud některá z</w:t>
      </w:r>
      <w:r>
        <w:t> </w:t>
      </w:r>
      <w:r w:rsidRPr="00C010E6">
        <w:t>žádostí</w:t>
      </w:r>
      <w:r>
        <w:t xml:space="preserve"> předpokládá</w:t>
      </w:r>
      <w:r w:rsidRPr="00C010E6">
        <w:t xml:space="preserve"> pro MSIC financování ve výši 20 milionů Kč nebo více na jeden rok, </w:t>
      </w:r>
      <w:r>
        <w:t xml:space="preserve">je roční indikátor naplněn již předložením </w:t>
      </w:r>
      <w:r w:rsidRPr="00C010E6">
        <w:t>2 žádost</w:t>
      </w:r>
      <w:r>
        <w:t>í</w:t>
      </w:r>
      <w:r w:rsidRPr="00C010E6">
        <w:t>.“</w:t>
      </w:r>
    </w:p>
    <w:p w14:paraId="34AAF3F8" w14:textId="0FD32AC3" w:rsidR="007A5F17" w:rsidRPr="000D791A" w:rsidRDefault="00F42B8B" w:rsidP="007A5F17">
      <w:pPr>
        <w:rPr>
          <w:rFonts w:cstheme="minorHAnsi"/>
          <w:lang w:eastAsia="cs-CZ"/>
        </w:rPr>
      </w:pPr>
      <w:r>
        <w:rPr>
          <w:rFonts w:cstheme="minorHAnsi"/>
          <w:b/>
          <w:bCs/>
          <w:lang w:eastAsia="cs-CZ"/>
        </w:rPr>
        <w:lastRenderedPageBreak/>
        <w:t>T</w:t>
      </w:r>
      <w:r w:rsidR="007A5F17" w:rsidRPr="000D791A">
        <w:rPr>
          <w:rFonts w:cstheme="minorHAnsi"/>
          <w:b/>
          <w:bCs/>
          <w:lang w:eastAsia="cs-CZ"/>
        </w:rPr>
        <w:t>abulka:</w:t>
      </w:r>
      <w:r w:rsidR="007A5F17" w:rsidRPr="000D791A">
        <w:rPr>
          <w:rFonts w:cstheme="minorHAnsi"/>
          <w:lang w:eastAsia="cs-CZ"/>
        </w:rPr>
        <w:t xml:space="preserve"> Základ pro výpočet výše krácení vyrovnávací platby v případě nesplnění ročního indikátoru v plné výši</w:t>
      </w:r>
    </w:p>
    <w:tbl>
      <w:tblPr>
        <w:tblW w:w="9180" w:type="dxa"/>
        <w:tblCellMar>
          <w:left w:w="70" w:type="dxa"/>
          <w:right w:w="70" w:type="dxa"/>
        </w:tblCellMar>
        <w:tblLook w:val="04A0" w:firstRow="1" w:lastRow="0" w:firstColumn="1" w:lastColumn="0" w:noHBand="0" w:noVBand="1"/>
      </w:tblPr>
      <w:tblGrid>
        <w:gridCol w:w="6946"/>
        <w:gridCol w:w="992"/>
        <w:gridCol w:w="1242"/>
      </w:tblGrid>
      <w:tr w:rsidR="007A5F17" w:rsidRPr="000D791A" w14:paraId="171D732D" w14:textId="77777777" w:rsidTr="00486CA2">
        <w:trPr>
          <w:trHeight w:val="300"/>
        </w:trPr>
        <w:tc>
          <w:tcPr>
            <w:tcW w:w="6946" w:type="dxa"/>
            <w:tcBorders>
              <w:top w:val="nil"/>
              <w:left w:val="nil"/>
              <w:bottom w:val="nil"/>
              <w:right w:val="nil"/>
            </w:tcBorders>
            <w:noWrap/>
            <w:vAlign w:val="center"/>
            <w:hideMark/>
          </w:tcPr>
          <w:p w14:paraId="1D5E4850" w14:textId="77777777" w:rsidR="007A5F17" w:rsidRPr="000D791A" w:rsidRDefault="007A5F17" w:rsidP="00486CA2">
            <w:pPr>
              <w:spacing w:after="0" w:line="240" w:lineRule="auto"/>
              <w:rPr>
                <w:rFonts w:eastAsia="Times New Roman" w:cstheme="minorHAnsi"/>
                <w:b/>
                <w:bCs/>
                <w:color w:val="000000"/>
                <w:lang w:eastAsia="cs-CZ"/>
              </w:rPr>
            </w:pPr>
            <w:r w:rsidRPr="000D791A">
              <w:rPr>
                <w:rFonts w:eastAsia="Times New Roman" w:cstheme="minorHAnsi"/>
                <w:b/>
                <w:bCs/>
                <w:color w:val="000000"/>
                <w:lang w:eastAsia="cs-CZ"/>
              </w:rPr>
              <w:t>Roční indikátory Řízení RIS MSK:</w:t>
            </w:r>
          </w:p>
        </w:tc>
        <w:tc>
          <w:tcPr>
            <w:tcW w:w="992" w:type="dxa"/>
            <w:tcBorders>
              <w:top w:val="nil"/>
              <w:left w:val="nil"/>
              <w:bottom w:val="nil"/>
              <w:right w:val="nil"/>
            </w:tcBorders>
            <w:noWrap/>
            <w:vAlign w:val="center"/>
            <w:hideMark/>
          </w:tcPr>
          <w:p w14:paraId="4508E906" w14:textId="77777777" w:rsidR="007A5F17" w:rsidRPr="000D791A" w:rsidRDefault="007A5F17" w:rsidP="00486CA2">
            <w:pPr>
              <w:spacing w:after="0" w:line="240" w:lineRule="auto"/>
              <w:jc w:val="center"/>
              <w:rPr>
                <w:rFonts w:eastAsia="Times New Roman" w:cstheme="minorHAnsi"/>
                <w:b/>
                <w:bCs/>
                <w:color w:val="000000"/>
                <w:lang w:eastAsia="cs-CZ"/>
              </w:rPr>
            </w:pPr>
            <w:r w:rsidRPr="000D791A">
              <w:rPr>
                <w:rFonts w:eastAsia="Times New Roman" w:cstheme="minorHAnsi"/>
                <w:b/>
                <w:bCs/>
                <w:color w:val="000000"/>
                <w:lang w:eastAsia="cs-CZ"/>
              </w:rPr>
              <w:t>KPI SGEI</w:t>
            </w:r>
          </w:p>
        </w:tc>
        <w:tc>
          <w:tcPr>
            <w:tcW w:w="1242" w:type="dxa"/>
            <w:tcBorders>
              <w:top w:val="nil"/>
              <w:left w:val="nil"/>
              <w:bottom w:val="nil"/>
              <w:right w:val="nil"/>
            </w:tcBorders>
            <w:noWrap/>
            <w:vAlign w:val="center"/>
            <w:hideMark/>
          </w:tcPr>
          <w:p w14:paraId="01E05B5B" w14:textId="7219ED39" w:rsidR="007A5F17" w:rsidRPr="000D791A" w:rsidRDefault="007A5F17" w:rsidP="00FA000F">
            <w:pPr>
              <w:spacing w:after="0" w:line="240" w:lineRule="auto"/>
              <w:jc w:val="right"/>
              <w:rPr>
                <w:rFonts w:eastAsia="Times New Roman" w:cstheme="minorHAnsi"/>
                <w:b/>
                <w:bCs/>
                <w:color w:val="000000"/>
                <w:lang w:eastAsia="cs-CZ"/>
              </w:rPr>
            </w:pPr>
            <w:proofErr w:type="gramStart"/>
            <w:r w:rsidRPr="000D791A">
              <w:rPr>
                <w:rFonts w:eastAsia="Times New Roman" w:cstheme="minorHAnsi"/>
                <w:b/>
                <w:bCs/>
                <w:color w:val="000000"/>
                <w:lang w:eastAsia="cs-CZ"/>
              </w:rPr>
              <w:t xml:space="preserve">Sankční </w:t>
            </w:r>
            <w:r w:rsidR="00FA000F">
              <w:rPr>
                <w:rFonts w:eastAsia="Times New Roman" w:cstheme="minorHAnsi"/>
                <w:b/>
                <w:bCs/>
                <w:color w:val="000000"/>
                <w:lang w:eastAsia="cs-CZ"/>
              </w:rPr>
              <w:t xml:space="preserve"> </w:t>
            </w:r>
            <w:r w:rsidRPr="000D791A">
              <w:rPr>
                <w:rFonts w:eastAsia="Times New Roman" w:cstheme="minorHAnsi"/>
                <w:b/>
                <w:bCs/>
                <w:color w:val="000000"/>
                <w:lang w:eastAsia="cs-CZ"/>
              </w:rPr>
              <w:t>hodnota</w:t>
            </w:r>
            <w:proofErr w:type="gramEnd"/>
            <w:r w:rsidRPr="000D791A">
              <w:rPr>
                <w:rFonts w:eastAsia="Times New Roman" w:cstheme="minorHAnsi"/>
                <w:b/>
                <w:bCs/>
                <w:color w:val="000000"/>
                <w:lang w:eastAsia="cs-CZ"/>
              </w:rPr>
              <w:t xml:space="preserve"> jednice indikátoru</w:t>
            </w:r>
          </w:p>
        </w:tc>
      </w:tr>
      <w:tr w:rsidR="007A5F17" w:rsidRPr="000D791A" w14:paraId="15986C24" w14:textId="77777777" w:rsidTr="00486CA2">
        <w:trPr>
          <w:trHeight w:val="300"/>
        </w:trPr>
        <w:tc>
          <w:tcPr>
            <w:tcW w:w="6946" w:type="dxa"/>
            <w:tcBorders>
              <w:top w:val="nil"/>
              <w:left w:val="nil"/>
              <w:bottom w:val="nil"/>
              <w:right w:val="nil"/>
            </w:tcBorders>
            <w:noWrap/>
            <w:vAlign w:val="center"/>
            <w:hideMark/>
          </w:tcPr>
          <w:p w14:paraId="5FD832E8"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Minimálně 45 aktivních (zapojení do minimálně 2 aktivit RIS MSK) podporovatelů RIS MSK</w:t>
            </w:r>
          </w:p>
        </w:tc>
        <w:tc>
          <w:tcPr>
            <w:tcW w:w="992" w:type="dxa"/>
            <w:tcBorders>
              <w:top w:val="nil"/>
              <w:left w:val="nil"/>
              <w:bottom w:val="nil"/>
              <w:right w:val="nil"/>
            </w:tcBorders>
            <w:noWrap/>
            <w:vAlign w:val="bottom"/>
            <w:hideMark/>
          </w:tcPr>
          <w:p w14:paraId="0425C98C"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45</w:t>
            </w:r>
          </w:p>
        </w:tc>
        <w:tc>
          <w:tcPr>
            <w:tcW w:w="1242" w:type="dxa"/>
            <w:tcBorders>
              <w:top w:val="nil"/>
              <w:left w:val="nil"/>
              <w:bottom w:val="nil"/>
              <w:right w:val="nil"/>
            </w:tcBorders>
            <w:noWrap/>
            <w:vAlign w:val="bottom"/>
            <w:hideMark/>
          </w:tcPr>
          <w:p w14:paraId="38B1BC7A"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157000</w:t>
            </w:r>
          </w:p>
        </w:tc>
      </w:tr>
      <w:tr w:rsidR="007A5F17" w:rsidRPr="000D791A" w14:paraId="14C20636" w14:textId="77777777" w:rsidTr="00486CA2">
        <w:trPr>
          <w:trHeight w:val="300"/>
        </w:trPr>
        <w:tc>
          <w:tcPr>
            <w:tcW w:w="6946" w:type="dxa"/>
            <w:tcBorders>
              <w:top w:val="nil"/>
              <w:left w:val="nil"/>
              <w:bottom w:val="nil"/>
              <w:right w:val="nil"/>
            </w:tcBorders>
            <w:noWrap/>
            <w:vAlign w:val="center"/>
            <w:hideMark/>
          </w:tcPr>
          <w:p w14:paraId="13795010"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Minimálně 1 pilotáže ročně</w:t>
            </w:r>
          </w:p>
        </w:tc>
        <w:tc>
          <w:tcPr>
            <w:tcW w:w="992" w:type="dxa"/>
            <w:tcBorders>
              <w:top w:val="nil"/>
              <w:left w:val="nil"/>
              <w:bottom w:val="nil"/>
              <w:right w:val="nil"/>
            </w:tcBorders>
            <w:noWrap/>
            <w:vAlign w:val="bottom"/>
            <w:hideMark/>
          </w:tcPr>
          <w:p w14:paraId="30012505"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1</w:t>
            </w:r>
          </w:p>
        </w:tc>
        <w:tc>
          <w:tcPr>
            <w:tcW w:w="1242" w:type="dxa"/>
            <w:tcBorders>
              <w:top w:val="nil"/>
              <w:left w:val="nil"/>
              <w:bottom w:val="nil"/>
              <w:right w:val="nil"/>
            </w:tcBorders>
            <w:noWrap/>
            <w:vAlign w:val="bottom"/>
            <w:hideMark/>
          </w:tcPr>
          <w:p w14:paraId="36F5F4ED"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204000</w:t>
            </w:r>
          </w:p>
        </w:tc>
      </w:tr>
      <w:tr w:rsidR="007A5F17" w:rsidRPr="000D791A" w14:paraId="51552769" w14:textId="77777777" w:rsidTr="00486CA2">
        <w:trPr>
          <w:trHeight w:val="300"/>
        </w:trPr>
        <w:tc>
          <w:tcPr>
            <w:tcW w:w="6946" w:type="dxa"/>
            <w:tcBorders>
              <w:top w:val="nil"/>
              <w:left w:val="nil"/>
              <w:bottom w:val="nil"/>
              <w:right w:val="nil"/>
            </w:tcBorders>
            <w:noWrap/>
            <w:vAlign w:val="center"/>
            <w:hideMark/>
          </w:tcPr>
          <w:p w14:paraId="7274FE7C"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Minimálně 3 setkání v rámci sítí/platforem (např. Ynovate, EBN)</w:t>
            </w:r>
          </w:p>
        </w:tc>
        <w:tc>
          <w:tcPr>
            <w:tcW w:w="992" w:type="dxa"/>
            <w:tcBorders>
              <w:top w:val="nil"/>
              <w:left w:val="nil"/>
              <w:bottom w:val="nil"/>
              <w:right w:val="nil"/>
            </w:tcBorders>
            <w:noWrap/>
            <w:vAlign w:val="bottom"/>
            <w:hideMark/>
          </w:tcPr>
          <w:p w14:paraId="0D53D615"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3</w:t>
            </w:r>
          </w:p>
        </w:tc>
        <w:tc>
          <w:tcPr>
            <w:tcW w:w="1242" w:type="dxa"/>
            <w:tcBorders>
              <w:top w:val="nil"/>
              <w:left w:val="nil"/>
              <w:bottom w:val="nil"/>
              <w:right w:val="nil"/>
            </w:tcBorders>
            <w:noWrap/>
            <w:vAlign w:val="bottom"/>
            <w:hideMark/>
          </w:tcPr>
          <w:p w14:paraId="6448A0FE"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135000</w:t>
            </w:r>
          </w:p>
        </w:tc>
      </w:tr>
      <w:tr w:rsidR="007A5F17" w:rsidRPr="000D791A" w14:paraId="679C2CA6" w14:textId="77777777" w:rsidTr="00486CA2">
        <w:trPr>
          <w:trHeight w:val="300"/>
        </w:trPr>
        <w:tc>
          <w:tcPr>
            <w:tcW w:w="6946" w:type="dxa"/>
            <w:tcBorders>
              <w:top w:val="nil"/>
              <w:left w:val="nil"/>
              <w:bottom w:val="nil"/>
              <w:right w:val="nil"/>
            </w:tcBorders>
            <w:noWrap/>
            <w:vAlign w:val="center"/>
            <w:hideMark/>
          </w:tcPr>
          <w:p w14:paraId="4AD5B9A4"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Minimálně 1 setkání Rady pro inovaci</w:t>
            </w:r>
          </w:p>
        </w:tc>
        <w:tc>
          <w:tcPr>
            <w:tcW w:w="992" w:type="dxa"/>
            <w:tcBorders>
              <w:top w:val="nil"/>
              <w:left w:val="nil"/>
              <w:bottom w:val="nil"/>
              <w:right w:val="nil"/>
            </w:tcBorders>
            <w:noWrap/>
            <w:vAlign w:val="bottom"/>
            <w:hideMark/>
          </w:tcPr>
          <w:p w14:paraId="043FA1E6"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1</w:t>
            </w:r>
          </w:p>
        </w:tc>
        <w:tc>
          <w:tcPr>
            <w:tcW w:w="1242" w:type="dxa"/>
            <w:tcBorders>
              <w:top w:val="nil"/>
              <w:left w:val="nil"/>
              <w:bottom w:val="nil"/>
              <w:right w:val="nil"/>
            </w:tcBorders>
            <w:noWrap/>
            <w:vAlign w:val="bottom"/>
            <w:hideMark/>
          </w:tcPr>
          <w:p w14:paraId="18329573"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81000</w:t>
            </w:r>
          </w:p>
        </w:tc>
      </w:tr>
      <w:tr w:rsidR="007A5F17" w:rsidRPr="000D791A" w14:paraId="1206939E" w14:textId="77777777" w:rsidTr="00486CA2">
        <w:trPr>
          <w:trHeight w:val="300"/>
        </w:trPr>
        <w:tc>
          <w:tcPr>
            <w:tcW w:w="6946" w:type="dxa"/>
            <w:tcBorders>
              <w:top w:val="nil"/>
              <w:left w:val="nil"/>
              <w:bottom w:val="nil"/>
              <w:right w:val="nil"/>
            </w:tcBorders>
            <w:noWrap/>
            <w:vAlign w:val="bottom"/>
            <w:hideMark/>
          </w:tcPr>
          <w:p w14:paraId="6D69CE45"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minimálně 5 tematických pracovních skupin s minimálně 2 setkáními ročně</w:t>
            </w:r>
          </w:p>
        </w:tc>
        <w:tc>
          <w:tcPr>
            <w:tcW w:w="992" w:type="dxa"/>
            <w:tcBorders>
              <w:top w:val="nil"/>
              <w:left w:val="nil"/>
              <w:bottom w:val="nil"/>
              <w:right w:val="nil"/>
            </w:tcBorders>
            <w:noWrap/>
            <w:vAlign w:val="bottom"/>
            <w:hideMark/>
          </w:tcPr>
          <w:p w14:paraId="0F1B1179"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5</w:t>
            </w:r>
          </w:p>
        </w:tc>
        <w:tc>
          <w:tcPr>
            <w:tcW w:w="1242" w:type="dxa"/>
            <w:tcBorders>
              <w:top w:val="nil"/>
              <w:left w:val="nil"/>
              <w:bottom w:val="nil"/>
              <w:right w:val="nil"/>
            </w:tcBorders>
            <w:noWrap/>
            <w:vAlign w:val="bottom"/>
            <w:hideMark/>
          </w:tcPr>
          <w:p w14:paraId="1C7A11B8"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41000</w:t>
            </w:r>
          </w:p>
        </w:tc>
      </w:tr>
      <w:tr w:rsidR="007A5F17" w:rsidRPr="000D791A" w14:paraId="5C090AAE" w14:textId="77777777" w:rsidTr="00486CA2">
        <w:trPr>
          <w:trHeight w:val="300"/>
        </w:trPr>
        <w:tc>
          <w:tcPr>
            <w:tcW w:w="6946" w:type="dxa"/>
            <w:tcBorders>
              <w:top w:val="nil"/>
              <w:left w:val="nil"/>
              <w:bottom w:val="nil"/>
              <w:right w:val="nil"/>
            </w:tcBorders>
            <w:noWrap/>
            <w:vAlign w:val="bottom"/>
            <w:hideMark/>
          </w:tcPr>
          <w:p w14:paraId="2159CAB9" w14:textId="77777777" w:rsidR="007A5F17" w:rsidRPr="000D791A" w:rsidRDefault="007A5F17" w:rsidP="00486CA2">
            <w:pPr>
              <w:spacing w:after="0" w:line="240" w:lineRule="auto"/>
              <w:rPr>
                <w:rFonts w:eastAsia="Times New Roman" w:cstheme="minorHAnsi"/>
                <w:lang w:eastAsia="cs-CZ"/>
              </w:rPr>
            </w:pPr>
          </w:p>
        </w:tc>
        <w:tc>
          <w:tcPr>
            <w:tcW w:w="992" w:type="dxa"/>
            <w:tcBorders>
              <w:top w:val="nil"/>
              <w:left w:val="nil"/>
              <w:bottom w:val="nil"/>
              <w:right w:val="nil"/>
            </w:tcBorders>
            <w:noWrap/>
            <w:vAlign w:val="bottom"/>
            <w:hideMark/>
          </w:tcPr>
          <w:p w14:paraId="0CC2E923" w14:textId="77777777" w:rsidR="007A5F17" w:rsidRPr="000D791A" w:rsidRDefault="007A5F17" w:rsidP="00486CA2">
            <w:pPr>
              <w:spacing w:after="0" w:line="240" w:lineRule="auto"/>
              <w:rPr>
                <w:rFonts w:eastAsia="Times New Roman" w:cstheme="minorHAnsi"/>
                <w:lang w:eastAsia="cs-CZ"/>
              </w:rPr>
            </w:pPr>
          </w:p>
        </w:tc>
        <w:tc>
          <w:tcPr>
            <w:tcW w:w="1242" w:type="dxa"/>
            <w:tcBorders>
              <w:top w:val="nil"/>
              <w:left w:val="nil"/>
              <w:bottom w:val="nil"/>
              <w:right w:val="nil"/>
            </w:tcBorders>
            <w:noWrap/>
            <w:vAlign w:val="bottom"/>
            <w:hideMark/>
          </w:tcPr>
          <w:p w14:paraId="2C769398" w14:textId="77777777" w:rsidR="007A5F17" w:rsidRPr="000D791A" w:rsidRDefault="007A5F17" w:rsidP="00486CA2">
            <w:pPr>
              <w:spacing w:after="0" w:line="240" w:lineRule="auto"/>
              <w:rPr>
                <w:rFonts w:eastAsia="Times New Roman" w:cstheme="minorHAnsi"/>
                <w:lang w:eastAsia="cs-CZ"/>
              </w:rPr>
            </w:pPr>
          </w:p>
        </w:tc>
      </w:tr>
      <w:tr w:rsidR="007A5F17" w:rsidRPr="000D791A" w14:paraId="3F4F5DDC" w14:textId="77777777" w:rsidTr="00486CA2">
        <w:trPr>
          <w:trHeight w:val="300"/>
        </w:trPr>
        <w:tc>
          <w:tcPr>
            <w:tcW w:w="6946" w:type="dxa"/>
            <w:tcBorders>
              <w:top w:val="nil"/>
              <w:left w:val="nil"/>
              <w:bottom w:val="nil"/>
              <w:right w:val="nil"/>
            </w:tcBorders>
            <w:noWrap/>
            <w:vAlign w:val="center"/>
            <w:hideMark/>
          </w:tcPr>
          <w:p w14:paraId="61EB9498" w14:textId="77777777" w:rsidR="007A5F17" w:rsidRPr="000D791A" w:rsidRDefault="007A5F17" w:rsidP="00486CA2">
            <w:pPr>
              <w:spacing w:after="0" w:line="240" w:lineRule="auto"/>
              <w:rPr>
                <w:rFonts w:eastAsia="Times New Roman" w:cstheme="minorHAnsi"/>
                <w:b/>
                <w:bCs/>
                <w:color w:val="000000"/>
                <w:lang w:eastAsia="cs-CZ"/>
              </w:rPr>
            </w:pPr>
            <w:r w:rsidRPr="000D791A">
              <w:rPr>
                <w:rFonts w:eastAsia="Times New Roman" w:cstheme="minorHAnsi"/>
                <w:b/>
                <w:bCs/>
                <w:color w:val="000000"/>
                <w:lang w:eastAsia="cs-CZ"/>
              </w:rPr>
              <w:t>Roční indikátory Inovační služby:</w:t>
            </w:r>
          </w:p>
        </w:tc>
        <w:tc>
          <w:tcPr>
            <w:tcW w:w="992" w:type="dxa"/>
            <w:tcBorders>
              <w:top w:val="nil"/>
              <w:left w:val="nil"/>
              <w:bottom w:val="nil"/>
              <w:right w:val="nil"/>
            </w:tcBorders>
            <w:noWrap/>
            <w:vAlign w:val="bottom"/>
            <w:hideMark/>
          </w:tcPr>
          <w:p w14:paraId="25B06DD4" w14:textId="77777777" w:rsidR="007A5F17" w:rsidRPr="000D791A" w:rsidRDefault="007A5F17" w:rsidP="00486CA2">
            <w:pPr>
              <w:spacing w:after="0" w:line="240" w:lineRule="auto"/>
              <w:rPr>
                <w:rFonts w:eastAsia="Times New Roman" w:cstheme="minorHAnsi"/>
                <w:b/>
                <w:bCs/>
                <w:color w:val="000000"/>
                <w:lang w:eastAsia="cs-CZ"/>
              </w:rPr>
            </w:pPr>
          </w:p>
        </w:tc>
        <w:tc>
          <w:tcPr>
            <w:tcW w:w="1242" w:type="dxa"/>
            <w:tcBorders>
              <w:top w:val="nil"/>
              <w:left w:val="nil"/>
              <w:bottom w:val="nil"/>
              <w:right w:val="nil"/>
            </w:tcBorders>
            <w:noWrap/>
            <w:vAlign w:val="bottom"/>
            <w:hideMark/>
          </w:tcPr>
          <w:p w14:paraId="7C7212FD" w14:textId="77777777" w:rsidR="007A5F17" w:rsidRPr="000D791A" w:rsidRDefault="007A5F17" w:rsidP="00486CA2">
            <w:pPr>
              <w:spacing w:after="0" w:line="240" w:lineRule="auto"/>
              <w:rPr>
                <w:rFonts w:eastAsia="Times New Roman" w:cstheme="minorHAnsi"/>
                <w:lang w:eastAsia="cs-CZ"/>
              </w:rPr>
            </w:pPr>
          </w:p>
        </w:tc>
      </w:tr>
      <w:tr w:rsidR="007A5F17" w:rsidRPr="000D791A" w14:paraId="68088943" w14:textId="77777777" w:rsidTr="00486CA2">
        <w:trPr>
          <w:trHeight w:val="300"/>
        </w:trPr>
        <w:tc>
          <w:tcPr>
            <w:tcW w:w="6946" w:type="dxa"/>
            <w:tcBorders>
              <w:top w:val="nil"/>
              <w:left w:val="nil"/>
              <w:bottom w:val="nil"/>
              <w:right w:val="nil"/>
            </w:tcBorders>
            <w:noWrap/>
            <w:vAlign w:val="center"/>
            <w:hideMark/>
          </w:tcPr>
          <w:p w14:paraId="62D094C4"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Počet podpořených rozjezdů/start-upů a zralých MSP (vice jak 4 hodiny služeb)</w:t>
            </w:r>
          </w:p>
        </w:tc>
        <w:tc>
          <w:tcPr>
            <w:tcW w:w="992" w:type="dxa"/>
            <w:tcBorders>
              <w:top w:val="nil"/>
              <w:left w:val="nil"/>
              <w:bottom w:val="nil"/>
              <w:right w:val="nil"/>
            </w:tcBorders>
            <w:noWrap/>
            <w:vAlign w:val="bottom"/>
            <w:hideMark/>
          </w:tcPr>
          <w:p w14:paraId="76E806DB"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72</w:t>
            </w:r>
          </w:p>
        </w:tc>
        <w:tc>
          <w:tcPr>
            <w:tcW w:w="1242" w:type="dxa"/>
            <w:tcBorders>
              <w:top w:val="nil"/>
              <w:left w:val="nil"/>
              <w:bottom w:val="nil"/>
              <w:right w:val="nil"/>
            </w:tcBorders>
            <w:noWrap/>
            <w:vAlign w:val="bottom"/>
            <w:hideMark/>
          </w:tcPr>
          <w:p w14:paraId="3E5BEFBA"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199000</w:t>
            </w:r>
          </w:p>
        </w:tc>
      </w:tr>
      <w:tr w:rsidR="007A5F17" w:rsidRPr="000D791A" w14:paraId="0309D9ED" w14:textId="77777777" w:rsidTr="00486CA2">
        <w:trPr>
          <w:trHeight w:val="300"/>
        </w:trPr>
        <w:tc>
          <w:tcPr>
            <w:tcW w:w="6946" w:type="dxa"/>
            <w:tcBorders>
              <w:top w:val="nil"/>
              <w:left w:val="nil"/>
              <w:bottom w:val="nil"/>
              <w:right w:val="nil"/>
            </w:tcBorders>
            <w:noWrap/>
            <w:vAlign w:val="center"/>
            <w:hideMark/>
          </w:tcPr>
          <w:p w14:paraId="2A86AF40"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Počet zapojených studentů/výzkumníků – minimálně 9</w:t>
            </w:r>
          </w:p>
        </w:tc>
        <w:tc>
          <w:tcPr>
            <w:tcW w:w="992" w:type="dxa"/>
            <w:tcBorders>
              <w:top w:val="nil"/>
              <w:left w:val="nil"/>
              <w:bottom w:val="nil"/>
              <w:right w:val="nil"/>
            </w:tcBorders>
            <w:noWrap/>
            <w:vAlign w:val="bottom"/>
            <w:hideMark/>
          </w:tcPr>
          <w:p w14:paraId="0BFDF0E9"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9</w:t>
            </w:r>
          </w:p>
        </w:tc>
        <w:tc>
          <w:tcPr>
            <w:tcW w:w="1242" w:type="dxa"/>
            <w:tcBorders>
              <w:top w:val="nil"/>
              <w:left w:val="nil"/>
              <w:bottom w:val="nil"/>
              <w:right w:val="nil"/>
            </w:tcBorders>
            <w:noWrap/>
            <w:vAlign w:val="bottom"/>
            <w:hideMark/>
          </w:tcPr>
          <w:p w14:paraId="280FD923"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188000</w:t>
            </w:r>
          </w:p>
        </w:tc>
      </w:tr>
      <w:tr w:rsidR="007A5F17" w:rsidRPr="000D791A" w14:paraId="1D996F40" w14:textId="77777777" w:rsidTr="00486CA2">
        <w:trPr>
          <w:trHeight w:val="300"/>
        </w:trPr>
        <w:tc>
          <w:tcPr>
            <w:tcW w:w="6946" w:type="dxa"/>
            <w:tcBorders>
              <w:top w:val="nil"/>
              <w:left w:val="nil"/>
              <w:bottom w:val="nil"/>
              <w:right w:val="nil"/>
            </w:tcBorders>
            <w:noWrap/>
            <w:vAlign w:val="center"/>
            <w:hideMark/>
          </w:tcPr>
          <w:p w14:paraId="2BFA1425"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Počet propojení – minimálně 27</w:t>
            </w:r>
          </w:p>
        </w:tc>
        <w:tc>
          <w:tcPr>
            <w:tcW w:w="992" w:type="dxa"/>
            <w:tcBorders>
              <w:top w:val="nil"/>
              <w:left w:val="nil"/>
              <w:bottom w:val="nil"/>
              <w:right w:val="nil"/>
            </w:tcBorders>
            <w:noWrap/>
            <w:vAlign w:val="bottom"/>
            <w:hideMark/>
          </w:tcPr>
          <w:p w14:paraId="33E38804"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27</w:t>
            </w:r>
          </w:p>
        </w:tc>
        <w:tc>
          <w:tcPr>
            <w:tcW w:w="1242" w:type="dxa"/>
            <w:tcBorders>
              <w:top w:val="nil"/>
              <w:left w:val="nil"/>
              <w:bottom w:val="nil"/>
              <w:right w:val="nil"/>
            </w:tcBorders>
            <w:noWrap/>
            <w:vAlign w:val="bottom"/>
            <w:hideMark/>
          </w:tcPr>
          <w:p w14:paraId="3AE5D141"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16000</w:t>
            </w:r>
          </w:p>
        </w:tc>
      </w:tr>
      <w:tr w:rsidR="007A5F17" w:rsidRPr="000D791A" w14:paraId="63A607F9" w14:textId="77777777" w:rsidTr="00486CA2">
        <w:trPr>
          <w:trHeight w:val="300"/>
        </w:trPr>
        <w:tc>
          <w:tcPr>
            <w:tcW w:w="6946" w:type="dxa"/>
            <w:tcBorders>
              <w:top w:val="nil"/>
              <w:left w:val="nil"/>
              <w:bottom w:val="nil"/>
              <w:right w:val="nil"/>
            </w:tcBorders>
            <w:noWrap/>
            <w:vAlign w:val="center"/>
            <w:hideMark/>
          </w:tcPr>
          <w:p w14:paraId="224DAC6A"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Počet akcí pro experty – minimálně 1 akce s minimálně 60 účastníky</w:t>
            </w:r>
          </w:p>
        </w:tc>
        <w:tc>
          <w:tcPr>
            <w:tcW w:w="992" w:type="dxa"/>
            <w:tcBorders>
              <w:top w:val="nil"/>
              <w:left w:val="nil"/>
              <w:bottom w:val="nil"/>
              <w:right w:val="nil"/>
            </w:tcBorders>
            <w:noWrap/>
            <w:vAlign w:val="bottom"/>
            <w:hideMark/>
          </w:tcPr>
          <w:p w14:paraId="18DC20E6"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1</w:t>
            </w:r>
          </w:p>
        </w:tc>
        <w:tc>
          <w:tcPr>
            <w:tcW w:w="1242" w:type="dxa"/>
            <w:tcBorders>
              <w:top w:val="nil"/>
              <w:left w:val="nil"/>
              <w:bottom w:val="nil"/>
              <w:right w:val="nil"/>
            </w:tcBorders>
            <w:noWrap/>
            <w:vAlign w:val="bottom"/>
            <w:hideMark/>
          </w:tcPr>
          <w:p w14:paraId="4FE6C87B"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202000</w:t>
            </w:r>
          </w:p>
        </w:tc>
      </w:tr>
      <w:tr w:rsidR="007A5F17" w:rsidRPr="000D791A" w14:paraId="3D00A869" w14:textId="77777777" w:rsidTr="00486CA2">
        <w:trPr>
          <w:trHeight w:val="300"/>
        </w:trPr>
        <w:tc>
          <w:tcPr>
            <w:tcW w:w="6946" w:type="dxa"/>
            <w:tcBorders>
              <w:top w:val="nil"/>
              <w:left w:val="nil"/>
              <w:bottom w:val="nil"/>
              <w:right w:val="nil"/>
            </w:tcBorders>
            <w:noWrap/>
            <w:vAlign w:val="bottom"/>
            <w:hideMark/>
          </w:tcPr>
          <w:p w14:paraId="738CCDDF" w14:textId="77777777" w:rsidR="007A5F17" w:rsidRPr="000D791A" w:rsidRDefault="007A5F17" w:rsidP="00486CA2">
            <w:pPr>
              <w:spacing w:after="0" w:line="240" w:lineRule="auto"/>
              <w:rPr>
                <w:rFonts w:eastAsia="Times New Roman" w:cstheme="minorHAnsi"/>
                <w:lang w:eastAsia="cs-CZ"/>
              </w:rPr>
            </w:pPr>
          </w:p>
        </w:tc>
        <w:tc>
          <w:tcPr>
            <w:tcW w:w="992" w:type="dxa"/>
            <w:tcBorders>
              <w:top w:val="nil"/>
              <w:left w:val="nil"/>
              <w:bottom w:val="nil"/>
              <w:right w:val="nil"/>
            </w:tcBorders>
            <w:noWrap/>
            <w:vAlign w:val="bottom"/>
            <w:hideMark/>
          </w:tcPr>
          <w:p w14:paraId="7BC2CBDC" w14:textId="77777777" w:rsidR="007A5F17" w:rsidRPr="000D791A" w:rsidRDefault="007A5F17" w:rsidP="00486CA2">
            <w:pPr>
              <w:spacing w:after="0" w:line="240" w:lineRule="auto"/>
              <w:rPr>
                <w:rFonts w:eastAsia="Times New Roman" w:cstheme="minorHAnsi"/>
                <w:lang w:eastAsia="cs-CZ"/>
              </w:rPr>
            </w:pPr>
          </w:p>
        </w:tc>
        <w:tc>
          <w:tcPr>
            <w:tcW w:w="1242" w:type="dxa"/>
            <w:tcBorders>
              <w:top w:val="nil"/>
              <w:left w:val="nil"/>
              <w:bottom w:val="nil"/>
              <w:right w:val="nil"/>
            </w:tcBorders>
            <w:noWrap/>
            <w:vAlign w:val="bottom"/>
            <w:hideMark/>
          </w:tcPr>
          <w:p w14:paraId="7B13ADD4" w14:textId="77777777" w:rsidR="007A5F17" w:rsidRPr="000D791A" w:rsidRDefault="007A5F17" w:rsidP="00486CA2">
            <w:pPr>
              <w:spacing w:after="0" w:line="240" w:lineRule="auto"/>
              <w:rPr>
                <w:rFonts w:eastAsia="Times New Roman" w:cstheme="minorHAnsi"/>
                <w:lang w:eastAsia="cs-CZ"/>
              </w:rPr>
            </w:pPr>
          </w:p>
        </w:tc>
      </w:tr>
      <w:tr w:rsidR="007A5F17" w:rsidRPr="000D791A" w14:paraId="593CBCCD" w14:textId="77777777" w:rsidTr="00486CA2">
        <w:trPr>
          <w:trHeight w:val="300"/>
        </w:trPr>
        <w:tc>
          <w:tcPr>
            <w:tcW w:w="6946" w:type="dxa"/>
            <w:tcBorders>
              <w:top w:val="nil"/>
              <w:left w:val="nil"/>
              <w:bottom w:val="nil"/>
              <w:right w:val="nil"/>
            </w:tcBorders>
            <w:noWrap/>
            <w:vAlign w:val="center"/>
            <w:hideMark/>
          </w:tcPr>
          <w:p w14:paraId="5D498A80" w14:textId="77777777" w:rsidR="007A5F17" w:rsidRPr="000D791A" w:rsidRDefault="007A5F17" w:rsidP="00486CA2">
            <w:pPr>
              <w:spacing w:after="0" w:line="240" w:lineRule="auto"/>
              <w:jc w:val="both"/>
              <w:rPr>
                <w:rFonts w:eastAsia="Times New Roman" w:cstheme="minorHAnsi"/>
                <w:b/>
                <w:bCs/>
                <w:color w:val="000000"/>
                <w:lang w:eastAsia="cs-CZ"/>
              </w:rPr>
            </w:pPr>
            <w:r w:rsidRPr="000D791A">
              <w:rPr>
                <w:rFonts w:eastAsia="Times New Roman" w:cstheme="minorHAnsi"/>
                <w:b/>
                <w:bCs/>
                <w:color w:val="000000"/>
                <w:lang w:eastAsia="cs-CZ"/>
              </w:rPr>
              <w:t>Roční indikátory Ostrava Expat Centrum:</w:t>
            </w:r>
          </w:p>
        </w:tc>
        <w:tc>
          <w:tcPr>
            <w:tcW w:w="992" w:type="dxa"/>
            <w:tcBorders>
              <w:top w:val="nil"/>
              <w:left w:val="nil"/>
              <w:bottom w:val="nil"/>
              <w:right w:val="nil"/>
            </w:tcBorders>
            <w:noWrap/>
            <w:vAlign w:val="bottom"/>
            <w:hideMark/>
          </w:tcPr>
          <w:p w14:paraId="69533FD7" w14:textId="77777777" w:rsidR="007A5F17" w:rsidRPr="000D791A" w:rsidRDefault="007A5F17" w:rsidP="00486CA2">
            <w:pPr>
              <w:spacing w:after="0" w:line="240" w:lineRule="auto"/>
              <w:jc w:val="both"/>
              <w:rPr>
                <w:rFonts w:eastAsia="Times New Roman" w:cstheme="minorHAnsi"/>
                <w:b/>
                <w:bCs/>
                <w:color w:val="000000"/>
                <w:lang w:eastAsia="cs-CZ"/>
              </w:rPr>
            </w:pPr>
          </w:p>
        </w:tc>
        <w:tc>
          <w:tcPr>
            <w:tcW w:w="1242" w:type="dxa"/>
            <w:tcBorders>
              <w:top w:val="nil"/>
              <w:left w:val="nil"/>
              <w:bottom w:val="nil"/>
              <w:right w:val="nil"/>
            </w:tcBorders>
            <w:noWrap/>
            <w:vAlign w:val="bottom"/>
            <w:hideMark/>
          </w:tcPr>
          <w:p w14:paraId="39C51829" w14:textId="77777777" w:rsidR="007A5F17" w:rsidRPr="000D791A" w:rsidRDefault="007A5F17" w:rsidP="00486CA2">
            <w:pPr>
              <w:spacing w:after="0" w:line="240" w:lineRule="auto"/>
              <w:rPr>
                <w:rFonts w:eastAsia="Times New Roman" w:cstheme="minorHAnsi"/>
                <w:lang w:eastAsia="cs-CZ"/>
              </w:rPr>
            </w:pPr>
          </w:p>
        </w:tc>
      </w:tr>
      <w:tr w:rsidR="007A5F17" w:rsidRPr="000D791A" w14:paraId="56CF4712" w14:textId="77777777" w:rsidTr="00486CA2">
        <w:trPr>
          <w:trHeight w:val="300"/>
        </w:trPr>
        <w:tc>
          <w:tcPr>
            <w:tcW w:w="6946" w:type="dxa"/>
            <w:tcBorders>
              <w:top w:val="nil"/>
              <w:left w:val="nil"/>
              <w:bottom w:val="nil"/>
              <w:right w:val="nil"/>
            </w:tcBorders>
            <w:noWrap/>
            <w:vAlign w:val="center"/>
            <w:hideMark/>
          </w:tcPr>
          <w:p w14:paraId="0A23F17F"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 xml:space="preserve">min. 200 dotazů, </w:t>
            </w:r>
          </w:p>
        </w:tc>
        <w:tc>
          <w:tcPr>
            <w:tcW w:w="992" w:type="dxa"/>
            <w:tcBorders>
              <w:top w:val="nil"/>
              <w:left w:val="nil"/>
              <w:bottom w:val="nil"/>
              <w:right w:val="nil"/>
            </w:tcBorders>
            <w:noWrap/>
            <w:vAlign w:val="bottom"/>
            <w:hideMark/>
          </w:tcPr>
          <w:p w14:paraId="1FF453A1"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200</w:t>
            </w:r>
          </w:p>
        </w:tc>
        <w:tc>
          <w:tcPr>
            <w:tcW w:w="1242" w:type="dxa"/>
            <w:tcBorders>
              <w:top w:val="nil"/>
              <w:left w:val="nil"/>
              <w:bottom w:val="nil"/>
              <w:right w:val="nil"/>
            </w:tcBorders>
            <w:noWrap/>
            <w:vAlign w:val="bottom"/>
            <w:hideMark/>
          </w:tcPr>
          <w:p w14:paraId="7B390DB1"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28000</w:t>
            </w:r>
          </w:p>
        </w:tc>
      </w:tr>
      <w:tr w:rsidR="007A5F17" w:rsidRPr="000D791A" w14:paraId="48290648" w14:textId="77777777" w:rsidTr="00486CA2">
        <w:trPr>
          <w:trHeight w:val="300"/>
        </w:trPr>
        <w:tc>
          <w:tcPr>
            <w:tcW w:w="6946" w:type="dxa"/>
            <w:tcBorders>
              <w:top w:val="nil"/>
              <w:left w:val="nil"/>
              <w:bottom w:val="nil"/>
              <w:right w:val="nil"/>
            </w:tcBorders>
            <w:noWrap/>
            <w:vAlign w:val="center"/>
            <w:hideMark/>
          </w:tcPr>
          <w:p w14:paraId="68E65C79"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 xml:space="preserve">min. 4 relokace, </w:t>
            </w:r>
          </w:p>
        </w:tc>
        <w:tc>
          <w:tcPr>
            <w:tcW w:w="992" w:type="dxa"/>
            <w:tcBorders>
              <w:top w:val="nil"/>
              <w:left w:val="nil"/>
              <w:bottom w:val="nil"/>
              <w:right w:val="nil"/>
            </w:tcBorders>
            <w:noWrap/>
            <w:vAlign w:val="bottom"/>
            <w:hideMark/>
          </w:tcPr>
          <w:p w14:paraId="68766D1D"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4</w:t>
            </w:r>
          </w:p>
        </w:tc>
        <w:tc>
          <w:tcPr>
            <w:tcW w:w="1242" w:type="dxa"/>
            <w:tcBorders>
              <w:top w:val="nil"/>
              <w:left w:val="nil"/>
              <w:bottom w:val="nil"/>
              <w:right w:val="nil"/>
            </w:tcBorders>
            <w:noWrap/>
            <w:vAlign w:val="bottom"/>
            <w:hideMark/>
          </w:tcPr>
          <w:p w14:paraId="2244E59A"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88000</w:t>
            </w:r>
          </w:p>
        </w:tc>
      </w:tr>
      <w:tr w:rsidR="007A5F17" w:rsidRPr="000D791A" w14:paraId="33763623" w14:textId="77777777" w:rsidTr="00486CA2">
        <w:trPr>
          <w:trHeight w:val="300"/>
        </w:trPr>
        <w:tc>
          <w:tcPr>
            <w:tcW w:w="6946" w:type="dxa"/>
            <w:tcBorders>
              <w:top w:val="nil"/>
              <w:left w:val="nil"/>
              <w:bottom w:val="nil"/>
              <w:right w:val="nil"/>
            </w:tcBorders>
            <w:noWrap/>
            <w:vAlign w:val="center"/>
            <w:hideMark/>
          </w:tcPr>
          <w:p w14:paraId="68E2E0FB"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 xml:space="preserve">min. 4 eventy, </w:t>
            </w:r>
          </w:p>
        </w:tc>
        <w:tc>
          <w:tcPr>
            <w:tcW w:w="992" w:type="dxa"/>
            <w:tcBorders>
              <w:top w:val="nil"/>
              <w:left w:val="nil"/>
              <w:bottom w:val="nil"/>
              <w:right w:val="nil"/>
            </w:tcBorders>
            <w:noWrap/>
            <w:vAlign w:val="bottom"/>
            <w:hideMark/>
          </w:tcPr>
          <w:p w14:paraId="62DDDB71"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4</w:t>
            </w:r>
          </w:p>
        </w:tc>
        <w:tc>
          <w:tcPr>
            <w:tcW w:w="1242" w:type="dxa"/>
            <w:tcBorders>
              <w:top w:val="nil"/>
              <w:left w:val="nil"/>
              <w:bottom w:val="nil"/>
              <w:right w:val="nil"/>
            </w:tcBorders>
            <w:noWrap/>
            <w:vAlign w:val="bottom"/>
            <w:hideMark/>
          </w:tcPr>
          <w:p w14:paraId="74386B38"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175000</w:t>
            </w:r>
          </w:p>
        </w:tc>
      </w:tr>
      <w:tr w:rsidR="007A5F17" w:rsidRPr="000D791A" w14:paraId="6E1830F1" w14:textId="77777777" w:rsidTr="00486CA2">
        <w:trPr>
          <w:trHeight w:val="300"/>
        </w:trPr>
        <w:tc>
          <w:tcPr>
            <w:tcW w:w="6946" w:type="dxa"/>
            <w:tcBorders>
              <w:top w:val="nil"/>
              <w:left w:val="nil"/>
              <w:bottom w:val="nil"/>
              <w:right w:val="nil"/>
            </w:tcBorders>
            <w:noWrap/>
            <w:vAlign w:val="center"/>
            <w:hideMark/>
          </w:tcPr>
          <w:p w14:paraId="59079AAE"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 xml:space="preserve">min. 6 umístěných cizinců, </w:t>
            </w:r>
          </w:p>
        </w:tc>
        <w:tc>
          <w:tcPr>
            <w:tcW w:w="992" w:type="dxa"/>
            <w:tcBorders>
              <w:top w:val="nil"/>
              <w:left w:val="nil"/>
              <w:bottom w:val="nil"/>
              <w:right w:val="nil"/>
            </w:tcBorders>
            <w:noWrap/>
            <w:vAlign w:val="bottom"/>
            <w:hideMark/>
          </w:tcPr>
          <w:p w14:paraId="13C5E75F"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6</w:t>
            </w:r>
          </w:p>
        </w:tc>
        <w:tc>
          <w:tcPr>
            <w:tcW w:w="1242" w:type="dxa"/>
            <w:tcBorders>
              <w:top w:val="nil"/>
              <w:left w:val="nil"/>
              <w:bottom w:val="nil"/>
              <w:right w:val="nil"/>
            </w:tcBorders>
            <w:noWrap/>
            <w:vAlign w:val="bottom"/>
            <w:hideMark/>
          </w:tcPr>
          <w:p w14:paraId="2A49D90A"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59000</w:t>
            </w:r>
          </w:p>
        </w:tc>
      </w:tr>
      <w:tr w:rsidR="007A5F17" w:rsidRPr="000D791A" w14:paraId="69671B8C" w14:textId="77777777" w:rsidTr="00486CA2">
        <w:trPr>
          <w:trHeight w:val="300"/>
        </w:trPr>
        <w:tc>
          <w:tcPr>
            <w:tcW w:w="6946" w:type="dxa"/>
            <w:tcBorders>
              <w:top w:val="nil"/>
              <w:left w:val="nil"/>
              <w:bottom w:val="nil"/>
              <w:right w:val="nil"/>
            </w:tcBorders>
            <w:noWrap/>
            <w:vAlign w:val="center"/>
          </w:tcPr>
          <w:p w14:paraId="311A855D"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min. 2 nově založené IČ cizinci.</w:t>
            </w:r>
          </w:p>
        </w:tc>
        <w:tc>
          <w:tcPr>
            <w:tcW w:w="992" w:type="dxa"/>
            <w:tcBorders>
              <w:top w:val="nil"/>
              <w:left w:val="nil"/>
              <w:bottom w:val="nil"/>
              <w:right w:val="nil"/>
            </w:tcBorders>
            <w:noWrap/>
            <w:vAlign w:val="bottom"/>
          </w:tcPr>
          <w:p w14:paraId="617B0558"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2</w:t>
            </w:r>
          </w:p>
        </w:tc>
        <w:tc>
          <w:tcPr>
            <w:tcW w:w="1242" w:type="dxa"/>
            <w:tcBorders>
              <w:top w:val="nil"/>
              <w:left w:val="nil"/>
              <w:bottom w:val="nil"/>
              <w:right w:val="nil"/>
            </w:tcBorders>
            <w:noWrap/>
            <w:vAlign w:val="bottom"/>
          </w:tcPr>
          <w:p w14:paraId="4788E286"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88000</w:t>
            </w:r>
          </w:p>
        </w:tc>
      </w:tr>
      <w:tr w:rsidR="007A5F17" w:rsidRPr="000D791A" w14:paraId="00957602" w14:textId="77777777" w:rsidTr="00486CA2">
        <w:trPr>
          <w:trHeight w:val="300"/>
        </w:trPr>
        <w:tc>
          <w:tcPr>
            <w:tcW w:w="6946" w:type="dxa"/>
            <w:tcBorders>
              <w:top w:val="nil"/>
              <w:left w:val="nil"/>
              <w:bottom w:val="nil"/>
              <w:right w:val="nil"/>
            </w:tcBorders>
            <w:noWrap/>
            <w:vAlign w:val="center"/>
          </w:tcPr>
          <w:p w14:paraId="3398C724" w14:textId="77777777" w:rsidR="007A5F17" w:rsidRPr="000D791A" w:rsidRDefault="007A5F17" w:rsidP="00486CA2">
            <w:pPr>
              <w:spacing w:after="0" w:line="240" w:lineRule="auto"/>
              <w:rPr>
                <w:rFonts w:eastAsia="Times New Roman" w:cstheme="minorHAnsi"/>
                <w:color w:val="000000"/>
                <w:lang w:eastAsia="cs-CZ"/>
              </w:rPr>
            </w:pPr>
          </w:p>
        </w:tc>
        <w:tc>
          <w:tcPr>
            <w:tcW w:w="992" w:type="dxa"/>
            <w:tcBorders>
              <w:top w:val="nil"/>
              <w:left w:val="nil"/>
              <w:bottom w:val="nil"/>
              <w:right w:val="nil"/>
            </w:tcBorders>
            <w:noWrap/>
            <w:vAlign w:val="bottom"/>
          </w:tcPr>
          <w:p w14:paraId="071C7E88" w14:textId="77777777" w:rsidR="007A5F17" w:rsidRPr="000D791A" w:rsidRDefault="007A5F17" w:rsidP="00486CA2">
            <w:pPr>
              <w:spacing w:after="0" w:line="240" w:lineRule="auto"/>
              <w:jc w:val="right"/>
              <w:rPr>
                <w:rFonts w:eastAsia="Times New Roman" w:cstheme="minorHAnsi"/>
                <w:color w:val="000000"/>
                <w:lang w:eastAsia="cs-CZ"/>
              </w:rPr>
            </w:pPr>
          </w:p>
        </w:tc>
        <w:tc>
          <w:tcPr>
            <w:tcW w:w="1242" w:type="dxa"/>
            <w:tcBorders>
              <w:top w:val="nil"/>
              <w:left w:val="nil"/>
              <w:bottom w:val="nil"/>
              <w:right w:val="nil"/>
            </w:tcBorders>
            <w:noWrap/>
            <w:vAlign w:val="bottom"/>
          </w:tcPr>
          <w:p w14:paraId="6B2EE1B3" w14:textId="77777777" w:rsidR="007A5F17" w:rsidRPr="000D791A" w:rsidRDefault="007A5F17" w:rsidP="00486CA2">
            <w:pPr>
              <w:spacing w:after="0" w:line="240" w:lineRule="auto"/>
              <w:jc w:val="right"/>
              <w:rPr>
                <w:rFonts w:eastAsia="Times New Roman" w:cstheme="minorHAnsi"/>
                <w:color w:val="000000"/>
                <w:lang w:eastAsia="cs-CZ"/>
              </w:rPr>
            </w:pPr>
          </w:p>
        </w:tc>
      </w:tr>
      <w:tr w:rsidR="007A5F17" w:rsidRPr="000D791A" w14:paraId="6975CE1A" w14:textId="77777777" w:rsidTr="00486CA2">
        <w:trPr>
          <w:trHeight w:val="300"/>
        </w:trPr>
        <w:tc>
          <w:tcPr>
            <w:tcW w:w="6946" w:type="dxa"/>
            <w:tcBorders>
              <w:top w:val="nil"/>
              <w:left w:val="nil"/>
              <w:bottom w:val="nil"/>
              <w:right w:val="nil"/>
            </w:tcBorders>
            <w:noWrap/>
            <w:vAlign w:val="center"/>
          </w:tcPr>
          <w:p w14:paraId="00DCE673" w14:textId="77777777" w:rsidR="007A5F17" w:rsidRPr="000D791A" w:rsidRDefault="007A5F17" w:rsidP="00486CA2">
            <w:pPr>
              <w:spacing w:after="0" w:line="240" w:lineRule="auto"/>
              <w:jc w:val="both"/>
              <w:rPr>
                <w:rFonts w:eastAsia="Times New Roman" w:cstheme="minorHAnsi"/>
                <w:color w:val="000000"/>
                <w:lang w:eastAsia="cs-CZ"/>
              </w:rPr>
            </w:pPr>
            <w:r w:rsidRPr="000D791A">
              <w:rPr>
                <w:rFonts w:eastAsia="Times New Roman" w:cstheme="minorHAnsi"/>
                <w:b/>
                <w:bCs/>
                <w:color w:val="000000"/>
                <w:lang w:eastAsia="cs-CZ"/>
              </w:rPr>
              <w:t>Roční indikátory Příprava a implementace rozvojových projektů:</w:t>
            </w:r>
          </w:p>
        </w:tc>
        <w:tc>
          <w:tcPr>
            <w:tcW w:w="992" w:type="dxa"/>
            <w:tcBorders>
              <w:top w:val="nil"/>
              <w:left w:val="nil"/>
              <w:bottom w:val="nil"/>
              <w:right w:val="nil"/>
            </w:tcBorders>
            <w:noWrap/>
            <w:vAlign w:val="bottom"/>
          </w:tcPr>
          <w:p w14:paraId="35817457" w14:textId="77777777" w:rsidR="007A5F17" w:rsidRPr="000D791A" w:rsidRDefault="007A5F17" w:rsidP="00486CA2">
            <w:pPr>
              <w:spacing w:after="0" w:line="240" w:lineRule="auto"/>
              <w:jc w:val="right"/>
              <w:rPr>
                <w:rFonts w:eastAsia="Times New Roman" w:cstheme="minorHAnsi"/>
                <w:color w:val="000000"/>
                <w:lang w:eastAsia="cs-CZ"/>
              </w:rPr>
            </w:pPr>
          </w:p>
        </w:tc>
        <w:tc>
          <w:tcPr>
            <w:tcW w:w="1242" w:type="dxa"/>
            <w:tcBorders>
              <w:top w:val="nil"/>
              <w:left w:val="nil"/>
              <w:bottom w:val="nil"/>
              <w:right w:val="nil"/>
            </w:tcBorders>
            <w:noWrap/>
            <w:vAlign w:val="bottom"/>
          </w:tcPr>
          <w:p w14:paraId="4258F32D" w14:textId="77777777" w:rsidR="007A5F17" w:rsidRPr="000D791A" w:rsidRDefault="007A5F17" w:rsidP="00486CA2">
            <w:pPr>
              <w:spacing w:after="0" w:line="240" w:lineRule="auto"/>
              <w:jc w:val="right"/>
              <w:rPr>
                <w:rFonts w:eastAsia="Times New Roman" w:cstheme="minorHAnsi"/>
                <w:color w:val="000000"/>
                <w:lang w:eastAsia="cs-CZ"/>
              </w:rPr>
            </w:pPr>
          </w:p>
        </w:tc>
      </w:tr>
      <w:tr w:rsidR="007A5F17" w:rsidRPr="000D791A" w14:paraId="3D1C04C1" w14:textId="77777777" w:rsidTr="00486CA2">
        <w:trPr>
          <w:trHeight w:val="300"/>
        </w:trPr>
        <w:tc>
          <w:tcPr>
            <w:tcW w:w="6946" w:type="dxa"/>
            <w:tcBorders>
              <w:top w:val="nil"/>
              <w:left w:val="nil"/>
              <w:bottom w:val="nil"/>
              <w:right w:val="nil"/>
            </w:tcBorders>
            <w:noWrap/>
            <w:vAlign w:val="center"/>
            <w:hideMark/>
          </w:tcPr>
          <w:p w14:paraId="6770A398" w14:textId="77777777" w:rsidR="007A5F17" w:rsidRPr="000D791A" w:rsidRDefault="007A5F17" w:rsidP="00486CA2">
            <w:pPr>
              <w:spacing w:after="0" w:line="240" w:lineRule="auto"/>
              <w:rPr>
                <w:rFonts w:eastAsia="Times New Roman" w:cstheme="minorHAnsi"/>
                <w:color w:val="000000"/>
                <w:lang w:eastAsia="cs-CZ"/>
              </w:rPr>
            </w:pPr>
            <w:r w:rsidRPr="000D791A">
              <w:rPr>
                <w:rFonts w:eastAsia="Times New Roman" w:cstheme="minorHAnsi"/>
                <w:color w:val="000000"/>
                <w:lang w:eastAsia="cs-CZ"/>
              </w:rPr>
              <w:t>Minimálně 4 předložené grantové projekty na financování aktivit MSIC ročně</w:t>
            </w:r>
          </w:p>
        </w:tc>
        <w:tc>
          <w:tcPr>
            <w:tcW w:w="992" w:type="dxa"/>
            <w:tcBorders>
              <w:top w:val="nil"/>
              <w:left w:val="nil"/>
              <w:bottom w:val="nil"/>
              <w:right w:val="nil"/>
            </w:tcBorders>
            <w:noWrap/>
            <w:vAlign w:val="bottom"/>
            <w:hideMark/>
          </w:tcPr>
          <w:p w14:paraId="6740EA7D"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4</w:t>
            </w:r>
          </w:p>
        </w:tc>
        <w:tc>
          <w:tcPr>
            <w:tcW w:w="1242" w:type="dxa"/>
            <w:tcBorders>
              <w:top w:val="nil"/>
              <w:left w:val="nil"/>
              <w:bottom w:val="nil"/>
              <w:right w:val="nil"/>
            </w:tcBorders>
            <w:noWrap/>
            <w:vAlign w:val="bottom"/>
            <w:hideMark/>
          </w:tcPr>
          <w:p w14:paraId="4070A94F" w14:textId="77777777" w:rsidR="007A5F17" w:rsidRPr="000D791A" w:rsidRDefault="007A5F17" w:rsidP="00486CA2">
            <w:pPr>
              <w:spacing w:after="0" w:line="240" w:lineRule="auto"/>
              <w:jc w:val="right"/>
              <w:rPr>
                <w:rFonts w:eastAsia="Times New Roman" w:cstheme="minorHAnsi"/>
                <w:color w:val="000000"/>
                <w:lang w:eastAsia="cs-CZ"/>
              </w:rPr>
            </w:pPr>
            <w:r w:rsidRPr="000D791A">
              <w:rPr>
                <w:rFonts w:eastAsia="Times New Roman" w:cstheme="minorHAnsi"/>
                <w:color w:val="000000"/>
                <w:lang w:eastAsia="cs-CZ"/>
              </w:rPr>
              <w:t>50100</w:t>
            </w:r>
          </w:p>
        </w:tc>
      </w:tr>
      <w:tr w:rsidR="007A5F17" w:rsidRPr="000D791A" w14:paraId="6A72D793" w14:textId="77777777" w:rsidTr="00486CA2">
        <w:trPr>
          <w:trHeight w:val="300"/>
        </w:trPr>
        <w:tc>
          <w:tcPr>
            <w:tcW w:w="6946" w:type="dxa"/>
            <w:tcBorders>
              <w:top w:val="nil"/>
              <w:left w:val="nil"/>
              <w:bottom w:val="nil"/>
              <w:right w:val="nil"/>
            </w:tcBorders>
            <w:noWrap/>
            <w:vAlign w:val="center"/>
          </w:tcPr>
          <w:p w14:paraId="76EF3DC5" w14:textId="77777777" w:rsidR="007A5F17" w:rsidRPr="000D791A" w:rsidRDefault="007A5F17" w:rsidP="00486CA2">
            <w:pPr>
              <w:spacing w:after="0" w:line="240" w:lineRule="auto"/>
              <w:rPr>
                <w:rFonts w:eastAsia="Times New Roman" w:cstheme="minorHAnsi"/>
                <w:lang w:eastAsia="cs-CZ"/>
              </w:rPr>
            </w:pPr>
            <w:r w:rsidRPr="000D791A">
              <w:rPr>
                <w:rFonts w:eastAsia="Times New Roman" w:cstheme="minorHAnsi"/>
                <w:lang w:eastAsia="cs-CZ"/>
              </w:rPr>
              <w:t>alternativně ve smyslu bodu 5. této přílohy minimálně 2 předložené grantové projekty na financování aktivit MSIC ročně (v hodnotě nad 20 mil. Kč)</w:t>
            </w:r>
          </w:p>
        </w:tc>
        <w:tc>
          <w:tcPr>
            <w:tcW w:w="992" w:type="dxa"/>
            <w:tcBorders>
              <w:top w:val="nil"/>
              <w:left w:val="nil"/>
              <w:bottom w:val="nil"/>
              <w:right w:val="nil"/>
            </w:tcBorders>
            <w:noWrap/>
            <w:vAlign w:val="bottom"/>
          </w:tcPr>
          <w:p w14:paraId="5321B0B7" w14:textId="77777777" w:rsidR="007A5F17" w:rsidRPr="000D791A" w:rsidRDefault="007A5F17" w:rsidP="00486CA2">
            <w:pPr>
              <w:spacing w:after="0" w:line="240" w:lineRule="auto"/>
              <w:jc w:val="right"/>
              <w:rPr>
                <w:rFonts w:eastAsia="Times New Roman" w:cstheme="minorHAnsi"/>
                <w:lang w:eastAsia="cs-CZ"/>
              </w:rPr>
            </w:pPr>
            <w:r w:rsidRPr="000D791A">
              <w:rPr>
                <w:rFonts w:eastAsia="Times New Roman" w:cstheme="minorHAnsi"/>
                <w:lang w:eastAsia="cs-CZ"/>
              </w:rPr>
              <w:t>2</w:t>
            </w:r>
          </w:p>
        </w:tc>
        <w:tc>
          <w:tcPr>
            <w:tcW w:w="1242" w:type="dxa"/>
            <w:tcBorders>
              <w:top w:val="nil"/>
              <w:left w:val="nil"/>
              <w:bottom w:val="nil"/>
              <w:right w:val="nil"/>
            </w:tcBorders>
            <w:noWrap/>
            <w:vAlign w:val="bottom"/>
          </w:tcPr>
          <w:p w14:paraId="4E8549F3" w14:textId="77777777" w:rsidR="007A5F17" w:rsidRPr="000D791A" w:rsidRDefault="007A5F17" w:rsidP="00486CA2">
            <w:pPr>
              <w:spacing w:after="0" w:line="240" w:lineRule="auto"/>
              <w:jc w:val="right"/>
              <w:rPr>
                <w:rFonts w:eastAsia="Times New Roman" w:cstheme="minorHAnsi"/>
                <w:lang w:eastAsia="cs-CZ"/>
              </w:rPr>
            </w:pPr>
            <w:r w:rsidRPr="000D791A">
              <w:rPr>
                <w:rFonts w:eastAsia="Times New Roman" w:cstheme="minorHAnsi"/>
                <w:lang w:eastAsia="cs-CZ"/>
              </w:rPr>
              <w:t>100200</w:t>
            </w:r>
          </w:p>
        </w:tc>
      </w:tr>
      <w:tr w:rsidR="007A5F17" w:rsidRPr="00C43491" w14:paraId="38F7F07B" w14:textId="77777777" w:rsidTr="00486CA2">
        <w:trPr>
          <w:trHeight w:val="300"/>
        </w:trPr>
        <w:tc>
          <w:tcPr>
            <w:tcW w:w="6946" w:type="dxa"/>
            <w:tcBorders>
              <w:top w:val="nil"/>
              <w:left w:val="nil"/>
              <w:bottom w:val="nil"/>
              <w:right w:val="nil"/>
            </w:tcBorders>
            <w:noWrap/>
            <w:vAlign w:val="bottom"/>
            <w:hideMark/>
          </w:tcPr>
          <w:p w14:paraId="52C51C9C" w14:textId="77777777" w:rsidR="007A5F17" w:rsidRPr="006D0F5D" w:rsidRDefault="007A5F17" w:rsidP="00486CA2">
            <w:pPr>
              <w:spacing w:after="0" w:line="240" w:lineRule="auto"/>
              <w:rPr>
                <w:rFonts w:eastAsia="Times New Roman" w:cstheme="minorHAnsi"/>
                <w:color w:val="000000"/>
                <w:sz w:val="18"/>
                <w:szCs w:val="18"/>
                <w:lang w:eastAsia="cs-CZ"/>
              </w:rPr>
            </w:pPr>
          </w:p>
        </w:tc>
        <w:tc>
          <w:tcPr>
            <w:tcW w:w="992" w:type="dxa"/>
            <w:tcBorders>
              <w:top w:val="nil"/>
              <w:left w:val="nil"/>
              <w:bottom w:val="nil"/>
              <w:right w:val="nil"/>
            </w:tcBorders>
            <w:noWrap/>
            <w:vAlign w:val="bottom"/>
            <w:hideMark/>
          </w:tcPr>
          <w:p w14:paraId="6EE77053" w14:textId="77777777" w:rsidR="007A5F17" w:rsidRPr="006D0F5D" w:rsidRDefault="007A5F17" w:rsidP="00486CA2">
            <w:pPr>
              <w:spacing w:after="0" w:line="240" w:lineRule="auto"/>
              <w:rPr>
                <w:rFonts w:eastAsia="Times New Roman" w:cstheme="minorHAnsi"/>
                <w:color w:val="000000"/>
                <w:sz w:val="18"/>
                <w:szCs w:val="18"/>
                <w:lang w:eastAsia="cs-CZ"/>
              </w:rPr>
            </w:pPr>
          </w:p>
        </w:tc>
        <w:tc>
          <w:tcPr>
            <w:tcW w:w="1242" w:type="dxa"/>
            <w:tcBorders>
              <w:top w:val="nil"/>
              <w:left w:val="nil"/>
              <w:bottom w:val="nil"/>
              <w:right w:val="nil"/>
            </w:tcBorders>
            <w:noWrap/>
            <w:vAlign w:val="bottom"/>
            <w:hideMark/>
          </w:tcPr>
          <w:p w14:paraId="3FCD1052" w14:textId="77777777" w:rsidR="007A5F17" w:rsidRPr="006D0F5D" w:rsidRDefault="007A5F17" w:rsidP="00486CA2">
            <w:pPr>
              <w:spacing w:after="0" w:line="240" w:lineRule="auto"/>
              <w:rPr>
                <w:rFonts w:eastAsia="Times New Roman" w:cstheme="minorHAnsi"/>
                <w:color w:val="000000"/>
                <w:sz w:val="18"/>
                <w:szCs w:val="18"/>
                <w:lang w:eastAsia="cs-CZ"/>
              </w:rPr>
            </w:pPr>
          </w:p>
        </w:tc>
      </w:tr>
    </w:tbl>
    <w:p w14:paraId="0B3AA40E" w14:textId="77777777" w:rsidR="002F5872" w:rsidRDefault="002F5872" w:rsidP="003425F2">
      <w:pPr>
        <w:pStyle w:val="Nzev"/>
        <w:rPr>
          <w:sz w:val="36"/>
          <w:szCs w:val="36"/>
          <w:lang w:val="cs-CZ"/>
        </w:rPr>
      </w:pPr>
    </w:p>
    <w:bookmarkEnd w:id="5"/>
    <w:p w14:paraId="7973E8F2" w14:textId="77777777" w:rsidR="00362FAA" w:rsidRDefault="00362FAA" w:rsidP="000D46C8">
      <w:pPr>
        <w:rPr>
          <w:lang w:eastAsia="cs-CZ"/>
        </w:rPr>
      </w:pPr>
    </w:p>
    <w:p w14:paraId="14DF9931" w14:textId="77777777" w:rsidR="00A2484F" w:rsidRDefault="00A2484F" w:rsidP="000D46C8">
      <w:pPr>
        <w:rPr>
          <w:lang w:eastAsia="cs-CZ"/>
        </w:rPr>
      </w:pPr>
    </w:p>
    <w:p w14:paraId="273925A4" w14:textId="77777777" w:rsidR="00A2484F" w:rsidRDefault="00A2484F" w:rsidP="000D46C8">
      <w:pPr>
        <w:rPr>
          <w:lang w:eastAsia="cs-CZ"/>
        </w:rPr>
        <w:sectPr w:rsidR="00A2484F" w:rsidSect="00A2484F">
          <w:footerReference w:type="even" r:id="rId13"/>
          <w:footerReference w:type="default" r:id="rId14"/>
          <w:footerReference w:type="first" r:id="rId15"/>
          <w:pgSz w:w="11906" w:h="16838"/>
          <w:pgMar w:top="1417" w:right="1417" w:bottom="1417" w:left="1417" w:header="708" w:footer="708" w:gutter="0"/>
          <w:pgNumType w:start="1"/>
          <w:cols w:space="708"/>
          <w:docGrid w:linePitch="360"/>
        </w:sectPr>
      </w:pPr>
    </w:p>
    <w:p w14:paraId="47BB6675" w14:textId="77777777" w:rsidR="00362FAA" w:rsidRDefault="00362FAA" w:rsidP="00362FAA">
      <w:pPr>
        <w:pStyle w:val="Nzev"/>
        <w:jc w:val="center"/>
        <w:rPr>
          <w:rFonts w:cs="Open Sans"/>
        </w:rPr>
      </w:pPr>
      <w:r w:rsidRPr="00E150D3">
        <w:rPr>
          <w:sz w:val="36"/>
          <w:szCs w:val="36"/>
          <w:lang w:val="cs-CZ"/>
        </w:rPr>
        <w:lastRenderedPageBreak/>
        <w:t>Příloha č. I</w:t>
      </w:r>
      <w:r>
        <w:rPr>
          <w:sz w:val="36"/>
          <w:szCs w:val="36"/>
          <w:lang w:val="cs-CZ"/>
        </w:rPr>
        <w:t>I</w:t>
      </w:r>
      <w:r w:rsidRPr="00E150D3">
        <w:rPr>
          <w:sz w:val="36"/>
          <w:szCs w:val="36"/>
          <w:lang w:val="cs-CZ"/>
        </w:rPr>
        <w:t xml:space="preserve"> ke smlouvě:</w:t>
      </w:r>
      <w:r w:rsidRPr="00362FAA">
        <w:rPr>
          <w:rFonts w:cs="Open Sans"/>
        </w:rPr>
        <w:t xml:space="preserve"> </w:t>
      </w:r>
    </w:p>
    <w:p w14:paraId="0CD01C4B" w14:textId="33F13643" w:rsidR="00362FAA" w:rsidRPr="00362FAA" w:rsidRDefault="00362FAA" w:rsidP="00362FAA">
      <w:pPr>
        <w:pStyle w:val="Nzev"/>
        <w:jc w:val="center"/>
        <w:rPr>
          <w:sz w:val="36"/>
          <w:szCs w:val="36"/>
          <w:lang w:val="cs-CZ"/>
        </w:rPr>
      </w:pPr>
      <w:r w:rsidRPr="00362FAA">
        <w:rPr>
          <w:rFonts w:cs="Open Sans"/>
          <w:sz w:val="36"/>
          <w:szCs w:val="36"/>
        </w:rPr>
        <w:t>Finanční vyúčtování čerpání vyrovnávací platby</w:t>
      </w:r>
    </w:p>
    <w:p w14:paraId="1A1C22A5" w14:textId="77777777" w:rsidR="00362FAA" w:rsidRDefault="00362FAA" w:rsidP="00362FAA">
      <w:pPr>
        <w:spacing w:after="0" w:line="240" w:lineRule="auto"/>
        <w:jc w:val="both"/>
        <w:rPr>
          <w:rFonts w:cs="Open Sans"/>
        </w:rPr>
      </w:pPr>
    </w:p>
    <w:p w14:paraId="4469D86D" w14:textId="77777777" w:rsidR="00362FAA" w:rsidRPr="009B2FA3" w:rsidRDefault="00362FAA" w:rsidP="00362FAA">
      <w:pPr>
        <w:spacing w:after="0" w:line="240" w:lineRule="auto"/>
        <w:jc w:val="both"/>
        <w:rPr>
          <w:rFonts w:cs="Open Sans"/>
          <w:b/>
        </w:rPr>
      </w:pPr>
      <w:r w:rsidRPr="009B2FA3">
        <w:rPr>
          <w:rFonts w:cs="Open Sans"/>
          <w:b/>
        </w:rPr>
        <w:t xml:space="preserve">Část A </w:t>
      </w:r>
      <w:r w:rsidRPr="009B2FA3">
        <w:rPr>
          <w:rFonts w:cs="Open Sans"/>
          <w:b/>
        </w:rPr>
        <w:noBreakHyphen/>
        <w:t xml:space="preserve"> Podrobný popis činností (služeb) realizovaných v režimu závazku veřejné služby</w:t>
      </w:r>
    </w:p>
    <w:p w14:paraId="2BA0A830" w14:textId="77777777" w:rsidR="00362FAA" w:rsidRPr="009B2FA3" w:rsidRDefault="00362FAA" w:rsidP="00362FAA">
      <w:pPr>
        <w:spacing w:after="0" w:line="240" w:lineRule="auto"/>
        <w:jc w:val="both"/>
        <w:rPr>
          <w:rFonts w:cs="Open Sans"/>
        </w:rPr>
      </w:pPr>
      <w:r w:rsidRPr="009B2FA3">
        <w:rPr>
          <w:rFonts w:cs="Open Sans"/>
        </w:rPr>
        <w:t>Popis realizovaných činností vymezených v Příloze č. I této smlouvy. Měl by být charakterizován zejména dopad na cílové skupiny a vyhodnocení, zda realizace těchto činností a v jakém rozsahu bude efektivní v následujícím období.</w:t>
      </w:r>
    </w:p>
    <w:p w14:paraId="4D610411" w14:textId="77777777" w:rsidR="00362FAA" w:rsidRPr="009B2FA3" w:rsidRDefault="00362FAA" w:rsidP="00362FAA">
      <w:pPr>
        <w:spacing w:after="0" w:line="240" w:lineRule="auto"/>
        <w:jc w:val="both"/>
        <w:rPr>
          <w:rFonts w:cs="Open Sans"/>
        </w:rPr>
      </w:pPr>
    </w:p>
    <w:p w14:paraId="1DE5D6B8" w14:textId="77777777" w:rsidR="00362FAA" w:rsidRPr="009B2FA3" w:rsidRDefault="00362FAA" w:rsidP="00362FAA">
      <w:pPr>
        <w:spacing w:after="0" w:line="240" w:lineRule="auto"/>
        <w:jc w:val="both"/>
        <w:rPr>
          <w:rFonts w:cs="Open Sans"/>
          <w:b/>
        </w:rPr>
      </w:pPr>
      <w:r w:rsidRPr="009B2FA3">
        <w:rPr>
          <w:rFonts w:cs="Open Sans"/>
          <w:b/>
        </w:rPr>
        <w:t xml:space="preserve">Část B </w:t>
      </w:r>
      <w:r w:rsidRPr="009B2FA3">
        <w:rPr>
          <w:rFonts w:cs="Open Sans"/>
          <w:b/>
        </w:rPr>
        <w:noBreakHyphen/>
        <w:t xml:space="preserve"> Celkové vyhodnocení splnění účelu</w:t>
      </w:r>
    </w:p>
    <w:p w14:paraId="156B22D1" w14:textId="77777777" w:rsidR="00362FAA" w:rsidRPr="009B2FA3" w:rsidRDefault="00362FAA" w:rsidP="00362FAA">
      <w:pPr>
        <w:spacing w:after="0" w:line="240" w:lineRule="auto"/>
        <w:jc w:val="both"/>
        <w:rPr>
          <w:rFonts w:cs="Open Sans"/>
        </w:rPr>
      </w:pPr>
      <w:r w:rsidRPr="009B2FA3">
        <w:rPr>
          <w:rFonts w:cs="Open Sans"/>
        </w:rPr>
        <w:t>Vyhodnocení prováděných činností z pohledu efektivnosti a účelu s využitím indikátorů uvedených v Příloze č. II této smlouvy. Součástí by mělo být srovnání stanovených indikátorů a skutečně dosažených hodnot.</w:t>
      </w:r>
    </w:p>
    <w:p w14:paraId="4A237AD3" w14:textId="77777777" w:rsidR="00362FAA" w:rsidRPr="009B2FA3" w:rsidRDefault="00362FAA" w:rsidP="00362FAA">
      <w:pPr>
        <w:spacing w:after="0" w:line="240" w:lineRule="auto"/>
        <w:jc w:val="both"/>
        <w:rPr>
          <w:rFonts w:cs="Open Sans"/>
        </w:rPr>
      </w:pPr>
    </w:p>
    <w:p w14:paraId="4E2BD4C2" w14:textId="77777777" w:rsidR="00362FAA" w:rsidRPr="009B2FA3" w:rsidRDefault="00362FAA" w:rsidP="00362FAA">
      <w:pPr>
        <w:spacing w:after="0" w:line="240" w:lineRule="auto"/>
        <w:jc w:val="both"/>
        <w:rPr>
          <w:rFonts w:cs="Open Sans"/>
          <w:b/>
        </w:rPr>
      </w:pPr>
      <w:r w:rsidRPr="009B2FA3">
        <w:rPr>
          <w:rFonts w:cs="Open Sans"/>
          <w:b/>
        </w:rPr>
        <w:t xml:space="preserve">Část C </w:t>
      </w:r>
      <w:r w:rsidRPr="009B2FA3">
        <w:rPr>
          <w:rFonts w:cs="Open Sans"/>
          <w:b/>
        </w:rPr>
        <w:noBreakHyphen/>
        <w:t xml:space="preserve"> Finanční vyúčtování čerpání vyrovnávací platby</w:t>
      </w:r>
    </w:p>
    <w:p w14:paraId="028DE3BB" w14:textId="77777777" w:rsidR="00362FAA" w:rsidRPr="009B2FA3" w:rsidRDefault="00362FAA" w:rsidP="00362FAA">
      <w:pPr>
        <w:spacing w:after="0" w:line="240" w:lineRule="auto"/>
        <w:jc w:val="both"/>
        <w:rPr>
          <w:rFonts w:cs="Open Sans"/>
        </w:rPr>
      </w:pPr>
      <w:r w:rsidRPr="009B2FA3">
        <w:rPr>
          <w:rFonts w:cs="Open Sans"/>
        </w:rPr>
        <w:t>Vyúčtování bude předloženo v rozsahu podle následujících tabulek:</w:t>
      </w:r>
    </w:p>
    <w:p w14:paraId="18663AD4" w14:textId="77777777" w:rsidR="00362FAA" w:rsidRPr="009B2FA3" w:rsidRDefault="00362FAA" w:rsidP="00362FAA">
      <w:pPr>
        <w:spacing w:after="0" w:line="240" w:lineRule="auto"/>
        <w:rPr>
          <w:rFonts w:cs="Open Sans"/>
        </w:rPr>
      </w:pPr>
    </w:p>
    <w:p w14:paraId="7B60AA1E" w14:textId="77777777" w:rsidR="00362FAA" w:rsidRPr="009B2FA3" w:rsidRDefault="00362FAA" w:rsidP="00362FAA">
      <w:pPr>
        <w:spacing w:after="0" w:line="240" w:lineRule="auto"/>
        <w:rPr>
          <w:rFonts w:cs="Open Sans"/>
        </w:rPr>
      </w:pPr>
    </w:p>
    <w:p w14:paraId="3E083195" w14:textId="16FC8F49" w:rsidR="005D1B30" w:rsidRDefault="005D1B30" w:rsidP="00362FAA">
      <w:pPr>
        <w:spacing w:after="0" w:line="240" w:lineRule="auto"/>
        <w:rPr>
          <w:rFonts w:cs="Open Sans"/>
        </w:rPr>
      </w:pPr>
      <w:r w:rsidRPr="005D1B30">
        <w:rPr>
          <w:rFonts w:cs="Open Sans"/>
          <w:noProof/>
        </w:rPr>
        <w:drawing>
          <wp:inline distT="0" distB="0" distL="0" distR="0" wp14:anchorId="2D04543B" wp14:editId="66BE8951">
            <wp:extent cx="5760720" cy="3336925"/>
            <wp:effectExtent l="0" t="0" r="0" b="0"/>
            <wp:docPr id="579459569" name="Obrázek 1" descr="Obsah obrázku text, snímek obrazovky, číslo, displej&#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59569" name="Obrázek 1" descr="Obsah obrázku text, snímek obrazovky, číslo, displej&#10;&#10;Obsah generovaný pomocí AI může být nesprávný."/>
                    <pic:cNvPicPr/>
                  </pic:nvPicPr>
                  <pic:blipFill>
                    <a:blip r:embed="rId16"/>
                    <a:stretch>
                      <a:fillRect/>
                    </a:stretch>
                  </pic:blipFill>
                  <pic:spPr>
                    <a:xfrm>
                      <a:off x="0" y="0"/>
                      <a:ext cx="5760720" cy="3336925"/>
                    </a:xfrm>
                    <a:prstGeom prst="rect">
                      <a:avLst/>
                    </a:prstGeom>
                  </pic:spPr>
                </pic:pic>
              </a:graphicData>
            </a:graphic>
          </wp:inline>
        </w:drawing>
      </w:r>
    </w:p>
    <w:p w14:paraId="59FC523F" w14:textId="77777777" w:rsidR="0024235D" w:rsidRPr="009B2FA3" w:rsidRDefault="0024235D" w:rsidP="00362FAA">
      <w:pPr>
        <w:spacing w:after="0" w:line="240" w:lineRule="auto"/>
        <w:rPr>
          <w:rFonts w:cs="Open Sans"/>
        </w:rPr>
      </w:pPr>
    </w:p>
    <w:p w14:paraId="557691BF" w14:textId="7A2629A8" w:rsidR="006C638D" w:rsidRPr="00362FAA" w:rsidRDefault="006C638D" w:rsidP="00362FAA">
      <w:pPr>
        <w:spacing w:after="0" w:line="240" w:lineRule="auto"/>
        <w:rPr>
          <w:rFonts w:cs="Open Sans"/>
          <w:highlight w:val="yellow"/>
        </w:rPr>
      </w:pPr>
      <w:r w:rsidRPr="006C638D">
        <w:rPr>
          <w:rFonts w:cs="Open Sans"/>
          <w:noProof/>
        </w:rPr>
        <w:lastRenderedPageBreak/>
        <w:drawing>
          <wp:inline distT="0" distB="0" distL="0" distR="0" wp14:anchorId="3BF34EB8" wp14:editId="251913E2">
            <wp:extent cx="5760720" cy="3392170"/>
            <wp:effectExtent l="0" t="0" r="0" b="0"/>
            <wp:docPr id="1792283729" name="Obrázek 1"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83729" name="Obrázek 1" descr="Obsah obrázku text, snímek obrazovky, číslo, Písmo&#10;&#10;Obsah generovaný pomocí AI může být nesprávný."/>
                    <pic:cNvPicPr/>
                  </pic:nvPicPr>
                  <pic:blipFill>
                    <a:blip r:embed="rId17"/>
                    <a:stretch>
                      <a:fillRect/>
                    </a:stretch>
                  </pic:blipFill>
                  <pic:spPr>
                    <a:xfrm>
                      <a:off x="0" y="0"/>
                      <a:ext cx="5760720" cy="3392170"/>
                    </a:xfrm>
                    <a:prstGeom prst="rect">
                      <a:avLst/>
                    </a:prstGeom>
                  </pic:spPr>
                </pic:pic>
              </a:graphicData>
            </a:graphic>
          </wp:inline>
        </w:drawing>
      </w:r>
    </w:p>
    <w:p w14:paraId="6A982C81" w14:textId="4183F93D" w:rsidR="006C638D" w:rsidRDefault="005D1B30" w:rsidP="00362FAA">
      <w:pPr>
        <w:spacing w:after="0" w:line="240" w:lineRule="auto"/>
        <w:rPr>
          <w:noProof/>
        </w:rPr>
      </w:pPr>
      <w:r w:rsidRPr="005D1B30">
        <w:rPr>
          <w:noProof/>
        </w:rPr>
        <w:drawing>
          <wp:inline distT="0" distB="0" distL="0" distR="0" wp14:anchorId="7EFD5E3E" wp14:editId="18302FD5">
            <wp:extent cx="5760720" cy="3330575"/>
            <wp:effectExtent l="0" t="0" r="0" b="3175"/>
            <wp:docPr id="85840341" name="Obrázek 1" descr="Obsah obrázku text, snímek obrazovky, displej,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0341" name="Obrázek 1" descr="Obsah obrázku text, snímek obrazovky, displej, číslo&#10;&#10;Obsah generovaný pomocí AI může být nesprávný."/>
                    <pic:cNvPicPr/>
                  </pic:nvPicPr>
                  <pic:blipFill>
                    <a:blip r:embed="rId18"/>
                    <a:stretch>
                      <a:fillRect/>
                    </a:stretch>
                  </pic:blipFill>
                  <pic:spPr>
                    <a:xfrm>
                      <a:off x="0" y="0"/>
                      <a:ext cx="5760720" cy="3330575"/>
                    </a:xfrm>
                    <a:prstGeom prst="rect">
                      <a:avLst/>
                    </a:prstGeom>
                  </pic:spPr>
                </pic:pic>
              </a:graphicData>
            </a:graphic>
          </wp:inline>
        </w:drawing>
      </w:r>
      <w:r w:rsidR="006C638D" w:rsidRPr="006C638D">
        <w:rPr>
          <w:noProof/>
        </w:rPr>
        <w:t xml:space="preserve"> </w:t>
      </w:r>
    </w:p>
    <w:p w14:paraId="2558FA7F" w14:textId="77777777" w:rsidR="0024235D" w:rsidRDefault="0024235D" w:rsidP="00362FAA">
      <w:pPr>
        <w:spacing w:after="0" w:line="240" w:lineRule="auto"/>
        <w:rPr>
          <w:noProof/>
        </w:rPr>
      </w:pPr>
    </w:p>
    <w:p w14:paraId="1ED05CF5" w14:textId="77777777" w:rsidR="006C638D" w:rsidRDefault="006C638D" w:rsidP="00362FAA">
      <w:pPr>
        <w:spacing w:after="0" w:line="240" w:lineRule="auto"/>
        <w:rPr>
          <w:noProof/>
        </w:rPr>
      </w:pPr>
      <w:r w:rsidRPr="006C638D">
        <w:rPr>
          <w:noProof/>
        </w:rPr>
        <w:lastRenderedPageBreak/>
        <w:drawing>
          <wp:inline distT="0" distB="0" distL="0" distR="0" wp14:anchorId="64D52D77" wp14:editId="262229EB">
            <wp:extent cx="5760720" cy="3347720"/>
            <wp:effectExtent l="0" t="0" r="0" b="5080"/>
            <wp:docPr id="1004483212" name="Obrázek 1"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83212" name="Obrázek 1" descr="Obsah obrázku text, snímek obrazovky, číslo, Písmo&#10;&#10;Obsah generovaný pomocí AI může být nesprávný."/>
                    <pic:cNvPicPr/>
                  </pic:nvPicPr>
                  <pic:blipFill>
                    <a:blip r:embed="rId19"/>
                    <a:stretch>
                      <a:fillRect/>
                    </a:stretch>
                  </pic:blipFill>
                  <pic:spPr>
                    <a:xfrm>
                      <a:off x="0" y="0"/>
                      <a:ext cx="5760720" cy="3347720"/>
                    </a:xfrm>
                    <a:prstGeom prst="rect">
                      <a:avLst/>
                    </a:prstGeom>
                  </pic:spPr>
                </pic:pic>
              </a:graphicData>
            </a:graphic>
          </wp:inline>
        </w:drawing>
      </w:r>
      <w:r w:rsidRPr="006C638D">
        <w:rPr>
          <w:noProof/>
        </w:rPr>
        <w:t xml:space="preserve"> </w:t>
      </w:r>
    </w:p>
    <w:p w14:paraId="4D249D80" w14:textId="77777777" w:rsidR="0024235D" w:rsidRDefault="0024235D" w:rsidP="00362FAA">
      <w:pPr>
        <w:spacing w:after="0" w:line="240" w:lineRule="auto"/>
        <w:rPr>
          <w:noProof/>
        </w:rPr>
      </w:pPr>
    </w:p>
    <w:p w14:paraId="7B80FC48" w14:textId="77777777" w:rsidR="006C638D" w:rsidRDefault="006C638D" w:rsidP="00362FAA">
      <w:pPr>
        <w:spacing w:after="0" w:line="240" w:lineRule="auto"/>
        <w:rPr>
          <w:noProof/>
        </w:rPr>
      </w:pPr>
      <w:r w:rsidRPr="006C638D">
        <w:rPr>
          <w:noProof/>
        </w:rPr>
        <w:drawing>
          <wp:inline distT="0" distB="0" distL="0" distR="0" wp14:anchorId="34A09A35" wp14:editId="3ED8BB7F">
            <wp:extent cx="5760720" cy="3332480"/>
            <wp:effectExtent l="0" t="0" r="0" b="1270"/>
            <wp:docPr id="469007181" name="Obrázek 1"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07181" name="Obrázek 1" descr="Obsah obrázku text, snímek obrazovky, číslo, Písmo&#10;&#10;Obsah generovaný pomocí AI může být nesprávný."/>
                    <pic:cNvPicPr/>
                  </pic:nvPicPr>
                  <pic:blipFill>
                    <a:blip r:embed="rId20"/>
                    <a:stretch>
                      <a:fillRect/>
                    </a:stretch>
                  </pic:blipFill>
                  <pic:spPr>
                    <a:xfrm>
                      <a:off x="0" y="0"/>
                      <a:ext cx="5760720" cy="3332480"/>
                    </a:xfrm>
                    <a:prstGeom prst="rect">
                      <a:avLst/>
                    </a:prstGeom>
                  </pic:spPr>
                </pic:pic>
              </a:graphicData>
            </a:graphic>
          </wp:inline>
        </w:drawing>
      </w:r>
      <w:r w:rsidRPr="006C638D">
        <w:rPr>
          <w:noProof/>
        </w:rPr>
        <w:t xml:space="preserve"> </w:t>
      </w:r>
    </w:p>
    <w:p w14:paraId="0D056DD1" w14:textId="77777777" w:rsidR="0024235D" w:rsidRDefault="0024235D" w:rsidP="00362FAA">
      <w:pPr>
        <w:spacing w:after="0" w:line="240" w:lineRule="auto"/>
        <w:rPr>
          <w:noProof/>
        </w:rPr>
      </w:pPr>
    </w:p>
    <w:p w14:paraId="03804E04" w14:textId="7E1267C7" w:rsidR="00362FAA" w:rsidRPr="00362FAA" w:rsidRDefault="77391FBA" w:rsidP="433A57EA">
      <w:pPr>
        <w:spacing w:after="0" w:line="240" w:lineRule="auto"/>
      </w:pPr>
      <w:r>
        <w:rPr>
          <w:noProof/>
        </w:rPr>
        <w:lastRenderedPageBreak/>
        <w:drawing>
          <wp:inline distT="0" distB="0" distL="0" distR="0" wp14:anchorId="25CECEAE" wp14:editId="12C2EE19">
            <wp:extent cx="5762625" cy="3333750"/>
            <wp:effectExtent l="0" t="0" r="0" b="0"/>
            <wp:docPr id="1485250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5023" name=""/>
                    <pic:cNvPicPr/>
                  </pic:nvPicPr>
                  <pic:blipFill>
                    <a:blip r:embed="rId21">
                      <a:extLst>
                        <a:ext uri="{28A0092B-C50C-407E-A947-70E740481C1C}">
                          <a14:useLocalDpi xmlns:a14="http://schemas.microsoft.com/office/drawing/2010/main" val="0"/>
                        </a:ext>
                      </a:extLst>
                    </a:blip>
                    <a:stretch>
                      <a:fillRect/>
                    </a:stretch>
                  </pic:blipFill>
                  <pic:spPr>
                    <a:xfrm>
                      <a:off x="0" y="0"/>
                      <a:ext cx="5762625" cy="3333750"/>
                    </a:xfrm>
                    <a:prstGeom prst="rect">
                      <a:avLst/>
                    </a:prstGeom>
                  </pic:spPr>
                </pic:pic>
              </a:graphicData>
            </a:graphic>
          </wp:inline>
        </w:drawing>
      </w:r>
    </w:p>
    <w:p w14:paraId="6C3DB283" w14:textId="0858F2A8" w:rsidR="00362FAA" w:rsidRPr="00362FAA" w:rsidRDefault="00362FAA" w:rsidP="00362FAA">
      <w:pPr>
        <w:spacing w:after="0" w:line="240" w:lineRule="auto"/>
        <w:rPr>
          <w:rFonts w:cs="Open Sans"/>
          <w:highlight w:val="yellow"/>
        </w:rPr>
      </w:pPr>
    </w:p>
    <w:p w14:paraId="15F63B3C" w14:textId="77777777" w:rsidR="00362FAA" w:rsidRPr="00362FAA" w:rsidRDefault="00362FAA" w:rsidP="00362FAA">
      <w:pPr>
        <w:spacing w:after="0" w:line="240" w:lineRule="auto"/>
        <w:rPr>
          <w:rFonts w:cs="Open Sans"/>
          <w:highlight w:val="yellow"/>
        </w:rPr>
      </w:pPr>
    </w:p>
    <w:p w14:paraId="5B859049" w14:textId="2043FAAB" w:rsidR="00362FAA" w:rsidRPr="009B2FA3" w:rsidRDefault="00362FAA" w:rsidP="00362FAA">
      <w:pPr>
        <w:spacing w:after="0" w:line="240" w:lineRule="auto"/>
        <w:rPr>
          <w:rFonts w:cs="Open Sans"/>
        </w:rPr>
      </w:pPr>
    </w:p>
    <w:p w14:paraId="4850A6BB" w14:textId="353C0C31" w:rsidR="00A2484F" w:rsidRDefault="006C638D" w:rsidP="00362FAA">
      <w:pPr>
        <w:spacing w:after="0" w:line="240" w:lineRule="auto"/>
        <w:rPr>
          <w:rFonts w:cs="Open Sans"/>
        </w:rPr>
      </w:pPr>
      <w:r w:rsidRPr="006C638D">
        <w:rPr>
          <w:rFonts w:cs="Open Sans"/>
          <w:noProof/>
        </w:rPr>
        <w:drawing>
          <wp:inline distT="0" distB="0" distL="0" distR="0" wp14:anchorId="163A9591" wp14:editId="2DD47AF6">
            <wp:extent cx="5760720" cy="1101725"/>
            <wp:effectExtent l="0" t="0" r="0" b="3175"/>
            <wp:docPr id="440205678" name="Obrázek 1"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05678" name="Obrázek 1" descr="Obsah obrázku text, snímek obrazovky, Písmo, řada/pruh&#10;&#10;Obsah generovaný pomocí AI může být nesprávný."/>
                    <pic:cNvPicPr/>
                  </pic:nvPicPr>
                  <pic:blipFill>
                    <a:blip r:embed="rId22"/>
                    <a:stretch>
                      <a:fillRect/>
                    </a:stretch>
                  </pic:blipFill>
                  <pic:spPr>
                    <a:xfrm>
                      <a:off x="0" y="0"/>
                      <a:ext cx="5760720" cy="1101725"/>
                    </a:xfrm>
                    <a:prstGeom prst="rect">
                      <a:avLst/>
                    </a:prstGeom>
                  </pic:spPr>
                </pic:pic>
              </a:graphicData>
            </a:graphic>
          </wp:inline>
        </w:drawing>
      </w:r>
    </w:p>
    <w:p w14:paraId="71949199" w14:textId="77777777" w:rsidR="00A2484F" w:rsidRDefault="00A2484F" w:rsidP="00362FAA">
      <w:pPr>
        <w:spacing w:after="0" w:line="240" w:lineRule="auto"/>
        <w:rPr>
          <w:rFonts w:cs="Open Sans"/>
        </w:rPr>
      </w:pPr>
    </w:p>
    <w:p w14:paraId="0A63AF9F" w14:textId="45BFD205" w:rsidR="00362FAA" w:rsidRDefault="00362FAA" w:rsidP="006B311B">
      <w:pPr>
        <w:spacing w:after="0" w:line="240" w:lineRule="auto"/>
        <w:rPr>
          <w:rFonts w:cs="Open Sans"/>
        </w:rPr>
      </w:pPr>
    </w:p>
    <w:p w14:paraId="756C716C" w14:textId="1C4A2A6B" w:rsidR="002970F1" w:rsidRPr="006B311B" w:rsidRDefault="002970F1" w:rsidP="006B311B">
      <w:pPr>
        <w:spacing w:after="0" w:line="240" w:lineRule="auto"/>
        <w:jc w:val="both"/>
        <w:rPr>
          <w:rFonts w:cs="Open Sans"/>
        </w:rPr>
      </w:pPr>
      <w:r w:rsidRPr="006B311B">
        <w:rPr>
          <w:rFonts w:cs="Open Sans"/>
        </w:rPr>
        <w:t>P</w:t>
      </w:r>
      <w:r w:rsidR="001A7C00">
        <w:rPr>
          <w:rFonts w:cs="Open Sans"/>
        </w:rPr>
        <w:t>ředběžné/P</w:t>
      </w:r>
      <w:r w:rsidRPr="006B311B">
        <w:rPr>
          <w:rFonts w:cs="Open Sans"/>
        </w:rPr>
        <w:t>růběžné</w:t>
      </w:r>
      <w:r w:rsidR="001A7C00">
        <w:rPr>
          <w:rFonts w:cs="Open Sans"/>
        </w:rPr>
        <w:t>/Závěrečné</w:t>
      </w:r>
      <w:r w:rsidRPr="006B311B">
        <w:rPr>
          <w:rFonts w:cs="Open Sans"/>
        </w:rPr>
        <w:t xml:space="preserve"> vyúčtování dotace na činnosti Moravskoslezského inovačního centra Ostrava, a.s. realizované na základě Smlouvy o SGEI a vyrovnávací platbě za jeho výkon v období od 1.1.20</w:t>
      </w:r>
      <w:r w:rsidR="006B311B">
        <w:rPr>
          <w:rFonts w:cs="Open Sans"/>
        </w:rPr>
        <w:t>xx</w:t>
      </w:r>
      <w:r w:rsidRPr="006B311B">
        <w:rPr>
          <w:rFonts w:cs="Open Sans"/>
        </w:rPr>
        <w:t xml:space="preserve"> do 31.12.20</w:t>
      </w:r>
      <w:r w:rsidR="006B311B">
        <w:rPr>
          <w:rFonts w:cs="Open Sans"/>
        </w:rPr>
        <w:t>xx.</w:t>
      </w:r>
    </w:p>
    <w:p w14:paraId="5C4839BD" w14:textId="77777777" w:rsidR="002970F1" w:rsidRPr="002970F1" w:rsidRDefault="002970F1" w:rsidP="006B311B">
      <w:pPr>
        <w:spacing w:after="0" w:line="240" w:lineRule="auto"/>
        <w:jc w:val="both"/>
        <w:rPr>
          <w:rFonts w:cs="Open Sans"/>
        </w:rPr>
      </w:pPr>
    </w:p>
    <w:p w14:paraId="59DBEB17" w14:textId="3F63089B" w:rsidR="002970F1" w:rsidRPr="006B311B" w:rsidRDefault="002970F1" w:rsidP="006B311B">
      <w:pPr>
        <w:spacing w:after="0" w:line="240" w:lineRule="auto"/>
        <w:jc w:val="both"/>
        <w:rPr>
          <w:rFonts w:cs="Open Sans"/>
        </w:rPr>
      </w:pPr>
      <w:r w:rsidRPr="006B311B">
        <w:rPr>
          <w:rFonts w:cs="Open Sans"/>
        </w:rPr>
        <w:t>Poskytovatel:</w:t>
      </w:r>
      <w:r w:rsidRPr="006B311B">
        <w:rPr>
          <w:rFonts w:cs="Open Sans"/>
        </w:rPr>
        <w:tab/>
      </w:r>
      <w:r>
        <w:rPr>
          <w:rFonts w:cs="Open Sans"/>
        </w:rPr>
        <w:tab/>
      </w:r>
      <w:r>
        <w:rPr>
          <w:rFonts w:cs="Open Sans"/>
        </w:rPr>
        <w:tab/>
      </w:r>
      <w:r>
        <w:rPr>
          <w:rFonts w:cs="Open Sans"/>
        </w:rPr>
        <w:tab/>
      </w:r>
      <w:r>
        <w:rPr>
          <w:rFonts w:cs="Open Sans"/>
        </w:rPr>
        <w:tab/>
      </w:r>
      <w:r w:rsidRPr="006B311B">
        <w:rPr>
          <w:rFonts w:cs="Open Sans"/>
        </w:rPr>
        <w:t>Příjemce:</w:t>
      </w:r>
    </w:p>
    <w:p w14:paraId="64D6AC9E" w14:textId="69EB7ED2" w:rsidR="002970F1" w:rsidRPr="002970F1" w:rsidRDefault="009C376E" w:rsidP="006B311B">
      <w:pPr>
        <w:spacing w:after="0" w:line="240" w:lineRule="auto"/>
        <w:jc w:val="both"/>
        <w:rPr>
          <w:rFonts w:cs="Open Sans"/>
        </w:rPr>
      </w:pPr>
      <w:r>
        <w:rPr>
          <w:rFonts w:cs="Open Sans"/>
        </w:rPr>
        <w:t>Moravskoslezský kraj</w:t>
      </w:r>
      <w:r w:rsidR="002970F1" w:rsidRPr="002970F1">
        <w:rPr>
          <w:rFonts w:cs="Open Sans"/>
        </w:rPr>
        <w:tab/>
      </w:r>
      <w:r w:rsidR="002970F1" w:rsidRPr="002970F1">
        <w:rPr>
          <w:rFonts w:cs="Open Sans"/>
        </w:rPr>
        <w:tab/>
      </w:r>
      <w:r w:rsidR="002970F1">
        <w:rPr>
          <w:rFonts w:cs="Open Sans"/>
        </w:rPr>
        <w:tab/>
      </w:r>
      <w:r w:rsidR="00760E56">
        <w:rPr>
          <w:rFonts w:cs="Open Sans"/>
        </w:rPr>
        <w:tab/>
      </w:r>
      <w:r w:rsidR="002970F1" w:rsidRPr="002970F1">
        <w:rPr>
          <w:rFonts w:cs="Open Sans"/>
        </w:rPr>
        <w:t>Moravskoslezské inovační centrum Ostrava, a.s.</w:t>
      </w:r>
    </w:p>
    <w:p w14:paraId="624CBD0D" w14:textId="44C84332" w:rsidR="002970F1" w:rsidRPr="002970F1" w:rsidRDefault="009C376E" w:rsidP="006B311B">
      <w:pPr>
        <w:spacing w:after="0" w:line="240" w:lineRule="auto"/>
        <w:jc w:val="both"/>
        <w:rPr>
          <w:rFonts w:cs="Open Sans"/>
        </w:rPr>
      </w:pPr>
      <w:r>
        <w:rPr>
          <w:rFonts w:cs="Open Sans"/>
        </w:rPr>
        <w:t xml:space="preserve">28. října </w:t>
      </w:r>
      <w:r w:rsidR="005109B0">
        <w:rPr>
          <w:rFonts w:cs="Open Sans"/>
        </w:rPr>
        <w:t>2</w:t>
      </w:r>
      <w:r w:rsidR="00721209">
        <w:rPr>
          <w:rFonts w:cs="Open Sans"/>
        </w:rPr>
        <w:t>7</w:t>
      </w:r>
      <w:r w:rsidR="005109B0">
        <w:rPr>
          <w:rFonts w:cs="Open Sans"/>
        </w:rPr>
        <w:t>71/117, 702 00 Ostrava</w:t>
      </w:r>
      <w:r w:rsidR="002970F1">
        <w:rPr>
          <w:rFonts w:cs="Open Sans"/>
        </w:rPr>
        <w:tab/>
      </w:r>
      <w:r w:rsidR="00760E56">
        <w:rPr>
          <w:rFonts w:cs="Open Sans"/>
        </w:rPr>
        <w:tab/>
      </w:r>
      <w:r w:rsidR="002970F1" w:rsidRPr="002970F1">
        <w:rPr>
          <w:rFonts w:cs="Open Sans"/>
        </w:rPr>
        <w:t>Technologická 372/2</w:t>
      </w:r>
      <w:r w:rsidR="005109B0">
        <w:rPr>
          <w:rFonts w:cs="Open Sans"/>
        </w:rPr>
        <w:t xml:space="preserve">, </w:t>
      </w:r>
      <w:r w:rsidR="002970F1" w:rsidRPr="002970F1">
        <w:rPr>
          <w:rFonts w:cs="Open Sans"/>
        </w:rPr>
        <w:t>708 00 Ostrava – Pustkovec</w:t>
      </w:r>
    </w:p>
    <w:p w14:paraId="34FD976E" w14:textId="188278CD" w:rsidR="002970F1" w:rsidRPr="002970F1" w:rsidRDefault="002970F1" w:rsidP="006B311B">
      <w:pPr>
        <w:spacing w:after="0" w:line="240" w:lineRule="auto"/>
        <w:jc w:val="both"/>
        <w:rPr>
          <w:rFonts w:cs="Open Sans"/>
        </w:rPr>
      </w:pPr>
      <w:r w:rsidRPr="002970F1">
        <w:rPr>
          <w:rFonts w:cs="Open Sans"/>
        </w:rPr>
        <w:t xml:space="preserve">IČ: </w:t>
      </w:r>
      <w:r w:rsidR="005109B0">
        <w:rPr>
          <w:rFonts w:cs="Open Sans"/>
        </w:rPr>
        <w:t>70890692</w:t>
      </w:r>
      <w:r w:rsidRPr="002970F1">
        <w:rPr>
          <w:rFonts w:cs="Open Sans"/>
        </w:rPr>
        <w:tab/>
      </w:r>
      <w:r>
        <w:rPr>
          <w:rFonts w:cs="Open Sans"/>
        </w:rPr>
        <w:tab/>
      </w:r>
      <w:r>
        <w:rPr>
          <w:rFonts w:cs="Open Sans"/>
        </w:rPr>
        <w:tab/>
      </w:r>
      <w:r>
        <w:rPr>
          <w:rFonts w:cs="Open Sans"/>
        </w:rPr>
        <w:tab/>
      </w:r>
      <w:r w:rsidR="00760E56">
        <w:rPr>
          <w:rFonts w:cs="Open Sans"/>
        </w:rPr>
        <w:tab/>
      </w:r>
      <w:r w:rsidRPr="002970F1">
        <w:rPr>
          <w:rFonts w:cs="Open Sans"/>
        </w:rPr>
        <w:t>IČ: 25379631</w:t>
      </w:r>
    </w:p>
    <w:p w14:paraId="7FA72C87" w14:textId="77777777" w:rsidR="002970F1" w:rsidRPr="002970F1" w:rsidRDefault="002970F1" w:rsidP="006B311B">
      <w:pPr>
        <w:spacing w:after="0" w:line="240" w:lineRule="auto"/>
        <w:jc w:val="both"/>
        <w:rPr>
          <w:rFonts w:cs="Open Sans"/>
        </w:rPr>
      </w:pPr>
    </w:p>
    <w:p w14:paraId="4B642184" w14:textId="77777777" w:rsidR="002970F1" w:rsidRPr="006B311B" w:rsidRDefault="002970F1" w:rsidP="006B311B">
      <w:pPr>
        <w:spacing w:after="0" w:line="240" w:lineRule="auto"/>
        <w:jc w:val="both"/>
        <w:rPr>
          <w:rFonts w:cs="Open Sans"/>
        </w:rPr>
      </w:pPr>
    </w:p>
    <w:p w14:paraId="5B66A323" w14:textId="015B7C77" w:rsidR="002970F1" w:rsidRPr="002970F1" w:rsidRDefault="002970F1" w:rsidP="006B311B">
      <w:pPr>
        <w:spacing w:after="0" w:line="240" w:lineRule="auto"/>
        <w:jc w:val="both"/>
        <w:rPr>
          <w:rFonts w:cs="Open Sans"/>
        </w:rPr>
      </w:pPr>
      <w:r w:rsidRPr="002970F1">
        <w:rPr>
          <w:rFonts w:cs="Open Sans"/>
        </w:rPr>
        <w:t xml:space="preserve">Dotace byla poskytnuta na základě Smlouvy SGEI </w:t>
      </w:r>
      <w:r w:rsidR="006B311B">
        <w:rPr>
          <w:rFonts w:cs="Open Sans"/>
        </w:rPr>
        <w:t>xxxx</w:t>
      </w:r>
      <w:r w:rsidRPr="002970F1">
        <w:rPr>
          <w:rFonts w:cs="Open Sans"/>
        </w:rPr>
        <w:t>/20</w:t>
      </w:r>
      <w:r w:rsidR="006B311B">
        <w:rPr>
          <w:rFonts w:cs="Open Sans"/>
        </w:rPr>
        <w:t>xx</w:t>
      </w:r>
      <w:r w:rsidRPr="002970F1">
        <w:rPr>
          <w:rFonts w:cs="Open Sans"/>
        </w:rPr>
        <w:t xml:space="preserve">/OSR ze dne </w:t>
      </w:r>
      <w:r w:rsidR="006B311B">
        <w:rPr>
          <w:rFonts w:cs="Open Sans"/>
        </w:rPr>
        <w:t>xx</w:t>
      </w:r>
      <w:r w:rsidRPr="002970F1">
        <w:rPr>
          <w:rFonts w:cs="Open Sans"/>
        </w:rPr>
        <w:t>.</w:t>
      </w:r>
      <w:r w:rsidR="006B311B">
        <w:rPr>
          <w:rFonts w:cs="Open Sans"/>
        </w:rPr>
        <w:t xml:space="preserve"> x</w:t>
      </w:r>
      <w:r w:rsidRPr="002970F1">
        <w:rPr>
          <w:rFonts w:cs="Open Sans"/>
        </w:rPr>
        <w:t>.</w:t>
      </w:r>
      <w:r w:rsidR="006B311B">
        <w:rPr>
          <w:rFonts w:cs="Open Sans"/>
        </w:rPr>
        <w:t xml:space="preserve"> </w:t>
      </w:r>
      <w:r w:rsidRPr="002970F1">
        <w:rPr>
          <w:rFonts w:cs="Open Sans"/>
        </w:rPr>
        <w:t>20</w:t>
      </w:r>
      <w:r w:rsidR="006B311B">
        <w:rPr>
          <w:rFonts w:cs="Open Sans"/>
        </w:rPr>
        <w:t>xx</w:t>
      </w:r>
    </w:p>
    <w:p w14:paraId="7A6C08DB" w14:textId="77777777" w:rsidR="002970F1" w:rsidRDefault="002970F1" w:rsidP="006B311B">
      <w:pPr>
        <w:spacing w:after="0" w:line="240" w:lineRule="auto"/>
        <w:jc w:val="both"/>
        <w:rPr>
          <w:rFonts w:cs="Open Sans"/>
        </w:rPr>
      </w:pPr>
    </w:p>
    <w:tbl>
      <w:tblPr>
        <w:tblStyle w:val="Mkatabulky"/>
        <w:tblW w:w="9067" w:type="dxa"/>
        <w:tblLook w:val="04A0" w:firstRow="1" w:lastRow="0" w:firstColumn="1" w:lastColumn="0" w:noHBand="0" w:noVBand="1"/>
      </w:tblPr>
      <w:tblGrid>
        <w:gridCol w:w="6232"/>
        <w:gridCol w:w="2835"/>
      </w:tblGrid>
      <w:tr w:rsidR="0024235D" w14:paraId="5DBD0B0E" w14:textId="77777777" w:rsidTr="001A7C00">
        <w:tc>
          <w:tcPr>
            <w:tcW w:w="6232" w:type="dxa"/>
            <w:shd w:val="clear" w:color="auto" w:fill="D9D9D9" w:themeFill="background1" w:themeFillShade="D9"/>
          </w:tcPr>
          <w:p w14:paraId="3D4A03B7" w14:textId="77777777" w:rsidR="006B311B" w:rsidRDefault="006B311B" w:rsidP="006B311B">
            <w:r>
              <w:rPr>
                <w:b/>
              </w:rPr>
              <w:t>POPIS</w:t>
            </w:r>
          </w:p>
        </w:tc>
        <w:tc>
          <w:tcPr>
            <w:tcW w:w="2835" w:type="dxa"/>
            <w:shd w:val="clear" w:color="auto" w:fill="D9D9D9" w:themeFill="background1" w:themeFillShade="D9"/>
          </w:tcPr>
          <w:p w14:paraId="5B7D4F88" w14:textId="77777777" w:rsidR="006B311B" w:rsidRDefault="006B311B" w:rsidP="00A110C2">
            <w:pPr>
              <w:jc w:val="center"/>
            </w:pPr>
            <w:r>
              <w:rPr>
                <w:b/>
              </w:rPr>
              <w:t>CELKEM DOTACE SGEI</w:t>
            </w:r>
          </w:p>
        </w:tc>
      </w:tr>
      <w:tr w:rsidR="006B311B" w14:paraId="01E1909F" w14:textId="77777777" w:rsidTr="001A7C00">
        <w:tc>
          <w:tcPr>
            <w:tcW w:w="6232" w:type="dxa"/>
          </w:tcPr>
          <w:p w14:paraId="30BA4060" w14:textId="77777777" w:rsidR="006B311B" w:rsidRDefault="006B311B" w:rsidP="006B311B">
            <w:r>
              <w:t>Náklady na činnosti realizované v obecném hospodářském zájmu</w:t>
            </w:r>
          </w:p>
        </w:tc>
        <w:tc>
          <w:tcPr>
            <w:tcW w:w="2835" w:type="dxa"/>
          </w:tcPr>
          <w:p w14:paraId="744478F7" w14:textId="77777777" w:rsidR="006B311B" w:rsidRDefault="006B311B" w:rsidP="00A110C2">
            <w:pPr>
              <w:jc w:val="center"/>
            </w:pPr>
          </w:p>
        </w:tc>
      </w:tr>
      <w:tr w:rsidR="006B311B" w14:paraId="6961C7A7" w14:textId="77777777" w:rsidTr="001A7C00">
        <w:tc>
          <w:tcPr>
            <w:tcW w:w="6232" w:type="dxa"/>
          </w:tcPr>
          <w:p w14:paraId="4575E506" w14:textId="77777777" w:rsidR="006B311B" w:rsidRDefault="006B311B" w:rsidP="006B311B">
            <w:r>
              <w:t>Výnosy z činností realizovaných v obecném hospodářském zájmu</w:t>
            </w:r>
          </w:p>
        </w:tc>
        <w:tc>
          <w:tcPr>
            <w:tcW w:w="2835" w:type="dxa"/>
          </w:tcPr>
          <w:p w14:paraId="56DFF90A" w14:textId="77777777" w:rsidR="006B311B" w:rsidRDefault="006B311B" w:rsidP="00A110C2">
            <w:pPr>
              <w:jc w:val="center"/>
            </w:pPr>
          </w:p>
        </w:tc>
      </w:tr>
      <w:tr w:rsidR="006B311B" w14:paraId="7BFF4982" w14:textId="77777777" w:rsidTr="001A7C00">
        <w:tc>
          <w:tcPr>
            <w:tcW w:w="6232" w:type="dxa"/>
          </w:tcPr>
          <w:p w14:paraId="67353565" w14:textId="77777777" w:rsidR="006B311B" w:rsidRDefault="006B311B" w:rsidP="006B311B">
            <w:r>
              <w:t>Podíl vyrovnávací platby</w:t>
            </w:r>
          </w:p>
        </w:tc>
        <w:tc>
          <w:tcPr>
            <w:tcW w:w="2835" w:type="dxa"/>
          </w:tcPr>
          <w:p w14:paraId="7F4E5AD3" w14:textId="0E7D742E" w:rsidR="006B311B" w:rsidRDefault="006B311B" w:rsidP="00A110C2">
            <w:pPr>
              <w:jc w:val="center"/>
            </w:pPr>
          </w:p>
        </w:tc>
      </w:tr>
      <w:tr w:rsidR="006B311B" w14:paraId="4CE87DC4" w14:textId="77777777" w:rsidTr="001A7C00">
        <w:tc>
          <w:tcPr>
            <w:tcW w:w="6232" w:type="dxa"/>
          </w:tcPr>
          <w:p w14:paraId="0BB3FFFC" w14:textId="77777777" w:rsidR="006B311B" w:rsidRDefault="006B311B" w:rsidP="006B311B">
            <w:r>
              <w:t>Poskytnuté zálohy vyrovnávací platby</w:t>
            </w:r>
          </w:p>
        </w:tc>
        <w:tc>
          <w:tcPr>
            <w:tcW w:w="2835" w:type="dxa"/>
          </w:tcPr>
          <w:p w14:paraId="13700E7D" w14:textId="77777777" w:rsidR="006B311B" w:rsidRDefault="006B311B" w:rsidP="00A110C2">
            <w:pPr>
              <w:jc w:val="center"/>
            </w:pPr>
          </w:p>
        </w:tc>
      </w:tr>
      <w:tr w:rsidR="0024235D" w14:paraId="793BBA60" w14:textId="77777777" w:rsidTr="001A7C00">
        <w:tc>
          <w:tcPr>
            <w:tcW w:w="6232" w:type="dxa"/>
            <w:shd w:val="clear" w:color="auto" w:fill="8EAADB" w:themeFill="accent5" w:themeFillTint="99"/>
          </w:tcPr>
          <w:p w14:paraId="0E2DB66D" w14:textId="77777777" w:rsidR="006B311B" w:rsidRPr="001A7C00" w:rsidRDefault="006B311B" w:rsidP="006B311B">
            <w:pPr>
              <w:rPr>
                <w:b/>
                <w:bCs/>
              </w:rPr>
            </w:pPr>
            <w:r w:rsidRPr="001A7C00">
              <w:rPr>
                <w:b/>
                <w:bCs/>
              </w:rPr>
              <w:t>Nadměrná platba (</w:t>
            </w:r>
            <w:proofErr w:type="gramStart"/>
            <w:r w:rsidRPr="001A7C00">
              <w:rPr>
                <w:b/>
                <w:bCs/>
              </w:rPr>
              <w:t>+)/</w:t>
            </w:r>
            <w:proofErr w:type="gramEnd"/>
            <w:r w:rsidRPr="001A7C00">
              <w:rPr>
                <w:b/>
                <w:bCs/>
              </w:rPr>
              <w:t>ztráta z použití záloh vyrovnávací platby (-)</w:t>
            </w:r>
          </w:p>
        </w:tc>
        <w:tc>
          <w:tcPr>
            <w:tcW w:w="2835" w:type="dxa"/>
            <w:shd w:val="clear" w:color="auto" w:fill="8EAADB" w:themeFill="accent5" w:themeFillTint="99"/>
          </w:tcPr>
          <w:p w14:paraId="0ABC2E7F" w14:textId="3E69841C" w:rsidR="006B311B" w:rsidRPr="001A7C00" w:rsidRDefault="006B311B" w:rsidP="00A110C2">
            <w:pPr>
              <w:jc w:val="center"/>
              <w:rPr>
                <w:b/>
                <w:bCs/>
              </w:rPr>
            </w:pPr>
          </w:p>
        </w:tc>
      </w:tr>
    </w:tbl>
    <w:p w14:paraId="7606DBC7" w14:textId="77777777" w:rsidR="002970F1" w:rsidRPr="00515C73" w:rsidRDefault="002970F1" w:rsidP="006B311B">
      <w:pPr>
        <w:spacing w:after="0" w:line="240" w:lineRule="auto"/>
        <w:jc w:val="both"/>
        <w:rPr>
          <w:rFonts w:cs="Open Sans"/>
        </w:rPr>
      </w:pPr>
    </w:p>
    <w:p w14:paraId="2D552554" w14:textId="77777777" w:rsidR="00362FAA" w:rsidRPr="00515C73" w:rsidRDefault="00362FAA" w:rsidP="00362FAA">
      <w:pPr>
        <w:jc w:val="both"/>
        <w:rPr>
          <w:rFonts w:cs="Open Sans"/>
        </w:rPr>
      </w:pPr>
    </w:p>
    <w:p w14:paraId="3685D4B1" w14:textId="0A52F8B4" w:rsidR="00362FAA" w:rsidRPr="00D830D8" w:rsidRDefault="00362FAA" w:rsidP="00362FAA">
      <w:pPr>
        <w:spacing w:after="0" w:line="240" w:lineRule="auto"/>
        <w:jc w:val="both"/>
        <w:rPr>
          <w:rFonts w:cs="Open Sans"/>
        </w:rPr>
      </w:pPr>
      <w:r w:rsidRPr="009B2FA3">
        <w:rPr>
          <w:rFonts w:cs="Open Sans"/>
        </w:rPr>
        <w:lastRenderedPageBreak/>
        <w:t xml:space="preserve">Ve slovním komentáři </w:t>
      </w:r>
      <w:r w:rsidR="006B311B">
        <w:rPr>
          <w:rFonts w:cs="Open Sans"/>
        </w:rPr>
        <w:t>jsou popsány</w:t>
      </w:r>
      <w:r w:rsidRPr="009B2FA3">
        <w:rPr>
          <w:rFonts w:cs="Open Sans"/>
        </w:rPr>
        <w:t xml:space="preserve"> jednotlivé druhy nákladů a vlivy, které je významným způsobem ovlivnily. Doplnit údaje o přepočten</w:t>
      </w:r>
      <w:r w:rsidR="00C634E7">
        <w:rPr>
          <w:rFonts w:cs="Open Sans"/>
        </w:rPr>
        <w:t>ém</w:t>
      </w:r>
      <w:r w:rsidRPr="009B2FA3">
        <w:rPr>
          <w:rFonts w:cs="Open Sans"/>
        </w:rPr>
        <w:t xml:space="preserve"> počt</w:t>
      </w:r>
      <w:r w:rsidR="00C634E7">
        <w:rPr>
          <w:rFonts w:cs="Open Sans"/>
        </w:rPr>
        <w:t>u</w:t>
      </w:r>
      <w:r w:rsidRPr="009B2FA3">
        <w:rPr>
          <w:rFonts w:cs="Open Sans"/>
        </w:rPr>
        <w:t xml:space="preserve"> zaměstnanců (na plné úvazky) a v souvislosti s limitem na mzdové náklady uvést podle evidence Českého statistického úřadu (www.czso.cz) </w:t>
      </w:r>
      <w:r w:rsidR="00110DD5">
        <w:rPr>
          <w:rFonts w:cs="Open Sans"/>
        </w:rPr>
        <w:t>výši</w:t>
      </w:r>
      <w:r w:rsidR="002548F7">
        <w:rPr>
          <w:rFonts w:cs="Open Sans"/>
        </w:rPr>
        <w:t xml:space="preserve"> </w:t>
      </w:r>
      <w:r w:rsidR="00110DD5" w:rsidRPr="00D830D8">
        <w:rPr>
          <w:bCs/>
        </w:rPr>
        <w:t>průměrné hrubé měsíční nominální mzdy v České republice zveřejněné ČSÚ k poslednímu dni předcházejícího kalendářního roku</w:t>
      </w:r>
      <w:r w:rsidR="000963AB" w:rsidRPr="00D830D8">
        <w:rPr>
          <w:bCs/>
        </w:rPr>
        <w:t>.</w:t>
      </w:r>
    </w:p>
    <w:p w14:paraId="473D6796" w14:textId="682319C6" w:rsidR="00362FAA" w:rsidRPr="009B2FA3" w:rsidRDefault="00362FAA" w:rsidP="00362FAA">
      <w:pPr>
        <w:spacing w:after="0" w:line="240" w:lineRule="auto"/>
        <w:jc w:val="both"/>
        <w:rPr>
          <w:rFonts w:cs="Open Sans"/>
        </w:rPr>
      </w:pPr>
      <w:r w:rsidRPr="00D830D8">
        <w:rPr>
          <w:rFonts w:cs="Open Sans"/>
        </w:rPr>
        <w:t>V této části by měla být obsažena i doložka, že do kalkulovaných nákladů nebyly zahrnuty neuznatelné náklady.</w:t>
      </w:r>
    </w:p>
    <w:p w14:paraId="19BBC4CE" w14:textId="35C74B0B" w:rsidR="00362FAA" w:rsidRPr="007278C4" w:rsidRDefault="00362FAA" w:rsidP="00362FAA">
      <w:pPr>
        <w:spacing w:after="0" w:line="240" w:lineRule="auto"/>
        <w:jc w:val="both"/>
        <w:rPr>
          <w:rFonts w:cs="Open Sans"/>
        </w:rPr>
      </w:pPr>
      <w:r w:rsidRPr="009B2FA3">
        <w:rPr>
          <w:rFonts w:cs="Open Sans"/>
        </w:rPr>
        <w:t>Součástí komentáře bude také seznam středisek, event. dalších dimenzí</w:t>
      </w:r>
      <w:r w:rsidR="00C634E7">
        <w:rPr>
          <w:rFonts w:cs="Open Sans"/>
        </w:rPr>
        <w:t>/znaků</w:t>
      </w:r>
      <w:r w:rsidRPr="009B2FA3">
        <w:rPr>
          <w:rFonts w:cs="Open Sans"/>
        </w:rPr>
        <w:t xml:space="preserve">, seznam analytických účtů, které jsou součástí účetního zápisu a dokládají, že finanční prostředky poskytnuté Moravskoslezskému inovačnímu centru Ostrava, a.s. byly účtována odděleně dle </w:t>
      </w:r>
      <w:r w:rsidR="00EB3C78">
        <w:rPr>
          <w:rFonts w:cs="Open Sans"/>
        </w:rPr>
        <w:t>zákona č.</w:t>
      </w:r>
      <w:r w:rsidRPr="009B2FA3">
        <w:rPr>
          <w:rFonts w:cs="Open Sans"/>
        </w:rPr>
        <w:t xml:space="preserve"> 563/1991 Sb.</w:t>
      </w:r>
      <w:r w:rsidR="00EB3C78">
        <w:rPr>
          <w:rFonts w:cs="Open Sans"/>
        </w:rPr>
        <w:t>,</w:t>
      </w:r>
      <w:r w:rsidRPr="009B2FA3">
        <w:rPr>
          <w:rFonts w:cs="Open Sans"/>
        </w:rPr>
        <w:t xml:space="preserve"> </w:t>
      </w:r>
      <w:r w:rsidR="00EB3C78">
        <w:rPr>
          <w:rFonts w:cs="Open Sans"/>
        </w:rPr>
        <w:t>z</w:t>
      </w:r>
      <w:r w:rsidRPr="009B2FA3">
        <w:rPr>
          <w:rFonts w:cs="Open Sans"/>
        </w:rPr>
        <w:t>ákon o účetnictví</w:t>
      </w:r>
      <w:r w:rsidR="00EB3C78">
        <w:rPr>
          <w:rFonts w:cs="Open Sans"/>
        </w:rPr>
        <w:t>, ve znění pozdějších předpisů</w:t>
      </w:r>
      <w:r w:rsidRPr="009B2FA3">
        <w:rPr>
          <w:rFonts w:cs="Open Sans"/>
        </w:rPr>
        <w:t>.</w:t>
      </w:r>
    </w:p>
    <w:p w14:paraId="5379C81C" w14:textId="77777777" w:rsidR="00362FAA" w:rsidRDefault="00362FAA" w:rsidP="00362FAA">
      <w:pPr>
        <w:jc w:val="both"/>
        <w:rPr>
          <w:rFonts w:cs="Open Sans"/>
          <w:noProof/>
        </w:rPr>
      </w:pPr>
    </w:p>
    <w:p w14:paraId="718A951D" w14:textId="77777777" w:rsidR="00362FAA" w:rsidRPr="000D46C8" w:rsidRDefault="00362FAA" w:rsidP="000D46C8">
      <w:pPr>
        <w:rPr>
          <w:lang w:eastAsia="cs-CZ"/>
        </w:rPr>
      </w:pPr>
    </w:p>
    <w:sectPr w:rsidR="00362FAA" w:rsidRPr="000D46C8" w:rsidSect="003535DB">
      <w:headerReference w:type="default" r:id="rId23"/>
      <w:footerReference w:type="even" r:id="rId24"/>
      <w:footerReference w:type="default" r:id="rId25"/>
      <w:footerReference w:type="first" r:id="rId2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5121A" w14:textId="77777777" w:rsidR="001465CE" w:rsidRDefault="001465CE" w:rsidP="00A753E4">
      <w:pPr>
        <w:spacing w:after="0" w:line="240" w:lineRule="auto"/>
      </w:pPr>
      <w:r>
        <w:separator/>
      </w:r>
    </w:p>
  </w:endnote>
  <w:endnote w:type="continuationSeparator" w:id="0">
    <w:p w14:paraId="4199D325" w14:textId="77777777" w:rsidR="001465CE" w:rsidRDefault="001465CE" w:rsidP="00A7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NewE">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0D363" w14:textId="5987327E" w:rsidR="008539E2" w:rsidRDefault="008539E2">
    <w:pPr>
      <w:pStyle w:val="Zpat"/>
    </w:pPr>
    <w:r>
      <w:rPr>
        <w:noProof/>
      </w:rPr>
      <mc:AlternateContent>
        <mc:Choice Requires="wps">
          <w:drawing>
            <wp:anchor distT="0" distB="0" distL="0" distR="0" simplePos="0" relativeHeight="251656192" behindDoc="0" locked="0" layoutInCell="1" allowOverlap="1" wp14:anchorId="32A8FC9E" wp14:editId="03BDFC46">
              <wp:simplePos x="635" y="635"/>
              <wp:positionH relativeFrom="page">
                <wp:align>left</wp:align>
              </wp:positionH>
              <wp:positionV relativeFrom="page">
                <wp:align>bottom</wp:align>
              </wp:positionV>
              <wp:extent cx="1743075" cy="340995"/>
              <wp:effectExtent l="0" t="0" r="9525" b="0"/>
              <wp:wrapNone/>
              <wp:docPr id="338455534"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57C78DEA" w14:textId="1D9C353C" w:rsidR="008539E2" w:rsidRPr="008539E2" w:rsidRDefault="008539E2" w:rsidP="008539E2">
                          <w:pPr>
                            <w:spacing w:after="0"/>
                            <w:rPr>
                              <w:rFonts w:ascii="Calibri" w:eastAsia="Calibri" w:hAnsi="Calibri" w:cs="Calibri"/>
                              <w:noProof/>
                              <w:color w:val="000000"/>
                              <w:sz w:val="18"/>
                              <w:szCs w:val="18"/>
                            </w:rPr>
                          </w:pPr>
                          <w:r w:rsidRPr="008539E2">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A8FC9E"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8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" filled="f" stroked="f">
              <v:textbox style="mso-fit-shape-to-text:t" inset="20pt,0,0,15pt">
                <w:txbxContent>
                  <w:p w14:paraId="57C78DEA" w14:textId="1D9C353C" w:rsidR="008539E2" w:rsidRPr="008539E2" w:rsidRDefault="008539E2" w:rsidP="008539E2">
                    <w:pPr>
                      <w:spacing w:after="0"/>
                      <w:rPr>
                        <w:rFonts w:ascii="Calibri" w:eastAsia="Calibri" w:hAnsi="Calibri" w:cs="Calibri"/>
                        <w:noProof/>
                        <w:color w:val="000000"/>
                        <w:sz w:val="18"/>
                        <w:szCs w:val="18"/>
                      </w:rPr>
                    </w:pPr>
                    <w:r w:rsidRPr="008539E2">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072AE" w14:textId="550E2557" w:rsidR="008539E2" w:rsidRDefault="008539E2">
    <w:pPr>
      <w:pStyle w:val="Zpat"/>
    </w:pPr>
    <w:r>
      <w:rPr>
        <w:noProof/>
      </w:rPr>
      <mc:AlternateContent>
        <mc:Choice Requires="wps">
          <w:drawing>
            <wp:anchor distT="0" distB="0" distL="0" distR="0" simplePos="0" relativeHeight="251654144" behindDoc="0" locked="0" layoutInCell="1" allowOverlap="1" wp14:anchorId="1ABB68FA" wp14:editId="17D33B10">
              <wp:simplePos x="635" y="635"/>
              <wp:positionH relativeFrom="page">
                <wp:align>left</wp:align>
              </wp:positionH>
              <wp:positionV relativeFrom="page">
                <wp:align>bottom</wp:align>
              </wp:positionV>
              <wp:extent cx="1743075" cy="340995"/>
              <wp:effectExtent l="0" t="0" r="9525" b="0"/>
              <wp:wrapNone/>
              <wp:docPr id="1295389399"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2F72C963" w14:textId="61A4A0DF" w:rsidR="008539E2" w:rsidRPr="008539E2" w:rsidRDefault="008539E2" w:rsidP="008539E2">
                          <w:pPr>
                            <w:spacing w:after="0"/>
                            <w:rPr>
                              <w:rFonts w:ascii="Calibri" w:eastAsia="Calibri" w:hAnsi="Calibri" w:cs="Calibri"/>
                              <w:noProof/>
                              <w:color w:val="000000"/>
                              <w:sz w:val="18"/>
                              <w:szCs w:val="18"/>
                            </w:rPr>
                          </w:pPr>
                          <w:r w:rsidRPr="008539E2">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BB68FA" id="_x0000_t202" coordsize="21600,21600" o:spt="202" path="m,l,21600r21600,l21600,xe">
              <v:stroke joinstyle="miter"/>
              <v:path gradientshapeok="t" o:connecttype="rect"/>
            </v:shapetype>
            <v:shape id="Textové pole 1" o:spid="_x0000_s1027" type="#_x0000_t202" alt="Klasifikace informací: Neveřejné" style="position:absolute;margin-left:0;margin-top:0;width:137.25pt;height:26.85pt;z-index:2516541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" filled="f" stroked="f">
              <v:textbox style="mso-fit-shape-to-text:t" inset="20pt,0,0,15pt">
                <w:txbxContent>
                  <w:p w14:paraId="2F72C963" w14:textId="61A4A0DF" w:rsidR="008539E2" w:rsidRPr="008539E2" w:rsidRDefault="008539E2" w:rsidP="008539E2">
                    <w:pPr>
                      <w:spacing w:after="0"/>
                      <w:rPr>
                        <w:rFonts w:ascii="Calibri" w:eastAsia="Calibri" w:hAnsi="Calibri" w:cs="Calibri"/>
                        <w:noProof/>
                        <w:color w:val="000000"/>
                        <w:sz w:val="18"/>
                        <w:szCs w:val="18"/>
                      </w:rPr>
                    </w:pPr>
                    <w:r w:rsidRPr="008539E2">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8AAC9" w14:textId="4FD925AE" w:rsidR="008539E2" w:rsidRDefault="008539E2">
    <w:pPr>
      <w:pStyle w:val="Zpat"/>
    </w:pPr>
    <w:r>
      <w:rPr>
        <w:noProof/>
      </w:rPr>
      <mc:AlternateContent>
        <mc:Choice Requires="wps">
          <w:drawing>
            <wp:anchor distT="0" distB="0" distL="0" distR="0" simplePos="0" relativeHeight="251658240" behindDoc="0" locked="0" layoutInCell="1" allowOverlap="1" wp14:anchorId="58876C23" wp14:editId="16DC927A">
              <wp:simplePos x="635" y="635"/>
              <wp:positionH relativeFrom="page">
                <wp:align>left</wp:align>
              </wp:positionH>
              <wp:positionV relativeFrom="page">
                <wp:align>bottom</wp:align>
              </wp:positionV>
              <wp:extent cx="1743075" cy="340995"/>
              <wp:effectExtent l="0" t="0" r="9525" b="0"/>
              <wp:wrapNone/>
              <wp:docPr id="706593770" name="Textové pole 5"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5F0E1FF9" w14:textId="3BED7BAF" w:rsidR="008539E2" w:rsidRPr="008539E2" w:rsidRDefault="008539E2" w:rsidP="008539E2">
                          <w:pPr>
                            <w:spacing w:after="0"/>
                            <w:rPr>
                              <w:rFonts w:ascii="Calibri" w:eastAsia="Calibri" w:hAnsi="Calibri" w:cs="Calibri"/>
                              <w:noProof/>
                              <w:color w:val="000000"/>
                              <w:sz w:val="18"/>
                              <w:szCs w:val="18"/>
                            </w:rPr>
                          </w:pPr>
                          <w:r w:rsidRPr="008539E2">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76C23" id="_x0000_t202" coordsize="21600,21600" o:spt="202" path="m,l,21600r21600,l21600,xe">
              <v:stroke joinstyle="miter"/>
              <v:path gradientshapeok="t" o:connecttype="rect"/>
            </v:shapetype>
            <v:shape id="Textové pole 5" o:spid="_x0000_s1028" type="#_x0000_t202" alt="Klasifikace informací: Neveřejné" style="position:absolute;margin-left:0;margin-top:0;width:137.25pt;height:26.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" filled="f" stroked="f">
              <v:textbox style="mso-fit-shape-to-text:t" inset="20pt,0,0,15pt">
                <w:txbxContent>
                  <w:p w14:paraId="5F0E1FF9" w14:textId="3BED7BAF" w:rsidR="008539E2" w:rsidRPr="008539E2" w:rsidRDefault="008539E2" w:rsidP="008539E2">
                    <w:pPr>
                      <w:spacing w:after="0"/>
                      <w:rPr>
                        <w:rFonts w:ascii="Calibri" w:eastAsia="Calibri" w:hAnsi="Calibri" w:cs="Calibri"/>
                        <w:noProof/>
                        <w:color w:val="000000"/>
                        <w:sz w:val="18"/>
                        <w:szCs w:val="18"/>
                      </w:rPr>
                    </w:pPr>
                    <w:r w:rsidRPr="008539E2">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4AF6" w14:textId="0B5C4504" w:rsidR="00852096" w:rsidRPr="001B5CF3" w:rsidRDefault="00852096" w:rsidP="001B5CF3">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E1E7" w14:textId="486AE510" w:rsidR="008539E2" w:rsidRDefault="008539E2">
    <w:pPr>
      <w:pStyle w:val="Zpat"/>
    </w:pPr>
    <w:r>
      <w:rPr>
        <w:noProof/>
      </w:rPr>
      <mc:AlternateContent>
        <mc:Choice Requires="wps">
          <w:drawing>
            <wp:anchor distT="0" distB="0" distL="0" distR="0" simplePos="0" relativeHeight="251657216" behindDoc="0" locked="0" layoutInCell="1" allowOverlap="1" wp14:anchorId="47E26C31" wp14:editId="1F3CEE3B">
              <wp:simplePos x="635" y="635"/>
              <wp:positionH relativeFrom="page">
                <wp:align>left</wp:align>
              </wp:positionH>
              <wp:positionV relativeFrom="page">
                <wp:align>bottom</wp:align>
              </wp:positionV>
              <wp:extent cx="1743075" cy="340995"/>
              <wp:effectExtent l="0" t="0" r="9525" b="0"/>
              <wp:wrapNone/>
              <wp:docPr id="1433534326" name="Textové pole 4"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17E10DDB" w14:textId="2FDD417B" w:rsidR="008539E2" w:rsidRPr="008539E2" w:rsidRDefault="008539E2" w:rsidP="008539E2">
                          <w:pPr>
                            <w:spacing w:after="0"/>
                            <w:rPr>
                              <w:rFonts w:ascii="Calibri" w:eastAsia="Calibri" w:hAnsi="Calibri" w:cs="Calibri"/>
                              <w:noProof/>
                              <w:color w:val="000000"/>
                              <w:sz w:val="18"/>
                              <w:szCs w:val="18"/>
                            </w:rPr>
                          </w:pPr>
                          <w:r w:rsidRPr="008539E2">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E26C31" id="_x0000_t202" coordsize="21600,21600" o:spt="202" path="m,l,21600r21600,l21600,xe">
              <v:stroke joinstyle="miter"/>
              <v:path gradientshapeok="t" o:connecttype="rect"/>
            </v:shapetype>
            <v:shape id="Textové pole 4" o:spid="_x0000_s1029" type="#_x0000_t202" alt="Klasifikace informací: Neveřejné" style="position:absolute;margin-left:0;margin-top:0;width:137.25pt;height:26.8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" filled="f" stroked="f">
              <v:textbox style="mso-fit-shape-to-text:t" inset="20pt,0,0,15pt">
                <w:txbxContent>
                  <w:p w14:paraId="17E10DDB" w14:textId="2FDD417B" w:rsidR="008539E2" w:rsidRPr="008539E2" w:rsidRDefault="008539E2" w:rsidP="008539E2">
                    <w:pPr>
                      <w:spacing w:after="0"/>
                      <w:rPr>
                        <w:rFonts w:ascii="Calibri" w:eastAsia="Calibri" w:hAnsi="Calibri" w:cs="Calibri"/>
                        <w:noProof/>
                        <w:color w:val="000000"/>
                        <w:sz w:val="18"/>
                        <w:szCs w:val="18"/>
                      </w:rPr>
                    </w:pPr>
                    <w:r w:rsidRPr="008539E2">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1A426" w14:textId="5D9C1946" w:rsidR="008539E2" w:rsidRDefault="008539E2">
    <w:pPr>
      <w:pStyle w:val="Zpat"/>
    </w:pPr>
    <w:r>
      <w:rPr>
        <w:noProof/>
      </w:rPr>
      <mc:AlternateContent>
        <mc:Choice Requires="wps">
          <w:drawing>
            <wp:anchor distT="0" distB="0" distL="0" distR="0" simplePos="0" relativeHeight="251670529" behindDoc="0" locked="0" layoutInCell="1" allowOverlap="1" wp14:anchorId="48827662" wp14:editId="3593F956">
              <wp:simplePos x="635" y="635"/>
              <wp:positionH relativeFrom="page">
                <wp:align>left</wp:align>
              </wp:positionH>
              <wp:positionV relativeFrom="page">
                <wp:align>bottom</wp:align>
              </wp:positionV>
              <wp:extent cx="1743075" cy="340995"/>
              <wp:effectExtent l="0" t="0" r="9525" b="0"/>
              <wp:wrapNone/>
              <wp:docPr id="1824594407" name="Textové pole 8"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5B6C8C52" w14:textId="6E5008D7" w:rsidR="008539E2" w:rsidRPr="008539E2" w:rsidRDefault="008539E2" w:rsidP="008539E2">
                          <w:pPr>
                            <w:spacing w:after="0"/>
                            <w:rPr>
                              <w:rFonts w:ascii="Calibri" w:eastAsia="Calibri" w:hAnsi="Calibri" w:cs="Calibri"/>
                              <w:noProof/>
                              <w:color w:val="000000"/>
                              <w:sz w:val="18"/>
                              <w:szCs w:val="18"/>
                            </w:rPr>
                          </w:pPr>
                          <w:r w:rsidRPr="008539E2">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827662" id="_x0000_t202" coordsize="21600,21600" o:spt="202" path="m,l,21600r21600,l21600,xe">
              <v:stroke joinstyle="miter"/>
              <v:path gradientshapeok="t" o:connecttype="rect"/>
            </v:shapetype>
            <v:shape id="Textové pole 8" o:spid="_x0000_s1031" type="#_x0000_t202" alt="Klasifikace informací: Neveřejné" style="position:absolute;margin-left:0;margin-top:0;width:137.25pt;height:26.85pt;z-index:25167052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" filled="f" stroked="f">
              <v:textbox style="mso-fit-shape-to-text:t" inset="20pt,0,0,15pt">
                <w:txbxContent>
                  <w:p w14:paraId="5B6C8C52" w14:textId="6E5008D7" w:rsidR="008539E2" w:rsidRPr="008539E2" w:rsidRDefault="008539E2" w:rsidP="008539E2">
                    <w:pPr>
                      <w:spacing w:after="0"/>
                      <w:rPr>
                        <w:rFonts w:ascii="Calibri" w:eastAsia="Calibri" w:hAnsi="Calibri" w:cs="Calibri"/>
                        <w:noProof/>
                        <w:color w:val="000000"/>
                        <w:sz w:val="18"/>
                        <w:szCs w:val="18"/>
                      </w:rPr>
                    </w:pPr>
                    <w:r w:rsidRPr="008539E2">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B3AAF" w14:textId="592264E5" w:rsidR="00A753E4" w:rsidRPr="001B5CF3" w:rsidRDefault="00A753E4" w:rsidP="001B5CF3">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4B667" w14:textId="689DEAAD" w:rsidR="008539E2" w:rsidRDefault="008539E2">
    <w:pPr>
      <w:pStyle w:val="Zpat"/>
    </w:pPr>
    <w:r>
      <w:rPr>
        <w:noProof/>
      </w:rPr>
      <mc:AlternateContent>
        <mc:Choice Requires="wps">
          <w:drawing>
            <wp:anchor distT="0" distB="0" distL="0" distR="0" simplePos="0" relativeHeight="251669505" behindDoc="0" locked="0" layoutInCell="1" allowOverlap="1" wp14:anchorId="0D40EB4F" wp14:editId="05315BE2">
              <wp:simplePos x="635" y="635"/>
              <wp:positionH relativeFrom="page">
                <wp:align>left</wp:align>
              </wp:positionH>
              <wp:positionV relativeFrom="page">
                <wp:align>bottom</wp:align>
              </wp:positionV>
              <wp:extent cx="1743075" cy="340995"/>
              <wp:effectExtent l="0" t="0" r="9525" b="0"/>
              <wp:wrapNone/>
              <wp:docPr id="517549471" name="Textové pole 7"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520364B7" w14:textId="673BA2DC" w:rsidR="008539E2" w:rsidRPr="008539E2" w:rsidRDefault="008539E2" w:rsidP="008539E2">
                          <w:pPr>
                            <w:spacing w:after="0"/>
                            <w:rPr>
                              <w:rFonts w:ascii="Calibri" w:eastAsia="Calibri" w:hAnsi="Calibri" w:cs="Calibri"/>
                              <w:noProof/>
                              <w:color w:val="000000"/>
                              <w:sz w:val="18"/>
                              <w:szCs w:val="18"/>
                            </w:rPr>
                          </w:pPr>
                          <w:r w:rsidRPr="008539E2">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40EB4F" id="_x0000_t202" coordsize="21600,21600" o:spt="202" path="m,l,21600r21600,l21600,xe">
              <v:stroke joinstyle="miter"/>
              <v:path gradientshapeok="t" o:connecttype="rect"/>
            </v:shapetype>
            <v:shape id="Textové pole 7" o:spid="_x0000_s1032" type="#_x0000_t202" alt="Klasifikace informací: Neveřejné" style="position:absolute;margin-left:0;margin-top:0;width:137.25pt;height:26.85pt;z-index:25166950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" filled="f" stroked="f">
              <v:textbox style="mso-fit-shape-to-text:t" inset="20pt,0,0,15pt">
                <w:txbxContent>
                  <w:p w14:paraId="520364B7" w14:textId="673BA2DC" w:rsidR="008539E2" w:rsidRPr="008539E2" w:rsidRDefault="008539E2" w:rsidP="008539E2">
                    <w:pPr>
                      <w:spacing w:after="0"/>
                      <w:rPr>
                        <w:rFonts w:ascii="Calibri" w:eastAsia="Calibri" w:hAnsi="Calibri" w:cs="Calibri"/>
                        <w:noProof/>
                        <w:color w:val="000000"/>
                        <w:sz w:val="18"/>
                        <w:szCs w:val="18"/>
                      </w:rPr>
                    </w:pPr>
                    <w:r w:rsidRPr="008539E2">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C10BE" w14:textId="77777777" w:rsidR="001465CE" w:rsidRDefault="001465CE" w:rsidP="00A753E4">
      <w:pPr>
        <w:spacing w:after="0" w:line="240" w:lineRule="auto"/>
      </w:pPr>
      <w:r>
        <w:separator/>
      </w:r>
    </w:p>
  </w:footnote>
  <w:footnote w:type="continuationSeparator" w:id="0">
    <w:p w14:paraId="7517CCA7" w14:textId="77777777" w:rsidR="001465CE" w:rsidRDefault="001465CE" w:rsidP="00A75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F68A4" w14:textId="77777777" w:rsidR="001B5CF3" w:rsidRDefault="001B5CF3" w:rsidP="00A753E4">
    <w:pPr>
      <w:pStyle w:val="Zhlav"/>
      <w:tabs>
        <w:tab w:val="clear" w:pos="4536"/>
        <w:tab w:val="clear" w:pos="9072"/>
        <w:tab w:val="left" w:pos="3015"/>
      </w:tabs>
      <w:rPr>
        <w:rFonts w:ascii="Arial" w:hAnsi="Arial" w:cs="Arial"/>
        <w:b/>
        <w:noProof/>
        <w:color w:val="003C69"/>
        <w:sz w:val="20"/>
      </w:rPr>
    </w:pPr>
  </w:p>
  <w:p w14:paraId="5421A66C" w14:textId="67F236DB" w:rsidR="00A753E4" w:rsidRPr="00A72322" w:rsidRDefault="00A753E4" w:rsidP="00A753E4">
    <w:pPr>
      <w:pStyle w:val="Zhlav"/>
      <w:tabs>
        <w:tab w:val="clear" w:pos="4536"/>
        <w:tab w:val="clear" w:pos="9072"/>
        <w:tab w:val="left" w:pos="3015"/>
      </w:tabs>
      <w:rPr>
        <w:rFonts w:ascii="Arial" w:hAnsi="Arial" w:cs="Arial"/>
        <w:b/>
        <w:noProof/>
        <w:color w:val="003C69"/>
        <w:sz w:val="20"/>
      </w:rPr>
    </w:pPr>
    <w:r>
      <w:rPr>
        <w:rFonts w:ascii="Arial" w:hAnsi="Arial" w:cs="Arial"/>
        <w:noProof/>
        <w:color w:val="003C69"/>
        <w:sz w:val="20"/>
        <w:lang w:eastAsia="cs-CZ"/>
      </w:rPr>
      <mc:AlternateContent>
        <mc:Choice Requires="wps">
          <w:drawing>
            <wp:anchor distT="0" distB="0" distL="114300" distR="114300" simplePos="0" relativeHeight="251666944" behindDoc="0" locked="0" layoutInCell="1" allowOverlap="1" wp14:anchorId="29FA6CCE" wp14:editId="072CF714">
              <wp:simplePos x="0" y="0"/>
              <wp:positionH relativeFrom="column">
                <wp:posOffset>1757046</wp:posOffset>
              </wp:positionH>
              <wp:positionV relativeFrom="paragraph">
                <wp:posOffset>-50800</wp:posOffset>
              </wp:positionV>
              <wp:extent cx="4191000" cy="56197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309B4" w14:textId="401F7CED" w:rsidR="00A753E4" w:rsidRPr="00777736" w:rsidRDefault="00A753E4" w:rsidP="00A753E4">
                          <w:pPr>
                            <w:ind w:left="-2835"/>
                            <w:jc w:val="right"/>
                            <w:rPr>
                              <w:rFonts w:ascii="Arial" w:hAnsi="Arial" w:cs="Arial"/>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A6CCE" id="_x0000_t202" coordsize="21600,21600" o:spt="202" path="m,l,21600r21600,l21600,xe">
              <v:stroke joinstyle="miter"/>
              <v:path gradientshapeok="t" o:connecttype="rect"/>
            </v:shapetype>
            <v:shape id="Text Box 8" o:spid="_x0000_s1030" type="#_x0000_t202" style="position:absolute;margin-left:138.35pt;margin-top:-4pt;width:330pt;height:4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hK4wEAAKgDAAAOAAAAZHJzL2Uyb0RvYy54bWysU9tu2zAMfR+wfxD0vtgOknYx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" filled="f" stroked="f">
              <v:textbox>
                <w:txbxContent>
                  <w:p w14:paraId="174309B4" w14:textId="401F7CED" w:rsidR="00A753E4" w:rsidRPr="00777736" w:rsidRDefault="00A753E4" w:rsidP="00A753E4">
                    <w:pPr>
                      <w:ind w:left="-2835"/>
                      <w:jc w:val="right"/>
                      <w:rPr>
                        <w:rFonts w:ascii="Arial" w:hAnsi="Arial" w:cs="Arial"/>
                        <w:b/>
                        <w:color w:val="00ADD0"/>
                        <w:sz w:val="40"/>
                        <w:szCs w:val="40"/>
                      </w:rPr>
                    </w:pPr>
                  </w:p>
                </w:txbxContent>
              </v:textbox>
            </v:shape>
          </w:pict>
        </mc:Fallback>
      </mc:AlternateContent>
    </w:r>
  </w:p>
  <w:p w14:paraId="7F0E2443" w14:textId="77777777" w:rsidR="00A753E4" w:rsidRDefault="00A753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1" w15:restartNumberingAfterBreak="0">
    <w:nsid w:val="000A3606"/>
    <w:multiLevelType w:val="hybridMultilevel"/>
    <w:tmpl w:val="512EE028"/>
    <w:lvl w:ilvl="0" w:tplc="A22E33A8">
      <w:start w:val="1"/>
      <w:numFmt w:val="lowerLetter"/>
      <w:lvlText w:val="%1)"/>
      <w:lvlJc w:val="left"/>
      <w:pPr>
        <w:ind w:left="8238" w:hanging="360"/>
      </w:pPr>
      <w:rPr>
        <w:rFonts w:hint="default"/>
      </w:rPr>
    </w:lvl>
    <w:lvl w:ilvl="1" w:tplc="0D6C553A">
      <w:start w:val="1"/>
      <w:numFmt w:val="lowerLetter"/>
      <w:lvlText w:val="%2)"/>
      <w:lvlJc w:val="left"/>
      <w:pPr>
        <w:ind w:left="8958" w:hanging="360"/>
      </w:pPr>
      <w:rPr>
        <w:rFonts w:hint="default"/>
        <w:b/>
        <w:bCs/>
      </w:rPr>
    </w:lvl>
    <w:lvl w:ilvl="2" w:tplc="5044B9CC">
      <w:start w:val="2"/>
      <w:numFmt w:val="decimal"/>
      <w:lvlText w:val="%3"/>
      <w:lvlJc w:val="left"/>
      <w:pPr>
        <w:ind w:left="9858" w:hanging="360"/>
      </w:pPr>
      <w:rPr>
        <w:rFonts w:hint="default"/>
      </w:rPr>
    </w:lvl>
    <w:lvl w:ilvl="3" w:tplc="0405000F" w:tentative="1">
      <w:start w:val="1"/>
      <w:numFmt w:val="decimal"/>
      <w:lvlText w:val="%4."/>
      <w:lvlJc w:val="left"/>
      <w:pPr>
        <w:ind w:left="10398" w:hanging="360"/>
      </w:pPr>
    </w:lvl>
    <w:lvl w:ilvl="4" w:tplc="04050019" w:tentative="1">
      <w:start w:val="1"/>
      <w:numFmt w:val="lowerLetter"/>
      <w:lvlText w:val="%5."/>
      <w:lvlJc w:val="left"/>
      <w:pPr>
        <w:ind w:left="11118" w:hanging="360"/>
      </w:pPr>
    </w:lvl>
    <w:lvl w:ilvl="5" w:tplc="0405001B" w:tentative="1">
      <w:start w:val="1"/>
      <w:numFmt w:val="lowerRoman"/>
      <w:lvlText w:val="%6."/>
      <w:lvlJc w:val="right"/>
      <w:pPr>
        <w:ind w:left="11838" w:hanging="180"/>
      </w:pPr>
    </w:lvl>
    <w:lvl w:ilvl="6" w:tplc="0405000F" w:tentative="1">
      <w:start w:val="1"/>
      <w:numFmt w:val="decimal"/>
      <w:lvlText w:val="%7."/>
      <w:lvlJc w:val="left"/>
      <w:pPr>
        <w:ind w:left="12558" w:hanging="360"/>
      </w:pPr>
    </w:lvl>
    <w:lvl w:ilvl="7" w:tplc="04050019" w:tentative="1">
      <w:start w:val="1"/>
      <w:numFmt w:val="lowerLetter"/>
      <w:lvlText w:val="%8."/>
      <w:lvlJc w:val="left"/>
      <w:pPr>
        <w:ind w:left="13278" w:hanging="360"/>
      </w:pPr>
    </w:lvl>
    <w:lvl w:ilvl="8" w:tplc="0405001B" w:tentative="1">
      <w:start w:val="1"/>
      <w:numFmt w:val="lowerRoman"/>
      <w:lvlText w:val="%9."/>
      <w:lvlJc w:val="right"/>
      <w:pPr>
        <w:ind w:left="13998" w:hanging="180"/>
      </w:pPr>
    </w:lvl>
  </w:abstractNum>
  <w:abstractNum w:abstractNumId="2" w15:restartNumberingAfterBreak="0">
    <w:nsid w:val="04B6587B"/>
    <w:multiLevelType w:val="multilevel"/>
    <w:tmpl w:val="B8145858"/>
    <w:lvl w:ilvl="0">
      <w:start w:val="1"/>
      <w:numFmt w:val="decimal"/>
      <w:pStyle w:val="Nadpis1-BS"/>
      <w:lvlText w:val="%1."/>
      <w:lvlJc w:val="left"/>
      <w:pPr>
        <w:tabs>
          <w:tab w:val="num" w:pos="1134"/>
        </w:tabs>
        <w:ind w:left="567" w:hanging="567"/>
      </w:pPr>
      <w:rPr>
        <w:rFonts w:ascii="Calibri" w:hAnsi="Calibri" w:cs="Times New Roman" w:hint="default"/>
        <w:b/>
        <w:i w:val="0"/>
        <w:caps w:val="0"/>
        <w:strike w:val="0"/>
        <w:dstrike w:val="0"/>
        <w:vanish w:val="0"/>
        <w:webHidden w:val="0"/>
        <w:color w:val="000000"/>
        <w:sz w:val="22"/>
        <w:u w:val="none"/>
        <w:effect w:val="none"/>
        <w:vertAlign w:val="baseline"/>
        <w:specVanish w:val="0"/>
      </w:rPr>
    </w:lvl>
    <w:lvl w:ilvl="1">
      <w:start w:val="1"/>
      <w:numFmt w:val="decimal"/>
      <w:pStyle w:val="Nadpis2-BS"/>
      <w:lvlText w:val="%1.%2."/>
      <w:lvlJc w:val="left"/>
      <w:pPr>
        <w:tabs>
          <w:tab w:val="num" w:pos="1134"/>
        </w:tabs>
        <w:ind w:left="567" w:hanging="567"/>
      </w:pPr>
      <w:rPr>
        <w:rFonts w:ascii="Calibri" w:hAnsi="Calibri" w:cs="Times New Roman" w:hint="default"/>
        <w:b w:val="0"/>
        <w:i w:val="0"/>
        <w:caps w:val="0"/>
        <w:strike w:val="0"/>
        <w:dstrike w:val="0"/>
        <w:vanish w:val="0"/>
        <w:webHidden w:val="0"/>
        <w:color w:val="auto"/>
        <w:sz w:val="22"/>
        <w:szCs w:val="20"/>
        <w:u w:val="none"/>
        <w:effect w:val="none"/>
        <w:vertAlign w:val="baseline"/>
        <w:specVanish w:val="0"/>
      </w:rPr>
    </w:lvl>
    <w:lvl w:ilvl="2">
      <w:start w:val="1"/>
      <w:numFmt w:val="decimal"/>
      <w:pStyle w:val="Nadpis3-BS"/>
      <w:lvlText w:val="%1.%2.%3."/>
      <w:lvlJc w:val="left"/>
      <w:pPr>
        <w:tabs>
          <w:tab w:val="num" w:pos="567"/>
        </w:tabs>
        <w:ind w:left="-567" w:firstLine="567"/>
      </w:pPr>
      <w:rPr>
        <w:rFonts w:ascii="Calibri" w:hAnsi="Calibri" w:cs="Times New Roman" w:hint="default"/>
        <w:b w:val="0"/>
        <w:i w:val="0"/>
        <w:sz w:val="22"/>
      </w:rPr>
    </w:lvl>
    <w:lvl w:ilvl="3">
      <w:start w:val="1"/>
      <w:numFmt w:val="lowerLetter"/>
      <w:pStyle w:val="Nadpis4-BS"/>
      <w:lvlText w:val="%4."/>
      <w:lvlJc w:val="left"/>
      <w:pPr>
        <w:tabs>
          <w:tab w:val="num" w:pos="1134"/>
        </w:tabs>
        <w:ind w:left="567" w:hanging="279"/>
      </w:pPr>
      <w:rPr>
        <w:b w:val="0"/>
        <w:i w:val="0"/>
        <w:sz w:val="22"/>
      </w:rPr>
    </w:lvl>
    <w:lvl w:ilvl="4">
      <w:start w:val="1"/>
      <w:numFmt w:val="lowerRoman"/>
      <w:pStyle w:val="Nadpis5-BS"/>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lvl>
    <w:lvl w:ilvl="6">
      <w:start w:val="1"/>
      <w:numFmt w:val="decimal"/>
      <w:lvlText w:val="%7."/>
      <w:lvlJc w:val="left"/>
      <w:pPr>
        <w:tabs>
          <w:tab w:val="num" w:pos="1134"/>
        </w:tabs>
        <w:ind w:left="1134" w:hanging="1134"/>
      </w:pPr>
    </w:lvl>
    <w:lvl w:ilvl="7">
      <w:start w:val="1"/>
      <w:numFmt w:val="lowerLetter"/>
      <w:lvlText w:val="%8."/>
      <w:lvlJc w:val="left"/>
      <w:pPr>
        <w:tabs>
          <w:tab w:val="num" w:pos="1134"/>
        </w:tabs>
        <w:ind w:left="1134" w:hanging="1134"/>
      </w:pPr>
    </w:lvl>
    <w:lvl w:ilvl="8">
      <w:start w:val="1"/>
      <w:numFmt w:val="lowerRoman"/>
      <w:lvlText w:val="%9."/>
      <w:lvlJc w:val="right"/>
      <w:pPr>
        <w:tabs>
          <w:tab w:val="num" w:pos="1134"/>
        </w:tabs>
        <w:ind w:left="1134" w:hanging="1134"/>
      </w:pPr>
    </w:lvl>
  </w:abstractNum>
  <w:abstractNum w:abstractNumId="3" w15:restartNumberingAfterBreak="0">
    <w:nsid w:val="07267CD7"/>
    <w:multiLevelType w:val="multilevel"/>
    <w:tmpl w:val="AE7C3ED4"/>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20" w:hanging="720"/>
      </w:pPr>
      <w:rPr>
        <w:rFonts w:asciiTheme="minorHAnsi" w:hAnsiTheme="minorHAnsi" w:hint="default"/>
        <w:b/>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4" w15:restartNumberingAfterBreak="0">
    <w:nsid w:val="07A872C0"/>
    <w:multiLevelType w:val="hybridMultilevel"/>
    <w:tmpl w:val="FBF0EF5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8170E63"/>
    <w:multiLevelType w:val="multilevel"/>
    <w:tmpl w:val="DD10584A"/>
    <w:lvl w:ilvl="0">
      <w:start w:val="1"/>
      <w:numFmt w:val="upperRoman"/>
      <w:lvlText w:val="%1."/>
      <w:lvlJc w:val="right"/>
      <w:pPr>
        <w:ind w:left="360" w:hanging="360"/>
      </w:pPr>
      <w:rPr>
        <w:rFonts w:hint="default"/>
      </w:rPr>
    </w:lvl>
    <w:lvl w:ilvl="1">
      <w:start w:val="1"/>
      <w:numFmt w:val="decimal"/>
      <w:lvlText w:val="%2."/>
      <w:lvlJc w:val="left"/>
      <w:pPr>
        <w:ind w:left="710" w:firstLine="0"/>
      </w:pPr>
      <w:rPr>
        <w:rFonts w:asciiTheme="minorHAnsi" w:eastAsia="Times New Roman" w:hAnsiTheme="minorHAnsi" w:cstheme="minorHAnsi" w:hint="default"/>
        <w:b/>
        <w:bCs/>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2402B2"/>
    <w:multiLevelType w:val="hybridMultilevel"/>
    <w:tmpl w:val="0F408B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8792FAA"/>
    <w:multiLevelType w:val="hybridMultilevel"/>
    <w:tmpl w:val="A886A726"/>
    <w:lvl w:ilvl="0" w:tplc="E1482C98">
      <w:start w:val="1"/>
      <w:numFmt w:val="lowerLetter"/>
      <w:lvlText w:val="%1)"/>
      <w:lvlJc w:val="left"/>
      <w:pPr>
        <w:ind w:left="1069"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483E6A"/>
    <w:multiLevelType w:val="hybridMultilevel"/>
    <w:tmpl w:val="41D4F4FE"/>
    <w:lvl w:ilvl="0" w:tplc="93D86578">
      <w:start w:val="1"/>
      <w:numFmt w:val="upperRoman"/>
      <w:lvlText w:val="Příloha č. %1:"/>
      <w:lvlJc w:val="left"/>
      <w:pPr>
        <w:ind w:left="216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2E2B57"/>
    <w:multiLevelType w:val="hybridMultilevel"/>
    <w:tmpl w:val="DAD479F6"/>
    <w:lvl w:ilvl="0" w:tplc="701E9636">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A18364C"/>
    <w:multiLevelType w:val="multilevel"/>
    <w:tmpl w:val="D1F2BBD0"/>
    <w:lvl w:ilvl="0">
      <w:start w:val="1"/>
      <w:numFmt w:val="decimal"/>
      <w:lvlText w:val="%1."/>
      <w:lvlJc w:val="left"/>
      <w:pPr>
        <w:ind w:left="720" w:hanging="360"/>
      </w:pPr>
      <w:rPr>
        <w:rFonts w:asciiTheme="minorHAnsi" w:eastAsia="Times New Roman" w:hAnsiTheme="minorHAnsi" w:cstheme="minorHAnsi" w:hint="default"/>
        <w:b/>
        <w:bCs/>
        <w:sz w:val="22"/>
        <w:szCs w:val="22"/>
      </w:rPr>
    </w:lvl>
    <w:lvl w:ilvl="1">
      <w:start w:val="1"/>
      <w:numFmt w:val="decimal"/>
      <w:isLgl/>
      <w:lvlText w:val="%1.%2"/>
      <w:lvlJc w:val="left"/>
      <w:pPr>
        <w:ind w:left="94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20B74EBC"/>
    <w:multiLevelType w:val="hybridMultilevel"/>
    <w:tmpl w:val="81204F3E"/>
    <w:lvl w:ilvl="0" w:tplc="6A7217F0">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3DE460B"/>
    <w:multiLevelType w:val="hybridMultilevel"/>
    <w:tmpl w:val="3152A6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E301CE"/>
    <w:multiLevelType w:val="hybridMultilevel"/>
    <w:tmpl w:val="CAF83D02"/>
    <w:lvl w:ilvl="0" w:tplc="6B5875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42724C"/>
    <w:multiLevelType w:val="multilevel"/>
    <w:tmpl w:val="87DEC546"/>
    <w:lvl w:ilvl="0">
      <w:start w:val="2"/>
      <w:numFmt w:val="decimal"/>
      <w:lvlText w:val="%1."/>
      <w:lvlJc w:val="left"/>
      <w:pPr>
        <w:ind w:left="360" w:hanging="360"/>
      </w:pPr>
      <w:rPr>
        <w:rFonts w:asciiTheme="minorHAnsi" w:hAnsiTheme="minorHAnsi" w:cs="Open Sans" w:hint="default"/>
        <w:b w:val="0"/>
        <w:bCs/>
      </w:rPr>
    </w:lvl>
    <w:lvl w:ilvl="1">
      <w:start w:val="1"/>
      <w:numFmt w:val="decimal"/>
      <w:lvlText w:val="%1.%2."/>
      <w:lvlJc w:val="left"/>
      <w:pPr>
        <w:ind w:left="720" w:hanging="720"/>
      </w:pPr>
      <w:rPr>
        <w:rFonts w:asciiTheme="minorHAnsi" w:hAnsiTheme="minorHAnsi" w:cs="Open Sans" w:hint="default"/>
        <w:b/>
      </w:rPr>
    </w:lvl>
    <w:lvl w:ilvl="2">
      <w:start w:val="1"/>
      <w:numFmt w:val="decimal"/>
      <w:lvlText w:val="%1.%2.%3."/>
      <w:lvlJc w:val="left"/>
      <w:pPr>
        <w:ind w:left="720" w:hanging="720"/>
      </w:pPr>
      <w:rPr>
        <w:rFonts w:asciiTheme="minorHAnsi" w:hAnsiTheme="minorHAnsi" w:cs="Open Sans" w:hint="default"/>
        <w:b/>
      </w:rPr>
    </w:lvl>
    <w:lvl w:ilvl="3">
      <w:start w:val="1"/>
      <w:numFmt w:val="decimal"/>
      <w:lvlText w:val="%1.%2.%3.%4."/>
      <w:lvlJc w:val="left"/>
      <w:pPr>
        <w:ind w:left="1080" w:hanging="1080"/>
      </w:pPr>
      <w:rPr>
        <w:rFonts w:asciiTheme="minorHAnsi" w:hAnsiTheme="minorHAnsi" w:cs="Open Sans" w:hint="default"/>
        <w:b/>
      </w:rPr>
    </w:lvl>
    <w:lvl w:ilvl="4">
      <w:start w:val="1"/>
      <w:numFmt w:val="decimal"/>
      <w:lvlText w:val="%1.%2.%3.%4.%5."/>
      <w:lvlJc w:val="left"/>
      <w:pPr>
        <w:ind w:left="1080" w:hanging="1080"/>
      </w:pPr>
      <w:rPr>
        <w:rFonts w:asciiTheme="minorHAnsi" w:hAnsiTheme="minorHAnsi" w:cs="Open Sans" w:hint="default"/>
        <w:b/>
      </w:rPr>
    </w:lvl>
    <w:lvl w:ilvl="5">
      <w:start w:val="1"/>
      <w:numFmt w:val="decimal"/>
      <w:lvlText w:val="%1.%2.%3.%4.%5.%6."/>
      <w:lvlJc w:val="left"/>
      <w:pPr>
        <w:ind w:left="1440" w:hanging="1440"/>
      </w:pPr>
      <w:rPr>
        <w:rFonts w:asciiTheme="minorHAnsi" w:hAnsiTheme="minorHAnsi" w:cs="Open Sans" w:hint="default"/>
        <w:b/>
      </w:rPr>
    </w:lvl>
    <w:lvl w:ilvl="6">
      <w:start w:val="1"/>
      <w:numFmt w:val="decimal"/>
      <w:lvlText w:val="%1.%2.%3.%4.%5.%6.%7."/>
      <w:lvlJc w:val="left"/>
      <w:pPr>
        <w:ind w:left="1440" w:hanging="1440"/>
      </w:pPr>
      <w:rPr>
        <w:rFonts w:asciiTheme="minorHAnsi" w:hAnsiTheme="minorHAnsi" w:cs="Open Sans" w:hint="default"/>
        <w:b/>
      </w:rPr>
    </w:lvl>
    <w:lvl w:ilvl="7">
      <w:start w:val="1"/>
      <w:numFmt w:val="decimal"/>
      <w:lvlText w:val="%1.%2.%3.%4.%5.%6.%7.%8."/>
      <w:lvlJc w:val="left"/>
      <w:pPr>
        <w:ind w:left="1800" w:hanging="1800"/>
      </w:pPr>
      <w:rPr>
        <w:rFonts w:asciiTheme="minorHAnsi" w:hAnsiTheme="minorHAnsi" w:cs="Open Sans" w:hint="default"/>
        <w:b/>
      </w:rPr>
    </w:lvl>
    <w:lvl w:ilvl="8">
      <w:start w:val="1"/>
      <w:numFmt w:val="decimal"/>
      <w:lvlText w:val="%1.%2.%3.%4.%5.%6.%7.%8.%9."/>
      <w:lvlJc w:val="left"/>
      <w:pPr>
        <w:ind w:left="1800" w:hanging="1800"/>
      </w:pPr>
      <w:rPr>
        <w:rFonts w:asciiTheme="minorHAnsi" w:hAnsiTheme="minorHAnsi" w:cs="Open Sans" w:hint="default"/>
        <w:b/>
      </w:rPr>
    </w:lvl>
  </w:abstractNum>
  <w:abstractNum w:abstractNumId="15" w15:restartNumberingAfterBreak="0">
    <w:nsid w:val="351A5E2D"/>
    <w:multiLevelType w:val="hybridMultilevel"/>
    <w:tmpl w:val="C3EE33DC"/>
    <w:lvl w:ilvl="0" w:tplc="06BE11FC">
      <w:start w:val="1"/>
      <w:numFmt w:val="decimal"/>
      <w:lvlText w:val="%1."/>
      <w:lvlJc w:val="left"/>
      <w:pPr>
        <w:ind w:left="720" w:hanging="360"/>
      </w:pPr>
      <w:rPr>
        <w:rFonts w:asciiTheme="minorHAnsi" w:eastAsia="Times New Roman" w:hAnsiTheme="minorHAnsi" w:cstheme="minorHAnsi" w:hint="default"/>
        <w:b/>
        <w:bCs/>
      </w:rPr>
    </w:lvl>
    <w:lvl w:ilvl="1" w:tplc="6F9A07E0">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FD63C8"/>
    <w:multiLevelType w:val="hybridMultilevel"/>
    <w:tmpl w:val="6C70A6B8"/>
    <w:lvl w:ilvl="0" w:tplc="0405000F">
      <w:start w:val="1"/>
      <w:numFmt w:val="decimal"/>
      <w:lvlText w:val="%1."/>
      <w:lvlJc w:val="left"/>
      <w:pPr>
        <w:ind w:left="1945" w:hanging="360"/>
      </w:pPr>
    </w:lvl>
    <w:lvl w:ilvl="1" w:tplc="04050019" w:tentative="1">
      <w:start w:val="1"/>
      <w:numFmt w:val="lowerLetter"/>
      <w:lvlText w:val="%2."/>
      <w:lvlJc w:val="left"/>
      <w:pPr>
        <w:ind w:left="2665" w:hanging="360"/>
      </w:pPr>
    </w:lvl>
    <w:lvl w:ilvl="2" w:tplc="0405001B" w:tentative="1">
      <w:start w:val="1"/>
      <w:numFmt w:val="lowerRoman"/>
      <w:lvlText w:val="%3."/>
      <w:lvlJc w:val="right"/>
      <w:pPr>
        <w:ind w:left="3385" w:hanging="180"/>
      </w:pPr>
    </w:lvl>
    <w:lvl w:ilvl="3" w:tplc="0405000F" w:tentative="1">
      <w:start w:val="1"/>
      <w:numFmt w:val="decimal"/>
      <w:lvlText w:val="%4."/>
      <w:lvlJc w:val="left"/>
      <w:pPr>
        <w:ind w:left="4105" w:hanging="360"/>
      </w:pPr>
    </w:lvl>
    <w:lvl w:ilvl="4" w:tplc="04050019" w:tentative="1">
      <w:start w:val="1"/>
      <w:numFmt w:val="lowerLetter"/>
      <w:lvlText w:val="%5."/>
      <w:lvlJc w:val="left"/>
      <w:pPr>
        <w:ind w:left="4825" w:hanging="360"/>
      </w:pPr>
    </w:lvl>
    <w:lvl w:ilvl="5" w:tplc="0405001B" w:tentative="1">
      <w:start w:val="1"/>
      <w:numFmt w:val="lowerRoman"/>
      <w:lvlText w:val="%6."/>
      <w:lvlJc w:val="right"/>
      <w:pPr>
        <w:ind w:left="5545" w:hanging="180"/>
      </w:pPr>
    </w:lvl>
    <w:lvl w:ilvl="6" w:tplc="0405000F" w:tentative="1">
      <w:start w:val="1"/>
      <w:numFmt w:val="decimal"/>
      <w:lvlText w:val="%7."/>
      <w:lvlJc w:val="left"/>
      <w:pPr>
        <w:ind w:left="6265" w:hanging="360"/>
      </w:pPr>
    </w:lvl>
    <w:lvl w:ilvl="7" w:tplc="04050019" w:tentative="1">
      <w:start w:val="1"/>
      <w:numFmt w:val="lowerLetter"/>
      <w:lvlText w:val="%8."/>
      <w:lvlJc w:val="left"/>
      <w:pPr>
        <w:ind w:left="6985" w:hanging="360"/>
      </w:pPr>
    </w:lvl>
    <w:lvl w:ilvl="8" w:tplc="0405001B" w:tentative="1">
      <w:start w:val="1"/>
      <w:numFmt w:val="lowerRoman"/>
      <w:lvlText w:val="%9."/>
      <w:lvlJc w:val="right"/>
      <w:pPr>
        <w:ind w:left="7705" w:hanging="180"/>
      </w:pPr>
    </w:lvl>
  </w:abstractNum>
  <w:abstractNum w:abstractNumId="17" w15:restartNumberingAfterBreak="0">
    <w:nsid w:val="365F1199"/>
    <w:multiLevelType w:val="hybridMultilevel"/>
    <w:tmpl w:val="B3C293A4"/>
    <w:lvl w:ilvl="0" w:tplc="8ED29A9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E5663D"/>
    <w:multiLevelType w:val="hybridMultilevel"/>
    <w:tmpl w:val="F7261C5E"/>
    <w:lvl w:ilvl="0" w:tplc="A58448E2">
      <w:start w:val="1"/>
      <w:numFmt w:val="decimal"/>
      <w:lvlText w:val="%1."/>
      <w:lvlJc w:val="left"/>
      <w:pPr>
        <w:ind w:left="720" w:hanging="360"/>
      </w:pPr>
      <w:rPr>
        <w:rFonts w:asciiTheme="minorHAnsi" w:eastAsia="Times New Roman" w:hAnsiTheme="minorHAnsi" w:cstheme="minorHAnsi"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6C3026"/>
    <w:multiLevelType w:val="hybridMultilevel"/>
    <w:tmpl w:val="324AAD1E"/>
    <w:lvl w:ilvl="0" w:tplc="DC28A1C0">
      <w:start w:val="2"/>
      <w:numFmt w:val="decimal"/>
      <w:lvlText w:val="%1."/>
      <w:lvlJc w:val="left"/>
      <w:pPr>
        <w:ind w:left="1211" w:hanging="360"/>
      </w:pPr>
      <w:rPr>
        <w:rFonts w:hint="default"/>
        <w:b/>
        <w:bCs/>
      </w:rPr>
    </w:lvl>
    <w:lvl w:ilvl="1" w:tplc="898AD69A">
      <w:start w:val="1"/>
      <w:numFmt w:val="decimal"/>
      <w:lvlText w:val="%2."/>
      <w:lvlJc w:val="left"/>
      <w:pPr>
        <w:ind w:left="1931" w:hanging="360"/>
      </w:pPr>
      <w:rPr>
        <w:rFonts w:ascii="Open Sans" w:eastAsia="Times New Roman" w:hAnsi="Open Sans" w:cs="Open Sans"/>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3CF53E99"/>
    <w:multiLevelType w:val="hybridMultilevel"/>
    <w:tmpl w:val="1DD62636"/>
    <w:lvl w:ilvl="0" w:tplc="3086F00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D036D6D"/>
    <w:multiLevelType w:val="multilevel"/>
    <w:tmpl w:val="83A6173C"/>
    <w:lvl w:ilvl="0">
      <w:start w:val="6"/>
      <w:numFmt w:val="decimal"/>
      <w:lvlText w:val="%1"/>
      <w:lvlJc w:val="left"/>
      <w:pPr>
        <w:ind w:left="405" w:hanging="405"/>
      </w:pPr>
      <w:rPr>
        <w:rFonts w:ascii="Open Sans" w:hAnsi="Open Sans" w:hint="default"/>
      </w:rPr>
    </w:lvl>
    <w:lvl w:ilvl="1">
      <w:start w:val="2"/>
      <w:numFmt w:val="decimal"/>
      <w:lvlText w:val="%1.%2"/>
      <w:lvlJc w:val="left"/>
      <w:pPr>
        <w:ind w:left="405" w:hanging="405"/>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Open Sans" w:hAnsi="Open Sans" w:hint="default"/>
      </w:rPr>
    </w:lvl>
    <w:lvl w:ilvl="4">
      <w:start w:val="1"/>
      <w:numFmt w:val="decimal"/>
      <w:lvlText w:val="%1.%2.%3.%4.%5"/>
      <w:lvlJc w:val="left"/>
      <w:pPr>
        <w:ind w:left="1080" w:hanging="1080"/>
      </w:pPr>
      <w:rPr>
        <w:rFonts w:ascii="Open Sans" w:hAnsi="Open Sans" w:hint="default"/>
      </w:rPr>
    </w:lvl>
    <w:lvl w:ilvl="5">
      <w:start w:val="1"/>
      <w:numFmt w:val="decimal"/>
      <w:lvlText w:val="%1.%2.%3.%4.%5.%6"/>
      <w:lvlJc w:val="left"/>
      <w:pPr>
        <w:ind w:left="1080" w:hanging="1080"/>
      </w:pPr>
      <w:rPr>
        <w:rFonts w:ascii="Open Sans" w:hAnsi="Open Sans" w:hint="default"/>
      </w:rPr>
    </w:lvl>
    <w:lvl w:ilvl="6">
      <w:start w:val="1"/>
      <w:numFmt w:val="decimal"/>
      <w:lvlText w:val="%1.%2.%3.%4.%5.%6.%7"/>
      <w:lvlJc w:val="left"/>
      <w:pPr>
        <w:ind w:left="1440" w:hanging="1440"/>
      </w:pPr>
      <w:rPr>
        <w:rFonts w:ascii="Open Sans" w:hAnsi="Open Sans" w:hint="default"/>
      </w:rPr>
    </w:lvl>
    <w:lvl w:ilvl="7">
      <w:start w:val="1"/>
      <w:numFmt w:val="decimal"/>
      <w:lvlText w:val="%1.%2.%3.%4.%5.%6.%7.%8"/>
      <w:lvlJc w:val="left"/>
      <w:pPr>
        <w:ind w:left="1440" w:hanging="1440"/>
      </w:pPr>
      <w:rPr>
        <w:rFonts w:ascii="Open Sans" w:hAnsi="Open Sans" w:hint="default"/>
      </w:rPr>
    </w:lvl>
    <w:lvl w:ilvl="8">
      <w:start w:val="1"/>
      <w:numFmt w:val="decimal"/>
      <w:lvlText w:val="%1.%2.%3.%4.%5.%6.%7.%8.%9"/>
      <w:lvlJc w:val="left"/>
      <w:pPr>
        <w:ind w:left="1800" w:hanging="1800"/>
      </w:pPr>
      <w:rPr>
        <w:rFonts w:ascii="Open Sans" w:hAnsi="Open Sans" w:hint="default"/>
      </w:rPr>
    </w:lvl>
  </w:abstractNum>
  <w:abstractNum w:abstractNumId="22" w15:restartNumberingAfterBreak="0">
    <w:nsid w:val="3DC27161"/>
    <w:multiLevelType w:val="hybridMultilevel"/>
    <w:tmpl w:val="C2804EDA"/>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3" w15:restartNumberingAfterBreak="0">
    <w:nsid w:val="3E99267E"/>
    <w:multiLevelType w:val="multilevel"/>
    <w:tmpl w:val="83A6173C"/>
    <w:lvl w:ilvl="0">
      <w:start w:val="6"/>
      <w:numFmt w:val="decimal"/>
      <w:lvlText w:val="%1"/>
      <w:lvlJc w:val="left"/>
      <w:pPr>
        <w:ind w:left="405" w:hanging="405"/>
      </w:pPr>
      <w:rPr>
        <w:rFonts w:ascii="Open Sans" w:hAnsi="Open Sans" w:hint="default"/>
      </w:rPr>
    </w:lvl>
    <w:lvl w:ilvl="1">
      <w:start w:val="2"/>
      <w:numFmt w:val="decimal"/>
      <w:lvlText w:val="%1.%2"/>
      <w:lvlJc w:val="left"/>
      <w:pPr>
        <w:ind w:left="405" w:hanging="405"/>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Open Sans" w:hAnsi="Open Sans" w:hint="default"/>
      </w:rPr>
    </w:lvl>
    <w:lvl w:ilvl="4">
      <w:start w:val="1"/>
      <w:numFmt w:val="decimal"/>
      <w:lvlText w:val="%1.%2.%3.%4.%5"/>
      <w:lvlJc w:val="left"/>
      <w:pPr>
        <w:ind w:left="1080" w:hanging="1080"/>
      </w:pPr>
      <w:rPr>
        <w:rFonts w:ascii="Open Sans" w:hAnsi="Open Sans" w:hint="default"/>
      </w:rPr>
    </w:lvl>
    <w:lvl w:ilvl="5">
      <w:start w:val="1"/>
      <w:numFmt w:val="decimal"/>
      <w:lvlText w:val="%1.%2.%3.%4.%5.%6"/>
      <w:lvlJc w:val="left"/>
      <w:pPr>
        <w:ind w:left="1080" w:hanging="1080"/>
      </w:pPr>
      <w:rPr>
        <w:rFonts w:ascii="Open Sans" w:hAnsi="Open Sans" w:hint="default"/>
      </w:rPr>
    </w:lvl>
    <w:lvl w:ilvl="6">
      <w:start w:val="1"/>
      <w:numFmt w:val="decimal"/>
      <w:lvlText w:val="%1.%2.%3.%4.%5.%6.%7"/>
      <w:lvlJc w:val="left"/>
      <w:pPr>
        <w:ind w:left="1440" w:hanging="1440"/>
      </w:pPr>
      <w:rPr>
        <w:rFonts w:ascii="Open Sans" w:hAnsi="Open Sans" w:hint="default"/>
      </w:rPr>
    </w:lvl>
    <w:lvl w:ilvl="7">
      <w:start w:val="1"/>
      <w:numFmt w:val="decimal"/>
      <w:lvlText w:val="%1.%2.%3.%4.%5.%6.%7.%8"/>
      <w:lvlJc w:val="left"/>
      <w:pPr>
        <w:ind w:left="1440" w:hanging="1440"/>
      </w:pPr>
      <w:rPr>
        <w:rFonts w:ascii="Open Sans" w:hAnsi="Open Sans" w:hint="default"/>
      </w:rPr>
    </w:lvl>
    <w:lvl w:ilvl="8">
      <w:start w:val="1"/>
      <w:numFmt w:val="decimal"/>
      <w:lvlText w:val="%1.%2.%3.%4.%5.%6.%7.%8.%9"/>
      <w:lvlJc w:val="left"/>
      <w:pPr>
        <w:ind w:left="1800" w:hanging="1800"/>
      </w:pPr>
      <w:rPr>
        <w:rFonts w:ascii="Open Sans" w:hAnsi="Open Sans" w:hint="default"/>
      </w:rPr>
    </w:lvl>
  </w:abstractNum>
  <w:abstractNum w:abstractNumId="24" w15:restartNumberingAfterBreak="0">
    <w:nsid w:val="42A60C62"/>
    <w:multiLevelType w:val="hybridMultilevel"/>
    <w:tmpl w:val="E55CBAB4"/>
    <w:lvl w:ilvl="0" w:tplc="12E0965C">
      <w:start w:val="1"/>
      <w:numFmt w:val="decimal"/>
      <w:lvlText w:val="%1."/>
      <w:lvlJc w:val="left"/>
      <w:pPr>
        <w:ind w:left="0" w:firstLine="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9F4760"/>
    <w:multiLevelType w:val="multilevel"/>
    <w:tmpl w:val="5CAA61E0"/>
    <w:lvl w:ilvl="0">
      <w:start w:val="6"/>
      <w:numFmt w:val="upperRoman"/>
      <w:lvlText w:val="%1."/>
      <w:lvlJc w:val="right"/>
      <w:pPr>
        <w:ind w:left="360" w:hanging="360"/>
      </w:pPr>
      <w:rPr>
        <w:rFonts w:hint="default"/>
      </w:rPr>
    </w:lvl>
    <w:lvl w:ilvl="1">
      <w:start w:val="1"/>
      <w:numFmt w:val="decimal"/>
      <w:lvlText w:val="%2."/>
      <w:lvlJc w:val="left"/>
      <w:pPr>
        <w:ind w:left="710" w:firstLine="0"/>
      </w:pPr>
      <w:rPr>
        <w:rFonts w:asciiTheme="minorHAnsi" w:eastAsia="Times New Roman" w:hAnsiTheme="minorHAnsi" w:cstheme="minorHAnsi"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D13E20"/>
    <w:multiLevelType w:val="hybridMultilevel"/>
    <w:tmpl w:val="07545C52"/>
    <w:lvl w:ilvl="0" w:tplc="1422CE8C">
      <w:start w:val="1"/>
      <w:numFmt w:val="bullet"/>
      <w:lvlText w:val="-"/>
      <w:lvlJc w:val="left"/>
      <w:pPr>
        <w:tabs>
          <w:tab w:val="num" w:pos="1068"/>
        </w:tabs>
        <w:ind w:left="1068" w:hanging="360"/>
      </w:pPr>
      <w:rPr>
        <w:rFonts w:ascii="Times New Roman" w:hAnsi="Times New Roman" w:hint="default"/>
      </w:rPr>
    </w:lvl>
    <w:lvl w:ilvl="1" w:tplc="4CB4F6AC">
      <w:start w:val="1"/>
      <w:numFmt w:val="bullet"/>
      <w:lvlText w:val="-"/>
      <w:lvlJc w:val="left"/>
      <w:pPr>
        <w:tabs>
          <w:tab w:val="num" w:pos="1788"/>
        </w:tabs>
        <w:ind w:left="1788" w:hanging="360"/>
      </w:pPr>
      <w:rPr>
        <w:rFonts w:ascii="Times New Roman" w:hAnsi="Times New Roman" w:hint="default"/>
      </w:rPr>
    </w:lvl>
    <w:lvl w:ilvl="2" w:tplc="DB8E93BE" w:tentative="1">
      <w:start w:val="1"/>
      <w:numFmt w:val="bullet"/>
      <w:lvlText w:val="-"/>
      <w:lvlJc w:val="left"/>
      <w:pPr>
        <w:tabs>
          <w:tab w:val="num" w:pos="2508"/>
        </w:tabs>
        <w:ind w:left="2508" w:hanging="360"/>
      </w:pPr>
      <w:rPr>
        <w:rFonts w:ascii="Times New Roman" w:hAnsi="Times New Roman" w:hint="default"/>
      </w:rPr>
    </w:lvl>
    <w:lvl w:ilvl="3" w:tplc="43B84AA2" w:tentative="1">
      <w:start w:val="1"/>
      <w:numFmt w:val="bullet"/>
      <w:lvlText w:val="-"/>
      <w:lvlJc w:val="left"/>
      <w:pPr>
        <w:tabs>
          <w:tab w:val="num" w:pos="3228"/>
        </w:tabs>
        <w:ind w:left="3228" w:hanging="360"/>
      </w:pPr>
      <w:rPr>
        <w:rFonts w:ascii="Times New Roman" w:hAnsi="Times New Roman" w:hint="default"/>
      </w:rPr>
    </w:lvl>
    <w:lvl w:ilvl="4" w:tplc="84D69F5A" w:tentative="1">
      <w:start w:val="1"/>
      <w:numFmt w:val="bullet"/>
      <w:lvlText w:val="-"/>
      <w:lvlJc w:val="left"/>
      <w:pPr>
        <w:tabs>
          <w:tab w:val="num" w:pos="3948"/>
        </w:tabs>
        <w:ind w:left="3948" w:hanging="360"/>
      </w:pPr>
      <w:rPr>
        <w:rFonts w:ascii="Times New Roman" w:hAnsi="Times New Roman" w:hint="default"/>
      </w:rPr>
    </w:lvl>
    <w:lvl w:ilvl="5" w:tplc="EAA2D3E2" w:tentative="1">
      <w:start w:val="1"/>
      <w:numFmt w:val="bullet"/>
      <w:lvlText w:val="-"/>
      <w:lvlJc w:val="left"/>
      <w:pPr>
        <w:tabs>
          <w:tab w:val="num" w:pos="4668"/>
        </w:tabs>
        <w:ind w:left="4668" w:hanging="360"/>
      </w:pPr>
      <w:rPr>
        <w:rFonts w:ascii="Times New Roman" w:hAnsi="Times New Roman" w:hint="default"/>
      </w:rPr>
    </w:lvl>
    <w:lvl w:ilvl="6" w:tplc="3D08A6E2" w:tentative="1">
      <w:start w:val="1"/>
      <w:numFmt w:val="bullet"/>
      <w:lvlText w:val="-"/>
      <w:lvlJc w:val="left"/>
      <w:pPr>
        <w:tabs>
          <w:tab w:val="num" w:pos="5388"/>
        </w:tabs>
        <w:ind w:left="5388" w:hanging="360"/>
      </w:pPr>
      <w:rPr>
        <w:rFonts w:ascii="Times New Roman" w:hAnsi="Times New Roman" w:hint="default"/>
      </w:rPr>
    </w:lvl>
    <w:lvl w:ilvl="7" w:tplc="D95670A2" w:tentative="1">
      <w:start w:val="1"/>
      <w:numFmt w:val="bullet"/>
      <w:lvlText w:val="-"/>
      <w:lvlJc w:val="left"/>
      <w:pPr>
        <w:tabs>
          <w:tab w:val="num" w:pos="6108"/>
        </w:tabs>
        <w:ind w:left="6108" w:hanging="360"/>
      </w:pPr>
      <w:rPr>
        <w:rFonts w:ascii="Times New Roman" w:hAnsi="Times New Roman" w:hint="default"/>
      </w:rPr>
    </w:lvl>
    <w:lvl w:ilvl="8" w:tplc="64E665CC" w:tentative="1">
      <w:start w:val="1"/>
      <w:numFmt w:val="bullet"/>
      <w:lvlText w:val="-"/>
      <w:lvlJc w:val="left"/>
      <w:pPr>
        <w:tabs>
          <w:tab w:val="num" w:pos="6828"/>
        </w:tabs>
        <w:ind w:left="6828" w:hanging="360"/>
      </w:pPr>
      <w:rPr>
        <w:rFonts w:ascii="Times New Roman" w:hAnsi="Times New Roman" w:hint="default"/>
      </w:rPr>
    </w:lvl>
  </w:abstractNum>
  <w:abstractNum w:abstractNumId="27" w15:restartNumberingAfterBreak="0">
    <w:nsid w:val="4DD53378"/>
    <w:multiLevelType w:val="hybridMultilevel"/>
    <w:tmpl w:val="8064FA82"/>
    <w:lvl w:ilvl="0" w:tplc="065664B8">
      <w:start w:val="1"/>
      <w:numFmt w:val="decimal"/>
      <w:lvlText w:val="%1."/>
      <w:lvlJc w:val="left"/>
      <w:pPr>
        <w:ind w:left="720" w:hanging="360"/>
      </w:pPr>
      <w:rPr>
        <w:rFonts w:asciiTheme="minorHAnsi" w:eastAsia="Times New Roman" w:hAnsiTheme="minorHAnsi" w:cstheme="minorHAnsi"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A7245A"/>
    <w:multiLevelType w:val="hybridMultilevel"/>
    <w:tmpl w:val="A57280B4"/>
    <w:lvl w:ilvl="0" w:tplc="3A1CA7D0">
      <w:start w:val="4"/>
      <w:numFmt w:val="decimal"/>
      <w:lvlText w:val="%1."/>
      <w:lvlJc w:val="left"/>
      <w:pPr>
        <w:ind w:left="502" w:hanging="360"/>
      </w:pPr>
      <w:rPr>
        <w:rFonts w:hint="default"/>
        <w:b w:val="0"/>
        <w:bCs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15:restartNumberingAfterBreak="0">
    <w:nsid w:val="570357F2"/>
    <w:multiLevelType w:val="hybridMultilevel"/>
    <w:tmpl w:val="631ED142"/>
    <w:lvl w:ilvl="0" w:tplc="699AC554">
      <w:start w:val="1"/>
      <w:numFmt w:val="bullet"/>
      <w:lvlText w:val="-"/>
      <w:lvlJc w:val="left"/>
      <w:pPr>
        <w:tabs>
          <w:tab w:val="num" w:pos="1068"/>
        </w:tabs>
        <w:ind w:left="1068" w:hanging="360"/>
      </w:pPr>
      <w:rPr>
        <w:rFonts w:ascii="Times New Roman" w:hAnsi="Times New Roman" w:hint="default"/>
      </w:rPr>
    </w:lvl>
    <w:lvl w:ilvl="1" w:tplc="E564D012">
      <w:start w:val="1"/>
      <w:numFmt w:val="bullet"/>
      <w:lvlText w:val="-"/>
      <w:lvlJc w:val="left"/>
      <w:pPr>
        <w:tabs>
          <w:tab w:val="num" w:pos="1788"/>
        </w:tabs>
        <w:ind w:left="1788" w:hanging="360"/>
      </w:pPr>
      <w:rPr>
        <w:rFonts w:ascii="Times New Roman" w:hAnsi="Times New Roman" w:hint="default"/>
      </w:rPr>
    </w:lvl>
    <w:lvl w:ilvl="2" w:tplc="E9809A16" w:tentative="1">
      <w:start w:val="1"/>
      <w:numFmt w:val="bullet"/>
      <w:lvlText w:val="-"/>
      <w:lvlJc w:val="left"/>
      <w:pPr>
        <w:tabs>
          <w:tab w:val="num" w:pos="2508"/>
        </w:tabs>
        <w:ind w:left="2508" w:hanging="360"/>
      </w:pPr>
      <w:rPr>
        <w:rFonts w:ascii="Times New Roman" w:hAnsi="Times New Roman" w:hint="default"/>
      </w:rPr>
    </w:lvl>
    <w:lvl w:ilvl="3" w:tplc="A4BEBCD6" w:tentative="1">
      <w:start w:val="1"/>
      <w:numFmt w:val="bullet"/>
      <w:lvlText w:val="-"/>
      <w:lvlJc w:val="left"/>
      <w:pPr>
        <w:tabs>
          <w:tab w:val="num" w:pos="3228"/>
        </w:tabs>
        <w:ind w:left="3228" w:hanging="360"/>
      </w:pPr>
      <w:rPr>
        <w:rFonts w:ascii="Times New Roman" w:hAnsi="Times New Roman" w:hint="default"/>
      </w:rPr>
    </w:lvl>
    <w:lvl w:ilvl="4" w:tplc="0EBEFA38" w:tentative="1">
      <w:start w:val="1"/>
      <w:numFmt w:val="bullet"/>
      <w:lvlText w:val="-"/>
      <w:lvlJc w:val="left"/>
      <w:pPr>
        <w:tabs>
          <w:tab w:val="num" w:pos="3948"/>
        </w:tabs>
        <w:ind w:left="3948" w:hanging="360"/>
      </w:pPr>
      <w:rPr>
        <w:rFonts w:ascii="Times New Roman" w:hAnsi="Times New Roman" w:hint="default"/>
      </w:rPr>
    </w:lvl>
    <w:lvl w:ilvl="5" w:tplc="BBEE0FAA" w:tentative="1">
      <w:start w:val="1"/>
      <w:numFmt w:val="bullet"/>
      <w:lvlText w:val="-"/>
      <w:lvlJc w:val="left"/>
      <w:pPr>
        <w:tabs>
          <w:tab w:val="num" w:pos="4668"/>
        </w:tabs>
        <w:ind w:left="4668" w:hanging="360"/>
      </w:pPr>
      <w:rPr>
        <w:rFonts w:ascii="Times New Roman" w:hAnsi="Times New Roman" w:hint="default"/>
      </w:rPr>
    </w:lvl>
    <w:lvl w:ilvl="6" w:tplc="67800B38" w:tentative="1">
      <w:start w:val="1"/>
      <w:numFmt w:val="bullet"/>
      <w:lvlText w:val="-"/>
      <w:lvlJc w:val="left"/>
      <w:pPr>
        <w:tabs>
          <w:tab w:val="num" w:pos="5388"/>
        </w:tabs>
        <w:ind w:left="5388" w:hanging="360"/>
      </w:pPr>
      <w:rPr>
        <w:rFonts w:ascii="Times New Roman" w:hAnsi="Times New Roman" w:hint="default"/>
      </w:rPr>
    </w:lvl>
    <w:lvl w:ilvl="7" w:tplc="D6F4F0D2" w:tentative="1">
      <w:start w:val="1"/>
      <w:numFmt w:val="bullet"/>
      <w:lvlText w:val="-"/>
      <w:lvlJc w:val="left"/>
      <w:pPr>
        <w:tabs>
          <w:tab w:val="num" w:pos="6108"/>
        </w:tabs>
        <w:ind w:left="6108" w:hanging="360"/>
      </w:pPr>
      <w:rPr>
        <w:rFonts w:ascii="Times New Roman" w:hAnsi="Times New Roman" w:hint="default"/>
      </w:rPr>
    </w:lvl>
    <w:lvl w:ilvl="8" w:tplc="41C47BD4" w:tentative="1">
      <w:start w:val="1"/>
      <w:numFmt w:val="bullet"/>
      <w:lvlText w:val="-"/>
      <w:lvlJc w:val="left"/>
      <w:pPr>
        <w:tabs>
          <w:tab w:val="num" w:pos="6828"/>
        </w:tabs>
        <w:ind w:left="6828" w:hanging="360"/>
      </w:pPr>
      <w:rPr>
        <w:rFonts w:ascii="Times New Roman" w:hAnsi="Times New Roman" w:hint="default"/>
      </w:rPr>
    </w:lvl>
  </w:abstractNum>
  <w:abstractNum w:abstractNumId="30" w15:restartNumberingAfterBreak="0">
    <w:nsid w:val="57470C8C"/>
    <w:multiLevelType w:val="hybridMultilevel"/>
    <w:tmpl w:val="F4F29F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D47956"/>
    <w:multiLevelType w:val="multilevel"/>
    <w:tmpl w:val="D1F2BBD0"/>
    <w:lvl w:ilvl="0">
      <w:start w:val="1"/>
      <w:numFmt w:val="decimal"/>
      <w:lvlText w:val="%1."/>
      <w:lvlJc w:val="left"/>
      <w:pPr>
        <w:ind w:left="720" w:hanging="360"/>
      </w:pPr>
      <w:rPr>
        <w:rFonts w:asciiTheme="minorHAnsi" w:eastAsia="Times New Roman" w:hAnsiTheme="minorHAnsi" w:cstheme="minorHAnsi" w:hint="default"/>
        <w:b/>
        <w:bCs/>
        <w:sz w:val="22"/>
        <w:szCs w:val="22"/>
      </w:rPr>
    </w:lvl>
    <w:lvl w:ilvl="1">
      <w:start w:val="1"/>
      <w:numFmt w:val="decimal"/>
      <w:isLgl/>
      <w:lvlText w:val="%1.%2"/>
      <w:lvlJc w:val="left"/>
      <w:pPr>
        <w:ind w:left="94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9D33F2D"/>
    <w:multiLevelType w:val="hybridMultilevel"/>
    <w:tmpl w:val="AB3A5128"/>
    <w:lvl w:ilvl="0" w:tplc="DF1A9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BC77BC"/>
    <w:multiLevelType w:val="hybridMultilevel"/>
    <w:tmpl w:val="72CECFC8"/>
    <w:lvl w:ilvl="0" w:tplc="C10455AE">
      <w:start w:val="1"/>
      <w:numFmt w:val="bullet"/>
      <w:lvlText w:val="-"/>
      <w:lvlJc w:val="left"/>
      <w:pPr>
        <w:tabs>
          <w:tab w:val="num" w:pos="1068"/>
        </w:tabs>
        <w:ind w:left="1068" w:hanging="360"/>
      </w:pPr>
      <w:rPr>
        <w:rFonts w:ascii="Times New Roman" w:hAnsi="Times New Roman" w:hint="default"/>
      </w:rPr>
    </w:lvl>
    <w:lvl w:ilvl="1" w:tplc="8EF824A6">
      <w:start w:val="1"/>
      <w:numFmt w:val="bullet"/>
      <w:lvlText w:val="-"/>
      <w:lvlJc w:val="left"/>
      <w:pPr>
        <w:tabs>
          <w:tab w:val="num" w:pos="1788"/>
        </w:tabs>
        <w:ind w:left="1788" w:hanging="360"/>
      </w:pPr>
      <w:rPr>
        <w:rFonts w:ascii="Times New Roman" w:hAnsi="Times New Roman" w:hint="default"/>
      </w:rPr>
    </w:lvl>
    <w:lvl w:ilvl="2" w:tplc="6194CF2A" w:tentative="1">
      <w:start w:val="1"/>
      <w:numFmt w:val="bullet"/>
      <w:lvlText w:val="-"/>
      <w:lvlJc w:val="left"/>
      <w:pPr>
        <w:tabs>
          <w:tab w:val="num" w:pos="2508"/>
        </w:tabs>
        <w:ind w:left="2508" w:hanging="360"/>
      </w:pPr>
      <w:rPr>
        <w:rFonts w:ascii="Times New Roman" w:hAnsi="Times New Roman" w:hint="default"/>
      </w:rPr>
    </w:lvl>
    <w:lvl w:ilvl="3" w:tplc="11C0769E" w:tentative="1">
      <w:start w:val="1"/>
      <w:numFmt w:val="bullet"/>
      <w:lvlText w:val="-"/>
      <w:lvlJc w:val="left"/>
      <w:pPr>
        <w:tabs>
          <w:tab w:val="num" w:pos="3228"/>
        </w:tabs>
        <w:ind w:left="3228" w:hanging="360"/>
      </w:pPr>
      <w:rPr>
        <w:rFonts w:ascii="Times New Roman" w:hAnsi="Times New Roman" w:hint="default"/>
      </w:rPr>
    </w:lvl>
    <w:lvl w:ilvl="4" w:tplc="F676AB9C" w:tentative="1">
      <w:start w:val="1"/>
      <w:numFmt w:val="bullet"/>
      <w:lvlText w:val="-"/>
      <w:lvlJc w:val="left"/>
      <w:pPr>
        <w:tabs>
          <w:tab w:val="num" w:pos="3948"/>
        </w:tabs>
        <w:ind w:left="3948" w:hanging="360"/>
      </w:pPr>
      <w:rPr>
        <w:rFonts w:ascii="Times New Roman" w:hAnsi="Times New Roman" w:hint="default"/>
      </w:rPr>
    </w:lvl>
    <w:lvl w:ilvl="5" w:tplc="F7DEA0C4" w:tentative="1">
      <w:start w:val="1"/>
      <w:numFmt w:val="bullet"/>
      <w:lvlText w:val="-"/>
      <w:lvlJc w:val="left"/>
      <w:pPr>
        <w:tabs>
          <w:tab w:val="num" w:pos="4668"/>
        </w:tabs>
        <w:ind w:left="4668" w:hanging="360"/>
      </w:pPr>
      <w:rPr>
        <w:rFonts w:ascii="Times New Roman" w:hAnsi="Times New Roman" w:hint="default"/>
      </w:rPr>
    </w:lvl>
    <w:lvl w:ilvl="6" w:tplc="04B617F0" w:tentative="1">
      <w:start w:val="1"/>
      <w:numFmt w:val="bullet"/>
      <w:lvlText w:val="-"/>
      <w:lvlJc w:val="left"/>
      <w:pPr>
        <w:tabs>
          <w:tab w:val="num" w:pos="5388"/>
        </w:tabs>
        <w:ind w:left="5388" w:hanging="360"/>
      </w:pPr>
      <w:rPr>
        <w:rFonts w:ascii="Times New Roman" w:hAnsi="Times New Roman" w:hint="default"/>
      </w:rPr>
    </w:lvl>
    <w:lvl w:ilvl="7" w:tplc="97DA29D0" w:tentative="1">
      <w:start w:val="1"/>
      <w:numFmt w:val="bullet"/>
      <w:lvlText w:val="-"/>
      <w:lvlJc w:val="left"/>
      <w:pPr>
        <w:tabs>
          <w:tab w:val="num" w:pos="6108"/>
        </w:tabs>
        <w:ind w:left="6108" w:hanging="360"/>
      </w:pPr>
      <w:rPr>
        <w:rFonts w:ascii="Times New Roman" w:hAnsi="Times New Roman" w:hint="default"/>
      </w:rPr>
    </w:lvl>
    <w:lvl w:ilvl="8" w:tplc="5E2A0522" w:tentative="1">
      <w:start w:val="1"/>
      <w:numFmt w:val="bullet"/>
      <w:lvlText w:val="-"/>
      <w:lvlJc w:val="left"/>
      <w:pPr>
        <w:tabs>
          <w:tab w:val="num" w:pos="6828"/>
        </w:tabs>
        <w:ind w:left="6828" w:hanging="360"/>
      </w:pPr>
      <w:rPr>
        <w:rFonts w:ascii="Times New Roman" w:hAnsi="Times New Roman" w:hint="default"/>
      </w:rPr>
    </w:lvl>
  </w:abstractNum>
  <w:abstractNum w:abstractNumId="34" w15:restartNumberingAfterBreak="0">
    <w:nsid w:val="60B84B38"/>
    <w:multiLevelType w:val="hybridMultilevel"/>
    <w:tmpl w:val="B318209E"/>
    <w:lvl w:ilvl="0" w:tplc="3816FF58">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72139EF"/>
    <w:multiLevelType w:val="hybridMultilevel"/>
    <w:tmpl w:val="72048672"/>
    <w:lvl w:ilvl="0" w:tplc="97783F86">
      <w:start w:val="1"/>
      <w:numFmt w:val="lowerLetter"/>
      <w:lvlText w:val="%1)"/>
      <w:lvlJc w:val="left"/>
      <w:pPr>
        <w:ind w:left="1584" w:hanging="360"/>
      </w:pPr>
      <w:rPr>
        <w:rFonts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36" w15:restartNumberingAfterBreak="0">
    <w:nsid w:val="6AB1460A"/>
    <w:multiLevelType w:val="hybridMultilevel"/>
    <w:tmpl w:val="47A268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CF2410C"/>
    <w:multiLevelType w:val="multilevel"/>
    <w:tmpl w:val="9F1C723E"/>
    <w:lvl w:ilvl="0">
      <w:start w:val="1"/>
      <w:numFmt w:val="decimal"/>
      <w:lvlText w:val="%1."/>
      <w:lvlJc w:val="left"/>
      <w:pPr>
        <w:ind w:left="360" w:hanging="360"/>
      </w:pPr>
      <w:rPr>
        <w:rFonts w:hint="default"/>
      </w:rPr>
    </w:lvl>
    <w:lvl w:ilvl="1">
      <w:start w:val="1"/>
      <w:numFmt w:val="decimal"/>
      <w:lvlText w:val="%1.%2."/>
      <w:lvlJc w:val="left"/>
      <w:pPr>
        <w:ind w:left="284" w:hanging="284"/>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334D7F"/>
    <w:multiLevelType w:val="hybridMultilevel"/>
    <w:tmpl w:val="62885F36"/>
    <w:lvl w:ilvl="0" w:tplc="93D86578">
      <w:start w:val="1"/>
      <w:numFmt w:val="upperRoman"/>
      <w:lvlText w:val="Příloha č. %1:"/>
      <w:lvlJc w:val="left"/>
      <w:pPr>
        <w:ind w:left="2421" w:hanging="360"/>
      </w:pPr>
      <w:rPr>
        <w:rFonts w:hint="default"/>
      </w:rPr>
    </w:lvl>
    <w:lvl w:ilvl="1" w:tplc="314ED0E8">
      <w:start w:val="1"/>
      <w:numFmt w:val="lowerLetter"/>
      <w:lvlText w:val="%2)"/>
      <w:lvlJc w:val="left"/>
      <w:pPr>
        <w:ind w:left="1440" w:hanging="360"/>
      </w:pPr>
      <w:rPr>
        <w:rFonts w:hint="default"/>
      </w:rPr>
    </w:lvl>
    <w:lvl w:ilvl="2" w:tplc="17CE9B5C">
      <w:start w:val="1"/>
      <w:numFmt w:val="upperRoman"/>
      <w:lvlText w:val="Příloha č. %3:"/>
      <w:lvlJc w:val="left"/>
      <w:pPr>
        <w:ind w:left="2160" w:hanging="18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6270155">
    <w:abstractNumId w:val="17"/>
  </w:num>
  <w:num w:numId="2" w16cid:durableId="1254509911">
    <w:abstractNumId w:val="37"/>
  </w:num>
  <w:num w:numId="3" w16cid:durableId="742529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8340951">
    <w:abstractNumId w:val="22"/>
  </w:num>
  <w:num w:numId="5" w16cid:durableId="1257514207">
    <w:abstractNumId w:val="16"/>
  </w:num>
  <w:num w:numId="6" w16cid:durableId="1791585699">
    <w:abstractNumId w:val="35"/>
  </w:num>
  <w:num w:numId="7" w16cid:durableId="1460610094">
    <w:abstractNumId w:val="12"/>
  </w:num>
  <w:num w:numId="8" w16cid:durableId="1541212070">
    <w:abstractNumId w:val="30"/>
  </w:num>
  <w:num w:numId="9" w16cid:durableId="886260293">
    <w:abstractNumId w:val="24"/>
  </w:num>
  <w:num w:numId="10" w16cid:durableId="1913734008">
    <w:abstractNumId w:val="11"/>
  </w:num>
  <w:num w:numId="11" w16cid:durableId="503668437">
    <w:abstractNumId w:val="34"/>
  </w:num>
  <w:num w:numId="12" w16cid:durableId="1554190565">
    <w:abstractNumId w:val="9"/>
  </w:num>
  <w:num w:numId="13" w16cid:durableId="978073494">
    <w:abstractNumId w:val="20"/>
  </w:num>
  <w:num w:numId="14" w16cid:durableId="644510479">
    <w:abstractNumId w:val="28"/>
  </w:num>
  <w:num w:numId="15" w16cid:durableId="1501698049">
    <w:abstractNumId w:val="4"/>
  </w:num>
  <w:num w:numId="16" w16cid:durableId="1985893887">
    <w:abstractNumId w:val="36"/>
  </w:num>
  <w:num w:numId="17" w16cid:durableId="1755591886">
    <w:abstractNumId w:val="5"/>
  </w:num>
  <w:num w:numId="18" w16cid:durableId="1323389584">
    <w:abstractNumId w:val="31"/>
  </w:num>
  <w:num w:numId="19" w16cid:durableId="210582785">
    <w:abstractNumId w:val="38"/>
  </w:num>
  <w:num w:numId="20" w16cid:durableId="883903383">
    <w:abstractNumId w:val="25"/>
  </w:num>
  <w:num w:numId="21" w16cid:durableId="1694303809">
    <w:abstractNumId w:val="15"/>
  </w:num>
  <w:num w:numId="22" w16cid:durableId="1884561492">
    <w:abstractNumId w:val="27"/>
  </w:num>
  <w:num w:numId="23" w16cid:durableId="1286816660">
    <w:abstractNumId w:val="18"/>
  </w:num>
  <w:num w:numId="24" w16cid:durableId="278411347">
    <w:abstractNumId w:val="1"/>
  </w:num>
  <w:num w:numId="25" w16cid:durableId="610554086">
    <w:abstractNumId w:val="13"/>
  </w:num>
  <w:num w:numId="26" w16cid:durableId="1724480027">
    <w:abstractNumId w:val="32"/>
  </w:num>
  <w:num w:numId="27" w16cid:durableId="1477067885">
    <w:abstractNumId w:val="7"/>
  </w:num>
  <w:num w:numId="28" w16cid:durableId="1759253116">
    <w:abstractNumId w:val="6"/>
  </w:num>
  <w:num w:numId="29" w16cid:durableId="979043972">
    <w:abstractNumId w:val="19"/>
  </w:num>
  <w:num w:numId="30" w16cid:durableId="879707991">
    <w:abstractNumId w:val="21"/>
  </w:num>
  <w:num w:numId="31" w16cid:durableId="1313634875">
    <w:abstractNumId w:val="8"/>
  </w:num>
  <w:num w:numId="32" w16cid:durableId="109592944">
    <w:abstractNumId w:val="0"/>
  </w:num>
  <w:num w:numId="33" w16cid:durableId="1665236312">
    <w:abstractNumId w:val="26"/>
  </w:num>
  <w:num w:numId="34" w16cid:durableId="479078426">
    <w:abstractNumId w:val="33"/>
  </w:num>
  <w:num w:numId="35" w16cid:durableId="1940992243">
    <w:abstractNumId w:val="29"/>
  </w:num>
  <w:num w:numId="36" w16cid:durableId="797846025">
    <w:abstractNumId w:val="3"/>
  </w:num>
  <w:num w:numId="37" w16cid:durableId="344989439">
    <w:abstractNumId w:val="14"/>
  </w:num>
  <w:num w:numId="38" w16cid:durableId="758598703">
    <w:abstractNumId w:val="10"/>
  </w:num>
  <w:num w:numId="39" w16cid:durableId="17830699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98"/>
    <w:rsid w:val="000004D2"/>
    <w:rsid w:val="00001423"/>
    <w:rsid w:val="00007472"/>
    <w:rsid w:val="000131BE"/>
    <w:rsid w:val="000171FC"/>
    <w:rsid w:val="00022D61"/>
    <w:rsid w:val="0002439B"/>
    <w:rsid w:val="00024435"/>
    <w:rsid w:val="00030DE7"/>
    <w:rsid w:val="0003463C"/>
    <w:rsid w:val="00034E1E"/>
    <w:rsid w:val="000376C6"/>
    <w:rsid w:val="00041075"/>
    <w:rsid w:val="00041851"/>
    <w:rsid w:val="00042075"/>
    <w:rsid w:val="0004550D"/>
    <w:rsid w:val="000472E8"/>
    <w:rsid w:val="00055A19"/>
    <w:rsid w:val="000571D0"/>
    <w:rsid w:val="00062BEE"/>
    <w:rsid w:val="000642A4"/>
    <w:rsid w:val="0006575B"/>
    <w:rsid w:val="00066E5A"/>
    <w:rsid w:val="00071279"/>
    <w:rsid w:val="00075597"/>
    <w:rsid w:val="00075683"/>
    <w:rsid w:val="00082E83"/>
    <w:rsid w:val="000913C5"/>
    <w:rsid w:val="0009196E"/>
    <w:rsid w:val="000941E4"/>
    <w:rsid w:val="00095592"/>
    <w:rsid w:val="000963AB"/>
    <w:rsid w:val="000963F9"/>
    <w:rsid w:val="000A19C2"/>
    <w:rsid w:val="000A1ED4"/>
    <w:rsid w:val="000A3289"/>
    <w:rsid w:val="000A4F5C"/>
    <w:rsid w:val="000A6D5E"/>
    <w:rsid w:val="000B2A78"/>
    <w:rsid w:val="000C4F7B"/>
    <w:rsid w:val="000C6480"/>
    <w:rsid w:val="000C7645"/>
    <w:rsid w:val="000D46C8"/>
    <w:rsid w:val="000D7245"/>
    <w:rsid w:val="000D791A"/>
    <w:rsid w:val="000E1BE2"/>
    <w:rsid w:val="000E2639"/>
    <w:rsid w:val="000E39E8"/>
    <w:rsid w:val="000F2CC5"/>
    <w:rsid w:val="0010254D"/>
    <w:rsid w:val="00103A8A"/>
    <w:rsid w:val="00110DD5"/>
    <w:rsid w:val="00110FE6"/>
    <w:rsid w:val="001178C3"/>
    <w:rsid w:val="00120515"/>
    <w:rsid w:val="00126DD9"/>
    <w:rsid w:val="001314C8"/>
    <w:rsid w:val="001374A6"/>
    <w:rsid w:val="00144E94"/>
    <w:rsid w:val="00146514"/>
    <w:rsid w:val="001465CE"/>
    <w:rsid w:val="001468DE"/>
    <w:rsid w:val="00150B89"/>
    <w:rsid w:val="00151C2A"/>
    <w:rsid w:val="001538B9"/>
    <w:rsid w:val="001544F8"/>
    <w:rsid w:val="00156FD9"/>
    <w:rsid w:val="00160104"/>
    <w:rsid w:val="001626D3"/>
    <w:rsid w:val="00175790"/>
    <w:rsid w:val="00180824"/>
    <w:rsid w:val="001817A5"/>
    <w:rsid w:val="00181C1F"/>
    <w:rsid w:val="001839ED"/>
    <w:rsid w:val="00194466"/>
    <w:rsid w:val="001958A0"/>
    <w:rsid w:val="001A4AF5"/>
    <w:rsid w:val="001A7C00"/>
    <w:rsid w:val="001B0EB7"/>
    <w:rsid w:val="001B5CF3"/>
    <w:rsid w:val="001B6A6D"/>
    <w:rsid w:val="001C2DF7"/>
    <w:rsid w:val="001C3B8C"/>
    <w:rsid w:val="001D6408"/>
    <w:rsid w:val="001E3EE5"/>
    <w:rsid w:val="001E4BFE"/>
    <w:rsid w:val="001F2FC5"/>
    <w:rsid w:val="001F4C64"/>
    <w:rsid w:val="002015B6"/>
    <w:rsid w:val="002129CB"/>
    <w:rsid w:val="00217741"/>
    <w:rsid w:val="002177B5"/>
    <w:rsid w:val="002238B1"/>
    <w:rsid w:val="00230F6D"/>
    <w:rsid w:val="00231D99"/>
    <w:rsid w:val="00232FBF"/>
    <w:rsid w:val="00234204"/>
    <w:rsid w:val="00240F52"/>
    <w:rsid w:val="0024235D"/>
    <w:rsid w:val="0024294A"/>
    <w:rsid w:val="0024412C"/>
    <w:rsid w:val="00245BA9"/>
    <w:rsid w:val="00245FC6"/>
    <w:rsid w:val="002525AA"/>
    <w:rsid w:val="002537C2"/>
    <w:rsid w:val="00254130"/>
    <w:rsid w:val="002548F7"/>
    <w:rsid w:val="002610A2"/>
    <w:rsid w:val="00263EFA"/>
    <w:rsid w:val="002662A7"/>
    <w:rsid w:val="002667DD"/>
    <w:rsid w:val="00271583"/>
    <w:rsid w:val="00280ECF"/>
    <w:rsid w:val="00283987"/>
    <w:rsid w:val="00283B44"/>
    <w:rsid w:val="002849FA"/>
    <w:rsid w:val="00290C6D"/>
    <w:rsid w:val="00296E0A"/>
    <w:rsid w:val="002970F1"/>
    <w:rsid w:val="00297179"/>
    <w:rsid w:val="002A11FC"/>
    <w:rsid w:val="002A23DE"/>
    <w:rsid w:val="002A7457"/>
    <w:rsid w:val="002B1352"/>
    <w:rsid w:val="002B2B93"/>
    <w:rsid w:val="002B5CA5"/>
    <w:rsid w:val="002B649E"/>
    <w:rsid w:val="002C1991"/>
    <w:rsid w:val="002C470F"/>
    <w:rsid w:val="002D0F95"/>
    <w:rsid w:val="002D2D6E"/>
    <w:rsid w:val="002D6CF6"/>
    <w:rsid w:val="002D7A9B"/>
    <w:rsid w:val="002E0640"/>
    <w:rsid w:val="002E1873"/>
    <w:rsid w:val="002E1E37"/>
    <w:rsid w:val="002E28AD"/>
    <w:rsid w:val="002E5147"/>
    <w:rsid w:val="002E7E07"/>
    <w:rsid w:val="002F16D5"/>
    <w:rsid w:val="002F2082"/>
    <w:rsid w:val="002F24B1"/>
    <w:rsid w:val="002F45FB"/>
    <w:rsid w:val="002F5872"/>
    <w:rsid w:val="002F72AB"/>
    <w:rsid w:val="00304692"/>
    <w:rsid w:val="0032352B"/>
    <w:rsid w:val="00325047"/>
    <w:rsid w:val="00336092"/>
    <w:rsid w:val="00337B58"/>
    <w:rsid w:val="003425F2"/>
    <w:rsid w:val="00342B30"/>
    <w:rsid w:val="00346BD2"/>
    <w:rsid w:val="0034765A"/>
    <w:rsid w:val="00351FF8"/>
    <w:rsid w:val="0035275F"/>
    <w:rsid w:val="003535DB"/>
    <w:rsid w:val="00354812"/>
    <w:rsid w:val="0035726F"/>
    <w:rsid w:val="00361003"/>
    <w:rsid w:val="00362FAA"/>
    <w:rsid w:val="00365088"/>
    <w:rsid w:val="003676BB"/>
    <w:rsid w:val="0036793F"/>
    <w:rsid w:val="00370122"/>
    <w:rsid w:val="00372BBE"/>
    <w:rsid w:val="00373FD6"/>
    <w:rsid w:val="0038290F"/>
    <w:rsid w:val="003851AA"/>
    <w:rsid w:val="00385846"/>
    <w:rsid w:val="003908FC"/>
    <w:rsid w:val="00390E91"/>
    <w:rsid w:val="0039131C"/>
    <w:rsid w:val="00392530"/>
    <w:rsid w:val="00393136"/>
    <w:rsid w:val="00395A17"/>
    <w:rsid w:val="00395D32"/>
    <w:rsid w:val="003A1D6D"/>
    <w:rsid w:val="003A34EF"/>
    <w:rsid w:val="003A65B1"/>
    <w:rsid w:val="003B06F8"/>
    <w:rsid w:val="003B1938"/>
    <w:rsid w:val="003B4F93"/>
    <w:rsid w:val="003B5149"/>
    <w:rsid w:val="003B6F66"/>
    <w:rsid w:val="003C37F1"/>
    <w:rsid w:val="003D585B"/>
    <w:rsid w:val="003D68CD"/>
    <w:rsid w:val="003F0C33"/>
    <w:rsid w:val="003F3A56"/>
    <w:rsid w:val="003F457F"/>
    <w:rsid w:val="003F7A6A"/>
    <w:rsid w:val="004027B3"/>
    <w:rsid w:val="0040442F"/>
    <w:rsid w:val="00412C1E"/>
    <w:rsid w:val="00417A6E"/>
    <w:rsid w:val="00421376"/>
    <w:rsid w:val="0042628C"/>
    <w:rsid w:val="004278DC"/>
    <w:rsid w:val="0043026E"/>
    <w:rsid w:val="00431EC1"/>
    <w:rsid w:val="00433A8D"/>
    <w:rsid w:val="00440A68"/>
    <w:rsid w:val="0044285E"/>
    <w:rsid w:val="00450536"/>
    <w:rsid w:val="00452BD2"/>
    <w:rsid w:val="0046068B"/>
    <w:rsid w:val="00464667"/>
    <w:rsid w:val="00466777"/>
    <w:rsid w:val="004712AA"/>
    <w:rsid w:val="00474661"/>
    <w:rsid w:val="004909C3"/>
    <w:rsid w:val="00491509"/>
    <w:rsid w:val="004A4F20"/>
    <w:rsid w:val="004A5C04"/>
    <w:rsid w:val="004B15C3"/>
    <w:rsid w:val="004B2C26"/>
    <w:rsid w:val="004B717B"/>
    <w:rsid w:val="004B7E9A"/>
    <w:rsid w:val="004C0AD9"/>
    <w:rsid w:val="004C3551"/>
    <w:rsid w:val="004C3F53"/>
    <w:rsid w:val="004C42A2"/>
    <w:rsid w:val="004C5F3F"/>
    <w:rsid w:val="004E18F3"/>
    <w:rsid w:val="004F0517"/>
    <w:rsid w:val="004F5A0B"/>
    <w:rsid w:val="005029B6"/>
    <w:rsid w:val="00503657"/>
    <w:rsid w:val="00505416"/>
    <w:rsid w:val="005057F1"/>
    <w:rsid w:val="00506D0D"/>
    <w:rsid w:val="005109B0"/>
    <w:rsid w:val="005109B3"/>
    <w:rsid w:val="00512309"/>
    <w:rsid w:val="00516BBB"/>
    <w:rsid w:val="00520478"/>
    <w:rsid w:val="00522CB0"/>
    <w:rsid w:val="00523943"/>
    <w:rsid w:val="005267DC"/>
    <w:rsid w:val="00527FF1"/>
    <w:rsid w:val="0053087A"/>
    <w:rsid w:val="00531227"/>
    <w:rsid w:val="00534788"/>
    <w:rsid w:val="00536793"/>
    <w:rsid w:val="00542ED5"/>
    <w:rsid w:val="00544C58"/>
    <w:rsid w:val="005468EF"/>
    <w:rsid w:val="005523C7"/>
    <w:rsid w:val="00553C6B"/>
    <w:rsid w:val="0056016D"/>
    <w:rsid w:val="005618EC"/>
    <w:rsid w:val="00561BDF"/>
    <w:rsid w:val="005626BE"/>
    <w:rsid w:val="005653D2"/>
    <w:rsid w:val="00565B37"/>
    <w:rsid w:val="005742A3"/>
    <w:rsid w:val="00577D6C"/>
    <w:rsid w:val="00581F8F"/>
    <w:rsid w:val="00584E0E"/>
    <w:rsid w:val="00592461"/>
    <w:rsid w:val="00595A14"/>
    <w:rsid w:val="00597405"/>
    <w:rsid w:val="005A10D0"/>
    <w:rsid w:val="005A26D5"/>
    <w:rsid w:val="005A326C"/>
    <w:rsid w:val="005B448F"/>
    <w:rsid w:val="005B4E5D"/>
    <w:rsid w:val="005B7927"/>
    <w:rsid w:val="005C2A42"/>
    <w:rsid w:val="005C6E91"/>
    <w:rsid w:val="005D10B3"/>
    <w:rsid w:val="005D1ACB"/>
    <w:rsid w:val="005D1B30"/>
    <w:rsid w:val="005D44F4"/>
    <w:rsid w:val="005D7B5A"/>
    <w:rsid w:val="005E51E7"/>
    <w:rsid w:val="005E62FD"/>
    <w:rsid w:val="005E6704"/>
    <w:rsid w:val="005E7271"/>
    <w:rsid w:val="005F09BB"/>
    <w:rsid w:val="005F4647"/>
    <w:rsid w:val="00600C41"/>
    <w:rsid w:val="00602C4B"/>
    <w:rsid w:val="0060317D"/>
    <w:rsid w:val="00605FAA"/>
    <w:rsid w:val="00612733"/>
    <w:rsid w:val="00615B7D"/>
    <w:rsid w:val="0062490B"/>
    <w:rsid w:val="006257DF"/>
    <w:rsid w:val="006258A7"/>
    <w:rsid w:val="00625D46"/>
    <w:rsid w:val="00640AF4"/>
    <w:rsid w:val="00641C1E"/>
    <w:rsid w:val="00641F42"/>
    <w:rsid w:val="00653C28"/>
    <w:rsid w:val="006553F9"/>
    <w:rsid w:val="00655752"/>
    <w:rsid w:val="00656E80"/>
    <w:rsid w:val="006571C9"/>
    <w:rsid w:val="006575CF"/>
    <w:rsid w:val="0066014C"/>
    <w:rsid w:val="006659EF"/>
    <w:rsid w:val="006674BE"/>
    <w:rsid w:val="0067176D"/>
    <w:rsid w:val="0067432E"/>
    <w:rsid w:val="006761E5"/>
    <w:rsid w:val="006871AE"/>
    <w:rsid w:val="006A03D7"/>
    <w:rsid w:val="006B00FC"/>
    <w:rsid w:val="006B1ECF"/>
    <w:rsid w:val="006B311B"/>
    <w:rsid w:val="006B362F"/>
    <w:rsid w:val="006C43A6"/>
    <w:rsid w:val="006C638D"/>
    <w:rsid w:val="006C6738"/>
    <w:rsid w:val="006C6DE2"/>
    <w:rsid w:val="006C7F01"/>
    <w:rsid w:val="006D1CEB"/>
    <w:rsid w:val="006E0805"/>
    <w:rsid w:val="006E2059"/>
    <w:rsid w:val="006E56B8"/>
    <w:rsid w:val="006E748D"/>
    <w:rsid w:val="006E79BB"/>
    <w:rsid w:val="006F3E95"/>
    <w:rsid w:val="006F6D0B"/>
    <w:rsid w:val="00704086"/>
    <w:rsid w:val="00707064"/>
    <w:rsid w:val="00707E89"/>
    <w:rsid w:val="0071605B"/>
    <w:rsid w:val="00716AFB"/>
    <w:rsid w:val="00721209"/>
    <w:rsid w:val="00730CBA"/>
    <w:rsid w:val="00733331"/>
    <w:rsid w:val="00735C97"/>
    <w:rsid w:val="00740976"/>
    <w:rsid w:val="007415C6"/>
    <w:rsid w:val="00742C16"/>
    <w:rsid w:val="00750B23"/>
    <w:rsid w:val="0075519E"/>
    <w:rsid w:val="00760E56"/>
    <w:rsid w:val="0076452C"/>
    <w:rsid w:val="00765DE3"/>
    <w:rsid w:val="00770250"/>
    <w:rsid w:val="007732DA"/>
    <w:rsid w:val="00773547"/>
    <w:rsid w:val="00780964"/>
    <w:rsid w:val="0079047C"/>
    <w:rsid w:val="00792DAE"/>
    <w:rsid w:val="007930E9"/>
    <w:rsid w:val="00796D67"/>
    <w:rsid w:val="007A23F7"/>
    <w:rsid w:val="007A24B3"/>
    <w:rsid w:val="007A5C62"/>
    <w:rsid w:val="007A5F17"/>
    <w:rsid w:val="007A6F77"/>
    <w:rsid w:val="007C2C36"/>
    <w:rsid w:val="007D0C26"/>
    <w:rsid w:val="007D191F"/>
    <w:rsid w:val="007D1B89"/>
    <w:rsid w:val="007D42A0"/>
    <w:rsid w:val="007D5C06"/>
    <w:rsid w:val="007D690A"/>
    <w:rsid w:val="007F04D0"/>
    <w:rsid w:val="007F3F05"/>
    <w:rsid w:val="007F52F9"/>
    <w:rsid w:val="0080057B"/>
    <w:rsid w:val="00812CEF"/>
    <w:rsid w:val="00813421"/>
    <w:rsid w:val="0081368C"/>
    <w:rsid w:val="0081500F"/>
    <w:rsid w:val="0081709C"/>
    <w:rsid w:val="0081712D"/>
    <w:rsid w:val="00817163"/>
    <w:rsid w:val="008200AF"/>
    <w:rsid w:val="00827D82"/>
    <w:rsid w:val="00840746"/>
    <w:rsid w:val="008408AC"/>
    <w:rsid w:val="00852096"/>
    <w:rsid w:val="008539E2"/>
    <w:rsid w:val="00856B9A"/>
    <w:rsid w:val="008645D0"/>
    <w:rsid w:val="008649A1"/>
    <w:rsid w:val="00871E3B"/>
    <w:rsid w:val="0087318A"/>
    <w:rsid w:val="00873DC2"/>
    <w:rsid w:val="00882B19"/>
    <w:rsid w:val="00883DEC"/>
    <w:rsid w:val="00892B07"/>
    <w:rsid w:val="00895C77"/>
    <w:rsid w:val="00897110"/>
    <w:rsid w:val="008A09D1"/>
    <w:rsid w:val="008A0C32"/>
    <w:rsid w:val="008A2374"/>
    <w:rsid w:val="008B0408"/>
    <w:rsid w:val="008B73B8"/>
    <w:rsid w:val="008B7763"/>
    <w:rsid w:val="008C338B"/>
    <w:rsid w:val="008C4F72"/>
    <w:rsid w:val="008C4FAB"/>
    <w:rsid w:val="008D0879"/>
    <w:rsid w:val="008D6E4A"/>
    <w:rsid w:val="008E6ADF"/>
    <w:rsid w:val="008F1860"/>
    <w:rsid w:val="008F5140"/>
    <w:rsid w:val="008F5D68"/>
    <w:rsid w:val="00911FCE"/>
    <w:rsid w:val="009202DE"/>
    <w:rsid w:val="00922597"/>
    <w:rsid w:val="0092610C"/>
    <w:rsid w:val="009301F7"/>
    <w:rsid w:val="00930559"/>
    <w:rsid w:val="0094072E"/>
    <w:rsid w:val="00941F16"/>
    <w:rsid w:val="0094378B"/>
    <w:rsid w:val="00945A51"/>
    <w:rsid w:val="009467B3"/>
    <w:rsid w:val="00956622"/>
    <w:rsid w:val="00961456"/>
    <w:rsid w:val="009627A9"/>
    <w:rsid w:val="009720DB"/>
    <w:rsid w:val="00972DD0"/>
    <w:rsid w:val="009742A0"/>
    <w:rsid w:val="009751C4"/>
    <w:rsid w:val="00983763"/>
    <w:rsid w:val="009870F8"/>
    <w:rsid w:val="0099444A"/>
    <w:rsid w:val="0099746E"/>
    <w:rsid w:val="009A492B"/>
    <w:rsid w:val="009B1B77"/>
    <w:rsid w:val="009B6FA4"/>
    <w:rsid w:val="009C376E"/>
    <w:rsid w:val="009D3530"/>
    <w:rsid w:val="009D3B5E"/>
    <w:rsid w:val="009E29FD"/>
    <w:rsid w:val="009F1F85"/>
    <w:rsid w:val="00A018CF"/>
    <w:rsid w:val="00A1666E"/>
    <w:rsid w:val="00A2484F"/>
    <w:rsid w:val="00A27F88"/>
    <w:rsid w:val="00A36826"/>
    <w:rsid w:val="00A372D9"/>
    <w:rsid w:val="00A4714F"/>
    <w:rsid w:val="00A505F0"/>
    <w:rsid w:val="00A612A8"/>
    <w:rsid w:val="00A62DA3"/>
    <w:rsid w:val="00A6508F"/>
    <w:rsid w:val="00A753E4"/>
    <w:rsid w:val="00A77F8F"/>
    <w:rsid w:val="00A94B9B"/>
    <w:rsid w:val="00A9618A"/>
    <w:rsid w:val="00AA094F"/>
    <w:rsid w:val="00AA3ABE"/>
    <w:rsid w:val="00AA3D82"/>
    <w:rsid w:val="00AA4C9A"/>
    <w:rsid w:val="00AB24F9"/>
    <w:rsid w:val="00AB3506"/>
    <w:rsid w:val="00AB6C67"/>
    <w:rsid w:val="00AC1681"/>
    <w:rsid w:val="00AC2F67"/>
    <w:rsid w:val="00AC5045"/>
    <w:rsid w:val="00AC59D3"/>
    <w:rsid w:val="00AD2D0F"/>
    <w:rsid w:val="00AD68C7"/>
    <w:rsid w:val="00AE0713"/>
    <w:rsid w:val="00AE5276"/>
    <w:rsid w:val="00B012A3"/>
    <w:rsid w:val="00B02A9B"/>
    <w:rsid w:val="00B046DE"/>
    <w:rsid w:val="00B06E9E"/>
    <w:rsid w:val="00B10F3C"/>
    <w:rsid w:val="00B12C62"/>
    <w:rsid w:val="00B16BB5"/>
    <w:rsid w:val="00B251B8"/>
    <w:rsid w:val="00B3154A"/>
    <w:rsid w:val="00B35711"/>
    <w:rsid w:val="00B37644"/>
    <w:rsid w:val="00B43731"/>
    <w:rsid w:val="00B45889"/>
    <w:rsid w:val="00B50BFD"/>
    <w:rsid w:val="00B55239"/>
    <w:rsid w:val="00B63B8F"/>
    <w:rsid w:val="00B64D41"/>
    <w:rsid w:val="00B72011"/>
    <w:rsid w:val="00B73B28"/>
    <w:rsid w:val="00B75ACB"/>
    <w:rsid w:val="00B75CB5"/>
    <w:rsid w:val="00B76C95"/>
    <w:rsid w:val="00B76CD3"/>
    <w:rsid w:val="00B8090D"/>
    <w:rsid w:val="00B83F32"/>
    <w:rsid w:val="00B92109"/>
    <w:rsid w:val="00B961BE"/>
    <w:rsid w:val="00BB0D5C"/>
    <w:rsid w:val="00BC745A"/>
    <w:rsid w:val="00BD563B"/>
    <w:rsid w:val="00BD6CA9"/>
    <w:rsid w:val="00BE1211"/>
    <w:rsid w:val="00BE48EB"/>
    <w:rsid w:val="00BE604F"/>
    <w:rsid w:val="00BF3BEF"/>
    <w:rsid w:val="00BF598F"/>
    <w:rsid w:val="00BF5D6E"/>
    <w:rsid w:val="00C010E6"/>
    <w:rsid w:val="00C0118A"/>
    <w:rsid w:val="00C0234B"/>
    <w:rsid w:val="00C06705"/>
    <w:rsid w:val="00C11C7A"/>
    <w:rsid w:val="00C11E24"/>
    <w:rsid w:val="00C17933"/>
    <w:rsid w:val="00C17B9C"/>
    <w:rsid w:val="00C218B6"/>
    <w:rsid w:val="00C24846"/>
    <w:rsid w:val="00C27D72"/>
    <w:rsid w:val="00C32227"/>
    <w:rsid w:val="00C33307"/>
    <w:rsid w:val="00C5596F"/>
    <w:rsid w:val="00C56A7C"/>
    <w:rsid w:val="00C634E7"/>
    <w:rsid w:val="00C63DEE"/>
    <w:rsid w:val="00C70D42"/>
    <w:rsid w:val="00C740DD"/>
    <w:rsid w:val="00C761C3"/>
    <w:rsid w:val="00C765C4"/>
    <w:rsid w:val="00C776B9"/>
    <w:rsid w:val="00C8048C"/>
    <w:rsid w:val="00C86925"/>
    <w:rsid w:val="00C87D22"/>
    <w:rsid w:val="00C919F1"/>
    <w:rsid w:val="00C92725"/>
    <w:rsid w:val="00CA0402"/>
    <w:rsid w:val="00CA164D"/>
    <w:rsid w:val="00CA3733"/>
    <w:rsid w:val="00CB56F2"/>
    <w:rsid w:val="00CB7944"/>
    <w:rsid w:val="00CC61A6"/>
    <w:rsid w:val="00CC7152"/>
    <w:rsid w:val="00CD2AF0"/>
    <w:rsid w:val="00CD2C1F"/>
    <w:rsid w:val="00CD38DD"/>
    <w:rsid w:val="00CE1146"/>
    <w:rsid w:val="00CE2077"/>
    <w:rsid w:val="00CE43E4"/>
    <w:rsid w:val="00CF2672"/>
    <w:rsid w:val="00D0372E"/>
    <w:rsid w:val="00D058B8"/>
    <w:rsid w:val="00D1397F"/>
    <w:rsid w:val="00D14DC6"/>
    <w:rsid w:val="00D15098"/>
    <w:rsid w:val="00D24709"/>
    <w:rsid w:val="00D36355"/>
    <w:rsid w:val="00D47960"/>
    <w:rsid w:val="00D548DC"/>
    <w:rsid w:val="00D54E70"/>
    <w:rsid w:val="00D560F9"/>
    <w:rsid w:val="00D57F98"/>
    <w:rsid w:val="00D667CF"/>
    <w:rsid w:val="00D67FBE"/>
    <w:rsid w:val="00D7059D"/>
    <w:rsid w:val="00D72387"/>
    <w:rsid w:val="00D728B2"/>
    <w:rsid w:val="00D830D8"/>
    <w:rsid w:val="00D842BB"/>
    <w:rsid w:val="00D84846"/>
    <w:rsid w:val="00D90CB4"/>
    <w:rsid w:val="00D92E5A"/>
    <w:rsid w:val="00D94CEC"/>
    <w:rsid w:val="00D94E5B"/>
    <w:rsid w:val="00DA7D8A"/>
    <w:rsid w:val="00DA7EC7"/>
    <w:rsid w:val="00DB1AD5"/>
    <w:rsid w:val="00DB5737"/>
    <w:rsid w:val="00DB5C9B"/>
    <w:rsid w:val="00DB6A65"/>
    <w:rsid w:val="00DC3A52"/>
    <w:rsid w:val="00DC7F24"/>
    <w:rsid w:val="00DD31F8"/>
    <w:rsid w:val="00DD3BEF"/>
    <w:rsid w:val="00DD7928"/>
    <w:rsid w:val="00DE10CB"/>
    <w:rsid w:val="00DE391A"/>
    <w:rsid w:val="00DF1FB0"/>
    <w:rsid w:val="00DF2193"/>
    <w:rsid w:val="00DF34FC"/>
    <w:rsid w:val="00DF4828"/>
    <w:rsid w:val="00DF48A2"/>
    <w:rsid w:val="00DF61DC"/>
    <w:rsid w:val="00DF7735"/>
    <w:rsid w:val="00E01B1E"/>
    <w:rsid w:val="00E10B4B"/>
    <w:rsid w:val="00E1149C"/>
    <w:rsid w:val="00E1250C"/>
    <w:rsid w:val="00E1278B"/>
    <w:rsid w:val="00E133E0"/>
    <w:rsid w:val="00E1406B"/>
    <w:rsid w:val="00E14806"/>
    <w:rsid w:val="00E150D3"/>
    <w:rsid w:val="00E15B54"/>
    <w:rsid w:val="00E2513B"/>
    <w:rsid w:val="00E26306"/>
    <w:rsid w:val="00E30FE0"/>
    <w:rsid w:val="00E320BE"/>
    <w:rsid w:val="00E32744"/>
    <w:rsid w:val="00E362BF"/>
    <w:rsid w:val="00E40795"/>
    <w:rsid w:val="00E411A1"/>
    <w:rsid w:val="00E43DD5"/>
    <w:rsid w:val="00E46D5B"/>
    <w:rsid w:val="00E51622"/>
    <w:rsid w:val="00E60146"/>
    <w:rsid w:val="00E650B1"/>
    <w:rsid w:val="00E65A2A"/>
    <w:rsid w:val="00E70199"/>
    <w:rsid w:val="00E70646"/>
    <w:rsid w:val="00E801C9"/>
    <w:rsid w:val="00E81748"/>
    <w:rsid w:val="00E85A96"/>
    <w:rsid w:val="00E8691F"/>
    <w:rsid w:val="00E87652"/>
    <w:rsid w:val="00E9068E"/>
    <w:rsid w:val="00E90AD9"/>
    <w:rsid w:val="00E92503"/>
    <w:rsid w:val="00E9380F"/>
    <w:rsid w:val="00E93C66"/>
    <w:rsid w:val="00EA39EE"/>
    <w:rsid w:val="00EB16CD"/>
    <w:rsid w:val="00EB3C78"/>
    <w:rsid w:val="00EC0CC8"/>
    <w:rsid w:val="00EC21B0"/>
    <w:rsid w:val="00EC65F3"/>
    <w:rsid w:val="00ED191A"/>
    <w:rsid w:val="00ED1CEE"/>
    <w:rsid w:val="00ED58D9"/>
    <w:rsid w:val="00EE0503"/>
    <w:rsid w:val="00EE1135"/>
    <w:rsid w:val="00EE28B1"/>
    <w:rsid w:val="00EE49C8"/>
    <w:rsid w:val="00EE689B"/>
    <w:rsid w:val="00EF342F"/>
    <w:rsid w:val="00EF46FF"/>
    <w:rsid w:val="00F02356"/>
    <w:rsid w:val="00F131EE"/>
    <w:rsid w:val="00F14AB5"/>
    <w:rsid w:val="00F17D46"/>
    <w:rsid w:val="00F263BB"/>
    <w:rsid w:val="00F33E5D"/>
    <w:rsid w:val="00F42B8B"/>
    <w:rsid w:val="00F430F8"/>
    <w:rsid w:val="00F466D4"/>
    <w:rsid w:val="00F5081B"/>
    <w:rsid w:val="00F51927"/>
    <w:rsid w:val="00F51A10"/>
    <w:rsid w:val="00F54A97"/>
    <w:rsid w:val="00F563DE"/>
    <w:rsid w:val="00F57EB9"/>
    <w:rsid w:val="00F60458"/>
    <w:rsid w:val="00F660CE"/>
    <w:rsid w:val="00F77060"/>
    <w:rsid w:val="00F7758D"/>
    <w:rsid w:val="00F82B68"/>
    <w:rsid w:val="00F846D9"/>
    <w:rsid w:val="00F858F9"/>
    <w:rsid w:val="00F924CA"/>
    <w:rsid w:val="00F93FC9"/>
    <w:rsid w:val="00F96CEF"/>
    <w:rsid w:val="00F975E9"/>
    <w:rsid w:val="00FA000F"/>
    <w:rsid w:val="00FA07F5"/>
    <w:rsid w:val="00FA7A31"/>
    <w:rsid w:val="00FB1227"/>
    <w:rsid w:val="00FB15C0"/>
    <w:rsid w:val="00FB34A9"/>
    <w:rsid w:val="00FC2C43"/>
    <w:rsid w:val="00FD1785"/>
    <w:rsid w:val="00FD3190"/>
    <w:rsid w:val="00FD6A3D"/>
    <w:rsid w:val="00FD73BE"/>
    <w:rsid w:val="00FE34F5"/>
    <w:rsid w:val="00FE4E4E"/>
    <w:rsid w:val="00FE50F9"/>
    <w:rsid w:val="00FF009D"/>
    <w:rsid w:val="00FF06CA"/>
    <w:rsid w:val="00FF222A"/>
    <w:rsid w:val="00FF7AFD"/>
    <w:rsid w:val="433A57EA"/>
    <w:rsid w:val="77391FB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998"/>
  <w15:docId w15:val="{1A81C790-702E-424C-9B49-51B5B1AB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3B28"/>
  </w:style>
  <w:style w:type="paragraph" w:styleId="Nadpis1">
    <w:name w:val="heading 1"/>
    <w:basedOn w:val="Normln"/>
    <w:next w:val="Normln"/>
    <w:link w:val="Nadpis1Char"/>
    <w:qFormat/>
    <w:rsid w:val="001B0EB7"/>
    <w:pPr>
      <w:keepNext/>
      <w:keepLines/>
      <w:suppressAutoHyphens/>
      <w:spacing w:before="360" w:after="80" w:line="280" w:lineRule="exact"/>
      <w:outlineLvl w:val="0"/>
    </w:pPr>
    <w:rPr>
      <w:rFonts w:asciiTheme="majorHAnsi" w:eastAsiaTheme="majorEastAsia" w:hAnsiTheme="majorHAnsi" w:cstheme="majorBidi"/>
      <w:color w:val="2E74B5" w:themeColor="accent1" w:themeShade="BF"/>
      <w:sz w:val="40"/>
      <w:szCs w:val="40"/>
      <w:lang w:eastAsia="ar-SA"/>
    </w:rPr>
  </w:style>
  <w:style w:type="paragraph" w:styleId="Nadpis2">
    <w:name w:val="heading 2"/>
    <w:basedOn w:val="Normln"/>
    <w:next w:val="Normln"/>
    <w:link w:val="Nadpis2Char"/>
    <w:unhideWhenUsed/>
    <w:qFormat/>
    <w:rsid w:val="001B0EB7"/>
    <w:pPr>
      <w:keepNext/>
      <w:keepLines/>
      <w:suppressAutoHyphens/>
      <w:spacing w:before="160" w:after="80" w:line="280" w:lineRule="exact"/>
      <w:outlineLvl w:val="1"/>
    </w:pPr>
    <w:rPr>
      <w:rFonts w:asciiTheme="majorHAnsi" w:eastAsiaTheme="majorEastAsia" w:hAnsiTheme="majorHAnsi" w:cstheme="majorBidi"/>
      <w:color w:val="2E74B5" w:themeColor="accent1" w:themeShade="BF"/>
      <w:sz w:val="32"/>
      <w:szCs w:val="3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D57F98"/>
    <w:pPr>
      <w:spacing w:after="0" w:line="240" w:lineRule="auto"/>
    </w:pPr>
    <w:rPr>
      <w:rFonts w:ascii="HelveticaNewE" w:eastAsia="Times New Roman" w:hAnsi="HelveticaNewE" w:cs="Times New Roman"/>
      <w:snapToGrid w:val="0"/>
      <w:color w:val="000000"/>
      <w:sz w:val="24"/>
      <w:szCs w:val="20"/>
      <w:lang w:eastAsia="cs-CZ"/>
    </w:rPr>
  </w:style>
  <w:style w:type="character" w:customStyle="1" w:styleId="ZkladntextChar">
    <w:name w:val="Základní text Char"/>
    <w:basedOn w:val="Standardnpsmoodstavce"/>
    <w:link w:val="Zkladntext"/>
    <w:semiHidden/>
    <w:rsid w:val="00D57F98"/>
    <w:rPr>
      <w:rFonts w:ascii="HelveticaNewE" w:eastAsia="Times New Roman" w:hAnsi="HelveticaNewE" w:cs="Times New Roman"/>
      <w:snapToGrid w:val="0"/>
      <w:color w:val="000000"/>
      <w:sz w:val="24"/>
      <w:szCs w:val="20"/>
      <w:lang w:eastAsia="cs-CZ"/>
    </w:rPr>
  </w:style>
  <w:style w:type="paragraph" w:styleId="Odstavecseseznamem">
    <w:name w:val="List Paragraph"/>
    <w:aliases w:val="Nad,Odstavec_muj,Název grafu,nad 1"/>
    <w:basedOn w:val="Normln"/>
    <w:link w:val="OdstavecseseznamemChar"/>
    <w:uiPriority w:val="34"/>
    <w:qFormat/>
    <w:rsid w:val="005A26D5"/>
    <w:pPr>
      <w:ind w:left="720"/>
      <w:contextualSpacing/>
    </w:pPr>
  </w:style>
  <w:style w:type="character" w:styleId="Odkaznakoment">
    <w:name w:val="annotation reference"/>
    <w:basedOn w:val="Standardnpsmoodstavce"/>
    <w:uiPriority w:val="99"/>
    <w:semiHidden/>
    <w:unhideWhenUsed/>
    <w:rsid w:val="00C56A7C"/>
    <w:rPr>
      <w:sz w:val="16"/>
      <w:szCs w:val="16"/>
    </w:rPr>
  </w:style>
  <w:style w:type="paragraph" w:styleId="Textkomente">
    <w:name w:val="annotation text"/>
    <w:basedOn w:val="Normln"/>
    <w:link w:val="TextkomenteChar"/>
    <w:uiPriority w:val="99"/>
    <w:unhideWhenUsed/>
    <w:rsid w:val="00C56A7C"/>
    <w:pPr>
      <w:spacing w:line="240" w:lineRule="auto"/>
    </w:pPr>
    <w:rPr>
      <w:sz w:val="20"/>
      <w:szCs w:val="20"/>
    </w:rPr>
  </w:style>
  <w:style w:type="character" w:customStyle="1" w:styleId="TextkomenteChar">
    <w:name w:val="Text komentáře Char"/>
    <w:basedOn w:val="Standardnpsmoodstavce"/>
    <w:link w:val="Textkomente"/>
    <w:uiPriority w:val="99"/>
    <w:rsid w:val="00C56A7C"/>
    <w:rPr>
      <w:sz w:val="20"/>
      <w:szCs w:val="20"/>
    </w:rPr>
  </w:style>
  <w:style w:type="paragraph" w:styleId="Pedmtkomente">
    <w:name w:val="annotation subject"/>
    <w:basedOn w:val="Textkomente"/>
    <w:next w:val="Textkomente"/>
    <w:link w:val="PedmtkomenteChar"/>
    <w:uiPriority w:val="99"/>
    <w:semiHidden/>
    <w:unhideWhenUsed/>
    <w:rsid w:val="00C56A7C"/>
    <w:rPr>
      <w:b/>
      <w:bCs/>
    </w:rPr>
  </w:style>
  <w:style w:type="character" w:customStyle="1" w:styleId="PedmtkomenteChar">
    <w:name w:val="Předmět komentáře Char"/>
    <w:basedOn w:val="TextkomenteChar"/>
    <w:link w:val="Pedmtkomente"/>
    <w:uiPriority w:val="99"/>
    <w:semiHidden/>
    <w:rsid w:val="00C56A7C"/>
    <w:rPr>
      <w:b/>
      <w:bCs/>
      <w:sz w:val="20"/>
      <w:szCs w:val="20"/>
    </w:rPr>
  </w:style>
  <w:style w:type="paragraph" w:styleId="Textbubliny">
    <w:name w:val="Balloon Text"/>
    <w:basedOn w:val="Normln"/>
    <w:link w:val="TextbublinyChar"/>
    <w:uiPriority w:val="99"/>
    <w:semiHidden/>
    <w:unhideWhenUsed/>
    <w:rsid w:val="00C56A7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6A7C"/>
    <w:rPr>
      <w:rFonts w:ascii="Segoe UI" w:hAnsi="Segoe UI" w:cs="Segoe UI"/>
      <w:sz w:val="18"/>
      <w:szCs w:val="18"/>
    </w:rPr>
  </w:style>
  <w:style w:type="character" w:customStyle="1" w:styleId="Nadpis1-BSChar">
    <w:name w:val="Nadpis 1 - BS Char"/>
    <w:link w:val="Nadpis1-BS"/>
    <w:locked/>
    <w:rsid w:val="001B6A6D"/>
    <w:rPr>
      <w:rFonts w:ascii="Calibri" w:hAnsi="Calibri" w:cs="Calibri"/>
      <w:b/>
    </w:rPr>
  </w:style>
  <w:style w:type="paragraph" w:customStyle="1" w:styleId="Nadpis2-BS">
    <w:name w:val="Nadpis 2 - BS"/>
    <w:basedOn w:val="Nadpis1-BS"/>
    <w:link w:val="Nadpis2-BSChar"/>
    <w:qFormat/>
    <w:rsid w:val="001B6A6D"/>
    <w:pPr>
      <w:numPr>
        <w:ilvl w:val="1"/>
      </w:numPr>
      <w:jc w:val="both"/>
    </w:pPr>
    <w:rPr>
      <w:b w:val="0"/>
    </w:rPr>
  </w:style>
  <w:style w:type="paragraph" w:customStyle="1" w:styleId="Nadpis1-BS">
    <w:name w:val="Nadpis 1 - BS"/>
    <w:next w:val="Nadpis2-BS"/>
    <w:link w:val="Nadpis1-BSChar"/>
    <w:qFormat/>
    <w:rsid w:val="001B6A6D"/>
    <w:pPr>
      <w:numPr>
        <w:numId w:val="3"/>
      </w:numPr>
      <w:spacing w:before="240" w:after="60" w:line="240" w:lineRule="auto"/>
    </w:pPr>
    <w:rPr>
      <w:rFonts w:ascii="Calibri" w:hAnsi="Calibri" w:cs="Calibri"/>
      <w:b/>
    </w:rPr>
  </w:style>
  <w:style w:type="character" w:customStyle="1" w:styleId="Nadpis2-BSChar">
    <w:name w:val="Nadpis 2 - BS Char"/>
    <w:link w:val="Nadpis2-BS"/>
    <w:locked/>
    <w:rsid w:val="001B6A6D"/>
    <w:rPr>
      <w:rFonts w:ascii="Calibri" w:hAnsi="Calibri" w:cs="Calibri"/>
    </w:rPr>
  </w:style>
  <w:style w:type="paragraph" w:customStyle="1" w:styleId="Nadpis4-BS">
    <w:name w:val="Nadpis 4 - BS"/>
    <w:basedOn w:val="Nadpis2-BS"/>
    <w:qFormat/>
    <w:rsid w:val="001B6A6D"/>
    <w:pPr>
      <w:numPr>
        <w:ilvl w:val="3"/>
      </w:numPr>
      <w:tabs>
        <w:tab w:val="clear" w:pos="1134"/>
        <w:tab w:val="num" w:pos="360"/>
        <w:tab w:val="left" w:pos="1843"/>
      </w:tabs>
      <w:ind w:left="2520" w:hanging="360"/>
    </w:pPr>
  </w:style>
  <w:style w:type="paragraph" w:customStyle="1" w:styleId="Nadpis5-BS">
    <w:name w:val="Nadpis 5 - BS"/>
    <w:basedOn w:val="Nadpis4-BS"/>
    <w:qFormat/>
    <w:rsid w:val="001B6A6D"/>
    <w:pPr>
      <w:numPr>
        <w:ilvl w:val="4"/>
      </w:numPr>
      <w:tabs>
        <w:tab w:val="clear" w:pos="1134"/>
        <w:tab w:val="num" w:pos="360"/>
      </w:tabs>
      <w:ind w:left="3240" w:hanging="360"/>
    </w:pPr>
  </w:style>
  <w:style w:type="paragraph" w:customStyle="1" w:styleId="Nadpis3-BS">
    <w:name w:val="Nadpis 3 -BS"/>
    <w:basedOn w:val="Nadpis2-BS"/>
    <w:qFormat/>
    <w:rsid w:val="001B6A6D"/>
    <w:pPr>
      <w:numPr>
        <w:ilvl w:val="2"/>
      </w:numPr>
      <w:tabs>
        <w:tab w:val="clear" w:pos="567"/>
        <w:tab w:val="num" w:pos="360"/>
      </w:tabs>
      <w:ind w:left="1800" w:hanging="180"/>
    </w:pPr>
  </w:style>
  <w:style w:type="table" w:styleId="Mkatabulky">
    <w:name w:val="Table Grid"/>
    <w:basedOn w:val="Normlntabulka"/>
    <w:uiPriority w:val="59"/>
    <w:rsid w:val="001B6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753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53E4"/>
  </w:style>
  <w:style w:type="paragraph" w:styleId="Zpat">
    <w:name w:val="footer"/>
    <w:basedOn w:val="Normln"/>
    <w:link w:val="ZpatChar"/>
    <w:unhideWhenUsed/>
    <w:rsid w:val="00A753E4"/>
    <w:pPr>
      <w:tabs>
        <w:tab w:val="center" w:pos="4536"/>
        <w:tab w:val="right" w:pos="9072"/>
      </w:tabs>
      <w:spacing w:after="0" w:line="240" w:lineRule="auto"/>
    </w:pPr>
  </w:style>
  <w:style w:type="character" w:customStyle="1" w:styleId="ZpatChar">
    <w:name w:val="Zápatí Char"/>
    <w:basedOn w:val="Standardnpsmoodstavce"/>
    <w:link w:val="Zpat"/>
    <w:rsid w:val="00A753E4"/>
  </w:style>
  <w:style w:type="character" w:styleId="slostrnky">
    <w:name w:val="page number"/>
    <w:basedOn w:val="Standardnpsmoodstavce"/>
    <w:uiPriority w:val="99"/>
    <w:rsid w:val="00A753E4"/>
  </w:style>
  <w:style w:type="paragraph" w:styleId="Revize">
    <w:name w:val="Revision"/>
    <w:hidden/>
    <w:uiPriority w:val="99"/>
    <w:semiHidden/>
    <w:rsid w:val="00792DAE"/>
    <w:pPr>
      <w:spacing w:after="0" w:line="240" w:lineRule="auto"/>
    </w:pPr>
  </w:style>
  <w:style w:type="character" w:customStyle="1" w:styleId="Nadpis1Char">
    <w:name w:val="Nadpis 1 Char"/>
    <w:basedOn w:val="Standardnpsmoodstavce"/>
    <w:link w:val="Nadpis1"/>
    <w:rsid w:val="001B0EB7"/>
    <w:rPr>
      <w:rFonts w:asciiTheme="majorHAnsi" w:eastAsiaTheme="majorEastAsia" w:hAnsiTheme="majorHAnsi" w:cstheme="majorBidi"/>
      <w:color w:val="2E74B5" w:themeColor="accent1" w:themeShade="BF"/>
      <w:sz w:val="40"/>
      <w:szCs w:val="40"/>
      <w:lang w:eastAsia="ar-SA"/>
    </w:rPr>
  </w:style>
  <w:style w:type="character" w:customStyle="1" w:styleId="Nadpis2Char">
    <w:name w:val="Nadpis 2 Char"/>
    <w:basedOn w:val="Standardnpsmoodstavce"/>
    <w:link w:val="Nadpis2"/>
    <w:rsid w:val="001B0EB7"/>
    <w:rPr>
      <w:rFonts w:asciiTheme="majorHAnsi" w:eastAsiaTheme="majorEastAsia" w:hAnsiTheme="majorHAnsi" w:cstheme="majorBidi"/>
      <w:color w:val="2E74B5" w:themeColor="accent1" w:themeShade="BF"/>
      <w:sz w:val="32"/>
      <w:szCs w:val="32"/>
      <w:lang w:eastAsia="ar-SA"/>
    </w:rPr>
  </w:style>
  <w:style w:type="character" w:customStyle="1" w:styleId="OdstavecseseznamemChar">
    <w:name w:val="Odstavec se seznamem Char"/>
    <w:aliases w:val="Nad Char,Odstavec_muj Char,Název grafu Char,nad 1 Char"/>
    <w:basedOn w:val="Standardnpsmoodstavce"/>
    <w:link w:val="Odstavecseseznamem"/>
    <w:uiPriority w:val="34"/>
    <w:locked/>
    <w:rsid w:val="001B0EB7"/>
  </w:style>
  <w:style w:type="paragraph" w:styleId="Nzev">
    <w:name w:val="Title"/>
    <w:basedOn w:val="Normln"/>
    <w:next w:val="Normln"/>
    <w:link w:val="NzevChar"/>
    <w:uiPriority w:val="10"/>
    <w:qFormat/>
    <w:rsid w:val="001B0EB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NzevChar">
    <w:name w:val="Název Char"/>
    <w:basedOn w:val="Standardnpsmoodstavce"/>
    <w:link w:val="Nzev"/>
    <w:uiPriority w:val="10"/>
    <w:rsid w:val="001B0EB7"/>
    <w:rPr>
      <w:rFonts w:asciiTheme="majorHAnsi" w:eastAsiaTheme="majorEastAsia" w:hAnsiTheme="majorHAnsi" w:cstheme="majorBidi"/>
      <w:color w:val="323E4F" w:themeColor="text2" w:themeShade="BF"/>
      <w:spacing w:val="5"/>
      <w:kern w:val="28"/>
      <w:sz w:val="52"/>
      <w:szCs w:val="52"/>
      <w:lang w:val="en-US"/>
    </w:rPr>
  </w:style>
  <w:style w:type="paragraph" w:styleId="Seznamsodrkami3">
    <w:name w:val="List Bullet 3"/>
    <w:basedOn w:val="Normln"/>
    <w:uiPriority w:val="99"/>
    <w:unhideWhenUsed/>
    <w:rsid w:val="001B0EB7"/>
    <w:pPr>
      <w:numPr>
        <w:numId w:val="32"/>
      </w:numPr>
      <w:tabs>
        <w:tab w:val="clear" w:pos="1080"/>
      </w:tabs>
      <w:spacing w:after="200" w:line="276" w:lineRule="auto"/>
      <w:ind w:left="0" w:firstLine="0"/>
      <w:contextualSpacing/>
    </w:pPr>
    <w:rPr>
      <w:rFonts w:eastAsiaTheme="minorEastAsia"/>
      <w:lang w:val="en-US"/>
    </w:rPr>
  </w:style>
  <w:style w:type="paragraph" w:styleId="Bezmezer">
    <w:name w:val="No Spacing"/>
    <w:uiPriority w:val="1"/>
    <w:qFormat/>
    <w:rsid w:val="008A2374"/>
    <w:pPr>
      <w:spacing w:after="0" w:line="240" w:lineRule="auto"/>
    </w:pPr>
  </w:style>
  <w:style w:type="character" w:styleId="Hypertextovodkaz">
    <w:name w:val="Hyperlink"/>
    <w:basedOn w:val="Standardnpsmoodstavce"/>
    <w:uiPriority w:val="99"/>
    <w:unhideWhenUsed/>
    <w:rsid w:val="00A77F8F"/>
    <w:rPr>
      <w:color w:val="0563C1" w:themeColor="hyperlink"/>
      <w:u w:val="single"/>
    </w:rPr>
  </w:style>
  <w:style w:type="character" w:styleId="Nevyeenzmnka">
    <w:name w:val="Unresolved Mention"/>
    <w:basedOn w:val="Standardnpsmoodstavce"/>
    <w:uiPriority w:val="99"/>
    <w:semiHidden/>
    <w:unhideWhenUsed/>
    <w:rsid w:val="00A77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036738">
      <w:bodyDiv w:val="1"/>
      <w:marLeft w:val="0"/>
      <w:marRight w:val="0"/>
      <w:marTop w:val="0"/>
      <w:marBottom w:val="0"/>
      <w:divBdr>
        <w:top w:val="none" w:sz="0" w:space="0" w:color="auto"/>
        <w:left w:val="none" w:sz="0" w:space="0" w:color="auto"/>
        <w:bottom w:val="none" w:sz="0" w:space="0" w:color="auto"/>
        <w:right w:val="none" w:sz="0" w:space="0" w:color="auto"/>
      </w:divBdr>
    </w:div>
    <w:div w:id="1108307092">
      <w:bodyDiv w:val="1"/>
      <w:marLeft w:val="0"/>
      <w:marRight w:val="0"/>
      <w:marTop w:val="0"/>
      <w:marBottom w:val="0"/>
      <w:divBdr>
        <w:top w:val="none" w:sz="0" w:space="0" w:color="auto"/>
        <w:left w:val="none" w:sz="0" w:space="0" w:color="auto"/>
        <w:bottom w:val="none" w:sz="0" w:space="0" w:color="auto"/>
        <w:right w:val="none" w:sz="0" w:space="0" w:color="auto"/>
      </w:divBdr>
    </w:div>
    <w:div w:id="1580405055">
      <w:bodyDiv w:val="1"/>
      <w:marLeft w:val="0"/>
      <w:marRight w:val="0"/>
      <w:marTop w:val="0"/>
      <w:marBottom w:val="0"/>
      <w:divBdr>
        <w:top w:val="none" w:sz="0" w:space="0" w:color="auto"/>
        <w:left w:val="none" w:sz="0" w:space="0" w:color="auto"/>
        <w:bottom w:val="none" w:sz="0" w:space="0" w:color="auto"/>
        <w:right w:val="none" w:sz="0" w:space="0" w:color="auto"/>
      </w:divBdr>
    </w:div>
    <w:div w:id="1734617707">
      <w:bodyDiv w:val="1"/>
      <w:marLeft w:val="0"/>
      <w:marRight w:val="0"/>
      <w:marTop w:val="0"/>
      <w:marBottom w:val="0"/>
      <w:divBdr>
        <w:top w:val="none" w:sz="0" w:space="0" w:color="auto"/>
        <w:left w:val="none" w:sz="0" w:space="0" w:color="auto"/>
        <w:bottom w:val="none" w:sz="0" w:space="0" w:color="auto"/>
        <w:right w:val="none" w:sz="0" w:space="0" w:color="auto"/>
      </w:divBdr>
    </w:div>
    <w:div w:id="1981109948">
      <w:bodyDiv w:val="1"/>
      <w:marLeft w:val="0"/>
      <w:marRight w:val="0"/>
      <w:marTop w:val="0"/>
      <w:marBottom w:val="0"/>
      <w:divBdr>
        <w:top w:val="none" w:sz="0" w:space="0" w:color="auto"/>
        <w:left w:val="none" w:sz="0" w:space="0" w:color="auto"/>
        <w:bottom w:val="none" w:sz="0" w:space="0" w:color="auto"/>
        <w:right w:val="none" w:sz="0" w:space="0" w:color="auto"/>
      </w:divBdr>
    </w:div>
    <w:div w:id="20389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2bf68d-6f68-4e32-bbd9-660cee6f1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8" ma:contentTypeDescription="Create a new document." ma:contentTypeScope="" ma:versionID="962be3098e518a5e067f3880634feff7">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74f0363791126497b01300c32f256b82"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6ADB2-A3B3-4C46-BE69-628EE8CCFA3D}">
  <ds:schemaRefs>
    <ds:schemaRef ds:uri="http://schemas.microsoft.com/office/2006/metadata/properties"/>
    <ds:schemaRef ds:uri="http://schemas.microsoft.com/office/infopath/2007/PartnerControls"/>
    <ds:schemaRef ds:uri="332bf68d-6f68-4e32-bbd9-660cee6f1f29"/>
  </ds:schemaRefs>
</ds:datastoreItem>
</file>

<file path=customXml/itemProps2.xml><?xml version="1.0" encoding="utf-8"?>
<ds:datastoreItem xmlns:ds="http://schemas.openxmlformats.org/officeDocument/2006/customXml" ds:itemID="{D3B33E4C-435E-4A34-9BDA-58597C44BD0A}">
  <ds:schemaRefs>
    <ds:schemaRef ds:uri="http://schemas.microsoft.com/sharepoint/v3/contenttype/forms"/>
  </ds:schemaRefs>
</ds:datastoreItem>
</file>

<file path=customXml/itemProps3.xml><?xml version="1.0" encoding="utf-8"?>
<ds:datastoreItem xmlns:ds="http://schemas.openxmlformats.org/officeDocument/2006/customXml" ds:itemID="{62C1C478-B543-4F8A-9B5D-96FB7633D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9AFF2-5595-4D14-B29C-23A2A45D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7683</Words>
  <Characters>45331</Characters>
  <Application>Microsoft Office Word</Application>
  <DocSecurity>0</DocSecurity>
  <Lines>377</Lines>
  <Paragraphs>105</Paragraphs>
  <ScaleCrop>false</ScaleCrop>
  <Company>MMO</Company>
  <LinksUpToDate>false</LinksUpToDate>
  <CharactersWithSpaces>52909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Mazurová Veronika</cp:lastModifiedBy>
  <cp:revision>6</cp:revision>
  <cp:lastPrinted>2025-11-19T11:08:00Z</cp:lastPrinted>
  <dcterms:created xsi:type="dcterms:W3CDTF">2025-11-19T09:01:00Z</dcterms:created>
  <dcterms:modified xsi:type="dcterms:W3CDTF">2025-11-19T11:09:00Z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ediaServiceImageTags">
    <vt:lpwstr/>
  </property>
  <property fmtid="{D5CDD505-2E9C-101B-9397-08002B2CF9AE}" pid="4" name="ClassificationContentMarkingFooterShapeIds">
    <vt:lpwstr>4d3612d7,142c6bee,73d02742,5571ff76,2a1dc3ea,511e9bf5,1ed92d9f,6cc119e7,5112bda8</vt:lpwstr>
  </property>
  <property fmtid="{D5CDD505-2E9C-101B-9397-08002B2CF9AE}" pid="5" name="ClassificationContentMarkingFooterFontProps">
    <vt:lpwstr>#000000,9,Calibri</vt:lpwstr>
  </property>
  <property fmtid="{D5CDD505-2E9C-101B-9397-08002B2CF9AE}" pid="6" name="ClassificationContentMarkingFooterText">
    <vt:lpwstr>Klasifikace informací: Neveřejné</vt:lpwstr>
  </property>
  <property fmtid="{D5CDD505-2E9C-101B-9397-08002B2CF9AE}" pid="7" name="MSIP_Label_215ad6d0-798b-44f9-b3fd-112ad6275fb4_Enabled">
    <vt:lpwstr>true</vt:lpwstr>
  </property>
  <property fmtid="{D5CDD505-2E9C-101B-9397-08002B2CF9AE}" pid="8" name="MSIP_Label_215ad6d0-798b-44f9-b3fd-112ad6275fb4_SetDate">
    <vt:lpwstr>2025-11-13T11:45:30Z</vt:lpwstr>
  </property>
  <property fmtid="{D5CDD505-2E9C-101B-9397-08002B2CF9AE}" pid="9" name="MSIP_Label_215ad6d0-798b-44f9-b3fd-112ad6275fb4_Method">
    <vt:lpwstr>Standard</vt:lpwstr>
  </property>
  <property fmtid="{D5CDD505-2E9C-101B-9397-08002B2CF9AE}" pid="10" name="MSIP_Label_215ad6d0-798b-44f9-b3fd-112ad6275fb4_Name">
    <vt:lpwstr>Neveřejná informace (popis)</vt:lpwstr>
  </property>
  <property fmtid="{D5CDD505-2E9C-101B-9397-08002B2CF9AE}" pid="11" name="MSIP_Label_215ad6d0-798b-44f9-b3fd-112ad6275fb4_SiteId">
    <vt:lpwstr>39f24d0b-aa30-4551-8e81-43c77cf1000e</vt:lpwstr>
  </property>
  <property fmtid="{D5CDD505-2E9C-101B-9397-08002B2CF9AE}" pid="12" name="MSIP_Label_215ad6d0-798b-44f9-b3fd-112ad6275fb4_ActionId">
    <vt:lpwstr>14e52b88-6265-46db-b9a8-7c7030e57802</vt:lpwstr>
  </property>
  <property fmtid="{D5CDD505-2E9C-101B-9397-08002B2CF9AE}" pid="13" name="MSIP_Label_215ad6d0-798b-44f9-b3fd-112ad6275fb4_ContentBits">
    <vt:lpwstr>2</vt:lpwstr>
  </property>
  <property fmtid="{D5CDD505-2E9C-101B-9397-08002B2CF9AE}" pid="14" name="MSIP_Label_215ad6d0-798b-44f9-b3fd-112ad6275fb4_Tag">
    <vt:lpwstr>10, 3, 0, 1</vt:lpwstr>
  </property>
  <property fmtid="{D5CDD505-2E9C-101B-9397-08002B2CF9AE}" pid="15" name="Podruhe">
    <vt:bool>false</vt:bool>
  </property>
</Properties>
</file>