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Ing. Josefem </w:t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Bělicou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UniCredit</w:t>
      </w:r>
      <w:proofErr w:type="spellEnd"/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2F53858E" w:rsidR="007614F3" w:rsidRPr="00F52920" w:rsidRDefault="00F41DC6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41DC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SH </w:t>
      </w:r>
      <w:proofErr w:type="gramStart"/>
      <w:r w:rsidRPr="00F41DC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ČMS - Krajské</w:t>
      </w:r>
      <w:proofErr w:type="gramEnd"/>
      <w:r w:rsidRPr="00F41DC6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sdružení hasičů Moravskoslezského kraje</w:t>
      </w:r>
    </w:p>
    <w:p w14:paraId="2FDD503A" w14:textId="3E081D66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Výškovická </w:t>
      </w:r>
      <w:r w:rsidR="00450F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2995/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40, 700 30 Ostrava-Zábřeh</w:t>
      </w:r>
    </w:p>
    <w:p w14:paraId="585BA087" w14:textId="6FBCB0D8" w:rsidR="007614F3" w:rsidRPr="00F52920" w:rsidRDefault="007614F3" w:rsidP="00466B1A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</w:t>
      </w:r>
      <w:r w:rsidR="006B166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é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466B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Stanislavem </w:t>
      </w:r>
      <w:proofErr w:type="spellStart"/>
      <w:r w:rsidR="00466B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Kotrcem</w:t>
      </w:r>
      <w:proofErr w:type="spellEnd"/>
      <w:r w:rsidR="00466B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starostou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E2A449E" w14:textId="24328D4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200F28" w:rsidRPr="00200F2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71173846</w:t>
      </w:r>
    </w:p>
    <w:p w14:paraId="4697389D" w14:textId="04A91D79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200F28" w:rsidRPr="00200F2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71173846</w:t>
      </w:r>
    </w:p>
    <w:p w14:paraId="3263C95C" w14:textId="7F9EB3B2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9107F8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Česká </w:t>
      </w:r>
      <w:r w:rsidR="00487FE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spořitelna, a.s.</w:t>
      </w:r>
    </w:p>
    <w:p w14:paraId="39309E99" w14:textId="5A60F8C0" w:rsid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BB146A" w:rsidRPr="00BB14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1653840319</w:t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/0</w:t>
      </w:r>
      <w:r w:rsidR="00BB146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800</w:t>
      </w:r>
    </w:p>
    <w:p w14:paraId="6D690DCF" w14:textId="5EC7F06B" w:rsidR="00D04121" w:rsidRPr="00E66BE5" w:rsidRDefault="00D04121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Zapsán ve spolkovém rejstříku vedeným Městským soudem v Praze, </w:t>
      </w:r>
      <w:proofErr w:type="spellStart"/>
      <w:r w:rsidR="001A56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sp</w:t>
      </w:r>
      <w:proofErr w:type="spellEnd"/>
      <w:r w:rsidR="001A56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 zn. L 37545 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77777777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25B31AA1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D944A3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2</w:t>
      </w:r>
      <w:r w:rsidR="00D944A3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E821F9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E821F9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E821F9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E821F9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4CF545D6" w14:textId="77777777" w:rsidR="00D0282E" w:rsidRDefault="00D0282E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C4D44EB" w14:textId="1B5CAA12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3C1340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3C13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3C13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4DDD67FC" w14:textId="1C8AF2C0" w:rsidR="007614F3" w:rsidRPr="0009247F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</w:t>
      </w:r>
      <w:r w:rsidR="003D2B98"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</w:t>
      </w: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investiční dotaci ve výši </w:t>
      </w:r>
      <w:r w:rsidR="005B1E07"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3</w:t>
      </w:r>
      <w:r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="005B1E07"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</w:t>
      </w:r>
      <w:r w:rsidR="00CB2B18"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00</w:t>
      </w:r>
      <w:r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.000 Kč</w:t>
      </w: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FE7C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5B1E07"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tři miliony </w:t>
      </w:r>
      <w:r w:rsidR="002C1F8D"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korun českých</w:t>
      </w: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 účelově určenou k úhradě uznatelných nákladů projektu </w:t>
      </w:r>
      <w:r w:rsidRPr="003C13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„</w:t>
      </w:r>
      <w:r w:rsidR="003C1340"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Podpora činnosti Krajského sdružení hasičů Moravskoslezského kraje v roce 2026</w:t>
      </w:r>
      <w:r w:rsidRPr="003C1340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“ </w:t>
      </w: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„projekt“) vymezených v čl. VI této smlouvy.</w:t>
      </w:r>
    </w:p>
    <w:p w14:paraId="588C15B7" w14:textId="033CDDB2" w:rsidR="00BC0F48" w:rsidRDefault="00495497" w:rsidP="00902BDA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Podpořenými činnostmi</w:t>
      </w:r>
      <w:r w:rsidR="00444B8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</w:t>
      </w:r>
      <w:r w:rsidR="00D24F7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sou</w:t>
      </w:r>
      <w:r w:rsidR="00444B8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činnost</w:t>
      </w:r>
      <w:r w:rsidR="00DF1A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SH </w:t>
      </w:r>
      <w:proofErr w:type="gramStart"/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ČMS</w:t>
      </w:r>
      <w:r w:rsidR="00DF1A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</w:t>
      </w:r>
      <w:r w:rsidR="00DF1A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Krajského</w:t>
      </w:r>
      <w:proofErr w:type="gramEnd"/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sdružení hasičů Moravskoslezského kraje (dále jen "KSH MSK")</w:t>
      </w:r>
      <w:r w:rsidR="00B0431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, 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zabezpečení provozních nákladů a financování akcí pořádaných, nebo spolupořádaných KSH MSK</w:t>
      </w:r>
      <w:r w:rsidR="006A7E7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v souladu se zákonem č. 133/1985 sb. o požární ochraně, ve znění pozdějších předpisů a v souladu se stanovami hlavního </w:t>
      </w:r>
      <w:proofErr w:type="gramStart"/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spolku - Sdružení</w:t>
      </w:r>
      <w:proofErr w:type="gramEnd"/>
      <w:r w:rsidR="00BC0F48" w:rsidRPr="00BC0F4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hasičů Čech, Moravy a Slezska při naplňování cílů a základních podmínek činnosti spolku.</w:t>
      </w:r>
    </w:p>
    <w:p w14:paraId="670BBB4E" w14:textId="1DCE93E8" w:rsidR="00241F70" w:rsidRDefault="00D36A8A" w:rsidP="002E1B55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Dotace bude využita zejména </w:t>
      </w:r>
      <w:r w:rsidR="003F797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pro oblast</w:t>
      </w:r>
      <w:r w:rsidR="00241F7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</w:p>
    <w:p w14:paraId="6842F6B0" w14:textId="01252801" w:rsidR="002E1B55" w:rsidRPr="00124632" w:rsidRDefault="002E1B55" w:rsidP="00124632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provozních nákladů a činnosti orgánů KSH MSK (autoprovoz, nákup služeb, pořízení DDHM, spotřební materiál, cestovné, stravné, ubytování, propagační materiál, </w:t>
      </w:r>
      <w:r w:rsidRPr="0012463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 další),</w:t>
      </w:r>
    </w:p>
    <w:p w14:paraId="624F5F98" w14:textId="455961F3" w:rsidR="002E1B55" w:rsidRPr="00124632" w:rsidRDefault="002E1B55" w:rsidP="00124632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pořádání a spolupořádání soutěži v požárním sportu, soutěží dle mezinárodních pravidel (CTIF), soutěží TFA (nejtvrdší hasič přežije), vyprošťování u dopravních </w:t>
      </w:r>
      <w:r w:rsidRPr="0012463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nehod, soutěží ve vodním záchranářství, dále k podpoře dalších forem udržování fyzické kondice členů a další sportovní aktivity, pořádání sportovních soustřední mládeže a organizování a spoluorganizování soutěží mladých hasičů a dorostu,</w:t>
      </w:r>
    </w:p>
    <w:p w14:paraId="6BD6BF8F" w14:textId="2721081E" w:rsidR="002E1B55" w:rsidRPr="003F797F" w:rsidRDefault="002E1B55" w:rsidP="003F797F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akce pro veřejnost formou pořádání cvičení, prezentací, výstavami, ukázkami současné a historické techniky, výstroje, výzbroje, akce pro neorganizovanou </w:t>
      </w:r>
      <w:r w:rsidRPr="003F797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mládež, náborové akce, výroční setkávání a podpora hasičských tradic, obnova a údržba historické hasičské techniky, obnova stejnokrojů, pořízení ocenění členů,</w:t>
      </w:r>
    </w:p>
    <w:p w14:paraId="46E7209D" w14:textId="3D666BDB" w:rsidR="002E1B55" w:rsidRPr="004E07CC" w:rsidRDefault="002E1B55" w:rsidP="004E07CC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systémová činnost se zasloužilými hasiči a hasiči seniory, preventivně výchovná činnost pro mládež na úseku požární ochrany a ochrany obyvatelstva, </w:t>
      </w:r>
      <w:r w:rsidRPr="004E07C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organizování volnočasových aktivit pro mládež, podpora táborových aktivit mládeže,</w:t>
      </w:r>
    </w:p>
    <w:p w14:paraId="2145045B" w14:textId="2E82A16B" w:rsidR="002E1B55" w:rsidRPr="00505AF9" w:rsidRDefault="002E1B55" w:rsidP="00505AF9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vzdělávací akce, porady, kurzy, semináře, spolupráce se státními a zájmovými organizacemi při vzdělávání mládeže a dospělých v oblasti ochrany obyvatelstva a </w:t>
      </w:r>
      <w:r w:rsidRPr="00505AF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připravenosti na mimořádné situace, zapojení do mezinárodních projektů a akcí, mezinárodní spolupráce na základě uzavřených dohod o vzájemné spolupráci,</w:t>
      </w:r>
    </w:p>
    <w:p w14:paraId="456AE016" w14:textId="7DE8F6EF" w:rsidR="00241F70" w:rsidRPr="00BE2777" w:rsidRDefault="002E1B55" w:rsidP="00BE2777">
      <w:pPr>
        <w:numPr>
          <w:ilvl w:val="0"/>
          <w:numId w:val="15"/>
        </w:num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mzdové náklady, včetně zákonných odvodů, ostatní osobní náklady (DPP a DPČ, včetně zákonných odvodů) k zabezpečení činnosti KSH MSK a k</w:t>
      </w:r>
      <w:r w:rsidR="00BE277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2E1B5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zabezpečení</w:t>
      </w:r>
      <w:r w:rsidR="00BE277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BE277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vybraných akcí, včetně činnosti okresních sdružení hasičů MSK.</w:t>
      </w:r>
    </w:p>
    <w:p w14:paraId="41EB1580" w14:textId="77777777" w:rsidR="007614F3" w:rsidRPr="003C1340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C13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EF320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3C13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3C134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EF320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5D53E9AA" w14:textId="77777777" w:rsidR="004601F5" w:rsidRPr="00EF3208" w:rsidRDefault="00511D7C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se zavazuje poskytnout příjemci dotaci na projekt převodem na účet příjemce uvedený v čl. I této smlouvy</w:t>
      </w:r>
      <w:r w:rsidR="00CF1A4A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ve dvou splátkách</w:t>
      </w:r>
      <w:r w:rsidR="004601F5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takto:</w:t>
      </w:r>
    </w:p>
    <w:p w14:paraId="24F50A97" w14:textId="17538B86" w:rsidR="006C7B64" w:rsidRPr="00EF3208" w:rsidRDefault="009E6FE1" w:rsidP="002948D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70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</w:t>
      </w:r>
      <w:r w:rsidR="006C7B64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rvní část dotace ve výši</w:t>
      </w:r>
      <w:r w:rsidR="001D02C3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663B80" w:rsidRPr="00EF320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1.500.000 Kč</w:t>
      </w:r>
      <w:r w:rsidR="007918F2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FE7CF2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 jeden milion pět set tisíc korun českých)</w:t>
      </w:r>
      <w:r w:rsidR="007918F2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8F59A6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bude poskytnuta do 21 pracovních dnů </w:t>
      </w:r>
      <w:r w:rsidR="00CC7D37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od nabytí účinnosti této smlouvy,</w:t>
      </w:r>
    </w:p>
    <w:p w14:paraId="71922E9B" w14:textId="25377EAD" w:rsidR="005106B5" w:rsidRPr="00EF3208" w:rsidRDefault="009E6FE1" w:rsidP="002948D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70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</w:t>
      </w:r>
      <w:r w:rsidR="006C7B64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ruhá část dotace ve výši </w:t>
      </w:r>
      <w:r w:rsidR="00FC26F9" w:rsidRPr="00EF320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1.500.000 Kč</w:t>
      </w:r>
      <w:r w:rsidR="00FC26F9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(slovy: jeden milion pět set tisíc korun českých) </w:t>
      </w:r>
      <w:r w:rsidR="00EF3208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bude poskytnuta </w:t>
      </w:r>
      <w:r w:rsidR="008503B9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nejpozději do 30. 9. 2026</w:t>
      </w:r>
      <w:r w:rsidR="00511D7C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, </w:t>
      </w:r>
    </w:p>
    <w:p w14:paraId="2F8E9C79" w14:textId="016A9992" w:rsidR="007614F3" w:rsidRPr="00EF3208" w:rsidRDefault="00DE50D7" w:rsidP="002948D4">
      <w:pPr>
        <w:spacing w:before="120" w:after="0" w:line="240" w:lineRule="auto"/>
        <w:ind w:left="70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to </w:t>
      </w:r>
      <w:r w:rsidR="00511D7C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pod variabilním symbolem </w:t>
      </w:r>
      <w:r w:rsidR="000A2D0A" w:rsidRPr="00EF320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</w:t>
      </w:r>
      <w:r w:rsidR="00401C17" w:rsidRPr="00EF320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202</w:t>
      </w:r>
      <w:r w:rsidR="009664F6" w:rsidRPr="00EF320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09313</w:t>
      </w:r>
      <w:r w:rsidR="00511D7C" w:rsidRPr="00EF32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, </w:t>
      </w:r>
    </w:p>
    <w:p w14:paraId="0D159105" w14:textId="77777777" w:rsidR="007614F3" w:rsidRPr="0001443A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1443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01443A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01443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lastRenderedPageBreak/>
        <w:t>řídit se při použití poskytnuté dotace touto smlouvou a právními předpisy,</w:t>
      </w:r>
    </w:p>
    <w:p w14:paraId="524D2949" w14:textId="77777777" w:rsidR="007614F3" w:rsidRPr="0001443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01443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1FA0DC16" w14:textId="77777777" w:rsidR="007614F3" w:rsidRPr="00B954D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954D5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927F667" w14:textId="77777777" w:rsidR="007614F3" w:rsidRPr="00B954D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954D5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D24D963" w14:textId="77777777" w:rsidR="007614F3" w:rsidRPr="00B954D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954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nepřevést</w:t>
      </w:r>
      <w:r w:rsidRPr="00B954D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poskytnutou dotaci na jiný právní subjekt.</w:t>
      </w:r>
    </w:p>
    <w:p w14:paraId="59B46A21" w14:textId="77777777" w:rsidR="007614F3" w:rsidRPr="00833F28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33F2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Pr="00833F28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33F2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řídit se při vyúčtování poskytnuté dotace touto smlouvou a právními předpisy,</w:t>
      </w:r>
    </w:p>
    <w:p w14:paraId="4C63A78A" w14:textId="77777777" w:rsidR="007614F3" w:rsidRPr="007608F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08F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zrealizovat projekt vlastním jménem, na vlastní účet a na vlastní odpovědnost a naplnit účelové určení dle čl. IV této smlouvy,</w:t>
      </w:r>
    </w:p>
    <w:p w14:paraId="49C1C00A" w14:textId="13068C4A" w:rsidR="005D2A36" w:rsidRDefault="005D2A36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>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261F3B84" w14:textId="070E46E0" w:rsidR="007614F3" w:rsidRPr="007608F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08F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7608F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31. 12. 202</w:t>
      </w:r>
      <w:r w:rsidR="00DC64F2" w:rsidRPr="007608F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7608F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F952F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52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F952F8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Povinnost dle tohoto ustanovení se nevztahuje na příjemce, kteří nemají povinnost vést účetnictví dle zákona o účetnictví nebo vedou jednoduché účetnictví dle zákona o účetnictví</w:t>
      </w:r>
      <w:r w:rsidRPr="00F952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77777777" w:rsidR="007614F3" w:rsidRPr="00F952F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52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Pr="00F952F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52F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748F030C" w14:textId="59669D81" w:rsidR="007614F3" w:rsidRPr="00F758E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</w:t>
      </w:r>
      <w:r w:rsidRPr="00F758E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závěrečné vyúčtování</w:t>
      </w: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celého realizovaného projektu, jež je finančním vypořádáním ve smyslu § 10a odst. 1 písm. d) zákona č. 250/2000 Sb., </w:t>
      </w:r>
      <w:r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D0282E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0E2C6D"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="00A13A3C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1. 202</w:t>
      </w:r>
      <w:r w:rsidR="006719C1"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7</w:t>
      </w:r>
      <w:r w:rsidRPr="00F758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</w:t>
      </w:r>
      <w:proofErr w:type="spellStart"/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ePodatelna</w:t>
      </w:r>
      <w:proofErr w:type="spellEnd"/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Moravskoslezského kraje s uznávaným elektronickým podpisem, případně dalším způsobem uvedeným ve formuláři závěrečného vyúčtování,</w:t>
      </w:r>
    </w:p>
    <w:p w14:paraId="2D74CCDC" w14:textId="08B386EF" w:rsidR="007614F3" w:rsidRPr="00F758E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závěrečné vyúčtování celého realizovaného projektu dle písm. </w:t>
      </w:r>
      <w:r w:rsidR="001166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</w:t>
      </w: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tohoto odstavce smlouvy na předepsaných formulářích, úplné a bezchybné, včetně</w:t>
      </w:r>
    </w:p>
    <w:p w14:paraId="74E3E42B" w14:textId="77777777" w:rsidR="007614F3" w:rsidRPr="00F758EA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F758EA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F758EA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1" w:name="_Hlk145407530"/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F758EA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758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6B5769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B57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6B5769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B5769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6B5769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B57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73108B76" w14:textId="77777777" w:rsidR="007614F3" w:rsidRPr="006B576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B57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6B576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B57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6B5769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6B57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4D737DD2" w:rsidR="007614F3" w:rsidRPr="00A646B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646B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A646B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A646B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A646B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</w:t>
      </w:r>
      <w:r w:rsidR="00D47DC1" w:rsidRPr="00A646B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20209313</w:t>
      </w:r>
      <w:r w:rsidRPr="00A646B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A646B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646B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1202D9C" w14:textId="77777777" w:rsidR="007614F3" w:rsidRPr="0071192C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7119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7777777" w:rsidR="007614F3" w:rsidRPr="0071192C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7119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01AC1460" w14:textId="77777777" w:rsidR="007614F3" w:rsidRPr="00B943D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B943D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5CCB655F" w:rsidR="007614F3" w:rsidRPr="00990B3E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Porušení podmínek uvedených v odst. 3 písm. </w:t>
      </w:r>
      <w:r w:rsidR="001141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c), </w:t>
      </w: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h), </w:t>
      </w:r>
      <w:r w:rsidR="001141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</w:t>
      </w: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1141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9952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n), </w:t>
      </w:r>
      <w:r w:rsidR="00990B3E"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9952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</w:t>
      </w:r>
      <w:r w:rsidR="0011413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p)</w:t>
      </w:r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 považováno za porušení méně závažné ve smyslu </w:t>
      </w:r>
      <w:proofErr w:type="spellStart"/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ust</w:t>
      </w:r>
      <w:proofErr w:type="spellEnd"/>
      <w:r w:rsidRPr="00990B3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§ 10a odst. 6 zákona č. 250/2000 Sb. Odvod za tato porušení rozpočtové kázně se stanoví následujícím způsobem:</w:t>
      </w:r>
    </w:p>
    <w:p w14:paraId="5090A816" w14:textId="0971B99E" w:rsidR="00BF00C1" w:rsidRDefault="00BF00C1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01FCCD33" w:rsidR="007614F3" w:rsidRPr="00B11FF9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9952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po stanovené lhůtě:</w:t>
      </w:r>
    </w:p>
    <w:p w14:paraId="2C8571A8" w14:textId="77777777" w:rsidR="007614F3" w:rsidRPr="00B11FF9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B11FF9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B11FF9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B11FF9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B11FF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4870FC8" w14:textId="5A58CF47" w:rsidR="007614F3" w:rsidRPr="00B11FF9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9952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i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1C14C804" w:rsidR="007614F3" w:rsidRPr="00B11FF9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9952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l</w:t>
      </w:r>
      <w:r w:rsidRPr="00B11FF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6449F72D" w:rsidR="007614F3" w:rsidRPr="00B11FF9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9952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049C5C42" w:rsidR="007614F3" w:rsidRPr="00B11FF9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9952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o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7D8BFA75" w:rsidR="007614F3" w:rsidRPr="00B11FF9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9952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B11FF9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342B2229" w14:textId="77777777" w:rsidR="007614F3" w:rsidRPr="00914E0E" w:rsidRDefault="007614F3" w:rsidP="007614F3">
      <w:pPr>
        <w:tabs>
          <w:tab w:val="left" w:pos="7371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bCs/>
          <w:color w:val="0070C0"/>
          <w:kern w:val="0"/>
          <w:sz w:val="20"/>
          <w:szCs w:val="20"/>
          <w:lang w:eastAsia="cs-CZ"/>
          <w14:ligatures w14:val="none"/>
        </w:rPr>
      </w:pPr>
    </w:p>
    <w:p w14:paraId="75CA5FA0" w14:textId="77777777" w:rsidR="007614F3" w:rsidRPr="00472A2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472A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A17E5E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2D000A7A" w:rsidR="007614F3" w:rsidRPr="00A17E5E" w:rsidRDefault="007614F3" w:rsidP="00943838">
      <w:pPr>
        <w:numPr>
          <w:ilvl w:val="1"/>
          <w:numId w:val="3"/>
        </w:numPr>
        <w:tabs>
          <w:tab w:val="num" w:pos="714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31. 12. 202</w:t>
      </w:r>
      <w:r w:rsidR="001F3262"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A17E5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206DF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období od zahájení realizace projektu </w:t>
      </w:r>
      <w:r w:rsidR="00464109"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 </w:t>
      </w:r>
      <w:r w:rsidR="00206DF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uplynutí</w:t>
      </w:r>
      <w:r w:rsidR="00464109"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lhůty pro předložení závěrečného vyúčtování projektu,</w:t>
      </w:r>
    </w:p>
    <w:p w14:paraId="5ADA69BE" w14:textId="77777777" w:rsidR="007614F3" w:rsidRPr="00A17E5E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0648F9E6" w:rsidR="007614F3" w:rsidRPr="00A17E5E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17E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</w:t>
      </w:r>
      <w:r w:rsid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0FFDE3B" w14:textId="65B4B2C2" w:rsidR="00E3791B" w:rsidRDefault="00E3791B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Za splnění podmínek uvedených v odst. 1 tohoto článku smlouvy jsou uznatelnými náklady pouze náklady na </w:t>
      </w:r>
      <w:r>
        <w:rPr>
          <w:rFonts w:ascii="Tahoma" w:hAnsi="Tahoma" w:cs="Tahoma"/>
          <w:sz w:val="20"/>
          <w:szCs w:val="20"/>
        </w:rPr>
        <w:t>podpořené činnosti uvedené v čl. IV odst. 2 této smlouvy.</w:t>
      </w:r>
    </w:p>
    <w:p w14:paraId="4A5D7FC1" w14:textId="6E48916C" w:rsidR="007614F3" w:rsidRPr="00472A2B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472A2B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77777777" w:rsidR="007614F3" w:rsidRPr="00472A2B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VII.</w:t>
      </w:r>
      <w:r w:rsidRPr="00472A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472A2B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2" w:name="_Hlk153551218"/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2"/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FA9A943" w14:textId="23108463" w:rsidR="00FF7A42" w:rsidRPr="007968F9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0070C0"/>
          <w:sz w:val="20"/>
          <w:szCs w:val="20"/>
        </w:rPr>
      </w:pP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t>https://www.msk.cz/cs/kraj/symboly/symboly-kraje-120/.</w:t>
      </w:r>
    </w:p>
    <w:p w14:paraId="64BF58C5" w14:textId="6ACF32FF" w:rsidR="007614F3" w:rsidRPr="00472A2B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BBD663E" w14:textId="77777777" w:rsidR="007614F3" w:rsidRPr="00472A2B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472A2B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57A15D0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s poskytovatelem</w:t>
      </w:r>
      <w:r w:rsidRPr="00472A2B" w:rsidDel="00F73EB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</w:t>
      </w: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v dostatečném předstihu dohodnout zapůjčení bannerů nebo </w:t>
      </w:r>
      <w:proofErr w:type="spellStart"/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roll</w:t>
      </w: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noBreakHyphen/>
        <w:t>upů</w:t>
      </w:r>
      <w:proofErr w:type="spellEnd"/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k propagaci Moravskoslezského kraje přímo na místě realizace projektu,</w:t>
      </w:r>
    </w:p>
    <w:p w14:paraId="67A3BF80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všech pozvánkách, plakátech, poutačích, billboardech, ve spotech, katalozích a podobných nosičích reklamy použít logo Moravskoslezského kraje,</w:t>
      </w:r>
    </w:p>
    <w:p w14:paraId="0FF683EB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F2F8FDB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EAEBB52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550EE1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umožnit účast zástupců Moravskoslezského kraje na aktivitách projektu,</w:t>
      </w:r>
    </w:p>
    <w:p w14:paraId="0A28C2A1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tiskovou konferenci zabezpečit pozvání představitelů Moravskoslezského kraje,</w:t>
      </w:r>
    </w:p>
    <w:p w14:paraId="58BF5BC0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při moderování veřejné akce v rámci projektu informovat veřejnost o poskytnutí dotace Moravskoslezským krajem,</w:t>
      </w:r>
    </w:p>
    <w:p w14:paraId="402FB69B" w14:textId="77777777" w:rsidR="007614F3" w:rsidRPr="00472A2B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472A2B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472A2B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72A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6C1FEF3D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72A2B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206DF5">
        <w:rPr>
          <w:rFonts w:ascii="Tahoma" w:hAnsi="Tahoma" w:cs="Tahoma"/>
          <w:sz w:val="20"/>
          <w:szCs w:val="20"/>
        </w:rPr>
        <w:t>administrátorem</w:t>
      </w:r>
      <w:r w:rsidRPr="00472A2B">
        <w:rPr>
          <w:rFonts w:ascii="Tahoma" w:hAnsi="Tahoma" w:cs="Tahoma"/>
          <w:sz w:val="20"/>
          <w:szCs w:val="20"/>
        </w:rPr>
        <w:t xml:space="preserve"> všechny formy, rozsah a způsoby prezentace Moravskoslezského kraje a poslat náhled </w:t>
      </w:r>
      <w:r w:rsidRPr="00DE4B52">
        <w:rPr>
          <w:rFonts w:ascii="Tahoma" w:hAnsi="Tahoma" w:cs="Tahoma"/>
          <w:sz w:val="20"/>
          <w:szCs w:val="20"/>
        </w:rPr>
        <w:t xml:space="preserve">užití loga k odsouhlasení na </w:t>
      </w:r>
      <w:r>
        <w:fldChar w:fldCharType="begin"/>
      </w:r>
      <w:r>
        <w:instrText>HYPERLINK "mailto:logo@msk.cz"</w:instrText>
      </w:r>
      <w:r>
        <w:fldChar w:fldCharType="separate"/>
      </w: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t>logo@msk.cz</w:t>
      </w:r>
      <w:r>
        <w:fldChar w:fldCharType="end"/>
      </w:r>
      <w:r w:rsidRPr="00DE4B52">
        <w:rPr>
          <w:rFonts w:ascii="Tahoma" w:hAnsi="Tahoma" w:cs="Tahoma"/>
          <w:sz w:val="20"/>
          <w:szCs w:val="20"/>
        </w:rPr>
        <w:t>.</w:t>
      </w:r>
    </w:p>
    <w:p w14:paraId="467B1AEC" w14:textId="73A88852" w:rsidR="00DE4B52" w:rsidRPr="00E95D34" w:rsidRDefault="00DE4B52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95D34">
        <w:rPr>
          <w:rFonts w:ascii="Tahoma" w:hAnsi="Tahoma" w:cs="Tahoma"/>
          <w:sz w:val="20"/>
          <w:szCs w:val="20"/>
        </w:rPr>
        <w:t>Veškeré náklady, které příjemce vynaloží na splnění povinností, stanovených v tomto článku smlouvy, jsou neuznatelnými náklady.</w:t>
      </w:r>
    </w:p>
    <w:p w14:paraId="1FF80C96" w14:textId="77777777" w:rsidR="00374DE2" w:rsidRDefault="00374DE2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32DC223F" w14:textId="226F395B" w:rsidR="007614F3" w:rsidRPr="00E95D34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VIII.</w:t>
      </w:r>
      <w:r w:rsidRPr="00E95D3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Závěrečná ustanovení</w:t>
      </w:r>
    </w:p>
    <w:p w14:paraId="421AA8EC" w14:textId="77777777" w:rsidR="007614F3" w:rsidRPr="00E95D3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E95D3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E95D3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E95D3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E95D3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E95D3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3" w:name="_Hlk153551580"/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E95D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3614B400" w:rsidR="007614F3" w:rsidRPr="006E6A95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E6A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77777777" w:rsidR="007614F3" w:rsidRPr="006E6A95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E6A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poskytovatel. V takovém případě nabývá smlouva účinnosti dnem jejího uveřejnění v registru smluv.</w:t>
      </w:r>
    </w:p>
    <w:p w14:paraId="2881EE1F" w14:textId="5293CC53" w:rsidR="007614F3" w:rsidRPr="006E6A95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E6A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30E9A00" w14:textId="2038A459" w:rsidR="007614F3" w:rsidRPr="00C322B5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322B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r w:rsidR="00946CD1">
        <w:fldChar w:fldCharType="begin"/>
      </w:r>
      <w:r w:rsidR="00946CD1">
        <w:instrText>HYPERLINK "http://www.msk.cz"</w:instrText>
      </w:r>
      <w:r w:rsidR="00946CD1">
        <w:fldChar w:fldCharType="separate"/>
      </w:r>
      <w:r w:rsidR="00946CD1" w:rsidRPr="00C322B5">
        <w:rPr>
          <w:rStyle w:val="Hypertextovodkaz"/>
          <w:rFonts w:ascii="Tahoma" w:eastAsia="Times New Roman" w:hAnsi="Tahoma" w:cs="Tahoma"/>
          <w:color w:val="0070C0"/>
          <w:kern w:val="0"/>
          <w:sz w:val="20"/>
          <w:szCs w:val="20"/>
          <w:lang w:eastAsia="cs-CZ"/>
          <w14:ligatures w14:val="none"/>
        </w:rPr>
        <w:t>www.msk.cz</w:t>
      </w:r>
      <w:r w:rsidR="00946CD1">
        <w:fldChar w:fldCharType="end"/>
      </w:r>
      <w:r w:rsidRPr="00C322B5">
        <w:rPr>
          <w:rFonts w:ascii="Tahoma" w:eastAsia="Times New Roman" w:hAnsi="Tahoma" w:cs="Tahoma"/>
          <w:color w:val="0070C0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3BFA3FFC" w14:textId="5EE02731" w:rsidR="007614F3" w:rsidRPr="00A61E50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poskytnutí dotace a uzavření této smlouvy rozhodlo zastupitelstvo kraje svým usnesením č. </w:t>
      </w:r>
      <w:r w:rsidR="00906F0E" w:rsidRPr="00A61E50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.3.202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A757467" w14:textId="0F181D87" w:rsidR="007614F3" w:rsidRPr="00D40529" w:rsidRDefault="00E813DE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26B25F3F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Ing. Josef </w:t>
      </w:r>
      <w:proofErr w:type="spellStart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Bělica</w:t>
      </w:r>
      <w:proofErr w:type="spellEnd"/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B47BC1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</w:t>
      </w:r>
      <w:r w:rsidR="00B47BC1">
        <w:rPr>
          <w:color w:val="auto"/>
          <w:sz w:val="20"/>
          <w:szCs w:val="20"/>
        </w:rPr>
        <w:t xml:space="preserve">Stanislav </w:t>
      </w:r>
      <w:proofErr w:type="spellStart"/>
      <w:r w:rsidR="00B47BC1">
        <w:rPr>
          <w:color w:val="auto"/>
          <w:sz w:val="20"/>
          <w:szCs w:val="20"/>
        </w:rPr>
        <w:t>Kotrc</w:t>
      </w:r>
      <w:proofErr w:type="spellEnd"/>
      <w:r w:rsidR="00D3018F">
        <w:rPr>
          <w:sz w:val="20"/>
          <w:szCs w:val="20"/>
        </w:rPr>
        <w:t xml:space="preserve"> </w:t>
      </w:r>
    </w:p>
    <w:p w14:paraId="5243597B" w14:textId="7F08AD33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</w:t>
      </w:r>
      <w:r w:rsidR="0022494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starosta</w:t>
      </w:r>
    </w:p>
    <w:p w14:paraId="1AE62E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4D337ADD" w14:textId="2C522706" w:rsidR="0029339C" w:rsidRDefault="007614F3" w:rsidP="00471037">
      <w:bookmarkStart w:id="4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CA599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4"/>
    </w:p>
    <w:sectPr w:rsidR="0029339C" w:rsidSect="007B3B81">
      <w:footerReference w:type="even" r:id="rId8"/>
      <w:footerReference w:type="default" r:id="rId9"/>
      <w:footerReference w:type="first" r:id="rId10"/>
      <w:pgSz w:w="11906" w:h="16838"/>
      <w:pgMar w:top="964" w:right="1418" w:bottom="964" w:left="1418" w:header="709" w:footer="709" w:gutter="0"/>
      <w:cols w:space="708"/>
      <w:docGrid w:linePitch="360"/>
      <w:sectPrChange w:id="5" w:author="Hinner Vilém" w:date="2026-02-10T14:46:00Z" w16du:dateUtc="2026-02-10T13:46:00Z">
        <w:sectPr w:rsidR="0029339C" w:rsidSect="007B3B81">
          <w:pgMar w:top="1021" w:right="1418" w:bottom="1021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C98A" w14:textId="77777777" w:rsidR="00840FD8" w:rsidRDefault="00840FD8" w:rsidP="007614F3">
      <w:pPr>
        <w:spacing w:after="0" w:line="240" w:lineRule="auto"/>
      </w:pPr>
      <w:r>
        <w:separator/>
      </w:r>
    </w:p>
  </w:endnote>
  <w:endnote w:type="continuationSeparator" w:id="0">
    <w:p w14:paraId="2CB8523C" w14:textId="77777777" w:rsidR="00840FD8" w:rsidRDefault="00840FD8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FE4F" w14:textId="77777777" w:rsidR="00840FD8" w:rsidRDefault="00840FD8" w:rsidP="007614F3">
      <w:pPr>
        <w:spacing w:after="0" w:line="240" w:lineRule="auto"/>
      </w:pPr>
      <w:r>
        <w:separator/>
      </w:r>
    </w:p>
  </w:footnote>
  <w:footnote w:type="continuationSeparator" w:id="0">
    <w:p w14:paraId="338E5E83" w14:textId="77777777" w:rsidR="00840FD8" w:rsidRDefault="00840FD8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E30D4"/>
    <w:multiLevelType w:val="hybridMultilevel"/>
    <w:tmpl w:val="CD248C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0C4A30"/>
    <w:multiLevelType w:val="hybridMultilevel"/>
    <w:tmpl w:val="D212B088"/>
    <w:lvl w:ilvl="0" w:tplc="0B7CDAD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051916">
    <w:abstractNumId w:val="6"/>
  </w:num>
  <w:num w:numId="2" w16cid:durableId="413210936">
    <w:abstractNumId w:val="4"/>
  </w:num>
  <w:num w:numId="3" w16cid:durableId="1797676518">
    <w:abstractNumId w:val="9"/>
  </w:num>
  <w:num w:numId="4" w16cid:durableId="435179716">
    <w:abstractNumId w:val="12"/>
  </w:num>
  <w:num w:numId="5" w16cid:durableId="1161236863">
    <w:abstractNumId w:val="11"/>
  </w:num>
  <w:num w:numId="6" w16cid:durableId="1933466069">
    <w:abstractNumId w:val="2"/>
  </w:num>
  <w:num w:numId="7" w16cid:durableId="348332678">
    <w:abstractNumId w:val="5"/>
  </w:num>
  <w:num w:numId="8" w16cid:durableId="936249416">
    <w:abstractNumId w:val="3"/>
  </w:num>
  <w:num w:numId="9" w16cid:durableId="1858692650">
    <w:abstractNumId w:val="14"/>
  </w:num>
  <w:num w:numId="10" w16cid:durableId="784157461">
    <w:abstractNumId w:val="10"/>
  </w:num>
  <w:num w:numId="11" w16cid:durableId="576092603">
    <w:abstractNumId w:val="7"/>
  </w:num>
  <w:num w:numId="12" w16cid:durableId="1223441081">
    <w:abstractNumId w:val="8"/>
  </w:num>
  <w:num w:numId="13" w16cid:durableId="1180773863">
    <w:abstractNumId w:val="0"/>
  </w:num>
  <w:num w:numId="14" w16cid:durableId="1676804992">
    <w:abstractNumId w:val="1"/>
  </w:num>
  <w:num w:numId="15" w16cid:durableId="158101386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nner Vilém">
    <w15:presenceInfo w15:providerId="AD" w15:userId="S::vilem.hinner@msk.cz::b20fe104-df03-4d70-ab0f-43003c504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14116"/>
    <w:rsid w:val="0001443A"/>
    <w:rsid w:val="00017A3F"/>
    <w:rsid w:val="00025ED3"/>
    <w:rsid w:val="000269AF"/>
    <w:rsid w:val="000529DC"/>
    <w:rsid w:val="000537E4"/>
    <w:rsid w:val="00077F82"/>
    <w:rsid w:val="0009247F"/>
    <w:rsid w:val="000A2D0A"/>
    <w:rsid w:val="000E2C6D"/>
    <w:rsid w:val="000E3331"/>
    <w:rsid w:val="000F2BBB"/>
    <w:rsid w:val="00105155"/>
    <w:rsid w:val="00105EBF"/>
    <w:rsid w:val="00114137"/>
    <w:rsid w:val="00116669"/>
    <w:rsid w:val="00120B2A"/>
    <w:rsid w:val="00124632"/>
    <w:rsid w:val="00151077"/>
    <w:rsid w:val="00180052"/>
    <w:rsid w:val="00181B3F"/>
    <w:rsid w:val="00185C85"/>
    <w:rsid w:val="001967DF"/>
    <w:rsid w:val="001A247A"/>
    <w:rsid w:val="001A5619"/>
    <w:rsid w:val="001A56F8"/>
    <w:rsid w:val="001A5B94"/>
    <w:rsid w:val="001B7AEF"/>
    <w:rsid w:val="001C0A3C"/>
    <w:rsid w:val="001D02C3"/>
    <w:rsid w:val="001E322C"/>
    <w:rsid w:val="001F3262"/>
    <w:rsid w:val="00200F28"/>
    <w:rsid w:val="0020646C"/>
    <w:rsid w:val="00206DF5"/>
    <w:rsid w:val="002170A2"/>
    <w:rsid w:val="00220922"/>
    <w:rsid w:val="00224946"/>
    <w:rsid w:val="00241F70"/>
    <w:rsid w:val="00280985"/>
    <w:rsid w:val="0029339C"/>
    <w:rsid w:val="002948D4"/>
    <w:rsid w:val="002B0401"/>
    <w:rsid w:val="002C1F8D"/>
    <w:rsid w:val="002D1FC9"/>
    <w:rsid w:val="002D5709"/>
    <w:rsid w:val="002E1B55"/>
    <w:rsid w:val="00310434"/>
    <w:rsid w:val="00361E2B"/>
    <w:rsid w:val="00374347"/>
    <w:rsid w:val="00374DE2"/>
    <w:rsid w:val="0037681F"/>
    <w:rsid w:val="00387CB8"/>
    <w:rsid w:val="003C1340"/>
    <w:rsid w:val="003C16AB"/>
    <w:rsid w:val="003C2D3A"/>
    <w:rsid w:val="003D04EF"/>
    <w:rsid w:val="003D2B98"/>
    <w:rsid w:val="003E57C6"/>
    <w:rsid w:val="003E5F5D"/>
    <w:rsid w:val="003F0A8C"/>
    <w:rsid w:val="003F797F"/>
    <w:rsid w:val="00401C17"/>
    <w:rsid w:val="004025FA"/>
    <w:rsid w:val="004349B9"/>
    <w:rsid w:val="004352EF"/>
    <w:rsid w:val="00437E33"/>
    <w:rsid w:val="00444B84"/>
    <w:rsid w:val="004507D2"/>
    <w:rsid w:val="00450D50"/>
    <w:rsid w:val="00450F0E"/>
    <w:rsid w:val="004547E5"/>
    <w:rsid w:val="00457153"/>
    <w:rsid w:val="004601F5"/>
    <w:rsid w:val="00464109"/>
    <w:rsid w:val="00466B1A"/>
    <w:rsid w:val="00471037"/>
    <w:rsid w:val="00472A2B"/>
    <w:rsid w:val="00487FED"/>
    <w:rsid w:val="00495497"/>
    <w:rsid w:val="004A2DC8"/>
    <w:rsid w:val="004C0970"/>
    <w:rsid w:val="004C2A21"/>
    <w:rsid w:val="004C30A2"/>
    <w:rsid w:val="004E07CC"/>
    <w:rsid w:val="004E4E3C"/>
    <w:rsid w:val="004E5F01"/>
    <w:rsid w:val="00505824"/>
    <w:rsid w:val="00505AF9"/>
    <w:rsid w:val="005106B5"/>
    <w:rsid w:val="00510EA0"/>
    <w:rsid w:val="00511D7C"/>
    <w:rsid w:val="0052435E"/>
    <w:rsid w:val="00533F3A"/>
    <w:rsid w:val="005545D8"/>
    <w:rsid w:val="00563E24"/>
    <w:rsid w:val="00574E5E"/>
    <w:rsid w:val="005838EF"/>
    <w:rsid w:val="005951B0"/>
    <w:rsid w:val="005B1E07"/>
    <w:rsid w:val="005C54AB"/>
    <w:rsid w:val="005D2A36"/>
    <w:rsid w:val="005D4DAF"/>
    <w:rsid w:val="005E10A1"/>
    <w:rsid w:val="005E4EA1"/>
    <w:rsid w:val="005F2890"/>
    <w:rsid w:val="005F6C29"/>
    <w:rsid w:val="006076E8"/>
    <w:rsid w:val="00612CA8"/>
    <w:rsid w:val="00654493"/>
    <w:rsid w:val="006546BB"/>
    <w:rsid w:val="00663B80"/>
    <w:rsid w:val="006719C1"/>
    <w:rsid w:val="006A7E7B"/>
    <w:rsid w:val="006B0904"/>
    <w:rsid w:val="006B1665"/>
    <w:rsid w:val="006B5769"/>
    <w:rsid w:val="006C7B64"/>
    <w:rsid w:val="006D2FAB"/>
    <w:rsid w:val="006E6A95"/>
    <w:rsid w:val="0071192C"/>
    <w:rsid w:val="00724E0E"/>
    <w:rsid w:val="0073170A"/>
    <w:rsid w:val="007608F5"/>
    <w:rsid w:val="007614F3"/>
    <w:rsid w:val="0076266D"/>
    <w:rsid w:val="00777EF9"/>
    <w:rsid w:val="00782769"/>
    <w:rsid w:val="00782901"/>
    <w:rsid w:val="00784FB4"/>
    <w:rsid w:val="007918F2"/>
    <w:rsid w:val="007968F9"/>
    <w:rsid w:val="007B3B81"/>
    <w:rsid w:val="007F4CCA"/>
    <w:rsid w:val="0083378F"/>
    <w:rsid w:val="00833F28"/>
    <w:rsid w:val="00840FD8"/>
    <w:rsid w:val="008503B9"/>
    <w:rsid w:val="008740D2"/>
    <w:rsid w:val="00891BCF"/>
    <w:rsid w:val="00892AB6"/>
    <w:rsid w:val="008B5216"/>
    <w:rsid w:val="008C163B"/>
    <w:rsid w:val="008D5DEF"/>
    <w:rsid w:val="008E575E"/>
    <w:rsid w:val="008F59A6"/>
    <w:rsid w:val="00902BDA"/>
    <w:rsid w:val="00906ADB"/>
    <w:rsid w:val="00906F0E"/>
    <w:rsid w:val="009107F8"/>
    <w:rsid w:val="00914E0E"/>
    <w:rsid w:val="009150F0"/>
    <w:rsid w:val="00932572"/>
    <w:rsid w:val="00943534"/>
    <w:rsid w:val="00943838"/>
    <w:rsid w:val="009463CB"/>
    <w:rsid w:val="00946CD1"/>
    <w:rsid w:val="009637A3"/>
    <w:rsid w:val="009664F6"/>
    <w:rsid w:val="00990B3E"/>
    <w:rsid w:val="00990F84"/>
    <w:rsid w:val="0099525D"/>
    <w:rsid w:val="009C13EC"/>
    <w:rsid w:val="009E42F9"/>
    <w:rsid w:val="009E6FE1"/>
    <w:rsid w:val="009F330B"/>
    <w:rsid w:val="00A12AE5"/>
    <w:rsid w:val="00A13A3C"/>
    <w:rsid w:val="00A17E5E"/>
    <w:rsid w:val="00A51490"/>
    <w:rsid w:val="00A61E50"/>
    <w:rsid w:val="00A646BA"/>
    <w:rsid w:val="00AB02C0"/>
    <w:rsid w:val="00AD6118"/>
    <w:rsid w:val="00B0431F"/>
    <w:rsid w:val="00B11FF9"/>
    <w:rsid w:val="00B14BCF"/>
    <w:rsid w:val="00B37924"/>
    <w:rsid w:val="00B47BC1"/>
    <w:rsid w:val="00B84F9D"/>
    <w:rsid w:val="00B943D8"/>
    <w:rsid w:val="00B954D5"/>
    <w:rsid w:val="00BB146A"/>
    <w:rsid w:val="00BB472C"/>
    <w:rsid w:val="00BC0F48"/>
    <w:rsid w:val="00BE2777"/>
    <w:rsid w:val="00BF00C1"/>
    <w:rsid w:val="00BF4622"/>
    <w:rsid w:val="00BF748B"/>
    <w:rsid w:val="00C056A1"/>
    <w:rsid w:val="00C06D12"/>
    <w:rsid w:val="00C322B5"/>
    <w:rsid w:val="00C52DDA"/>
    <w:rsid w:val="00C54D26"/>
    <w:rsid w:val="00C67CDC"/>
    <w:rsid w:val="00C700F1"/>
    <w:rsid w:val="00C7681F"/>
    <w:rsid w:val="00C9482D"/>
    <w:rsid w:val="00CA5993"/>
    <w:rsid w:val="00CB2B18"/>
    <w:rsid w:val="00CC1486"/>
    <w:rsid w:val="00CC7D37"/>
    <w:rsid w:val="00CD3698"/>
    <w:rsid w:val="00CE16EE"/>
    <w:rsid w:val="00CF1A4A"/>
    <w:rsid w:val="00CF676C"/>
    <w:rsid w:val="00D0282E"/>
    <w:rsid w:val="00D04121"/>
    <w:rsid w:val="00D24F77"/>
    <w:rsid w:val="00D3018F"/>
    <w:rsid w:val="00D35181"/>
    <w:rsid w:val="00D3557B"/>
    <w:rsid w:val="00D36A8A"/>
    <w:rsid w:val="00D40529"/>
    <w:rsid w:val="00D47DC1"/>
    <w:rsid w:val="00D515E1"/>
    <w:rsid w:val="00D52694"/>
    <w:rsid w:val="00D56F4D"/>
    <w:rsid w:val="00D63035"/>
    <w:rsid w:val="00D93BF3"/>
    <w:rsid w:val="00D944A3"/>
    <w:rsid w:val="00DB4F51"/>
    <w:rsid w:val="00DC64F2"/>
    <w:rsid w:val="00DD2307"/>
    <w:rsid w:val="00DE0A3F"/>
    <w:rsid w:val="00DE4B52"/>
    <w:rsid w:val="00DE50D7"/>
    <w:rsid w:val="00DF1AD6"/>
    <w:rsid w:val="00DF7D69"/>
    <w:rsid w:val="00E13CA0"/>
    <w:rsid w:val="00E172CA"/>
    <w:rsid w:val="00E322FE"/>
    <w:rsid w:val="00E3791B"/>
    <w:rsid w:val="00E5116A"/>
    <w:rsid w:val="00E63171"/>
    <w:rsid w:val="00E64935"/>
    <w:rsid w:val="00E66BE5"/>
    <w:rsid w:val="00E75F23"/>
    <w:rsid w:val="00E813DE"/>
    <w:rsid w:val="00E821F9"/>
    <w:rsid w:val="00E95D34"/>
    <w:rsid w:val="00EA08BA"/>
    <w:rsid w:val="00EA33FB"/>
    <w:rsid w:val="00EA5809"/>
    <w:rsid w:val="00EC33DC"/>
    <w:rsid w:val="00ED265D"/>
    <w:rsid w:val="00EE3C41"/>
    <w:rsid w:val="00EF3208"/>
    <w:rsid w:val="00F265AD"/>
    <w:rsid w:val="00F308D8"/>
    <w:rsid w:val="00F41B7F"/>
    <w:rsid w:val="00F41DC6"/>
    <w:rsid w:val="00F50ECF"/>
    <w:rsid w:val="00F52920"/>
    <w:rsid w:val="00F52A01"/>
    <w:rsid w:val="00F5359E"/>
    <w:rsid w:val="00F5645E"/>
    <w:rsid w:val="00F60CD3"/>
    <w:rsid w:val="00F61545"/>
    <w:rsid w:val="00F65DF7"/>
    <w:rsid w:val="00F72091"/>
    <w:rsid w:val="00F758EA"/>
    <w:rsid w:val="00F952F8"/>
    <w:rsid w:val="00FA3884"/>
    <w:rsid w:val="00FA639F"/>
    <w:rsid w:val="00FB69EA"/>
    <w:rsid w:val="00FC26F9"/>
    <w:rsid w:val="00FC5D58"/>
    <w:rsid w:val="00FC7652"/>
    <w:rsid w:val="00FD4777"/>
    <w:rsid w:val="00FE174F"/>
    <w:rsid w:val="00FE2564"/>
    <w:rsid w:val="00FE6DE5"/>
    <w:rsid w:val="00FE7CF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Revize">
    <w:name w:val="Revision"/>
    <w:hidden/>
    <w:uiPriority w:val="99"/>
    <w:semiHidden/>
    <w:rsid w:val="00D944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1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16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6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9AA-CF44-46FC-A859-D902987D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3012</Words>
  <Characters>18135</Characters>
  <Application>Microsoft Office Word</Application>
  <DocSecurity>0</DocSecurity>
  <Lines>312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14</cp:revision>
  <dcterms:created xsi:type="dcterms:W3CDTF">2026-02-10T13:33:00Z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