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AF5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 poskytnutí dotace z rozpočtu Moravskoslezského kraje</w:t>
      </w:r>
    </w:p>
    <w:p w14:paraId="034AEED9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CB9A3E4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Moravskoslezský kraj</w:t>
      </w:r>
    </w:p>
    <w:p w14:paraId="28D1505A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28. října 2771/117, 702 00 Ostrava</w:t>
      </w:r>
    </w:p>
    <w:p w14:paraId="0104541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Ing. Josefem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Bělicou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Ph.D., MBA, hejtmanem kraje</w:t>
      </w:r>
    </w:p>
    <w:p w14:paraId="1E1B4742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70890692</w:t>
      </w:r>
    </w:p>
    <w:p w14:paraId="1789725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CZ70890692</w:t>
      </w:r>
    </w:p>
    <w:p w14:paraId="0EF43DE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UniCredit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Bank Czech Republic and Slovakia, a.s.</w:t>
      </w:r>
    </w:p>
    <w:p w14:paraId="4AF76AEC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10002520362/2700</w:t>
      </w:r>
    </w:p>
    <w:p w14:paraId="10CDB11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8x6bxsd </w:t>
      </w:r>
    </w:p>
    <w:p w14:paraId="3E0ECCB7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„poskytovatel“)</w:t>
      </w:r>
    </w:p>
    <w:p w14:paraId="58D065C4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DDCEF83" w14:textId="789C7170" w:rsidR="007614F3" w:rsidRPr="00F52920" w:rsidRDefault="00F52920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Česká republika – Hasičský záchranný sbor Moravskoslezského kraje</w:t>
      </w:r>
    </w:p>
    <w:p w14:paraId="2FDD503A" w14:textId="3E081D66" w:rsidR="007614F3" w:rsidRPr="00F52920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Výškovická </w:t>
      </w:r>
      <w:r w:rsidR="00450F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2995/</w:t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40, 700 30 Ostrava-Zábřeh</w:t>
      </w:r>
    </w:p>
    <w:p w14:paraId="3BCEC7F6" w14:textId="77777777" w:rsidR="00310434" w:rsidRDefault="007614F3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brig. gen. Ing. Radimem Kuchařem, ředitelem HZS</w:t>
      </w:r>
    </w:p>
    <w:p w14:paraId="585BA087" w14:textId="258FC5BC" w:rsidR="007614F3" w:rsidRPr="00F52920" w:rsidRDefault="00310434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Moravskoslezského kraje </w:t>
      </w:r>
    </w:p>
    <w:p w14:paraId="4E2A449E" w14:textId="6E183EED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CC1486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4697389D" w14:textId="6E7DEC9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</w:t>
      </w:r>
      <w:r w:rsidR="009150F0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3263C95C" w14:textId="3A843845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9107F8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Česká národní banka</w:t>
      </w:r>
    </w:p>
    <w:p w14:paraId="39309E99" w14:textId="47BE08F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37681F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123-1933881/0710</w:t>
      </w:r>
    </w:p>
    <w:p w14:paraId="215972C1" w14:textId="77777777" w:rsidR="007614F3" w:rsidRPr="000529DC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„příjemce“)</w:t>
      </w:r>
    </w:p>
    <w:p w14:paraId="7F941BDE" w14:textId="77777777" w:rsidR="007614F3" w:rsidRPr="000529D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II.</w:t>
      </w: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Základní ustanovení</w:t>
      </w:r>
    </w:p>
    <w:p w14:paraId="6FFE17F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01EA7CE9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C694D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C48DDAA" w14:textId="0E797430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</w:t>
      </w:r>
      <w:r w:rsidR="001A247A" w:rsidRPr="000537E4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F210C0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 xml:space="preserve"> ze dne 2</w:t>
      </w:r>
      <w:r w:rsidR="00F210C0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>. </w:t>
      </w:r>
      <w:r w:rsidR="00F210C0">
        <w:rPr>
          <w:rFonts w:ascii="Tahoma" w:hAnsi="Tahoma" w:cs="Tahoma"/>
          <w:sz w:val="20"/>
          <w:szCs w:val="20"/>
        </w:rPr>
        <w:t>února</w:t>
      </w:r>
      <w:r w:rsidR="001A247A" w:rsidRPr="000537E4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F210C0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 xml:space="preserve">. </w:t>
      </w:r>
      <w:r w:rsidR="00F210C0">
        <w:rPr>
          <w:rFonts w:ascii="Tahoma" w:hAnsi="Tahoma" w:cs="Tahoma"/>
          <w:sz w:val="20"/>
          <w:szCs w:val="20"/>
        </w:rPr>
        <w:t>2</w:t>
      </w:r>
      <w:r w:rsidR="001A247A" w:rsidRPr="000537E4">
        <w:rPr>
          <w:rFonts w:ascii="Tahoma" w:hAnsi="Tahoma" w:cs="Tahoma"/>
          <w:sz w:val="20"/>
          <w:szCs w:val="20"/>
        </w:rPr>
        <w:t xml:space="preserve">. 2025 pod č. L </w:t>
      </w:r>
      <w:r w:rsidR="00F210C0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026CA046" w14:textId="77777777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0" w:name="_Hlk153548722"/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681B79CD" w14:textId="77777777" w:rsidR="008B2528" w:rsidRDefault="008B2528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C4D44EB" w14:textId="583443D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14:paraId="5B59BAA5" w14:textId="77777777" w:rsidR="007614F3" w:rsidRPr="006076E8" w:rsidRDefault="007614F3" w:rsidP="007614F3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C5A4388" w14:textId="7777777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IV.</w:t>
      </w: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Účelové určení a výše dotace</w:t>
      </w:r>
    </w:p>
    <w:p w14:paraId="4DDD67FC" w14:textId="21E73FD8" w:rsidR="007614F3" w:rsidRPr="006B0904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podle této smlouvy poskytne příjemci investiční dotaci ve výši </w:t>
      </w:r>
      <w:r w:rsidR="00FA639F"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</w:t>
      </w:r>
      <w:r w:rsid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0</w:t>
      </w:r>
      <w:r w:rsidR="00CB2B1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00</w:t>
      </w:r>
      <w:r w:rsidRPr="00FC7652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.000 Kč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F210C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78533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dvanáct</w:t>
      </w:r>
      <w:r w:rsidR="002C1F8D"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milion</w:t>
      </w:r>
      <w:r w:rsidR="0078533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ů</w:t>
      </w:r>
      <w:r w:rsidR="002C1F8D"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korun českých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6B0904"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  <w:t xml:space="preserve"> </w:t>
      </w:r>
      <w:r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účelově určenou k úhradě uznatelných nákladů projektu „</w:t>
      </w:r>
      <w:r w:rsidR="00785337" w:rsidRP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Pořízení techniky pro </w:t>
      </w:r>
      <w:proofErr w:type="spellStart"/>
      <w:r w:rsidR="00785337" w:rsidRP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Hasičsky</w:t>
      </w:r>
      <w:proofErr w:type="spellEnd"/>
      <w:r w:rsidR="00785337" w:rsidRP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́ </w:t>
      </w:r>
      <w:proofErr w:type="spellStart"/>
      <w:r w:rsidR="00785337" w:rsidRP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záchranny</w:t>
      </w:r>
      <w:proofErr w:type="spellEnd"/>
      <w:r w:rsidR="00785337" w:rsidRPr="0078533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́ sbor Moravskoslezského kraje</w:t>
      </w:r>
      <w:r w:rsidRPr="00F6154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“ </w:t>
      </w:r>
      <w:r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„projekt“) vymezených v čl. VI této smlouvy.</w:t>
      </w:r>
    </w:p>
    <w:p w14:paraId="41EB1580" w14:textId="77777777" w:rsidR="007614F3" w:rsidRPr="004C0970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C097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Účelem poskytnutí dotace je podpora realizace projektu příjemcem za podmínek stanovených v této smlouvě.</w:t>
      </w:r>
    </w:p>
    <w:p w14:paraId="72A49900" w14:textId="77777777" w:rsidR="007614F3" w:rsidRPr="008B5216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4C097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V.</w:t>
      </w:r>
      <w:r w:rsidRPr="004C097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8B5216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Závazky smluvních stran</w:t>
      </w:r>
    </w:p>
    <w:p w14:paraId="2F8E9C79" w14:textId="4489D7AA" w:rsidR="007614F3" w:rsidRPr="000A6F84" w:rsidRDefault="00511D7C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A6F8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se zavazuje poskytnout příjemci dotaci na projekt převodem na účet příjemce uvedený v čl. I této smlouvy, na základě postupných úhrad, pod variabilním symbolem </w:t>
      </w:r>
      <w:r w:rsidR="000A2D0A" w:rsidRPr="000A6F8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0A6F8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a to vždy ve lhůtě do 7 pracovních dnů od doručení písemného sdělení příjemce, že bylo rozhodnuto o výběru dodavatele v rámci konkrétní veřejné zakázky. Součet jednotlivých úhrad nesmí překročit výši dotace dle čl. IV této smlouvy. Proto může být poslední úhrada poskytovatelem oproti výzvě příjemce zkrácena. Příjemce musí v písemném sdělení o výběru dodavatele prokazatelně doložit cenu vysoutěžené veřejné zakázky, například předložením rozhodnutí o výběru.</w:t>
      </w:r>
    </w:p>
    <w:p w14:paraId="0D159105" w14:textId="77777777" w:rsidR="007614F3" w:rsidRPr="001312D6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312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při použití peněžních prostředků splnit tyto podmínky:</w:t>
      </w:r>
    </w:p>
    <w:p w14:paraId="0F693619" w14:textId="77777777" w:rsidR="007614F3" w:rsidRPr="001312D6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1312D6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řídit se při použití poskytnuté dotace touto smlouvou a právními předpisy,</w:t>
      </w:r>
    </w:p>
    <w:p w14:paraId="524D2949" w14:textId="77777777" w:rsidR="007614F3" w:rsidRPr="001312D6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1312D6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použít poskytnutou dotaci v souladu s jejím účelovým určením dle čl. IV této smlouvy a pouze k úhradě uznatelných nákladů vymezených v čl. VI této smlouvy,</w:t>
      </w:r>
    </w:p>
    <w:p w14:paraId="7535A4F1" w14:textId="77777777" w:rsidR="007614F3" w:rsidRPr="00A745C6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745C6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2605A012" w14:textId="77777777" w:rsidR="007614F3" w:rsidRPr="00A745C6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745C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40DAA962" w14:textId="4D060F16" w:rsidR="007614F3" w:rsidRPr="00A745C6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745C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vzájemnými finančními úpravami jednotlivých nákladových druhů navýšit jednotlivý druh uznatelných nákladů (uvedený v nákladovém rozpočtu projektu) maximálně o </w:t>
      </w:r>
      <w:r w:rsidR="00151077" w:rsidRPr="00A745C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</w:t>
      </w:r>
      <w:r w:rsidRPr="00A745C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0 %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 </w:t>
      </w:r>
    </w:p>
    <w:p w14:paraId="1FA0DC16" w14:textId="77777777" w:rsidR="007614F3" w:rsidRPr="004A705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4A7057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vrátit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927F667" w14:textId="77777777" w:rsidR="007614F3" w:rsidRPr="004A705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4A7057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D24D963" w14:textId="77777777" w:rsidR="007614F3" w:rsidRPr="004A705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4A7057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nepřevést</w:t>
      </w:r>
      <w:r w:rsidRPr="004A705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poskytnutou dotaci na jiný právní subjekt.</w:t>
      </w:r>
    </w:p>
    <w:p w14:paraId="59B46A21" w14:textId="77777777" w:rsidR="007614F3" w:rsidRPr="00290438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904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dodržet tyto podmínky související s účelem, na nějž byla dotace poskytnuta:</w:t>
      </w:r>
    </w:p>
    <w:p w14:paraId="7958528B" w14:textId="77777777" w:rsidR="007614F3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904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řídit se při vyúčtování poskytnuté dotace touto smlouvou a právními předpisy,</w:t>
      </w:r>
    </w:p>
    <w:p w14:paraId="21AAD5E2" w14:textId="537EDC29" w:rsidR="007F5F7C" w:rsidRPr="00290438" w:rsidRDefault="007F5F7C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904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zrealizovat projekt vlastním jménem, na vlastní účet a na vlastní odpovědnost a naplnit účelové určení dle čl. IV této smlouvy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C63A78A" w14:textId="77510224" w:rsidR="007614F3" w:rsidRPr="007F5F7C" w:rsidRDefault="00121D76" w:rsidP="007F5F7C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35AEC">
        <w:rPr>
          <w:rFonts w:ascii="Tahoma" w:hAnsi="Tahoma" w:cs="Tahoma"/>
          <w:sz w:val="20"/>
          <w:szCs w:val="20"/>
        </w:rPr>
        <w:lastRenderedPageBreak/>
        <w:t xml:space="preserve">vyplývá-li to ze zákona č. 134/2016 Sb., o zadávání veřejných zakázek, ve znění pozdějších </w:t>
      </w:r>
      <w:r w:rsidRPr="00435AE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předpisů</w:t>
      </w:r>
      <w:r w:rsidRPr="00435AEC">
        <w:rPr>
          <w:rFonts w:ascii="Tahoma" w:hAnsi="Tahoma" w:cs="Tahoma"/>
          <w:sz w:val="20"/>
          <w:szCs w:val="20"/>
        </w:rPr>
        <w:t>, postupovat při výběru dodavatelů v rámci realizace projektu v souladu s tímto zákonem</w:t>
      </w:r>
      <w:r w:rsidR="00AB5463">
        <w:rPr>
          <w:rFonts w:ascii="Tahoma" w:hAnsi="Tahoma" w:cs="Tahoma"/>
          <w:sz w:val="20"/>
          <w:szCs w:val="20"/>
        </w:rPr>
        <w:t>.</w:t>
      </w:r>
      <w:r w:rsidRPr="00572D01">
        <w:rPr>
          <w:rFonts w:ascii="Tahoma" w:hAnsi="Tahoma" w:cs="Tahoma"/>
          <w:sz w:val="20"/>
          <w:szCs w:val="20"/>
        </w:rPr>
        <w:t xml:space="preserve"> </w:t>
      </w:r>
      <w:r w:rsidR="00AB5463">
        <w:rPr>
          <w:rFonts w:ascii="Tahoma" w:hAnsi="Tahoma" w:cs="Tahoma"/>
          <w:sz w:val="20"/>
          <w:szCs w:val="20"/>
        </w:rPr>
        <w:t>P</w:t>
      </w:r>
      <w:r w:rsidRPr="00572D01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věty </w:t>
      </w:r>
      <w:r w:rsidR="007F27B1">
        <w:rPr>
          <w:rFonts w:ascii="Tahoma" w:hAnsi="Tahoma" w:cs="Tahoma"/>
          <w:sz w:val="20"/>
          <w:szCs w:val="20"/>
        </w:rPr>
        <w:t xml:space="preserve">po dobu stanovenou zákonem </w:t>
      </w:r>
      <w:r w:rsidRPr="00572D01">
        <w:rPr>
          <w:rFonts w:ascii="Tahoma" w:hAnsi="Tahoma" w:cs="Tahoma"/>
          <w:sz w:val="20"/>
          <w:szCs w:val="20"/>
        </w:rPr>
        <w:t>a na vyžádání ji předložit</w:t>
      </w:r>
      <w:r w:rsidR="00AD60AE">
        <w:rPr>
          <w:rFonts w:ascii="Tahoma" w:hAnsi="Tahoma" w:cs="Tahoma"/>
          <w:sz w:val="20"/>
          <w:szCs w:val="20"/>
        </w:rPr>
        <w:t xml:space="preserve"> poskytovateli</w:t>
      </w:r>
      <w:r w:rsidRPr="00572D01">
        <w:rPr>
          <w:rFonts w:ascii="Tahoma" w:hAnsi="Tahoma" w:cs="Tahoma"/>
          <w:sz w:val="20"/>
          <w:szCs w:val="20"/>
        </w:rPr>
        <w:t>,</w:t>
      </w:r>
    </w:p>
    <w:p w14:paraId="261F3B84" w14:textId="45516509" w:rsidR="007614F3" w:rsidRPr="0029043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904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dosáhnout stanoveného účelu, tedy zrealizovat projekt, nejpozději </w:t>
      </w:r>
      <w:r w:rsidRPr="002904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 31. 12. 202</w:t>
      </w:r>
      <w:r w:rsidR="00290438" w:rsidRPr="002904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7</w:t>
      </w:r>
      <w:r w:rsidRPr="0029043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173AFD63" w14:textId="77777777" w:rsidR="007614F3" w:rsidRPr="004E1DD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1DD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4E1DD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Povinnost dle tohoto ustanovení se nevztahuje na příjemce, kteří nemají povinnost vést účetnictví dle zákona o účetnictví nebo vedou jednoduché účetnictví dle zákona o účetnictví</w:t>
      </w:r>
      <w:r w:rsidRPr="004E1DD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D178EEA" w14:textId="77777777" w:rsidR="007614F3" w:rsidRPr="004E1DD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1DD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BD27995" w14:textId="77777777" w:rsidR="007614F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1DD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požádání umožnit poskytovateli nahlédnutí do všech účetních dokladů týkajících se projektu,</w:t>
      </w:r>
    </w:p>
    <w:p w14:paraId="1FA4F9D9" w14:textId="1958E52D" w:rsidR="00BD046D" w:rsidRPr="000F6FD2" w:rsidRDefault="00BD046D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35AE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předložit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Pr="000F6FD2">
        <w:rPr>
          <w:rFonts w:ascii="Tahoma" w:hAnsi="Tahoma" w:cs="Tahoma"/>
          <w:sz w:val="20"/>
          <w:szCs w:val="20"/>
        </w:rPr>
        <w:t xml:space="preserve">poskytovateli </w:t>
      </w:r>
      <w:r w:rsidRPr="00C6313A">
        <w:rPr>
          <w:rFonts w:ascii="Tahoma" w:hAnsi="Tahoma" w:cs="Tahoma"/>
          <w:b/>
          <w:bCs/>
          <w:sz w:val="20"/>
          <w:szCs w:val="20"/>
        </w:rPr>
        <w:t>průběžné vyúčtování</w:t>
      </w:r>
      <w:r w:rsidRPr="000F6FD2">
        <w:rPr>
          <w:rFonts w:ascii="Tahoma" w:hAnsi="Tahoma" w:cs="Tahoma"/>
          <w:sz w:val="20"/>
          <w:szCs w:val="20"/>
        </w:rPr>
        <w:t xml:space="preserve"> realizace projektu zpracované k </w:t>
      </w:r>
      <w:r w:rsidRPr="000F6FD2">
        <w:rPr>
          <w:rFonts w:ascii="Tahoma" w:hAnsi="Tahoma" w:cs="Tahoma"/>
          <w:b/>
          <w:bCs/>
          <w:sz w:val="20"/>
          <w:szCs w:val="20"/>
        </w:rPr>
        <w:t>31. 12. 2026</w:t>
      </w:r>
      <w:r w:rsidRPr="000F6FD2">
        <w:rPr>
          <w:rFonts w:ascii="Tahoma" w:hAnsi="Tahoma" w:cs="Tahoma"/>
          <w:sz w:val="20"/>
          <w:szCs w:val="20"/>
        </w:rPr>
        <w:t xml:space="preserve"> nejpozději do </w:t>
      </w:r>
      <w:r w:rsidRPr="000F6FD2">
        <w:rPr>
          <w:rFonts w:ascii="Tahoma" w:hAnsi="Tahoma" w:cs="Tahoma"/>
          <w:b/>
          <w:bCs/>
          <w:sz w:val="20"/>
          <w:szCs w:val="20"/>
        </w:rPr>
        <w:t>15. 1.</w:t>
      </w:r>
      <w:r w:rsidRPr="000F6FD2">
        <w:rPr>
          <w:rFonts w:ascii="Tahoma" w:hAnsi="Tahoma" w:cs="Tahoma"/>
          <w:sz w:val="20"/>
          <w:szCs w:val="20"/>
        </w:rPr>
        <w:t xml:space="preserve"> následujícího kalendářního roku. </w:t>
      </w:r>
      <w:r w:rsidR="000F4FC9" w:rsidRPr="0071792D">
        <w:rPr>
          <w:rFonts w:ascii="Tahoma" w:hAnsi="Tahoma" w:cs="Tahoma"/>
          <w:sz w:val="20"/>
          <w:szCs w:val="20"/>
        </w:rPr>
        <w:t xml:space="preserve">Průběžné </w:t>
      </w:r>
      <w:r w:rsidR="000F4FC9" w:rsidRPr="0071792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vyúčtování se považuje za předložené poskytovateli dnem jeho předání k přepravě provozovateli poštovních služeb, podáním na podatelně krajského úřadu, dodáním do datové schránky poskytovatele, odesláním v systému </w:t>
      </w:r>
      <w:proofErr w:type="spellStart"/>
      <w:r w:rsidR="000F4FC9" w:rsidRPr="0071792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ePodatelna</w:t>
      </w:r>
      <w:proofErr w:type="spellEnd"/>
      <w:r w:rsidR="000F4FC9" w:rsidRPr="0071792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Moravskoslezského kraje s uznávaným elektronickým podpisem, případně dalším způsobem uvedeným ve formuláři </w:t>
      </w:r>
      <w:r w:rsidR="00951F5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průběžného</w:t>
      </w:r>
      <w:r w:rsidR="000F4FC9" w:rsidRPr="0071792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vyúčtování</w:t>
      </w:r>
      <w:r w:rsidRPr="000F6FD2">
        <w:rPr>
          <w:rFonts w:ascii="Tahoma" w:hAnsi="Tahoma" w:cs="Tahoma"/>
          <w:sz w:val="20"/>
          <w:szCs w:val="20"/>
        </w:rPr>
        <w:t>,</w:t>
      </w:r>
    </w:p>
    <w:p w14:paraId="36E8954E" w14:textId="32847AE3" w:rsidR="00517DDC" w:rsidRPr="00846C3F" w:rsidRDefault="00124A44" w:rsidP="00124A44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0F6FD2">
        <w:rPr>
          <w:rFonts w:ascii="Tahoma" w:hAnsi="Tahoma" w:cs="Tahoma"/>
          <w:iCs/>
          <w:sz w:val="20"/>
          <w:szCs w:val="20"/>
        </w:rPr>
        <w:t xml:space="preserve">předložit </w:t>
      </w:r>
      <w:r w:rsidR="00B24D61" w:rsidRPr="00346F75">
        <w:rPr>
          <w:rFonts w:ascii="Tahoma" w:hAnsi="Tahoma" w:cs="Tahoma"/>
          <w:iCs/>
          <w:sz w:val="20"/>
          <w:szCs w:val="20"/>
        </w:rPr>
        <w:t>poskytovateli průběžné vyúčtování dle písm. h) tohoto odstavce smlouvy</w:t>
      </w:r>
      <w:r w:rsidR="00B24D61">
        <w:rPr>
          <w:rFonts w:ascii="Tahoma" w:hAnsi="Tahoma" w:cs="Tahoma"/>
          <w:iCs/>
          <w:sz w:val="20"/>
          <w:szCs w:val="20"/>
        </w:rPr>
        <w:t>, které obsahuje popis postupu prací na projektu a průběžného naplňování účelového určení, spolu s kopiemi účetních dokladů vztahujících se k uznatelným nákladům projektu a týkajících se dotace a dokladů o jejich úhradě.</w:t>
      </w:r>
      <w:r w:rsidR="00B24D61" w:rsidRPr="00346F75">
        <w:rPr>
          <w:rFonts w:ascii="Tahoma" w:hAnsi="Tahoma" w:cs="Tahoma"/>
          <w:iCs/>
          <w:sz w:val="20"/>
          <w:szCs w:val="20"/>
        </w:rPr>
        <w:t xml:space="preserve"> V rámci závěrečného vyúčtování již příjemce není povinen předložit kopie účetních dokladů a dokladů o jejich úhradě, které předložil v rámci průběžného vyúčtování,</w:t>
      </w:r>
    </w:p>
    <w:p w14:paraId="748F030C" w14:textId="31D86671" w:rsidR="007614F3" w:rsidRPr="00846C3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</w:t>
      </w:r>
      <w:r w:rsidRPr="00C6313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závěrečné vyúčtování</w:t>
      </w:r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celého realizovaného projektu, jež je finančním vypořádáním ve smyslu § 10a odst. 1 písm. d) zákona č. 250/2000 Sb., </w:t>
      </w:r>
      <w:r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nejpozději </w:t>
      </w:r>
      <w:r w:rsidR="00AE115E"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br/>
      </w:r>
      <w:r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do </w:t>
      </w:r>
      <w:r w:rsidR="009047B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="003A05C4"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</w:t>
      </w:r>
      <w:r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 1. 202</w:t>
      </w:r>
      <w:r w:rsidR="003A05C4"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8</w:t>
      </w:r>
      <w:r w:rsidRPr="00846C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</w:t>
      </w:r>
      <w:proofErr w:type="spellStart"/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ePodatelna</w:t>
      </w:r>
      <w:proofErr w:type="spellEnd"/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Moravskoslezského kraje s uznávaným elektronickým podpisem, případně dalším způsobem uvedeným ve formuláři závěrečného vyúčtování,</w:t>
      </w:r>
    </w:p>
    <w:p w14:paraId="2D74CCDC" w14:textId="4A4FEF1E" w:rsidR="007614F3" w:rsidRPr="00AE115E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předložit poskytovateli závěrečné vyúčtování celého realizovaného projektu dle písm.</w:t>
      </w:r>
      <w:r w:rsidR="0072539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j)</w:t>
      </w:r>
      <w:r w:rsidRPr="00846C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tohoto</w:t>
      </w:r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odstavce smlouvy na předepsaných formulářích, úplné a bezchybné, včetně</w:t>
      </w:r>
    </w:p>
    <w:p w14:paraId="74E3E42B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závěrečné zprávy jako slovního popisu realizace projektu s uvedením jeho výstupů a celkového zhodnocení,</w:t>
      </w:r>
    </w:p>
    <w:p w14:paraId="65B53410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seznamu účetních dokladů vztahujících se k uznatelným nákladům projektu včetně uvedení obsahu jednotlivých účetních dokladů,</w:t>
      </w:r>
    </w:p>
    <w:p w14:paraId="739B401F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1" w:name="_Hlk145407530"/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25F7DE33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přehledu o vrácení nepoužitých peněžních prostředků do rozpočtu poskytovatele, nebo prohlášení o neexistenci takových vracených prostředků,</w:t>
      </w:r>
    </w:p>
    <w:p w14:paraId="31140499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80132A7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E115E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dokladů prokazujících způsob prezentace Moravskoslezského kraje dle čl. VII této smlouvy,</w:t>
      </w:r>
    </w:p>
    <w:p w14:paraId="11011F0A" w14:textId="77777777" w:rsidR="007614F3" w:rsidRPr="00AE115E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E11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čestného prohlášení osoby oprávněné zastupovat příjemce o úplnosti, správnosti a pravdivosti závěrečného vyúčtování,</w:t>
      </w:r>
    </w:p>
    <w:p w14:paraId="73108B76" w14:textId="77777777" w:rsidR="007614F3" w:rsidRPr="002A76A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2A76A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řádně v souladu s právními předpisy uschovat originály všech účetních dokladů vztahujících se k projektu,</w:t>
      </w:r>
    </w:p>
    <w:p w14:paraId="5CC31CFC" w14:textId="77777777" w:rsidR="007614F3" w:rsidRPr="0039199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2A76A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 xml:space="preserve"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</w:t>
      </w:r>
      <w:r w:rsidRPr="0039199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 místě bude dle pokynu poskytovatele provedena v </w:t>
      </w:r>
      <w:r w:rsidRPr="00391991"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  <w:t>sídle</w:t>
      </w:r>
      <w:r w:rsidRPr="0039199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příjemce, v místě realizace projektu nebo v sídle poskytovatele,</w:t>
      </w:r>
    </w:p>
    <w:p w14:paraId="443BD7C6" w14:textId="215C9A1B" w:rsidR="007614F3" w:rsidRPr="0039199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39199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39199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variabilní symbol</w:t>
      </w:r>
      <w:r w:rsidRPr="0039199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41B7F" w:rsidRPr="0039199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39199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46D193CE" w14:textId="77777777" w:rsidR="007614F3" w:rsidRPr="0039199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39199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nepřevést realizaci projektu na jiný právní subjekt,</w:t>
      </w:r>
    </w:p>
    <w:p w14:paraId="77E0A135" w14:textId="2B2F52BE" w:rsidR="00C056A1" w:rsidRPr="00391991" w:rsidRDefault="00120B2A" w:rsidP="002170A2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391991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 xml:space="preserve">po dobu 5 let od ukončení realizace projektu nezcizit majetek pořízený nebo technicky zhodnocený z prostředků získaných z dotace poskytnuté na základě této smlouvy </w:t>
      </w:r>
    </w:p>
    <w:p w14:paraId="71202D9C" w14:textId="77777777" w:rsidR="007614F3" w:rsidRPr="00C05A3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05A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A82A976" w14:textId="77777777" w:rsidR="007614F3" w:rsidRPr="00C05A38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05A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</w:p>
    <w:p w14:paraId="01AC1460" w14:textId="77777777" w:rsidR="007614F3" w:rsidRPr="00C05A3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05A3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dodržovat podmínky povinné publicity stanovené v čl. VII této smlouvy.</w:t>
      </w:r>
    </w:p>
    <w:p w14:paraId="419647C5" w14:textId="5049CE24" w:rsidR="007614F3" w:rsidRPr="004B7181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Porušení podmínek uvedených v odst. 3 písm. </w:t>
      </w:r>
      <w:r w:rsidR="00C16DE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c), </w:t>
      </w: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h), </w:t>
      </w:r>
      <w:r w:rsidR="00ED1C5D"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i), j), </w:t>
      </w: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k), </w:t>
      </w:r>
      <w:r w:rsidR="00EE3C41"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</w:t>
      </w: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4B7181"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q</w:t>
      </w: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4B7181"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r)</w:t>
      </w: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</w:t>
      </w:r>
      <w:r w:rsidR="004B7181"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</w:t>
      </w:r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 je považováno za porušení méně závažné ve smyslu </w:t>
      </w:r>
      <w:proofErr w:type="spellStart"/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ust</w:t>
      </w:r>
      <w:proofErr w:type="spellEnd"/>
      <w:r w:rsidRPr="004B718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§ 10a odst. 6 zákona č. 250/2000 Sb. Odvod za tato porušení rozpočtové kázně se stanoví následujícím způsobem:</w:t>
      </w:r>
    </w:p>
    <w:p w14:paraId="419CE20D" w14:textId="31F73550" w:rsidR="004E64C4" w:rsidRDefault="004E64C4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dotace</w:t>
      </w:r>
    </w:p>
    <w:p w14:paraId="3D4C2071" w14:textId="42C95A60" w:rsidR="007614F3" w:rsidRPr="002945BB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Předložení vyúčtování podle odst. 3 písm. </w:t>
      </w:r>
      <w:r w:rsidR="00EC2967"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h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) </w:t>
      </w:r>
      <w:r w:rsidR="00415A6A"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a j) 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 stanovené lhůtě:</w:t>
      </w:r>
    </w:p>
    <w:p w14:paraId="2C8571A8" w14:textId="77777777" w:rsidR="007614F3" w:rsidRPr="002945BB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do 7 kalendářních dnů</w:t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 xml:space="preserve"> </w:t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1.500 Kč,</w:t>
      </w:r>
    </w:p>
    <w:p w14:paraId="1666155F" w14:textId="77777777" w:rsidR="007614F3" w:rsidRPr="002945BB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8 do 15 kalendářních dnů</w:t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3.000 Kč,</w:t>
      </w:r>
    </w:p>
    <w:p w14:paraId="654EA118" w14:textId="77777777" w:rsidR="007614F3" w:rsidRPr="002945BB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16 do 30 kalendářních dnů</w:t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2945BB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5.000 Kč</w:t>
      </w:r>
      <w:r w:rsidRPr="002945BB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2D76A2CB" w14:textId="77777777" w:rsidR="00797B5B" w:rsidRDefault="007D18EA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i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 xml:space="preserve">spočívající ve formálních nedostatcích </w:t>
      </w:r>
      <w:r w:rsidRPr="00797B5B">
        <w:rPr>
          <w:rFonts w:ascii="Tahoma" w:hAnsi="Tahoma" w:cs="Tahoma"/>
          <w:bCs/>
          <w:sz w:val="20"/>
          <w:szCs w:val="20"/>
          <w:shd w:val="clear" w:color="auto" w:fill="FFFFFF" w:themeFill="background1"/>
        </w:rPr>
        <w:t>průběžného v</w:t>
      </w:r>
      <w:r w:rsidRPr="00E133E2">
        <w:rPr>
          <w:rFonts w:ascii="Tahoma" w:hAnsi="Tahoma" w:cs="Tahoma"/>
          <w:bCs/>
          <w:sz w:val="20"/>
          <w:szCs w:val="20"/>
        </w:rPr>
        <w:t>yúčtování</w:t>
      </w:r>
      <w:r w:rsidRPr="00E133E2">
        <w:rPr>
          <w:rFonts w:ascii="Tahoma" w:hAnsi="Tahoma" w:cs="Tahoma"/>
          <w:bCs/>
          <w:sz w:val="20"/>
          <w:szCs w:val="20"/>
        </w:rPr>
        <w:tab/>
        <w:t>10 % poskytnuté dotace</w:t>
      </w:r>
    </w:p>
    <w:p w14:paraId="14870FC8" w14:textId="4C5DA2AC" w:rsidR="007614F3" w:rsidRPr="002945BB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124AF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k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spočívající ve formálních nedostatcích závěrečného vyúčtování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1C751B03" w14:textId="1D9B4A9A" w:rsidR="007614F3" w:rsidRPr="002945BB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2945BB" w:rsidRPr="002945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</w:t>
      </w:r>
      <w:r w:rsidRPr="002945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1.000 Kč,</w:t>
      </w:r>
    </w:p>
    <w:p w14:paraId="539A1423" w14:textId="622F7AA7" w:rsidR="007614F3" w:rsidRPr="002945BB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2945BB"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q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2 % poskytnuté dotace,</w:t>
      </w:r>
    </w:p>
    <w:p w14:paraId="59035895" w14:textId="452D2C5A" w:rsidR="007614F3" w:rsidRPr="002945BB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2945BB"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r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2945B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706A2C1C" w14:textId="415A2069" w:rsidR="007614F3" w:rsidRPr="0004655E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04655E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každé podmínky, na niž se odkazuje v odst. 3 písm. </w:t>
      </w:r>
      <w:r w:rsidR="0004655E" w:rsidRPr="0004655E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</w:t>
      </w:r>
      <w:r w:rsidRPr="0004655E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04655E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5 % poskytnuté dotace.</w:t>
      </w:r>
    </w:p>
    <w:p w14:paraId="75CA5FA0" w14:textId="77777777" w:rsidR="007614F3" w:rsidRPr="00FC298B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VI.</w:t>
      </w: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Uznatelný náklad</w:t>
      </w:r>
    </w:p>
    <w:p w14:paraId="6FC36A11" w14:textId="77777777" w:rsidR="007614F3" w:rsidRPr="00FC298B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„Uznatelným nákladem“ je náklad, který splňuje všechny níže uvedené podmínky:</w:t>
      </w:r>
    </w:p>
    <w:p w14:paraId="36C91293" w14:textId="7BB0F999" w:rsidR="007614F3" w:rsidRPr="00FC298B" w:rsidRDefault="007614F3" w:rsidP="00943838">
      <w:pPr>
        <w:numPr>
          <w:ilvl w:val="1"/>
          <w:numId w:val="3"/>
        </w:numPr>
        <w:tabs>
          <w:tab w:val="num" w:pos="714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vznikl v období realizace projektu, tj. </w:t>
      </w: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 období od</w:t>
      </w: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1. 1. 202</w:t>
      </w:r>
      <w:r w:rsidR="00AD6118"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do 31. 12. 202</w:t>
      </w:r>
      <w:r w:rsidR="008E1537"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7</w:t>
      </w: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464109"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byl příjemcem uhrazen </w:t>
      </w:r>
      <w:r w:rsidR="006655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období od zahájení realizace projektu</w:t>
      </w:r>
      <w:r w:rsidR="00464109"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do </w:t>
      </w:r>
      <w:r w:rsidR="00C9666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uplynutí</w:t>
      </w:r>
      <w:r w:rsidR="00464109"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lhůty pro předložení závěrečného vyúčtování projektu,</w:t>
      </w:r>
    </w:p>
    <w:p w14:paraId="5ADA69BE" w14:textId="77777777" w:rsidR="007614F3" w:rsidRPr="00FC298B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byl vynaložen v souladu s účelovým určením dle čl. IV této smlouvy a ostatními podmínkami této smlouvy,</w:t>
      </w:r>
    </w:p>
    <w:p w14:paraId="08177DC9" w14:textId="77777777" w:rsidR="007614F3" w:rsidRPr="00FC298B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vyhovuje zásadám účelnosti, efektivnosti a hospodárnosti dle zákona o finanční kontrole a</w:t>
      </w:r>
    </w:p>
    <w:p w14:paraId="084140BE" w14:textId="77777777" w:rsidR="007614F3" w:rsidRPr="00FC298B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 uveden v nákladovém rozpočtu projektu, který je přílohou č. 1 této smlouvy.</w:t>
      </w:r>
    </w:p>
    <w:p w14:paraId="4A5D7FC1" w14:textId="77777777" w:rsidR="007614F3" w:rsidRPr="00FC298B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Daň z přidané hodnoty vztahující se k uznatelným nákladům je uznatelným nákladem, pokud příjemce není plátcem této daně nebo pokud mu nevzniká nárok na odpočet této daně.</w:t>
      </w:r>
    </w:p>
    <w:p w14:paraId="7FFAFAEE" w14:textId="77777777" w:rsidR="007614F3" w:rsidRPr="00FC298B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ostatní náklady vynaložené příjemcem jsou považovány za náklady neuznatelné.</w:t>
      </w:r>
    </w:p>
    <w:p w14:paraId="5A798B46" w14:textId="77777777" w:rsidR="007614F3" w:rsidRPr="00FC298B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VII.</w:t>
      </w:r>
      <w:r w:rsidRPr="00FC29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Povinná publicita</w:t>
      </w:r>
    </w:p>
    <w:p w14:paraId="03E0DE5D" w14:textId="77777777" w:rsidR="007614F3" w:rsidRPr="00FC298B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bere na vědomí, že poskytovatel je oprávněn zveřejnit jeho </w:t>
      </w:r>
      <w:bookmarkStart w:id="2" w:name="_Hlk153551218"/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název, IČO, sídlo, účel</w:t>
      </w:r>
      <w:bookmarkEnd w:id="2"/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FA9A943" w14:textId="23108463" w:rsidR="00FF7A42" w:rsidRPr="007968F9" w:rsidRDefault="00FF7A42" w:rsidP="00FF7A42">
      <w:pPr>
        <w:spacing w:before="120"/>
        <w:ind w:firstLine="357"/>
        <w:jc w:val="both"/>
        <w:rPr>
          <w:rStyle w:val="Hypertextovodkaz"/>
          <w:rFonts w:ascii="Tahoma" w:hAnsi="Tahoma" w:cs="Tahoma"/>
          <w:color w:val="0070C0"/>
          <w:sz w:val="20"/>
          <w:szCs w:val="20"/>
        </w:rPr>
      </w:pPr>
      <w:r w:rsidRPr="007968F9">
        <w:rPr>
          <w:rStyle w:val="Hypertextovodkaz"/>
          <w:rFonts w:ascii="Tahoma" w:hAnsi="Tahoma" w:cs="Tahoma"/>
          <w:color w:val="0070C0"/>
          <w:sz w:val="20"/>
          <w:szCs w:val="20"/>
        </w:rPr>
        <w:t>https://www.msk.cz/cs/kraj/symboly/symboly-kraje-120/.</w:t>
      </w:r>
    </w:p>
    <w:p w14:paraId="1BBD663E" w14:textId="77777777" w:rsidR="007614F3" w:rsidRPr="00FC298B" w:rsidRDefault="007614F3" w:rsidP="007614F3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C0828D9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webových stránkách, jsou-li zřízeny, umístit logo Moravskoslezského kraje buď v sekci partneři, nebo přímo u podporovaného projektu,</w:t>
      </w:r>
    </w:p>
    <w:p w14:paraId="7013DBE1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informovat veřejnost o poskytnutí dotace Moravskoslezským krajem na svých webových stránkách s odkazem na webové stránky konkrétního projektu, jsou-li tyto stránky zřízeny,</w:t>
      </w:r>
    </w:p>
    <w:p w14:paraId="44E738C7" w14:textId="77777777" w:rsidR="007614F3" w:rsidRPr="00FC298B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profilech sociálních sítí, jsou-li zřízeny, uveřejnit vhodným způsobem informaci, že Moravskoslezský kraj poskytl dotaci na realizaci projektu,</w:t>
      </w:r>
    </w:p>
    <w:p w14:paraId="757A15D0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s poskytovatelem</w:t>
      </w:r>
      <w:r w:rsidRPr="00FC298B" w:rsidDel="00F73EB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</w:t>
      </w: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v dostatečném předstihu dohodnout zapůjčení bannerů nebo </w:t>
      </w:r>
      <w:proofErr w:type="spellStart"/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roll</w:t>
      </w: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noBreakHyphen/>
        <w:t>upů</w:t>
      </w:r>
      <w:proofErr w:type="spellEnd"/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k propagaci Moravskoslezského kraje přímo na místě realizace projektu,</w:t>
      </w:r>
    </w:p>
    <w:p w14:paraId="67A3BF80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všech pozvánkách, plakátech, poutačích, billboardech, ve spotech, katalozích a podobných nosičích reklamy použít logo Moravskoslezského kraje,</w:t>
      </w:r>
    </w:p>
    <w:p w14:paraId="0FF683EB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F2F8FDB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EAEBB52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0550EE1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umožnit účast zástupců Moravskoslezského kraje na aktivitách projektu,</w:t>
      </w:r>
    </w:p>
    <w:p w14:paraId="0A28C2A1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tiskovou konferenci zabezpečit pozvání představitelů Moravskoslezského kraje,</w:t>
      </w:r>
    </w:p>
    <w:p w14:paraId="58BF5BC0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při moderování veřejné akce v rámci projektu informovat veřejnost o poskytnutí dotace Moravskoslezským krajem,</w:t>
      </w:r>
    </w:p>
    <w:p w14:paraId="402FB69B" w14:textId="77777777" w:rsidR="007614F3" w:rsidRPr="00FC298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FC298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zajistit fotodokumentaci povinné publicity projektu.</w:t>
      </w:r>
    </w:p>
    <w:p w14:paraId="017D3AB2" w14:textId="77777777" w:rsidR="007614F3" w:rsidRPr="00FC298B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29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2A1AD3E" w14:textId="2AA43E58" w:rsidR="00612CA8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C298B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 w:rsidR="00C96663">
        <w:rPr>
          <w:rFonts w:ascii="Tahoma" w:hAnsi="Tahoma" w:cs="Tahoma"/>
          <w:sz w:val="20"/>
          <w:szCs w:val="20"/>
        </w:rPr>
        <w:t>administrátorem</w:t>
      </w:r>
      <w:r w:rsidRPr="00FC298B">
        <w:rPr>
          <w:rFonts w:ascii="Tahoma" w:hAnsi="Tahoma" w:cs="Tahoma"/>
          <w:sz w:val="20"/>
          <w:szCs w:val="20"/>
        </w:rPr>
        <w:t xml:space="preserve"> všechny formy, rozsah a způsoby prezentace Moravskoslezského kraje a poslat náhled užití loga k odsouhlasení </w:t>
      </w:r>
      <w:r w:rsidRPr="00DE4B52">
        <w:rPr>
          <w:rFonts w:ascii="Tahoma" w:hAnsi="Tahoma" w:cs="Tahoma"/>
          <w:sz w:val="20"/>
          <w:szCs w:val="20"/>
        </w:rPr>
        <w:t xml:space="preserve">na </w:t>
      </w:r>
      <w:hyperlink r:id="rId8" w:history="1">
        <w:r w:rsidRPr="007968F9">
          <w:rPr>
            <w:rStyle w:val="Hypertextovodkaz"/>
            <w:rFonts w:ascii="Tahoma" w:hAnsi="Tahoma" w:cs="Tahoma"/>
            <w:color w:val="0070C0"/>
            <w:sz w:val="20"/>
            <w:szCs w:val="20"/>
          </w:rPr>
          <w:t>logo@msk.cz</w:t>
        </w:r>
      </w:hyperlink>
      <w:r w:rsidRPr="00DE4B52">
        <w:rPr>
          <w:rFonts w:ascii="Tahoma" w:hAnsi="Tahoma" w:cs="Tahoma"/>
          <w:sz w:val="20"/>
          <w:szCs w:val="20"/>
        </w:rPr>
        <w:t>.</w:t>
      </w:r>
    </w:p>
    <w:p w14:paraId="467B1AEC" w14:textId="73A88852" w:rsidR="00DE4B52" w:rsidRPr="00DE4B52" w:rsidRDefault="00DE4B52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náklady, které příjemce vynaloží na splnění povinností, stanovených v tomto článku smlouvy, jsou neuznatelnými náklady.</w:t>
      </w:r>
    </w:p>
    <w:p w14:paraId="32DC223F" w14:textId="77777777" w:rsidR="007614F3" w:rsidRPr="003302DB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VIII.</w:t>
      </w:r>
      <w:r w:rsidRPr="00B3792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3302D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421AA8EC" w14:textId="77777777" w:rsidR="007614F3" w:rsidRPr="003302DB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3CF3E01" w14:textId="77777777" w:rsidR="007614F3" w:rsidRPr="003302DB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není oprávněn tuto smlouvu vypovědět:</w:t>
      </w:r>
    </w:p>
    <w:p w14:paraId="108A5ECB" w14:textId="77777777" w:rsidR="007614F3" w:rsidRPr="003302DB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7634E97" w14:textId="77777777" w:rsidR="007614F3" w:rsidRPr="003302DB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poruší</w:t>
      </w: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7CABD37" w14:textId="77777777" w:rsidR="007614F3" w:rsidRPr="003302DB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C9AFF6" w14:textId="77777777" w:rsidR="007614F3" w:rsidRPr="003302DB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3" w:name="_Hlk153551580"/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F70470E" w14:textId="3B459D8D" w:rsidR="007614F3" w:rsidRPr="003302DB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1162EA5C" w14:textId="78BA0CD3" w:rsidR="007614F3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o registru smluv </w:t>
      </w:r>
      <w:r w:rsidR="000E77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V takovém případě nabývá smlouva účinnosti dnem jejího uveřejnění v registru smluv</w:t>
      </w:r>
      <w:r w:rsidR="000E77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příjemcem</w:t>
      </w:r>
      <w:r w:rsidRPr="003302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50473CF2" w14:textId="1ED1D198" w:rsidR="000E77E7" w:rsidRPr="003302DB" w:rsidRDefault="000E77E7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Pr="00197D02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9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Pr="00197D02"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</w:p>
    <w:p w14:paraId="2881EE1F" w14:textId="50F06029" w:rsidR="007614F3" w:rsidRPr="0087072A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7072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B98E179" w14:textId="77777777" w:rsidR="007614F3" w:rsidRPr="0087072A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7072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Nedílnou součástí této smlouvy je nákladový rozpočet projektu, který tvoří přílohu č. 1 této smlouvy.</w:t>
      </w:r>
    </w:p>
    <w:p w14:paraId="530E9A00" w14:textId="2038A459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7072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="00946CD1" w:rsidRPr="001A624B">
          <w:rPr>
            <w:rStyle w:val="Hypertextovodkaz"/>
            <w:rFonts w:ascii="Tahoma" w:eastAsia="Times New Roman" w:hAnsi="Tahoma" w:cs="Tahoma"/>
            <w:color w:val="0070C0"/>
            <w:kern w:val="0"/>
            <w:sz w:val="20"/>
            <w:szCs w:val="20"/>
            <w:lang w:eastAsia="cs-CZ"/>
            <w14:ligatures w14:val="none"/>
          </w:rPr>
          <w:t>www.msk.cz</w:t>
        </w:r>
      </w:hyperlink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236D0EE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Doložka platnosti právního jednání dle § 23 zákona č. 129/2000 Sb., o krajích (krajské zřízení), ve znění pozdějších předpisů:</w:t>
      </w:r>
    </w:p>
    <w:p w14:paraId="3BFA3FFC" w14:textId="5EE02731" w:rsidR="007614F3" w:rsidRPr="00A61E50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poskytnutí dotace a uzavření této smlouvy rozhodlo zastupitelstvo kraje svým usnesením č. </w:t>
      </w:r>
      <w:r w:rsidR="00906F0E" w:rsidRPr="00A61E50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 dne 1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.3.202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A757467" w14:textId="77777777" w:rsidR="007614F3" w:rsidRPr="00D40529" w:rsidRDefault="007614F3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Ostravě dne 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……………… dne ………………</w:t>
      </w:r>
    </w:p>
    <w:p w14:paraId="56FF3C54" w14:textId="77777777" w:rsidR="007614F3" w:rsidRPr="00D40529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</w:t>
      </w:r>
    </w:p>
    <w:p w14:paraId="18BA431A" w14:textId="0EB6274C" w:rsidR="007614F3" w:rsidRPr="00D40529" w:rsidRDefault="00510EA0" w:rsidP="00510EA0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 poskytovatele</w:t>
      </w:r>
      <w:r w:rsidR="000F2B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</w:t>
      </w:r>
      <w:r w:rsidR="007614F3" w:rsidRPr="00D405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</w:p>
    <w:p w14:paraId="343FE9EC" w14:textId="135106B2" w:rsidR="00D3018F" w:rsidRDefault="007614F3" w:rsidP="00D3018F">
      <w:pPr>
        <w:pStyle w:val="Default"/>
        <w:jc w:val="both"/>
        <w:rPr>
          <w:sz w:val="20"/>
          <w:szCs w:val="20"/>
        </w:rPr>
      </w:pPr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Ing. Josef </w:t>
      </w:r>
      <w:proofErr w:type="spellStart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Bělica</w:t>
      </w:r>
      <w:proofErr w:type="spellEnd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, Ph.D., MBA</w:t>
      </w:r>
      <w:r w:rsidR="00EA33FB"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                                                 </w:t>
      </w:r>
      <w:r w:rsidR="00D3018F" w:rsidRPr="00D40529">
        <w:rPr>
          <w:color w:val="auto"/>
          <w:sz w:val="20"/>
          <w:szCs w:val="20"/>
        </w:rPr>
        <w:t xml:space="preserve">brig. gen. Ing. Radim </w:t>
      </w:r>
      <w:r w:rsidR="00D3018F">
        <w:rPr>
          <w:sz w:val="20"/>
          <w:szCs w:val="20"/>
        </w:rPr>
        <w:t xml:space="preserve">Kuchař </w:t>
      </w:r>
    </w:p>
    <w:p w14:paraId="5243597B" w14:textId="43C14B07" w:rsidR="007614F3" w:rsidRPr="00510EA0" w:rsidRDefault="00AB02C0" w:rsidP="000F2BBB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hejtman</w:t>
      </w:r>
      <w:r w:rsidR="004C2A21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kraje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ředitel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HZS Mor</w:t>
      </w:r>
      <w:r w:rsidR="000F2BBB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vskoslezského kraje</w:t>
      </w:r>
    </w:p>
    <w:p w14:paraId="7CCCB3A0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5413E933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1AE62E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0BA24A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</w:p>
    <w:p w14:paraId="6C206AD7" w14:textId="55A98857" w:rsidR="007614F3" w:rsidRPr="002D1FC9" w:rsidRDefault="007614F3" w:rsidP="007614F3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bookmarkStart w:id="4" w:name="_Hlk153548370"/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Tuto smlouvu je v době nepřítomnosti hejtmana kraje oprávněn podepsat jeho zástupce v pořadí určeném usnesením zastupitelstva kraje č. 1/11 ze dne 21. 10. 2024</w:t>
      </w:r>
      <w:r w:rsidR="00E30F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č. 6/473 ze dne 15. 12. 2025</w:t>
      </w:r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bookmarkEnd w:id="4"/>
    </w:p>
    <w:p w14:paraId="32AF9BAA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5F38F6B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3BD1BA5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77E747F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4D337ADD" w14:textId="05DAAAFE" w:rsidR="0029339C" w:rsidRDefault="001244F8">
      <w:r w:rsidRPr="00735084">
        <w:rPr>
          <w:noProof/>
        </w:rPr>
        <w:lastRenderedPageBreak/>
        <w:drawing>
          <wp:inline distT="0" distB="0" distL="0" distR="0" wp14:anchorId="30DE8F7E" wp14:editId="1C8C1DB5">
            <wp:extent cx="5759450" cy="4188523"/>
            <wp:effectExtent l="0" t="0" r="0" b="2540"/>
            <wp:docPr id="130051947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8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39C" w:rsidSect="00435AEC">
      <w:footerReference w:type="even" r:id="rId13"/>
      <w:footerReference w:type="default" r:id="rId14"/>
      <w:footerReference w:type="first" r:id="rId15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02DD" w14:textId="77777777" w:rsidR="000A390C" w:rsidRDefault="000A390C" w:rsidP="007614F3">
      <w:pPr>
        <w:spacing w:after="0" w:line="240" w:lineRule="auto"/>
      </w:pPr>
      <w:r>
        <w:separator/>
      </w:r>
    </w:p>
  </w:endnote>
  <w:endnote w:type="continuationSeparator" w:id="0">
    <w:p w14:paraId="567BB40B" w14:textId="77777777" w:rsidR="000A390C" w:rsidRDefault="000A390C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E6FA" w14:textId="0D1BD8C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7F921" wp14:editId="5732D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76275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BA44" w14:textId="49987DD2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F9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2F0ABA44" w14:textId="49987DD2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D57" w14:textId="000BB9A5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D91C8" wp14:editId="14C2A991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9871681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9B23" w14:textId="4F13793D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9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textbox style="mso-fit-shape-to-text:t" inset="20pt,0,0,15pt">
                <w:txbxContent>
                  <w:p w14:paraId="55739B23" w14:textId="4F13793D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39D" w14:textId="165224F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0D120" wp14:editId="7AA3C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73167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5BA7" w14:textId="4DDEFE31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D1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7C0E5BA7" w14:textId="4DDEFE31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2015" w14:textId="77777777" w:rsidR="000A390C" w:rsidRDefault="000A390C" w:rsidP="007614F3">
      <w:pPr>
        <w:spacing w:after="0" w:line="240" w:lineRule="auto"/>
      </w:pPr>
      <w:r>
        <w:separator/>
      </w:r>
    </w:p>
  </w:footnote>
  <w:footnote w:type="continuationSeparator" w:id="0">
    <w:p w14:paraId="2DA9755E" w14:textId="77777777" w:rsidR="000A390C" w:rsidRDefault="000A390C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B5D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559A4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051916">
    <w:abstractNumId w:val="5"/>
  </w:num>
  <w:num w:numId="2" w16cid:durableId="413210936">
    <w:abstractNumId w:val="3"/>
  </w:num>
  <w:num w:numId="3" w16cid:durableId="1797676518">
    <w:abstractNumId w:val="8"/>
  </w:num>
  <w:num w:numId="4" w16cid:durableId="435179716">
    <w:abstractNumId w:val="11"/>
  </w:num>
  <w:num w:numId="5" w16cid:durableId="1161236863">
    <w:abstractNumId w:val="10"/>
  </w:num>
  <w:num w:numId="6" w16cid:durableId="1933466069">
    <w:abstractNumId w:val="1"/>
  </w:num>
  <w:num w:numId="7" w16cid:durableId="348332678">
    <w:abstractNumId w:val="4"/>
  </w:num>
  <w:num w:numId="8" w16cid:durableId="936249416">
    <w:abstractNumId w:val="2"/>
  </w:num>
  <w:num w:numId="9" w16cid:durableId="1858692650">
    <w:abstractNumId w:val="12"/>
  </w:num>
  <w:num w:numId="10" w16cid:durableId="784157461">
    <w:abstractNumId w:val="9"/>
  </w:num>
  <w:num w:numId="11" w16cid:durableId="576092603">
    <w:abstractNumId w:val="6"/>
  </w:num>
  <w:num w:numId="12" w16cid:durableId="1223441081">
    <w:abstractNumId w:val="7"/>
  </w:num>
  <w:num w:numId="13" w16cid:durableId="11807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203F"/>
    <w:rsid w:val="00017A3F"/>
    <w:rsid w:val="00025ED3"/>
    <w:rsid w:val="000269AF"/>
    <w:rsid w:val="0004655E"/>
    <w:rsid w:val="000529DC"/>
    <w:rsid w:val="000537E4"/>
    <w:rsid w:val="00077F82"/>
    <w:rsid w:val="0009112E"/>
    <w:rsid w:val="000A2D0A"/>
    <w:rsid w:val="000A390C"/>
    <w:rsid w:val="000A6F84"/>
    <w:rsid w:val="000D30B3"/>
    <w:rsid w:val="000E2C6D"/>
    <w:rsid w:val="000E3331"/>
    <w:rsid w:val="000E77E7"/>
    <w:rsid w:val="000F2BBB"/>
    <w:rsid w:val="000F4FC9"/>
    <w:rsid w:val="000F6FD2"/>
    <w:rsid w:val="00105155"/>
    <w:rsid w:val="00120B2A"/>
    <w:rsid w:val="00121D76"/>
    <w:rsid w:val="001244F8"/>
    <w:rsid w:val="00124A44"/>
    <w:rsid w:val="00124AFD"/>
    <w:rsid w:val="001312D6"/>
    <w:rsid w:val="00151077"/>
    <w:rsid w:val="00180052"/>
    <w:rsid w:val="001839F7"/>
    <w:rsid w:val="00185C85"/>
    <w:rsid w:val="001967DF"/>
    <w:rsid w:val="001A247A"/>
    <w:rsid w:val="001A624B"/>
    <w:rsid w:val="001B4FD8"/>
    <w:rsid w:val="001B7AEF"/>
    <w:rsid w:val="001C0A3C"/>
    <w:rsid w:val="001C359B"/>
    <w:rsid w:val="001E322C"/>
    <w:rsid w:val="001F3262"/>
    <w:rsid w:val="001F5AF4"/>
    <w:rsid w:val="002170A2"/>
    <w:rsid w:val="00220922"/>
    <w:rsid w:val="00290438"/>
    <w:rsid w:val="0029339C"/>
    <w:rsid w:val="002945BB"/>
    <w:rsid w:val="002A76A2"/>
    <w:rsid w:val="002B0401"/>
    <w:rsid w:val="002C1F8D"/>
    <w:rsid w:val="002D1FC9"/>
    <w:rsid w:val="002D5709"/>
    <w:rsid w:val="00310434"/>
    <w:rsid w:val="00315235"/>
    <w:rsid w:val="003302DB"/>
    <w:rsid w:val="00361E2B"/>
    <w:rsid w:val="00374347"/>
    <w:rsid w:val="0037681F"/>
    <w:rsid w:val="00391991"/>
    <w:rsid w:val="003A05C4"/>
    <w:rsid w:val="003C2D3A"/>
    <w:rsid w:val="003D04EF"/>
    <w:rsid w:val="003E2AA8"/>
    <w:rsid w:val="003E57C6"/>
    <w:rsid w:val="003E5D52"/>
    <w:rsid w:val="003E5F5D"/>
    <w:rsid w:val="004025FA"/>
    <w:rsid w:val="00415A6A"/>
    <w:rsid w:val="00435AEC"/>
    <w:rsid w:val="00437E33"/>
    <w:rsid w:val="00450D50"/>
    <w:rsid w:val="00450F0E"/>
    <w:rsid w:val="004547E5"/>
    <w:rsid w:val="00457153"/>
    <w:rsid w:val="00464109"/>
    <w:rsid w:val="00491F09"/>
    <w:rsid w:val="004A2DC8"/>
    <w:rsid w:val="004A7057"/>
    <w:rsid w:val="004B7181"/>
    <w:rsid w:val="004C0970"/>
    <w:rsid w:val="004C2A21"/>
    <w:rsid w:val="004C30A2"/>
    <w:rsid w:val="004E1DD0"/>
    <w:rsid w:val="004E4E3C"/>
    <w:rsid w:val="004E5F01"/>
    <w:rsid w:val="004E64C4"/>
    <w:rsid w:val="00505824"/>
    <w:rsid w:val="00510EA0"/>
    <w:rsid w:val="00511D7C"/>
    <w:rsid w:val="00517DDC"/>
    <w:rsid w:val="0052435E"/>
    <w:rsid w:val="00536264"/>
    <w:rsid w:val="00563E24"/>
    <w:rsid w:val="00572D01"/>
    <w:rsid w:val="005951B0"/>
    <w:rsid w:val="005A6D36"/>
    <w:rsid w:val="005C54AB"/>
    <w:rsid w:val="005D4DAF"/>
    <w:rsid w:val="005E10A1"/>
    <w:rsid w:val="005E4EA1"/>
    <w:rsid w:val="005F2890"/>
    <w:rsid w:val="005F6C29"/>
    <w:rsid w:val="006076E8"/>
    <w:rsid w:val="00612CA8"/>
    <w:rsid w:val="00615347"/>
    <w:rsid w:val="00654493"/>
    <w:rsid w:val="006546BB"/>
    <w:rsid w:val="0066505A"/>
    <w:rsid w:val="006655F2"/>
    <w:rsid w:val="006719C1"/>
    <w:rsid w:val="006B0904"/>
    <w:rsid w:val="007103E0"/>
    <w:rsid w:val="00725393"/>
    <w:rsid w:val="0073170A"/>
    <w:rsid w:val="007614F3"/>
    <w:rsid w:val="007674F1"/>
    <w:rsid w:val="00777EF9"/>
    <w:rsid w:val="0078170C"/>
    <w:rsid w:val="00782769"/>
    <w:rsid w:val="00782901"/>
    <w:rsid w:val="00784FB4"/>
    <w:rsid w:val="00785337"/>
    <w:rsid w:val="007968F9"/>
    <w:rsid w:val="00797B5B"/>
    <w:rsid w:val="007D18EA"/>
    <w:rsid w:val="007F27B1"/>
    <w:rsid w:val="007F4CCA"/>
    <w:rsid w:val="007F5F7C"/>
    <w:rsid w:val="0083378F"/>
    <w:rsid w:val="00846C3F"/>
    <w:rsid w:val="008524EC"/>
    <w:rsid w:val="0087072A"/>
    <w:rsid w:val="008740D2"/>
    <w:rsid w:val="008809E8"/>
    <w:rsid w:val="00891BCF"/>
    <w:rsid w:val="00892AB6"/>
    <w:rsid w:val="008B2528"/>
    <w:rsid w:val="008B5216"/>
    <w:rsid w:val="008D5DEF"/>
    <w:rsid w:val="008E1537"/>
    <w:rsid w:val="008E575E"/>
    <w:rsid w:val="009047B5"/>
    <w:rsid w:val="00906ADB"/>
    <w:rsid w:val="00906F0E"/>
    <w:rsid w:val="009107F8"/>
    <w:rsid w:val="009150F0"/>
    <w:rsid w:val="00932572"/>
    <w:rsid w:val="00943534"/>
    <w:rsid w:val="00943838"/>
    <w:rsid w:val="009463CB"/>
    <w:rsid w:val="00946CD1"/>
    <w:rsid w:val="00951F5B"/>
    <w:rsid w:val="009637A3"/>
    <w:rsid w:val="00990F84"/>
    <w:rsid w:val="009E42F9"/>
    <w:rsid w:val="009F330B"/>
    <w:rsid w:val="00A12AE5"/>
    <w:rsid w:val="00A51490"/>
    <w:rsid w:val="00A61E50"/>
    <w:rsid w:val="00A745C6"/>
    <w:rsid w:val="00AB02C0"/>
    <w:rsid w:val="00AB5463"/>
    <w:rsid w:val="00AD0D91"/>
    <w:rsid w:val="00AD60AE"/>
    <w:rsid w:val="00AD6118"/>
    <w:rsid w:val="00AE115E"/>
    <w:rsid w:val="00AE5417"/>
    <w:rsid w:val="00B24D61"/>
    <w:rsid w:val="00B37924"/>
    <w:rsid w:val="00BB3D42"/>
    <w:rsid w:val="00BB472C"/>
    <w:rsid w:val="00BD046D"/>
    <w:rsid w:val="00BF4622"/>
    <w:rsid w:val="00BF748B"/>
    <w:rsid w:val="00C056A1"/>
    <w:rsid w:val="00C05A38"/>
    <w:rsid w:val="00C16DEC"/>
    <w:rsid w:val="00C311CD"/>
    <w:rsid w:val="00C54D26"/>
    <w:rsid w:val="00C6313A"/>
    <w:rsid w:val="00C700F1"/>
    <w:rsid w:val="00C7681F"/>
    <w:rsid w:val="00C9482D"/>
    <w:rsid w:val="00C96663"/>
    <w:rsid w:val="00CB2B18"/>
    <w:rsid w:val="00CC1486"/>
    <w:rsid w:val="00CD33E0"/>
    <w:rsid w:val="00CD3698"/>
    <w:rsid w:val="00CE0EDC"/>
    <w:rsid w:val="00CE16EE"/>
    <w:rsid w:val="00CF676C"/>
    <w:rsid w:val="00D3018F"/>
    <w:rsid w:val="00D3557B"/>
    <w:rsid w:val="00D40529"/>
    <w:rsid w:val="00D41AF9"/>
    <w:rsid w:val="00D4203D"/>
    <w:rsid w:val="00D52694"/>
    <w:rsid w:val="00D56F4D"/>
    <w:rsid w:val="00D63035"/>
    <w:rsid w:val="00DB4F51"/>
    <w:rsid w:val="00DC1BBC"/>
    <w:rsid w:val="00DC1BE1"/>
    <w:rsid w:val="00DC64F2"/>
    <w:rsid w:val="00DD2307"/>
    <w:rsid w:val="00DE0A3F"/>
    <w:rsid w:val="00DE4B52"/>
    <w:rsid w:val="00DF7D69"/>
    <w:rsid w:val="00E13CA0"/>
    <w:rsid w:val="00E172CA"/>
    <w:rsid w:val="00E30F1F"/>
    <w:rsid w:val="00E322FE"/>
    <w:rsid w:val="00E420C8"/>
    <w:rsid w:val="00E5116A"/>
    <w:rsid w:val="00E63171"/>
    <w:rsid w:val="00E66BE5"/>
    <w:rsid w:val="00E75F23"/>
    <w:rsid w:val="00E761A1"/>
    <w:rsid w:val="00EA33FB"/>
    <w:rsid w:val="00EA5809"/>
    <w:rsid w:val="00EC2967"/>
    <w:rsid w:val="00EC33DC"/>
    <w:rsid w:val="00ED1C5D"/>
    <w:rsid w:val="00ED265D"/>
    <w:rsid w:val="00EE3C41"/>
    <w:rsid w:val="00F210C0"/>
    <w:rsid w:val="00F265AD"/>
    <w:rsid w:val="00F308D8"/>
    <w:rsid w:val="00F41B7F"/>
    <w:rsid w:val="00F52920"/>
    <w:rsid w:val="00F5359E"/>
    <w:rsid w:val="00F60CD3"/>
    <w:rsid w:val="00F61545"/>
    <w:rsid w:val="00F65DF7"/>
    <w:rsid w:val="00F72091"/>
    <w:rsid w:val="00FA639F"/>
    <w:rsid w:val="00FB520F"/>
    <w:rsid w:val="00FB69EA"/>
    <w:rsid w:val="00FC298B"/>
    <w:rsid w:val="00FC7652"/>
    <w:rsid w:val="00FD6CD8"/>
    <w:rsid w:val="00FE174F"/>
    <w:rsid w:val="00FE2564"/>
    <w:rsid w:val="00FE6DE5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1F4"/>
  <w15:chartTrackingRefBased/>
  <w15:docId w15:val="{6D455913-A7E7-4B94-8A6F-506DEF3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4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1"/>
    <w:rPr>
      <w:color w:val="605E5C"/>
      <w:shd w:val="clear" w:color="auto" w:fill="E1DFDD"/>
    </w:rPr>
  </w:style>
  <w:style w:type="paragraph" w:customStyle="1" w:styleId="Default">
    <w:name w:val="Default"/>
    <w:rsid w:val="00D301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Revize">
    <w:name w:val="Revision"/>
    <w:hidden/>
    <w:uiPriority w:val="99"/>
    <w:semiHidden/>
    <w:rsid w:val="00F210C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10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03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03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3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lenka.stybrova@m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ina.sklenakova@ms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19AA-CF44-46FC-A859-D902987D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3081</Words>
  <Characters>18641</Characters>
  <Application>Microsoft Office Word</Application>
  <DocSecurity>0</DocSecurity>
  <Lines>315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13</cp:revision>
  <dcterms:created xsi:type="dcterms:W3CDTF">2026-02-10T10:30:00Z</dcterms:created>
  <dcterms:modified xsi:type="dcterms:W3CDTF">2026-02-10T10:42:00Z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