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0919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  <w:r w:rsidR="00C3528D">
        <w:rPr>
          <w:rFonts w:ascii="Tahoma" w:hAnsi="Tahoma" w:cs="Tahoma"/>
          <w:bCs/>
          <w:sz w:val="24"/>
          <w:szCs w:val="24"/>
        </w:rPr>
        <w:t>č. 2</w:t>
      </w:r>
    </w:p>
    <w:p w14:paraId="67DFB742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0C863B24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14979797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169F489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6765A2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6765A2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7B055F7" w14:textId="77777777" w:rsidR="003E39D0" w:rsidRPr="00834AB5" w:rsidRDefault="000C6CA8" w:rsidP="00CB468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062E">
        <w:rPr>
          <w:rFonts w:ascii="Tahoma" w:hAnsi="Tahoma" w:cs="Tahoma"/>
          <w:b w:val="0"/>
          <w:bCs/>
          <w:sz w:val="20"/>
        </w:rPr>
        <w:t>Ing. Šárkou Šimoňákovou,</w:t>
      </w:r>
      <w:r w:rsidR="00F32DB9">
        <w:rPr>
          <w:rFonts w:ascii="Tahoma" w:hAnsi="Tahoma" w:cs="Tahoma"/>
          <w:b w:val="0"/>
          <w:bCs/>
          <w:sz w:val="20"/>
        </w:rPr>
        <w:t xml:space="preserve"> 1.</w:t>
      </w:r>
      <w:r w:rsidR="0099062E">
        <w:rPr>
          <w:rFonts w:ascii="Tahoma" w:hAnsi="Tahoma" w:cs="Tahoma"/>
          <w:b w:val="0"/>
          <w:bCs/>
          <w:sz w:val="20"/>
        </w:rPr>
        <w:t xml:space="preserve"> náměstkyní hejtmana kraje</w:t>
      </w:r>
    </w:p>
    <w:p w14:paraId="42DEDCC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7AC824B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6B36692F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216E1A1A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17EC0BD3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558E4FDA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4F9A52DC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A55517">
        <w:rPr>
          <w:rFonts w:ascii="Tahoma" w:hAnsi="Tahoma" w:cs="Tahoma"/>
          <w:sz w:val="20"/>
          <w:szCs w:val="20"/>
          <w:lang w:val="cs-CZ"/>
        </w:rPr>
        <w:t>třebom</w:t>
      </w:r>
    </w:p>
    <w:p w14:paraId="6E6994A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55517">
        <w:rPr>
          <w:rFonts w:ascii="Tahoma" w:hAnsi="Tahoma" w:cs="Tahoma"/>
          <w:b w:val="0"/>
          <w:bCs/>
          <w:sz w:val="20"/>
        </w:rPr>
        <w:t>Třebom 3, 747 25 Třebom</w:t>
      </w:r>
    </w:p>
    <w:p w14:paraId="637845C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55517">
        <w:rPr>
          <w:rFonts w:ascii="Tahoma" w:hAnsi="Tahoma" w:cs="Tahoma"/>
          <w:b w:val="0"/>
          <w:bCs/>
          <w:sz w:val="20"/>
        </w:rPr>
        <w:t>Jaroslavem Vlkem, starostou</w:t>
      </w:r>
    </w:p>
    <w:p w14:paraId="181A8472" w14:textId="77777777" w:rsidR="00A55517" w:rsidRPr="00834AB5" w:rsidRDefault="00E60704" w:rsidP="00A55517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55517">
        <w:rPr>
          <w:rFonts w:ascii="Tahoma" w:hAnsi="Tahoma" w:cs="Tahoma"/>
          <w:b w:val="0"/>
          <w:bCs/>
          <w:sz w:val="20"/>
        </w:rPr>
        <w:t>00635481</w:t>
      </w:r>
    </w:p>
    <w:p w14:paraId="4C57BB04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5CAE6BBB" w14:textId="77777777" w:rsidR="00664C06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55517">
        <w:rPr>
          <w:rFonts w:ascii="Tahoma" w:hAnsi="Tahoma" w:cs="Tahoma"/>
          <w:b w:val="0"/>
          <w:bCs/>
          <w:sz w:val="20"/>
        </w:rPr>
        <w:t>Česká spořitelna</w:t>
      </w:r>
      <w:r w:rsidR="00A55517" w:rsidRPr="00834AB5">
        <w:rPr>
          <w:rFonts w:ascii="Tahoma" w:hAnsi="Tahoma" w:cs="Tahoma"/>
          <w:b w:val="0"/>
          <w:bCs/>
          <w:sz w:val="20"/>
        </w:rPr>
        <w:t>,</w:t>
      </w:r>
      <w:r w:rsidR="00A55517">
        <w:rPr>
          <w:rFonts w:ascii="Tahoma" w:hAnsi="Tahoma" w:cs="Tahoma"/>
          <w:b w:val="0"/>
          <w:bCs/>
          <w:sz w:val="20"/>
        </w:rPr>
        <w:t xml:space="preserve"> a.s.</w:t>
      </w:r>
    </w:p>
    <w:p w14:paraId="2A67D8A0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A55517">
        <w:rPr>
          <w:rFonts w:ascii="Tahoma" w:hAnsi="Tahoma" w:cs="Tahoma"/>
          <w:b w:val="0"/>
          <w:bCs/>
          <w:sz w:val="20"/>
        </w:rPr>
        <w:t>1842505309/0800</w:t>
      </w:r>
    </w:p>
    <w:p w14:paraId="6CEE36FB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9C0389E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2E48BB93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750B664" w14:textId="77777777" w:rsidR="001E42EB" w:rsidRPr="001E42EB" w:rsidRDefault="00A55517" w:rsidP="0028572F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1E42EB">
        <w:rPr>
          <w:rFonts w:ascii="Tahoma" w:hAnsi="Tahoma" w:cs="Tahoma"/>
          <w:b w:val="0"/>
          <w:bCs/>
          <w:iCs/>
          <w:sz w:val="20"/>
        </w:rPr>
        <w:t>. 201</w:t>
      </w:r>
      <w:r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1720</w:t>
      </w:r>
      <w:r w:rsidRPr="001E42EB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/RRC (dále jen „smlouva“), dne </w:t>
      </w:r>
      <w:r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>. 6. 20</w:t>
      </w:r>
      <w:r>
        <w:rPr>
          <w:rFonts w:ascii="Tahoma" w:hAnsi="Tahoma" w:cs="Tahoma"/>
          <w:b w:val="0"/>
          <w:bCs/>
          <w:iCs/>
          <w:sz w:val="20"/>
        </w:rPr>
        <w:t>19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doba realizace projektu do 30. 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, a dne </w:t>
      </w:r>
      <w:r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1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>. 202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2 ke smlouvě</w:t>
      </w:r>
      <w:r>
        <w:rPr>
          <w:rFonts w:ascii="Tahoma" w:hAnsi="Tahoma" w:cs="Tahoma"/>
          <w:b w:val="0"/>
          <w:bCs/>
          <w:iCs/>
          <w:sz w:val="20"/>
        </w:rPr>
        <w:t>,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kterým byla prodloužena lhůta pro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Pr="00411E53">
        <w:rPr>
          <w:rFonts w:ascii="Tahoma" w:hAnsi="Tahoma" w:cs="Tahoma"/>
          <w:bCs/>
          <w:iCs/>
          <w:sz w:val="20"/>
        </w:rPr>
        <w:t>Poldr v obci Třebom</w:t>
      </w:r>
      <w:r w:rsidRPr="001E42EB">
        <w:rPr>
          <w:rFonts w:ascii="Tahoma" w:hAnsi="Tahoma" w:cs="Tahoma"/>
          <w:b w:val="0"/>
          <w:iCs/>
          <w:sz w:val="20"/>
        </w:rPr>
        <w:t>“ v rámci programu „Program na podporu přípravy projektové dokumentace 201</w:t>
      </w:r>
      <w:r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“, splnila kritéria formálních náležitostí a kritéria přijatelnosti (dále jen „doklad od Řídícího orgánu“)</w:t>
      </w:r>
      <w:r>
        <w:rPr>
          <w:rFonts w:ascii="Tahoma" w:hAnsi="Tahoma" w:cs="Tahoma"/>
          <w:b w:val="0"/>
          <w:iCs/>
          <w:sz w:val="20"/>
        </w:rPr>
        <w:t xml:space="preserve">, </w:t>
      </w:r>
      <w:r w:rsidRPr="00D57C75">
        <w:rPr>
          <w:rFonts w:ascii="Tahoma" w:hAnsi="Tahoma" w:cs="Tahoma"/>
          <w:b w:val="0"/>
          <w:iCs/>
          <w:sz w:val="20"/>
        </w:rPr>
        <w:t>nebo předložení kolaudačního rozhodnutí v</w:t>
      </w:r>
      <w:r>
        <w:rPr>
          <w:rFonts w:ascii="Tahoma" w:hAnsi="Tahoma" w:cs="Tahoma"/>
          <w:b w:val="0"/>
          <w:iCs/>
          <w:sz w:val="20"/>
        </w:rPr>
        <w:t> </w:t>
      </w:r>
      <w:r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AE7214"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AE7214">
        <w:rPr>
          <w:rFonts w:ascii="Tahoma" w:hAnsi="Tahoma" w:cs="Tahoma"/>
          <w:b w:val="0"/>
          <w:bCs/>
          <w:iCs/>
          <w:sz w:val="20"/>
        </w:rPr>
        <w:t>3</w:t>
      </w:r>
      <w:r>
        <w:rPr>
          <w:rFonts w:ascii="Tahoma" w:hAnsi="Tahoma" w:cs="Tahoma"/>
          <w:b w:val="0"/>
          <w:bCs/>
          <w:iCs/>
          <w:sz w:val="20"/>
        </w:rPr>
        <w:t xml:space="preserve"> a byl rozšířen okruh programů, do nichž může </w:t>
      </w:r>
      <w:r w:rsidR="00AE7214">
        <w:rPr>
          <w:rFonts w:ascii="Tahoma" w:hAnsi="Tahoma" w:cs="Tahoma"/>
          <w:b w:val="0"/>
          <w:bCs/>
          <w:iCs/>
          <w:sz w:val="20"/>
        </w:rPr>
        <w:t xml:space="preserve">příjemce </w:t>
      </w:r>
      <w:r>
        <w:rPr>
          <w:rFonts w:ascii="Tahoma" w:hAnsi="Tahoma" w:cs="Tahoma"/>
          <w:b w:val="0"/>
          <w:bCs/>
          <w:iCs/>
          <w:sz w:val="20"/>
        </w:rPr>
        <w:t>předložit projekt o národní dotační tituly</w:t>
      </w:r>
      <w:r w:rsidR="00AE7214">
        <w:rPr>
          <w:rFonts w:ascii="Tahoma" w:hAnsi="Tahoma" w:cs="Tahoma"/>
          <w:b w:val="0"/>
          <w:bCs/>
          <w:iCs/>
          <w:sz w:val="20"/>
        </w:rPr>
        <w:t xml:space="preserve">, </w:t>
      </w:r>
      <w:r w:rsidR="00AE7214" w:rsidRPr="00AE7214">
        <w:rPr>
          <w:rFonts w:ascii="Tahoma" w:hAnsi="Tahoma" w:cs="Tahoma"/>
          <w:b w:val="0"/>
          <w:bCs/>
          <w:iCs/>
          <w:sz w:val="20"/>
        </w:rPr>
        <w:t xml:space="preserve">a dne </w:t>
      </w:r>
      <w:r w:rsidR="00AE7214">
        <w:rPr>
          <w:rFonts w:ascii="Tahoma" w:hAnsi="Tahoma" w:cs="Tahoma"/>
          <w:b w:val="0"/>
          <w:bCs/>
          <w:iCs/>
          <w:sz w:val="20"/>
        </w:rPr>
        <w:t>30</w:t>
      </w:r>
      <w:r w:rsidR="00AE7214" w:rsidRPr="00AE7214">
        <w:rPr>
          <w:rFonts w:ascii="Tahoma" w:hAnsi="Tahoma" w:cs="Tahoma"/>
          <w:b w:val="0"/>
          <w:bCs/>
          <w:iCs/>
          <w:sz w:val="20"/>
        </w:rPr>
        <w:t>. 5. 2024 Dohodu o narovnání ke smlouvě, kterou se smluvní strany dohodly, že lhůta pro doložení dokladu od Řídícího orgánu, nebo předložení kolaudačního rozhodnutí je do 31. 12. 2025</w:t>
      </w:r>
      <w:r w:rsidR="001D44A6">
        <w:rPr>
          <w:rFonts w:ascii="Tahoma" w:hAnsi="Tahoma" w:cs="Tahoma"/>
          <w:b w:val="0"/>
          <w:bCs/>
          <w:iCs/>
          <w:sz w:val="20"/>
        </w:rPr>
        <w:t>.</w:t>
      </w:r>
    </w:p>
    <w:p w14:paraId="2E71F8D0" w14:textId="77777777" w:rsidR="00FA6BC4" w:rsidRPr="001E42EB" w:rsidRDefault="00966B69" w:rsidP="00FA6B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A55517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C3528D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C3528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</w:t>
      </w:r>
      <w:bookmarkStart w:id="0" w:name="_Hlk158372018"/>
      <w:r w:rsidRPr="00D57C75">
        <w:rPr>
          <w:rFonts w:ascii="Tahoma" w:hAnsi="Tahoma" w:cs="Tahoma"/>
          <w:b w:val="0"/>
          <w:iCs/>
          <w:sz w:val="20"/>
        </w:rPr>
        <w:t>nebo předložení kolaudačního rozhodnutí</w:t>
      </w:r>
      <w:bookmarkEnd w:id="0"/>
      <w:r w:rsidRPr="00D57C75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nově do 3</w:t>
      </w:r>
      <w:r w:rsidR="00A55517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A55517">
        <w:rPr>
          <w:rFonts w:ascii="Tahoma" w:hAnsi="Tahoma" w:cs="Tahoma"/>
          <w:b w:val="0"/>
          <w:iCs/>
          <w:sz w:val="20"/>
        </w:rPr>
        <w:t>12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A55517">
        <w:rPr>
          <w:rFonts w:ascii="Tahoma" w:hAnsi="Tahoma" w:cs="Tahoma"/>
          <w:b w:val="0"/>
          <w:iCs/>
          <w:sz w:val="20"/>
        </w:rPr>
        <w:t>7</w:t>
      </w:r>
      <w:r w:rsidR="001E42EB" w:rsidRPr="001E42EB">
        <w:rPr>
          <w:rFonts w:ascii="Tahoma" w:hAnsi="Tahoma" w:cs="Tahoma"/>
          <w:b w:val="0"/>
          <w:iCs/>
          <w:sz w:val="20"/>
        </w:rPr>
        <w:t>.</w:t>
      </w:r>
      <w:r w:rsidR="001D44A6">
        <w:rPr>
          <w:rFonts w:ascii="Tahoma" w:hAnsi="Tahoma" w:cs="Tahoma"/>
          <w:b w:val="0"/>
          <w:iCs/>
          <w:sz w:val="20"/>
        </w:rPr>
        <w:t xml:space="preserve"> </w:t>
      </w:r>
    </w:p>
    <w:p w14:paraId="65631F46" w14:textId="77777777" w:rsidR="001E42EB" w:rsidRPr="00471673" w:rsidRDefault="006765A2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6765A2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FB45FD">
        <w:rPr>
          <w:rFonts w:ascii="Tahoma" w:hAnsi="Tahoma" w:cs="Tahoma"/>
          <w:b w:val="0"/>
          <w:iCs/>
          <w:sz w:val="20"/>
        </w:rPr>
        <w:t xml:space="preserve"> </w:t>
      </w:r>
      <w:r w:rsidR="00FB45FD" w:rsidRPr="00FB45FD">
        <w:rPr>
          <w:rFonts w:ascii="Tahoma" w:hAnsi="Tahoma" w:cs="Tahoma"/>
          <w:b w:val="0"/>
          <w:iCs/>
          <w:sz w:val="20"/>
        </w:rPr>
        <w:t>nebo předložení kolaudačního rozhodnutí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26B3A6DC" w14:textId="77777777" w:rsidR="00411E53" w:rsidRPr="00834AB5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5150503" w14:textId="77777777" w:rsidR="00411E53" w:rsidRPr="00834AB5" w:rsidRDefault="00411E53" w:rsidP="00411E53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26E1BAF" w14:textId="77777777" w:rsidR="00411E53" w:rsidRPr="00834AB5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doložení dokladu od Řídícího orgánu </w:t>
      </w:r>
      <w:r w:rsidR="008E147B" w:rsidRPr="008E147B">
        <w:rPr>
          <w:rFonts w:ascii="Tahoma" w:hAnsi="Tahoma" w:cs="Tahoma"/>
          <w:b w:val="0"/>
          <w:bCs/>
          <w:iCs/>
          <w:color w:val="000000"/>
          <w:sz w:val="20"/>
        </w:rPr>
        <w:t xml:space="preserve">nebo kolaudačního rozhodnutí </w:t>
      </w:r>
      <w:r>
        <w:rPr>
          <w:rFonts w:ascii="Tahoma" w:hAnsi="Tahoma" w:cs="Tahoma"/>
          <w:b w:val="0"/>
          <w:bCs/>
          <w:iCs/>
          <w:color w:val="000000"/>
          <w:sz w:val="20"/>
        </w:rPr>
        <w:t>(31. 12. 202</w:t>
      </w:r>
      <w:r w:rsidR="00FA6BC4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7528C902" w14:textId="77777777" w:rsidR="00411E53" w:rsidRPr="00697EEB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doložení </w:t>
      </w:r>
      <w:r w:rsidR="00B306DA" w:rsidRPr="00B306DA">
        <w:rPr>
          <w:rFonts w:ascii="Tahoma" w:hAnsi="Tahoma" w:cs="Tahoma"/>
          <w:b w:val="0"/>
          <w:bCs/>
          <w:iCs/>
          <w:color w:val="000000"/>
          <w:sz w:val="20"/>
        </w:rPr>
        <w:t>dokladu od Řídícího orgánu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 xml:space="preserve"> nebo kolaudační</w:t>
      </w:r>
      <w:r w:rsidR="00CD34B0">
        <w:rPr>
          <w:rFonts w:ascii="Tahoma" w:hAnsi="Tahoma" w:cs="Tahoma"/>
          <w:b w:val="0"/>
          <w:bCs/>
          <w:iCs/>
          <w:color w:val="000000"/>
          <w:sz w:val="20"/>
        </w:rPr>
        <w:t>ho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 xml:space="preserve"> rozhodnutí</w:t>
      </w:r>
      <w:r w:rsidR="00B306DA" w:rsidRP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55517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38B45A06" w14:textId="77777777" w:rsidR="00411E53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písm. </w:t>
      </w:r>
      <w:r w:rsidR="00AC3120">
        <w:rPr>
          <w:rFonts w:ascii="Tahoma" w:hAnsi="Tahoma" w:cs="Tahoma"/>
          <w:b w:val="0"/>
          <w:bCs/>
          <w:iCs/>
          <w:color w:val="000000"/>
          <w:sz w:val="20"/>
        </w:rPr>
        <w:t>s</w:t>
      </w:r>
      <w:r w:rsidR="008F7E42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79EE5B3D" w14:textId="77777777" w:rsidR="00353BC8" w:rsidRPr="00834AB5" w:rsidRDefault="00353BC8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>Smluvní strany se dále dohodly, že lhůta pro doložení dokladu od Řídícího orgánu se po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 č. 2</w:t>
      </w: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 xml:space="preserve"> již nebude znovu smluvně prodlužovat</w:t>
      </w:r>
      <w:r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82F22CE" w14:textId="77777777" w:rsidR="00411E53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</w:p>
    <w:p w14:paraId="53570530" w14:textId="77777777" w:rsidR="00341E2B" w:rsidRPr="00834AB5" w:rsidRDefault="00844018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4C6EDFCC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548C7B63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2C665C7C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6DF6BA84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2D5E4002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13CA4F7E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5358422E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7BEFBB65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5A3DE3">
        <w:rPr>
          <w:rFonts w:ascii="Tahoma" w:hAnsi="Tahoma" w:cs="Tahoma"/>
          <w:b w:val="0"/>
          <w:bCs/>
          <w:sz w:val="20"/>
        </w:rPr>
        <w:t>1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36F505FB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70F3446C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1647E6" w:rsidRPr="001647E6">
        <w:rPr>
          <w:rFonts w:ascii="Tahoma" w:hAnsi="Tahoma" w:cs="Tahoma"/>
          <w:b w:val="0"/>
          <w:bCs/>
          <w:sz w:val="20"/>
        </w:rPr>
        <w:t>r</w:t>
      </w:r>
      <w:r w:rsidR="00883FC6" w:rsidRPr="001647E6">
        <w:rPr>
          <w:rFonts w:ascii="Tahoma" w:hAnsi="Tahoma" w:cs="Tahoma"/>
          <w:b w:val="0"/>
          <w:bCs/>
          <w:sz w:val="20"/>
        </w:rPr>
        <w:t>ozhodl</w:t>
      </w:r>
      <w:r w:rsidR="00B463CD" w:rsidRPr="001647E6">
        <w:rPr>
          <w:rFonts w:ascii="Tahoma" w:hAnsi="Tahoma" w:cs="Tahoma"/>
          <w:b w:val="0"/>
          <w:bCs/>
          <w:sz w:val="20"/>
        </w:rPr>
        <w:t>o</w:t>
      </w:r>
      <w:r w:rsidR="004B15F7" w:rsidRPr="001647E6">
        <w:rPr>
          <w:rFonts w:ascii="Tahoma" w:hAnsi="Tahoma" w:cs="Tahoma"/>
          <w:b w:val="0"/>
          <w:bCs/>
          <w:sz w:val="20"/>
        </w:rPr>
        <w:t xml:space="preserve"> zastupitelstvo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894590" w:rsidRPr="00894590" w14:paraId="6B10F7AA" w14:textId="77777777" w:rsidTr="003D28D6">
        <w:tc>
          <w:tcPr>
            <w:tcW w:w="3544" w:type="dxa"/>
          </w:tcPr>
          <w:p w14:paraId="3F94E60F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E4AACFB" w14:textId="77777777" w:rsidR="00894590" w:rsidRPr="00894590" w:rsidRDefault="00894590" w:rsidP="00B32497">
            <w:pPr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</w:tcPr>
          <w:p w14:paraId="21DB09BA" w14:textId="77777777" w:rsidR="00894590" w:rsidRPr="00894590" w:rsidRDefault="00A55517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 Třebomi </w:t>
            </w:r>
            <w:r w:rsidR="00894590" w:rsidRPr="00894590">
              <w:rPr>
                <w:rFonts w:ascii="Tahoma" w:hAnsi="Tahoma" w:cs="Tahoma"/>
                <w:b w:val="0"/>
                <w:bCs/>
                <w:sz w:val="20"/>
              </w:rPr>
              <w:t>dne:</w:t>
            </w:r>
          </w:p>
        </w:tc>
      </w:tr>
      <w:tr w:rsidR="00894590" w:rsidRPr="00894590" w14:paraId="64A48A35" w14:textId="77777777" w:rsidTr="003D28D6">
        <w:trPr>
          <w:trHeight w:val="184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A1F76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A959829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B0967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894590" w:rsidRPr="00894590" w14:paraId="00C1C32B" w14:textId="77777777" w:rsidTr="003D28D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712A3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0272A29A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02D4A7F2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1. náměstkyně hejtmana kraje</w:t>
            </w:r>
          </w:p>
        </w:tc>
        <w:tc>
          <w:tcPr>
            <w:tcW w:w="1985" w:type="dxa"/>
            <w:vAlign w:val="center"/>
          </w:tcPr>
          <w:p w14:paraId="333B92A9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61A29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40D64EA4" w14:textId="77777777" w:rsidR="00A55517" w:rsidRPr="00E04CED" w:rsidRDefault="00A55517" w:rsidP="00A5551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Jaroslav Vlk</w:t>
            </w:r>
          </w:p>
          <w:p w14:paraId="7893C8CF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>starosta</w:t>
            </w:r>
          </w:p>
          <w:p w14:paraId="588BA83B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2468F308" w14:textId="77777777" w:rsidR="003D28D6" w:rsidRPr="003D28D6" w:rsidRDefault="003D28D6" w:rsidP="003D28D6">
      <w:pPr>
        <w:rPr>
          <w:rFonts w:ascii="Tahoma" w:hAnsi="Tahoma" w:cs="Tahoma"/>
          <w:b w:val="0"/>
          <w:bCs/>
          <w:iCs/>
          <w:sz w:val="20"/>
        </w:rPr>
      </w:pPr>
      <w:r w:rsidRPr="003D28D6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3D28D6">
        <w:rPr>
          <w:rFonts w:ascii="Tahoma" w:hAnsi="Tahoma" w:cs="Tahoma"/>
          <w:b w:val="0"/>
          <w:bCs/>
          <w:sz w:val="20"/>
        </w:rPr>
        <w:tab/>
      </w:r>
    </w:p>
    <w:p w14:paraId="69404C67" w14:textId="77777777" w:rsidR="005A7A74" w:rsidRPr="00894590" w:rsidRDefault="00894590" w:rsidP="00253B3C">
      <w:pPr>
        <w:rPr>
          <w:rFonts w:ascii="Tahoma" w:hAnsi="Tahoma" w:cs="Tahoma"/>
          <w:b w:val="0"/>
          <w:bCs/>
          <w:iCs/>
          <w:sz w:val="20"/>
        </w:rPr>
      </w:pPr>
      <w:r w:rsidRPr="00894590">
        <w:rPr>
          <w:rFonts w:ascii="Tahoma" w:hAnsi="Tahoma" w:cs="Tahoma"/>
          <w:b w:val="0"/>
          <w:bCs/>
          <w:sz w:val="20"/>
        </w:rPr>
        <w:tab/>
      </w:r>
    </w:p>
    <w:sectPr w:rsidR="005A7A74" w:rsidRPr="00894590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E391" w14:textId="77777777" w:rsidR="0008463B" w:rsidRDefault="0008463B">
      <w:r>
        <w:separator/>
      </w:r>
    </w:p>
  </w:endnote>
  <w:endnote w:type="continuationSeparator" w:id="0">
    <w:p w14:paraId="6A499CC3" w14:textId="77777777" w:rsidR="0008463B" w:rsidRDefault="0008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89B6" w14:textId="724CD102" w:rsidR="004A5EDA" w:rsidRDefault="001E353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E32324" wp14:editId="04EF7A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81324302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1F97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32324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2A1F97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809" w14:textId="780B1F33" w:rsidR="004A5EDA" w:rsidRDefault="001E353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C7FF83" wp14:editId="547A6F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073866775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DBB2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7FF83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40DBB2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3A42" w14:textId="77777777" w:rsidR="0008463B" w:rsidRDefault="0008463B">
      <w:r>
        <w:separator/>
      </w:r>
    </w:p>
  </w:footnote>
  <w:footnote w:type="continuationSeparator" w:id="0">
    <w:p w14:paraId="0E231D79" w14:textId="77777777" w:rsidR="0008463B" w:rsidRDefault="0008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4B16" w14:textId="77777777" w:rsidR="004A5EDA" w:rsidRPr="00BF6AEF" w:rsidRDefault="000E42A1">
    <w:pPr>
      <w:pStyle w:val="Zhlav"/>
      <w:rPr>
        <w:b w:val="0"/>
        <w:bCs/>
      </w:rPr>
    </w:pPr>
    <w:r w:rsidRPr="00BF6AEF">
      <w:rPr>
        <w:b w:val="0"/>
        <w:bCs/>
      </w:rPr>
      <w:t xml:space="preserve">Příloha č. </w:t>
    </w:r>
    <w:r w:rsidR="003D28D6">
      <w:rPr>
        <w:b w:val="0"/>
        <w:bCs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984677">
    <w:abstractNumId w:val="6"/>
  </w:num>
  <w:num w:numId="2" w16cid:durableId="1411582573">
    <w:abstractNumId w:val="4"/>
  </w:num>
  <w:num w:numId="3" w16cid:durableId="620263960">
    <w:abstractNumId w:val="8"/>
  </w:num>
  <w:num w:numId="4" w16cid:durableId="1198737576">
    <w:abstractNumId w:val="13"/>
  </w:num>
  <w:num w:numId="5" w16cid:durableId="525099539">
    <w:abstractNumId w:val="12"/>
  </w:num>
  <w:num w:numId="6" w16cid:durableId="1150487063">
    <w:abstractNumId w:val="11"/>
  </w:num>
  <w:num w:numId="7" w16cid:durableId="1324360253">
    <w:abstractNumId w:val="7"/>
  </w:num>
  <w:num w:numId="8" w16cid:durableId="837501649">
    <w:abstractNumId w:val="10"/>
  </w:num>
  <w:num w:numId="9" w16cid:durableId="46732638">
    <w:abstractNumId w:val="5"/>
  </w:num>
  <w:num w:numId="10" w16cid:durableId="2105613621">
    <w:abstractNumId w:val="14"/>
  </w:num>
  <w:num w:numId="11" w16cid:durableId="596183703">
    <w:abstractNumId w:val="3"/>
  </w:num>
  <w:num w:numId="12" w16cid:durableId="1972974747">
    <w:abstractNumId w:val="1"/>
  </w:num>
  <w:num w:numId="13" w16cid:durableId="1778210081">
    <w:abstractNumId w:val="6"/>
  </w:num>
  <w:num w:numId="14" w16cid:durableId="506287700">
    <w:abstractNumId w:val="0"/>
  </w:num>
  <w:num w:numId="15" w16cid:durableId="619411816">
    <w:abstractNumId w:val="2"/>
  </w:num>
  <w:num w:numId="16" w16cid:durableId="1352026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1DD2"/>
    <w:rsid w:val="00004B9E"/>
    <w:rsid w:val="00007D00"/>
    <w:rsid w:val="0001310E"/>
    <w:rsid w:val="000332E7"/>
    <w:rsid w:val="00041DF2"/>
    <w:rsid w:val="0004280B"/>
    <w:rsid w:val="00045872"/>
    <w:rsid w:val="0005228E"/>
    <w:rsid w:val="0005736A"/>
    <w:rsid w:val="00067C4D"/>
    <w:rsid w:val="0008463B"/>
    <w:rsid w:val="000907B2"/>
    <w:rsid w:val="0009123E"/>
    <w:rsid w:val="0009277E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104CD3"/>
    <w:rsid w:val="0011276C"/>
    <w:rsid w:val="00114C13"/>
    <w:rsid w:val="00115613"/>
    <w:rsid w:val="0012522B"/>
    <w:rsid w:val="00125E46"/>
    <w:rsid w:val="00126FA2"/>
    <w:rsid w:val="00127766"/>
    <w:rsid w:val="00134DA7"/>
    <w:rsid w:val="00136C98"/>
    <w:rsid w:val="00141A2B"/>
    <w:rsid w:val="00141D54"/>
    <w:rsid w:val="0014301F"/>
    <w:rsid w:val="00144573"/>
    <w:rsid w:val="0014505A"/>
    <w:rsid w:val="001647E6"/>
    <w:rsid w:val="00181A52"/>
    <w:rsid w:val="00187AD3"/>
    <w:rsid w:val="001C062B"/>
    <w:rsid w:val="001C4953"/>
    <w:rsid w:val="001C75F0"/>
    <w:rsid w:val="001D4010"/>
    <w:rsid w:val="001D44A6"/>
    <w:rsid w:val="001D65D9"/>
    <w:rsid w:val="001E3531"/>
    <w:rsid w:val="001E42EB"/>
    <w:rsid w:val="0020381A"/>
    <w:rsid w:val="00204E03"/>
    <w:rsid w:val="00211B00"/>
    <w:rsid w:val="002175DD"/>
    <w:rsid w:val="00220E19"/>
    <w:rsid w:val="00223F71"/>
    <w:rsid w:val="002327E8"/>
    <w:rsid w:val="0024503E"/>
    <w:rsid w:val="00245BA5"/>
    <w:rsid w:val="0025314F"/>
    <w:rsid w:val="00253B3C"/>
    <w:rsid w:val="00264068"/>
    <w:rsid w:val="002736E2"/>
    <w:rsid w:val="00274BFD"/>
    <w:rsid w:val="0028572F"/>
    <w:rsid w:val="002B2BF9"/>
    <w:rsid w:val="002C123E"/>
    <w:rsid w:val="002C3CDA"/>
    <w:rsid w:val="002D3560"/>
    <w:rsid w:val="002E3AD4"/>
    <w:rsid w:val="002F2128"/>
    <w:rsid w:val="00306F80"/>
    <w:rsid w:val="003110F4"/>
    <w:rsid w:val="00315D87"/>
    <w:rsid w:val="00322270"/>
    <w:rsid w:val="00333818"/>
    <w:rsid w:val="00341E2B"/>
    <w:rsid w:val="00353BC8"/>
    <w:rsid w:val="0035441E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D28D6"/>
    <w:rsid w:val="003E39D0"/>
    <w:rsid w:val="003F3CC8"/>
    <w:rsid w:val="00401B23"/>
    <w:rsid w:val="00406614"/>
    <w:rsid w:val="00411E5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4073"/>
    <w:rsid w:val="004D6924"/>
    <w:rsid w:val="004E4163"/>
    <w:rsid w:val="004F32B4"/>
    <w:rsid w:val="004F3301"/>
    <w:rsid w:val="004F4F45"/>
    <w:rsid w:val="004F5C91"/>
    <w:rsid w:val="00501690"/>
    <w:rsid w:val="00502361"/>
    <w:rsid w:val="0051156C"/>
    <w:rsid w:val="00511BEA"/>
    <w:rsid w:val="00513C7D"/>
    <w:rsid w:val="005165BA"/>
    <w:rsid w:val="005323C7"/>
    <w:rsid w:val="005327B8"/>
    <w:rsid w:val="00543518"/>
    <w:rsid w:val="005464E5"/>
    <w:rsid w:val="00550EF8"/>
    <w:rsid w:val="00553B6F"/>
    <w:rsid w:val="00566FD8"/>
    <w:rsid w:val="00570591"/>
    <w:rsid w:val="00580A0B"/>
    <w:rsid w:val="005A3DE3"/>
    <w:rsid w:val="005A43E9"/>
    <w:rsid w:val="005A7A74"/>
    <w:rsid w:val="005C7764"/>
    <w:rsid w:val="005D18B5"/>
    <w:rsid w:val="005E2F13"/>
    <w:rsid w:val="006038A8"/>
    <w:rsid w:val="0060544C"/>
    <w:rsid w:val="00610B71"/>
    <w:rsid w:val="00612B6C"/>
    <w:rsid w:val="006567BB"/>
    <w:rsid w:val="00664C06"/>
    <w:rsid w:val="00665BEB"/>
    <w:rsid w:val="006765A2"/>
    <w:rsid w:val="00680D6C"/>
    <w:rsid w:val="006811CE"/>
    <w:rsid w:val="0068642F"/>
    <w:rsid w:val="006867E6"/>
    <w:rsid w:val="00692D47"/>
    <w:rsid w:val="00697EEB"/>
    <w:rsid w:val="006A56C6"/>
    <w:rsid w:val="006C6F59"/>
    <w:rsid w:val="006D10D3"/>
    <w:rsid w:val="006E419C"/>
    <w:rsid w:val="006F5871"/>
    <w:rsid w:val="00707374"/>
    <w:rsid w:val="00713459"/>
    <w:rsid w:val="00722CAE"/>
    <w:rsid w:val="007269FD"/>
    <w:rsid w:val="00731ADC"/>
    <w:rsid w:val="00744ADB"/>
    <w:rsid w:val="00750AB1"/>
    <w:rsid w:val="00756419"/>
    <w:rsid w:val="00756A35"/>
    <w:rsid w:val="0076111A"/>
    <w:rsid w:val="0076454C"/>
    <w:rsid w:val="00764A7C"/>
    <w:rsid w:val="00772711"/>
    <w:rsid w:val="00775620"/>
    <w:rsid w:val="00777532"/>
    <w:rsid w:val="007848CD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44018"/>
    <w:rsid w:val="00847B60"/>
    <w:rsid w:val="008510FE"/>
    <w:rsid w:val="008548BE"/>
    <w:rsid w:val="00862F4F"/>
    <w:rsid w:val="00870D07"/>
    <w:rsid w:val="00870D69"/>
    <w:rsid w:val="00875EE0"/>
    <w:rsid w:val="00876381"/>
    <w:rsid w:val="00883FC6"/>
    <w:rsid w:val="00894590"/>
    <w:rsid w:val="008A3719"/>
    <w:rsid w:val="008B1B5E"/>
    <w:rsid w:val="008B7D9B"/>
    <w:rsid w:val="008C0FAF"/>
    <w:rsid w:val="008C7647"/>
    <w:rsid w:val="008E147B"/>
    <w:rsid w:val="008E5237"/>
    <w:rsid w:val="008F7E42"/>
    <w:rsid w:val="009016AA"/>
    <w:rsid w:val="00912E86"/>
    <w:rsid w:val="00913237"/>
    <w:rsid w:val="009212ED"/>
    <w:rsid w:val="00924EBD"/>
    <w:rsid w:val="009312FA"/>
    <w:rsid w:val="009338B9"/>
    <w:rsid w:val="00943D23"/>
    <w:rsid w:val="00943FFA"/>
    <w:rsid w:val="009478D6"/>
    <w:rsid w:val="00955F99"/>
    <w:rsid w:val="00963B5F"/>
    <w:rsid w:val="00964968"/>
    <w:rsid w:val="00966B69"/>
    <w:rsid w:val="00972093"/>
    <w:rsid w:val="009738E1"/>
    <w:rsid w:val="00975C01"/>
    <w:rsid w:val="00984454"/>
    <w:rsid w:val="0099062E"/>
    <w:rsid w:val="00991BCE"/>
    <w:rsid w:val="00992864"/>
    <w:rsid w:val="00997E1C"/>
    <w:rsid w:val="009A1F7C"/>
    <w:rsid w:val="009A7A8F"/>
    <w:rsid w:val="009B6DB3"/>
    <w:rsid w:val="009B6F18"/>
    <w:rsid w:val="009C5C81"/>
    <w:rsid w:val="009C7D71"/>
    <w:rsid w:val="009D4087"/>
    <w:rsid w:val="00A03450"/>
    <w:rsid w:val="00A11BD4"/>
    <w:rsid w:val="00A37714"/>
    <w:rsid w:val="00A412FC"/>
    <w:rsid w:val="00A4352A"/>
    <w:rsid w:val="00A457F5"/>
    <w:rsid w:val="00A53F35"/>
    <w:rsid w:val="00A55517"/>
    <w:rsid w:val="00A55F05"/>
    <w:rsid w:val="00A60E41"/>
    <w:rsid w:val="00A615D0"/>
    <w:rsid w:val="00A72773"/>
    <w:rsid w:val="00A837F6"/>
    <w:rsid w:val="00A9245E"/>
    <w:rsid w:val="00AA0037"/>
    <w:rsid w:val="00AB21A8"/>
    <w:rsid w:val="00AB3655"/>
    <w:rsid w:val="00AB6456"/>
    <w:rsid w:val="00AC0DDB"/>
    <w:rsid w:val="00AC3120"/>
    <w:rsid w:val="00AD0C93"/>
    <w:rsid w:val="00AE0ED0"/>
    <w:rsid w:val="00AE7214"/>
    <w:rsid w:val="00AF44C7"/>
    <w:rsid w:val="00B02FF4"/>
    <w:rsid w:val="00B057A3"/>
    <w:rsid w:val="00B07B5E"/>
    <w:rsid w:val="00B10DC5"/>
    <w:rsid w:val="00B24318"/>
    <w:rsid w:val="00B306DA"/>
    <w:rsid w:val="00B32497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2753"/>
    <w:rsid w:val="00B96821"/>
    <w:rsid w:val="00BA5564"/>
    <w:rsid w:val="00BB4A9B"/>
    <w:rsid w:val="00BB7237"/>
    <w:rsid w:val="00BB7B1E"/>
    <w:rsid w:val="00BD5314"/>
    <w:rsid w:val="00BE6F65"/>
    <w:rsid w:val="00BF467D"/>
    <w:rsid w:val="00BF6AEF"/>
    <w:rsid w:val="00C00331"/>
    <w:rsid w:val="00C00A94"/>
    <w:rsid w:val="00C23A08"/>
    <w:rsid w:val="00C305DF"/>
    <w:rsid w:val="00C31FD2"/>
    <w:rsid w:val="00C3528D"/>
    <w:rsid w:val="00C43A93"/>
    <w:rsid w:val="00C455EF"/>
    <w:rsid w:val="00C609DD"/>
    <w:rsid w:val="00C6427A"/>
    <w:rsid w:val="00C64451"/>
    <w:rsid w:val="00C825B0"/>
    <w:rsid w:val="00C95CC9"/>
    <w:rsid w:val="00CA35D4"/>
    <w:rsid w:val="00CA5244"/>
    <w:rsid w:val="00CA7490"/>
    <w:rsid w:val="00CB0DBE"/>
    <w:rsid w:val="00CB3CEC"/>
    <w:rsid w:val="00CB45FC"/>
    <w:rsid w:val="00CB4685"/>
    <w:rsid w:val="00CC36A3"/>
    <w:rsid w:val="00CD202A"/>
    <w:rsid w:val="00CD34B0"/>
    <w:rsid w:val="00CD3A06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32D84"/>
    <w:rsid w:val="00D36575"/>
    <w:rsid w:val="00D42592"/>
    <w:rsid w:val="00D469B8"/>
    <w:rsid w:val="00D46ADC"/>
    <w:rsid w:val="00D500A5"/>
    <w:rsid w:val="00D51A89"/>
    <w:rsid w:val="00D649FA"/>
    <w:rsid w:val="00D852FB"/>
    <w:rsid w:val="00D93FE7"/>
    <w:rsid w:val="00DA1FB4"/>
    <w:rsid w:val="00DA2BC2"/>
    <w:rsid w:val="00DB0A48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1142B"/>
    <w:rsid w:val="00E258DC"/>
    <w:rsid w:val="00E401FB"/>
    <w:rsid w:val="00E47C36"/>
    <w:rsid w:val="00E5436D"/>
    <w:rsid w:val="00E54F35"/>
    <w:rsid w:val="00E6057C"/>
    <w:rsid w:val="00E60704"/>
    <w:rsid w:val="00E674AF"/>
    <w:rsid w:val="00E72C71"/>
    <w:rsid w:val="00E77098"/>
    <w:rsid w:val="00E770BE"/>
    <w:rsid w:val="00E91752"/>
    <w:rsid w:val="00EA21B1"/>
    <w:rsid w:val="00EA3DA7"/>
    <w:rsid w:val="00EA4380"/>
    <w:rsid w:val="00EA4931"/>
    <w:rsid w:val="00EC668B"/>
    <w:rsid w:val="00EC698B"/>
    <w:rsid w:val="00ED276B"/>
    <w:rsid w:val="00ED3891"/>
    <w:rsid w:val="00F003B2"/>
    <w:rsid w:val="00F0051D"/>
    <w:rsid w:val="00F06A3B"/>
    <w:rsid w:val="00F14316"/>
    <w:rsid w:val="00F14F24"/>
    <w:rsid w:val="00F264D3"/>
    <w:rsid w:val="00F26A3C"/>
    <w:rsid w:val="00F32DB9"/>
    <w:rsid w:val="00F57F52"/>
    <w:rsid w:val="00F60F2D"/>
    <w:rsid w:val="00F654EF"/>
    <w:rsid w:val="00F675B3"/>
    <w:rsid w:val="00F768EE"/>
    <w:rsid w:val="00F80AD1"/>
    <w:rsid w:val="00F81ACD"/>
    <w:rsid w:val="00F8697D"/>
    <w:rsid w:val="00F91A72"/>
    <w:rsid w:val="00FA6AFD"/>
    <w:rsid w:val="00FA6BC4"/>
    <w:rsid w:val="00FB1E6E"/>
    <w:rsid w:val="00FB2B69"/>
    <w:rsid w:val="00FB45FD"/>
    <w:rsid w:val="00FB5A01"/>
    <w:rsid w:val="00FC3BC1"/>
    <w:rsid w:val="00FC59C8"/>
    <w:rsid w:val="00FD51FA"/>
    <w:rsid w:val="00FD616F"/>
    <w:rsid w:val="00FD7E89"/>
    <w:rsid w:val="00FE0F60"/>
    <w:rsid w:val="00FE56E3"/>
    <w:rsid w:val="00FF5A6B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D7BEE1"/>
  <w15:chartTrackingRefBased/>
  <w15:docId w15:val="{7A0343B9-9CAD-442C-8B76-024B00CD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4856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2026-02-11T12:11:00Z</dcterms:created>
  <dcterms:modified xsi:type="dcterms:W3CDTF">2026-02-11T12:11:00Z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