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455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4645AF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9017EFB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09713C34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581F4246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</w:r>
      <w:r w:rsidR="00E06007">
        <w:rPr>
          <w:rFonts w:ascii="Tahoma" w:hAnsi="Tahoma" w:cs="Tahoma"/>
          <w:sz w:val="20"/>
          <w:szCs w:val="20"/>
        </w:rPr>
        <w:t xml:space="preserve">Ing. Šárkou Šimoňákovou, </w:t>
      </w:r>
      <w:r w:rsidR="00E06007" w:rsidRPr="00E06007">
        <w:rPr>
          <w:rFonts w:ascii="Tahoma" w:hAnsi="Tahoma" w:cs="Tahoma"/>
          <w:sz w:val="20"/>
          <w:szCs w:val="20"/>
        </w:rPr>
        <w:t>1. náměstkyní hejtmana kraje</w:t>
      </w:r>
    </w:p>
    <w:p w14:paraId="423E57C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6CBAAA7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502B4989" w14:textId="77777777" w:rsidR="00AC3E24" w:rsidRPr="008C4FE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C4FE0">
        <w:rPr>
          <w:rFonts w:ascii="Tahoma" w:hAnsi="Tahoma" w:cs="Tahoma"/>
          <w:sz w:val="20"/>
          <w:szCs w:val="20"/>
        </w:rPr>
        <w:t>bankovní spojení:</w:t>
      </w:r>
      <w:r w:rsidRPr="008C4FE0">
        <w:rPr>
          <w:rFonts w:ascii="Tahoma" w:hAnsi="Tahoma" w:cs="Tahoma"/>
          <w:sz w:val="20"/>
          <w:szCs w:val="20"/>
        </w:rPr>
        <w:tab/>
      </w:r>
      <w:r w:rsidR="00E06007" w:rsidRPr="008C4FE0">
        <w:rPr>
          <w:rFonts w:ascii="Tahoma" w:hAnsi="Tahoma" w:cs="Tahoma"/>
          <w:sz w:val="20"/>
          <w:szCs w:val="20"/>
        </w:rPr>
        <w:t>Česká spořitelna, a.s.</w:t>
      </w:r>
    </w:p>
    <w:p w14:paraId="27B0FB97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C4FE0">
        <w:rPr>
          <w:rFonts w:ascii="Tahoma" w:hAnsi="Tahoma" w:cs="Tahoma"/>
          <w:sz w:val="20"/>
          <w:szCs w:val="20"/>
        </w:rPr>
        <w:t>číslo účtu:</w:t>
      </w:r>
      <w:r w:rsidRPr="008C4FE0">
        <w:rPr>
          <w:rFonts w:ascii="Tahoma" w:hAnsi="Tahoma" w:cs="Tahoma"/>
          <w:sz w:val="20"/>
          <w:szCs w:val="20"/>
        </w:rPr>
        <w:tab/>
      </w:r>
      <w:r w:rsidR="00E06007" w:rsidRPr="008C4FE0">
        <w:rPr>
          <w:rFonts w:ascii="Tahoma" w:hAnsi="Tahoma" w:cs="Tahoma"/>
          <w:sz w:val="20"/>
          <w:szCs w:val="20"/>
        </w:rPr>
        <w:t>1650676349/0800</w:t>
      </w:r>
    </w:p>
    <w:p w14:paraId="4BB09C22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51629AB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4ED7556C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35F4E76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F5D313C" w14:textId="77777777" w:rsidR="00460DFE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 adresou bydliště: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053678B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15C25EAD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1976A7" w:rsidRPr="00B852CF">
        <w:rPr>
          <w:rFonts w:ascii="Tahoma" w:hAnsi="Tahoma" w:cs="Tahoma"/>
          <w:i/>
          <w:iCs/>
          <w:sz w:val="20"/>
          <w:szCs w:val="20"/>
        </w:rPr>
        <w:t>(pouze plátci DPH)</w:t>
      </w:r>
    </w:p>
    <w:p w14:paraId="5CB6C3ED" w14:textId="77777777" w:rsidR="00CA4EF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datum narození: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6A8733F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5FE14E8A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618EECBB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</w:t>
      </w:r>
      <w:r w:rsidR="001976A7">
        <w:rPr>
          <w:rFonts w:ascii="Tahoma" w:hAnsi="Tahoma" w:cs="Tahoma"/>
          <w:sz w:val="20"/>
          <w:szCs w:val="20"/>
        </w:rPr>
        <w:t>/a</w:t>
      </w:r>
      <w:r w:rsidRPr="00E133E2">
        <w:rPr>
          <w:rFonts w:ascii="Tahoma" w:hAnsi="Tahoma" w:cs="Tahoma"/>
          <w:sz w:val="20"/>
          <w:szCs w:val="20"/>
        </w:rPr>
        <w:t xml:space="preserve"> v</w:t>
      </w:r>
      <w:r w:rsidR="001976A7">
        <w:rPr>
          <w:rFonts w:ascii="Tahoma" w:hAnsi="Tahoma" w:cs="Tahoma"/>
          <w:sz w:val="20"/>
          <w:szCs w:val="20"/>
        </w:rPr>
        <w:t> živnostenském rejstříku.</w:t>
      </w:r>
    </w:p>
    <w:p w14:paraId="431CB1A7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3ED826D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556D16A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6EAC71AC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891CD17" w14:textId="1ECCBFCC" w:rsidR="008C3745" w:rsidRPr="00E133E2" w:rsidRDefault="008C3745" w:rsidP="008C374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>
        <w:rPr>
          <w:rFonts w:ascii="Tahoma" w:hAnsi="Tahoma" w:cs="Tahoma"/>
          <w:b w:val="0"/>
          <w:bCs w:val="0"/>
          <w:sz w:val="20"/>
          <w:szCs w:val="20"/>
        </w:rPr>
        <w:t>Podpora podnikání v Moravskoslezském kraji 2026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 </w:t>
      </w:r>
      <w:r w:rsidR="00B1177D">
        <w:rPr>
          <w:rFonts w:ascii="Tahoma" w:hAnsi="Tahoma" w:cs="Tahoma"/>
          <w:b w:val="0"/>
          <w:bCs w:val="0"/>
          <w:sz w:val="20"/>
          <w:szCs w:val="20"/>
        </w:rPr>
        <w:t>32/2066</w:t>
      </w:r>
      <w:r w:rsidRPr="00D56AB6">
        <w:rPr>
          <w:rFonts w:ascii="Tahoma" w:hAnsi="Tahoma" w:cs="Tahoma"/>
          <w:b w:val="0"/>
          <w:bCs w:val="0"/>
          <w:sz w:val="20"/>
          <w:szCs w:val="20"/>
        </w:rPr>
        <w:t xml:space="preserve"> ze dne </w:t>
      </w:r>
      <w:r w:rsidR="00B1177D">
        <w:rPr>
          <w:rFonts w:ascii="Tahoma" w:hAnsi="Tahoma" w:cs="Tahoma"/>
          <w:b w:val="0"/>
          <w:bCs w:val="0"/>
          <w:sz w:val="20"/>
          <w:szCs w:val="20"/>
        </w:rPr>
        <w:t>8. 12. 2025.</w:t>
      </w:r>
    </w:p>
    <w:p w14:paraId="3C75E411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1BB2B8F" w14:textId="77777777" w:rsidR="00DF4AC2" w:rsidRPr="00DF51F7" w:rsidRDefault="002A0D03" w:rsidP="00DF51F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5482B61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3590391E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8EC068B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1C3E9C0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B852CF">
        <w:rPr>
          <w:rFonts w:ascii="Tahoma" w:hAnsi="Tahoma" w:cs="Tahoma"/>
          <w:b w:val="0"/>
          <w:bCs w:val="0"/>
          <w:i/>
          <w:iCs/>
          <w:sz w:val="20"/>
          <w:szCs w:val="20"/>
        </w:rPr>
        <w:t>investiční / neinvestiční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 w:rsidRPr="00D56AB6">
        <w:rPr>
          <w:rFonts w:ascii="Tahoma" w:hAnsi="Tahoma" w:cs="Tahoma"/>
          <w:bCs w:val="0"/>
          <w:sz w:val="20"/>
          <w:szCs w:val="20"/>
        </w:rPr>
        <w:t>…</w:t>
      </w:r>
      <w:r w:rsidRPr="00E133E2">
        <w:rPr>
          <w:rFonts w:ascii="Tahoma" w:hAnsi="Tahoma" w:cs="Tahoma"/>
          <w:bCs w:val="0"/>
          <w:sz w:val="20"/>
          <w:szCs w:val="20"/>
        </w:rPr>
        <w:t> 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 nákladů na realizaci projektu </w:t>
      </w:r>
      <w:r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maximálně však ve výši </w:t>
      </w:r>
      <w:r w:rsidRPr="00E133E2">
        <w:rPr>
          <w:rFonts w:ascii="Tahoma" w:hAnsi="Tahoma" w:cs="Tahoma"/>
          <w:bCs w:val="0"/>
          <w:sz w:val="20"/>
          <w:szCs w:val="20"/>
        </w:rPr>
        <w:t>… 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…………… korun českých), účelově určenou k úhradě uznatelných nákladů projektu vymezených v čl. VI této smlouvy.</w:t>
      </w:r>
    </w:p>
    <w:p w14:paraId="23EB29EB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Max. výše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>, která může být financována z dotace, činí …</w:t>
      </w:r>
      <w:proofErr w:type="gramStart"/>
      <w:r>
        <w:rPr>
          <w:rFonts w:ascii="Tahoma" w:hAnsi="Tahoma" w:cs="Tahoma"/>
          <w:b w:val="0"/>
          <w:bCs w:val="0"/>
          <w:sz w:val="20"/>
          <w:szCs w:val="20"/>
        </w:rPr>
        <w:t>…….</w:t>
      </w:r>
      <w:proofErr w:type="gramEnd"/>
      <w:r>
        <w:rPr>
          <w:rFonts w:ascii="Tahoma" w:hAnsi="Tahoma" w:cs="Tahoma"/>
          <w:b w:val="0"/>
          <w:bCs w:val="0"/>
          <w:sz w:val="20"/>
          <w:szCs w:val="20"/>
        </w:rPr>
        <w:t>. Kč (slovy …………. korun českých).</w:t>
      </w:r>
    </w:p>
    <w:p w14:paraId="0FB3D492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nákladů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uvedených a doložených v rámci závěrečného vyúčtování. </w:t>
      </w:r>
    </w:p>
    <w:p w14:paraId="00EEA15C" w14:textId="77777777" w:rsidR="00714E1B" w:rsidRDefault="00714E1B" w:rsidP="00714E1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projektu nižší než celkové předpokládané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dle odst.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tohoto článku, procentní podíl dotace na těchto </w:t>
      </w:r>
      <w:r>
        <w:rPr>
          <w:rFonts w:ascii="Tahoma" w:hAnsi="Tahoma" w:cs="Tahoma"/>
          <w:b w:val="0"/>
          <w:bCs w:val="0"/>
          <w:sz w:val="20"/>
          <w:szCs w:val="20"/>
        </w:rPr>
        <w:t>nákladech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se nemění, to znamená, že příjemce obdrží tolik procent celkových skutečných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uznatelných </w:t>
      </w:r>
      <w:r>
        <w:rPr>
          <w:rFonts w:ascii="Tahoma" w:hAnsi="Tahoma" w:cs="Tahoma"/>
          <w:b w:val="0"/>
          <w:bCs w:val="0"/>
          <w:sz w:val="20"/>
          <w:szCs w:val="20"/>
        </w:rPr>
        <w:t>nákladů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, kolik je uvedeno v odstavci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5DB1025D" w14:textId="77777777" w:rsidR="00714E1B" w:rsidRPr="00E133E2" w:rsidRDefault="00714E1B" w:rsidP="00714E1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projektu překročí celkové předpokládané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dle </w:t>
      </w:r>
      <w:r w:rsidRPr="0085449C">
        <w:rPr>
          <w:rFonts w:ascii="Tahoma" w:hAnsi="Tahoma" w:cs="Tahoma"/>
          <w:b w:val="0"/>
          <w:bCs w:val="0"/>
          <w:sz w:val="20"/>
          <w:szCs w:val="20"/>
        </w:rPr>
        <w:t>odst. 2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článku, konečná výše dotace se nezvyšuje a příjemce obdrží částku uvedenou v odstavci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6AB48F9D" w14:textId="77777777" w:rsidR="00714E1B" w:rsidRPr="00E133E2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BF65992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24D70038" w14:textId="77777777" w:rsidR="00920662" w:rsidRPr="00904406" w:rsidRDefault="00920662" w:rsidP="0092066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 I této smlouvy ve dvou splátkách. První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80,00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 % maximální částky dotace dle čl. IV odst. 1 této smlouvy, tedy … Kč (slovy ……… korun českých), bude na účet příjemce převedena do </w:t>
      </w:r>
      <w:r w:rsidR="008E0CCF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smlouvy. Druhá splátka bude na účet příjemce převedena do </w:t>
      </w:r>
      <w:r w:rsidR="008E0CCF">
        <w:rPr>
          <w:rFonts w:ascii="Tahoma" w:hAnsi="Tahoma" w:cs="Tahoma"/>
          <w:b w:val="0"/>
          <w:bCs w:val="0"/>
          <w:sz w:val="20"/>
          <w:szCs w:val="20"/>
        </w:rPr>
        <w:t>60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ode dne </w:t>
      </w:r>
      <w:r w:rsidR="008E2A51">
        <w:rPr>
          <w:rFonts w:ascii="Tahoma" w:hAnsi="Tahoma" w:cs="Tahoma"/>
          <w:b w:val="0"/>
          <w:bCs w:val="0"/>
          <w:sz w:val="20"/>
          <w:szCs w:val="20"/>
        </w:rPr>
        <w:t xml:space="preserve">schválení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bezchybného závěrečného vyúčtování; výše splátky bude stanovena v souladu s čl. IV odst. </w:t>
      </w: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67303770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FCBAE6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3EDD89F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569BF845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389044DC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11AE84F1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6F2EBCEF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6F12FD2E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4687BE54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09D76A7" w14:textId="77777777" w:rsidR="0070795C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13DDD237" w14:textId="77777777" w:rsidR="005E090D" w:rsidRPr="00E133E2" w:rsidRDefault="00834E3B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34E3B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 rámci realizace projektu v souladu s tímto zákonem; příjemce je povinen uchovávat veškerou dokumentaci týkající se dodržování povinností dle předchozí věty a na vyžádání poskytovatele ji předložit</w:t>
      </w:r>
      <w:r w:rsidR="005E090D" w:rsidRPr="005E090D">
        <w:rPr>
          <w:rFonts w:ascii="Tahoma" w:hAnsi="Tahoma" w:cs="Tahoma"/>
          <w:sz w:val="20"/>
          <w:szCs w:val="20"/>
        </w:rPr>
        <w:t>,</w:t>
      </w:r>
    </w:p>
    <w:p w14:paraId="3FD650E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BE9E431" w14:textId="77777777" w:rsidR="00E35503" w:rsidRPr="00E133E2" w:rsidRDefault="00E35503" w:rsidP="00E3550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706CF6">
        <w:rPr>
          <w:rFonts w:ascii="Tahoma" w:hAnsi="Tahoma" w:cs="Tahoma"/>
          <w:b/>
          <w:bCs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76E3E977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CA64AD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CA64AD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CA64AD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CA64AD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CA64AD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208066E1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A78B3" w:rsidRPr="00CA78B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A78B3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CA78B3">
        <w:rPr>
          <w:rFonts w:ascii="Tahoma" w:hAnsi="Tahoma" w:cs="Tahoma"/>
          <w:sz w:val="20"/>
          <w:szCs w:val="20"/>
        </w:rPr>
        <w:t xml:space="preserve">. </w:t>
      </w:r>
      <w:r w:rsidR="00CA78B3" w:rsidRPr="00CA78B3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78F787E6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B256B4E" w14:textId="77777777" w:rsidR="002D27D0" w:rsidRPr="00410293" w:rsidRDefault="002D27D0" w:rsidP="002D27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průběžné </w:t>
      </w:r>
      <w:r w:rsidRPr="00593958">
        <w:rPr>
          <w:rFonts w:ascii="Tahoma" w:hAnsi="Tahoma" w:cs="Tahoma"/>
          <w:sz w:val="20"/>
          <w:szCs w:val="20"/>
        </w:rPr>
        <w:t xml:space="preserve">vyúčtování realizace projektu zpracované k 31. 12. 2026 nejpozději do 15. 1. následujícího kalendářního roku. </w:t>
      </w:r>
      <w:r w:rsidRPr="008F0ED2">
        <w:rPr>
          <w:rFonts w:ascii="Tahoma" w:hAnsi="Tahoma" w:cs="Tahoma"/>
          <w:sz w:val="20"/>
          <w:szCs w:val="20"/>
        </w:rPr>
        <w:t xml:space="preserve">Způsob a okamžik předložení průběžného vyúčtování jsou upraveny ve formuláři průběžného vyúčtování projektu, který příjemce vyplní v elektronickém systému </w:t>
      </w:r>
      <w:proofErr w:type="spellStart"/>
      <w:r w:rsidRPr="008F0ED2">
        <w:rPr>
          <w:rFonts w:ascii="Tahoma" w:hAnsi="Tahoma" w:cs="Tahoma"/>
          <w:sz w:val="20"/>
          <w:szCs w:val="20"/>
        </w:rPr>
        <w:t>ePodatelna</w:t>
      </w:r>
      <w:proofErr w:type="spellEnd"/>
      <w:r w:rsidRPr="008F0ED2">
        <w:rPr>
          <w:rFonts w:ascii="Tahoma" w:hAnsi="Tahoma" w:cs="Tahoma"/>
          <w:sz w:val="20"/>
          <w:szCs w:val="20"/>
        </w:rPr>
        <w:t xml:space="preserve"> a jehož vzor je přílohou podmínek Dotačního programu,</w:t>
      </w:r>
    </w:p>
    <w:p w14:paraId="759266C6" w14:textId="77777777" w:rsidR="00817BAE" w:rsidRDefault="00817BAE" w:rsidP="00817BA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10293">
        <w:rPr>
          <w:rFonts w:ascii="Tahoma" w:hAnsi="Tahoma" w:cs="Tahoma"/>
          <w:iCs/>
          <w:sz w:val="20"/>
          <w:szCs w:val="20"/>
        </w:rPr>
        <w:t xml:space="preserve">předložit poskytovateli průběžné vyúčtování dle písm. </w:t>
      </w:r>
      <w:r w:rsidR="005E090D">
        <w:rPr>
          <w:rFonts w:ascii="Tahoma" w:hAnsi="Tahoma" w:cs="Tahoma"/>
          <w:iCs/>
          <w:sz w:val="20"/>
          <w:szCs w:val="20"/>
        </w:rPr>
        <w:t>h</w:t>
      </w:r>
      <w:r w:rsidRPr="00410293">
        <w:rPr>
          <w:rFonts w:ascii="Tahoma" w:hAnsi="Tahoma" w:cs="Tahoma"/>
          <w:iCs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bezchybné. V rámci závěrečného vyúčtování již příjemce není povinen předložit kopie účetních dokladů a dokladů o jejich úhradě, které předložil v rámci průběžného vyúčtování,</w:t>
      </w:r>
    </w:p>
    <w:p w14:paraId="0C7DB929" w14:textId="77777777" w:rsidR="009F27B4" w:rsidRPr="00B25AD1" w:rsidRDefault="009F27B4" w:rsidP="009F27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25AD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B25AD1">
        <w:rPr>
          <w:rFonts w:ascii="Tahoma" w:hAnsi="Tahoma" w:cs="Tahoma"/>
          <w:b/>
          <w:sz w:val="20"/>
          <w:szCs w:val="20"/>
        </w:rPr>
        <w:t>nejpozději do</w:t>
      </w:r>
      <w:r>
        <w:rPr>
          <w:rFonts w:ascii="Tahoma" w:hAnsi="Tahoma" w:cs="Tahoma"/>
          <w:b/>
          <w:sz w:val="20"/>
          <w:szCs w:val="20"/>
        </w:rPr>
        <w:br/>
      </w:r>
      <w:r w:rsidRPr="00B25AD1">
        <w:rPr>
          <w:rFonts w:ascii="Tahoma" w:hAnsi="Tahoma" w:cs="Tahoma"/>
          <w:b/>
          <w:sz w:val="20"/>
          <w:szCs w:val="20"/>
        </w:rPr>
        <w:t>31. 7. 2027.</w:t>
      </w:r>
      <w:r w:rsidRPr="00B25AD1">
        <w:rPr>
          <w:rFonts w:ascii="Tahoma" w:hAnsi="Tahoma" w:cs="Tahoma"/>
          <w:sz w:val="20"/>
          <w:szCs w:val="20"/>
        </w:rPr>
        <w:t xml:space="preserve"> Způsob a okamžik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předložení závěrečného vyúčtování jsou upraveny ve formuláři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závěrečného vyúčtování projektu, který příjemce vyplní v</w:t>
      </w:r>
      <w:r>
        <w:rPr>
          <w:rFonts w:ascii="Tahoma" w:hAnsi="Tahoma" w:cs="Tahoma"/>
          <w:sz w:val="20"/>
          <w:szCs w:val="20"/>
        </w:rPr>
        <w:t> </w:t>
      </w:r>
      <w:r w:rsidRPr="00B25AD1">
        <w:rPr>
          <w:rFonts w:ascii="Tahoma" w:hAnsi="Tahoma" w:cs="Tahoma"/>
          <w:sz w:val="20"/>
          <w:szCs w:val="20"/>
        </w:rPr>
        <w:t>elektronickém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 xml:space="preserve">systému </w:t>
      </w:r>
      <w:proofErr w:type="spellStart"/>
      <w:r w:rsidRPr="00B25AD1">
        <w:rPr>
          <w:rFonts w:ascii="Tahoma" w:hAnsi="Tahoma" w:cs="Tahoma"/>
          <w:sz w:val="20"/>
          <w:szCs w:val="20"/>
        </w:rPr>
        <w:t>ePodatelna</w:t>
      </w:r>
      <w:proofErr w:type="spellEnd"/>
      <w:r w:rsidRPr="00B25AD1">
        <w:rPr>
          <w:rFonts w:ascii="Tahoma" w:hAnsi="Tahoma" w:cs="Tahoma"/>
          <w:sz w:val="20"/>
          <w:szCs w:val="20"/>
        </w:rPr>
        <w:t xml:space="preserve"> a jehož vzor je přílohou podmínek Dotačního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programu,</w:t>
      </w:r>
    </w:p>
    <w:p w14:paraId="4E351DDB" w14:textId="77777777" w:rsidR="00DD7B16" w:rsidRPr="00E133E2" w:rsidRDefault="00DD7B16" w:rsidP="00DD7B16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85D20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5E090D">
        <w:rPr>
          <w:rFonts w:ascii="Tahoma" w:hAnsi="Tahoma" w:cs="Tahoma"/>
          <w:sz w:val="20"/>
          <w:szCs w:val="20"/>
        </w:rPr>
        <w:t>j</w:t>
      </w:r>
      <w:r w:rsidRPr="00885D20">
        <w:rPr>
          <w:rFonts w:ascii="Tahoma" w:hAnsi="Tahoma" w:cs="Tahoma"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bezchybné,</w:t>
      </w:r>
    </w:p>
    <w:p w14:paraId="66C72ABB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01BF2F6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1E8AA311" w14:textId="77777777" w:rsidR="004F6CF1" w:rsidRPr="00E133E2" w:rsidRDefault="004F6CF1" w:rsidP="004F6CF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</w:t>
      </w:r>
      <w:r>
        <w:rPr>
          <w:rFonts w:ascii="Tahoma" w:hAnsi="Tahoma" w:cs="Tahoma"/>
          <w:sz w:val="20"/>
          <w:szCs w:val="20"/>
        </w:rPr>
        <w:t xml:space="preserve">y </w:t>
      </w:r>
      <w:r w:rsidRPr="00E133E2">
        <w:rPr>
          <w:rFonts w:ascii="Tahoma" w:hAnsi="Tahoma" w:cs="Tahoma"/>
          <w:sz w:val="20"/>
          <w:szCs w:val="20"/>
        </w:rPr>
        <w:t xml:space="preserve">a při těchto peněžních operacích vždy uvádět variabilní symbol </w:t>
      </w:r>
      <w:proofErr w:type="gramStart"/>
      <w:r>
        <w:rPr>
          <w:rFonts w:ascii="Tahoma" w:hAnsi="Tahoma" w:cs="Tahoma"/>
          <w:sz w:val="20"/>
          <w:szCs w:val="20"/>
        </w:rPr>
        <w:t>26666….</w:t>
      </w:r>
      <w:proofErr w:type="gramEnd"/>
      <w:r>
        <w:rPr>
          <w:rFonts w:ascii="Tahoma" w:hAnsi="Tahoma" w:cs="Tahoma"/>
          <w:sz w:val="20"/>
          <w:szCs w:val="20"/>
        </w:rPr>
        <w:t>.,</w:t>
      </w:r>
    </w:p>
    <w:p w14:paraId="479E877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7BEB060" w14:textId="77777777" w:rsidR="00145A47" w:rsidRPr="00E133E2" w:rsidRDefault="00145A47" w:rsidP="00145A4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598120CD" w14:textId="77777777" w:rsidR="00145A47" w:rsidRPr="00E133E2" w:rsidRDefault="00145A47" w:rsidP="00145A47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>
        <w:rPr>
          <w:rFonts w:ascii="Tahoma" w:hAnsi="Tahoma" w:cs="Tahoma"/>
          <w:sz w:val="20"/>
          <w:szCs w:val="20"/>
        </w:rPr>
        <w:t>3 let</w:t>
      </w:r>
      <w:r w:rsidRPr="00E133E2">
        <w:rPr>
          <w:rFonts w:ascii="Tahoma" w:hAnsi="Tahoma" w:cs="Tahoma"/>
          <w:sz w:val="20"/>
          <w:szCs w:val="20"/>
        </w:rPr>
        <w:t xml:space="preserve"> od </w:t>
      </w:r>
      <w:r>
        <w:rPr>
          <w:rFonts w:ascii="Tahoma" w:hAnsi="Tahoma" w:cs="Tahoma"/>
          <w:sz w:val="20"/>
          <w:szCs w:val="20"/>
        </w:rPr>
        <w:t xml:space="preserve">data uvedeného v písm. c) tohoto odstavce (tzn. do 30. 6. 2030) </w:t>
      </w:r>
      <w:r w:rsidRPr="00E133E2">
        <w:rPr>
          <w:rFonts w:ascii="Tahoma" w:hAnsi="Tahoma" w:cs="Tahoma"/>
          <w:sz w:val="20"/>
          <w:szCs w:val="20"/>
        </w:rPr>
        <w:t>nezcizit majetek pořízený nebo technicky zhodnocený z prostředků získaných z dotace poskytnuté na základě této smlouvy</w:t>
      </w:r>
      <w:r w:rsidR="00BC74AC">
        <w:rPr>
          <w:rFonts w:ascii="Tahoma" w:hAnsi="Tahoma" w:cs="Tahoma"/>
          <w:sz w:val="20"/>
          <w:szCs w:val="20"/>
        </w:rPr>
        <w:t xml:space="preserve"> ani k němu nezřídit zástavní právo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9D42EB7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6C10FEF1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631142EF" w14:textId="77777777" w:rsidR="007A7922" w:rsidRPr="00E133E2" w:rsidRDefault="008F2B22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E46AD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b),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h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>),</w:t>
      </w:r>
      <w:r w:rsidRPr="0030235F">
        <w:rPr>
          <w:rFonts w:ascii="Tahoma" w:hAnsi="Tahoma" w:cs="Tahoma"/>
          <w:b w:val="0"/>
          <w:sz w:val="20"/>
          <w:szCs w:val="20"/>
        </w:rPr>
        <w:t xml:space="preserve">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 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a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r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 </w:t>
      </w:r>
      <w:r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/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b), h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p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 xml:space="preserve">) a </w:t>
      </w:r>
      <w:r w:rsidR="00E46ADA" w:rsidRPr="00B852CF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="00BC74AC" w:rsidRPr="00B852CF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Pr="0030235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7091A"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841AD82" w14:textId="77777777" w:rsidR="00E46ADA" w:rsidRDefault="00E46ADA" w:rsidP="003D3946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46ADA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b)</w:t>
      </w:r>
      <w:r w:rsidR="003D39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10</w:t>
      </w:r>
      <w:r w:rsidRPr="00E46ADA">
        <w:rPr>
          <w:rFonts w:ascii="Tahoma" w:hAnsi="Tahoma" w:cs="Tahoma"/>
          <w:bCs/>
          <w:sz w:val="20"/>
          <w:szCs w:val="20"/>
        </w:rPr>
        <w:t> % poskytnuté dotace,</w:t>
      </w:r>
    </w:p>
    <w:p w14:paraId="7AAA102A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Předložení vyúčtování podle 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46ADA">
        <w:rPr>
          <w:rFonts w:ascii="Tahoma" w:hAnsi="Tahoma" w:cs="Tahoma"/>
          <w:bCs/>
          <w:sz w:val="20"/>
          <w:szCs w:val="20"/>
        </w:rPr>
        <w:t>h</w:t>
      </w:r>
      <w:r w:rsidRPr="00A90090">
        <w:rPr>
          <w:rFonts w:ascii="Tahoma" w:hAnsi="Tahoma" w:cs="Tahoma"/>
          <w:bCs/>
          <w:sz w:val="20"/>
          <w:szCs w:val="20"/>
        </w:rPr>
        <w:t xml:space="preserve">) a </w:t>
      </w:r>
      <w:r w:rsidR="00E46ADA">
        <w:rPr>
          <w:rFonts w:ascii="Tahoma" w:hAnsi="Tahoma" w:cs="Tahoma"/>
          <w:bCs/>
          <w:sz w:val="20"/>
          <w:szCs w:val="20"/>
        </w:rPr>
        <w:t>j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po stanovené lhůtě:</w:t>
      </w:r>
    </w:p>
    <w:p w14:paraId="693B2772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1D653AED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4F9248E6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dnů</w:t>
      </w:r>
      <w:r w:rsidRPr="00E133E2">
        <w:rPr>
          <w:rFonts w:ascii="Tahoma" w:hAnsi="Tahoma" w:cs="Tahoma"/>
          <w:bCs/>
          <w:sz w:val="20"/>
        </w:rPr>
        <w:tab/>
      </w:r>
      <w:r w:rsidRPr="009D21A9">
        <w:rPr>
          <w:rFonts w:ascii="Tahoma" w:hAnsi="Tahoma" w:cs="Tahoma"/>
          <w:bCs/>
          <w:sz w:val="20"/>
          <w:szCs w:val="20"/>
        </w:rPr>
        <w:t>5.000 Kč</w:t>
      </w:r>
      <w:r w:rsidRPr="00E133E2">
        <w:rPr>
          <w:rFonts w:ascii="Tahoma" w:hAnsi="Tahoma" w:cs="Tahoma"/>
          <w:bCs/>
          <w:sz w:val="20"/>
        </w:rPr>
        <w:t>,</w:t>
      </w:r>
    </w:p>
    <w:p w14:paraId="3A037F3D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46ADA">
        <w:rPr>
          <w:rFonts w:ascii="Tahoma" w:hAnsi="Tahoma" w:cs="Tahoma"/>
          <w:bCs/>
          <w:sz w:val="20"/>
          <w:szCs w:val="20"/>
        </w:rPr>
        <w:t>i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nedostatcích průběžného vyúčtování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33351F47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46ADA">
        <w:rPr>
          <w:rFonts w:ascii="Tahoma" w:hAnsi="Tahoma" w:cs="Tahoma"/>
          <w:bCs/>
          <w:sz w:val="20"/>
          <w:szCs w:val="20"/>
        </w:rPr>
        <w:t>k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nedostatcích závěrečného vyúčtování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17FDB1A6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46ADA">
        <w:rPr>
          <w:rFonts w:ascii="Tahoma" w:hAnsi="Tahoma" w:cs="Tahoma"/>
          <w:bCs/>
          <w:sz w:val="20"/>
          <w:szCs w:val="20"/>
        </w:rPr>
        <w:t>n</w:t>
      </w:r>
      <w:r w:rsidRPr="00A90090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1.000 Kč</w:t>
      </w:r>
      <w:r w:rsidRPr="00E133E2">
        <w:rPr>
          <w:rFonts w:ascii="Tahoma" w:hAnsi="Tahoma" w:cs="Tahoma"/>
          <w:bCs/>
          <w:sz w:val="20"/>
          <w:szCs w:val="20"/>
        </w:rPr>
        <w:t>,</w:t>
      </w:r>
    </w:p>
    <w:p w14:paraId="7A94F263" w14:textId="77777777" w:rsidR="007A7922" w:rsidRPr="00B852CF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bookmarkStart w:id="0" w:name="_Hlk212716386"/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B852CF">
        <w:rPr>
          <w:rFonts w:ascii="Tahoma" w:hAnsi="Tahoma" w:cs="Tahoma"/>
          <w:bCs/>
          <w:sz w:val="20"/>
          <w:szCs w:val="20"/>
        </w:rPr>
        <w:t xml:space="preserve">. </w:t>
      </w:r>
      <w:r w:rsidR="00E46ADA" w:rsidRPr="00B852CF">
        <w:rPr>
          <w:rFonts w:ascii="Tahoma" w:hAnsi="Tahoma" w:cs="Tahoma"/>
          <w:bCs/>
          <w:i/>
          <w:iCs/>
          <w:sz w:val="20"/>
          <w:szCs w:val="20"/>
        </w:rPr>
        <w:t>q)</w:t>
      </w:r>
      <w:r w:rsidR="002704AD" w:rsidRPr="00B852CF">
        <w:rPr>
          <w:rFonts w:ascii="Tahoma" w:hAnsi="Tahoma" w:cs="Tahoma"/>
          <w:bCs/>
          <w:i/>
          <w:iCs/>
          <w:sz w:val="20"/>
          <w:szCs w:val="20"/>
        </w:rPr>
        <w:t xml:space="preserve"> / </w:t>
      </w:r>
      <w:r w:rsidR="00E46ADA" w:rsidRPr="00B852CF">
        <w:rPr>
          <w:rFonts w:ascii="Tahoma" w:hAnsi="Tahoma" w:cs="Tahoma"/>
          <w:bCs/>
          <w:i/>
          <w:iCs/>
          <w:sz w:val="20"/>
          <w:szCs w:val="20"/>
        </w:rPr>
        <w:t>p</w:t>
      </w:r>
      <w:r w:rsidR="002704AD" w:rsidRPr="00B852CF">
        <w:rPr>
          <w:rFonts w:ascii="Tahoma" w:hAnsi="Tahoma" w:cs="Tahoma"/>
          <w:bCs/>
          <w:i/>
          <w:iCs/>
          <w:sz w:val="20"/>
          <w:szCs w:val="20"/>
        </w:rPr>
        <w:t>)</w:t>
      </w:r>
      <w:r w:rsidRPr="00B852CF">
        <w:rPr>
          <w:rFonts w:ascii="Tahoma" w:hAnsi="Tahoma" w:cs="Tahoma"/>
          <w:bCs/>
          <w:sz w:val="20"/>
          <w:szCs w:val="20"/>
        </w:rPr>
        <w:tab/>
        <w:t>2</w:t>
      </w:r>
      <w:r w:rsidR="00B3324F" w:rsidRPr="00B852CF">
        <w:rPr>
          <w:rFonts w:ascii="Tahoma" w:hAnsi="Tahoma" w:cs="Tahoma"/>
          <w:bCs/>
          <w:sz w:val="20"/>
          <w:szCs w:val="20"/>
        </w:rPr>
        <w:t> </w:t>
      </w:r>
      <w:r w:rsidRPr="00B852CF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B852CF">
        <w:rPr>
          <w:rFonts w:ascii="Tahoma" w:hAnsi="Tahoma" w:cs="Tahoma"/>
          <w:bCs/>
          <w:sz w:val="20"/>
          <w:szCs w:val="20"/>
        </w:rPr>
        <w:t>,</w:t>
      </w:r>
      <w:bookmarkEnd w:id="0"/>
    </w:p>
    <w:p w14:paraId="3F23ABF0" w14:textId="77777777" w:rsidR="00ED53F0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52CF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B852CF">
        <w:rPr>
          <w:rFonts w:ascii="Tahoma" w:hAnsi="Tahoma" w:cs="Tahoma"/>
          <w:bCs/>
          <w:sz w:val="20"/>
          <w:szCs w:val="20"/>
        </w:rPr>
        <w:t>podmínky</w:t>
      </w:r>
      <w:r w:rsidR="00A95DCD" w:rsidRPr="00B852CF">
        <w:rPr>
          <w:rFonts w:ascii="Tahoma" w:hAnsi="Tahoma" w:cs="Tahoma"/>
          <w:bCs/>
          <w:sz w:val="20"/>
          <w:szCs w:val="20"/>
        </w:rPr>
        <w:t>, na niž se odkazuje</w:t>
      </w:r>
      <w:r w:rsidRPr="00B852CF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B852CF">
        <w:rPr>
          <w:rFonts w:ascii="Tahoma" w:hAnsi="Tahoma" w:cs="Tahoma"/>
          <w:bCs/>
          <w:sz w:val="20"/>
          <w:szCs w:val="20"/>
        </w:rPr>
        <w:t>3</w:t>
      </w:r>
      <w:r w:rsidRPr="00B852CF">
        <w:rPr>
          <w:rFonts w:ascii="Tahoma" w:hAnsi="Tahoma" w:cs="Tahoma"/>
          <w:bCs/>
          <w:sz w:val="20"/>
          <w:szCs w:val="20"/>
        </w:rPr>
        <w:t xml:space="preserve"> písm. </w:t>
      </w:r>
      <w:r w:rsidR="00E46ADA" w:rsidRPr="00B852CF">
        <w:rPr>
          <w:rFonts w:ascii="Tahoma" w:hAnsi="Tahoma" w:cs="Tahoma"/>
          <w:bCs/>
          <w:i/>
          <w:iCs/>
          <w:sz w:val="20"/>
          <w:szCs w:val="20"/>
        </w:rPr>
        <w:t>r</w:t>
      </w:r>
      <w:r w:rsidR="00036E43" w:rsidRPr="00B852CF">
        <w:rPr>
          <w:rFonts w:ascii="Tahoma" w:hAnsi="Tahoma" w:cs="Tahoma"/>
          <w:bCs/>
          <w:i/>
          <w:iCs/>
          <w:sz w:val="20"/>
          <w:szCs w:val="20"/>
        </w:rPr>
        <w:t xml:space="preserve">) / </w:t>
      </w:r>
      <w:r w:rsidR="00E46ADA" w:rsidRPr="00B852CF">
        <w:rPr>
          <w:rFonts w:ascii="Tahoma" w:hAnsi="Tahoma" w:cs="Tahoma"/>
          <w:bCs/>
          <w:i/>
          <w:iCs/>
          <w:sz w:val="20"/>
          <w:szCs w:val="20"/>
        </w:rPr>
        <w:t>q</w:t>
      </w:r>
      <w:r w:rsidR="00036E43" w:rsidRPr="00B852CF">
        <w:rPr>
          <w:rFonts w:ascii="Tahoma" w:hAnsi="Tahoma" w:cs="Tahoma"/>
          <w:bCs/>
          <w:i/>
          <w:iCs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5687E649" w14:textId="77777777" w:rsidR="007A7639" w:rsidRPr="00E133E2" w:rsidRDefault="007A7639" w:rsidP="003D3946">
      <w:pPr>
        <w:tabs>
          <w:tab w:val="right" w:pos="9072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7A7639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neinvestiční dotace)</w:t>
      </w:r>
    </w:p>
    <w:p w14:paraId="369A5F07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5B3C6795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375EA961" w14:textId="77777777" w:rsidR="00F239AB" w:rsidRPr="00E133E2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</w:t>
      </w: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="00F239AB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594B771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54E55A5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93894D9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realizace projektu, tj. v období od </w:t>
      </w:r>
      <w:r>
        <w:rPr>
          <w:rFonts w:ascii="Tahoma" w:hAnsi="Tahoma" w:cs="Tahoma"/>
          <w:sz w:val="20"/>
          <w:szCs w:val="20"/>
        </w:rPr>
        <w:t xml:space="preserve">1. 1. 2026 </w:t>
      </w:r>
      <w:r w:rsidRPr="00E133E2">
        <w:rPr>
          <w:rFonts w:ascii="Tahoma" w:hAnsi="Tahoma" w:cs="Tahoma"/>
          <w:sz w:val="20"/>
          <w:szCs w:val="20"/>
        </w:rPr>
        <w:t>do </w:t>
      </w:r>
      <w:r>
        <w:rPr>
          <w:rFonts w:ascii="Tahoma" w:hAnsi="Tahoma" w:cs="Tahoma"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byl příjemcem uhrazen nejpozději do </w:t>
      </w:r>
      <w:r w:rsidR="00C57259">
        <w:rPr>
          <w:rFonts w:ascii="Tahoma" w:hAnsi="Tahoma" w:cs="Tahoma"/>
          <w:sz w:val="20"/>
          <w:szCs w:val="20"/>
        </w:rPr>
        <w:t>konce lhůty pro</w:t>
      </w:r>
      <w:r>
        <w:rPr>
          <w:rFonts w:ascii="Tahoma" w:hAnsi="Tahoma" w:cs="Tahoma"/>
          <w:sz w:val="20"/>
          <w:szCs w:val="20"/>
        </w:rPr>
        <w:t xml:space="preserve"> předložení závěrečného vyúčtování projektu,</w:t>
      </w:r>
    </w:p>
    <w:p w14:paraId="6AB3370D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 podmínkami Dotačního programu,</w:t>
      </w:r>
    </w:p>
    <w:p w14:paraId="7853CEFA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efektivnosti a hospodárnosti dle zákona o finanční kontrole a</w:t>
      </w:r>
    </w:p>
    <w:p w14:paraId="4238442E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039C8031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5EE855C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A7EDEAE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0031A543" w14:textId="1034DBC5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1A0643">
        <w:rPr>
          <w:rFonts w:ascii="Tahoma" w:hAnsi="Tahoma" w:cs="Tahoma"/>
          <w:sz w:val="20"/>
          <w:szCs w:val="20"/>
        </w:rPr>
        <w:t xml:space="preserve">jeho </w:t>
      </w:r>
      <w:r w:rsidR="00815C3A" w:rsidRPr="001A0643">
        <w:rPr>
          <w:rFonts w:ascii="Tahoma" w:hAnsi="Tahoma" w:cs="Tahoma"/>
          <w:sz w:val="20"/>
          <w:szCs w:val="20"/>
        </w:rPr>
        <w:t>jméno, příjmení a rok narození</w:t>
      </w:r>
      <w:r w:rsidR="001A0643" w:rsidRPr="001A064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A0643" w:rsidRPr="001A0643">
        <w:rPr>
          <w:rFonts w:ascii="Tahoma" w:hAnsi="Tahoma" w:cs="Tahoma"/>
          <w:sz w:val="20"/>
          <w:szCs w:val="20"/>
        </w:rPr>
        <w:t xml:space="preserve">a </w:t>
      </w:r>
      <w:r w:rsidRPr="00E133E2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F37618">
        <w:rPr>
          <w:rFonts w:ascii="Tahoma" w:hAnsi="Tahoma" w:cs="Tahoma"/>
          <w:sz w:val="20"/>
          <w:szCs w:val="20"/>
        </w:rPr>
        <w:t xml:space="preserve">Logo ke stažení </w:t>
      </w:r>
      <w:r w:rsidR="00FA64C0">
        <w:rPr>
          <w:rFonts w:ascii="Tahoma" w:hAnsi="Tahoma" w:cs="Tahoma"/>
          <w:sz w:val="20"/>
          <w:szCs w:val="20"/>
        </w:rPr>
        <w:t>a podmínky užití</w:t>
      </w:r>
      <w:r w:rsidR="000F7EC2" w:rsidRPr="00E133E2">
        <w:rPr>
          <w:rFonts w:ascii="Tahoma" w:hAnsi="Tahoma" w:cs="Tahoma"/>
          <w:sz w:val="20"/>
          <w:szCs w:val="20"/>
        </w:rPr>
        <w:t xml:space="preserve">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0B9DABF9" w14:textId="53B1376A" w:rsidR="00E05EE5" w:rsidRPr="00E05EE5" w:rsidRDefault="007471D5" w:rsidP="00FA64C0">
      <w:pPr>
        <w:spacing w:before="120"/>
        <w:ind w:firstLine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7471D5">
        <w:rPr>
          <w:rStyle w:val="Hypertextovodkaz"/>
          <w:rFonts w:ascii="Tahoma" w:hAnsi="Tahoma" w:cs="Tahoma"/>
          <w:sz w:val="20"/>
          <w:szCs w:val="20"/>
        </w:rPr>
        <w:t>https://www.msk.cz/cs/kraj/symboly/symboly-kraje-120/.</w:t>
      </w:r>
    </w:p>
    <w:p w14:paraId="3ADB1E84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>e projektu 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032E7282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7EB912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32BB021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E10A64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2FC6AAE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739869D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tiskových konferencí týkajících se podpořeného projektu uvést vždy Moravskoslezský kraj jako poskytovatele dotace a uvést logo Moravskoslezského kraje,</w:t>
      </w:r>
    </w:p>
    <w:p w14:paraId="39204C5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71DA882" w14:textId="77777777" w:rsidR="009D00AF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144918">
        <w:rPr>
          <w:rFonts w:ascii="Tahoma" w:hAnsi="Tahoma" w:cs="Tahoma"/>
          <w:sz w:val="20"/>
          <w:szCs w:val="20"/>
        </w:rPr>
        <w:t> </w:t>
      </w:r>
      <w:r w:rsidR="002B641F" w:rsidRPr="00E133E2">
        <w:rPr>
          <w:rFonts w:ascii="Tahoma" w:hAnsi="Tahoma" w:cs="Tahoma"/>
          <w:sz w:val="20"/>
          <w:szCs w:val="20"/>
        </w:rPr>
        <w:t>administrátorem</w:t>
      </w:r>
      <w:r w:rsidR="00144918">
        <w:rPr>
          <w:rFonts w:ascii="Tahoma" w:hAnsi="Tahoma" w:cs="Tahoma"/>
          <w:sz w:val="20"/>
          <w:szCs w:val="20"/>
        </w:rPr>
        <w:t xml:space="preserve"> a poslat náhled užití loga k odsouhlasení na </w:t>
      </w:r>
      <w:hyperlink r:id="rId8" w:history="1">
        <w:r w:rsidR="00144918" w:rsidRPr="00A22E92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="00144918">
        <w:rPr>
          <w:rFonts w:ascii="Tahoma" w:hAnsi="Tahoma" w:cs="Tahoma"/>
          <w:sz w:val="20"/>
          <w:szCs w:val="20"/>
        </w:rPr>
        <w:t>.</w:t>
      </w:r>
    </w:p>
    <w:p w14:paraId="37D64337" w14:textId="77777777" w:rsidR="00957F91" w:rsidRPr="00144918" w:rsidRDefault="00E43D2A" w:rsidP="0014491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4918">
        <w:rPr>
          <w:rFonts w:ascii="Tahoma" w:hAnsi="Tahoma" w:cs="Tahoma"/>
          <w:sz w:val="20"/>
          <w:szCs w:val="20"/>
        </w:rPr>
        <w:t>Veškeré</w:t>
      </w:r>
      <w:r w:rsidRPr="00144918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144918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144918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144918">
        <w:rPr>
          <w:rFonts w:ascii="Tahoma" w:hAnsi="Tahoma" w:cs="Tahoma"/>
          <w:sz w:val="20"/>
          <w:szCs w:val="20"/>
          <w:lang w:eastAsia="en-US"/>
        </w:rPr>
        <w:t>.</w:t>
      </w:r>
    </w:p>
    <w:p w14:paraId="31DD737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7A377F2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53D3EFA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49A5E246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7BE66F2B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5243B95C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B2AD844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05B75404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651ED07A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6A30CCE8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3C4318"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</w:p>
    <w:p w14:paraId="6D31D265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2B615F09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518796F0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59B657A4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34D2258" w14:textId="77777777" w:rsidR="001308B3" w:rsidRPr="00E133E2" w:rsidRDefault="001308B3" w:rsidP="001308B3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012B55CD" w14:textId="77777777" w:rsidR="001308B3" w:rsidRPr="00E133E2" w:rsidRDefault="001308B3" w:rsidP="001308B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7687460D" w14:textId="77777777" w:rsidR="001308B3" w:rsidRPr="00E133E2" w:rsidRDefault="001308B3" w:rsidP="001308B3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Pr="00E133E2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3E9763D9" w14:textId="77777777" w:rsidR="001308B3" w:rsidRPr="00E133E2" w:rsidRDefault="001308B3" w:rsidP="001308B3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0DE5C44" w14:textId="77777777" w:rsidR="001308B3" w:rsidRPr="00E133E2" w:rsidRDefault="001308B3" w:rsidP="001308B3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Pr="00E133E2">
        <w:rPr>
          <w:rFonts w:ascii="Tahoma" w:hAnsi="Tahoma" w:cs="Tahoma"/>
          <w:sz w:val="20"/>
          <w:szCs w:val="20"/>
        </w:rPr>
        <w:tab/>
        <w:t>příjemce</w:t>
      </w:r>
    </w:p>
    <w:p w14:paraId="7D866DC6" w14:textId="77777777" w:rsidR="001308B3" w:rsidRDefault="001308B3" w:rsidP="001308B3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92E334D" w14:textId="77777777" w:rsidR="001308B3" w:rsidRDefault="001308B3" w:rsidP="001308B3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E0A01">
        <w:rPr>
          <w:rFonts w:ascii="Tahoma" w:hAnsi="Tahoma" w:cs="Tahoma"/>
          <w:sz w:val="20"/>
          <w:szCs w:val="20"/>
        </w:rPr>
        <w:t>Ing. Šárka Šimoňáková,</w:t>
      </w:r>
      <w:r>
        <w:rPr>
          <w:rFonts w:ascii="Tahoma" w:hAnsi="Tahoma" w:cs="Tahoma"/>
          <w:sz w:val="20"/>
          <w:szCs w:val="20"/>
        </w:rPr>
        <w:tab/>
      </w:r>
    </w:p>
    <w:p w14:paraId="6C72D9E0" w14:textId="77777777" w:rsidR="001308B3" w:rsidRPr="00AE0A01" w:rsidRDefault="001308B3" w:rsidP="001308B3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1. </w:t>
      </w:r>
      <w:r w:rsidRPr="00AE0A01">
        <w:rPr>
          <w:rFonts w:ascii="Tahoma" w:hAnsi="Tahoma" w:cs="Tahoma"/>
          <w:iCs/>
          <w:sz w:val="20"/>
          <w:szCs w:val="20"/>
        </w:rPr>
        <w:t>náměstkyně hejtmana kraje</w:t>
      </w:r>
      <w:r w:rsidRPr="00AE0A01">
        <w:rPr>
          <w:rFonts w:ascii="Tahoma" w:hAnsi="Tahoma" w:cs="Tahoma"/>
          <w:iCs/>
          <w:sz w:val="20"/>
          <w:szCs w:val="20"/>
        </w:rPr>
        <w:tab/>
      </w:r>
    </w:p>
    <w:p w14:paraId="0D1D5C77" w14:textId="77777777" w:rsidR="001308B3" w:rsidRPr="00AE0A01" w:rsidRDefault="001308B3" w:rsidP="001308B3">
      <w:pPr>
        <w:rPr>
          <w:rFonts w:ascii="Tahoma" w:hAnsi="Tahoma" w:cs="Tahoma"/>
          <w:sz w:val="20"/>
          <w:szCs w:val="20"/>
        </w:rPr>
      </w:pPr>
    </w:p>
    <w:p w14:paraId="3A70FEE6" w14:textId="77777777" w:rsidR="001308B3" w:rsidRDefault="001308B3" w:rsidP="001308B3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1BEF83D7" w14:textId="77777777" w:rsidR="001308B3" w:rsidRDefault="001308B3" w:rsidP="001308B3">
      <w:pPr>
        <w:jc w:val="both"/>
        <w:rPr>
          <w:rFonts w:ascii="Tahoma" w:hAnsi="Tahoma" w:cs="Tahoma"/>
          <w:sz w:val="20"/>
          <w:szCs w:val="20"/>
        </w:rPr>
      </w:pPr>
    </w:p>
    <w:p w14:paraId="4EA1911E" w14:textId="77777777" w:rsidR="001308B3" w:rsidRDefault="001308B3" w:rsidP="001308B3">
      <w:pPr>
        <w:jc w:val="both"/>
        <w:rPr>
          <w:rFonts w:ascii="Tahoma" w:hAnsi="Tahoma" w:cs="Tahoma"/>
          <w:sz w:val="20"/>
          <w:szCs w:val="20"/>
        </w:rPr>
      </w:pPr>
    </w:p>
    <w:p w14:paraId="274906B7" w14:textId="77777777" w:rsidR="00BC330F" w:rsidRPr="00BC330F" w:rsidRDefault="001308B3" w:rsidP="001308B3">
      <w:pPr>
        <w:jc w:val="both"/>
        <w:rPr>
          <w:rFonts w:ascii="Tahoma" w:hAnsi="Tahoma" w:cs="Tahoma"/>
          <w:sz w:val="20"/>
          <w:szCs w:val="20"/>
        </w:rPr>
      </w:pPr>
      <w:r w:rsidRPr="00B97007">
        <w:rPr>
          <w:rFonts w:ascii="Tahoma" w:hAnsi="Tahoma" w:cs="Tahoma"/>
          <w:sz w:val="20"/>
          <w:szCs w:val="20"/>
        </w:rPr>
        <w:t>Tuto smlouvu je na základě pověření hejtmanem kraje uděleného se souhlasem rady kraje oprávněna podepsat 1. náměstkyně hejtmana kraje. V případě nepřítomnosti 1. náměstkyně hejtmana kraje podepisuje smlouvu hejtman kraje, případně jeho zástupce v pořadí určeném usnesením zastupitelstva č. 1/11 ze dne 21. 10. 2024.</w:t>
      </w:r>
    </w:p>
    <w:sectPr w:rsidR="00BC330F" w:rsidRPr="00BC3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41F5" w14:textId="77777777" w:rsidR="00A86EB3" w:rsidRDefault="00A86EB3">
      <w:r>
        <w:separator/>
      </w:r>
    </w:p>
  </w:endnote>
  <w:endnote w:type="continuationSeparator" w:id="0">
    <w:p w14:paraId="50E07BBF" w14:textId="77777777" w:rsidR="00A86EB3" w:rsidRDefault="00A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D081" w14:textId="77777777" w:rsidR="00DF4AC2" w:rsidRDefault="00DF4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6F96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66BBBB57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1466DD2C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03BA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4B0EDDFC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<v:textbox inset="20pt,0,,0">
            <w:txbxContent>
              <w:p w14:paraId="29BEA70E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C9C0" w14:textId="77777777" w:rsidR="00A86EB3" w:rsidRDefault="00A86EB3">
      <w:r>
        <w:separator/>
      </w:r>
    </w:p>
  </w:footnote>
  <w:footnote w:type="continuationSeparator" w:id="0">
    <w:p w14:paraId="72B69DB1" w14:textId="77777777" w:rsidR="00A86EB3" w:rsidRDefault="00A8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31D7" w14:textId="77777777" w:rsidR="00DF4AC2" w:rsidRDefault="00DF4A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A0B0" w14:textId="77777777" w:rsidR="00DF4AC2" w:rsidRDefault="00DF4A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A543" w14:textId="77777777" w:rsidR="00DF4AC2" w:rsidRDefault="00DF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127570">
    <w:abstractNumId w:val="7"/>
  </w:num>
  <w:num w:numId="2" w16cid:durableId="1254706467">
    <w:abstractNumId w:val="3"/>
  </w:num>
  <w:num w:numId="3" w16cid:durableId="197209925">
    <w:abstractNumId w:val="2"/>
  </w:num>
  <w:num w:numId="4" w16cid:durableId="789056082">
    <w:abstractNumId w:val="10"/>
  </w:num>
  <w:num w:numId="5" w16cid:durableId="402458458">
    <w:abstractNumId w:val="13"/>
  </w:num>
  <w:num w:numId="6" w16cid:durableId="644821535">
    <w:abstractNumId w:val="12"/>
  </w:num>
  <w:num w:numId="7" w16cid:durableId="57676076">
    <w:abstractNumId w:val="0"/>
  </w:num>
  <w:num w:numId="8" w16cid:durableId="27879074">
    <w:abstractNumId w:val="6"/>
  </w:num>
  <w:num w:numId="9" w16cid:durableId="789781941">
    <w:abstractNumId w:val="1"/>
  </w:num>
  <w:num w:numId="10" w16cid:durableId="1917930951">
    <w:abstractNumId w:val="14"/>
  </w:num>
  <w:num w:numId="11" w16cid:durableId="218516535">
    <w:abstractNumId w:val="5"/>
  </w:num>
  <w:num w:numId="12" w16cid:durableId="458231485">
    <w:abstractNumId w:val="11"/>
  </w:num>
  <w:num w:numId="13" w16cid:durableId="593786692">
    <w:abstractNumId w:val="8"/>
  </w:num>
  <w:num w:numId="14" w16cid:durableId="1047222656">
    <w:abstractNumId w:val="9"/>
  </w:num>
  <w:num w:numId="15" w16cid:durableId="1342203178">
    <w:abstractNumId w:val="4"/>
  </w:num>
  <w:num w:numId="16" w16cid:durableId="1033650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36E43"/>
    <w:rsid w:val="0004083B"/>
    <w:rsid w:val="00044C21"/>
    <w:rsid w:val="00047B63"/>
    <w:rsid w:val="00061B78"/>
    <w:rsid w:val="00063EA9"/>
    <w:rsid w:val="00065A2A"/>
    <w:rsid w:val="000741D7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C37A5"/>
    <w:rsid w:val="000D1054"/>
    <w:rsid w:val="000D31F9"/>
    <w:rsid w:val="000D34E3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125A8"/>
    <w:rsid w:val="00113C41"/>
    <w:rsid w:val="001142C2"/>
    <w:rsid w:val="00116E63"/>
    <w:rsid w:val="001235B8"/>
    <w:rsid w:val="00124D0D"/>
    <w:rsid w:val="001308B3"/>
    <w:rsid w:val="001364F0"/>
    <w:rsid w:val="0013712E"/>
    <w:rsid w:val="00137343"/>
    <w:rsid w:val="00140808"/>
    <w:rsid w:val="0014122C"/>
    <w:rsid w:val="00143F27"/>
    <w:rsid w:val="00144215"/>
    <w:rsid w:val="00144918"/>
    <w:rsid w:val="00145A47"/>
    <w:rsid w:val="00152377"/>
    <w:rsid w:val="00152F2D"/>
    <w:rsid w:val="001545A9"/>
    <w:rsid w:val="0015573B"/>
    <w:rsid w:val="0015643D"/>
    <w:rsid w:val="00156DC7"/>
    <w:rsid w:val="0016637B"/>
    <w:rsid w:val="001716A1"/>
    <w:rsid w:val="00177D14"/>
    <w:rsid w:val="00192343"/>
    <w:rsid w:val="00192C2F"/>
    <w:rsid w:val="001950BA"/>
    <w:rsid w:val="0019569A"/>
    <w:rsid w:val="00196AD3"/>
    <w:rsid w:val="001976A7"/>
    <w:rsid w:val="001A0643"/>
    <w:rsid w:val="001A2C5D"/>
    <w:rsid w:val="001A6227"/>
    <w:rsid w:val="001A6B4B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1367E"/>
    <w:rsid w:val="00220B2C"/>
    <w:rsid w:val="002214CF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47944"/>
    <w:rsid w:val="00250490"/>
    <w:rsid w:val="002515B1"/>
    <w:rsid w:val="002545C0"/>
    <w:rsid w:val="00263DF3"/>
    <w:rsid w:val="002704AD"/>
    <w:rsid w:val="002712D8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2A3D"/>
    <w:rsid w:val="0029591F"/>
    <w:rsid w:val="002A0AEB"/>
    <w:rsid w:val="002A0D03"/>
    <w:rsid w:val="002A2D27"/>
    <w:rsid w:val="002A4EAF"/>
    <w:rsid w:val="002A640C"/>
    <w:rsid w:val="002A65EA"/>
    <w:rsid w:val="002B41B0"/>
    <w:rsid w:val="002B59F3"/>
    <w:rsid w:val="002B641F"/>
    <w:rsid w:val="002C1D0C"/>
    <w:rsid w:val="002C27BE"/>
    <w:rsid w:val="002C2A14"/>
    <w:rsid w:val="002C4EBA"/>
    <w:rsid w:val="002D18E8"/>
    <w:rsid w:val="002D27D0"/>
    <w:rsid w:val="002D2CB6"/>
    <w:rsid w:val="002D4D71"/>
    <w:rsid w:val="002D5816"/>
    <w:rsid w:val="002E4DA4"/>
    <w:rsid w:val="002E6B33"/>
    <w:rsid w:val="002F3266"/>
    <w:rsid w:val="002F7A41"/>
    <w:rsid w:val="003020DF"/>
    <w:rsid w:val="003022FB"/>
    <w:rsid w:val="00305764"/>
    <w:rsid w:val="003209D4"/>
    <w:rsid w:val="00321C70"/>
    <w:rsid w:val="00324AD5"/>
    <w:rsid w:val="003250A2"/>
    <w:rsid w:val="00333E02"/>
    <w:rsid w:val="00334D45"/>
    <w:rsid w:val="003368DA"/>
    <w:rsid w:val="003531A0"/>
    <w:rsid w:val="003604BE"/>
    <w:rsid w:val="00360ECD"/>
    <w:rsid w:val="00374190"/>
    <w:rsid w:val="0037522F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C4318"/>
    <w:rsid w:val="003D3946"/>
    <w:rsid w:val="003D607F"/>
    <w:rsid w:val="003E09FF"/>
    <w:rsid w:val="003F11A7"/>
    <w:rsid w:val="003F4E69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332EE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66DCA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C06AB"/>
    <w:rsid w:val="004C09BF"/>
    <w:rsid w:val="004C160B"/>
    <w:rsid w:val="004C485B"/>
    <w:rsid w:val="004D5D6B"/>
    <w:rsid w:val="004E016D"/>
    <w:rsid w:val="004E649E"/>
    <w:rsid w:val="004F4A3C"/>
    <w:rsid w:val="004F503C"/>
    <w:rsid w:val="004F6CF1"/>
    <w:rsid w:val="004F7638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27B0"/>
    <w:rsid w:val="00574CF6"/>
    <w:rsid w:val="00587186"/>
    <w:rsid w:val="00587542"/>
    <w:rsid w:val="00593113"/>
    <w:rsid w:val="00593890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C0F0F"/>
    <w:rsid w:val="005C6662"/>
    <w:rsid w:val="005E090D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3CF3"/>
    <w:rsid w:val="0063581C"/>
    <w:rsid w:val="0064795F"/>
    <w:rsid w:val="00654767"/>
    <w:rsid w:val="006628D6"/>
    <w:rsid w:val="0066468A"/>
    <w:rsid w:val="00667784"/>
    <w:rsid w:val="006822A9"/>
    <w:rsid w:val="006877C3"/>
    <w:rsid w:val="006903AD"/>
    <w:rsid w:val="00691F9A"/>
    <w:rsid w:val="006A3074"/>
    <w:rsid w:val="006B27C3"/>
    <w:rsid w:val="006B35AB"/>
    <w:rsid w:val="006B68D6"/>
    <w:rsid w:val="006B79BC"/>
    <w:rsid w:val="006C2EB5"/>
    <w:rsid w:val="006C409B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0EB1"/>
    <w:rsid w:val="00714D70"/>
    <w:rsid w:val="00714E1B"/>
    <w:rsid w:val="0071569D"/>
    <w:rsid w:val="00720999"/>
    <w:rsid w:val="0072129A"/>
    <w:rsid w:val="007232B1"/>
    <w:rsid w:val="00734CD6"/>
    <w:rsid w:val="007411AD"/>
    <w:rsid w:val="007471D5"/>
    <w:rsid w:val="007537E1"/>
    <w:rsid w:val="007564F1"/>
    <w:rsid w:val="00766BD6"/>
    <w:rsid w:val="007707B8"/>
    <w:rsid w:val="0077679B"/>
    <w:rsid w:val="007813A4"/>
    <w:rsid w:val="007947AD"/>
    <w:rsid w:val="007A49F7"/>
    <w:rsid w:val="007A7639"/>
    <w:rsid w:val="007A7922"/>
    <w:rsid w:val="007B66B2"/>
    <w:rsid w:val="007C069B"/>
    <w:rsid w:val="007C0BAE"/>
    <w:rsid w:val="007C4729"/>
    <w:rsid w:val="007D2147"/>
    <w:rsid w:val="007D7B40"/>
    <w:rsid w:val="007D7C7D"/>
    <w:rsid w:val="007E25F6"/>
    <w:rsid w:val="007E7A68"/>
    <w:rsid w:val="007F07B9"/>
    <w:rsid w:val="007F2289"/>
    <w:rsid w:val="007F25EA"/>
    <w:rsid w:val="007F2BA7"/>
    <w:rsid w:val="007F3434"/>
    <w:rsid w:val="007F38F5"/>
    <w:rsid w:val="007F40C5"/>
    <w:rsid w:val="007F5007"/>
    <w:rsid w:val="00800395"/>
    <w:rsid w:val="008007BE"/>
    <w:rsid w:val="008115D8"/>
    <w:rsid w:val="008130DC"/>
    <w:rsid w:val="00815A09"/>
    <w:rsid w:val="00815C3A"/>
    <w:rsid w:val="00816FBE"/>
    <w:rsid w:val="00817BAE"/>
    <w:rsid w:val="00832FBD"/>
    <w:rsid w:val="00834E3B"/>
    <w:rsid w:val="00842520"/>
    <w:rsid w:val="00843703"/>
    <w:rsid w:val="0084796D"/>
    <w:rsid w:val="0085449C"/>
    <w:rsid w:val="00855E56"/>
    <w:rsid w:val="00856773"/>
    <w:rsid w:val="008568D9"/>
    <w:rsid w:val="0086422F"/>
    <w:rsid w:val="00867048"/>
    <w:rsid w:val="0086720C"/>
    <w:rsid w:val="00871403"/>
    <w:rsid w:val="00872028"/>
    <w:rsid w:val="00874E23"/>
    <w:rsid w:val="00884104"/>
    <w:rsid w:val="00886720"/>
    <w:rsid w:val="00890977"/>
    <w:rsid w:val="00892A34"/>
    <w:rsid w:val="008930B8"/>
    <w:rsid w:val="0089447F"/>
    <w:rsid w:val="008A0193"/>
    <w:rsid w:val="008A3C76"/>
    <w:rsid w:val="008B1CB0"/>
    <w:rsid w:val="008B67A1"/>
    <w:rsid w:val="008C2D63"/>
    <w:rsid w:val="008C3745"/>
    <w:rsid w:val="008C4FE0"/>
    <w:rsid w:val="008C5033"/>
    <w:rsid w:val="008C5E0B"/>
    <w:rsid w:val="008C6F5C"/>
    <w:rsid w:val="008D64DB"/>
    <w:rsid w:val="008E0CCF"/>
    <w:rsid w:val="008E2A51"/>
    <w:rsid w:val="008E6267"/>
    <w:rsid w:val="008E797B"/>
    <w:rsid w:val="008F0584"/>
    <w:rsid w:val="008F14D4"/>
    <w:rsid w:val="008F1D0D"/>
    <w:rsid w:val="008F2B22"/>
    <w:rsid w:val="008F677F"/>
    <w:rsid w:val="0090471D"/>
    <w:rsid w:val="00905064"/>
    <w:rsid w:val="00910BA6"/>
    <w:rsid w:val="009118EA"/>
    <w:rsid w:val="0091524F"/>
    <w:rsid w:val="00916A5C"/>
    <w:rsid w:val="00917255"/>
    <w:rsid w:val="00920662"/>
    <w:rsid w:val="00924FEE"/>
    <w:rsid w:val="009301B8"/>
    <w:rsid w:val="00935F39"/>
    <w:rsid w:val="00941321"/>
    <w:rsid w:val="00941BAB"/>
    <w:rsid w:val="00943FAC"/>
    <w:rsid w:val="0095260C"/>
    <w:rsid w:val="0095396E"/>
    <w:rsid w:val="00955414"/>
    <w:rsid w:val="00957F91"/>
    <w:rsid w:val="00960145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10B0"/>
    <w:rsid w:val="009E3878"/>
    <w:rsid w:val="009E409B"/>
    <w:rsid w:val="009E66E0"/>
    <w:rsid w:val="009F21B3"/>
    <w:rsid w:val="009F27B4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66B3"/>
    <w:rsid w:val="00A65DEC"/>
    <w:rsid w:val="00A7581E"/>
    <w:rsid w:val="00A75D27"/>
    <w:rsid w:val="00A76DAF"/>
    <w:rsid w:val="00A807E9"/>
    <w:rsid w:val="00A80B80"/>
    <w:rsid w:val="00A8323B"/>
    <w:rsid w:val="00A863D4"/>
    <w:rsid w:val="00A86EB3"/>
    <w:rsid w:val="00A874CD"/>
    <w:rsid w:val="00A9084C"/>
    <w:rsid w:val="00A95DCD"/>
    <w:rsid w:val="00A96C67"/>
    <w:rsid w:val="00AA0AD9"/>
    <w:rsid w:val="00AA0CF5"/>
    <w:rsid w:val="00AA4D99"/>
    <w:rsid w:val="00AB1D25"/>
    <w:rsid w:val="00AB21E0"/>
    <w:rsid w:val="00AB4EE3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E289E"/>
    <w:rsid w:val="00AF186D"/>
    <w:rsid w:val="00AF32EA"/>
    <w:rsid w:val="00B05FE2"/>
    <w:rsid w:val="00B10C3E"/>
    <w:rsid w:val="00B1177D"/>
    <w:rsid w:val="00B11FAA"/>
    <w:rsid w:val="00B13727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0226"/>
    <w:rsid w:val="00B729BE"/>
    <w:rsid w:val="00B810A7"/>
    <w:rsid w:val="00B823DF"/>
    <w:rsid w:val="00B852CF"/>
    <w:rsid w:val="00B86772"/>
    <w:rsid w:val="00B878CD"/>
    <w:rsid w:val="00BA1012"/>
    <w:rsid w:val="00BA193F"/>
    <w:rsid w:val="00BA1F18"/>
    <w:rsid w:val="00BB750D"/>
    <w:rsid w:val="00BC1298"/>
    <w:rsid w:val="00BC26E1"/>
    <w:rsid w:val="00BC330F"/>
    <w:rsid w:val="00BC42F5"/>
    <w:rsid w:val="00BC74AC"/>
    <w:rsid w:val="00BD5E0A"/>
    <w:rsid w:val="00BD6A69"/>
    <w:rsid w:val="00BE0FAF"/>
    <w:rsid w:val="00BE4EF5"/>
    <w:rsid w:val="00BE5493"/>
    <w:rsid w:val="00BF10D0"/>
    <w:rsid w:val="00BF1C7F"/>
    <w:rsid w:val="00C0382D"/>
    <w:rsid w:val="00C10F41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33CE5"/>
    <w:rsid w:val="00C422A9"/>
    <w:rsid w:val="00C43FEE"/>
    <w:rsid w:val="00C50D45"/>
    <w:rsid w:val="00C560FD"/>
    <w:rsid w:val="00C56F78"/>
    <w:rsid w:val="00C57259"/>
    <w:rsid w:val="00C57A1C"/>
    <w:rsid w:val="00C621C8"/>
    <w:rsid w:val="00C63CEF"/>
    <w:rsid w:val="00C66E53"/>
    <w:rsid w:val="00C751BE"/>
    <w:rsid w:val="00C77D96"/>
    <w:rsid w:val="00C800FD"/>
    <w:rsid w:val="00C816A8"/>
    <w:rsid w:val="00C84FE6"/>
    <w:rsid w:val="00C86BE2"/>
    <w:rsid w:val="00C911C6"/>
    <w:rsid w:val="00C94CAB"/>
    <w:rsid w:val="00C95D31"/>
    <w:rsid w:val="00C97852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2437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26FF"/>
    <w:rsid w:val="00D67665"/>
    <w:rsid w:val="00D7005E"/>
    <w:rsid w:val="00D71D6C"/>
    <w:rsid w:val="00D73D50"/>
    <w:rsid w:val="00D769E7"/>
    <w:rsid w:val="00D83550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D7B16"/>
    <w:rsid w:val="00DE387B"/>
    <w:rsid w:val="00DE56E4"/>
    <w:rsid w:val="00DF4AC2"/>
    <w:rsid w:val="00DF51F7"/>
    <w:rsid w:val="00DF721D"/>
    <w:rsid w:val="00E02776"/>
    <w:rsid w:val="00E053BC"/>
    <w:rsid w:val="00E05EE5"/>
    <w:rsid w:val="00E06007"/>
    <w:rsid w:val="00E12260"/>
    <w:rsid w:val="00E133E2"/>
    <w:rsid w:val="00E27185"/>
    <w:rsid w:val="00E314F5"/>
    <w:rsid w:val="00E3241F"/>
    <w:rsid w:val="00E3536F"/>
    <w:rsid w:val="00E35503"/>
    <w:rsid w:val="00E372BF"/>
    <w:rsid w:val="00E40E69"/>
    <w:rsid w:val="00E415CB"/>
    <w:rsid w:val="00E42FD1"/>
    <w:rsid w:val="00E43D2A"/>
    <w:rsid w:val="00E46AD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6732"/>
    <w:rsid w:val="00E87941"/>
    <w:rsid w:val="00EA08E6"/>
    <w:rsid w:val="00EA7C3F"/>
    <w:rsid w:val="00EB10B4"/>
    <w:rsid w:val="00EB647B"/>
    <w:rsid w:val="00EB683C"/>
    <w:rsid w:val="00EB741B"/>
    <w:rsid w:val="00EB7468"/>
    <w:rsid w:val="00ED2824"/>
    <w:rsid w:val="00ED2C5C"/>
    <w:rsid w:val="00ED53F0"/>
    <w:rsid w:val="00EE4B8F"/>
    <w:rsid w:val="00EE4E13"/>
    <w:rsid w:val="00EF00CF"/>
    <w:rsid w:val="00EF39B4"/>
    <w:rsid w:val="00EF684B"/>
    <w:rsid w:val="00EF6C54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3673"/>
    <w:rsid w:val="00F35458"/>
    <w:rsid w:val="00F356EC"/>
    <w:rsid w:val="00F37618"/>
    <w:rsid w:val="00F41941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A64C0"/>
    <w:rsid w:val="00FB1402"/>
    <w:rsid w:val="00FB1976"/>
    <w:rsid w:val="00FB39F5"/>
    <w:rsid w:val="00FC4E94"/>
    <w:rsid w:val="00FD3A4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6A4EB"/>
  <w15:chartTrackingRefBased/>
  <w15:docId w15:val="{7F234FDD-11D3-466C-8499-21085DE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14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3050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21004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8</cp:revision>
  <cp:lastPrinted>2012-01-18T15:47:00Z</cp:lastPrinted>
  <dcterms:created xsi:type="dcterms:W3CDTF">2025-11-06T10:57:00Z</dcterms:created>
  <dcterms:modified xsi:type="dcterms:W3CDTF">2026-05-04T11:22:00Z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